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28CD4" w14:textId="672477B3" w:rsidR="00273390" w:rsidRPr="0058169E" w:rsidRDefault="00D91C7C">
      <w:pPr>
        <w:rPr>
          <w:b/>
        </w:rPr>
      </w:pPr>
      <w:r>
        <w:rPr>
          <w:b/>
        </w:rPr>
        <w:t>Updated BSO Note on Mainstream Formula Funding 2025/26 (November 2024)</w:t>
      </w:r>
    </w:p>
    <w:p w14:paraId="5E840A2F" w14:textId="47D6FDB0" w:rsidR="00890B81" w:rsidRPr="00FB1DB5" w:rsidRDefault="00890B81" w:rsidP="00890B81">
      <w:pPr>
        <w:pStyle w:val="ListParagraph"/>
        <w:numPr>
          <w:ilvl w:val="0"/>
          <w:numId w:val="1"/>
        </w:numPr>
        <w:jc w:val="both"/>
        <w:rPr>
          <w:rStyle w:val="Hyperlink"/>
          <w:color w:val="auto"/>
          <w:u w:val="none"/>
        </w:rPr>
      </w:pPr>
      <w:r w:rsidRPr="005B6F67">
        <w:t>Please continue to regularly check publications on</w:t>
      </w:r>
      <w:r>
        <w:t xml:space="preserve"> </w:t>
      </w:r>
      <w:hyperlink r:id="rId5" w:history="1">
        <w:r w:rsidRPr="005B6F67">
          <w:rPr>
            <w:rStyle w:val="Hyperlink"/>
          </w:rPr>
          <w:t>Bradford Schools Online</w:t>
        </w:r>
      </w:hyperlink>
      <w:r>
        <w:rPr>
          <w:rStyle w:val="Hyperlink"/>
        </w:rPr>
        <w:t>.</w:t>
      </w:r>
    </w:p>
    <w:p w14:paraId="7248752B" w14:textId="77777777" w:rsidR="000B3473" w:rsidRDefault="000B3473" w:rsidP="00273390">
      <w:pPr>
        <w:pStyle w:val="ListParagraph"/>
        <w:ind w:left="0"/>
        <w:jc w:val="both"/>
        <w:rPr>
          <w:rStyle w:val="Hyperlink"/>
          <w:color w:val="auto"/>
        </w:rPr>
      </w:pPr>
    </w:p>
    <w:p w14:paraId="4C04FEC3" w14:textId="5139D2C2" w:rsidR="00273390" w:rsidRPr="00273390" w:rsidRDefault="00273390" w:rsidP="00273390">
      <w:pPr>
        <w:pStyle w:val="ListParagraph"/>
        <w:ind w:left="0"/>
        <w:jc w:val="both"/>
        <w:rPr>
          <w:rStyle w:val="Hyperlink"/>
          <w:color w:val="auto"/>
        </w:rPr>
      </w:pPr>
      <w:r w:rsidRPr="00273390">
        <w:rPr>
          <w:rStyle w:val="Hyperlink"/>
          <w:color w:val="auto"/>
        </w:rPr>
        <w:t>2025/26</w:t>
      </w:r>
      <w:r>
        <w:rPr>
          <w:rStyle w:val="Hyperlink"/>
          <w:color w:val="auto"/>
        </w:rPr>
        <w:t xml:space="preserve"> </w:t>
      </w:r>
      <w:r w:rsidRPr="00273390">
        <w:rPr>
          <w:rStyle w:val="Hyperlink"/>
          <w:color w:val="auto"/>
        </w:rPr>
        <w:t>Funding</w:t>
      </w:r>
    </w:p>
    <w:p w14:paraId="1A92711E" w14:textId="77777777" w:rsidR="00273390" w:rsidRDefault="00273390" w:rsidP="00FB1DB5">
      <w:pPr>
        <w:pStyle w:val="ListParagraph"/>
        <w:ind w:left="360"/>
        <w:jc w:val="both"/>
        <w:rPr>
          <w:rStyle w:val="Hyperlink"/>
          <w:color w:val="auto"/>
          <w:u w:val="none"/>
        </w:rPr>
      </w:pPr>
    </w:p>
    <w:p w14:paraId="6A4B98B8" w14:textId="77777777" w:rsidR="005309B5" w:rsidRDefault="00636518" w:rsidP="000B3473">
      <w:pPr>
        <w:pStyle w:val="ListParagraph"/>
        <w:numPr>
          <w:ilvl w:val="0"/>
          <w:numId w:val="1"/>
        </w:numPr>
        <w:jc w:val="both"/>
        <w:rPr>
          <w:rStyle w:val="Hyperlink"/>
          <w:color w:val="auto"/>
          <w:u w:val="none"/>
        </w:rPr>
      </w:pPr>
      <w:r>
        <w:rPr>
          <w:rStyle w:val="Hyperlink"/>
          <w:color w:val="auto"/>
          <w:u w:val="none"/>
        </w:rPr>
        <w:t xml:space="preserve">The Chancellor announced on 30 October an increase of £2.3bn in the national core schools budget in 2025/26. </w:t>
      </w:r>
    </w:p>
    <w:p w14:paraId="2981306F" w14:textId="77777777" w:rsidR="005309B5" w:rsidRDefault="005309B5" w:rsidP="005309B5">
      <w:pPr>
        <w:pStyle w:val="ListParagraph"/>
        <w:ind w:left="360"/>
        <w:jc w:val="both"/>
        <w:rPr>
          <w:rStyle w:val="Hyperlink"/>
          <w:color w:val="auto"/>
          <w:u w:val="none"/>
        </w:rPr>
      </w:pPr>
    </w:p>
    <w:p w14:paraId="16E5946C" w14:textId="4E636440" w:rsidR="005309B5" w:rsidRDefault="00636518" w:rsidP="005309B5">
      <w:pPr>
        <w:pStyle w:val="ListParagraph"/>
        <w:numPr>
          <w:ilvl w:val="1"/>
          <w:numId w:val="1"/>
        </w:numPr>
        <w:jc w:val="both"/>
        <w:rPr>
          <w:rStyle w:val="Hyperlink"/>
          <w:color w:val="auto"/>
          <w:u w:val="none"/>
        </w:rPr>
      </w:pPr>
      <w:r>
        <w:rPr>
          <w:rStyle w:val="Hyperlink"/>
          <w:color w:val="auto"/>
          <w:u w:val="none"/>
        </w:rPr>
        <w:t xml:space="preserve">£1bn will be allocated to support SEND and Alternative Provision. </w:t>
      </w:r>
      <w:r w:rsidR="005309B5">
        <w:rPr>
          <w:rStyle w:val="Hyperlink"/>
          <w:color w:val="auto"/>
          <w:u w:val="none"/>
        </w:rPr>
        <w:t>This includes the continuation of the Core Schools Budget Grant (CSBG) on a full year basis for special schools and AP Academies / PRUs.</w:t>
      </w:r>
      <w:r w:rsidR="00A44C41">
        <w:rPr>
          <w:rStyle w:val="Hyperlink"/>
          <w:color w:val="auto"/>
          <w:u w:val="none"/>
        </w:rPr>
        <w:t xml:space="preserve"> The remainder </w:t>
      </w:r>
      <w:r w:rsidR="00E005B4">
        <w:rPr>
          <w:rStyle w:val="Hyperlink"/>
          <w:color w:val="auto"/>
          <w:u w:val="none"/>
        </w:rPr>
        <w:t>of the £1bn</w:t>
      </w:r>
      <w:r w:rsidR="00A21F2A">
        <w:rPr>
          <w:rStyle w:val="Hyperlink"/>
          <w:color w:val="auto"/>
          <w:u w:val="none"/>
        </w:rPr>
        <w:t xml:space="preserve"> (about 60% of this)</w:t>
      </w:r>
      <w:r w:rsidR="00E005B4">
        <w:rPr>
          <w:rStyle w:val="Hyperlink"/>
          <w:color w:val="auto"/>
          <w:u w:val="none"/>
        </w:rPr>
        <w:t xml:space="preserve"> </w:t>
      </w:r>
      <w:r w:rsidR="00A44C41">
        <w:rPr>
          <w:rStyle w:val="Hyperlink"/>
          <w:color w:val="auto"/>
          <w:u w:val="none"/>
        </w:rPr>
        <w:t>will be allocated to local authorities via the High Needs Block</w:t>
      </w:r>
      <w:r w:rsidR="00E11D62">
        <w:rPr>
          <w:rStyle w:val="Hyperlink"/>
          <w:color w:val="auto"/>
          <w:u w:val="none"/>
        </w:rPr>
        <w:t xml:space="preserve"> of the Dedicated Schools Grant</w:t>
      </w:r>
      <w:r w:rsidR="00A44C41">
        <w:rPr>
          <w:rStyle w:val="Hyperlink"/>
          <w:color w:val="auto"/>
          <w:u w:val="none"/>
        </w:rPr>
        <w:t xml:space="preserve"> (authorities will receive 7% - 10% increases in funding per pupil).</w:t>
      </w:r>
    </w:p>
    <w:p w14:paraId="05794872" w14:textId="77777777" w:rsidR="005309B5" w:rsidRDefault="005309B5" w:rsidP="005309B5">
      <w:pPr>
        <w:pStyle w:val="ListParagraph"/>
        <w:ind w:left="1080"/>
        <w:jc w:val="both"/>
        <w:rPr>
          <w:rStyle w:val="Hyperlink"/>
          <w:color w:val="auto"/>
          <w:u w:val="none"/>
        </w:rPr>
      </w:pPr>
    </w:p>
    <w:p w14:paraId="0A38D8B5" w14:textId="629B4F04" w:rsidR="00E005B4" w:rsidRPr="003C441E" w:rsidRDefault="005309B5" w:rsidP="003C441E">
      <w:pPr>
        <w:pStyle w:val="ListParagraph"/>
        <w:numPr>
          <w:ilvl w:val="1"/>
          <w:numId w:val="1"/>
        </w:numPr>
        <w:jc w:val="both"/>
        <w:rPr>
          <w:rStyle w:val="Hyperlink"/>
          <w:color w:val="auto"/>
          <w:u w:val="none"/>
        </w:rPr>
      </w:pPr>
      <w:r>
        <w:rPr>
          <w:rStyle w:val="Hyperlink"/>
          <w:color w:val="auto"/>
          <w:u w:val="none"/>
        </w:rPr>
        <w:t>£1.3bn will be allocated to support the wider schools budget, including mainstream</w:t>
      </w:r>
      <w:r w:rsidR="00D91C7C">
        <w:rPr>
          <w:rStyle w:val="Hyperlink"/>
          <w:color w:val="auto"/>
          <w:u w:val="none"/>
        </w:rPr>
        <w:t xml:space="preserve"> primary and secondary school and academy</w:t>
      </w:r>
      <w:r>
        <w:rPr>
          <w:rStyle w:val="Hyperlink"/>
          <w:color w:val="auto"/>
          <w:u w:val="none"/>
        </w:rPr>
        <w:t xml:space="preserve"> formula funding. This includes the continuation of the CSBG on a full year basis for mainstream primary and secondary schools and academies. </w:t>
      </w:r>
      <w:r w:rsidR="00A44C41">
        <w:rPr>
          <w:rStyle w:val="Hyperlink"/>
          <w:color w:val="auto"/>
          <w:u w:val="none"/>
        </w:rPr>
        <w:t xml:space="preserve">It is estimated that, roughly, </w:t>
      </w:r>
      <w:r w:rsidR="00D91C7C">
        <w:rPr>
          <w:rStyle w:val="Hyperlink"/>
          <w:color w:val="auto"/>
          <w:u w:val="none"/>
        </w:rPr>
        <w:t xml:space="preserve">full year </w:t>
      </w:r>
      <w:r w:rsidR="00A44C41">
        <w:rPr>
          <w:rStyle w:val="Hyperlink"/>
          <w:color w:val="auto"/>
          <w:u w:val="none"/>
        </w:rPr>
        <w:t>CSBG</w:t>
      </w:r>
      <w:r w:rsidR="00E11D62">
        <w:rPr>
          <w:rStyle w:val="Hyperlink"/>
          <w:color w:val="auto"/>
          <w:u w:val="none"/>
        </w:rPr>
        <w:t xml:space="preserve"> allocations</w:t>
      </w:r>
      <w:r w:rsidR="00A44C41">
        <w:rPr>
          <w:rStyle w:val="Hyperlink"/>
          <w:color w:val="auto"/>
          <w:u w:val="none"/>
        </w:rPr>
        <w:t xml:space="preserve"> will increase </w:t>
      </w:r>
      <w:r w:rsidR="00E12CA1">
        <w:rPr>
          <w:rStyle w:val="Hyperlink"/>
          <w:color w:val="auto"/>
          <w:u w:val="none"/>
        </w:rPr>
        <w:t>by</w:t>
      </w:r>
      <w:r w:rsidR="00A44C41">
        <w:rPr>
          <w:rStyle w:val="Hyperlink"/>
          <w:color w:val="auto"/>
          <w:u w:val="none"/>
        </w:rPr>
        <w:t xml:space="preserve"> 1.65 on 2024/25 September 2024 to March 2025 </w:t>
      </w:r>
      <w:r w:rsidR="00E005B4">
        <w:rPr>
          <w:rStyle w:val="Hyperlink"/>
          <w:color w:val="auto"/>
          <w:u w:val="none"/>
        </w:rPr>
        <w:t xml:space="preserve">7/12ths allocations </w:t>
      </w:r>
      <w:r w:rsidR="00A44C41">
        <w:rPr>
          <w:rStyle w:val="Hyperlink"/>
          <w:color w:val="auto"/>
          <w:u w:val="none"/>
        </w:rPr>
        <w:t xml:space="preserve">(i.e. </w:t>
      </w:r>
      <w:r w:rsidR="00D91C7C">
        <w:rPr>
          <w:rStyle w:val="Hyperlink"/>
          <w:color w:val="auto"/>
          <w:u w:val="none"/>
        </w:rPr>
        <w:t xml:space="preserve">maintained </w:t>
      </w:r>
      <w:r w:rsidR="00A44C41">
        <w:rPr>
          <w:rStyle w:val="Hyperlink"/>
          <w:color w:val="auto"/>
          <w:u w:val="none"/>
        </w:rPr>
        <w:t xml:space="preserve">schools should take their 2024/25 </w:t>
      </w:r>
      <w:r w:rsidR="00E005B4">
        <w:rPr>
          <w:rStyle w:val="Hyperlink"/>
          <w:color w:val="auto"/>
          <w:u w:val="none"/>
        </w:rPr>
        <w:t xml:space="preserve">7/12ths </w:t>
      </w:r>
      <w:r w:rsidR="00A44C41">
        <w:rPr>
          <w:rStyle w:val="Hyperlink"/>
          <w:color w:val="auto"/>
          <w:u w:val="none"/>
        </w:rPr>
        <w:t>allocations, multiply by 1.65 and then adjust for changes in pupil numbers</w:t>
      </w:r>
      <w:r w:rsidR="00E005B4">
        <w:rPr>
          <w:rStyle w:val="Hyperlink"/>
          <w:color w:val="auto"/>
          <w:u w:val="none"/>
        </w:rPr>
        <w:t>,</w:t>
      </w:r>
      <w:r w:rsidR="00A44C41">
        <w:rPr>
          <w:rStyle w:val="Hyperlink"/>
          <w:color w:val="auto"/>
          <w:u w:val="none"/>
        </w:rPr>
        <w:t xml:space="preserve"> in order to come up with a reasonable estimate</w:t>
      </w:r>
      <w:r w:rsidR="00E005B4">
        <w:rPr>
          <w:rStyle w:val="Hyperlink"/>
          <w:color w:val="auto"/>
          <w:u w:val="none"/>
        </w:rPr>
        <w:t xml:space="preserve"> at this time</w:t>
      </w:r>
      <w:r w:rsidR="00A44C41">
        <w:rPr>
          <w:rStyle w:val="Hyperlink"/>
          <w:color w:val="auto"/>
          <w:u w:val="none"/>
        </w:rPr>
        <w:t xml:space="preserve"> of their 2025/26 full year CSBG funding).</w:t>
      </w:r>
    </w:p>
    <w:p w14:paraId="25078B26" w14:textId="77777777" w:rsidR="005309B5" w:rsidRDefault="005309B5" w:rsidP="005309B5">
      <w:pPr>
        <w:pStyle w:val="ListParagraph"/>
        <w:ind w:left="1080"/>
        <w:jc w:val="both"/>
        <w:rPr>
          <w:rStyle w:val="Hyperlink"/>
          <w:color w:val="auto"/>
          <w:u w:val="none"/>
        </w:rPr>
      </w:pPr>
    </w:p>
    <w:p w14:paraId="422A5397" w14:textId="2FDB95D6" w:rsidR="00A44C41" w:rsidRDefault="00636518" w:rsidP="00A44C41">
      <w:pPr>
        <w:pStyle w:val="ListParagraph"/>
        <w:numPr>
          <w:ilvl w:val="0"/>
          <w:numId w:val="1"/>
        </w:numPr>
        <w:jc w:val="both"/>
        <w:rPr>
          <w:rStyle w:val="Hyperlink"/>
          <w:color w:val="auto"/>
          <w:u w:val="none"/>
        </w:rPr>
      </w:pPr>
      <w:r>
        <w:rPr>
          <w:rStyle w:val="Hyperlink"/>
          <w:color w:val="auto"/>
          <w:u w:val="none"/>
        </w:rPr>
        <w:t xml:space="preserve">The Chancellor announced an increase in employer’s National Insurance contributions from 1 April 2025 (2 parts to this increase – 1.2% increase and a reduction in the threshold from £9,100 to £5,000). </w:t>
      </w:r>
      <w:r w:rsidR="00E005B4">
        <w:rPr>
          <w:rStyle w:val="Hyperlink"/>
          <w:color w:val="auto"/>
          <w:u w:val="none"/>
        </w:rPr>
        <w:t xml:space="preserve">Schools and academies will have to pay this in relation </w:t>
      </w:r>
      <w:r w:rsidR="00071429">
        <w:rPr>
          <w:rStyle w:val="Hyperlink"/>
          <w:color w:val="auto"/>
          <w:u w:val="none"/>
        </w:rPr>
        <w:t xml:space="preserve">to </w:t>
      </w:r>
      <w:r w:rsidR="003C441E">
        <w:rPr>
          <w:rStyle w:val="Hyperlink"/>
          <w:color w:val="auto"/>
          <w:u w:val="none"/>
        </w:rPr>
        <w:t>all</w:t>
      </w:r>
      <w:r w:rsidR="00E005B4">
        <w:rPr>
          <w:rStyle w:val="Hyperlink"/>
          <w:color w:val="auto"/>
          <w:u w:val="none"/>
        </w:rPr>
        <w:t xml:space="preserve"> their staff (direct impact) and also </w:t>
      </w:r>
      <w:r w:rsidR="00A21F2A">
        <w:rPr>
          <w:rStyle w:val="Hyperlink"/>
          <w:color w:val="auto"/>
          <w:u w:val="none"/>
        </w:rPr>
        <w:t>are likely to have t</w:t>
      </w:r>
      <w:r w:rsidR="00E005B4">
        <w:rPr>
          <w:rStyle w:val="Hyperlink"/>
          <w:color w:val="auto"/>
          <w:u w:val="none"/>
        </w:rPr>
        <w:t>o meet indirect</w:t>
      </w:r>
      <w:r w:rsidR="00AA0593">
        <w:rPr>
          <w:rStyle w:val="Hyperlink"/>
          <w:color w:val="auto"/>
          <w:u w:val="none"/>
        </w:rPr>
        <w:t xml:space="preserve"> additional</w:t>
      </w:r>
      <w:r w:rsidR="00E005B4">
        <w:rPr>
          <w:rStyle w:val="Hyperlink"/>
          <w:color w:val="auto"/>
          <w:u w:val="none"/>
        </w:rPr>
        <w:t xml:space="preserve"> </w:t>
      </w:r>
      <w:r w:rsidR="003C441E">
        <w:rPr>
          <w:rStyle w:val="Hyperlink"/>
          <w:color w:val="auto"/>
          <w:u w:val="none"/>
        </w:rPr>
        <w:t>costs</w:t>
      </w:r>
      <w:r w:rsidR="00E005B4">
        <w:rPr>
          <w:rStyle w:val="Hyperlink"/>
          <w:color w:val="auto"/>
          <w:u w:val="none"/>
        </w:rPr>
        <w:t xml:space="preserve"> e.g. as a result of suppliers increasing fees and charges. </w:t>
      </w:r>
      <w:r>
        <w:rPr>
          <w:rStyle w:val="Hyperlink"/>
          <w:color w:val="auto"/>
          <w:u w:val="none"/>
        </w:rPr>
        <w:t>The Secretary of State for Education has</w:t>
      </w:r>
      <w:r w:rsidR="003C441E">
        <w:rPr>
          <w:rStyle w:val="Hyperlink"/>
          <w:color w:val="auto"/>
          <w:u w:val="none"/>
        </w:rPr>
        <w:t xml:space="preserve"> stated</w:t>
      </w:r>
      <w:r>
        <w:rPr>
          <w:rStyle w:val="Hyperlink"/>
          <w:color w:val="auto"/>
          <w:u w:val="none"/>
        </w:rPr>
        <w:t xml:space="preserve"> that funding</w:t>
      </w:r>
      <w:r w:rsidR="00DF71EB">
        <w:rPr>
          <w:rStyle w:val="Hyperlink"/>
          <w:color w:val="auto"/>
          <w:u w:val="none"/>
        </w:rPr>
        <w:t>,</w:t>
      </w:r>
      <w:r w:rsidR="00E869A8">
        <w:rPr>
          <w:rStyle w:val="Hyperlink"/>
          <w:color w:val="auto"/>
          <w:u w:val="none"/>
        </w:rPr>
        <w:t xml:space="preserve"> additional to the £</w:t>
      </w:r>
      <w:r w:rsidR="003C441E">
        <w:rPr>
          <w:rStyle w:val="Hyperlink"/>
          <w:color w:val="auto"/>
          <w:u w:val="none"/>
        </w:rPr>
        <w:t>2</w:t>
      </w:r>
      <w:r w:rsidR="00E869A8">
        <w:rPr>
          <w:rStyle w:val="Hyperlink"/>
          <w:color w:val="auto"/>
          <w:u w:val="none"/>
        </w:rPr>
        <w:t>.3bn</w:t>
      </w:r>
      <w:r w:rsidR="00DF71EB">
        <w:rPr>
          <w:rStyle w:val="Hyperlink"/>
          <w:color w:val="auto"/>
          <w:u w:val="none"/>
        </w:rPr>
        <w:t>,</w:t>
      </w:r>
      <w:r>
        <w:rPr>
          <w:rStyle w:val="Hyperlink"/>
          <w:color w:val="auto"/>
          <w:u w:val="none"/>
        </w:rPr>
        <w:t xml:space="preserve"> will be allocated to schools to support the cost of the NI increase and t</w:t>
      </w:r>
      <w:r w:rsidR="00E869A8">
        <w:rPr>
          <w:rStyle w:val="Hyperlink"/>
          <w:color w:val="auto"/>
          <w:u w:val="none"/>
        </w:rPr>
        <w:t>hat</w:t>
      </w:r>
      <w:r>
        <w:rPr>
          <w:rStyle w:val="Hyperlink"/>
          <w:color w:val="auto"/>
          <w:u w:val="none"/>
        </w:rPr>
        <w:t xml:space="preserve"> this likely </w:t>
      </w:r>
      <w:r w:rsidR="00DF71EB">
        <w:rPr>
          <w:rStyle w:val="Hyperlink"/>
          <w:color w:val="auto"/>
          <w:u w:val="none"/>
        </w:rPr>
        <w:t xml:space="preserve">will come in the </w:t>
      </w:r>
      <w:r>
        <w:rPr>
          <w:rStyle w:val="Hyperlink"/>
          <w:color w:val="auto"/>
          <w:u w:val="none"/>
        </w:rPr>
        <w:t>form of an additional</w:t>
      </w:r>
      <w:r w:rsidR="003C441E">
        <w:rPr>
          <w:rStyle w:val="Hyperlink"/>
          <w:color w:val="auto"/>
          <w:u w:val="none"/>
        </w:rPr>
        <w:t xml:space="preserve"> separate</w:t>
      </w:r>
      <w:r>
        <w:rPr>
          <w:rStyle w:val="Hyperlink"/>
          <w:color w:val="auto"/>
          <w:u w:val="none"/>
        </w:rPr>
        <w:t xml:space="preserve"> grant</w:t>
      </w:r>
      <w:r w:rsidR="003C441E">
        <w:rPr>
          <w:rStyle w:val="Hyperlink"/>
          <w:color w:val="auto"/>
          <w:u w:val="none"/>
        </w:rPr>
        <w:t xml:space="preserve"> in 2025/26</w:t>
      </w:r>
      <w:r w:rsidR="00E12CA1">
        <w:rPr>
          <w:rStyle w:val="Hyperlink"/>
          <w:color w:val="auto"/>
          <w:u w:val="none"/>
        </w:rPr>
        <w:t xml:space="preserve"> to mainstream and special schools</w:t>
      </w:r>
      <w:r>
        <w:rPr>
          <w:rStyle w:val="Hyperlink"/>
          <w:color w:val="auto"/>
          <w:u w:val="none"/>
        </w:rPr>
        <w:t>.</w:t>
      </w:r>
      <w:r w:rsidR="00A44C41">
        <w:rPr>
          <w:rStyle w:val="Hyperlink"/>
          <w:color w:val="auto"/>
          <w:u w:val="none"/>
        </w:rPr>
        <w:t xml:space="preserve"> More information on this is expected before the end of the year.</w:t>
      </w:r>
      <w:r w:rsidR="00AA0593">
        <w:rPr>
          <w:rStyle w:val="Hyperlink"/>
          <w:color w:val="auto"/>
          <w:u w:val="none"/>
        </w:rPr>
        <w:t xml:space="preserve"> We do not have any more information at this time.</w:t>
      </w:r>
    </w:p>
    <w:p w14:paraId="5D385DD9" w14:textId="77777777" w:rsidR="00A44C41" w:rsidRDefault="00A44C41" w:rsidP="00A44C41">
      <w:pPr>
        <w:pStyle w:val="ListParagraph"/>
        <w:ind w:left="360"/>
        <w:jc w:val="both"/>
        <w:rPr>
          <w:rStyle w:val="Hyperlink"/>
          <w:color w:val="auto"/>
          <w:u w:val="none"/>
        </w:rPr>
      </w:pPr>
    </w:p>
    <w:p w14:paraId="274F07CF" w14:textId="5EA73564" w:rsidR="00545C38" w:rsidRPr="003C441E" w:rsidRDefault="00A44C41" w:rsidP="003C441E">
      <w:pPr>
        <w:pStyle w:val="ListParagraph"/>
        <w:numPr>
          <w:ilvl w:val="0"/>
          <w:numId w:val="1"/>
        </w:numPr>
        <w:jc w:val="both"/>
        <w:rPr>
          <w:rStyle w:val="Hyperlink"/>
          <w:color w:val="auto"/>
          <w:u w:val="none"/>
        </w:rPr>
      </w:pPr>
      <w:r w:rsidRPr="00A44C41">
        <w:rPr>
          <w:rStyle w:val="Hyperlink"/>
          <w:color w:val="auto"/>
          <w:u w:val="none"/>
        </w:rPr>
        <w:t xml:space="preserve">We know that the CSBG will be merged into formula funding in 2025/26, as </w:t>
      </w:r>
      <w:r>
        <w:rPr>
          <w:rStyle w:val="Hyperlink"/>
          <w:color w:val="auto"/>
          <w:u w:val="none"/>
        </w:rPr>
        <w:t>w</w:t>
      </w:r>
      <w:r w:rsidRPr="00A44C41">
        <w:rPr>
          <w:rStyle w:val="Hyperlink"/>
          <w:color w:val="auto"/>
          <w:u w:val="none"/>
        </w:rPr>
        <w:t>ill the Teacher Pay Additional Grant and the Teacher Pensions Additional Grant.</w:t>
      </w:r>
      <w:r>
        <w:rPr>
          <w:rStyle w:val="Hyperlink"/>
          <w:color w:val="auto"/>
          <w:u w:val="none"/>
        </w:rPr>
        <w:t xml:space="preserve"> This means that </w:t>
      </w:r>
      <w:r w:rsidRPr="00A44C41">
        <w:rPr>
          <w:rStyle w:val="Hyperlink"/>
          <w:color w:val="auto"/>
          <w:u w:val="none"/>
        </w:rPr>
        <w:t>mainstream schools</w:t>
      </w:r>
      <w:r w:rsidR="00E63585">
        <w:rPr>
          <w:rStyle w:val="Hyperlink"/>
          <w:color w:val="auto"/>
          <w:u w:val="none"/>
        </w:rPr>
        <w:t xml:space="preserve"> and academies</w:t>
      </w:r>
      <w:r w:rsidRPr="00A44C41">
        <w:rPr>
          <w:rStyle w:val="Hyperlink"/>
          <w:color w:val="auto"/>
          <w:u w:val="none"/>
        </w:rPr>
        <w:t xml:space="preserve"> must stop budgeting separately for </w:t>
      </w:r>
      <w:r w:rsidR="00A24B94">
        <w:rPr>
          <w:rStyle w:val="Hyperlink"/>
          <w:color w:val="auto"/>
          <w:u w:val="none"/>
        </w:rPr>
        <w:t>these 3 grants</w:t>
      </w:r>
      <w:r>
        <w:rPr>
          <w:rStyle w:val="Hyperlink"/>
          <w:color w:val="auto"/>
          <w:u w:val="none"/>
        </w:rPr>
        <w:t xml:space="preserve"> in 2025/26</w:t>
      </w:r>
      <w:r w:rsidRPr="00A44C41">
        <w:rPr>
          <w:rStyle w:val="Hyperlink"/>
          <w:color w:val="auto"/>
          <w:u w:val="none"/>
        </w:rPr>
        <w:t>.</w:t>
      </w:r>
      <w:r>
        <w:rPr>
          <w:rStyle w:val="Hyperlink"/>
          <w:color w:val="auto"/>
          <w:u w:val="none"/>
        </w:rPr>
        <w:t xml:space="preserve"> </w:t>
      </w:r>
      <w:r w:rsidRPr="00A44C41">
        <w:rPr>
          <w:rStyle w:val="Hyperlink"/>
          <w:color w:val="auto"/>
          <w:u w:val="none"/>
        </w:rPr>
        <w:t>For special schools and AP,</w:t>
      </w:r>
      <w:r w:rsidR="00241D2C">
        <w:rPr>
          <w:rStyle w:val="Hyperlink"/>
          <w:color w:val="auto"/>
          <w:u w:val="none"/>
        </w:rPr>
        <w:t xml:space="preserve"> </w:t>
      </w:r>
      <w:r>
        <w:rPr>
          <w:rStyle w:val="Hyperlink"/>
          <w:color w:val="auto"/>
          <w:u w:val="none"/>
        </w:rPr>
        <w:t>these 3</w:t>
      </w:r>
      <w:r w:rsidRPr="00A44C41">
        <w:rPr>
          <w:rStyle w:val="Hyperlink"/>
          <w:color w:val="auto"/>
          <w:u w:val="none"/>
        </w:rPr>
        <w:t xml:space="preserve"> grants will continue to be </w:t>
      </w:r>
      <w:r>
        <w:rPr>
          <w:rStyle w:val="Hyperlink"/>
          <w:color w:val="auto"/>
          <w:u w:val="none"/>
        </w:rPr>
        <w:t xml:space="preserve">allocated </w:t>
      </w:r>
      <w:r w:rsidRPr="00A44C41">
        <w:rPr>
          <w:rStyle w:val="Hyperlink"/>
          <w:color w:val="auto"/>
          <w:u w:val="none"/>
        </w:rPr>
        <w:t>separate</w:t>
      </w:r>
      <w:r>
        <w:rPr>
          <w:rStyle w:val="Hyperlink"/>
          <w:color w:val="auto"/>
          <w:u w:val="none"/>
        </w:rPr>
        <w:t>ly</w:t>
      </w:r>
      <w:r w:rsidRPr="00A44C41">
        <w:rPr>
          <w:rStyle w:val="Hyperlink"/>
          <w:color w:val="auto"/>
          <w:u w:val="none"/>
        </w:rPr>
        <w:t xml:space="preserve"> from</w:t>
      </w:r>
      <w:r>
        <w:rPr>
          <w:rStyle w:val="Hyperlink"/>
          <w:color w:val="auto"/>
          <w:u w:val="none"/>
        </w:rPr>
        <w:t>, and in addition to,</w:t>
      </w:r>
      <w:r w:rsidRPr="00A44C41">
        <w:rPr>
          <w:rStyle w:val="Hyperlink"/>
          <w:color w:val="auto"/>
          <w:u w:val="none"/>
        </w:rPr>
        <w:t xml:space="preserve"> place and top-up funding</w:t>
      </w:r>
      <w:r>
        <w:rPr>
          <w:rStyle w:val="Hyperlink"/>
          <w:color w:val="auto"/>
          <w:u w:val="none"/>
        </w:rPr>
        <w:t>,</w:t>
      </w:r>
      <w:r w:rsidRPr="00A44C41">
        <w:rPr>
          <w:rStyle w:val="Hyperlink"/>
          <w:color w:val="auto"/>
          <w:u w:val="none"/>
        </w:rPr>
        <w:t xml:space="preserve"> but</w:t>
      </w:r>
      <w:r>
        <w:rPr>
          <w:rStyle w:val="Hyperlink"/>
          <w:color w:val="auto"/>
          <w:u w:val="none"/>
        </w:rPr>
        <w:t xml:space="preserve"> in 2025/26</w:t>
      </w:r>
      <w:r w:rsidRPr="00A44C41">
        <w:rPr>
          <w:rStyle w:val="Hyperlink"/>
          <w:color w:val="auto"/>
          <w:u w:val="none"/>
        </w:rPr>
        <w:t xml:space="preserve"> will be merged into a single grant stream</w:t>
      </w:r>
      <w:r>
        <w:rPr>
          <w:rStyle w:val="Hyperlink"/>
          <w:color w:val="auto"/>
          <w:u w:val="none"/>
        </w:rPr>
        <w:t xml:space="preserve"> rather than </w:t>
      </w:r>
      <w:r w:rsidR="003C441E">
        <w:rPr>
          <w:rStyle w:val="Hyperlink"/>
          <w:color w:val="auto"/>
          <w:u w:val="none"/>
        </w:rPr>
        <w:t xml:space="preserve">continuing as </w:t>
      </w:r>
      <w:r>
        <w:rPr>
          <w:rStyle w:val="Hyperlink"/>
          <w:color w:val="auto"/>
          <w:u w:val="none"/>
        </w:rPr>
        <w:t>3 separate streams</w:t>
      </w:r>
      <w:r w:rsidRPr="00A44C41">
        <w:rPr>
          <w:rStyle w:val="Hyperlink"/>
          <w:color w:val="auto"/>
          <w:u w:val="none"/>
        </w:rPr>
        <w:t>.</w:t>
      </w:r>
    </w:p>
    <w:p w14:paraId="28473736" w14:textId="77777777" w:rsidR="003C441E" w:rsidRDefault="003C441E" w:rsidP="003C441E">
      <w:pPr>
        <w:pStyle w:val="ListParagraph"/>
        <w:ind w:left="360"/>
        <w:jc w:val="both"/>
        <w:rPr>
          <w:rStyle w:val="Hyperlink"/>
          <w:color w:val="auto"/>
          <w:u w:val="none"/>
        </w:rPr>
      </w:pPr>
    </w:p>
    <w:p w14:paraId="237DAC7D" w14:textId="1D7C8362" w:rsidR="00545C38" w:rsidRDefault="003C441E" w:rsidP="003C441E">
      <w:pPr>
        <w:pStyle w:val="ListParagraph"/>
        <w:numPr>
          <w:ilvl w:val="0"/>
          <w:numId w:val="1"/>
        </w:numPr>
        <w:jc w:val="both"/>
        <w:rPr>
          <w:rStyle w:val="Hyperlink"/>
          <w:color w:val="auto"/>
          <w:u w:val="none"/>
        </w:rPr>
      </w:pPr>
      <w:r>
        <w:rPr>
          <w:rStyle w:val="Hyperlink"/>
          <w:color w:val="auto"/>
          <w:u w:val="none"/>
        </w:rPr>
        <w:t xml:space="preserve">The Chancellor did not say anything about early years funding or other main recurrent grant funding for 2025/26. </w:t>
      </w:r>
      <w:r w:rsidR="00A24B94">
        <w:rPr>
          <w:rStyle w:val="Hyperlink"/>
          <w:color w:val="auto"/>
          <w:u w:val="none"/>
        </w:rPr>
        <w:t>For early years, w</w:t>
      </w:r>
      <w:r>
        <w:rPr>
          <w:rStyle w:val="Hyperlink"/>
          <w:color w:val="auto"/>
          <w:u w:val="none"/>
        </w:rPr>
        <w:t>e would expect increase</w:t>
      </w:r>
      <w:r w:rsidR="00A24B94">
        <w:rPr>
          <w:rStyle w:val="Hyperlink"/>
          <w:color w:val="auto"/>
          <w:u w:val="none"/>
        </w:rPr>
        <w:t xml:space="preserve">s in </w:t>
      </w:r>
      <w:r>
        <w:rPr>
          <w:rStyle w:val="Hyperlink"/>
          <w:color w:val="auto"/>
          <w:u w:val="none"/>
        </w:rPr>
        <w:t>funding rates, including to support the impact of the increase in National Insurance contributions and the increase in the National Living Wage, which are both likely to have substantial impact on provider costs next year. We expect information about the early years funding settlement to be announced by the DfE in late November or early December</w:t>
      </w:r>
      <w:r w:rsidR="00A24B94">
        <w:rPr>
          <w:rStyle w:val="Hyperlink"/>
          <w:color w:val="auto"/>
          <w:u w:val="none"/>
        </w:rPr>
        <w:t>, with our consultation beginning as soon as possible in the new year</w:t>
      </w:r>
      <w:r>
        <w:rPr>
          <w:rStyle w:val="Hyperlink"/>
          <w:color w:val="auto"/>
          <w:u w:val="none"/>
        </w:rPr>
        <w:t xml:space="preserve">. </w:t>
      </w:r>
      <w:r w:rsidR="00545C38" w:rsidRPr="003C441E">
        <w:rPr>
          <w:rStyle w:val="Hyperlink"/>
          <w:color w:val="auto"/>
          <w:u w:val="none"/>
        </w:rPr>
        <w:t>There is a small separate early years element of the CSBG</w:t>
      </w:r>
      <w:r w:rsidR="00DF71EB" w:rsidRPr="003C441E">
        <w:rPr>
          <w:rStyle w:val="Hyperlink"/>
          <w:color w:val="auto"/>
          <w:u w:val="none"/>
        </w:rPr>
        <w:t xml:space="preserve"> this year</w:t>
      </w:r>
      <w:r w:rsidR="00545C38" w:rsidRPr="003C441E">
        <w:rPr>
          <w:rStyle w:val="Hyperlink"/>
          <w:color w:val="auto"/>
          <w:u w:val="none"/>
        </w:rPr>
        <w:t>, which</w:t>
      </w:r>
      <w:r>
        <w:rPr>
          <w:rStyle w:val="Hyperlink"/>
          <w:color w:val="auto"/>
          <w:u w:val="none"/>
        </w:rPr>
        <w:t xml:space="preserve"> has not yet been allocated and which w</w:t>
      </w:r>
      <w:r w:rsidR="00545C38" w:rsidRPr="003C441E">
        <w:rPr>
          <w:rStyle w:val="Hyperlink"/>
          <w:color w:val="auto"/>
          <w:u w:val="none"/>
        </w:rPr>
        <w:t>ill</w:t>
      </w:r>
      <w:r>
        <w:rPr>
          <w:rStyle w:val="Hyperlink"/>
          <w:color w:val="auto"/>
          <w:u w:val="none"/>
        </w:rPr>
        <w:t xml:space="preserve"> be</w:t>
      </w:r>
      <w:r w:rsidR="00545C38" w:rsidRPr="003C441E">
        <w:rPr>
          <w:rStyle w:val="Hyperlink"/>
          <w:color w:val="auto"/>
          <w:u w:val="none"/>
        </w:rPr>
        <w:t xml:space="preserve"> allocate in March</w:t>
      </w:r>
      <w:r w:rsidR="00DF71EB" w:rsidRPr="003C441E">
        <w:rPr>
          <w:rStyle w:val="Hyperlink"/>
          <w:color w:val="auto"/>
          <w:u w:val="none"/>
        </w:rPr>
        <w:t xml:space="preserve"> 2025</w:t>
      </w:r>
      <w:r w:rsidR="00545C38" w:rsidRPr="003C441E">
        <w:rPr>
          <w:rStyle w:val="Hyperlink"/>
          <w:color w:val="auto"/>
          <w:u w:val="none"/>
        </w:rPr>
        <w:t xml:space="preserve"> to all providers delivering the 3&amp;4-year-old entitlements </w:t>
      </w:r>
      <w:r w:rsidRPr="003C441E">
        <w:rPr>
          <w:rStyle w:val="Hyperlink"/>
          <w:color w:val="auto"/>
          <w:u w:val="none"/>
        </w:rPr>
        <w:t xml:space="preserve">across </w:t>
      </w:r>
      <w:r w:rsidR="00545C38" w:rsidRPr="003C441E">
        <w:rPr>
          <w:rStyle w:val="Hyperlink"/>
          <w:color w:val="auto"/>
          <w:u w:val="none"/>
        </w:rPr>
        <w:t>autumn and spring. We do not know this yet, but we would expect th</w:t>
      </w:r>
      <w:r w:rsidR="00A24B94">
        <w:rPr>
          <w:rStyle w:val="Hyperlink"/>
          <w:color w:val="auto"/>
          <w:u w:val="none"/>
        </w:rPr>
        <w:t>e CSBG</w:t>
      </w:r>
      <w:r w:rsidR="00545C38" w:rsidRPr="003C441E">
        <w:rPr>
          <w:rStyle w:val="Hyperlink"/>
          <w:color w:val="auto"/>
          <w:u w:val="none"/>
        </w:rPr>
        <w:t xml:space="preserve"> funding to be continued through the Early Years Single Funding Formula (EYSFF) in 2025/26, rather than</w:t>
      </w:r>
      <w:r w:rsidR="00DF71EB" w:rsidRPr="003C441E">
        <w:rPr>
          <w:rStyle w:val="Hyperlink"/>
          <w:color w:val="auto"/>
          <w:u w:val="none"/>
        </w:rPr>
        <w:t xml:space="preserve"> continuing</w:t>
      </w:r>
      <w:r w:rsidR="00545C38" w:rsidRPr="003C441E">
        <w:rPr>
          <w:rStyle w:val="Hyperlink"/>
          <w:color w:val="auto"/>
          <w:u w:val="none"/>
        </w:rPr>
        <w:t xml:space="preserve"> as a separate grant.</w:t>
      </w:r>
    </w:p>
    <w:p w14:paraId="4606E96B" w14:textId="77777777" w:rsidR="00A24B94" w:rsidRPr="00A24B94" w:rsidRDefault="00A24B94" w:rsidP="00A24B94">
      <w:pPr>
        <w:pStyle w:val="ListParagraph"/>
        <w:rPr>
          <w:rStyle w:val="Hyperlink"/>
          <w:color w:val="auto"/>
          <w:u w:val="none"/>
        </w:rPr>
      </w:pPr>
    </w:p>
    <w:p w14:paraId="54E3E64D" w14:textId="525DBAD4" w:rsidR="00A24B94" w:rsidRDefault="00A24B94" w:rsidP="003C441E">
      <w:pPr>
        <w:pStyle w:val="ListParagraph"/>
        <w:numPr>
          <w:ilvl w:val="0"/>
          <w:numId w:val="1"/>
        </w:numPr>
        <w:jc w:val="both"/>
        <w:rPr>
          <w:rStyle w:val="Hyperlink"/>
          <w:color w:val="auto"/>
          <w:u w:val="none"/>
        </w:rPr>
      </w:pPr>
      <w:r>
        <w:rPr>
          <w:rStyle w:val="Hyperlink"/>
          <w:color w:val="auto"/>
          <w:u w:val="none"/>
        </w:rPr>
        <w:t>Regarding mainstream core formula funding, the majority of primary</w:t>
      </w:r>
      <w:r w:rsidR="00E63585">
        <w:rPr>
          <w:rStyle w:val="Hyperlink"/>
          <w:color w:val="auto"/>
          <w:u w:val="none"/>
        </w:rPr>
        <w:t xml:space="preserve"> and secondary</w:t>
      </w:r>
      <w:r>
        <w:rPr>
          <w:rStyle w:val="Hyperlink"/>
          <w:color w:val="auto"/>
          <w:u w:val="none"/>
        </w:rPr>
        <w:t xml:space="preserve"> schools and academies </w:t>
      </w:r>
      <w:r w:rsidR="00FF326D">
        <w:rPr>
          <w:rStyle w:val="Hyperlink"/>
          <w:color w:val="auto"/>
          <w:u w:val="none"/>
        </w:rPr>
        <w:t>are likely to</w:t>
      </w:r>
      <w:r>
        <w:rPr>
          <w:rStyle w:val="Hyperlink"/>
          <w:color w:val="auto"/>
          <w:u w:val="none"/>
        </w:rPr>
        <w:t xml:space="preserve"> have budgeted on the following basis for 2025/26:</w:t>
      </w:r>
    </w:p>
    <w:p w14:paraId="67129CF4" w14:textId="77777777" w:rsidR="00A24B94" w:rsidRPr="00A24B94" w:rsidRDefault="00A24B94" w:rsidP="00A24B94">
      <w:pPr>
        <w:pStyle w:val="ListParagraph"/>
        <w:rPr>
          <w:rStyle w:val="Hyperlink"/>
          <w:color w:val="auto"/>
          <w:u w:val="none"/>
        </w:rPr>
      </w:pPr>
    </w:p>
    <w:p w14:paraId="4CA167A9" w14:textId="54FFFF74" w:rsidR="00A24B94" w:rsidRDefault="00A24B94" w:rsidP="00A24B94">
      <w:pPr>
        <w:pStyle w:val="ListParagraph"/>
        <w:numPr>
          <w:ilvl w:val="1"/>
          <w:numId w:val="1"/>
        </w:numPr>
        <w:jc w:val="both"/>
        <w:rPr>
          <w:rStyle w:val="Hyperlink"/>
          <w:color w:val="auto"/>
          <w:u w:val="none"/>
        </w:rPr>
      </w:pPr>
      <w:r>
        <w:rPr>
          <w:rStyle w:val="Hyperlink"/>
          <w:color w:val="auto"/>
          <w:u w:val="none"/>
        </w:rPr>
        <w:t>An increase of 1% on formula funding variables</w:t>
      </w:r>
      <w:r w:rsidR="006E00E2">
        <w:rPr>
          <w:rStyle w:val="Hyperlink"/>
          <w:color w:val="auto"/>
          <w:u w:val="none"/>
        </w:rPr>
        <w:t xml:space="preserve"> (so same pupil numbers = a 1% increase in total </w:t>
      </w:r>
      <w:r w:rsidR="00C3316F">
        <w:rPr>
          <w:rStyle w:val="Hyperlink"/>
          <w:color w:val="auto"/>
          <w:u w:val="none"/>
        </w:rPr>
        <w:t xml:space="preserve">formula </w:t>
      </w:r>
      <w:r w:rsidR="006E00E2">
        <w:rPr>
          <w:rStyle w:val="Hyperlink"/>
          <w:color w:val="auto"/>
          <w:u w:val="none"/>
        </w:rPr>
        <w:t>funding).</w:t>
      </w:r>
    </w:p>
    <w:p w14:paraId="728B60B8" w14:textId="51ECF1E5" w:rsidR="00A24B94" w:rsidRDefault="00A24B94" w:rsidP="00A24B94">
      <w:pPr>
        <w:pStyle w:val="ListParagraph"/>
        <w:numPr>
          <w:ilvl w:val="1"/>
          <w:numId w:val="1"/>
        </w:numPr>
        <w:jc w:val="both"/>
        <w:rPr>
          <w:rStyle w:val="Hyperlink"/>
          <w:color w:val="auto"/>
          <w:u w:val="none"/>
        </w:rPr>
      </w:pPr>
      <w:r>
        <w:rPr>
          <w:rStyle w:val="Hyperlink"/>
          <w:color w:val="auto"/>
          <w:u w:val="none"/>
        </w:rPr>
        <w:t>A Minimum Funding Guarantee of positive 0.5%</w:t>
      </w:r>
      <w:r w:rsidR="00C3316F">
        <w:rPr>
          <w:rStyle w:val="Hyperlink"/>
          <w:color w:val="auto"/>
          <w:u w:val="none"/>
        </w:rPr>
        <w:t xml:space="preserve"> (so same pupil numbers =  a 0.5% increase in total formula funding).</w:t>
      </w:r>
    </w:p>
    <w:p w14:paraId="7FF354D0" w14:textId="0CD05CCD" w:rsidR="00A24B94" w:rsidRPr="001970C2" w:rsidRDefault="00A24B94" w:rsidP="001970C2">
      <w:pPr>
        <w:pStyle w:val="ListParagraph"/>
        <w:numPr>
          <w:ilvl w:val="1"/>
          <w:numId w:val="1"/>
        </w:numPr>
        <w:jc w:val="both"/>
        <w:rPr>
          <w:rStyle w:val="Hyperlink"/>
          <w:color w:val="auto"/>
          <w:u w:val="none"/>
        </w:rPr>
      </w:pPr>
      <w:r>
        <w:rPr>
          <w:rStyle w:val="Hyperlink"/>
          <w:color w:val="auto"/>
          <w:u w:val="none"/>
        </w:rPr>
        <w:t>Minimum Levels of Per Pupil Funding (MFLs) of positive 0.5%</w:t>
      </w:r>
      <w:r w:rsidR="00C3316F">
        <w:rPr>
          <w:rStyle w:val="Hyperlink"/>
          <w:color w:val="auto"/>
          <w:u w:val="none"/>
        </w:rPr>
        <w:t xml:space="preserve"> (so same pupil numbers = a 0.5% increase in total formula funding).</w:t>
      </w:r>
    </w:p>
    <w:p w14:paraId="3CF3FC6A" w14:textId="77777777" w:rsidR="00E63585" w:rsidRDefault="00E63585" w:rsidP="00E63585">
      <w:pPr>
        <w:pStyle w:val="ListParagraph"/>
        <w:ind w:left="360"/>
        <w:jc w:val="both"/>
        <w:rPr>
          <w:rStyle w:val="Hyperlink"/>
          <w:color w:val="auto"/>
          <w:u w:val="none"/>
        </w:rPr>
      </w:pPr>
    </w:p>
    <w:p w14:paraId="643B73EA" w14:textId="70D52B88" w:rsidR="00A24B94" w:rsidRDefault="00A24B94" w:rsidP="00A24B94">
      <w:pPr>
        <w:pStyle w:val="ListParagraph"/>
        <w:numPr>
          <w:ilvl w:val="0"/>
          <w:numId w:val="1"/>
        </w:numPr>
        <w:jc w:val="both"/>
        <w:rPr>
          <w:rStyle w:val="Hyperlink"/>
          <w:color w:val="auto"/>
          <w:u w:val="none"/>
        </w:rPr>
      </w:pPr>
      <w:r>
        <w:rPr>
          <w:rStyle w:val="Hyperlink"/>
          <w:color w:val="auto"/>
          <w:u w:val="none"/>
        </w:rPr>
        <w:t xml:space="preserve">Following the Budget Statement on 30 October, the DfE </w:t>
      </w:r>
      <w:r w:rsidR="00CF4286">
        <w:rPr>
          <w:rStyle w:val="Hyperlink"/>
          <w:color w:val="auto"/>
          <w:u w:val="none"/>
        </w:rPr>
        <w:t xml:space="preserve">for the first time </w:t>
      </w:r>
      <w:r>
        <w:rPr>
          <w:rStyle w:val="Hyperlink"/>
          <w:color w:val="auto"/>
          <w:u w:val="none"/>
        </w:rPr>
        <w:t xml:space="preserve">published on 5 November </w:t>
      </w:r>
      <w:r w:rsidR="00CF4286">
        <w:rPr>
          <w:rStyle w:val="Hyperlink"/>
          <w:color w:val="auto"/>
          <w:u w:val="none"/>
        </w:rPr>
        <w:t>some information on the mainstream core funding formula</w:t>
      </w:r>
      <w:r w:rsidR="00475748">
        <w:rPr>
          <w:rStyle w:val="Hyperlink"/>
          <w:color w:val="auto"/>
          <w:u w:val="none"/>
        </w:rPr>
        <w:t xml:space="preserve"> values</w:t>
      </w:r>
      <w:r w:rsidR="00CF4286">
        <w:rPr>
          <w:rStyle w:val="Hyperlink"/>
          <w:color w:val="auto"/>
          <w:u w:val="none"/>
        </w:rPr>
        <w:t xml:space="preserve"> for 2025/26. The DfE states that this is</w:t>
      </w:r>
      <w:r w:rsidR="00475748">
        <w:rPr>
          <w:rStyle w:val="Hyperlink"/>
          <w:color w:val="auto"/>
          <w:u w:val="none"/>
        </w:rPr>
        <w:t xml:space="preserve"> still</w:t>
      </w:r>
      <w:r w:rsidR="00CF4286">
        <w:rPr>
          <w:rStyle w:val="Hyperlink"/>
          <w:color w:val="auto"/>
          <w:u w:val="none"/>
        </w:rPr>
        <w:t xml:space="preserve"> indicative, but it gives local authorities a basis on which to plan. This information is published </w:t>
      </w:r>
      <w:hyperlink r:id="rId6" w:history="1">
        <w:r w:rsidR="00CF4286" w:rsidRPr="00CF4286">
          <w:rPr>
            <w:rStyle w:val="Hyperlink"/>
          </w:rPr>
          <w:t>here</w:t>
        </w:r>
      </w:hyperlink>
      <w:r w:rsidR="00CF4286">
        <w:rPr>
          <w:rStyle w:val="Hyperlink"/>
          <w:color w:val="auto"/>
          <w:u w:val="none"/>
        </w:rPr>
        <w:t xml:space="preserve">. </w:t>
      </w:r>
      <w:r w:rsidR="00475748">
        <w:rPr>
          <w:rStyle w:val="Hyperlink"/>
          <w:color w:val="auto"/>
          <w:u w:val="none"/>
        </w:rPr>
        <w:t xml:space="preserve">It would normally have been published back in July. </w:t>
      </w:r>
      <w:r w:rsidR="00CF4286">
        <w:rPr>
          <w:rStyle w:val="Hyperlink"/>
          <w:color w:val="auto"/>
          <w:u w:val="none"/>
        </w:rPr>
        <w:t>Accounting for the transfer of the CSBG and the additional Teacher Pay and Pensions Grants, which are not ‘new money’ (just moving existing funding around the system)</w:t>
      </w:r>
      <w:r w:rsidR="00475748">
        <w:rPr>
          <w:rStyle w:val="Hyperlink"/>
          <w:color w:val="auto"/>
          <w:u w:val="none"/>
        </w:rPr>
        <w:t>,</w:t>
      </w:r>
      <w:r w:rsidR="00CF4286">
        <w:rPr>
          <w:rStyle w:val="Hyperlink"/>
          <w:color w:val="auto"/>
          <w:u w:val="none"/>
        </w:rPr>
        <w:t xml:space="preserve"> the settlement appears to be as follows:</w:t>
      </w:r>
    </w:p>
    <w:p w14:paraId="0A3334E2" w14:textId="77777777" w:rsidR="00CF4286" w:rsidRDefault="00CF4286" w:rsidP="00CF4286">
      <w:pPr>
        <w:pStyle w:val="ListParagraph"/>
        <w:ind w:left="360"/>
        <w:jc w:val="both"/>
        <w:rPr>
          <w:rStyle w:val="Hyperlink"/>
          <w:color w:val="auto"/>
          <w:u w:val="none"/>
        </w:rPr>
      </w:pPr>
    </w:p>
    <w:p w14:paraId="01379BB5" w14:textId="08E51742" w:rsidR="00CF4286" w:rsidRDefault="00CF4286" w:rsidP="00CF4286">
      <w:pPr>
        <w:pStyle w:val="ListParagraph"/>
        <w:numPr>
          <w:ilvl w:val="1"/>
          <w:numId w:val="1"/>
        </w:numPr>
        <w:jc w:val="both"/>
        <w:rPr>
          <w:rStyle w:val="Hyperlink"/>
          <w:color w:val="auto"/>
          <w:u w:val="none"/>
        </w:rPr>
      </w:pPr>
      <w:r>
        <w:rPr>
          <w:rStyle w:val="Hyperlink"/>
          <w:color w:val="auto"/>
          <w:u w:val="none"/>
        </w:rPr>
        <w:t>Increases between 0% and 1% in formula funding values</w:t>
      </w:r>
      <w:r w:rsidR="00114B07">
        <w:rPr>
          <w:rStyle w:val="Hyperlink"/>
          <w:color w:val="auto"/>
          <w:u w:val="none"/>
        </w:rPr>
        <w:t xml:space="preserve"> (rather than 1%)</w:t>
      </w:r>
      <w:r w:rsidR="00475748">
        <w:rPr>
          <w:rStyle w:val="Hyperlink"/>
          <w:color w:val="auto"/>
          <w:u w:val="none"/>
        </w:rPr>
        <w:t>, with an average around about 0.5%.</w:t>
      </w:r>
    </w:p>
    <w:p w14:paraId="2728F4F4" w14:textId="151099F1" w:rsidR="00CF4286" w:rsidRDefault="00CF4286" w:rsidP="00CF4286">
      <w:pPr>
        <w:pStyle w:val="ListParagraph"/>
        <w:numPr>
          <w:ilvl w:val="1"/>
          <w:numId w:val="1"/>
        </w:numPr>
        <w:jc w:val="both"/>
        <w:rPr>
          <w:rStyle w:val="Hyperlink"/>
          <w:color w:val="auto"/>
          <w:u w:val="none"/>
        </w:rPr>
      </w:pPr>
      <w:r>
        <w:rPr>
          <w:rStyle w:val="Hyperlink"/>
          <w:color w:val="auto"/>
          <w:u w:val="none"/>
        </w:rPr>
        <w:t>A Minimum Funding Guarantee that can be set by local authorities between minus 0.5% and 0%</w:t>
      </w:r>
      <w:r w:rsidR="00114B07">
        <w:rPr>
          <w:rStyle w:val="Hyperlink"/>
          <w:color w:val="auto"/>
          <w:u w:val="none"/>
        </w:rPr>
        <w:t xml:space="preserve"> (rather than positive 0.5%)</w:t>
      </w:r>
      <w:r>
        <w:rPr>
          <w:rStyle w:val="Hyperlink"/>
          <w:color w:val="auto"/>
          <w:u w:val="none"/>
        </w:rPr>
        <w:t>.</w:t>
      </w:r>
    </w:p>
    <w:p w14:paraId="0AEA99DE" w14:textId="386BBA44" w:rsidR="00CF4286" w:rsidRDefault="00CF4286" w:rsidP="00CF4286">
      <w:pPr>
        <w:pStyle w:val="ListParagraph"/>
        <w:numPr>
          <w:ilvl w:val="1"/>
          <w:numId w:val="1"/>
        </w:numPr>
        <w:jc w:val="both"/>
        <w:rPr>
          <w:rStyle w:val="Hyperlink"/>
          <w:color w:val="auto"/>
          <w:u w:val="none"/>
        </w:rPr>
      </w:pPr>
      <w:r>
        <w:rPr>
          <w:rStyle w:val="Hyperlink"/>
          <w:color w:val="auto"/>
          <w:u w:val="none"/>
        </w:rPr>
        <w:t>Minimum Levels of Per Pupil Funding (MFLs) that are increasing by 1.4% (primary) and 0.6% (secondary)</w:t>
      </w:r>
      <w:r w:rsidR="00114B07">
        <w:rPr>
          <w:rStyle w:val="Hyperlink"/>
          <w:color w:val="auto"/>
          <w:u w:val="none"/>
        </w:rPr>
        <w:t xml:space="preserve"> (rather than 0.5%)</w:t>
      </w:r>
      <w:r>
        <w:rPr>
          <w:rStyle w:val="Hyperlink"/>
          <w:color w:val="auto"/>
          <w:u w:val="none"/>
        </w:rPr>
        <w:t>.</w:t>
      </w:r>
    </w:p>
    <w:p w14:paraId="6E6FCCD4" w14:textId="77777777" w:rsidR="00CF4286" w:rsidRDefault="00CF4286" w:rsidP="00CF4286">
      <w:pPr>
        <w:pStyle w:val="ListParagraph"/>
        <w:ind w:left="1080"/>
        <w:jc w:val="both"/>
        <w:rPr>
          <w:rStyle w:val="Hyperlink"/>
          <w:color w:val="auto"/>
          <w:u w:val="none"/>
        </w:rPr>
      </w:pPr>
    </w:p>
    <w:p w14:paraId="194A4939" w14:textId="169870D7" w:rsidR="00204F28" w:rsidRPr="00CF4286" w:rsidRDefault="00CF4286" w:rsidP="00CF4286">
      <w:pPr>
        <w:pStyle w:val="ListParagraph"/>
        <w:numPr>
          <w:ilvl w:val="0"/>
          <w:numId w:val="1"/>
        </w:numPr>
        <w:jc w:val="both"/>
        <w:rPr>
          <w:rStyle w:val="Hyperlink"/>
          <w:color w:val="auto"/>
          <w:u w:val="none"/>
        </w:rPr>
      </w:pPr>
      <w:r>
        <w:rPr>
          <w:rStyle w:val="Hyperlink"/>
          <w:color w:val="auto"/>
          <w:u w:val="none"/>
        </w:rPr>
        <w:t xml:space="preserve">As highlighted in the next section of this briefing note, </w:t>
      </w:r>
      <w:r w:rsidR="00E12CA1">
        <w:rPr>
          <w:rStyle w:val="Hyperlink"/>
          <w:color w:val="auto"/>
          <w:u w:val="none"/>
        </w:rPr>
        <w:t xml:space="preserve">and previously published, </w:t>
      </w:r>
      <w:r>
        <w:rPr>
          <w:rStyle w:val="Hyperlink"/>
          <w:color w:val="auto"/>
          <w:u w:val="none"/>
        </w:rPr>
        <w:t xml:space="preserve">the Authority has agreed with the Schools Forum a £2.6m contribution from the Schools Block to the High Needs Block of the Dedicated Schools Grant (DSG), in support of the significant deficit that is forecasted within the High Needs Block in 2025/26. Accounting for this transfer, based on the DfE’s indicative information, it appears that the overall settlement for </w:t>
      </w:r>
      <w:r w:rsidR="00475748">
        <w:rPr>
          <w:rStyle w:val="Hyperlink"/>
          <w:color w:val="auto"/>
          <w:u w:val="none"/>
        </w:rPr>
        <w:t xml:space="preserve">mainstream </w:t>
      </w:r>
      <w:r>
        <w:rPr>
          <w:rStyle w:val="Hyperlink"/>
          <w:color w:val="auto"/>
          <w:u w:val="none"/>
        </w:rPr>
        <w:t>maintained schools and academies for 2025/26 will be broadly cash flat i.e. same pupil numbers = same formula funding as now. This has still to be fully worked through, but we would advise schools and academies to adjust their</w:t>
      </w:r>
      <w:r w:rsidR="00E12CA1">
        <w:rPr>
          <w:rStyle w:val="Hyperlink"/>
          <w:color w:val="auto"/>
          <w:u w:val="none"/>
        </w:rPr>
        <w:t xml:space="preserve"> drafting of their</w:t>
      </w:r>
      <w:r>
        <w:rPr>
          <w:rStyle w:val="Hyperlink"/>
          <w:color w:val="auto"/>
          <w:u w:val="none"/>
        </w:rPr>
        <w:t xml:space="preserve"> 2025/26 budget</w:t>
      </w:r>
      <w:r w:rsidR="00E12CA1">
        <w:rPr>
          <w:rStyle w:val="Hyperlink"/>
          <w:color w:val="auto"/>
          <w:u w:val="none"/>
        </w:rPr>
        <w:t>s</w:t>
      </w:r>
      <w:r>
        <w:rPr>
          <w:rStyle w:val="Hyperlink"/>
          <w:color w:val="auto"/>
          <w:u w:val="none"/>
        </w:rPr>
        <w:t xml:space="preserve"> on this basis. </w:t>
      </w:r>
      <w:r w:rsidR="00475748">
        <w:rPr>
          <w:rStyle w:val="Hyperlink"/>
          <w:color w:val="auto"/>
          <w:u w:val="none"/>
        </w:rPr>
        <w:t>Further information will be provided as soon as is possible.</w:t>
      </w:r>
    </w:p>
    <w:p w14:paraId="5DB53B95" w14:textId="77777777" w:rsidR="00CF4286" w:rsidRDefault="00CF4286" w:rsidP="00CF4286">
      <w:pPr>
        <w:pStyle w:val="ListParagraph"/>
        <w:ind w:left="360"/>
        <w:jc w:val="both"/>
        <w:rPr>
          <w:rStyle w:val="Hyperlink"/>
          <w:color w:val="auto"/>
          <w:u w:val="none"/>
        </w:rPr>
      </w:pPr>
    </w:p>
    <w:p w14:paraId="79CDEEC7" w14:textId="04EB0ABE" w:rsidR="00273390" w:rsidRPr="00CF4286" w:rsidRDefault="00204F28" w:rsidP="00CF4286">
      <w:pPr>
        <w:pStyle w:val="ListParagraph"/>
        <w:numPr>
          <w:ilvl w:val="0"/>
          <w:numId w:val="1"/>
        </w:numPr>
        <w:jc w:val="both"/>
        <w:rPr>
          <w:rStyle w:val="Hyperlink"/>
          <w:color w:val="auto"/>
          <w:u w:val="none"/>
        </w:rPr>
      </w:pPr>
      <w:r>
        <w:rPr>
          <w:rStyle w:val="Hyperlink"/>
          <w:color w:val="auto"/>
          <w:u w:val="none"/>
        </w:rPr>
        <w:t xml:space="preserve">We expect </w:t>
      </w:r>
      <w:r w:rsidR="00F950C4">
        <w:rPr>
          <w:rStyle w:val="Hyperlink"/>
          <w:color w:val="auto"/>
          <w:u w:val="none"/>
        </w:rPr>
        <w:t xml:space="preserve">that </w:t>
      </w:r>
      <w:r>
        <w:rPr>
          <w:rStyle w:val="Hyperlink"/>
          <w:color w:val="auto"/>
          <w:u w:val="none"/>
        </w:rPr>
        <w:t xml:space="preserve">the DfE </w:t>
      </w:r>
      <w:r w:rsidR="00F950C4">
        <w:rPr>
          <w:rStyle w:val="Hyperlink"/>
          <w:color w:val="auto"/>
          <w:u w:val="none"/>
        </w:rPr>
        <w:t>will</w:t>
      </w:r>
      <w:r>
        <w:rPr>
          <w:rStyle w:val="Hyperlink"/>
          <w:color w:val="auto"/>
          <w:u w:val="none"/>
        </w:rPr>
        <w:t xml:space="preserve"> announce more information late November</w:t>
      </w:r>
      <w:r w:rsidR="00CF4286">
        <w:rPr>
          <w:rStyle w:val="Hyperlink"/>
          <w:color w:val="auto"/>
          <w:u w:val="none"/>
        </w:rPr>
        <w:t xml:space="preserve"> / early December</w:t>
      </w:r>
      <w:r>
        <w:rPr>
          <w:rStyle w:val="Hyperlink"/>
          <w:color w:val="auto"/>
          <w:u w:val="none"/>
        </w:rPr>
        <w:t>.</w:t>
      </w:r>
      <w:r w:rsidR="00545C38">
        <w:rPr>
          <w:rStyle w:val="Hyperlink"/>
          <w:color w:val="auto"/>
          <w:u w:val="none"/>
        </w:rPr>
        <w:t xml:space="preserve"> The Authority will then have to act very quickly / the turn-around time will be very short for </w:t>
      </w:r>
      <w:r w:rsidR="00F950C4">
        <w:rPr>
          <w:rStyle w:val="Hyperlink"/>
          <w:color w:val="auto"/>
          <w:u w:val="none"/>
        </w:rPr>
        <w:t xml:space="preserve">discussing and </w:t>
      </w:r>
      <w:r w:rsidR="00545C38">
        <w:rPr>
          <w:rStyle w:val="Hyperlink"/>
          <w:color w:val="auto"/>
          <w:u w:val="none"/>
        </w:rPr>
        <w:t>confirming formula funding arrangements</w:t>
      </w:r>
      <w:r w:rsidR="00DF71EB">
        <w:rPr>
          <w:rStyle w:val="Hyperlink"/>
          <w:color w:val="auto"/>
          <w:u w:val="none"/>
        </w:rPr>
        <w:t xml:space="preserve"> for 2025/26</w:t>
      </w:r>
      <w:r w:rsidR="00CF4286">
        <w:rPr>
          <w:rStyle w:val="Hyperlink"/>
          <w:color w:val="auto"/>
          <w:u w:val="none"/>
        </w:rPr>
        <w:t xml:space="preserve"> with the Schools Forum</w:t>
      </w:r>
      <w:r w:rsidR="00545C38">
        <w:rPr>
          <w:rStyle w:val="Hyperlink"/>
          <w:color w:val="auto"/>
          <w:u w:val="none"/>
        </w:rPr>
        <w:t>.</w:t>
      </w:r>
      <w:r w:rsidR="00DF71EB">
        <w:rPr>
          <w:rStyle w:val="Hyperlink"/>
          <w:color w:val="auto"/>
          <w:u w:val="none"/>
        </w:rPr>
        <w:t xml:space="preserve"> Our Schools Forum meets on 4 December and then on 15 January. </w:t>
      </w:r>
    </w:p>
    <w:p w14:paraId="2E5B9796" w14:textId="78B6215C" w:rsidR="00273390" w:rsidRPr="000B3473" w:rsidRDefault="000B3473" w:rsidP="00273390">
      <w:pPr>
        <w:jc w:val="both"/>
        <w:rPr>
          <w:rStyle w:val="Hyperlink"/>
          <w:color w:val="auto"/>
        </w:rPr>
      </w:pPr>
      <w:r w:rsidRPr="000B3473">
        <w:rPr>
          <w:rStyle w:val="Hyperlink"/>
          <w:color w:val="auto"/>
        </w:rPr>
        <w:t xml:space="preserve">Early </w:t>
      </w:r>
      <w:r w:rsidR="00854D88">
        <w:rPr>
          <w:rStyle w:val="Hyperlink"/>
          <w:color w:val="auto"/>
        </w:rPr>
        <w:t xml:space="preserve">Briefing and </w:t>
      </w:r>
      <w:r w:rsidRPr="000B3473">
        <w:rPr>
          <w:rStyle w:val="Hyperlink"/>
          <w:color w:val="auto"/>
        </w:rPr>
        <w:t>Consultation Document</w:t>
      </w:r>
      <w:r w:rsidR="00DF71EB">
        <w:rPr>
          <w:rStyle w:val="Hyperlink"/>
          <w:color w:val="auto"/>
        </w:rPr>
        <w:t xml:space="preserve"> – Mainstream Funding</w:t>
      </w:r>
    </w:p>
    <w:p w14:paraId="0681C490" w14:textId="772739A8" w:rsidR="00DF71EB" w:rsidRDefault="00DF71EB" w:rsidP="00DF71EB">
      <w:pPr>
        <w:pStyle w:val="ListParagraph"/>
        <w:numPr>
          <w:ilvl w:val="0"/>
          <w:numId w:val="1"/>
        </w:numPr>
        <w:jc w:val="both"/>
        <w:rPr>
          <w:rStyle w:val="Hyperlink"/>
          <w:color w:val="auto"/>
          <w:u w:val="none"/>
        </w:rPr>
      </w:pPr>
      <w:r>
        <w:rPr>
          <w:rStyle w:val="Hyperlink"/>
          <w:color w:val="auto"/>
          <w:u w:val="none"/>
        </w:rPr>
        <w:t xml:space="preserve">If you have not already done so, in the context of the delay in announcements and the very short period that the Authority will have to confirm arrangements, it is really important that you review the documents that were published on 11 October on BSO (can access through latest news and updates) concerning 2025/26 formula funding arrangements. We published an early briefing and consultation document, which explains some key </w:t>
      </w:r>
      <w:r w:rsidR="00854D88">
        <w:rPr>
          <w:rStyle w:val="Hyperlink"/>
          <w:color w:val="auto"/>
          <w:u w:val="none"/>
        </w:rPr>
        <w:t>adjustments</w:t>
      </w:r>
      <w:r>
        <w:rPr>
          <w:rStyle w:val="Hyperlink"/>
          <w:color w:val="auto"/>
          <w:u w:val="none"/>
        </w:rPr>
        <w:t xml:space="preserve"> that will have implications for 2025/26 formula funding. Regarding:</w:t>
      </w:r>
    </w:p>
    <w:p w14:paraId="3BCDA41B" w14:textId="77777777" w:rsidR="00DF71EB" w:rsidRDefault="00DF71EB" w:rsidP="00DF71EB">
      <w:pPr>
        <w:pStyle w:val="ListParagraph"/>
        <w:ind w:left="360"/>
        <w:jc w:val="both"/>
        <w:rPr>
          <w:rStyle w:val="Hyperlink"/>
          <w:color w:val="auto"/>
          <w:u w:val="none"/>
        </w:rPr>
      </w:pPr>
    </w:p>
    <w:p w14:paraId="7540A185" w14:textId="6993EA9E" w:rsidR="00DF71EB" w:rsidRDefault="00DF71EB" w:rsidP="00DF71EB">
      <w:pPr>
        <w:pStyle w:val="ListParagraph"/>
        <w:numPr>
          <w:ilvl w:val="1"/>
          <w:numId w:val="1"/>
        </w:numPr>
        <w:jc w:val="both"/>
        <w:rPr>
          <w:rStyle w:val="Hyperlink"/>
          <w:color w:val="auto"/>
          <w:u w:val="none"/>
        </w:rPr>
      </w:pPr>
      <w:r>
        <w:rPr>
          <w:rStyle w:val="Hyperlink"/>
          <w:color w:val="auto"/>
          <w:u w:val="none"/>
        </w:rPr>
        <w:t>A transfer of £2.6m of Schools Block income to the High Needs Block.</w:t>
      </w:r>
    </w:p>
    <w:p w14:paraId="5FBF12F3" w14:textId="3B3E8C2A" w:rsidR="00DF71EB" w:rsidRDefault="00DF71EB" w:rsidP="00DF71EB">
      <w:pPr>
        <w:pStyle w:val="ListParagraph"/>
        <w:numPr>
          <w:ilvl w:val="1"/>
          <w:numId w:val="1"/>
        </w:numPr>
        <w:jc w:val="both"/>
        <w:rPr>
          <w:rStyle w:val="Hyperlink"/>
          <w:color w:val="auto"/>
          <w:u w:val="none"/>
        </w:rPr>
      </w:pPr>
      <w:r>
        <w:rPr>
          <w:rStyle w:val="Hyperlink"/>
          <w:color w:val="auto"/>
          <w:u w:val="none"/>
        </w:rPr>
        <w:t>The introduction of a Gains Cap in the mainstream funding formula.</w:t>
      </w:r>
    </w:p>
    <w:p w14:paraId="13FBC74F" w14:textId="1716323D" w:rsidR="00DF71EB" w:rsidRDefault="00DF71EB" w:rsidP="00DF71EB">
      <w:pPr>
        <w:pStyle w:val="ListParagraph"/>
        <w:numPr>
          <w:ilvl w:val="1"/>
          <w:numId w:val="1"/>
        </w:numPr>
        <w:jc w:val="both"/>
        <w:rPr>
          <w:rStyle w:val="Hyperlink"/>
          <w:color w:val="auto"/>
          <w:u w:val="none"/>
        </w:rPr>
      </w:pPr>
      <w:r>
        <w:rPr>
          <w:rStyle w:val="Hyperlink"/>
          <w:color w:val="auto"/>
          <w:u w:val="none"/>
        </w:rPr>
        <w:t>The adjustment to Notional SEND Budgets.</w:t>
      </w:r>
    </w:p>
    <w:p w14:paraId="01193E9B" w14:textId="0375D106" w:rsidR="00DF71EB" w:rsidRDefault="00DF71EB" w:rsidP="00DF71EB">
      <w:pPr>
        <w:pStyle w:val="ListParagraph"/>
        <w:numPr>
          <w:ilvl w:val="1"/>
          <w:numId w:val="1"/>
        </w:numPr>
        <w:jc w:val="both"/>
        <w:rPr>
          <w:rStyle w:val="Hyperlink"/>
          <w:color w:val="auto"/>
          <w:u w:val="none"/>
        </w:rPr>
      </w:pPr>
      <w:r>
        <w:rPr>
          <w:rStyle w:val="Hyperlink"/>
          <w:color w:val="auto"/>
          <w:u w:val="none"/>
        </w:rPr>
        <w:t>The reduction and adjustment of the SEND Funding Floor.</w:t>
      </w:r>
    </w:p>
    <w:p w14:paraId="158F2D39" w14:textId="58CF2FC5" w:rsidR="00DF71EB" w:rsidRDefault="00DF71EB" w:rsidP="00DF71EB">
      <w:pPr>
        <w:pStyle w:val="ListParagraph"/>
        <w:numPr>
          <w:ilvl w:val="1"/>
          <w:numId w:val="1"/>
        </w:numPr>
        <w:jc w:val="both"/>
        <w:rPr>
          <w:rStyle w:val="Hyperlink"/>
          <w:color w:val="auto"/>
          <w:u w:val="none"/>
        </w:rPr>
      </w:pPr>
      <w:r>
        <w:rPr>
          <w:rStyle w:val="Hyperlink"/>
          <w:color w:val="auto"/>
          <w:u w:val="none"/>
        </w:rPr>
        <w:t>Adjustments to other high needs formula funding.</w:t>
      </w:r>
    </w:p>
    <w:p w14:paraId="3D7DAF8F" w14:textId="77777777" w:rsidR="00DF71EB" w:rsidRDefault="00DF71EB" w:rsidP="00DF71EB">
      <w:pPr>
        <w:pStyle w:val="ListParagraph"/>
        <w:ind w:left="1080"/>
        <w:jc w:val="both"/>
        <w:rPr>
          <w:rStyle w:val="Hyperlink"/>
          <w:color w:val="auto"/>
          <w:u w:val="none"/>
        </w:rPr>
      </w:pPr>
    </w:p>
    <w:p w14:paraId="66B2A374" w14:textId="404BAB0F" w:rsidR="000B3473" w:rsidRPr="004422F6" w:rsidRDefault="00DF71EB" w:rsidP="00273390">
      <w:pPr>
        <w:pStyle w:val="ListParagraph"/>
        <w:numPr>
          <w:ilvl w:val="0"/>
          <w:numId w:val="1"/>
        </w:numPr>
        <w:jc w:val="both"/>
        <w:rPr>
          <w:rStyle w:val="Hyperlink"/>
          <w:color w:val="auto"/>
          <w:u w:val="none"/>
        </w:rPr>
      </w:pPr>
      <w:r>
        <w:rPr>
          <w:rStyle w:val="Hyperlink"/>
          <w:color w:val="auto"/>
          <w:u w:val="none"/>
        </w:rPr>
        <w:t>These a</w:t>
      </w:r>
      <w:r w:rsidR="00854D88">
        <w:rPr>
          <w:rStyle w:val="Hyperlink"/>
          <w:color w:val="auto"/>
          <w:u w:val="none"/>
        </w:rPr>
        <w:t>djustments</w:t>
      </w:r>
      <w:r>
        <w:rPr>
          <w:rStyle w:val="Hyperlink"/>
          <w:color w:val="auto"/>
          <w:u w:val="none"/>
        </w:rPr>
        <w:t xml:space="preserve"> are put forward in the context of the deficit that the Authority forecasts within our Dedicated Schools Grant (DSG) account, caused by overspending in the High Needs Block. </w:t>
      </w:r>
      <w:r w:rsidR="00854D88">
        <w:rPr>
          <w:rStyle w:val="Hyperlink"/>
          <w:color w:val="auto"/>
          <w:u w:val="none"/>
        </w:rPr>
        <w:t xml:space="preserve">These adjustments are seeking to mitigate against this deficit. </w:t>
      </w:r>
      <w:r w:rsidR="00CF4286">
        <w:rPr>
          <w:rStyle w:val="Hyperlink"/>
          <w:color w:val="auto"/>
          <w:u w:val="none"/>
        </w:rPr>
        <w:t>These adjustment will have implications for school and academies budgets in 2025/26 and on an on-going basis.</w:t>
      </w:r>
    </w:p>
    <w:p w14:paraId="5B1E9D79" w14:textId="77777777" w:rsidR="004422F6" w:rsidRDefault="004422F6" w:rsidP="00273390">
      <w:pPr>
        <w:pStyle w:val="ListParagraph"/>
        <w:ind w:left="0"/>
        <w:jc w:val="both"/>
        <w:rPr>
          <w:rStyle w:val="Hyperlink"/>
          <w:color w:val="auto"/>
        </w:rPr>
      </w:pPr>
    </w:p>
    <w:p w14:paraId="2D93FD56" w14:textId="77777777" w:rsidR="00E63585" w:rsidRDefault="00E63585" w:rsidP="00273390">
      <w:pPr>
        <w:pStyle w:val="ListParagraph"/>
        <w:ind w:left="0"/>
        <w:jc w:val="both"/>
        <w:rPr>
          <w:rStyle w:val="Hyperlink"/>
          <w:color w:val="auto"/>
        </w:rPr>
      </w:pPr>
    </w:p>
    <w:p w14:paraId="0E8A1DD2" w14:textId="77777777" w:rsidR="00E63585" w:rsidRDefault="00E63585" w:rsidP="00273390">
      <w:pPr>
        <w:pStyle w:val="ListParagraph"/>
        <w:ind w:left="0"/>
        <w:jc w:val="both"/>
        <w:rPr>
          <w:rStyle w:val="Hyperlink"/>
          <w:color w:val="auto"/>
        </w:rPr>
      </w:pPr>
    </w:p>
    <w:p w14:paraId="0D0CF968" w14:textId="77777777" w:rsidR="00E63585" w:rsidRDefault="00E63585" w:rsidP="00273390">
      <w:pPr>
        <w:pStyle w:val="ListParagraph"/>
        <w:ind w:left="0"/>
        <w:jc w:val="both"/>
        <w:rPr>
          <w:rStyle w:val="Hyperlink"/>
          <w:color w:val="auto"/>
        </w:rPr>
      </w:pPr>
    </w:p>
    <w:p w14:paraId="349C8ABC" w14:textId="3F3499B1" w:rsidR="000449AC" w:rsidRPr="00273390" w:rsidRDefault="00273390" w:rsidP="00273390">
      <w:pPr>
        <w:pStyle w:val="ListParagraph"/>
        <w:ind w:left="0"/>
        <w:jc w:val="both"/>
        <w:rPr>
          <w:u w:val="single"/>
        </w:rPr>
      </w:pPr>
      <w:r>
        <w:rPr>
          <w:rStyle w:val="Hyperlink"/>
          <w:color w:val="auto"/>
        </w:rPr>
        <w:t>Other</w:t>
      </w:r>
      <w:r w:rsidR="000B3473">
        <w:rPr>
          <w:rStyle w:val="Hyperlink"/>
          <w:color w:val="auto"/>
        </w:rPr>
        <w:t xml:space="preserve"> Funding / </w:t>
      </w:r>
      <w:r w:rsidR="007518A6">
        <w:rPr>
          <w:rStyle w:val="Hyperlink"/>
          <w:color w:val="auto"/>
        </w:rPr>
        <w:t xml:space="preserve">Other General </w:t>
      </w:r>
      <w:r w:rsidR="000B3473">
        <w:rPr>
          <w:rStyle w:val="Hyperlink"/>
          <w:color w:val="auto"/>
        </w:rPr>
        <w:t>Matters</w:t>
      </w:r>
    </w:p>
    <w:p w14:paraId="3296E543" w14:textId="77777777" w:rsidR="00273390" w:rsidRPr="00273390" w:rsidRDefault="00273390" w:rsidP="00273390">
      <w:pPr>
        <w:pStyle w:val="ListParagraph"/>
        <w:ind w:left="360"/>
        <w:jc w:val="both"/>
      </w:pPr>
    </w:p>
    <w:p w14:paraId="1A59B144" w14:textId="34F81556" w:rsidR="00273390" w:rsidRDefault="00E63585" w:rsidP="00273390">
      <w:pPr>
        <w:pStyle w:val="ListParagraph"/>
        <w:numPr>
          <w:ilvl w:val="0"/>
          <w:numId w:val="10"/>
        </w:numPr>
        <w:jc w:val="both"/>
      </w:pPr>
      <w:hyperlink r:id="rId7" w:history="1">
        <w:r w:rsidR="00273390" w:rsidRPr="00273390">
          <w:rPr>
            <w:rStyle w:val="Hyperlink"/>
          </w:rPr>
          <w:t>PE &amp; Sports Premium</w:t>
        </w:r>
      </w:hyperlink>
      <w:r w:rsidR="00273390">
        <w:t xml:space="preserve"> is confirmed for the 2024/25 academic year. No confirmation / announcement about after this.</w:t>
      </w:r>
    </w:p>
    <w:p w14:paraId="0F0FB2C0" w14:textId="77777777" w:rsidR="00273390" w:rsidRDefault="00273390" w:rsidP="00273390">
      <w:pPr>
        <w:pStyle w:val="ListParagraph"/>
        <w:ind w:left="360"/>
        <w:jc w:val="both"/>
      </w:pPr>
    </w:p>
    <w:p w14:paraId="31943162" w14:textId="04C79168" w:rsidR="00273390" w:rsidRDefault="00273390" w:rsidP="003B19AA">
      <w:pPr>
        <w:pStyle w:val="ListParagraph"/>
        <w:numPr>
          <w:ilvl w:val="0"/>
          <w:numId w:val="10"/>
        </w:numPr>
        <w:jc w:val="both"/>
      </w:pPr>
      <w:r>
        <w:lastRenderedPageBreak/>
        <w:t xml:space="preserve">The </w:t>
      </w:r>
      <w:hyperlink r:id="rId8" w:history="1">
        <w:r w:rsidRPr="00273390">
          <w:rPr>
            <w:rStyle w:val="Hyperlink"/>
          </w:rPr>
          <w:t>UIFSM</w:t>
        </w:r>
      </w:hyperlink>
      <w:r>
        <w:t xml:space="preserve"> is confirmed for the 2024/25 academic year. No confirmation / announcement about after this.</w:t>
      </w:r>
    </w:p>
    <w:p w14:paraId="011A8DC0" w14:textId="77777777" w:rsidR="00E12CA1" w:rsidRDefault="00E12CA1" w:rsidP="00E12CA1">
      <w:pPr>
        <w:pStyle w:val="ListParagraph"/>
        <w:ind w:left="360"/>
        <w:jc w:val="both"/>
      </w:pPr>
    </w:p>
    <w:p w14:paraId="221F9B44" w14:textId="46AE18BB" w:rsidR="00273390" w:rsidRDefault="00273390" w:rsidP="00273390">
      <w:pPr>
        <w:pStyle w:val="ListParagraph"/>
        <w:numPr>
          <w:ilvl w:val="0"/>
          <w:numId w:val="10"/>
        </w:numPr>
        <w:jc w:val="both"/>
      </w:pPr>
      <w:r>
        <w:t xml:space="preserve">The </w:t>
      </w:r>
      <w:hyperlink r:id="rId9" w:history="1">
        <w:r w:rsidRPr="00273390">
          <w:rPr>
            <w:rStyle w:val="Hyperlink"/>
          </w:rPr>
          <w:t>April 2024 NJC pay award</w:t>
        </w:r>
      </w:hyperlink>
      <w:r>
        <w:t xml:space="preserve"> is now confirmed and backpay (Council) is expected to be paid in December. For maintained schools, the final award is lower than the Budget Software </w:t>
      </w:r>
      <w:r w:rsidR="00E63585">
        <w:t>estimates,</w:t>
      </w:r>
      <w:r>
        <w:t xml:space="preserve"> and so schools should see saving on forecasts.</w:t>
      </w:r>
    </w:p>
    <w:p w14:paraId="5C080599" w14:textId="77777777" w:rsidR="000B3473" w:rsidRDefault="000B3473" w:rsidP="000B3473">
      <w:pPr>
        <w:pStyle w:val="ListParagraph"/>
      </w:pPr>
    </w:p>
    <w:p w14:paraId="3EDA6957" w14:textId="73AECC22" w:rsidR="000B3473" w:rsidRDefault="000B3473" w:rsidP="00273390">
      <w:pPr>
        <w:pStyle w:val="ListParagraph"/>
        <w:numPr>
          <w:ilvl w:val="0"/>
          <w:numId w:val="10"/>
        </w:numPr>
        <w:jc w:val="both"/>
      </w:pPr>
      <w:r>
        <w:t>Though not confirmed, we generally expect that Pupil Premium Grant will continue in 2025/26. There may be changes in conditions and reporting requirements. The level of uplift of PPG rates of funding is not yet known.</w:t>
      </w:r>
    </w:p>
    <w:p w14:paraId="0317C76C" w14:textId="77777777" w:rsidR="00273390" w:rsidRDefault="00273390" w:rsidP="00273390">
      <w:pPr>
        <w:pStyle w:val="ListParagraph"/>
      </w:pPr>
    </w:p>
    <w:p w14:paraId="5FEACE9D" w14:textId="3C453012" w:rsidR="000B3473" w:rsidRDefault="00273390" w:rsidP="00E63585">
      <w:pPr>
        <w:pStyle w:val="ListParagraph"/>
        <w:numPr>
          <w:ilvl w:val="0"/>
          <w:numId w:val="10"/>
        </w:numPr>
        <w:jc w:val="both"/>
      </w:pPr>
      <w:r>
        <w:t xml:space="preserve">The </w:t>
      </w:r>
      <w:hyperlink r:id="rId10" w:anchor="full-publication-update-history" w:history="1">
        <w:r w:rsidRPr="000B3473">
          <w:rPr>
            <w:rStyle w:val="Hyperlink"/>
          </w:rPr>
          <w:t>September 2024 teachers’ pay award</w:t>
        </w:r>
      </w:hyperlink>
      <w:r>
        <w:t xml:space="preserve"> is now confirmed and backpay (Council</w:t>
      </w:r>
      <w:r w:rsidR="004422F6">
        <w:t>)</w:t>
      </w:r>
      <w:r>
        <w:t xml:space="preserve"> is expected to be paid in December. </w:t>
      </w:r>
      <w:r w:rsidR="000B3473">
        <w:t>The DfE has begin the STRB process for September 2025 so it is expected that the pay award for teachers will be known earlier in the budgeting process than previously.</w:t>
      </w:r>
    </w:p>
    <w:p w14:paraId="748B4F92" w14:textId="77777777" w:rsidR="00E63585" w:rsidRPr="00E63585" w:rsidRDefault="00E63585" w:rsidP="00E63585">
      <w:pPr>
        <w:pStyle w:val="ListParagraph"/>
        <w:ind w:left="360"/>
        <w:jc w:val="both"/>
      </w:pPr>
    </w:p>
    <w:p w14:paraId="7910C101" w14:textId="4551F75C" w:rsidR="000449AC" w:rsidRPr="004422F6" w:rsidRDefault="00273390" w:rsidP="000B3473">
      <w:pPr>
        <w:pStyle w:val="ListParagraph"/>
        <w:numPr>
          <w:ilvl w:val="0"/>
          <w:numId w:val="10"/>
        </w:numPr>
        <w:jc w:val="both"/>
      </w:pPr>
      <w:r w:rsidRPr="000B3473">
        <w:rPr>
          <w:rFonts w:cstheme="minorHAnsi"/>
        </w:rPr>
        <w:t xml:space="preserve">The </w:t>
      </w:r>
      <w:r w:rsidR="000449AC" w:rsidRPr="000B3473">
        <w:rPr>
          <w:rFonts w:cstheme="minorHAnsi"/>
        </w:rPr>
        <w:t>new national Procurement Act</w:t>
      </w:r>
      <w:r w:rsidRPr="000B3473">
        <w:rPr>
          <w:rFonts w:cstheme="minorHAnsi"/>
        </w:rPr>
        <w:t>, which was</w:t>
      </w:r>
      <w:r w:rsidR="000449AC" w:rsidRPr="000B3473">
        <w:rPr>
          <w:rFonts w:cstheme="minorHAnsi"/>
        </w:rPr>
        <w:t xml:space="preserve"> to take effect in October 2024</w:t>
      </w:r>
      <w:r w:rsidRPr="000B3473">
        <w:rPr>
          <w:rFonts w:cstheme="minorHAnsi"/>
        </w:rPr>
        <w:t xml:space="preserve"> is now pushed back to February 2025</w:t>
      </w:r>
      <w:r w:rsidR="000449AC" w:rsidRPr="000B3473">
        <w:rPr>
          <w:rFonts w:cstheme="minorHAnsi"/>
        </w:rPr>
        <w:t xml:space="preserve">. This means changes in procurement regulations and practices. </w:t>
      </w:r>
      <w:r w:rsidRPr="000B3473">
        <w:rPr>
          <w:rFonts w:cstheme="minorHAnsi"/>
        </w:rPr>
        <w:t>An updated not on this can be found on BSO latest news and updates (news note dated 28/10/24).</w:t>
      </w:r>
      <w:r w:rsidR="000449AC" w:rsidRPr="000B3473">
        <w:rPr>
          <w:rFonts w:cstheme="minorHAnsi"/>
        </w:rPr>
        <w:t xml:space="preserve"> Further guidance is expected to be provided.</w:t>
      </w:r>
      <w:r w:rsidR="00DE56EE" w:rsidRPr="000B3473">
        <w:rPr>
          <w:rFonts w:cstheme="minorHAnsi"/>
        </w:rPr>
        <w:t xml:space="preserve"> For maintained schools, we expect to need to revise the Authority’s School Contract Standing Orders.</w:t>
      </w:r>
    </w:p>
    <w:p w14:paraId="2A6C5668" w14:textId="77777777" w:rsidR="004422F6" w:rsidRDefault="004422F6" w:rsidP="004422F6">
      <w:pPr>
        <w:pStyle w:val="ListParagraph"/>
      </w:pPr>
    </w:p>
    <w:sectPr w:rsidR="004422F6" w:rsidSect="00C805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B4711"/>
    <w:multiLevelType w:val="hybridMultilevel"/>
    <w:tmpl w:val="5B80A5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7F1DF9"/>
    <w:multiLevelType w:val="hybridMultilevel"/>
    <w:tmpl w:val="331E65CC"/>
    <w:lvl w:ilvl="0" w:tplc="08090001">
      <w:start w:val="1"/>
      <w:numFmt w:val="bullet"/>
      <w:lvlText w:val=""/>
      <w:lvlJc w:val="left"/>
      <w:pPr>
        <w:ind w:left="1178" w:hanging="360"/>
      </w:pPr>
      <w:rPr>
        <w:rFonts w:ascii="Symbol" w:hAnsi="Symbol" w:hint="default"/>
      </w:rPr>
    </w:lvl>
    <w:lvl w:ilvl="1" w:tplc="08090003">
      <w:start w:val="1"/>
      <w:numFmt w:val="bullet"/>
      <w:lvlText w:val="o"/>
      <w:lvlJc w:val="left"/>
      <w:pPr>
        <w:ind w:left="1898" w:hanging="360"/>
      </w:pPr>
      <w:rPr>
        <w:rFonts w:ascii="Courier New" w:hAnsi="Courier New" w:cs="Courier New" w:hint="default"/>
      </w:rPr>
    </w:lvl>
    <w:lvl w:ilvl="2" w:tplc="08090005" w:tentative="1">
      <w:start w:val="1"/>
      <w:numFmt w:val="bullet"/>
      <w:lvlText w:val=""/>
      <w:lvlJc w:val="left"/>
      <w:pPr>
        <w:ind w:left="2618" w:hanging="360"/>
      </w:pPr>
      <w:rPr>
        <w:rFonts w:ascii="Wingdings" w:hAnsi="Wingdings" w:hint="default"/>
      </w:rPr>
    </w:lvl>
    <w:lvl w:ilvl="3" w:tplc="08090001" w:tentative="1">
      <w:start w:val="1"/>
      <w:numFmt w:val="bullet"/>
      <w:lvlText w:val=""/>
      <w:lvlJc w:val="left"/>
      <w:pPr>
        <w:ind w:left="3338" w:hanging="360"/>
      </w:pPr>
      <w:rPr>
        <w:rFonts w:ascii="Symbol" w:hAnsi="Symbol" w:hint="default"/>
      </w:rPr>
    </w:lvl>
    <w:lvl w:ilvl="4" w:tplc="08090003" w:tentative="1">
      <w:start w:val="1"/>
      <w:numFmt w:val="bullet"/>
      <w:lvlText w:val="o"/>
      <w:lvlJc w:val="left"/>
      <w:pPr>
        <w:ind w:left="4058" w:hanging="360"/>
      </w:pPr>
      <w:rPr>
        <w:rFonts w:ascii="Courier New" w:hAnsi="Courier New" w:cs="Courier New" w:hint="default"/>
      </w:rPr>
    </w:lvl>
    <w:lvl w:ilvl="5" w:tplc="08090005" w:tentative="1">
      <w:start w:val="1"/>
      <w:numFmt w:val="bullet"/>
      <w:lvlText w:val=""/>
      <w:lvlJc w:val="left"/>
      <w:pPr>
        <w:ind w:left="4778" w:hanging="360"/>
      </w:pPr>
      <w:rPr>
        <w:rFonts w:ascii="Wingdings" w:hAnsi="Wingdings" w:hint="default"/>
      </w:rPr>
    </w:lvl>
    <w:lvl w:ilvl="6" w:tplc="08090001" w:tentative="1">
      <w:start w:val="1"/>
      <w:numFmt w:val="bullet"/>
      <w:lvlText w:val=""/>
      <w:lvlJc w:val="left"/>
      <w:pPr>
        <w:ind w:left="5498" w:hanging="360"/>
      </w:pPr>
      <w:rPr>
        <w:rFonts w:ascii="Symbol" w:hAnsi="Symbol" w:hint="default"/>
      </w:rPr>
    </w:lvl>
    <w:lvl w:ilvl="7" w:tplc="08090003" w:tentative="1">
      <w:start w:val="1"/>
      <w:numFmt w:val="bullet"/>
      <w:lvlText w:val="o"/>
      <w:lvlJc w:val="left"/>
      <w:pPr>
        <w:ind w:left="6218" w:hanging="360"/>
      </w:pPr>
      <w:rPr>
        <w:rFonts w:ascii="Courier New" w:hAnsi="Courier New" w:cs="Courier New" w:hint="default"/>
      </w:rPr>
    </w:lvl>
    <w:lvl w:ilvl="8" w:tplc="08090005" w:tentative="1">
      <w:start w:val="1"/>
      <w:numFmt w:val="bullet"/>
      <w:lvlText w:val=""/>
      <w:lvlJc w:val="left"/>
      <w:pPr>
        <w:ind w:left="6938" w:hanging="360"/>
      </w:pPr>
      <w:rPr>
        <w:rFonts w:ascii="Wingdings" w:hAnsi="Wingdings" w:hint="default"/>
      </w:rPr>
    </w:lvl>
  </w:abstractNum>
  <w:abstractNum w:abstractNumId="2" w15:restartNumberingAfterBreak="0">
    <w:nsid w:val="0F0D223C"/>
    <w:multiLevelType w:val="hybridMultilevel"/>
    <w:tmpl w:val="1B46BE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80549BC"/>
    <w:multiLevelType w:val="hybridMultilevel"/>
    <w:tmpl w:val="24C63660"/>
    <w:lvl w:ilvl="0" w:tplc="08090017">
      <w:start w:val="1"/>
      <w:numFmt w:val="lowerLetter"/>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DE70538"/>
    <w:multiLevelType w:val="hybridMultilevel"/>
    <w:tmpl w:val="DF1494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FBA741B"/>
    <w:multiLevelType w:val="hybridMultilevel"/>
    <w:tmpl w:val="1DA6C3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3573069"/>
    <w:multiLevelType w:val="hybridMultilevel"/>
    <w:tmpl w:val="BAB66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955931"/>
    <w:multiLevelType w:val="hybridMultilevel"/>
    <w:tmpl w:val="04847D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B15239"/>
    <w:multiLevelType w:val="hybridMultilevel"/>
    <w:tmpl w:val="1B2005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7B50582"/>
    <w:multiLevelType w:val="hybridMultilevel"/>
    <w:tmpl w:val="371EE2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0C319D"/>
    <w:multiLevelType w:val="hybridMultilevel"/>
    <w:tmpl w:val="115C6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F659FA"/>
    <w:multiLevelType w:val="hybridMultilevel"/>
    <w:tmpl w:val="22A208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E611B40"/>
    <w:multiLevelType w:val="hybridMultilevel"/>
    <w:tmpl w:val="429847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25531118">
    <w:abstractNumId w:val="9"/>
  </w:num>
  <w:num w:numId="2" w16cid:durableId="2007896782">
    <w:abstractNumId w:val="4"/>
  </w:num>
  <w:num w:numId="3" w16cid:durableId="159470014">
    <w:abstractNumId w:val="2"/>
  </w:num>
  <w:num w:numId="4" w16cid:durableId="2075006856">
    <w:abstractNumId w:val="0"/>
  </w:num>
  <w:num w:numId="5" w16cid:durableId="921180976">
    <w:abstractNumId w:val="1"/>
  </w:num>
  <w:num w:numId="6" w16cid:durableId="1408578684">
    <w:abstractNumId w:val="3"/>
  </w:num>
  <w:num w:numId="7" w16cid:durableId="1417432542">
    <w:abstractNumId w:val="12"/>
  </w:num>
  <w:num w:numId="8" w16cid:durableId="1718698038">
    <w:abstractNumId w:val="5"/>
  </w:num>
  <w:num w:numId="9" w16cid:durableId="1105540094">
    <w:abstractNumId w:val="8"/>
  </w:num>
  <w:num w:numId="10" w16cid:durableId="1866362293">
    <w:abstractNumId w:val="11"/>
  </w:num>
  <w:num w:numId="11" w16cid:durableId="99767260">
    <w:abstractNumId w:val="10"/>
  </w:num>
  <w:num w:numId="12" w16cid:durableId="786702429">
    <w:abstractNumId w:val="7"/>
  </w:num>
  <w:num w:numId="13" w16cid:durableId="20913854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555"/>
    <w:rsid w:val="000020FF"/>
    <w:rsid w:val="000449AC"/>
    <w:rsid w:val="00071429"/>
    <w:rsid w:val="000B3473"/>
    <w:rsid w:val="000B43B2"/>
    <w:rsid w:val="00114B07"/>
    <w:rsid w:val="00150F2D"/>
    <w:rsid w:val="0015152F"/>
    <w:rsid w:val="00152BFF"/>
    <w:rsid w:val="001836AA"/>
    <w:rsid w:val="00186B16"/>
    <w:rsid w:val="00193184"/>
    <w:rsid w:val="001970C2"/>
    <w:rsid w:val="001E1AD9"/>
    <w:rsid w:val="00204F28"/>
    <w:rsid w:val="00241D2C"/>
    <w:rsid w:val="00263B8A"/>
    <w:rsid w:val="00271658"/>
    <w:rsid w:val="00273390"/>
    <w:rsid w:val="002C3FBD"/>
    <w:rsid w:val="00333C3F"/>
    <w:rsid w:val="003A7279"/>
    <w:rsid w:val="003B19AA"/>
    <w:rsid w:val="003B4088"/>
    <w:rsid w:val="003C441E"/>
    <w:rsid w:val="003D4A21"/>
    <w:rsid w:val="004422F6"/>
    <w:rsid w:val="00462167"/>
    <w:rsid w:val="00475748"/>
    <w:rsid w:val="004C183C"/>
    <w:rsid w:val="005309B5"/>
    <w:rsid w:val="00545C38"/>
    <w:rsid w:val="00556953"/>
    <w:rsid w:val="00574614"/>
    <w:rsid w:val="0058169E"/>
    <w:rsid w:val="005E50DF"/>
    <w:rsid w:val="0060220D"/>
    <w:rsid w:val="00636518"/>
    <w:rsid w:val="006B3D87"/>
    <w:rsid w:val="006E00E2"/>
    <w:rsid w:val="007518A6"/>
    <w:rsid w:val="0077300F"/>
    <w:rsid w:val="007A583E"/>
    <w:rsid w:val="008162C3"/>
    <w:rsid w:val="008232DB"/>
    <w:rsid w:val="00827D47"/>
    <w:rsid w:val="00842413"/>
    <w:rsid w:val="00854D88"/>
    <w:rsid w:val="00857B5D"/>
    <w:rsid w:val="00890B81"/>
    <w:rsid w:val="00894B6E"/>
    <w:rsid w:val="008B4538"/>
    <w:rsid w:val="008F4947"/>
    <w:rsid w:val="008F5015"/>
    <w:rsid w:val="00906B94"/>
    <w:rsid w:val="00967685"/>
    <w:rsid w:val="009717E0"/>
    <w:rsid w:val="00971BFE"/>
    <w:rsid w:val="009E2804"/>
    <w:rsid w:val="009E37E6"/>
    <w:rsid w:val="00A21F2A"/>
    <w:rsid w:val="00A24B94"/>
    <w:rsid w:val="00A44C41"/>
    <w:rsid w:val="00A74F3B"/>
    <w:rsid w:val="00A83919"/>
    <w:rsid w:val="00AA0593"/>
    <w:rsid w:val="00B13244"/>
    <w:rsid w:val="00B420C7"/>
    <w:rsid w:val="00B810C0"/>
    <w:rsid w:val="00B8299B"/>
    <w:rsid w:val="00BE5442"/>
    <w:rsid w:val="00C3316F"/>
    <w:rsid w:val="00C50353"/>
    <w:rsid w:val="00C80555"/>
    <w:rsid w:val="00CF4286"/>
    <w:rsid w:val="00CF444F"/>
    <w:rsid w:val="00D17B5D"/>
    <w:rsid w:val="00D91C7C"/>
    <w:rsid w:val="00D9622C"/>
    <w:rsid w:val="00DD3F58"/>
    <w:rsid w:val="00DE56EE"/>
    <w:rsid w:val="00DF71EB"/>
    <w:rsid w:val="00E005B4"/>
    <w:rsid w:val="00E11D62"/>
    <w:rsid w:val="00E12150"/>
    <w:rsid w:val="00E12CA1"/>
    <w:rsid w:val="00E24262"/>
    <w:rsid w:val="00E24611"/>
    <w:rsid w:val="00E350DD"/>
    <w:rsid w:val="00E402FC"/>
    <w:rsid w:val="00E4647B"/>
    <w:rsid w:val="00E63585"/>
    <w:rsid w:val="00E869A8"/>
    <w:rsid w:val="00E90823"/>
    <w:rsid w:val="00F13506"/>
    <w:rsid w:val="00F70955"/>
    <w:rsid w:val="00F8779B"/>
    <w:rsid w:val="00F950C4"/>
    <w:rsid w:val="00FA31FD"/>
    <w:rsid w:val="00FB1DB5"/>
    <w:rsid w:val="00FB7E01"/>
    <w:rsid w:val="00FC2E68"/>
    <w:rsid w:val="00FD75DF"/>
    <w:rsid w:val="00FF3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0030B"/>
  <w15:chartTrackingRefBased/>
  <w15:docId w15:val="{F508985E-D4D4-4E1E-9C01-56F51078A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link w:val="ListParagraphChar"/>
    <w:uiPriority w:val="34"/>
    <w:qFormat/>
    <w:rsid w:val="00E4647B"/>
    <w:pPr>
      <w:ind w:left="720"/>
      <w:contextualSpacing/>
    </w:pPr>
  </w:style>
  <w:style w:type="table" w:styleId="TableGrid">
    <w:name w:val="Table Grid"/>
    <w:basedOn w:val="TableNormal"/>
    <w:uiPriority w:val="39"/>
    <w:rsid w:val="009E3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8169E"/>
    <w:rPr>
      <w:color w:val="0000FF"/>
      <w:u w:val="single"/>
    </w:rPr>
  </w:style>
  <w:style w:type="character" w:styleId="Strong">
    <w:name w:val="Strong"/>
    <w:basedOn w:val="DefaultParagraphFont"/>
    <w:uiPriority w:val="22"/>
    <w:qFormat/>
    <w:rsid w:val="0058169E"/>
    <w:rPr>
      <w:b/>
      <w:bCs/>
    </w:rPr>
  </w:style>
  <w:style w:type="character" w:customStyle="1" w:styleId="ListParagraphChar">
    <w:name w:val="List Paragraph Char"/>
    <w:aliases w:val="Dot pt Char,No Spacing1 Char,List Paragraph Char Char Char Char,Indicator Text Char,Numbered Para 1 Char,Bullet 1 Char,F5 List Paragraph Char,Bullet Points Char,MAIN CONTENT Char,List Paragraph12 Char,Bullet Style Char"/>
    <w:link w:val="ListParagraph"/>
    <w:uiPriority w:val="34"/>
    <w:qFormat/>
    <w:locked/>
    <w:rsid w:val="00150F2D"/>
  </w:style>
  <w:style w:type="character" w:styleId="UnresolvedMention">
    <w:name w:val="Unresolved Mention"/>
    <w:basedOn w:val="DefaultParagraphFont"/>
    <w:uiPriority w:val="99"/>
    <w:semiHidden/>
    <w:unhideWhenUsed/>
    <w:rsid w:val="009717E0"/>
    <w:rPr>
      <w:color w:val="605E5C"/>
      <w:shd w:val="clear" w:color="auto" w:fill="E1DFDD"/>
    </w:rPr>
  </w:style>
  <w:style w:type="character" w:styleId="FollowedHyperlink">
    <w:name w:val="FollowedHyperlink"/>
    <w:basedOn w:val="DefaultParagraphFont"/>
    <w:uiPriority w:val="99"/>
    <w:semiHidden/>
    <w:unhideWhenUsed/>
    <w:rsid w:val="005746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40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universal-infant-free-school-meals-uifsm-2024-to-2025" TargetMode="External"/><Relationship Id="rId3" Type="http://schemas.openxmlformats.org/officeDocument/2006/relationships/settings" Target="settings.xml"/><Relationship Id="rId7" Type="http://schemas.openxmlformats.org/officeDocument/2006/relationships/hyperlink" Target="https://www.gov.uk/guidance/pe-and-sport-premium-for-primary-schoo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pre-16-schools-funding-local-authority-guidance-for-2025-to-2026/summary-policy-document-for-schools-national-funding-formula-2025-to-2026" TargetMode="External"/><Relationship Id="rId11" Type="http://schemas.openxmlformats.org/officeDocument/2006/relationships/fontTable" Target="fontTable.xml"/><Relationship Id="rId5" Type="http://schemas.openxmlformats.org/officeDocument/2006/relationships/hyperlink" Target="https://bso.bradford.gov.uk/content/latest-news-and-updates-from-school-funding-team" TargetMode="External"/><Relationship Id="rId10" Type="http://schemas.openxmlformats.org/officeDocument/2006/relationships/hyperlink" Target="https://www.gov.uk/government/publications/school-teachers-pay-and-conditions" TargetMode="External"/><Relationship Id="rId4" Type="http://schemas.openxmlformats.org/officeDocument/2006/relationships/webSettings" Target="webSettings.xml"/><Relationship Id="rId9" Type="http://schemas.openxmlformats.org/officeDocument/2006/relationships/hyperlink" Target="https://www.nalc.gov.uk/resource/nalc-publishes-local-government-services-pay-agreement-24-2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3</Pages>
  <Words>1431</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Redding</dc:creator>
  <cp:keywords/>
  <dc:description/>
  <cp:lastModifiedBy>Andrew Redding</cp:lastModifiedBy>
  <cp:revision>77</cp:revision>
  <dcterms:created xsi:type="dcterms:W3CDTF">2022-06-17T08:18:00Z</dcterms:created>
  <dcterms:modified xsi:type="dcterms:W3CDTF">2024-11-11T09:26:00Z</dcterms:modified>
</cp:coreProperties>
</file>