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56"/>
      </w:tblGrid>
      <w:tr w:rsidR="00B16477" w:rsidTr="00B1647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B164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8"/>
                    <w:gridCol w:w="3009"/>
                    <w:gridCol w:w="3009"/>
                  </w:tblGrid>
                  <w:tr w:rsidR="00B16477">
                    <w:trPr>
                      <w:tblCellSpacing w:w="0" w:type="dxa"/>
                    </w:trPr>
                    <w:tc>
                      <w:tcPr>
                        <w:tcW w:w="1650" w:type="pct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16477" w:rsidRDefault="00B16477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1650" w:type="pct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16477" w:rsidRDefault="00B1647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1650" w:type="pct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16477" w:rsidRDefault="00B16477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B164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hideMark/>
                      </w:tcPr>
                      <w:p w:rsidR="00B16477" w:rsidRDefault="00B1647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16477" w:rsidRDefault="00B16477">
                  <w:pPr>
                    <w:rPr>
                      <w:rFonts w:ascii="Calibri" w:hAnsi="Calibr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9026" w:type="dxa"/>
                    <w:tblCellSpacing w:w="0" w:type="dxa"/>
                    <w:shd w:val="clear" w:color="auto" w:fill="6950A1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B16477" w:rsidTr="00C72C4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950A1"/>
                        <w:tcMar>
                          <w:top w:w="240" w:type="dxa"/>
                          <w:left w:w="240" w:type="dxa"/>
                          <w:bottom w:w="240" w:type="dxa"/>
                          <w:right w:w="240" w:type="dxa"/>
                        </w:tcMar>
                        <w:hideMark/>
                      </w:tcPr>
                      <w:p w:rsidR="00B16477" w:rsidRDefault="00B16477">
                        <w:pPr>
                          <w:pStyle w:val="Heading2"/>
                          <w:spacing w:line="581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FFFFFF"/>
                            <w:sz w:val="54"/>
                            <w:szCs w:val="54"/>
                          </w:rPr>
                          <w:t>Behaviour in schools: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FFFFFF"/>
                            <w:sz w:val="54"/>
                            <w:szCs w:val="54"/>
                          </w:rPr>
                          <w:br/>
                          <w:t>A national priority</w:t>
                        </w:r>
                      </w:p>
                      <w:p w:rsidR="0074303C" w:rsidRDefault="0074303C">
                        <w:pPr>
                          <w:pStyle w:val="Heading1"/>
                          <w:spacing w:line="506" w:lineRule="atLeast"/>
                          <w:rPr>
                            <w:rFonts w:eastAsia="Times New Roman"/>
                            <w:color w:val="FFFFFF" w:themeColor="background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FFFFFF"/>
                            <w:sz w:val="41"/>
                            <w:szCs w:val="41"/>
                          </w:rPr>
                          <w:t>23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FFFFFF"/>
                            <w:sz w:val="35"/>
                            <w:szCs w:val="35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FFFFFF"/>
                            <w:sz w:val="41"/>
                            <w:szCs w:val="41"/>
                          </w:rPr>
                          <w:t>March 2015, 29, 30 April, 6 May 2015</w:t>
                        </w:r>
                      </w:p>
                    </w:tc>
                  </w:tr>
                  <w:tr w:rsidR="00B16477" w:rsidTr="00C72C4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B16477" w:rsidRDefault="00B16477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lastRenderedPageBreak/>
                          <w:drawing>
                            <wp:inline distT="0" distB="0" distL="0" distR="0">
                              <wp:extent cx="5715000" cy="3752850"/>
                              <wp:effectExtent l="19050" t="0" r="0" b="0"/>
                              <wp:docPr id="33" name="Picture 33" descr="cid:image004.jpg@01D03BA1.D0CCCAC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cid:image004.jpg@01D03BA1.D0CCCAC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752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16477" w:rsidTr="00C72C4B">
                    <w:tblPrEx>
                      <w:shd w:val="clear" w:color="auto" w:fill="FFFFFF"/>
                    </w:tblPrEx>
                    <w:trPr>
                      <w:trHeight w:val="3263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B16477" w:rsidRPr="00C72C4B" w:rsidRDefault="00B16477" w:rsidP="00C72C4B">
                        <w:pPr>
                          <w:pStyle w:val="Heading2"/>
                          <w:spacing w:before="0" w:beforeAutospacing="0" w:line="581" w:lineRule="atLeas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lastRenderedPageBreak/>
                          <w:t> </w:t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</w:rPr>
                          <w:t>Dear Colleague</w:t>
                        </w:r>
                      </w:p>
                      <w:p w:rsidR="00B16477" w:rsidRDefault="00B16477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We would like to invi</w:t>
                        </w:r>
                        <w:r w:rsidR="00425D4A">
                          <w:rPr>
                            <w:rFonts w:ascii="Arial" w:hAnsi="Arial" w:cs="Arial"/>
                          </w:rPr>
                          <w:t xml:space="preserve">te you to attend a briefing about </w:t>
                        </w:r>
                        <w:r w:rsidR="00AA2359">
                          <w:rPr>
                            <w:rFonts w:ascii="Arial" w:hAnsi="Arial" w:cs="Arial"/>
                          </w:rPr>
                          <w:t>a leading research</w:t>
                        </w:r>
                        <w:r w:rsidR="00425D4A">
                          <w:rPr>
                            <w:rFonts w:ascii="Arial" w:hAnsi="Arial" w:cs="Arial"/>
                          </w:rPr>
                          <w:t xml:space="preserve"> project run by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AA2359">
                          <w:rPr>
                            <w:rFonts w:ascii="Arial" w:hAnsi="Arial" w:cs="Arial"/>
                          </w:rPr>
                          <w:t xml:space="preserve">Mentor UK and </w:t>
                        </w:r>
                        <w:r>
                          <w:rPr>
                            <w:rFonts w:ascii="Arial" w:hAnsi="Arial" w:cs="Arial"/>
                          </w:rPr>
                          <w:t>The University</w:t>
                        </w:r>
                        <w:r w:rsidR="00425D4A">
                          <w:rPr>
                            <w:rFonts w:ascii="Arial" w:hAnsi="Arial" w:cs="Arial"/>
                          </w:rPr>
                          <w:t xml:space="preserve"> of </w:t>
                        </w:r>
                        <w:r w:rsidR="00AA2359">
                          <w:rPr>
                            <w:rFonts w:ascii="Arial" w:hAnsi="Arial" w:cs="Arial"/>
                          </w:rPr>
                          <w:t>Manchester</w:t>
                        </w:r>
                        <w:r w:rsidR="00425D4A">
                          <w:rPr>
                            <w:rFonts w:ascii="Arial" w:hAnsi="Arial" w:cs="Arial"/>
                          </w:rPr>
                          <w:t>.  This</w:t>
                        </w:r>
                        <w:r>
                          <w:rPr>
                            <w:rFonts w:ascii="Arial" w:hAnsi="Arial" w:cs="Arial"/>
                          </w:rPr>
                          <w:t xml:space="preserve"> will share information relating to a unique approach to improving behaviour in schools and how you can get involved.</w:t>
                        </w:r>
                      </w:p>
                      <w:p w:rsidR="00BA38CB" w:rsidRDefault="00B16477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 “Good Behaviour Game” (GBG) is an approach to classroom management designed to improve children’s behaviour</w:t>
                        </w:r>
                        <w:r w:rsidR="00425D4A">
                          <w:rPr>
                            <w:rFonts w:ascii="Arial" w:hAnsi="Arial" w:cs="Arial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</w:rPr>
                          <w:t xml:space="preserve"> and concentration, while </w:t>
                        </w:r>
                        <w:r w:rsidR="00425D4A">
                          <w:rPr>
                            <w:rFonts w:ascii="Arial" w:hAnsi="Arial" w:cs="Arial"/>
                          </w:rPr>
                          <w:t xml:space="preserve">also </w:t>
                        </w:r>
                        <w:r>
                          <w:rPr>
                            <w:rFonts w:ascii="Arial" w:hAnsi="Arial" w:cs="Arial"/>
                          </w:rPr>
                          <w:t>reducing disruptive behaviour. The GBG has an extensive evidence base internationally so don’t miss your opportunity to get involved in the UK primary trials. </w:t>
                        </w:r>
                      </w:p>
                      <w:p w:rsidR="00C72C4B" w:rsidRDefault="00C72C4B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</w:rPr>
                        </w:pPr>
                      </w:p>
                      <w:p w:rsidR="00184D3C" w:rsidRDefault="00184D3C" w:rsidP="00BA38CB">
                        <w:pPr>
                          <w:spacing w:before="100" w:beforeAutospacing="1" w:after="100" w:afterAutospacing="1"/>
                          <w:ind w:hanging="300"/>
                          <w:rPr>
                            <w:rFonts w:ascii="Arial" w:hAnsi="Arial" w:cs="Arial"/>
                          </w:rPr>
                        </w:pPr>
                      </w:p>
                      <w:p w:rsidR="00B16477" w:rsidRPr="00B16477" w:rsidRDefault="00B16477" w:rsidP="00BA38CB">
                        <w:pPr>
                          <w:spacing w:before="100" w:beforeAutospacing="1" w:after="100" w:afterAutospacing="1"/>
                          <w:ind w:hanging="30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If you are passionate about:</w:t>
                        </w:r>
                      </w:p>
                      <w:p w:rsidR="00B16477" w:rsidRDefault="00B16477">
                        <w:pPr>
                          <w:ind w:hanging="36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Style w:val="apple-converted-space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Improving</w:t>
                        </w:r>
                        <w:r w:rsidR="00425D4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pupil’s’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behaviou</w:t>
                        </w:r>
                        <w:r w:rsidR="00425D4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and attainment</w:t>
                        </w:r>
                      </w:p>
                      <w:p w:rsidR="00B16477" w:rsidRDefault="00B16477">
                        <w:pPr>
                          <w:ind w:hanging="36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Style w:val="apple-converted-space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Saving money on SEN support</w:t>
                        </w:r>
                      </w:p>
                      <w:p w:rsidR="00B16477" w:rsidRDefault="00B16477">
                        <w:pPr>
                          <w:ind w:hanging="36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Style w:val="apple-converted-space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Being part of cut</w:t>
                        </w:r>
                        <w:r w:rsidR="00425D4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ting edge research to find out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what works best</w:t>
                        </w:r>
                      </w:p>
                      <w:p w:rsidR="001B7B1F" w:rsidRDefault="00B16477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...</w:t>
                        </w:r>
                        <w:r w:rsidRPr="00BA38CB">
                          <w:rPr>
                            <w:rFonts w:ascii="Arial" w:hAnsi="Arial" w:cs="Arial"/>
                          </w:rPr>
                          <w:t>then please don’t miss out securing your place at one of these free events to find out more. </w:t>
                        </w:r>
                      </w:p>
                      <w:p w:rsidR="00B16477" w:rsidRDefault="00B16477" w:rsidP="001B7B1F">
                        <w:r w:rsidRPr="00BA38CB"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</w:rPr>
                          <w:t>We look forward to seeing you there.</w:t>
                        </w:r>
                      </w:p>
                    </w:tc>
                  </w:tr>
                  <w:tr w:rsidR="00B16477" w:rsidTr="00C72C4B">
                    <w:tblPrEx>
                      <w:shd w:val="clear" w:color="auto" w:fill="FFFFFF"/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950A1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dashed" w:sz="8" w:space="0" w:color="B8B8B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76"/>
                        </w:tblGrid>
                        <w:tr w:rsidR="00B1647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16477" w:rsidRDefault="00B16477">
                              <w:pPr>
                                <w:spacing w:line="15" w:lineRule="atLeas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16477" w:rsidRDefault="00B1647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16477" w:rsidRDefault="00B1647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shd w:val="clear" w:color="auto" w:fill="E5DFEC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89"/>
                    <w:gridCol w:w="4737"/>
                  </w:tblGrid>
                  <w:tr w:rsidR="0074303C" w:rsidTr="0074303C">
                    <w:trPr>
                      <w:tblCellSpacing w:w="0" w:type="dxa"/>
                    </w:trPr>
                    <w:tc>
                      <w:tcPr>
                        <w:tcW w:w="2500" w:type="pct"/>
                        <w:shd w:val="clear" w:color="auto" w:fill="E5DFEC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</w:tcPr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333333"/>
                          </w:rPr>
                          <w:t>DETAILS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F497D"/>
                          </w:rPr>
                          <w:t>ROTHERHAM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Monday 23 March  2015: 9.00 – 10.30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(Breakfast from 8.30 am)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 w:val="0"/>
                            <w:bCs w:val="0"/>
                            <w:color w:val="1F497D"/>
                          </w:rPr>
                          <w:t> 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1F497D"/>
                          </w:rPr>
                          <w:t> 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1F497D"/>
                          </w:rPr>
                          <w:t>DONCASTER 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b w:val="0"/>
                            <w:bCs w:val="0"/>
                            <w:color w:val="333333"/>
                            <w:sz w:val="22"/>
                            <w:szCs w:val="22"/>
                          </w:rPr>
                          <w:t>Wednesday 29 April  2015: 2.00 - 3.30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2"/>
                            <w:szCs w:val="22"/>
                          </w:rPr>
                          <w:br/>
                        </w:r>
                      </w:p>
                      <w:p w:rsidR="0074303C" w:rsidRPr="0074303C" w:rsidRDefault="0074303C">
                        <w:pPr>
                          <w:spacing w:line="276" w:lineRule="atLeast"/>
                          <w:rPr>
                            <w:rFonts w:eastAsia="Times New Roman"/>
                            <w:color w:val="1F497D" w:themeColor="dark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F497D"/>
                          </w:rPr>
                          <w:t> 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  <w:color w:val="1F497D" w:themeColor="dark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 w:themeColor="dark2"/>
                          </w:rPr>
                          <w:t>KIRKLEES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 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Thursday 30 April 2015  8.30 - 10.00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(Breakfast from 8.00)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F497D"/>
                          </w:rPr>
                          <w:t> 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F497D"/>
                          </w:rPr>
                          <w:t>MANCHESTER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Thursday 30 April 2015  2.00 - 3.30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F497D"/>
                          </w:rPr>
                          <w:t>LEEDS (South)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Wednesday 6 May 2015  9.30  - 11.00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F497D"/>
                          </w:rPr>
                          <w:t>LEEDS (North)</w:t>
                        </w:r>
                      </w:p>
                      <w:p w:rsidR="0074303C" w:rsidRDefault="0074303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Wednesday 6 May 2015  2.00  - 3.30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 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These events are free</w:t>
                        </w:r>
                      </w:p>
                    </w:tc>
                    <w:tc>
                      <w:tcPr>
                        <w:tcW w:w="2500" w:type="pct"/>
                        <w:shd w:val="clear" w:color="auto" w:fill="E5DFEC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</w:tcPr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</w:p>
                      <w:p w:rsidR="0074303C" w:rsidRDefault="0074303C">
                        <w:pPr>
                          <w:spacing w:after="120" w:line="276" w:lineRule="atLeast"/>
                        </w:pPr>
                      </w:p>
                      <w:p w:rsidR="0074303C" w:rsidRDefault="0074303C">
                        <w:pPr>
                          <w:spacing w:after="120" w:line="276" w:lineRule="atLeast"/>
                          <w:rPr>
                            <w:color w:val="1F497D" w:themeColor="dark2"/>
                          </w:rPr>
                        </w:pPr>
                        <w:r>
                          <w:rPr>
                            <w:rStyle w:val="fn"/>
                            <w:rFonts w:ascii="Arial" w:hAnsi="Arial" w:cs="Arial"/>
                            <w:sz w:val="22"/>
                            <w:szCs w:val="22"/>
                          </w:rPr>
                          <w:t>Rockingham Professional Development Centre, Roughwood Road, Rotherham </w:t>
                        </w:r>
                        <w:r>
                          <w:rPr>
                            <w:rStyle w:val="street-address"/>
                            <w:rFonts w:ascii="Arial" w:hAnsi="Arial" w:cs="Arial"/>
                            <w:sz w:val="22"/>
                            <w:szCs w:val="22"/>
                          </w:rPr>
                          <w:t> S61 4HY </w:t>
                        </w:r>
                      </w:p>
                      <w:p w:rsidR="0074303C" w:rsidRDefault="0074303C">
                        <w:pPr>
                          <w:spacing w:after="120" w:line="276" w:lineRule="atLeast"/>
                          <w:rPr>
                            <w:rFonts w:asciiTheme="minorHAnsi" w:hAnsiTheme="minorHAnsi" w:cstheme="minorBidi"/>
                            <w:color w:val="1F497D" w:themeColor="dark2"/>
                          </w:rPr>
                        </w:pPr>
                      </w:p>
                      <w:p w:rsidR="0074303C" w:rsidRDefault="0074303C">
                        <w:pPr>
                          <w:spacing w:before="120" w:line="276" w:lineRule="atLeast"/>
                        </w:pP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Mary Woollett Centre, Danum Road, Doncaster, DN4 5HF</w:t>
                        </w:r>
                      </w:p>
                      <w:p w:rsidR="0074303C" w:rsidRDefault="0074303C">
                        <w:pPr>
                          <w:spacing w:line="253" w:lineRule="atLeast"/>
                          <w:rPr>
                            <w:rFonts w:ascii="Calibri" w:eastAsia="Times New Roman" w:hAnsi="Calibri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3"/>
                            <w:szCs w:val="23"/>
                          </w:rPr>
                          <w:t>Contact </w:t>
                        </w:r>
                        <w:hyperlink r:id="rId6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i/>
                              <w:iCs/>
                              <w:color w:val="800080"/>
                              <w:sz w:val="23"/>
                              <w:szCs w:val="23"/>
                            </w:rPr>
                            <w:t>steve.presley@doncaster.gov.uk</w:t>
                          </w:r>
                        </w:hyperlink>
                      </w:p>
                      <w:p w:rsidR="0074303C" w:rsidRDefault="0074303C">
                        <w:pPr>
                          <w:spacing w:line="253" w:lineRule="atLeast"/>
                          <w:rPr>
                            <w:rFonts w:ascii="Calibri" w:eastAsia="Times New Roman" w:hAnsi="Calibri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To book your place on the Doncaster even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3"/>
                            <w:szCs w:val="23"/>
                          </w:rPr>
                          <w:t>t</w:t>
                        </w:r>
                      </w:p>
                      <w:p w:rsidR="0074303C" w:rsidRDefault="0074303C">
                        <w:pPr>
                          <w:spacing w:after="120" w:line="276" w:lineRule="atLeast"/>
                          <w:rPr>
                            <w:rFonts w:asciiTheme="minorHAnsi" w:hAnsiTheme="minorHAnsi" w:cstheme="minorBidi"/>
                            <w:color w:val="1F497D" w:themeColor="dark2"/>
                          </w:rPr>
                        </w:pPr>
                      </w:p>
                      <w:p w:rsidR="0074303C" w:rsidRDefault="0074303C">
                        <w:pPr>
                          <w:spacing w:after="120" w:line="276" w:lineRule="atLeast"/>
                          <w:rPr>
                            <w:color w:val="1F497D" w:themeColor="dark2"/>
                          </w:rPr>
                        </w:pPr>
                        <w:r>
                          <w:rPr>
                            <w:rStyle w:val="fn"/>
                            <w:rFonts w:ascii="Arial" w:hAnsi="Arial" w:cs="Arial"/>
                            <w:sz w:val="22"/>
                            <w:szCs w:val="22"/>
                          </w:rPr>
                          <w:t xml:space="preserve">Tolson Museum, Ravensknowle Park, Wakefield Road, Moldgreen, Huddersfield, HD5 8DJ  </w:t>
                        </w:r>
                      </w:p>
                      <w:p w:rsidR="0074303C" w:rsidRDefault="0074303C">
                        <w:pPr>
                          <w:spacing w:after="120" w:line="276" w:lineRule="atLeast"/>
                          <w:rPr>
                            <w:rFonts w:asciiTheme="minorHAnsi" w:hAnsiTheme="minorHAnsi" w:cstheme="minorBidi"/>
                            <w:color w:val="1F497D" w:themeColor="dark2"/>
                          </w:rPr>
                        </w:pPr>
                      </w:p>
                      <w:p w:rsidR="0074303C" w:rsidRDefault="0074303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 xml:space="preserve">TBC - see </w:t>
                        </w:r>
                        <w:hyperlink r:id="rId7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23"/>
                              <w:szCs w:val="23"/>
                            </w:rPr>
                            <w:t>www.gbguk.org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for details</w:t>
                        </w:r>
                      </w:p>
                      <w:p w:rsidR="0074303C" w:rsidRDefault="0074303C">
                        <w:pPr>
                          <w:spacing w:after="120" w:line="276" w:lineRule="atLeast"/>
                          <w:rPr>
                            <w:rStyle w:val="Strong"/>
                            <w:rFonts w:ascii="Arial" w:hAnsi="Arial" w:cs="Arial"/>
                          </w:rPr>
                        </w:pPr>
                      </w:p>
                      <w:p w:rsidR="0074303C" w:rsidRDefault="0074303C">
                        <w:pPr>
                          <w:spacing w:after="120" w:line="276" w:lineRule="atLeast"/>
                          <w:rPr>
                            <w:rFonts w:asciiTheme="minorHAnsi" w:hAnsiTheme="minorHAnsi" w:cstheme="minorBidi"/>
                            <w:color w:val="1F497D" w:themeColor="dark2"/>
                          </w:rPr>
                        </w:pPr>
                      </w:p>
                      <w:p w:rsidR="0074303C" w:rsidRDefault="0074303C">
                        <w:pPr>
                          <w:spacing w:after="120" w:line="276" w:lineRule="atLeast"/>
                        </w:pPr>
                        <w:r>
                          <w:rPr>
                            <w:rStyle w:val="Emphasis"/>
                            <w:rFonts w:ascii="Arial" w:hAnsi="Arial" w:cs="Arial"/>
                            <w:i w:val="0"/>
                            <w:iCs w:val="0"/>
                            <w:sz w:val="22"/>
                            <w:szCs w:val="22"/>
                          </w:rPr>
                          <w:t>LUFC, Elland Road, Leeds, LS11 0ES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asciiTheme="minorHAnsi" w:hAnsiTheme="minorHAnsi" w:cstheme="minorBidi"/>
                            <w:color w:val="1F497D" w:themeColor="dark2"/>
                          </w:rPr>
                        </w:pP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</w:p>
                      <w:p w:rsidR="0074303C" w:rsidRDefault="0074303C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Yorkshire County Cricket Club Headingley Carnegie Stadium</w:t>
                        </w:r>
                      </w:p>
                      <w:p w:rsidR="0074303C" w:rsidRDefault="0074303C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St Michael's Lane</w:t>
                        </w:r>
                      </w:p>
                      <w:p w:rsidR="0074303C" w:rsidRDefault="0074303C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Leeds</w:t>
                        </w:r>
                      </w:p>
                      <w:p w:rsidR="0074303C" w:rsidRDefault="0074303C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LS6 3BR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> 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74303C" w:rsidTr="0074303C">
                    <w:trPr>
                      <w:trHeight w:val="9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5DFEC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</w:tcPr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b w:val="0"/>
                            <w:bCs w:val="0"/>
                          </w:rPr>
                          <w:t>For more information see</w:t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b w:val="0"/>
                            <w:bCs w:val="0"/>
                            <w:color w:val="5F497A"/>
                          </w:rPr>
                          <w:t> </w:t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b w:val="0"/>
                            <w:bCs w:val="0"/>
                            <w:color w:val="1F497D" w:themeColor="dark2"/>
                          </w:rPr>
                          <w:t>http://gbguk.org/events-primary-headteachers/</w:t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b w:val="0"/>
                            <w:bCs w:val="0"/>
                            <w:color w:val="5F497A"/>
                          </w:rPr>
                          <w:t>   </w:t>
                        </w:r>
                      </w:p>
                      <w:p w:rsidR="0074303C" w:rsidRDefault="0074303C">
                        <w:pPr>
                          <w:spacing w:line="276" w:lineRule="atLeast"/>
                          <w:rPr>
                            <w:rStyle w:val="Strong"/>
                            <w:rFonts w:asciiTheme="minorHAnsi" w:hAnsiTheme="minorHAnsi" w:cstheme="minorBidi"/>
                            <w:b w:val="0"/>
                            <w:bCs w:val="0"/>
                            <w:color w:val="1F497D" w:themeColor="dark2"/>
                          </w:rPr>
                        </w:pPr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b w:val="0"/>
                            <w:bCs w:val="0"/>
                            <w:color w:val="FF0000"/>
                          </w:rPr>
                          <w:t>Booking:</w:t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b w:val="0"/>
                            <w:bCs w:val="0"/>
                            <w:color w:val="1F497D" w:themeColor="dark2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b w:val="0"/>
                            <w:bCs w:val="0"/>
                            <w:color w:val="FF0000"/>
                          </w:rPr>
                          <w:t>please use links against individual events where provided.  If there is no link or you cannot access it please email  </w:t>
                        </w:r>
                        <w:hyperlink r:id="rId8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</w:rPr>
                            <w:t>admin@mentoruk.org</w:t>
                          </w:r>
                        </w:hyperlink>
                      </w:p>
                      <w:p w:rsidR="0074303C" w:rsidRDefault="0074303C">
                        <w:pPr>
                          <w:spacing w:line="276" w:lineRule="atLeast"/>
                          <w:rPr>
                            <w:rFonts w:eastAsia="Times New Roman"/>
                          </w:rPr>
                        </w:pPr>
                      </w:p>
                      <w:p w:rsidR="0074303C" w:rsidRDefault="0074303C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7030A0"/>
                          </w:rPr>
                        </w:pPr>
                        <w:r>
                          <w:rPr>
                            <w:rFonts w:ascii="Arial" w:hAnsi="Arial" w:cs="Arial"/>
                            <w:color w:val="7030A0"/>
                          </w:rPr>
                          <w:t>Adapted from design by One Education: Universal Square, Devonshire Street North, Manchester M12 6JH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7030A0"/>
                          </w:rPr>
                          <w:br/>
                        </w:r>
                        <w:r>
                          <w:rPr>
                            <w:rStyle w:val="Emphasis"/>
                            <w:rFonts w:ascii="Arial" w:hAnsi="Arial" w:cs="Arial"/>
                            <w:color w:val="7030A0"/>
                          </w:rPr>
                          <w:t>Copyright © 2014 One Education Ltd. All rights reserved.</w:t>
                        </w:r>
                      </w:p>
                    </w:tc>
                  </w:tr>
                </w:tbl>
                <w:p w:rsidR="0074303C" w:rsidRDefault="0074303C">
                  <w:pPr>
                    <w:rPr>
                      <w:rFonts w:ascii="Arial" w:hAnsi="Arial" w:cs="Arial"/>
                    </w:rPr>
                  </w:pPr>
                </w:p>
                <w:p w:rsidR="0074303C" w:rsidRDefault="0074303C">
                  <w:pPr>
                    <w:rPr>
                      <w:rFonts w:ascii="Arial" w:hAnsi="Arial" w:cs="Arial"/>
                    </w:rPr>
                  </w:pPr>
                </w:p>
                <w:p w:rsidR="0074303C" w:rsidRDefault="0074303C">
                  <w:pPr>
                    <w:rPr>
                      <w:rFonts w:ascii="Arial" w:hAnsi="Arial" w:cs="Arial"/>
                    </w:rPr>
                  </w:pPr>
                </w:p>
                <w:p w:rsidR="0074303C" w:rsidRDefault="0074303C">
                  <w:pPr>
                    <w:rPr>
                      <w:rFonts w:ascii="Calibri" w:hAnsi="Calibri"/>
                    </w:rPr>
                  </w:pPr>
                </w:p>
                <w:p w:rsidR="00B16477" w:rsidRDefault="00B164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16477" w:rsidRDefault="00B164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4463C" w:rsidRDefault="00F4463C"/>
    <w:sectPr w:rsidR="00F4463C" w:rsidSect="00BA38C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6477"/>
    <w:rsid w:val="000178E9"/>
    <w:rsid w:val="00184D3C"/>
    <w:rsid w:val="001B7B1F"/>
    <w:rsid w:val="002A069E"/>
    <w:rsid w:val="00334ADD"/>
    <w:rsid w:val="00407DFB"/>
    <w:rsid w:val="00425D4A"/>
    <w:rsid w:val="004D0D6B"/>
    <w:rsid w:val="005961D5"/>
    <w:rsid w:val="006A5F55"/>
    <w:rsid w:val="0074303C"/>
    <w:rsid w:val="007D45E2"/>
    <w:rsid w:val="008F6EA3"/>
    <w:rsid w:val="009A68C7"/>
    <w:rsid w:val="00A56D8C"/>
    <w:rsid w:val="00AA2359"/>
    <w:rsid w:val="00AA7B24"/>
    <w:rsid w:val="00B16477"/>
    <w:rsid w:val="00B96956"/>
    <w:rsid w:val="00BA38CB"/>
    <w:rsid w:val="00C72C4B"/>
    <w:rsid w:val="00DD09B8"/>
    <w:rsid w:val="00DF0BC0"/>
    <w:rsid w:val="00F179C2"/>
    <w:rsid w:val="00F4463C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7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164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164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477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477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B164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6477"/>
  </w:style>
  <w:style w:type="character" w:customStyle="1" w:styleId="fn">
    <w:name w:val="fn"/>
    <w:basedOn w:val="DefaultParagraphFont"/>
    <w:rsid w:val="00B16477"/>
  </w:style>
  <w:style w:type="character" w:customStyle="1" w:styleId="street-address">
    <w:name w:val="street-address"/>
    <w:basedOn w:val="DefaultParagraphFont"/>
    <w:rsid w:val="00B16477"/>
  </w:style>
  <w:style w:type="character" w:customStyle="1" w:styleId="locality">
    <w:name w:val="locality"/>
    <w:basedOn w:val="DefaultParagraphFont"/>
    <w:rsid w:val="00B16477"/>
  </w:style>
  <w:style w:type="character" w:styleId="Strong">
    <w:name w:val="Strong"/>
    <w:basedOn w:val="DefaultParagraphFont"/>
    <w:uiPriority w:val="22"/>
    <w:qFormat/>
    <w:rsid w:val="00B16477"/>
    <w:rPr>
      <w:b/>
      <w:bCs/>
    </w:rPr>
  </w:style>
  <w:style w:type="character" w:styleId="Emphasis">
    <w:name w:val="Emphasis"/>
    <w:basedOn w:val="DefaultParagraphFont"/>
    <w:uiPriority w:val="20"/>
    <w:qFormat/>
    <w:rsid w:val="00B164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77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7B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entoru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bgu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.presley@doncaster.gov.uk" TargetMode="External"/><Relationship Id="rId5" Type="http://schemas.openxmlformats.org/officeDocument/2006/relationships/image" Target="cid:image004.jpg@01D03BA1.D0CCCAC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cp:lastPrinted>2015-03-04T16:08:00Z</cp:lastPrinted>
  <dcterms:created xsi:type="dcterms:W3CDTF">2015-03-15T12:31:00Z</dcterms:created>
  <dcterms:modified xsi:type="dcterms:W3CDTF">2015-03-15T12:31:00Z</dcterms:modified>
</cp:coreProperties>
</file>