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47" w:rsidRPr="00C87E27" w:rsidRDefault="00C87E27" w:rsidP="00AF1C07">
      <w:pPr>
        <w:pStyle w:val="DeptBullets"/>
        <w:numPr>
          <w:ilvl w:val="0"/>
          <w:numId w:val="0"/>
        </w:numPr>
        <w:rPr>
          <w:b/>
        </w:rPr>
      </w:pPr>
      <w:r w:rsidRPr="00C87E27">
        <w:rPr>
          <w:b/>
        </w:rPr>
        <w:t xml:space="preserve">Information Sharing </w:t>
      </w:r>
    </w:p>
    <w:p w:rsidR="00C15E47" w:rsidRPr="00C15E47" w:rsidRDefault="00C15E47" w:rsidP="00C15E47">
      <w:pPr>
        <w:widowControl/>
        <w:overflowPunct/>
        <w:autoSpaceDE/>
        <w:autoSpaceDN/>
        <w:adjustRightInd/>
        <w:spacing w:before="100" w:beforeAutospacing="1" w:after="100" w:afterAutospacing="1"/>
        <w:textAlignment w:val="auto"/>
        <w:outlineLvl w:val="0"/>
        <w:rPr>
          <w:rFonts w:asciiTheme="minorHAnsi" w:hAnsiTheme="minorHAnsi"/>
          <w:b/>
          <w:bCs/>
          <w:color w:val="1F497D" w:themeColor="text2"/>
          <w:kern w:val="36"/>
          <w:sz w:val="28"/>
          <w:szCs w:val="28"/>
          <w:lang w:val="en" w:eastAsia="en-GB"/>
        </w:rPr>
      </w:pPr>
      <w:r w:rsidRPr="00C15E47">
        <w:rPr>
          <w:rFonts w:asciiTheme="minorHAnsi" w:hAnsiTheme="minorHAnsi"/>
          <w:b/>
          <w:bCs/>
          <w:color w:val="1F497D" w:themeColor="text2"/>
          <w:kern w:val="36"/>
          <w:sz w:val="28"/>
          <w:szCs w:val="28"/>
          <w:lang w:val="en" w:eastAsia="en-GB"/>
        </w:rPr>
        <w:t xml:space="preserve">Teaching and Leadership Innovation Fund: programmes for teachers and school leaders </w:t>
      </w:r>
      <w:r>
        <w:rPr>
          <w:rFonts w:asciiTheme="minorHAnsi" w:hAnsiTheme="minorHAnsi"/>
          <w:b/>
          <w:bCs/>
          <w:color w:val="1F497D" w:themeColor="text2"/>
          <w:kern w:val="36"/>
          <w:sz w:val="28"/>
          <w:szCs w:val="28"/>
          <w:lang w:val="en" w:eastAsia="en-GB"/>
        </w:rPr>
        <w:t xml:space="preserve"> -  September 2017</w:t>
      </w:r>
    </w:p>
    <w:p w:rsidR="00C15E47" w:rsidRPr="00C15E47" w:rsidRDefault="00C15E47" w:rsidP="00C15E47">
      <w:pPr>
        <w:widowControl/>
        <w:overflowPunct/>
        <w:autoSpaceDE/>
        <w:autoSpaceDN/>
        <w:adjustRightInd/>
        <w:spacing w:before="100" w:beforeAutospacing="1" w:after="100" w:afterAutospacing="1"/>
        <w:textAlignment w:val="auto"/>
        <w:outlineLvl w:val="1"/>
        <w:rPr>
          <w:rFonts w:asciiTheme="minorHAnsi" w:hAnsiTheme="minorHAnsi"/>
          <w:b/>
          <w:bCs/>
          <w:sz w:val="22"/>
          <w:szCs w:val="22"/>
          <w:lang w:val="en" w:eastAsia="en-GB"/>
        </w:rPr>
      </w:pPr>
      <w:r w:rsidRPr="00C15E47">
        <w:rPr>
          <w:rFonts w:asciiTheme="minorHAnsi" w:hAnsiTheme="minorHAnsi"/>
          <w:b/>
          <w:bCs/>
          <w:sz w:val="22"/>
          <w:szCs w:val="22"/>
          <w:lang w:val="en" w:eastAsia="en-GB"/>
        </w:rPr>
        <w:t>Enrol</w:t>
      </w:r>
    </w:p>
    <w:p w:rsidR="00C15E47" w:rsidRPr="00C15E47" w:rsidRDefault="00C15E47" w:rsidP="00C15E47">
      <w:pPr>
        <w:widowControl/>
        <w:overflowPunct/>
        <w:autoSpaceDE/>
        <w:autoSpaceDN/>
        <w:adjustRightInd/>
        <w:spacing w:before="100" w:beforeAutospacing="1" w:after="100" w:afterAutospacing="1"/>
        <w:textAlignment w:val="auto"/>
        <w:rPr>
          <w:rFonts w:asciiTheme="minorHAnsi" w:hAnsiTheme="minorHAnsi"/>
          <w:sz w:val="22"/>
          <w:szCs w:val="22"/>
          <w:lang w:val="en" w:eastAsia="en-GB"/>
        </w:rPr>
      </w:pPr>
      <w:bookmarkStart w:id="0" w:name="_GoBack"/>
      <w:r w:rsidRPr="00C15E47">
        <w:rPr>
          <w:rFonts w:asciiTheme="minorHAnsi" w:hAnsiTheme="minorHAnsi"/>
          <w:sz w:val="22"/>
          <w:szCs w:val="22"/>
          <w:lang w:val="en" w:eastAsia="en-GB"/>
        </w:rPr>
        <w:t xml:space="preserve">Recruitment to the first of the Teaching and Leadership Innovation Fund professional development programmes starts in September 2017. </w:t>
      </w:r>
      <w:bookmarkEnd w:id="0"/>
      <w:r w:rsidRPr="00C15E47">
        <w:rPr>
          <w:rFonts w:asciiTheme="minorHAnsi" w:hAnsiTheme="minorHAnsi"/>
          <w:sz w:val="22"/>
          <w:szCs w:val="22"/>
          <w:lang w:val="en" w:eastAsia="en-GB"/>
        </w:rPr>
        <w:t>The programmes aim to increase existing teachers’ skills, confidence and knowledge in a range of areas including leadership, STEM subjects and phonics.</w:t>
      </w:r>
    </w:p>
    <w:p w:rsidR="00C15E47" w:rsidRPr="00C15E47" w:rsidRDefault="00C15E47" w:rsidP="00C15E47">
      <w:pPr>
        <w:widowControl/>
        <w:overflowPunct/>
        <w:autoSpaceDE/>
        <w:autoSpaceDN/>
        <w:adjustRightInd/>
        <w:spacing w:before="100" w:beforeAutospacing="1" w:after="100" w:afterAutospacing="1"/>
        <w:textAlignment w:val="auto"/>
        <w:outlineLvl w:val="2"/>
        <w:rPr>
          <w:rFonts w:asciiTheme="minorHAnsi" w:hAnsiTheme="minorHAnsi"/>
          <w:b/>
          <w:bCs/>
          <w:sz w:val="22"/>
          <w:szCs w:val="22"/>
          <w:lang w:val="en" w:eastAsia="en-GB"/>
        </w:rPr>
      </w:pPr>
      <w:r w:rsidRPr="00C15E47">
        <w:rPr>
          <w:rFonts w:asciiTheme="minorHAnsi" w:hAnsiTheme="minorHAnsi"/>
          <w:b/>
          <w:bCs/>
          <w:sz w:val="22"/>
          <w:szCs w:val="22"/>
          <w:lang w:val="en" w:eastAsia="en-GB"/>
        </w:rPr>
        <w:t>Check the providers’ websites below for more information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0"/>
        <w:gridCol w:w="6876"/>
      </w:tblGrid>
      <w:tr w:rsidR="00C15E47" w:rsidRPr="00C15E47" w:rsidTr="00C15E47">
        <w:trPr>
          <w:tblHeader/>
          <w:tblCellSpacing w:w="15" w:type="dxa"/>
        </w:trPr>
        <w:tc>
          <w:tcPr>
            <w:tcW w:w="0" w:type="auto"/>
            <w:vAlign w:val="center"/>
            <w:hideMark/>
          </w:tcPr>
          <w:p w:rsidR="00C15E47" w:rsidRPr="00C15E47" w:rsidRDefault="00C15E47" w:rsidP="00C15E47">
            <w:pPr>
              <w:widowControl/>
              <w:overflowPunct/>
              <w:autoSpaceDE/>
              <w:autoSpaceDN/>
              <w:adjustRightInd/>
              <w:jc w:val="center"/>
              <w:textAlignment w:val="auto"/>
              <w:rPr>
                <w:rFonts w:asciiTheme="minorHAnsi" w:hAnsiTheme="minorHAnsi"/>
                <w:b/>
                <w:bCs/>
                <w:sz w:val="22"/>
                <w:szCs w:val="22"/>
                <w:lang w:eastAsia="en-GB"/>
              </w:rPr>
            </w:pPr>
            <w:r w:rsidRPr="00C15E47">
              <w:rPr>
                <w:rFonts w:asciiTheme="minorHAnsi" w:hAnsiTheme="minorHAnsi"/>
                <w:b/>
                <w:bCs/>
                <w:sz w:val="22"/>
                <w:szCs w:val="22"/>
                <w:lang w:eastAsia="en-GB"/>
              </w:rPr>
              <w:t>Provider</w:t>
            </w:r>
          </w:p>
        </w:tc>
        <w:tc>
          <w:tcPr>
            <w:tcW w:w="0" w:type="auto"/>
            <w:vAlign w:val="center"/>
            <w:hideMark/>
          </w:tcPr>
          <w:p w:rsidR="00C15E47" w:rsidRPr="00C15E47" w:rsidRDefault="00C15E47" w:rsidP="00C15E47">
            <w:pPr>
              <w:widowControl/>
              <w:overflowPunct/>
              <w:autoSpaceDE/>
              <w:autoSpaceDN/>
              <w:adjustRightInd/>
              <w:jc w:val="center"/>
              <w:textAlignment w:val="auto"/>
              <w:rPr>
                <w:rFonts w:asciiTheme="minorHAnsi" w:hAnsiTheme="minorHAnsi"/>
                <w:b/>
                <w:bCs/>
                <w:sz w:val="22"/>
                <w:szCs w:val="22"/>
                <w:lang w:eastAsia="en-GB"/>
              </w:rPr>
            </w:pPr>
            <w:r w:rsidRPr="00C15E47">
              <w:rPr>
                <w:rFonts w:asciiTheme="minorHAnsi" w:hAnsiTheme="minorHAnsi"/>
                <w:b/>
                <w:bCs/>
                <w:sz w:val="22"/>
                <w:szCs w:val="22"/>
                <w:lang w:eastAsia="en-GB"/>
              </w:rPr>
              <w:t>Programme description</w:t>
            </w:r>
          </w:p>
        </w:tc>
      </w:tr>
      <w:tr w:rsidR="00C15E47" w:rsidRPr="00C15E47" w:rsidTr="00C15E47">
        <w:trPr>
          <w:tblCellSpacing w:w="15" w:type="dxa"/>
        </w:trPr>
        <w:tc>
          <w:tcPr>
            <w:tcW w:w="0" w:type="auto"/>
            <w:vAlign w:val="center"/>
            <w:hideMark/>
          </w:tcPr>
          <w:p w:rsidR="00C15E47" w:rsidRPr="00C15E47" w:rsidRDefault="00D41838" w:rsidP="00C15E47">
            <w:pPr>
              <w:widowControl/>
              <w:overflowPunct/>
              <w:autoSpaceDE/>
              <w:autoSpaceDN/>
              <w:adjustRightInd/>
              <w:textAlignment w:val="auto"/>
              <w:rPr>
                <w:rFonts w:asciiTheme="minorHAnsi" w:hAnsiTheme="minorHAnsi"/>
                <w:sz w:val="22"/>
                <w:szCs w:val="22"/>
                <w:lang w:eastAsia="en-GB"/>
              </w:rPr>
            </w:pPr>
            <w:hyperlink r:id="rId8" w:history="1">
              <w:r w:rsidR="00C15E47" w:rsidRPr="00C15E47">
                <w:rPr>
                  <w:rFonts w:asciiTheme="minorHAnsi" w:hAnsiTheme="minorHAnsi"/>
                  <w:color w:val="0000FF"/>
                  <w:sz w:val="22"/>
                  <w:szCs w:val="22"/>
                  <w:u w:val="single"/>
                  <w:lang w:eastAsia="en-GB"/>
                </w:rPr>
                <w:t>Institute for Physics</w:t>
              </w:r>
            </w:hyperlink>
          </w:p>
        </w:tc>
        <w:tc>
          <w:tcPr>
            <w:tcW w:w="0" w:type="auto"/>
            <w:vAlign w:val="center"/>
            <w:hideMark/>
          </w:tcPr>
          <w:p w:rsidR="00C15E47" w:rsidRPr="00C15E47" w:rsidRDefault="00C15E47" w:rsidP="00C15E47">
            <w:pPr>
              <w:widowControl/>
              <w:overflowPunct/>
              <w:autoSpaceDE/>
              <w:autoSpaceDN/>
              <w:adjustRightInd/>
              <w:textAlignment w:val="auto"/>
              <w:rPr>
                <w:rFonts w:asciiTheme="minorHAnsi" w:hAnsiTheme="minorHAnsi"/>
                <w:sz w:val="22"/>
                <w:szCs w:val="22"/>
                <w:lang w:eastAsia="en-GB"/>
              </w:rPr>
            </w:pPr>
            <w:r w:rsidRPr="00C15E47">
              <w:rPr>
                <w:rFonts w:asciiTheme="minorHAnsi" w:hAnsiTheme="minorHAnsi"/>
                <w:sz w:val="22"/>
                <w:szCs w:val="22"/>
                <w:lang w:eastAsia="en-GB"/>
              </w:rPr>
              <w:t>The Future Physics Leaders Programme provides professional development and support for specialist physics teachers, newly qualified teachers and non-specialist physics teachers. The programme aims to support deprived schools in England by improving the quality of all teachers of physics, whilst also enhancing teacher progression and retention.</w:t>
            </w:r>
          </w:p>
        </w:tc>
      </w:tr>
      <w:tr w:rsidR="00C15E47" w:rsidRPr="00C15E47" w:rsidTr="00C15E47">
        <w:trPr>
          <w:tblCellSpacing w:w="15" w:type="dxa"/>
        </w:trPr>
        <w:tc>
          <w:tcPr>
            <w:tcW w:w="0" w:type="auto"/>
            <w:vAlign w:val="center"/>
            <w:hideMark/>
          </w:tcPr>
          <w:p w:rsidR="00C15E47" w:rsidRPr="00C15E47" w:rsidRDefault="00D41838" w:rsidP="00C15E47">
            <w:pPr>
              <w:widowControl/>
              <w:overflowPunct/>
              <w:autoSpaceDE/>
              <w:autoSpaceDN/>
              <w:adjustRightInd/>
              <w:textAlignment w:val="auto"/>
              <w:rPr>
                <w:rFonts w:asciiTheme="minorHAnsi" w:hAnsiTheme="minorHAnsi"/>
                <w:sz w:val="22"/>
                <w:szCs w:val="22"/>
                <w:lang w:eastAsia="en-GB"/>
              </w:rPr>
            </w:pPr>
            <w:hyperlink r:id="rId9" w:history="1">
              <w:r w:rsidR="00C15E47" w:rsidRPr="00C15E47">
                <w:rPr>
                  <w:rFonts w:asciiTheme="minorHAnsi" w:hAnsiTheme="minorHAnsi"/>
                  <w:color w:val="0000FF"/>
                  <w:sz w:val="22"/>
                  <w:szCs w:val="22"/>
                  <w:u w:val="single"/>
                  <w:lang w:eastAsia="en-GB"/>
                </w:rPr>
                <w:t>Institute for Teaching</w:t>
              </w:r>
            </w:hyperlink>
          </w:p>
        </w:tc>
        <w:tc>
          <w:tcPr>
            <w:tcW w:w="0" w:type="auto"/>
            <w:vAlign w:val="center"/>
            <w:hideMark/>
          </w:tcPr>
          <w:p w:rsidR="00C15E47" w:rsidRPr="00C15E47" w:rsidRDefault="00C15E47" w:rsidP="00C15E47">
            <w:pPr>
              <w:widowControl/>
              <w:overflowPunct/>
              <w:autoSpaceDE/>
              <w:autoSpaceDN/>
              <w:adjustRightInd/>
              <w:textAlignment w:val="auto"/>
              <w:rPr>
                <w:rFonts w:asciiTheme="minorHAnsi" w:hAnsiTheme="minorHAnsi"/>
                <w:sz w:val="22"/>
                <w:szCs w:val="22"/>
                <w:lang w:eastAsia="en-GB"/>
              </w:rPr>
            </w:pPr>
            <w:r w:rsidRPr="00C15E47">
              <w:rPr>
                <w:rFonts w:asciiTheme="minorHAnsi" w:hAnsiTheme="minorHAnsi"/>
                <w:sz w:val="22"/>
                <w:szCs w:val="22"/>
                <w:lang w:eastAsia="en-GB"/>
              </w:rPr>
              <w:t>Transforming Teaching is a whole school programme for improving teaching, retention and career progression. It is based on robust evidence; is sustained over time; and provided by expert teacher educators in schools where the need is greatest.</w:t>
            </w:r>
          </w:p>
        </w:tc>
      </w:tr>
      <w:tr w:rsidR="00C15E47" w:rsidRPr="00C15E47" w:rsidTr="00C15E47">
        <w:trPr>
          <w:tblCellSpacing w:w="15" w:type="dxa"/>
        </w:trPr>
        <w:tc>
          <w:tcPr>
            <w:tcW w:w="0" w:type="auto"/>
            <w:vAlign w:val="center"/>
            <w:hideMark/>
          </w:tcPr>
          <w:p w:rsidR="00C15E47" w:rsidRPr="00C15E47" w:rsidRDefault="00D41838" w:rsidP="00C15E47">
            <w:pPr>
              <w:widowControl/>
              <w:overflowPunct/>
              <w:autoSpaceDE/>
              <w:autoSpaceDN/>
              <w:adjustRightInd/>
              <w:textAlignment w:val="auto"/>
              <w:rPr>
                <w:rFonts w:asciiTheme="minorHAnsi" w:hAnsiTheme="minorHAnsi"/>
                <w:sz w:val="22"/>
                <w:szCs w:val="22"/>
                <w:lang w:eastAsia="en-GB"/>
              </w:rPr>
            </w:pPr>
            <w:hyperlink r:id="rId10" w:history="1">
              <w:r w:rsidR="00C15E47" w:rsidRPr="00C15E47">
                <w:rPr>
                  <w:rFonts w:asciiTheme="minorHAnsi" w:hAnsiTheme="minorHAnsi"/>
                  <w:color w:val="0000FF"/>
                  <w:sz w:val="22"/>
                  <w:szCs w:val="22"/>
                  <w:u w:val="single"/>
                  <w:lang w:eastAsia="en-GB"/>
                </w:rPr>
                <w:t>Ruth Miskin Training</w:t>
              </w:r>
            </w:hyperlink>
          </w:p>
        </w:tc>
        <w:tc>
          <w:tcPr>
            <w:tcW w:w="0" w:type="auto"/>
            <w:vAlign w:val="center"/>
            <w:hideMark/>
          </w:tcPr>
          <w:p w:rsidR="00C15E47" w:rsidRPr="00C15E47" w:rsidRDefault="00C15E47" w:rsidP="00C15E47">
            <w:pPr>
              <w:widowControl/>
              <w:overflowPunct/>
              <w:autoSpaceDE/>
              <w:autoSpaceDN/>
              <w:adjustRightInd/>
              <w:textAlignment w:val="auto"/>
              <w:rPr>
                <w:rFonts w:asciiTheme="minorHAnsi" w:hAnsiTheme="minorHAnsi"/>
                <w:sz w:val="22"/>
                <w:szCs w:val="22"/>
                <w:lang w:eastAsia="en-GB"/>
              </w:rPr>
            </w:pPr>
            <w:r w:rsidRPr="00C15E47">
              <w:rPr>
                <w:rFonts w:asciiTheme="minorHAnsi" w:hAnsiTheme="minorHAnsi"/>
                <w:sz w:val="22"/>
                <w:szCs w:val="22"/>
                <w:lang w:eastAsia="en-GB"/>
              </w:rPr>
              <w:t>Ruth Miskin Training is offering a 2-year cycle of literacy continuing professional development (CPD) in phonics and early reading, with 2-day leadership training for headteachers and reading leaders in eligible schools. The offer, based on Read Write Inc. Phonics, includes whole-school training and 16 in-school support days.</w:t>
            </w:r>
          </w:p>
        </w:tc>
      </w:tr>
      <w:tr w:rsidR="00C15E47" w:rsidRPr="00C15E47" w:rsidTr="00C15E47">
        <w:trPr>
          <w:tblCellSpacing w:w="15" w:type="dxa"/>
        </w:trPr>
        <w:tc>
          <w:tcPr>
            <w:tcW w:w="0" w:type="auto"/>
            <w:vAlign w:val="center"/>
            <w:hideMark/>
          </w:tcPr>
          <w:p w:rsidR="00C15E47" w:rsidRPr="00C15E47" w:rsidRDefault="00D41838" w:rsidP="00C15E47">
            <w:pPr>
              <w:widowControl/>
              <w:overflowPunct/>
              <w:autoSpaceDE/>
              <w:autoSpaceDN/>
              <w:adjustRightInd/>
              <w:textAlignment w:val="auto"/>
              <w:rPr>
                <w:rFonts w:asciiTheme="minorHAnsi" w:hAnsiTheme="minorHAnsi"/>
                <w:sz w:val="22"/>
                <w:szCs w:val="22"/>
                <w:lang w:eastAsia="en-GB"/>
              </w:rPr>
            </w:pPr>
            <w:hyperlink r:id="rId11" w:history="1">
              <w:r w:rsidR="00C15E47" w:rsidRPr="00C15E47">
                <w:rPr>
                  <w:rFonts w:asciiTheme="minorHAnsi" w:hAnsiTheme="minorHAnsi"/>
                  <w:color w:val="0000FF"/>
                  <w:sz w:val="22"/>
                  <w:szCs w:val="22"/>
                  <w:u w:val="single"/>
                  <w:lang w:eastAsia="en-GB"/>
                </w:rPr>
                <w:t>STEM Learning Ltd</w:t>
              </w:r>
            </w:hyperlink>
          </w:p>
        </w:tc>
        <w:tc>
          <w:tcPr>
            <w:tcW w:w="0" w:type="auto"/>
            <w:vAlign w:val="center"/>
            <w:hideMark/>
          </w:tcPr>
          <w:p w:rsidR="00C15E47" w:rsidRPr="00C15E47" w:rsidRDefault="00C15E47" w:rsidP="00C15E47">
            <w:pPr>
              <w:widowControl/>
              <w:overflowPunct/>
              <w:autoSpaceDE/>
              <w:autoSpaceDN/>
              <w:adjustRightInd/>
              <w:textAlignment w:val="auto"/>
              <w:rPr>
                <w:rFonts w:asciiTheme="minorHAnsi" w:hAnsiTheme="minorHAnsi"/>
                <w:sz w:val="22"/>
                <w:szCs w:val="22"/>
                <w:lang w:eastAsia="en-GB"/>
              </w:rPr>
            </w:pPr>
            <w:r w:rsidRPr="00C15E47">
              <w:rPr>
                <w:rFonts w:asciiTheme="minorHAnsi" w:hAnsiTheme="minorHAnsi"/>
                <w:sz w:val="22"/>
                <w:szCs w:val="22"/>
                <w:lang w:eastAsia="en-GB"/>
              </w:rPr>
              <w:t>Aspire to STEM will improve leadership whilst ensuring great teaching of STEM subjects. It will also increase science capital within disadvantaged communities and improve careers information and guidance for STEM.</w:t>
            </w:r>
          </w:p>
        </w:tc>
      </w:tr>
      <w:tr w:rsidR="00C15E47" w:rsidRPr="00C15E47" w:rsidTr="00C15E47">
        <w:trPr>
          <w:tblCellSpacing w:w="15" w:type="dxa"/>
        </w:trPr>
        <w:tc>
          <w:tcPr>
            <w:tcW w:w="0" w:type="auto"/>
            <w:vAlign w:val="center"/>
            <w:hideMark/>
          </w:tcPr>
          <w:p w:rsidR="00C15E47" w:rsidRPr="00C15E47" w:rsidRDefault="00D41838" w:rsidP="00C15E47">
            <w:pPr>
              <w:widowControl/>
              <w:overflowPunct/>
              <w:autoSpaceDE/>
              <w:autoSpaceDN/>
              <w:adjustRightInd/>
              <w:textAlignment w:val="auto"/>
              <w:rPr>
                <w:rFonts w:asciiTheme="minorHAnsi" w:hAnsiTheme="minorHAnsi"/>
                <w:sz w:val="22"/>
                <w:szCs w:val="22"/>
                <w:lang w:eastAsia="en-GB"/>
              </w:rPr>
            </w:pPr>
            <w:hyperlink r:id="rId12" w:history="1">
              <w:r w:rsidR="00C15E47" w:rsidRPr="00C15E47">
                <w:rPr>
                  <w:rFonts w:asciiTheme="minorHAnsi" w:hAnsiTheme="minorHAnsi"/>
                  <w:color w:val="0000FF"/>
                  <w:sz w:val="22"/>
                  <w:szCs w:val="22"/>
                  <w:u w:val="single"/>
                  <w:lang w:eastAsia="en-GB"/>
                </w:rPr>
                <w:t>Teach First</w:t>
              </w:r>
            </w:hyperlink>
          </w:p>
        </w:tc>
        <w:tc>
          <w:tcPr>
            <w:tcW w:w="0" w:type="auto"/>
            <w:vAlign w:val="center"/>
            <w:hideMark/>
          </w:tcPr>
          <w:p w:rsidR="00C15E47" w:rsidRPr="00C15E47" w:rsidRDefault="00C15E47" w:rsidP="00C15E47">
            <w:pPr>
              <w:widowControl/>
              <w:overflowPunct/>
              <w:autoSpaceDE/>
              <w:autoSpaceDN/>
              <w:adjustRightInd/>
              <w:textAlignment w:val="auto"/>
              <w:rPr>
                <w:rFonts w:asciiTheme="minorHAnsi" w:hAnsiTheme="minorHAnsi"/>
                <w:sz w:val="22"/>
                <w:szCs w:val="22"/>
                <w:lang w:eastAsia="en-GB"/>
              </w:rPr>
            </w:pPr>
            <w:r w:rsidRPr="00C15E47">
              <w:rPr>
                <w:rFonts w:asciiTheme="minorHAnsi" w:hAnsiTheme="minorHAnsi"/>
                <w:sz w:val="22"/>
                <w:szCs w:val="22"/>
                <w:lang w:eastAsia="en-GB"/>
              </w:rPr>
              <w:t>Leading Together will strengthen the leadership teams in the schools and areas that need it the most. The programme will develop resilient school leaders who work together as part of strong leadership teams, focused on training, developing and supporting high-quality teachers across the school.</w:t>
            </w:r>
          </w:p>
        </w:tc>
      </w:tr>
      <w:tr w:rsidR="00C15E47" w:rsidRPr="00C15E47" w:rsidTr="00C15E47">
        <w:trPr>
          <w:tblCellSpacing w:w="15" w:type="dxa"/>
        </w:trPr>
        <w:tc>
          <w:tcPr>
            <w:tcW w:w="0" w:type="auto"/>
            <w:vAlign w:val="center"/>
            <w:hideMark/>
          </w:tcPr>
          <w:p w:rsidR="00C15E47" w:rsidRPr="00C15E47" w:rsidRDefault="00D41838" w:rsidP="00C15E47">
            <w:pPr>
              <w:widowControl/>
              <w:overflowPunct/>
              <w:autoSpaceDE/>
              <w:autoSpaceDN/>
              <w:adjustRightInd/>
              <w:textAlignment w:val="auto"/>
              <w:rPr>
                <w:rFonts w:asciiTheme="minorHAnsi" w:hAnsiTheme="minorHAnsi"/>
                <w:sz w:val="22"/>
                <w:szCs w:val="22"/>
                <w:lang w:eastAsia="en-GB"/>
              </w:rPr>
            </w:pPr>
            <w:hyperlink r:id="rId13" w:history="1">
              <w:r w:rsidR="00C15E47" w:rsidRPr="00C15E47">
                <w:rPr>
                  <w:rFonts w:asciiTheme="minorHAnsi" w:hAnsiTheme="minorHAnsi"/>
                  <w:color w:val="0000FF"/>
                  <w:sz w:val="22"/>
                  <w:szCs w:val="22"/>
                  <w:u w:val="single"/>
                  <w:lang w:eastAsia="en-GB"/>
                </w:rPr>
                <w:t>Teacher Development Trust</w:t>
              </w:r>
            </w:hyperlink>
          </w:p>
        </w:tc>
        <w:tc>
          <w:tcPr>
            <w:tcW w:w="0" w:type="auto"/>
            <w:vAlign w:val="center"/>
            <w:hideMark/>
          </w:tcPr>
          <w:p w:rsidR="00C15E47" w:rsidRPr="00C15E47" w:rsidRDefault="00C15E47" w:rsidP="00C15E47">
            <w:pPr>
              <w:widowControl/>
              <w:overflowPunct/>
              <w:autoSpaceDE/>
              <w:autoSpaceDN/>
              <w:adjustRightInd/>
              <w:textAlignment w:val="auto"/>
              <w:rPr>
                <w:rFonts w:asciiTheme="minorHAnsi" w:hAnsiTheme="minorHAnsi"/>
                <w:sz w:val="22"/>
                <w:szCs w:val="22"/>
                <w:lang w:eastAsia="en-GB"/>
              </w:rPr>
            </w:pPr>
            <w:r w:rsidRPr="00C15E47">
              <w:rPr>
                <w:rFonts w:asciiTheme="minorHAnsi" w:hAnsiTheme="minorHAnsi"/>
                <w:sz w:val="22"/>
                <w:szCs w:val="22"/>
                <w:lang w:eastAsia="en-GB"/>
              </w:rPr>
              <w:t>The Teacher Development Trust CPD Excellence Hubs Programme will provide school-based expert advisers, who will intensively support local schools to improve their CPD leadership, culture and processes, leading to improved student learning, teacher morale and sustainable, long-term school improvement.</w:t>
            </w:r>
          </w:p>
        </w:tc>
      </w:tr>
    </w:tbl>
    <w:p w:rsidR="00C15E47" w:rsidRPr="00C15E47" w:rsidRDefault="00C15E47" w:rsidP="00AF1C07">
      <w:pPr>
        <w:pStyle w:val="DeptBullets"/>
        <w:numPr>
          <w:ilvl w:val="0"/>
          <w:numId w:val="0"/>
        </w:numPr>
        <w:rPr>
          <w:rFonts w:asciiTheme="minorHAnsi" w:hAnsiTheme="minorHAnsi"/>
          <w:sz w:val="22"/>
          <w:szCs w:val="22"/>
        </w:rPr>
      </w:pPr>
    </w:p>
    <w:sectPr w:rsidR="00C15E47" w:rsidRPr="00C15E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38" w:rsidRDefault="00D41838">
      <w:r>
        <w:separator/>
      </w:r>
    </w:p>
  </w:endnote>
  <w:endnote w:type="continuationSeparator" w:id="0">
    <w:p w:rsidR="00D41838" w:rsidRDefault="00D4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38" w:rsidRDefault="00D41838">
      <w:r>
        <w:separator/>
      </w:r>
    </w:p>
  </w:footnote>
  <w:footnote w:type="continuationSeparator" w:id="0">
    <w:p w:rsidR="00D41838" w:rsidRDefault="00D41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1E33911"/>
    <w:multiLevelType w:val="multilevel"/>
    <w:tmpl w:val="2738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47"/>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C769E"/>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3051"/>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15E47"/>
    <w:rsid w:val="00C37933"/>
    <w:rsid w:val="00C408C7"/>
    <w:rsid w:val="00C47EEA"/>
    <w:rsid w:val="00C519D0"/>
    <w:rsid w:val="00C70ACB"/>
    <w:rsid w:val="00C87E27"/>
    <w:rsid w:val="00CA4FEC"/>
    <w:rsid w:val="00CB23E4"/>
    <w:rsid w:val="00CD7921"/>
    <w:rsid w:val="00CE084B"/>
    <w:rsid w:val="00D02D57"/>
    <w:rsid w:val="00D118D6"/>
    <w:rsid w:val="00D20266"/>
    <w:rsid w:val="00D20C29"/>
    <w:rsid w:val="00D27268"/>
    <w:rsid w:val="00D33842"/>
    <w:rsid w:val="00D41838"/>
    <w:rsid w:val="00D47915"/>
    <w:rsid w:val="00D57D6E"/>
    <w:rsid w:val="00D61F5A"/>
    <w:rsid w:val="00D656C2"/>
    <w:rsid w:val="00D76B58"/>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
    <w:rsid w:val="00C15E47"/>
    <w:rPr>
      <w:rFonts w:ascii="Arial" w:hAnsi="Arial"/>
      <w:b/>
      <w:kern w:val="28"/>
      <w:sz w:val="24"/>
      <w:lang w:eastAsia="en-US"/>
    </w:rPr>
  </w:style>
  <w:style w:type="character" w:customStyle="1" w:styleId="Heading2Char">
    <w:name w:val="Heading 2 Char"/>
    <w:aliases w:val="Numbered - 2 Char"/>
    <w:basedOn w:val="DefaultParagraphFont"/>
    <w:link w:val="Heading2"/>
    <w:uiPriority w:val="9"/>
    <w:rsid w:val="00C15E47"/>
    <w:rPr>
      <w:rFonts w:ascii="Arial" w:hAnsi="Arial"/>
      <w:b/>
      <w:kern w:val="28"/>
      <w:sz w:val="24"/>
      <w:lang w:eastAsia="en-US"/>
    </w:rPr>
  </w:style>
  <w:style w:type="character" w:customStyle="1" w:styleId="Heading3Char">
    <w:name w:val="Heading 3 Char"/>
    <w:aliases w:val="Numbered - 3 Char"/>
    <w:basedOn w:val="DefaultParagraphFont"/>
    <w:link w:val="Heading3"/>
    <w:uiPriority w:val="9"/>
    <w:rsid w:val="00C15E47"/>
    <w:rPr>
      <w:rFonts w:ascii="Arial" w:hAnsi="Arial"/>
      <w:kern w:val="28"/>
      <w:sz w:val="24"/>
      <w:lang w:eastAsia="en-US"/>
    </w:rPr>
  </w:style>
  <w:style w:type="character" w:styleId="Hyperlink">
    <w:name w:val="Hyperlink"/>
    <w:basedOn w:val="DefaultParagraphFont"/>
    <w:uiPriority w:val="99"/>
    <w:unhideWhenUsed/>
    <w:rsid w:val="00C15E47"/>
    <w:rPr>
      <w:color w:val="0000FF"/>
      <w:u w:val="single"/>
    </w:rPr>
  </w:style>
  <w:style w:type="paragraph" w:customStyle="1" w:styleId="app-c-lead-paragraph">
    <w:name w:val="app-c-lead-paragraph"/>
    <w:basedOn w:val="Normal"/>
    <w:rsid w:val="00C15E4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NormalWeb">
    <w:name w:val="Normal (Web)"/>
    <w:basedOn w:val="Normal"/>
    <w:uiPriority w:val="99"/>
    <w:unhideWhenUsed/>
    <w:rsid w:val="00C15E4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
    <w:rsid w:val="00C15E47"/>
    <w:rPr>
      <w:rFonts w:ascii="Arial" w:hAnsi="Arial"/>
      <w:b/>
      <w:kern w:val="28"/>
      <w:sz w:val="24"/>
      <w:lang w:eastAsia="en-US"/>
    </w:rPr>
  </w:style>
  <w:style w:type="character" w:customStyle="1" w:styleId="Heading2Char">
    <w:name w:val="Heading 2 Char"/>
    <w:aliases w:val="Numbered - 2 Char"/>
    <w:basedOn w:val="DefaultParagraphFont"/>
    <w:link w:val="Heading2"/>
    <w:uiPriority w:val="9"/>
    <w:rsid w:val="00C15E47"/>
    <w:rPr>
      <w:rFonts w:ascii="Arial" w:hAnsi="Arial"/>
      <w:b/>
      <w:kern w:val="28"/>
      <w:sz w:val="24"/>
      <w:lang w:eastAsia="en-US"/>
    </w:rPr>
  </w:style>
  <w:style w:type="character" w:customStyle="1" w:styleId="Heading3Char">
    <w:name w:val="Heading 3 Char"/>
    <w:aliases w:val="Numbered - 3 Char"/>
    <w:basedOn w:val="DefaultParagraphFont"/>
    <w:link w:val="Heading3"/>
    <w:uiPriority w:val="9"/>
    <w:rsid w:val="00C15E47"/>
    <w:rPr>
      <w:rFonts w:ascii="Arial" w:hAnsi="Arial"/>
      <w:kern w:val="28"/>
      <w:sz w:val="24"/>
      <w:lang w:eastAsia="en-US"/>
    </w:rPr>
  </w:style>
  <w:style w:type="character" w:styleId="Hyperlink">
    <w:name w:val="Hyperlink"/>
    <w:basedOn w:val="DefaultParagraphFont"/>
    <w:uiPriority w:val="99"/>
    <w:unhideWhenUsed/>
    <w:rsid w:val="00C15E47"/>
    <w:rPr>
      <w:color w:val="0000FF"/>
      <w:u w:val="single"/>
    </w:rPr>
  </w:style>
  <w:style w:type="paragraph" w:customStyle="1" w:styleId="app-c-lead-paragraph">
    <w:name w:val="app-c-lead-paragraph"/>
    <w:basedOn w:val="Normal"/>
    <w:rsid w:val="00C15E4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NormalWeb">
    <w:name w:val="Normal (Web)"/>
    <w:basedOn w:val="Normal"/>
    <w:uiPriority w:val="99"/>
    <w:unhideWhenUsed/>
    <w:rsid w:val="00C15E4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62231">
      <w:bodyDiv w:val="1"/>
      <w:marLeft w:val="0"/>
      <w:marRight w:val="0"/>
      <w:marTop w:val="0"/>
      <w:marBottom w:val="0"/>
      <w:divBdr>
        <w:top w:val="none" w:sz="0" w:space="0" w:color="auto"/>
        <w:left w:val="none" w:sz="0" w:space="0" w:color="auto"/>
        <w:bottom w:val="none" w:sz="0" w:space="0" w:color="auto"/>
        <w:right w:val="none" w:sz="0" w:space="0" w:color="auto"/>
      </w:divBdr>
      <w:divsChild>
        <w:div w:id="797644336">
          <w:marLeft w:val="0"/>
          <w:marRight w:val="0"/>
          <w:marTop w:val="0"/>
          <w:marBottom w:val="0"/>
          <w:divBdr>
            <w:top w:val="none" w:sz="0" w:space="0" w:color="auto"/>
            <w:left w:val="none" w:sz="0" w:space="0" w:color="auto"/>
            <w:bottom w:val="none" w:sz="0" w:space="0" w:color="auto"/>
            <w:right w:val="none" w:sz="0" w:space="0" w:color="auto"/>
          </w:divBdr>
          <w:divsChild>
            <w:div w:id="1204443680">
              <w:marLeft w:val="0"/>
              <w:marRight w:val="0"/>
              <w:marTop w:val="0"/>
              <w:marBottom w:val="0"/>
              <w:divBdr>
                <w:top w:val="none" w:sz="0" w:space="0" w:color="auto"/>
                <w:left w:val="none" w:sz="0" w:space="0" w:color="auto"/>
                <w:bottom w:val="none" w:sz="0" w:space="0" w:color="auto"/>
                <w:right w:val="none" w:sz="0" w:space="0" w:color="auto"/>
              </w:divBdr>
              <w:divsChild>
                <w:div w:id="67848723">
                  <w:marLeft w:val="0"/>
                  <w:marRight w:val="0"/>
                  <w:marTop w:val="0"/>
                  <w:marBottom w:val="0"/>
                  <w:divBdr>
                    <w:top w:val="none" w:sz="0" w:space="0" w:color="auto"/>
                    <w:left w:val="none" w:sz="0" w:space="0" w:color="auto"/>
                    <w:bottom w:val="none" w:sz="0" w:space="0" w:color="auto"/>
                    <w:right w:val="none" w:sz="0" w:space="0" w:color="auto"/>
                  </w:divBdr>
                  <w:divsChild>
                    <w:div w:id="1672757831">
                      <w:marLeft w:val="0"/>
                      <w:marRight w:val="0"/>
                      <w:marTop w:val="0"/>
                      <w:marBottom w:val="0"/>
                      <w:divBdr>
                        <w:top w:val="none" w:sz="0" w:space="0" w:color="auto"/>
                        <w:left w:val="none" w:sz="0" w:space="0" w:color="auto"/>
                        <w:bottom w:val="none" w:sz="0" w:space="0" w:color="auto"/>
                        <w:right w:val="none" w:sz="0" w:space="0" w:color="auto"/>
                      </w:divBdr>
                    </w:div>
                    <w:div w:id="1178927403">
                      <w:marLeft w:val="0"/>
                      <w:marRight w:val="0"/>
                      <w:marTop w:val="0"/>
                      <w:marBottom w:val="0"/>
                      <w:divBdr>
                        <w:top w:val="none" w:sz="0" w:space="0" w:color="auto"/>
                        <w:left w:val="none" w:sz="0" w:space="0" w:color="auto"/>
                        <w:bottom w:val="none" w:sz="0" w:space="0" w:color="auto"/>
                        <w:right w:val="none" w:sz="0" w:space="0" w:color="auto"/>
                      </w:divBdr>
                    </w:div>
                    <w:div w:id="2069457627">
                      <w:marLeft w:val="0"/>
                      <w:marRight w:val="0"/>
                      <w:marTop w:val="0"/>
                      <w:marBottom w:val="0"/>
                      <w:divBdr>
                        <w:top w:val="none" w:sz="0" w:space="0" w:color="auto"/>
                        <w:left w:val="none" w:sz="0" w:space="0" w:color="auto"/>
                        <w:bottom w:val="none" w:sz="0" w:space="0" w:color="auto"/>
                        <w:right w:val="none" w:sz="0" w:space="0" w:color="auto"/>
                      </w:divBdr>
                      <w:divsChild>
                        <w:div w:id="2013100190">
                          <w:marLeft w:val="0"/>
                          <w:marRight w:val="0"/>
                          <w:marTop w:val="0"/>
                          <w:marBottom w:val="0"/>
                          <w:divBdr>
                            <w:top w:val="none" w:sz="0" w:space="0" w:color="auto"/>
                            <w:left w:val="none" w:sz="0" w:space="0" w:color="auto"/>
                            <w:bottom w:val="none" w:sz="0" w:space="0" w:color="auto"/>
                            <w:right w:val="none" w:sz="0" w:space="0" w:color="auto"/>
                          </w:divBdr>
                          <w:divsChild>
                            <w:div w:id="2715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org/education/teacher/support/future/page_69980.html" TargetMode="External"/><Relationship Id="rId13" Type="http://schemas.openxmlformats.org/officeDocument/2006/relationships/hyperlink" Target="http://tdtrust.org/cpd-excellence-hu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eachfirst.org.uk/news/leading-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em.org.uk/aspire-st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thmiskin.com/tlif" TargetMode="External"/><Relationship Id="rId4" Type="http://schemas.openxmlformats.org/officeDocument/2006/relationships/settings" Target="settings.xml"/><Relationship Id="rId9" Type="http://schemas.openxmlformats.org/officeDocument/2006/relationships/hyperlink" Target="http://www.ift.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Tessa</dc:creator>
  <cp:lastModifiedBy>Ann Galloway</cp:lastModifiedBy>
  <cp:revision>2</cp:revision>
  <dcterms:created xsi:type="dcterms:W3CDTF">2017-09-28T14:34:00Z</dcterms:created>
  <dcterms:modified xsi:type="dcterms:W3CDTF">2017-09-28T14:34:00Z</dcterms:modified>
</cp:coreProperties>
</file>