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21A0" w14:textId="77777777" w:rsidR="0058142C" w:rsidRDefault="00D63CDA" w:rsidP="00D63CDA">
      <w:pPr>
        <w:jc w:val="right"/>
        <w:rPr>
          <w:b/>
          <w:sz w:val="28"/>
          <w:szCs w:val="28"/>
          <w:u w:val="single"/>
        </w:rPr>
      </w:pPr>
      <w:r>
        <w:rPr>
          <w:rFonts w:cs="Arial"/>
          <w:noProof/>
        </w:rPr>
        <w:drawing>
          <wp:inline distT="0" distB="0" distL="0" distR="0" wp14:anchorId="09D5411E" wp14:editId="552FC376">
            <wp:extent cx="3028950" cy="847725"/>
            <wp:effectExtent l="0" t="0" r="0" b="9525"/>
            <wp:docPr id="2" name="Picture 2"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2B5DC1AE" w14:textId="77777777" w:rsidR="002245EB" w:rsidRDefault="002245EB" w:rsidP="00F00FE6">
      <w:pPr>
        <w:jc w:val="center"/>
        <w:rPr>
          <w:b/>
          <w:sz w:val="28"/>
          <w:szCs w:val="28"/>
          <w:u w:val="single"/>
        </w:rPr>
      </w:pPr>
    </w:p>
    <w:p w14:paraId="46DBFFC9" w14:textId="77777777" w:rsidR="00F52BC7" w:rsidRPr="00F00FE6" w:rsidRDefault="00F00FE6" w:rsidP="00F00FE6">
      <w:pPr>
        <w:jc w:val="center"/>
        <w:rPr>
          <w:sz w:val="28"/>
          <w:szCs w:val="28"/>
        </w:rPr>
      </w:pPr>
      <w:r w:rsidRPr="00F00FE6">
        <w:rPr>
          <w:b/>
          <w:sz w:val="28"/>
          <w:szCs w:val="28"/>
          <w:u w:val="single"/>
        </w:rPr>
        <w:t>Process for the Management</w:t>
      </w:r>
      <w:r w:rsidR="00CE0146">
        <w:rPr>
          <w:b/>
          <w:sz w:val="28"/>
          <w:szCs w:val="28"/>
          <w:u w:val="single"/>
        </w:rPr>
        <w:t xml:space="preserve"> of School </w:t>
      </w:r>
      <w:r w:rsidR="00C445B4">
        <w:rPr>
          <w:b/>
          <w:sz w:val="28"/>
          <w:szCs w:val="28"/>
          <w:u w:val="single"/>
        </w:rPr>
        <w:t>Surplus</w:t>
      </w:r>
      <w:r w:rsidRPr="00F00FE6">
        <w:rPr>
          <w:b/>
          <w:sz w:val="28"/>
          <w:szCs w:val="28"/>
          <w:u w:val="single"/>
        </w:rPr>
        <w:t xml:space="preserve"> Balances</w:t>
      </w:r>
      <w:r w:rsidR="00846185">
        <w:rPr>
          <w:b/>
          <w:sz w:val="28"/>
          <w:szCs w:val="28"/>
          <w:u w:val="single"/>
        </w:rPr>
        <w:t xml:space="preserve"> </w:t>
      </w:r>
    </w:p>
    <w:p w14:paraId="00F0981E" w14:textId="77777777" w:rsidR="00A369E3" w:rsidRDefault="00A369E3" w:rsidP="00820FC6">
      <w:pPr>
        <w:jc w:val="both"/>
      </w:pPr>
    </w:p>
    <w:p w14:paraId="29085F10" w14:textId="77777777" w:rsidR="00260CA5" w:rsidRDefault="00260CA5" w:rsidP="00820FC6">
      <w:pPr>
        <w:jc w:val="both"/>
      </w:pPr>
    </w:p>
    <w:p w14:paraId="4133AA14" w14:textId="77777777" w:rsidR="00C42FF5" w:rsidRDefault="00320984" w:rsidP="001B5A53">
      <w:pPr>
        <w:jc w:val="both"/>
        <w:rPr>
          <w:b/>
        </w:rPr>
      </w:pPr>
      <w:r>
        <w:rPr>
          <w:b/>
        </w:rPr>
        <w:t>1</w:t>
      </w:r>
      <w:r w:rsidR="00C42FF5">
        <w:rPr>
          <w:b/>
        </w:rPr>
        <w:t xml:space="preserve">) </w:t>
      </w:r>
      <w:r w:rsidR="00F00FE6" w:rsidRPr="00406978">
        <w:rPr>
          <w:b/>
          <w:u w:val="single"/>
        </w:rPr>
        <w:t>Principles</w:t>
      </w:r>
    </w:p>
    <w:p w14:paraId="76108842" w14:textId="77777777" w:rsidR="00320984" w:rsidRDefault="00320984" w:rsidP="00320984">
      <w:pPr>
        <w:jc w:val="both"/>
        <w:rPr>
          <w:b/>
        </w:rPr>
      </w:pPr>
    </w:p>
    <w:p w14:paraId="73483CF7" w14:textId="77777777" w:rsidR="00F00FE6" w:rsidRDefault="00320984" w:rsidP="00320984">
      <w:pPr>
        <w:jc w:val="both"/>
      </w:pPr>
      <w:r w:rsidRPr="00320984">
        <w:t>1.1</w:t>
      </w:r>
      <w:r>
        <w:t xml:space="preserve"> </w:t>
      </w:r>
      <w:r w:rsidR="00AD0F44">
        <w:t xml:space="preserve">This protocol outlines the </w:t>
      </w:r>
      <w:r w:rsidR="00B3778D">
        <w:t xml:space="preserve">Authority’s </w:t>
      </w:r>
      <w:r w:rsidR="00AD0F44">
        <w:t>process for the management of intended use</w:t>
      </w:r>
      <w:r w:rsidR="00B3778D">
        <w:t>s</w:t>
      </w:r>
      <w:r w:rsidR="005E3C95">
        <w:t xml:space="preserve"> of excess</w:t>
      </w:r>
      <w:r w:rsidR="00AD0F44">
        <w:t xml:space="preserve"> </w:t>
      </w:r>
      <w:r w:rsidR="00B3778D">
        <w:t xml:space="preserve">revenue </w:t>
      </w:r>
      <w:r w:rsidR="00AD0F44">
        <w:t xml:space="preserve">balances. </w:t>
      </w:r>
      <w:r w:rsidR="00F00FE6" w:rsidRPr="00F00FE6">
        <w:t xml:space="preserve">It is sound financial management </w:t>
      </w:r>
      <w:r w:rsidR="00F00FE6">
        <w:t xml:space="preserve">for </w:t>
      </w:r>
      <w:r w:rsidR="002D4EAE">
        <w:t xml:space="preserve">maintained </w:t>
      </w:r>
      <w:r w:rsidR="00F00FE6">
        <w:t>schools to retain a reserve from year to year.</w:t>
      </w:r>
      <w:r w:rsidR="00C44362">
        <w:t xml:space="preserve"> </w:t>
      </w:r>
      <w:r w:rsidR="004A7EE6">
        <w:t>I</w:t>
      </w:r>
      <w:r w:rsidR="00990EBD">
        <w:t>t i</w:t>
      </w:r>
      <w:r w:rsidR="00F968C2">
        <w:t>s important that school budgets</w:t>
      </w:r>
      <w:r w:rsidR="00990EBD">
        <w:t xml:space="preserve"> remain resilient.</w:t>
      </w:r>
      <w:r w:rsidR="00F968C2">
        <w:t xml:space="preserve"> However, this must </w:t>
      </w:r>
      <w:r w:rsidR="00FF71AC">
        <w:t xml:space="preserve">be </w:t>
      </w:r>
      <w:r w:rsidR="00F968C2">
        <w:t>balanced against a duty to maximise the spendin</w:t>
      </w:r>
      <w:r w:rsidR="0083477C">
        <w:t>g of resources, targeted correctly, to improve</w:t>
      </w:r>
      <w:r w:rsidR="00F968C2">
        <w:t xml:space="preserve"> outcomes for children</w:t>
      </w:r>
      <w:r w:rsidR="00151FE2">
        <w:t xml:space="preserve"> and young people</w:t>
      </w:r>
      <w:r w:rsidR="00F968C2">
        <w:t>.</w:t>
      </w:r>
      <w:r w:rsidR="00F00FE6">
        <w:t xml:space="preserve"> Th</w:t>
      </w:r>
      <w:r>
        <w:t>e</w:t>
      </w:r>
      <w:r w:rsidR="00C66919">
        <w:t xml:space="preserve"> approach</w:t>
      </w:r>
      <w:r w:rsidR="004A7EE6">
        <w:t xml:space="preserve"> outlined in this document</w:t>
      </w:r>
      <w:r w:rsidR="00C66919">
        <w:t xml:space="preserve"> is based on a clear definition of what constitutes an acceptable level of reserve</w:t>
      </w:r>
      <w:r w:rsidR="00CE0146">
        <w:t xml:space="preserve"> and, above this, a definition of an excess balance</w:t>
      </w:r>
      <w:r w:rsidR="0044071A">
        <w:t>.</w:t>
      </w:r>
      <w:r w:rsidR="00187461">
        <w:t xml:space="preserve"> </w:t>
      </w:r>
    </w:p>
    <w:p w14:paraId="3557CCA3" w14:textId="77777777" w:rsidR="00847E6B" w:rsidRDefault="00847E6B" w:rsidP="00847E6B">
      <w:pPr>
        <w:ind w:left="720"/>
        <w:jc w:val="both"/>
      </w:pPr>
    </w:p>
    <w:p w14:paraId="04525B44" w14:textId="77777777" w:rsidR="002B20C7" w:rsidRPr="00F00FE6" w:rsidRDefault="002B20C7" w:rsidP="002B20C7">
      <w:pPr>
        <w:jc w:val="both"/>
      </w:pPr>
      <w:r>
        <w:t>1.2 The holding of an ‘excess’ revenue balance</w:t>
      </w:r>
      <w:r w:rsidR="00810D94">
        <w:t xml:space="preserve"> i.e. a balance above what is deemed</w:t>
      </w:r>
      <w:r w:rsidR="005E3C95">
        <w:t xml:space="preserve"> to be</w:t>
      </w:r>
      <w:r w:rsidR="00810D94">
        <w:t xml:space="preserve"> </w:t>
      </w:r>
      <w:r w:rsidR="005E3C95">
        <w:t>a normal</w:t>
      </w:r>
      <w:r w:rsidR="00E534A5">
        <w:t xml:space="preserve"> </w:t>
      </w:r>
      <w:r w:rsidR="005E3C95">
        <w:t xml:space="preserve">level of </w:t>
      </w:r>
      <w:r w:rsidR="00EA09FF">
        <w:t>acceptable reserve,</w:t>
      </w:r>
      <w:r>
        <w:t xml:space="preserve"> should be </w:t>
      </w:r>
      <w:r w:rsidR="00151FE2">
        <w:t xml:space="preserve">an </w:t>
      </w:r>
      <w:r>
        <w:t>exceptional</w:t>
      </w:r>
      <w:r w:rsidR="00151FE2">
        <w:t>,</w:t>
      </w:r>
      <w:r>
        <w:t xml:space="preserve"> rather than a </w:t>
      </w:r>
      <w:r w:rsidR="005E3C95">
        <w:t>recurrent</w:t>
      </w:r>
      <w:r w:rsidR="00151FE2">
        <w:t>,</w:t>
      </w:r>
      <w:r w:rsidR="005E3C95">
        <w:t xml:space="preserve"> </w:t>
      </w:r>
      <w:r>
        <w:t>feature of a school’s budget management. The key purpo</w:t>
      </w:r>
      <w:r w:rsidR="00077BC8">
        <w:t>se behind the</w:t>
      </w:r>
      <w:r w:rsidR="005E3C95">
        <w:t xml:space="preserve"> Authority’s</w:t>
      </w:r>
      <w:r>
        <w:t xml:space="preserve"> approach is to require schools to maximise the spending of their revenue resources in the year in which these are allocated.</w:t>
      </w:r>
    </w:p>
    <w:p w14:paraId="6683EF35" w14:textId="77777777" w:rsidR="002B20C7" w:rsidRDefault="002B20C7" w:rsidP="00847E6B">
      <w:pPr>
        <w:ind w:left="720"/>
        <w:jc w:val="both"/>
      </w:pPr>
    </w:p>
    <w:p w14:paraId="6E7CA43C" w14:textId="77777777" w:rsidR="00406978" w:rsidRDefault="002B20C7" w:rsidP="00320984">
      <w:pPr>
        <w:jc w:val="both"/>
      </w:pPr>
      <w:r>
        <w:t>1.3</w:t>
      </w:r>
      <w:r w:rsidR="00320984">
        <w:t xml:space="preserve"> It is</w:t>
      </w:r>
      <w:r w:rsidR="00C66919">
        <w:t xml:space="preserve"> sound financial management </w:t>
      </w:r>
      <w:r w:rsidR="00151FE2">
        <w:t xml:space="preserve">however, </w:t>
      </w:r>
      <w:r w:rsidR="00C66919">
        <w:t>for schools to plan their budgets over more than one year, and to be given</w:t>
      </w:r>
      <w:r w:rsidR="00320984">
        <w:t xml:space="preserve"> the flexibility to manage</w:t>
      </w:r>
      <w:r w:rsidR="0083477C">
        <w:t xml:space="preserve"> their</w:t>
      </w:r>
      <w:r w:rsidR="0042450D">
        <w:t xml:space="preserve"> finances</w:t>
      </w:r>
      <w:r w:rsidR="00C66919">
        <w:t xml:space="preserve"> in such a way as to</w:t>
      </w:r>
      <w:r w:rsidR="00FE1F70">
        <w:t xml:space="preserve"> be able to:</w:t>
      </w:r>
    </w:p>
    <w:p w14:paraId="3EB585C9" w14:textId="77777777" w:rsidR="001D5EC7" w:rsidRDefault="001D5EC7" w:rsidP="00320984">
      <w:pPr>
        <w:jc w:val="both"/>
      </w:pPr>
    </w:p>
    <w:p w14:paraId="54DA50C0" w14:textId="77777777" w:rsidR="00C66919" w:rsidRDefault="00FE1F70" w:rsidP="00406978">
      <w:pPr>
        <w:numPr>
          <w:ilvl w:val="0"/>
          <w:numId w:val="20"/>
        </w:numPr>
        <w:jc w:val="both"/>
      </w:pPr>
      <w:r>
        <w:t>Progress capital works</w:t>
      </w:r>
      <w:r w:rsidR="005E3C95">
        <w:t xml:space="preserve"> of a significant value</w:t>
      </w:r>
      <w:r w:rsidR="00C342E6">
        <w:t>,</w:t>
      </w:r>
      <w:r w:rsidR="00E978EC">
        <w:t xml:space="preserve"> that </w:t>
      </w:r>
      <w:r w:rsidR="00320984">
        <w:t>are linked to improving</w:t>
      </w:r>
      <w:r w:rsidR="00E978EC">
        <w:t xml:space="preserve"> pupil outcomes</w:t>
      </w:r>
      <w:r>
        <w:t xml:space="preserve">, where </w:t>
      </w:r>
      <w:r w:rsidR="00513C89">
        <w:t xml:space="preserve">capital resources are not sufficient and where revenue </w:t>
      </w:r>
      <w:r>
        <w:t xml:space="preserve">balances </w:t>
      </w:r>
      <w:r w:rsidR="00E534A5">
        <w:t xml:space="preserve">may </w:t>
      </w:r>
      <w:r w:rsidR="0089399F">
        <w:t>have</w:t>
      </w:r>
      <w:r>
        <w:t xml:space="preserve"> to be e</w:t>
      </w:r>
      <w:r w:rsidR="00513C89">
        <w:t>armarked over more than one year</w:t>
      </w:r>
      <w:r w:rsidR="00320984">
        <w:t xml:space="preserve"> to enable works to take place</w:t>
      </w:r>
      <w:r w:rsidR="00C342E6">
        <w:t>.</w:t>
      </w:r>
    </w:p>
    <w:p w14:paraId="5658C2B2" w14:textId="77777777" w:rsidR="00194055" w:rsidRDefault="00194055" w:rsidP="00406978">
      <w:pPr>
        <w:numPr>
          <w:ilvl w:val="0"/>
          <w:numId w:val="20"/>
        </w:numPr>
        <w:jc w:val="both"/>
      </w:pPr>
      <w:r>
        <w:t>Progress works that are linked to ‘spend to save</w:t>
      </w:r>
      <w:r w:rsidR="00534FFD">
        <w:t xml:space="preserve">’ strategies, including </w:t>
      </w:r>
      <w:r>
        <w:t>expenditure related to energy efficiency schemes</w:t>
      </w:r>
      <w:r w:rsidR="00C342E6">
        <w:t>.</w:t>
      </w:r>
    </w:p>
    <w:p w14:paraId="2632048D" w14:textId="77777777" w:rsidR="00DC2B34" w:rsidRDefault="00DC2B34" w:rsidP="00406978">
      <w:pPr>
        <w:numPr>
          <w:ilvl w:val="0"/>
          <w:numId w:val="20"/>
        </w:numPr>
        <w:jc w:val="both"/>
      </w:pPr>
      <w:r>
        <w:t>Manage costs</w:t>
      </w:r>
      <w:r w:rsidR="00534FFD">
        <w:t xml:space="preserve"> associated with the </w:t>
      </w:r>
      <w:r>
        <w:t>review of contracts of a significant value,</w:t>
      </w:r>
      <w:r w:rsidR="006043F1">
        <w:t xml:space="preserve"> where expen</w:t>
      </w:r>
      <w:r w:rsidR="005E3C95">
        <w:t>diture is not even year on year</w:t>
      </w:r>
      <w:r w:rsidR="00C342E6">
        <w:t>.</w:t>
      </w:r>
    </w:p>
    <w:p w14:paraId="67E55F8D" w14:textId="77777777" w:rsidR="00FE1F70" w:rsidRDefault="00FE1F70" w:rsidP="00406978">
      <w:pPr>
        <w:numPr>
          <w:ilvl w:val="0"/>
          <w:numId w:val="20"/>
        </w:numPr>
        <w:jc w:val="both"/>
      </w:pPr>
      <w:r>
        <w:t>Support costs associated with expanding pupil numbers</w:t>
      </w:r>
      <w:r w:rsidR="00C342E6">
        <w:t>,</w:t>
      </w:r>
      <w:r w:rsidR="0042450D">
        <w:t xml:space="preserve"> and with protecting standards</w:t>
      </w:r>
      <w:r w:rsidR="00C342E6">
        <w:t>,</w:t>
      </w:r>
      <w:r w:rsidR="0042450D">
        <w:t xml:space="preserve"> during a period of uncertaint</w:t>
      </w:r>
      <w:r w:rsidR="0083477C">
        <w:t>y and change</w:t>
      </w:r>
      <w:r w:rsidR="00C342E6">
        <w:t>.</w:t>
      </w:r>
    </w:p>
    <w:p w14:paraId="658F8541" w14:textId="77777777" w:rsidR="00320984" w:rsidRDefault="005E3C95" w:rsidP="00406978">
      <w:pPr>
        <w:numPr>
          <w:ilvl w:val="0"/>
          <w:numId w:val="20"/>
        </w:numPr>
        <w:jc w:val="both"/>
      </w:pPr>
      <w:r>
        <w:t>Provide</w:t>
      </w:r>
      <w:r w:rsidR="00925B4F">
        <w:t xml:space="preserve"> protection</w:t>
      </w:r>
      <w:r w:rsidR="00FE1F70">
        <w:t xml:space="preserve"> in transition</w:t>
      </w:r>
      <w:r w:rsidR="001D5EC7">
        <w:t>,</w:t>
      </w:r>
      <w:r w:rsidR="00FE1F70">
        <w:t xml:space="preserve"> where a school is reducing in pupil numbers</w:t>
      </w:r>
      <w:r>
        <w:t>,</w:t>
      </w:r>
      <w:r w:rsidR="00FE1F70">
        <w:t xml:space="preserve"> or where funding is known to be reducing in the following financial year</w:t>
      </w:r>
      <w:r>
        <w:t xml:space="preserve"> (s)</w:t>
      </w:r>
      <w:r w:rsidR="00925B4F">
        <w:t>,</w:t>
      </w:r>
      <w:r>
        <w:t xml:space="preserve"> or where there is an identified budget pressure in the following financial year (s),</w:t>
      </w:r>
      <w:r w:rsidR="00925B4F">
        <w:t xml:space="preserve"> where to not smooth the impact of this will demonstra</w:t>
      </w:r>
      <w:r w:rsidR="0035399E">
        <w:t>bly</w:t>
      </w:r>
      <w:r>
        <w:t xml:space="preserve"> have a</w:t>
      </w:r>
      <w:r w:rsidR="0035399E">
        <w:t xml:space="preserve"> negative impact on standards at the school</w:t>
      </w:r>
      <w:r w:rsidR="00C342E6">
        <w:t>.</w:t>
      </w:r>
    </w:p>
    <w:p w14:paraId="4DF7F112" w14:textId="77777777" w:rsidR="00194055" w:rsidRDefault="00194055" w:rsidP="00406978">
      <w:pPr>
        <w:numPr>
          <w:ilvl w:val="0"/>
          <w:numId w:val="20"/>
        </w:numPr>
        <w:jc w:val="both"/>
      </w:pPr>
      <w:r>
        <w:t>Manage exceptional circumstances in such a way as to avoid significant financial turbulence</w:t>
      </w:r>
      <w:r w:rsidR="00534FFD">
        <w:t xml:space="preserve"> that may impact on standards</w:t>
      </w:r>
      <w:r w:rsidR="00C342E6">
        <w:t>.</w:t>
      </w:r>
    </w:p>
    <w:p w14:paraId="3BE80CF1" w14:textId="77777777" w:rsidR="001D5EC7" w:rsidRDefault="001D5EC7" w:rsidP="00320984">
      <w:pPr>
        <w:jc w:val="both"/>
      </w:pPr>
    </w:p>
    <w:p w14:paraId="50454561" w14:textId="77777777" w:rsidR="001D5EC7" w:rsidRDefault="0089399F" w:rsidP="00320984">
      <w:pPr>
        <w:jc w:val="both"/>
      </w:pPr>
      <w:r>
        <w:t>so long as</w:t>
      </w:r>
      <w:r w:rsidR="00151FE2">
        <w:t>:</w:t>
      </w:r>
      <w:r>
        <w:t xml:space="preserve"> </w:t>
      </w:r>
    </w:p>
    <w:p w14:paraId="0C836D30" w14:textId="77777777" w:rsidR="001D5EC7" w:rsidRDefault="001D5EC7" w:rsidP="00320984">
      <w:pPr>
        <w:jc w:val="both"/>
      </w:pPr>
    </w:p>
    <w:p w14:paraId="290080D6" w14:textId="77777777" w:rsidR="001D5EC7" w:rsidRDefault="0089399F" w:rsidP="001D5EC7">
      <w:pPr>
        <w:numPr>
          <w:ilvl w:val="0"/>
          <w:numId w:val="29"/>
        </w:numPr>
        <w:jc w:val="both"/>
      </w:pPr>
      <w:r>
        <w:t>the Governing B</w:t>
      </w:r>
      <w:r w:rsidR="004A7EE6">
        <w:t>oard</w:t>
      </w:r>
      <w:r w:rsidR="001D5EC7">
        <w:t xml:space="preserve"> of the school has made deliberate</w:t>
      </w:r>
      <w:r>
        <w:t xml:space="preserve"> decisions to allocate</w:t>
      </w:r>
      <w:r w:rsidR="00151FE2">
        <w:t xml:space="preserve"> (and to retain)</w:t>
      </w:r>
      <w:r>
        <w:t xml:space="preserve"> revenue funding for these purposes,</w:t>
      </w:r>
      <w:r w:rsidR="00D47E37">
        <w:t xml:space="preserve"> with a clear understanding of the timescale</w:t>
      </w:r>
      <w:r w:rsidR="005F7C26">
        <w:t>s</w:t>
      </w:r>
      <w:r w:rsidR="001D5EC7">
        <w:t xml:space="preserve"> for spending</w:t>
      </w:r>
      <w:r w:rsidR="009B7379">
        <w:t xml:space="preserve"> and the impact of this expenditure</w:t>
      </w:r>
      <w:r w:rsidR="00EF2820">
        <w:t>.</w:t>
      </w:r>
    </w:p>
    <w:p w14:paraId="135B66A4" w14:textId="77777777" w:rsidR="001D5EC7" w:rsidRDefault="001D5EC7" w:rsidP="001D5EC7">
      <w:pPr>
        <w:numPr>
          <w:ilvl w:val="0"/>
          <w:numId w:val="29"/>
        </w:numPr>
        <w:jc w:val="both"/>
      </w:pPr>
      <w:r>
        <w:t>these decision</w:t>
      </w:r>
      <w:r w:rsidR="004A7EE6">
        <w:t>s</w:t>
      </w:r>
      <w:r>
        <w:t xml:space="preserve"> do not detract from </w:t>
      </w:r>
      <w:r w:rsidR="0089399F">
        <w:t>maximising</w:t>
      </w:r>
      <w:r w:rsidR="005F7C26">
        <w:t xml:space="preserve"> the</w:t>
      </w:r>
      <w:r w:rsidR="00C342E6">
        <w:t xml:space="preserve"> in-</w:t>
      </w:r>
      <w:r w:rsidR="00B64953">
        <w:t>year</w:t>
      </w:r>
      <w:r w:rsidR="00370CC8">
        <w:t xml:space="preserve"> spending</w:t>
      </w:r>
      <w:r w:rsidR="00B64953">
        <w:t xml:space="preserve"> of</w:t>
      </w:r>
      <w:r w:rsidR="005F7C26">
        <w:t xml:space="preserve"> revenue resources</w:t>
      </w:r>
      <w:r w:rsidR="00C342E6">
        <w:t xml:space="preserve"> on</w:t>
      </w:r>
      <w:r w:rsidR="009B7379">
        <w:t xml:space="preserve"> the school’s key priorities</w:t>
      </w:r>
      <w:r w:rsidR="00370CC8">
        <w:t>.</w:t>
      </w:r>
      <w:r w:rsidR="00CA158D">
        <w:t xml:space="preserve"> </w:t>
      </w:r>
    </w:p>
    <w:p w14:paraId="347D4D56" w14:textId="77777777" w:rsidR="00C42FF5" w:rsidRDefault="00C42FF5" w:rsidP="001B5A53">
      <w:pPr>
        <w:jc w:val="both"/>
        <w:rPr>
          <w:b/>
        </w:rPr>
      </w:pPr>
    </w:p>
    <w:p w14:paraId="460CB914" w14:textId="3A98F986" w:rsidR="004B7924" w:rsidRDefault="004B7924" w:rsidP="00320984">
      <w:pPr>
        <w:jc w:val="both"/>
      </w:pPr>
      <w:r>
        <w:t xml:space="preserve">1.4 How successful a school is in maximising resources is significantly influenced by the quality of a school’s budgeting and the monitoring of this budget. To </w:t>
      </w:r>
      <w:r w:rsidR="00C122A5">
        <w:t>ensure co</w:t>
      </w:r>
      <w:r w:rsidR="00C342E6">
        <w:t>mpliance with the Authority’s</w:t>
      </w:r>
      <w:r w:rsidR="00C122A5">
        <w:t xml:space="preserve"> </w:t>
      </w:r>
      <w:r>
        <w:t>approach</w:t>
      </w:r>
      <w:r w:rsidR="00C342E6">
        <w:t xml:space="preserve"> to the management of surplus balances</w:t>
      </w:r>
      <w:r>
        <w:t xml:space="preserve">, every school will find it necessary to </w:t>
      </w:r>
      <w:r w:rsidR="00782993">
        <w:t>effectively monitor</w:t>
      </w:r>
      <w:r>
        <w:t xml:space="preserve"> t</w:t>
      </w:r>
      <w:r w:rsidR="00472A84">
        <w:t>heir revenue budgets</w:t>
      </w:r>
      <w:r w:rsidR="00C342E6">
        <w:t>,</w:t>
      </w:r>
      <w:r w:rsidR="00472A84">
        <w:t xml:space="preserve"> and to take</w:t>
      </w:r>
      <w:r>
        <w:t xml:space="preserve"> decisions on spending</w:t>
      </w:r>
      <w:r w:rsidR="00472A84">
        <w:t xml:space="preserve"> where budgets change</w:t>
      </w:r>
      <w:r>
        <w:t xml:space="preserve"> in year, rather than waiting until the end of the financial year to decide how to allocate unforeseen excess</w:t>
      </w:r>
      <w:r w:rsidR="00796198">
        <w:t>es</w:t>
      </w:r>
      <w:r>
        <w:t xml:space="preserve">. </w:t>
      </w:r>
    </w:p>
    <w:p w14:paraId="71251020" w14:textId="77777777" w:rsidR="004B7924" w:rsidRDefault="004B7924" w:rsidP="00320984">
      <w:pPr>
        <w:jc w:val="both"/>
      </w:pPr>
    </w:p>
    <w:p w14:paraId="35E88FFD" w14:textId="77777777" w:rsidR="00C42FF5" w:rsidRDefault="004B7924" w:rsidP="00320984">
      <w:pPr>
        <w:jc w:val="both"/>
      </w:pPr>
      <w:r>
        <w:t>1.5</w:t>
      </w:r>
      <w:r w:rsidR="00320984">
        <w:t xml:space="preserve"> </w:t>
      </w:r>
      <w:r>
        <w:t>‘C</w:t>
      </w:r>
      <w:r w:rsidR="00847E6B">
        <w:t>lawback</w:t>
      </w:r>
      <w:r>
        <w:t>’</w:t>
      </w:r>
      <w:r w:rsidR="00AF2AC8">
        <w:t xml:space="preserve"> may</w:t>
      </w:r>
      <w:r w:rsidR="00847E6B">
        <w:t xml:space="preserve"> be actioned</w:t>
      </w:r>
      <w:r w:rsidR="00151FE2">
        <w:t>,</w:t>
      </w:r>
      <w:r w:rsidR="00847E6B">
        <w:t xml:space="preserve"> where individual schools do not comply with the </w:t>
      </w:r>
      <w:r w:rsidR="00C342E6">
        <w:t xml:space="preserve">Authority’s </w:t>
      </w:r>
      <w:r w:rsidR="00847E6B">
        <w:t>approach. The clawback mechanism is important in enabling the Authority</w:t>
      </w:r>
      <w:r w:rsidR="004324C4">
        <w:t>, with the Schools Forum,</w:t>
      </w:r>
      <w:r w:rsidR="00847E6B">
        <w:t xml:space="preserve"> to redistribute funding that is not being used by schools and as a final </w:t>
      </w:r>
      <w:r w:rsidR="00370CC8">
        <w:t>‘</w:t>
      </w:r>
      <w:r w:rsidR="00847E6B">
        <w:t>encouragement</w:t>
      </w:r>
      <w:r w:rsidR="00370CC8">
        <w:t>’</w:t>
      </w:r>
      <w:r w:rsidR="00847E6B">
        <w:t xml:space="preserve"> for schools to maximise their resources.</w:t>
      </w:r>
      <w:r w:rsidR="00370CC8">
        <w:t xml:space="preserve"> All funding clawed back will be</w:t>
      </w:r>
      <w:r w:rsidR="004324C4">
        <w:t xml:space="preserve"> returned to the Schools Budget for re-allocation to schools</w:t>
      </w:r>
      <w:r w:rsidR="00370CC8">
        <w:t xml:space="preserve"> by the Schools Forum</w:t>
      </w:r>
      <w:r w:rsidR="004324C4">
        <w:t>.</w:t>
      </w:r>
      <w:r w:rsidR="006B5301" w:rsidRPr="006B5301">
        <w:t xml:space="preserve"> </w:t>
      </w:r>
      <w:r w:rsidR="006B5301">
        <w:t xml:space="preserve">This paper outlines under </w:t>
      </w:r>
      <w:r w:rsidR="006446F9">
        <w:t>what circumstances clawback may</w:t>
      </w:r>
      <w:r w:rsidR="006B5301">
        <w:t xml:space="preserve"> take place</w:t>
      </w:r>
      <w:r w:rsidR="00151FE2">
        <w:t>,</w:t>
      </w:r>
      <w:r w:rsidR="006B5301">
        <w:t xml:space="preserve"> and how decisions will be taken.</w:t>
      </w:r>
    </w:p>
    <w:p w14:paraId="35E8BA32" w14:textId="77777777" w:rsidR="006B5301" w:rsidRDefault="006B5301" w:rsidP="006B5301">
      <w:pPr>
        <w:jc w:val="both"/>
      </w:pPr>
    </w:p>
    <w:p w14:paraId="3C3BEF79" w14:textId="77777777" w:rsidR="002245EB" w:rsidRDefault="006B5301" w:rsidP="001B5A53">
      <w:pPr>
        <w:jc w:val="both"/>
      </w:pPr>
      <w:r>
        <w:t xml:space="preserve">1.6 </w:t>
      </w:r>
      <w:r w:rsidR="004B7924">
        <w:t>The</w:t>
      </w:r>
      <w:r w:rsidR="00765BF3">
        <w:t xml:space="preserve"> </w:t>
      </w:r>
      <w:r w:rsidR="00333D40">
        <w:t>approach seeks to avoid penalising schools for ‘techn</w:t>
      </w:r>
      <w:r w:rsidR="006901AA">
        <w:t>ical infringements’</w:t>
      </w:r>
      <w:r w:rsidR="002D4EAE">
        <w:t xml:space="preserve">. </w:t>
      </w:r>
      <w:r w:rsidR="006901AA">
        <w:t>I</w:t>
      </w:r>
      <w:r w:rsidR="00BE7BCF">
        <w:t>n terms of reporting of schemes by schools</w:t>
      </w:r>
      <w:r w:rsidR="00C342E6">
        <w:t>,</w:t>
      </w:r>
      <w:r w:rsidR="006901AA">
        <w:t xml:space="preserve"> however</w:t>
      </w:r>
      <w:r w:rsidR="00164C56">
        <w:t>, the</w:t>
      </w:r>
      <w:r w:rsidR="004A7EE6">
        <w:t xml:space="preserve"> approach</w:t>
      </w:r>
      <w:r w:rsidR="006901AA">
        <w:t xml:space="preserve"> </w:t>
      </w:r>
      <w:r w:rsidR="002D4EAE">
        <w:t xml:space="preserve">does </w:t>
      </w:r>
      <w:r w:rsidR="006901AA">
        <w:t>require</w:t>
      </w:r>
      <w:r w:rsidR="00BE7BCF">
        <w:t xml:space="preserve"> scho</w:t>
      </w:r>
      <w:r w:rsidR="009B3C05">
        <w:t>ols to be clear</w:t>
      </w:r>
      <w:r w:rsidR="00796198">
        <w:t xml:space="preserve"> a</w:t>
      </w:r>
      <w:r w:rsidR="00BE7BCF">
        <w:t>bou</w:t>
      </w:r>
      <w:r>
        <w:t>t timescales</w:t>
      </w:r>
      <w:r w:rsidR="00151FE2">
        <w:t>,</w:t>
      </w:r>
      <w:r>
        <w:t xml:space="preserve"> and </w:t>
      </w:r>
      <w:r w:rsidR="00151FE2">
        <w:t xml:space="preserve">the </w:t>
      </w:r>
      <w:r>
        <w:t>values of expenditure</w:t>
      </w:r>
      <w:r w:rsidR="00151FE2">
        <w:t>,</w:t>
      </w:r>
      <w:r w:rsidR="006901AA">
        <w:t xml:space="preserve"> before approval is given</w:t>
      </w:r>
      <w:r w:rsidR="00BE7BCF">
        <w:t>.</w:t>
      </w:r>
    </w:p>
    <w:p w14:paraId="625ED098" w14:textId="77777777" w:rsidR="00151FE2" w:rsidRPr="00C342E6" w:rsidRDefault="00151FE2" w:rsidP="001B5A53">
      <w:pPr>
        <w:jc w:val="both"/>
      </w:pPr>
    </w:p>
    <w:p w14:paraId="6A7536AD" w14:textId="77777777" w:rsidR="001B5A53" w:rsidRDefault="006901AA" w:rsidP="001B5A53">
      <w:pPr>
        <w:jc w:val="both"/>
      </w:pPr>
      <w:r>
        <w:rPr>
          <w:b/>
        </w:rPr>
        <w:lastRenderedPageBreak/>
        <w:t>2</w:t>
      </w:r>
      <w:r w:rsidR="001B5A53" w:rsidRPr="001B5A53">
        <w:rPr>
          <w:b/>
        </w:rPr>
        <w:t xml:space="preserve">) </w:t>
      </w:r>
      <w:r w:rsidR="00E624BB" w:rsidRPr="00406978">
        <w:rPr>
          <w:b/>
          <w:u w:val="single"/>
        </w:rPr>
        <w:t>The Definition of an Acceptable Level of R</w:t>
      </w:r>
      <w:r w:rsidR="001B5A53" w:rsidRPr="00406978">
        <w:rPr>
          <w:b/>
          <w:u w:val="single"/>
        </w:rPr>
        <w:t>eserve</w:t>
      </w:r>
    </w:p>
    <w:p w14:paraId="2DBF746C" w14:textId="77777777" w:rsidR="004B7924" w:rsidRDefault="004B7924" w:rsidP="004B7924">
      <w:pPr>
        <w:jc w:val="both"/>
      </w:pPr>
    </w:p>
    <w:p w14:paraId="24E22A74" w14:textId="77777777" w:rsidR="000C0164" w:rsidRDefault="004B7924" w:rsidP="004B7924">
      <w:pPr>
        <w:jc w:val="both"/>
      </w:pPr>
      <w:r>
        <w:t xml:space="preserve">2.1 </w:t>
      </w:r>
      <w:r w:rsidR="000C0164">
        <w:t>A ‘reserve’ is a balance, not necessarily earmarked for any specific purpose,</w:t>
      </w:r>
      <w:r w:rsidR="00131CBB">
        <w:t xml:space="preserve"> but it may be,</w:t>
      </w:r>
      <w:r w:rsidR="000C0164">
        <w:t xml:space="preserve"> which is held to enable a school to manage unplanned circumstances</w:t>
      </w:r>
      <w:r w:rsidR="004E5C0E">
        <w:t xml:space="preserve"> and</w:t>
      </w:r>
      <w:r w:rsidR="00BB3936">
        <w:t xml:space="preserve"> fluctuations in</w:t>
      </w:r>
      <w:r w:rsidR="00661D45">
        <w:t xml:space="preserve"> expenditure</w:t>
      </w:r>
      <w:r w:rsidR="000C0164">
        <w:t>. In its report in March 2010, the DfE stated, “it is important that schools understand that the 8% and 5% thresholds are not targets…but the maximum percentage, which might be retained to deal with exceptional circumstances…In practice, most primary</w:t>
      </w:r>
      <w:r w:rsidR="00D322B0">
        <w:t xml:space="preserve"> schools</w:t>
      </w:r>
      <w:r w:rsidR="000C0164">
        <w:t xml:space="preserve"> should be able to manage with balances of, say, 4-5% and secondary schools with 2-3%”.</w:t>
      </w:r>
    </w:p>
    <w:p w14:paraId="1383681B" w14:textId="77777777" w:rsidR="004B7924" w:rsidRDefault="004B7924" w:rsidP="004B7924">
      <w:pPr>
        <w:jc w:val="both"/>
      </w:pPr>
    </w:p>
    <w:p w14:paraId="333D7D9F" w14:textId="77777777" w:rsidR="000C0164" w:rsidRDefault="004B7924" w:rsidP="004B7924">
      <w:pPr>
        <w:jc w:val="both"/>
      </w:pPr>
      <w:r>
        <w:t>2.2</w:t>
      </w:r>
      <w:r w:rsidR="00BB3936">
        <w:t xml:space="preserve"> </w:t>
      </w:r>
      <w:r>
        <w:t>The table</w:t>
      </w:r>
      <w:r w:rsidR="008A2308">
        <w:t>s</w:t>
      </w:r>
      <w:r w:rsidR="00BB3936">
        <w:t xml:space="preserve"> below show</w:t>
      </w:r>
      <w:r>
        <w:t xml:space="preserve"> the</w:t>
      </w:r>
      <w:r w:rsidR="00C13882">
        <w:t xml:space="preserve"> (approximate average)</w:t>
      </w:r>
      <w:r>
        <w:t xml:space="preserve"> value</w:t>
      </w:r>
      <w:r w:rsidR="00F4756A">
        <w:t>s</w:t>
      </w:r>
      <w:r>
        <w:t xml:space="preserve"> of reserve</w:t>
      </w:r>
      <w:r w:rsidR="003E562D">
        <w:t>s</w:t>
      </w:r>
      <w:r w:rsidR="000C0164">
        <w:t xml:space="preserve"> that could be held by different sizes of schools</w:t>
      </w:r>
      <w:r w:rsidR="003E562D">
        <w:t>,</w:t>
      </w:r>
      <w:r w:rsidR="000C0164">
        <w:t xml:space="preserve"> when calculated using different percentages of funding</w:t>
      </w:r>
      <w:r w:rsidR="00425874">
        <w:t xml:space="preserve">. </w:t>
      </w:r>
      <w:r w:rsidR="00A27CD4">
        <w:t>Please note that t</w:t>
      </w:r>
      <w:r w:rsidR="00425874">
        <w:t xml:space="preserve">he actual values for individual schools will vary according </w:t>
      </w:r>
      <w:r w:rsidR="00F36FCA">
        <w:t>to the characterist</w:t>
      </w:r>
      <w:r w:rsidR="00F4756A">
        <w:t>ics of the attending pupils</w:t>
      </w:r>
      <w:r w:rsidR="003E562D">
        <w:t>,</w:t>
      </w:r>
      <w:r w:rsidR="00F4756A">
        <w:t xml:space="preserve"> as these influence levels of funding e.g. </w:t>
      </w:r>
      <w:r w:rsidR="003E562D">
        <w:t xml:space="preserve">values </w:t>
      </w:r>
      <w:r w:rsidR="00A27CD4">
        <w:t xml:space="preserve">of </w:t>
      </w:r>
      <w:r w:rsidR="00F4756A">
        <w:t>Pupil Premium</w:t>
      </w:r>
      <w:r w:rsidR="003E562D">
        <w:t xml:space="preserve"> Grant</w:t>
      </w:r>
      <w:r w:rsidR="000C0164">
        <w:t>:</w:t>
      </w:r>
    </w:p>
    <w:p w14:paraId="5908FDE0" w14:textId="77777777" w:rsidR="000C0164" w:rsidRDefault="000C0164" w:rsidP="001B5A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1578"/>
        <w:gridCol w:w="1578"/>
        <w:gridCol w:w="1529"/>
        <w:gridCol w:w="1510"/>
      </w:tblGrid>
      <w:tr w:rsidR="008A2308" w14:paraId="5D61CC62" w14:textId="77777777" w:rsidTr="006A1AAC">
        <w:tc>
          <w:tcPr>
            <w:tcW w:w="4679" w:type="dxa"/>
            <w:shd w:val="clear" w:color="auto" w:fill="C0C0C0"/>
          </w:tcPr>
          <w:p w14:paraId="49004E4B" w14:textId="77777777" w:rsidR="008A2308" w:rsidRPr="006A1AAC" w:rsidRDefault="008A2308" w:rsidP="006A1AAC">
            <w:pPr>
              <w:jc w:val="both"/>
              <w:rPr>
                <w:b/>
              </w:rPr>
            </w:pPr>
          </w:p>
          <w:p w14:paraId="2BC87DDF" w14:textId="77777777" w:rsidR="008A2308" w:rsidRPr="006A1AAC" w:rsidRDefault="008A2308" w:rsidP="006A1AAC">
            <w:pPr>
              <w:jc w:val="both"/>
              <w:rPr>
                <w:b/>
              </w:rPr>
            </w:pPr>
            <w:r w:rsidRPr="006A1AAC">
              <w:rPr>
                <w:b/>
              </w:rPr>
              <w:t>Primary Schools</w:t>
            </w:r>
          </w:p>
          <w:p w14:paraId="459199B2" w14:textId="77777777" w:rsidR="008A2308" w:rsidRPr="006A1AAC" w:rsidRDefault="008A2308" w:rsidP="006A1AAC">
            <w:pPr>
              <w:jc w:val="both"/>
              <w:rPr>
                <w:b/>
              </w:rPr>
            </w:pPr>
          </w:p>
        </w:tc>
        <w:tc>
          <w:tcPr>
            <w:tcW w:w="1578" w:type="dxa"/>
            <w:shd w:val="clear" w:color="auto" w:fill="C0C0C0"/>
          </w:tcPr>
          <w:p w14:paraId="7DC218A7" w14:textId="77777777" w:rsidR="008A2308" w:rsidRPr="006A1AAC" w:rsidRDefault="008A2308" w:rsidP="006A1AAC">
            <w:pPr>
              <w:jc w:val="center"/>
              <w:rPr>
                <w:b/>
              </w:rPr>
            </w:pPr>
          </w:p>
          <w:p w14:paraId="1A38BA74" w14:textId="77777777" w:rsidR="008A2308" w:rsidRPr="006A1AAC" w:rsidRDefault="008A2308" w:rsidP="00AB4C04">
            <w:pPr>
              <w:jc w:val="center"/>
              <w:rPr>
                <w:b/>
              </w:rPr>
            </w:pPr>
            <w:r w:rsidRPr="006A1AAC">
              <w:rPr>
                <w:b/>
              </w:rPr>
              <w:t>8%</w:t>
            </w:r>
          </w:p>
        </w:tc>
        <w:tc>
          <w:tcPr>
            <w:tcW w:w="1578" w:type="dxa"/>
            <w:shd w:val="clear" w:color="auto" w:fill="CCFFCC"/>
          </w:tcPr>
          <w:p w14:paraId="0D55AA51" w14:textId="77777777" w:rsidR="008A2308" w:rsidRPr="006A1AAC" w:rsidRDefault="008A2308" w:rsidP="006A1AAC">
            <w:pPr>
              <w:jc w:val="center"/>
              <w:rPr>
                <w:b/>
              </w:rPr>
            </w:pPr>
          </w:p>
          <w:p w14:paraId="2A73A56B" w14:textId="77777777" w:rsidR="008A2308" w:rsidRPr="006A1AAC" w:rsidRDefault="008A2308" w:rsidP="006A1AAC">
            <w:pPr>
              <w:jc w:val="center"/>
              <w:rPr>
                <w:b/>
              </w:rPr>
            </w:pPr>
            <w:r w:rsidRPr="006A1AAC">
              <w:rPr>
                <w:b/>
              </w:rPr>
              <w:t>6%</w:t>
            </w:r>
          </w:p>
        </w:tc>
        <w:tc>
          <w:tcPr>
            <w:tcW w:w="1529" w:type="dxa"/>
            <w:shd w:val="clear" w:color="auto" w:fill="C0C0C0"/>
          </w:tcPr>
          <w:p w14:paraId="319DB1FE" w14:textId="77777777" w:rsidR="008A2308" w:rsidRPr="006A1AAC" w:rsidRDefault="008A2308" w:rsidP="006A1AAC">
            <w:pPr>
              <w:jc w:val="center"/>
              <w:rPr>
                <w:b/>
              </w:rPr>
            </w:pPr>
          </w:p>
          <w:p w14:paraId="09C238FD" w14:textId="77777777" w:rsidR="008A2308" w:rsidRPr="006A1AAC" w:rsidRDefault="008A2308" w:rsidP="006A1AAC">
            <w:pPr>
              <w:jc w:val="center"/>
              <w:rPr>
                <w:b/>
              </w:rPr>
            </w:pPr>
            <w:r w:rsidRPr="006A1AAC">
              <w:rPr>
                <w:b/>
              </w:rPr>
              <w:t>5%</w:t>
            </w:r>
          </w:p>
        </w:tc>
        <w:tc>
          <w:tcPr>
            <w:tcW w:w="1510" w:type="dxa"/>
            <w:shd w:val="clear" w:color="auto" w:fill="C0C0C0"/>
          </w:tcPr>
          <w:p w14:paraId="7B1101F8" w14:textId="77777777" w:rsidR="008A2308" w:rsidRPr="006A1AAC" w:rsidRDefault="008A2308" w:rsidP="006A1AAC">
            <w:pPr>
              <w:jc w:val="center"/>
              <w:rPr>
                <w:b/>
              </w:rPr>
            </w:pPr>
          </w:p>
          <w:p w14:paraId="568592E9" w14:textId="77777777" w:rsidR="008A2308" w:rsidRPr="006A1AAC" w:rsidRDefault="008A2308" w:rsidP="006A1AAC">
            <w:pPr>
              <w:jc w:val="center"/>
              <w:rPr>
                <w:b/>
              </w:rPr>
            </w:pPr>
            <w:r w:rsidRPr="006A1AAC">
              <w:rPr>
                <w:b/>
              </w:rPr>
              <w:t>4%</w:t>
            </w:r>
          </w:p>
        </w:tc>
      </w:tr>
      <w:tr w:rsidR="008A2308" w14:paraId="624BEE07" w14:textId="77777777" w:rsidTr="006A1AAC">
        <w:tc>
          <w:tcPr>
            <w:tcW w:w="4679" w:type="dxa"/>
            <w:shd w:val="clear" w:color="auto" w:fill="auto"/>
          </w:tcPr>
          <w:p w14:paraId="0BEAC058" w14:textId="77777777" w:rsidR="008A2308" w:rsidRDefault="008A2308" w:rsidP="006A1AAC">
            <w:pPr>
              <w:jc w:val="both"/>
            </w:pPr>
            <w:r>
              <w:t>Primary 1 Form of Entry</w:t>
            </w:r>
          </w:p>
        </w:tc>
        <w:tc>
          <w:tcPr>
            <w:tcW w:w="1578" w:type="dxa"/>
            <w:shd w:val="clear" w:color="auto" w:fill="auto"/>
          </w:tcPr>
          <w:p w14:paraId="47E1A34B" w14:textId="77777777" w:rsidR="008A2308" w:rsidRDefault="008A2308" w:rsidP="006A1AAC">
            <w:pPr>
              <w:jc w:val="center"/>
            </w:pPr>
            <w:r>
              <w:t>£80,000</w:t>
            </w:r>
          </w:p>
        </w:tc>
        <w:tc>
          <w:tcPr>
            <w:tcW w:w="1578" w:type="dxa"/>
            <w:shd w:val="clear" w:color="auto" w:fill="CCFFCC"/>
          </w:tcPr>
          <w:p w14:paraId="36425E58" w14:textId="77777777" w:rsidR="008A2308" w:rsidRDefault="008A2308" w:rsidP="006A1AAC">
            <w:pPr>
              <w:jc w:val="center"/>
            </w:pPr>
            <w:r>
              <w:t>£60,000</w:t>
            </w:r>
          </w:p>
        </w:tc>
        <w:tc>
          <w:tcPr>
            <w:tcW w:w="1529" w:type="dxa"/>
            <w:shd w:val="clear" w:color="auto" w:fill="auto"/>
          </w:tcPr>
          <w:p w14:paraId="2B2A379A" w14:textId="77777777" w:rsidR="008A2308" w:rsidRDefault="00C13882" w:rsidP="006A1AAC">
            <w:pPr>
              <w:jc w:val="center"/>
            </w:pPr>
            <w:r>
              <w:t>£50,000</w:t>
            </w:r>
          </w:p>
        </w:tc>
        <w:tc>
          <w:tcPr>
            <w:tcW w:w="1510" w:type="dxa"/>
            <w:shd w:val="clear" w:color="auto" w:fill="auto"/>
          </w:tcPr>
          <w:p w14:paraId="0DA3DC6D" w14:textId="77777777" w:rsidR="008A2308" w:rsidRDefault="008A2308" w:rsidP="006A1AAC">
            <w:pPr>
              <w:jc w:val="center"/>
            </w:pPr>
            <w:r>
              <w:t>£40,000</w:t>
            </w:r>
          </w:p>
        </w:tc>
      </w:tr>
      <w:tr w:rsidR="008A2308" w14:paraId="419DD895" w14:textId="77777777" w:rsidTr="006A1AAC">
        <w:tc>
          <w:tcPr>
            <w:tcW w:w="4679" w:type="dxa"/>
            <w:shd w:val="clear" w:color="auto" w:fill="auto"/>
          </w:tcPr>
          <w:p w14:paraId="15F777BC" w14:textId="77777777" w:rsidR="008A2308" w:rsidRDefault="008A2308" w:rsidP="006A1AAC">
            <w:pPr>
              <w:jc w:val="both"/>
            </w:pPr>
            <w:r>
              <w:t>Primary 2 Form of Entry</w:t>
            </w:r>
          </w:p>
        </w:tc>
        <w:tc>
          <w:tcPr>
            <w:tcW w:w="1578" w:type="dxa"/>
            <w:shd w:val="clear" w:color="auto" w:fill="auto"/>
          </w:tcPr>
          <w:p w14:paraId="51B91E12" w14:textId="77777777" w:rsidR="008A2308" w:rsidRDefault="008A2308" w:rsidP="006A1AAC">
            <w:pPr>
              <w:jc w:val="center"/>
            </w:pPr>
            <w:r>
              <w:t>£144,000</w:t>
            </w:r>
          </w:p>
        </w:tc>
        <w:tc>
          <w:tcPr>
            <w:tcW w:w="1578" w:type="dxa"/>
            <w:shd w:val="clear" w:color="auto" w:fill="CCFFCC"/>
          </w:tcPr>
          <w:p w14:paraId="45C369E9" w14:textId="77777777" w:rsidR="008A2308" w:rsidRDefault="008A2308" w:rsidP="006A1AAC">
            <w:pPr>
              <w:jc w:val="center"/>
            </w:pPr>
            <w:r>
              <w:t>£108,000</w:t>
            </w:r>
          </w:p>
        </w:tc>
        <w:tc>
          <w:tcPr>
            <w:tcW w:w="1529" w:type="dxa"/>
            <w:shd w:val="clear" w:color="auto" w:fill="auto"/>
          </w:tcPr>
          <w:p w14:paraId="74C2F385" w14:textId="77777777" w:rsidR="008A2308" w:rsidRDefault="00C13882" w:rsidP="006A1AAC">
            <w:pPr>
              <w:jc w:val="center"/>
            </w:pPr>
            <w:r>
              <w:t>£90,000</w:t>
            </w:r>
          </w:p>
        </w:tc>
        <w:tc>
          <w:tcPr>
            <w:tcW w:w="1510" w:type="dxa"/>
            <w:shd w:val="clear" w:color="auto" w:fill="auto"/>
          </w:tcPr>
          <w:p w14:paraId="76053A63" w14:textId="77777777" w:rsidR="008A2308" w:rsidRDefault="008A2308" w:rsidP="006A1AAC">
            <w:pPr>
              <w:jc w:val="center"/>
            </w:pPr>
            <w:r>
              <w:t>£72,000</w:t>
            </w:r>
          </w:p>
        </w:tc>
      </w:tr>
      <w:tr w:rsidR="008A2308" w14:paraId="0AC2C74D" w14:textId="77777777" w:rsidTr="006A1AAC">
        <w:tc>
          <w:tcPr>
            <w:tcW w:w="4679" w:type="dxa"/>
            <w:shd w:val="clear" w:color="auto" w:fill="auto"/>
          </w:tcPr>
          <w:p w14:paraId="5F8AA644" w14:textId="77777777" w:rsidR="008A2308" w:rsidRDefault="008A2308" w:rsidP="006A1AAC">
            <w:pPr>
              <w:jc w:val="both"/>
            </w:pPr>
            <w:r>
              <w:t>Primary 3 Form of Entry</w:t>
            </w:r>
          </w:p>
        </w:tc>
        <w:tc>
          <w:tcPr>
            <w:tcW w:w="1578" w:type="dxa"/>
            <w:shd w:val="clear" w:color="auto" w:fill="auto"/>
          </w:tcPr>
          <w:p w14:paraId="65196C3F" w14:textId="77777777" w:rsidR="008A2308" w:rsidRDefault="008A2308" w:rsidP="006A1AAC">
            <w:pPr>
              <w:jc w:val="center"/>
            </w:pPr>
            <w:r>
              <w:t>£212,000</w:t>
            </w:r>
          </w:p>
        </w:tc>
        <w:tc>
          <w:tcPr>
            <w:tcW w:w="1578" w:type="dxa"/>
            <w:shd w:val="clear" w:color="auto" w:fill="CCFFCC"/>
          </w:tcPr>
          <w:p w14:paraId="1B5A9C28" w14:textId="77777777" w:rsidR="008A2308" w:rsidRDefault="008A2308" w:rsidP="006A1AAC">
            <w:pPr>
              <w:jc w:val="center"/>
            </w:pPr>
            <w:r>
              <w:t>£159,000</w:t>
            </w:r>
          </w:p>
        </w:tc>
        <w:tc>
          <w:tcPr>
            <w:tcW w:w="1529" w:type="dxa"/>
            <w:shd w:val="clear" w:color="auto" w:fill="auto"/>
          </w:tcPr>
          <w:p w14:paraId="7E257A40" w14:textId="77777777" w:rsidR="008A2308" w:rsidRDefault="00C13882" w:rsidP="006A1AAC">
            <w:pPr>
              <w:jc w:val="center"/>
            </w:pPr>
            <w:r>
              <w:t>£133,000</w:t>
            </w:r>
          </w:p>
        </w:tc>
        <w:tc>
          <w:tcPr>
            <w:tcW w:w="1510" w:type="dxa"/>
            <w:shd w:val="clear" w:color="auto" w:fill="auto"/>
          </w:tcPr>
          <w:p w14:paraId="7ECFF3A4" w14:textId="77777777" w:rsidR="008A2308" w:rsidRDefault="008A2308" w:rsidP="006A1AAC">
            <w:pPr>
              <w:jc w:val="center"/>
            </w:pPr>
            <w:r>
              <w:t>£106,000</w:t>
            </w:r>
          </w:p>
        </w:tc>
      </w:tr>
    </w:tbl>
    <w:p w14:paraId="6D649E06" w14:textId="77777777" w:rsidR="008A2308" w:rsidRDefault="008A2308" w:rsidP="008A230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1573"/>
        <w:gridCol w:w="1576"/>
        <w:gridCol w:w="1600"/>
        <w:gridCol w:w="1466"/>
      </w:tblGrid>
      <w:tr w:rsidR="008A2308" w:rsidRPr="006A1AAC" w14:paraId="431413B7" w14:textId="77777777" w:rsidTr="006A1AAC">
        <w:tc>
          <w:tcPr>
            <w:tcW w:w="4659" w:type="dxa"/>
            <w:shd w:val="clear" w:color="auto" w:fill="C0C0C0"/>
          </w:tcPr>
          <w:p w14:paraId="480F5034" w14:textId="77777777" w:rsidR="008A2308" w:rsidRPr="006A1AAC" w:rsidRDefault="008A2308" w:rsidP="006A1AAC">
            <w:pPr>
              <w:jc w:val="both"/>
              <w:rPr>
                <w:b/>
              </w:rPr>
            </w:pPr>
          </w:p>
          <w:p w14:paraId="0E84B6D5" w14:textId="77777777" w:rsidR="008A2308" w:rsidRPr="006A1AAC" w:rsidRDefault="008A2308" w:rsidP="006A1AAC">
            <w:pPr>
              <w:jc w:val="both"/>
              <w:rPr>
                <w:b/>
              </w:rPr>
            </w:pPr>
            <w:r w:rsidRPr="006A1AAC">
              <w:rPr>
                <w:b/>
              </w:rPr>
              <w:t>Secondary Schools</w:t>
            </w:r>
          </w:p>
          <w:p w14:paraId="1466B7FD" w14:textId="77777777" w:rsidR="008A2308" w:rsidRPr="006A1AAC" w:rsidRDefault="008A2308" w:rsidP="006A1AAC">
            <w:pPr>
              <w:jc w:val="both"/>
              <w:rPr>
                <w:b/>
              </w:rPr>
            </w:pPr>
          </w:p>
        </w:tc>
        <w:tc>
          <w:tcPr>
            <w:tcW w:w="1573" w:type="dxa"/>
            <w:shd w:val="clear" w:color="auto" w:fill="C0C0C0"/>
          </w:tcPr>
          <w:p w14:paraId="43AD17A3" w14:textId="77777777" w:rsidR="008A2308" w:rsidRPr="006A1AAC" w:rsidRDefault="008A2308" w:rsidP="006A1AAC">
            <w:pPr>
              <w:jc w:val="center"/>
              <w:rPr>
                <w:b/>
              </w:rPr>
            </w:pPr>
          </w:p>
          <w:p w14:paraId="6270A0EE" w14:textId="77777777" w:rsidR="008A2308" w:rsidRPr="006A1AAC" w:rsidRDefault="008A2308" w:rsidP="006A1AAC">
            <w:pPr>
              <w:jc w:val="center"/>
              <w:rPr>
                <w:b/>
              </w:rPr>
            </w:pPr>
            <w:r w:rsidRPr="006A1AAC">
              <w:rPr>
                <w:b/>
              </w:rPr>
              <w:t>5%</w:t>
            </w:r>
          </w:p>
        </w:tc>
        <w:tc>
          <w:tcPr>
            <w:tcW w:w="1576" w:type="dxa"/>
            <w:shd w:val="clear" w:color="auto" w:fill="CCFFCC"/>
          </w:tcPr>
          <w:p w14:paraId="15DAA6B3" w14:textId="77777777" w:rsidR="008A2308" w:rsidRPr="006A1AAC" w:rsidRDefault="008A2308" w:rsidP="006A1AAC">
            <w:pPr>
              <w:jc w:val="center"/>
              <w:rPr>
                <w:b/>
              </w:rPr>
            </w:pPr>
          </w:p>
          <w:p w14:paraId="0039EB83" w14:textId="77777777" w:rsidR="008A2308" w:rsidRPr="006A1AAC" w:rsidRDefault="008A2308" w:rsidP="006A1AAC">
            <w:pPr>
              <w:jc w:val="center"/>
              <w:rPr>
                <w:b/>
              </w:rPr>
            </w:pPr>
            <w:r w:rsidRPr="006A1AAC">
              <w:rPr>
                <w:b/>
              </w:rPr>
              <w:t>4%</w:t>
            </w:r>
          </w:p>
        </w:tc>
        <w:tc>
          <w:tcPr>
            <w:tcW w:w="1600" w:type="dxa"/>
            <w:shd w:val="clear" w:color="auto" w:fill="C0C0C0"/>
          </w:tcPr>
          <w:p w14:paraId="490CA2D5" w14:textId="77777777" w:rsidR="008A2308" w:rsidRPr="006A1AAC" w:rsidRDefault="008A2308" w:rsidP="006A1AAC">
            <w:pPr>
              <w:jc w:val="center"/>
              <w:rPr>
                <w:b/>
              </w:rPr>
            </w:pPr>
          </w:p>
          <w:p w14:paraId="04CF9F99" w14:textId="77777777" w:rsidR="008A2308" w:rsidRPr="006A1AAC" w:rsidRDefault="008A2308" w:rsidP="006A1AAC">
            <w:pPr>
              <w:jc w:val="center"/>
              <w:rPr>
                <w:b/>
              </w:rPr>
            </w:pPr>
            <w:r w:rsidRPr="006A1AAC">
              <w:rPr>
                <w:b/>
              </w:rPr>
              <w:t>3%</w:t>
            </w:r>
          </w:p>
        </w:tc>
        <w:tc>
          <w:tcPr>
            <w:tcW w:w="1466" w:type="dxa"/>
            <w:shd w:val="clear" w:color="auto" w:fill="C0C0C0"/>
          </w:tcPr>
          <w:p w14:paraId="2C2A66C2" w14:textId="77777777" w:rsidR="008A2308" w:rsidRPr="006A1AAC" w:rsidRDefault="008A2308" w:rsidP="006A1AAC">
            <w:pPr>
              <w:jc w:val="center"/>
              <w:rPr>
                <w:b/>
              </w:rPr>
            </w:pPr>
          </w:p>
          <w:p w14:paraId="71B4E076" w14:textId="77777777" w:rsidR="008A2308" w:rsidRPr="006A1AAC" w:rsidRDefault="008A2308" w:rsidP="006A1AAC">
            <w:pPr>
              <w:jc w:val="center"/>
              <w:rPr>
                <w:b/>
              </w:rPr>
            </w:pPr>
            <w:r w:rsidRPr="006A1AAC">
              <w:rPr>
                <w:b/>
              </w:rPr>
              <w:t>2%</w:t>
            </w:r>
          </w:p>
        </w:tc>
      </w:tr>
      <w:tr w:rsidR="008A2308" w14:paraId="48CDED7C" w14:textId="77777777" w:rsidTr="006A1AAC">
        <w:tc>
          <w:tcPr>
            <w:tcW w:w="4659" w:type="dxa"/>
            <w:shd w:val="clear" w:color="auto" w:fill="auto"/>
          </w:tcPr>
          <w:p w14:paraId="74452F44" w14:textId="77777777" w:rsidR="008A2308" w:rsidRDefault="008A2308" w:rsidP="006A1AAC">
            <w:pPr>
              <w:jc w:val="both"/>
            </w:pPr>
            <w:r>
              <w:t>Secondary 6 Form of Entry</w:t>
            </w:r>
          </w:p>
        </w:tc>
        <w:tc>
          <w:tcPr>
            <w:tcW w:w="1573" w:type="dxa"/>
            <w:shd w:val="clear" w:color="auto" w:fill="auto"/>
          </w:tcPr>
          <w:p w14:paraId="1D33311A" w14:textId="77777777" w:rsidR="008A2308" w:rsidRDefault="008A2308" w:rsidP="006A1AAC">
            <w:pPr>
              <w:jc w:val="center"/>
            </w:pPr>
            <w:r>
              <w:t>£300,000</w:t>
            </w:r>
          </w:p>
        </w:tc>
        <w:tc>
          <w:tcPr>
            <w:tcW w:w="1576" w:type="dxa"/>
            <w:shd w:val="clear" w:color="auto" w:fill="CCFFCC"/>
          </w:tcPr>
          <w:p w14:paraId="4FEF6D6A" w14:textId="77777777" w:rsidR="008A2308" w:rsidRDefault="00C13882" w:rsidP="006A1AAC">
            <w:pPr>
              <w:jc w:val="center"/>
            </w:pPr>
            <w:r>
              <w:t>£240,000</w:t>
            </w:r>
          </w:p>
        </w:tc>
        <w:tc>
          <w:tcPr>
            <w:tcW w:w="1600" w:type="dxa"/>
            <w:shd w:val="clear" w:color="auto" w:fill="auto"/>
          </w:tcPr>
          <w:p w14:paraId="2F45537A" w14:textId="77777777" w:rsidR="008A2308" w:rsidRDefault="008A2308" w:rsidP="006A1AAC">
            <w:pPr>
              <w:jc w:val="center"/>
            </w:pPr>
            <w:r>
              <w:t>£180,000</w:t>
            </w:r>
          </w:p>
        </w:tc>
        <w:tc>
          <w:tcPr>
            <w:tcW w:w="1466" w:type="dxa"/>
            <w:shd w:val="clear" w:color="auto" w:fill="auto"/>
          </w:tcPr>
          <w:p w14:paraId="11A02C3D" w14:textId="77777777" w:rsidR="008A2308" w:rsidRDefault="008A2308" w:rsidP="006A1AAC">
            <w:pPr>
              <w:jc w:val="center"/>
            </w:pPr>
            <w:r>
              <w:t>£120,000</w:t>
            </w:r>
          </w:p>
        </w:tc>
      </w:tr>
      <w:tr w:rsidR="008A2308" w14:paraId="3A871874" w14:textId="77777777" w:rsidTr="006A1AAC">
        <w:tc>
          <w:tcPr>
            <w:tcW w:w="4659" w:type="dxa"/>
            <w:shd w:val="clear" w:color="auto" w:fill="auto"/>
          </w:tcPr>
          <w:p w14:paraId="1F1C9946" w14:textId="77777777" w:rsidR="008A2308" w:rsidRDefault="008A2308" w:rsidP="006A1AAC">
            <w:pPr>
              <w:jc w:val="both"/>
            </w:pPr>
            <w:r>
              <w:t>Secondary 8 Form of Entry</w:t>
            </w:r>
          </w:p>
        </w:tc>
        <w:tc>
          <w:tcPr>
            <w:tcW w:w="1573" w:type="dxa"/>
            <w:shd w:val="clear" w:color="auto" w:fill="auto"/>
          </w:tcPr>
          <w:p w14:paraId="2730C323" w14:textId="77777777" w:rsidR="008A2308" w:rsidRDefault="008A2308" w:rsidP="006A1AAC">
            <w:pPr>
              <w:jc w:val="center"/>
            </w:pPr>
            <w:r>
              <w:t>£365,000</w:t>
            </w:r>
          </w:p>
        </w:tc>
        <w:tc>
          <w:tcPr>
            <w:tcW w:w="1576" w:type="dxa"/>
            <w:shd w:val="clear" w:color="auto" w:fill="CCFFCC"/>
          </w:tcPr>
          <w:p w14:paraId="14BACBBE" w14:textId="77777777" w:rsidR="008A2308" w:rsidRDefault="00C13882" w:rsidP="006A1AAC">
            <w:pPr>
              <w:jc w:val="center"/>
            </w:pPr>
            <w:r>
              <w:t>£292,000</w:t>
            </w:r>
          </w:p>
        </w:tc>
        <w:tc>
          <w:tcPr>
            <w:tcW w:w="1600" w:type="dxa"/>
            <w:shd w:val="clear" w:color="auto" w:fill="auto"/>
          </w:tcPr>
          <w:p w14:paraId="5D26EA13" w14:textId="77777777" w:rsidR="008A2308" w:rsidRDefault="008A2308" w:rsidP="006A1AAC">
            <w:pPr>
              <w:jc w:val="center"/>
            </w:pPr>
            <w:r>
              <w:t>£219,000</w:t>
            </w:r>
          </w:p>
        </w:tc>
        <w:tc>
          <w:tcPr>
            <w:tcW w:w="1466" w:type="dxa"/>
            <w:shd w:val="clear" w:color="auto" w:fill="auto"/>
          </w:tcPr>
          <w:p w14:paraId="38EEC1A1" w14:textId="77777777" w:rsidR="008A2308" w:rsidRDefault="008A2308" w:rsidP="006A1AAC">
            <w:pPr>
              <w:jc w:val="center"/>
            </w:pPr>
            <w:r>
              <w:t>£146,000</w:t>
            </w:r>
          </w:p>
        </w:tc>
      </w:tr>
      <w:tr w:rsidR="008A2308" w14:paraId="6AD3D1C3" w14:textId="77777777" w:rsidTr="006A1AAC">
        <w:tc>
          <w:tcPr>
            <w:tcW w:w="4659" w:type="dxa"/>
            <w:shd w:val="clear" w:color="auto" w:fill="auto"/>
          </w:tcPr>
          <w:p w14:paraId="6BC1E13F" w14:textId="77777777" w:rsidR="008A2308" w:rsidRDefault="008A2308" w:rsidP="006A1AAC">
            <w:pPr>
              <w:jc w:val="both"/>
            </w:pPr>
            <w:r>
              <w:t>Secondary 10 Form of Entry</w:t>
            </w:r>
          </w:p>
        </w:tc>
        <w:tc>
          <w:tcPr>
            <w:tcW w:w="1573" w:type="dxa"/>
            <w:shd w:val="clear" w:color="auto" w:fill="auto"/>
          </w:tcPr>
          <w:p w14:paraId="07EB1631" w14:textId="77777777" w:rsidR="008A2308" w:rsidRDefault="008A2308" w:rsidP="006A1AAC">
            <w:pPr>
              <w:jc w:val="center"/>
            </w:pPr>
            <w:r>
              <w:t>£475,000</w:t>
            </w:r>
          </w:p>
        </w:tc>
        <w:tc>
          <w:tcPr>
            <w:tcW w:w="1576" w:type="dxa"/>
            <w:shd w:val="clear" w:color="auto" w:fill="CCFFCC"/>
          </w:tcPr>
          <w:p w14:paraId="60BF0348" w14:textId="77777777" w:rsidR="008A2308" w:rsidRDefault="00C13882" w:rsidP="006A1AAC">
            <w:pPr>
              <w:jc w:val="center"/>
            </w:pPr>
            <w:r>
              <w:t>£380,000</w:t>
            </w:r>
          </w:p>
        </w:tc>
        <w:tc>
          <w:tcPr>
            <w:tcW w:w="1600" w:type="dxa"/>
            <w:shd w:val="clear" w:color="auto" w:fill="auto"/>
          </w:tcPr>
          <w:p w14:paraId="1AEDC4D0" w14:textId="77777777" w:rsidR="008A2308" w:rsidRDefault="008A2308" w:rsidP="006A1AAC">
            <w:pPr>
              <w:jc w:val="center"/>
            </w:pPr>
            <w:r>
              <w:t>£285,000</w:t>
            </w:r>
          </w:p>
        </w:tc>
        <w:tc>
          <w:tcPr>
            <w:tcW w:w="1466" w:type="dxa"/>
            <w:shd w:val="clear" w:color="auto" w:fill="auto"/>
          </w:tcPr>
          <w:p w14:paraId="2EA4295E" w14:textId="77777777" w:rsidR="008A2308" w:rsidRDefault="008A2308" w:rsidP="006A1AAC">
            <w:pPr>
              <w:jc w:val="center"/>
            </w:pPr>
            <w:r>
              <w:t>£190,000</w:t>
            </w:r>
          </w:p>
        </w:tc>
      </w:tr>
    </w:tbl>
    <w:p w14:paraId="5B232524" w14:textId="77777777" w:rsidR="008A2308" w:rsidRDefault="008A2308" w:rsidP="008A2308">
      <w:pPr>
        <w:jc w:val="both"/>
      </w:pPr>
    </w:p>
    <w:p w14:paraId="6E54C74B" w14:textId="77777777" w:rsidR="00E624BB" w:rsidRDefault="008A2308" w:rsidP="008A2308">
      <w:pPr>
        <w:jc w:val="both"/>
      </w:pPr>
      <w:r>
        <w:t xml:space="preserve">2.3 </w:t>
      </w:r>
      <w:r w:rsidR="0093556E">
        <w:t>For the purposes of this Protocol, a</w:t>
      </w:r>
      <w:r w:rsidR="00E652B8">
        <w:t>n accept</w:t>
      </w:r>
      <w:r w:rsidR="00C13882">
        <w:t>able l</w:t>
      </w:r>
      <w:r w:rsidR="004E5C0E">
        <w:t>evel of revenue reserve is</w:t>
      </w:r>
      <w:r w:rsidR="00E652B8">
        <w:t xml:space="preserve"> defined as:</w:t>
      </w:r>
    </w:p>
    <w:p w14:paraId="456E73B1" w14:textId="77777777" w:rsidR="00E652B8" w:rsidRDefault="00E652B8" w:rsidP="001B5A53">
      <w:pPr>
        <w:jc w:val="both"/>
      </w:pPr>
    </w:p>
    <w:p w14:paraId="3959396C" w14:textId="77777777" w:rsidR="00E652B8" w:rsidRPr="004E5C0E" w:rsidRDefault="00131CBB" w:rsidP="00E652B8">
      <w:pPr>
        <w:numPr>
          <w:ilvl w:val="0"/>
          <w:numId w:val="21"/>
        </w:numPr>
        <w:jc w:val="both"/>
        <w:rPr>
          <w:b/>
        </w:rPr>
      </w:pPr>
      <w:r>
        <w:rPr>
          <w:b/>
        </w:rPr>
        <w:t xml:space="preserve">Primary </w:t>
      </w:r>
      <w:r w:rsidRPr="005E4AA6">
        <w:rPr>
          <w:b/>
        </w:rPr>
        <w:t>and</w:t>
      </w:r>
      <w:r w:rsidR="00E652B8" w:rsidRPr="005E4AA6">
        <w:rPr>
          <w:b/>
        </w:rPr>
        <w:t xml:space="preserve"> Nursery school</w:t>
      </w:r>
      <w:r w:rsidR="00700284" w:rsidRPr="005E4AA6">
        <w:rPr>
          <w:b/>
        </w:rPr>
        <w:t>s</w:t>
      </w:r>
      <w:r w:rsidR="00E652B8" w:rsidRPr="004E5C0E">
        <w:rPr>
          <w:b/>
        </w:rPr>
        <w:t xml:space="preserve">: </w:t>
      </w:r>
      <w:r w:rsidR="00F34C0F">
        <w:rPr>
          <w:b/>
        </w:rPr>
        <w:t>the greater of</w:t>
      </w:r>
      <w:r w:rsidR="00700284">
        <w:rPr>
          <w:b/>
        </w:rPr>
        <w:t xml:space="preserve"> </w:t>
      </w:r>
      <w:r w:rsidR="00167BFE" w:rsidRPr="004E5C0E">
        <w:rPr>
          <w:b/>
        </w:rPr>
        <w:t>6</w:t>
      </w:r>
      <w:r w:rsidR="00E652B8" w:rsidRPr="004E5C0E">
        <w:rPr>
          <w:b/>
        </w:rPr>
        <w:t xml:space="preserve">% of </w:t>
      </w:r>
      <w:r w:rsidR="00624518" w:rsidRPr="004E5C0E">
        <w:rPr>
          <w:b/>
        </w:rPr>
        <w:t>the total of I01 to I05 funding allocated to the school in that financial year</w:t>
      </w:r>
      <w:r w:rsidR="00F34C0F">
        <w:rPr>
          <w:b/>
        </w:rPr>
        <w:t>,</w:t>
      </w:r>
      <w:r w:rsidR="008358B8" w:rsidRPr="004E5C0E">
        <w:rPr>
          <w:b/>
        </w:rPr>
        <w:t xml:space="preserve"> or £6</w:t>
      </w:r>
      <w:r w:rsidR="00700284">
        <w:rPr>
          <w:b/>
        </w:rPr>
        <w:t>0,000</w:t>
      </w:r>
      <w:r w:rsidR="00F34C0F">
        <w:rPr>
          <w:b/>
        </w:rPr>
        <w:t>.</w:t>
      </w:r>
    </w:p>
    <w:p w14:paraId="2EFCC232" w14:textId="77777777" w:rsidR="00624518" w:rsidRPr="000C0164" w:rsidRDefault="00624518" w:rsidP="00624518">
      <w:pPr>
        <w:ind w:left="720"/>
        <w:jc w:val="both"/>
        <w:rPr>
          <w:b/>
        </w:rPr>
      </w:pPr>
    </w:p>
    <w:p w14:paraId="31B2C976" w14:textId="77777777" w:rsidR="00624518" w:rsidRDefault="00624518" w:rsidP="00624518">
      <w:pPr>
        <w:numPr>
          <w:ilvl w:val="0"/>
          <w:numId w:val="21"/>
        </w:numPr>
        <w:jc w:val="both"/>
        <w:rPr>
          <w:b/>
        </w:rPr>
      </w:pPr>
      <w:r w:rsidRPr="004E5C0E">
        <w:rPr>
          <w:b/>
        </w:rPr>
        <w:t xml:space="preserve">Secondary schools: </w:t>
      </w:r>
      <w:r w:rsidR="00167BFE" w:rsidRPr="004E5C0E">
        <w:rPr>
          <w:b/>
        </w:rPr>
        <w:t>4</w:t>
      </w:r>
      <w:r w:rsidRPr="004E5C0E">
        <w:rPr>
          <w:b/>
        </w:rPr>
        <w:t>% of the total of I01 to I05 funding allocated to the school in that financial year</w:t>
      </w:r>
      <w:r w:rsidR="00F34C0F">
        <w:rPr>
          <w:b/>
        </w:rPr>
        <w:t>.</w:t>
      </w:r>
    </w:p>
    <w:p w14:paraId="32E790C8" w14:textId="77777777" w:rsidR="00131CBB" w:rsidRDefault="00131CBB" w:rsidP="00131CBB">
      <w:pPr>
        <w:jc w:val="both"/>
        <w:rPr>
          <w:b/>
        </w:rPr>
      </w:pPr>
    </w:p>
    <w:p w14:paraId="78AA051F" w14:textId="77777777" w:rsidR="00131CBB" w:rsidRPr="00EF7672" w:rsidRDefault="00131CBB" w:rsidP="00624518">
      <w:pPr>
        <w:numPr>
          <w:ilvl w:val="0"/>
          <w:numId w:val="21"/>
        </w:numPr>
        <w:jc w:val="both"/>
        <w:rPr>
          <w:b/>
        </w:rPr>
      </w:pPr>
      <w:r w:rsidRPr="00EF7672">
        <w:rPr>
          <w:b/>
        </w:rPr>
        <w:t>Special schools and Pupil Referral Units: the greater of 6%, £60,000</w:t>
      </w:r>
      <w:r w:rsidR="00F34C0F">
        <w:rPr>
          <w:b/>
        </w:rPr>
        <w:t>,</w:t>
      </w:r>
      <w:r w:rsidRPr="00EF7672">
        <w:rPr>
          <w:b/>
        </w:rPr>
        <w:t xml:space="preserve"> or 85% of 1 mo</w:t>
      </w:r>
      <w:r w:rsidR="00376437" w:rsidRPr="00EF7672">
        <w:rPr>
          <w:b/>
        </w:rPr>
        <w:t>n</w:t>
      </w:r>
      <w:r w:rsidRPr="00EF7672">
        <w:rPr>
          <w:b/>
        </w:rPr>
        <w:t>th’s average payment + £20,000</w:t>
      </w:r>
      <w:r w:rsidR="00F34C0F">
        <w:rPr>
          <w:b/>
        </w:rPr>
        <w:t>.</w:t>
      </w:r>
    </w:p>
    <w:p w14:paraId="2D936681" w14:textId="77777777" w:rsidR="00E624BB" w:rsidRDefault="00E624BB" w:rsidP="001B5A53">
      <w:pPr>
        <w:jc w:val="both"/>
      </w:pPr>
    </w:p>
    <w:p w14:paraId="0AD0409A" w14:textId="77777777" w:rsidR="002A2F83" w:rsidRDefault="00FC0759" w:rsidP="00FC0759">
      <w:pPr>
        <w:jc w:val="both"/>
      </w:pPr>
      <w:r>
        <w:t xml:space="preserve">2.4 </w:t>
      </w:r>
      <w:r w:rsidR="008358B8">
        <w:t>A £6</w:t>
      </w:r>
      <w:r w:rsidR="00FA4B27">
        <w:t xml:space="preserve">0,000 cash minimum </w:t>
      </w:r>
      <w:r w:rsidR="0098075C">
        <w:t>e</w:t>
      </w:r>
      <w:r w:rsidR="00C17A19">
        <w:t>nable</w:t>
      </w:r>
      <w:r w:rsidR="002D4C2C">
        <w:t>s</w:t>
      </w:r>
      <w:r w:rsidR="00C17A19">
        <w:t xml:space="preserve"> smaller schools</w:t>
      </w:r>
      <w:r w:rsidR="0098075C">
        <w:t xml:space="preserve"> to retain an appropriate level of cash reserve</w:t>
      </w:r>
      <w:r w:rsidR="007D66FB">
        <w:t xml:space="preserve"> to remain resilient</w:t>
      </w:r>
      <w:r w:rsidR="00002AB9">
        <w:t>.</w:t>
      </w:r>
    </w:p>
    <w:p w14:paraId="724B1056" w14:textId="77777777" w:rsidR="006E2169" w:rsidRDefault="006E2169" w:rsidP="00FC0759">
      <w:pPr>
        <w:jc w:val="both"/>
      </w:pPr>
    </w:p>
    <w:p w14:paraId="44BE9C84" w14:textId="77777777" w:rsidR="008358B8" w:rsidRDefault="00D32C39" w:rsidP="00FC0759">
      <w:pPr>
        <w:jc w:val="both"/>
      </w:pPr>
      <w:r>
        <w:t>2.5 The thresholds have been</w:t>
      </w:r>
      <w:r w:rsidR="008358B8">
        <w:t xml:space="preserve"> set recognising that schools </w:t>
      </w:r>
      <w:r w:rsidR="00C17A19">
        <w:t xml:space="preserve">will wish </w:t>
      </w:r>
      <w:r w:rsidR="003E5D75">
        <w:t>to build in some ‘room</w:t>
      </w:r>
      <w:r w:rsidR="00C17A19">
        <w:t>’</w:t>
      </w:r>
      <w:r w:rsidR="008358B8">
        <w:t xml:space="preserve"> in their planning to avoid the risk of clawback. In reality th</w:t>
      </w:r>
      <w:r w:rsidR="00C17A19">
        <w:t>erefore, schools are likely to</w:t>
      </w:r>
      <w:r w:rsidR="008358B8">
        <w:t xml:space="preserve"> hold balances lower</w:t>
      </w:r>
      <w:r w:rsidR="00D72BA4">
        <w:t xml:space="preserve"> than 6% / 4%</w:t>
      </w:r>
      <w:r w:rsidR="008358B8">
        <w:t>.</w:t>
      </w:r>
    </w:p>
    <w:p w14:paraId="5F8755BC" w14:textId="77777777" w:rsidR="00FC0759" w:rsidRDefault="00FC0759" w:rsidP="00FC0759">
      <w:pPr>
        <w:jc w:val="both"/>
      </w:pPr>
    </w:p>
    <w:p w14:paraId="65F0E8B5" w14:textId="77777777" w:rsidR="0098075C" w:rsidRDefault="005E4AA6" w:rsidP="00855C9D">
      <w:pPr>
        <w:jc w:val="both"/>
      </w:pPr>
      <w:r>
        <w:t>2.6</w:t>
      </w:r>
      <w:r w:rsidR="001E55DE">
        <w:t xml:space="preserve"> </w:t>
      </w:r>
      <w:r w:rsidR="008E37B2">
        <w:t xml:space="preserve">To provide certainty for schools, </w:t>
      </w:r>
      <w:r w:rsidR="00624518">
        <w:t>a school’s maximum revenue ba</w:t>
      </w:r>
      <w:r w:rsidR="00855C9D">
        <w:t>lance</w:t>
      </w:r>
      <w:r w:rsidR="00D32C39">
        <w:t xml:space="preserve"> (‘threshold’)</w:t>
      </w:r>
      <w:r w:rsidR="00855C9D">
        <w:t xml:space="preserve"> will be calculated on the S</w:t>
      </w:r>
      <w:r w:rsidR="00601EC8">
        <w:t xml:space="preserve">ection </w:t>
      </w:r>
      <w:r w:rsidR="00855C9D">
        <w:t>251</w:t>
      </w:r>
      <w:r w:rsidR="00624518">
        <w:t xml:space="preserve"> </w:t>
      </w:r>
      <w:r w:rsidR="00601EC8">
        <w:t xml:space="preserve">funding </w:t>
      </w:r>
      <w:r w:rsidR="00624518">
        <w:t>figure</w:t>
      </w:r>
      <w:r w:rsidR="008E37B2">
        <w:t>, published in March each year,</w:t>
      </w:r>
      <w:r w:rsidR="00624518">
        <w:t xml:space="preserve"> and will not be </w:t>
      </w:r>
      <w:r w:rsidR="009D5C7C">
        <w:t>subsequently adjusted</w:t>
      </w:r>
      <w:r w:rsidR="00624518">
        <w:t xml:space="preserve">. </w:t>
      </w:r>
      <w:r w:rsidR="00B04E61">
        <w:t xml:space="preserve">This </w:t>
      </w:r>
      <w:r w:rsidR="009D5C7C">
        <w:t>mean</w:t>
      </w:r>
      <w:r w:rsidR="00B04E61">
        <w:t>s</w:t>
      </w:r>
      <w:r w:rsidR="009D5C7C">
        <w:t xml:space="preserve"> that every school will be</w:t>
      </w:r>
      <w:r w:rsidR="00624518">
        <w:t xml:space="preserve"> clear at the beginning of the financial year</w:t>
      </w:r>
      <w:r w:rsidR="00FA4B27">
        <w:t>, and before the school’s budget is set by governors</w:t>
      </w:r>
      <w:r w:rsidR="00D72BA4">
        <w:t xml:space="preserve"> (</w:t>
      </w:r>
      <w:r w:rsidR="00601EC8">
        <w:t>in May)</w:t>
      </w:r>
      <w:r w:rsidR="00FA4B27">
        <w:t>,</w:t>
      </w:r>
      <w:r w:rsidR="00624518">
        <w:t xml:space="preserve"> what</w:t>
      </w:r>
      <w:r w:rsidR="009D5C7C">
        <w:t xml:space="preserve"> the maximum</w:t>
      </w:r>
      <w:r w:rsidR="009143CE">
        <w:t xml:space="preserve"> revenue</w:t>
      </w:r>
      <w:r w:rsidR="009D5C7C">
        <w:t xml:space="preserve"> balance</w:t>
      </w:r>
      <w:r w:rsidR="00B04E61">
        <w:t xml:space="preserve"> is</w:t>
      </w:r>
      <w:r w:rsidR="009D5C7C">
        <w:t xml:space="preserve"> that</w:t>
      </w:r>
      <w:r w:rsidR="00B04E61">
        <w:t xml:space="preserve"> the school</w:t>
      </w:r>
      <w:r w:rsidR="009D5C7C">
        <w:t xml:space="preserve"> </w:t>
      </w:r>
      <w:r w:rsidR="00D32C39">
        <w:t>can hold at the end of that year</w:t>
      </w:r>
      <w:r w:rsidR="00131CBB">
        <w:t xml:space="preserve"> without this balance being defined as an ‘excess’ balance</w:t>
      </w:r>
      <w:r w:rsidR="00624518">
        <w:t>.</w:t>
      </w:r>
      <w:r w:rsidR="00B04E61">
        <w:t xml:space="preserve"> </w:t>
      </w:r>
      <w:r w:rsidR="008E37B2">
        <w:t>To support schools</w:t>
      </w:r>
      <w:r w:rsidR="00016368">
        <w:t xml:space="preserve">, the Authority will </w:t>
      </w:r>
      <w:r w:rsidR="00D32C39">
        <w:t>pre-populate each school’s ‘t</w:t>
      </w:r>
      <w:r w:rsidR="006F6CEC">
        <w:t>hreshold</w:t>
      </w:r>
      <w:r w:rsidR="00D32C39">
        <w:t>’</w:t>
      </w:r>
      <w:r w:rsidR="006F6CEC">
        <w:t xml:space="preserve"> within the template </w:t>
      </w:r>
      <w:r w:rsidR="00F34C0F">
        <w:t xml:space="preserve">that is </w:t>
      </w:r>
      <w:r w:rsidR="006F6CEC">
        <w:t>used by schools for submitting to the Authority governor approved budgets and quarterly budget monitoring returns.</w:t>
      </w:r>
      <w:r w:rsidR="000357EA">
        <w:t xml:space="preserve"> These templates are published each year in February and June respectively.</w:t>
      </w:r>
    </w:p>
    <w:p w14:paraId="661C58AB" w14:textId="77777777" w:rsidR="009143CE" w:rsidRDefault="009143CE" w:rsidP="009143CE">
      <w:pPr>
        <w:pStyle w:val="ListParagraph"/>
      </w:pPr>
    </w:p>
    <w:p w14:paraId="68828E0E" w14:textId="0ADCA8D8" w:rsidR="009143CE" w:rsidRDefault="005E4AA6" w:rsidP="00855C9D">
      <w:pPr>
        <w:jc w:val="both"/>
      </w:pPr>
      <w:r>
        <w:t>2.7</w:t>
      </w:r>
      <w:r w:rsidR="002B0B2F">
        <w:t xml:space="preserve"> </w:t>
      </w:r>
      <w:r w:rsidR="009143CE">
        <w:t>Schools that hold revenue</w:t>
      </w:r>
      <w:r w:rsidR="00601EC8">
        <w:t xml:space="preserve"> balances</w:t>
      </w:r>
      <w:r w:rsidR="00B464B8">
        <w:t xml:space="preserve"> at year end</w:t>
      </w:r>
      <w:r w:rsidR="00F34C0F">
        <w:t xml:space="preserve"> that </w:t>
      </w:r>
      <w:r w:rsidR="00C6741B">
        <w:t xml:space="preserve">are </w:t>
      </w:r>
      <w:r w:rsidR="00F34C0F">
        <w:t xml:space="preserve">equal, or are lower, than the value of their threshold </w:t>
      </w:r>
      <w:r w:rsidR="009143CE">
        <w:t xml:space="preserve">will not be required to take any </w:t>
      </w:r>
      <w:r w:rsidR="0027532A">
        <w:t xml:space="preserve">additional </w:t>
      </w:r>
      <w:r w:rsidR="009143CE">
        <w:t>action or to submit any additional information to the Local Authority</w:t>
      </w:r>
      <w:r w:rsidR="0027532A">
        <w:t>.</w:t>
      </w:r>
      <w:r w:rsidR="00855C9D">
        <w:t xml:space="preserve"> Schools that </w:t>
      </w:r>
      <w:r w:rsidR="00F34C0F">
        <w:t>hold revenue balances above their threshold</w:t>
      </w:r>
      <w:r w:rsidR="00B464B8">
        <w:t xml:space="preserve"> must</w:t>
      </w:r>
      <w:r w:rsidR="00855C9D">
        <w:t xml:space="preserve"> submit sch</w:t>
      </w:r>
      <w:r w:rsidR="006501BF">
        <w:t>emes to be approved by the</w:t>
      </w:r>
      <w:r w:rsidR="00855C9D">
        <w:t xml:space="preserve"> Authority</w:t>
      </w:r>
      <w:r w:rsidR="00601EC8">
        <w:t xml:space="preserve">, which commit the value of the </w:t>
      </w:r>
      <w:r w:rsidR="00131CBB">
        <w:t xml:space="preserve">excess </w:t>
      </w:r>
      <w:r w:rsidR="00601EC8">
        <w:t>balance above the threshold</w:t>
      </w:r>
      <w:r w:rsidR="00855C9D">
        <w:t>. Where a school</w:t>
      </w:r>
      <w:r w:rsidR="00131CBB">
        <w:t>’s balance</w:t>
      </w:r>
      <w:r w:rsidR="00A934D2">
        <w:t xml:space="preserve"> is above the threshold and</w:t>
      </w:r>
      <w:r w:rsidR="00855C9D">
        <w:t xml:space="preserve"> </w:t>
      </w:r>
      <w:r w:rsidR="00C6741B">
        <w:t xml:space="preserve">the school </w:t>
      </w:r>
      <w:r w:rsidR="00855C9D">
        <w:t xml:space="preserve">does not submit </w:t>
      </w:r>
      <w:r w:rsidR="00302748">
        <w:t>schemes or</w:t>
      </w:r>
      <w:r w:rsidR="00855C9D">
        <w:t xml:space="preserve"> </w:t>
      </w:r>
      <w:r w:rsidR="00A934D2">
        <w:t xml:space="preserve">submits schemes that </w:t>
      </w:r>
      <w:r w:rsidR="00855C9D">
        <w:t xml:space="preserve">do not </w:t>
      </w:r>
      <w:r w:rsidR="00F36FCA">
        <w:t>comply with</w:t>
      </w:r>
      <w:r w:rsidR="00B06A41">
        <w:t xml:space="preserve"> the</w:t>
      </w:r>
      <w:r w:rsidR="00FA4B27">
        <w:t xml:space="preserve"> </w:t>
      </w:r>
      <w:r w:rsidR="00B06A41">
        <w:t>P</w:t>
      </w:r>
      <w:r w:rsidR="00855C9D">
        <w:t>rotoc</w:t>
      </w:r>
      <w:r w:rsidR="00CA467C">
        <w:t>ol, a proposal for clawback will</w:t>
      </w:r>
      <w:r w:rsidR="00855C9D">
        <w:t xml:space="preserve"> be pursued.</w:t>
      </w:r>
    </w:p>
    <w:p w14:paraId="7390AB8A" w14:textId="77777777" w:rsidR="001B5A53" w:rsidRDefault="001B5A53" w:rsidP="001B5A53">
      <w:pPr>
        <w:jc w:val="both"/>
      </w:pPr>
    </w:p>
    <w:p w14:paraId="1011C206" w14:textId="77777777" w:rsidR="00005AD5" w:rsidRDefault="00005AD5" w:rsidP="001B5A53">
      <w:pPr>
        <w:jc w:val="both"/>
        <w:rPr>
          <w:b/>
        </w:rPr>
      </w:pPr>
    </w:p>
    <w:p w14:paraId="144D2172" w14:textId="77777777" w:rsidR="00005AD5" w:rsidRPr="00005AD5" w:rsidRDefault="00005AD5" w:rsidP="001B5A53">
      <w:pPr>
        <w:jc w:val="both"/>
        <w:rPr>
          <w:b/>
        </w:rPr>
      </w:pPr>
      <w:r w:rsidRPr="00005AD5">
        <w:rPr>
          <w:b/>
        </w:rPr>
        <w:t xml:space="preserve">3) </w:t>
      </w:r>
      <w:r w:rsidRPr="00005AD5">
        <w:rPr>
          <w:b/>
          <w:u w:val="single"/>
        </w:rPr>
        <w:t>Reporting Deadlines</w:t>
      </w:r>
    </w:p>
    <w:p w14:paraId="6E08CDE8" w14:textId="77777777" w:rsidR="00005AD5" w:rsidRDefault="00005AD5" w:rsidP="001B5A53">
      <w:pPr>
        <w:jc w:val="both"/>
      </w:pPr>
    </w:p>
    <w:p w14:paraId="62D01FA9" w14:textId="77777777" w:rsidR="00005AD5" w:rsidRDefault="00005AD5" w:rsidP="001B5A53">
      <w:pPr>
        <w:jc w:val="both"/>
      </w:pPr>
      <w:r>
        <w:t>3.1</w:t>
      </w:r>
      <w:r w:rsidR="009C72AC">
        <w:t xml:space="preserve"> The</w:t>
      </w:r>
      <w:r w:rsidR="00EC2A6D">
        <w:t xml:space="preserve"> very</w:t>
      </w:r>
      <w:r w:rsidR="009C72AC">
        <w:t xml:space="preserve"> </w:t>
      </w:r>
      <w:r w:rsidRPr="00684A44">
        <w:rPr>
          <w:u w:val="single"/>
        </w:rPr>
        <w:t>FINAL</w:t>
      </w:r>
      <w:r>
        <w:t xml:space="preserve"> </w:t>
      </w:r>
      <w:r w:rsidR="00002AB9">
        <w:t xml:space="preserve">deadline for the </w:t>
      </w:r>
      <w:r w:rsidR="00A934D2">
        <w:t>submission of schemes</w:t>
      </w:r>
      <w:r w:rsidR="00131CBB">
        <w:t xml:space="preserve"> relating to excess balances</w:t>
      </w:r>
      <w:r w:rsidR="00002AB9">
        <w:t xml:space="preserve"> t</w:t>
      </w:r>
      <w:r w:rsidR="00CA467C">
        <w:t>o the Local Authority is</w:t>
      </w:r>
      <w:r w:rsidR="00002AB9">
        <w:t xml:space="preserve"> 31 March</w:t>
      </w:r>
      <w:r w:rsidR="00FA4B27">
        <w:t xml:space="preserve"> each year</w:t>
      </w:r>
      <w:r w:rsidR="00002AB9">
        <w:t>.</w:t>
      </w:r>
      <w:r w:rsidR="00F36FCA">
        <w:t xml:space="preserve"> This continues the emphasis on schools being required to accurately monitor their income and expenditur</w:t>
      </w:r>
      <w:r>
        <w:t>e</w:t>
      </w:r>
      <w:r w:rsidR="00C6741B">
        <w:t xml:space="preserve"> during the year</w:t>
      </w:r>
      <w:r w:rsidR="00F36FCA">
        <w:t xml:space="preserve">. </w:t>
      </w:r>
    </w:p>
    <w:p w14:paraId="655B8343" w14:textId="77777777" w:rsidR="00005AD5" w:rsidRDefault="00005AD5" w:rsidP="001B5A53">
      <w:pPr>
        <w:jc w:val="both"/>
      </w:pPr>
    </w:p>
    <w:p w14:paraId="02C79EA0" w14:textId="77777777" w:rsidR="005A2D6F" w:rsidRDefault="00005AD5" w:rsidP="001B5A53">
      <w:pPr>
        <w:jc w:val="both"/>
      </w:pPr>
      <w:r>
        <w:t xml:space="preserve">3.2 </w:t>
      </w:r>
      <w:r w:rsidR="00C6741B">
        <w:t>T</w:t>
      </w:r>
      <w:r w:rsidR="00A934D2">
        <w:t>he budget and monitoring</w:t>
      </w:r>
      <w:r w:rsidR="006825D1">
        <w:t xml:space="preserve"> templates that</w:t>
      </w:r>
      <w:r w:rsidR="00A934D2">
        <w:t xml:space="preserve"> schools</w:t>
      </w:r>
      <w:r w:rsidR="006825D1">
        <w:t xml:space="preserve"> use</w:t>
      </w:r>
      <w:r w:rsidR="00CA467C">
        <w:t xml:space="preserve"> have been</w:t>
      </w:r>
      <w:r w:rsidR="009C72AC">
        <w:t xml:space="preserve"> adjusted</w:t>
      </w:r>
      <w:r w:rsidR="006825D1">
        <w:t xml:space="preserve">, so that position </w:t>
      </w:r>
      <w:r w:rsidR="000E3611">
        <w:t xml:space="preserve">and use </w:t>
      </w:r>
      <w:r w:rsidR="006825D1">
        <w:t>of a</w:t>
      </w:r>
      <w:r w:rsidR="00A934D2">
        <w:t xml:space="preserve"> school’s balance can be better monitored</w:t>
      </w:r>
      <w:r w:rsidR="006825D1">
        <w:t>, by governors and by the Authority,</w:t>
      </w:r>
      <w:r w:rsidR="00823EE9">
        <w:t xml:space="preserve"> and so that schemes can be submitted within these </w:t>
      </w:r>
      <w:r w:rsidR="00823EE9">
        <w:lastRenderedPageBreak/>
        <w:t>reports</w:t>
      </w:r>
      <w:r w:rsidR="005A2D6F">
        <w:t xml:space="preserve"> during the year</w:t>
      </w:r>
      <w:r w:rsidR="001811E0">
        <w:t xml:space="preserve">. </w:t>
      </w:r>
      <w:r w:rsidR="00E27605" w:rsidRPr="00E27605">
        <w:rPr>
          <w:u w:val="single"/>
        </w:rPr>
        <w:t>T</w:t>
      </w:r>
      <w:r w:rsidR="001811E0">
        <w:rPr>
          <w:u w:val="single"/>
        </w:rPr>
        <w:t xml:space="preserve">herefore, schools </w:t>
      </w:r>
      <w:r w:rsidR="00217783">
        <w:rPr>
          <w:u w:val="single"/>
        </w:rPr>
        <w:t xml:space="preserve">can </w:t>
      </w:r>
      <w:r w:rsidR="00E27605" w:rsidRPr="00E27605">
        <w:rPr>
          <w:u w:val="single"/>
        </w:rPr>
        <w:t>submit schemes for approval at any</w:t>
      </w:r>
      <w:r w:rsidR="005A2D6F">
        <w:rPr>
          <w:u w:val="single"/>
        </w:rPr>
        <w:t xml:space="preserve"> point</w:t>
      </w:r>
      <w:r w:rsidR="00E27605">
        <w:rPr>
          <w:u w:val="single"/>
        </w:rPr>
        <w:t xml:space="preserve"> i.e. they do not have to wait until 31 March</w:t>
      </w:r>
      <w:r w:rsidR="00C66493">
        <w:rPr>
          <w:u w:val="single"/>
        </w:rPr>
        <w:t>.</w:t>
      </w:r>
      <w:r w:rsidR="00C66493">
        <w:t xml:space="preserve"> Schools may wish to leave a final submission until the </w:t>
      </w:r>
      <w:r w:rsidR="001811E0">
        <w:t>31 March</w:t>
      </w:r>
      <w:r w:rsidR="00C66493">
        <w:t xml:space="preserve">. However, this final submission should, in the majority of cases, simply confirm what has been planned by governors </w:t>
      </w:r>
      <w:r w:rsidR="005A2D6F">
        <w:t xml:space="preserve">and identified </w:t>
      </w:r>
      <w:r w:rsidR="00C66493">
        <w:t>in their previous budget and monitoring returns.</w:t>
      </w:r>
      <w:r w:rsidR="001811E0">
        <w:t xml:space="preserve"> </w:t>
      </w:r>
      <w:r w:rsidR="00CC03D3">
        <w:t>S</w:t>
      </w:r>
      <w:r w:rsidR="001811E0">
        <w:t>chools</w:t>
      </w:r>
      <w:r w:rsidR="00CC03D3">
        <w:t xml:space="preserve"> should</w:t>
      </w:r>
      <w:r w:rsidR="001811E0">
        <w:t xml:space="preserve"> discuss schemes with the Authority </w:t>
      </w:r>
      <w:r w:rsidR="00EC5C50">
        <w:t xml:space="preserve">as early </w:t>
      </w:r>
      <w:r w:rsidR="001811E0">
        <w:t>as possible</w:t>
      </w:r>
      <w:r w:rsidR="00EC5C50">
        <w:t>,</w:t>
      </w:r>
      <w:r w:rsidR="005A2D6F">
        <w:t xml:space="preserve"> to avoid any</w:t>
      </w:r>
      <w:r w:rsidR="001811E0">
        <w:t xml:space="preserve"> risk of</w:t>
      </w:r>
      <w:r w:rsidR="00CC03D3">
        <w:t xml:space="preserve"> </w:t>
      </w:r>
      <w:r w:rsidR="006E2169">
        <w:t>non-compliance</w:t>
      </w:r>
      <w:r w:rsidR="001811E0">
        <w:t>.</w:t>
      </w:r>
    </w:p>
    <w:p w14:paraId="3F1D0836" w14:textId="77777777" w:rsidR="00823EE9" w:rsidRDefault="001811E0" w:rsidP="001B5A53">
      <w:pPr>
        <w:jc w:val="both"/>
      </w:pPr>
      <w:r>
        <w:t xml:space="preserve"> </w:t>
      </w:r>
    </w:p>
    <w:p w14:paraId="57D0E047" w14:textId="77777777" w:rsidR="00005AD5" w:rsidRDefault="00005AD5" w:rsidP="001B5A53">
      <w:pPr>
        <w:jc w:val="both"/>
      </w:pPr>
    </w:p>
    <w:p w14:paraId="0338DA6A" w14:textId="77777777" w:rsidR="00002AB9" w:rsidRPr="00002AB9" w:rsidRDefault="00005AD5" w:rsidP="001B5A53">
      <w:pPr>
        <w:jc w:val="both"/>
        <w:rPr>
          <w:b/>
        </w:rPr>
      </w:pPr>
      <w:r>
        <w:rPr>
          <w:b/>
        </w:rPr>
        <w:t>4</w:t>
      </w:r>
      <w:r w:rsidR="00002AB9" w:rsidRPr="00002AB9">
        <w:rPr>
          <w:b/>
        </w:rPr>
        <w:t xml:space="preserve">) </w:t>
      </w:r>
      <w:r w:rsidR="00375B74" w:rsidRPr="00375B74">
        <w:rPr>
          <w:b/>
          <w:u w:val="single"/>
        </w:rPr>
        <w:t>Balances Calculation</w:t>
      </w:r>
      <w:r w:rsidR="00EC2A6D">
        <w:rPr>
          <w:b/>
          <w:u w:val="single"/>
        </w:rPr>
        <w:t xml:space="preserve"> and Adjustments</w:t>
      </w:r>
    </w:p>
    <w:p w14:paraId="371FC716" w14:textId="77777777" w:rsidR="00002AB9" w:rsidRDefault="00002AB9" w:rsidP="001B5A53">
      <w:pPr>
        <w:jc w:val="both"/>
      </w:pPr>
    </w:p>
    <w:p w14:paraId="592561C6" w14:textId="77777777" w:rsidR="003549A2" w:rsidRDefault="00005AD5" w:rsidP="001B5A53">
      <w:pPr>
        <w:jc w:val="both"/>
      </w:pPr>
      <w:r>
        <w:t>4</w:t>
      </w:r>
      <w:r w:rsidR="003549A2">
        <w:t>.1 The balance that will be used to calculate the position of a school against the threshold will be the revenue balance that is recorded on the Council’s ledger</w:t>
      </w:r>
      <w:r w:rsidR="00EC2A6D">
        <w:t>,</w:t>
      </w:r>
      <w:r w:rsidR="003549A2">
        <w:t xml:space="preserve"> following the c</w:t>
      </w:r>
      <w:r w:rsidR="00EC2A6D">
        <w:t>ompletion of the financial year-</w:t>
      </w:r>
      <w:r w:rsidR="003549A2">
        <w:t xml:space="preserve">end i.e. including </w:t>
      </w:r>
      <w:r w:rsidR="00EC2A6D">
        <w:t>all assets, liabilities and</w:t>
      </w:r>
      <w:r w:rsidR="003549A2">
        <w:t xml:space="preserve"> other </w:t>
      </w:r>
      <w:r w:rsidR="006E2169">
        <w:t>year-end</w:t>
      </w:r>
      <w:r w:rsidR="003549A2">
        <w:t xml:space="preserve"> adjustments. </w:t>
      </w:r>
      <w:r w:rsidR="003F2B87">
        <w:t>At the point these balances are available, the Local Authority will publish a statement for schools</w:t>
      </w:r>
      <w:r w:rsidR="00EC2A6D">
        <w:t xml:space="preserve"> on Bradford Schools Online</w:t>
      </w:r>
      <w:r w:rsidR="003F2B87">
        <w:t>, which will show the school’s revenue balance position compa</w:t>
      </w:r>
      <w:r w:rsidR="00C6741B">
        <w:t>red against the school’s threshold</w:t>
      </w:r>
      <w:r w:rsidR="003F2B87">
        <w:t>.</w:t>
      </w:r>
    </w:p>
    <w:p w14:paraId="0A24BE0D" w14:textId="77777777" w:rsidR="003549A2" w:rsidRDefault="003549A2" w:rsidP="001B5A53">
      <w:pPr>
        <w:jc w:val="both"/>
      </w:pPr>
    </w:p>
    <w:p w14:paraId="3E9BB963" w14:textId="77777777" w:rsidR="00B977AC" w:rsidRDefault="00684A44" w:rsidP="001B5A53">
      <w:pPr>
        <w:jc w:val="both"/>
      </w:pPr>
      <w:r>
        <w:t>4</w:t>
      </w:r>
      <w:r w:rsidR="003549A2">
        <w:t>.2</w:t>
      </w:r>
      <w:r w:rsidR="002A5840">
        <w:t xml:space="preserve"> </w:t>
      </w:r>
      <w:r w:rsidR="00B977AC">
        <w:t>I</w:t>
      </w:r>
      <w:r w:rsidR="002A5840">
        <w:t>t is not the Authori</w:t>
      </w:r>
      <w:r w:rsidR="00963FF8">
        <w:t xml:space="preserve">ty’s intention </w:t>
      </w:r>
      <w:r w:rsidR="002A5840">
        <w:t xml:space="preserve">to catch schools out. In </w:t>
      </w:r>
      <w:r w:rsidR="00EC2A6D">
        <w:t>comparing</w:t>
      </w:r>
      <w:r w:rsidR="00002AB9">
        <w:t xml:space="preserve"> the value of </w:t>
      </w:r>
      <w:r w:rsidR="00EC2A6D">
        <w:t xml:space="preserve">the </w:t>
      </w:r>
      <w:r w:rsidR="00002AB9">
        <w:t xml:space="preserve">surplus revenue balance </w:t>
      </w:r>
      <w:r w:rsidR="00EC2A6D">
        <w:t xml:space="preserve">that is </w:t>
      </w:r>
      <w:r w:rsidR="00002AB9">
        <w:t xml:space="preserve">held by </w:t>
      </w:r>
      <w:r w:rsidR="002A5840">
        <w:t>a school</w:t>
      </w:r>
      <w:r w:rsidR="00EC2A6D">
        <w:t xml:space="preserve"> at year-</w:t>
      </w:r>
      <w:r w:rsidR="00AB3E4C">
        <w:t>end</w:t>
      </w:r>
      <w:r w:rsidR="00EC2A6D">
        <w:t>, against the school’s threshold</w:t>
      </w:r>
      <w:r w:rsidR="00002AB9">
        <w:t>, t</w:t>
      </w:r>
      <w:r w:rsidR="000463CD">
        <w:t>he following will</w:t>
      </w:r>
      <w:r w:rsidR="009524E0">
        <w:t xml:space="preserve"> be</w:t>
      </w:r>
      <w:r w:rsidR="00F2708C">
        <w:t xml:space="preserve"> </w:t>
      </w:r>
      <w:r w:rsidR="00002AB9">
        <w:t>removed</w:t>
      </w:r>
      <w:r w:rsidR="00EC2A6D">
        <w:t xml:space="preserve"> from the school’s balance</w:t>
      </w:r>
      <w:r w:rsidR="000A5C75">
        <w:t xml:space="preserve"> (</w:t>
      </w:r>
      <w:r w:rsidR="00EC2A6D">
        <w:t xml:space="preserve">these are </w:t>
      </w:r>
      <w:r w:rsidR="000A5C75">
        <w:t>known as ‘adjustments’)</w:t>
      </w:r>
      <w:r w:rsidR="00C52B2D">
        <w:t>:</w:t>
      </w:r>
    </w:p>
    <w:p w14:paraId="7723DB6F" w14:textId="77777777" w:rsidR="00B977AC" w:rsidRDefault="005E4AA6" w:rsidP="005E4AA6">
      <w:pPr>
        <w:tabs>
          <w:tab w:val="left" w:pos="3571"/>
        </w:tabs>
        <w:jc w:val="both"/>
      </w:pPr>
      <w:r>
        <w:tab/>
      </w:r>
    </w:p>
    <w:p w14:paraId="35A634AD" w14:textId="77777777" w:rsidR="00002AB9" w:rsidRDefault="000A5C75" w:rsidP="00002AB9">
      <w:pPr>
        <w:numPr>
          <w:ilvl w:val="0"/>
          <w:numId w:val="30"/>
        </w:numPr>
        <w:jc w:val="both"/>
      </w:pPr>
      <w:r>
        <w:t>A</w:t>
      </w:r>
      <w:r w:rsidR="00AB3E4C">
        <w:t xml:space="preserve">dditional I01 – I05 funding </w:t>
      </w:r>
      <w:r w:rsidR="00C6741B">
        <w:t xml:space="preserve">that is </w:t>
      </w:r>
      <w:r w:rsidR="00AB3E4C">
        <w:t>allocated by the Local Authority to a school in the March advances update</w:t>
      </w:r>
      <w:r w:rsidR="00C6741B">
        <w:t>.</w:t>
      </w:r>
    </w:p>
    <w:p w14:paraId="443F945C" w14:textId="77777777" w:rsidR="00AB3E4C" w:rsidRDefault="000C496E" w:rsidP="00002AB9">
      <w:pPr>
        <w:numPr>
          <w:ilvl w:val="0"/>
          <w:numId w:val="30"/>
        </w:numPr>
        <w:jc w:val="both"/>
      </w:pPr>
      <w:r>
        <w:t xml:space="preserve">The value of ‘internal’ liabilities </w:t>
      </w:r>
      <w:r w:rsidR="000A5C75">
        <w:t xml:space="preserve">that are </w:t>
      </w:r>
      <w:r>
        <w:t xml:space="preserve">recorded in </w:t>
      </w:r>
      <w:r w:rsidR="000A5C75">
        <w:t>a school’s year-</w:t>
      </w:r>
      <w:r>
        <w:t>e</w:t>
      </w:r>
      <w:r w:rsidR="00C52B2D">
        <w:t>nd return (subject to checking)</w:t>
      </w:r>
      <w:r w:rsidR="003E5A5C">
        <w:t>, where these haven’t been</w:t>
      </w:r>
      <w:r w:rsidR="000A5C75">
        <w:t xml:space="preserve"> posted to a school’s account as part of the year-end process</w:t>
      </w:r>
      <w:r w:rsidR="00C6741B">
        <w:t>.</w:t>
      </w:r>
    </w:p>
    <w:p w14:paraId="562B5A26" w14:textId="77777777" w:rsidR="000A5C75" w:rsidRDefault="00724FCF" w:rsidP="00CB2946">
      <w:pPr>
        <w:numPr>
          <w:ilvl w:val="0"/>
          <w:numId w:val="30"/>
        </w:numPr>
        <w:jc w:val="both"/>
      </w:pPr>
      <w:r>
        <w:t xml:space="preserve">The value of any </w:t>
      </w:r>
      <w:r w:rsidR="003E5A5C">
        <w:t>‘</w:t>
      </w:r>
      <w:r>
        <w:t xml:space="preserve">Payroll </w:t>
      </w:r>
      <w:r w:rsidR="000A5C75">
        <w:t>Equalisation Adjustment</w:t>
      </w:r>
      <w:r w:rsidR="003E5A5C">
        <w:t>’</w:t>
      </w:r>
      <w:r w:rsidR="000A5C75">
        <w:t xml:space="preserve"> at year-</w:t>
      </w:r>
      <w:r>
        <w:t>end, where the result of this is to increase a school’s revenue balance</w:t>
      </w:r>
      <w:r w:rsidR="00C6741B">
        <w:t>.</w:t>
      </w:r>
    </w:p>
    <w:p w14:paraId="582E3DA4" w14:textId="77777777" w:rsidR="000A5C75" w:rsidRDefault="000A5C75" w:rsidP="000A5C75">
      <w:pPr>
        <w:numPr>
          <w:ilvl w:val="0"/>
          <w:numId w:val="30"/>
        </w:numPr>
        <w:jc w:val="both"/>
      </w:pPr>
      <w:r>
        <w:t xml:space="preserve">Any balance </w:t>
      </w:r>
      <w:r w:rsidR="003E5A5C">
        <w:t xml:space="preserve">at year-end </w:t>
      </w:r>
      <w:r>
        <w:t xml:space="preserve">that relates to </w:t>
      </w:r>
      <w:r w:rsidR="00A306EB">
        <w:t xml:space="preserve">a </w:t>
      </w:r>
      <w:r>
        <w:t xml:space="preserve">business rates adjustments </w:t>
      </w:r>
      <w:r w:rsidR="00A306EB">
        <w:t>(</w:t>
      </w:r>
      <w:r>
        <w:t>usually made in March)</w:t>
      </w:r>
      <w:r w:rsidR="00143DE6">
        <w:t>.</w:t>
      </w:r>
    </w:p>
    <w:p w14:paraId="00FFB49E" w14:textId="12057ADF" w:rsidR="00AC6B60" w:rsidRDefault="00724FCF" w:rsidP="00CB2946">
      <w:pPr>
        <w:numPr>
          <w:ilvl w:val="0"/>
          <w:numId w:val="30"/>
        </w:numPr>
        <w:jc w:val="both"/>
      </w:pPr>
      <w:r>
        <w:t xml:space="preserve">Any other </w:t>
      </w:r>
      <w:r w:rsidR="006E2169">
        <w:t>year-end</w:t>
      </w:r>
      <w:r>
        <w:t xml:space="preserve"> </w:t>
      </w:r>
      <w:r w:rsidR="00AC6B60">
        <w:t>adjustments</w:t>
      </w:r>
      <w:r>
        <w:t>, where th</w:t>
      </w:r>
      <w:r w:rsidR="00B977AC">
        <w:t>e school can evidence</w:t>
      </w:r>
      <w:r w:rsidR="000463CD">
        <w:t xml:space="preserve"> that these</w:t>
      </w:r>
      <w:r>
        <w:t xml:space="preserve"> w</w:t>
      </w:r>
      <w:r w:rsidR="000463CD">
        <w:t>ere</w:t>
      </w:r>
      <w:r>
        <w:t xml:space="preserve"> not within the</w:t>
      </w:r>
      <w:r w:rsidR="00B977AC">
        <w:t xml:space="preserve"> school’s control and / or</w:t>
      </w:r>
      <w:r>
        <w:t xml:space="preserve"> th</w:t>
      </w:r>
      <w:r w:rsidR="000463CD">
        <w:t>e school has not previously re</w:t>
      </w:r>
      <w:r w:rsidR="000A5C75">
        <w:t>ceived warning. The school will</w:t>
      </w:r>
      <w:r w:rsidR="000463CD">
        <w:t xml:space="preserve"> be required to discuss the circumstances of these adjustments with the Authority on an individual</w:t>
      </w:r>
      <w:r w:rsidR="00C52B2D">
        <w:t xml:space="preserve"> basis. We would not normally expect to </w:t>
      </w:r>
      <w:r w:rsidR="00782993">
        <w:t>adjust</w:t>
      </w:r>
      <w:r w:rsidR="000A5C75">
        <w:t xml:space="preserve"> for Revenue Contribution to Capital (RCCO)</w:t>
      </w:r>
      <w:r w:rsidR="00AC6B60">
        <w:t xml:space="preserve"> transactions</w:t>
      </w:r>
      <w:r w:rsidR="00C52B2D">
        <w:t>, as these are requested by schools, or BSF</w:t>
      </w:r>
      <w:r w:rsidR="00C6741B">
        <w:t xml:space="preserve"> (PFI)</w:t>
      </w:r>
      <w:r w:rsidR="00C52B2D">
        <w:t xml:space="preserve"> transactions, as schools are notified of these</w:t>
      </w:r>
      <w:r w:rsidR="00303240">
        <w:t xml:space="preserve"> adjustments on a monthly basis</w:t>
      </w:r>
      <w:r w:rsidR="00C6741B">
        <w:t>.</w:t>
      </w:r>
    </w:p>
    <w:p w14:paraId="6CC0C46C" w14:textId="77777777" w:rsidR="001F0655" w:rsidRDefault="00DD7CE5" w:rsidP="001F0655">
      <w:pPr>
        <w:numPr>
          <w:ilvl w:val="0"/>
          <w:numId w:val="30"/>
        </w:numPr>
        <w:jc w:val="both"/>
      </w:pPr>
      <w:r>
        <w:t>The balance</w:t>
      </w:r>
      <w:r w:rsidR="00202FEC">
        <w:t xml:space="preserve"> that is held by host schools on behalf of a cluster or </w:t>
      </w:r>
      <w:r w:rsidR="002D3EE5">
        <w:t xml:space="preserve">a </w:t>
      </w:r>
      <w:r w:rsidR="00202FEC">
        <w:t>collaboration</w:t>
      </w:r>
      <w:r>
        <w:t xml:space="preserve">. The host schools will need to evidence this </w:t>
      </w:r>
      <w:r w:rsidR="00303240">
        <w:t xml:space="preserve">balance </w:t>
      </w:r>
      <w:r>
        <w:t>separately</w:t>
      </w:r>
      <w:r w:rsidR="000A5C75">
        <w:t>,</w:t>
      </w:r>
      <w:r>
        <w:t xml:space="preserve"> as this will not be automatically identifiable from </w:t>
      </w:r>
      <w:r w:rsidR="00303240">
        <w:t xml:space="preserve">other </w:t>
      </w:r>
      <w:r w:rsidR="00935C7F">
        <w:t>school reports</w:t>
      </w:r>
      <w:r w:rsidR="00C6741B">
        <w:t>.</w:t>
      </w:r>
    </w:p>
    <w:p w14:paraId="3A3C57D3" w14:textId="77777777" w:rsidR="005E4AA6" w:rsidRDefault="005E4AA6" w:rsidP="001F0655">
      <w:pPr>
        <w:numPr>
          <w:ilvl w:val="0"/>
          <w:numId w:val="30"/>
        </w:numPr>
        <w:jc w:val="both"/>
      </w:pPr>
      <w:r>
        <w:t>A balance</w:t>
      </w:r>
      <w:r w:rsidR="003D315F">
        <w:t xml:space="preserve"> (</w:t>
      </w:r>
      <w:r w:rsidR="00036EDE">
        <w:t xml:space="preserve">sustainability </w:t>
      </w:r>
      <w:r w:rsidR="003D315F">
        <w:t>reserve)</w:t>
      </w:r>
      <w:r>
        <w:t>, up to the equivalent of 6 m</w:t>
      </w:r>
      <w:r w:rsidR="00C6741B">
        <w:t>onths of annual turnover</w:t>
      </w:r>
      <w:r w:rsidR="000A5C75">
        <w:t xml:space="preserve"> (or grant funding)</w:t>
      </w:r>
      <w:r w:rsidR="00C6741B">
        <w:t xml:space="preserve"> for a</w:t>
      </w:r>
      <w:r>
        <w:t xml:space="preserve"> school’s childcare</w:t>
      </w:r>
      <w:r w:rsidR="000A5C75">
        <w:t xml:space="preserve"> business, or other</w:t>
      </w:r>
      <w:r w:rsidR="00143DE6">
        <w:t xml:space="preserve"> </w:t>
      </w:r>
      <w:r>
        <w:t>business</w:t>
      </w:r>
      <w:r w:rsidR="00143DE6">
        <w:t xml:space="preserve"> or</w:t>
      </w:r>
      <w:r w:rsidR="00A306EB">
        <w:t xml:space="preserve"> </w:t>
      </w:r>
      <w:r w:rsidR="000A5C75">
        <w:t>function</w:t>
      </w:r>
      <w:r w:rsidR="00EC2A6D">
        <w:t xml:space="preserve">, </w:t>
      </w:r>
      <w:r w:rsidR="00143DE6">
        <w:t xml:space="preserve">that is dependent on private income or on </w:t>
      </w:r>
      <w:r w:rsidR="002D2DA1">
        <w:t xml:space="preserve">external </w:t>
      </w:r>
      <w:r w:rsidR="00143DE6">
        <w:t>ring-fenced grant funding</w:t>
      </w:r>
      <w:r>
        <w:t>. The school will need to specifically evidence this balance and the value of its turnover</w:t>
      </w:r>
      <w:r w:rsidR="000A5C75">
        <w:t xml:space="preserve"> / grant separately, as this will not be automatically identifiable from other school reports.</w:t>
      </w:r>
    </w:p>
    <w:p w14:paraId="380210F2" w14:textId="3F0CFAD2" w:rsidR="001F0655" w:rsidRDefault="000A5C75" w:rsidP="001F0655">
      <w:pPr>
        <w:numPr>
          <w:ilvl w:val="0"/>
          <w:numId w:val="30"/>
        </w:numPr>
        <w:jc w:val="both"/>
      </w:pPr>
      <w:r>
        <w:t>A</w:t>
      </w:r>
      <w:r w:rsidR="001F0655">
        <w:t xml:space="preserve"> balance that relates to a </w:t>
      </w:r>
      <w:r w:rsidR="00C6741B">
        <w:t>ring-fenced</w:t>
      </w:r>
      <w:r w:rsidR="001F0655">
        <w:t xml:space="preserve"> or </w:t>
      </w:r>
      <w:r>
        <w:t xml:space="preserve">an </w:t>
      </w:r>
      <w:r w:rsidR="001F0655">
        <w:t xml:space="preserve">earmarked </w:t>
      </w:r>
      <w:r w:rsidR="00A306EB">
        <w:t>DfE</w:t>
      </w:r>
      <w:r w:rsidR="002D2DA1">
        <w:t>,</w:t>
      </w:r>
      <w:r w:rsidR="00A306EB">
        <w:t xml:space="preserve"> or other </w:t>
      </w:r>
      <w:r w:rsidR="001F0655">
        <w:t>external</w:t>
      </w:r>
      <w:r w:rsidR="00EC2A6D">
        <w:t>,</w:t>
      </w:r>
      <w:r w:rsidR="001F0655">
        <w:t xml:space="preserve"> grant</w:t>
      </w:r>
      <w:r w:rsidR="00EC2A6D">
        <w:t>, that has specific spending and</w:t>
      </w:r>
      <w:r w:rsidR="001F0655">
        <w:t xml:space="preserve"> reporting requirements</w:t>
      </w:r>
      <w:r>
        <w:t>,</w:t>
      </w:r>
      <w:r w:rsidR="00C6741B">
        <w:t xml:space="preserve"> and that may also have an academic year rather than a Local Authority financial year spending requirement.</w:t>
      </w:r>
      <w:r w:rsidR="001F0655">
        <w:t xml:space="preserve"> </w:t>
      </w:r>
      <w:r w:rsidR="00C6741B">
        <w:t xml:space="preserve">This includes the PE and Sports Premium (primary phase). </w:t>
      </w:r>
      <w:r w:rsidR="00A306EB">
        <w:t xml:space="preserve">Schools will be required to evidence this balance separately, as this will not be automatically identifiable from other school reports. </w:t>
      </w:r>
      <w:r w:rsidR="00302748">
        <w:t>This,</w:t>
      </w:r>
      <w:r w:rsidR="00C6741B">
        <w:t xml:space="preserve"> however,</w:t>
      </w:r>
      <w:r w:rsidR="001F0655">
        <w:t xml:space="preserve"> DOES NOT include the Pupil Premium</w:t>
      </w:r>
      <w:r w:rsidR="00C6741B">
        <w:t xml:space="preserve"> Grant</w:t>
      </w:r>
      <w:r w:rsidR="009E0947">
        <w:t xml:space="preserve">, </w:t>
      </w:r>
      <w:r w:rsidR="00EF2820">
        <w:t>the Teacher’s Pay / Pensions Grants</w:t>
      </w:r>
      <w:r w:rsidR="009E0947">
        <w:t xml:space="preserve"> or the Universal Free School Meals Grant (UIFSM</w:t>
      </w:r>
      <w:r w:rsidR="00A306EB">
        <w:t xml:space="preserve"> – but please see the next point</w:t>
      </w:r>
      <w:r w:rsidR="009E0947">
        <w:t>)</w:t>
      </w:r>
      <w:r w:rsidR="00A306EB">
        <w:t>.</w:t>
      </w:r>
    </w:p>
    <w:p w14:paraId="4250DED8" w14:textId="77777777" w:rsidR="009E0947" w:rsidRDefault="00A306EB" w:rsidP="009E0947">
      <w:pPr>
        <w:numPr>
          <w:ilvl w:val="0"/>
          <w:numId w:val="30"/>
        </w:numPr>
        <w:jc w:val="both"/>
      </w:pPr>
      <w:r>
        <w:t>A balance that relates to the</w:t>
      </w:r>
      <w:r w:rsidR="009E0947">
        <w:t xml:space="preserve"> difference between the initial </w:t>
      </w:r>
      <w:r>
        <w:t>payment of the</w:t>
      </w:r>
      <w:r w:rsidR="009E0947">
        <w:t xml:space="preserve"> Universal Infant Free School Meals</w:t>
      </w:r>
      <w:r>
        <w:t xml:space="preserve"> grant,</w:t>
      </w:r>
      <w:r w:rsidR="009E0947">
        <w:t xml:space="preserve"> </w:t>
      </w:r>
      <w:r>
        <w:t xml:space="preserve">and the school’s calculation of the final UIFSM grant figure, </w:t>
      </w:r>
      <w:r w:rsidR="009E0947">
        <w:t>where take up</w:t>
      </w:r>
      <w:r>
        <w:t xml:space="preserve"> of meals has been lower than estimated. In this circumstance, the school will be holding onto an amount of UIFSM grant, which will be ‘repaid’ back to the DfE in the next financial year.</w:t>
      </w:r>
      <w:r w:rsidR="009E0947">
        <w:t xml:space="preserve"> </w:t>
      </w:r>
      <w:r>
        <w:t xml:space="preserve"> How this balance is calculated will need to be separately</w:t>
      </w:r>
      <w:r w:rsidR="009E0947">
        <w:t xml:space="preserve"> evidenced by the school</w:t>
      </w:r>
      <w:r>
        <w:t>, as this will not be automatically identifiable from other school reports.</w:t>
      </w:r>
    </w:p>
    <w:p w14:paraId="3381D086" w14:textId="77777777" w:rsidR="00202FEC" w:rsidRDefault="00202FEC" w:rsidP="001F0655">
      <w:pPr>
        <w:ind w:left="360"/>
        <w:jc w:val="both"/>
      </w:pPr>
    </w:p>
    <w:p w14:paraId="1629662B" w14:textId="570D0245" w:rsidR="00AC6B60" w:rsidRDefault="00684A44" w:rsidP="001B5A53">
      <w:pPr>
        <w:jc w:val="both"/>
      </w:pPr>
      <w:r>
        <w:t>4</w:t>
      </w:r>
      <w:r w:rsidR="00214C01">
        <w:t>.3</w:t>
      </w:r>
      <w:r w:rsidR="00EC2A6D">
        <w:t xml:space="preserve"> In</w:t>
      </w:r>
      <w:r w:rsidR="001118BC">
        <w:t xml:space="preserve"> </w:t>
      </w:r>
      <w:r w:rsidR="00AC6B60">
        <w:t>seeking</w:t>
      </w:r>
      <w:r w:rsidR="00EC2A6D">
        <w:t xml:space="preserve"> also</w:t>
      </w:r>
      <w:r w:rsidR="00AC6B60">
        <w:t xml:space="preserve"> to avoid</w:t>
      </w:r>
      <w:r w:rsidR="001118BC">
        <w:t xml:space="preserve"> ‘penalising’ schools for small differences</w:t>
      </w:r>
      <w:r w:rsidR="00F70729">
        <w:t>,</w:t>
      </w:r>
      <w:r w:rsidR="001118BC">
        <w:t xml:space="preserve"> and to</w:t>
      </w:r>
      <w:r w:rsidR="005C2DAF">
        <w:t xml:space="preserve"> keep the</w:t>
      </w:r>
      <w:r w:rsidR="001118BC">
        <w:t xml:space="preserve"> focus</w:t>
      </w:r>
      <w:r w:rsidR="005C2DAF">
        <w:t xml:space="preserve"> of attention on</w:t>
      </w:r>
      <w:r w:rsidR="001118BC">
        <w:t xml:space="preserve"> the</w:t>
      </w:r>
      <w:r w:rsidR="00FD7A75">
        <w:t xml:space="preserve"> main purpose of the mechanism, </w:t>
      </w:r>
      <w:r w:rsidR="001118BC">
        <w:t>the Authority will allo</w:t>
      </w:r>
      <w:r w:rsidR="00DD7CE5">
        <w:t>w a school to be a maximum of £3</w:t>
      </w:r>
      <w:r w:rsidR="001118BC">
        <w:t>,000 over the defined thresho</w:t>
      </w:r>
      <w:r w:rsidR="004A7931">
        <w:t>ld, without proposing clawback.</w:t>
      </w:r>
      <w:r w:rsidR="009E15F3">
        <w:t xml:space="preserve"> In these circumstances</w:t>
      </w:r>
      <w:r w:rsidR="00D2705A">
        <w:t>,</w:t>
      </w:r>
      <w:r w:rsidR="009E15F3">
        <w:t xml:space="preserve"> a letter will be sent to the </w:t>
      </w:r>
      <w:smartTag w:uri="urn:schemas-microsoft-com:office:smarttags" w:element="PersonName">
        <w:r w:rsidR="009E15F3">
          <w:t>Head</w:t>
        </w:r>
      </w:smartTag>
      <w:r w:rsidR="009E15F3">
        <w:t>teacher &amp; Chair of Governors</w:t>
      </w:r>
      <w:r w:rsidR="00D009EA">
        <w:t xml:space="preserve"> al</w:t>
      </w:r>
      <w:r w:rsidR="00D2705A">
        <w:t>er</w:t>
      </w:r>
      <w:r w:rsidR="00D009EA">
        <w:t>t</w:t>
      </w:r>
      <w:r w:rsidR="00D2705A">
        <w:t>ing them to this situation</w:t>
      </w:r>
      <w:r w:rsidR="009E15F3">
        <w:t>.</w:t>
      </w:r>
      <w:r w:rsidR="004A7931">
        <w:t xml:space="preserve"> </w:t>
      </w:r>
      <w:r w:rsidR="008F2C0F">
        <w:t>Having taken the items in 4</w:t>
      </w:r>
      <w:r w:rsidR="0073611E">
        <w:t>.2 into account, w</w:t>
      </w:r>
      <w:r w:rsidR="004A7931">
        <w:t>here a schoo</w:t>
      </w:r>
      <w:r w:rsidR="00DD7CE5">
        <w:t>l is</w:t>
      </w:r>
      <w:r w:rsidR="0073611E">
        <w:t xml:space="preserve"> still</w:t>
      </w:r>
      <w:r w:rsidR="00DD7CE5">
        <w:t xml:space="preserve"> more than £3</w:t>
      </w:r>
      <w:r w:rsidR="004A7931">
        <w:t xml:space="preserve">,000 over its </w:t>
      </w:r>
      <w:r w:rsidR="00302748">
        <w:t>threshold and</w:t>
      </w:r>
      <w:r w:rsidR="0073611E">
        <w:t xml:space="preserve"> has not submitted schemes or has submitted</w:t>
      </w:r>
      <w:r w:rsidR="00B01766">
        <w:t xml:space="preserve"> </w:t>
      </w:r>
      <w:r w:rsidR="00DA4B82">
        <w:t xml:space="preserve">schemes that </w:t>
      </w:r>
      <w:r w:rsidR="0073611E">
        <w:t xml:space="preserve">do not </w:t>
      </w:r>
      <w:r w:rsidR="002C4F2C">
        <w:t>comply with the P</w:t>
      </w:r>
      <w:r w:rsidR="00DA4B82">
        <w:t>rotocol,</w:t>
      </w:r>
      <w:r w:rsidR="004A7931">
        <w:t xml:space="preserve"> clawback will be proposed </w:t>
      </w:r>
      <w:r w:rsidR="009E15F3">
        <w:t>for the</w:t>
      </w:r>
      <w:r w:rsidR="004A7931">
        <w:t xml:space="preserve"> value</w:t>
      </w:r>
      <w:r w:rsidR="009E15F3">
        <w:t xml:space="preserve"> above the defined threshold</w:t>
      </w:r>
      <w:r w:rsidR="00DD7CE5">
        <w:t xml:space="preserve"> minus £3</w:t>
      </w:r>
      <w:r w:rsidR="00F8590A">
        <w:t>,000</w:t>
      </w:r>
      <w:r w:rsidR="004A7931">
        <w:t xml:space="preserve">. </w:t>
      </w:r>
    </w:p>
    <w:p w14:paraId="4D415005" w14:textId="77777777" w:rsidR="001118BC" w:rsidRDefault="001118BC" w:rsidP="001B5A53">
      <w:pPr>
        <w:jc w:val="both"/>
      </w:pPr>
    </w:p>
    <w:p w14:paraId="5DA7A5D5" w14:textId="77777777" w:rsidR="00B84971" w:rsidRDefault="00B84971" w:rsidP="001B5A53">
      <w:pPr>
        <w:jc w:val="both"/>
      </w:pPr>
    </w:p>
    <w:p w14:paraId="0391CA4D" w14:textId="77777777" w:rsidR="001B5A53" w:rsidRPr="00AA686A" w:rsidRDefault="00684A44" w:rsidP="001B5A53">
      <w:pPr>
        <w:jc w:val="both"/>
        <w:rPr>
          <w:b/>
        </w:rPr>
      </w:pPr>
      <w:r>
        <w:rPr>
          <w:b/>
        </w:rPr>
        <w:t>5</w:t>
      </w:r>
      <w:r w:rsidR="001B5A53" w:rsidRPr="001B5A53">
        <w:rPr>
          <w:b/>
        </w:rPr>
        <w:t xml:space="preserve">) </w:t>
      </w:r>
      <w:r w:rsidR="001B5A53" w:rsidRPr="00AA686A">
        <w:rPr>
          <w:b/>
          <w:u w:val="single"/>
        </w:rPr>
        <w:t>C</w:t>
      </w:r>
      <w:r w:rsidR="006872E0">
        <w:rPr>
          <w:b/>
          <w:u w:val="single"/>
        </w:rPr>
        <w:t>ircumstances in</w:t>
      </w:r>
      <w:r w:rsidR="00AA686A" w:rsidRPr="00AA686A">
        <w:rPr>
          <w:b/>
          <w:u w:val="single"/>
        </w:rPr>
        <w:t xml:space="preserve"> which </w:t>
      </w:r>
      <w:r w:rsidR="00B84971">
        <w:rPr>
          <w:b/>
          <w:u w:val="single"/>
        </w:rPr>
        <w:t xml:space="preserve">Excess </w:t>
      </w:r>
      <w:r w:rsidR="00CD19DB">
        <w:rPr>
          <w:b/>
          <w:u w:val="single"/>
        </w:rPr>
        <w:t xml:space="preserve">Revenue </w:t>
      </w:r>
      <w:r w:rsidR="00AA686A" w:rsidRPr="00AA686A">
        <w:rPr>
          <w:b/>
          <w:u w:val="single"/>
        </w:rPr>
        <w:t>B</w:t>
      </w:r>
      <w:r w:rsidR="001B5A53" w:rsidRPr="00AA686A">
        <w:rPr>
          <w:b/>
          <w:u w:val="single"/>
        </w:rPr>
        <w:t>alances</w:t>
      </w:r>
      <w:r w:rsidR="00AA686A" w:rsidRPr="00AA686A">
        <w:rPr>
          <w:b/>
          <w:u w:val="single"/>
        </w:rPr>
        <w:t xml:space="preserve"> can be held</w:t>
      </w:r>
      <w:r w:rsidR="00434E9A">
        <w:rPr>
          <w:b/>
          <w:u w:val="single"/>
        </w:rPr>
        <w:t xml:space="preserve"> &amp; </w:t>
      </w:r>
      <w:r w:rsidR="00F70729">
        <w:rPr>
          <w:b/>
          <w:u w:val="single"/>
        </w:rPr>
        <w:t xml:space="preserve">the </w:t>
      </w:r>
      <w:r w:rsidR="00434E9A">
        <w:rPr>
          <w:b/>
          <w:u w:val="single"/>
        </w:rPr>
        <w:t>Evidence</w:t>
      </w:r>
      <w:r w:rsidR="00525827">
        <w:rPr>
          <w:b/>
          <w:u w:val="single"/>
        </w:rPr>
        <w:t xml:space="preserve"> Required</w:t>
      </w:r>
    </w:p>
    <w:p w14:paraId="0B0AB15C" w14:textId="77777777" w:rsidR="008F7C92" w:rsidRDefault="008F7C92" w:rsidP="001B5A53">
      <w:pPr>
        <w:jc w:val="both"/>
      </w:pPr>
    </w:p>
    <w:p w14:paraId="3442D18B" w14:textId="77777777" w:rsidR="00B01766" w:rsidRDefault="00472B64" w:rsidP="001B5A53">
      <w:pPr>
        <w:jc w:val="both"/>
      </w:pPr>
      <w:r>
        <w:t>5</w:t>
      </w:r>
      <w:r w:rsidR="00B01766">
        <w:t xml:space="preserve">.1 </w:t>
      </w:r>
      <w:r w:rsidR="006043F1">
        <w:t>T</w:t>
      </w:r>
      <w:r w:rsidR="00AE4832">
        <w:t>he</w:t>
      </w:r>
      <w:r w:rsidR="00B01766">
        <w:t xml:space="preserve"> circumstances under which a school can hold a</w:t>
      </w:r>
      <w:r w:rsidR="00173D3D">
        <w:t>n excess</w:t>
      </w:r>
      <w:r w:rsidR="00B01766">
        <w:t xml:space="preserve"> revenue bala</w:t>
      </w:r>
      <w:r w:rsidR="003B3670">
        <w:t>nce above the defined threshold</w:t>
      </w:r>
      <w:r w:rsidR="00AE4832">
        <w:t xml:space="preserve"> are</w:t>
      </w:r>
      <w:r w:rsidR="00B01766">
        <w:t>:</w:t>
      </w:r>
    </w:p>
    <w:p w14:paraId="026D810A" w14:textId="77777777" w:rsidR="00B01766" w:rsidRDefault="00B01766" w:rsidP="001B5A53">
      <w:pPr>
        <w:jc w:val="both"/>
      </w:pPr>
    </w:p>
    <w:p w14:paraId="3DFC114F" w14:textId="77777777" w:rsidR="00B01766" w:rsidRDefault="00B01766" w:rsidP="00B01766">
      <w:pPr>
        <w:numPr>
          <w:ilvl w:val="0"/>
          <w:numId w:val="31"/>
        </w:numPr>
        <w:jc w:val="both"/>
      </w:pPr>
      <w:r>
        <w:t xml:space="preserve">A revenue contribution to </w:t>
      </w:r>
      <w:r w:rsidR="001F0655">
        <w:t xml:space="preserve">an </w:t>
      </w:r>
      <w:r w:rsidRPr="00AE4832">
        <w:t>agreed</w:t>
      </w:r>
      <w:r w:rsidR="00124033">
        <w:t xml:space="preserve"> </w:t>
      </w:r>
      <w:r w:rsidRPr="00124033">
        <w:t>capital</w:t>
      </w:r>
      <w:r w:rsidR="001F0655">
        <w:t xml:space="preserve"> scheme</w:t>
      </w:r>
      <w:r w:rsidR="00EC2A6D">
        <w:t>.</w:t>
      </w:r>
    </w:p>
    <w:p w14:paraId="0A30D1C8" w14:textId="77777777" w:rsidR="006043F1" w:rsidRDefault="006043F1" w:rsidP="006043F1">
      <w:pPr>
        <w:jc w:val="both"/>
      </w:pPr>
    </w:p>
    <w:p w14:paraId="0DEC941D" w14:textId="77777777" w:rsidR="006043F1" w:rsidRDefault="00CE459F" w:rsidP="006043F1">
      <w:pPr>
        <w:numPr>
          <w:ilvl w:val="0"/>
          <w:numId w:val="31"/>
        </w:numPr>
        <w:jc w:val="both"/>
      </w:pPr>
      <w:r>
        <w:t>A r</w:t>
      </w:r>
      <w:r w:rsidR="006043F1">
        <w:t>evenue contribution to a ‘spend to save’ scheme, including energy efficiency schemes</w:t>
      </w:r>
      <w:r w:rsidR="00EC2A6D">
        <w:t>.</w:t>
      </w:r>
    </w:p>
    <w:p w14:paraId="47FAE7B0" w14:textId="77777777" w:rsidR="006043F1" w:rsidRDefault="006043F1" w:rsidP="006043F1">
      <w:pPr>
        <w:jc w:val="both"/>
      </w:pPr>
    </w:p>
    <w:p w14:paraId="7F972BE4" w14:textId="77777777" w:rsidR="00CE459F" w:rsidRDefault="006043F1" w:rsidP="00CE459F">
      <w:pPr>
        <w:numPr>
          <w:ilvl w:val="0"/>
          <w:numId w:val="31"/>
        </w:numPr>
        <w:jc w:val="both"/>
      </w:pPr>
      <w:r>
        <w:t xml:space="preserve">Balances earmarked </w:t>
      </w:r>
      <w:r w:rsidR="00CE459F">
        <w:t>to support the costs incurred by the review of contracts of a significant value, where expend</w:t>
      </w:r>
      <w:r w:rsidR="00EC2A6D">
        <w:t>iture is not even year on year.</w:t>
      </w:r>
    </w:p>
    <w:p w14:paraId="657BCBAD" w14:textId="77777777" w:rsidR="00B01766" w:rsidRDefault="00B01766" w:rsidP="00B01766">
      <w:pPr>
        <w:jc w:val="both"/>
      </w:pPr>
    </w:p>
    <w:p w14:paraId="5941A3CE" w14:textId="77777777" w:rsidR="00B01766" w:rsidRDefault="00303240" w:rsidP="00B01766">
      <w:pPr>
        <w:numPr>
          <w:ilvl w:val="0"/>
          <w:numId w:val="31"/>
        </w:numPr>
        <w:jc w:val="both"/>
      </w:pPr>
      <w:r>
        <w:t xml:space="preserve">Managing the </w:t>
      </w:r>
      <w:r w:rsidR="001F0655">
        <w:t>costs</w:t>
      </w:r>
      <w:r w:rsidR="00EC2A6D">
        <w:t xml:space="preserve"> (and impact) of the </w:t>
      </w:r>
      <w:r w:rsidR="001F0655">
        <w:t>expansion</w:t>
      </w:r>
      <w:r w:rsidR="004A2E60">
        <w:t xml:space="preserve"> of pupil numbers</w:t>
      </w:r>
      <w:r w:rsidR="00EC2A6D">
        <w:t>.</w:t>
      </w:r>
    </w:p>
    <w:p w14:paraId="46360E9F" w14:textId="77777777" w:rsidR="00B01766" w:rsidRDefault="00B01766" w:rsidP="00B01766">
      <w:pPr>
        <w:jc w:val="both"/>
      </w:pPr>
    </w:p>
    <w:p w14:paraId="22DBBC1C" w14:textId="77777777" w:rsidR="00670370" w:rsidRDefault="0073611E" w:rsidP="007415A2">
      <w:pPr>
        <w:numPr>
          <w:ilvl w:val="0"/>
          <w:numId w:val="31"/>
        </w:numPr>
        <w:jc w:val="both"/>
      </w:pPr>
      <w:r>
        <w:t>Managing financial difficulties</w:t>
      </w:r>
      <w:r w:rsidR="001A5531">
        <w:t xml:space="preserve"> (pressure)</w:t>
      </w:r>
      <w:r>
        <w:t xml:space="preserve"> associated with </w:t>
      </w:r>
      <w:r w:rsidR="00B01766">
        <w:t>a budget reduction in the following finan</w:t>
      </w:r>
      <w:r w:rsidR="00A63DF5">
        <w:t xml:space="preserve">cial year, resulting </w:t>
      </w:r>
      <w:r w:rsidR="00EC235C">
        <w:t xml:space="preserve">either </w:t>
      </w:r>
      <w:r w:rsidR="00A63DF5">
        <w:t>from</w:t>
      </w:r>
      <w:r w:rsidR="00B01766">
        <w:t xml:space="preserve"> a</w:t>
      </w:r>
      <w:r w:rsidR="00B01766" w:rsidRPr="00AE4832">
        <w:t xml:space="preserve"> </w:t>
      </w:r>
      <w:r w:rsidRPr="00AE4832">
        <w:t>significant</w:t>
      </w:r>
      <w:r>
        <w:t xml:space="preserve"> </w:t>
      </w:r>
      <w:r w:rsidR="00B01766">
        <w:t>reduct</w:t>
      </w:r>
      <w:r w:rsidR="00EC235C">
        <w:t>ion in pupil numbers</w:t>
      </w:r>
      <w:r w:rsidR="00EC2A6D">
        <w:t>,</w:t>
      </w:r>
      <w:r w:rsidR="00EC235C">
        <w:t xml:space="preserve"> or from</w:t>
      </w:r>
      <w:r>
        <w:t xml:space="preserve"> a loss or </w:t>
      </w:r>
      <w:r w:rsidRPr="00AE4832">
        <w:t>significant</w:t>
      </w:r>
      <w:r w:rsidR="00B01766" w:rsidRPr="00AE4832">
        <w:t xml:space="preserve"> reduction</w:t>
      </w:r>
      <w:r w:rsidR="00B01766">
        <w:t xml:space="preserve"> of a </w:t>
      </w:r>
      <w:r w:rsidR="00202FEC">
        <w:t xml:space="preserve">specific </w:t>
      </w:r>
      <w:r w:rsidR="00B01766">
        <w:t>funding stream</w:t>
      </w:r>
      <w:r w:rsidR="00EC235C">
        <w:t xml:space="preserve">. </w:t>
      </w:r>
    </w:p>
    <w:p w14:paraId="62CC498C" w14:textId="77777777" w:rsidR="00670370" w:rsidRDefault="00670370" w:rsidP="00670370">
      <w:pPr>
        <w:pStyle w:val="ListParagraph"/>
        <w:rPr>
          <w:i/>
        </w:rPr>
      </w:pPr>
    </w:p>
    <w:p w14:paraId="522E75B9" w14:textId="3723470A" w:rsidR="007415A2" w:rsidRPr="00EC2A6D" w:rsidRDefault="00EC235C" w:rsidP="00670370">
      <w:pPr>
        <w:ind w:left="720"/>
        <w:jc w:val="both"/>
      </w:pPr>
      <w:r w:rsidRPr="00EC2A6D">
        <w:t xml:space="preserve">This provision </w:t>
      </w:r>
      <w:r w:rsidR="00525827" w:rsidRPr="00EC2A6D">
        <w:t>is interpreted</w:t>
      </w:r>
      <w:r w:rsidR="00302748">
        <w:t xml:space="preserve"> </w:t>
      </w:r>
      <w:r w:rsidR="001A5531">
        <w:t>to</w:t>
      </w:r>
      <w:r w:rsidR="00525827" w:rsidRPr="00EC2A6D">
        <w:t xml:space="preserve"> include</w:t>
      </w:r>
      <w:r w:rsidR="007415A2" w:rsidRPr="00EC2A6D">
        <w:t>, more generally,</w:t>
      </w:r>
      <w:r w:rsidRPr="00EC2A6D">
        <w:t xml:space="preserve"> the school’s management</w:t>
      </w:r>
      <w:r w:rsidR="00EC2A6D">
        <w:t xml:space="preserve"> of a forecasted significant in-</w:t>
      </w:r>
      <w:r w:rsidRPr="00EC2A6D">
        <w:t>year spending deficit in the following financial year</w:t>
      </w:r>
      <w:r w:rsidR="001A5531">
        <w:t xml:space="preserve"> (s)</w:t>
      </w:r>
      <w:r w:rsidRPr="00EC2A6D">
        <w:t>, which is caused by another reason</w:t>
      </w:r>
      <w:r w:rsidR="00BC36D4" w:rsidRPr="00EC2A6D">
        <w:t>,</w:t>
      </w:r>
      <w:r w:rsidRPr="00EC2A6D">
        <w:t xml:space="preserve"> </w:t>
      </w:r>
      <w:r w:rsidR="00BC36D4" w:rsidRPr="00EC2A6D">
        <w:t>provided that this reason is</w:t>
      </w:r>
      <w:r w:rsidR="00AC1A02" w:rsidRPr="00EC2A6D">
        <w:t xml:space="preserve"> </w:t>
      </w:r>
      <w:r w:rsidRPr="00EC2A6D">
        <w:t>clearly evidenced by the school</w:t>
      </w:r>
      <w:r w:rsidR="00E012A7" w:rsidRPr="00EC2A6D">
        <w:t xml:space="preserve"> and is </w:t>
      </w:r>
      <w:r w:rsidR="007030F5" w:rsidRPr="00EC2A6D">
        <w:t>based on a rea</w:t>
      </w:r>
      <w:r w:rsidR="001473D4" w:rsidRPr="00EC2A6D">
        <w:t>sonably constructed</w:t>
      </w:r>
      <w:r w:rsidR="007030F5" w:rsidRPr="00EC2A6D">
        <w:t xml:space="preserve"> budget forecast</w:t>
      </w:r>
      <w:r w:rsidRPr="00EC2A6D">
        <w:t>.</w:t>
      </w:r>
      <w:r w:rsidR="001A5531">
        <w:t xml:space="preserve"> This might include managing the impact of energy costs, where these remain high or further increase.</w:t>
      </w:r>
    </w:p>
    <w:p w14:paraId="5B670954" w14:textId="77777777" w:rsidR="002B2246" w:rsidRDefault="002B2246" w:rsidP="002B2246">
      <w:pPr>
        <w:jc w:val="both"/>
      </w:pPr>
    </w:p>
    <w:p w14:paraId="1ADDD487" w14:textId="77777777" w:rsidR="001E399B" w:rsidRPr="001A5531" w:rsidRDefault="00CE459F" w:rsidP="001B5A53">
      <w:pPr>
        <w:numPr>
          <w:ilvl w:val="0"/>
          <w:numId w:val="31"/>
        </w:numPr>
        <w:jc w:val="both"/>
      </w:pPr>
      <w:r>
        <w:t xml:space="preserve">Managing exceptional circumstances in such a way as to avoid significant financial turbulence that may impact on standards. This may include, for example, </w:t>
      </w:r>
      <w:r w:rsidR="00AC1A02">
        <w:t xml:space="preserve">managing the </w:t>
      </w:r>
      <w:r>
        <w:t xml:space="preserve">outcomes of </w:t>
      </w:r>
      <w:r w:rsidR="00AC1A02">
        <w:t>curriculum review or</w:t>
      </w:r>
      <w:r w:rsidR="00A63DF5">
        <w:t xml:space="preserve"> </w:t>
      </w:r>
      <w:r w:rsidR="001A5531">
        <w:t xml:space="preserve">of </w:t>
      </w:r>
      <w:r>
        <w:t>HR processes.</w:t>
      </w:r>
      <w:r w:rsidR="00A63DF5">
        <w:rPr>
          <w:color w:val="FF0000"/>
        </w:rPr>
        <w:t xml:space="preserve"> </w:t>
      </w:r>
    </w:p>
    <w:p w14:paraId="4B2EFFEE" w14:textId="77777777" w:rsidR="001A5531" w:rsidRDefault="001A5531" w:rsidP="001A5531">
      <w:pPr>
        <w:ind w:left="720"/>
        <w:jc w:val="both"/>
        <w:rPr>
          <w:color w:val="FF0000"/>
        </w:rPr>
      </w:pPr>
    </w:p>
    <w:p w14:paraId="651D32D6" w14:textId="4B4ABE53" w:rsidR="001A5531" w:rsidRPr="001E399B" w:rsidRDefault="001A5531" w:rsidP="001A5531">
      <w:pPr>
        <w:ind w:left="720"/>
        <w:jc w:val="both"/>
      </w:pPr>
      <w:r w:rsidRPr="001A5531">
        <w:t>Schools that anticipate seeking to</w:t>
      </w:r>
      <w:r w:rsidR="00F723E7">
        <w:t xml:space="preserve"> submit schemes </w:t>
      </w:r>
      <w:r w:rsidRPr="001A5531">
        <w:t>under the ‘exceptional circumstances’ heading should discuss this with School Funding Team at the earliest opportunity.</w:t>
      </w:r>
    </w:p>
    <w:p w14:paraId="12D26755" w14:textId="77777777" w:rsidR="001A5531" w:rsidRDefault="001A5531" w:rsidP="00F723E7">
      <w:pPr>
        <w:jc w:val="both"/>
      </w:pPr>
    </w:p>
    <w:p w14:paraId="2CD2EE63" w14:textId="4261529E" w:rsidR="00960ACE" w:rsidRDefault="00883FCB" w:rsidP="001A5531">
      <w:pPr>
        <w:ind w:left="720"/>
        <w:jc w:val="both"/>
      </w:pPr>
      <w:r w:rsidRPr="001A5531">
        <w:t>The Authority would expect the retention of balances for these purposes to be limited both in time and in value.</w:t>
      </w:r>
      <w:r w:rsidR="00B376CB" w:rsidRPr="001A5531">
        <w:t xml:space="preserve"> The Authority also expects schools to explain in detail, with reference to specific schemes, how balances are being used.</w:t>
      </w:r>
      <w:r w:rsidRPr="001A5531">
        <w:t xml:space="preserve"> The rationale for retention</w:t>
      </w:r>
      <w:r w:rsidR="00F723E7">
        <w:t xml:space="preserve"> at 31 March 202</w:t>
      </w:r>
      <w:r w:rsidR="00302748">
        <w:t>5</w:t>
      </w:r>
      <w:r w:rsidRPr="001A5531">
        <w:t xml:space="preserve"> must also be clearly evidenced and must be based on a reasonably constructed budget forecast.</w:t>
      </w:r>
    </w:p>
    <w:p w14:paraId="331022E2" w14:textId="77777777" w:rsidR="001E399B" w:rsidRDefault="001E399B" w:rsidP="00960ACE">
      <w:pPr>
        <w:jc w:val="both"/>
      </w:pPr>
    </w:p>
    <w:p w14:paraId="0D17068E" w14:textId="77777777" w:rsidR="0073611E" w:rsidRDefault="00472B64" w:rsidP="001B5A53">
      <w:pPr>
        <w:jc w:val="both"/>
      </w:pPr>
      <w:r w:rsidRPr="00A0600E">
        <w:t>5</w:t>
      </w:r>
      <w:r w:rsidR="0073611E" w:rsidRPr="00A0600E">
        <w:t>.2 All schemes will be subject to approval by the Local Authority</w:t>
      </w:r>
      <w:r w:rsidR="008059FE" w:rsidRPr="00A0600E">
        <w:t>, and must be appropriately evidenced, by:</w:t>
      </w:r>
    </w:p>
    <w:p w14:paraId="47632FE1" w14:textId="77777777" w:rsidR="006E2169" w:rsidRPr="00A0600E" w:rsidRDefault="006E2169" w:rsidP="001B5A53">
      <w:pPr>
        <w:jc w:val="both"/>
      </w:pPr>
    </w:p>
    <w:p w14:paraId="4330B0B7" w14:textId="77777777" w:rsidR="008A190F" w:rsidRDefault="001A5531" w:rsidP="008A190F">
      <w:pPr>
        <w:numPr>
          <w:ilvl w:val="0"/>
          <w:numId w:val="37"/>
        </w:numPr>
        <w:jc w:val="both"/>
      </w:pPr>
      <w:r>
        <w:t>An extract from</w:t>
      </w:r>
      <w:r w:rsidR="00F4123C">
        <w:t xml:space="preserve"> </w:t>
      </w:r>
      <w:r w:rsidR="00581493">
        <w:t>Governing Board</w:t>
      </w:r>
      <w:r w:rsidR="008A190F" w:rsidRPr="00D55A11">
        <w:t xml:space="preserve"> </w:t>
      </w:r>
      <w:r w:rsidR="008A190F">
        <w:t xml:space="preserve">or Finance Committee </w:t>
      </w:r>
      <w:r w:rsidR="008A190F" w:rsidRPr="00D55A11">
        <w:t>minutes</w:t>
      </w:r>
      <w:r w:rsidR="008A190F">
        <w:t>, support</w:t>
      </w:r>
      <w:r w:rsidR="009D6806">
        <w:t xml:space="preserve"> by</w:t>
      </w:r>
      <w:r w:rsidR="008A190F">
        <w:t xml:space="preserve"> additional verification</w:t>
      </w:r>
      <w:r w:rsidR="009D6806">
        <w:t xml:space="preserve"> of </w:t>
      </w:r>
      <w:r w:rsidR="009D6806" w:rsidRPr="00DE5D53">
        <w:rPr>
          <w:u w:val="single"/>
        </w:rPr>
        <w:t>at least one</w:t>
      </w:r>
      <w:r w:rsidR="00A0600E" w:rsidRPr="00DE5D53">
        <w:rPr>
          <w:u w:val="single"/>
        </w:rPr>
        <w:t xml:space="preserve"> of the following</w:t>
      </w:r>
      <w:r w:rsidR="008A190F">
        <w:t>:</w:t>
      </w:r>
    </w:p>
    <w:p w14:paraId="09A8DF37" w14:textId="77777777" w:rsidR="00302748" w:rsidRDefault="00302748" w:rsidP="00302748">
      <w:pPr>
        <w:ind w:left="720"/>
        <w:jc w:val="both"/>
      </w:pPr>
    </w:p>
    <w:p w14:paraId="3DF83E7D" w14:textId="77777777" w:rsidR="008A190F" w:rsidRDefault="008A190F" w:rsidP="008A190F">
      <w:pPr>
        <w:numPr>
          <w:ilvl w:val="1"/>
          <w:numId w:val="37"/>
        </w:numPr>
        <w:jc w:val="both"/>
      </w:pPr>
      <w:r w:rsidRPr="00D55A11">
        <w:t>an extract fr</w:t>
      </w:r>
      <w:r>
        <w:t>om the school’s Development Plan</w:t>
      </w:r>
    </w:p>
    <w:p w14:paraId="77820B5C" w14:textId="77777777" w:rsidR="008A190F" w:rsidRPr="00D55A11" w:rsidRDefault="008A190F" w:rsidP="008A190F">
      <w:pPr>
        <w:numPr>
          <w:ilvl w:val="1"/>
          <w:numId w:val="37"/>
        </w:numPr>
        <w:jc w:val="both"/>
      </w:pPr>
      <w:r>
        <w:t>an architects drawing or plan</w:t>
      </w:r>
    </w:p>
    <w:p w14:paraId="52FAD357" w14:textId="77777777" w:rsidR="008A190F" w:rsidRPr="00D55A11" w:rsidRDefault="008A190F" w:rsidP="008A190F">
      <w:pPr>
        <w:numPr>
          <w:ilvl w:val="1"/>
          <w:numId w:val="37"/>
        </w:numPr>
        <w:jc w:val="both"/>
      </w:pPr>
      <w:r w:rsidRPr="00D55A11">
        <w:t>a letter seeking quotations</w:t>
      </w:r>
      <w:r>
        <w:t xml:space="preserve"> from prospective contractors/suppliers</w:t>
      </w:r>
      <w:r w:rsidR="00A0600E">
        <w:t xml:space="preserve"> or tenders received</w:t>
      </w:r>
    </w:p>
    <w:p w14:paraId="7B8A8173" w14:textId="77777777" w:rsidR="008A190F" w:rsidRDefault="008A190F" w:rsidP="008A190F">
      <w:pPr>
        <w:numPr>
          <w:ilvl w:val="1"/>
          <w:numId w:val="37"/>
        </w:numPr>
        <w:jc w:val="both"/>
      </w:pPr>
      <w:r>
        <w:t>a letter or em</w:t>
      </w:r>
      <w:r w:rsidR="00A0600E">
        <w:t>ail outlining the details of contract liabilities and / or review</w:t>
      </w:r>
    </w:p>
    <w:p w14:paraId="0B95189C" w14:textId="77777777" w:rsidR="00D904DA" w:rsidRDefault="00D904DA" w:rsidP="008A190F">
      <w:pPr>
        <w:numPr>
          <w:ilvl w:val="1"/>
          <w:numId w:val="37"/>
        </w:numPr>
        <w:jc w:val="both"/>
      </w:pPr>
      <w:r>
        <w:t>a letter or email from the Local Authority, which outlines contributions within an agreed capital scheme</w:t>
      </w:r>
    </w:p>
    <w:p w14:paraId="71DDC7A6" w14:textId="77777777" w:rsidR="00CB2946" w:rsidRDefault="00CB2946" w:rsidP="008A190F">
      <w:pPr>
        <w:numPr>
          <w:ilvl w:val="1"/>
          <w:numId w:val="37"/>
        </w:numPr>
        <w:jc w:val="both"/>
      </w:pPr>
      <w:r>
        <w:t>a 3-year budget forecast (specifically necessary for all schemes related to budget difficulties / protection)</w:t>
      </w:r>
    </w:p>
    <w:p w14:paraId="6441273C" w14:textId="77777777" w:rsidR="002245EB" w:rsidRDefault="002245EB" w:rsidP="002245EB">
      <w:pPr>
        <w:ind w:left="1080"/>
        <w:jc w:val="both"/>
      </w:pPr>
    </w:p>
    <w:p w14:paraId="328B136C" w14:textId="77777777" w:rsidR="001A5531" w:rsidRDefault="001A5531" w:rsidP="001B5A53">
      <w:pPr>
        <w:numPr>
          <w:ilvl w:val="0"/>
          <w:numId w:val="37"/>
        </w:numPr>
        <w:jc w:val="both"/>
      </w:pPr>
      <w:r>
        <w:t>The two primary purposes for requesting this evidence are:</w:t>
      </w:r>
    </w:p>
    <w:p w14:paraId="1C74DBEC" w14:textId="77777777" w:rsidR="001A5531" w:rsidRDefault="001A5531" w:rsidP="001A5531">
      <w:pPr>
        <w:ind w:left="720"/>
        <w:jc w:val="both"/>
      </w:pPr>
    </w:p>
    <w:p w14:paraId="4A259D5D" w14:textId="77777777" w:rsidR="001A5531" w:rsidRDefault="001A5531" w:rsidP="001A5531">
      <w:pPr>
        <w:numPr>
          <w:ilvl w:val="1"/>
          <w:numId w:val="37"/>
        </w:numPr>
        <w:jc w:val="both"/>
      </w:pPr>
      <w:r>
        <w:t xml:space="preserve">So that the Authority can verify that the schemes the school has submitted have been fully discussed </w:t>
      </w:r>
      <w:r w:rsidRPr="001A5531">
        <w:rPr>
          <w:u w:val="single"/>
        </w:rPr>
        <w:t>and agreed</w:t>
      </w:r>
      <w:r>
        <w:t xml:space="preserve"> by governors. M</w:t>
      </w:r>
      <w:r w:rsidR="00BD0B6A">
        <w:t xml:space="preserve">inutes must contain </w:t>
      </w:r>
      <w:r>
        <w:t xml:space="preserve">wording that clearly states that governors have </w:t>
      </w:r>
      <w:r w:rsidRPr="00BD0B6A">
        <w:rPr>
          <w:u w:val="single"/>
        </w:rPr>
        <w:t>approved</w:t>
      </w:r>
      <w:r>
        <w:t xml:space="preserve"> the schemes</w:t>
      </w:r>
      <w:r w:rsidR="00BD0B6A">
        <w:t xml:space="preserve"> </w:t>
      </w:r>
      <w:r w:rsidR="00BD0B6A" w:rsidRPr="00BD0B6A">
        <w:rPr>
          <w:u w:val="single"/>
        </w:rPr>
        <w:t>at the values that have been submitted</w:t>
      </w:r>
      <w:r w:rsidR="00BD0B6A">
        <w:rPr>
          <w:u w:val="single"/>
        </w:rPr>
        <w:t>.</w:t>
      </w:r>
    </w:p>
    <w:p w14:paraId="2012CE35" w14:textId="77777777" w:rsidR="001A5531" w:rsidRDefault="001A5531" w:rsidP="001A5531">
      <w:pPr>
        <w:ind w:left="1440"/>
        <w:jc w:val="both"/>
      </w:pPr>
    </w:p>
    <w:p w14:paraId="0C7D7D6E" w14:textId="77777777" w:rsidR="001A5531" w:rsidRDefault="001A5531" w:rsidP="001A5531">
      <w:pPr>
        <w:numPr>
          <w:ilvl w:val="1"/>
          <w:numId w:val="37"/>
        </w:numPr>
        <w:jc w:val="both"/>
      </w:pPr>
      <w:r>
        <w:t>So that the Local Authority can verify how the school has calculated the cost of the scheme</w:t>
      </w:r>
      <w:r w:rsidR="00BD0B6A">
        <w:t>s</w:t>
      </w:r>
      <w:r>
        <w:t xml:space="preserve"> they have put forward.</w:t>
      </w:r>
    </w:p>
    <w:p w14:paraId="4541A4F3" w14:textId="77777777" w:rsidR="001A5531" w:rsidRDefault="001A5531" w:rsidP="001A5531">
      <w:pPr>
        <w:ind w:left="720"/>
        <w:jc w:val="both"/>
      </w:pPr>
    </w:p>
    <w:p w14:paraId="0261DCC4" w14:textId="77777777" w:rsidR="00BD0B6A" w:rsidRDefault="00A0600E" w:rsidP="001B5A53">
      <w:pPr>
        <w:numPr>
          <w:ilvl w:val="0"/>
          <w:numId w:val="37"/>
        </w:numPr>
        <w:jc w:val="both"/>
      </w:pPr>
      <w:r>
        <w:t>Schemes related to</w:t>
      </w:r>
      <w:r w:rsidR="008A190F">
        <w:t xml:space="preserve"> </w:t>
      </w:r>
      <w:r>
        <w:t xml:space="preserve">the management of the costs of </w:t>
      </w:r>
      <w:r w:rsidR="008A190F">
        <w:t>expansion, budget reduction</w:t>
      </w:r>
      <w:r w:rsidR="00CB2946">
        <w:t xml:space="preserve"> / pressure</w:t>
      </w:r>
      <w:r w:rsidR="008A190F">
        <w:t xml:space="preserve"> or exceptional circumstances</w:t>
      </w:r>
      <w:r w:rsidR="00CB2946">
        <w:t>,</w:t>
      </w:r>
      <w:r w:rsidR="00581493">
        <w:t xml:space="preserve"> </w:t>
      </w:r>
      <w:r w:rsidR="00581493" w:rsidRPr="00494FFB">
        <w:t>may</w:t>
      </w:r>
      <w:r>
        <w:t xml:space="preserve"> require </w:t>
      </w:r>
      <w:r w:rsidR="00581493">
        <w:t xml:space="preserve">some </w:t>
      </w:r>
      <w:r>
        <w:t>additional verification from a party independent from the school</w:t>
      </w:r>
      <w:r w:rsidR="008A190F">
        <w:t xml:space="preserve"> e.g. confirmation of pupil numbers from admissions, confirmation of HR processes from the school’s HR supplier</w:t>
      </w:r>
      <w:r w:rsidR="004A2E60">
        <w:t>, a letter from a grant provider stating the ceasing of funding</w:t>
      </w:r>
      <w:r w:rsidR="00581493">
        <w:t xml:space="preserve"> </w:t>
      </w:r>
      <w:r w:rsidR="009968E0">
        <w:t>etc.</w:t>
      </w:r>
      <w:r>
        <w:t xml:space="preserve"> This evidence will be independently verified by the Local Authority</w:t>
      </w:r>
      <w:r w:rsidR="00BD0B6A">
        <w:t>,</w:t>
      </w:r>
      <w:r>
        <w:t xml:space="preserve"> prior to approval. This is a key reason why it is important for schools to identify schemes and to check the compliance of schemes with the Local Authority as early as possible.</w:t>
      </w:r>
      <w:r w:rsidR="009968E0">
        <w:t xml:space="preserve"> </w:t>
      </w:r>
    </w:p>
    <w:p w14:paraId="7F5F008C" w14:textId="77777777" w:rsidR="00CB2946" w:rsidRDefault="00CB2946" w:rsidP="00BD0B6A">
      <w:pPr>
        <w:ind w:left="720"/>
        <w:jc w:val="both"/>
      </w:pPr>
    </w:p>
    <w:p w14:paraId="7AA507A6" w14:textId="77777777" w:rsidR="009968E0" w:rsidRDefault="009968E0" w:rsidP="00BD0B6A">
      <w:pPr>
        <w:ind w:left="720"/>
        <w:jc w:val="both"/>
      </w:pPr>
      <w:r>
        <w:t>The Protocol enables schools to manage their budgets, and to retain budget for the protection of the school’s financial position</w:t>
      </w:r>
      <w:r w:rsidR="00BD0B6A">
        <w:t>,</w:t>
      </w:r>
      <w:r>
        <w:t xml:space="preserve"> or </w:t>
      </w:r>
      <w:r w:rsidR="00BD0B6A">
        <w:t xml:space="preserve">for </w:t>
      </w:r>
      <w:r>
        <w:t xml:space="preserve">managing the costs of change, over more than one year, provided that the school’s plan to do so is well considered and is appropriate. </w:t>
      </w:r>
      <w:r w:rsidR="00CB2946">
        <w:t>For this, w</w:t>
      </w:r>
      <w:r>
        <w:t>e would expect schools to request schemes either under the ‘Managing Financial Difficulties’ or the ‘Exceptional Circumstances’ provisions outlined in paragraph 5.1. In submitting schemes of this nature, the Authority expects schools to specify what aspect</w:t>
      </w:r>
      <w:r w:rsidR="00CB2946">
        <w:t xml:space="preserve"> </w:t>
      </w:r>
      <w:r>
        <w:t xml:space="preserve">(s) of the school’s budget are being supported and the timescale of spend e.g. </w:t>
      </w:r>
      <w:r w:rsidRPr="009968E0">
        <w:rPr>
          <w:i/>
        </w:rPr>
        <w:t>£20,000 to continue Key Stage X group sizes to Septemb</w:t>
      </w:r>
      <w:r>
        <w:rPr>
          <w:i/>
        </w:rPr>
        <w:t>er</w:t>
      </w:r>
      <w:r w:rsidRPr="009968E0">
        <w:rPr>
          <w:i/>
        </w:rPr>
        <w:t>, with restructure from this point’</w:t>
      </w:r>
      <w:r>
        <w:t xml:space="preserve"> </w:t>
      </w:r>
      <w:r w:rsidRPr="009968E0">
        <w:rPr>
          <w:i/>
        </w:rPr>
        <w:t>(acceptable);</w:t>
      </w:r>
      <w:r>
        <w:t xml:space="preserve"> </w:t>
      </w:r>
      <w:r w:rsidRPr="009968E0">
        <w:rPr>
          <w:i/>
        </w:rPr>
        <w:t>‘£20,000 to support next year’s budget’ (not acceptable).</w:t>
      </w:r>
      <w:r>
        <w:t xml:space="preserve"> All submissions of this nature should include a copy of the school’s latest </w:t>
      </w:r>
      <w:r w:rsidR="00581493">
        <w:t>3-year</w:t>
      </w:r>
      <w:r>
        <w:t xml:space="preserve"> budget forecast, which should clearly evidence the need to hold a balance to support the school’s future financial position.</w:t>
      </w:r>
    </w:p>
    <w:p w14:paraId="282367C3" w14:textId="77777777" w:rsidR="009968E0" w:rsidRDefault="009968E0" w:rsidP="001B5A53">
      <w:pPr>
        <w:jc w:val="both"/>
      </w:pPr>
    </w:p>
    <w:p w14:paraId="71507270" w14:textId="77777777" w:rsidR="008059FE" w:rsidRDefault="008059FE" w:rsidP="001B5A53">
      <w:pPr>
        <w:jc w:val="both"/>
      </w:pPr>
      <w:r>
        <w:t>5.3 As a minimum</w:t>
      </w:r>
      <w:r w:rsidR="00434E9A">
        <w:t>,</w:t>
      </w:r>
      <w:r w:rsidR="00CB2946">
        <w:t xml:space="preserve"> schools must evidence prior-</w:t>
      </w:r>
      <w:r>
        <w:t>year commitment by governors to these schemes i.e. evidence that the commitmen</w:t>
      </w:r>
      <w:r w:rsidR="00CB2946">
        <w:t>t has been made on or before 31 March (governors have agreed the schemes in a meeting that has been held on or before 31 March).</w:t>
      </w:r>
    </w:p>
    <w:p w14:paraId="36432148" w14:textId="77777777" w:rsidR="008059FE" w:rsidRDefault="008059FE" w:rsidP="001B5A53">
      <w:pPr>
        <w:jc w:val="both"/>
      </w:pPr>
    </w:p>
    <w:p w14:paraId="4860A4E4" w14:textId="77777777" w:rsidR="00D2705A" w:rsidRDefault="00472B64" w:rsidP="001B5A53">
      <w:pPr>
        <w:jc w:val="both"/>
      </w:pPr>
      <w:r>
        <w:t>5</w:t>
      </w:r>
      <w:r w:rsidR="00A0600E">
        <w:t>.4</w:t>
      </w:r>
      <w:r w:rsidR="00B01766">
        <w:t xml:space="preserve"> </w:t>
      </w:r>
      <w:r w:rsidR="00D94D65">
        <w:t>The default position will be that</w:t>
      </w:r>
      <w:r w:rsidR="002D449E">
        <w:t xml:space="preserve"> spending on</w:t>
      </w:r>
      <w:r w:rsidR="00B01766">
        <w:t xml:space="preserve"> </w:t>
      </w:r>
      <w:r w:rsidR="00D94D65">
        <w:t xml:space="preserve">these </w:t>
      </w:r>
      <w:r w:rsidR="00B01766">
        <w:t>schemes</w:t>
      </w:r>
      <w:r w:rsidR="00D94D65">
        <w:t xml:space="preserve"> must be c</w:t>
      </w:r>
      <w:r w:rsidR="00B01766">
        <w:t>ompleted by the end of the next financial year</w:t>
      </w:r>
      <w:r w:rsidR="00D2705A">
        <w:t>.</w:t>
      </w:r>
      <w:r w:rsidR="00B01766">
        <w:t xml:space="preserve"> </w:t>
      </w:r>
      <w:r w:rsidR="00B06A41">
        <w:t>However, the P</w:t>
      </w:r>
      <w:r w:rsidR="00CB2946">
        <w:t>rotocol does</w:t>
      </w:r>
      <w:r w:rsidR="00502AA3">
        <w:t xml:space="preserve"> allo</w:t>
      </w:r>
      <w:r w:rsidR="007A66A5">
        <w:t xml:space="preserve">w schools to save for </w:t>
      </w:r>
      <w:r w:rsidR="00502AA3">
        <w:t>scheme</w:t>
      </w:r>
      <w:r w:rsidR="007A66A5">
        <w:t>s</w:t>
      </w:r>
      <w:r w:rsidR="00502AA3" w:rsidRPr="0073611E">
        <w:t xml:space="preserve"> over</w:t>
      </w:r>
      <w:r w:rsidR="00502AA3">
        <w:t xml:space="preserve"> more than one year, subject to agreement by the Local Authority. </w:t>
      </w:r>
      <w:r w:rsidR="007D7C87">
        <w:t>The P</w:t>
      </w:r>
      <w:r w:rsidR="007A66A5">
        <w:t xml:space="preserve">rotocol does </w:t>
      </w:r>
      <w:r w:rsidR="00502AA3">
        <w:t>not set a maximum number of years</w:t>
      </w:r>
      <w:r w:rsidR="007A66A5">
        <w:t>. However, in submitting</w:t>
      </w:r>
      <w:r w:rsidR="00502AA3">
        <w:t xml:space="preserve"> schemes, schools will be required to be cl</w:t>
      </w:r>
      <w:r w:rsidR="007A66A5">
        <w:t xml:space="preserve">ear on the timescale for spending </w:t>
      </w:r>
      <w:r w:rsidR="003906C7">
        <w:t xml:space="preserve">and on the values of funding </w:t>
      </w:r>
      <w:r w:rsidR="00502AA3">
        <w:t>that will be earmarked</w:t>
      </w:r>
      <w:r w:rsidR="007A66A5">
        <w:t xml:space="preserve"> each year</w:t>
      </w:r>
      <w:r w:rsidR="00502AA3">
        <w:t>.</w:t>
      </w:r>
    </w:p>
    <w:p w14:paraId="3EA2A196" w14:textId="77777777" w:rsidR="00502AA3" w:rsidRDefault="00502AA3" w:rsidP="001B5A53">
      <w:pPr>
        <w:jc w:val="both"/>
      </w:pPr>
    </w:p>
    <w:p w14:paraId="001DBA68" w14:textId="77777777" w:rsidR="00502AA3" w:rsidRDefault="00A0600E" w:rsidP="00502AA3">
      <w:pPr>
        <w:jc w:val="both"/>
      </w:pPr>
      <w:r>
        <w:t>5.5</w:t>
      </w:r>
      <w:r w:rsidR="009D55B0">
        <w:t xml:space="preserve"> The </w:t>
      </w:r>
      <w:r w:rsidR="00502AA3">
        <w:t>approach contains n</w:t>
      </w:r>
      <w:r w:rsidR="00CB2946">
        <w:t>o specific provision for ‘prior-</w:t>
      </w:r>
      <w:r w:rsidR="00502AA3">
        <w:t xml:space="preserve">year commitments’ i.e. for orders placed by schools, where the goods / services have not been received before the end of the year. </w:t>
      </w:r>
      <w:r w:rsidR="001224AB">
        <w:t>We would expect schools to manage</w:t>
      </w:r>
      <w:r w:rsidR="00502AA3">
        <w:t xml:space="preserve"> these commitments within </w:t>
      </w:r>
      <w:r w:rsidR="001224AB">
        <w:t>the defined allowable reserve</w:t>
      </w:r>
      <w:r w:rsidR="00502AA3">
        <w:t>.</w:t>
      </w:r>
    </w:p>
    <w:p w14:paraId="0F84E321" w14:textId="77777777" w:rsidR="00502AA3" w:rsidRDefault="00502AA3" w:rsidP="00502AA3">
      <w:pPr>
        <w:jc w:val="both"/>
      </w:pPr>
    </w:p>
    <w:p w14:paraId="780A1711" w14:textId="77777777" w:rsidR="00EC567F" w:rsidRDefault="00EC567F" w:rsidP="001B5A53">
      <w:pPr>
        <w:jc w:val="both"/>
      </w:pPr>
    </w:p>
    <w:p w14:paraId="3623EA95" w14:textId="77777777" w:rsidR="00EC567F" w:rsidRPr="00EC567F" w:rsidRDefault="003D4051" w:rsidP="001B5A53">
      <w:pPr>
        <w:jc w:val="both"/>
        <w:rPr>
          <w:b/>
        </w:rPr>
      </w:pPr>
      <w:r>
        <w:rPr>
          <w:b/>
        </w:rPr>
        <w:t>6</w:t>
      </w:r>
      <w:r w:rsidR="00EC567F" w:rsidRPr="00EC567F">
        <w:rPr>
          <w:b/>
        </w:rPr>
        <w:t xml:space="preserve">) </w:t>
      </w:r>
      <w:r w:rsidR="00EC567F" w:rsidRPr="00EC567F">
        <w:rPr>
          <w:b/>
          <w:u w:val="single"/>
        </w:rPr>
        <w:t>Capital Schemes</w:t>
      </w:r>
    </w:p>
    <w:p w14:paraId="1AEB287A" w14:textId="77777777" w:rsidR="00EC567F" w:rsidRDefault="00EC567F" w:rsidP="001B5A53">
      <w:pPr>
        <w:jc w:val="both"/>
      </w:pPr>
    </w:p>
    <w:p w14:paraId="4A7C9BB3" w14:textId="77777777" w:rsidR="00960ACE" w:rsidRDefault="003D4051" w:rsidP="003D4051">
      <w:pPr>
        <w:jc w:val="both"/>
      </w:pPr>
      <w:r>
        <w:t>6</w:t>
      </w:r>
      <w:r w:rsidR="00EC567F">
        <w:t xml:space="preserve">.1 We </w:t>
      </w:r>
      <w:r w:rsidR="00AD3C0E">
        <w:t>would only</w:t>
      </w:r>
      <w:r>
        <w:t xml:space="preserve"> expect revenue balances to be</w:t>
      </w:r>
      <w:r w:rsidR="00AD3C0E">
        <w:t xml:space="preserve"> saved for capital schemes where:</w:t>
      </w:r>
    </w:p>
    <w:p w14:paraId="296DF187" w14:textId="77777777" w:rsidR="00960ACE" w:rsidRDefault="00960ACE" w:rsidP="003D4051">
      <w:pPr>
        <w:jc w:val="both"/>
      </w:pPr>
    </w:p>
    <w:p w14:paraId="79D7972A" w14:textId="77777777" w:rsidR="00EC567F" w:rsidRDefault="00AD3C0E" w:rsidP="00EC567F">
      <w:pPr>
        <w:numPr>
          <w:ilvl w:val="0"/>
          <w:numId w:val="32"/>
        </w:numPr>
        <w:jc w:val="both"/>
      </w:pPr>
      <w:r>
        <w:t>R</w:t>
      </w:r>
      <w:r w:rsidR="00EC567F">
        <w:t xml:space="preserve">evenue funding is used </w:t>
      </w:r>
      <w:r w:rsidR="00EC567F" w:rsidRPr="00AD3C0E">
        <w:rPr>
          <w:u w:val="single"/>
        </w:rPr>
        <w:t>alongside</w:t>
      </w:r>
      <w:r w:rsidR="009F445D">
        <w:t>,</w:t>
      </w:r>
      <w:r>
        <w:t xml:space="preserve"> not i</w:t>
      </w:r>
      <w:r w:rsidR="009F445D">
        <w:t xml:space="preserve">nstead of, </w:t>
      </w:r>
      <w:r w:rsidR="003D4051">
        <w:t>available capital resources</w:t>
      </w:r>
      <w:r w:rsidR="00CB2946">
        <w:t>.</w:t>
      </w:r>
    </w:p>
    <w:p w14:paraId="5ECF1F44" w14:textId="77777777" w:rsidR="00EC567F" w:rsidRDefault="00AD3C0E" w:rsidP="00EC567F">
      <w:pPr>
        <w:numPr>
          <w:ilvl w:val="0"/>
          <w:numId w:val="32"/>
        </w:numPr>
        <w:jc w:val="both"/>
      </w:pPr>
      <w:r>
        <w:t>The use of revenue funding</w:t>
      </w:r>
      <w:r w:rsidR="00EC567F">
        <w:t xml:space="preserve"> will progress essential works more quickly than the saving of capital funds over a number of years will allow</w:t>
      </w:r>
      <w:r w:rsidR="00CB2946">
        <w:t>.</w:t>
      </w:r>
    </w:p>
    <w:p w14:paraId="4AEF5B07" w14:textId="77777777" w:rsidR="00EC567F" w:rsidRDefault="00EC567F" w:rsidP="00EC567F">
      <w:pPr>
        <w:jc w:val="both"/>
      </w:pPr>
    </w:p>
    <w:p w14:paraId="5B8407E3" w14:textId="77777777" w:rsidR="00EC567F" w:rsidRDefault="003D4051" w:rsidP="00EC567F">
      <w:pPr>
        <w:jc w:val="both"/>
      </w:pPr>
      <w:r>
        <w:t>6</w:t>
      </w:r>
      <w:r w:rsidR="001A6D55">
        <w:t>.2</w:t>
      </w:r>
      <w:r w:rsidR="00EC567F">
        <w:t xml:space="preserve"> In this regard therefore, we would expect a school to discuss the financing of a capital scheme with the Authority as part of their budget setting or Q1 / Q2 / Q3 monitoring processes, where the school is planning to hold an excess revenue balance at the end of the year to fund this. </w:t>
      </w:r>
      <w:r>
        <w:t>As stated, schemes can be submitted by a school at any point in the year. Any</w:t>
      </w:r>
      <w:r w:rsidR="00F13F73">
        <w:t xml:space="preserve"> final submission by schools </w:t>
      </w:r>
      <w:r>
        <w:t>at the very end of the year</w:t>
      </w:r>
      <w:r w:rsidR="00EC567F">
        <w:t xml:space="preserve"> should just be a confirmation of schemes already planned for</w:t>
      </w:r>
      <w:r>
        <w:t xml:space="preserve"> and discussed with the Local Authority</w:t>
      </w:r>
      <w:r w:rsidR="00EC567F">
        <w:t>.</w:t>
      </w:r>
      <w:r w:rsidR="00075A98">
        <w:t xml:space="preserve"> Schools that </w:t>
      </w:r>
      <w:r w:rsidR="00F13F73">
        <w:t>submit a capital scheme at 31 March</w:t>
      </w:r>
      <w:r w:rsidR="00075A98">
        <w:t>, without previous discussion with the Authority</w:t>
      </w:r>
      <w:r w:rsidR="00423A3C">
        <w:t>,</w:t>
      </w:r>
      <w:r w:rsidR="00F13F73">
        <w:t xml:space="preserve"> may face </w:t>
      </w:r>
      <w:r w:rsidR="001A6D55">
        <w:t>challenge</w:t>
      </w:r>
      <w:r w:rsidR="009F445D">
        <w:t xml:space="preserve">, where the circumstances outlined in 6.1 are not applicable </w:t>
      </w:r>
      <w:r w:rsidR="00075A98">
        <w:t>e.g. where a school submits a revenue contrib</w:t>
      </w:r>
      <w:r w:rsidR="00423A3C">
        <w:t>ution to capital but has</w:t>
      </w:r>
      <w:r w:rsidR="00075A98">
        <w:t xml:space="preserve"> uncommitted capital balances that are sufficient to meet the cost of this scheme.</w:t>
      </w:r>
    </w:p>
    <w:p w14:paraId="732F8254" w14:textId="77777777" w:rsidR="00EC567F" w:rsidRDefault="00EC567F" w:rsidP="001B5A53">
      <w:pPr>
        <w:jc w:val="both"/>
      </w:pPr>
    </w:p>
    <w:p w14:paraId="00A7BBD1" w14:textId="77777777" w:rsidR="00677FA8" w:rsidRDefault="00677FA8" w:rsidP="001B5A53">
      <w:pPr>
        <w:jc w:val="both"/>
        <w:rPr>
          <w:b/>
        </w:rPr>
      </w:pPr>
    </w:p>
    <w:p w14:paraId="3DDCF899" w14:textId="77777777" w:rsidR="005334C3" w:rsidRDefault="008059FE" w:rsidP="001B5A53">
      <w:pPr>
        <w:jc w:val="both"/>
        <w:rPr>
          <w:b/>
        </w:rPr>
      </w:pPr>
      <w:r>
        <w:rPr>
          <w:b/>
        </w:rPr>
        <w:t>7</w:t>
      </w:r>
      <w:r w:rsidR="005334C3">
        <w:rPr>
          <w:b/>
        </w:rPr>
        <w:t xml:space="preserve">) </w:t>
      </w:r>
      <w:r w:rsidR="002907A6">
        <w:rPr>
          <w:b/>
          <w:u w:val="single"/>
        </w:rPr>
        <w:t>Process for Verifying</w:t>
      </w:r>
      <w:r w:rsidR="006872E0">
        <w:rPr>
          <w:b/>
          <w:u w:val="single"/>
        </w:rPr>
        <w:t xml:space="preserve"> &amp; Approving</w:t>
      </w:r>
      <w:r w:rsidR="002907A6">
        <w:rPr>
          <w:b/>
          <w:u w:val="single"/>
        </w:rPr>
        <w:t xml:space="preserve"> </w:t>
      </w:r>
      <w:r w:rsidR="0024429F" w:rsidRPr="00847D8D">
        <w:rPr>
          <w:b/>
          <w:u w:val="single"/>
        </w:rPr>
        <w:t>Schemes</w:t>
      </w:r>
    </w:p>
    <w:p w14:paraId="6139DDD9" w14:textId="77777777" w:rsidR="002907A6" w:rsidRDefault="002907A6" w:rsidP="002907A6">
      <w:pPr>
        <w:ind w:left="360"/>
        <w:jc w:val="both"/>
      </w:pPr>
    </w:p>
    <w:p w14:paraId="0400B217" w14:textId="77777777" w:rsidR="00EF1C0F" w:rsidRDefault="008059FE" w:rsidP="00B435FC">
      <w:pPr>
        <w:jc w:val="both"/>
      </w:pPr>
      <w:r>
        <w:t>7</w:t>
      </w:r>
      <w:r w:rsidR="00EF1C0F">
        <w:t>.1</w:t>
      </w:r>
      <w:r w:rsidR="00B435FC">
        <w:t xml:space="preserve"> </w:t>
      </w:r>
      <w:r w:rsidR="009D6806">
        <w:t>T</w:t>
      </w:r>
      <w:r w:rsidR="00B435FC">
        <w:t>he scheme approval / clawback processes are managed by the Local Aut</w:t>
      </w:r>
      <w:r w:rsidR="001C06FE">
        <w:t>hority (School Funding Team),</w:t>
      </w:r>
      <w:r w:rsidR="00B435FC">
        <w:t xml:space="preserve"> overseen by the Schools Financial Performance Group</w:t>
      </w:r>
      <w:r w:rsidR="009968E0">
        <w:t xml:space="preserve"> (SFPG)</w:t>
      </w:r>
      <w:r w:rsidR="001C06FE">
        <w:t>,</w:t>
      </w:r>
      <w:r w:rsidR="00CB2946">
        <w:t xml:space="preserve"> where applicable. The SFPG is </w:t>
      </w:r>
      <w:r w:rsidR="00B435FC">
        <w:t>a s</w:t>
      </w:r>
      <w:r w:rsidR="009D6806">
        <w:t>ubgroup of the Schools Forum</w:t>
      </w:r>
      <w:r w:rsidR="00886C3E">
        <w:t>.</w:t>
      </w:r>
    </w:p>
    <w:p w14:paraId="29BCD12E" w14:textId="77777777" w:rsidR="0079799D" w:rsidRDefault="0079799D" w:rsidP="00B435FC">
      <w:pPr>
        <w:jc w:val="both"/>
      </w:pPr>
    </w:p>
    <w:p w14:paraId="4BB1ADB9" w14:textId="77777777" w:rsidR="0032595B" w:rsidRDefault="008059FE" w:rsidP="00B435FC">
      <w:pPr>
        <w:jc w:val="both"/>
      </w:pPr>
      <w:r>
        <w:t>7</w:t>
      </w:r>
      <w:r w:rsidR="00374FCA">
        <w:t>.2</w:t>
      </w:r>
      <w:r w:rsidR="005E0D23">
        <w:t xml:space="preserve"> Most </w:t>
      </w:r>
      <w:r w:rsidR="00EF1C0F">
        <w:t xml:space="preserve">schemes </w:t>
      </w:r>
      <w:r w:rsidR="009968E0">
        <w:t>are</w:t>
      </w:r>
      <w:r w:rsidR="001C06FE">
        <w:t xml:space="preserve"> </w:t>
      </w:r>
      <w:r w:rsidR="00EF1C0F">
        <w:t>scrutinised and approved by the School Funding Team.</w:t>
      </w:r>
      <w:r w:rsidR="0032595B">
        <w:t xml:space="preserve"> In doing this, </w:t>
      </w:r>
      <w:smartTag w:uri="urn:schemas-microsoft-com:office:smarttags" w:element="PersonName">
        <w:r w:rsidR="0032595B">
          <w:t>School Funding</w:t>
        </w:r>
      </w:smartTag>
      <w:r w:rsidR="00856D63">
        <w:t xml:space="preserve"> Team may</w:t>
      </w:r>
      <w:r w:rsidR="0032595B">
        <w:t xml:space="preserve"> engage with other teams where relevant e.g. admissions (for pupil numbers) and asset management (for capital schemes)</w:t>
      </w:r>
      <w:r w:rsidR="009D6806">
        <w:t>.</w:t>
      </w:r>
      <w:r w:rsidR="001C06FE">
        <w:t xml:space="preserve"> Following initial submission, i</w:t>
      </w:r>
      <w:r w:rsidR="009D6806">
        <w:t>t may</w:t>
      </w:r>
      <w:r w:rsidR="003833E9">
        <w:t xml:space="preserve"> be necessary</w:t>
      </w:r>
      <w:r w:rsidR="001C06FE">
        <w:t xml:space="preserve"> for School Funding Team</w:t>
      </w:r>
      <w:r w:rsidR="003833E9">
        <w:t xml:space="preserve"> to collect further information from the school</w:t>
      </w:r>
      <w:r w:rsidR="001C06FE">
        <w:t>.</w:t>
      </w:r>
    </w:p>
    <w:p w14:paraId="7A626E24" w14:textId="77777777" w:rsidR="0032595B" w:rsidRDefault="0032595B" w:rsidP="00B435FC">
      <w:pPr>
        <w:jc w:val="both"/>
      </w:pPr>
    </w:p>
    <w:p w14:paraId="2D285669" w14:textId="77777777" w:rsidR="00EF1C0F" w:rsidRDefault="008059FE" w:rsidP="00B435FC">
      <w:pPr>
        <w:jc w:val="both"/>
      </w:pPr>
      <w:r>
        <w:t>7</w:t>
      </w:r>
      <w:r w:rsidR="00374FCA">
        <w:t>.3</w:t>
      </w:r>
      <w:r w:rsidR="009D6806">
        <w:t xml:space="preserve"> T</w:t>
      </w:r>
      <w:r w:rsidR="00EF1C0F">
        <w:t xml:space="preserve">he following </w:t>
      </w:r>
      <w:r w:rsidR="005E0D23">
        <w:t>schemes</w:t>
      </w:r>
      <w:r w:rsidR="009968E0">
        <w:t xml:space="preserve"> may </w:t>
      </w:r>
      <w:r w:rsidR="009D6806">
        <w:t>be referred</w:t>
      </w:r>
      <w:r w:rsidR="00895E10">
        <w:t xml:space="preserve"> </w:t>
      </w:r>
      <w:r w:rsidR="005E0D23">
        <w:t>to the SFPG</w:t>
      </w:r>
      <w:r w:rsidR="00895E10">
        <w:t xml:space="preserve"> for consideration</w:t>
      </w:r>
      <w:r w:rsidR="00EF1C0F">
        <w:t>:</w:t>
      </w:r>
    </w:p>
    <w:p w14:paraId="7F87D361" w14:textId="77777777" w:rsidR="001C06FE" w:rsidRDefault="001C06FE" w:rsidP="00B435FC">
      <w:pPr>
        <w:jc w:val="both"/>
      </w:pPr>
    </w:p>
    <w:p w14:paraId="18C53D42" w14:textId="77777777" w:rsidR="00600013" w:rsidRDefault="009D6806" w:rsidP="00B435FC">
      <w:pPr>
        <w:numPr>
          <w:ilvl w:val="0"/>
          <w:numId w:val="33"/>
        </w:numPr>
        <w:jc w:val="both"/>
      </w:pPr>
      <w:r>
        <w:t>s</w:t>
      </w:r>
      <w:r w:rsidR="00B435FC">
        <w:t>chemes s</w:t>
      </w:r>
      <w:r w:rsidR="00EF1C0F">
        <w:t>ubmitted by schools that plan</w:t>
      </w:r>
      <w:r w:rsidR="00B435FC">
        <w:t xml:space="preserve"> an excess balance to be held over more than 1 year</w:t>
      </w:r>
      <w:r w:rsidR="001C06FE">
        <w:t>.</w:t>
      </w:r>
    </w:p>
    <w:p w14:paraId="61CBBAC2" w14:textId="77777777" w:rsidR="00494FFB" w:rsidRDefault="009D6806" w:rsidP="00CB2946">
      <w:pPr>
        <w:numPr>
          <w:ilvl w:val="0"/>
          <w:numId w:val="33"/>
        </w:numPr>
        <w:jc w:val="both"/>
      </w:pPr>
      <w:r>
        <w:t>schemes related to exceptional circumstances</w:t>
      </w:r>
      <w:r w:rsidR="001C06FE">
        <w:t>.</w:t>
      </w:r>
    </w:p>
    <w:p w14:paraId="5FC87DA4" w14:textId="77777777" w:rsidR="00EF1C0F" w:rsidRDefault="0032595B" w:rsidP="00CB2946">
      <w:pPr>
        <w:numPr>
          <w:ilvl w:val="0"/>
          <w:numId w:val="33"/>
        </w:numPr>
        <w:jc w:val="both"/>
      </w:pPr>
      <w:r>
        <w:t>where a school has submitted, or is planning to submit,</w:t>
      </w:r>
      <w:r w:rsidR="00EF1C0F">
        <w:t xml:space="preserve"> </w:t>
      </w:r>
      <w:r>
        <w:t>new schemes</w:t>
      </w:r>
      <w:r w:rsidR="00EF1C0F">
        <w:t xml:space="preserve"> in consecutive years</w:t>
      </w:r>
      <w:r w:rsidR="001C06FE">
        <w:t>.</w:t>
      </w:r>
    </w:p>
    <w:p w14:paraId="2988DC43" w14:textId="77777777" w:rsidR="00EF1C0F" w:rsidRDefault="00EF1C0F" w:rsidP="00B435FC">
      <w:pPr>
        <w:numPr>
          <w:ilvl w:val="0"/>
          <w:numId w:val="33"/>
        </w:numPr>
        <w:jc w:val="both"/>
      </w:pPr>
      <w:r>
        <w:t>where the rationale / evidence submitted for a capital scheme does not m</w:t>
      </w:r>
      <w:r w:rsidR="005E0D23">
        <w:t>eet the expectations listed in 6</w:t>
      </w:r>
      <w:r>
        <w:t>.1</w:t>
      </w:r>
      <w:r w:rsidR="001C06FE">
        <w:t>.</w:t>
      </w:r>
    </w:p>
    <w:p w14:paraId="0276CE76" w14:textId="77777777" w:rsidR="00B435FC" w:rsidRDefault="0032595B" w:rsidP="00EF1C0F">
      <w:pPr>
        <w:numPr>
          <w:ilvl w:val="0"/>
          <w:numId w:val="33"/>
        </w:numPr>
        <w:jc w:val="both"/>
      </w:pPr>
      <w:r>
        <w:t>where</w:t>
      </w:r>
      <w:r w:rsidR="008E5A43">
        <w:t>, following further information collection,</w:t>
      </w:r>
      <w:r>
        <w:t xml:space="preserve"> a scheme submitted is deemed</w:t>
      </w:r>
      <w:r w:rsidR="00600013">
        <w:t xml:space="preserve"> by School Funding Team</w:t>
      </w:r>
      <w:r w:rsidR="009D6806">
        <w:t xml:space="preserve"> not to comply with the P</w:t>
      </w:r>
      <w:r>
        <w:t>rotocol</w:t>
      </w:r>
      <w:r w:rsidR="001C06FE">
        <w:t>.</w:t>
      </w:r>
    </w:p>
    <w:p w14:paraId="22DB295C" w14:textId="77777777" w:rsidR="008059FE" w:rsidRDefault="008059FE" w:rsidP="00600013">
      <w:pPr>
        <w:jc w:val="both"/>
      </w:pPr>
    </w:p>
    <w:p w14:paraId="4CCE7382" w14:textId="77777777" w:rsidR="00EF1C0F" w:rsidRDefault="008059FE" w:rsidP="00600013">
      <w:pPr>
        <w:jc w:val="both"/>
      </w:pPr>
      <w:r>
        <w:t>7</w:t>
      </w:r>
      <w:r w:rsidR="00374FCA">
        <w:t>.4</w:t>
      </w:r>
      <w:r w:rsidR="009D6806">
        <w:t xml:space="preserve"> The SFPG will</w:t>
      </w:r>
      <w:r w:rsidR="005E0D23">
        <w:t xml:space="preserve"> meet</w:t>
      </w:r>
      <w:r w:rsidR="005E2BE2">
        <w:t>,</w:t>
      </w:r>
      <w:r w:rsidR="009968E0">
        <w:t xml:space="preserve"> where required</w:t>
      </w:r>
      <w:r w:rsidR="005E2BE2">
        <w:t>,</w:t>
      </w:r>
      <w:r w:rsidR="00381AA1">
        <w:t xml:space="preserve"> on a quarterly basis</w:t>
      </w:r>
      <w:r w:rsidR="005E0D23">
        <w:t xml:space="preserve"> following the submission of school budget and</w:t>
      </w:r>
      <w:r w:rsidR="0032595B">
        <w:t xml:space="preserve"> monitoring reports</w:t>
      </w:r>
      <w:r w:rsidR="005E0D23">
        <w:t>.</w:t>
      </w:r>
      <w:r w:rsidR="00600013">
        <w:t xml:space="preserve"> T</w:t>
      </w:r>
      <w:r w:rsidR="00856D63">
        <w:t>his will allow</w:t>
      </w:r>
      <w:r w:rsidR="00600013">
        <w:t xml:space="preserve"> the Authority to respond to schools quickly, enabling a school to alter its plans in good time where the school submits a scheme during the year</w:t>
      </w:r>
      <w:r w:rsidR="009D6806">
        <w:t xml:space="preserve"> that does not comply with the P</w:t>
      </w:r>
      <w:r w:rsidR="00600013">
        <w:t>rotocol and is not approved.</w:t>
      </w:r>
      <w:r w:rsidR="003833E9">
        <w:t xml:space="preserve"> This does not detract from the school’s responsibility to ensure that they comply with t</w:t>
      </w:r>
      <w:r w:rsidR="009D6806">
        <w:t>he P</w:t>
      </w:r>
      <w:r w:rsidR="003833E9">
        <w:t>rotocol.</w:t>
      </w:r>
    </w:p>
    <w:p w14:paraId="27321ED7" w14:textId="77777777" w:rsidR="00173D3D" w:rsidRDefault="00173D3D" w:rsidP="0032595B">
      <w:pPr>
        <w:jc w:val="both"/>
      </w:pPr>
    </w:p>
    <w:p w14:paraId="50C1712D" w14:textId="2E87F3B5" w:rsidR="003833E9" w:rsidRDefault="008059FE" w:rsidP="0032595B">
      <w:pPr>
        <w:jc w:val="both"/>
      </w:pPr>
      <w:r>
        <w:t>7</w:t>
      </w:r>
      <w:r w:rsidR="00374FCA">
        <w:t>.5</w:t>
      </w:r>
      <w:r w:rsidR="0032595B">
        <w:t xml:space="preserve"> W</w:t>
      </w:r>
      <w:r w:rsidR="00600013">
        <w:t>here schemes are approved</w:t>
      </w:r>
      <w:r w:rsidR="005E2BE2">
        <w:t>,</w:t>
      </w:r>
      <w:r w:rsidR="0032595B">
        <w:t xml:space="preserve"> a letter will</w:t>
      </w:r>
      <w:r w:rsidR="00895E10">
        <w:t xml:space="preserve"> be sent </w:t>
      </w:r>
      <w:r w:rsidR="0032595B">
        <w:t xml:space="preserve">to the school confirming approval and </w:t>
      </w:r>
      <w:r w:rsidR="001C06FE">
        <w:t>explaining</w:t>
      </w:r>
      <w:r w:rsidR="00895E10">
        <w:t xml:space="preserve"> </w:t>
      </w:r>
      <w:r w:rsidR="0032595B">
        <w:t>what action the school will need to take were these schemes to change. This is especially important where a school submits a</w:t>
      </w:r>
      <w:r w:rsidR="00600013">
        <w:t>n initial outline of</w:t>
      </w:r>
      <w:r w:rsidR="0032595B">
        <w:t xml:space="preserve"> scheme early in the year but may wish to amend this before the 31 March. The Authority would </w:t>
      </w:r>
      <w:r w:rsidR="00895E10">
        <w:t xml:space="preserve">base </w:t>
      </w:r>
      <w:r w:rsidR="00856D63">
        <w:t xml:space="preserve">any </w:t>
      </w:r>
      <w:r w:rsidR="009325CC">
        <w:t>action</w:t>
      </w:r>
      <w:r w:rsidR="00895E10">
        <w:t xml:space="preserve"> on </w:t>
      </w:r>
      <w:r w:rsidR="0032595B">
        <w:t xml:space="preserve">the </w:t>
      </w:r>
      <w:r w:rsidR="00856D63">
        <w:t>last submission received</w:t>
      </w:r>
      <w:r w:rsidR="0032595B">
        <w:t>.</w:t>
      </w:r>
    </w:p>
    <w:p w14:paraId="281FA770" w14:textId="77777777" w:rsidR="00EF1C0F" w:rsidRDefault="008059FE" w:rsidP="00895E10">
      <w:pPr>
        <w:jc w:val="both"/>
      </w:pPr>
      <w:r>
        <w:t>7</w:t>
      </w:r>
      <w:r w:rsidR="00374FCA">
        <w:t>.6</w:t>
      </w:r>
      <w:r w:rsidR="003833E9">
        <w:t xml:space="preserve"> Where schem</w:t>
      </w:r>
      <w:r w:rsidR="009D6806">
        <w:t>es that do not comply with the P</w:t>
      </w:r>
      <w:r w:rsidR="003833E9">
        <w:t xml:space="preserve">rotocol are submitted during the year, </w:t>
      </w:r>
      <w:r w:rsidR="00856D63">
        <w:t>the school will be notified of this</w:t>
      </w:r>
      <w:r w:rsidR="003833E9">
        <w:t xml:space="preserve">.  </w:t>
      </w:r>
      <w:r w:rsidR="00856D63">
        <w:t>Cases w</w:t>
      </w:r>
      <w:r w:rsidR="003833E9">
        <w:t>here schemes that do not comply are submitted for the first time at 31 March</w:t>
      </w:r>
      <w:r w:rsidR="00856D63">
        <w:t xml:space="preserve"> </w:t>
      </w:r>
      <w:r w:rsidR="00895E10">
        <w:t>will</w:t>
      </w:r>
      <w:r w:rsidR="009325CC">
        <w:t xml:space="preserve"> be referred to the SF</w:t>
      </w:r>
      <w:r w:rsidR="00856D63">
        <w:t>PG</w:t>
      </w:r>
      <w:r w:rsidR="009325CC">
        <w:t xml:space="preserve"> for recommendation </w:t>
      </w:r>
      <w:r w:rsidR="00CC7056">
        <w:t xml:space="preserve">to be made </w:t>
      </w:r>
      <w:r w:rsidR="009325CC">
        <w:t>on clawback.</w:t>
      </w:r>
    </w:p>
    <w:p w14:paraId="6167303A" w14:textId="77777777" w:rsidR="00895E10" w:rsidRDefault="00895E10" w:rsidP="00895E10">
      <w:pPr>
        <w:jc w:val="both"/>
      </w:pPr>
    </w:p>
    <w:p w14:paraId="4EB21848" w14:textId="77777777" w:rsidR="00895E10" w:rsidRDefault="00895E10" w:rsidP="00895E10">
      <w:pPr>
        <w:jc w:val="both"/>
      </w:pPr>
    </w:p>
    <w:p w14:paraId="215A5B9F" w14:textId="77777777" w:rsidR="00B435FC" w:rsidRDefault="008059FE" w:rsidP="00290278">
      <w:pPr>
        <w:jc w:val="both"/>
        <w:rPr>
          <w:b/>
        </w:rPr>
      </w:pPr>
      <w:r>
        <w:rPr>
          <w:b/>
        </w:rPr>
        <w:t>8</w:t>
      </w:r>
      <w:r w:rsidR="00895E10">
        <w:rPr>
          <w:b/>
        </w:rPr>
        <w:t xml:space="preserve"> </w:t>
      </w:r>
      <w:r w:rsidR="00895E10" w:rsidRPr="00895E10">
        <w:rPr>
          <w:b/>
          <w:u w:val="single"/>
        </w:rPr>
        <w:t>Clawback</w:t>
      </w:r>
    </w:p>
    <w:p w14:paraId="2279B7F5" w14:textId="77777777" w:rsidR="00290278" w:rsidRDefault="00290278" w:rsidP="00290278">
      <w:pPr>
        <w:jc w:val="both"/>
        <w:rPr>
          <w:b/>
        </w:rPr>
      </w:pPr>
    </w:p>
    <w:p w14:paraId="3292F9A3" w14:textId="77777777" w:rsidR="00290278" w:rsidRPr="00290278" w:rsidRDefault="008059FE" w:rsidP="00290278">
      <w:pPr>
        <w:jc w:val="both"/>
      </w:pPr>
      <w:r>
        <w:t>8</w:t>
      </w:r>
      <w:r w:rsidR="00290278">
        <w:t>.1 Decisions on clawback will only be made followi</w:t>
      </w:r>
      <w:r w:rsidR="001C06FE">
        <w:t>ng the confirmation of the year-</w:t>
      </w:r>
      <w:r w:rsidR="00290278">
        <w:t>end position. This</w:t>
      </w:r>
      <w:r w:rsidR="006C6FAB">
        <w:t xml:space="preserve"> is normally</w:t>
      </w:r>
      <w:r w:rsidR="00290278">
        <w:t xml:space="preserve"> in May each year. Schools at risk of clawback will be notified at this point and will be informed that the</w:t>
      </w:r>
      <w:r w:rsidR="006C6FAB">
        <w:t>ir</w:t>
      </w:r>
      <w:r w:rsidR="00290278">
        <w:t xml:space="preserve"> case will be considered by the SFPG. The school has the right to attend the SFPG meeting at which the</w:t>
      </w:r>
      <w:r w:rsidR="006C6FAB">
        <w:t>ir</w:t>
      </w:r>
      <w:r w:rsidR="00290278">
        <w:t xml:space="preserve"> case is discussed and / or can provide additional info</w:t>
      </w:r>
      <w:r w:rsidR="00FB5117">
        <w:t>rmation in support of their case</w:t>
      </w:r>
      <w:r w:rsidR="00290278">
        <w:t>.</w:t>
      </w:r>
    </w:p>
    <w:p w14:paraId="4B7FAE91" w14:textId="77777777" w:rsidR="00290278" w:rsidRDefault="00290278" w:rsidP="00290278">
      <w:pPr>
        <w:jc w:val="both"/>
        <w:rPr>
          <w:b/>
        </w:rPr>
      </w:pPr>
    </w:p>
    <w:p w14:paraId="7C58CE08" w14:textId="77777777" w:rsidR="00290278" w:rsidRDefault="008059FE" w:rsidP="00290278">
      <w:pPr>
        <w:jc w:val="both"/>
      </w:pPr>
      <w:r>
        <w:t>8</w:t>
      </w:r>
      <w:r w:rsidR="00290278">
        <w:t xml:space="preserve">.2 </w:t>
      </w:r>
      <w:r w:rsidR="006C6FAB">
        <w:t>Following consideration, t</w:t>
      </w:r>
      <w:r w:rsidR="00290278">
        <w:t xml:space="preserve">he SFPG will make a recommendation on whether to apply clawback or not. </w:t>
      </w:r>
      <w:r w:rsidR="003B5F80">
        <w:t xml:space="preserve">The school will be notified of this recommendation. </w:t>
      </w:r>
      <w:r w:rsidR="00290278">
        <w:t xml:space="preserve">The Schools Forum will </w:t>
      </w:r>
      <w:r w:rsidR="003B5F80">
        <w:t xml:space="preserve">also </w:t>
      </w:r>
      <w:r w:rsidR="00290278">
        <w:t>be</w:t>
      </w:r>
      <w:r w:rsidR="006C6FAB">
        <w:t xml:space="preserve"> notified of the recommendation</w:t>
      </w:r>
      <w:r w:rsidR="00290278">
        <w:t xml:space="preserve"> a</w:t>
      </w:r>
      <w:r w:rsidR="006C6FAB">
        <w:t>nd will be asked to ratify this</w:t>
      </w:r>
      <w:r w:rsidR="00290278">
        <w:t>.</w:t>
      </w:r>
      <w:r w:rsidR="00374FCA">
        <w:t xml:space="preserve"> However, t</w:t>
      </w:r>
      <w:r w:rsidR="006C6FAB">
        <w:t>he school will not have the right of appeal to the Schools Forum. The</w:t>
      </w:r>
      <w:r w:rsidR="00FB5117">
        <w:t xml:space="preserve"> SFPG’s</w:t>
      </w:r>
      <w:r w:rsidR="006C6FAB">
        <w:t xml:space="preserve"> recommendation will go to the Council’s Executive Committee for a final decision.</w:t>
      </w:r>
    </w:p>
    <w:p w14:paraId="75E5158B" w14:textId="77777777" w:rsidR="00E82976" w:rsidRDefault="00E82976" w:rsidP="00290278">
      <w:pPr>
        <w:jc w:val="both"/>
      </w:pPr>
    </w:p>
    <w:p w14:paraId="70787373" w14:textId="77777777" w:rsidR="00E82976" w:rsidRDefault="008059FE" w:rsidP="00290278">
      <w:pPr>
        <w:jc w:val="both"/>
      </w:pPr>
      <w:r>
        <w:t>8</w:t>
      </w:r>
      <w:r w:rsidR="00E82976">
        <w:t>.3 Schools will be at risk of clawback where:</w:t>
      </w:r>
    </w:p>
    <w:p w14:paraId="57F1E9A7" w14:textId="77777777" w:rsidR="00E82976" w:rsidRDefault="00E82976" w:rsidP="00290278">
      <w:pPr>
        <w:jc w:val="both"/>
      </w:pPr>
    </w:p>
    <w:p w14:paraId="769D94A4" w14:textId="77777777" w:rsidR="000418D5" w:rsidRDefault="000418D5" w:rsidP="000418D5">
      <w:pPr>
        <w:numPr>
          <w:ilvl w:val="0"/>
          <w:numId w:val="27"/>
        </w:numPr>
        <w:jc w:val="both"/>
      </w:pPr>
      <w:r>
        <w:t>A revenue balance in excess of the defined re</w:t>
      </w:r>
      <w:r w:rsidR="001C06FE">
        <w:t>serve threshold is held at year-</w:t>
      </w:r>
      <w:r>
        <w:t xml:space="preserve">end and where no schemes have been submitted </w:t>
      </w:r>
      <w:r w:rsidR="00173D3D">
        <w:t>or where the value of schemes does not fully cover the value of excess (following the adjustments outlined in paragraph 4 and with a £3,000 allowance</w:t>
      </w:r>
      <w:r w:rsidR="001C06FE">
        <w:t>.</w:t>
      </w:r>
    </w:p>
    <w:p w14:paraId="165C43C7" w14:textId="77777777" w:rsidR="000418D5" w:rsidRDefault="000418D5" w:rsidP="000418D5">
      <w:pPr>
        <w:numPr>
          <w:ilvl w:val="0"/>
          <w:numId w:val="27"/>
        </w:numPr>
        <w:jc w:val="both"/>
      </w:pPr>
      <w:r>
        <w:t>A revenue balance in excess of the defined reserve threshold is held</w:t>
      </w:r>
      <w:r w:rsidR="001C06FE">
        <w:t xml:space="preserve"> at year-</w:t>
      </w:r>
      <w:r w:rsidR="00777B64">
        <w:t>end</w:t>
      </w:r>
      <w:r>
        <w:t xml:space="preserve"> where the school has submitted schem</w:t>
      </w:r>
      <w:r w:rsidR="00B06A41">
        <w:t>es that do not comply with the P</w:t>
      </w:r>
      <w:r>
        <w:t>rotocol</w:t>
      </w:r>
      <w:r w:rsidR="001C06FE">
        <w:t>.</w:t>
      </w:r>
    </w:p>
    <w:p w14:paraId="6CA0E7DB" w14:textId="77777777" w:rsidR="000418D5" w:rsidRDefault="00FE1761" w:rsidP="000418D5">
      <w:pPr>
        <w:numPr>
          <w:ilvl w:val="0"/>
          <w:numId w:val="27"/>
        </w:numPr>
        <w:jc w:val="both"/>
      </w:pPr>
      <w:r>
        <w:t>A revenue balance in excess of the defined reserve threshold is held at year</w:t>
      </w:r>
      <w:r w:rsidR="001C06FE">
        <w:t>-end</w:t>
      </w:r>
      <w:r>
        <w:t xml:space="preserve"> where a</w:t>
      </w:r>
      <w:r w:rsidR="000418D5">
        <w:t xml:space="preserve"> scheme for a revenue contribution to capital is submitted where uncommitted capital resour</w:t>
      </w:r>
      <w:r w:rsidR="00777B64">
        <w:t xml:space="preserve">ces </w:t>
      </w:r>
      <w:r>
        <w:t xml:space="preserve">held by the school </w:t>
      </w:r>
      <w:r w:rsidR="00777B64">
        <w:t>are sufficient to meet the cost</w:t>
      </w:r>
      <w:r>
        <w:t>s</w:t>
      </w:r>
      <w:r w:rsidR="000418D5">
        <w:t xml:space="preserve"> (paragraph 6.1)</w:t>
      </w:r>
      <w:r w:rsidR="001C06FE">
        <w:t>.</w:t>
      </w:r>
    </w:p>
    <w:p w14:paraId="73EBB018" w14:textId="77777777" w:rsidR="000418D5" w:rsidRDefault="000418D5" w:rsidP="000418D5">
      <w:pPr>
        <w:numPr>
          <w:ilvl w:val="0"/>
          <w:numId w:val="27"/>
        </w:numPr>
        <w:jc w:val="both"/>
      </w:pPr>
      <w:r>
        <w:t>A school does not</w:t>
      </w:r>
      <w:r w:rsidR="001C06FE">
        <w:t xml:space="preserve"> subsequently</w:t>
      </w:r>
      <w:r>
        <w:t xml:space="preserve"> spend </w:t>
      </w:r>
      <w:r w:rsidR="001C06FE">
        <w:t xml:space="preserve">on </w:t>
      </w:r>
      <w:r>
        <w:t>an approved scheme and where the school does not</w:t>
      </w:r>
      <w:r w:rsidR="00777B64">
        <w:t xml:space="preserve"> satisfactorily</w:t>
      </w:r>
      <w:r>
        <w:t xml:space="preserve"> evidence that this is the result of circumstances beyond the school’s control</w:t>
      </w:r>
      <w:r w:rsidR="001C06FE">
        <w:t>.</w:t>
      </w:r>
    </w:p>
    <w:p w14:paraId="33CF8C85" w14:textId="77777777" w:rsidR="006872E0" w:rsidRDefault="006872E0" w:rsidP="00684553">
      <w:pPr>
        <w:ind w:left="360"/>
        <w:jc w:val="both"/>
      </w:pPr>
    </w:p>
    <w:p w14:paraId="3C4E9146" w14:textId="77777777" w:rsidR="00F735E5" w:rsidRDefault="008059FE" w:rsidP="00F735E5">
      <w:pPr>
        <w:jc w:val="both"/>
      </w:pPr>
      <w:r>
        <w:t>8</w:t>
      </w:r>
      <w:r w:rsidR="00FB5117">
        <w:t xml:space="preserve">.4 Where agreed, </w:t>
      </w:r>
      <w:r w:rsidR="00F735E5">
        <w:t>clawback will be actioned at the next available funding update, by reducing the fundi</w:t>
      </w:r>
      <w:r w:rsidR="00FB5117">
        <w:t>ng allocation for the school</w:t>
      </w:r>
      <w:r w:rsidR="00F735E5">
        <w:t>. The school will be notified of the final decis</w:t>
      </w:r>
      <w:r w:rsidR="00FB5117">
        <w:t>ion and of the date this</w:t>
      </w:r>
      <w:r w:rsidR="00F735E5">
        <w:t xml:space="preserve"> adjustment will take place.</w:t>
      </w:r>
    </w:p>
    <w:p w14:paraId="2D2804CB" w14:textId="77777777" w:rsidR="00F735E5" w:rsidRDefault="00F735E5" w:rsidP="00684553">
      <w:pPr>
        <w:ind w:left="360"/>
        <w:jc w:val="both"/>
      </w:pPr>
    </w:p>
    <w:p w14:paraId="734CBBD5" w14:textId="77777777" w:rsidR="005B1E8A" w:rsidRDefault="005B1E8A" w:rsidP="00684553">
      <w:pPr>
        <w:ind w:left="360"/>
        <w:jc w:val="both"/>
      </w:pPr>
    </w:p>
    <w:p w14:paraId="61CEBD48" w14:textId="77777777" w:rsidR="00684553" w:rsidRPr="00684553" w:rsidRDefault="008059FE" w:rsidP="00684553">
      <w:pPr>
        <w:pStyle w:val="ListParagraph"/>
        <w:ind w:left="0"/>
        <w:rPr>
          <w:b/>
        </w:rPr>
      </w:pPr>
      <w:r>
        <w:rPr>
          <w:b/>
        </w:rPr>
        <w:t>9</w:t>
      </w:r>
      <w:r w:rsidR="006B02E1">
        <w:rPr>
          <w:b/>
        </w:rPr>
        <w:t xml:space="preserve"> </w:t>
      </w:r>
      <w:r w:rsidR="00EB4E0F" w:rsidRPr="00EB4E0F">
        <w:rPr>
          <w:b/>
          <w:u w:val="single"/>
        </w:rPr>
        <w:t xml:space="preserve">Monitoring, </w:t>
      </w:r>
      <w:r w:rsidR="006B02E1" w:rsidRPr="00EB4E0F">
        <w:rPr>
          <w:b/>
          <w:u w:val="single"/>
        </w:rPr>
        <w:t>Scheme Changes &amp; Verification of Spending</w:t>
      </w:r>
    </w:p>
    <w:p w14:paraId="53406A5E" w14:textId="77777777" w:rsidR="00684553" w:rsidRDefault="00684553" w:rsidP="00684553">
      <w:pPr>
        <w:ind w:left="360"/>
        <w:jc w:val="both"/>
      </w:pPr>
    </w:p>
    <w:p w14:paraId="693D719C" w14:textId="77777777" w:rsidR="00056829" w:rsidRDefault="008059FE" w:rsidP="00056829">
      <w:pPr>
        <w:jc w:val="both"/>
      </w:pPr>
      <w:r>
        <w:t>9</w:t>
      </w:r>
      <w:r w:rsidR="00056829">
        <w:t>.1 Once a scheme has been approved</w:t>
      </w:r>
      <w:r w:rsidR="001C06FE">
        <w:t>,</w:t>
      </w:r>
      <w:r w:rsidR="00056829">
        <w:t xml:space="preserve"> it is</w:t>
      </w:r>
      <w:r w:rsidR="00E82976">
        <w:t xml:space="preserve"> the school’s responsibility to ensure that the scheme is</w:t>
      </w:r>
      <w:r w:rsidR="00056829">
        <w:t xml:space="preserve"> completed according to the timescale</w:t>
      </w:r>
      <w:r w:rsidR="001C06FE">
        <w:t>s</w:t>
      </w:r>
      <w:r w:rsidR="00056829">
        <w:t xml:space="preserve"> and cost</w:t>
      </w:r>
      <w:r w:rsidR="005C058D">
        <w:t>s</w:t>
      </w:r>
      <w:r w:rsidR="00056829">
        <w:t xml:space="preserve"> outli</w:t>
      </w:r>
      <w:r w:rsidR="00374FCA">
        <w:t>ned in the school’s submission.</w:t>
      </w:r>
    </w:p>
    <w:p w14:paraId="753C693A" w14:textId="77777777" w:rsidR="00056829" w:rsidRDefault="00056829" w:rsidP="0036542D">
      <w:pPr>
        <w:ind w:left="360"/>
        <w:jc w:val="both"/>
      </w:pPr>
    </w:p>
    <w:p w14:paraId="299DC411" w14:textId="77777777" w:rsidR="00016368" w:rsidRDefault="008059FE" w:rsidP="00016368">
      <w:pPr>
        <w:jc w:val="both"/>
      </w:pPr>
      <w:r>
        <w:t>9</w:t>
      </w:r>
      <w:r w:rsidR="00590866">
        <w:t>.2 T</w:t>
      </w:r>
      <w:r w:rsidR="005C058D">
        <w:t xml:space="preserve">he </w:t>
      </w:r>
      <w:r w:rsidR="001C06FE">
        <w:t xml:space="preserve">budget </w:t>
      </w:r>
      <w:r w:rsidR="005C058D">
        <w:t>monitoring</w:t>
      </w:r>
      <w:r w:rsidR="001C06FE">
        <w:t xml:space="preserve"> template, used by schools, is</w:t>
      </w:r>
      <w:r w:rsidR="00016368">
        <w:t xml:space="preserve"> pre-populated</w:t>
      </w:r>
      <w:r w:rsidR="00EB4E0F">
        <w:t xml:space="preserve"> with approved schemes,</w:t>
      </w:r>
      <w:r w:rsidR="00016368">
        <w:t xml:space="preserve"> for schools to record the progress of spending during the year. </w:t>
      </w:r>
    </w:p>
    <w:p w14:paraId="24778C88" w14:textId="77777777" w:rsidR="00016368" w:rsidRDefault="00016368" w:rsidP="00016368">
      <w:pPr>
        <w:jc w:val="both"/>
      </w:pPr>
    </w:p>
    <w:p w14:paraId="1956F468" w14:textId="77777777" w:rsidR="00016368" w:rsidRDefault="008059FE" w:rsidP="00016368">
      <w:pPr>
        <w:jc w:val="both"/>
      </w:pPr>
      <w:r>
        <w:t>9</w:t>
      </w:r>
      <w:r w:rsidR="00590866">
        <w:t>.3 S</w:t>
      </w:r>
      <w:r w:rsidR="00016368">
        <w:t>chools with approved schemes wi</w:t>
      </w:r>
      <w:r w:rsidR="001C06FE">
        <w:t>ll be required, as part of year-</w:t>
      </w:r>
      <w:r w:rsidR="00016368">
        <w:t>end reportin</w:t>
      </w:r>
      <w:r w:rsidR="005C058D">
        <w:t>g, to confirm that these</w:t>
      </w:r>
      <w:r w:rsidR="00016368">
        <w:t xml:space="preserve"> have been fully spent.</w:t>
      </w:r>
    </w:p>
    <w:p w14:paraId="37EAF9B2" w14:textId="77777777" w:rsidR="00016368" w:rsidRDefault="00016368" w:rsidP="0036542D">
      <w:pPr>
        <w:ind w:left="360"/>
        <w:jc w:val="both"/>
      </w:pPr>
    </w:p>
    <w:p w14:paraId="4C79F92E" w14:textId="77777777" w:rsidR="00056829" w:rsidRDefault="008059FE" w:rsidP="00056829">
      <w:pPr>
        <w:jc w:val="both"/>
      </w:pPr>
      <w:r>
        <w:t>9</w:t>
      </w:r>
      <w:r w:rsidR="00016368">
        <w:t>.4</w:t>
      </w:r>
      <w:r w:rsidR="00056829">
        <w:t xml:space="preserve"> </w:t>
      </w:r>
      <w:r w:rsidR="00EC752A" w:rsidRPr="00EC752A">
        <w:t>Where, i</w:t>
      </w:r>
      <w:r w:rsidR="005E2BE2">
        <w:t>n the view of the governing board</w:t>
      </w:r>
      <w:r w:rsidR="00EC752A" w:rsidRPr="00EC752A">
        <w:t>, a scheme cannot go ahe</w:t>
      </w:r>
      <w:r w:rsidR="001C06FE">
        <w:t>ad or is required to be changed</w:t>
      </w:r>
      <w:r w:rsidR="00EC752A" w:rsidRPr="00EC752A">
        <w:t xml:space="preserve"> in content, value or timescale, it is the responsibility of the school to notify the Local Authority immediately. Where a scheme is proposed to be cancelled altogether, the school must also evidence alternative arrangements for the spen</w:t>
      </w:r>
      <w:r w:rsidR="00381AA1">
        <w:t>ding of the excess balance. Such cases may</w:t>
      </w:r>
      <w:r w:rsidR="00EC752A" w:rsidRPr="00EC752A">
        <w:t xml:space="preserve"> be referred</w:t>
      </w:r>
      <w:r w:rsidR="00381AA1">
        <w:t xml:space="preserve"> to the SFPG for consideration, where the </w:t>
      </w:r>
      <w:r w:rsidR="00EC752A" w:rsidRPr="00EC752A">
        <w:t>SFPG will decide whether the circumstances outlined by the school justify approval of a change to the scheme.</w:t>
      </w:r>
    </w:p>
    <w:p w14:paraId="7E59398A" w14:textId="77777777" w:rsidR="000418D5" w:rsidRDefault="000418D5" w:rsidP="00056829">
      <w:pPr>
        <w:jc w:val="both"/>
      </w:pPr>
    </w:p>
    <w:p w14:paraId="40016F8C" w14:textId="77777777" w:rsidR="00DB5A6E" w:rsidRPr="00DB5A6E" w:rsidRDefault="008059FE" w:rsidP="00056829">
      <w:pPr>
        <w:jc w:val="both"/>
      </w:pPr>
      <w:r>
        <w:t>9</w:t>
      </w:r>
      <w:r w:rsidR="00DB5A6E">
        <w:t xml:space="preserve">.5 </w:t>
      </w:r>
      <w:r w:rsidR="00440E31">
        <w:t>In assessing this, s</w:t>
      </w:r>
      <w:r w:rsidR="00DB5A6E">
        <w:t>pecifically</w:t>
      </w:r>
      <w:r w:rsidR="00440E31">
        <w:t>,</w:t>
      </w:r>
      <w:r w:rsidR="00DB5A6E">
        <w:t xml:space="preserve"> the school will be required to evidence that change is necessary for reasons </w:t>
      </w:r>
      <w:r w:rsidR="00DB5A6E" w:rsidRPr="00DB5A6E">
        <w:rPr>
          <w:u w:val="single"/>
        </w:rPr>
        <w:t>beyond the control of the school</w:t>
      </w:r>
      <w:r w:rsidR="00DB5A6E">
        <w:t>. Schools that fail to do this</w:t>
      </w:r>
      <w:r w:rsidR="00B944D5">
        <w:t>, and fail to spend the agreed amounts on the approved schemes,</w:t>
      </w:r>
      <w:r w:rsidR="00DB5A6E">
        <w:t xml:space="preserve"> may be subject to clawback.</w:t>
      </w:r>
    </w:p>
    <w:p w14:paraId="122136FD" w14:textId="77777777" w:rsidR="008059FE" w:rsidRDefault="008059FE" w:rsidP="000418D5">
      <w:pPr>
        <w:jc w:val="both"/>
      </w:pPr>
    </w:p>
    <w:p w14:paraId="1F473552" w14:textId="77777777" w:rsidR="00AB3E4C" w:rsidRPr="0099645D" w:rsidRDefault="008059FE" w:rsidP="007758A0">
      <w:pPr>
        <w:jc w:val="both"/>
      </w:pPr>
      <w:r>
        <w:t>9</w:t>
      </w:r>
      <w:r w:rsidR="000418D5">
        <w:t>.6 Where a school submits a scheme</w:t>
      </w:r>
      <w:r w:rsidR="001C06FE">
        <w:t>,</w:t>
      </w:r>
      <w:r w:rsidR="000418D5">
        <w:t xml:space="preserve"> but where the school’s actual balance at 31 March is lower than the defined reserve threshold, the school will still be committed to this scheme. This is because this scheme should </w:t>
      </w:r>
      <w:r w:rsidR="001C06FE">
        <w:t xml:space="preserve">have already </w:t>
      </w:r>
      <w:r w:rsidR="000418D5">
        <w:t>be</w:t>
      </w:r>
      <w:r w:rsidR="001C06FE">
        <w:t>en</w:t>
      </w:r>
      <w:r w:rsidR="000418D5">
        <w:t xml:space="preserve"> built into the school’s medium term budget plan and should </w:t>
      </w:r>
      <w:r w:rsidR="001C06FE">
        <w:t xml:space="preserve">have already </w:t>
      </w:r>
      <w:r w:rsidR="000418D5">
        <w:t>be</w:t>
      </w:r>
      <w:r w:rsidR="001C06FE">
        <w:t>en</w:t>
      </w:r>
      <w:r w:rsidR="000418D5">
        <w:t xml:space="preserve"> agreed by governors as a priority for the school.</w:t>
      </w:r>
    </w:p>
    <w:sectPr w:rsidR="00AB3E4C" w:rsidRPr="0099645D" w:rsidSect="00A32864">
      <w:footerReference w:type="even" r:id="rId9"/>
      <w:footerReference w:type="default" r:id="rId10"/>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010" w14:textId="77777777" w:rsidR="00CB2946" w:rsidRDefault="00CB2946">
      <w:r>
        <w:separator/>
      </w:r>
    </w:p>
  </w:endnote>
  <w:endnote w:type="continuationSeparator" w:id="0">
    <w:p w14:paraId="6EC275F1" w14:textId="77777777" w:rsidR="00CB2946" w:rsidRDefault="00CB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3150" w14:textId="77777777" w:rsidR="00CB2946" w:rsidRDefault="00CB2946" w:rsidP="00BC6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78AA7" w14:textId="77777777" w:rsidR="00CB2946" w:rsidRDefault="00CB2946" w:rsidP="00BC6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6317" w14:textId="77777777" w:rsidR="00CB2946" w:rsidRDefault="00CB2946" w:rsidP="00BC6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3E7">
      <w:rPr>
        <w:rStyle w:val="PageNumber"/>
        <w:noProof/>
      </w:rPr>
      <w:t>6</w:t>
    </w:r>
    <w:r>
      <w:rPr>
        <w:rStyle w:val="PageNumber"/>
      </w:rPr>
      <w:fldChar w:fldCharType="end"/>
    </w:r>
  </w:p>
  <w:p w14:paraId="0BFF52C8" w14:textId="69F1308A" w:rsidR="00CB2946" w:rsidRDefault="00F723E7" w:rsidP="00BC66D4">
    <w:pPr>
      <w:pStyle w:val="Footer"/>
      <w:ind w:right="360"/>
    </w:pPr>
    <w:r>
      <w:t>Version 1</w:t>
    </w:r>
    <w:r w:rsidR="0078696E">
      <w:t>4</w:t>
    </w:r>
    <w:r>
      <w:t xml:space="preserve">; Issue date – </w:t>
    </w:r>
    <w:r w:rsidR="00C60A58">
      <w:t>April</w:t>
    </w:r>
    <w:r>
      <w:t xml:space="preserve"> 202</w:t>
    </w:r>
    <w:r w:rsidR="0078696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7AA3" w14:textId="77777777" w:rsidR="00CB2946" w:rsidRDefault="00CB2946">
      <w:r>
        <w:separator/>
      </w:r>
    </w:p>
  </w:footnote>
  <w:footnote w:type="continuationSeparator" w:id="0">
    <w:p w14:paraId="66E67867" w14:textId="77777777" w:rsidR="00CB2946" w:rsidRDefault="00CB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2DC"/>
    <w:multiLevelType w:val="hybridMultilevel"/>
    <w:tmpl w:val="DCF2B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6093"/>
    <w:multiLevelType w:val="hybridMultilevel"/>
    <w:tmpl w:val="41FCF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76A4A"/>
    <w:multiLevelType w:val="hybridMultilevel"/>
    <w:tmpl w:val="CEA2D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A581E"/>
    <w:multiLevelType w:val="hybridMultilevel"/>
    <w:tmpl w:val="72746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61219"/>
    <w:multiLevelType w:val="hybridMultilevel"/>
    <w:tmpl w:val="FC6A3C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AF1CD6"/>
    <w:multiLevelType w:val="hybridMultilevel"/>
    <w:tmpl w:val="D0865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80ED4"/>
    <w:multiLevelType w:val="hybridMultilevel"/>
    <w:tmpl w:val="F6B65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66D94"/>
    <w:multiLevelType w:val="hybridMultilevel"/>
    <w:tmpl w:val="4CC800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424352A"/>
    <w:multiLevelType w:val="hybridMultilevel"/>
    <w:tmpl w:val="A5B6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E4993"/>
    <w:multiLevelType w:val="hybridMultilevel"/>
    <w:tmpl w:val="4140BE82"/>
    <w:lvl w:ilvl="0" w:tplc="7A36D9E2">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35A80"/>
    <w:multiLevelType w:val="hybridMultilevel"/>
    <w:tmpl w:val="6D76B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95B1B"/>
    <w:multiLevelType w:val="hybridMultilevel"/>
    <w:tmpl w:val="A634C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50E9A"/>
    <w:multiLevelType w:val="hybridMultilevel"/>
    <w:tmpl w:val="C0D43BD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3F7940"/>
    <w:multiLevelType w:val="multilevel"/>
    <w:tmpl w:val="A3882F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6612"/>
    <w:multiLevelType w:val="hybridMultilevel"/>
    <w:tmpl w:val="305E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E7B02"/>
    <w:multiLevelType w:val="hybridMultilevel"/>
    <w:tmpl w:val="85F80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E20B3"/>
    <w:multiLevelType w:val="hybridMultilevel"/>
    <w:tmpl w:val="452E5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A7D2F"/>
    <w:multiLevelType w:val="multilevel"/>
    <w:tmpl w:val="6D4EB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8C3715"/>
    <w:multiLevelType w:val="hybridMultilevel"/>
    <w:tmpl w:val="D2AA48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507EFB"/>
    <w:multiLevelType w:val="multilevel"/>
    <w:tmpl w:val="532AE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563BE"/>
    <w:multiLevelType w:val="hybridMultilevel"/>
    <w:tmpl w:val="3B8E2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363EB"/>
    <w:multiLevelType w:val="multilevel"/>
    <w:tmpl w:val="F7CE3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25793A"/>
    <w:multiLevelType w:val="hybridMultilevel"/>
    <w:tmpl w:val="FCE0E2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5063B4"/>
    <w:multiLevelType w:val="hybridMultilevel"/>
    <w:tmpl w:val="72C46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33ED1"/>
    <w:multiLevelType w:val="multilevel"/>
    <w:tmpl w:val="53901D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7A7724"/>
    <w:multiLevelType w:val="hybridMultilevel"/>
    <w:tmpl w:val="C8481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603445"/>
    <w:multiLevelType w:val="hybridMultilevel"/>
    <w:tmpl w:val="4F561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A5A8D"/>
    <w:multiLevelType w:val="hybridMultilevel"/>
    <w:tmpl w:val="47585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B76DF"/>
    <w:multiLevelType w:val="hybridMultilevel"/>
    <w:tmpl w:val="571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1C4198"/>
    <w:multiLevelType w:val="hybridMultilevel"/>
    <w:tmpl w:val="0950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50AB8"/>
    <w:multiLevelType w:val="hybridMultilevel"/>
    <w:tmpl w:val="E9143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14081"/>
    <w:multiLevelType w:val="hybridMultilevel"/>
    <w:tmpl w:val="9FAC1C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4355830"/>
    <w:multiLevelType w:val="hybridMultilevel"/>
    <w:tmpl w:val="F40A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C4DFC"/>
    <w:multiLevelType w:val="hybridMultilevel"/>
    <w:tmpl w:val="213C58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015861"/>
    <w:multiLevelType w:val="hybridMultilevel"/>
    <w:tmpl w:val="963CF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CC2999"/>
    <w:multiLevelType w:val="hybridMultilevel"/>
    <w:tmpl w:val="F7E21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B27CD"/>
    <w:multiLevelType w:val="hybridMultilevel"/>
    <w:tmpl w:val="3B664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C12ED"/>
    <w:multiLevelType w:val="multilevel"/>
    <w:tmpl w:val="74FA2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2128547">
    <w:abstractNumId w:val="36"/>
  </w:num>
  <w:num w:numId="2" w16cid:durableId="1216427900">
    <w:abstractNumId w:val="3"/>
  </w:num>
  <w:num w:numId="3" w16cid:durableId="205067769">
    <w:abstractNumId w:val="27"/>
  </w:num>
  <w:num w:numId="4" w16cid:durableId="1486042899">
    <w:abstractNumId w:val="7"/>
  </w:num>
  <w:num w:numId="5" w16cid:durableId="83844428">
    <w:abstractNumId w:val="15"/>
  </w:num>
  <w:num w:numId="6" w16cid:durableId="979580575">
    <w:abstractNumId w:val="28"/>
  </w:num>
  <w:num w:numId="7" w16cid:durableId="1737895512">
    <w:abstractNumId w:val="11"/>
  </w:num>
  <w:num w:numId="8" w16cid:durableId="64962523">
    <w:abstractNumId w:val="25"/>
  </w:num>
  <w:num w:numId="9" w16cid:durableId="1313564339">
    <w:abstractNumId w:val="5"/>
  </w:num>
  <w:num w:numId="10" w16cid:durableId="1269654073">
    <w:abstractNumId w:val="1"/>
  </w:num>
  <w:num w:numId="11" w16cid:durableId="519860844">
    <w:abstractNumId w:val="20"/>
  </w:num>
  <w:num w:numId="12" w16cid:durableId="312562052">
    <w:abstractNumId w:val="18"/>
  </w:num>
  <w:num w:numId="13" w16cid:durableId="1199585002">
    <w:abstractNumId w:val="12"/>
  </w:num>
  <w:num w:numId="14" w16cid:durableId="1100026338">
    <w:abstractNumId w:val="6"/>
  </w:num>
  <w:num w:numId="15" w16cid:durableId="398944207">
    <w:abstractNumId w:val="0"/>
  </w:num>
  <w:num w:numId="16" w16cid:durableId="1307321727">
    <w:abstractNumId w:val="23"/>
  </w:num>
  <w:num w:numId="17" w16cid:durableId="1419211670">
    <w:abstractNumId w:val="14"/>
  </w:num>
  <w:num w:numId="18" w16cid:durableId="629170602">
    <w:abstractNumId w:val="9"/>
  </w:num>
  <w:num w:numId="19" w16cid:durableId="688141232">
    <w:abstractNumId w:val="19"/>
  </w:num>
  <w:num w:numId="20" w16cid:durableId="1254780134">
    <w:abstractNumId w:val="30"/>
  </w:num>
  <w:num w:numId="21" w16cid:durableId="525144470">
    <w:abstractNumId w:val="29"/>
  </w:num>
  <w:num w:numId="22" w16cid:durableId="1703242412">
    <w:abstractNumId w:val="37"/>
  </w:num>
  <w:num w:numId="23" w16cid:durableId="1400782962">
    <w:abstractNumId w:val="21"/>
  </w:num>
  <w:num w:numId="24" w16cid:durableId="1201938987">
    <w:abstractNumId w:val="34"/>
  </w:num>
  <w:num w:numId="25" w16cid:durableId="577790075">
    <w:abstractNumId w:val="17"/>
  </w:num>
  <w:num w:numId="26" w16cid:durableId="1410542721">
    <w:abstractNumId w:val="13"/>
  </w:num>
  <w:num w:numId="27" w16cid:durableId="20207406">
    <w:abstractNumId w:val="8"/>
  </w:num>
  <w:num w:numId="28" w16cid:durableId="1291479828">
    <w:abstractNumId w:val="24"/>
  </w:num>
  <w:num w:numId="29" w16cid:durableId="1295601645">
    <w:abstractNumId w:val="16"/>
  </w:num>
  <w:num w:numId="30" w16cid:durableId="218902582">
    <w:abstractNumId w:val="10"/>
  </w:num>
  <w:num w:numId="31" w16cid:durableId="1058287681">
    <w:abstractNumId w:val="26"/>
  </w:num>
  <w:num w:numId="32" w16cid:durableId="1145972399">
    <w:abstractNumId w:val="35"/>
  </w:num>
  <w:num w:numId="33" w16cid:durableId="577861855">
    <w:abstractNumId w:val="2"/>
  </w:num>
  <w:num w:numId="34" w16cid:durableId="45684705">
    <w:abstractNumId w:val="22"/>
  </w:num>
  <w:num w:numId="35" w16cid:durableId="161312775">
    <w:abstractNumId w:val="31"/>
  </w:num>
  <w:num w:numId="36" w16cid:durableId="1751341176">
    <w:abstractNumId w:val="4"/>
  </w:num>
  <w:num w:numId="37" w16cid:durableId="246429088">
    <w:abstractNumId w:val="33"/>
  </w:num>
  <w:num w:numId="38" w16cid:durableId="16690940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60"/>
    <w:rsid w:val="000025E4"/>
    <w:rsid w:val="00002AB9"/>
    <w:rsid w:val="00005AD5"/>
    <w:rsid w:val="00011C3E"/>
    <w:rsid w:val="00014F01"/>
    <w:rsid w:val="00016368"/>
    <w:rsid w:val="0001796D"/>
    <w:rsid w:val="000357EA"/>
    <w:rsid w:val="00036EDE"/>
    <w:rsid w:val="000418D5"/>
    <w:rsid w:val="000463CD"/>
    <w:rsid w:val="00056829"/>
    <w:rsid w:val="000649C3"/>
    <w:rsid w:val="00064A03"/>
    <w:rsid w:val="00075A98"/>
    <w:rsid w:val="00077BC8"/>
    <w:rsid w:val="00085FF6"/>
    <w:rsid w:val="000A5C75"/>
    <w:rsid w:val="000C0164"/>
    <w:rsid w:val="000C3339"/>
    <w:rsid w:val="000C496E"/>
    <w:rsid w:val="000D5600"/>
    <w:rsid w:val="000D7E1C"/>
    <w:rsid w:val="000E3611"/>
    <w:rsid w:val="000F7A29"/>
    <w:rsid w:val="000F7CE4"/>
    <w:rsid w:val="001118BC"/>
    <w:rsid w:val="00115269"/>
    <w:rsid w:val="0011529D"/>
    <w:rsid w:val="001224AB"/>
    <w:rsid w:val="00124033"/>
    <w:rsid w:val="00124BED"/>
    <w:rsid w:val="00131CBB"/>
    <w:rsid w:val="0013358E"/>
    <w:rsid w:val="00143DE6"/>
    <w:rsid w:val="00144EE1"/>
    <w:rsid w:val="001473D4"/>
    <w:rsid w:val="00151FE2"/>
    <w:rsid w:val="00156182"/>
    <w:rsid w:val="001574AA"/>
    <w:rsid w:val="00160F26"/>
    <w:rsid w:val="00164C56"/>
    <w:rsid w:val="001664F5"/>
    <w:rsid w:val="00167BFE"/>
    <w:rsid w:val="00173D3D"/>
    <w:rsid w:val="00176DDB"/>
    <w:rsid w:val="00180639"/>
    <w:rsid w:val="001811E0"/>
    <w:rsid w:val="00185FE6"/>
    <w:rsid w:val="0018742E"/>
    <w:rsid w:val="00187461"/>
    <w:rsid w:val="00187575"/>
    <w:rsid w:val="00190D01"/>
    <w:rsid w:val="00192334"/>
    <w:rsid w:val="00194055"/>
    <w:rsid w:val="001A5531"/>
    <w:rsid w:val="001A6D55"/>
    <w:rsid w:val="001B4DF3"/>
    <w:rsid w:val="001B5A53"/>
    <w:rsid w:val="001C06FE"/>
    <w:rsid w:val="001D5EC7"/>
    <w:rsid w:val="001D7381"/>
    <w:rsid w:val="001E399B"/>
    <w:rsid w:val="001E55DE"/>
    <w:rsid w:val="001E7D91"/>
    <w:rsid w:val="001F0655"/>
    <w:rsid w:val="00202FEC"/>
    <w:rsid w:val="00203F70"/>
    <w:rsid w:val="0021017B"/>
    <w:rsid w:val="00214C01"/>
    <w:rsid w:val="00217783"/>
    <w:rsid w:val="002224A6"/>
    <w:rsid w:val="00222DC5"/>
    <w:rsid w:val="002245EB"/>
    <w:rsid w:val="0024429F"/>
    <w:rsid w:val="00254FEF"/>
    <w:rsid w:val="00257B20"/>
    <w:rsid w:val="00260CA5"/>
    <w:rsid w:val="00266312"/>
    <w:rsid w:val="0027532A"/>
    <w:rsid w:val="002814D8"/>
    <w:rsid w:val="0028571B"/>
    <w:rsid w:val="002875FD"/>
    <w:rsid w:val="00290278"/>
    <w:rsid w:val="002907A6"/>
    <w:rsid w:val="00290B37"/>
    <w:rsid w:val="00291638"/>
    <w:rsid w:val="002947D8"/>
    <w:rsid w:val="002A2B16"/>
    <w:rsid w:val="002A2DAB"/>
    <w:rsid w:val="002A2F83"/>
    <w:rsid w:val="002A5840"/>
    <w:rsid w:val="002B0B2F"/>
    <w:rsid w:val="002B0C0C"/>
    <w:rsid w:val="002B20C7"/>
    <w:rsid w:val="002B2246"/>
    <w:rsid w:val="002C4F2C"/>
    <w:rsid w:val="002D2DA1"/>
    <w:rsid w:val="002D3EE5"/>
    <w:rsid w:val="002D449E"/>
    <w:rsid w:val="002D4C2C"/>
    <w:rsid w:val="002D4EAE"/>
    <w:rsid w:val="002D553E"/>
    <w:rsid w:val="002E6AB4"/>
    <w:rsid w:val="00302748"/>
    <w:rsid w:val="00303240"/>
    <w:rsid w:val="00305676"/>
    <w:rsid w:val="0031174C"/>
    <w:rsid w:val="00320984"/>
    <w:rsid w:val="0032595B"/>
    <w:rsid w:val="00333D40"/>
    <w:rsid w:val="00337498"/>
    <w:rsid w:val="0035399E"/>
    <w:rsid w:val="003549A2"/>
    <w:rsid w:val="0035566F"/>
    <w:rsid w:val="00360D39"/>
    <w:rsid w:val="003618BC"/>
    <w:rsid w:val="003644C8"/>
    <w:rsid w:val="0036542D"/>
    <w:rsid w:val="00370CC8"/>
    <w:rsid w:val="00374FCA"/>
    <w:rsid w:val="00375B74"/>
    <w:rsid w:val="00376437"/>
    <w:rsid w:val="00381AA1"/>
    <w:rsid w:val="003833E9"/>
    <w:rsid w:val="003853FC"/>
    <w:rsid w:val="003906C7"/>
    <w:rsid w:val="0039447A"/>
    <w:rsid w:val="00396264"/>
    <w:rsid w:val="003A3F29"/>
    <w:rsid w:val="003B3670"/>
    <w:rsid w:val="003B5916"/>
    <w:rsid w:val="003B5F80"/>
    <w:rsid w:val="003B64E4"/>
    <w:rsid w:val="003C6B60"/>
    <w:rsid w:val="003D2C9F"/>
    <w:rsid w:val="003D315F"/>
    <w:rsid w:val="003D4051"/>
    <w:rsid w:val="003D7699"/>
    <w:rsid w:val="003E562D"/>
    <w:rsid w:val="003E5A5C"/>
    <w:rsid w:val="003E5D75"/>
    <w:rsid w:val="003F2B87"/>
    <w:rsid w:val="003F7DBE"/>
    <w:rsid w:val="00406978"/>
    <w:rsid w:val="00423A3C"/>
    <w:rsid w:val="0042450D"/>
    <w:rsid w:val="00425874"/>
    <w:rsid w:val="00430B4B"/>
    <w:rsid w:val="004324C4"/>
    <w:rsid w:val="0043276A"/>
    <w:rsid w:val="00434E9A"/>
    <w:rsid w:val="00436875"/>
    <w:rsid w:val="0044071A"/>
    <w:rsid w:val="00440E31"/>
    <w:rsid w:val="00464DC5"/>
    <w:rsid w:val="00470302"/>
    <w:rsid w:val="00470ADD"/>
    <w:rsid w:val="00472A84"/>
    <w:rsid w:val="00472B64"/>
    <w:rsid w:val="004806F5"/>
    <w:rsid w:val="00480B65"/>
    <w:rsid w:val="004938AA"/>
    <w:rsid w:val="00494FFB"/>
    <w:rsid w:val="004A2E60"/>
    <w:rsid w:val="004A2F35"/>
    <w:rsid w:val="004A5943"/>
    <w:rsid w:val="004A7931"/>
    <w:rsid w:val="004A7EE6"/>
    <w:rsid w:val="004B4AC1"/>
    <w:rsid w:val="004B6719"/>
    <w:rsid w:val="004B7924"/>
    <w:rsid w:val="004C16A4"/>
    <w:rsid w:val="004D1580"/>
    <w:rsid w:val="004E2A6D"/>
    <w:rsid w:val="004E2EA5"/>
    <w:rsid w:val="004E5C0E"/>
    <w:rsid w:val="004F3FD4"/>
    <w:rsid w:val="004F5D3A"/>
    <w:rsid w:val="00502AA3"/>
    <w:rsid w:val="00513C89"/>
    <w:rsid w:val="00520D47"/>
    <w:rsid w:val="00525827"/>
    <w:rsid w:val="0053284D"/>
    <w:rsid w:val="00532C8A"/>
    <w:rsid w:val="005334C3"/>
    <w:rsid w:val="00534FFD"/>
    <w:rsid w:val="005451FF"/>
    <w:rsid w:val="0055782E"/>
    <w:rsid w:val="00561F2B"/>
    <w:rsid w:val="00571D31"/>
    <w:rsid w:val="0058142C"/>
    <w:rsid w:val="00581493"/>
    <w:rsid w:val="00590866"/>
    <w:rsid w:val="005A2225"/>
    <w:rsid w:val="005A2D6F"/>
    <w:rsid w:val="005A646F"/>
    <w:rsid w:val="005A795C"/>
    <w:rsid w:val="005B1E8A"/>
    <w:rsid w:val="005C058D"/>
    <w:rsid w:val="005C2DAF"/>
    <w:rsid w:val="005E0D23"/>
    <w:rsid w:val="005E2BE2"/>
    <w:rsid w:val="005E2CAB"/>
    <w:rsid w:val="005E3C95"/>
    <w:rsid w:val="005E4AA6"/>
    <w:rsid w:val="005F7C26"/>
    <w:rsid w:val="00600013"/>
    <w:rsid w:val="00601EC8"/>
    <w:rsid w:val="006043F1"/>
    <w:rsid w:val="006058BB"/>
    <w:rsid w:val="00610A98"/>
    <w:rsid w:val="00610F96"/>
    <w:rsid w:val="00620577"/>
    <w:rsid w:val="00624518"/>
    <w:rsid w:val="0062670A"/>
    <w:rsid w:val="00627C91"/>
    <w:rsid w:val="00637395"/>
    <w:rsid w:val="00643E65"/>
    <w:rsid w:val="006446F9"/>
    <w:rsid w:val="00645504"/>
    <w:rsid w:val="006501BF"/>
    <w:rsid w:val="006507DB"/>
    <w:rsid w:val="00652202"/>
    <w:rsid w:val="006523B6"/>
    <w:rsid w:val="00652822"/>
    <w:rsid w:val="0065572F"/>
    <w:rsid w:val="006608A5"/>
    <w:rsid w:val="00661C67"/>
    <w:rsid w:val="00661D45"/>
    <w:rsid w:val="00670370"/>
    <w:rsid w:val="00675BAB"/>
    <w:rsid w:val="00677FA8"/>
    <w:rsid w:val="0068178D"/>
    <w:rsid w:val="006825D1"/>
    <w:rsid w:val="00684553"/>
    <w:rsid w:val="00684A44"/>
    <w:rsid w:val="00686042"/>
    <w:rsid w:val="006872E0"/>
    <w:rsid w:val="006901AA"/>
    <w:rsid w:val="00696686"/>
    <w:rsid w:val="006A1AAC"/>
    <w:rsid w:val="006A2BE5"/>
    <w:rsid w:val="006A3C31"/>
    <w:rsid w:val="006B02E1"/>
    <w:rsid w:val="006B0B00"/>
    <w:rsid w:val="006B5301"/>
    <w:rsid w:val="006B7260"/>
    <w:rsid w:val="006C6FAB"/>
    <w:rsid w:val="006E2169"/>
    <w:rsid w:val="006E7FB3"/>
    <w:rsid w:val="006F0537"/>
    <w:rsid w:val="006F5459"/>
    <w:rsid w:val="006F6CEC"/>
    <w:rsid w:val="00700284"/>
    <w:rsid w:val="007030F5"/>
    <w:rsid w:val="0071239A"/>
    <w:rsid w:val="00713320"/>
    <w:rsid w:val="00724FCF"/>
    <w:rsid w:val="00732C79"/>
    <w:rsid w:val="00733E08"/>
    <w:rsid w:val="00734D15"/>
    <w:rsid w:val="0073611E"/>
    <w:rsid w:val="00737B17"/>
    <w:rsid w:val="007415A2"/>
    <w:rsid w:val="007537C0"/>
    <w:rsid w:val="007656A3"/>
    <w:rsid w:val="00765BF3"/>
    <w:rsid w:val="00770686"/>
    <w:rsid w:val="00773792"/>
    <w:rsid w:val="007758A0"/>
    <w:rsid w:val="00777B64"/>
    <w:rsid w:val="00782993"/>
    <w:rsid w:val="0078696E"/>
    <w:rsid w:val="0079185C"/>
    <w:rsid w:val="007939DD"/>
    <w:rsid w:val="00796198"/>
    <w:rsid w:val="0079799D"/>
    <w:rsid w:val="007A3E20"/>
    <w:rsid w:val="007A66A5"/>
    <w:rsid w:val="007C027C"/>
    <w:rsid w:val="007C18B3"/>
    <w:rsid w:val="007C2EE1"/>
    <w:rsid w:val="007C3786"/>
    <w:rsid w:val="007D66FB"/>
    <w:rsid w:val="007D7C87"/>
    <w:rsid w:val="007E33FC"/>
    <w:rsid w:val="007E70D8"/>
    <w:rsid w:val="007F3007"/>
    <w:rsid w:val="007F4767"/>
    <w:rsid w:val="00800FD2"/>
    <w:rsid w:val="00803B2D"/>
    <w:rsid w:val="008059FE"/>
    <w:rsid w:val="00805DC8"/>
    <w:rsid w:val="00810D94"/>
    <w:rsid w:val="00812E11"/>
    <w:rsid w:val="00817A3B"/>
    <w:rsid w:val="00820FC6"/>
    <w:rsid w:val="00822CBB"/>
    <w:rsid w:val="00823EE9"/>
    <w:rsid w:val="008263B5"/>
    <w:rsid w:val="008317E6"/>
    <w:rsid w:val="0083477C"/>
    <w:rsid w:val="00834F38"/>
    <w:rsid w:val="008358B8"/>
    <w:rsid w:val="008404F6"/>
    <w:rsid w:val="00846185"/>
    <w:rsid w:val="00847D8D"/>
    <w:rsid w:val="00847E6B"/>
    <w:rsid w:val="00855C9D"/>
    <w:rsid w:val="00856D63"/>
    <w:rsid w:val="00864D10"/>
    <w:rsid w:val="008736A1"/>
    <w:rsid w:val="00876B68"/>
    <w:rsid w:val="00883FCB"/>
    <w:rsid w:val="008840F3"/>
    <w:rsid w:val="008846E7"/>
    <w:rsid w:val="00885168"/>
    <w:rsid w:val="00886C3E"/>
    <w:rsid w:val="00891F11"/>
    <w:rsid w:val="0089399F"/>
    <w:rsid w:val="00895E10"/>
    <w:rsid w:val="00897244"/>
    <w:rsid w:val="008A190F"/>
    <w:rsid w:val="008A2308"/>
    <w:rsid w:val="008A65D7"/>
    <w:rsid w:val="008E37B2"/>
    <w:rsid w:val="008E3B60"/>
    <w:rsid w:val="008E5A43"/>
    <w:rsid w:val="008F2C0F"/>
    <w:rsid w:val="008F7C92"/>
    <w:rsid w:val="009068F1"/>
    <w:rsid w:val="009143CE"/>
    <w:rsid w:val="009210CE"/>
    <w:rsid w:val="00925B4F"/>
    <w:rsid w:val="009325CC"/>
    <w:rsid w:val="00933C69"/>
    <w:rsid w:val="0093556E"/>
    <w:rsid w:val="00935C7F"/>
    <w:rsid w:val="009418DA"/>
    <w:rsid w:val="009429D2"/>
    <w:rsid w:val="00947D45"/>
    <w:rsid w:val="009524E0"/>
    <w:rsid w:val="00957023"/>
    <w:rsid w:val="00957E81"/>
    <w:rsid w:val="00960ACE"/>
    <w:rsid w:val="00963FF8"/>
    <w:rsid w:val="009705A0"/>
    <w:rsid w:val="0098075C"/>
    <w:rsid w:val="00981DC1"/>
    <w:rsid w:val="00986235"/>
    <w:rsid w:val="00990EBD"/>
    <w:rsid w:val="00991147"/>
    <w:rsid w:val="0099140D"/>
    <w:rsid w:val="00992924"/>
    <w:rsid w:val="0099645D"/>
    <w:rsid w:val="009968E0"/>
    <w:rsid w:val="009A037E"/>
    <w:rsid w:val="009A1611"/>
    <w:rsid w:val="009B3C05"/>
    <w:rsid w:val="009B7379"/>
    <w:rsid w:val="009C6CFC"/>
    <w:rsid w:val="009C72AC"/>
    <w:rsid w:val="009D216D"/>
    <w:rsid w:val="009D55B0"/>
    <w:rsid w:val="009D5C7C"/>
    <w:rsid w:val="009D6490"/>
    <w:rsid w:val="009D6806"/>
    <w:rsid w:val="009E0947"/>
    <w:rsid w:val="009E15F3"/>
    <w:rsid w:val="009F445D"/>
    <w:rsid w:val="00A0600E"/>
    <w:rsid w:val="00A11EA6"/>
    <w:rsid w:val="00A127FC"/>
    <w:rsid w:val="00A16666"/>
    <w:rsid w:val="00A24041"/>
    <w:rsid w:val="00A27CD4"/>
    <w:rsid w:val="00A306EB"/>
    <w:rsid w:val="00A32864"/>
    <w:rsid w:val="00A369E3"/>
    <w:rsid w:val="00A420CC"/>
    <w:rsid w:val="00A63DF5"/>
    <w:rsid w:val="00A65582"/>
    <w:rsid w:val="00A83EB3"/>
    <w:rsid w:val="00A861BF"/>
    <w:rsid w:val="00A9014F"/>
    <w:rsid w:val="00A90666"/>
    <w:rsid w:val="00A934D2"/>
    <w:rsid w:val="00A974C4"/>
    <w:rsid w:val="00AA5864"/>
    <w:rsid w:val="00AA686A"/>
    <w:rsid w:val="00AB3C12"/>
    <w:rsid w:val="00AB3E4C"/>
    <w:rsid w:val="00AB4C04"/>
    <w:rsid w:val="00AC1A02"/>
    <w:rsid w:val="00AC6B60"/>
    <w:rsid w:val="00AC7FEB"/>
    <w:rsid w:val="00AD0F44"/>
    <w:rsid w:val="00AD3C0E"/>
    <w:rsid w:val="00AE2954"/>
    <w:rsid w:val="00AE4832"/>
    <w:rsid w:val="00AE6FE3"/>
    <w:rsid w:val="00AF2AC8"/>
    <w:rsid w:val="00B01766"/>
    <w:rsid w:val="00B04E61"/>
    <w:rsid w:val="00B0539F"/>
    <w:rsid w:val="00B065FD"/>
    <w:rsid w:val="00B06A41"/>
    <w:rsid w:val="00B129B0"/>
    <w:rsid w:val="00B376CB"/>
    <w:rsid w:val="00B3778D"/>
    <w:rsid w:val="00B41D07"/>
    <w:rsid w:val="00B435FC"/>
    <w:rsid w:val="00B464B8"/>
    <w:rsid w:val="00B46EF2"/>
    <w:rsid w:val="00B544BC"/>
    <w:rsid w:val="00B64953"/>
    <w:rsid w:val="00B84971"/>
    <w:rsid w:val="00B944B8"/>
    <w:rsid w:val="00B944D5"/>
    <w:rsid w:val="00B977AC"/>
    <w:rsid w:val="00BA0DE5"/>
    <w:rsid w:val="00BB214C"/>
    <w:rsid w:val="00BB3936"/>
    <w:rsid w:val="00BB6A3D"/>
    <w:rsid w:val="00BC2583"/>
    <w:rsid w:val="00BC36D4"/>
    <w:rsid w:val="00BC66D4"/>
    <w:rsid w:val="00BD05CE"/>
    <w:rsid w:val="00BD0B6A"/>
    <w:rsid w:val="00BD33E7"/>
    <w:rsid w:val="00BD7CAC"/>
    <w:rsid w:val="00BE12E4"/>
    <w:rsid w:val="00BE60C3"/>
    <w:rsid w:val="00BE7BCF"/>
    <w:rsid w:val="00BF6757"/>
    <w:rsid w:val="00C122A5"/>
    <w:rsid w:val="00C13882"/>
    <w:rsid w:val="00C15319"/>
    <w:rsid w:val="00C17A19"/>
    <w:rsid w:val="00C30823"/>
    <w:rsid w:val="00C342E6"/>
    <w:rsid w:val="00C40809"/>
    <w:rsid w:val="00C42FF5"/>
    <w:rsid w:val="00C44362"/>
    <w:rsid w:val="00C445B4"/>
    <w:rsid w:val="00C52B2D"/>
    <w:rsid w:val="00C57E4E"/>
    <w:rsid w:val="00C60A58"/>
    <w:rsid w:val="00C63FB3"/>
    <w:rsid w:val="00C655D3"/>
    <w:rsid w:val="00C66493"/>
    <w:rsid w:val="00C66919"/>
    <w:rsid w:val="00C6741B"/>
    <w:rsid w:val="00C7464A"/>
    <w:rsid w:val="00C76E2E"/>
    <w:rsid w:val="00C839A6"/>
    <w:rsid w:val="00C86870"/>
    <w:rsid w:val="00CA158D"/>
    <w:rsid w:val="00CA467C"/>
    <w:rsid w:val="00CB2946"/>
    <w:rsid w:val="00CC03D3"/>
    <w:rsid w:val="00CC7056"/>
    <w:rsid w:val="00CD19DB"/>
    <w:rsid w:val="00CE0146"/>
    <w:rsid w:val="00CE03E1"/>
    <w:rsid w:val="00CE459F"/>
    <w:rsid w:val="00CE7D7A"/>
    <w:rsid w:val="00CF77D1"/>
    <w:rsid w:val="00D009EA"/>
    <w:rsid w:val="00D20EA5"/>
    <w:rsid w:val="00D25C3F"/>
    <w:rsid w:val="00D2705A"/>
    <w:rsid w:val="00D30A8C"/>
    <w:rsid w:val="00D319DC"/>
    <w:rsid w:val="00D322B0"/>
    <w:rsid w:val="00D32C39"/>
    <w:rsid w:val="00D372E7"/>
    <w:rsid w:val="00D47E37"/>
    <w:rsid w:val="00D63CDA"/>
    <w:rsid w:val="00D70C86"/>
    <w:rsid w:val="00D72BA4"/>
    <w:rsid w:val="00D84746"/>
    <w:rsid w:val="00D86746"/>
    <w:rsid w:val="00D90162"/>
    <w:rsid w:val="00D904DA"/>
    <w:rsid w:val="00D936A7"/>
    <w:rsid w:val="00D94D65"/>
    <w:rsid w:val="00DA2499"/>
    <w:rsid w:val="00DA4B82"/>
    <w:rsid w:val="00DA57AA"/>
    <w:rsid w:val="00DB0B67"/>
    <w:rsid w:val="00DB5A6E"/>
    <w:rsid w:val="00DC2069"/>
    <w:rsid w:val="00DC2B34"/>
    <w:rsid w:val="00DD7CE5"/>
    <w:rsid w:val="00DE1476"/>
    <w:rsid w:val="00DE4ED3"/>
    <w:rsid w:val="00DE5807"/>
    <w:rsid w:val="00DE5D53"/>
    <w:rsid w:val="00E012A7"/>
    <w:rsid w:val="00E01A3F"/>
    <w:rsid w:val="00E1449C"/>
    <w:rsid w:val="00E23292"/>
    <w:rsid w:val="00E27605"/>
    <w:rsid w:val="00E321A0"/>
    <w:rsid w:val="00E3691F"/>
    <w:rsid w:val="00E5114A"/>
    <w:rsid w:val="00E534A5"/>
    <w:rsid w:val="00E55790"/>
    <w:rsid w:val="00E624BB"/>
    <w:rsid w:val="00E652B8"/>
    <w:rsid w:val="00E72C23"/>
    <w:rsid w:val="00E77E28"/>
    <w:rsid w:val="00E82976"/>
    <w:rsid w:val="00E83F40"/>
    <w:rsid w:val="00E959AB"/>
    <w:rsid w:val="00E978EC"/>
    <w:rsid w:val="00EA09FF"/>
    <w:rsid w:val="00EB4E0F"/>
    <w:rsid w:val="00EC00F3"/>
    <w:rsid w:val="00EC235C"/>
    <w:rsid w:val="00EC2A6D"/>
    <w:rsid w:val="00EC47A2"/>
    <w:rsid w:val="00EC4B08"/>
    <w:rsid w:val="00EC567F"/>
    <w:rsid w:val="00EC5C50"/>
    <w:rsid w:val="00EC752A"/>
    <w:rsid w:val="00ED1084"/>
    <w:rsid w:val="00EE73D9"/>
    <w:rsid w:val="00EF1C0F"/>
    <w:rsid w:val="00EF2820"/>
    <w:rsid w:val="00EF4EF4"/>
    <w:rsid w:val="00EF7672"/>
    <w:rsid w:val="00F00FE6"/>
    <w:rsid w:val="00F03DCE"/>
    <w:rsid w:val="00F13351"/>
    <w:rsid w:val="00F13F73"/>
    <w:rsid w:val="00F2527F"/>
    <w:rsid w:val="00F2708C"/>
    <w:rsid w:val="00F30F52"/>
    <w:rsid w:val="00F34C0F"/>
    <w:rsid w:val="00F36FCA"/>
    <w:rsid w:val="00F4123C"/>
    <w:rsid w:val="00F4756A"/>
    <w:rsid w:val="00F52BC7"/>
    <w:rsid w:val="00F66726"/>
    <w:rsid w:val="00F70729"/>
    <w:rsid w:val="00F723E7"/>
    <w:rsid w:val="00F735E5"/>
    <w:rsid w:val="00F7652A"/>
    <w:rsid w:val="00F7740C"/>
    <w:rsid w:val="00F80CE7"/>
    <w:rsid w:val="00F8590A"/>
    <w:rsid w:val="00F924E1"/>
    <w:rsid w:val="00F968C2"/>
    <w:rsid w:val="00FA4B27"/>
    <w:rsid w:val="00FB2EA4"/>
    <w:rsid w:val="00FB5117"/>
    <w:rsid w:val="00FC0759"/>
    <w:rsid w:val="00FC15B7"/>
    <w:rsid w:val="00FC30DB"/>
    <w:rsid w:val="00FD7A75"/>
    <w:rsid w:val="00FE1761"/>
    <w:rsid w:val="00FE1F70"/>
    <w:rsid w:val="00FE5CA8"/>
    <w:rsid w:val="00FF0FC2"/>
    <w:rsid w:val="00FF5C63"/>
    <w:rsid w:val="00FF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FE958C"/>
  <w15:docId w15:val="{6EA7990A-4318-4117-A4CF-E5B6B30A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023"/>
    <w:pPr>
      <w:ind w:left="720"/>
    </w:pPr>
  </w:style>
  <w:style w:type="table" w:styleId="TableGrid">
    <w:name w:val="Table Grid"/>
    <w:basedOn w:val="TableNormal"/>
    <w:uiPriority w:val="59"/>
    <w:rsid w:val="000C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A2308"/>
    <w:pPr>
      <w:tabs>
        <w:tab w:val="center" w:pos="4153"/>
        <w:tab w:val="right" w:pos="8306"/>
      </w:tabs>
    </w:pPr>
    <w:rPr>
      <w:sz w:val="24"/>
      <w:szCs w:val="24"/>
      <w:lang w:eastAsia="en-US"/>
    </w:rPr>
  </w:style>
  <w:style w:type="character" w:styleId="PageNumber">
    <w:name w:val="page number"/>
    <w:basedOn w:val="DefaultParagraphFont"/>
    <w:rsid w:val="00BC66D4"/>
  </w:style>
  <w:style w:type="paragraph" w:styleId="Header">
    <w:name w:val="header"/>
    <w:basedOn w:val="Normal"/>
    <w:rsid w:val="005E2CAB"/>
    <w:pPr>
      <w:tabs>
        <w:tab w:val="center" w:pos="4153"/>
        <w:tab w:val="right" w:pos="8306"/>
      </w:tabs>
    </w:pPr>
  </w:style>
  <w:style w:type="paragraph" w:styleId="BalloonText">
    <w:name w:val="Balloon Text"/>
    <w:basedOn w:val="Normal"/>
    <w:link w:val="BalloonTextChar"/>
    <w:uiPriority w:val="99"/>
    <w:semiHidden/>
    <w:unhideWhenUsed/>
    <w:rsid w:val="00803B2D"/>
    <w:rPr>
      <w:rFonts w:ascii="Tahoma" w:hAnsi="Tahoma" w:cs="Tahoma"/>
      <w:sz w:val="16"/>
      <w:szCs w:val="16"/>
    </w:rPr>
  </w:style>
  <w:style w:type="character" w:customStyle="1" w:styleId="BalloonTextChar">
    <w:name w:val="Balloon Text Char"/>
    <w:basedOn w:val="DefaultParagraphFont"/>
    <w:link w:val="BalloonText"/>
    <w:uiPriority w:val="99"/>
    <w:semiHidden/>
    <w:rsid w:val="00803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2DACB.7DFC79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Process for the Management of School Surplus Balances</vt:lpstr>
    </vt:vector>
  </TitlesOfParts>
  <Company>Serco-EB</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the Management of School Surplus Balances</dc:title>
  <dc:subject/>
  <dc:creator>andrew.redding</dc:creator>
  <cp:keywords/>
  <cp:lastModifiedBy>Andrew Redding</cp:lastModifiedBy>
  <cp:revision>70</cp:revision>
  <dcterms:created xsi:type="dcterms:W3CDTF">2015-02-24T12:50:00Z</dcterms:created>
  <dcterms:modified xsi:type="dcterms:W3CDTF">2025-03-28T12:32:00Z</dcterms:modified>
</cp:coreProperties>
</file>