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E84ED" w14:textId="297A5E4A" w:rsidR="00380D18" w:rsidRDefault="00380D18" w:rsidP="00380D18">
      <w:pPr>
        <w:jc w:val="right"/>
        <w:rPr>
          <w:b/>
          <w:sz w:val="28"/>
          <w:szCs w:val="28"/>
          <w:u w:val="single"/>
        </w:rPr>
      </w:pPr>
    </w:p>
    <w:p w14:paraId="6E6E31A4" w14:textId="08C3B4E8" w:rsidR="00380D18" w:rsidRPr="00E74092" w:rsidRDefault="00E74092" w:rsidP="00AA71B2">
      <w:pPr>
        <w:rPr>
          <w:bCs/>
        </w:rPr>
      </w:pPr>
      <w:r w:rsidRPr="00E74092">
        <w:rPr>
          <w:bCs/>
        </w:rPr>
        <w:t>Schools Forum 4 December</w:t>
      </w:r>
      <w:r>
        <w:rPr>
          <w:bCs/>
        </w:rPr>
        <w:tab/>
      </w:r>
      <w:r>
        <w:rPr>
          <w:bCs/>
        </w:rPr>
        <w:tab/>
      </w:r>
      <w:r>
        <w:rPr>
          <w:bCs/>
        </w:rPr>
        <w:tab/>
      </w:r>
      <w:r>
        <w:rPr>
          <w:bCs/>
        </w:rPr>
        <w:tab/>
      </w:r>
      <w:r>
        <w:rPr>
          <w:bCs/>
        </w:rPr>
        <w:tab/>
      </w:r>
      <w:r>
        <w:rPr>
          <w:bCs/>
        </w:rPr>
        <w:tab/>
      </w:r>
      <w:r>
        <w:rPr>
          <w:bCs/>
        </w:rPr>
        <w:tab/>
      </w:r>
      <w:r>
        <w:rPr>
          <w:bCs/>
        </w:rPr>
        <w:tab/>
        <w:t>Document SE Appendix 3</w:t>
      </w:r>
    </w:p>
    <w:p w14:paraId="6A4E832E" w14:textId="77777777" w:rsidR="00E74092" w:rsidRDefault="00E74092" w:rsidP="00AA71B2">
      <w:pPr>
        <w:rPr>
          <w:b/>
          <w:sz w:val="28"/>
          <w:szCs w:val="28"/>
          <w:u w:val="single"/>
        </w:rPr>
      </w:pPr>
    </w:p>
    <w:p w14:paraId="14734D9A" w14:textId="0A2A450B" w:rsidR="00981B23" w:rsidRDefault="00E74092" w:rsidP="00981B23">
      <w:pPr>
        <w:jc w:val="center"/>
        <w:rPr>
          <w:sz w:val="28"/>
          <w:szCs w:val="28"/>
        </w:rPr>
      </w:pPr>
      <w:r>
        <w:rPr>
          <w:b/>
          <w:sz w:val="28"/>
          <w:szCs w:val="28"/>
          <w:u w:val="single"/>
        </w:rPr>
        <w:t>High Needs Formula Funding Summary &amp; Discussion Document 2025-26</w:t>
      </w:r>
    </w:p>
    <w:p w14:paraId="2674CB83" w14:textId="77777777" w:rsidR="005D091B" w:rsidRDefault="005D091B" w:rsidP="00225A33">
      <w:pPr>
        <w:jc w:val="both"/>
        <w:rPr>
          <w:color w:val="FF0000"/>
          <w:sz w:val="22"/>
          <w:szCs w:val="22"/>
          <w:highlight w:val="yellow"/>
        </w:rPr>
      </w:pPr>
    </w:p>
    <w:p w14:paraId="69B02DC4" w14:textId="77777777" w:rsidR="002977CE" w:rsidRPr="00924C42" w:rsidRDefault="002977CE" w:rsidP="00225A33">
      <w:pPr>
        <w:jc w:val="both"/>
        <w:rPr>
          <w:sz w:val="22"/>
          <w:szCs w:val="22"/>
        </w:rPr>
      </w:pPr>
    </w:p>
    <w:p w14:paraId="26D8957E" w14:textId="77777777" w:rsidR="00BF65FB" w:rsidRPr="0058613E" w:rsidRDefault="00BF65FB" w:rsidP="00225A33">
      <w:pPr>
        <w:jc w:val="both"/>
        <w:rPr>
          <w:color w:val="FF0000"/>
          <w:sz w:val="22"/>
          <w:szCs w:val="22"/>
        </w:rPr>
      </w:pPr>
      <w:r w:rsidRPr="00215393">
        <w:rPr>
          <w:b/>
          <w:sz w:val="22"/>
          <w:szCs w:val="22"/>
        </w:rPr>
        <w:t>1.</w:t>
      </w:r>
      <w:r w:rsidRPr="00215393">
        <w:rPr>
          <w:b/>
          <w:sz w:val="22"/>
          <w:szCs w:val="22"/>
        </w:rPr>
        <w:tab/>
      </w:r>
      <w:r w:rsidR="00D96F3C" w:rsidRPr="00215393">
        <w:rPr>
          <w:b/>
          <w:sz w:val="22"/>
          <w:szCs w:val="22"/>
        </w:rPr>
        <w:t>Introduction</w:t>
      </w:r>
      <w:r w:rsidR="002364E2" w:rsidRPr="00215393">
        <w:rPr>
          <w:b/>
          <w:sz w:val="22"/>
          <w:szCs w:val="22"/>
        </w:rPr>
        <w:t xml:space="preserve"> &amp; Summary</w:t>
      </w:r>
    </w:p>
    <w:p w14:paraId="5DEBBBB8" w14:textId="77777777" w:rsidR="007E476C" w:rsidRDefault="007E476C" w:rsidP="00225A33">
      <w:pPr>
        <w:jc w:val="both"/>
        <w:rPr>
          <w:sz w:val="22"/>
          <w:szCs w:val="22"/>
        </w:rPr>
      </w:pPr>
    </w:p>
    <w:p w14:paraId="378D5D7B" w14:textId="63C7A087" w:rsidR="00980344" w:rsidRDefault="00980344" w:rsidP="00980344">
      <w:pPr>
        <w:jc w:val="both"/>
        <w:rPr>
          <w:sz w:val="22"/>
          <w:szCs w:val="22"/>
        </w:rPr>
      </w:pPr>
      <w:r>
        <w:rPr>
          <w:sz w:val="22"/>
          <w:szCs w:val="22"/>
        </w:rPr>
        <w:t xml:space="preserve">1.1 </w:t>
      </w:r>
      <w:r w:rsidR="0048062C">
        <w:rPr>
          <w:sz w:val="22"/>
          <w:szCs w:val="22"/>
        </w:rPr>
        <w:t xml:space="preserve">This document </w:t>
      </w:r>
      <w:r w:rsidR="00E74092">
        <w:rPr>
          <w:sz w:val="22"/>
          <w:szCs w:val="22"/>
        </w:rPr>
        <w:t>discusses</w:t>
      </w:r>
      <w:r w:rsidR="0048062C">
        <w:rPr>
          <w:sz w:val="22"/>
          <w:szCs w:val="22"/>
        </w:rPr>
        <w:t xml:space="preserve"> </w:t>
      </w:r>
      <w:r w:rsidRPr="00ED7E4E">
        <w:rPr>
          <w:sz w:val="22"/>
          <w:szCs w:val="22"/>
        </w:rPr>
        <w:t xml:space="preserve">High Needs Block funding to </w:t>
      </w:r>
      <w:r w:rsidR="00A8759E">
        <w:rPr>
          <w:sz w:val="22"/>
          <w:szCs w:val="22"/>
        </w:rPr>
        <w:t xml:space="preserve">high needs </w:t>
      </w:r>
      <w:r w:rsidRPr="00ED7E4E">
        <w:rPr>
          <w:sz w:val="22"/>
          <w:szCs w:val="22"/>
        </w:rPr>
        <w:t>providers</w:t>
      </w:r>
      <w:r w:rsidR="00A8759E">
        <w:rPr>
          <w:sz w:val="22"/>
          <w:szCs w:val="22"/>
        </w:rPr>
        <w:t>,</w:t>
      </w:r>
      <w:r w:rsidR="00A6697B">
        <w:rPr>
          <w:sz w:val="22"/>
          <w:szCs w:val="22"/>
        </w:rPr>
        <w:t xml:space="preserve"> mainstream schools and</w:t>
      </w:r>
      <w:r w:rsidR="00A8759E">
        <w:rPr>
          <w:sz w:val="22"/>
          <w:szCs w:val="22"/>
        </w:rPr>
        <w:t xml:space="preserve"> academies and </w:t>
      </w:r>
      <w:r w:rsidR="00777367">
        <w:rPr>
          <w:sz w:val="22"/>
          <w:szCs w:val="22"/>
        </w:rPr>
        <w:t xml:space="preserve">to </w:t>
      </w:r>
      <w:r w:rsidR="00A8759E">
        <w:rPr>
          <w:sz w:val="22"/>
          <w:szCs w:val="22"/>
        </w:rPr>
        <w:t>other settings</w:t>
      </w:r>
      <w:r w:rsidR="00243AD0">
        <w:rPr>
          <w:sz w:val="22"/>
          <w:szCs w:val="22"/>
        </w:rPr>
        <w:t xml:space="preserve"> in the 202</w:t>
      </w:r>
      <w:r w:rsidR="008E6701">
        <w:rPr>
          <w:sz w:val="22"/>
          <w:szCs w:val="22"/>
        </w:rPr>
        <w:t>5</w:t>
      </w:r>
      <w:r w:rsidR="00243AD0">
        <w:rPr>
          <w:sz w:val="22"/>
          <w:szCs w:val="22"/>
        </w:rPr>
        <w:t>/2</w:t>
      </w:r>
      <w:r w:rsidR="008E6701">
        <w:rPr>
          <w:sz w:val="22"/>
          <w:szCs w:val="22"/>
        </w:rPr>
        <w:t>6</w:t>
      </w:r>
      <w:r w:rsidRPr="00ED7E4E">
        <w:rPr>
          <w:sz w:val="22"/>
          <w:szCs w:val="22"/>
        </w:rPr>
        <w:t xml:space="preserve"> financial year</w:t>
      </w:r>
      <w:r w:rsidR="00243AD0">
        <w:rPr>
          <w:sz w:val="22"/>
          <w:szCs w:val="22"/>
        </w:rPr>
        <w:t xml:space="preserve"> April 202</w:t>
      </w:r>
      <w:r w:rsidR="008E6701">
        <w:rPr>
          <w:sz w:val="22"/>
          <w:szCs w:val="22"/>
        </w:rPr>
        <w:t>5</w:t>
      </w:r>
      <w:r w:rsidR="0058613E">
        <w:rPr>
          <w:sz w:val="22"/>
          <w:szCs w:val="22"/>
        </w:rPr>
        <w:t xml:space="preserve"> to March 20</w:t>
      </w:r>
      <w:r w:rsidR="00243AD0">
        <w:rPr>
          <w:sz w:val="22"/>
          <w:szCs w:val="22"/>
        </w:rPr>
        <w:t>2</w:t>
      </w:r>
      <w:r w:rsidR="008E6701">
        <w:rPr>
          <w:sz w:val="22"/>
          <w:szCs w:val="22"/>
        </w:rPr>
        <w:t>6</w:t>
      </w:r>
      <w:r w:rsidRPr="00ED7E4E">
        <w:rPr>
          <w:sz w:val="22"/>
          <w:szCs w:val="22"/>
        </w:rPr>
        <w:t>. This is known</w:t>
      </w:r>
      <w:r w:rsidR="009D16B4">
        <w:rPr>
          <w:sz w:val="22"/>
          <w:szCs w:val="22"/>
        </w:rPr>
        <w:t>,</w:t>
      </w:r>
      <w:r w:rsidRPr="00ED7E4E">
        <w:rPr>
          <w:sz w:val="22"/>
          <w:szCs w:val="22"/>
        </w:rPr>
        <w:t xml:space="preserve"> and referred to</w:t>
      </w:r>
      <w:r w:rsidR="009D16B4">
        <w:rPr>
          <w:sz w:val="22"/>
          <w:szCs w:val="22"/>
        </w:rPr>
        <w:t>,</w:t>
      </w:r>
      <w:r w:rsidRPr="00ED7E4E">
        <w:rPr>
          <w:sz w:val="22"/>
          <w:szCs w:val="22"/>
        </w:rPr>
        <w:t xml:space="preserve"> as our ‘Place-Plus’ system</w:t>
      </w:r>
      <w:r w:rsidR="00F03D45">
        <w:rPr>
          <w:sz w:val="22"/>
          <w:szCs w:val="22"/>
        </w:rPr>
        <w:t xml:space="preserve"> and has two parts: a) core (or place</w:t>
      </w:r>
      <w:r w:rsidR="006656AE">
        <w:rPr>
          <w:sz w:val="22"/>
          <w:szCs w:val="22"/>
        </w:rPr>
        <w:t>-element</w:t>
      </w:r>
      <w:r w:rsidR="00F03D45">
        <w:rPr>
          <w:sz w:val="22"/>
          <w:szCs w:val="22"/>
        </w:rPr>
        <w:t>) funding and b) top-up (or plus) funding</w:t>
      </w:r>
      <w:r w:rsidR="00A8759E">
        <w:rPr>
          <w:sz w:val="22"/>
          <w:szCs w:val="22"/>
        </w:rPr>
        <w:t>.</w:t>
      </w:r>
      <w:r w:rsidR="00A2150F">
        <w:rPr>
          <w:sz w:val="22"/>
          <w:szCs w:val="22"/>
        </w:rPr>
        <w:t xml:space="preserve"> This document </w:t>
      </w:r>
      <w:r w:rsidR="00E93F8B">
        <w:rPr>
          <w:sz w:val="22"/>
          <w:szCs w:val="22"/>
        </w:rPr>
        <w:t xml:space="preserve">provides a reminder of the </w:t>
      </w:r>
      <w:r w:rsidR="00014DF8">
        <w:rPr>
          <w:sz w:val="22"/>
          <w:szCs w:val="22"/>
        </w:rPr>
        <w:t xml:space="preserve">current </w:t>
      </w:r>
      <w:r w:rsidR="00E93F8B">
        <w:rPr>
          <w:sz w:val="22"/>
          <w:szCs w:val="22"/>
        </w:rPr>
        <w:t xml:space="preserve">funding system in Bradford and </w:t>
      </w:r>
      <w:r w:rsidR="00A2150F">
        <w:rPr>
          <w:sz w:val="22"/>
          <w:szCs w:val="22"/>
        </w:rPr>
        <w:t>builds on</w:t>
      </w:r>
      <w:r w:rsidR="00014DF8">
        <w:rPr>
          <w:sz w:val="22"/>
          <w:szCs w:val="22"/>
        </w:rPr>
        <w:t xml:space="preserve"> and refers to</w:t>
      </w:r>
      <w:r w:rsidR="00A2150F">
        <w:rPr>
          <w:sz w:val="22"/>
          <w:szCs w:val="22"/>
        </w:rPr>
        <w:t xml:space="preserve"> the </w:t>
      </w:r>
      <w:r w:rsidR="009C6972">
        <w:rPr>
          <w:sz w:val="22"/>
          <w:szCs w:val="22"/>
        </w:rPr>
        <w:t xml:space="preserve">wider </w:t>
      </w:r>
      <w:r w:rsidR="00A2150F">
        <w:rPr>
          <w:sz w:val="22"/>
          <w:szCs w:val="22"/>
        </w:rPr>
        <w:t>publication</w:t>
      </w:r>
      <w:r w:rsidR="00E74092">
        <w:rPr>
          <w:sz w:val="22"/>
          <w:szCs w:val="22"/>
        </w:rPr>
        <w:t xml:space="preserve"> and </w:t>
      </w:r>
      <w:r w:rsidR="009564E6">
        <w:rPr>
          <w:sz w:val="22"/>
          <w:szCs w:val="22"/>
        </w:rPr>
        <w:t xml:space="preserve">initial </w:t>
      </w:r>
      <w:r w:rsidR="00E74092">
        <w:rPr>
          <w:sz w:val="22"/>
          <w:szCs w:val="22"/>
        </w:rPr>
        <w:t>scoping</w:t>
      </w:r>
      <w:r w:rsidR="00D277C0">
        <w:rPr>
          <w:sz w:val="22"/>
          <w:szCs w:val="22"/>
        </w:rPr>
        <w:t>,</w:t>
      </w:r>
      <w:r w:rsidR="00A2150F">
        <w:rPr>
          <w:sz w:val="22"/>
          <w:szCs w:val="22"/>
        </w:rPr>
        <w:t xml:space="preserve"> at the beginning of October</w:t>
      </w:r>
      <w:r w:rsidR="00D277C0">
        <w:rPr>
          <w:sz w:val="22"/>
          <w:szCs w:val="22"/>
        </w:rPr>
        <w:t>,</w:t>
      </w:r>
      <w:r w:rsidR="00A2150F">
        <w:rPr>
          <w:sz w:val="22"/>
          <w:szCs w:val="22"/>
        </w:rPr>
        <w:t xml:space="preserve"> of business cases relating to specific</w:t>
      </w:r>
      <w:r w:rsidR="00E74092">
        <w:rPr>
          <w:sz w:val="22"/>
          <w:szCs w:val="22"/>
        </w:rPr>
        <w:t xml:space="preserve"> potential</w:t>
      </w:r>
      <w:r w:rsidR="00A2150F">
        <w:rPr>
          <w:sz w:val="22"/>
          <w:szCs w:val="22"/>
        </w:rPr>
        <w:t xml:space="preserve"> high needs formula funding </w:t>
      </w:r>
      <w:r w:rsidR="00E74092">
        <w:rPr>
          <w:sz w:val="22"/>
          <w:szCs w:val="22"/>
        </w:rPr>
        <w:t>changes</w:t>
      </w:r>
      <w:r w:rsidR="0084559D">
        <w:rPr>
          <w:sz w:val="22"/>
          <w:szCs w:val="22"/>
        </w:rPr>
        <w:t xml:space="preserve"> supporting mitigation of the forecast High Needs Block deficit</w:t>
      </w:r>
      <w:r w:rsidR="00A2150F">
        <w:rPr>
          <w:sz w:val="22"/>
          <w:szCs w:val="22"/>
        </w:rPr>
        <w:t xml:space="preserve">. These business cases can be found </w:t>
      </w:r>
      <w:hyperlink r:id="rId8" w:history="1">
        <w:r w:rsidR="00A2150F" w:rsidRPr="00A2150F">
          <w:rPr>
            <w:rStyle w:val="Hyperlink"/>
            <w:sz w:val="22"/>
            <w:szCs w:val="22"/>
          </w:rPr>
          <w:t>here</w:t>
        </w:r>
      </w:hyperlink>
      <w:r w:rsidR="00A2150F">
        <w:rPr>
          <w:sz w:val="22"/>
          <w:szCs w:val="22"/>
        </w:rPr>
        <w:t>.</w:t>
      </w:r>
    </w:p>
    <w:p w14:paraId="45481724" w14:textId="77777777" w:rsidR="009D16B4" w:rsidRPr="002977CE" w:rsidRDefault="009D16B4" w:rsidP="00980344">
      <w:pPr>
        <w:jc w:val="both"/>
        <w:rPr>
          <w:sz w:val="22"/>
          <w:szCs w:val="22"/>
        </w:rPr>
      </w:pPr>
    </w:p>
    <w:p w14:paraId="1CAD3976" w14:textId="3E5A87DB" w:rsidR="007032E9" w:rsidRDefault="002977CE" w:rsidP="00283214">
      <w:pPr>
        <w:jc w:val="both"/>
        <w:rPr>
          <w:sz w:val="22"/>
          <w:szCs w:val="22"/>
        </w:rPr>
      </w:pPr>
      <w:r w:rsidRPr="002977CE">
        <w:rPr>
          <w:sz w:val="22"/>
          <w:szCs w:val="22"/>
        </w:rPr>
        <w:t xml:space="preserve">1.2 </w:t>
      </w:r>
      <w:r w:rsidR="008E6701">
        <w:rPr>
          <w:sz w:val="22"/>
          <w:szCs w:val="22"/>
        </w:rPr>
        <w:t>The status of th</w:t>
      </w:r>
      <w:r w:rsidR="0084559D">
        <w:rPr>
          <w:sz w:val="22"/>
          <w:szCs w:val="22"/>
        </w:rPr>
        <w:t>e</w:t>
      </w:r>
      <w:r w:rsidR="008E6701">
        <w:rPr>
          <w:sz w:val="22"/>
          <w:szCs w:val="22"/>
        </w:rPr>
        <w:t xml:space="preserve"> National Change Programme, and the direction of travel for the development of SEND and AP provision is currently being review</w:t>
      </w:r>
      <w:r w:rsidR="00D277C0">
        <w:rPr>
          <w:sz w:val="22"/>
          <w:szCs w:val="22"/>
        </w:rPr>
        <w:t>ed</w:t>
      </w:r>
      <w:r w:rsidR="008E6701">
        <w:rPr>
          <w:sz w:val="22"/>
          <w:szCs w:val="22"/>
        </w:rPr>
        <w:t xml:space="preserve"> by government and further information and</w:t>
      </w:r>
      <w:r w:rsidR="00F95F40">
        <w:rPr>
          <w:sz w:val="22"/>
          <w:szCs w:val="22"/>
        </w:rPr>
        <w:t xml:space="preserve"> </w:t>
      </w:r>
      <w:r w:rsidR="000B6980">
        <w:rPr>
          <w:sz w:val="22"/>
          <w:szCs w:val="22"/>
        </w:rPr>
        <w:t>consultation</w:t>
      </w:r>
      <w:r w:rsidR="0064247B">
        <w:rPr>
          <w:sz w:val="22"/>
          <w:szCs w:val="22"/>
        </w:rPr>
        <w:t xml:space="preserve"> is expected</w:t>
      </w:r>
      <w:r w:rsidR="008E6701">
        <w:rPr>
          <w:sz w:val="22"/>
          <w:szCs w:val="22"/>
        </w:rPr>
        <w:t xml:space="preserve">. </w:t>
      </w:r>
      <w:r w:rsidR="00E74092">
        <w:rPr>
          <w:sz w:val="22"/>
          <w:szCs w:val="22"/>
        </w:rPr>
        <w:t>The Authority</w:t>
      </w:r>
      <w:r w:rsidR="008E6701">
        <w:rPr>
          <w:sz w:val="22"/>
          <w:szCs w:val="22"/>
        </w:rPr>
        <w:t xml:space="preserve"> </w:t>
      </w:r>
      <w:r w:rsidR="00D277C0">
        <w:rPr>
          <w:sz w:val="22"/>
          <w:szCs w:val="22"/>
        </w:rPr>
        <w:t>anticipate</w:t>
      </w:r>
      <w:r w:rsidR="00E74092">
        <w:rPr>
          <w:sz w:val="22"/>
          <w:szCs w:val="22"/>
        </w:rPr>
        <w:t>s</w:t>
      </w:r>
      <w:r w:rsidR="008E6701">
        <w:rPr>
          <w:sz w:val="22"/>
          <w:szCs w:val="22"/>
        </w:rPr>
        <w:t xml:space="preserve"> that this will incorporate</w:t>
      </w:r>
      <w:r w:rsidR="000B6980">
        <w:rPr>
          <w:sz w:val="22"/>
          <w:szCs w:val="22"/>
        </w:rPr>
        <w:t xml:space="preserve"> changes to high needs funding mechanisms.</w:t>
      </w:r>
      <w:r w:rsidR="00F95F40">
        <w:rPr>
          <w:sz w:val="22"/>
          <w:szCs w:val="22"/>
        </w:rPr>
        <w:t xml:space="preserve"> </w:t>
      </w:r>
      <w:r w:rsidR="000163EF" w:rsidRPr="000163EF">
        <w:rPr>
          <w:sz w:val="22"/>
          <w:szCs w:val="22"/>
        </w:rPr>
        <w:t>The DfE’s High Needs Block operational guidance</w:t>
      </w:r>
      <w:r w:rsidR="007E5AA6">
        <w:rPr>
          <w:sz w:val="22"/>
          <w:szCs w:val="22"/>
        </w:rPr>
        <w:t>, however,</w:t>
      </w:r>
      <w:r w:rsidR="000163EF" w:rsidRPr="000163EF">
        <w:rPr>
          <w:sz w:val="22"/>
          <w:szCs w:val="22"/>
        </w:rPr>
        <w:t xml:space="preserve"> </w:t>
      </w:r>
      <w:r w:rsidR="0053111C">
        <w:rPr>
          <w:sz w:val="22"/>
          <w:szCs w:val="22"/>
        </w:rPr>
        <w:t>is expected to</w:t>
      </w:r>
      <w:r w:rsidR="00186CA8">
        <w:rPr>
          <w:sz w:val="22"/>
          <w:szCs w:val="22"/>
        </w:rPr>
        <w:t xml:space="preserve"> </w:t>
      </w:r>
      <w:r w:rsidR="000163EF" w:rsidRPr="000163EF">
        <w:rPr>
          <w:sz w:val="22"/>
          <w:szCs w:val="22"/>
        </w:rPr>
        <w:t>confirm that</w:t>
      </w:r>
      <w:r w:rsidR="00D277C0">
        <w:rPr>
          <w:sz w:val="22"/>
          <w:szCs w:val="22"/>
        </w:rPr>
        <w:t xml:space="preserve"> existing arrangements continue</w:t>
      </w:r>
      <w:r w:rsidR="00186CA8">
        <w:rPr>
          <w:sz w:val="22"/>
          <w:szCs w:val="22"/>
        </w:rPr>
        <w:t xml:space="preserve"> for the 2025/26 financial year</w:t>
      </w:r>
      <w:r w:rsidR="00D277C0">
        <w:rPr>
          <w:sz w:val="22"/>
          <w:szCs w:val="22"/>
        </w:rPr>
        <w:t>; that</w:t>
      </w:r>
      <w:r w:rsidR="000163EF" w:rsidRPr="000163EF">
        <w:rPr>
          <w:sz w:val="22"/>
          <w:szCs w:val="22"/>
        </w:rPr>
        <w:t xml:space="preserve"> the values of place-element</w:t>
      </w:r>
      <w:r w:rsidR="000163EF">
        <w:rPr>
          <w:sz w:val="22"/>
          <w:szCs w:val="22"/>
        </w:rPr>
        <w:t xml:space="preserve"> funding (£10,000 and</w:t>
      </w:r>
      <w:r w:rsidR="000163EF" w:rsidRPr="000163EF">
        <w:rPr>
          <w:sz w:val="22"/>
          <w:szCs w:val="22"/>
        </w:rPr>
        <w:t xml:space="preserve"> £6,000</w:t>
      </w:r>
      <w:r w:rsidR="00186CA8">
        <w:rPr>
          <w:sz w:val="22"/>
          <w:szCs w:val="22"/>
        </w:rPr>
        <w:t>) and</w:t>
      </w:r>
      <w:r w:rsidR="000163EF" w:rsidRPr="000163EF">
        <w:rPr>
          <w:sz w:val="22"/>
          <w:szCs w:val="22"/>
        </w:rPr>
        <w:t xml:space="preserve"> the positions of the main ‘levers’ of the high needs place-plus fun</w:t>
      </w:r>
      <w:r w:rsidR="000163EF">
        <w:rPr>
          <w:sz w:val="22"/>
          <w:szCs w:val="22"/>
        </w:rPr>
        <w:t>ding system</w:t>
      </w:r>
      <w:r w:rsidR="0084559D">
        <w:rPr>
          <w:sz w:val="22"/>
          <w:szCs w:val="22"/>
        </w:rPr>
        <w:t xml:space="preserve"> will</w:t>
      </w:r>
      <w:r w:rsidR="000163EF">
        <w:rPr>
          <w:sz w:val="22"/>
          <w:szCs w:val="22"/>
        </w:rPr>
        <w:t xml:space="preserve"> remain unchanged</w:t>
      </w:r>
      <w:r w:rsidR="00D277C0">
        <w:rPr>
          <w:sz w:val="22"/>
          <w:szCs w:val="22"/>
        </w:rPr>
        <w:t xml:space="preserve"> and that l</w:t>
      </w:r>
      <w:r w:rsidR="000163EF" w:rsidRPr="000163EF">
        <w:rPr>
          <w:sz w:val="22"/>
          <w:szCs w:val="22"/>
        </w:rPr>
        <w:t xml:space="preserve">ocal authorities </w:t>
      </w:r>
      <w:r w:rsidR="0084559D">
        <w:rPr>
          <w:sz w:val="22"/>
          <w:szCs w:val="22"/>
        </w:rPr>
        <w:t xml:space="preserve">will </w:t>
      </w:r>
      <w:r w:rsidR="000163EF" w:rsidRPr="000163EF">
        <w:rPr>
          <w:sz w:val="22"/>
          <w:szCs w:val="22"/>
        </w:rPr>
        <w:t>continue to hold responsibility for calculating and allocating top-up funding</w:t>
      </w:r>
      <w:r w:rsidR="002D7577">
        <w:rPr>
          <w:sz w:val="22"/>
          <w:szCs w:val="22"/>
        </w:rPr>
        <w:t>.</w:t>
      </w:r>
    </w:p>
    <w:p w14:paraId="68F6B7E9" w14:textId="77777777" w:rsidR="007032E9" w:rsidRDefault="007032E9" w:rsidP="00283214">
      <w:pPr>
        <w:jc w:val="both"/>
        <w:rPr>
          <w:sz w:val="22"/>
          <w:szCs w:val="22"/>
        </w:rPr>
      </w:pPr>
    </w:p>
    <w:p w14:paraId="61445137" w14:textId="606D1066" w:rsidR="006A77F1" w:rsidRDefault="006A77F1" w:rsidP="00283214">
      <w:pPr>
        <w:jc w:val="both"/>
        <w:rPr>
          <w:sz w:val="22"/>
          <w:szCs w:val="22"/>
        </w:rPr>
      </w:pPr>
      <w:r>
        <w:rPr>
          <w:sz w:val="22"/>
          <w:szCs w:val="22"/>
        </w:rPr>
        <w:t>1.</w:t>
      </w:r>
      <w:r w:rsidR="0074202C">
        <w:rPr>
          <w:sz w:val="22"/>
          <w:szCs w:val="22"/>
        </w:rPr>
        <w:t>3</w:t>
      </w:r>
      <w:r>
        <w:rPr>
          <w:sz w:val="22"/>
          <w:szCs w:val="22"/>
        </w:rPr>
        <w:t xml:space="preserve"> </w:t>
      </w:r>
      <w:r w:rsidR="009564E6">
        <w:rPr>
          <w:sz w:val="22"/>
          <w:szCs w:val="22"/>
        </w:rPr>
        <w:t>Bradford’s</w:t>
      </w:r>
      <w:r w:rsidRPr="0064247B">
        <w:rPr>
          <w:sz w:val="22"/>
          <w:szCs w:val="22"/>
        </w:rPr>
        <w:t xml:space="preserve"> high needs formula funding arrangements</w:t>
      </w:r>
      <w:r w:rsidR="00A250A9">
        <w:rPr>
          <w:sz w:val="22"/>
          <w:szCs w:val="22"/>
        </w:rPr>
        <w:t xml:space="preserve"> </w:t>
      </w:r>
      <w:r w:rsidRPr="0064247B">
        <w:rPr>
          <w:sz w:val="22"/>
          <w:szCs w:val="22"/>
        </w:rPr>
        <w:t xml:space="preserve">continue to operate in the </w:t>
      </w:r>
      <w:r w:rsidR="00961775">
        <w:rPr>
          <w:sz w:val="22"/>
          <w:szCs w:val="22"/>
        </w:rPr>
        <w:t xml:space="preserve">local </w:t>
      </w:r>
      <w:r w:rsidRPr="0064247B">
        <w:rPr>
          <w:sz w:val="22"/>
          <w:szCs w:val="22"/>
        </w:rPr>
        <w:t xml:space="preserve">context of recent and continuing wider changes, especially </w:t>
      </w:r>
      <w:r>
        <w:rPr>
          <w:sz w:val="22"/>
          <w:szCs w:val="22"/>
        </w:rPr>
        <w:t>t</w:t>
      </w:r>
      <w:r w:rsidRPr="0064247B">
        <w:rPr>
          <w:sz w:val="22"/>
          <w:szCs w:val="22"/>
        </w:rPr>
        <w:t>he significant growth in the numbers of pupils with EHCPs</w:t>
      </w:r>
      <w:r w:rsidR="009564E6">
        <w:rPr>
          <w:sz w:val="22"/>
          <w:szCs w:val="22"/>
        </w:rPr>
        <w:t xml:space="preserve"> and</w:t>
      </w:r>
      <w:r w:rsidR="00E8333C">
        <w:rPr>
          <w:sz w:val="22"/>
          <w:szCs w:val="22"/>
        </w:rPr>
        <w:t xml:space="preserve"> the growth in the numbers of pupils fixed term and permanently excluded,</w:t>
      </w:r>
      <w:r>
        <w:rPr>
          <w:sz w:val="22"/>
          <w:szCs w:val="22"/>
        </w:rPr>
        <w:t xml:space="preserve"> t</w:t>
      </w:r>
      <w:r w:rsidRPr="0064247B">
        <w:rPr>
          <w:sz w:val="22"/>
          <w:szCs w:val="22"/>
        </w:rPr>
        <w:t>he continued creation of additional specialist places</w:t>
      </w:r>
      <w:r>
        <w:rPr>
          <w:sz w:val="22"/>
          <w:szCs w:val="22"/>
        </w:rPr>
        <w:t>, and t</w:t>
      </w:r>
      <w:r w:rsidRPr="0064247B">
        <w:rPr>
          <w:sz w:val="22"/>
          <w:szCs w:val="22"/>
        </w:rPr>
        <w:t xml:space="preserve">he development and expansion of </w:t>
      </w:r>
      <w:r w:rsidRPr="00CE264F">
        <w:rPr>
          <w:sz w:val="22"/>
          <w:szCs w:val="22"/>
        </w:rPr>
        <w:t>resourced provisions in mainstream primary and secondary schools and academies</w:t>
      </w:r>
      <w:r w:rsidR="0074202C" w:rsidRPr="00CE264F">
        <w:rPr>
          <w:sz w:val="22"/>
          <w:szCs w:val="22"/>
        </w:rPr>
        <w:t>.</w:t>
      </w:r>
      <w:r w:rsidR="009564E6">
        <w:rPr>
          <w:sz w:val="22"/>
          <w:szCs w:val="22"/>
        </w:rPr>
        <w:t xml:space="preserve"> H</w:t>
      </w:r>
      <w:r w:rsidR="00CE264F" w:rsidRPr="00CE264F">
        <w:rPr>
          <w:sz w:val="22"/>
          <w:szCs w:val="22"/>
        </w:rPr>
        <w:t>igh needs formula funding arrangements continue to operate within a very challenging f</w:t>
      </w:r>
      <w:r w:rsidR="00CE264F">
        <w:rPr>
          <w:sz w:val="22"/>
          <w:szCs w:val="22"/>
        </w:rPr>
        <w:t>inancial</w:t>
      </w:r>
      <w:r w:rsidR="00CE264F" w:rsidRPr="00CE264F">
        <w:rPr>
          <w:sz w:val="22"/>
          <w:szCs w:val="22"/>
        </w:rPr>
        <w:t xml:space="preserve"> climate. The Authority now forecast</w:t>
      </w:r>
      <w:r w:rsidR="009564E6">
        <w:rPr>
          <w:sz w:val="22"/>
          <w:szCs w:val="22"/>
        </w:rPr>
        <w:t>s</w:t>
      </w:r>
      <w:r w:rsidR="00CE264F" w:rsidRPr="00CE264F">
        <w:rPr>
          <w:sz w:val="22"/>
          <w:szCs w:val="22"/>
        </w:rPr>
        <w:t xml:space="preserve"> that </w:t>
      </w:r>
      <w:r w:rsidR="00CE264F">
        <w:rPr>
          <w:sz w:val="22"/>
          <w:szCs w:val="22"/>
        </w:rPr>
        <w:t>Bradford’s</w:t>
      </w:r>
      <w:r w:rsidR="00CE264F" w:rsidRPr="00CE264F">
        <w:rPr>
          <w:sz w:val="22"/>
          <w:szCs w:val="22"/>
        </w:rPr>
        <w:t xml:space="preserve"> Dedicated Schools Grant account will be in deficit </w:t>
      </w:r>
      <w:r w:rsidR="00366370">
        <w:rPr>
          <w:sz w:val="22"/>
          <w:szCs w:val="22"/>
        </w:rPr>
        <w:t>from</w:t>
      </w:r>
      <w:r w:rsidR="00CE264F" w:rsidRPr="00CE264F">
        <w:rPr>
          <w:sz w:val="22"/>
          <w:szCs w:val="22"/>
        </w:rPr>
        <w:t xml:space="preserve"> the end of the 2025/26 financial year</w:t>
      </w:r>
      <w:r w:rsidR="00520F8F">
        <w:rPr>
          <w:sz w:val="22"/>
          <w:szCs w:val="22"/>
        </w:rPr>
        <w:t>. T</w:t>
      </w:r>
      <w:r w:rsidR="00CE264F" w:rsidRPr="00CE264F">
        <w:rPr>
          <w:sz w:val="22"/>
          <w:szCs w:val="22"/>
        </w:rPr>
        <w:t xml:space="preserve">he cause of this </w:t>
      </w:r>
      <w:r w:rsidR="00520F8F">
        <w:rPr>
          <w:sz w:val="22"/>
          <w:szCs w:val="22"/>
        </w:rPr>
        <w:t>deficit is</w:t>
      </w:r>
      <w:r w:rsidR="00CE264F" w:rsidRPr="00CE264F">
        <w:rPr>
          <w:sz w:val="22"/>
          <w:szCs w:val="22"/>
        </w:rPr>
        <w:t xml:space="preserve"> overspending within the High Needs Block </w:t>
      </w:r>
      <w:r w:rsidR="00520F8F">
        <w:rPr>
          <w:sz w:val="22"/>
          <w:szCs w:val="22"/>
        </w:rPr>
        <w:t>in response to</w:t>
      </w:r>
      <w:r w:rsidR="00CE264F" w:rsidRPr="00CE264F">
        <w:rPr>
          <w:sz w:val="22"/>
          <w:szCs w:val="22"/>
        </w:rPr>
        <w:t xml:space="preserve"> the significant and continuing increases in </w:t>
      </w:r>
      <w:r w:rsidR="00CE264F">
        <w:rPr>
          <w:sz w:val="22"/>
          <w:szCs w:val="22"/>
        </w:rPr>
        <w:t xml:space="preserve">the numbers of </w:t>
      </w:r>
      <w:r w:rsidR="00CE264F" w:rsidRPr="00CE264F">
        <w:rPr>
          <w:sz w:val="22"/>
          <w:szCs w:val="22"/>
        </w:rPr>
        <w:t xml:space="preserve">EHCPs and other </w:t>
      </w:r>
      <w:r w:rsidR="00CE264F">
        <w:rPr>
          <w:sz w:val="22"/>
          <w:szCs w:val="22"/>
        </w:rPr>
        <w:t xml:space="preserve">demand-led </w:t>
      </w:r>
      <w:r w:rsidR="00CE264F" w:rsidRPr="00CE264F">
        <w:rPr>
          <w:sz w:val="22"/>
          <w:szCs w:val="22"/>
        </w:rPr>
        <w:t xml:space="preserve">pressures. </w:t>
      </w:r>
      <w:r w:rsidR="00CE264F">
        <w:rPr>
          <w:sz w:val="22"/>
          <w:szCs w:val="22"/>
        </w:rPr>
        <w:t>O</w:t>
      </w:r>
      <w:r w:rsidR="00CE264F" w:rsidRPr="00CE264F">
        <w:rPr>
          <w:sz w:val="22"/>
          <w:szCs w:val="22"/>
        </w:rPr>
        <w:t>verspending is a national issue, not specific to Bradford, and is an issue that is recognised by government. The deficit within</w:t>
      </w:r>
      <w:r w:rsidR="00CE264F">
        <w:rPr>
          <w:sz w:val="22"/>
          <w:szCs w:val="22"/>
        </w:rPr>
        <w:t xml:space="preserve"> Bradford’s</w:t>
      </w:r>
      <w:r w:rsidR="00CE264F" w:rsidRPr="00CE264F">
        <w:rPr>
          <w:sz w:val="22"/>
          <w:szCs w:val="22"/>
        </w:rPr>
        <w:t xml:space="preserve"> High Needs Block is currently the most prominent feature of the Authority’s discussions</w:t>
      </w:r>
      <w:r w:rsidR="00207C47">
        <w:rPr>
          <w:sz w:val="22"/>
          <w:szCs w:val="22"/>
        </w:rPr>
        <w:t xml:space="preserve"> and consultations</w:t>
      </w:r>
      <w:r w:rsidR="00CE264F" w:rsidRPr="00CE264F">
        <w:rPr>
          <w:sz w:val="22"/>
          <w:szCs w:val="22"/>
        </w:rPr>
        <w:t xml:space="preserve"> with the Schools Forum. Schools Forum meetings and reports can be accessed </w:t>
      </w:r>
      <w:hyperlink r:id="rId9" w:history="1">
        <w:r w:rsidR="00CE264F" w:rsidRPr="00CE264F">
          <w:rPr>
            <w:rStyle w:val="Hyperlink"/>
            <w:sz w:val="22"/>
            <w:szCs w:val="22"/>
          </w:rPr>
          <w:t>here</w:t>
        </w:r>
      </w:hyperlink>
      <w:r w:rsidR="00CE264F" w:rsidRPr="00CE264F">
        <w:rPr>
          <w:sz w:val="22"/>
          <w:szCs w:val="22"/>
        </w:rPr>
        <w:t>.</w:t>
      </w:r>
      <w:r w:rsidR="00520F8F">
        <w:rPr>
          <w:sz w:val="22"/>
          <w:szCs w:val="22"/>
        </w:rPr>
        <w:t xml:space="preserve"> </w:t>
      </w:r>
      <w:r w:rsidR="00E25396">
        <w:rPr>
          <w:sz w:val="22"/>
          <w:szCs w:val="22"/>
        </w:rPr>
        <w:t>Potential m</w:t>
      </w:r>
      <w:r w:rsidR="00520F8F">
        <w:rPr>
          <w:sz w:val="22"/>
          <w:szCs w:val="22"/>
        </w:rPr>
        <w:t xml:space="preserve">easures to seek to mitigate against this deficit were set out in the </w:t>
      </w:r>
      <w:r w:rsidR="00EB70BD">
        <w:rPr>
          <w:sz w:val="22"/>
          <w:szCs w:val="22"/>
        </w:rPr>
        <w:t xml:space="preserve">October </w:t>
      </w:r>
      <w:r w:rsidR="00520F8F">
        <w:rPr>
          <w:sz w:val="22"/>
          <w:szCs w:val="22"/>
        </w:rPr>
        <w:t>business cases</w:t>
      </w:r>
      <w:r w:rsidR="00E25396">
        <w:rPr>
          <w:sz w:val="22"/>
          <w:szCs w:val="22"/>
        </w:rPr>
        <w:t xml:space="preserve"> </w:t>
      </w:r>
      <w:r w:rsidR="00520F8F">
        <w:rPr>
          <w:sz w:val="22"/>
          <w:szCs w:val="22"/>
        </w:rPr>
        <w:t xml:space="preserve">and are </w:t>
      </w:r>
      <w:r w:rsidR="009564E6">
        <w:rPr>
          <w:sz w:val="22"/>
          <w:szCs w:val="22"/>
        </w:rPr>
        <w:t xml:space="preserve">further </w:t>
      </w:r>
      <w:r w:rsidR="00085D51">
        <w:rPr>
          <w:sz w:val="22"/>
          <w:szCs w:val="22"/>
        </w:rPr>
        <w:t>discussed in this</w:t>
      </w:r>
      <w:r w:rsidR="00520F8F">
        <w:rPr>
          <w:sz w:val="22"/>
          <w:szCs w:val="22"/>
        </w:rPr>
        <w:t xml:space="preserve"> document.</w:t>
      </w:r>
    </w:p>
    <w:p w14:paraId="496A1A59" w14:textId="77777777" w:rsidR="00CE264F" w:rsidRDefault="00CE264F" w:rsidP="00283214">
      <w:pPr>
        <w:jc w:val="both"/>
        <w:rPr>
          <w:sz w:val="22"/>
          <w:szCs w:val="22"/>
        </w:rPr>
      </w:pPr>
    </w:p>
    <w:p w14:paraId="1A95BD63" w14:textId="20A5DD91" w:rsidR="00C22624" w:rsidRDefault="00041BB9" w:rsidP="00283214">
      <w:pPr>
        <w:jc w:val="both"/>
        <w:rPr>
          <w:sz w:val="22"/>
          <w:szCs w:val="22"/>
        </w:rPr>
      </w:pPr>
      <w:r>
        <w:rPr>
          <w:sz w:val="22"/>
          <w:szCs w:val="22"/>
        </w:rPr>
        <w:t>1.</w:t>
      </w:r>
      <w:r w:rsidR="0074202C">
        <w:rPr>
          <w:sz w:val="22"/>
          <w:szCs w:val="22"/>
        </w:rPr>
        <w:t>4</w:t>
      </w:r>
      <w:r w:rsidR="009D16B4">
        <w:rPr>
          <w:sz w:val="22"/>
          <w:szCs w:val="22"/>
        </w:rPr>
        <w:t xml:space="preserve"> </w:t>
      </w:r>
      <w:r w:rsidR="00D277C0">
        <w:rPr>
          <w:sz w:val="22"/>
          <w:szCs w:val="22"/>
        </w:rPr>
        <w:t>B</w:t>
      </w:r>
      <w:r w:rsidR="006C2E57">
        <w:rPr>
          <w:sz w:val="22"/>
          <w:szCs w:val="22"/>
        </w:rPr>
        <w:t>radford Council</w:t>
      </w:r>
      <w:r w:rsidR="00316541">
        <w:rPr>
          <w:sz w:val="22"/>
          <w:szCs w:val="22"/>
        </w:rPr>
        <w:t xml:space="preserve"> introduced</w:t>
      </w:r>
      <w:r w:rsidR="006C2E57">
        <w:rPr>
          <w:sz w:val="22"/>
          <w:szCs w:val="22"/>
        </w:rPr>
        <w:t>,</w:t>
      </w:r>
      <w:r w:rsidR="0058613E">
        <w:rPr>
          <w:sz w:val="22"/>
          <w:szCs w:val="22"/>
        </w:rPr>
        <w:t xml:space="preserve"> at April 2020</w:t>
      </w:r>
      <w:r w:rsidR="006C2E57">
        <w:rPr>
          <w:sz w:val="22"/>
          <w:szCs w:val="22"/>
        </w:rPr>
        <w:t>,</w:t>
      </w:r>
      <w:r w:rsidR="008F0265">
        <w:rPr>
          <w:sz w:val="22"/>
          <w:szCs w:val="22"/>
        </w:rPr>
        <w:t xml:space="preserve"> a new Banded Model for the allocation</w:t>
      </w:r>
      <w:r w:rsidR="003739C7">
        <w:rPr>
          <w:sz w:val="22"/>
          <w:szCs w:val="22"/>
        </w:rPr>
        <w:t xml:space="preserve"> of</w:t>
      </w:r>
      <w:r w:rsidR="00C6555C">
        <w:rPr>
          <w:sz w:val="22"/>
          <w:szCs w:val="22"/>
        </w:rPr>
        <w:t xml:space="preserve"> ‘</w:t>
      </w:r>
      <w:r w:rsidR="00D32993">
        <w:rPr>
          <w:sz w:val="22"/>
          <w:szCs w:val="22"/>
        </w:rPr>
        <w:t>top-up</w:t>
      </w:r>
      <w:r w:rsidR="00C6555C">
        <w:rPr>
          <w:sz w:val="22"/>
          <w:szCs w:val="22"/>
        </w:rPr>
        <w:t xml:space="preserve">’ </w:t>
      </w:r>
      <w:r w:rsidR="003739C7">
        <w:rPr>
          <w:sz w:val="22"/>
          <w:szCs w:val="22"/>
        </w:rPr>
        <w:t xml:space="preserve">funding </w:t>
      </w:r>
      <w:r w:rsidR="00C6555C">
        <w:rPr>
          <w:sz w:val="22"/>
          <w:szCs w:val="22"/>
        </w:rPr>
        <w:t xml:space="preserve">for </w:t>
      </w:r>
      <w:r w:rsidR="00E15111">
        <w:rPr>
          <w:sz w:val="22"/>
          <w:szCs w:val="22"/>
        </w:rPr>
        <w:t>Education Health and Care Plans (</w:t>
      </w:r>
      <w:r w:rsidR="00C6555C">
        <w:rPr>
          <w:sz w:val="22"/>
          <w:szCs w:val="22"/>
        </w:rPr>
        <w:t>EHCPs</w:t>
      </w:r>
      <w:r w:rsidR="00E15111">
        <w:rPr>
          <w:sz w:val="22"/>
          <w:szCs w:val="22"/>
        </w:rPr>
        <w:t>)</w:t>
      </w:r>
      <w:r w:rsidR="0058613E">
        <w:rPr>
          <w:sz w:val="22"/>
          <w:szCs w:val="22"/>
        </w:rPr>
        <w:t>. This model replaced</w:t>
      </w:r>
      <w:r w:rsidR="008F0265">
        <w:rPr>
          <w:sz w:val="22"/>
          <w:szCs w:val="22"/>
        </w:rPr>
        <w:t xml:space="preserve"> </w:t>
      </w:r>
      <w:r w:rsidR="00E8333C">
        <w:rPr>
          <w:sz w:val="22"/>
          <w:szCs w:val="22"/>
        </w:rPr>
        <w:t>the</w:t>
      </w:r>
      <w:r w:rsidR="008F0265">
        <w:rPr>
          <w:sz w:val="22"/>
          <w:szCs w:val="22"/>
        </w:rPr>
        <w:t xml:space="preserve"> previous</w:t>
      </w:r>
      <w:r w:rsidR="00C6555C">
        <w:rPr>
          <w:sz w:val="22"/>
          <w:szCs w:val="22"/>
        </w:rPr>
        <w:t xml:space="preserve"> </w:t>
      </w:r>
      <w:r w:rsidR="00A6697B">
        <w:rPr>
          <w:sz w:val="22"/>
          <w:szCs w:val="22"/>
        </w:rPr>
        <w:t>‘</w:t>
      </w:r>
      <w:r w:rsidR="00C6555C">
        <w:rPr>
          <w:sz w:val="22"/>
          <w:szCs w:val="22"/>
        </w:rPr>
        <w:t>Ranges Model</w:t>
      </w:r>
      <w:r w:rsidR="00A6697B">
        <w:rPr>
          <w:sz w:val="22"/>
          <w:szCs w:val="22"/>
        </w:rPr>
        <w:t>’</w:t>
      </w:r>
      <w:r w:rsidR="00E8333C">
        <w:rPr>
          <w:sz w:val="22"/>
          <w:szCs w:val="22"/>
        </w:rPr>
        <w:t xml:space="preserve">. </w:t>
      </w:r>
      <w:r w:rsidR="00C941F4">
        <w:rPr>
          <w:sz w:val="22"/>
          <w:szCs w:val="22"/>
        </w:rPr>
        <w:t>The</w:t>
      </w:r>
      <w:r w:rsidR="00D4546C">
        <w:rPr>
          <w:sz w:val="22"/>
          <w:szCs w:val="22"/>
        </w:rPr>
        <w:t xml:space="preserve"> </w:t>
      </w:r>
      <w:r w:rsidR="006C2E57">
        <w:rPr>
          <w:sz w:val="22"/>
          <w:szCs w:val="22"/>
        </w:rPr>
        <w:t>Banded M</w:t>
      </w:r>
      <w:r w:rsidR="00D4546C">
        <w:rPr>
          <w:sz w:val="22"/>
          <w:szCs w:val="22"/>
        </w:rPr>
        <w:t>odel</w:t>
      </w:r>
      <w:r w:rsidR="006C2E57">
        <w:rPr>
          <w:sz w:val="22"/>
          <w:szCs w:val="22"/>
        </w:rPr>
        <w:t xml:space="preserve"> continues to include</w:t>
      </w:r>
      <w:r w:rsidR="008F0265">
        <w:rPr>
          <w:sz w:val="22"/>
          <w:szCs w:val="22"/>
        </w:rPr>
        <w:t xml:space="preserve"> protect</w:t>
      </w:r>
      <w:r w:rsidR="006C2E57">
        <w:rPr>
          <w:sz w:val="22"/>
          <w:szCs w:val="22"/>
        </w:rPr>
        <w:t>ions, which</w:t>
      </w:r>
      <w:r w:rsidR="008F0265">
        <w:rPr>
          <w:sz w:val="22"/>
          <w:szCs w:val="22"/>
        </w:rPr>
        <w:t xml:space="preserve"> ensure that no</w:t>
      </w:r>
      <w:r w:rsidR="00522CDD">
        <w:rPr>
          <w:sz w:val="22"/>
          <w:szCs w:val="22"/>
        </w:rPr>
        <w:t xml:space="preserve"> EHCP</w:t>
      </w:r>
      <w:r w:rsidR="006C2E57">
        <w:rPr>
          <w:sz w:val="22"/>
          <w:szCs w:val="22"/>
        </w:rPr>
        <w:t xml:space="preserve"> that was</w:t>
      </w:r>
      <w:r w:rsidR="00431B67">
        <w:rPr>
          <w:sz w:val="22"/>
          <w:szCs w:val="22"/>
        </w:rPr>
        <w:t xml:space="preserve"> </w:t>
      </w:r>
      <w:r w:rsidR="00D71D1A">
        <w:rPr>
          <w:sz w:val="22"/>
          <w:szCs w:val="22"/>
        </w:rPr>
        <w:t>in place</w:t>
      </w:r>
      <w:r w:rsidR="00431B67">
        <w:rPr>
          <w:sz w:val="22"/>
          <w:szCs w:val="22"/>
        </w:rPr>
        <w:t xml:space="preserve"> on 1 April 2020</w:t>
      </w:r>
      <w:r w:rsidR="003739C7">
        <w:rPr>
          <w:sz w:val="22"/>
          <w:szCs w:val="22"/>
        </w:rPr>
        <w:t xml:space="preserve"> </w:t>
      </w:r>
      <w:r w:rsidR="009E65DA">
        <w:rPr>
          <w:sz w:val="22"/>
          <w:szCs w:val="22"/>
        </w:rPr>
        <w:t xml:space="preserve">has </w:t>
      </w:r>
      <w:r w:rsidR="003739C7">
        <w:rPr>
          <w:sz w:val="22"/>
          <w:szCs w:val="22"/>
        </w:rPr>
        <w:t>reduce</w:t>
      </w:r>
      <w:r w:rsidR="009E65DA">
        <w:rPr>
          <w:sz w:val="22"/>
          <w:szCs w:val="22"/>
        </w:rPr>
        <w:t>d</w:t>
      </w:r>
      <w:r w:rsidR="008F0265">
        <w:rPr>
          <w:sz w:val="22"/>
          <w:szCs w:val="22"/>
        </w:rPr>
        <w:t xml:space="preserve"> in value</w:t>
      </w:r>
      <w:r w:rsidR="00AE7E6D">
        <w:rPr>
          <w:sz w:val="22"/>
          <w:szCs w:val="22"/>
        </w:rPr>
        <w:t xml:space="preserve"> as a result of</w:t>
      </w:r>
      <w:r w:rsidR="006052E1">
        <w:rPr>
          <w:sz w:val="22"/>
          <w:szCs w:val="22"/>
        </w:rPr>
        <w:t xml:space="preserve"> </w:t>
      </w:r>
      <w:r w:rsidR="006C2E57">
        <w:rPr>
          <w:sz w:val="22"/>
          <w:szCs w:val="22"/>
        </w:rPr>
        <w:t xml:space="preserve">funding </w:t>
      </w:r>
      <w:r w:rsidR="006052E1">
        <w:rPr>
          <w:sz w:val="22"/>
          <w:szCs w:val="22"/>
        </w:rPr>
        <w:t xml:space="preserve">model </w:t>
      </w:r>
      <w:r w:rsidR="00AE7E6D">
        <w:rPr>
          <w:sz w:val="22"/>
          <w:szCs w:val="22"/>
        </w:rPr>
        <w:t>change</w:t>
      </w:r>
      <w:r w:rsidR="008F0265">
        <w:rPr>
          <w:sz w:val="22"/>
          <w:szCs w:val="22"/>
        </w:rPr>
        <w:t xml:space="preserve">. </w:t>
      </w:r>
      <w:r w:rsidR="00C350ED">
        <w:rPr>
          <w:sz w:val="22"/>
          <w:szCs w:val="22"/>
        </w:rPr>
        <w:t>The Council</w:t>
      </w:r>
      <w:r w:rsidR="00AE7E6D">
        <w:rPr>
          <w:sz w:val="22"/>
          <w:szCs w:val="22"/>
        </w:rPr>
        <w:t xml:space="preserve"> also</w:t>
      </w:r>
      <w:r w:rsidR="00522CDD">
        <w:rPr>
          <w:sz w:val="22"/>
          <w:szCs w:val="22"/>
        </w:rPr>
        <w:t xml:space="preserve"> introduced</w:t>
      </w:r>
      <w:r w:rsidR="0058613E">
        <w:rPr>
          <w:sz w:val="22"/>
          <w:szCs w:val="22"/>
        </w:rPr>
        <w:t xml:space="preserve"> at April 2020</w:t>
      </w:r>
      <w:r w:rsidR="00522CDD">
        <w:rPr>
          <w:sz w:val="22"/>
          <w:szCs w:val="22"/>
        </w:rPr>
        <w:t xml:space="preserve"> a new Day Rate Model for the funding of </w:t>
      </w:r>
      <w:r w:rsidR="00944593">
        <w:rPr>
          <w:sz w:val="22"/>
          <w:szCs w:val="22"/>
        </w:rPr>
        <w:t xml:space="preserve">alternative </w:t>
      </w:r>
      <w:r w:rsidR="0064336C">
        <w:rPr>
          <w:sz w:val="22"/>
          <w:szCs w:val="22"/>
        </w:rPr>
        <w:t>provision for pupils permanently excluded</w:t>
      </w:r>
      <w:r w:rsidR="00522CDD">
        <w:rPr>
          <w:sz w:val="22"/>
          <w:szCs w:val="22"/>
        </w:rPr>
        <w:t>.</w:t>
      </w:r>
    </w:p>
    <w:p w14:paraId="6E9EDDA3" w14:textId="77777777" w:rsidR="00EA5809" w:rsidRDefault="00EA5809" w:rsidP="00283214">
      <w:pPr>
        <w:jc w:val="both"/>
        <w:rPr>
          <w:sz w:val="22"/>
          <w:szCs w:val="22"/>
        </w:rPr>
      </w:pPr>
    </w:p>
    <w:p w14:paraId="2D6BEDB6" w14:textId="611D5C03" w:rsidR="00085D51" w:rsidRDefault="00C22624" w:rsidP="009D16B4">
      <w:pPr>
        <w:jc w:val="both"/>
        <w:rPr>
          <w:sz w:val="22"/>
          <w:szCs w:val="22"/>
        </w:rPr>
      </w:pPr>
      <w:r>
        <w:rPr>
          <w:sz w:val="22"/>
          <w:szCs w:val="22"/>
        </w:rPr>
        <w:t>1.</w:t>
      </w:r>
      <w:r w:rsidR="0074202C">
        <w:rPr>
          <w:sz w:val="22"/>
          <w:szCs w:val="22"/>
        </w:rPr>
        <w:t>5</w:t>
      </w:r>
      <w:r>
        <w:rPr>
          <w:sz w:val="22"/>
          <w:szCs w:val="22"/>
        </w:rPr>
        <w:t xml:space="preserve"> </w:t>
      </w:r>
      <w:r w:rsidR="00085D51">
        <w:rPr>
          <w:sz w:val="22"/>
          <w:szCs w:val="22"/>
        </w:rPr>
        <w:t>For 2025/26</w:t>
      </w:r>
      <w:r w:rsidR="009564E6">
        <w:rPr>
          <w:sz w:val="22"/>
          <w:szCs w:val="22"/>
        </w:rPr>
        <w:t>, in summary, it is the Authority’s intention to</w:t>
      </w:r>
      <w:r w:rsidR="00807385">
        <w:rPr>
          <w:sz w:val="22"/>
          <w:szCs w:val="22"/>
        </w:rPr>
        <w:t xml:space="preserve"> propose to the Schools Forum and to Council to</w:t>
      </w:r>
      <w:r w:rsidR="009564E6">
        <w:rPr>
          <w:sz w:val="22"/>
          <w:szCs w:val="22"/>
        </w:rPr>
        <w:t>:</w:t>
      </w:r>
    </w:p>
    <w:p w14:paraId="301C4CA7" w14:textId="77777777" w:rsidR="00085D51" w:rsidRDefault="00085D51" w:rsidP="009D16B4">
      <w:pPr>
        <w:jc w:val="both"/>
        <w:rPr>
          <w:sz w:val="22"/>
          <w:szCs w:val="22"/>
        </w:rPr>
      </w:pPr>
    </w:p>
    <w:p w14:paraId="3F14B939" w14:textId="77777777" w:rsidR="00807385" w:rsidRPr="00C350ED" w:rsidRDefault="00807385" w:rsidP="00807385">
      <w:pPr>
        <w:pStyle w:val="ListParagraph"/>
        <w:numPr>
          <w:ilvl w:val="0"/>
          <w:numId w:val="18"/>
        </w:numPr>
        <w:jc w:val="both"/>
        <w:rPr>
          <w:sz w:val="22"/>
          <w:szCs w:val="22"/>
        </w:rPr>
      </w:pPr>
      <w:r w:rsidRPr="0003204A">
        <w:rPr>
          <w:sz w:val="22"/>
          <w:szCs w:val="22"/>
        </w:rPr>
        <w:t xml:space="preserve">Continue the setting-led need factors in the funding of specialist provisions. </w:t>
      </w:r>
      <w:r>
        <w:rPr>
          <w:sz w:val="22"/>
          <w:szCs w:val="22"/>
        </w:rPr>
        <w:t>This document discusses the values that are allocated by these factors.</w:t>
      </w:r>
    </w:p>
    <w:p w14:paraId="19128432" w14:textId="77777777" w:rsidR="00807385" w:rsidRPr="009564E6" w:rsidRDefault="00807385" w:rsidP="00807385">
      <w:pPr>
        <w:jc w:val="both"/>
        <w:rPr>
          <w:sz w:val="22"/>
          <w:szCs w:val="22"/>
        </w:rPr>
      </w:pPr>
    </w:p>
    <w:p w14:paraId="76662663" w14:textId="460225D1" w:rsidR="00807385" w:rsidRPr="009564E6" w:rsidRDefault="00807385" w:rsidP="00807385">
      <w:pPr>
        <w:pStyle w:val="ListParagraph"/>
        <w:numPr>
          <w:ilvl w:val="0"/>
          <w:numId w:val="18"/>
        </w:numPr>
        <w:jc w:val="both"/>
        <w:rPr>
          <w:sz w:val="22"/>
          <w:szCs w:val="22"/>
        </w:rPr>
      </w:pPr>
      <w:r w:rsidRPr="0003204A">
        <w:rPr>
          <w:sz w:val="22"/>
          <w:szCs w:val="22"/>
        </w:rPr>
        <w:t xml:space="preserve">Continue to allocate the </w:t>
      </w:r>
      <w:r>
        <w:rPr>
          <w:sz w:val="22"/>
          <w:szCs w:val="22"/>
        </w:rPr>
        <w:t>“</w:t>
      </w:r>
      <w:r w:rsidRPr="0003204A">
        <w:rPr>
          <w:sz w:val="22"/>
          <w:szCs w:val="22"/>
        </w:rPr>
        <w:t>former</w:t>
      </w:r>
      <w:r>
        <w:rPr>
          <w:sz w:val="22"/>
          <w:szCs w:val="22"/>
        </w:rPr>
        <w:t>”</w:t>
      </w:r>
      <w:r w:rsidRPr="0003204A">
        <w:rPr>
          <w:sz w:val="22"/>
          <w:szCs w:val="22"/>
        </w:rPr>
        <w:t xml:space="preserve"> Teacher Pay and Pension Grants</w:t>
      </w:r>
      <w:r w:rsidR="003B20B0">
        <w:rPr>
          <w:sz w:val="22"/>
          <w:szCs w:val="22"/>
        </w:rPr>
        <w:t xml:space="preserve"> to eligible specialist provisions</w:t>
      </w:r>
      <w:r>
        <w:rPr>
          <w:sz w:val="22"/>
          <w:szCs w:val="22"/>
        </w:rPr>
        <w:t>. This document discusses the values that are allocated.</w:t>
      </w:r>
    </w:p>
    <w:p w14:paraId="35ACBE7E" w14:textId="77777777" w:rsidR="00807385" w:rsidRDefault="00807385" w:rsidP="00807385">
      <w:pPr>
        <w:pStyle w:val="ListParagraph"/>
        <w:ind w:left="360"/>
        <w:jc w:val="both"/>
        <w:rPr>
          <w:sz w:val="22"/>
          <w:szCs w:val="22"/>
        </w:rPr>
      </w:pPr>
    </w:p>
    <w:p w14:paraId="7A915A61" w14:textId="6F5F4A27" w:rsidR="00AA4AB8" w:rsidRPr="00085D51" w:rsidRDefault="009564E6" w:rsidP="009564E6">
      <w:pPr>
        <w:pStyle w:val="ListParagraph"/>
        <w:numPr>
          <w:ilvl w:val="0"/>
          <w:numId w:val="18"/>
        </w:numPr>
        <w:jc w:val="both"/>
        <w:rPr>
          <w:sz w:val="22"/>
          <w:szCs w:val="22"/>
        </w:rPr>
      </w:pPr>
      <w:r>
        <w:rPr>
          <w:sz w:val="22"/>
          <w:szCs w:val="22"/>
        </w:rPr>
        <w:t>C</w:t>
      </w:r>
      <w:r w:rsidR="00283214" w:rsidRPr="00085D51">
        <w:rPr>
          <w:sz w:val="22"/>
          <w:szCs w:val="22"/>
        </w:rPr>
        <w:t xml:space="preserve">ontinue to </w:t>
      </w:r>
      <w:r w:rsidR="00A6697B" w:rsidRPr="00085D51">
        <w:rPr>
          <w:sz w:val="22"/>
          <w:szCs w:val="22"/>
        </w:rPr>
        <w:t>use</w:t>
      </w:r>
      <w:r>
        <w:rPr>
          <w:sz w:val="22"/>
          <w:szCs w:val="22"/>
        </w:rPr>
        <w:t xml:space="preserve"> </w:t>
      </w:r>
      <w:r w:rsidR="00B5760C" w:rsidRPr="00085D51">
        <w:rPr>
          <w:sz w:val="22"/>
          <w:szCs w:val="22"/>
        </w:rPr>
        <w:t>th</w:t>
      </w:r>
      <w:r w:rsidR="00085D51">
        <w:rPr>
          <w:sz w:val="22"/>
          <w:szCs w:val="22"/>
        </w:rPr>
        <w:t>e</w:t>
      </w:r>
      <w:r w:rsidR="0003204A" w:rsidRPr="00085D51">
        <w:rPr>
          <w:sz w:val="22"/>
          <w:szCs w:val="22"/>
        </w:rPr>
        <w:t xml:space="preserve"> </w:t>
      </w:r>
      <w:r w:rsidR="00071F76" w:rsidRPr="00085D51">
        <w:rPr>
          <w:sz w:val="22"/>
          <w:szCs w:val="22"/>
        </w:rPr>
        <w:t>established</w:t>
      </w:r>
      <w:r w:rsidR="00085D51">
        <w:rPr>
          <w:sz w:val="22"/>
          <w:szCs w:val="22"/>
        </w:rPr>
        <w:t xml:space="preserve"> EHCP Banded Model and AP Day </w:t>
      </w:r>
      <w:r>
        <w:rPr>
          <w:sz w:val="22"/>
          <w:szCs w:val="22"/>
        </w:rPr>
        <w:t>R</w:t>
      </w:r>
      <w:r w:rsidR="00085D51">
        <w:rPr>
          <w:sz w:val="22"/>
          <w:szCs w:val="22"/>
        </w:rPr>
        <w:t>ate Funding Model t</w:t>
      </w:r>
      <w:r w:rsidR="00C22624" w:rsidRPr="00085D51">
        <w:rPr>
          <w:sz w:val="22"/>
          <w:szCs w:val="22"/>
        </w:rPr>
        <w:t>o allocate top-</w:t>
      </w:r>
      <w:r w:rsidR="00283214" w:rsidRPr="00085D51">
        <w:rPr>
          <w:sz w:val="22"/>
          <w:szCs w:val="22"/>
        </w:rPr>
        <w:t>up funding to settings in Bradford.</w:t>
      </w:r>
      <w:r w:rsidR="00085D51">
        <w:rPr>
          <w:sz w:val="22"/>
          <w:szCs w:val="22"/>
        </w:rPr>
        <w:t xml:space="preserve"> This document discusses the values that are allocated by these models.</w:t>
      </w:r>
    </w:p>
    <w:p w14:paraId="788139D5" w14:textId="77777777" w:rsidR="00085D51" w:rsidRDefault="00085D51" w:rsidP="00085D51">
      <w:pPr>
        <w:pStyle w:val="ListParagraph"/>
        <w:ind w:left="360"/>
        <w:jc w:val="both"/>
        <w:rPr>
          <w:sz w:val="22"/>
          <w:szCs w:val="22"/>
        </w:rPr>
      </w:pPr>
    </w:p>
    <w:p w14:paraId="3BD831DE" w14:textId="3DB4D044" w:rsidR="00EE48AA" w:rsidRPr="002D2BEE" w:rsidRDefault="009564E6" w:rsidP="009564E6">
      <w:pPr>
        <w:pStyle w:val="ListParagraph"/>
        <w:numPr>
          <w:ilvl w:val="0"/>
          <w:numId w:val="11"/>
        </w:numPr>
        <w:jc w:val="both"/>
        <w:rPr>
          <w:sz w:val="22"/>
          <w:szCs w:val="22"/>
        </w:rPr>
      </w:pPr>
      <w:r>
        <w:rPr>
          <w:sz w:val="22"/>
          <w:szCs w:val="22"/>
        </w:rPr>
        <w:t xml:space="preserve">Make a small </w:t>
      </w:r>
      <w:r w:rsidR="005A4FFB" w:rsidRPr="002D2BEE">
        <w:rPr>
          <w:sz w:val="22"/>
          <w:szCs w:val="22"/>
        </w:rPr>
        <w:t>amendment to funding policy</w:t>
      </w:r>
      <w:r w:rsidR="00E25396">
        <w:rPr>
          <w:sz w:val="22"/>
          <w:szCs w:val="22"/>
        </w:rPr>
        <w:t xml:space="preserve"> </w:t>
      </w:r>
      <w:r w:rsidR="005A4FFB" w:rsidRPr="002D2BEE">
        <w:rPr>
          <w:sz w:val="22"/>
          <w:szCs w:val="22"/>
        </w:rPr>
        <w:t xml:space="preserve">regarding the </w:t>
      </w:r>
      <w:r w:rsidR="002D2BEE" w:rsidRPr="002D2BEE">
        <w:rPr>
          <w:sz w:val="22"/>
          <w:szCs w:val="22"/>
        </w:rPr>
        <w:t>transfer of</w:t>
      </w:r>
      <w:r w:rsidR="005A4FFB" w:rsidRPr="002D2BEE">
        <w:rPr>
          <w:sz w:val="22"/>
          <w:szCs w:val="22"/>
        </w:rPr>
        <w:t xml:space="preserve"> EHCP top-up funding for pupils that remain on the roll of a school but who access full time AP medical needs provision that is commissioned by the Authority</w:t>
      </w:r>
      <w:r w:rsidR="00E25396">
        <w:rPr>
          <w:sz w:val="22"/>
          <w:szCs w:val="22"/>
        </w:rPr>
        <w:t>, so that top-up funding better “follows the child”.</w:t>
      </w:r>
    </w:p>
    <w:p w14:paraId="52728981" w14:textId="77777777" w:rsidR="00E8333C" w:rsidRDefault="00E8333C" w:rsidP="00E8333C">
      <w:pPr>
        <w:pStyle w:val="ListParagraph"/>
        <w:ind w:left="360"/>
        <w:jc w:val="both"/>
        <w:rPr>
          <w:sz w:val="22"/>
          <w:szCs w:val="22"/>
        </w:rPr>
      </w:pPr>
    </w:p>
    <w:p w14:paraId="12FA307B" w14:textId="505DE208" w:rsidR="00B31749" w:rsidRPr="0003204A" w:rsidRDefault="00433391" w:rsidP="009564E6">
      <w:pPr>
        <w:pStyle w:val="ListParagraph"/>
        <w:numPr>
          <w:ilvl w:val="0"/>
          <w:numId w:val="11"/>
        </w:numPr>
        <w:jc w:val="both"/>
        <w:rPr>
          <w:sz w:val="22"/>
          <w:szCs w:val="22"/>
        </w:rPr>
      </w:pPr>
      <w:r>
        <w:rPr>
          <w:sz w:val="22"/>
          <w:szCs w:val="22"/>
        </w:rPr>
        <w:lastRenderedPageBreak/>
        <w:t xml:space="preserve">Incrementally </w:t>
      </w:r>
      <w:r w:rsidR="007E5AA6">
        <w:rPr>
          <w:sz w:val="22"/>
          <w:szCs w:val="22"/>
        </w:rPr>
        <w:t>a</w:t>
      </w:r>
      <w:r w:rsidR="00B31749" w:rsidRPr="0003204A">
        <w:rPr>
          <w:sz w:val="22"/>
          <w:szCs w:val="22"/>
        </w:rPr>
        <w:t xml:space="preserve">mend </w:t>
      </w:r>
      <w:r w:rsidR="009564E6">
        <w:rPr>
          <w:sz w:val="22"/>
          <w:szCs w:val="22"/>
        </w:rPr>
        <w:t>the</w:t>
      </w:r>
      <w:r w:rsidR="00B31749" w:rsidRPr="0003204A">
        <w:rPr>
          <w:sz w:val="22"/>
          <w:szCs w:val="22"/>
        </w:rPr>
        <w:t xml:space="preserve"> definition of Notional SEND budgets for mainstream schools and academies. </w:t>
      </w:r>
    </w:p>
    <w:p w14:paraId="23229828" w14:textId="77777777" w:rsidR="00B31749" w:rsidRPr="0003204A" w:rsidRDefault="00B31749" w:rsidP="00B31749">
      <w:pPr>
        <w:pStyle w:val="ListParagraph"/>
        <w:ind w:left="360"/>
        <w:jc w:val="both"/>
        <w:rPr>
          <w:sz w:val="22"/>
          <w:szCs w:val="22"/>
        </w:rPr>
      </w:pPr>
    </w:p>
    <w:p w14:paraId="0133F639" w14:textId="476576CE" w:rsidR="00C33026" w:rsidRPr="00106876" w:rsidRDefault="00C33026" w:rsidP="009564E6">
      <w:pPr>
        <w:pStyle w:val="ListParagraph"/>
        <w:numPr>
          <w:ilvl w:val="0"/>
          <w:numId w:val="11"/>
        </w:numPr>
        <w:jc w:val="both"/>
        <w:rPr>
          <w:sz w:val="22"/>
          <w:szCs w:val="22"/>
        </w:rPr>
      </w:pPr>
      <w:r w:rsidRPr="00106876">
        <w:rPr>
          <w:sz w:val="22"/>
          <w:szCs w:val="22"/>
        </w:rPr>
        <w:t>C</w:t>
      </w:r>
      <w:r w:rsidR="00101394" w:rsidRPr="00106876">
        <w:rPr>
          <w:sz w:val="22"/>
          <w:szCs w:val="22"/>
        </w:rPr>
        <w:t xml:space="preserve">ontinue </w:t>
      </w:r>
      <w:r w:rsidR="009564E6">
        <w:rPr>
          <w:sz w:val="22"/>
          <w:szCs w:val="22"/>
        </w:rPr>
        <w:t>the</w:t>
      </w:r>
      <w:r w:rsidR="00F70BC1" w:rsidRPr="00106876">
        <w:rPr>
          <w:sz w:val="22"/>
          <w:szCs w:val="22"/>
        </w:rPr>
        <w:t xml:space="preserve"> existing</w:t>
      </w:r>
      <w:r w:rsidR="00C14EDE" w:rsidRPr="00106876">
        <w:rPr>
          <w:sz w:val="22"/>
          <w:szCs w:val="22"/>
        </w:rPr>
        <w:t xml:space="preserve"> </w:t>
      </w:r>
      <w:r w:rsidR="007A41E5" w:rsidRPr="00106876">
        <w:rPr>
          <w:sz w:val="22"/>
          <w:szCs w:val="22"/>
        </w:rPr>
        <w:t>SEND Funding Floor mechanism</w:t>
      </w:r>
      <w:r w:rsidR="00433391" w:rsidRPr="00106876">
        <w:rPr>
          <w:sz w:val="22"/>
          <w:szCs w:val="22"/>
        </w:rPr>
        <w:t>,</w:t>
      </w:r>
      <w:r w:rsidR="00EE48AA" w:rsidRPr="00106876">
        <w:rPr>
          <w:sz w:val="22"/>
          <w:szCs w:val="22"/>
        </w:rPr>
        <w:t xml:space="preserve"> </w:t>
      </w:r>
      <w:r w:rsidR="00422704">
        <w:rPr>
          <w:sz w:val="22"/>
          <w:szCs w:val="22"/>
        </w:rPr>
        <w:t xml:space="preserve">for </w:t>
      </w:r>
      <w:r w:rsidR="00AA4AB8" w:rsidRPr="00106876">
        <w:rPr>
          <w:sz w:val="22"/>
          <w:szCs w:val="22"/>
        </w:rPr>
        <w:t>mainstream primary and secondary settings</w:t>
      </w:r>
      <w:r w:rsidR="00433391" w:rsidRPr="00106876">
        <w:rPr>
          <w:sz w:val="22"/>
          <w:szCs w:val="22"/>
        </w:rPr>
        <w:t>,</w:t>
      </w:r>
      <w:r w:rsidR="0079392C" w:rsidRPr="00106876">
        <w:rPr>
          <w:sz w:val="22"/>
          <w:szCs w:val="22"/>
        </w:rPr>
        <w:t xml:space="preserve"> until the end of the 2024/25 academic year but then revise this mechanism from September 2025</w:t>
      </w:r>
      <w:r w:rsidR="00C14EDE" w:rsidRPr="00106876">
        <w:rPr>
          <w:sz w:val="22"/>
          <w:szCs w:val="22"/>
        </w:rPr>
        <w:t>.</w:t>
      </w:r>
      <w:r w:rsidR="00422704">
        <w:rPr>
          <w:sz w:val="22"/>
          <w:szCs w:val="22"/>
        </w:rPr>
        <w:t xml:space="preserve"> </w:t>
      </w:r>
      <w:r w:rsidR="00C350ED" w:rsidRPr="00106876">
        <w:rPr>
          <w:sz w:val="22"/>
          <w:szCs w:val="22"/>
        </w:rPr>
        <w:t>The Authority intends to conduct a</w:t>
      </w:r>
      <w:r w:rsidR="00200773">
        <w:rPr>
          <w:sz w:val="22"/>
          <w:szCs w:val="22"/>
        </w:rPr>
        <w:t>n additional</w:t>
      </w:r>
      <w:r w:rsidR="00C350ED" w:rsidRPr="00106876">
        <w:rPr>
          <w:sz w:val="22"/>
          <w:szCs w:val="22"/>
        </w:rPr>
        <w:t xml:space="preserve"> single matter consultation on the technical details of the new mechanism</w:t>
      </w:r>
      <w:r w:rsidR="00200773">
        <w:rPr>
          <w:sz w:val="22"/>
          <w:szCs w:val="22"/>
        </w:rPr>
        <w:t xml:space="preserve"> in due course</w:t>
      </w:r>
      <w:r w:rsidR="00540871">
        <w:rPr>
          <w:sz w:val="22"/>
          <w:szCs w:val="22"/>
        </w:rPr>
        <w:t xml:space="preserve"> in the new year</w:t>
      </w:r>
      <w:r w:rsidR="00C350ED" w:rsidRPr="00106876">
        <w:rPr>
          <w:sz w:val="22"/>
          <w:szCs w:val="22"/>
        </w:rPr>
        <w:t>.</w:t>
      </w:r>
    </w:p>
    <w:p w14:paraId="4179AB52" w14:textId="77777777" w:rsidR="00B31749" w:rsidRDefault="00B31749" w:rsidP="009D16B4">
      <w:pPr>
        <w:jc w:val="both"/>
        <w:rPr>
          <w:sz w:val="22"/>
          <w:szCs w:val="22"/>
        </w:rPr>
      </w:pPr>
    </w:p>
    <w:p w14:paraId="294225F0" w14:textId="7D520F62" w:rsidR="00F25E2D" w:rsidRDefault="00807385" w:rsidP="00807385">
      <w:pPr>
        <w:jc w:val="both"/>
        <w:rPr>
          <w:sz w:val="22"/>
          <w:szCs w:val="22"/>
        </w:rPr>
      </w:pPr>
      <w:r>
        <w:rPr>
          <w:sz w:val="22"/>
          <w:szCs w:val="22"/>
        </w:rPr>
        <w:t>1.6 F</w:t>
      </w:r>
      <w:r w:rsidRPr="00807385">
        <w:rPr>
          <w:sz w:val="22"/>
          <w:szCs w:val="22"/>
        </w:rPr>
        <w:t>eedback</w:t>
      </w:r>
      <w:r>
        <w:rPr>
          <w:sz w:val="22"/>
          <w:szCs w:val="22"/>
        </w:rPr>
        <w:t xml:space="preserve"> on this document</w:t>
      </w:r>
      <w:r w:rsidRPr="00807385">
        <w:rPr>
          <w:sz w:val="22"/>
          <w:szCs w:val="22"/>
        </w:rPr>
        <w:t xml:space="preserve"> </w:t>
      </w:r>
      <w:r>
        <w:rPr>
          <w:sz w:val="22"/>
          <w:szCs w:val="22"/>
        </w:rPr>
        <w:t>is</w:t>
      </w:r>
      <w:r w:rsidRPr="00807385">
        <w:rPr>
          <w:sz w:val="22"/>
          <w:szCs w:val="22"/>
        </w:rPr>
        <w:t xml:space="preserve"> welcomed. Please address </w:t>
      </w:r>
      <w:r w:rsidR="00E25396">
        <w:rPr>
          <w:sz w:val="22"/>
          <w:szCs w:val="22"/>
        </w:rPr>
        <w:t>questions, comments and feedback</w:t>
      </w:r>
      <w:r w:rsidRPr="00807385">
        <w:rPr>
          <w:sz w:val="22"/>
          <w:szCs w:val="22"/>
        </w:rPr>
        <w:t xml:space="preserve"> to Andrew Redding. </w:t>
      </w:r>
      <w:r w:rsidR="00F25E2D">
        <w:rPr>
          <w:sz w:val="22"/>
          <w:szCs w:val="22"/>
        </w:rPr>
        <w:t>Whilst feedback will be accepted later,</w:t>
      </w:r>
      <w:r w:rsidR="00E25396">
        <w:rPr>
          <w:sz w:val="22"/>
          <w:szCs w:val="22"/>
        </w:rPr>
        <w:t xml:space="preserve"> up to the end of January,</w:t>
      </w:r>
      <w:r w:rsidR="00F25E2D">
        <w:rPr>
          <w:sz w:val="22"/>
          <w:szCs w:val="22"/>
        </w:rPr>
        <w:t xml:space="preserve"> it would be helpful for this to be submitted by</w:t>
      </w:r>
      <w:r w:rsidRPr="00807385">
        <w:rPr>
          <w:sz w:val="22"/>
          <w:szCs w:val="22"/>
        </w:rPr>
        <w:t xml:space="preserve"> </w:t>
      </w:r>
      <w:r w:rsidRPr="00807385">
        <w:rPr>
          <w:b/>
          <w:bCs/>
          <w:sz w:val="22"/>
          <w:szCs w:val="22"/>
        </w:rPr>
        <w:t>Friday 10 January 2025</w:t>
      </w:r>
      <w:r w:rsidR="00F25E2D">
        <w:rPr>
          <w:sz w:val="22"/>
          <w:szCs w:val="22"/>
        </w:rPr>
        <w:t xml:space="preserve"> so that this can be presented to the Schools Forum on 15 January</w:t>
      </w:r>
      <w:r w:rsidRPr="00807385">
        <w:rPr>
          <w:sz w:val="22"/>
          <w:szCs w:val="22"/>
        </w:rPr>
        <w:t>.</w:t>
      </w:r>
    </w:p>
    <w:p w14:paraId="5B60CA6D" w14:textId="0F19DA1A" w:rsidR="00807385" w:rsidRPr="00807385" w:rsidRDefault="00F25E2D" w:rsidP="00807385">
      <w:pPr>
        <w:jc w:val="both"/>
        <w:rPr>
          <w:rStyle w:val="Hyperlink"/>
          <w:color w:val="auto"/>
          <w:sz w:val="22"/>
          <w:szCs w:val="22"/>
          <w:u w:val="none"/>
        </w:rPr>
      </w:pPr>
      <w:hyperlink r:id="rId10" w:history="1">
        <w:r w:rsidRPr="001F203A">
          <w:rPr>
            <w:rStyle w:val="Hyperlink"/>
            <w:sz w:val="22"/>
            <w:szCs w:val="22"/>
          </w:rPr>
          <w:t>andrew.redding@bradford.gov.uk</w:t>
        </w:r>
      </w:hyperlink>
    </w:p>
    <w:p w14:paraId="483C904F" w14:textId="77777777" w:rsidR="00E52CCC" w:rsidRDefault="00E52CCC" w:rsidP="00980344">
      <w:pPr>
        <w:jc w:val="both"/>
        <w:rPr>
          <w:sz w:val="22"/>
          <w:szCs w:val="22"/>
        </w:rPr>
      </w:pPr>
    </w:p>
    <w:p w14:paraId="56791345" w14:textId="77777777" w:rsidR="000E25AE" w:rsidRDefault="000E25AE" w:rsidP="00980344">
      <w:pPr>
        <w:jc w:val="both"/>
        <w:rPr>
          <w:sz w:val="22"/>
          <w:szCs w:val="22"/>
        </w:rPr>
      </w:pPr>
    </w:p>
    <w:p w14:paraId="7DE51F78" w14:textId="77777777" w:rsidR="001B416B" w:rsidRDefault="001B416B" w:rsidP="001B416B">
      <w:pPr>
        <w:jc w:val="both"/>
        <w:rPr>
          <w:sz w:val="22"/>
          <w:szCs w:val="22"/>
        </w:rPr>
      </w:pPr>
      <w:r>
        <w:rPr>
          <w:b/>
          <w:sz w:val="22"/>
          <w:szCs w:val="22"/>
        </w:rPr>
        <w:t>2</w:t>
      </w:r>
      <w:r w:rsidRPr="00924C42">
        <w:rPr>
          <w:b/>
          <w:sz w:val="22"/>
          <w:szCs w:val="22"/>
        </w:rPr>
        <w:t>.</w:t>
      </w:r>
      <w:r w:rsidRPr="00924C42">
        <w:rPr>
          <w:b/>
          <w:sz w:val="22"/>
          <w:szCs w:val="22"/>
        </w:rPr>
        <w:tab/>
      </w:r>
      <w:r w:rsidR="00533131">
        <w:rPr>
          <w:b/>
          <w:sz w:val="22"/>
          <w:szCs w:val="22"/>
        </w:rPr>
        <w:t xml:space="preserve">Background - </w:t>
      </w:r>
      <w:r w:rsidR="00BA0822">
        <w:rPr>
          <w:b/>
          <w:sz w:val="22"/>
          <w:szCs w:val="22"/>
        </w:rPr>
        <w:t>High Needs Block</w:t>
      </w:r>
      <w:r w:rsidR="00132ED6">
        <w:rPr>
          <w:b/>
          <w:sz w:val="22"/>
          <w:szCs w:val="22"/>
        </w:rPr>
        <w:t xml:space="preserve"> and National Funding Formula</w:t>
      </w:r>
      <w:r w:rsidR="000E0510">
        <w:rPr>
          <w:b/>
          <w:sz w:val="22"/>
          <w:szCs w:val="22"/>
        </w:rPr>
        <w:t xml:space="preserve"> </w:t>
      </w:r>
    </w:p>
    <w:p w14:paraId="59F543E4" w14:textId="77777777" w:rsidR="001B416B" w:rsidRPr="001B416B" w:rsidRDefault="001B416B" w:rsidP="001B416B">
      <w:pPr>
        <w:jc w:val="both"/>
        <w:rPr>
          <w:sz w:val="22"/>
          <w:szCs w:val="22"/>
        </w:rPr>
      </w:pPr>
    </w:p>
    <w:p w14:paraId="674CC7A7" w14:textId="4EAB76F2" w:rsidR="00FA4AC5" w:rsidRDefault="00132ED6" w:rsidP="002331A0">
      <w:pPr>
        <w:jc w:val="both"/>
        <w:rPr>
          <w:sz w:val="22"/>
          <w:szCs w:val="22"/>
        </w:rPr>
      </w:pPr>
      <w:r>
        <w:rPr>
          <w:sz w:val="22"/>
          <w:szCs w:val="22"/>
        </w:rPr>
        <w:t>2.</w:t>
      </w:r>
      <w:r w:rsidR="00807385">
        <w:rPr>
          <w:sz w:val="22"/>
          <w:szCs w:val="22"/>
        </w:rPr>
        <w:t>1</w:t>
      </w:r>
      <w:r w:rsidR="009D7DC0">
        <w:rPr>
          <w:sz w:val="22"/>
          <w:szCs w:val="22"/>
        </w:rPr>
        <w:t xml:space="preserve"> The high needs funding system supports provision for </w:t>
      </w:r>
      <w:r w:rsidR="00C050EC">
        <w:rPr>
          <w:sz w:val="22"/>
          <w:szCs w:val="22"/>
        </w:rPr>
        <w:t>children and young people with</w:t>
      </w:r>
      <w:r w:rsidR="00024CCF">
        <w:rPr>
          <w:sz w:val="22"/>
          <w:szCs w:val="22"/>
        </w:rPr>
        <w:t xml:space="preserve"> Special Educational Needs and D</w:t>
      </w:r>
      <w:r w:rsidR="009D7DC0">
        <w:rPr>
          <w:sz w:val="22"/>
          <w:szCs w:val="22"/>
        </w:rPr>
        <w:t>isabilities (SEND)</w:t>
      </w:r>
      <w:r w:rsidR="00A44893">
        <w:rPr>
          <w:sz w:val="22"/>
          <w:szCs w:val="22"/>
        </w:rPr>
        <w:t>,</w:t>
      </w:r>
      <w:r w:rsidR="009D7DC0">
        <w:rPr>
          <w:sz w:val="22"/>
          <w:szCs w:val="22"/>
        </w:rPr>
        <w:t xml:space="preserve"> in line with the Children and Families Act 2014. High </w:t>
      </w:r>
      <w:r w:rsidR="00D361C0">
        <w:rPr>
          <w:sz w:val="22"/>
          <w:szCs w:val="22"/>
        </w:rPr>
        <w:t>N</w:t>
      </w:r>
      <w:r w:rsidR="009D7DC0">
        <w:rPr>
          <w:sz w:val="22"/>
          <w:szCs w:val="22"/>
        </w:rPr>
        <w:t>eeds</w:t>
      </w:r>
      <w:r w:rsidR="00D361C0">
        <w:rPr>
          <w:sz w:val="22"/>
          <w:szCs w:val="22"/>
        </w:rPr>
        <w:t xml:space="preserve"> Block DSG funding is also allocated</w:t>
      </w:r>
      <w:r w:rsidR="009D7DC0">
        <w:rPr>
          <w:sz w:val="22"/>
          <w:szCs w:val="22"/>
        </w:rPr>
        <w:t xml:space="preserve"> to support good quality Alternative Provision for pre-16 pupils who cannot receive education in school</w:t>
      </w:r>
      <w:r w:rsidR="00C050EC">
        <w:rPr>
          <w:sz w:val="22"/>
          <w:szCs w:val="22"/>
        </w:rPr>
        <w:t>s. The Children and F</w:t>
      </w:r>
      <w:r w:rsidR="009D7DC0">
        <w:rPr>
          <w:sz w:val="22"/>
          <w:szCs w:val="22"/>
        </w:rPr>
        <w:t>amilies Act 2014 extended the statutory duties local authorities hold relating to SEND across the 0 to 25 age range.</w:t>
      </w:r>
      <w:r w:rsidR="0042353F">
        <w:rPr>
          <w:sz w:val="22"/>
          <w:szCs w:val="22"/>
        </w:rPr>
        <w:t xml:space="preserve"> Therefore, Bradford Council has a key role in determining the funding that is given to schools</w:t>
      </w:r>
      <w:r w:rsidR="00A44893">
        <w:rPr>
          <w:sz w:val="22"/>
          <w:szCs w:val="22"/>
        </w:rPr>
        <w:t>, academies and</w:t>
      </w:r>
      <w:r w:rsidR="00024CCF">
        <w:rPr>
          <w:sz w:val="22"/>
          <w:szCs w:val="22"/>
        </w:rPr>
        <w:t xml:space="preserve"> </w:t>
      </w:r>
      <w:r w:rsidR="0042353F">
        <w:rPr>
          <w:sz w:val="22"/>
          <w:szCs w:val="22"/>
        </w:rPr>
        <w:t>other providers to meet the needs of chil</w:t>
      </w:r>
      <w:r w:rsidR="00024CCF">
        <w:rPr>
          <w:sz w:val="22"/>
          <w:szCs w:val="22"/>
        </w:rPr>
        <w:t xml:space="preserve">dren and young people with SEND. </w:t>
      </w:r>
      <w:r w:rsidR="0042353F">
        <w:rPr>
          <w:sz w:val="22"/>
          <w:szCs w:val="22"/>
        </w:rPr>
        <w:t>Schools</w:t>
      </w:r>
      <w:r w:rsidR="00A44893">
        <w:rPr>
          <w:sz w:val="22"/>
          <w:szCs w:val="22"/>
        </w:rPr>
        <w:t>, academies</w:t>
      </w:r>
      <w:r w:rsidR="0042353F">
        <w:rPr>
          <w:sz w:val="22"/>
          <w:szCs w:val="22"/>
        </w:rPr>
        <w:t xml:space="preserve"> and providers have duties under the Act, in particular a duty to co-operate with their</w:t>
      </w:r>
      <w:r w:rsidR="00F565E9">
        <w:rPr>
          <w:sz w:val="22"/>
          <w:szCs w:val="22"/>
        </w:rPr>
        <w:t xml:space="preserve"> local </w:t>
      </w:r>
      <w:r w:rsidR="0042353F">
        <w:rPr>
          <w:sz w:val="22"/>
          <w:szCs w:val="22"/>
        </w:rPr>
        <w:t>authorities on arrangements for children and young people with SEND</w:t>
      </w:r>
      <w:r w:rsidR="00A14442">
        <w:rPr>
          <w:sz w:val="22"/>
          <w:szCs w:val="22"/>
        </w:rPr>
        <w:t>.</w:t>
      </w:r>
    </w:p>
    <w:p w14:paraId="5EE7790D" w14:textId="77777777" w:rsidR="00807385" w:rsidRDefault="00807385" w:rsidP="00FA4AC5">
      <w:pPr>
        <w:jc w:val="both"/>
        <w:rPr>
          <w:sz w:val="22"/>
          <w:szCs w:val="22"/>
        </w:rPr>
      </w:pPr>
    </w:p>
    <w:p w14:paraId="5F159481" w14:textId="7BEC8A79" w:rsidR="00520F8F" w:rsidRDefault="00064345" w:rsidP="00FA4AC5">
      <w:pPr>
        <w:jc w:val="both"/>
        <w:rPr>
          <w:sz w:val="22"/>
          <w:szCs w:val="22"/>
        </w:rPr>
      </w:pPr>
      <w:r w:rsidRPr="00064345">
        <w:rPr>
          <w:sz w:val="22"/>
          <w:szCs w:val="22"/>
        </w:rPr>
        <w:t>2.</w:t>
      </w:r>
      <w:r w:rsidR="00301D99">
        <w:rPr>
          <w:sz w:val="22"/>
          <w:szCs w:val="22"/>
        </w:rPr>
        <w:t>2</w:t>
      </w:r>
      <w:r w:rsidRPr="00064345">
        <w:rPr>
          <w:sz w:val="22"/>
          <w:szCs w:val="22"/>
        </w:rPr>
        <w:t xml:space="preserve"> </w:t>
      </w:r>
      <w:r w:rsidR="00283214" w:rsidRPr="00831990">
        <w:rPr>
          <w:sz w:val="22"/>
          <w:szCs w:val="22"/>
        </w:rPr>
        <w:t>On current estimates, our High Needs Block allocation in 202</w:t>
      </w:r>
      <w:r w:rsidR="00C350ED" w:rsidRPr="00831990">
        <w:rPr>
          <w:sz w:val="22"/>
          <w:szCs w:val="22"/>
        </w:rPr>
        <w:t>5</w:t>
      </w:r>
      <w:r w:rsidR="00283214" w:rsidRPr="00831990">
        <w:rPr>
          <w:sz w:val="22"/>
          <w:szCs w:val="22"/>
        </w:rPr>
        <w:t>/2</w:t>
      </w:r>
      <w:r w:rsidR="00C350ED" w:rsidRPr="00831990">
        <w:rPr>
          <w:sz w:val="22"/>
          <w:szCs w:val="22"/>
        </w:rPr>
        <w:t>6</w:t>
      </w:r>
      <w:r w:rsidR="00283214" w:rsidRPr="00831990">
        <w:rPr>
          <w:sz w:val="22"/>
          <w:szCs w:val="22"/>
        </w:rPr>
        <w:t xml:space="preserve"> </w:t>
      </w:r>
      <w:r w:rsidR="009C5CE8">
        <w:rPr>
          <w:sz w:val="22"/>
          <w:szCs w:val="22"/>
        </w:rPr>
        <w:t>is expected to be</w:t>
      </w:r>
      <w:r w:rsidR="00283214" w:rsidRPr="00831990">
        <w:rPr>
          <w:sz w:val="22"/>
          <w:szCs w:val="22"/>
        </w:rPr>
        <w:t xml:space="preserve"> £1</w:t>
      </w:r>
      <w:r w:rsidR="00C350ED" w:rsidRPr="00831990">
        <w:rPr>
          <w:sz w:val="22"/>
          <w:szCs w:val="22"/>
        </w:rPr>
        <w:t>32</w:t>
      </w:r>
      <w:r w:rsidR="00283214" w:rsidRPr="00831990">
        <w:rPr>
          <w:sz w:val="22"/>
          <w:szCs w:val="22"/>
        </w:rPr>
        <w:t>.</w:t>
      </w:r>
      <w:r w:rsidR="00C350ED" w:rsidRPr="00831990">
        <w:rPr>
          <w:sz w:val="22"/>
          <w:szCs w:val="22"/>
        </w:rPr>
        <w:t>7</w:t>
      </w:r>
      <w:r w:rsidR="00283214" w:rsidRPr="00831990">
        <w:rPr>
          <w:sz w:val="22"/>
          <w:szCs w:val="22"/>
        </w:rPr>
        <w:t xml:space="preserve">m, </w:t>
      </w:r>
      <w:r w:rsidR="002331A0" w:rsidRPr="00831990">
        <w:rPr>
          <w:sz w:val="22"/>
          <w:szCs w:val="22"/>
        </w:rPr>
        <w:t>which is £</w:t>
      </w:r>
      <w:r w:rsidR="00FA4AC5" w:rsidRPr="00831990">
        <w:rPr>
          <w:sz w:val="22"/>
          <w:szCs w:val="22"/>
        </w:rPr>
        <w:t>10.7</w:t>
      </w:r>
      <w:r w:rsidR="002331A0" w:rsidRPr="00831990">
        <w:rPr>
          <w:sz w:val="22"/>
          <w:szCs w:val="22"/>
        </w:rPr>
        <w:t>m higher than received in 202</w:t>
      </w:r>
      <w:r w:rsidR="00FA4AC5" w:rsidRPr="00831990">
        <w:rPr>
          <w:sz w:val="22"/>
          <w:szCs w:val="22"/>
        </w:rPr>
        <w:t>4</w:t>
      </w:r>
      <w:r w:rsidR="002331A0" w:rsidRPr="00831990">
        <w:rPr>
          <w:sz w:val="22"/>
          <w:szCs w:val="22"/>
        </w:rPr>
        <w:t>/2</w:t>
      </w:r>
      <w:r w:rsidR="00FA4AC5" w:rsidRPr="00831990">
        <w:rPr>
          <w:sz w:val="22"/>
          <w:szCs w:val="22"/>
        </w:rPr>
        <w:t>5</w:t>
      </w:r>
      <w:r w:rsidR="002331A0" w:rsidRPr="00831990">
        <w:rPr>
          <w:sz w:val="22"/>
          <w:szCs w:val="22"/>
        </w:rPr>
        <w:t xml:space="preserve">. This represents an increase of </w:t>
      </w:r>
      <w:r w:rsidR="00FA4AC5" w:rsidRPr="00831990">
        <w:rPr>
          <w:sz w:val="22"/>
          <w:szCs w:val="22"/>
        </w:rPr>
        <w:t>8.7</w:t>
      </w:r>
      <w:r w:rsidR="002331A0" w:rsidRPr="00831990">
        <w:rPr>
          <w:sz w:val="22"/>
          <w:szCs w:val="22"/>
        </w:rPr>
        <w:t>% in cash</w:t>
      </w:r>
      <w:r w:rsidR="00FA4AC5" w:rsidRPr="00831990">
        <w:rPr>
          <w:sz w:val="22"/>
          <w:szCs w:val="22"/>
        </w:rPr>
        <w:t xml:space="preserve"> terms. The</w:t>
      </w:r>
      <w:r w:rsidRPr="00831990">
        <w:rPr>
          <w:sz w:val="22"/>
          <w:szCs w:val="22"/>
        </w:rPr>
        <w:t xml:space="preserve"> annual </w:t>
      </w:r>
      <w:r w:rsidR="00C22624" w:rsidRPr="00831990">
        <w:rPr>
          <w:sz w:val="22"/>
          <w:szCs w:val="22"/>
        </w:rPr>
        <w:t>growth</w:t>
      </w:r>
      <w:r w:rsidRPr="00831990">
        <w:rPr>
          <w:sz w:val="22"/>
          <w:szCs w:val="22"/>
        </w:rPr>
        <w:t xml:space="preserve"> in High Needs Block funding is </w:t>
      </w:r>
      <w:r w:rsidR="009C5CE8">
        <w:rPr>
          <w:sz w:val="22"/>
          <w:szCs w:val="22"/>
        </w:rPr>
        <w:t xml:space="preserve">typically </w:t>
      </w:r>
      <w:r w:rsidRPr="00831990">
        <w:rPr>
          <w:sz w:val="22"/>
          <w:szCs w:val="22"/>
        </w:rPr>
        <w:t>allocated across</w:t>
      </w:r>
      <w:r w:rsidR="00466C62" w:rsidRPr="00831990">
        <w:rPr>
          <w:sz w:val="22"/>
          <w:szCs w:val="22"/>
        </w:rPr>
        <w:t xml:space="preserve"> four</w:t>
      </w:r>
      <w:r w:rsidR="00C22624" w:rsidRPr="00831990">
        <w:rPr>
          <w:sz w:val="22"/>
          <w:szCs w:val="22"/>
        </w:rPr>
        <w:t xml:space="preserve"> main pressures, a) growth in the cost of provision, b) growth in the number of EHCPs and in the needs of pupils with EHCPs reflected in their placement costs, c) continued expansion of </w:t>
      </w:r>
      <w:r w:rsidR="009C5CE8">
        <w:rPr>
          <w:sz w:val="22"/>
          <w:szCs w:val="22"/>
        </w:rPr>
        <w:t xml:space="preserve">local </w:t>
      </w:r>
      <w:r w:rsidR="00C22624" w:rsidRPr="00831990">
        <w:rPr>
          <w:sz w:val="22"/>
          <w:szCs w:val="22"/>
        </w:rPr>
        <w:t xml:space="preserve">high needs </w:t>
      </w:r>
      <w:r w:rsidR="006256DB" w:rsidRPr="00831990">
        <w:rPr>
          <w:sz w:val="22"/>
          <w:szCs w:val="22"/>
        </w:rPr>
        <w:t xml:space="preserve">specialist </w:t>
      </w:r>
      <w:r w:rsidR="00C22624" w:rsidRPr="00831990">
        <w:rPr>
          <w:sz w:val="22"/>
          <w:szCs w:val="22"/>
        </w:rPr>
        <w:t>places capacity</w:t>
      </w:r>
      <w:r w:rsidR="00466C62" w:rsidRPr="00831990">
        <w:rPr>
          <w:sz w:val="22"/>
          <w:szCs w:val="22"/>
        </w:rPr>
        <w:t>, and d)</w:t>
      </w:r>
      <w:r w:rsidR="00C22624" w:rsidRPr="00831990">
        <w:rPr>
          <w:sz w:val="22"/>
          <w:szCs w:val="22"/>
        </w:rPr>
        <w:t xml:space="preserve"> central support SEND services capacity in response to increased demand.</w:t>
      </w:r>
    </w:p>
    <w:p w14:paraId="3F6BAEDB" w14:textId="77777777" w:rsidR="00520F8F" w:rsidRDefault="00520F8F" w:rsidP="00FA4AC5">
      <w:pPr>
        <w:jc w:val="both"/>
        <w:rPr>
          <w:sz w:val="22"/>
          <w:szCs w:val="22"/>
        </w:rPr>
      </w:pPr>
    </w:p>
    <w:p w14:paraId="1066257C" w14:textId="610CAACA" w:rsidR="00520F8F" w:rsidRPr="00831990" w:rsidRDefault="00520F8F" w:rsidP="00FA4AC5">
      <w:pPr>
        <w:jc w:val="both"/>
        <w:rPr>
          <w:sz w:val="22"/>
          <w:szCs w:val="22"/>
        </w:rPr>
      </w:pPr>
      <w:r w:rsidRPr="00831990">
        <w:rPr>
          <w:sz w:val="22"/>
          <w:szCs w:val="22"/>
        </w:rPr>
        <w:t>2.</w:t>
      </w:r>
      <w:r w:rsidR="00301D99">
        <w:rPr>
          <w:sz w:val="22"/>
          <w:szCs w:val="22"/>
        </w:rPr>
        <w:t>3</w:t>
      </w:r>
      <w:r w:rsidRPr="00831990">
        <w:rPr>
          <w:sz w:val="22"/>
          <w:szCs w:val="22"/>
        </w:rPr>
        <w:t xml:space="preserve"> The Authority’s High Needs Block is forecasted to overspend by £</w:t>
      </w:r>
      <w:r w:rsidR="00207C47" w:rsidRPr="00831990">
        <w:rPr>
          <w:sz w:val="22"/>
          <w:szCs w:val="22"/>
        </w:rPr>
        <w:t>19m</w:t>
      </w:r>
      <w:r w:rsidRPr="00831990">
        <w:rPr>
          <w:sz w:val="22"/>
          <w:szCs w:val="22"/>
        </w:rPr>
        <w:t xml:space="preserve"> in 2024/25 and, despite the increase in funding, is forecasted to overspend by </w:t>
      </w:r>
      <w:r w:rsidR="00207C47" w:rsidRPr="00831990">
        <w:rPr>
          <w:sz w:val="22"/>
          <w:szCs w:val="22"/>
        </w:rPr>
        <w:t xml:space="preserve">c. </w:t>
      </w:r>
      <w:r w:rsidRPr="00831990">
        <w:rPr>
          <w:sz w:val="22"/>
          <w:szCs w:val="22"/>
        </w:rPr>
        <w:t>£</w:t>
      </w:r>
      <w:r w:rsidR="00207C47" w:rsidRPr="00831990">
        <w:rPr>
          <w:sz w:val="22"/>
          <w:szCs w:val="22"/>
        </w:rPr>
        <w:t>30m</w:t>
      </w:r>
      <w:r w:rsidRPr="00831990">
        <w:rPr>
          <w:sz w:val="22"/>
          <w:szCs w:val="22"/>
        </w:rPr>
        <w:t xml:space="preserve"> in 2025/26. It is currently estimated that High Needs Block overspending will put Bradford’s DSG account in deficit by c. £12m at the end of 2025/26, with this deficit increasing to £52m at the end of 2026/27, already inclusive of a number of mitigations that have been identified. These forecasts are based on estimates, and there will be movement in them, but the sizes of the overspends are very significant. The cause is growth in spending in response to the significant and </w:t>
      </w:r>
      <w:r w:rsidR="009C5CE8">
        <w:rPr>
          <w:sz w:val="22"/>
          <w:szCs w:val="22"/>
        </w:rPr>
        <w:t xml:space="preserve">expected </w:t>
      </w:r>
      <w:r w:rsidRPr="00831990">
        <w:rPr>
          <w:sz w:val="22"/>
          <w:szCs w:val="22"/>
        </w:rPr>
        <w:t>continuing increases in the numbers of EHCPs and other demand-led pressures.</w:t>
      </w:r>
    </w:p>
    <w:p w14:paraId="3A8119E0" w14:textId="77777777" w:rsidR="00FA4AC5" w:rsidRDefault="00FA4AC5" w:rsidP="009D7DC0">
      <w:pPr>
        <w:jc w:val="both"/>
        <w:rPr>
          <w:sz w:val="22"/>
          <w:szCs w:val="22"/>
        </w:rPr>
      </w:pPr>
    </w:p>
    <w:p w14:paraId="30D0EC28" w14:textId="6AEE1E60" w:rsidR="009D7DC0" w:rsidRPr="00024CCF" w:rsidRDefault="006256DB" w:rsidP="009D7DC0">
      <w:pPr>
        <w:jc w:val="both"/>
        <w:rPr>
          <w:sz w:val="22"/>
          <w:szCs w:val="22"/>
        </w:rPr>
      </w:pPr>
      <w:r w:rsidRPr="00831990">
        <w:rPr>
          <w:sz w:val="22"/>
          <w:szCs w:val="22"/>
        </w:rPr>
        <w:t>2.</w:t>
      </w:r>
      <w:r w:rsidR="00301D99">
        <w:rPr>
          <w:sz w:val="22"/>
          <w:szCs w:val="22"/>
        </w:rPr>
        <w:t>4</w:t>
      </w:r>
      <w:r w:rsidR="009E65DA" w:rsidRPr="00831990">
        <w:rPr>
          <w:sz w:val="22"/>
          <w:szCs w:val="22"/>
        </w:rPr>
        <w:t xml:space="preserve"> </w:t>
      </w:r>
      <w:r w:rsidR="00064345" w:rsidRPr="00831990">
        <w:rPr>
          <w:sz w:val="22"/>
          <w:szCs w:val="22"/>
        </w:rPr>
        <w:t>Of the £</w:t>
      </w:r>
      <w:r w:rsidR="00454210" w:rsidRPr="00831990">
        <w:rPr>
          <w:sz w:val="22"/>
          <w:szCs w:val="22"/>
        </w:rPr>
        <w:t>1</w:t>
      </w:r>
      <w:r w:rsidR="00FA4AC5" w:rsidRPr="00831990">
        <w:rPr>
          <w:sz w:val="22"/>
          <w:szCs w:val="22"/>
        </w:rPr>
        <w:t>3</w:t>
      </w:r>
      <w:r w:rsidR="00454210" w:rsidRPr="00831990">
        <w:rPr>
          <w:sz w:val="22"/>
          <w:szCs w:val="22"/>
        </w:rPr>
        <w:t>2</w:t>
      </w:r>
      <w:r w:rsidR="00064345" w:rsidRPr="00831990">
        <w:rPr>
          <w:sz w:val="22"/>
          <w:szCs w:val="22"/>
        </w:rPr>
        <w:t>.</w:t>
      </w:r>
      <w:r w:rsidR="00FA4AC5" w:rsidRPr="00831990">
        <w:rPr>
          <w:sz w:val="22"/>
          <w:szCs w:val="22"/>
        </w:rPr>
        <w:t>7</w:t>
      </w:r>
      <w:r w:rsidR="00064345" w:rsidRPr="00831990">
        <w:rPr>
          <w:sz w:val="22"/>
          <w:szCs w:val="22"/>
        </w:rPr>
        <w:t xml:space="preserve">m of High Needs Block funding </w:t>
      </w:r>
      <w:r w:rsidRPr="00831990">
        <w:rPr>
          <w:sz w:val="22"/>
          <w:szCs w:val="22"/>
        </w:rPr>
        <w:t xml:space="preserve">that </w:t>
      </w:r>
      <w:r w:rsidR="00064345" w:rsidRPr="00831990">
        <w:rPr>
          <w:sz w:val="22"/>
          <w:szCs w:val="22"/>
        </w:rPr>
        <w:t>w</w:t>
      </w:r>
      <w:r w:rsidR="00406B20" w:rsidRPr="00831990">
        <w:rPr>
          <w:sz w:val="22"/>
          <w:szCs w:val="22"/>
        </w:rPr>
        <w:t>e</w:t>
      </w:r>
      <w:r w:rsidR="00024CCF" w:rsidRPr="00831990">
        <w:rPr>
          <w:sz w:val="22"/>
          <w:szCs w:val="22"/>
        </w:rPr>
        <w:t xml:space="preserve"> </w:t>
      </w:r>
      <w:r w:rsidRPr="00831990">
        <w:rPr>
          <w:sz w:val="22"/>
          <w:szCs w:val="22"/>
        </w:rPr>
        <w:t>estimate</w:t>
      </w:r>
      <w:r w:rsidR="00406B20" w:rsidRPr="00831990">
        <w:rPr>
          <w:sz w:val="22"/>
          <w:szCs w:val="22"/>
        </w:rPr>
        <w:t xml:space="preserve"> we will </w:t>
      </w:r>
      <w:r w:rsidR="00081239" w:rsidRPr="00831990">
        <w:rPr>
          <w:sz w:val="22"/>
          <w:szCs w:val="22"/>
        </w:rPr>
        <w:t>receive</w:t>
      </w:r>
      <w:r w:rsidR="005657A2" w:rsidRPr="00831990">
        <w:rPr>
          <w:sz w:val="22"/>
          <w:szCs w:val="22"/>
        </w:rPr>
        <w:t xml:space="preserve"> in</w:t>
      </w:r>
      <w:r w:rsidR="00665D6A" w:rsidRPr="00831990">
        <w:rPr>
          <w:sz w:val="22"/>
          <w:szCs w:val="22"/>
        </w:rPr>
        <w:t xml:space="preserve"> 202</w:t>
      </w:r>
      <w:r w:rsidR="00FA4AC5" w:rsidRPr="00831990">
        <w:rPr>
          <w:sz w:val="22"/>
          <w:szCs w:val="22"/>
        </w:rPr>
        <w:t>5</w:t>
      </w:r>
      <w:r w:rsidR="00665D6A" w:rsidRPr="00831990">
        <w:rPr>
          <w:sz w:val="22"/>
          <w:szCs w:val="22"/>
        </w:rPr>
        <w:t>/2</w:t>
      </w:r>
      <w:r w:rsidR="00FA4AC5" w:rsidRPr="00831990">
        <w:rPr>
          <w:sz w:val="22"/>
          <w:szCs w:val="22"/>
        </w:rPr>
        <w:t>6</w:t>
      </w:r>
      <w:r w:rsidR="00064345" w:rsidRPr="00831990">
        <w:rPr>
          <w:sz w:val="22"/>
          <w:szCs w:val="22"/>
        </w:rPr>
        <w:t>,</w:t>
      </w:r>
      <w:r w:rsidR="00080C6E" w:rsidRPr="00831990">
        <w:rPr>
          <w:sz w:val="22"/>
          <w:szCs w:val="22"/>
        </w:rPr>
        <w:t xml:space="preserve"> </w:t>
      </w:r>
      <w:r w:rsidR="00665D6A" w:rsidRPr="00831990">
        <w:rPr>
          <w:sz w:val="22"/>
          <w:szCs w:val="22"/>
        </w:rPr>
        <w:t>93</w:t>
      </w:r>
      <w:r w:rsidR="00AC5C2B" w:rsidRPr="00831990">
        <w:rPr>
          <w:sz w:val="22"/>
          <w:szCs w:val="22"/>
        </w:rPr>
        <w:t>%</w:t>
      </w:r>
      <w:r w:rsidR="00812ACC" w:rsidRPr="00831990">
        <w:rPr>
          <w:sz w:val="22"/>
          <w:szCs w:val="22"/>
        </w:rPr>
        <w:t xml:space="preserve"> of this</w:t>
      </w:r>
      <w:r w:rsidR="009E65DA" w:rsidRPr="00831990">
        <w:rPr>
          <w:sz w:val="22"/>
          <w:szCs w:val="22"/>
        </w:rPr>
        <w:t xml:space="preserve"> is</w:t>
      </w:r>
      <w:r w:rsidR="003C5C82" w:rsidRPr="00831990">
        <w:rPr>
          <w:sz w:val="22"/>
          <w:szCs w:val="22"/>
        </w:rPr>
        <w:t xml:space="preserve"> estimated</w:t>
      </w:r>
      <w:r w:rsidR="00081239" w:rsidRPr="00831990">
        <w:rPr>
          <w:sz w:val="22"/>
          <w:szCs w:val="22"/>
        </w:rPr>
        <w:t xml:space="preserve"> to be</w:t>
      </w:r>
      <w:r w:rsidR="00FE3794" w:rsidRPr="00831990">
        <w:rPr>
          <w:sz w:val="22"/>
          <w:szCs w:val="22"/>
        </w:rPr>
        <w:t xml:space="preserve"> </w:t>
      </w:r>
      <w:r w:rsidR="00A15080" w:rsidRPr="00831990">
        <w:rPr>
          <w:sz w:val="22"/>
          <w:szCs w:val="22"/>
        </w:rPr>
        <w:t>delegated or devolved</w:t>
      </w:r>
      <w:r w:rsidR="00FE3794" w:rsidRPr="00831990">
        <w:rPr>
          <w:sz w:val="22"/>
          <w:szCs w:val="22"/>
        </w:rPr>
        <w:t xml:space="preserve"> </w:t>
      </w:r>
      <w:r w:rsidR="00FE3794" w:rsidRPr="00024CCF">
        <w:rPr>
          <w:sz w:val="22"/>
          <w:szCs w:val="22"/>
        </w:rPr>
        <w:t>to support the following:</w:t>
      </w:r>
    </w:p>
    <w:p w14:paraId="5A0078B8" w14:textId="77777777" w:rsidR="00262D2F" w:rsidRDefault="00262D2F" w:rsidP="009D7DC0">
      <w:pPr>
        <w:jc w:val="both"/>
        <w:rPr>
          <w:sz w:val="22"/>
          <w:szCs w:val="22"/>
        </w:rPr>
      </w:pPr>
    </w:p>
    <w:p w14:paraId="5F2421E7" w14:textId="77777777" w:rsidR="009D7DC0" w:rsidRDefault="009D7DC0" w:rsidP="009D7DC0">
      <w:pPr>
        <w:numPr>
          <w:ilvl w:val="0"/>
          <w:numId w:val="1"/>
        </w:numPr>
        <w:jc w:val="both"/>
        <w:rPr>
          <w:sz w:val="22"/>
          <w:szCs w:val="22"/>
        </w:rPr>
      </w:pPr>
      <w:r>
        <w:rPr>
          <w:sz w:val="22"/>
          <w:szCs w:val="22"/>
        </w:rPr>
        <w:t>Children</w:t>
      </w:r>
      <w:r w:rsidR="00FE3794">
        <w:rPr>
          <w:sz w:val="22"/>
          <w:szCs w:val="22"/>
        </w:rPr>
        <w:t xml:space="preserve"> and young people with Education Health and Care Plans (EHCPs) ed</w:t>
      </w:r>
      <w:r w:rsidR="00024CCF">
        <w:rPr>
          <w:sz w:val="22"/>
          <w:szCs w:val="22"/>
        </w:rPr>
        <w:t xml:space="preserve">ucated in mainstream schools and </w:t>
      </w:r>
      <w:r w:rsidR="00FE3794">
        <w:rPr>
          <w:sz w:val="22"/>
          <w:szCs w:val="22"/>
        </w:rPr>
        <w:t>academies.</w:t>
      </w:r>
    </w:p>
    <w:p w14:paraId="08358CD0" w14:textId="77777777" w:rsidR="0063186D" w:rsidRDefault="0063186D" w:rsidP="0063186D">
      <w:pPr>
        <w:ind w:left="360"/>
        <w:jc w:val="both"/>
        <w:rPr>
          <w:sz w:val="22"/>
          <w:szCs w:val="22"/>
        </w:rPr>
      </w:pPr>
    </w:p>
    <w:p w14:paraId="0967BEA3" w14:textId="77777777" w:rsidR="009D7DC0" w:rsidRDefault="005A0065" w:rsidP="009D7DC0">
      <w:pPr>
        <w:numPr>
          <w:ilvl w:val="0"/>
          <w:numId w:val="1"/>
        </w:numPr>
        <w:jc w:val="both"/>
        <w:rPr>
          <w:sz w:val="22"/>
          <w:szCs w:val="22"/>
        </w:rPr>
      </w:pPr>
      <w:r>
        <w:rPr>
          <w:sz w:val="22"/>
          <w:szCs w:val="22"/>
        </w:rPr>
        <w:t>Maintained S</w:t>
      </w:r>
      <w:r w:rsidR="004B6F04">
        <w:rPr>
          <w:sz w:val="22"/>
          <w:szCs w:val="22"/>
        </w:rPr>
        <w:t>pecial S</w:t>
      </w:r>
      <w:r w:rsidR="009D7DC0">
        <w:rPr>
          <w:sz w:val="22"/>
          <w:szCs w:val="22"/>
        </w:rPr>
        <w:t>chools</w:t>
      </w:r>
      <w:r w:rsidR="008A434C">
        <w:rPr>
          <w:sz w:val="22"/>
          <w:szCs w:val="22"/>
        </w:rPr>
        <w:t xml:space="preserve"> and</w:t>
      </w:r>
      <w:r w:rsidR="009D7DC0">
        <w:rPr>
          <w:sz w:val="22"/>
          <w:szCs w:val="22"/>
        </w:rPr>
        <w:t xml:space="preserve"> </w:t>
      </w:r>
      <w:r w:rsidR="00FE3794">
        <w:rPr>
          <w:sz w:val="22"/>
          <w:szCs w:val="22"/>
        </w:rPr>
        <w:t xml:space="preserve">Special </w:t>
      </w:r>
      <w:r>
        <w:rPr>
          <w:sz w:val="22"/>
          <w:szCs w:val="22"/>
        </w:rPr>
        <w:t>School A</w:t>
      </w:r>
      <w:r w:rsidR="008A434C">
        <w:rPr>
          <w:sz w:val="22"/>
          <w:szCs w:val="22"/>
        </w:rPr>
        <w:t>cademies.</w:t>
      </w:r>
    </w:p>
    <w:p w14:paraId="6C093A18" w14:textId="77777777" w:rsidR="0063186D" w:rsidRDefault="0063186D" w:rsidP="0063186D">
      <w:pPr>
        <w:jc w:val="both"/>
        <w:rPr>
          <w:sz w:val="22"/>
          <w:szCs w:val="22"/>
        </w:rPr>
      </w:pPr>
    </w:p>
    <w:p w14:paraId="3906A47A" w14:textId="77777777" w:rsidR="00FE3794" w:rsidRDefault="005A0065" w:rsidP="00FE3794">
      <w:pPr>
        <w:numPr>
          <w:ilvl w:val="0"/>
          <w:numId w:val="1"/>
        </w:numPr>
        <w:jc w:val="both"/>
        <w:rPr>
          <w:sz w:val="22"/>
          <w:szCs w:val="22"/>
        </w:rPr>
      </w:pPr>
      <w:r>
        <w:rPr>
          <w:sz w:val="22"/>
          <w:szCs w:val="22"/>
        </w:rPr>
        <w:t>Enhanced Specialist Provisions (resourced provisions)</w:t>
      </w:r>
      <w:r w:rsidR="00FE3794">
        <w:rPr>
          <w:sz w:val="22"/>
          <w:szCs w:val="22"/>
        </w:rPr>
        <w:t xml:space="preserve"> attached to maintained nursery schools.</w:t>
      </w:r>
    </w:p>
    <w:p w14:paraId="4EE0BC9A" w14:textId="77777777" w:rsidR="0063186D" w:rsidRPr="00FE3794" w:rsidRDefault="0063186D" w:rsidP="0063186D">
      <w:pPr>
        <w:jc w:val="both"/>
        <w:rPr>
          <w:sz w:val="22"/>
          <w:szCs w:val="22"/>
        </w:rPr>
      </w:pPr>
    </w:p>
    <w:p w14:paraId="1EB04972" w14:textId="77777777" w:rsidR="009D7DC0" w:rsidRDefault="005A0065" w:rsidP="009D7DC0">
      <w:pPr>
        <w:numPr>
          <w:ilvl w:val="0"/>
          <w:numId w:val="1"/>
        </w:numPr>
        <w:jc w:val="both"/>
        <w:rPr>
          <w:sz w:val="22"/>
          <w:szCs w:val="22"/>
        </w:rPr>
      </w:pPr>
      <w:r>
        <w:rPr>
          <w:sz w:val="22"/>
          <w:szCs w:val="22"/>
        </w:rPr>
        <w:t xml:space="preserve">School-led resourced provisions within </w:t>
      </w:r>
      <w:r w:rsidR="009D7DC0">
        <w:rPr>
          <w:sz w:val="22"/>
          <w:szCs w:val="22"/>
        </w:rPr>
        <w:t xml:space="preserve">mainstream </w:t>
      </w:r>
      <w:r w:rsidR="00FE3794">
        <w:rPr>
          <w:sz w:val="22"/>
          <w:szCs w:val="22"/>
        </w:rPr>
        <w:t xml:space="preserve">primary and secondary </w:t>
      </w:r>
      <w:r w:rsidR="00024CCF">
        <w:rPr>
          <w:sz w:val="22"/>
          <w:szCs w:val="22"/>
        </w:rPr>
        <w:t>schools and</w:t>
      </w:r>
      <w:r w:rsidR="009D7DC0">
        <w:rPr>
          <w:sz w:val="22"/>
          <w:szCs w:val="22"/>
        </w:rPr>
        <w:t xml:space="preserve"> academies</w:t>
      </w:r>
      <w:r w:rsidR="004B6F04">
        <w:rPr>
          <w:sz w:val="22"/>
          <w:szCs w:val="22"/>
        </w:rPr>
        <w:t>.</w:t>
      </w:r>
    </w:p>
    <w:p w14:paraId="6BFE6AA9" w14:textId="77777777" w:rsidR="0063186D" w:rsidRDefault="0063186D" w:rsidP="0063186D">
      <w:pPr>
        <w:jc w:val="both"/>
        <w:rPr>
          <w:sz w:val="22"/>
          <w:szCs w:val="22"/>
        </w:rPr>
      </w:pPr>
    </w:p>
    <w:p w14:paraId="1A4EC3D7" w14:textId="3CB5294B" w:rsidR="005A0065" w:rsidRDefault="005A0065" w:rsidP="009D7DC0">
      <w:pPr>
        <w:numPr>
          <w:ilvl w:val="0"/>
          <w:numId w:val="1"/>
        </w:numPr>
        <w:jc w:val="both"/>
        <w:rPr>
          <w:sz w:val="22"/>
          <w:szCs w:val="22"/>
        </w:rPr>
      </w:pPr>
      <w:r>
        <w:rPr>
          <w:sz w:val="22"/>
          <w:szCs w:val="22"/>
        </w:rPr>
        <w:t>Local Authority-led resourced provisions within mainstream sch</w:t>
      </w:r>
      <w:r w:rsidR="00024CCF">
        <w:rPr>
          <w:sz w:val="22"/>
          <w:szCs w:val="22"/>
        </w:rPr>
        <w:t>ools and academies</w:t>
      </w:r>
      <w:r w:rsidR="004B6F04">
        <w:rPr>
          <w:sz w:val="22"/>
          <w:szCs w:val="22"/>
        </w:rPr>
        <w:t>.</w:t>
      </w:r>
    </w:p>
    <w:p w14:paraId="5ABBDF0D" w14:textId="77777777" w:rsidR="0063186D" w:rsidRDefault="0063186D" w:rsidP="0063186D">
      <w:pPr>
        <w:jc w:val="both"/>
        <w:rPr>
          <w:sz w:val="22"/>
          <w:szCs w:val="22"/>
        </w:rPr>
      </w:pPr>
    </w:p>
    <w:p w14:paraId="7468EEA7" w14:textId="77777777" w:rsidR="005A0065" w:rsidRDefault="005A0065" w:rsidP="005A0065">
      <w:pPr>
        <w:numPr>
          <w:ilvl w:val="0"/>
          <w:numId w:val="1"/>
        </w:numPr>
        <w:jc w:val="both"/>
        <w:rPr>
          <w:sz w:val="22"/>
          <w:szCs w:val="22"/>
        </w:rPr>
      </w:pPr>
      <w:r>
        <w:rPr>
          <w:sz w:val="22"/>
          <w:szCs w:val="22"/>
        </w:rPr>
        <w:t xml:space="preserve">Young people aged 16 to 25 in Further Education Colleges, </w:t>
      </w:r>
      <w:r w:rsidR="004B6F04">
        <w:rPr>
          <w:sz w:val="22"/>
          <w:szCs w:val="22"/>
        </w:rPr>
        <w:t>Sixth</w:t>
      </w:r>
      <w:r>
        <w:rPr>
          <w:sz w:val="22"/>
          <w:szCs w:val="22"/>
        </w:rPr>
        <w:t xml:space="preserve"> Form Colleges and</w:t>
      </w:r>
      <w:r w:rsidR="006916B0">
        <w:rPr>
          <w:sz w:val="22"/>
          <w:szCs w:val="22"/>
        </w:rPr>
        <w:t xml:space="preserve"> placed</w:t>
      </w:r>
      <w:r>
        <w:rPr>
          <w:sz w:val="22"/>
          <w:szCs w:val="22"/>
        </w:rPr>
        <w:t xml:space="preserve"> with independent or</w:t>
      </w:r>
      <w:r w:rsidR="00024CCF">
        <w:rPr>
          <w:sz w:val="22"/>
          <w:szCs w:val="22"/>
        </w:rPr>
        <w:t xml:space="preserve"> other</w:t>
      </w:r>
      <w:r>
        <w:rPr>
          <w:sz w:val="22"/>
          <w:szCs w:val="22"/>
        </w:rPr>
        <w:t xml:space="preserve"> specialist learning providers.</w:t>
      </w:r>
    </w:p>
    <w:p w14:paraId="78988350" w14:textId="77777777" w:rsidR="0063186D" w:rsidRPr="005A0065" w:rsidRDefault="0063186D" w:rsidP="0063186D">
      <w:pPr>
        <w:jc w:val="both"/>
        <w:rPr>
          <w:sz w:val="22"/>
          <w:szCs w:val="22"/>
        </w:rPr>
      </w:pPr>
    </w:p>
    <w:p w14:paraId="0DF27DA4" w14:textId="77777777" w:rsidR="008A434C" w:rsidRDefault="009D7DC0" w:rsidP="008A434C">
      <w:pPr>
        <w:numPr>
          <w:ilvl w:val="0"/>
          <w:numId w:val="1"/>
        </w:numPr>
        <w:jc w:val="both"/>
        <w:rPr>
          <w:sz w:val="22"/>
          <w:szCs w:val="22"/>
        </w:rPr>
      </w:pPr>
      <w:r>
        <w:rPr>
          <w:sz w:val="22"/>
          <w:szCs w:val="22"/>
        </w:rPr>
        <w:t>Pupil Referral Units (PRUs)</w:t>
      </w:r>
      <w:r w:rsidR="009E65DA">
        <w:rPr>
          <w:sz w:val="22"/>
          <w:szCs w:val="22"/>
        </w:rPr>
        <w:t xml:space="preserve"> and Alternative Provision Academies</w:t>
      </w:r>
      <w:r w:rsidR="00FE3794">
        <w:rPr>
          <w:sz w:val="22"/>
          <w:szCs w:val="22"/>
        </w:rPr>
        <w:t>.</w:t>
      </w:r>
    </w:p>
    <w:p w14:paraId="2ACAAD82" w14:textId="77777777" w:rsidR="0063186D" w:rsidRPr="008A434C" w:rsidRDefault="0063186D" w:rsidP="0063186D">
      <w:pPr>
        <w:jc w:val="both"/>
        <w:rPr>
          <w:sz w:val="22"/>
          <w:szCs w:val="22"/>
        </w:rPr>
      </w:pPr>
    </w:p>
    <w:p w14:paraId="6E3BF0F9" w14:textId="2A564376" w:rsidR="000B38F4" w:rsidRPr="000B38F4" w:rsidRDefault="00A15080" w:rsidP="00D810AF">
      <w:pPr>
        <w:numPr>
          <w:ilvl w:val="0"/>
          <w:numId w:val="1"/>
        </w:numPr>
        <w:jc w:val="both"/>
        <w:rPr>
          <w:sz w:val="22"/>
          <w:szCs w:val="22"/>
        </w:rPr>
      </w:pPr>
      <w:r w:rsidRPr="00A15080">
        <w:rPr>
          <w:sz w:val="22"/>
          <w:szCs w:val="22"/>
        </w:rPr>
        <w:t>Child</w:t>
      </w:r>
      <w:r>
        <w:rPr>
          <w:sz w:val="22"/>
          <w:szCs w:val="22"/>
        </w:rPr>
        <w:t>ren</w:t>
      </w:r>
      <w:r w:rsidRPr="00A15080">
        <w:rPr>
          <w:sz w:val="22"/>
          <w:szCs w:val="22"/>
        </w:rPr>
        <w:t xml:space="preserve"> and young people placed in independent</w:t>
      </w:r>
      <w:r w:rsidR="0060699C">
        <w:rPr>
          <w:sz w:val="22"/>
          <w:szCs w:val="22"/>
        </w:rPr>
        <w:t xml:space="preserve"> provisions</w:t>
      </w:r>
      <w:r w:rsidRPr="00A15080">
        <w:rPr>
          <w:sz w:val="22"/>
          <w:szCs w:val="22"/>
        </w:rPr>
        <w:t xml:space="preserve"> and </w:t>
      </w:r>
      <w:r w:rsidR="006916B0">
        <w:rPr>
          <w:sz w:val="22"/>
          <w:szCs w:val="22"/>
        </w:rPr>
        <w:t xml:space="preserve">in </w:t>
      </w:r>
      <w:r w:rsidRPr="00A15080">
        <w:rPr>
          <w:sz w:val="22"/>
          <w:szCs w:val="22"/>
        </w:rPr>
        <w:t>non-maintained special schools.</w:t>
      </w:r>
    </w:p>
    <w:p w14:paraId="5914F4FA" w14:textId="34103E8A" w:rsidR="00D810AF" w:rsidRPr="00B76452" w:rsidRDefault="00E04283" w:rsidP="00D810AF">
      <w:pPr>
        <w:jc w:val="both"/>
        <w:rPr>
          <w:sz w:val="22"/>
          <w:szCs w:val="22"/>
        </w:rPr>
      </w:pPr>
      <w:r>
        <w:rPr>
          <w:sz w:val="22"/>
          <w:szCs w:val="22"/>
        </w:rPr>
        <w:lastRenderedPageBreak/>
        <w:t>2.</w:t>
      </w:r>
      <w:r w:rsidR="00301D99">
        <w:rPr>
          <w:sz w:val="22"/>
          <w:szCs w:val="22"/>
        </w:rPr>
        <w:t>5</w:t>
      </w:r>
      <w:r w:rsidR="00533131">
        <w:rPr>
          <w:sz w:val="22"/>
          <w:szCs w:val="22"/>
        </w:rPr>
        <w:t xml:space="preserve"> High Needs Block funding is allocated in</w:t>
      </w:r>
      <w:r w:rsidR="00A15080">
        <w:rPr>
          <w:sz w:val="22"/>
          <w:szCs w:val="22"/>
        </w:rPr>
        <w:t xml:space="preserve"> Bradford also </w:t>
      </w:r>
      <w:r w:rsidR="00533131">
        <w:rPr>
          <w:sz w:val="22"/>
          <w:szCs w:val="22"/>
        </w:rPr>
        <w:t>to support</w:t>
      </w:r>
      <w:r w:rsidR="00A15080">
        <w:rPr>
          <w:sz w:val="22"/>
          <w:szCs w:val="22"/>
        </w:rPr>
        <w:t xml:space="preserve"> </w:t>
      </w:r>
      <w:r w:rsidR="006916B0">
        <w:rPr>
          <w:sz w:val="22"/>
          <w:szCs w:val="22"/>
        </w:rPr>
        <w:t xml:space="preserve">Local Authority </w:t>
      </w:r>
      <w:r w:rsidR="00A15080">
        <w:rPr>
          <w:sz w:val="22"/>
          <w:szCs w:val="22"/>
        </w:rPr>
        <w:t>central</w:t>
      </w:r>
      <w:r w:rsidR="00406B20">
        <w:rPr>
          <w:sz w:val="22"/>
          <w:szCs w:val="22"/>
        </w:rPr>
        <w:t>ly managed</w:t>
      </w:r>
      <w:r w:rsidR="00A15080">
        <w:rPr>
          <w:sz w:val="22"/>
          <w:szCs w:val="22"/>
        </w:rPr>
        <w:t xml:space="preserve"> services relating to SEND and </w:t>
      </w:r>
      <w:r w:rsidR="006916B0">
        <w:rPr>
          <w:sz w:val="22"/>
          <w:szCs w:val="22"/>
        </w:rPr>
        <w:t xml:space="preserve">to </w:t>
      </w:r>
      <w:r w:rsidR="00A15080">
        <w:rPr>
          <w:sz w:val="22"/>
          <w:szCs w:val="22"/>
        </w:rPr>
        <w:t>Alternative Provision</w:t>
      </w:r>
      <w:r w:rsidR="00AC5C2B">
        <w:rPr>
          <w:sz w:val="22"/>
          <w:szCs w:val="22"/>
        </w:rPr>
        <w:t>,</w:t>
      </w:r>
      <w:r w:rsidR="00755542">
        <w:rPr>
          <w:sz w:val="22"/>
          <w:szCs w:val="22"/>
        </w:rPr>
        <w:t xml:space="preserve"> as permi</w:t>
      </w:r>
      <w:r w:rsidR="003C5C82">
        <w:rPr>
          <w:sz w:val="22"/>
          <w:szCs w:val="22"/>
        </w:rPr>
        <w:t>tted by the Finance Regulations. This</w:t>
      </w:r>
      <w:r w:rsidR="00AC5C2B">
        <w:rPr>
          <w:sz w:val="22"/>
          <w:szCs w:val="22"/>
        </w:rPr>
        <w:t xml:space="preserve"> includes </w:t>
      </w:r>
      <w:r w:rsidR="00D10737">
        <w:rPr>
          <w:sz w:val="22"/>
          <w:szCs w:val="22"/>
        </w:rPr>
        <w:t xml:space="preserve">SEND </w:t>
      </w:r>
      <w:r w:rsidR="00AC5C2B">
        <w:rPr>
          <w:sz w:val="22"/>
          <w:szCs w:val="22"/>
        </w:rPr>
        <w:t>teaching support services</w:t>
      </w:r>
      <w:r w:rsidR="00533131">
        <w:rPr>
          <w:sz w:val="22"/>
          <w:szCs w:val="22"/>
        </w:rPr>
        <w:t>,</w:t>
      </w:r>
      <w:r w:rsidR="00AC5C2B">
        <w:rPr>
          <w:sz w:val="22"/>
          <w:szCs w:val="22"/>
        </w:rPr>
        <w:t xml:space="preserve"> </w:t>
      </w:r>
      <w:r w:rsidR="00D10737">
        <w:rPr>
          <w:sz w:val="22"/>
          <w:szCs w:val="22"/>
        </w:rPr>
        <w:t xml:space="preserve">that are </w:t>
      </w:r>
      <w:r w:rsidR="00AC5C2B">
        <w:rPr>
          <w:sz w:val="22"/>
          <w:szCs w:val="22"/>
        </w:rPr>
        <w:t>accessed by schools</w:t>
      </w:r>
      <w:r w:rsidR="00812ACC">
        <w:rPr>
          <w:sz w:val="22"/>
          <w:szCs w:val="22"/>
        </w:rPr>
        <w:t>, academies</w:t>
      </w:r>
      <w:r>
        <w:rPr>
          <w:sz w:val="22"/>
          <w:szCs w:val="22"/>
        </w:rPr>
        <w:t xml:space="preserve"> and other settings</w:t>
      </w:r>
      <w:r w:rsidR="00550749">
        <w:rPr>
          <w:sz w:val="22"/>
          <w:szCs w:val="22"/>
        </w:rPr>
        <w:t>,</w:t>
      </w:r>
      <w:r w:rsidR="00AC5C2B">
        <w:rPr>
          <w:sz w:val="22"/>
          <w:szCs w:val="22"/>
        </w:rPr>
        <w:t xml:space="preserve"> and tuition for children and young people tha</w:t>
      </w:r>
      <w:r w:rsidR="005C31F9">
        <w:rPr>
          <w:sz w:val="22"/>
          <w:szCs w:val="22"/>
        </w:rPr>
        <w:t>t are unable to attend school for medical reasons.</w:t>
      </w:r>
      <w:r w:rsidR="00D810AF">
        <w:rPr>
          <w:sz w:val="22"/>
          <w:szCs w:val="22"/>
        </w:rPr>
        <w:t xml:space="preserve"> </w:t>
      </w:r>
      <w:r w:rsidR="00D810AF">
        <w:rPr>
          <w:rFonts w:cs="Arial"/>
          <w:sz w:val="22"/>
          <w:szCs w:val="22"/>
        </w:rPr>
        <w:t>Local authorities are permitted to separately fund additional outreach and support services that may be managed centrally or may be devolved to providers under service level agreements.</w:t>
      </w:r>
    </w:p>
    <w:p w14:paraId="14071196" w14:textId="77777777" w:rsidR="00550749" w:rsidRDefault="00550749" w:rsidP="001B416B">
      <w:pPr>
        <w:jc w:val="both"/>
        <w:rPr>
          <w:sz w:val="22"/>
          <w:szCs w:val="22"/>
        </w:rPr>
      </w:pPr>
    </w:p>
    <w:p w14:paraId="6E3A5725" w14:textId="77777777" w:rsidR="001B1A21" w:rsidRDefault="001B1A21" w:rsidP="001B416B">
      <w:pPr>
        <w:jc w:val="both"/>
        <w:rPr>
          <w:sz w:val="22"/>
          <w:szCs w:val="22"/>
        </w:rPr>
      </w:pPr>
    </w:p>
    <w:p w14:paraId="4F2E145C" w14:textId="4FF37F17" w:rsidR="00D27FD9" w:rsidRPr="00FE01F3" w:rsidRDefault="00D27FD9" w:rsidP="00D27FD9">
      <w:pPr>
        <w:jc w:val="both"/>
        <w:rPr>
          <w:sz w:val="22"/>
          <w:szCs w:val="22"/>
        </w:rPr>
      </w:pPr>
      <w:r w:rsidRPr="00FE01F3">
        <w:rPr>
          <w:b/>
          <w:sz w:val="22"/>
          <w:szCs w:val="22"/>
        </w:rPr>
        <w:t>3.</w:t>
      </w:r>
      <w:r w:rsidRPr="00FE01F3">
        <w:rPr>
          <w:b/>
          <w:sz w:val="22"/>
          <w:szCs w:val="22"/>
        </w:rPr>
        <w:tab/>
      </w:r>
      <w:r w:rsidR="007E3D67">
        <w:rPr>
          <w:b/>
          <w:sz w:val="22"/>
          <w:szCs w:val="22"/>
        </w:rPr>
        <w:t>Continuation in 202</w:t>
      </w:r>
      <w:r w:rsidR="0024348D">
        <w:rPr>
          <w:b/>
          <w:sz w:val="22"/>
          <w:szCs w:val="22"/>
        </w:rPr>
        <w:t>5</w:t>
      </w:r>
      <w:r w:rsidR="007E3D67">
        <w:rPr>
          <w:b/>
          <w:sz w:val="22"/>
          <w:szCs w:val="22"/>
        </w:rPr>
        <w:t>/2</w:t>
      </w:r>
      <w:r w:rsidR="0024348D">
        <w:rPr>
          <w:b/>
          <w:sz w:val="22"/>
          <w:szCs w:val="22"/>
        </w:rPr>
        <w:t>6</w:t>
      </w:r>
      <w:r w:rsidR="00E102D4">
        <w:rPr>
          <w:b/>
          <w:sz w:val="22"/>
          <w:szCs w:val="22"/>
        </w:rPr>
        <w:t xml:space="preserve"> of</w:t>
      </w:r>
      <w:r w:rsidR="00533131">
        <w:rPr>
          <w:b/>
          <w:sz w:val="22"/>
          <w:szCs w:val="22"/>
        </w:rPr>
        <w:t xml:space="preserve"> the</w:t>
      </w:r>
      <w:r w:rsidR="00E102D4">
        <w:rPr>
          <w:b/>
          <w:sz w:val="22"/>
          <w:szCs w:val="22"/>
        </w:rPr>
        <w:t xml:space="preserve"> Existing</w:t>
      </w:r>
      <w:r w:rsidR="00533131">
        <w:rPr>
          <w:b/>
          <w:sz w:val="22"/>
          <w:szCs w:val="22"/>
        </w:rPr>
        <w:t xml:space="preserve"> </w:t>
      </w:r>
      <w:r w:rsidR="00C4528C" w:rsidRPr="00FE01F3">
        <w:rPr>
          <w:b/>
          <w:sz w:val="22"/>
          <w:szCs w:val="22"/>
        </w:rPr>
        <w:t xml:space="preserve">DfE-Led </w:t>
      </w:r>
      <w:r w:rsidRPr="00FE01F3">
        <w:rPr>
          <w:b/>
          <w:sz w:val="22"/>
          <w:szCs w:val="22"/>
        </w:rPr>
        <w:t xml:space="preserve">National </w:t>
      </w:r>
      <w:r w:rsidR="00AF10EC" w:rsidRPr="00FE01F3">
        <w:rPr>
          <w:b/>
          <w:sz w:val="22"/>
          <w:szCs w:val="22"/>
        </w:rPr>
        <w:t xml:space="preserve">High Needs Funding </w:t>
      </w:r>
      <w:r w:rsidR="00E102D4">
        <w:rPr>
          <w:b/>
          <w:sz w:val="22"/>
          <w:szCs w:val="22"/>
        </w:rPr>
        <w:t>System</w:t>
      </w:r>
    </w:p>
    <w:p w14:paraId="35CFF93F" w14:textId="77777777" w:rsidR="00D27FD9" w:rsidRPr="00FE01F3" w:rsidRDefault="00D27FD9" w:rsidP="001B416B">
      <w:pPr>
        <w:jc w:val="both"/>
        <w:rPr>
          <w:sz w:val="22"/>
          <w:szCs w:val="22"/>
        </w:rPr>
      </w:pPr>
    </w:p>
    <w:p w14:paraId="0699A7FA" w14:textId="72674D57" w:rsidR="00533131" w:rsidRDefault="009A2660" w:rsidP="001B416B">
      <w:pPr>
        <w:jc w:val="both"/>
        <w:rPr>
          <w:sz w:val="22"/>
          <w:szCs w:val="22"/>
        </w:rPr>
      </w:pPr>
      <w:r w:rsidRPr="00533131">
        <w:rPr>
          <w:sz w:val="22"/>
          <w:szCs w:val="22"/>
        </w:rPr>
        <w:t xml:space="preserve">3.1 </w:t>
      </w:r>
      <w:r w:rsidR="00301D99">
        <w:rPr>
          <w:sz w:val="22"/>
          <w:szCs w:val="22"/>
        </w:rPr>
        <w:t>Though not fully confirmed yet, it is expected that the</w:t>
      </w:r>
      <w:r w:rsidR="00D10D4C" w:rsidRPr="00533131">
        <w:rPr>
          <w:sz w:val="22"/>
          <w:szCs w:val="22"/>
        </w:rPr>
        <w:t xml:space="preserve"> </w:t>
      </w:r>
      <w:r w:rsidR="00533131">
        <w:rPr>
          <w:sz w:val="22"/>
          <w:szCs w:val="22"/>
        </w:rPr>
        <w:t xml:space="preserve">existing </w:t>
      </w:r>
      <w:r w:rsidR="00D10D4C" w:rsidRPr="00533131">
        <w:rPr>
          <w:sz w:val="22"/>
          <w:szCs w:val="22"/>
        </w:rPr>
        <w:t>national high needs funding system</w:t>
      </w:r>
      <w:r w:rsidR="00301D99">
        <w:rPr>
          <w:sz w:val="22"/>
          <w:szCs w:val="22"/>
        </w:rPr>
        <w:t xml:space="preserve"> will</w:t>
      </w:r>
      <w:r w:rsidR="00D10D4C" w:rsidRPr="00533131">
        <w:rPr>
          <w:sz w:val="22"/>
          <w:szCs w:val="22"/>
        </w:rPr>
        <w:t xml:space="preserve"> remain in place </w:t>
      </w:r>
      <w:r w:rsidR="007E3D67">
        <w:rPr>
          <w:sz w:val="22"/>
          <w:szCs w:val="22"/>
        </w:rPr>
        <w:t>in 202</w:t>
      </w:r>
      <w:r w:rsidR="0083359F">
        <w:rPr>
          <w:sz w:val="22"/>
          <w:szCs w:val="22"/>
        </w:rPr>
        <w:t>5</w:t>
      </w:r>
      <w:r w:rsidR="007E3D67">
        <w:rPr>
          <w:sz w:val="22"/>
          <w:szCs w:val="22"/>
        </w:rPr>
        <w:t>/2</w:t>
      </w:r>
      <w:r w:rsidR="0083359F">
        <w:rPr>
          <w:sz w:val="22"/>
          <w:szCs w:val="22"/>
        </w:rPr>
        <w:t>6</w:t>
      </w:r>
      <w:r w:rsidR="009177FC" w:rsidRPr="00533131">
        <w:rPr>
          <w:sz w:val="22"/>
          <w:szCs w:val="22"/>
        </w:rPr>
        <w:t>.</w:t>
      </w:r>
      <w:r w:rsidR="00500ED5" w:rsidRPr="00533131">
        <w:rPr>
          <w:sz w:val="22"/>
          <w:szCs w:val="22"/>
        </w:rPr>
        <w:t xml:space="preserve"> </w:t>
      </w:r>
      <w:r w:rsidR="00533131">
        <w:rPr>
          <w:sz w:val="22"/>
          <w:szCs w:val="22"/>
        </w:rPr>
        <w:t>Regarding the most prominent elements of this system:</w:t>
      </w:r>
    </w:p>
    <w:p w14:paraId="4FCDDD3D" w14:textId="77777777" w:rsidR="00533131" w:rsidRDefault="00533131" w:rsidP="001B416B">
      <w:pPr>
        <w:jc w:val="both"/>
        <w:rPr>
          <w:sz w:val="22"/>
          <w:szCs w:val="22"/>
        </w:rPr>
      </w:pPr>
    </w:p>
    <w:p w14:paraId="27AD4893" w14:textId="0E4C97D9" w:rsidR="00533131" w:rsidRDefault="00533131" w:rsidP="009564E6">
      <w:pPr>
        <w:pStyle w:val="ListParagraph"/>
        <w:numPr>
          <w:ilvl w:val="0"/>
          <w:numId w:val="14"/>
        </w:numPr>
        <w:jc w:val="both"/>
        <w:rPr>
          <w:sz w:val="22"/>
          <w:szCs w:val="22"/>
        </w:rPr>
      </w:pPr>
      <w:r w:rsidRPr="00533131">
        <w:rPr>
          <w:sz w:val="22"/>
          <w:szCs w:val="22"/>
        </w:rPr>
        <w:t>P</w:t>
      </w:r>
      <w:r w:rsidR="00500ED5" w:rsidRPr="00533131">
        <w:rPr>
          <w:sz w:val="22"/>
          <w:szCs w:val="22"/>
        </w:rPr>
        <w:t>lace</w:t>
      </w:r>
      <w:r>
        <w:rPr>
          <w:sz w:val="22"/>
          <w:szCs w:val="22"/>
        </w:rPr>
        <w:t>-element</w:t>
      </w:r>
      <w:r w:rsidR="00500ED5" w:rsidRPr="00533131">
        <w:rPr>
          <w:sz w:val="22"/>
          <w:szCs w:val="22"/>
        </w:rPr>
        <w:t xml:space="preserve"> funding</w:t>
      </w:r>
      <w:r w:rsidR="00E2706C" w:rsidRPr="00533131">
        <w:rPr>
          <w:sz w:val="22"/>
          <w:szCs w:val="22"/>
        </w:rPr>
        <w:t xml:space="preserve"> for specialist provisions</w:t>
      </w:r>
      <w:r>
        <w:rPr>
          <w:sz w:val="22"/>
          <w:szCs w:val="22"/>
        </w:rPr>
        <w:t xml:space="preserve"> (special schools, special</w:t>
      </w:r>
      <w:r w:rsidR="00134673">
        <w:rPr>
          <w:sz w:val="22"/>
          <w:szCs w:val="22"/>
        </w:rPr>
        <w:t xml:space="preserve"> school</w:t>
      </w:r>
      <w:r>
        <w:rPr>
          <w:sz w:val="22"/>
          <w:szCs w:val="22"/>
        </w:rPr>
        <w:t xml:space="preserve"> academies, PRUs and alternative provision academies) </w:t>
      </w:r>
      <w:r w:rsidR="004A5A8D">
        <w:rPr>
          <w:sz w:val="22"/>
          <w:szCs w:val="22"/>
        </w:rPr>
        <w:t>is expected to</w:t>
      </w:r>
      <w:r w:rsidR="00301D99">
        <w:rPr>
          <w:sz w:val="22"/>
          <w:szCs w:val="22"/>
        </w:rPr>
        <w:t xml:space="preserve"> </w:t>
      </w:r>
      <w:r>
        <w:rPr>
          <w:sz w:val="22"/>
          <w:szCs w:val="22"/>
        </w:rPr>
        <w:t>continue to be set a</w:t>
      </w:r>
      <w:r w:rsidR="00500ED5" w:rsidRPr="00533131">
        <w:rPr>
          <w:sz w:val="22"/>
          <w:szCs w:val="22"/>
        </w:rPr>
        <w:t>t £10,000</w:t>
      </w:r>
      <w:r>
        <w:rPr>
          <w:sz w:val="22"/>
          <w:szCs w:val="22"/>
        </w:rPr>
        <w:t>.</w:t>
      </w:r>
    </w:p>
    <w:p w14:paraId="3DC5F9F5" w14:textId="77777777" w:rsidR="00533131" w:rsidRDefault="00533131" w:rsidP="00533131">
      <w:pPr>
        <w:pStyle w:val="ListParagraph"/>
        <w:ind w:left="360"/>
        <w:jc w:val="both"/>
        <w:rPr>
          <w:sz w:val="22"/>
          <w:szCs w:val="22"/>
        </w:rPr>
      </w:pPr>
    </w:p>
    <w:p w14:paraId="195DFA0C" w14:textId="115C76F3" w:rsidR="00177628" w:rsidRDefault="00E2706C" w:rsidP="009564E6">
      <w:pPr>
        <w:pStyle w:val="ListParagraph"/>
        <w:numPr>
          <w:ilvl w:val="0"/>
          <w:numId w:val="14"/>
        </w:numPr>
        <w:jc w:val="both"/>
        <w:rPr>
          <w:sz w:val="22"/>
          <w:szCs w:val="22"/>
        </w:rPr>
      </w:pPr>
      <w:r w:rsidRPr="00533131">
        <w:rPr>
          <w:sz w:val="22"/>
          <w:szCs w:val="22"/>
        </w:rPr>
        <w:t>E</w:t>
      </w:r>
      <w:r w:rsidR="00500ED5" w:rsidRPr="00533131">
        <w:rPr>
          <w:sz w:val="22"/>
          <w:szCs w:val="22"/>
        </w:rPr>
        <w:t>lement 2 funding</w:t>
      </w:r>
      <w:r w:rsidR="00533131">
        <w:rPr>
          <w:sz w:val="22"/>
          <w:szCs w:val="22"/>
        </w:rPr>
        <w:t xml:space="preserve"> (including the value of place-element funding for places in</w:t>
      </w:r>
      <w:r w:rsidRPr="00533131">
        <w:rPr>
          <w:sz w:val="22"/>
          <w:szCs w:val="22"/>
        </w:rPr>
        <w:t xml:space="preserve"> resourced provisions</w:t>
      </w:r>
      <w:r w:rsidR="00E102D4">
        <w:rPr>
          <w:sz w:val="22"/>
          <w:szCs w:val="22"/>
        </w:rPr>
        <w:t xml:space="preserve"> that are</w:t>
      </w:r>
      <w:r w:rsidR="007E3D67">
        <w:rPr>
          <w:sz w:val="22"/>
          <w:szCs w:val="22"/>
        </w:rPr>
        <w:t xml:space="preserve"> occupied in the October 202</w:t>
      </w:r>
      <w:r w:rsidR="0083359F">
        <w:rPr>
          <w:sz w:val="22"/>
          <w:szCs w:val="22"/>
        </w:rPr>
        <w:t>4</w:t>
      </w:r>
      <w:r w:rsidR="00533131">
        <w:rPr>
          <w:sz w:val="22"/>
          <w:szCs w:val="22"/>
        </w:rPr>
        <w:t xml:space="preserve"> Census</w:t>
      </w:r>
      <w:r w:rsidRPr="00533131">
        <w:rPr>
          <w:sz w:val="22"/>
          <w:szCs w:val="22"/>
        </w:rPr>
        <w:t>)</w:t>
      </w:r>
      <w:r w:rsidR="00533131">
        <w:rPr>
          <w:sz w:val="22"/>
          <w:szCs w:val="22"/>
        </w:rPr>
        <w:t xml:space="preserve"> </w:t>
      </w:r>
      <w:r w:rsidR="004A5A8D">
        <w:rPr>
          <w:sz w:val="22"/>
          <w:szCs w:val="22"/>
        </w:rPr>
        <w:t>is expected to</w:t>
      </w:r>
      <w:r w:rsidR="00301D99">
        <w:rPr>
          <w:sz w:val="22"/>
          <w:szCs w:val="22"/>
        </w:rPr>
        <w:t xml:space="preserve"> </w:t>
      </w:r>
      <w:r w:rsidR="00533131">
        <w:rPr>
          <w:sz w:val="22"/>
          <w:szCs w:val="22"/>
        </w:rPr>
        <w:t>continue to be</w:t>
      </w:r>
      <w:r w:rsidR="00500ED5" w:rsidRPr="00533131">
        <w:rPr>
          <w:sz w:val="22"/>
          <w:szCs w:val="22"/>
        </w:rPr>
        <w:t xml:space="preserve"> </w:t>
      </w:r>
      <w:r w:rsidR="00533131">
        <w:rPr>
          <w:sz w:val="22"/>
          <w:szCs w:val="22"/>
        </w:rPr>
        <w:t xml:space="preserve">set </w:t>
      </w:r>
      <w:r w:rsidR="00500ED5" w:rsidRPr="00533131">
        <w:rPr>
          <w:sz w:val="22"/>
          <w:szCs w:val="22"/>
        </w:rPr>
        <w:t xml:space="preserve">at £6,000. </w:t>
      </w:r>
    </w:p>
    <w:p w14:paraId="3D088188" w14:textId="77777777" w:rsidR="00177628" w:rsidRPr="00177628" w:rsidRDefault="00177628" w:rsidP="00177628">
      <w:pPr>
        <w:jc w:val="both"/>
        <w:rPr>
          <w:sz w:val="22"/>
          <w:szCs w:val="22"/>
        </w:rPr>
      </w:pPr>
    </w:p>
    <w:p w14:paraId="2FC2E3DA" w14:textId="494462F2" w:rsidR="00177628" w:rsidRPr="004F7848" w:rsidRDefault="00533131" w:rsidP="009564E6">
      <w:pPr>
        <w:pStyle w:val="ListParagraph"/>
        <w:numPr>
          <w:ilvl w:val="0"/>
          <w:numId w:val="14"/>
        </w:numPr>
        <w:jc w:val="both"/>
        <w:rPr>
          <w:sz w:val="22"/>
          <w:szCs w:val="22"/>
        </w:rPr>
      </w:pPr>
      <w:r>
        <w:rPr>
          <w:sz w:val="22"/>
          <w:szCs w:val="22"/>
        </w:rPr>
        <w:t>Mainstream primary and secondary schools</w:t>
      </w:r>
      <w:r w:rsidR="00E102D4">
        <w:rPr>
          <w:sz w:val="22"/>
          <w:szCs w:val="22"/>
        </w:rPr>
        <w:t xml:space="preserve"> and academies</w:t>
      </w:r>
      <w:r>
        <w:rPr>
          <w:sz w:val="22"/>
          <w:szCs w:val="22"/>
        </w:rPr>
        <w:t xml:space="preserve"> </w:t>
      </w:r>
      <w:r w:rsidR="004A5A8D">
        <w:rPr>
          <w:sz w:val="22"/>
          <w:szCs w:val="22"/>
        </w:rPr>
        <w:t>are expected to</w:t>
      </w:r>
      <w:r w:rsidR="00301D99">
        <w:rPr>
          <w:sz w:val="22"/>
          <w:szCs w:val="22"/>
        </w:rPr>
        <w:t xml:space="preserve"> </w:t>
      </w:r>
      <w:r>
        <w:rPr>
          <w:sz w:val="22"/>
          <w:szCs w:val="22"/>
        </w:rPr>
        <w:t xml:space="preserve">continue to have </w:t>
      </w:r>
      <w:r w:rsidR="00E102D4">
        <w:rPr>
          <w:sz w:val="22"/>
          <w:szCs w:val="22"/>
        </w:rPr>
        <w:t>responsibility</w:t>
      </w:r>
      <w:r>
        <w:rPr>
          <w:sz w:val="22"/>
          <w:szCs w:val="22"/>
        </w:rPr>
        <w:t xml:space="preserve"> for meeting</w:t>
      </w:r>
      <w:r w:rsidR="00E102D4">
        <w:rPr>
          <w:sz w:val="22"/>
          <w:szCs w:val="22"/>
        </w:rPr>
        <w:t xml:space="preserve"> from their delegated budgets</w:t>
      </w:r>
      <w:r>
        <w:rPr>
          <w:sz w:val="22"/>
          <w:szCs w:val="22"/>
        </w:rPr>
        <w:t xml:space="preserve"> the first £6,000 of </w:t>
      </w:r>
      <w:r w:rsidR="00E102D4">
        <w:rPr>
          <w:sz w:val="22"/>
          <w:szCs w:val="22"/>
        </w:rPr>
        <w:t xml:space="preserve">the </w:t>
      </w:r>
      <w:r>
        <w:rPr>
          <w:sz w:val="22"/>
          <w:szCs w:val="22"/>
        </w:rPr>
        <w:t>cost the additional needs of high needs children.</w:t>
      </w:r>
    </w:p>
    <w:p w14:paraId="4369943B" w14:textId="77777777" w:rsidR="00301D99" w:rsidRDefault="00301D99" w:rsidP="00301D99">
      <w:pPr>
        <w:pStyle w:val="ListParagraph"/>
        <w:ind w:left="360"/>
        <w:jc w:val="both"/>
        <w:rPr>
          <w:sz w:val="22"/>
          <w:szCs w:val="22"/>
        </w:rPr>
      </w:pPr>
    </w:p>
    <w:p w14:paraId="42A452B4" w14:textId="6334269F" w:rsidR="001B10A0" w:rsidRDefault="001B10A0" w:rsidP="009564E6">
      <w:pPr>
        <w:pStyle w:val="ListParagraph"/>
        <w:numPr>
          <w:ilvl w:val="0"/>
          <w:numId w:val="14"/>
        </w:numPr>
        <w:jc w:val="both"/>
        <w:rPr>
          <w:sz w:val="22"/>
          <w:szCs w:val="22"/>
        </w:rPr>
      </w:pPr>
      <w:r w:rsidRPr="000163EF">
        <w:rPr>
          <w:sz w:val="22"/>
          <w:szCs w:val="22"/>
        </w:rPr>
        <w:t xml:space="preserve">Local authorities </w:t>
      </w:r>
      <w:r w:rsidR="004A5A8D">
        <w:rPr>
          <w:sz w:val="22"/>
          <w:szCs w:val="22"/>
        </w:rPr>
        <w:t>are expected to</w:t>
      </w:r>
      <w:r w:rsidR="00301D99">
        <w:rPr>
          <w:sz w:val="22"/>
          <w:szCs w:val="22"/>
        </w:rPr>
        <w:t xml:space="preserve"> </w:t>
      </w:r>
      <w:r w:rsidRPr="000163EF">
        <w:rPr>
          <w:sz w:val="22"/>
          <w:szCs w:val="22"/>
        </w:rPr>
        <w:t>continue to hold responsibility for calculating and allocating top-up funding</w:t>
      </w:r>
      <w:r>
        <w:rPr>
          <w:sz w:val="22"/>
          <w:szCs w:val="22"/>
        </w:rPr>
        <w:t>.</w:t>
      </w:r>
    </w:p>
    <w:p w14:paraId="35058986" w14:textId="77777777" w:rsidR="001B10A0" w:rsidRPr="001B10A0" w:rsidRDefault="001B10A0" w:rsidP="001B10A0">
      <w:pPr>
        <w:pStyle w:val="ListParagraph"/>
        <w:rPr>
          <w:sz w:val="22"/>
          <w:szCs w:val="22"/>
        </w:rPr>
      </w:pPr>
    </w:p>
    <w:p w14:paraId="3F692461" w14:textId="1DB7E1A9" w:rsidR="00E04283" w:rsidRDefault="00533131" w:rsidP="009564E6">
      <w:pPr>
        <w:pStyle w:val="ListParagraph"/>
        <w:numPr>
          <w:ilvl w:val="0"/>
          <w:numId w:val="14"/>
        </w:numPr>
        <w:jc w:val="both"/>
        <w:rPr>
          <w:sz w:val="22"/>
          <w:szCs w:val="22"/>
        </w:rPr>
      </w:pPr>
      <w:r>
        <w:rPr>
          <w:sz w:val="22"/>
          <w:szCs w:val="22"/>
        </w:rPr>
        <w:t xml:space="preserve">Independent and non-maintained special schools </w:t>
      </w:r>
      <w:r w:rsidR="004A5A8D">
        <w:rPr>
          <w:sz w:val="22"/>
          <w:szCs w:val="22"/>
        </w:rPr>
        <w:t>are expected to</w:t>
      </w:r>
      <w:r w:rsidR="00301D99">
        <w:rPr>
          <w:sz w:val="22"/>
          <w:szCs w:val="22"/>
        </w:rPr>
        <w:t xml:space="preserve"> </w:t>
      </w:r>
      <w:r>
        <w:rPr>
          <w:sz w:val="22"/>
          <w:szCs w:val="22"/>
        </w:rPr>
        <w:t>continue to remain outside the national Place-Plus system.</w:t>
      </w:r>
    </w:p>
    <w:p w14:paraId="3FA57FFE" w14:textId="77777777" w:rsidR="00E04283" w:rsidRPr="00E04283" w:rsidRDefault="00E04283" w:rsidP="00E04283">
      <w:pPr>
        <w:pStyle w:val="ListParagraph"/>
        <w:rPr>
          <w:sz w:val="22"/>
          <w:szCs w:val="22"/>
        </w:rPr>
      </w:pPr>
    </w:p>
    <w:p w14:paraId="5C52B70D" w14:textId="62CA3535" w:rsidR="001B10A0" w:rsidRPr="006D4439" w:rsidRDefault="000670B0" w:rsidP="009564E6">
      <w:pPr>
        <w:pStyle w:val="ListParagraph"/>
        <w:numPr>
          <w:ilvl w:val="0"/>
          <w:numId w:val="14"/>
        </w:numPr>
        <w:jc w:val="both"/>
        <w:rPr>
          <w:sz w:val="22"/>
          <w:szCs w:val="22"/>
        </w:rPr>
      </w:pPr>
      <w:r>
        <w:rPr>
          <w:sz w:val="22"/>
          <w:szCs w:val="22"/>
        </w:rPr>
        <w:t>L</w:t>
      </w:r>
      <w:r w:rsidR="00E102D4" w:rsidRPr="00E04283">
        <w:rPr>
          <w:sz w:val="22"/>
          <w:szCs w:val="22"/>
        </w:rPr>
        <w:t>ocal authorities</w:t>
      </w:r>
      <w:r w:rsidR="00301D99">
        <w:rPr>
          <w:sz w:val="22"/>
          <w:szCs w:val="22"/>
        </w:rPr>
        <w:t xml:space="preserve"> </w:t>
      </w:r>
      <w:r w:rsidR="00C63132">
        <w:rPr>
          <w:sz w:val="22"/>
          <w:szCs w:val="22"/>
        </w:rPr>
        <w:t>are expected to</w:t>
      </w:r>
      <w:r w:rsidR="00E102D4" w:rsidRPr="00E04283">
        <w:rPr>
          <w:sz w:val="22"/>
          <w:szCs w:val="22"/>
        </w:rPr>
        <w:t xml:space="preserve"> </w:t>
      </w:r>
      <w:r w:rsidR="00134673" w:rsidRPr="00E04283">
        <w:rPr>
          <w:sz w:val="22"/>
          <w:szCs w:val="22"/>
        </w:rPr>
        <w:t>continue to be required</w:t>
      </w:r>
      <w:r w:rsidR="00E04283" w:rsidRPr="00E04283">
        <w:rPr>
          <w:sz w:val="22"/>
          <w:szCs w:val="22"/>
        </w:rPr>
        <w:t xml:space="preserve"> to allocate the</w:t>
      </w:r>
      <w:r w:rsidR="00E102D4" w:rsidRPr="00E04283">
        <w:rPr>
          <w:sz w:val="22"/>
          <w:szCs w:val="22"/>
        </w:rPr>
        <w:t xml:space="preserve"> </w:t>
      </w:r>
      <w:r w:rsidR="0083359F">
        <w:rPr>
          <w:sz w:val="22"/>
          <w:szCs w:val="22"/>
        </w:rPr>
        <w:t>“</w:t>
      </w:r>
      <w:r w:rsidR="00E102D4" w:rsidRPr="00E04283">
        <w:rPr>
          <w:sz w:val="22"/>
          <w:szCs w:val="22"/>
        </w:rPr>
        <w:t>former</w:t>
      </w:r>
      <w:r w:rsidR="0083359F">
        <w:rPr>
          <w:sz w:val="22"/>
          <w:szCs w:val="22"/>
        </w:rPr>
        <w:t>”</w:t>
      </w:r>
      <w:r w:rsidR="00E102D4" w:rsidRPr="00E04283">
        <w:rPr>
          <w:sz w:val="22"/>
          <w:szCs w:val="22"/>
        </w:rPr>
        <w:t xml:space="preserve"> </w:t>
      </w:r>
      <w:r w:rsidR="00E04283" w:rsidRPr="00E04283">
        <w:rPr>
          <w:sz w:val="22"/>
          <w:szCs w:val="22"/>
        </w:rPr>
        <w:t xml:space="preserve">Teacher Pay </w:t>
      </w:r>
      <w:r w:rsidR="00E04283" w:rsidRPr="006D4439">
        <w:rPr>
          <w:sz w:val="22"/>
          <w:szCs w:val="22"/>
        </w:rPr>
        <w:t>and Pensions Grant</w:t>
      </w:r>
      <w:r w:rsidR="00E102D4" w:rsidRPr="006D4439">
        <w:rPr>
          <w:sz w:val="22"/>
          <w:szCs w:val="22"/>
        </w:rPr>
        <w:t xml:space="preserve"> monies</w:t>
      </w:r>
      <w:r w:rsidR="008C33C4" w:rsidRPr="006D4439">
        <w:rPr>
          <w:sz w:val="22"/>
          <w:szCs w:val="22"/>
        </w:rPr>
        <w:t xml:space="preserve"> to specialist</w:t>
      </w:r>
      <w:r w:rsidR="00301D99">
        <w:rPr>
          <w:sz w:val="22"/>
          <w:szCs w:val="22"/>
        </w:rPr>
        <w:t xml:space="preserve"> settings</w:t>
      </w:r>
      <w:r w:rsidR="00D71FBF" w:rsidRPr="006D4439">
        <w:rPr>
          <w:sz w:val="22"/>
          <w:szCs w:val="22"/>
        </w:rPr>
        <w:t>,</w:t>
      </w:r>
      <w:r w:rsidR="00134673" w:rsidRPr="006D4439">
        <w:rPr>
          <w:sz w:val="22"/>
          <w:szCs w:val="22"/>
        </w:rPr>
        <w:t xml:space="preserve"> </w:t>
      </w:r>
      <w:r w:rsidR="00E102D4" w:rsidRPr="006D4439">
        <w:rPr>
          <w:sz w:val="22"/>
          <w:szCs w:val="22"/>
        </w:rPr>
        <w:t>se</w:t>
      </w:r>
      <w:r w:rsidR="00D71FBF" w:rsidRPr="006D4439">
        <w:rPr>
          <w:sz w:val="22"/>
          <w:szCs w:val="22"/>
        </w:rPr>
        <w:t>parately from place-element and</w:t>
      </w:r>
      <w:r w:rsidR="008C33C4" w:rsidRPr="006D4439">
        <w:rPr>
          <w:sz w:val="22"/>
          <w:szCs w:val="22"/>
        </w:rPr>
        <w:t xml:space="preserve"> </w:t>
      </w:r>
      <w:r w:rsidR="00D32993" w:rsidRPr="006D4439">
        <w:rPr>
          <w:sz w:val="22"/>
          <w:szCs w:val="22"/>
        </w:rPr>
        <w:t>top-up</w:t>
      </w:r>
      <w:r w:rsidR="00E102D4" w:rsidRPr="006D4439">
        <w:rPr>
          <w:sz w:val="22"/>
          <w:szCs w:val="22"/>
        </w:rPr>
        <w:t xml:space="preserve"> funding</w:t>
      </w:r>
      <w:r w:rsidR="009E65DA" w:rsidRPr="006D4439">
        <w:rPr>
          <w:sz w:val="22"/>
          <w:szCs w:val="22"/>
        </w:rPr>
        <w:t>.</w:t>
      </w:r>
      <w:r w:rsidR="008C33C4" w:rsidRPr="006D4439">
        <w:rPr>
          <w:sz w:val="22"/>
          <w:szCs w:val="22"/>
        </w:rPr>
        <w:t xml:space="preserve"> </w:t>
      </w:r>
    </w:p>
    <w:p w14:paraId="6C45569F" w14:textId="77777777" w:rsidR="001B10A0" w:rsidRPr="006D4439" w:rsidRDefault="001B10A0" w:rsidP="001B10A0">
      <w:pPr>
        <w:pStyle w:val="ListParagraph"/>
        <w:rPr>
          <w:sz w:val="22"/>
          <w:szCs w:val="22"/>
        </w:rPr>
      </w:pPr>
    </w:p>
    <w:p w14:paraId="4B2C1C8C" w14:textId="0497427A" w:rsidR="009E65DA" w:rsidRPr="006D4439" w:rsidRDefault="000670B0" w:rsidP="009564E6">
      <w:pPr>
        <w:pStyle w:val="ListParagraph"/>
        <w:numPr>
          <w:ilvl w:val="0"/>
          <w:numId w:val="14"/>
        </w:numPr>
        <w:jc w:val="both"/>
        <w:rPr>
          <w:sz w:val="22"/>
          <w:szCs w:val="22"/>
        </w:rPr>
      </w:pPr>
      <w:r>
        <w:rPr>
          <w:sz w:val="22"/>
          <w:szCs w:val="22"/>
        </w:rPr>
        <w:t>L</w:t>
      </w:r>
      <w:r w:rsidR="001A399E" w:rsidRPr="006D4439">
        <w:rPr>
          <w:sz w:val="22"/>
          <w:szCs w:val="22"/>
        </w:rPr>
        <w:t>ocal authorities</w:t>
      </w:r>
      <w:r w:rsidR="00301D99">
        <w:rPr>
          <w:sz w:val="22"/>
          <w:szCs w:val="22"/>
        </w:rPr>
        <w:t xml:space="preserve"> </w:t>
      </w:r>
      <w:r w:rsidR="00C63132">
        <w:rPr>
          <w:sz w:val="22"/>
          <w:szCs w:val="22"/>
        </w:rPr>
        <w:t>are expected to</w:t>
      </w:r>
      <w:r w:rsidR="001A399E" w:rsidRPr="006D4439">
        <w:rPr>
          <w:sz w:val="22"/>
          <w:szCs w:val="22"/>
        </w:rPr>
        <w:t xml:space="preserve"> continue to</w:t>
      </w:r>
      <w:r w:rsidR="00301D99">
        <w:rPr>
          <w:sz w:val="22"/>
          <w:szCs w:val="22"/>
        </w:rPr>
        <w:t xml:space="preserve"> be required to</w:t>
      </w:r>
      <w:r w:rsidR="001A399E" w:rsidRPr="006D4439">
        <w:rPr>
          <w:sz w:val="22"/>
          <w:szCs w:val="22"/>
        </w:rPr>
        <w:t xml:space="preserve"> pass through the additional “3.4% place-element” funding that special schools, special school academies, PRUs and Alternative Provision academies </w:t>
      </w:r>
      <w:r w:rsidR="00BC4A48" w:rsidRPr="006D4439">
        <w:rPr>
          <w:sz w:val="22"/>
          <w:szCs w:val="22"/>
        </w:rPr>
        <w:t>have received since 2023/24.</w:t>
      </w:r>
    </w:p>
    <w:p w14:paraId="76500890" w14:textId="77777777" w:rsidR="00C6158B" w:rsidRDefault="00C6158B" w:rsidP="001B416B">
      <w:pPr>
        <w:jc w:val="both"/>
        <w:rPr>
          <w:sz w:val="22"/>
          <w:szCs w:val="22"/>
        </w:rPr>
      </w:pPr>
    </w:p>
    <w:p w14:paraId="7765771E" w14:textId="77777777" w:rsidR="009E65DA" w:rsidRDefault="009E65DA" w:rsidP="001B416B">
      <w:pPr>
        <w:jc w:val="both"/>
        <w:rPr>
          <w:sz w:val="22"/>
          <w:szCs w:val="22"/>
        </w:rPr>
      </w:pPr>
    </w:p>
    <w:p w14:paraId="0A97AF04" w14:textId="77777777" w:rsidR="00D10737" w:rsidRDefault="002364E2" w:rsidP="00D10737">
      <w:pPr>
        <w:jc w:val="both"/>
        <w:rPr>
          <w:sz w:val="22"/>
          <w:szCs w:val="22"/>
        </w:rPr>
      </w:pPr>
      <w:r>
        <w:rPr>
          <w:b/>
          <w:sz w:val="22"/>
          <w:szCs w:val="22"/>
        </w:rPr>
        <w:t>4</w:t>
      </w:r>
      <w:r w:rsidR="00D10737" w:rsidRPr="00924C42">
        <w:rPr>
          <w:b/>
          <w:sz w:val="22"/>
          <w:szCs w:val="22"/>
        </w:rPr>
        <w:t>.</w:t>
      </w:r>
      <w:r w:rsidR="00D10737" w:rsidRPr="00924C42">
        <w:rPr>
          <w:b/>
          <w:sz w:val="22"/>
          <w:szCs w:val="22"/>
        </w:rPr>
        <w:tab/>
      </w:r>
      <w:r w:rsidR="00D10737">
        <w:rPr>
          <w:b/>
          <w:sz w:val="22"/>
          <w:szCs w:val="22"/>
        </w:rPr>
        <w:t>Place</w:t>
      </w:r>
      <w:r w:rsidR="00E04283">
        <w:rPr>
          <w:b/>
          <w:sz w:val="22"/>
          <w:szCs w:val="22"/>
        </w:rPr>
        <w:t>-</w:t>
      </w:r>
      <w:r w:rsidR="000C7723">
        <w:rPr>
          <w:b/>
          <w:sz w:val="22"/>
          <w:szCs w:val="22"/>
        </w:rPr>
        <w:t>Element</w:t>
      </w:r>
      <w:r w:rsidR="00E54659">
        <w:rPr>
          <w:b/>
          <w:sz w:val="22"/>
          <w:szCs w:val="22"/>
        </w:rPr>
        <w:t xml:space="preserve"> (or Core</w:t>
      </w:r>
      <w:r w:rsidR="00943EB6">
        <w:rPr>
          <w:b/>
          <w:sz w:val="22"/>
          <w:szCs w:val="22"/>
        </w:rPr>
        <w:t>)</w:t>
      </w:r>
      <w:r w:rsidR="00D10737">
        <w:rPr>
          <w:b/>
          <w:sz w:val="22"/>
          <w:szCs w:val="22"/>
        </w:rPr>
        <w:t xml:space="preserve"> Funding</w:t>
      </w:r>
    </w:p>
    <w:p w14:paraId="7821DC54" w14:textId="77777777" w:rsidR="00D10737" w:rsidRDefault="00D10737" w:rsidP="00D10737">
      <w:pPr>
        <w:jc w:val="both"/>
        <w:rPr>
          <w:sz w:val="22"/>
          <w:szCs w:val="22"/>
        </w:rPr>
      </w:pPr>
    </w:p>
    <w:p w14:paraId="460E8557" w14:textId="3D48E2D7" w:rsidR="00D10737" w:rsidRDefault="002364E2" w:rsidP="00D10737">
      <w:pPr>
        <w:jc w:val="both"/>
        <w:rPr>
          <w:sz w:val="22"/>
          <w:szCs w:val="22"/>
        </w:rPr>
      </w:pPr>
      <w:r>
        <w:rPr>
          <w:sz w:val="22"/>
          <w:szCs w:val="22"/>
        </w:rPr>
        <w:t>4</w:t>
      </w:r>
      <w:r w:rsidR="00D10737">
        <w:rPr>
          <w:sz w:val="22"/>
          <w:szCs w:val="22"/>
        </w:rPr>
        <w:t>.1</w:t>
      </w:r>
      <w:r w:rsidR="0097727C">
        <w:rPr>
          <w:sz w:val="22"/>
          <w:szCs w:val="22"/>
        </w:rPr>
        <w:t xml:space="preserve"> The national high needs funding approach</w:t>
      </w:r>
      <w:r w:rsidR="00E04283">
        <w:rPr>
          <w:sz w:val="22"/>
          <w:szCs w:val="22"/>
        </w:rPr>
        <w:t xml:space="preserve"> in 202</w:t>
      </w:r>
      <w:r w:rsidR="00013054">
        <w:rPr>
          <w:sz w:val="22"/>
          <w:szCs w:val="22"/>
        </w:rPr>
        <w:t>5</w:t>
      </w:r>
      <w:r w:rsidR="00E04283">
        <w:rPr>
          <w:sz w:val="22"/>
          <w:szCs w:val="22"/>
        </w:rPr>
        <w:t>/2</w:t>
      </w:r>
      <w:r w:rsidR="00013054">
        <w:rPr>
          <w:sz w:val="22"/>
          <w:szCs w:val="22"/>
        </w:rPr>
        <w:t>6</w:t>
      </w:r>
      <w:r w:rsidR="0097727C">
        <w:rPr>
          <w:sz w:val="22"/>
          <w:szCs w:val="22"/>
        </w:rPr>
        <w:t xml:space="preserve"> </w:t>
      </w:r>
      <w:r w:rsidR="008D0E50">
        <w:rPr>
          <w:sz w:val="22"/>
          <w:szCs w:val="22"/>
        </w:rPr>
        <w:t xml:space="preserve">is expected to </w:t>
      </w:r>
      <w:r w:rsidR="00C20DD3">
        <w:rPr>
          <w:sz w:val="22"/>
          <w:szCs w:val="22"/>
        </w:rPr>
        <w:t xml:space="preserve">continue to be </w:t>
      </w:r>
      <w:r w:rsidR="0097727C">
        <w:rPr>
          <w:sz w:val="22"/>
          <w:szCs w:val="22"/>
        </w:rPr>
        <w:t xml:space="preserve">based on the </w:t>
      </w:r>
      <w:r w:rsidR="0097727C" w:rsidRPr="00241900">
        <w:rPr>
          <w:sz w:val="22"/>
          <w:szCs w:val="22"/>
        </w:rPr>
        <w:t xml:space="preserve">financial definition of a </w:t>
      </w:r>
      <w:r w:rsidR="0097727C">
        <w:rPr>
          <w:sz w:val="22"/>
          <w:szCs w:val="22"/>
        </w:rPr>
        <w:t>‘</w:t>
      </w:r>
      <w:r w:rsidR="0097727C" w:rsidRPr="00241900">
        <w:rPr>
          <w:sz w:val="22"/>
          <w:szCs w:val="22"/>
        </w:rPr>
        <w:t>High Needs</w:t>
      </w:r>
      <w:r w:rsidR="0097727C">
        <w:rPr>
          <w:sz w:val="22"/>
          <w:szCs w:val="22"/>
        </w:rPr>
        <w:t>’ child or young person being one whose education, incorporating all additional support,</w:t>
      </w:r>
      <w:r w:rsidR="0097727C" w:rsidRPr="00241900">
        <w:rPr>
          <w:sz w:val="22"/>
          <w:szCs w:val="22"/>
        </w:rPr>
        <w:t xml:space="preserve"> costs more than £10,</w:t>
      </w:r>
      <w:r w:rsidR="0097727C">
        <w:rPr>
          <w:sz w:val="22"/>
          <w:szCs w:val="22"/>
        </w:rPr>
        <w:t>000 per annum. This threshold</w:t>
      </w:r>
      <w:r w:rsidR="0097727C" w:rsidRPr="00241900">
        <w:rPr>
          <w:sz w:val="22"/>
          <w:szCs w:val="22"/>
        </w:rPr>
        <w:t xml:space="preserve"> lays the foundation of </w:t>
      </w:r>
      <w:r w:rsidR="0097727C">
        <w:rPr>
          <w:sz w:val="22"/>
          <w:szCs w:val="22"/>
        </w:rPr>
        <w:t>the</w:t>
      </w:r>
      <w:r w:rsidR="00D32B81">
        <w:rPr>
          <w:sz w:val="22"/>
          <w:szCs w:val="22"/>
        </w:rPr>
        <w:t xml:space="preserve"> current</w:t>
      </w:r>
      <w:r w:rsidR="0097727C">
        <w:rPr>
          <w:sz w:val="22"/>
          <w:szCs w:val="22"/>
        </w:rPr>
        <w:t xml:space="preserve"> national</w:t>
      </w:r>
      <w:r w:rsidR="0097727C" w:rsidRPr="00241900">
        <w:rPr>
          <w:sz w:val="22"/>
          <w:szCs w:val="22"/>
        </w:rPr>
        <w:t xml:space="preserve"> </w:t>
      </w:r>
      <w:r w:rsidR="0097727C">
        <w:rPr>
          <w:sz w:val="22"/>
          <w:szCs w:val="22"/>
        </w:rPr>
        <w:t xml:space="preserve">‘Place Plus’ framework and </w:t>
      </w:r>
      <w:r w:rsidR="006656AE">
        <w:rPr>
          <w:sz w:val="22"/>
          <w:szCs w:val="22"/>
        </w:rPr>
        <w:t xml:space="preserve">is </w:t>
      </w:r>
      <w:r w:rsidR="0097727C">
        <w:rPr>
          <w:sz w:val="22"/>
          <w:szCs w:val="22"/>
        </w:rPr>
        <w:t>the basis of the definition of the financia</w:t>
      </w:r>
      <w:r w:rsidR="00396C07">
        <w:rPr>
          <w:sz w:val="22"/>
          <w:szCs w:val="22"/>
        </w:rPr>
        <w:t>l responsibility that</w:t>
      </w:r>
      <w:r w:rsidR="0097727C">
        <w:rPr>
          <w:sz w:val="22"/>
          <w:szCs w:val="22"/>
        </w:rPr>
        <w:t xml:space="preserve"> schools, academies</w:t>
      </w:r>
      <w:r w:rsidR="00E04283">
        <w:rPr>
          <w:sz w:val="22"/>
          <w:szCs w:val="22"/>
        </w:rPr>
        <w:t xml:space="preserve"> and other settings</w:t>
      </w:r>
      <w:r w:rsidR="0097727C">
        <w:rPr>
          <w:sz w:val="22"/>
          <w:szCs w:val="22"/>
        </w:rPr>
        <w:t xml:space="preserve"> have for meeting the needs of children and young people from their </w:t>
      </w:r>
      <w:r w:rsidR="00D32B81">
        <w:rPr>
          <w:sz w:val="22"/>
          <w:szCs w:val="22"/>
        </w:rPr>
        <w:t xml:space="preserve">already </w:t>
      </w:r>
      <w:r w:rsidR="0097727C">
        <w:rPr>
          <w:sz w:val="22"/>
          <w:szCs w:val="22"/>
        </w:rPr>
        <w:t xml:space="preserve">delegated </w:t>
      </w:r>
      <w:r w:rsidR="00E04283">
        <w:rPr>
          <w:sz w:val="22"/>
          <w:szCs w:val="22"/>
        </w:rPr>
        <w:t>formula funding-</w:t>
      </w:r>
      <w:r w:rsidR="00461B30">
        <w:rPr>
          <w:sz w:val="22"/>
          <w:szCs w:val="22"/>
        </w:rPr>
        <w:t xml:space="preserve">based </w:t>
      </w:r>
      <w:r w:rsidR="0097727C">
        <w:rPr>
          <w:sz w:val="22"/>
          <w:szCs w:val="22"/>
        </w:rPr>
        <w:t>budgets.</w:t>
      </w:r>
    </w:p>
    <w:p w14:paraId="361E3A24" w14:textId="77777777" w:rsidR="0097727C" w:rsidRDefault="0097727C" w:rsidP="00D10737">
      <w:pPr>
        <w:jc w:val="both"/>
        <w:rPr>
          <w:sz w:val="22"/>
          <w:szCs w:val="22"/>
        </w:rPr>
      </w:pPr>
    </w:p>
    <w:p w14:paraId="40A94142" w14:textId="77777777" w:rsidR="005657A2" w:rsidRPr="00E04283" w:rsidRDefault="002364E2" w:rsidP="00D10737">
      <w:pPr>
        <w:jc w:val="both"/>
        <w:rPr>
          <w:sz w:val="22"/>
          <w:szCs w:val="22"/>
        </w:rPr>
      </w:pPr>
      <w:r w:rsidRPr="00E04283">
        <w:rPr>
          <w:sz w:val="22"/>
          <w:szCs w:val="22"/>
        </w:rPr>
        <w:t>4</w:t>
      </w:r>
      <w:r w:rsidR="0097727C" w:rsidRPr="00E04283">
        <w:rPr>
          <w:sz w:val="22"/>
          <w:szCs w:val="22"/>
        </w:rPr>
        <w:t xml:space="preserve">.2 </w:t>
      </w:r>
      <w:r w:rsidR="00AE7795" w:rsidRPr="00E04283">
        <w:rPr>
          <w:sz w:val="22"/>
          <w:szCs w:val="22"/>
        </w:rPr>
        <w:t>High needs funding has two parts a) core (or place</w:t>
      </w:r>
      <w:r w:rsidR="006656AE" w:rsidRPr="00E04283">
        <w:rPr>
          <w:sz w:val="22"/>
          <w:szCs w:val="22"/>
        </w:rPr>
        <w:t>-element</w:t>
      </w:r>
      <w:r w:rsidR="00AE7795" w:rsidRPr="00E04283">
        <w:rPr>
          <w:sz w:val="22"/>
          <w:szCs w:val="22"/>
        </w:rPr>
        <w:t>) funding and b) top-up (or plus) funding.</w:t>
      </w:r>
      <w:r w:rsidR="00CC0DA3" w:rsidRPr="00E04283">
        <w:rPr>
          <w:sz w:val="22"/>
          <w:szCs w:val="22"/>
        </w:rPr>
        <w:t xml:space="preserve"> The grid at Appendix 1 sets out in summary how this system operates</w:t>
      </w:r>
      <w:r w:rsidR="00A25FAD" w:rsidRPr="00E04283">
        <w:rPr>
          <w:sz w:val="22"/>
          <w:szCs w:val="22"/>
        </w:rPr>
        <w:t>, and how these two part</w:t>
      </w:r>
      <w:r w:rsidR="00FC5E2D" w:rsidRPr="00E04283">
        <w:rPr>
          <w:sz w:val="22"/>
          <w:szCs w:val="22"/>
        </w:rPr>
        <w:t>s</w:t>
      </w:r>
      <w:r w:rsidR="00A25FAD" w:rsidRPr="00E04283">
        <w:rPr>
          <w:sz w:val="22"/>
          <w:szCs w:val="22"/>
        </w:rPr>
        <w:t xml:space="preserve"> work together,</w:t>
      </w:r>
      <w:r w:rsidR="00CC0DA3" w:rsidRPr="00E04283">
        <w:rPr>
          <w:sz w:val="22"/>
          <w:szCs w:val="22"/>
        </w:rPr>
        <w:t xml:space="preserve"> for each main type of provider.</w:t>
      </w:r>
    </w:p>
    <w:p w14:paraId="38395413" w14:textId="77777777" w:rsidR="005657A2" w:rsidRDefault="005657A2" w:rsidP="00D10737">
      <w:pPr>
        <w:jc w:val="both"/>
        <w:rPr>
          <w:sz w:val="22"/>
          <w:szCs w:val="22"/>
        </w:rPr>
      </w:pPr>
    </w:p>
    <w:p w14:paraId="0A5B213E" w14:textId="33047D2B" w:rsidR="006F3C02" w:rsidRDefault="002364E2" w:rsidP="00D10737">
      <w:pPr>
        <w:jc w:val="both"/>
        <w:rPr>
          <w:sz w:val="22"/>
          <w:szCs w:val="22"/>
        </w:rPr>
      </w:pPr>
      <w:r>
        <w:rPr>
          <w:sz w:val="22"/>
          <w:szCs w:val="22"/>
        </w:rPr>
        <w:t>4</w:t>
      </w:r>
      <w:r w:rsidR="00156D01">
        <w:rPr>
          <w:sz w:val="22"/>
          <w:szCs w:val="22"/>
        </w:rPr>
        <w:t xml:space="preserve">.3 </w:t>
      </w:r>
      <w:r w:rsidR="006F3C02">
        <w:rPr>
          <w:sz w:val="22"/>
          <w:szCs w:val="22"/>
        </w:rPr>
        <w:t>Core (or place</w:t>
      </w:r>
      <w:r w:rsidR="006656AE">
        <w:rPr>
          <w:sz w:val="22"/>
          <w:szCs w:val="22"/>
        </w:rPr>
        <w:t>-element</w:t>
      </w:r>
      <w:r w:rsidR="006F3C02">
        <w:rPr>
          <w:sz w:val="22"/>
          <w:szCs w:val="22"/>
        </w:rPr>
        <w:t xml:space="preserve">) funding for </w:t>
      </w:r>
      <w:r w:rsidR="002C458B">
        <w:rPr>
          <w:sz w:val="22"/>
          <w:szCs w:val="22"/>
        </w:rPr>
        <w:t xml:space="preserve">Bradford’s </w:t>
      </w:r>
      <w:r w:rsidR="007A50D0">
        <w:rPr>
          <w:sz w:val="22"/>
          <w:szCs w:val="22"/>
        </w:rPr>
        <w:t>stand-alone</w:t>
      </w:r>
      <w:r w:rsidR="00150971">
        <w:rPr>
          <w:sz w:val="22"/>
          <w:szCs w:val="22"/>
        </w:rPr>
        <w:t xml:space="preserve"> </w:t>
      </w:r>
      <w:r w:rsidR="004F1E2F">
        <w:rPr>
          <w:sz w:val="22"/>
          <w:szCs w:val="22"/>
        </w:rPr>
        <w:t xml:space="preserve">maintained </w:t>
      </w:r>
      <w:r w:rsidR="006F3C02">
        <w:rPr>
          <w:sz w:val="22"/>
          <w:szCs w:val="22"/>
        </w:rPr>
        <w:t xml:space="preserve">special schools and </w:t>
      </w:r>
      <w:r w:rsidR="004F1E2F">
        <w:rPr>
          <w:sz w:val="22"/>
          <w:szCs w:val="22"/>
        </w:rPr>
        <w:t xml:space="preserve">special </w:t>
      </w:r>
      <w:r w:rsidR="00796B2A">
        <w:rPr>
          <w:sz w:val="22"/>
          <w:szCs w:val="22"/>
        </w:rPr>
        <w:t xml:space="preserve">school </w:t>
      </w:r>
      <w:r w:rsidR="006F3C02">
        <w:rPr>
          <w:sz w:val="22"/>
          <w:szCs w:val="22"/>
        </w:rPr>
        <w:t>academies, and for PRUs</w:t>
      </w:r>
      <w:r w:rsidR="00EA2EFE">
        <w:rPr>
          <w:sz w:val="22"/>
          <w:szCs w:val="22"/>
        </w:rPr>
        <w:t xml:space="preserve"> and Alternative Provision (AP)</w:t>
      </w:r>
      <w:r w:rsidR="00B85531">
        <w:rPr>
          <w:sz w:val="22"/>
          <w:szCs w:val="22"/>
        </w:rPr>
        <w:t xml:space="preserve"> academies</w:t>
      </w:r>
      <w:r w:rsidR="00973F70">
        <w:rPr>
          <w:sz w:val="22"/>
          <w:szCs w:val="22"/>
        </w:rPr>
        <w:t>,</w:t>
      </w:r>
      <w:r w:rsidR="00B67F4F">
        <w:rPr>
          <w:sz w:val="22"/>
          <w:szCs w:val="22"/>
        </w:rPr>
        <w:t xml:space="preserve"> </w:t>
      </w:r>
      <w:r w:rsidR="00C41CF3">
        <w:rPr>
          <w:sz w:val="22"/>
          <w:szCs w:val="22"/>
        </w:rPr>
        <w:t xml:space="preserve">is set at </w:t>
      </w:r>
      <w:r w:rsidR="00242E4B">
        <w:rPr>
          <w:sz w:val="22"/>
          <w:szCs w:val="22"/>
        </w:rPr>
        <w:t>the national</w:t>
      </w:r>
      <w:r w:rsidR="00663F76">
        <w:rPr>
          <w:sz w:val="22"/>
          <w:szCs w:val="22"/>
        </w:rPr>
        <w:t xml:space="preserve"> annual</w:t>
      </w:r>
      <w:r w:rsidR="00242E4B">
        <w:rPr>
          <w:sz w:val="22"/>
          <w:szCs w:val="22"/>
        </w:rPr>
        <w:t xml:space="preserve"> value of </w:t>
      </w:r>
      <w:r w:rsidR="006F3C02">
        <w:rPr>
          <w:sz w:val="22"/>
          <w:szCs w:val="22"/>
        </w:rPr>
        <w:t>£10,</w:t>
      </w:r>
      <w:r w:rsidR="00FC5E2D">
        <w:rPr>
          <w:sz w:val="22"/>
          <w:szCs w:val="22"/>
        </w:rPr>
        <w:t xml:space="preserve">000 for </w:t>
      </w:r>
      <w:r w:rsidR="00285D75">
        <w:rPr>
          <w:sz w:val="22"/>
          <w:szCs w:val="22"/>
        </w:rPr>
        <w:t xml:space="preserve">all </w:t>
      </w:r>
      <w:r w:rsidR="00FC5E2D">
        <w:rPr>
          <w:sz w:val="22"/>
          <w:szCs w:val="22"/>
        </w:rPr>
        <w:t>pre-16 aged placements. T</w:t>
      </w:r>
      <w:r w:rsidR="002310A6">
        <w:rPr>
          <w:sz w:val="22"/>
          <w:szCs w:val="22"/>
        </w:rPr>
        <w:t>he value for post-</w:t>
      </w:r>
      <w:r w:rsidR="006F3C02">
        <w:rPr>
          <w:sz w:val="22"/>
          <w:szCs w:val="22"/>
        </w:rPr>
        <w:t>16 placements</w:t>
      </w:r>
      <w:r w:rsidR="0027601E">
        <w:rPr>
          <w:sz w:val="22"/>
          <w:szCs w:val="22"/>
        </w:rPr>
        <w:t xml:space="preserve"> in special schools and </w:t>
      </w:r>
      <w:r w:rsidR="007B5DCB">
        <w:rPr>
          <w:sz w:val="22"/>
          <w:szCs w:val="22"/>
        </w:rPr>
        <w:t xml:space="preserve">special school </w:t>
      </w:r>
      <w:r w:rsidR="0027601E">
        <w:rPr>
          <w:sz w:val="22"/>
          <w:szCs w:val="22"/>
        </w:rPr>
        <w:t>academies</w:t>
      </w:r>
      <w:r w:rsidR="006F3C02">
        <w:rPr>
          <w:sz w:val="22"/>
          <w:szCs w:val="22"/>
        </w:rPr>
        <w:t xml:space="preserve"> is slightly enhanced</w:t>
      </w:r>
      <w:r w:rsidR="00020421">
        <w:rPr>
          <w:sz w:val="22"/>
          <w:szCs w:val="22"/>
        </w:rPr>
        <w:t xml:space="preserve"> </w:t>
      </w:r>
      <w:r w:rsidR="006F3C02">
        <w:rPr>
          <w:sz w:val="22"/>
          <w:szCs w:val="22"/>
        </w:rPr>
        <w:t xml:space="preserve">by the </w:t>
      </w:r>
      <w:r w:rsidR="00487221">
        <w:rPr>
          <w:sz w:val="22"/>
          <w:szCs w:val="22"/>
        </w:rPr>
        <w:t>higher value of E</w:t>
      </w:r>
      <w:r w:rsidR="006F3C02">
        <w:rPr>
          <w:sz w:val="22"/>
          <w:szCs w:val="22"/>
        </w:rPr>
        <w:t>lement 1 funding in the p</w:t>
      </w:r>
      <w:r w:rsidR="002310A6">
        <w:rPr>
          <w:sz w:val="22"/>
          <w:szCs w:val="22"/>
        </w:rPr>
        <w:t>ost-</w:t>
      </w:r>
      <w:r w:rsidR="00FC5E2D">
        <w:rPr>
          <w:sz w:val="22"/>
          <w:szCs w:val="22"/>
        </w:rPr>
        <w:t>16 national funding formula</w:t>
      </w:r>
      <w:r w:rsidR="006F3C02">
        <w:rPr>
          <w:sz w:val="22"/>
          <w:szCs w:val="22"/>
        </w:rPr>
        <w:t xml:space="preserve">. </w:t>
      </w:r>
      <w:r w:rsidR="00C41CF3">
        <w:rPr>
          <w:sz w:val="22"/>
          <w:szCs w:val="22"/>
        </w:rPr>
        <w:t>P</w:t>
      </w:r>
      <w:r w:rsidR="00663F76">
        <w:rPr>
          <w:sz w:val="22"/>
          <w:szCs w:val="22"/>
        </w:rPr>
        <w:t>lace</w:t>
      </w:r>
      <w:r w:rsidR="00F50ACD">
        <w:rPr>
          <w:sz w:val="22"/>
          <w:szCs w:val="22"/>
        </w:rPr>
        <w:t>-element</w:t>
      </w:r>
      <w:r w:rsidR="00663F76">
        <w:rPr>
          <w:sz w:val="22"/>
          <w:szCs w:val="22"/>
        </w:rPr>
        <w:t xml:space="preserve"> funding is allocated on the</w:t>
      </w:r>
      <w:r w:rsidR="00C41CF3">
        <w:rPr>
          <w:sz w:val="22"/>
          <w:szCs w:val="22"/>
        </w:rPr>
        <w:t xml:space="preserve"> </w:t>
      </w:r>
      <w:r w:rsidR="00063E83">
        <w:rPr>
          <w:sz w:val="22"/>
          <w:szCs w:val="22"/>
        </w:rPr>
        <w:t>agreed number of places</w:t>
      </w:r>
      <w:r w:rsidR="00407B13">
        <w:rPr>
          <w:sz w:val="22"/>
          <w:szCs w:val="22"/>
        </w:rPr>
        <w:t xml:space="preserve"> </w:t>
      </w:r>
      <w:r w:rsidR="00C41CF3">
        <w:rPr>
          <w:sz w:val="22"/>
          <w:szCs w:val="22"/>
        </w:rPr>
        <w:t>commission</w:t>
      </w:r>
      <w:r w:rsidR="00407B13">
        <w:rPr>
          <w:sz w:val="22"/>
          <w:szCs w:val="22"/>
        </w:rPr>
        <w:t xml:space="preserve">ed both by Bradford Council and </w:t>
      </w:r>
      <w:r w:rsidR="002C458B">
        <w:rPr>
          <w:sz w:val="22"/>
          <w:szCs w:val="22"/>
        </w:rPr>
        <w:t xml:space="preserve">by </w:t>
      </w:r>
      <w:r w:rsidR="00407B13">
        <w:rPr>
          <w:sz w:val="22"/>
          <w:szCs w:val="22"/>
        </w:rPr>
        <w:t>other local authorities</w:t>
      </w:r>
      <w:r w:rsidR="00C41CF3">
        <w:rPr>
          <w:sz w:val="22"/>
          <w:szCs w:val="22"/>
        </w:rPr>
        <w:t>.</w:t>
      </w:r>
      <w:r w:rsidR="004F1E2F">
        <w:rPr>
          <w:sz w:val="22"/>
          <w:szCs w:val="22"/>
        </w:rPr>
        <w:t xml:space="preserve"> A</w:t>
      </w:r>
      <w:r w:rsidR="002C458B">
        <w:rPr>
          <w:sz w:val="22"/>
          <w:szCs w:val="22"/>
        </w:rPr>
        <w:t xml:space="preserve"> Bradford-located</w:t>
      </w:r>
      <w:r w:rsidR="004F1E2F">
        <w:rPr>
          <w:sz w:val="22"/>
          <w:szCs w:val="22"/>
        </w:rPr>
        <w:t xml:space="preserve"> institution </w:t>
      </w:r>
      <w:r w:rsidR="00407B13">
        <w:rPr>
          <w:sz w:val="22"/>
          <w:szCs w:val="22"/>
        </w:rPr>
        <w:t>is allocated place</w:t>
      </w:r>
      <w:r w:rsidR="00F50ACD">
        <w:rPr>
          <w:sz w:val="22"/>
          <w:szCs w:val="22"/>
        </w:rPr>
        <w:t>-element</w:t>
      </w:r>
      <w:r w:rsidR="00407B13">
        <w:rPr>
          <w:sz w:val="22"/>
          <w:szCs w:val="22"/>
        </w:rPr>
        <w:t xml:space="preserve"> funding</w:t>
      </w:r>
      <w:r w:rsidR="002C458B">
        <w:rPr>
          <w:sz w:val="22"/>
          <w:szCs w:val="22"/>
        </w:rPr>
        <w:t xml:space="preserve"> by Bradford</w:t>
      </w:r>
      <w:r w:rsidR="00407B13">
        <w:rPr>
          <w:sz w:val="22"/>
          <w:szCs w:val="22"/>
        </w:rPr>
        <w:t xml:space="preserve"> </w:t>
      </w:r>
      <w:r w:rsidR="001C16B5">
        <w:rPr>
          <w:sz w:val="22"/>
          <w:szCs w:val="22"/>
        </w:rPr>
        <w:t>Council for</w:t>
      </w:r>
      <w:r w:rsidR="00B82DC3">
        <w:rPr>
          <w:sz w:val="22"/>
          <w:szCs w:val="22"/>
        </w:rPr>
        <w:t xml:space="preserve"> its</w:t>
      </w:r>
      <w:r w:rsidR="00407B13">
        <w:rPr>
          <w:sz w:val="22"/>
          <w:szCs w:val="22"/>
        </w:rPr>
        <w:t xml:space="preserve"> to</w:t>
      </w:r>
      <w:r w:rsidR="004F1E2F">
        <w:rPr>
          <w:sz w:val="22"/>
          <w:szCs w:val="22"/>
        </w:rPr>
        <w:t>tal number of high needs places</w:t>
      </w:r>
      <w:r w:rsidR="00EA2EFE">
        <w:rPr>
          <w:sz w:val="22"/>
          <w:szCs w:val="22"/>
        </w:rPr>
        <w:t>,</w:t>
      </w:r>
      <w:r w:rsidR="00407B13">
        <w:rPr>
          <w:sz w:val="22"/>
          <w:szCs w:val="22"/>
        </w:rPr>
        <w:t xml:space="preserve"> irrespective of where the pupil resides.</w:t>
      </w:r>
      <w:r w:rsidR="00C41CF3">
        <w:rPr>
          <w:sz w:val="22"/>
          <w:szCs w:val="22"/>
        </w:rPr>
        <w:t xml:space="preserve"> </w:t>
      </w:r>
      <w:r w:rsidR="00063E83">
        <w:rPr>
          <w:sz w:val="22"/>
          <w:szCs w:val="22"/>
        </w:rPr>
        <w:t>This p</w:t>
      </w:r>
      <w:r w:rsidR="00C41CF3">
        <w:rPr>
          <w:sz w:val="22"/>
          <w:szCs w:val="22"/>
        </w:rPr>
        <w:t>lace</w:t>
      </w:r>
      <w:r w:rsidR="00F50ACD">
        <w:rPr>
          <w:sz w:val="22"/>
          <w:szCs w:val="22"/>
        </w:rPr>
        <w:t>-element</w:t>
      </w:r>
      <w:r w:rsidR="00C41CF3">
        <w:rPr>
          <w:sz w:val="22"/>
          <w:szCs w:val="22"/>
        </w:rPr>
        <w:t xml:space="preserve"> funding is allocated </w:t>
      </w:r>
      <w:r w:rsidR="00565BC0">
        <w:rPr>
          <w:sz w:val="22"/>
          <w:szCs w:val="22"/>
        </w:rPr>
        <w:t>to support the institution’s</w:t>
      </w:r>
      <w:r w:rsidR="00943EB6">
        <w:rPr>
          <w:sz w:val="22"/>
          <w:szCs w:val="22"/>
        </w:rPr>
        <w:t xml:space="preserve"> core costs</w:t>
      </w:r>
      <w:r w:rsidR="00487221">
        <w:rPr>
          <w:sz w:val="22"/>
          <w:szCs w:val="22"/>
        </w:rPr>
        <w:t xml:space="preserve"> (E</w:t>
      </w:r>
      <w:r w:rsidR="00565BC0">
        <w:rPr>
          <w:sz w:val="22"/>
          <w:szCs w:val="22"/>
        </w:rPr>
        <w:t>lement 1)</w:t>
      </w:r>
      <w:r w:rsidR="00943EB6">
        <w:rPr>
          <w:sz w:val="22"/>
          <w:szCs w:val="22"/>
        </w:rPr>
        <w:t xml:space="preserve"> and also to contribute to the additional costs associated with meeting the </w:t>
      </w:r>
      <w:r w:rsidR="004F1E2F">
        <w:rPr>
          <w:sz w:val="22"/>
          <w:szCs w:val="22"/>
        </w:rPr>
        <w:t xml:space="preserve">additional </w:t>
      </w:r>
      <w:r w:rsidR="00943EB6">
        <w:rPr>
          <w:sz w:val="22"/>
          <w:szCs w:val="22"/>
        </w:rPr>
        <w:t>needs of the child or y</w:t>
      </w:r>
      <w:r w:rsidR="001D7005">
        <w:rPr>
          <w:sz w:val="22"/>
          <w:szCs w:val="22"/>
        </w:rPr>
        <w:t>oung person</w:t>
      </w:r>
      <w:r w:rsidR="00487221">
        <w:rPr>
          <w:sz w:val="22"/>
          <w:szCs w:val="22"/>
        </w:rPr>
        <w:t xml:space="preserve"> (E</w:t>
      </w:r>
      <w:r w:rsidR="00565BC0">
        <w:rPr>
          <w:sz w:val="22"/>
          <w:szCs w:val="22"/>
        </w:rPr>
        <w:t>lement 2)</w:t>
      </w:r>
      <w:r w:rsidR="00943EB6">
        <w:rPr>
          <w:sz w:val="22"/>
          <w:szCs w:val="22"/>
        </w:rPr>
        <w:t>. However, it is not ‘pupil specific’</w:t>
      </w:r>
      <w:r w:rsidR="004F1E2F">
        <w:rPr>
          <w:sz w:val="22"/>
          <w:szCs w:val="22"/>
        </w:rPr>
        <w:t>. P</w:t>
      </w:r>
      <w:r w:rsidR="00943EB6">
        <w:rPr>
          <w:sz w:val="22"/>
          <w:szCs w:val="22"/>
        </w:rPr>
        <w:t>lace</w:t>
      </w:r>
      <w:r w:rsidR="00F50ACD">
        <w:rPr>
          <w:sz w:val="22"/>
          <w:szCs w:val="22"/>
        </w:rPr>
        <w:t>-element</w:t>
      </w:r>
      <w:r w:rsidR="00943EB6">
        <w:rPr>
          <w:sz w:val="22"/>
          <w:szCs w:val="22"/>
        </w:rPr>
        <w:t xml:space="preserve"> funding is set before the start </w:t>
      </w:r>
      <w:r w:rsidR="00416BC2">
        <w:rPr>
          <w:sz w:val="22"/>
          <w:szCs w:val="22"/>
        </w:rPr>
        <w:t>of the financial year and isn’t</w:t>
      </w:r>
      <w:r w:rsidR="004D16BC">
        <w:rPr>
          <w:sz w:val="22"/>
          <w:szCs w:val="22"/>
        </w:rPr>
        <w:t xml:space="preserve"> </w:t>
      </w:r>
      <w:r w:rsidR="00943EB6">
        <w:rPr>
          <w:sz w:val="22"/>
          <w:szCs w:val="22"/>
        </w:rPr>
        <w:t xml:space="preserve">withdrawn if an individual place is not occupied. </w:t>
      </w:r>
      <w:r w:rsidR="001D7005">
        <w:rPr>
          <w:sz w:val="22"/>
          <w:szCs w:val="22"/>
        </w:rPr>
        <w:t>It is up to the institution</w:t>
      </w:r>
      <w:r w:rsidR="001E437E">
        <w:rPr>
          <w:sz w:val="22"/>
          <w:szCs w:val="22"/>
        </w:rPr>
        <w:t xml:space="preserve"> to decide how best to apportion their total allocated place</w:t>
      </w:r>
      <w:r w:rsidR="00F50ACD">
        <w:rPr>
          <w:sz w:val="22"/>
          <w:szCs w:val="22"/>
        </w:rPr>
        <w:t>-element</w:t>
      </w:r>
      <w:r w:rsidR="001E437E">
        <w:rPr>
          <w:sz w:val="22"/>
          <w:szCs w:val="22"/>
        </w:rPr>
        <w:t xml:space="preserve"> funding across the actual number of places</w:t>
      </w:r>
      <w:r w:rsidR="00407B13">
        <w:rPr>
          <w:sz w:val="22"/>
          <w:szCs w:val="22"/>
        </w:rPr>
        <w:t xml:space="preserve"> commissioned by</w:t>
      </w:r>
      <w:r w:rsidR="002151F4">
        <w:rPr>
          <w:sz w:val="22"/>
          <w:szCs w:val="22"/>
        </w:rPr>
        <w:t xml:space="preserve"> the Local Authority</w:t>
      </w:r>
      <w:r w:rsidR="00407B13">
        <w:rPr>
          <w:sz w:val="22"/>
          <w:szCs w:val="22"/>
        </w:rPr>
        <w:t>.</w:t>
      </w:r>
      <w:r w:rsidR="002C458B">
        <w:rPr>
          <w:sz w:val="22"/>
          <w:szCs w:val="22"/>
        </w:rPr>
        <w:t xml:space="preserve"> Additional place</w:t>
      </w:r>
      <w:r w:rsidR="00F50ACD">
        <w:rPr>
          <w:sz w:val="22"/>
          <w:szCs w:val="22"/>
        </w:rPr>
        <w:t>-element</w:t>
      </w:r>
      <w:r w:rsidR="002C458B">
        <w:rPr>
          <w:sz w:val="22"/>
          <w:szCs w:val="22"/>
        </w:rPr>
        <w:t xml:space="preserve"> funding, where an institution</w:t>
      </w:r>
      <w:r w:rsidR="00D27E3C">
        <w:rPr>
          <w:sz w:val="22"/>
          <w:szCs w:val="22"/>
        </w:rPr>
        <w:t>’</w:t>
      </w:r>
      <w:r w:rsidR="002C458B">
        <w:rPr>
          <w:sz w:val="22"/>
          <w:szCs w:val="22"/>
        </w:rPr>
        <w:t>s</w:t>
      </w:r>
      <w:r w:rsidR="00F32D1B">
        <w:rPr>
          <w:sz w:val="22"/>
          <w:szCs w:val="22"/>
        </w:rPr>
        <w:t xml:space="preserve"> number on ro</w:t>
      </w:r>
      <w:r w:rsidR="00406F67">
        <w:rPr>
          <w:sz w:val="22"/>
          <w:szCs w:val="22"/>
        </w:rPr>
        <w:t xml:space="preserve">ll exceeds the number of places during the </w:t>
      </w:r>
      <w:r w:rsidR="00F32D1B">
        <w:rPr>
          <w:sz w:val="22"/>
          <w:szCs w:val="22"/>
        </w:rPr>
        <w:t xml:space="preserve">year, is </w:t>
      </w:r>
      <w:r w:rsidR="00F32D1B" w:rsidRPr="00867A95">
        <w:rPr>
          <w:sz w:val="22"/>
          <w:szCs w:val="22"/>
        </w:rPr>
        <w:t>allocated</w:t>
      </w:r>
      <w:r w:rsidR="002C458B">
        <w:rPr>
          <w:sz w:val="22"/>
          <w:szCs w:val="22"/>
        </w:rPr>
        <w:t xml:space="preserve"> by Bradford Council</w:t>
      </w:r>
      <w:r w:rsidR="00F32D1B">
        <w:rPr>
          <w:sz w:val="22"/>
          <w:szCs w:val="22"/>
        </w:rPr>
        <w:t>. A</w:t>
      </w:r>
      <w:r w:rsidR="00F32D1B" w:rsidRPr="00867A95">
        <w:rPr>
          <w:sz w:val="22"/>
          <w:szCs w:val="22"/>
        </w:rPr>
        <w:t xml:space="preserve">n </w:t>
      </w:r>
      <w:r w:rsidR="00F32D1B">
        <w:rPr>
          <w:sz w:val="22"/>
          <w:szCs w:val="22"/>
        </w:rPr>
        <w:t>end of year reconciliation is actioned</w:t>
      </w:r>
      <w:r w:rsidR="003B20B0">
        <w:rPr>
          <w:sz w:val="22"/>
          <w:szCs w:val="22"/>
        </w:rPr>
        <w:t>,</w:t>
      </w:r>
      <w:r w:rsidR="00744F2E">
        <w:rPr>
          <w:sz w:val="22"/>
          <w:szCs w:val="22"/>
        </w:rPr>
        <w:t xml:space="preserve"> however</w:t>
      </w:r>
      <w:r w:rsidR="00F32D1B">
        <w:rPr>
          <w:sz w:val="22"/>
          <w:szCs w:val="22"/>
        </w:rPr>
        <w:t xml:space="preserve">, </w:t>
      </w:r>
      <w:r w:rsidR="00917578">
        <w:rPr>
          <w:sz w:val="22"/>
          <w:szCs w:val="22"/>
        </w:rPr>
        <w:t>where</w:t>
      </w:r>
      <w:r w:rsidR="002C458B">
        <w:rPr>
          <w:sz w:val="22"/>
          <w:szCs w:val="22"/>
        </w:rPr>
        <w:t xml:space="preserve"> an</w:t>
      </w:r>
      <w:r w:rsidR="00F862DA">
        <w:rPr>
          <w:sz w:val="22"/>
          <w:szCs w:val="22"/>
        </w:rPr>
        <w:t>y</w:t>
      </w:r>
      <w:r w:rsidR="002C458B">
        <w:rPr>
          <w:sz w:val="22"/>
          <w:szCs w:val="22"/>
        </w:rPr>
        <w:t xml:space="preserve"> </w:t>
      </w:r>
      <w:r w:rsidR="00D32B81">
        <w:rPr>
          <w:sz w:val="22"/>
          <w:szCs w:val="22"/>
        </w:rPr>
        <w:t xml:space="preserve">additional </w:t>
      </w:r>
      <w:r w:rsidR="00F32D1B" w:rsidRPr="00867A95">
        <w:rPr>
          <w:sz w:val="22"/>
          <w:szCs w:val="22"/>
        </w:rPr>
        <w:t>place</w:t>
      </w:r>
      <w:r w:rsidR="00F50ACD">
        <w:rPr>
          <w:sz w:val="22"/>
          <w:szCs w:val="22"/>
        </w:rPr>
        <w:t>-element</w:t>
      </w:r>
      <w:r w:rsidR="00F32D1B" w:rsidRPr="00867A95">
        <w:rPr>
          <w:sz w:val="22"/>
          <w:szCs w:val="22"/>
        </w:rPr>
        <w:t xml:space="preserve"> funding</w:t>
      </w:r>
      <w:r w:rsidR="00F862DA">
        <w:rPr>
          <w:sz w:val="22"/>
          <w:szCs w:val="22"/>
        </w:rPr>
        <w:t xml:space="preserve"> allocated to an institution</w:t>
      </w:r>
      <w:r w:rsidR="00285D75">
        <w:rPr>
          <w:sz w:val="22"/>
          <w:szCs w:val="22"/>
        </w:rPr>
        <w:t xml:space="preserve"> will be</w:t>
      </w:r>
      <w:r w:rsidR="00F862DA">
        <w:rPr>
          <w:sz w:val="22"/>
          <w:szCs w:val="22"/>
        </w:rPr>
        <w:t xml:space="preserve"> removed</w:t>
      </w:r>
      <w:r w:rsidR="00F32D1B" w:rsidRPr="00867A95">
        <w:rPr>
          <w:sz w:val="22"/>
          <w:szCs w:val="22"/>
        </w:rPr>
        <w:t xml:space="preserve"> </w:t>
      </w:r>
      <w:r w:rsidR="002C458B">
        <w:rPr>
          <w:sz w:val="22"/>
          <w:szCs w:val="22"/>
        </w:rPr>
        <w:t>if the institution</w:t>
      </w:r>
      <w:r w:rsidR="00F32D1B" w:rsidRPr="00867A95">
        <w:rPr>
          <w:sz w:val="22"/>
          <w:szCs w:val="22"/>
        </w:rPr>
        <w:t xml:space="preserve"> has been allocated too mu</w:t>
      </w:r>
      <w:r w:rsidR="00D27E3C">
        <w:rPr>
          <w:sz w:val="22"/>
          <w:szCs w:val="22"/>
        </w:rPr>
        <w:t>ch additional place</w:t>
      </w:r>
      <w:r w:rsidR="00F50ACD">
        <w:rPr>
          <w:sz w:val="22"/>
          <w:szCs w:val="22"/>
        </w:rPr>
        <w:t>-element</w:t>
      </w:r>
      <w:r w:rsidR="002C458B">
        <w:rPr>
          <w:sz w:val="22"/>
          <w:szCs w:val="22"/>
        </w:rPr>
        <w:t xml:space="preserve"> funding when its actual</w:t>
      </w:r>
      <w:r w:rsidR="00F32D1B" w:rsidRPr="00867A95">
        <w:rPr>
          <w:sz w:val="22"/>
          <w:szCs w:val="22"/>
        </w:rPr>
        <w:t xml:space="preserve"> annual composite occupancy</w:t>
      </w:r>
      <w:r w:rsidR="002C458B">
        <w:rPr>
          <w:sz w:val="22"/>
          <w:szCs w:val="22"/>
        </w:rPr>
        <w:t xml:space="preserve"> is calculated</w:t>
      </w:r>
      <w:r w:rsidR="00F50ACD">
        <w:rPr>
          <w:sz w:val="22"/>
          <w:szCs w:val="22"/>
        </w:rPr>
        <w:t xml:space="preserve"> based on the recorded occupancy each month</w:t>
      </w:r>
      <w:r w:rsidR="00F32D1B">
        <w:rPr>
          <w:sz w:val="22"/>
          <w:szCs w:val="22"/>
        </w:rPr>
        <w:t>.</w:t>
      </w:r>
    </w:p>
    <w:p w14:paraId="6516EDCF" w14:textId="77777777" w:rsidR="009B1D6F" w:rsidRDefault="009B1D6F" w:rsidP="00D10737">
      <w:pPr>
        <w:jc w:val="both"/>
        <w:rPr>
          <w:sz w:val="22"/>
          <w:szCs w:val="22"/>
        </w:rPr>
      </w:pPr>
    </w:p>
    <w:p w14:paraId="3BAE176F" w14:textId="09845B33" w:rsidR="009B1D6F" w:rsidRDefault="002364E2" w:rsidP="00D10737">
      <w:pPr>
        <w:jc w:val="both"/>
        <w:rPr>
          <w:sz w:val="22"/>
          <w:szCs w:val="22"/>
        </w:rPr>
      </w:pPr>
      <w:r>
        <w:rPr>
          <w:sz w:val="22"/>
          <w:szCs w:val="22"/>
        </w:rPr>
        <w:t>4</w:t>
      </w:r>
      <w:r w:rsidR="009B1D6F">
        <w:rPr>
          <w:sz w:val="22"/>
          <w:szCs w:val="22"/>
        </w:rPr>
        <w:t>.4 Place</w:t>
      </w:r>
      <w:r w:rsidR="00B24B38">
        <w:rPr>
          <w:sz w:val="22"/>
          <w:szCs w:val="22"/>
        </w:rPr>
        <w:t>-element</w:t>
      </w:r>
      <w:r w:rsidR="009B1D6F">
        <w:rPr>
          <w:sz w:val="22"/>
          <w:szCs w:val="22"/>
        </w:rPr>
        <w:t xml:space="preserve"> funding for </w:t>
      </w:r>
      <w:r w:rsidR="00150971">
        <w:rPr>
          <w:sz w:val="22"/>
          <w:szCs w:val="22"/>
        </w:rPr>
        <w:t xml:space="preserve">Bradford’s </w:t>
      </w:r>
      <w:r w:rsidR="00FB71B4">
        <w:rPr>
          <w:sz w:val="22"/>
          <w:szCs w:val="22"/>
        </w:rPr>
        <w:t xml:space="preserve">School-led </w:t>
      </w:r>
      <w:r w:rsidR="00084624">
        <w:rPr>
          <w:sz w:val="22"/>
          <w:szCs w:val="22"/>
        </w:rPr>
        <w:t xml:space="preserve">resourced </w:t>
      </w:r>
      <w:r w:rsidR="00BE5903">
        <w:rPr>
          <w:sz w:val="22"/>
          <w:szCs w:val="22"/>
        </w:rPr>
        <w:t xml:space="preserve">provisions, </w:t>
      </w:r>
      <w:r w:rsidR="00020421">
        <w:rPr>
          <w:sz w:val="22"/>
          <w:szCs w:val="22"/>
        </w:rPr>
        <w:t>Early Years Enhanced Provisions</w:t>
      </w:r>
      <w:r w:rsidR="00FB71B4">
        <w:rPr>
          <w:sz w:val="22"/>
          <w:szCs w:val="22"/>
        </w:rPr>
        <w:t xml:space="preserve"> (EYESP</w:t>
      </w:r>
      <w:r w:rsidR="00752254">
        <w:rPr>
          <w:sz w:val="22"/>
          <w:szCs w:val="22"/>
        </w:rPr>
        <w:t>s</w:t>
      </w:r>
      <w:r w:rsidR="00FB71B4">
        <w:rPr>
          <w:sz w:val="22"/>
          <w:szCs w:val="22"/>
        </w:rPr>
        <w:t>)</w:t>
      </w:r>
      <w:r w:rsidR="00744F2E">
        <w:rPr>
          <w:sz w:val="22"/>
          <w:szCs w:val="22"/>
        </w:rPr>
        <w:t>,</w:t>
      </w:r>
      <w:r w:rsidR="002310A6">
        <w:rPr>
          <w:sz w:val="22"/>
          <w:szCs w:val="22"/>
        </w:rPr>
        <w:t xml:space="preserve"> and for post-</w:t>
      </w:r>
      <w:r w:rsidR="00150971">
        <w:rPr>
          <w:sz w:val="22"/>
          <w:szCs w:val="22"/>
        </w:rPr>
        <w:t>16 placements in Further Education Colleges</w:t>
      </w:r>
      <w:r w:rsidR="00744F2E">
        <w:rPr>
          <w:sz w:val="22"/>
          <w:szCs w:val="22"/>
        </w:rPr>
        <w:t>,</w:t>
      </w:r>
      <w:r w:rsidR="00116AC1">
        <w:rPr>
          <w:sz w:val="22"/>
          <w:szCs w:val="22"/>
        </w:rPr>
        <w:t xml:space="preserve"> operates on the basis</w:t>
      </w:r>
      <w:r w:rsidR="00FB1E72">
        <w:rPr>
          <w:sz w:val="22"/>
          <w:szCs w:val="22"/>
        </w:rPr>
        <w:t xml:space="preserve"> set out in paragraph </w:t>
      </w:r>
      <w:r w:rsidR="00084624">
        <w:rPr>
          <w:sz w:val="22"/>
          <w:szCs w:val="22"/>
        </w:rPr>
        <w:t>4</w:t>
      </w:r>
      <w:r w:rsidR="00FB1E72">
        <w:rPr>
          <w:sz w:val="22"/>
          <w:szCs w:val="22"/>
        </w:rPr>
        <w:t>.3</w:t>
      </w:r>
      <w:r w:rsidR="002310A6">
        <w:rPr>
          <w:sz w:val="22"/>
          <w:szCs w:val="22"/>
        </w:rPr>
        <w:t>,</w:t>
      </w:r>
      <w:r w:rsidR="00FB1E72">
        <w:rPr>
          <w:sz w:val="22"/>
          <w:szCs w:val="22"/>
        </w:rPr>
        <w:t xml:space="preserve"> but</w:t>
      </w:r>
      <w:r w:rsidR="00150971">
        <w:rPr>
          <w:sz w:val="22"/>
          <w:szCs w:val="22"/>
        </w:rPr>
        <w:t xml:space="preserve"> is set at the national </w:t>
      </w:r>
      <w:r w:rsidR="00EC7050">
        <w:rPr>
          <w:sz w:val="22"/>
          <w:szCs w:val="22"/>
        </w:rPr>
        <w:t xml:space="preserve">annual </w:t>
      </w:r>
      <w:r w:rsidR="00150971">
        <w:rPr>
          <w:sz w:val="22"/>
          <w:szCs w:val="22"/>
        </w:rPr>
        <w:t xml:space="preserve">value of £6,000. The </w:t>
      </w:r>
      <w:r w:rsidR="00116AC1">
        <w:rPr>
          <w:sz w:val="22"/>
          <w:szCs w:val="22"/>
        </w:rPr>
        <w:t>value is not £10,000 because the</w:t>
      </w:r>
      <w:r w:rsidR="00150971">
        <w:rPr>
          <w:sz w:val="22"/>
          <w:szCs w:val="22"/>
        </w:rPr>
        <w:t>se institutions</w:t>
      </w:r>
      <w:r w:rsidR="002D7E38">
        <w:rPr>
          <w:sz w:val="22"/>
          <w:szCs w:val="22"/>
        </w:rPr>
        <w:t>, unlike special schools</w:t>
      </w:r>
      <w:r w:rsidR="00E676A6">
        <w:rPr>
          <w:sz w:val="22"/>
          <w:szCs w:val="22"/>
        </w:rPr>
        <w:t xml:space="preserve"> and PRUs</w:t>
      </w:r>
      <w:r w:rsidR="002D7E38">
        <w:rPr>
          <w:sz w:val="22"/>
          <w:szCs w:val="22"/>
        </w:rPr>
        <w:t>,</w:t>
      </w:r>
      <w:r w:rsidR="00150971">
        <w:rPr>
          <w:sz w:val="22"/>
          <w:szCs w:val="22"/>
        </w:rPr>
        <w:t xml:space="preserve"> already receive </w:t>
      </w:r>
      <w:r w:rsidR="00B131B1">
        <w:rPr>
          <w:sz w:val="22"/>
          <w:szCs w:val="22"/>
        </w:rPr>
        <w:t xml:space="preserve">mainstream </w:t>
      </w:r>
      <w:r w:rsidR="00150971">
        <w:rPr>
          <w:sz w:val="22"/>
          <w:szCs w:val="22"/>
        </w:rPr>
        <w:t>formula funding, which allocates</w:t>
      </w:r>
      <w:r w:rsidR="00F50ACD">
        <w:rPr>
          <w:sz w:val="22"/>
          <w:szCs w:val="22"/>
        </w:rPr>
        <w:t xml:space="preserve"> the first part</w:t>
      </w:r>
      <w:r w:rsidR="006E7301">
        <w:rPr>
          <w:sz w:val="22"/>
          <w:szCs w:val="22"/>
        </w:rPr>
        <w:t xml:space="preserve"> of place</w:t>
      </w:r>
      <w:r w:rsidR="00F50ACD">
        <w:rPr>
          <w:sz w:val="22"/>
          <w:szCs w:val="22"/>
        </w:rPr>
        <w:t>-element</w:t>
      </w:r>
      <w:r w:rsidR="006E7301">
        <w:rPr>
          <w:sz w:val="22"/>
          <w:szCs w:val="22"/>
        </w:rPr>
        <w:t xml:space="preserve"> funding</w:t>
      </w:r>
      <w:r w:rsidR="00150971">
        <w:rPr>
          <w:sz w:val="22"/>
          <w:szCs w:val="22"/>
        </w:rPr>
        <w:t xml:space="preserve"> </w:t>
      </w:r>
      <w:r w:rsidR="006E7301">
        <w:rPr>
          <w:sz w:val="22"/>
          <w:szCs w:val="22"/>
        </w:rPr>
        <w:t>(</w:t>
      </w:r>
      <w:r w:rsidR="0027461F">
        <w:rPr>
          <w:sz w:val="22"/>
          <w:szCs w:val="22"/>
        </w:rPr>
        <w:t xml:space="preserve">known as </w:t>
      </w:r>
      <w:r w:rsidR="002151F4">
        <w:rPr>
          <w:sz w:val="22"/>
          <w:szCs w:val="22"/>
        </w:rPr>
        <w:t>E</w:t>
      </w:r>
      <w:r w:rsidR="00150971">
        <w:rPr>
          <w:sz w:val="22"/>
          <w:szCs w:val="22"/>
        </w:rPr>
        <w:t>lement 1</w:t>
      </w:r>
      <w:r w:rsidR="006E7301">
        <w:rPr>
          <w:sz w:val="22"/>
          <w:szCs w:val="22"/>
        </w:rPr>
        <w:t>)</w:t>
      </w:r>
      <w:r w:rsidR="00150971">
        <w:rPr>
          <w:sz w:val="22"/>
          <w:szCs w:val="22"/>
        </w:rPr>
        <w:t>. To explain then, how place</w:t>
      </w:r>
      <w:r w:rsidR="00F50ACD">
        <w:rPr>
          <w:sz w:val="22"/>
          <w:szCs w:val="22"/>
        </w:rPr>
        <w:t>-element</w:t>
      </w:r>
      <w:r w:rsidR="00150971">
        <w:rPr>
          <w:sz w:val="22"/>
          <w:szCs w:val="22"/>
        </w:rPr>
        <w:t xml:space="preserve"> funding is split into 2 parts</w:t>
      </w:r>
      <w:r w:rsidR="006E0B09">
        <w:rPr>
          <w:sz w:val="22"/>
          <w:szCs w:val="22"/>
        </w:rPr>
        <w:t xml:space="preserve"> in the national system</w:t>
      </w:r>
      <w:r w:rsidR="00150971">
        <w:rPr>
          <w:sz w:val="22"/>
          <w:szCs w:val="22"/>
        </w:rPr>
        <w:t>:</w:t>
      </w:r>
    </w:p>
    <w:p w14:paraId="20C5D31F" w14:textId="77777777" w:rsidR="00156D01" w:rsidRDefault="00156D01" w:rsidP="001B416B">
      <w:pPr>
        <w:jc w:val="both"/>
        <w:rPr>
          <w:sz w:val="22"/>
          <w:szCs w:val="22"/>
        </w:rPr>
      </w:pPr>
    </w:p>
    <w:p w14:paraId="388028C1" w14:textId="13C3C978" w:rsidR="00156D01" w:rsidRPr="004F7848" w:rsidRDefault="00156D01" w:rsidP="004F7848">
      <w:pPr>
        <w:numPr>
          <w:ilvl w:val="0"/>
          <w:numId w:val="3"/>
        </w:numPr>
        <w:jc w:val="both"/>
        <w:rPr>
          <w:sz w:val="22"/>
          <w:szCs w:val="22"/>
        </w:rPr>
      </w:pPr>
      <w:r>
        <w:rPr>
          <w:sz w:val="22"/>
          <w:szCs w:val="22"/>
        </w:rPr>
        <w:t xml:space="preserve">Element 1: a </w:t>
      </w:r>
      <w:r w:rsidR="00D27E3C">
        <w:rPr>
          <w:sz w:val="22"/>
          <w:szCs w:val="22"/>
        </w:rPr>
        <w:t>basic</w:t>
      </w:r>
      <w:r>
        <w:rPr>
          <w:sz w:val="22"/>
          <w:szCs w:val="22"/>
        </w:rPr>
        <w:t xml:space="preserve"> £4,000 for children and young people a</w:t>
      </w:r>
      <w:r w:rsidR="00125589">
        <w:rPr>
          <w:sz w:val="22"/>
          <w:szCs w:val="22"/>
        </w:rPr>
        <w:t>ged pre-16, which is the notionally defined</w:t>
      </w:r>
      <w:r>
        <w:rPr>
          <w:sz w:val="22"/>
          <w:szCs w:val="22"/>
        </w:rPr>
        <w:t xml:space="preserve"> value of funding that all pupils </w:t>
      </w:r>
      <w:r w:rsidR="001703C1">
        <w:rPr>
          <w:sz w:val="22"/>
          <w:szCs w:val="22"/>
        </w:rPr>
        <w:t>attract,</w:t>
      </w:r>
      <w:r>
        <w:rPr>
          <w:sz w:val="22"/>
          <w:szCs w:val="22"/>
        </w:rPr>
        <w:t xml:space="preserve"> </w:t>
      </w:r>
      <w:r w:rsidR="00150971">
        <w:rPr>
          <w:sz w:val="22"/>
          <w:szCs w:val="22"/>
        </w:rPr>
        <w:t>and which has already be</w:t>
      </w:r>
      <w:r w:rsidR="00B71E8A">
        <w:rPr>
          <w:sz w:val="22"/>
          <w:szCs w:val="22"/>
        </w:rPr>
        <w:t>en allocated</w:t>
      </w:r>
      <w:r w:rsidR="00693965">
        <w:rPr>
          <w:sz w:val="22"/>
          <w:szCs w:val="22"/>
        </w:rPr>
        <w:t xml:space="preserve"> to cover an institution’s core costs,</w:t>
      </w:r>
      <w:r>
        <w:rPr>
          <w:sz w:val="22"/>
          <w:szCs w:val="22"/>
        </w:rPr>
        <w:t xml:space="preserve"> </w:t>
      </w:r>
      <w:r w:rsidR="00B71E8A">
        <w:rPr>
          <w:sz w:val="22"/>
          <w:szCs w:val="22"/>
        </w:rPr>
        <w:t>either by the Local Authority’s</w:t>
      </w:r>
      <w:r w:rsidR="00150971">
        <w:rPr>
          <w:sz w:val="22"/>
          <w:szCs w:val="22"/>
        </w:rPr>
        <w:t xml:space="preserve"> </w:t>
      </w:r>
      <w:r>
        <w:rPr>
          <w:sz w:val="22"/>
          <w:szCs w:val="22"/>
        </w:rPr>
        <w:t>pre-16 funding</w:t>
      </w:r>
      <w:r w:rsidR="00150971">
        <w:rPr>
          <w:sz w:val="22"/>
          <w:szCs w:val="22"/>
        </w:rPr>
        <w:t xml:space="preserve"> formula</w:t>
      </w:r>
      <w:r w:rsidR="005714A4">
        <w:rPr>
          <w:sz w:val="22"/>
          <w:szCs w:val="22"/>
        </w:rPr>
        <w:t xml:space="preserve"> or</w:t>
      </w:r>
      <w:r w:rsidR="00E676A6">
        <w:rPr>
          <w:sz w:val="22"/>
          <w:szCs w:val="22"/>
        </w:rPr>
        <w:t xml:space="preserve"> by the</w:t>
      </w:r>
      <w:r w:rsidR="00B71E8A">
        <w:rPr>
          <w:sz w:val="22"/>
          <w:szCs w:val="22"/>
        </w:rPr>
        <w:t xml:space="preserve"> Authority’s</w:t>
      </w:r>
      <w:r w:rsidR="005714A4">
        <w:rPr>
          <w:sz w:val="22"/>
          <w:szCs w:val="22"/>
        </w:rPr>
        <w:t xml:space="preserve"> Early Years Single Funding Formula</w:t>
      </w:r>
      <w:r w:rsidR="0040191E">
        <w:rPr>
          <w:sz w:val="22"/>
          <w:szCs w:val="22"/>
        </w:rPr>
        <w:t xml:space="preserve"> (EYSFF)</w:t>
      </w:r>
      <w:r>
        <w:rPr>
          <w:sz w:val="22"/>
          <w:szCs w:val="22"/>
        </w:rPr>
        <w:t>.</w:t>
      </w:r>
      <w:r w:rsidR="00E676A6">
        <w:rPr>
          <w:sz w:val="22"/>
          <w:szCs w:val="22"/>
        </w:rPr>
        <w:t xml:space="preserve"> These</w:t>
      </w:r>
      <w:r w:rsidR="00C42D97">
        <w:rPr>
          <w:sz w:val="22"/>
          <w:szCs w:val="22"/>
        </w:rPr>
        <w:t xml:space="preserve"> formula allocation</w:t>
      </w:r>
      <w:r w:rsidR="00E676A6">
        <w:rPr>
          <w:sz w:val="22"/>
          <w:szCs w:val="22"/>
        </w:rPr>
        <w:t>s are</w:t>
      </w:r>
      <w:r w:rsidR="00C42D97">
        <w:rPr>
          <w:sz w:val="22"/>
          <w:szCs w:val="22"/>
        </w:rPr>
        <w:t xml:space="preserve"> derived from </w:t>
      </w:r>
      <w:r w:rsidR="00E676A6">
        <w:rPr>
          <w:sz w:val="22"/>
          <w:szCs w:val="22"/>
        </w:rPr>
        <w:t xml:space="preserve">either </w:t>
      </w:r>
      <w:r w:rsidR="00C42D97">
        <w:rPr>
          <w:sz w:val="22"/>
          <w:szCs w:val="22"/>
        </w:rPr>
        <w:t>the annual October Census</w:t>
      </w:r>
      <w:r w:rsidR="00E676A6">
        <w:rPr>
          <w:sz w:val="22"/>
          <w:szCs w:val="22"/>
        </w:rPr>
        <w:t xml:space="preserve"> (pre-16 formula) or from</w:t>
      </w:r>
      <w:r w:rsidR="00D75FE0">
        <w:rPr>
          <w:sz w:val="22"/>
          <w:szCs w:val="22"/>
        </w:rPr>
        <w:t xml:space="preserve"> 3 termly census</w:t>
      </w:r>
      <w:r w:rsidR="002558CC">
        <w:rPr>
          <w:sz w:val="22"/>
          <w:szCs w:val="22"/>
        </w:rPr>
        <w:t>es</w:t>
      </w:r>
      <w:r w:rsidR="00D75FE0">
        <w:rPr>
          <w:sz w:val="22"/>
          <w:szCs w:val="22"/>
        </w:rPr>
        <w:t xml:space="preserve"> (EYSFF)</w:t>
      </w:r>
      <w:r w:rsidR="00C42D97">
        <w:rPr>
          <w:sz w:val="22"/>
          <w:szCs w:val="22"/>
        </w:rPr>
        <w:t>.</w:t>
      </w:r>
      <w:r w:rsidR="00563229">
        <w:rPr>
          <w:sz w:val="22"/>
          <w:szCs w:val="22"/>
        </w:rPr>
        <w:t xml:space="preserve"> For post-</w:t>
      </w:r>
      <w:r w:rsidR="002151F4">
        <w:rPr>
          <w:sz w:val="22"/>
          <w:szCs w:val="22"/>
        </w:rPr>
        <w:t>16 students, this E</w:t>
      </w:r>
      <w:r>
        <w:rPr>
          <w:sz w:val="22"/>
          <w:szCs w:val="22"/>
        </w:rPr>
        <w:t xml:space="preserve">lement 1 is </w:t>
      </w:r>
      <w:r w:rsidR="00563229">
        <w:rPr>
          <w:sz w:val="22"/>
          <w:szCs w:val="22"/>
        </w:rPr>
        <w:t>derived from the national post-</w:t>
      </w:r>
      <w:r w:rsidRPr="00125589">
        <w:rPr>
          <w:sz w:val="22"/>
          <w:szCs w:val="22"/>
        </w:rPr>
        <w:t xml:space="preserve">16 funding </w:t>
      </w:r>
      <w:r w:rsidR="00406056">
        <w:rPr>
          <w:sz w:val="22"/>
          <w:szCs w:val="22"/>
        </w:rPr>
        <w:t>formula and typically is more</w:t>
      </w:r>
      <w:r w:rsidRPr="00125589">
        <w:rPr>
          <w:sz w:val="22"/>
          <w:szCs w:val="22"/>
        </w:rPr>
        <w:t xml:space="preserve"> than £4,000</w:t>
      </w:r>
      <w:r w:rsidR="003D228D" w:rsidRPr="00125589">
        <w:rPr>
          <w:sz w:val="22"/>
          <w:szCs w:val="22"/>
        </w:rPr>
        <w:t xml:space="preserve"> (notionally defined at </w:t>
      </w:r>
      <w:r w:rsidR="00A7154F" w:rsidRPr="00A7154F">
        <w:rPr>
          <w:sz w:val="22"/>
          <w:szCs w:val="22"/>
        </w:rPr>
        <w:t>£5,6</w:t>
      </w:r>
      <w:r w:rsidR="006051C3" w:rsidRPr="00A7154F">
        <w:rPr>
          <w:sz w:val="22"/>
          <w:szCs w:val="22"/>
        </w:rPr>
        <w:t>00)</w:t>
      </w:r>
      <w:r w:rsidRPr="00A7154F">
        <w:rPr>
          <w:sz w:val="22"/>
          <w:szCs w:val="22"/>
        </w:rPr>
        <w:t>.</w:t>
      </w:r>
      <w:r w:rsidR="00C42D97" w:rsidRPr="00A7154F">
        <w:rPr>
          <w:sz w:val="22"/>
          <w:szCs w:val="22"/>
        </w:rPr>
        <w:t xml:space="preserve"> </w:t>
      </w:r>
      <w:r w:rsidR="00C42D97" w:rsidRPr="00D33119">
        <w:rPr>
          <w:sz w:val="22"/>
          <w:szCs w:val="22"/>
        </w:rPr>
        <w:t xml:space="preserve">Element </w:t>
      </w:r>
      <w:r w:rsidR="00C42D97">
        <w:rPr>
          <w:sz w:val="22"/>
          <w:szCs w:val="22"/>
        </w:rPr>
        <w:t xml:space="preserve">1 </w:t>
      </w:r>
      <w:r w:rsidR="00E45B76">
        <w:rPr>
          <w:sz w:val="22"/>
          <w:szCs w:val="22"/>
        </w:rPr>
        <w:t xml:space="preserve">across </w:t>
      </w:r>
      <w:r w:rsidR="00563229">
        <w:rPr>
          <w:sz w:val="22"/>
          <w:szCs w:val="22"/>
        </w:rPr>
        <w:t>the post-</w:t>
      </w:r>
      <w:r w:rsidR="00C42D97">
        <w:rPr>
          <w:sz w:val="22"/>
          <w:szCs w:val="22"/>
        </w:rPr>
        <w:t>16 sector is funded with a year’s lag in pupil numbers.</w:t>
      </w:r>
      <w:r w:rsidR="00563229">
        <w:rPr>
          <w:sz w:val="22"/>
          <w:szCs w:val="22"/>
        </w:rPr>
        <w:t xml:space="preserve"> T</w:t>
      </w:r>
      <w:r w:rsidR="0048720B">
        <w:rPr>
          <w:sz w:val="22"/>
          <w:szCs w:val="22"/>
        </w:rPr>
        <w:t>he total allocation of</w:t>
      </w:r>
      <w:r w:rsidR="002151F4">
        <w:rPr>
          <w:sz w:val="22"/>
          <w:szCs w:val="22"/>
        </w:rPr>
        <w:t xml:space="preserve"> E</w:t>
      </w:r>
      <w:r w:rsidR="00563229">
        <w:rPr>
          <w:sz w:val="22"/>
          <w:szCs w:val="22"/>
        </w:rPr>
        <w:t>lement 1 for the 202</w:t>
      </w:r>
      <w:r w:rsidR="00013054">
        <w:rPr>
          <w:sz w:val="22"/>
          <w:szCs w:val="22"/>
        </w:rPr>
        <w:t>5</w:t>
      </w:r>
      <w:r w:rsidR="00563229">
        <w:rPr>
          <w:sz w:val="22"/>
          <w:szCs w:val="22"/>
        </w:rPr>
        <w:t>/2</w:t>
      </w:r>
      <w:r w:rsidR="00013054">
        <w:rPr>
          <w:sz w:val="22"/>
          <w:szCs w:val="22"/>
        </w:rPr>
        <w:t>6</w:t>
      </w:r>
      <w:r w:rsidR="0048720B">
        <w:rPr>
          <w:sz w:val="22"/>
          <w:szCs w:val="22"/>
        </w:rPr>
        <w:t xml:space="preserve"> academic year will be based on the numb</w:t>
      </w:r>
      <w:r w:rsidR="001B50CE">
        <w:rPr>
          <w:sz w:val="22"/>
          <w:szCs w:val="22"/>
        </w:rPr>
        <w:t>er of students recruited</w:t>
      </w:r>
      <w:r w:rsidR="00563229">
        <w:rPr>
          <w:sz w:val="22"/>
          <w:szCs w:val="22"/>
        </w:rPr>
        <w:t xml:space="preserve"> in 202</w:t>
      </w:r>
      <w:r w:rsidR="00013054">
        <w:rPr>
          <w:sz w:val="22"/>
          <w:szCs w:val="22"/>
        </w:rPr>
        <w:t>4</w:t>
      </w:r>
      <w:r w:rsidR="00563229">
        <w:rPr>
          <w:sz w:val="22"/>
          <w:szCs w:val="22"/>
        </w:rPr>
        <w:t>/2</w:t>
      </w:r>
      <w:r w:rsidR="00013054">
        <w:rPr>
          <w:sz w:val="22"/>
          <w:szCs w:val="22"/>
        </w:rPr>
        <w:t>5</w:t>
      </w:r>
      <w:r w:rsidR="0048720B">
        <w:rPr>
          <w:sz w:val="22"/>
          <w:szCs w:val="22"/>
        </w:rPr>
        <w:t>.</w:t>
      </w:r>
    </w:p>
    <w:p w14:paraId="0CB5E327" w14:textId="77777777" w:rsidR="006D4439" w:rsidRDefault="006D4439" w:rsidP="006D4439">
      <w:pPr>
        <w:ind w:left="360"/>
        <w:jc w:val="both"/>
        <w:rPr>
          <w:sz w:val="22"/>
          <w:szCs w:val="22"/>
        </w:rPr>
      </w:pPr>
    </w:p>
    <w:p w14:paraId="27A85479" w14:textId="7C420B3B" w:rsidR="00156D01" w:rsidRDefault="00156D01" w:rsidP="00156D01">
      <w:pPr>
        <w:numPr>
          <w:ilvl w:val="0"/>
          <w:numId w:val="3"/>
        </w:numPr>
        <w:jc w:val="both"/>
        <w:rPr>
          <w:sz w:val="22"/>
          <w:szCs w:val="22"/>
        </w:rPr>
      </w:pPr>
      <w:r>
        <w:rPr>
          <w:sz w:val="22"/>
          <w:szCs w:val="22"/>
        </w:rPr>
        <w:t>Element 2: a further £6,000 for additional needs, which</w:t>
      </w:r>
      <w:r w:rsidR="002A3059">
        <w:rPr>
          <w:sz w:val="22"/>
          <w:szCs w:val="22"/>
        </w:rPr>
        <w:t xml:space="preserve"> is not already allocated</w:t>
      </w:r>
      <w:r w:rsidR="002965AA">
        <w:rPr>
          <w:sz w:val="22"/>
          <w:szCs w:val="22"/>
        </w:rPr>
        <w:t>:</w:t>
      </w:r>
    </w:p>
    <w:p w14:paraId="7FBD700F" w14:textId="77777777" w:rsidR="00156D01" w:rsidRDefault="00156D01" w:rsidP="00FB1E72">
      <w:pPr>
        <w:jc w:val="both"/>
        <w:rPr>
          <w:sz w:val="22"/>
          <w:szCs w:val="22"/>
        </w:rPr>
      </w:pPr>
    </w:p>
    <w:p w14:paraId="2180E1F1" w14:textId="77777777" w:rsidR="00156D01" w:rsidRDefault="002965AA" w:rsidP="00156D01">
      <w:pPr>
        <w:numPr>
          <w:ilvl w:val="1"/>
          <w:numId w:val="3"/>
        </w:numPr>
        <w:jc w:val="both"/>
        <w:rPr>
          <w:sz w:val="22"/>
          <w:szCs w:val="22"/>
        </w:rPr>
      </w:pPr>
      <w:r>
        <w:rPr>
          <w:sz w:val="22"/>
          <w:szCs w:val="22"/>
        </w:rPr>
        <w:t>W</w:t>
      </w:r>
      <w:r w:rsidR="00150971">
        <w:rPr>
          <w:sz w:val="22"/>
          <w:szCs w:val="22"/>
        </w:rPr>
        <w:t>ithin the formula funding received by</w:t>
      </w:r>
      <w:r w:rsidR="00156D01">
        <w:rPr>
          <w:sz w:val="22"/>
          <w:szCs w:val="22"/>
        </w:rPr>
        <w:t xml:space="preserve"> </w:t>
      </w:r>
      <w:r w:rsidR="00150971">
        <w:rPr>
          <w:sz w:val="22"/>
          <w:szCs w:val="22"/>
        </w:rPr>
        <w:t xml:space="preserve">Bradford’s </w:t>
      </w:r>
      <w:r w:rsidR="00156D01">
        <w:rPr>
          <w:sz w:val="22"/>
          <w:szCs w:val="22"/>
        </w:rPr>
        <w:t xml:space="preserve">mainstream schools and academies that have </w:t>
      </w:r>
      <w:r w:rsidR="00973F70">
        <w:rPr>
          <w:sz w:val="22"/>
          <w:szCs w:val="22"/>
        </w:rPr>
        <w:t xml:space="preserve">School-led </w:t>
      </w:r>
      <w:r w:rsidR="003D228D">
        <w:rPr>
          <w:sz w:val="22"/>
          <w:szCs w:val="22"/>
        </w:rPr>
        <w:t xml:space="preserve">resourced provisions </w:t>
      </w:r>
      <w:r w:rsidR="00150971">
        <w:rPr>
          <w:sz w:val="22"/>
          <w:szCs w:val="22"/>
        </w:rPr>
        <w:t>where</w:t>
      </w:r>
      <w:r w:rsidR="002151F4">
        <w:rPr>
          <w:sz w:val="22"/>
          <w:szCs w:val="22"/>
        </w:rPr>
        <w:t xml:space="preserve"> the L</w:t>
      </w:r>
      <w:r w:rsidR="00150971">
        <w:rPr>
          <w:sz w:val="22"/>
          <w:szCs w:val="22"/>
        </w:rPr>
        <w:t xml:space="preserve">ocal </w:t>
      </w:r>
      <w:r w:rsidR="002151F4">
        <w:rPr>
          <w:sz w:val="22"/>
          <w:szCs w:val="22"/>
        </w:rPr>
        <w:t>Authority</w:t>
      </w:r>
      <w:r w:rsidR="00150971">
        <w:rPr>
          <w:sz w:val="22"/>
          <w:szCs w:val="22"/>
        </w:rPr>
        <w:t xml:space="preserve"> commission</w:t>
      </w:r>
      <w:r w:rsidR="002151F4">
        <w:rPr>
          <w:sz w:val="22"/>
          <w:szCs w:val="22"/>
        </w:rPr>
        <w:t>s</w:t>
      </w:r>
      <w:r w:rsidR="00150971">
        <w:rPr>
          <w:sz w:val="22"/>
          <w:szCs w:val="22"/>
        </w:rPr>
        <w:t xml:space="preserve"> high needs places.</w:t>
      </w:r>
    </w:p>
    <w:p w14:paraId="6868A301" w14:textId="77777777" w:rsidR="006E7301" w:rsidRDefault="006E7301" w:rsidP="006E7301">
      <w:pPr>
        <w:pStyle w:val="ListParagraph"/>
        <w:rPr>
          <w:sz w:val="22"/>
          <w:szCs w:val="22"/>
        </w:rPr>
      </w:pPr>
    </w:p>
    <w:p w14:paraId="11425002" w14:textId="77777777" w:rsidR="006E7301" w:rsidRPr="006E7301" w:rsidRDefault="002965AA" w:rsidP="006E7301">
      <w:pPr>
        <w:numPr>
          <w:ilvl w:val="1"/>
          <w:numId w:val="3"/>
        </w:numPr>
        <w:jc w:val="both"/>
        <w:rPr>
          <w:sz w:val="22"/>
          <w:szCs w:val="22"/>
        </w:rPr>
      </w:pPr>
      <w:r>
        <w:rPr>
          <w:sz w:val="22"/>
          <w:szCs w:val="22"/>
        </w:rPr>
        <w:t>W</w:t>
      </w:r>
      <w:r w:rsidR="006E7301">
        <w:rPr>
          <w:sz w:val="22"/>
          <w:szCs w:val="22"/>
        </w:rPr>
        <w:t>ithin the formula funding received by Bradford’s maintained nursery s</w:t>
      </w:r>
      <w:r w:rsidR="003D228D">
        <w:rPr>
          <w:sz w:val="22"/>
          <w:szCs w:val="22"/>
        </w:rPr>
        <w:t>chools that have resourced provisions</w:t>
      </w:r>
      <w:r w:rsidR="006E7301">
        <w:rPr>
          <w:sz w:val="22"/>
          <w:szCs w:val="22"/>
        </w:rPr>
        <w:t xml:space="preserve"> where</w:t>
      </w:r>
      <w:r w:rsidR="00053D23">
        <w:rPr>
          <w:sz w:val="22"/>
          <w:szCs w:val="22"/>
        </w:rPr>
        <w:t xml:space="preserve"> the Local A</w:t>
      </w:r>
      <w:r w:rsidR="002151F4">
        <w:rPr>
          <w:sz w:val="22"/>
          <w:szCs w:val="22"/>
        </w:rPr>
        <w:t>uthority</w:t>
      </w:r>
      <w:r w:rsidR="006E7301">
        <w:rPr>
          <w:sz w:val="22"/>
          <w:szCs w:val="22"/>
        </w:rPr>
        <w:t xml:space="preserve"> commission</w:t>
      </w:r>
      <w:r w:rsidR="002151F4">
        <w:rPr>
          <w:sz w:val="22"/>
          <w:szCs w:val="22"/>
        </w:rPr>
        <w:t>s</w:t>
      </w:r>
      <w:r w:rsidR="006E7301">
        <w:rPr>
          <w:sz w:val="22"/>
          <w:szCs w:val="22"/>
        </w:rPr>
        <w:t xml:space="preserve"> high needs places.</w:t>
      </w:r>
      <w:r w:rsidR="001A6741">
        <w:rPr>
          <w:sz w:val="22"/>
          <w:szCs w:val="22"/>
        </w:rPr>
        <w:t xml:space="preserve"> £6,000 is the value for 1 FTE place. Therefore, a </w:t>
      </w:r>
      <w:r w:rsidR="00BE5903">
        <w:rPr>
          <w:sz w:val="22"/>
          <w:szCs w:val="22"/>
        </w:rPr>
        <w:t>15-hour</w:t>
      </w:r>
      <w:r w:rsidR="001A6741">
        <w:rPr>
          <w:sz w:val="22"/>
          <w:szCs w:val="22"/>
        </w:rPr>
        <w:t xml:space="preserve"> place = 0.6 FTE (£3,600) and a </w:t>
      </w:r>
      <w:r w:rsidR="00BE5903">
        <w:rPr>
          <w:sz w:val="22"/>
          <w:szCs w:val="22"/>
        </w:rPr>
        <w:t>30-hour</w:t>
      </w:r>
      <w:r w:rsidR="001A6741">
        <w:rPr>
          <w:sz w:val="22"/>
          <w:szCs w:val="22"/>
        </w:rPr>
        <w:t xml:space="preserve"> place = 1.2 FTE (£7,200).</w:t>
      </w:r>
    </w:p>
    <w:p w14:paraId="38040CC2" w14:textId="77777777" w:rsidR="00156D01" w:rsidRDefault="00156D01" w:rsidP="00156D01">
      <w:pPr>
        <w:pStyle w:val="ListParagraph"/>
        <w:rPr>
          <w:sz w:val="22"/>
          <w:szCs w:val="22"/>
        </w:rPr>
      </w:pPr>
    </w:p>
    <w:p w14:paraId="0E6A3284" w14:textId="77777777" w:rsidR="00156D01" w:rsidRDefault="002965AA" w:rsidP="00156D01">
      <w:pPr>
        <w:numPr>
          <w:ilvl w:val="1"/>
          <w:numId w:val="3"/>
        </w:numPr>
        <w:jc w:val="both"/>
        <w:rPr>
          <w:sz w:val="22"/>
          <w:szCs w:val="22"/>
        </w:rPr>
      </w:pPr>
      <w:r>
        <w:rPr>
          <w:sz w:val="22"/>
          <w:szCs w:val="22"/>
        </w:rPr>
        <w:t>W</w:t>
      </w:r>
      <w:r w:rsidR="00150971">
        <w:rPr>
          <w:sz w:val="22"/>
          <w:szCs w:val="22"/>
        </w:rPr>
        <w:t xml:space="preserve">ithin the formula funding received by Bradford’s </w:t>
      </w:r>
      <w:r w:rsidR="00156D01">
        <w:rPr>
          <w:sz w:val="22"/>
          <w:szCs w:val="22"/>
        </w:rPr>
        <w:t xml:space="preserve">Further Education Colleges </w:t>
      </w:r>
      <w:r w:rsidR="00150971">
        <w:rPr>
          <w:sz w:val="22"/>
          <w:szCs w:val="22"/>
        </w:rPr>
        <w:t>where</w:t>
      </w:r>
      <w:r w:rsidR="002151F4">
        <w:rPr>
          <w:sz w:val="22"/>
          <w:szCs w:val="22"/>
        </w:rPr>
        <w:t xml:space="preserve"> the Local Authority</w:t>
      </w:r>
      <w:r w:rsidR="00150971">
        <w:rPr>
          <w:sz w:val="22"/>
          <w:szCs w:val="22"/>
        </w:rPr>
        <w:t xml:space="preserve"> commission</w:t>
      </w:r>
      <w:r w:rsidR="002151F4">
        <w:rPr>
          <w:sz w:val="22"/>
          <w:szCs w:val="22"/>
        </w:rPr>
        <w:t>s</w:t>
      </w:r>
      <w:r w:rsidR="00150971">
        <w:rPr>
          <w:sz w:val="22"/>
          <w:szCs w:val="22"/>
        </w:rPr>
        <w:t xml:space="preserve"> high needs places</w:t>
      </w:r>
      <w:r w:rsidR="00046CC9">
        <w:rPr>
          <w:sz w:val="22"/>
          <w:szCs w:val="22"/>
        </w:rPr>
        <w:t xml:space="preserve"> post-</w:t>
      </w:r>
      <w:r w:rsidR="00582C07">
        <w:rPr>
          <w:sz w:val="22"/>
          <w:szCs w:val="22"/>
        </w:rPr>
        <w:t>16</w:t>
      </w:r>
      <w:r w:rsidR="00150971">
        <w:rPr>
          <w:sz w:val="22"/>
          <w:szCs w:val="22"/>
        </w:rPr>
        <w:t>.</w:t>
      </w:r>
    </w:p>
    <w:p w14:paraId="1B20A2BC" w14:textId="77777777" w:rsidR="00156D01" w:rsidRDefault="00156D01" w:rsidP="00156D01">
      <w:pPr>
        <w:jc w:val="both"/>
        <w:rPr>
          <w:sz w:val="22"/>
          <w:szCs w:val="22"/>
        </w:rPr>
      </w:pPr>
    </w:p>
    <w:p w14:paraId="4E0FC34A" w14:textId="602C4E51" w:rsidR="00FB1E72" w:rsidRDefault="002364E2" w:rsidP="00156D01">
      <w:pPr>
        <w:jc w:val="both"/>
        <w:rPr>
          <w:sz w:val="22"/>
          <w:szCs w:val="22"/>
        </w:rPr>
      </w:pPr>
      <w:r>
        <w:rPr>
          <w:sz w:val="22"/>
          <w:szCs w:val="22"/>
        </w:rPr>
        <w:t>4</w:t>
      </w:r>
      <w:r w:rsidR="002A3059">
        <w:rPr>
          <w:sz w:val="22"/>
          <w:szCs w:val="22"/>
        </w:rPr>
        <w:t>.5 The national funding system includes an additional complexity in the calculation of place</w:t>
      </w:r>
      <w:r w:rsidR="00FD08E5">
        <w:rPr>
          <w:sz w:val="22"/>
          <w:szCs w:val="22"/>
        </w:rPr>
        <w:t>-element</w:t>
      </w:r>
      <w:r w:rsidR="002A3059">
        <w:rPr>
          <w:sz w:val="22"/>
          <w:szCs w:val="22"/>
        </w:rPr>
        <w:t xml:space="preserve"> funding for </w:t>
      </w:r>
      <w:r w:rsidR="00FB71B4">
        <w:rPr>
          <w:sz w:val="22"/>
          <w:szCs w:val="22"/>
        </w:rPr>
        <w:t xml:space="preserve">School-led </w:t>
      </w:r>
      <w:r w:rsidR="003D228D">
        <w:rPr>
          <w:sz w:val="22"/>
          <w:szCs w:val="22"/>
        </w:rPr>
        <w:t>resourced provisions</w:t>
      </w:r>
      <w:r w:rsidR="002A3059">
        <w:rPr>
          <w:sz w:val="22"/>
          <w:szCs w:val="22"/>
        </w:rPr>
        <w:t xml:space="preserve"> in mainstream primary and secondary schools and academies. </w:t>
      </w:r>
      <w:r w:rsidR="00067AEE">
        <w:rPr>
          <w:sz w:val="22"/>
          <w:szCs w:val="22"/>
        </w:rPr>
        <w:t>As explained above, t</w:t>
      </w:r>
      <w:r w:rsidR="002A3059">
        <w:rPr>
          <w:sz w:val="22"/>
          <w:szCs w:val="22"/>
        </w:rPr>
        <w:t>he value of a place is set at £6,000</w:t>
      </w:r>
      <w:r w:rsidR="00067AEE">
        <w:rPr>
          <w:sz w:val="22"/>
          <w:szCs w:val="22"/>
        </w:rPr>
        <w:t>,</w:t>
      </w:r>
      <w:r w:rsidR="002A3059">
        <w:rPr>
          <w:sz w:val="22"/>
          <w:szCs w:val="22"/>
        </w:rPr>
        <w:t xml:space="preserve"> </w:t>
      </w:r>
      <w:r w:rsidR="002D7E38">
        <w:rPr>
          <w:sz w:val="22"/>
          <w:szCs w:val="22"/>
        </w:rPr>
        <w:t>where that</w:t>
      </w:r>
      <w:r w:rsidR="002A3059">
        <w:rPr>
          <w:sz w:val="22"/>
          <w:szCs w:val="22"/>
        </w:rPr>
        <w:t xml:space="preserve"> p</w:t>
      </w:r>
      <w:r w:rsidR="00A77554">
        <w:rPr>
          <w:sz w:val="22"/>
          <w:szCs w:val="22"/>
        </w:rPr>
        <w:t>lace wa</w:t>
      </w:r>
      <w:r w:rsidR="002A3059">
        <w:rPr>
          <w:sz w:val="22"/>
          <w:szCs w:val="22"/>
        </w:rPr>
        <w:t xml:space="preserve">s </w:t>
      </w:r>
      <w:r w:rsidR="006B32C2">
        <w:rPr>
          <w:sz w:val="22"/>
          <w:szCs w:val="22"/>
        </w:rPr>
        <w:t>occupied</w:t>
      </w:r>
      <w:r w:rsidR="002A3059">
        <w:rPr>
          <w:sz w:val="22"/>
          <w:szCs w:val="22"/>
        </w:rPr>
        <w:t xml:space="preserve"> at the time the October Census</w:t>
      </w:r>
      <w:r w:rsidR="00A77554">
        <w:rPr>
          <w:sz w:val="22"/>
          <w:szCs w:val="22"/>
        </w:rPr>
        <w:t xml:space="preserve"> in the previous year wa</w:t>
      </w:r>
      <w:r w:rsidR="002A3059">
        <w:rPr>
          <w:sz w:val="22"/>
          <w:szCs w:val="22"/>
        </w:rPr>
        <w:t>s taken. Where a</w:t>
      </w:r>
      <w:r w:rsidR="003A24CA">
        <w:rPr>
          <w:sz w:val="22"/>
          <w:szCs w:val="22"/>
        </w:rPr>
        <w:t xml:space="preserve"> place is not occupied at this c</w:t>
      </w:r>
      <w:r w:rsidR="002A3059">
        <w:rPr>
          <w:sz w:val="22"/>
          <w:szCs w:val="22"/>
        </w:rPr>
        <w:t>ensus</w:t>
      </w:r>
      <w:r w:rsidR="0000292A">
        <w:rPr>
          <w:sz w:val="22"/>
          <w:szCs w:val="22"/>
        </w:rPr>
        <w:t>,</w:t>
      </w:r>
      <w:r w:rsidR="00222D2B">
        <w:rPr>
          <w:sz w:val="22"/>
          <w:szCs w:val="22"/>
        </w:rPr>
        <w:t xml:space="preserve"> however</w:t>
      </w:r>
      <w:r w:rsidR="002A3059">
        <w:rPr>
          <w:sz w:val="22"/>
          <w:szCs w:val="22"/>
        </w:rPr>
        <w:t>, local authorities are required to fund this place at £10,000</w:t>
      </w:r>
      <w:r w:rsidR="008733F4">
        <w:rPr>
          <w:sz w:val="22"/>
          <w:szCs w:val="22"/>
        </w:rPr>
        <w:t xml:space="preserve"> </w:t>
      </w:r>
      <w:r w:rsidR="0062430D">
        <w:rPr>
          <w:sz w:val="22"/>
          <w:szCs w:val="22"/>
        </w:rPr>
        <w:t>in the following year</w:t>
      </w:r>
      <w:r w:rsidR="002A3059">
        <w:rPr>
          <w:sz w:val="22"/>
          <w:szCs w:val="22"/>
        </w:rPr>
        <w:t>. This is because the scho</w:t>
      </w:r>
      <w:r w:rsidR="003A24CA">
        <w:rPr>
          <w:sz w:val="22"/>
          <w:szCs w:val="22"/>
        </w:rPr>
        <w:t>ol or academy will not receive E</w:t>
      </w:r>
      <w:r w:rsidR="002A3059">
        <w:rPr>
          <w:sz w:val="22"/>
          <w:szCs w:val="22"/>
        </w:rPr>
        <w:t xml:space="preserve">lement 1 funding </w:t>
      </w:r>
      <w:r w:rsidR="004251BC">
        <w:rPr>
          <w:sz w:val="22"/>
          <w:szCs w:val="22"/>
        </w:rPr>
        <w:t xml:space="preserve">specifically </w:t>
      </w:r>
      <w:r w:rsidR="002A3059">
        <w:rPr>
          <w:sz w:val="22"/>
          <w:szCs w:val="22"/>
        </w:rPr>
        <w:t>for this place in the following fi</w:t>
      </w:r>
      <w:r w:rsidR="00067AEE">
        <w:rPr>
          <w:sz w:val="22"/>
          <w:szCs w:val="22"/>
        </w:rPr>
        <w:t>nancial year via</w:t>
      </w:r>
      <w:r w:rsidR="002A3059">
        <w:rPr>
          <w:sz w:val="22"/>
          <w:szCs w:val="22"/>
        </w:rPr>
        <w:t xml:space="preserve"> its </w:t>
      </w:r>
      <w:r w:rsidR="00FD08E5">
        <w:rPr>
          <w:sz w:val="22"/>
          <w:szCs w:val="22"/>
        </w:rPr>
        <w:t>normal delegated</w:t>
      </w:r>
      <w:r w:rsidR="002D7E38">
        <w:rPr>
          <w:sz w:val="22"/>
          <w:szCs w:val="22"/>
        </w:rPr>
        <w:t xml:space="preserve"> </w:t>
      </w:r>
      <w:r w:rsidR="002A3059">
        <w:rPr>
          <w:sz w:val="22"/>
          <w:szCs w:val="22"/>
        </w:rPr>
        <w:t>formula funding.</w:t>
      </w:r>
      <w:r w:rsidR="00B42C6D">
        <w:rPr>
          <w:sz w:val="22"/>
          <w:szCs w:val="22"/>
        </w:rPr>
        <w:t xml:space="preserve"> </w:t>
      </w:r>
      <w:r w:rsidR="00222D2B">
        <w:rPr>
          <w:sz w:val="22"/>
          <w:szCs w:val="22"/>
        </w:rPr>
        <w:t>Following a similar principle, f</w:t>
      </w:r>
      <w:r w:rsidR="00B42C6D">
        <w:rPr>
          <w:sz w:val="22"/>
          <w:szCs w:val="22"/>
        </w:rPr>
        <w:t>or maintained nursery schools, an adjustment i</w:t>
      </w:r>
      <w:r w:rsidR="00FC7139">
        <w:rPr>
          <w:sz w:val="22"/>
          <w:szCs w:val="22"/>
        </w:rPr>
        <w:t>s made to the</w:t>
      </w:r>
      <w:r w:rsidR="00320CF3">
        <w:rPr>
          <w:sz w:val="22"/>
          <w:szCs w:val="22"/>
        </w:rPr>
        <w:t xml:space="preserve"> funding allocated via</w:t>
      </w:r>
      <w:r w:rsidR="003A24CA">
        <w:rPr>
          <w:sz w:val="22"/>
          <w:szCs w:val="22"/>
        </w:rPr>
        <w:t xml:space="preserve"> the EYSFF to add E</w:t>
      </w:r>
      <w:r w:rsidR="00B42C6D">
        <w:rPr>
          <w:sz w:val="22"/>
          <w:szCs w:val="22"/>
        </w:rPr>
        <w:t>lem</w:t>
      </w:r>
      <w:r w:rsidR="002D7E38">
        <w:rPr>
          <w:sz w:val="22"/>
          <w:szCs w:val="22"/>
        </w:rPr>
        <w:t>ent 1 funding for the resourced</w:t>
      </w:r>
      <w:r w:rsidR="00B42C6D">
        <w:rPr>
          <w:sz w:val="22"/>
          <w:szCs w:val="22"/>
        </w:rPr>
        <w:t xml:space="preserve"> places that are not occupied</w:t>
      </w:r>
      <w:r w:rsidR="00FC7139">
        <w:rPr>
          <w:sz w:val="22"/>
          <w:szCs w:val="22"/>
        </w:rPr>
        <w:t xml:space="preserve"> in the 3 termly censuses</w:t>
      </w:r>
      <w:r w:rsidR="00B42C6D">
        <w:rPr>
          <w:sz w:val="22"/>
          <w:szCs w:val="22"/>
        </w:rPr>
        <w:t>.</w:t>
      </w:r>
      <w:r w:rsidR="008733F4">
        <w:rPr>
          <w:sz w:val="22"/>
          <w:szCs w:val="22"/>
        </w:rPr>
        <w:t xml:space="preserve"> </w:t>
      </w:r>
    </w:p>
    <w:p w14:paraId="4DC3C22D" w14:textId="77777777" w:rsidR="00084624" w:rsidRDefault="00084624" w:rsidP="00156D01">
      <w:pPr>
        <w:jc w:val="both"/>
        <w:rPr>
          <w:sz w:val="22"/>
          <w:szCs w:val="22"/>
        </w:rPr>
      </w:pPr>
    </w:p>
    <w:p w14:paraId="69FD1F72" w14:textId="77777777" w:rsidR="00FB71B4" w:rsidRDefault="00084624" w:rsidP="00B351ED">
      <w:pPr>
        <w:jc w:val="both"/>
        <w:rPr>
          <w:sz w:val="22"/>
          <w:szCs w:val="22"/>
        </w:rPr>
      </w:pPr>
      <w:r w:rsidRPr="002D7E38">
        <w:rPr>
          <w:sz w:val="22"/>
          <w:szCs w:val="22"/>
        </w:rPr>
        <w:t xml:space="preserve">4.6 </w:t>
      </w:r>
      <w:r w:rsidR="002D7E38" w:rsidRPr="002D7E38">
        <w:rPr>
          <w:sz w:val="22"/>
          <w:szCs w:val="22"/>
        </w:rPr>
        <w:t>Place</w:t>
      </w:r>
      <w:r w:rsidR="00FC7139">
        <w:rPr>
          <w:sz w:val="22"/>
          <w:szCs w:val="22"/>
        </w:rPr>
        <w:t>-element</w:t>
      </w:r>
      <w:r w:rsidR="002D7E38" w:rsidRPr="002D7E38">
        <w:rPr>
          <w:sz w:val="22"/>
          <w:szCs w:val="22"/>
        </w:rPr>
        <w:t xml:space="preserve"> funding for Bradford’s Local </w:t>
      </w:r>
      <w:r w:rsidR="00450FF6">
        <w:rPr>
          <w:sz w:val="22"/>
          <w:szCs w:val="22"/>
        </w:rPr>
        <w:t>Authority-</w:t>
      </w:r>
      <w:r w:rsidR="00BE5903">
        <w:rPr>
          <w:sz w:val="22"/>
          <w:szCs w:val="22"/>
        </w:rPr>
        <w:t>led resourced provisions</w:t>
      </w:r>
      <w:r w:rsidR="002D7E38" w:rsidRPr="002D7E38">
        <w:rPr>
          <w:sz w:val="22"/>
          <w:szCs w:val="22"/>
        </w:rPr>
        <w:t xml:space="preserve"> operates</w:t>
      </w:r>
      <w:r w:rsidR="00450FF6">
        <w:rPr>
          <w:sz w:val="22"/>
          <w:szCs w:val="22"/>
        </w:rPr>
        <w:t xml:space="preserve"> on the same basic principles</w:t>
      </w:r>
      <w:r w:rsidR="002D7E38" w:rsidRPr="002D7E38">
        <w:rPr>
          <w:sz w:val="22"/>
          <w:szCs w:val="22"/>
        </w:rPr>
        <w:t xml:space="preserve"> as for School-led provisions, but with a couple of technical differences relating to the fact that the Lo</w:t>
      </w:r>
      <w:r w:rsidR="003A24CA">
        <w:rPr>
          <w:sz w:val="22"/>
          <w:szCs w:val="22"/>
        </w:rPr>
        <w:t xml:space="preserve">cal Authority retains Element </w:t>
      </w:r>
      <w:r w:rsidR="003A24CA" w:rsidRPr="00046CC9">
        <w:rPr>
          <w:sz w:val="22"/>
          <w:szCs w:val="22"/>
        </w:rPr>
        <w:t>2 funding</w:t>
      </w:r>
      <w:r w:rsidR="002D7E38" w:rsidRPr="00046CC9">
        <w:rPr>
          <w:sz w:val="22"/>
          <w:szCs w:val="22"/>
        </w:rPr>
        <w:t>, whereas</w:t>
      </w:r>
      <w:r w:rsidR="00955BF7" w:rsidRPr="00046CC9">
        <w:rPr>
          <w:sz w:val="22"/>
          <w:szCs w:val="22"/>
        </w:rPr>
        <w:t>,</w:t>
      </w:r>
      <w:r w:rsidR="002D7E38" w:rsidRPr="00046CC9">
        <w:rPr>
          <w:sz w:val="22"/>
          <w:szCs w:val="22"/>
        </w:rPr>
        <w:t xml:space="preserve"> f</w:t>
      </w:r>
      <w:r w:rsidR="00752254" w:rsidRPr="00046CC9">
        <w:rPr>
          <w:sz w:val="22"/>
          <w:szCs w:val="22"/>
        </w:rPr>
        <w:t>or School-led provisions</w:t>
      </w:r>
      <w:r w:rsidR="00955BF7" w:rsidRPr="00046CC9">
        <w:rPr>
          <w:sz w:val="22"/>
          <w:szCs w:val="22"/>
        </w:rPr>
        <w:t>,</w:t>
      </w:r>
      <w:r w:rsidR="00752254" w:rsidRPr="00046CC9">
        <w:rPr>
          <w:sz w:val="22"/>
          <w:szCs w:val="22"/>
        </w:rPr>
        <w:t xml:space="preserve"> </w:t>
      </w:r>
      <w:r w:rsidR="00955BF7" w:rsidRPr="00046CC9">
        <w:rPr>
          <w:sz w:val="22"/>
          <w:szCs w:val="22"/>
        </w:rPr>
        <w:t>Eleme</w:t>
      </w:r>
      <w:r w:rsidR="007E361D" w:rsidRPr="00046CC9">
        <w:rPr>
          <w:sz w:val="22"/>
          <w:szCs w:val="22"/>
        </w:rPr>
        <w:t xml:space="preserve">nt 2 funding is </w:t>
      </w:r>
      <w:r w:rsidR="002D7E38" w:rsidRPr="00046CC9">
        <w:rPr>
          <w:sz w:val="22"/>
          <w:szCs w:val="22"/>
        </w:rPr>
        <w:t>retained by the school</w:t>
      </w:r>
      <w:r w:rsidR="00285D49" w:rsidRPr="00046CC9">
        <w:rPr>
          <w:sz w:val="22"/>
          <w:szCs w:val="22"/>
        </w:rPr>
        <w:t xml:space="preserve"> or academy</w:t>
      </w:r>
      <w:r w:rsidR="002D7E38" w:rsidRPr="00046CC9">
        <w:rPr>
          <w:sz w:val="22"/>
          <w:szCs w:val="22"/>
        </w:rPr>
        <w:t>. These technical differences are highlighted in Appendix 1.</w:t>
      </w:r>
    </w:p>
    <w:p w14:paraId="2EAC5638" w14:textId="77777777" w:rsidR="0087640B" w:rsidRDefault="0087640B" w:rsidP="00B351ED">
      <w:pPr>
        <w:jc w:val="both"/>
        <w:rPr>
          <w:sz w:val="22"/>
          <w:szCs w:val="22"/>
        </w:rPr>
      </w:pPr>
    </w:p>
    <w:p w14:paraId="23A78A6E" w14:textId="564A7BDC" w:rsidR="00D57E25" w:rsidRDefault="002364E2" w:rsidP="00B351ED">
      <w:pPr>
        <w:jc w:val="both"/>
        <w:rPr>
          <w:sz w:val="22"/>
          <w:szCs w:val="22"/>
        </w:rPr>
      </w:pPr>
      <w:r>
        <w:rPr>
          <w:sz w:val="22"/>
          <w:szCs w:val="22"/>
        </w:rPr>
        <w:t>4</w:t>
      </w:r>
      <w:r w:rsidR="00973F70">
        <w:rPr>
          <w:sz w:val="22"/>
          <w:szCs w:val="22"/>
        </w:rPr>
        <w:t>.7</w:t>
      </w:r>
      <w:r w:rsidR="00B42C6D">
        <w:rPr>
          <w:sz w:val="22"/>
          <w:szCs w:val="22"/>
        </w:rPr>
        <w:t xml:space="preserve"> The physical payment</w:t>
      </w:r>
      <w:r w:rsidR="00FC7139">
        <w:rPr>
          <w:sz w:val="22"/>
          <w:szCs w:val="22"/>
        </w:rPr>
        <w:t xml:space="preserve"> by Bradford Council</w:t>
      </w:r>
      <w:r w:rsidR="00B42C6D">
        <w:rPr>
          <w:sz w:val="22"/>
          <w:szCs w:val="22"/>
        </w:rPr>
        <w:t xml:space="preserve"> of place</w:t>
      </w:r>
      <w:r w:rsidR="00FC7139">
        <w:rPr>
          <w:sz w:val="22"/>
          <w:szCs w:val="22"/>
        </w:rPr>
        <w:t>-element</w:t>
      </w:r>
      <w:r w:rsidR="00B42C6D">
        <w:rPr>
          <w:sz w:val="22"/>
          <w:szCs w:val="22"/>
        </w:rPr>
        <w:t xml:space="preserve"> funding</w:t>
      </w:r>
      <w:r w:rsidR="00450FF6">
        <w:rPr>
          <w:sz w:val="22"/>
          <w:szCs w:val="22"/>
        </w:rPr>
        <w:t>, where this is delegated</w:t>
      </w:r>
      <w:r w:rsidR="009F276D">
        <w:rPr>
          <w:sz w:val="22"/>
          <w:szCs w:val="22"/>
        </w:rPr>
        <w:t xml:space="preserve"> and</w:t>
      </w:r>
      <w:r w:rsidR="00FC7139">
        <w:rPr>
          <w:sz w:val="22"/>
          <w:szCs w:val="22"/>
        </w:rPr>
        <w:t xml:space="preserve"> where it is </w:t>
      </w:r>
      <w:r w:rsidR="009F276D">
        <w:rPr>
          <w:sz w:val="22"/>
          <w:szCs w:val="22"/>
        </w:rPr>
        <w:t>the Council’s responsibility to pay</w:t>
      </w:r>
      <w:r w:rsidR="00FC7139">
        <w:rPr>
          <w:sz w:val="22"/>
          <w:szCs w:val="22"/>
        </w:rPr>
        <w:t xml:space="preserve"> it (rather than the Education Skills and Funding Agency’s responsibility</w:t>
      </w:r>
      <w:r w:rsidR="00B131B1">
        <w:rPr>
          <w:sz w:val="22"/>
          <w:szCs w:val="22"/>
        </w:rPr>
        <w:t>)</w:t>
      </w:r>
      <w:r w:rsidR="00450FF6">
        <w:rPr>
          <w:sz w:val="22"/>
          <w:szCs w:val="22"/>
        </w:rPr>
        <w:t>,</w:t>
      </w:r>
      <w:r w:rsidR="00B42C6D">
        <w:rPr>
          <w:sz w:val="22"/>
          <w:szCs w:val="22"/>
        </w:rPr>
        <w:t xml:space="preserve"> takes place </w:t>
      </w:r>
      <w:r w:rsidR="00B42C6D" w:rsidRPr="00046CC9">
        <w:rPr>
          <w:sz w:val="22"/>
          <w:szCs w:val="22"/>
        </w:rPr>
        <w:t xml:space="preserve">on a monthly basis and is combined with the monthly payment of top-up funding. </w:t>
      </w:r>
      <w:r w:rsidR="00E35B58" w:rsidRPr="00046CC9">
        <w:rPr>
          <w:sz w:val="22"/>
          <w:szCs w:val="22"/>
        </w:rPr>
        <w:t xml:space="preserve">Bradford </w:t>
      </w:r>
      <w:r w:rsidR="00E35B58">
        <w:rPr>
          <w:sz w:val="22"/>
          <w:szCs w:val="22"/>
        </w:rPr>
        <w:t xml:space="preserve">Council </w:t>
      </w:r>
      <w:r w:rsidR="0062430D">
        <w:rPr>
          <w:sz w:val="22"/>
          <w:szCs w:val="22"/>
        </w:rPr>
        <w:t>publishes</w:t>
      </w:r>
      <w:r w:rsidR="00E35B58">
        <w:rPr>
          <w:sz w:val="22"/>
          <w:szCs w:val="22"/>
        </w:rPr>
        <w:t xml:space="preserve"> monthly funding </w:t>
      </w:r>
      <w:r w:rsidR="004F09F4">
        <w:rPr>
          <w:sz w:val="22"/>
          <w:szCs w:val="22"/>
        </w:rPr>
        <w:t xml:space="preserve">and payment </w:t>
      </w:r>
      <w:r w:rsidR="00046CC9">
        <w:rPr>
          <w:sz w:val="22"/>
          <w:szCs w:val="22"/>
        </w:rPr>
        <w:t>statements for settings</w:t>
      </w:r>
      <w:r w:rsidR="00E35B58">
        <w:rPr>
          <w:sz w:val="22"/>
          <w:szCs w:val="22"/>
        </w:rPr>
        <w:t xml:space="preserve"> to access</w:t>
      </w:r>
      <w:r w:rsidR="00F952FE">
        <w:rPr>
          <w:sz w:val="22"/>
          <w:szCs w:val="22"/>
        </w:rPr>
        <w:t xml:space="preserve"> on </w:t>
      </w:r>
      <w:hyperlink r:id="rId11" w:history="1">
        <w:r w:rsidR="00F952FE" w:rsidRPr="00FB79EE">
          <w:rPr>
            <w:rStyle w:val="Hyperlink"/>
            <w:sz w:val="22"/>
            <w:szCs w:val="22"/>
          </w:rPr>
          <w:t>Bradford Schools Online</w:t>
        </w:r>
      </w:hyperlink>
      <w:r w:rsidR="00E35B58">
        <w:rPr>
          <w:sz w:val="22"/>
          <w:szCs w:val="22"/>
        </w:rPr>
        <w:t xml:space="preserve">. </w:t>
      </w:r>
      <w:r w:rsidR="00B42C6D">
        <w:rPr>
          <w:sz w:val="22"/>
          <w:szCs w:val="22"/>
        </w:rPr>
        <w:t xml:space="preserve">For some institutions, such as </w:t>
      </w:r>
      <w:r w:rsidR="00364CEB">
        <w:rPr>
          <w:sz w:val="22"/>
          <w:szCs w:val="22"/>
        </w:rPr>
        <w:t xml:space="preserve">for </w:t>
      </w:r>
      <w:r w:rsidR="00B42C6D">
        <w:rPr>
          <w:sz w:val="22"/>
          <w:szCs w:val="22"/>
        </w:rPr>
        <w:t xml:space="preserve">academies and </w:t>
      </w:r>
      <w:r w:rsidR="00364CEB">
        <w:rPr>
          <w:sz w:val="22"/>
          <w:szCs w:val="22"/>
        </w:rPr>
        <w:t xml:space="preserve">for </w:t>
      </w:r>
      <w:r w:rsidR="00B42C6D">
        <w:rPr>
          <w:sz w:val="22"/>
          <w:szCs w:val="22"/>
        </w:rPr>
        <w:t>Further Education Colleges, place</w:t>
      </w:r>
      <w:r w:rsidR="00364CEB">
        <w:rPr>
          <w:sz w:val="22"/>
          <w:szCs w:val="22"/>
        </w:rPr>
        <w:t>-element</w:t>
      </w:r>
      <w:r w:rsidR="00B42C6D">
        <w:rPr>
          <w:sz w:val="22"/>
          <w:szCs w:val="22"/>
        </w:rPr>
        <w:t xml:space="preserve"> f</w:t>
      </w:r>
      <w:r w:rsidR="00CD10F7">
        <w:rPr>
          <w:sz w:val="22"/>
          <w:szCs w:val="22"/>
        </w:rPr>
        <w:t>unding is not directly paid</w:t>
      </w:r>
      <w:r w:rsidR="00B42C6D">
        <w:rPr>
          <w:sz w:val="22"/>
          <w:szCs w:val="22"/>
        </w:rPr>
        <w:t xml:space="preserve"> by Bradford Council. Instead, the Education Skills and Fu</w:t>
      </w:r>
      <w:r w:rsidR="00CD10F7">
        <w:rPr>
          <w:sz w:val="22"/>
          <w:szCs w:val="22"/>
        </w:rPr>
        <w:t xml:space="preserve">nding Agency (ESFA) deducts </w:t>
      </w:r>
      <w:r w:rsidR="00B42C6D">
        <w:rPr>
          <w:sz w:val="22"/>
          <w:szCs w:val="22"/>
        </w:rPr>
        <w:t>plac</w:t>
      </w:r>
      <w:r w:rsidR="00CD10F7">
        <w:rPr>
          <w:sz w:val="22"/>
          <w:szCs w:val="22"/>
        </w:rPr>
        <w:t>e</w:t>
      </w:r>
      <w:r w:rsidR="00364CEB">
        <w:rPr>
          <w:sz w:val="22"/>
          <w:szCs w:val="22"/>
        </w:rPr>
        <w:t>-element</w:t>
      </w:r>
      <w:r w:rsidR="00CD10F7">
        <w:rPr>
          <w:sz w:val="22"/>
          <w:szCs w:val="22"/>
        </w:rPr>
        <w:t xml:space="preserve"> funding from the Council’s Dedicated Schools Grant</w:t>
      </w:r>
      <w:r w:rsidR="00B42C6D">
        <w:rPr>
          <w:sz w:val="22"/>
          <w:szCs w:val="22"/>
        </w:rPr>
        <w:t xml:space="preserve"> to </w:t>
      </w:r>
      <w:r w:rsidR="00FB58E2">
        <w:rPr>
          <w:sz w:val="22"/>
          <w:szCs w:val="22"/>
        </w:rPr>
        <w:t>pay this</w:t>
      </w:r>
      <w:r w:rsidR="00F952FE">
        <w:rPr>
          <w:sz w:val="22"/>
          <w:szCs w:val="22"/>
        </w:rPr>
        <w:t xml:space="preserve"> across</w:t>
      </w:r>
      <w:r w:rsidR="00FB58E2">
        <w:rPr>
          <w:sz w:val="22"/>
          <w:szCs w:val="22"/>
        </w:rPr>
        <w:t xml:space="preserve"> </w:t>
      </w:r>
      <w:r w:rsidR="00046CC9">
        <w:rPr>
          <w:sz w:val="22"/>
          <w:szCs w:val="22"/>
        </w:rPr>
        <w:t>to these settings</w:t>
      </w:r>
      <w:r w:rsidR="00ED139B">
        <w:rPr>
          <w:sz w:val="22"/>
          <w:szCs w:val="22"/>
        </w:rPr>
        <w:t xml:space="preserve"> </w:t>
      </w:r>
      <w:r w:rsidR="00FB58E2">
        <w:rPr>
          <w:sz w:val="22"/>
          <w:szCs w:val="22"/>
        </w:rPr>
        <w:t>directly</w:t>
      </w:r>
      <w:r w:rsidR="00F06C26">
        <w:rPr>
          <w:sz w:val="22"/>
          <w:szCs w:val="22"/>
        </w:rPr>
        <w:t>.</w:t>
      </w:r>
    </w:p>
    <w:p w14:paraId="1F13D442" w14:textId="77777777" w:rsidR="00D6507F" w:rsidRDefault="00D6507F" w:rsidP="00B351ED">
      <w:pPr>
        <w:jc w:val="both"/>
        <w:rPr>
          <w:sz w:val="22"/>
          <w:szCs w:val="22"/>
        </w:rPr>
      </w:pPr>
    </w:p>
    <w:p w14:paraId="71554DE1" w14:textId="67D2DA76" w:rsidR="00EA7546" w:rsidRPr="001F2F0B" w:rsidRDefault="002364E2" w:rsidP="00B351ED">
      <w:pPr>
        <w:jc w:val="both"/>
        <w:rPr>
          <w:sz w:val="22"/>
          <w:szCs w:val="22"/>
        </w:rPr>
      </w:pPr>
      <w:r>
        <w:rPr>
          <w:sz w:val="22"/>
          <w:szCs w:val="22"/>
        </w:rPr>
        <w:t>4</w:t>
      </w:r>
      <w:r w:rsidR="00774FFB">
        <w:rPr>
          <w:sz w:val="22"/>
          <w:szCs w:val="22"/>
        </w:rPr>
        <w:t>.</w:t>
      </w:r>
      <w:r w:rsidR="00973F70">
        <w:rPr>
          <w:sz w:val="22"/>
          <w:szCs w:val="22"/>
        </w:rPr>
        <w:t>8</w:t>
      </w:r>
      <w:r w:rsidR="00396A6B">
        <w:rPr>
          <w:sz w:val="22"/>
          <w:szCs w:val="22"/>
        </w:rPr>
        <w:t xml:space="preserve"> </w:t>
      </w:r>
      <w:r w:rsidR="00FC0917">
        <w:rPr>
          <w:sz w:val="22"/>
          <w:szCs w:val="22"/>
        </w:rPr>
        <w:t>Apart from</w:t>
      </w:r>
      <w:r w:rsidR="00B131B1">
        <w:rPr>
          <w:sz w:val="22"/>
          <w:szCs w:val="22"/>
        </w:rPr>
        <w:t xml:space="preserve"> when placed in</w:t>
      </w:r>
      <w:r w:rsidR="003E1D62">
        <w:rPr>
          <w:sz w:val="22"/>
          <w:szCs w:val="22"/>
        </w:rPr>
        <w:t xml:space="preserve"> resourced provisions</w:t>
      </w:r>
      <w:r w:rsidR="00B131B1">
        <w:rPr>
          <w:sz w:val="22"/>
          <w:szCs w:val="22"/>
        </w:rPr>
        <w:t xml:space="preserve"> that have been</w:t>
      </w:r>
      <w:r w:rsidR="003E1D62">
        <w:rPr>
          <w:sz w:val="22"/>
          <w:szCs w:val="22"/>
        </w:rPr>
        <w:t xml:space="preserve"> established by the Local Authority, m</w:t>
      </w:r>
      <w:r w:rsidR="00396A6B">
        <w:rPr>
          <w:sz w:val="22"/>
          <w:szCs w:val="22"/>
        </w:rPr>
        <w:t xml:space="preserve">ainstream primary and secondary schools and academies do not receive </w:t>
      </w:r>
      <w:r w:rsidR="00E00B30">
        <w:rPr>
          <w:sz w:val="22"/>
          <w:szCs w:val="22"/>
        </w:rPr>
        <w:t>additional</w:t>
      </w:r>
      <w:r w:rsidR="00396A6B">
        <w:rPr>
          <w:sz w:val="22"/>
          <w:szCs w:val="22"/>
        </w:rPr>
        <w:t xml:space="preserve"> place</w:t>
      </w:r>
      <w:r w:rsidR="004F09F4">
        <w:rPr>
          <w:sz w:val="22"/>
          <w:szCs w:val="22"/>
        </w:rPr>
        <w:t>-element</w:t>
      </w:r>
      <w:r w:rsidR="00396A6B">
        <w:rPr>
          <w:sz w:val="22"/>
          <w:szCs w:val="22"/>
        </w:rPr>
        <w:t xml:space="preserve"> funding for children and young people</w:t>
      </w:r>
      <w:r w:rsidR="0046528A">
        <w:rPr>
          <w:sz w:val="22"/>
          <w:szCs w:val="22"/>
        </w:rPr>
        <w:t xml:space="preserve"> on roll</w:t>
      </w:r>
      <w:r w:rsidR="00816976">
        <w:rPr>
          <w:sz w:val="22"/>
          <w:szCs w:val="22"/>
        </w:rPr>
        <w:t xml:space="preserve"> that have Education Health and Care Plans (EHCPs). </w:t>
      </w:r>
      <w:r w:rsidR="00396A6B">
        <w:rPr>
          <w:sz w:val="22"/>
          <w:szCs w:val="22"/>
        </w:rPr>
        <w:t>The</w:t>
      </w:r>
      <w:r w:rsidR="00816976">
        <w:rPr>
          <w:sz w:val="22"/>
          <w:szCs w:val="22"/>
        </w:rPr>
        <w:t xml:space="preserve"> national</w:t>
      </w:r>
      <w:r w:rsidR="00396A6B">
        <w:rPr>
          <w:sz w:val="22"/>
          <w:szCs w:val="22"/>
        </w:rPr>
        <w:t xml:space="preserve"> high need</w:t>
      </w:r>
      <w:r w:rsidR="001F2F0B">
        <w:rPr>
          <w:sz w:val="22"/>
          <w:szCs w:val="22"/>
        </w:rPr>
        <w:t>s</w:t>
      </w:r>
      <w:r w:rsidR="00396A6B">
        <w:rPr>
          <w:sz w:val="22"/>
          <w:szCs w:val="22"/>
        </w:rPr>
        <w:t xml:space="preserve"> funding system works on the basis that </w:t>
      </w:r>
      <w:r w:rsidR="00816976">
        <w:rPr>
          <w:sz w:val="22"/>
          <w:szCs w:val="22"/>
        </w:rPr>
        <w:t xml:space="preserve">mainstream </w:t>
      </w:r>
      <w:r w:rsidR="00720578">
        <w:rPr>
          <w:sz w:val="22"/>
          <w:szCs w:val="22"/>
        </w:rPr>
        <w:t xml:space="preserve">primary and secondary </w:t>
      </w:r>
      <w:r w:rsidR="00396A6B">
        <w:rPr>
          <w:sz w:val="22"/>
          <w:szCs w:val="22"/>
        </w:rPr>
        <w:t xml:space="preserve">schools and academies have sufficient funding already within their delegated formula funding allocations to enable them to meet the additional costs of </w:t>
      </w:r>
      <w:r w:rsidR="001A06E4">
        <w:rPr>
          <w:sz w:val="22"/>
          <w:szCs w:val="22"/>
        </w:rPr>
        <w:t>the</w:t>
      </w:r>
      <w:r w:rsidR="00396A6B">
        <w:rPr>
          <w:sz w:val="22"/>
          <w:szCs w:val="22"/>
        </w:rPr>
        <w:t xml:space="preserve"> SEND needs of their pupils</w:t>
      </w:r>
      <w:r w:rsidR="004F09F4">
        <w:rPr>
          <w:sz w:val="22"/>
          <w:szCs w:val="22"/>
        </w:rPr>
        <w:t>,</w:t>
      </w:r>
      <w:r w:rsidR="00396A6B">
        <w:rPr>
          <w:sz w:val="22"/>
          <w:szCs w:val="22"/>
        </w:rPr>
        <w:t xml:space="preserve"> up to the threshold of £6,000</w:t>
      </w:r>
      <w:r w:rsidR="004B067A" w:rsidRPr="00D32B2B">
        <w:rPr>
          <w:sz w:val="22"/>
          <w:szCs w:val="22"/>
        </w:rPr>
        <w:t>. Local authorities are required to define for each primary and secondary school</w:t>
      </w:r>
      <w:r w:rsidR="001F2F0B">
        <w:rPr>
          <w:sz w:val="22"/>
          <w:szCs w:val="22"/>
        </w:rPr>
        <w:t xml:space="preserve"> and academy</w:t>
      </w:r>
      <w:r w:rsidR="004B067A" w:rsidRPr="00D32B2B">
        <w:rPr>
          <w:sz w:val="22"/>
          <w:szCs w:val="22"/>
        </w:rPr>
        <w:t xml:space="preserve"> the value of </w:t>
      </w:r>
      <w:r w:rsidR="001A06E4" w:rsidRPr="00D32B2B">
        <w:rPr>
          <w:sz w:val="22"/>
          <w:szCs w:val="22"/>
        </w:rPr>
        <w:t xml:space="preserve">their </w:t>
      </w:r>
      <w:r w:rsidR="004B067A" w:rsidRPr="00D32B2B">
        <w:rPr>
          <w:sz w:val="22"/>
          <w:szCs w:val="22"/>
        </w:rPr>
        <w:t>formula funding that is ‘notionally’ allocated for SEND</w:t>
      </w:r>
      <w:r w:rsidR="00AC451C">
        <w:rPr>
          <w:sz w:val="22"/>
          <w:szCs w:val="22"/>
        </w:rPr>
        <w:t>, which is to be used to meet</w:t>
      </w:r>
      <w:r w:rsidR="004B067A" w:rsidRPr="00D32B2B">
        <w:rPr>
          <w:sz w:val="22"/>
          <w:szCs w:val="22"/>
        </w:rPr>
        <w:t xml:space="preserve"> the first £6,000 of </w:t>
      </w:r>
      <w:r w:rsidR="00E40344">
        <w:rPr>
          <w:sz w:val="22"/>
          <w:szCs w:val="22"/>
        </w:rPr>
        <w:t>needs of</w:t>
      </w:r>
      <w:r w:rsidR="003E1D62">
        <w:rPr>
          <w:sz w:val="22"/>
          <w:szCs w:val="22"/>
        </w:rPr>
        <w:t xml:space="preserve"> pupils with EHCPs</w:t>
      </w:r>
      <w:r w:rsidR="00507B08">
        <w:rPr>
          <w:sz w:val="22"/>
          <w:szCs w:val="22"/>
        </w:rPr>
        <w:t>,</w:t>
      </w:r>
      <w:r w:rsidR="004B067A" w:rsidRPr="00D32B2B">
        <w:rPr>
          <w:sz w:val="22"/>
          <w:szCs w:val="22"/>
        </w:rPr>
        <w:t xml:space="preserve"> as well as the needs of pupils without EHCPs.</w:t>
      </w:r>
      <w:r w:rsidR="00B351ED" w:rsidRPr="00D32B2B">
        <w:rPr>
          <w:sz w:val="22"/>
          <w:szCs w:val="22"/>
        </w:rPr>
        <w:t xml:space="preserve"> </w:t>
      </w:r>
      <w:r w:rsidR="00240B56" w:rsidRPr="00D32B2B">
        <w:rPr>
          <w:sz w:val="22"/>
          <w:szCs w:val="22"/>
        </w:rPr>
        <w:t xml:space="preserve">The value of each </w:t>
      </w:r>
      <w:r w:rsidR="00AC451C">
        <w:rPr>
          <w:sz w:val="22"/>
          <w:szCs w:val="22"/>
        </w:rPr>
        <w:t xml:space="preserve">maintained </w:t>
      </w:r>
      <w:r w:rsidR="00240B56" w:rsidRPr="00D32B2B">
        <w:rPr>
          <w:sz w:val="22"/>
          <w:szCs w:val="22"/>
        </w:rPr>
        <w:t xml:space="preserve">school’s </w:t>
      </w:r>
      <w:r w:rsidR="00C77945" w:rsidRPr="00D32B2B">
        <w:rPr>
          <w:sz w:val="22"/>
          <w:szCs w:val="22"/>
        </w:rPr>
        <w:t>no</w:t>
      </w:r>
      <w:r w:rsidR="00370FE6">
        <w:rPr>
          <w:sz w:val="22"/>
          <w:szCs w:val="22"/>
        </w:rPr>
        <w:t>tional SEND budget is</w:t>
      </w:r>
      <w:r w:rsidR="00240B56" w:rsidRPr="00D32B2B">
        <w:rPr>
          <w:sz w:val="22"/>
          <w:szCs w:val="22"/>
        </w:rPr>
        <w:t xml:space="preserve"> set out in the</w:t>
      </w:r>
      <w:r w:rsidR="00C77945" w:rsidRPr="00D32B2B">
        <w:rPr>
          <w:sz w:val="22"/>
          <w:szCs w:val="22"/>
        </w:rPr>
        <w:t xml:space="preserve"> annual S251</w:t>
      </w:r>
      <w:r w:rsidR="003D61BA" w:rsidRPr="00D32B2B">
        <w:rPr>
          <w:sz w:val="22"/>
          <w:szCs w:val="22"/>
        </w:rPr>
        <w:t xml:space="preserve"> </w:t>
      </w:r>
      <w:r w:rsidR="00507B08">
        <w:rPr>
          <w:sz w:val="22"/>
          <w:szCs w:val="22"/>
        </w:rPr>
        <w:t xml:space="preserve">budget </w:t>
      </w:r>
      <w:r w:rsidR="003D61BA" w:rsidRPr="00D32B2B">
        <w:rPr>
          <w:sz w:val="22"/>
          <w:szCs w:val="22"/>
        </w:rPr>
        <w:t>statements</w:t>
      </w:r>
      <w:r w:rsidR="007E361D">
        <w:rPr>
          <w:sz w:val="22"/>
          <w:szCs w:val="22"/>
        </w:rPr>
        <w:t xml:space="preserve"> that are published by</w:t>
      </w:r>
      <w:r w:rsidR="003D61BA" w:rsidRPr="00D32B2B">
        <w:rPr>
          <w:sz w:val="22"/>
          <w:szCs w:val="22"/>
        </w:rPr>
        <w:t xml:space="preserve"> Bradford</w:t>
      </w:r>
      <w:r w:rsidR="007E361D">
        <w:rPr>
          <w:sz w:val="22"/>
          <w:szCs w:val="22"/>
        </w:rPr>
        <w:t xml:space="preserve"> Council</w:t>
      </w:r>
      <w:r w:rsidR="00240B56" w:rsidRPr="00D32B2B">
        <w:rPr>
          <w:sz w:val="22"/>
          <w:szCs w:val="22"/>
        </w:rPr>
        <w:t>.</w:t>
      </w:r>
      <w:r w:rsidR="00B42FE2">
        <w:rPr>
          <w:sz w:val="22"/>
          <w:szCs w:val="22"/>
        </w:rPr>
        <w:t xml:space="preserve"> A separate statement, showing </w:t>
      </w:r>
      <w:r w:rsidR="00AC451C">
        <w:rPr>
          <w:sz w:val="22"/>
          <w:szCs w:val="22"/>
        </w:rPr>
        <w:t xml:space="preserve">the notional SEND </w:t>
      </w:r>
      <w:r w:rsidR="00B42FE2" w:rsidRPr="00E40344">
        <w:rPr>
          <w:sz w:val="22"/>
          <w:szCs w:val="22"/>
        </w:rPr>
        <w:t>allocations for all maintained primary and seconda</w:t>
      </w:r>
      <w:r w:rsidR="003E1D62" w:rsidRPr="00E40344">
        <w:rPr>
          <w:sz w:val="22"/>
          <w:szCs w:val="22"/>
        </w:rPr>
        <w:t>ry schools, as well as</w:t>
      </w:r>
      <w:r w:rsidR="00507B08" w:rsidRPr="00E40344">
        <w:rPr>
          <w:sz w:val="22"/>
          <w:szCs w:val="22"/>
        </w:rPr>
        <w:t xml:space="preserve"> for all</w:t>
      </w:r>
      <w:r w:rsidR="001F2F0B" w:rsidRPr="00E40344">
        <w:rPr>
          <w:sz w:val="22"/>
          <w:szCs w:val="22"/>
        </w:rPr>
        <w:t xml:space="preserve"> academies</w:t>
      </w:r>
      <w:r w:rsidR="003E1D62" w:rsidRPr="00E40344">
        <w:rPr>
          <w:sz w:val="22"/>
          <w:szCs w:val="22"/>
        </w:rPr>
        <w:t>,</w:t>
      </w:r>
      <w:r w:rsidR="001F2F0B" w:rsidRPr="00E40344">
        <w:rPr>
          <w:sz w:val="22"/>
          <w:szCs w:val="22"/>
        </w:rPr>
        <w:t xml:space="preserve"> is</w:t>
      </w:r>
      <w:r w:rsidR="00B42FE2" w:rsidRPr="00E40344">
        <w:rPr>
          <w:sz w:val="22"/>
          <w:szCs w:val="22"/>
        </w:rPr>
        <w:t xml:space="preserve"> published annually on Bradford Schools Online.</w:t>
      </w:r>
      <w:r w:rsidR="004705CC" w:rsidRPr="00E40344">
        <w:rPr>
          <w:sz w:val="22"/>
          <w:szCs w:val="22"/>
        </w:rPr>
        <w:t xml:space="preserve"> Please see Appendix </w:t>
      </w:r>
      <w:r w:rsidR="001B50CE" w:rsidRPr="00E40344">
        <w:rPr>
          <w:sz w:val="22"/>
          <w:szCs w:val="22"/>
        </w:rPr>
        <w:t>3</w:t>
      </w:r>
      <w:r w:rsidR="00F952FE" w:rsidRPr="00E40344">
        <w:rPr>
          <w:sz w:val="22"/>
          <w:szCs w:val="22"/>
        </w:rPr>
        <w:t xml:space="preserve"> for more technical information</w:t>
      </w:r>
      <w:r w:rsidR="003E1D62" w:rsidRPr="00E40344">
        <w:rPr>
          <w:sz w:val="22"/>
          <w:szCs w:val="22"/>
        </w:rPr>
        <w:t xml:space="preserve"> regarding</w:t>
      </w:r>
      <w:r w:rsidR="00AC451C" w:rsidRPr="00E40344">
        <w:rPr>
          <w:sz w:val="22"/>
          <w:szCs w:val="22"/>
        </w:rPr>
        <w:t xml:space="preserve"> our</w:t>
      </w:r>
      <w:r w:rsidR="00D11A08" w:rsidRPr="00E40344">
        <w:rPr>
          <w:sz w:val="22"/>
          <w:szCs w:val="22"/>
        </w:rPr>
        <w:t xml:space="preserve"> current 202</w:t>
      </w:r>
      <w:r w:rsidR="009622D2">
        <w:rPr>
          <w:sz w:val="22"/>
          <w:szCs w:val="22"/>
        </w:rPr>
        <w:t>4</w:t>
      </w:r>
      <w:r w:rsidR="00D11A08" w:rsidRPr="00E40344">
        <w:rPr>
          <w:sz w:val="22"/>
          <w:szCs w:val="22"/>
        </w:rPr>
        <w:t>/2</w:t>
      </w:r>
      <w:r w:rsidR="009622D2">
        <w:rPr>
          <w:sz w:val="22"/>
          <w:szCs w:val="22"/>
        </w:rPr>
        <w:t>5</w:t>
      </w:r>
      <w:r w:rsidR="00B42FE2" w:rsidRPr="00E40344">
        <w:rPr>
          <w:sz w:val="22"/>
          <w:szCs w:val="22"/>
        </w:rPr>
        <w:t xml:space="preserve"> definition of notional SEND</w:t>
      </w:r>
      <w:r w:rsidR="004705CC" w:rsidRPr="00E40344">
        <w:rPr>
          <w:sz w:val="22"/>
          <w:szCs w:val="22"/>
        </w:rPr>
        <w:t xml:space="preserve">. </w:t>
      </w:r>
      <w:r w:rsidR="00240B56" w:rsidRPr="00E40344">
        <w:rPr>
          <w:sz w:val="22"/>
          <w:szCs w:val="22"/>
        </w:rPr>
        <w:t xml:space="preserve"> </w:t>
      </w:r>
    </w:p>
    <w:p w14:paraId="0D83033A" w14:textId="77777777" w:rsidR="004F7848" w:rsidRDefault="004F7848" w:rsidP="00156D01">
      <w:pPr>
        <w:jc w:val="both"/>
        <w:rPr>
          <w:sz w:val="22"/>
          <w:szCs w:val="22"/>
        </w:rPr>
      </w:pPr>
    </w:p>
    <w:p w14:paraId="7099AA58" w14:textId="78FC7E46" w:rsidR="001F2F0B" w:rsidRPr="009622D2" w:rsidRDefault="00EA7546" w:rsidP="00156D01">
      <w:pPr>
        <w:jc w:val="both"/>
        <w:rPr>
          <w:color w:val="FF0000"/>
          <w:sz w:val="22"/>
          <w:szCs w:val="22"/>
        </w:rPr>
      </w:pPr>
      <w:r w:rsidRPr="009622D2">
        <w:rPr>
          <w:sz w:val="22"/>
          <w:szCs w:val="22"/>
        </w:rPr>
        <w:t xml:space="preserve">4.9 </w:t>
      </w:r>
      <w:r w:rsidR="0024126A" w:rsidRPr="009622D2">
        <w:rPr>
          <w:sz w:val="22"/>
          <w:szCs w:val="22"/>
        </w:rPr>
        <w:t>In</w:t>
      </w:r>
      <w:r w:rsidR="001F2F0B" w:rsidRPr="009622D2">
        <w:rPr>
          <w:sz w:val="22"/>
          <w:szCs w:val="22"/>
        </w:rPr>
        <w:t xml:space="preserve"> 2021/22, we amended our</w:t>
      </w:r>
      <w:r w:rsidR="00B351ED" w:rsidRPr="009622D2">
        <w:rPr>
          <w:sz w:val="22"/>
          <w:szCs w:val="22"/>
        </w:rPr>
        <w:t xml:space="preserve"> separate</w:t>
      </w:r>
      <w:r w:rsidR="001F2F0B" w:rsidRPr="009622D2">
        <w:rPr>
          <w:sz w:val="22"/>
          <w:szCs w:val="22"/>
        </w:rPr>
        <w:t xml:space="preserve"> additional</w:t>
      </w:r>
      <w:r w:rsidR="00B351ED" w:rsidRPr="009622D2">
        <w:rPr>
          <w:sz w:val="22"/>
          <w:szCs w:val="22"/>
        </w:rPr>
        <w:t xml:space="preserve"> ‘SEN</w:t>
      </w:r>
      <w:r w:rsidR="001A06E4" w:rsidRPr="009622D2">
        <w:rPr>
          <w:sz w:val="22"/>
          <w:szCs w:val="22"/>
        </w:rPr>
        <w:t>D</w:t>
      </w:r>
      <w:r w:rsidR="001F2F0B" w:rsidRPr="009622D2">
        <w:rPr>
          <w:sz w:val="22"/>
          <w:szCs w:val="22"/>
        </w:rPr>
        <w:t xml:space="preserve"> Funding Floor’ </w:t>
      </w:r>
      <w:r w:rsidR="00507B08" w:rsidRPr="009622D2">
        <w:rPr>
          <w:sz w:val="22"/>
          <w:szCs w:val="22"/>
        </w:rPr>
        <w:t>mechanism, which</w:t>
      </w:r>
      <w:r w:rsidR="001F2F0B" w:rsidRPr="009622D2">
        <w:rPr>
          <w:sz w:val="22"/>
          <w:szCs w:val="22"/>
        </w:rPr>
        <w:t xml:space="preserve"> applies to mainstream primary </w:t>
      </w:r>
      <w:r w:rsidR="00507B08" w:rsidRPr="009622D2">
        <w:rPr>
          <w:sz w:val="22"/>
          <w:szCs w:val="22"/>
        </w:rPr>
        <w:t>and secondary schools and academies</w:t>
      </w:r>
      <w:r w:rsidR="00255884" w:rsidRPr="009622D2">
        <w:rPr>
          <w:sz w:val="22"/>
          <w:szCs w:val="22"/>
        </w:rPr>
        <w:t xml:space="preserve">, </w:t>
      </w:r>
      <w:r w:rsidR="00505054" w:rsidRPr="009622D2">
        <w:rPr>
          <w:sz w:val="22"/>
          <w:szCs w:val="22"/>
        </w:rPr>
        <w:t xml:space="preserve">initially </w:t>
      </w:r>
      <w:r w:rsidR="00255884" w:rsidRPr="009622D2">
        <w:rPr>
          <w:sz w:val="22"/>
          <w:szCs w:val="22"/>
        </w:rPr>
        <w:t>f</w:t>
      </w:r>
      <w:r w:rsidR="00507B08" w:rsidRPr="009622D2">
        <w:rPr>
          <w:sz w:val="22"/>
          <w:szCs w:val="22"/>
        </w:rPr>
        <w:t>or year in trial pending</w:t>
      </w:r>
      <w:r w:rsidR="00255884" w:rsidRPr="009622D2">
        <w:rPr>
          <w:sz w:val="22"/>
          <w:szCs w:val="22"/>
        </w:rPr>
        <w:t xml:space="preserve"> review</w:t>
      </w:r>
      <w:r w:rsidR="001F2F0B" w:rsidRPr="009622D2">
        <w:rPr>
          <w:sz w:val="22"/>
          <w:szCs w:val="22"/>
        </w:rPr>
        <w:t>.</w:t>
      </w:r>
      <w:r w:rsidR="00505054" w:rsidRPr="009622D2">
        <w:rPr>
          <w:sz w:val="22"/>
          <w:szCs w:val="22"/>
        </w:rPr>
        <w:t xml:space="preserve"> We</w:t>
      </w:r>
      <w:r w:rsidR="000C6289" w:rsidRPr="009622D2">
        <w:rPr>
          <w:sz w:val="22"/>
          <w:szCs w:val="22"/>
        </w:rPr>
        <w:t xml:space="preserve"> have</w:t>
      </w:r>
      <w:r w:rsidR="00505054" w:rsidRPr="009622D2">
        <w:rPr>
          <w:sz w:val="22"/>
          <w:szCs w:val="22"/>
        </w:rPr>
        <w:t xml:space="preserve"> continued this </w:t>
      </w:r>
      <w:r w:rsidR="00FE4E2E" w:rsidRPr="009622D2">
        <w:rPr>
          <w:sz w:val="22"/>
          <w:szCs w:val="22"/>
        </w:rPr>
        <w:t xml:space="preserve">new </w:t>
      </w:r>
      <w:r w:rsidR="00505054" w:rsidRPr="009622D2">
        <w:rPr>
          <w:sz w:val="22"/>
          <w:szCs w:val="22"/>
        </w:rPr>
        <w:t xml:space="preserve">Floor mechanism in </w:t>
      </w:r>
      <w:r w:rsidR="009622D2" w:rsidRPr="009622D2">
        <w:rPr>
          <w:sz w:val="22"/>
          <w:szCs w:val="22"/>
        </w:rPr>
        <w:t>each year since</w:t>
      </w:r>
      <w:r w:rsidR="00505054" w:rsidRPr="009622D2">
        <w:rPr>
          <w:sz w:val="22"/>
          <w:szCs w:val="22"/>
        </w:rPr>
        <w:t>.</w:t>
      </w:r>
      <w:r w:rsidR="00B351ED" w:rsidRPr="009622D2">
        <w:rPr>
          <w:sz w:val="22"/>
          <w:szCs w:val="22"/>
        </w:rPr>
        <w:t xml:space="preserve"> </w:t>
      </w:r>
      <w:r w:rsidR="00FE4E2E" w:rsidRPr="009622D2">
        <w:rPr>
          <w:sz w:val="22"/>
          <w:szCs w:val="22"/>
        </w:rPr>
        <w:t>How the</w:t>
      </w:r>
      <w:r w:rsidR="001F2F0B" w:rsidRPr="009622D2">
        <w:rPr>
          <w:sz w:val="22"/>
          <w:szCs w:val="22"/>
        </w:rPr>
        <w:t xml:space="preserve"> Floor</w:t>
      </w:r>
      <w:r w:rsidR="00505054" w:rsidRPr="009622D2">
        <w:rPr>
          <w:sz w:val="22"/>
          <w:szCs w:val="22"/>
        </w:rPr>
        <w:t xml:space="preserve"> has operated in 202</w:t>
      </w:r>
      <w:r w:rsidR="009622D2" w:rsidRPr="009622D2">
        <w:rPr>
          <w:sz w:val="22"/>
          <w:szCs w:val="22"/>
        </w:rPr>
        <w:t>4</w:t>
      </w:r>
      <w:r w:rsidR="00505054" w:rsidRPr="009622D2">
        <w:rPr>
          <w:sz w:val="22"/>
          <w:szCs w:val="22"/>
        </w:rPr>
        <w:t>/2</w:t>
      </w:r>
      <w:r w:rsidR="009622D2" w:rsidRPr="009622D2">
        <w:rPr>
          <w:sz w:val="22"/>
          <w:szCs w:val="22"/>
        </w:rPr>
        <w:t>5</w:t>
      </w:r>
      <w:r w:rsidR="001F2F0B" w:rsidRPr="009622D2">
        <w:rPr>
          <w:sz w:val="22"/>
          <w:szCs w:val="22"/>
        </w:rPr>
        <w:t xml:space="preserve"> is explained in more detail in A</w:t>
      </w:r>
      <w:r w:rsidR="00F131F5" w:rsidRPr="009622D2">
        <w:rPr>
          <w:sz w:val="22"/>
          <w:szCs w:val="22"/>
        </w:rPr>
        <w:t>ppendix 3.</w:t>
      </w:r>
      <w:r w:rsidR="001F2F0B" w:rsidRPr="009622D2">
        <w:rPr>
          <w:sz w:val="22"/>
          <w:szCs w:val="22"/>
        </w:rPr>
        <w:t xml:space="preserve"> </w:t>
      </w:r>
      <w:r w:rsidR="0024126A" w:rsidRPr="009622D2">
        <w:rPr>
          <w:sz w:val="22"/>
          <w:szCs w:val="22"/>
        </w:rPr>
        <w:t>The SEND Funding Floor is re-calculated on a monthly basis for changes in the number</w:t>
      </w:r>
      <w:r w:rsidR="0097125F" w:rsidRPr="009622D2">
        <w:rPr>
          <w:sz w:val="22"/>
          <w:szCs w:val="22"/>
        </w:rPr>
        <w:t>s of</w:t>
      </w:r>
      <w:r w:rsidR="0024126A" w:rsidRPr="009622D2">
        <w:rPr>
          <w:sz w:val="22"/>
          <w:szCs w:val="22"/>
        </w:rPr>
        <w:t xml:space="preserve"> Education Health and Care Plans (EHCPs) on roll. </w:t>
      </w:r>
      <w:r w:rsidR="00F131F5" w:rsidRPr="009622D2">
        <w:rPr>
          <w:sz w:val="22"/>
          <w:szCs w:val="22"/>
        </w:rPr>
        <w:t>The SEND Funding</w:t>
      </w:r>
      <w:r w:rsidR="001F2F0B" w:rsidRPr="009622D2">
        <w:rPr>
          <w:sz w:val="22"/>
          <w:szCs w:val="22"/>
        </w:rPr>
        <w:t xml:space="preserve"> Floor is</w:t>
      </w:r>
      <w:r w:rsidR="00FE4E2E" w:rsidRPr="009622D2">
        <w:rPr>
          <w:sz w:val="22"/>
          <w:szCs w:val="22"/>
        </w:rPr>
        <w:t xml:space="preserve"> currently</w:t>
      </w:r>
      <w:r w:rsidR="001F2F0B" w:rsidRPr="009622D2">
        <w:rPr>
          <w:sz w:val="22"/>
          <w:szCs w:val="22"/>
        </w:rPr>
        <w:t xml:space="preserve"> aimed at ensuring that no mainstream primary or secondary school or academy will have to manage, from their own mainstream delegated formula funding, an above phase-average cost pressure in respect of their commitment to meet the cost of Element 2 £6,000 for their EHCPs. As well as supporting provision for </w:t>
      </w:r>
      <w:r w:rsidR="00C8582E" w:rsidRPr="009622D2">
        <w:rPr>
          <w:sz w:val="22"/>
          <w:szCs w:val="22"/>
        </w:rPr>
        <w:t>pupils with EHCPs, a purpose</w:t>
      </w:r>
      <w:r w:rsidR="0024126A" w:rsidRPr="009622D2">
        <w:rPr>
          <w:sz w:val="22"/>
          <w:szCs w:val="22"/>
        </w:rPr>
        <w:t xml:space="preserve"> of the Floor is to help</w:t>
      </w:r>
      <w:r w:rsidR="001F2F0B" w:rsidRPr="009622D2">
        <w:rPr>
          <w:sz w:val="22"/>
          <w:szCs w:val="22"/>
        </w:rPr>
        <w:t xml:space="preserve"> protect the funding used by schools and academies to support their wider Additional Educational Needs, SEND and Alternative Provision activities.</w:t>
      </w:r>
      <w:r w:rsidR="00255884" w:rsidRPr="009622D2">
        <w:rPr>
          <w:sz w:val="22"/>
          <w:szCs w:val="22"/>
        </w:rPr>
        <w:t xml:space="preserve"> </w:t>
      </w:r>
      <w:r w:rsidR="009622D2">
        <w:rPr>
          <w:sz w:val="22"/>
          <w:szCs w:val="22"/>
        </w:rPr>
        <w:t>We propose to r</w:t>
      </w:r>
      <w:r w:rsidR="009622D2" w:rsidRPr="009622D2">
        <w:rPr>
          <w:sz w:val="22"/>
          <w:szCs w:val="22"/>
        </w:rPr>
        <w:t>evise</w:t>
      </w:r>
      <w:r w:rsidR="009622D2">
        <w:rPr>
          <w:sz w:val="22"/>
          <w:szCs w:val="22"/>
        </w:rPr>
        <w:t xml:space="preserve"> the SEND Funding Floor </w:t>
      </w:r>
      <w:r w:rsidR="009622D2" w:rsidRPr="009622D2">
        <w:rPr>
          <w:sz w:val="22"/>
          <w:szCs w:val="22"/>
        </w:rPr>
        <w:t>mechanism from September 2025.</w:t>
      </w:r>
    </w:p>
    <w:p w14:paraId="5228EAAD" w14:textId="77777777" w:rsidR="001F2F0B" w:rsidRDefault="001F2F0B" w:rsidP="00156D01">
      <w:pPr>
        <w:jc w:val="both"/>
        <w:rPr>
          <w:sz w:val="22"/>
          <w:szCs w:val="22"/>
        </w:rPr>
      </w:pPr>
    </w:p>
    <w:p w14:paraId="06BFE0AB" w14:textId="40DB9056" w:rsidR="009B283C" w:rsidRPr="00C5330B" w:rsidRDefault="002364E2" w:rsidP="00C77D7A">
      <w:pPr>
        <w:jc w:val="both"/>
        <w:rPr>
          <w:sz w:val="22"/>
          <w:szCs w:val="22"/>
        </w:rPr>
      </w:pPr>
      <w:r>
        <w:rPr>
          <w:sz w:val="22"/>
          <w:szCs w:val="22"/>
        </w:rPr>
        <w:t>4</w:t>
      </w:r>
      <w:r w:rsidR="00DC16B8">
        <w:rPr>
          <w:sz w:val="22"/>
          <w:szCs w:val="22"/>
        </w:rPr>
        <w:t>.10</w:t>
      </w:r>
      <w:r w:rsidR="009B283C" w:rsidRPr="00C5330B">
        <w:rPr>
          <w:sz w:val="22"/>
          <w:szCs w:val="22"/>
        </w:rPr>
        <w:t xml:space="preserve"> </w:t>
      </w:r>
      <w:r w:rsidR="00C5330B" w:rsidRPr="00C5330B">
        <w:rPr>
          <w:sz w:val="22"/>
          <w:szCs w:val="22"/>
        </w:rPr>
        <w:t>For providers delivering the entitlements to early education (maintained nursery schools, nursery classes in primary schools and academies</w:t>
      </w:r>
      <w:r w:rsidR="00402858">
        <w:rPr>
          <w:sz w:val="22"/>
          <w:szCs w:val="22"/>
        </w:rPr>
        <w:t>,</w:t>
      </w:r>
      <w:r w:rsidR="00C5330B" w:rsidRPr="00C5330B">
        <w:rPr>
          <w:sz w:val="22"/>
          <w:szCs w:val="22"/>
        </w:rPr>
        <w:t xml:space="preserve"> and Private, Voluntary an</w:t>
      </w:r>
      <w:r w:rsidR="009B00B7">
        <w:rPr>
          <w:sz w:val="22"/>
          <w:szCs w:val="22"/>
        </w:rPr>
        <w:t>d Independent p</w:t>
      </w:r>
      <w:r w:rsidR="00C5330B" w:rsidRPr="00C5330B">
        <w:rPr>
          <w:sz w:val="22"/>
          <w:szCs w:val="22"/>
        </w:rPr>
        <w:t>roviders), Bradford Council allocates</w:t>
      </w:r>
      <w:r w:rsidR="00DC16B8">
        <w:rPr>
          <w:sz w:val="22"/>
          <w:szCs w:val="22"/>
        </w:rPr>
        <w:t xml:space="preserve"> E</w:t>
      </w:r>
      <w:r w:rsidR="009B00B7">
        <w:rPr>
          <w:sz w:val="22"/>
          <w:szCs w:val="22"/>
        </w:rPr>
        <w:t>lement 1</w:t>
      </w:r>
      <w:r w:rsidR="00C5330B" w:rsidRPr="00C5330B">
        <w:rPr>
          <w:sz w:val="22"/>
          <w:szCs w:val="22"/>
        </w:rPr>
        <w:t xml:space="preserve"> funding using our Early Years Single Funding Formula</w:t>
      </w:r>
      <w:r w:rsidR="009B00B7">
        <w:rPr>
          <w:sz w:val="22"/>
          <w:szCs w:val="22"/>
        </w:rPr>
        <w:t xml:space="preserve"> (EYSFF), which is </w:t>
      </w:r>
      <w:r w:rsidR="00C5330B" w:rsidRPr="00C5330B">
        <w:rPr>
          <w:sz w:val="22"/>
          <w:szCs w:val="22"/>
        </w:rPr>
        <w:t>funded by our Early Years Block within the D</w:t>
      </w:r>
      <w:r w:rsidR="00FB4811">
        <w:rPr>
          <w:sz w:val="22"/>
          <w:szCs w:val="22"/>
        </w:rPr>
        <w:t xml:space="preserve">edicated </w:t>
      </w:r>
      <w:r w:rsidR="00C5330B" w:rsidRPr="00C5330B">
        <w:rPr>
          <w:sz w:val="22"/>
          <w:szCs w:val="22"/>
        </w:rPr>
        <w:t>S</w:t>
      </w:r>
      <w:r w:rsidR="00FB4811">
        <w:rPr>
          <w:sz w:val="22"/>
          <w:szCs w:val="22"/>
        </w:rPr>
        <w:t xml:space="preserve">chools </w:t>
      </w:r>
      <w:r w:rsidR="00C5330B" w:rsidRPr="00C5330B">
        <w:rPr>
          <w:sz w:val="22"/>
          <w:szCs w:val="22"/>
        </w:rPr>
        <w:t>G</w:t>
      </w:r>
      <w:r w:rsidR="00FB4811">
        <w:rPr>
          <w:sz w:val="22"/>
          <w:szCs w:val="22"/>
        </w:rPr>
        <w:t>rant</w:t>
      </w:r>
      <w:r w:rsidR="00C5330B" w:rsidRPr="00C5330B">
        <w:rPr>
          <w:sz w:val="22"/>
          <w:szCs w:val="22"/>
        </w:rPr>
        <w:t>.</w:t>
      </w:r>
      <w:r w:rsidR="00FB4811">
        <w:rPr>
          <w:sz w:val="22"/>
          <w:szCs w:val="22"/>
        </w:rPr>
        <w:t xml:space="preserve"> </w:t>
      </w:r>
      <w:r w:rsidR="00635FB9">
        <w:rPr>
          <w:sz w:val="22"/>
          <w:szCs w:val="22"/>
        </w:rPr>
        <w:t>E</w:t>
      </w:r>
      <w:r w:rsidR="0062430D">
        <w:rPr>
          <w:sz w:val="22"/>
          <w:szCs w:val="22"/>
        </w:rPr>
        <w:t>lement 2</w:t>
      </w:r>
      <w:r w:rsidR="00FB4811">
        <w:rPr>
          <w:sz w:val="22"/>
          <w:szCs w:val="22"/>
        </w:rPr>
        <w:t xml:space="preserve"> however,</w:t>
      </w:r>
      <w:r w:rsidR="0062430D">
        <w:rPr>
          <w:sz w:val="22"/>
          <w:szCs w:val="22"/>
        </w:rPr>
        <w:t xml:space="preserve"> is not allocated within the EYSFF. </w:t>
      </w:r>
      <w:r w:rsidR="00FB4811">
        <w:rPr>
          <w:sz w:val="22"/>
          <w:szCs w:val="22"/>
        </w:rPr>
        <w:t>As a consequence</w:t>
      </w:r>
      <w:r w:rsidR="00DC16B8">
        <w:rPr>
          <w:sz w:val="22"/>
          <w:szCs w:val="22"/>
        </w:rPr>
        <w:t>, all early years children that have EHCPs</w:t>
      </w:r>
      <w:r w:rsidR="00FB4811">
        <w:rPr>
          <w:sz w:val="22"/>
          <w:szCs w:val="22"/>
        </w:rPr>
        <w:t>,</w:t>
      </w:r>
      <w:r w:rsidR="00DC16B8">
        <w:rPr>
          <w:sz w:val="22"/>
          <w:szCs w:val="22"/>
        </w:rPr>
        <w:t xml:space="preserve"> that</w:t>
      </w:r>
      <w:r w:rsidR="00FB4811">
        <w:rPr>
          <w:sz w:val="22"/>
          <w:szCs w:val="22"/>
        </w:rPr>
        <w:t xml:space="preserve"> are not placed in the EYESPs within</w:t>
      </w:r>
      <w:r w:rsidR="00DC16B8">
        <w:rPr>
          <w:sz w:val="22"/>
          <w:szCs w:val="22"/>
        </w:rPr>
        <w:t xml:space="preserve"> maintained nursery schools</w:t>
      </w:r>
      <w:r w:rsidR="00FB4811">
        <w:rPr>
          <w:sz w:val="22"/>
          <w:szCs w:val="22"/>
        </w:rPr>
        <w:t>,</w:t>
      </w:r>
      <w:r w:rsidR="00DC16B8">
        <w:rPr>
          <w:sz w:val="22"/>
          <w:szCs w:val="22"/>
        </w:rPr>
        <w:t xml:space="preserve"> are allocated Element 2 funding in addition to the </w:t>
      </w:r>
      <w:r w:rsidR="00D32993">
        <w:rPr>
          <w:sz w:val="22"/>
          <w:szCs w:val="22"/>
        </w:rPr>
        <w:t>top-up</w:t>
      </w:r>
      <w:r w:rsidR="00DC16B8">
        <w:rPr>
          <w:sz w:val="22"/>
          <w:szCs w:val="22"/>
        </w:rPr>
        <w:t xml:space="preserve"> funding </w:t>
      </w:r>
      <w:r w:rsidR="00FB4811">
        <w:rPr>
          <w:sz w:val="22"/>
          <w:szCs w:val="22"/>
        </w:rPr>
        <w:t>provided by</w:t>
      </w:r>
      <w:r w:rsidR="00DC16B8">
        <w:rPr>
          <w:sz w:val="22"/>
          <w:szCs w:val="22"/>
        </w:rPr>
        <w:t xml:space="preserve"> the </w:t>
      </w:r>
      <w:r w:rsidR="00FB4811">
        <w:rPr>
          <w:sz w:val="22"/>
          <w:szCs w:val="22"/>
        </w:rPr>
        <w:t xml:space="preserve">EHCP </w:t>
      </w:r>
      <w:r w:rsidR="00DC16B8">
        <w:rPr>
          <w:sz w:val="22"/>
          <w:szCs w:val="22"/>
        </w:rPr>
        <w:t xml:space="preserve">Banded Model. </w:t>
      </w:r>
      <w:r w:rsidR="00FB4811">
        <w:rPr>
          <w:sz w:val="22"/>
          <w:szCs w:val="22"/>
        </w:rPr>
        <w:t>Bradford</w:t>
      </w:r>
      <w:r w:rsidR="00402858">
        <w:rPr>
          <w:sz w:val="22"/>
          <w:szCs w:val="22"/>
        </w:rPr>
        <w:t xml:space="preserve"> Council</w:t>
      </w:r>
      <w:r w:rsidR="00DC16B8">
        <w:rPr>
          <w:sz w:val="22"/>
          <w:szCs w:val="22"/>
        </w:rPr>
        <w:t xml:space="preserve"> also</w:t>
      </w:r>
      <w:r w:rsidR="00402858">
        <w:rPr>
          <w:sz w:val="22"/>
          <w:szCs w:val="22"/>
        </w:rPr>
        <w:t xml:space="preserve"> has</w:t>
      </w:r>
      <w:r w:rsidR="00C5330B" w:rsidRPr="00C5330B">
        <w:rPr>
          <w:sz w:val="22"/>
          <w:szCs w:val="22"/>
        </w:rPr>
        <w:t xml:space="preserve"> in place an Early Years SEND Inclusion Fund</w:t>
      </w:r>
      <w:r w:rsidR="00FB4811">
        <w:rPr>
          <w:sz w:val="22"/>
          <w:szCs w:val="22"/>
        </w:rPr>
        <w:t xml:space="preserve"> (EYIF)</w:t>
      </w:r>
      <w:r w:rsidR="00C5330B" w:rsidRPr="00C5330B">
        <w:rPr>
          <w:sz w:val="22"/>
          <w:szCs w:val="22"/>
        </w:rPr>
        <w:t>,</w:t>
      </w:r>
      <w:r w:rsidR="00FB4811">
        <w:rPr>
          <w:sz w:val="22"/>
          <w:szCs w:val="22"/>
        </w:rPr>
        <w:t xml:space="preserve"> funded by</w:t>
      </w:r>
      <w:r w:rsidR="00E0444E">
        <w:rPr>
          <w:sz w:val="22"/>
          <w:szCs w:val="22"/>
        </w:rPr>
        <w:t xml:space="preserve"> the Early Years Block,</w:t>
      </w:r>
      <w:r w:rsidR="00635FB9">
        <w:rPr>
          <w:sz w:val="22"/>
          <w:szCs w:val="22"/>
        </w:rPr>
        <w:t xml:space="preserve"> which enables</w:t>
      </w:r>
      <w:r w:rsidR="00E0444E">
        <w:rPr>
          <w:sz w:val="22"/>
          <w:szCs w:val="22"/>
        </w:rPr>
        <w:t xml:space="preserve"> </w:t>
      </w:r>
      <w:r w:rsidR="00635FB9">
        <w:rPr>
          <w:sz w:val="22"/>
          <w:szCs w:val="22"/>
        </w:rPr>
        <w:t xml:space="preserve">Element 2 </w:t>
      </w:r>
      <w:r w:rsidR="00C5330B" w:rsidRPr="00C5330B">
        <w:rPr>
          <w:sz w:val="22"/>
          <w:szCs w:val="22"/>
        </w:rPr>
        <w:t>funding to be allocated to support children</w:t>
      </w:r>
      <w:r w:rsidR="00DC16B8">
        <w:rPr>
          <w:sz w:val="22"/>
          <w:szCs w:val="22"/>
        </w:rPr>
        <w:t xml:space="preserve"> in e</w:t>
      </w:r>
      <w:r w:rsidR="00FB4811">
        <w:rPr>
          <w:sz w:val="22"/>
          <w:szCs w:val="22"/>
        </w:rPr>
        <w:t xml:space="preserve">arly years settings who </w:t>
      </w:r>
      <w:r w:rsidR="00DC16B8">
        <w:rPr>
          <w:sz w:val="22"/>
          <w:szCs w:val="22"/>
        </w:rPr>
        <w:t>have l</w:t>
      </w:r>
      <w:r w:rsidR="00C5330B" w:rsidRPr="00C5330B">
        <w:rPr>
          <w:sz w:val="22"/>
          <w:szCs w:val="22"/>
        </w:rPr>
        <w:t xml:space="preserve">ow level </w:t>
      </w:r>
      <w:r w:rsidR="00635FB9">
        <w:rPr>
          <w:sz w:val="22"/>
          <w:szCs w:val="22"/>
        </w:rPr>
        <w:t>emerging SEND</w:t>
      </w:r>
      <w:r w:rsidR="003E558D">
        <w:rPr>
          <w:sz w:val="22"/>
          <w:szCs w:val="22"/>
        </w:rPr>
        <w:t xml:space="preserve"> and</w:t>
      </w:r>
      <w:r w:rsidR="00FB4811">
        <w:rPr>
          <w:sz w:val="22"/>
          <w:szCs w:val="22"/>
        </w:rPr>
        <w:t xml:space="preserve"> who do not have EHCPs</w:t>
      </w:r>
      <w:r w:rsidR="00635FB9">
        <w:rPr>
          <w:sz w:val="22"/>
          <w:szCs w:val="22"/>
        </w:rPr>
        <w:t>.</w:t>
      </w:r>
      <w:r w:rsidR="00DC16B8">
        <w:rPr>
          <w:sz w:val="22"/>
          <w:szCs w:val="22"/>
        </w:rPr>
        <w:t xml:space="preserve"> </w:t>
      </w:r>
      <w:r w:rsidR="00C5330B">
        <w:rPr>
          <w:sz w:val="22"/>
          <w:szCs w:val="22"/>
        </w:rPr>
        <w:t>In addition</w:t>
      </w:r>
      <w:r w:rsidR="00402858">
        <w:rPr>
          <w:sz w:val="22"/>
          <w:szCs w:val="22"/>
        </w:rPr>
        <w:t xml:space="preserve"> to EYIF</w:t>
      </w:r>
      <w:r w:rsidR="00C5330B">
        <w:rPr>
          <w:sz w:val="22"/>
          <w:szCs w:val="22"/>
        </w:rPr>
        <w:t xml:space="preserve">, </w:t>
      </w:r>
      <w:r w:rsidR="00402858">
        <w:rPr>
          <w:sz w:val="22"/>
          <w:szCs w:val="22"/>
        </w:rPr>
        <w:t xml:space="preserve">all </w:t>
      </w:r>
      <w:r w:rsidR="00C5330B">
        <w:rPr>
          <w:sz w:val="22"/>
          <w:szCs w:val="22"/>
        </w:rPr>
        <w:t xml:space="preserve">early years providers of the </w:t>
      </w:r>
      <w:r w:rsidR="00B131B1">
        <w:rPr>
          <w:sz w:val="22"/>
          <w:szCs w:val="22"/>
        </w:rPr>
        <w:t>3&amp;4-year-old</w:t>
      </w:r>
      <w:r w:rsidR="00C5330B">
        <w:rPr>
          <w:sz w:val="22"/>
          <w:szCs w:val="22"/>
        </w:rPr>
        <w:t xml:space="preserve"> entitlement are entitled to receive a </w:t>
      </w:r>
      <w:r w:rsidR="00D850CC">
        <w:rPr>
          <w:sz w:val="22"/>
          <w:szCs w:val="22"/>
        </w:rPr>
        <w:t>one-off</w:t>
      </w:r>
      <w:r w:rsidR="00C5330B">
        <w:rPr>
          <w:sz w:val="22"/>
          <w:szCs w:val="22"/>
        </w:rPr>
        <w:t xml:space="preserve"> payment for children eligible for the Disability Access Fund (DAF).</w:t>
      </w:r>
      <w:r w:rsidR="00E0444E">
        <w:rPr>
          <w:sz w:val="22"/>
          <w:szCs w:val="22"/>
        </w:rPr>
        <w:t xml:space="preserve"> Further details on</w:t>
      </w:r>
      <w:r w:rsidR="00635FB9">
        <w:rPr>
          <w:sz w:val="22"/>
          <w:szCs w:val="22"/>
        </w:rPr>
        <w:t xml:space="preserve"> the SEND</w:t>
      </w:r>
      <w:r w:rsidR="00E0444E">
        <w:rPr>
          <w:sz w:val="22"/>
          <w:szCs w:val="22"/>
        </w:rPr>
        <w:t xml:space="preserve"> </w:t>
      </w:r>
      <w:r w:rsidR="00635FB9">
        <w:rPr>
          <w:sz w:val="22"/>
          <w:szCs w:val="22"/>
        </w:rPr>
        <w:t>Inclusion Fund</w:t>
      </w:r>
      <w:r w:rsidR="00402858">
        <w:rPr>
          <w:sz w:val="22"/>
          <w:szCs w:val="22"/>
        </w:rPr>
        <w:t xml:space="preserve"> (EYIF)</w:t>
      </w:r>
      <w:r w:rsidR="00635FB9">
        <w:rPr>
          <w:sz w:val="22"/>
          <w:szCs w:val="22"/>
        </w:rPr>
        <w:t xml:space="preserve"> and </w:t>
      </w:r>
      <w:r w:rsidR="00402858">
        <w:rPr>
          <w:sz w:val="22"/>
          <w:szCs w:val="22"/>
        </w:rPr>
        <w:t>on the Disability Access Fund (</w:t>
      </w:r>
      <w:r w:rsidR="00E0444E">
        <w:rPr>
          <w:sz w:val="22"/>
          <w:szCs w:val="22"/>
        </w:rPr>
        <w:t>DAF</w:t>
      </w:r>
      <w:r w:rsidR="00402858">
        <w:rPr>
          <w:sz w:val="22"/>
          <w:szCs w:val="22"/>
        </w:rPr>
        <w:t>)</w:t>
      </w:r>
      <w:r w:rsidR="00E0444E">
        <w:rPr>
          <w:sz w:val="22"/>
          <w:szCs w:val="22"/>
        </w:rPr>
        <w:t xml:space="preserve"> can be found in our Early Years Technical Statement </w:t>
      </w:r>
      <w:hyperlink r:id="rId12" w:history="1">
        <w:r w:rsidR="00E0444E" w:rsidRPr="00E65E3A">
          <w:rPr>
            <w:rStyle w:val="Hyperlink"/>
            <w:sz w:val="22"/>
            <w:szCs w:val="22"/>
          </w:rPr>
          <w:t>here</w:t>
        </w:r>
      </w:hyperlink>
      <w:r w:rsidR="00E0444E" w:rsidRPr="00E65E3A">
        <w:rPr>
          <w:sz w:val="22"/>
          <w:szCs w:val="22"/>
        </w:rPr>
        <w:t>.</w:t>
      </w:r>
    </w:p>
    <w:p w14:paraId="0A1AB03B" w14:textId="77777777" w:rsidR="009B283C" w:rsidRDefault="009B283C" w:rsidP="00C77D7A">
      <w:pPr>
        <w:jc w:val="both"/>
        <w:rPr>
          <w:color w:val="FF0000"/>
          <w:sz w:val="22"/>
          <w:szCs w:val="22"/>
        </w:rPr>
      </w:pPr>
    </w:p>
    <w:p w14:paraId="3CE76C13" w14:textId="77777777" w:rsidR="00F952FE" w:rsidRDefault="002364E2" w:rsidP="00F952FE">
      <w:pPr>
        <w:jc w:val="both"/>
        <w:rPr>
          <w:sz w:val="22"/>
          <w:szCs w:val="22"/>
        </w:rPr>
      </w:pPr>
      <w:r>
        <w:rPr>
          <w:sz w:val="22"/>
          <w:szCs w:val="22"/>
        </w:rPr>
        <w:t>4</w:t>
      </w:r>
      <w:r w:rsidR="00B855BB">
        <w:rPr>
          <w:sz w:val="22"/>
          <w:szCs w:val="22"/>
        </w:rPr>
        <w:t>.11</w:t>
      </w:r>
      <w:r w:rsidR="00C77D7A" w:rsidRPr="00D32B2B">
        <w:rPr>
          <w:sz w:val="22"/>
          <w:szCs w:val="22"/>
        </w:rPr>
        <w:t xml:space="preserve"> </w:t>
      </w:r>
      <w:r w:rsidR="00B67F4F" w:rsidRPr="00D32B2B">
        <w:rPr>
          <w:sz w:val="22"/>
          <w:szCs w:val="22"/>
        </w:rPr>
        <w:t>Place</w:t>
      </w:r>
      <w:r w:rsidR="005E1A25">
        <w:rPr>
          <w:sz w:val="22"/>
          <w:szCs w:val="22"/>
        </w:rPr>
        <w:t>-element</w:t>
      </w:r>
      <w:r w:rsidR="00B67F4F" w:rsidRPr="00D32B2B">
        <w:rPr>
          <w:sz w:val="22"/>
          <w:szCs w:val="22"/>
        </w:rPr>
        <w:t xml:space="preserve"> funding for education in hospital provision, nationally, has still to be brought into the Place-Plus </w:t>
      </w:r>
      <w:r w:rsidR="00B67F4F" w:rsidRPr="00F952FE">
        <w:rPr>
          <w:sz w:val="22"/>
          <w:szCs w:val="22"/>
        </w:rPr>
        <w:t xml:space="preserve">methodology. Currently, local authorities </w:t>
      </w:r>
      <w:r w:rsidR="00255371" w:rsidRPr="00F952FE">
        <w:rPr>
          <w:sz w:val="22"/>
          <w:szCs w:val="22"/>
        </w:rPr>
        <w:t xml:space="preserve">are </w:t>
      </w:r>
      <w:r w:rsidR="00B67F4F" w:rsidRPr="00F952FE">
        <w:rPr>
          <w:sz w:val="22"/>
          <w:szCs w:val="22"/>
        </w:rPr>
        <w:t xml:space="preserve">required to </w:t>
      </w:r>
      <w:r w:rsidR="00727CFC" w:rsidRPr="00F952FE">
        <w:rPr>
          <w:sz w:val="22"/>
          <w:szCs w:val="22"/>
        </w:rPr>
        <w:t>maintain p</w:t>
      </w:r>
      <w:r w:rsidR="005E1A25">
        <w:rPr>
          <w:sz w:val="22"/>
          <w:szCs w:val="22"/>
        </w:rPr>
        <w:t xml:space="preserve">rior-year place funding values. </w:t>
      </w:r>
      <w:r w:rsidR="00F952FE" w:rsidRPr="00F952FE">
        <w:rPr>
          <w:sz w:val="22"/>
          <w:szCs w:val="22"/>
        </w:rPr>
        <w:t>Bradford’s hospital provisions closed as separate PRUs on 31 August 2019 and Tracks close</w:t>
      </w:r>
      <w:r w:rsidR="0049048D">
        <w:rPr>
          <w:sz w:val="22"/>
          <w:szCs w:val="22"/>
        </w:rPr>
        <w:t>d</w:t>
      </w:r>
      <w:r w:rsidR="00F952FE" w:rsidRPr="00F952FE">
        <w:rPr>
          <w:sz w:val="22"/>
          <w:szCs w:val="22"/>
        </w:rPr>
        <w:t xml:space="preserve"> as a separate entity on 31 August 2020. Provision is continuing as a single</w:t>
      </w:r>
      <w:r w:rsidR="00CC2278">
        <w:rPr>
          <w:sz w:val="22"/>
          <w:szCs w:val="22"/>
        </w:rPr>
        <w:t xml:space="preserve"> Local-Authority</w:t>
      </w:r>
      <w:r w:rsidR="00F952FE" w:rsidRPr="00F952FE">
        <w:rPr>
          <w:sz w:val="22"/>
          <w:szCs w:val="22"/>
        </w:rPr>
        <w:t xml:space="preserve"> service. </w:t>
      </w:r>
      <w:r w:rsidR="003B3C06">
        <w:rPr>
          <w:sz w:val="22"/>
          <w:szCs w:val="22"/>
        </w:rPr>
        <w:t>Funding of this</w:t>
      </w:r>
      <w:r w:rsidR="00F952FE" w:rsidRPr="00F952FE">
        <w:rPr>
          <w:sz w:val="22"/>
          <w:szCs w:val="22"/>
        </w:rPr>
        <w:t xml:space="preserve"> centrally managed service </w:t>
      </w:r>
      <w:r w:rsidR="0049048D">
        <w:rPr>
          <w:sz w:val="22"/>
          <w:szCs w:val="22"/>
        </w:rPr>
        <w:t xml:space="preserve">now </w:t>
      </w:r>
      <w:r w:rsidR="00F952FE" w:rsidRPr="00F952FE">
        <w:rPr>
          <w:sz w:val="22"/>
          <w:szCs w:val="22"/>
        </w:rPr>
        <w:t>operate</w:t>
      </w:r>
      <w:r w:rsidR="0049048D">
        <w:rPr>
          <w:sz w:val="22"/>
          <w:szCs w:val="22"/>
        </w:rPr>
        <w:t>s</w:t>
      </w:r>
      <w:r w:rsidR="00F952FE" w:rsidRPr="00F952FE">
        <w:rPr>
          <w:sz w:val="22"/>
          <w:szCs w:val="22"/>
        </w:rPr>
        <w:t xml:space="preserve"> outside the Place-Plus mechanism, working within the discrete allocation provided </w:t>
      </w:r>
      <w:r w:rsidR="0076547B">
        <w:rPr>
          <w:sz w:val="22"/>
          <w:szCs w:val="22"/>
        </w:rPr>
        <w:t xml:space="preserve">by the DfE </w:t>
      </w:r>
      <w:r w:rsidR="00F952FE" w:rsidRPr="00F952FE">
        <w:rPr>
          <w:sz w:val="22"/>
          <w:szCs w:val="22"/>
        </w:rPr>
        <w:t>w</w:t>
      </w:r>
      <w:r w:rsidR="005E1A25">
        <w:rPr>
          <w:sz w:val="22"/>
          <w:szCs w:val="22"/>
        </w:rPr>
        <w:t>ithin our High Needs Block.</w:t>
      </w:r>
    </w:p>
    <w:p w14:paraId="1529E7ED" w14:textId="77777777" w:rsidR="00F952FE" w:rsidRPr="005E1A25" w:rsidRDefault="00F952FE" w:rsidP="00C77D7A">
      <w:pPr>
        <w:jc w:val="both"/>
        <w:rPr>
          <w:sz w:val="22"/>
          <w:szCs w:val="22"/>
        </w:rPr>
      </w:pPr>
    </w:p>
    <w:p w14:paraId="2F5BD6D6" w14:textId="48C68DD1" w:rsidR="00843122" w:rsidRDefault="002364E2" w:rsidP="009A2389">
      <w:pPr>
        <w:jc w:val="both"/>
        <w:rPr>
          <w:sz w:val="22"/>
          <w:szCs w:val="22"/>
        </w:rPr>
      </w:pPr>
      <w:r w:rsidRPr="005E1A25">
        <w:rPr>
          <w:sz w:val="22"/>
          <w:szCs w:val="22"/>
        </w:rPr>
        <w:t>4</w:t>
      </w:r>
      <w:r w:rsidR="00B855BB" w:rsidRPr="005E1A25">
        <w:rPr>
          <w:sz w:val="22"/>
          <w:szCs w:val="22"/>
        </w:rPr>
        <w:t>.12</w:t>
      </w:r>
      <w:r w:rsidR="00727CFC" w:rsidRPr="005E1A25">
        <w:rPr>
          <w:sz w:val="22"/>
          <w:szCs w:val="22"/>
        </w:rPr>
        <w:t xml:space="preserve"> The funding</w:t>
      </w:r>
      <w:r w:rsidR="00896AAE" w:rsidRPr="005E1A25">
        <w:rPr>
          <w:sz w:val="22"/>
          <w:szCs w:val="22"/>
        </w:rPr>
        <w:t xml:space="preserve"> of independent schools has</w:t>
      </w:r>
      <w:r w:rsidR="00727CFC" w:rsidRPr="005E1A25">
        <w:rPr>
          <w:sz w:val="22"/>
          <w:szCs w:val="22"/>
        </w:rPr>
        <w:t xml:space="preserve"> not yet been brought into the national Place-Plus funding system. The basis of f</w:t>
      </w:r>
      <w:r w:rsidR="005E1A25" w:rsidRPr="005E1A25">
        <w:rPr>
          <w:sz w:val="22"/>
          <w:szCs w:val="22"/>
        </w:rPr>
        <w:t>unding of placements in these</w:t>
      </w:r>
      <w:r w:rsidR="00727CFC" w:rsidRPr="005E1A25">
        <w:rPr>
          <w:sz w:val="22"/>
          <w:szCs w:val="22"/>
        </w:rPr>
        <w:t xml:space="preserve"> </w:t>
      </w:r>
      <w:r w:rsidR="001703C1" w:rsidRPr="005E1A25">
        <w:rPr>
          <w:sz w:val="22"/>
          <w:szCs w:val="22"/>
        </w:rPr>
        <w:t>settings,</w:t>
      </w:r>
      <w:r w:rsidR="00CC2278" w:rsidRPr="005E1A25">
        <w:rPr>
          <w:sz w:val="22"/>
          <w:szCs w:val="22"/>
        </w:rPr>
        <w:t xml:space="preserve"> ther</w:t>
      </w:r>
      <w:r w:rsidR="003E558D">
        <w:rPr>
          <w:sz w:val="22"/>
          <w:szCs w:val="22"/>
        </w:rPr>
        <w:t>efore, is not ‘formularised’</w:t>
      </w:r>
      <w:r w:rsidR="005E1A25" w:rsidRPr="005E1A25">
        <w:rPr>
          <w:sz w:val="22"/>
          <w:szCs w:val="22"/>
        </w:rPr>
        <w:t>. Placement costs will be influenced by</w:t>
      </w:r>
      <w:r w:rsidR="00727CFC" w:rsidRPr="005E1A25">
        <w:rPr>
          <w:sz w:val="22"/>
          <w:szCs w:val="22"/>
        </w:rPr>
        <w:t xml:space="preserve"> a number of factors, includi</w:t>
      </w:r>
      <w:r w:rsidR="00B24B38">
        <w:rPr>
          <w:sz w:val="22"/>
          <w:szCs w:val="22"/>
        </w:rPr>
        <w:t>ng the needs of the child and the availability of places</w:t>
      </w:r>
      <w:r w:rsidR="00843122">
        <w:rPr>
          <w:sz w:val="22"/>
          <w:szCs w:val="22"/>
        </w:rPr>
        <w:t>.</w:t>
      </w:r>
    </w:p>
    <w:p w14:paraId="538A8713" w14:textId="77777777" w:rsidR="00D850CC" w:rsidRDefault="00D850CC" w:rsidP="009A2389">
      <w:pPr>
        <w:jc w:val="both"/>
        <w:rPr>
          <w:sz w:val="22"/>
          <w:szCs w:val="22"/>
        </w:rPr>
      </w:pPr>
    </w:p>
    <w:p w14:paraId="5C785F85" w14:textId="77777777" w:rsidR="00D850CC" w:rsidRDefault="00D850CC" w:rsidP="009A2389">
      <w:pPr>
        <w:jc w:val="both"/>
        <w:rPr>
          <w:sz w:val="22"/>
          <w:szCs w:val="22"/>
        </w:rPr>
      </w:pPr>
    </w:p>
    <w:p w14:paraId="72321B3C" w14:textId="77777777" w:rsidR="007347FD" w:rsidRPr="00FB71B4" w:rsidRDefault="00FB71B4" w:rsidP="007347FD">
      <w:pPr>
        <w:jc w:val="both"/>
        <w:rPr>
          <w:sz w:val="22"/>
          <w:szCs w:val="22"/>
        </w:rPr>
      </w:pPr>
      <w:r w:rsidRPr="00FB71B4">
        <w:rPr>
          <w:b/>
          <w:sz w:val="22"/>
          <w:szCs w:val="22"/>
        </w:rPr>
        <w:t>5</w:t>
      </w:r>
      <w:r w:rsidR="00527AA1">
        <w:rPr>
          <w:b/>
          <w:sz w:val="22"/>
          <w:szCs w:val="22"/>
        </w:rPr>
        <w:t>.</w:t>
      </w:r>
      <w:r w:rsidR="00527AA1">
        <w:rPr>
          <w:b/>
          <w:sz w:val="22"/>
          <w:szCs w:val="22"/>
        </w:rPr>
        <w:tab/>
      </w:r>
      <w:r w:rsidR="007017A7" w:rsidRPr="00FB71B4">
        <w:rPr>
          <w:b/>
          <w:sz w:val="22"/>
          <w:szCs w:val="22"/>
        </w:rPr>
        <w:t xml:space="preserve">Commissioned </w:t>
      </w:r>
      <w:r w:rsidR="000D1D3E">
        <w:rPr>
          <w:b/>
          <w:sz w:val="22"/>
          <w:szCs w:val="22"/>
        </w:rPr>
        <w:t xml:space="preserve">High Needs </w:t>
      </w:r>
      <w:r w:rsidR="007347FD" w:rsidRPr="00FB71B4">
        <w:rPr>
          <w:b/>
          <w:sz w:val="22"/>
          <w:szCs w:val="22"/>
        </w:rPr>
        <w:t>Places</w:t>
      </w:r>
      <w:r w:rsidR="00B43F04">
        <w:rPr>
          <w:b/>
          <w:sz w:val="22"/>
          <w:szCs w:val="22"/>
        </w:rPr>
        <w:t xml:space="preserve"> </w:t>
      </w:r>
      <w:r w:rsidR="000D1D3E">
        <w:rPr>
          <w:b/>
          <w:sz w:val="22"/>
          <w:szCs w:val="22"/>
        </w:rPr>
        <w:t>in Bradford-located Settings</w:t>
      </w:r>
    </w:p>
    <w:p w14:paraId="074BBA6C" w14:textId="77777777" w:rsidR="007347FD" w:rsidRDefault="007347FD" w:rsidP="00C41CF3">
      <w:pPr>
        <w:jc w:val="both"/>
        <w:rPr>
          <w:b/>
          <w:sz w:val="22"/>
          <w:szCs w:val="22"/>
        </w:rPr>
      </w:pPr>
    </w:p>
    <w:p w14:paraId="1F285ABA" w14:textId="06FFD2B5" w:rsidR="00E718DD" w:rsidRDefault="00FB71B4" w:rsidP="008F6BDC">
      <w:pPr>
        <w:jc w:val="both"/>
        <w:rPr>
          <w:sz w:val="22"/>
          <w:szCs w:val="22"/>
        </w:rPr>
      </w:pPr>
      <w:r>
        <w:rPr>
          <w:sz w:val="22"/>
          <w:szCs w:val="22"/>
        </w:rPr>
        <w:t>5</w:t>
      </w:r>
      <w:r w:rsidR="007568EF">
        <w:rPr>
          <w:sz w:val="22"/>
          <w:szCs w:val="22"/>
        </w:rPr>
        <w:t xml:space="preserve">.1 </w:t>
      </w:r>
      <w:r w:rsidR="003850B1">
        <w:rPr>
          <w:sz w:val="22"/>
          <w:szCs w:val="22"/>
        </w:rPr>
        <w:t xml:space="preserve">It is helpful </w:t>
      </w:r>
      <w:r w:rsidR="00D72CD8">
        <w:rPr>
          <w:sz w:val="22"/>
          <w:szCs w:val="22"/>
        </w:rPr>
        <w:t>to provide sight</w:t>
      </w:r>
      <w:r w:rsidR="003850B1">
        <w:rPr>
          <w:sz w:val="22"/>
          <w:szCs w:val="22"/>
        </w:rPr>
        <w:t xml:space="preserve"> of the number of high needs places that are</w:t>
      </w:r>
      <w:r w:rsidR="00457B1A">
        <w:rPr>
          <w:sz w:val="22"/>
          <w:szCs w:val="22"/>
        </w:rPr>
        <w:t xml:space="preserve"> currently being commissioned</w:t>
      </w:r>
      <w:r w:rsidR="00435273">
        <w:rPr>
          <w:sz w:val="22"/>
          <w:szCs w:val="22"/>
        </w:rPr>
        <w:t xml:space="preserve"> in </w:t>
      </w:r>
      <w:r w:rsidR="00435273" w:rsidRPr="0076547B">
        <w:rPr>
          <w:sz w:val="22"/>
          <w:szCs w:val="22"/>
        </w:rPr>
        <w:t xml:space="preserve">specialist settings by Bradford Council </w:t>
      </w:r>
      <w:r w:rsidR="00457B1A" w:rsidRPr="0076547B">
        <w:rPr>
          <w:sz w:val="22"/>
          <w:szCs w:val="22"/>
        </w:rPr>
        <w:t>and that are</w:t>
      </w:r>
      <w:r w:rsidR="003850B1" w:rsidRPr="0076547B">
        <w:rPr>
          <w:sz w:val="22"/>
          <w:szCs w:val="22"/>
        </w:rPr>
        <w:t xml:space="preserve"> pl</w:t>
      </w:r>
      <w:r w:rsidR="00CA2B83" w:rsidRPr="0076547B">
        <w:rPr>
          <w:sz w:val="22"/>
          <w:szCs w:val="22"/>
        </w:rPr>
        <w:t>anned to be commissioned in 202</w:t>
      </w:r>
      <w:r w:rsidR="000B5B96">
        <w:rPr>
          <w:sz w:val="22"/>
          <w:szCs w:val="22"/>
        </w:rPr>
        <w:t>5</w:t>
      </w:r>
      <w:r w:rsidR="00CA2B83" w:rsidRPr="0076547B">
        <w:rPr>
          <w:sz w:val="22"/>
          <w:szCs w:val="22"/>
        </w:rPr>
        <w:t>/2</w:t>
      </w:r>
      <w:r w:rsidR="000B5B96">
        <w:rPr>
          <w:sz w:val="22"/>
          <w:szCs w:val="22"/>
        </w:rPr>
        <w:t>6</w:t>
      </w:r>
      <w:r w:rsidR="00435273" w:rsidRPr="0076547B">
        <w:rPr>
          <w:sz w:val="22"/>
          <w:szCs w:val="22"/>
        </w:rPr>
        <w:t>. It is also helpful to show</w:t>
      </w:r>
      <w:r w:rsidR="00457B1A" w:rsidRPr="0076547B">
        <w:rPr>
          <w:sz w:val="22"/>
          <w:szCs w:val="22"/>
        </w:rPr>
        <w:t xml:space="preserve"> </w:t>
      </w:r>
      <w:r w:rsidR="0015027F" w:rsidRPr="0076547B">
        <w:rPr>
          <w:sz w:val="22"/>
          <w:szCs w:val="22"/>
        </w:rPr>
        <w:t>the distrib</w:t>
      </w:r>
      <w:r w:rsidR="00C41189" w:rsidRPr="0076547B">
        <w:rPr>
          <w:sz w:val="22"/>
          <w:szCs w:val="22"/>
        </w:rPr>
        <w:t>ution of these places across</w:t>
      </w:r>
      <w:r w:rsidR="0015027F" w:rsidRPr="0076547B">
        <w:rPr>
          <w:sz w:val="22"/>
          <w:szCs w:val="22"/>
        </w:rPr>
        <w:t xml:space="preserve"> different types of </w:t>
      </w:r>
      <w:r w:rsidR="000D1D3E" w:rsidRPr="0076547B">
        <w:rPr>
          <w:sz w:val="22"/>
          <w:szCs w:val="22"/>
        </w:rPr>
        <w:t>settings</w:t>
      </w:r>
      <w:r w:rsidR="003850B1" w:rsidRPr="0076547B">
        <w:rPr>
          <w:sz w:val="22"/>
          <w:szCs w:val="22"/>
        </w:rPr>
        <w:t xml:space="preserve">. </w:t>
      </w:r>
      <w:r w:rsidR="00D72CD8" w:rsidRPr="0076547B">
        <w:rPr>
          <w:sz w:val="22"/>
          <w:szCs w:val="22"/>
        </w:rPr>
        <w:t>A</w:t>
      </w:r>
      <w:r w:rsidR="007A5A27">
        <w:rPr>
          <w:sz w:val="22"/>
          <w:szCs w:val="22"/>
        </w:rPr>
        <w:t xml:space="preserve"> </w:t>
      </w:r>
      <w:r w:rsidR="003850B1" w:rsidRPr="0076547B">
        <w:rPr>
          <w:sz w:val="22"/>
          <w:szCs w:val="22"/>
        </w:rPr>
        <w:t xml:space="preserve">schedule of places is presented in </w:t>
      </w:r>
      <w:r w:rsidR="008962F0" w:rsidRPr="0076547B">
        <w:rPr>
          <w:sz w:val="22"/>
          <w:szCs w:val="22"/>
        </w:rPr>
        <w:t xml:space="preserve">Appendix </w:t>
      </w:r>
      <w:r w:rsidR="001B50CE" w:rsidRPr="0076547B">
        <w:rPr>
          <w:sz w:val="22"/>
          <w:szCs w:val="22"/>
        </w:rPr>
        <w:t>4</w:t>
      </w:r>
      <w:r w:rsidR="009A2389" w:rsidRPr="0076547B">
        <w:rPr>
          <w:sz w:val="22"/>
          <w:szCs w:val="22"/>
        </w:rPr>
        <w:t>.</w:t>
      </w:r>
    </w:p>
    <w:p w14:paraId="502CEDFD" w14:textId="76A904F9" w:rsidR="00414CE5" w:rsidRPr="004F6D87" w:rsidRDefault="00414CE5" w:rsidP="00414CE5">
      <w:pPr>
        <w:jc w:val="both"/>
        <w:rPr>
          <w:sz w:val="22"/>
          <w:szCs w:val="22"/>
        </w:rPr>
      </w:pPr>
      <w:r w:rsidRPr="004F6D87">
        <w:rPr>
          <w:b/>
          <w:sz w:val="22"/>
          <w:szCs w:val="22"/>
        </w:rPr>
        <w:t>6.</w:t>
      </w:r>
      <w:r w:rsidRPr="004F6D87">
        <w:rPr>
          <w:b/>
          <w:sz w:val="22"/>
          <w:szCs w:val="22"/>
        </w:rPr>
        <w:tab/>
        <w:t xml:space="preserve">Top-Up Funding for EHCPs 2025/26: Setting-Led Need in Specialist Settings </w:t>
      </w:r>
    </w:p>
    <w:p w14:paraId="0DC6F1FC" w14:textId="77777777" w:rsidR="00414CE5" w:rsidRDefault="00414CE5" w:rsidP="008B4B3D">
      <w:pPr>
        <w:jc w:val="both"/>
        <w:rPr>
          <w:color w:val="FF0000"/>
          <w:sz w:val="22"/>
          <w:szCs w:val="22"/>
        </w:rPr>
      </w:pPr>
    </w:p>
    <w:p w14:paraId="754569B8" w14:textId="7E733376" w:rsidR="0038314E" w:rsidRDefault="00EA1334" w:rsidP="0038314E">
      <w:pPr>
        <w:jc w:val="both"/>
        <w:rPr>
          <w:sz w:val="22"/>
          <w:szCs w:val="22"/>
        </w:rPr>
      </w:pPr>
      <w:r>
        <w:rPr>
          <w:sz w:val="22"/>
          <w:szCs w:val="22"/>
        </w:rPr>
        <w:t>6</w:t>
      </w:r>
      <w:r w:rsidR="0038314E">
        <w:rPr>
          <w:sz w:val="22"/>
          <w:szCs w:val="22"/>
        </w:rPr>
        <w:t xml:space="preserve">.1 Top-up funding can be allocated to reflect costs (and differences in costs) related to the specialist setting that a high needs child or young person with an EHCP is placed at. </w:t>
      </w:r>
      <w:r>
        <w:rPr>
          <w:sz w:val="22"/>
          <w:szCs w:val="22"/>
        </w:rPr>
        <w:t>The Authority calls t</w:t>
      </w:r>
      <w:r w:rsidR="0038314E">
        <w:rPr>
          <w:sz w:val="22"/>
          <w:szCs w:val="22"/>
        </w:rPr>
        <w:t>his ‘Setting-Led Need’.</w:t>
      </w:r>
      <w:r>
        <w:rPr>
          <w:sz w:val="22"/>
          <w:szCs w:val="22"/>
        </w:rPr>
        <w:t xml:space="preserve"> </w:t>
      </w:r>
      <w:r w:rsidR="0038314E">
        <w:rPr>
          <w:sz w:val="22"/>
          <w:szCs w:val="22"/>
        </w:rPr>
        <w:t>Place-element funding is expected to meet a specialist setting’s basic core costs. However, our current high needs funding model for specialist settings recognises that there are certain differences in a setting’s cost base that are influenced by the features of the setting. Two simple examples are that the setting is small and requires additional funding to meet core costs of a fixed nature, and that the setting operates across a split-site and therefore, has certain duplicated and additional costs.</w:t>
      </w:r>
    </w:p>
    <w:p w14:paraId="02F5ADA3" w14:textId="77777777" w:rsidR="0038314E" w:rsidRPr="00467EF2" w:rsidRDefault="0038314E" w:rsidP="0038314E">
      <w:pPr>
        <w:jc w:val="both"/>
        <w:rPr>
          <w:color w:val="000000" w:themeColor="text1"/>
          <w:sz w:val="22"/>
          <w:szCs w:val="22"/>
        </w:rPr>
      </w:pPr>
    </w:p>
    <w:p w14:paraId="2612E802" w14:textId="7C42F9B6" w:rsidR="0038314E" w:rsidRDefault="00EA1334" w:rsidP="0038314E">
      <w:pPr>
        <w:jc w:val="both"/>
        <w:rPr>
          <w:sz w:val="22"/>
          <w:szCs w:val="22"/>
        </w:rPr>
      </w:pPr>
      <w:r>
        <w:rPr>
          <w:color w:val="000000" w:themeColor="text1"/>
          <w:sz w:val="22"/>
          <w:szCs w:val="22"/>
        </w:rPr>
        <w:t>6</w:t>
      </w:r>
      <w:r w:rsidR="0038314E" w:rsidRPr="00467EF2">
        <w:rPr>
          <w:color w:val="000000" w:themeColor="text1"/>
          <w:sz w:val="22"/>
          <w:szCs w:val="22"/>
        </w:rPr>
        <w:t>.</w:t>
      </w:r>
      <w:r>
        <w:rPr>
          <w:color w:val="000000" w:themeColor="text1"/>
          <w:sz w:val="22"/>
          <w:szCs w:val="22"/>
        </w:rPr>
        <w:t>2</w:t>
      </w:r>
      <w:r w:rsidR="0038314E" w:rsidRPr="00467EF2">
        <w:rPr>
          <w:color w:val="000000" w:themeColor="text1"/>
          <w:sz w:val="22"/>
          <w:szCs w:val="22"/>
        </w:rPr>
        <w:t xml:space="preserve"> Appendix 3 sets </w:t>
      </w:r>
      <w:r w:rsidR="0038314E">
        <w:rPr>
          <w:sz w:val="22"/>
          <w:szCs w:val="22"/>
        </w:rPr>
        <w:t>out in more technical detail the setting-led need factors that are included within Bradford Council’s</w:t>
      </w:r>
      <w:r>
        <w:rPr>
          <w:sz w:val="22"/>
          <w:szCs w:val="22"/>
        </w:rPr>
        <w:t xml:space="preserve"> current</w:t>
      </w:r>
      <w:r w:rsidR="0038314E">
        <w:rPr>
          <w:sz w:val="22"/>
          <w:szCs w:val="22"/>
        </w:rPr>
        <w:t xml:space="preserve"> funding approach for 2024/25, and how and where they are applied. These factors, in summary, are:</w:t>
      </w:r>
    </w:p>
    <w:p w14:paraId="3E5B6B7F" w14:textId="77777777" w:rsidR="0038314E" w:rsidRDefault="0038314E" w:rsidP="0038314E">
      <w:pPr>
        <w:jc w:val="both"/>
        <w:rPr>
          <w:sz w:val="22"/>
          <w:szCs w:val="22"/>
        </w:rPr>
      </w:pPr>
    </w:p>
    <w:p w14:paraId="5437BEA7" w14:textId="77777777" w:rsidR="0038314E" w:rsidRDefault="0038314E" w:rsidP="0038314E">
      <w:pPr>
        <w:pStyle w:val="ListParagraph"/>
        <w:numPr>
          <w:ilvl w:val="0"/>
          <w:numId w:val="5"/>
        </w:numPr>
        <w:ind w:left="360"/>
        <w:jc w:val="both"/>
        <w:rPr>
          <w:sz w:val="22"/>
          <w:szCs w:val="22"/>
        </w:rPr>
      </w:pPr>
      <w:r>
        <w:rPr>
          <w:sz w:val="22"/>
          <w:szCs w:val="22"/>
        </w:rPr>
        <w:t>Maintained special schools and special school academies: split sites; post-16 Element 1 enhancement; new services delegation; small setting protection; 3% cash budget protection.</w:t>
      </w:r>
    </w:p>
    <w:p w14:paraId="7999EC80" w14:textId="77777777" w:rsidR="0038314E" w:rsidRDefault="0038314E" w:rsidP="0038314E">
      <w:pPr>
        <w:pStyle w:val="ListParagraph"/>
        <w:ind w:left="360"/>
        <w:jc w:val="both"/>
        <w:rPr>
          <w:sz w:val="22"/>
          <w:szCs w:val="22"/>
        </w:rPr>
      </w:pPr>
    </w:p>
    <w:p w14:paraId="2112D08E" w14:textId="77777777" w:rsidR="0038314E" w:rsidRDefault="0038314E" w:rsidP="0038314E">
      <w:pPr>
        <w:pStyle w:val="ListParagraph"/>
        <w:numPr>
          <w:ilvl w:val="0"/>
          <w:numId w:val="5"/>
        </w:numPr>
        <w:ind w:left="360"/>
        <w:jc w:val="both"/>
        <w:rPr>
          <w:sz w:val="22"/>
          <w:szCs w:val="22"/>
        </w:rPr>
      </w:pPr>
      <w:r>
        <w:rPr>
          <w:sz w:val="22"/>
          <w:szCs w:val="22"/>
        </w:rPr>
        <w:t>School-Led Resourced Provisions attached to mainstream primary and secondary schools and academies: small setting protection; 3% cash budget protection.</w:t>
      </w:r>
    </w:p>
    <w:p w14:paraId="69D79A58" w14:textId="77777777" w:rsidR="0038314E" w:rsidRDefault="0038314E" w:rsidP="0038314E">
      <w:pPr>
        <w:pStyle w:val="ListParagraph"/>
        <w:ind w:left="360"/>
        <w:jc w:val="both"/>
        <w:rPr>
          <w:sz w:val="22"/>
          <w:szCs w:val="22"/>
        </w:rPr>
      </w:pPr>
    </w:p>
    <w:p w14:paraId="0F491C1B" w14:textId="77777777" w:rsidR="0038314E" w:rsidRDefault="0038314E" w:rsidP="0038314E">
      <w:pPr>
        <w:pStyle w:val="ListParagraph"/>
        <w:numPr>
          <w:ilvl w:val="0"/>
          <w:numId w:val="5"/>
        </w:numPr>
        <w:ind w:left="360"/>
        <w:jc w:val="both"/>
        <w:rPr>
          <w:sz w:val="22"/>
          <w:szCs w:val="22"/>
        </w:rPr>
      </w:pPr>
      <w:r>
        <w:rPr>
          <w:sz w:val="22"/>
          <w:szCs w:val="22"/>
        </w:rPr>
        <w:t>Early Years Enhanced Specialist Provisions attached to maintained nursery schools: small setting protection.</w:t>
      </w:r>
    </w:p>
    <w:p w14:paraId="02C7EE23" w14:textId="77777777" w:rsidR="0038314E" w:rsidRPr="001B1A21" w:rsidRDefault="0038314E" w:rsidP="0038314E">
      <w:pPr>
        <w:jc w:val="both"/>
        <w:rPr>
          <w:sz w:val="22"/>
          <w:szCs w:val="22"/>
        </w:rPr>
      </w:pPr>
    </w:p>
    <w:p w14:paraId="1F73ED77" w14:textId="2E266D95" w:rsidR="00EA1334" w:rsidRDefault="00EA1334" w:rsidP="00EA1334">
      <w:pPr>
        <w:jc w:val="both"/>
        <w:rPr>
          <w:sz w:val="22"/>
          <w:szCs w:val="22"/>
        </w:rPr>
      </w:pPr>
      <w:r>
        <w:rPr>
          <w:sz w:val="22"/>
          <w:szCs w:val="22"/>
        </w:rPr>
        <w:t xml:space="preserve">6.3 The Authority has already </w:t>
      </w:r>
      <w:r w:rsidR="004F6D87">
        <w:rPr>
          <w:sz w:val="22"/>
          <w:szCs w:val="22"/>
        </w:rPr>
        <w:t>applied</w:t>
      </w:r>
      <w:r>
        <w:rPr>
          <w:sz w:val="22"/>
          <w:szCs w:val="22"/>
        </w:rPr>
        <w:t xml:space="preserve"> the working principle that this funding is not uplifted, unless required to do so by the DfE. </w:t>
      </w:r>
      <w:r w:rsidR="004F6D87">
        <w:rPr>
          <w:sz w:val="22"/>
          <w:szCs w:val="22"/>
        </w:rPr>
        <w:t>It was agreed that r</w:t>
      </w:r>
      <w:r>
        <w:rPr>
          <w:sz w:val="22"/>
          <w:szCs w:val="22"/>
        </w:rPr>
        <w:t xml:space="preserve">ates of funding were not uplifted in 2024/25. In September 2024, the Authority presented to the Schools Forum a business case, which scoped potential reductions to </w:t>
      </w:r>
      <w:r w:rsidR="001F508F">
        <w:rPr>
          <w:sz w:val="22"/>
          <w:szCs w:val="22"/>
        </w:rPr>
        <w:t xml:space="preserve">some of </w:t>
      </w:r>
      <w:r>
        <w:rPr>
          <w:sz w:val="22"/>
          <w:szCs w:val="22"/>
        </w:rPr>
        <w:t>this funding</w:t>
      </w:r>
      <w:r w:rsidR="00A213EB">
        <w:rPr>
          <w:sz w:val="22"/>
          <w:szCs w:val="22"/>
        </w:rPr>
        <w:t xml:space="preserve"> for special schools / academies</w:t>
      </w:r>
      <w:r>
        <w:rPr>
          <w:sz w:val="22"/>
          <w:szCs w:val="22"/>
        </w:rPr>
        <w:t xml:space="preserve"> in 2025/26, as follows</w:t>
      </w:r>
      <w:r w:rsidR="001E33BA">
        <w:rPr>
          <w:sz w:val="22"/>
          <w:szCs w:val="22"/>
        </w:rPr>
        <w:t>. This is a potential action to help mitigate against the forecasted High Needs Block deficit.</w:t>
      </w:r>
    </w:p>
    <w:p w14:paraId="7E35DAE8" w14:textId="77777777" w:rsidR="00EA1334" w:rsidRDefault="00EA1334" w:rsidP="00EA1334">
      <w:pPr>
        <w:jc w:val="both"/>
        <w:rPr>
          <w:sz w:val="22"/>
          <w:szCs w:val="22"/>
        </w:rPr>
      </w:pPr>
    </w:p>
    <w:p w14:paraId="27D2AD3A" w14:textId="14A3F067" w:rsidR="00EA1334" w:rsidRDefault="00EA1334" w:rsidP="00A213EB">
      <w:pPr>
        <w:pStyle w:val="ListParagraph"/>
        <w:numPr>
          <w:ilvl w:val="0"/>
          <w:numId w:val="22"/>
        </w:numPr>
        <w:ind w:left="360"/>
        <w:jc w:val="both"/>
        <w:rPr>
          <w:sz w:val="22"/>
          <w:szCs w:val="22"/>
        </w:rPr>
      </w:pPr>
      <w:r>
        <w:rPr>
          <w:sz w:val="22"/>
          <w:szCs w:val="22"/>
        </w:rPr>
        <w:t>Split sites funding: reducing split sites funding that is allocated to 5 (out of 8) special schools / academies. It was identified that this lump sum funding could be reduced from £226,740 to £200,000</w:t>
      </w:r>
      <w:r w:rsidR="00A213EB">
        <w:rPr>
          <w:sz w:val="22"/>
          <w:szCs w:val="22"/>
        </w:rPr>
        <w:t xml:space="preserve"> at September 2025</w:t>
      </w:r>
      <w:r>
        <w:rPr>
          <w:sz w:val="22"/>
          <w:szCs w:val="22"/>
        </w:rPr>
        <w:t>, which would be a reduction of 12% in this factor</w:t>
      </w:r>
      <w:r w:rsidR="004F6D87">
        <w:rPr>
          <w:sz w:val="22"/>
          <w:szCs w:val="22"/>
        </w:rPr>
        <w:t>.</w:t>
      </w:r>
    </w:p>
    <w:p w14:paraId="05D570FE" w14:textId="77777777" w:rsidR="00EA1334" w:rsidRDefault="00EA1334" w:rsidP="00A213EB">
      <w:pPr>
        <w:pStyle w:val="ListParagraph"/>
        <w:ind w:left="360"/>
        <w:jc w:val="both"/>
        <w:rPr>
          <w:sz w:val="22"/>
          <w:szCs w:val="22"/>
        </w:rPr>
      </w:pPr>
    </w:p>
    <w:p w14:paraId="119552C4" w14:textId="4B637547" w:rsidR="00EA1334" w:rsidRPr="00EA1334" w:rsidRDefault="00A213EB" w:rsidP="00A213EB">
      <w:pPr>
        <w:pStyle w:val="ListParagraph"/>
        <w:numPr>
          <w:ilvl w:val="0"/>
          <w:numId w:val="22"/>
        </w:numPr>
        <w:ind w:left="360"/>
        <w:jc w:val="both"/>
        <w:rPr>
          <w:sz w:val="22"/>
          <w:szCs w:val="22"/>
        </w:rPr>
      </w:pPr>
      <w:r>
        <w:rPr>
          <w:sz w:val="22"/>
          <w:szCs w:val="22"/>
        </w:rPr>
        <w:t xml:space="preserve">New Services delegation funding: reducing and then </w:t>
      </w:r>
      <w:r w:rsidR="004F6D87">
        <w:rPr>
          <w:sz w:val="22"/>
          <w:szCs w:val="22"/>
        </w:rPr>
        <w:t xml:space="preserve">fully </w:t>
      </w:r>
      <w:r>
        <w:rPr>
          <w:sz w:val="22"/>
          <w:szCs w:val="22"/>
        </w:rPr>
        <w:t>removing this funding that is allocated to all special schools / academies. It was identified that this per pupil funding, currently worth £450, could be reduced by 50% at September 2025 and then fully removed at September 2026. In full, this would reduce funding for special schools by between £46,000 and £162,000 on current levels, with 50% of this in the 2025/26 academic year.</w:t>
      </w:r>
    </w:p>
    <w:p w14:paraId="3D88DEF4" w14:textId="4BB0D395" w:rsidR="00EA1334" w:rsidRDefault="00EA1334" w:rsidP="0038314E">
      <w:pPr>
        <w:jc w:val="both"/>
        <w:rPr>
          <w:sz w:val="22"/>
          <w:szCs w:val="22"/>
        </w:rPr>
      </w:pPr>
    </w:p>
    <w:p w14:paraId="4CE0D63F" w14:textId="0974B672" w:rsidR="00EA1334" w:rsidRDefault="00A213EB" w:rsidP="0038314E">
      <w:pPr>
        <w:jc w:val="both"/>
        <w:rPr>
          <w:sz w:val="22"/>
          <w:szCs w:val="22"/>
        </w:rPr>
      </w:pPr>
      <w:r>
        <w:rPr>
          <w:sz w:val="22"/>
          <w:szCs w:val="22"/>
        </w:rPr>
        <w:t xml:space="preserve">6.4 </w:t>
      </w:r>
      <w:r w:rsidR="001F508F">
        <w:rPr>
          <w:sz w:val="22"/>
          <w:szCs w:val="22"/>
        </w:rPr>
        <w:t xml:space="preserve">The Authority has not put forward adjustments to the other setting-led need factors and these are expected to continue on the same basis as 2024/25 using the same rates of funding. </w:t>
      </w:r>
      <w:r>
        <w:rPr>
          <w:sz w:val="22"/>
          <w:szCs w:val="22"/>
        </w:rPr>
        <w:t>The broad options</w:t>
      </w:r>
      <w:r w:rsidR="001F508F">
        <w:rPr>
          <w:sz w:val="22"/>
          <w:szCs w:val="22"/>
        </w:rPr>
        <w:t xml:space="preserve"> to consider</w:t>
      </w:r>
      <w:r>
        <w:rPr>
          <w:sz w:val="22"/>
          <w:szCs w:val="22"/>
        </w:rPr>
        <w:t xml:space="preserve"> for 2025/26</w:t>
      </w:r>
      <w:r w:rsidR="001F508F">
        <w:rPr>
          <w:sz w:val="22"/>
          <w:szCs w:val="22"/>
        </w:rPr>
        <w:t xml:space="preserve"> for split sites funding and for new services delegation funding for special schools / academies are</w:t>
      </w:r>
      <w:r>
        <w:rPr>
          <w:sz w:val="22"/>
          <w:szCs w:val="22"/>
        </w:rPr>
        <w:t>:</w:t>
      </w:r>
    </w:p>
    <w:p w14:paraId="486CDA97" w14:textId="77777777" w:rsidR="00EA1334" w:rsidRDefault="00EA1334" w:rsidP="0038314E">
      <w:pPr>
        <w:jc w:val="both"/>
        <w:rPr>
          <w:sz w:val="22"/>
          <w:szCs w:val="22"/>
        </w:rPr>
      </w:pPr>
    </w:p>
    <w:p w14:paraId="06C63BF2" w14:textId="4ED44CBE" w:rsidR="00A213EB" w:rsidRPr="00FD7F37" w:rsidRDefault="00A213EB" w:rsidP="00A213EB">
      <w:pPr>
        <w:pStyle w:val="ListParagraph"/>
        <w:numPr>
          <w:ilvl w:val="0"/>
          <w:numId w:val="20"/>
        </w:numPr>
        <w:jc w:val="both"/>
        <w:rPr>
          <w:sz w:val="22"/>
          <w:szCs w:val="22"/>
        </w:rPr>
      </w:pPr>
      <w:r>
        <w:rPr>
          <w:sz w:val="22"/>
          <w:szCs w:val="22"/>
        </w:rPr>
        <w:t>To retain this funding at 2024/25 levels i.e. 0% or cash flat. This effectively is the default position</w:t>
      </w:r>
      <w:r w:rsidR="00187F2F">
        <w:rPr>
          <w:sz w:val="22"/>
          <w:szCs w:val="22"/>
        </w:rPr>
        <w:t xml:space="preserve"> and would represent a continuation of current practice</w:t>
      </w:r>
      <w:r>
        <w:rPr>
          <w:sz w:val="22"/>
          <w:szCs w:val="22"/>
        </w:rPr>
        <w:t>. 0% would align with the DfE’s Minimum Funding Guarantee for special schools / academies and would also align with the maximum MFG that can be provided f</w:t>
      </w:r>
      <w:r w:rsidR="00CD6BDD">
        <w:rPr>
          <w:sz w:val="22"/>
          <w:szCs w:val="22"/>
        </w:rPr>
        <w:t>or</w:t>
      </w:r>
      <w:r>
        <w:rPr>
          <w:sz w:val="22"/>
          <w:szCs w:val="22"/>
        </w:rPr>
        <w:t xml:space="preserve"> the mainstream sector.</w:t>
      </w:r>
      <w:r w:rsidR="003B3E9A">
        <w:rPr>
          <w:sz w:val="22"/>
          <w:szCs w:val="22"/>
        </w:rPr>
        <w:t xml:space="preserve"> Cash flat</w:t>
      </w:r>
      <w:r w:rsidR="00CD6BDD">
        <w:rPr>
          <w:sz w:val="22"/>
          <w:szCs w:val="22"/>
        </w:rPr>
        <w:t xml:space="preserve"> for special schools / academies</w:t>
      </w:r>
      <w:r w:rsidR="003B3E9A">
        <w:rPr>
          <w:sz w:val="22"/>
          <w:szCs w:val="22"/>
        </w:rPr>
        <w:t xml:space="preserve"> is expected to be broadly proportionate to what is happening in the mainstream sector</w:t>
      </w:r>
      <w:r w:rsidR="00CD6BDD">
        <w:rPr>
          <w:sz w:val="22"/>
          <w:szCs w:val="22"/>
        </w:rPr>
        <w:t xml:space="preserve"> in 2025/26</w:t>
      </w:r>
      <w:r w:rsidR="003B3E9A">
        <w:rPr>
          <w:sz w:val="22"/>
          <w:szCs w:val="22"/>
        </w:rPr>
        <w:t>.</w:t>
      </w:r>
      <w:r>
        <w:rPr>
          <w:sz w:val="22"/>
          <w:szCs w:val="22"/>
        </w:rPr>
        <w:t xml:space="preserve"> It is assessed that there would be a small impact, depending on pay award</w:t>
      </w:r>
      <w:r w:rsidR="00EE50BC">
        <w:rPr>
          <w:sz w:val="22"/>
          <w:szCs w:val="22"/>
        </w:rPr>
        <w:t xml:space="preserve"> / inflation</w:t>
      </w:r>
      <w:r>
        <w:rPr>
          <w:sz w:val="22"/>
          <w:szCs w:val="22"/>
        </w:rPr>
        <w:t>, from a reduction of funding in real terms.</w:t>
      </w:r>
      <w:r w:rsidR="003B3E9A">
        <w:rPr>
          <w:sz w:val="22"/>
          <w:szCs w:val="22"/>
        </w:rPr>
        <w:t xml:space="preserve"> </w:t>
      </w:r>
      <w:r>
        <w:rPr>
          <w:sz w:val="22"/>
          <w:szCs w:val="22"/>
        </w:rPr>
        <w:t>Allocations</w:t>
      </w:r>
      <w:r w:rsidR="003B3E9A">
        <w:rPr>
          <w:sz w:val="22"/>
          <w:szCs w:val="22"/>
        </w:rPr>
        <w:t xml:space="preserve"> of new services delegated funding</w:t>
      </w:r>
      <w:r>
        <w:rPr>
          <w:sz w:val="22"/>
          <w:szCs w:val="22"/>
        </w:rPr>
        <w:t xml:space="preserve"> to special schools / academies range between £46,000 and £162,000. Holding rates of funding at 2024/25 values may produce between a £460 and a £1,620 spending pressure for every 1% increase in staffing costs / inflation on a full year basis.</w:t>
      </w:r>
      <w:r w:rsidR="003B3E9A">
        <w:rPr>
          <w:sz w:val="22"/>
          <w:szCs w:val="22"/>
        </w:rPr>
        <w:t xml:space="preserve"> On an allocation of split sites funding of £226,740, there may be pressure of £2,267 for every 1% increase in staffing costs / inflation on a full year basis. </w:t>
      </w:r>
      <w:r w:rsidRPr="00FD7F37">
        <w:rPr>
          <w:sz w:val="22"/>
          <w:szCs w:val="22"/>
        </w:rPr>
        <w:t xml:space="preserve">This assessment of pressure should exclude the impact of the National Insurance contributions increase, which is expected to be supported via additional grant. Also potentially providing further compensation, given the tightness of the 2025/26 formula funding settlements overall, the Authority would expect the DfE to allocate further teacher pay grant funding into schools where the STRB’s recommendation for the September 2025 teachers’ pay award is outside the range that can be afforded by the settlement. The DfE has done this in each of the last 2 financial years. </w:t>
      </w:r>
      <w:r>
        <w:rPr>
          <w:sz w:val="22"/>
          <w:szCs w:val="22"/>
        </w:rPr>
        <w:t>I</w:t>
      </w:r>
      <w:r w:rsidRPr="00FD7F37">
        <w:rPr>
          <w:sz w:val="22"/>
          <w:szCs w:val="22"/>
        </w:rPr>
        <w:t>t is likely</w:t>
      </w:r>
      <w:r>
        <w:rPr>
          <w:sz w:val="22"/>
          <w:szCs w:val="22"/>
        </w:rPr>
        <w:t xml:space="preserve"> that there will be </w:t>
      </w:r>
      <w:r w:rsidRPr="00FD7F37">
        <w:rPr>
          <w:sz w:val="22"/>
          <w:szCs w:val="22"/>
        </w:rPr>
        <w:t xml:space="preserve">some reduction in the value of funding in ‘real terms’. This will depend on a number of factors, including pay awards. But it is also assessed that this is likely to be proportionate to what is happening in the mainstream sector and also, depending on </w:t>
      </w:r>
      <w:r>
        <w:rPr>
          <w:sz w:val="22"/>
          <w:szCs w:val="22"/>
        </w:rPr>
        <w:t xml:space="preserve">other </w:t>
      </w:r>
      <w:r w:rsidRPr="00FD7F37">
        <w:rPr>
          <w:sz w:val="22"/>
          <w:szCs w:val="22"/>
        </w:rPr>
        <w:t>decisions, what is happening</w:t>
      </w:r>
      <w:r>
        <w:rPr>
          <w:sz w:val="22"/>
          <w:szCs w:val="22"/>
        </w:rPr>
        <w:t xml:space="preserve"> in the funding of other sectors</w:t>
      </w:r>
      <w:r w:rsidR="00CD6BDD">
        <w:rPr>
          <w:sz w:val="22"/>
          <w:szCs w:val="22"/>
        </w:rPr>
        <w:t>, including AP Academies</w:t>
      </w:r>
      <w:r w:rsidRPr="00FD7F37">
        <w:rPr>
          <w:sz w:val="22"/>
          <w:szCs w:val="22"/>
        </w:rPr>
        <w:t>. Holding rates of funding cash flat is an important mitigation action for the forecast High Needs Block deficit</w:t>
      </w:r>
      <w:r>
        <w:rPr>
          <w:sz w:val="22"/>
          <w:szCs w:val="22"/>
        </w:rPr>
        <w:t xml:space="preserve"> and follows the approach used in 2024/25.</w:t>
      </w:r>
    </w:p>
    <w:p w14:paraId="7DF66EEE" w14:textId="77777777" w:rsidR="00A213EB" w:rsidRDefault="00A213EB" w:rsidP="00A213EB">
      <w:pPr>
        <w:pStyle w:val="ListParagraph"/>
        <w:ind w:left="360"/>
        <w:jc w:val="both"/>
        <w:rPr>
          <w:sz w:val="22"/>
          <w:szCs w:val="22"/>
        </w:rPr>
      </w:pPr>
    </w:p>
    <w:p w14:paraId="720A8D41" w14:textId="4C9AE2D6" w:rsidR="00A213EB" w:rsidRPr="00CD1778" w:rsidRDefault="00A213EB" w:rsidP="00CD1778">
      <w:pPr>
        <w:pStyle w:val="ListParagraph"/>
        <w:numPr>
          <w:ilvl w:val="0"/>
          <w:numId w:val="20"/>
        </w:numPr>
        <w:jc w:val="both"/>
        <w:rPr>
          <w:sz w:val="22"/>
          <w:szCs w:val="22"/>
        </w:rPr>
      </w:pPr>
      <w:r>
        <w:rPr>
          <w:sz w:val="22"/>
          <w:szCs w:val="22"/>
        </w:rPr>
        <w:t>To enact the</w:t>
      </w:r>
      <w:r w:rsidR="00CD6BDD">
        <w:rPr>
          <w:sz w:val="22"/>
          <w:szCs w:val="22"/>
        </w:rPr>
        <w:t xml:space="preserve"> action</w:t>
      </w:r>
      <w:r>
        <w:rPr>
          <w:sz w:val="22"/>
          <w:szCs w:val="22"/>
        </w:rPr>
        <w:t>, either in full or in part, that was set out in the business case. The full year full impact would reduce funding allocated by th</w:t>
      </w:r>
      <w:r w:rsidR="00030813">
        <w:rPr>
          <w:sz w:val="22"/>
          <w:szCs w:val="22"/>
        </w:rPr>
        <w:t>is</w:t>
      </w:r>
      <w:r>
        <w:rPr>
          <w:sz w:val="22"/>
          <w:szCs w:val="22"/>
        </w:rPr>
        <w:t xml:space="preserve"> factor by 100% i.e. a loss of £450 per pupil. For split site special schools / academies,</w:t>
      </w:r>
      <w:r w:rsidR="00030813">
        <w:rPr>
          <w:sz w:val="22"/>
          <w:szCs w:val="22"/>
        </w:rPr>
        <w:t xml:space="preserve"> inclusive of the reduction in split site funding,</w:t>
      </w:r>
      <w:r>
        <w:rPr>
          <w:sz w:val="22"/>
          <w:szCs w:val="22"/>
        </w:rPr>
        <w:t xml:space="preserve"> this would represent around a 4% reduction in top-up funding</w:t>
      </w:r>
      <w:r w:rsidR="00E24FB5">
        <w:rPr>
          <w:sz w:val="22"/>
          <w:szCs w:val="22"/>
        </w:rPr>
        <w:t xml:space="preserve"> (3% in overall </w:t>
      </w:r>
      <w:r w:rsidR="00030813">
        <w:rPr>
          <w:sz w:val="22"/>
          <w:szCs w:val="22"/>
        </w:rPr>
        <w:t>funding when top-up and</w:t>
      </w:r>
      <w:r w:rsidR="00E24FB5">
        <w:rPr>
          <w:sz w:val="22"/>
          <w:szCs w:val="22"/>
        </w:rPr>
        <w:t xml:space="preserve"> place-element funding</w:t>
      </w:r>
      <w:r w:rsidR="00030813">
        <w:rPr>
          <w:sz w:val="22"/>
          <w:szCs w:val="22"/>
        </w:rPr>
        <w:t xml:space="preserve"> are combined</w:t>
      </w:r>
      <w:r w:rsidR="00E24FB5">
        <w:rPr>
          <w:sz w:val="22"/>
          <w:szCs w:val="22"/>
        </w:rPr>
        <w:t>)</w:t>
      </w:r>
      <w:r>
        <w:rPr>
          <w:sz w:val="22"/>
          <w:szCs w:val="22"/>
        </w:rPr>
        <w:t xml:space="preserve">. For non-split site special schools, this would represent around a </w:t>
      </w:r>
      <w:r w:rsidR="00CD1778">
        <w:rPr>
          <w:sz w:val="22"/>
          <w:szCs w:val="22"/>
        </w:rPr>
        <w:t>3% reduction in top-up funding</w:t>
      </w:r>
      <w:r w:rsidR="00E24FB5">
        <w:rPr>
          <w:sz w:val="22"/>
          <w:szCs w:val="22"/>
        </w:rPr>
        <w:t xml:space="preserve"> (2% in overall</w:t>
      </w:r>
      <w:r w:rsidR="00030813">
        <w:rPr>
          <w:sz w:val="22"/>
          <w:szCs w:val="22"/>
        </w:rPr>
        <w:t xml:space="preserve"> funding when</w:t>
      </w:r>
      <w:r w:rsidR="00E24FB5">
        <w:rPr>
          <w:sz w:val="22"/>
          <w:szCs w:val="22"/>
        </w:rPr>
        <w:t xml:space="preserve"> top-up and place-element funding</w:t>
      </w:r>
      <w:r w:rsidR="00030813">
        <w:rPr>
          <w:sz w:val="22"/>
          <w:szCs w:val="22"/>
        </w:rPr>
        <w:t xml:space="preserve"> are combined</w:t>
      </w:r>
      <w:r w:rsidR="00E24FB5">
        <w:rPr>
          <w:sz w:val="22"/>
          <w:szCs w:val="22"/>
        </w:rPr>
        <w:t>)</w:t>
      </w:r>
      <w:r w:rsidR="00CD1778">
        <w:rPr>
          <w:sz w:val="22"/>
          <w:szCs w:val="22"/>
        </w:rPr>
        <w:t>. This would be active reduction</w:t>
      </w:r>
      <w:r w:rsidR="00030813">
        <w:rPr>
          <w:sz w:val="22"/>
          <w:szCs w:val="22"/>
        </w:rPr>
        <w:t>,</w:t>
      </w:r>
      <w:r w:rsidR="00CD1778">
        <w:rPr>
          <w:sz w:val="22"/>
          <w:szCs w:val="22"/>
        </w:rPr>
        <w:t xml:space="preserve"> in addition to real terms reduction. </w:t>
      </w:r>
      <w:r w:rsidRPr="00CD1778">
        <w:rPr>
          <w:sz w:val="22"/>
          <w:szCs w:val="22"/>
        </w:rPr>
        <w:t>In discussing this option further now, it is fair and transparent for the Authority to highlight that the High Needs Block settlement is better than was estimated when the business case was first outlined, and to highlight that it is not expected that the mainstream settlement will actively reduce main core formula funding that is received by primary and secondary schools and academies</w:t>
      </w:r>
      <w:r w:rsidR="00030813">
        <w:rPr>
          <w:sz w:val="22"/>
          <w:szCs w:val="22"/>
        </w:rPr>
        <w:t xml:space="preserve"> on a like for like basis</w:t>
      </w:r>
      <w:r w:rsidRPr="00CD1778">
        <w:rPr>
          <w:sz w:val="22"/>
          <w:szCs w:val="22"/>
        </w:rPr>
        <w:t>.</w:t>
      </w:r>
      <w:r w:rsidR="00030813">
        <w:rPr>
          <w:sz w:val="22"/>
          <w:szCs w:val="22"/>
        </w:rPr>
        <w:t xml:space="preserve"> Active reduction to special school funding, therefore, would produce a scale of budget pressure</w:t>
      </w:r>
      <w:r w:rsidR="00CD6BDD">
        <w:rPr>
          <w:sz w:val="22"/>
          <w:szCs w:val="22"/>
        </w:rPr>
        <w:t xml:space="preserve"> in 2025/26</w:t>
      </w:r>
      <w:r w:rsidR="00030813">
        <w:rPr>
          <w:sz w:val="22"/>
          <w:szCs w:val="22"/>
        </w:rPr>
        <w:t xml:space="preserve"> that is greater for this sector, albeit that benchmarking clearly indicates our</w:t>
      </w:r>
      <w:r w:rsidR="00CD6BDD">
        <w:rPr>
          <w:sz w:val="22"/>
          <w:szCs w:val="22"/>
        </w:rPr>
        <w:t xml:space="preserve"> </w:t>
      </w:r>
      <w:r w:rsidR="00030813">
        <w:rPr>
          <w:sz w:val="22"/>
          <w:szCs w:val="22"/>
        </w:rPr>
        <w:t>higher level of investment in special schools than the average of other authorities.</w:t>
      </w:r>
      <w:r w:rsidRPr="00CD1778">
        <w:rPr>
          <w:sz w:val="22"/>
          <w:szCs w:val="22"/>
        </w:rPr>
        <w:t xml:space="preserve"> It is assessed that active reduction in this funding, in addition to a smaller reduction in real terms,</w:t>
      </w:r>
      <w:r w:rsidR="00CD1778">
        <w:rPr>
          <w:sz w:val="22"/>
          <w:szCs w:val="22"/>
        </w:rPr>
        <w:t xml:space="preserve"> will</w:t>
      </w:r>
      <w:r w:rsidRPr="00CD1778">
        <w:rPr>
          <w:sz w:val="22"/>
          <w:szCs w:val="22"/>
        </w:rPr>
        <w:t xml:space="preserve"> require provisions to reduce costs, and likely through staffing changes. This </w:t>
      </w:r>
      <w:r w:rsidR="00CD6BDD">
        <w:rPr>
          <w:sz w:val="22"/>
          <w:szCs w:val="22"/>
        </w:rPr>
        <w:t>is likely to</w:t>
      </w:r>
      <w:r w:rsidRPr="00CD1778">
        <w:rPr>
          <w:sz w:val="22"/>
          <w:szCs w:val="22"/>
        </w:rPr>
        <w:t xml:space="preserve"> </w:t>
      </w:r>
      <w:r w:rsidR="00030813">
        <w:rPr>
          <w:sz w:val="22"/>
          <w:szCs w:val="22"/>
        </w:rPr>
        <w:t xml:space="preserve">have </w:t>
      </w:r>
      <w:r w:rsidR="0072517D">
        <w:rPr>
          <w:sz w:val="22"/>
          <w:szCs w:val="22"/>
        </w:rPr>
        <w:t xml:space="preserve">direct provision impact, but also may </w:t>
      </w:r>
      <w:r w:rsidRPr="00CD1778">
        <w:rPr>
          <w:sz w:val="22"/>
          <w:szCs w:val="22"/>
        </w:rPr>
        <w:t>have wider implications</w:t>
      </w:r>
      <w:r w:rsidR="00030813">
        <w:rPr>
          <w:sz w:val="22"/>
          <w:szCs w:val="22"/>
        </w:rPr>
        <w:t xml:space="preserve"> for the Authority</w:t>
      </w:r>
      <w:r w:rsidRPr="00CD1778">
        <w:rPr>
          <w:sz w:val="22"/>
          <w:szCs w:val="22"/>
        </w:rPr>
        <w:t>, including for the creation of additional local places and for controlling the use of independent provisions</w:t>
      </w:r>
      <w:r w:rsidR="00030813">
        <w:rPr>
          <w:sz w:val="22"/>
          <w:szCs w:val="22"/>
        </w:rPr>
        <w:t xml:space="preserve">, which may have implications for the Authority’s </w:t>
      </w:r>
      <w:r w:rsidR="00CD6BDD">
        <w:rPr>
          <w:sz w:val="22"/>
          <w:szCs w:val="22"/>
        </w:rPr>
        <w:t>longer-term</w:t>
      </w:r>
      <w:r w:rsidR="00030813">
        <w:rPr>
          <w:sz w:val="22"/>
          <w:szCs w:val="22"/>
        </w:rPr>
        <w:t xml:space="preserve"> management of the High Needs Block</w:t>
      </w:r>
      <w:r w:rsidRPr="00CD1778">
        <w:rPr>
          <w:sz w:val="22"/>
          <w:szCs w:val="22"/>
        </w:rPr>
        <w:t>.</w:t>
      </w:r>
    </w:p>
    <w:p w14:paraId="5E1FF628" w14:textId="77777777" w:rsidR="0038314E" w:rsidRDefault="0038314E" w:rsidP="008B4B3D">
      <w:pPr>
        <w:jc w:val="both"/>
        <w:rPr>
          <w:sz w:val="22"/>
          <w:szCs w:val="22"/>
        </w:rPr>
      </w:pPr>
    </w:p>
    <w:p w14:paraId="206C07BA" w14:textId="77777777" w:rsidR="00CD1778" w:rsidRPr="0038314E" w:rsidRDefault="00CD1778" w:rsidP="008B4B3D">
      <w:pPr>
        <w:jc w:val="both"/>
        <w:rPr>
          <w:sz w:val="22"/>
          <w:szCs w:val="22"/>
        </w:rPr>
      </w:pPr>
    </w:p>
    <w:p w14:paraId="5ECDC8FE" w14:textId="7D33CB20" w:rsidR="00414CE5" w:rsidRPr="00E718DD" w:rsidRDefault="00414CE5" w:rsidP="00414CE5">
      <w:pPr>
        <w:jc w:val="both"/>
        <w:rPr>
          <w:b/>
          <w:color w:val="FF0000"/>
          <w:sz w:val="22"/>
          <w:szCs w:val="22"/>
        </w:rPr>
      </w:pPr>
      <w:r w:rsidRPr="0038314E">
        <w:rPr>
          <w:b/>
          <w:sz w:val="22"/>
          <w:szCs w:val="22"/>
        </w:rPr>
        <w:t>7.</w:t>
      </w:r>
      <w:r w:rsidRPr="0038314E">
        <w:rPr>
          <w:b/>
          <w:sz w:val="22"/>
          <w:szCs w:val="22"/>
        </w:rPr>
        <w:tab/>
        <w:t xml:space="preserve"> Replication of the Former Teacher Pay and Teacher Pensions Grants 2025/26</w:t>
      </w:r>
    </w:p>
    <w:p w14:paraId="738C853A" w14:textId="77777777" w:rsidR="0038314E" w:rsidRPr="007E7582" w:rsidRDefault="0038314E" w:rsidP="0038314E">
      <w:pPr>
        <w:jc w:val="both"/>
        <w:rPr>
          <w:sz w:val="22"/>
          <w:szCs w:val="22"/>
        </w:rPr>
      </w:pPr>
    </w:p>
    <w:p w14:paraId="70E009C3" w14:textId="35F442F5" w:rsidR="0038314E" w:rsidRPr="00D50AE5" w:rsidRDefault="0038314E" w:rsidP="0038314E">
      <w:pPr>
        <w:jc w:val="both"/>
        <w:rPr>
          <w:i/>
          <w:iCs/>
          <w:sz w:val="22"/>
          <w:szCs w:val="22"/>
        </w:rPr>
      </w:pPr>
      <w:r w:rsidRPr="00D50AE5">
        <w:rPr>
          <w:i/>
          <w:iCs/>
          <w:sz w:val="22"/>
          <w:szCs w:val="22"/>
        </w:rPr>
        <w:t>Please note that what is said here is subject to the final operational guidance from the DfE, as we understand that the DfE may require slightly different arrangements for 2025/26.</w:t>
      </w:r>
    </w:p>
    <w:p w14:paraId="5DE37C3E" w14:textId="77777777" w:rsidR="0038314E" w:rsidRDefault="0038314E" w:rsidP="0038314E">
      <w:pPr>
        <w:jc w:val="both"/>
        <w:rPr>
          <w:sz w:val="22"/>
          <w:szCs w:val="22"/>
        </w:rPr>
      </w:pPr>
    </w:p>
    <w:p w14:paraId="7B2240D8" w14:textId="337A2E56" w:rsidR="0038314E" w:rsidRDefault="0038314E" w:rsidP="0038314E">
      <w:pPr>
        <w:jc w:val="both"/>
        <w:rPr>
          <w:sz w:val="22"/>
          <w:szCs w:val="22"/>
        </w:rPr>
      </w:pPr>
      <w:r>
        <w:rPr>
          <w:sz w:val="22"/>
          <w:szCs w:val="22"/>
        </w:rPr>
        <w:t>7</w:t>
      </w:r>
      <w:r w:rsidRPr="006A0721">
        <w:rPr>
          <w:sz w:val="22"/>
          <w:szCs w:val="22"/>
        </w:rPr>
        <w:t xml:space="preserve">.1 </w:t>
      </w:r>
      <w:r>
        <w:rPr>
          <w:sz w:val="22"/>
          <w:szCs w:val="22"/>
        </w:rPr>
        <w:t>Since April 2021, authorities have been</w:t>
      </w:r>
      <w:r w:rsidRPr="006A0721">
        <w:rPr>
          <w:sz w:val="22"/>
          <w:szCs w:val="22"/>
        </w:rPr>
        <w:t xml:space="preserve"> required</w:t>
      </w:r>
      <w:r>
        <w:rPr>
          <w:sz w:val="22"/>
          <w:szCs w:val="22"/>
        </w:rPr>
        <w:t xml:space="preserve"> </w:t>
      </w:r>
      <w:r w:rsidRPr="006A0721">
        <w:rPr>
          <w:sz w:val="22"/>
          <w:szCs w:val="22"/>
        </w:rPr>
        <w:t xml:space="preserve">to add into </w:t>
      </w:r>
      <w:r>
        <w:rPr>
          <w:sz w:val="22"/>
          <w:szCs w:val="22"/>
        </w:rPr>
        <w:t>their</w:t>
      </w:r>
      <w:r w:rsidRPr="006A0721">
        <w:rPr>
          <w:sz w:val="22"/>
          <w:szCs w:val="22"/>
        </w:rPr>
        <w:t xml:space="preserve"> </w:t>
      </w:r>
      <w:r>
        <w:rPr>
          <w:sz w:val="22"/>
          <w:szCs w:val="22"/>
        </w:rPr>
        <w:t xml:space="preserve">formula funding </w:t>
      </w:r>
      <w:r w:rsidRPr="006A0721">
        <w:rPr>
          <w:sz w:val="22"/>
          <w:szCs w:val="22"/>
        </w:rPr>
        <w:t>arrangements for specialist settings the allocation of the</w:t>
      </w:r>
      <w:r>
        <w:rPr>
          <w:sz w:val="22"/>
          <w:szCs w:val="22"/>
        </w:rPr>
        <w:t xml:space="preserve"> “former” </w:t>
      </w:r>
      <w:r w:rsidRPr="006A0721">
        <w:rPr>
          <w:sz w:val="22"/>
          <w:szCs w:val="22"/>
        </w:rPr>
        <w:t>Teacher Pay Grant</w:t>
      </w:r>
      <w:r>
        <w:rPr>
          <w:sz w:val="22"/>
          <w:szCs w:val="22"/>
        </w:rPr>
        <w:t xml:space="preserve"> (TPG)</w:t>
      </w:r>
      <w:r w:rsidRPr="006A0721">
        <w:rPr>
          <w:sz w:val="22"/>
          <w:szCs w:val="22"/>
        </w:rPr>
        <w:t xml:space="preserve"> and the Teacher Pension Grant</w:t>
      </w:r>
      <w:r>
        <w:rPr>
          <w:sz w:val="22"/>
          <w:szCs w:val="22"/>
        </w:rPr>
        <w:t xml:space="preserve"> (TPECG). This change wa</w:t>
      </w:r>
      <w:r w:rsidRPr="006A0721">
        <w:rPr>
          <w:sz w:val="22"/>
          <w:szCs w:val="22"/>
        </w:rPr>
        <w:t>s required</w:t>
      </w:r>
      <w:r>
        <w:rPr>
          <w:sz w:val="22"/>
          <w:szCs w:val="22"/>
        </w:rPr>
        <w:t>,</w:t>
      </w:r>
      <w:r w:rsidRPr="006A0721">
        <w:rPr>
          <w:sz w:val="22"/>
          <w:szCs w:val="22"/>
        </w:rPr>
        <w:t xml:space="preserve"> in response to these grants</w:t>
      </w:r>
      <w:r>
        <w:rPr>
          <w:sz w:val="22"/>
          <w:szCs w:val="22"/>
        </w:rPr>
        <w:t>, that are allocated in respect of special schools, special school academies, PRUs, alternative provision academies and mainstream primary and secondary pre-16 provisions,</w:t>
      </w:r>
      <w:r w:rsidRPr="006A0721">
        <w:rPr>
          <w:sz w:val="22"/>
          <w:szCs w:val="22"/>
        </w:rPr>
        <w:t xml:space="preserve"> being transferred into the </w:t>
      </w:r>
      <w:r>
        <w:rPr>
          <w:sz w:val="22"/>
          <w:szCs w:val="22"/>
        </w:rPr>
        <w:t>Dedicated Schools Grant (DSG)</w:t>
      </w:r>
      <w:r w:rsidRPr="006A0721">
        <w:rPr>
          <w:sz w:val="22"/>
          <w:szCs w:val="22"/>
        </w:rPr>
        <w:t>.</w:t>
      </w:r>
      <w:r>
        <w:rPr>
          <w:sz w:val="22"/>
          <w:szCs w:val="22"/>
        </w:rPr>
        <w:t xml:space="preserve"> Please can we emphasise that these grants are </w:t>
      </w:r>
      <w:r w:rsidRPr="00150A9A">
        <w:rPr>
          <w:sz w:val="22"/>
          <w:szCs w:val="22"/>
          <w:u w:val="single"/>
        </w:rPr>
        <w:t>not the same</w:t>
      </w:r>
      <w:r>
        <w:rPr>
          <w:sz w:val="22"/>
          <w:szCs w:val="22"/>
        </w:rPr>
        <w:t xml:space="preserve"> as the “new” 2024 pay and pensions grants, which in 2025/26 will continue in the form of separate non-DSG grants. The “former” grants have existed since 2019 and were transferred into the DSG for the 2021/22 financial year. They need to be continued within our formula funding arrangements for 2025/26.</w:t>
      </w:r>
    </w:p>
    <w:p w14:paraId="6C1E9501" w14:textId="77777777" w:rsidR="0038314E" w:rsidRDefault="0038314E" w:rsidP="0038314E">
      <w:pPr>
        <w:jc w:val="both"/>
        <w:rPr>
          <w:sz w:val="22"/>
          <w:szCs w:val="22"/>
        </w:rPr>
      </w:pPr>
    </w:p>
    <w:p w14:paraId="6C472EFD" w14:textId="46415B74" w:rsidR="0038314E" w:rsidRDefault="0038314E" w:rsidP="0038314E">
      <w:pPr>
        <w:jc w:val="both"/>
        <w:rPr>
          <w:sz w:val="22"/>
          <w:szCs w:val="22"/>
        </w:rPr>
      </w:pPr>
      <w:r>
        <w:rPr>
          <w:sz w:val="22"/>
          <w:szCs w:val="22"/>
        </w:rPr>
        <w:t>7.2 We allocated these former TPG and TPECG monies in 2024/25, separately from both place-element and top-up funding, as follows:</w:t>
      </w:r>
    </w:p>
    <w:p w14:paraId="01E281D8" w14:textId="77777777" w:rsidR="0038314E" w:rsidRDefault="0038314E" w:rsidP="0038314E">
      <w:pPr>
        <w:jc w:val="both"/>
        <w:rPr>
          <w:sz w:val="22"/>
          <w:szCs w:val="22"/>
        </w:rPr>
      </w:pPr>
    </w:p>
    <w:p w14:paraId="699BFE87" w14:textId="77777777" w:rsidR="0038314E" w:rsidRDefault="0038314E" w:rsidP="0038314E">
      <w:pPr>
        <w:pStyle w:val="ListParagraph"/>
        <w:numPr>
          <w:ilvl w:val="0"/>
          <w:numId w:val="15"/>
        </w:numPr>
        <w:ind w:left="360"/>
        <w:jc w:val="both"/>
        <w:rPr>
          <w:sz w:val="22"/>
          <w:szCs w:val="22"/>
        </w:rPr>
      </w:pPr>
      <w:r>
        <w:rPr>
          <w:sz w:val="22"/>
          <w:szCs w:val="22"/>
        </w:rPr>
        <w:t>To maintained special schools and special school academies, Park Aspire and BAPA: a minimum fixed value of £733 per place, with place numbers fixed at the original agreed commissioned number for the 2024/25 financial year. These commissioned numbers included the planned expansion of provisions. Where a setting, prior April 2021, received an amount per place that was higher than the minimum value, and where their amount per place, uplifted by 5% in 2021/22 and by 5.8% in 2022/23, was still higher than the minimum £733 for 2023/24, the setting has been allocated their uplifted pre-April 2021 amount per place. This ‘protection’ was applied to 4 of 10 settings. Payment has been split so that 5/12ths of the annual value was paid in a lump sum in April 2024 and 7/12ths was paid in a lump sum in September 2024.</w:t>
      </w:r>
    </w:p>
    <w:p w14:paraId="208070B1" w14:textId="77777777" w:rsidR="0038314E" w:rsidRDefault="0038314E" w:rsidP="0038314E">
      <w:pPr>
        <w:pStyle w:val="ListParagraph"/>
        <w:ind w:left="360"/>
        <w:jc w:val="both"/>
        <w:rPr>
          <w:sz w:val="22"/>
          <w:szCs w:val="22"/>
        </w:rPr>
      </w:pPr>
    </w:p>
    <w:p w14:paraId="7A6FF324" w14:textId="77777777" w:rsidR="0038314E" w:rsidRPr="00287A1C" w:rsidRDefault="0038314E" w:rsidP="0038314E">
      <w:pPr>
        <w:pStyle w:val="ListParagraph"/>
        <w:numPr>
          <w:ilvl w:val="0"/>
          <w:numId w:val="15"/>
        </w:numPr>
        <w:ind w:left="360"/>
        <w:jc w:val="both"/>
        <w:rPr>
          <w:sz w:val="22"/>
          <w:szCs w:val="22"/>
        </w:rPr>
      </w:pPr>
      <w:r>
        <w:rPr>
          <w:sz w:val="22"/>
          <w:szCs w:val="22"/>
        </w:rPr>
        <w:t>To school-led resourced provisions and Early Years Enhanced Specialist Provisions: based on place numbers fixed at the original agreed commissioned number for the 2024/25 financial year, a fixed value of £733 per place, where a place was not occupied in the October 2023 Census, and either a value of £548 (primary) or £460 (secondary) where a place was occupied in the October 2023 Census. The values of £548 (primary) and £460 (secondary) were derived from the differences between the £733 and the value of TPG and TPECG monies that have been transferred to be allocated already through the mainstream primary and secondary funding formula. All places in the EYESPs were recorded as unoccupied for the purposes of this calculation. Commissioned places numbers for all resourced provisions included planned expansion during 2024/25. Payment has been split so that 5/12ths of the annual value was paid in a lump sum in April 2024 and 7/12ths was paid in a lump sum in September 2024.</w:t>
      </w:r>
    </w:p>
    <w:p w14:paraId="33CF98CD" w14:textId="77777777" w:rsidR="0038314E" w:rsidRDefault="0038314E" w:rsidP="0038314E">
      <w:pPr>
        <w:jc w:val="both"/>
        <w:rPr>
          <w:sz w:val="22"/>
          <w:szCs w:val="22"/>
        </w:rPr>
      </w:pPr>
    </w:p>
    <w:p w14:paraId="07CFC179" w14:textId="06FEFBA0" w:rsidR="00082E6B" w:rsidRDefault="0038314E" w:rsidP="0038314E">
      <w:pPr>
        <w:jc w:val="both"/>
        <w:rPr>
          <w:sz w:val="22"/>
          <w:szCs w:val="22"/>
        </w:rPr>
      </w:pPr>
      <w:r>
        <w:rPr>
          <w:sz w:val="22"/>
          <w:szCs w:val="22"/>
        </w:rPr>
        <w:t xml:space="preserve">7.3 </w:t>
      </w:r>
      <w:r w:rsidR="00082E6B">
        <w:rPr>
          <w:sz w:val="22"/>
          <w:szCs w:val="22"/>
        </w:rPr>
        <w:t>The total of funding currently allocated is £1.57m, with £1.31m to special schools / academies and AP Academies and £0.26m to resourced provisions.</w:t>
      </w:r>
    </w:p>
    <w:p w14:paraId="0A70AAAC" w14:textId="77777777" w:rsidR="00082E6B" w:rsidRDefault="00082E6B" w:rsidP="0038314E">
      <w:pPr>
        <w:jc w:val="both"/>
        <w:rPr>
          <w:sz w:val="22"/>
          <w:szCs w:val="22"/>
        </w:rPr>
      </w:pPr>
    </w:p>
    <w:p w14:paraId="6842D76E" w14:textId="2A53A59F" w:rsidR="0038314E" w:rsidRDefault="00082E6B" w:rsidP="0038314E">
      <w:pPr>
        <w:jc w:val="both"/>
        <w:rPr>
          <w:sz w:val="22"/>
          <w:szCs w:val="22"/>
        </w:rPr>
      </w:pPr>
      <w:r>
        <w:rPr>
          <w:sz w:val="22"/>
          <w:szCs w:val="22"/>
        </w:rPr>
        <w:t xml:space="preserve">7.4 </w:t>
      </w:r>
      <w:r w:rsidR="0038314E">
        <w:rPr>
          <w:sz w:val="22"/>
          <w:szCs w:val="22"/>
        </w:rPr>
        <w:t xml:space="preserve">In September 2024, the Authority presented to the Schools Forum a business case, which scoped potential reductions to this funding in 2025/26, </w:t>
      </w:r>
      <w:r>
        <w:rPr>
          <w:sz w:val="22"/>
          <w:szCs w:val="22"/>
        </w:rPr>
        <w:t>by</w:t>
      </w:r>
      <w:r w:rsidR="0038314E">
        <w:rPr>
          <w:sz w:val="22"/>
          <w:szCs w:val="22"/>
        </w:rPr>
        <w:t xml:space="preserve"> taking rates of funding back to the original 2020/21 rate</w:t>
      </w:r>
      <w:r>
        <w:rPr>
          <w:sz w:val="22"/>
          <w:szCs w:val="22"/>
        </w:rPr>
        <w:t>s</w:t>
      </w:r>
      <w:r w:rsidR="0038314E">
        <w:rPr>
          <w:sz w:val="22"/>
          <w:szCs w:val="22"/>
        </w:rPr>
        <w:t xml:space="preserve"> i.e. removing the inflation that has been applied on these rates since their merger into the DSG. </w:t>
      </w:r>
      <w:r w:rsidR="002C3C79">
        <w:rPr>
          <w:sz w:val="22"/>
          <w:szCs w:val="22"/>
        </w:rPr>
        <w:t xml:space="preserve">This is a potential action to help mitigate against the forecasted High Needs Block deficit. </w:t>
      </w:r>
      <w:r w:rsidR="0038314E">
        <w:rPr>
          <w:sz w:val="22"/>
          <w:szCs w:val="22"/>
        </w:rPr>
        <w:t xml:space="preserve">The Authority explained that the DfE </w:t>
      </w:r>
      <w:r>
        <w:rPr>
          <w:sz w:val="22"/>
          <w:szCs w:val="22"/>
        </w:rPr>
        <w:t>has</w:t>
      </w:r>
      <w:r w:rsidR="0038314E">
        <w:rPr>
          <w:sz w:val="22"/>
          <w:szCs w:val="22"/>
        </w:rPr>
        <w:t xml:space="preserve"> require</w:t>
      </w:r>
      <w:r>
        <w:rPr>
          <w:sz w:val="22"/>
          <w:szCs w:val="22"/>
        </w:rPr>
        <w:t>d</w:t>
      </w:r>
      <w:r w:rsidR="0038314E">
        <w:rPr>
          <w:sz w:val="22"/>
          <w:szCs w:val="22"/>
        </w:rPr>
        <w:t xml:space="preserve"> rates to be protected at 2020/21 levels. If implemented and in full, the value of funding that is allocated via this factor would reduce by </w:t>
      </w:r>
      <w:r w:rsidR="007468E3">
        <w:rPr>
          <w:sz w:val="22"/>
          <w:szCs w:val="22"/>
        </w:rPr>
        <w:t>10</w:t>
      </w:r>
      <w:r w:rsidR="0038314E">
        <w:rPr>
          <w:sz w:val="22"/>
          <w:szCs w:val="22"/>
        </w:rPr>
        <w:t>%, reducing funding for special schools / academies by £116,900, for AP Academies by £13,600 and for resourced provisions by £14,800. The business case suggested that if a reduction was enacted</w:t>
      </w:r>
      <w:r>
        <w:rPr>
          <w:sz w:val="22"/>
          <w:szCs w:val="22"/>
        </w:rPr>
        <w:t>, given that this is a relatively small adjustment,</w:t>
      </w:r>
      <w:r w:rsidR="0038314E">
        <w:rPr>
          <w:sz w:val="22"/>
          <w:szCs w:val="22"/>
        </w:rPr>
        <w:t xml:space="preserve"> that this would be </w:t>
      </w:r>
      <w:r>
        <w:rPr>
          <w:sz w:val="22"/>
          <w:szCs w:val="22"/>
        </w:rPr>
        <w:t>d</w:t>
      </w:r>
      <w:r w:rsidR="0038314E">
        <w:rPr>
          <w:sz w:val="22"/>
          <w:szCs w:val="22"/>
        </w:rPr>
        <w:t xml:space="preserve">one in a single </w:t>
      </w:r>
      <w:r w:rsidR="00EC0F28">
        <w:rPr>
          <w:sz w:val="22"/>
          <w:szCs w:val="22"/>
        </w:rPr>
        <w:t>step</w:t>
      </w:r>
      <w:r w:rsidR="0038314E">
        <w:rPr>
          <w:sz w:val="22"/>
          <w:szCs w:val="22"/>
        </w:rPr>
        <w:t xml:space="preserve">. </w:t>
      </w:r>
    </w:p>
    <w:p w14:paraId="59C9FB25" w14:textId="77777777" w:rsidR="00082E6B" w:rsidRDefault="00082E6B" w:rsidP="0038314E">
      <w:pPr>
        <w:jc w:val="both"/>
        <w:rPr>
          <w:sz w:val="22"/>
          <w:szCs w:val="22"/>
        </w:rPr>
      </w:pPr>
    </w:p>
    <w:p w14:paraId="13386B53" w14:textId="2DC39FF6" w:rsidR="00082E6B" w:rsidRDefault="00082E6B" w:rsidP="0038314E">
      <w:pPr>
        <w:jc w:val="both"/>
        <w:rPr>
          <w:sz w:val="22"/>
          <w:szCs w:val="22"/>
        </w:rPr>
      </w:pPr>
      <w:r>
        <w:rPr>
          <w:sz w:val="22"/>
          <w:szCs w:val="22"/>
        </w:rPr>
        <w:t xml:space="preserve">7.5 </w:t>
      </w:r>
      <w:r w:rsidR="00EE50BC">
        <w:rPr>
          <w:sz w:val="22"/>
          <w:szCs w:val="22"/>
        </w:rPr>
        <w:t xml:space="preserve">The Authority has already applied the working principle that this funding is not uplifted, unless required to do so by the DfE. It was agreed that rates of funding were not uplifted in 2024/25. </w:t>
      </w:r>
      <w:r>
        <w:rPr>
          <w:sz w:val="22"/>
          <w:szCs w:val="22"/>
        </w:rPr>
        <w:t>Having uplifted funding between 2021 and 2023, the Authority is already exceeding the DfE’s requirements that are set out in the DSG Conditions. The default position, therefore, for 2025/26 is that this funding would continue to be allocated at 2024/25 rates</w:t>
      </w:r>
      <w:r w:rsidR="00415B74">
        <w:rPr>
          <w:sz w:val="22"/>
          <w:szCs w:val="22"/>
        </w:rPr>
        <w:t>, subject to any DfE changes</w:t>
      </w:r>
      <w:r>
        <w:rPr>
          <w:sz w:val="22"/>
          <w:szCs w:val="22"/>
        </w:rPr>
        <w:t>. The Schools Forum is asked to further consider whether, as outlined in the business case, rates of funding should be actively reduced</w:t>
      </w:r>
      <w:r w:rsidR="00EC0F28">
        <w:rPr>
          <w:sz w:val="22"/>
          <w:szCs w:val="22"/>
        </w:rPr>
        <w:t xml:space="preserve">. </w:t>
      </w:r>
      <w:r w:rsidR="00415B74">
        <w:rPr>
          <w:sz w:val="22"/>
          <w:szCs w:val="22"/>
        </w:rPr>
        <w:t>This funding is not included in the Minimum Funding Guarantee (it is not top-up funding) and, therefore, the Authority would not require Secretary of State approval.</w:t>
      </w:r>
      <w:r>
        <w:rPr>
          <w:sz w:val="22"/>
          <w:szCs w:val="22"/>
        </w:rPr>
        <w:t xml:space="preserve"> This is funding that is allocated in addition to EHCP Banded Model and Day Rate Model funding. It comes from previous separate grants</w:t>
      </w:r>
      <w:r w:rsidR="00415B74">
        <w:rPr>
          <w:sz w:val="22"/>
          <w:szCs w:val="22"/>
        </w:rPr>
        <w:t xml:space="preserve"> and the merger of these grants into the DSG</w:t>
      </w:r>
      <w:r>
        <w:rPr>
          <w:sz w:val="22"/>
          <w:szCs w:val="22"/>
        </w:rPr>
        <w:t xml:space="preserve">. </w:t>
      </w:r>
      <w:r w:rsidR="00614197">
        <w:rPr>
          <w:sz w:val="22"/>
          <w:szCs w:val="22"/>
        </w:rPr>
        <w:t>For reference, w</w:t>
      </w:r>
      <w:r w:rsidR="00415B74">
        <w:rPr>
          <w:sz w:val="22"/>
          <w:szCs w:val="22"/>
        </w:rPr>
        <w:t>here merger has happened in the mainstream sector, grants have been transferred in at existing rates (not uplifted but not reduced either) and any change</w:t>
      </w:r>
      <w:r w:rsidR="00EC0F28">
        <w:rPr>
          <w:sz w:val="22"/>
          <w:szCs w:val="22"/>
        </w:rPr>
        <w:t>s</w:t>
      </w:r>
      <w:r w:rsidR="00415B74">
        <w:rPr>
          <w:sz w:val="22"/>
          <w:szCs w:val="22"/>
        </w:rPr>
        <w:t xml:space="preserve"> in funding on an on-going basis ha</w:t>
      </w:r>
      <w:r w:rsidR="00EC0F28">
        <w:rPr>
          <w:sz w:val="22"/>
          <w:szCs w:val="22"/>
        </w:rPr>
        <w:t>ve</w:t>
      </w:r>
      <w:r w:rsidR="00415B74">
        <w:rPr>
          <w:sz w:val="22"/>
          <w:szCs w:val="22"/>
        </w:rPr>
        <w:t xml:space="preserve"> been dictated by the overall mainstream funding settlement. As a direct comparison for 2025/26, the Core Schools Budget Grant (CSBG) for mainstream schools is being merged without uplift being applied (except for adjustment for this funding to cover the full year) and the funding floor is set at 0%. The broad options for 2025/26 are:</w:t>
      </w:r>
    </w:p>
    <w:p w14:paraId="224D76F8" w14:textId="77777777" w:rsidR="00082E6B" w:rsidRPr="00415B74" w:rsidRDefault="00082E6B" w:rsidP="00415B74">
      <w:pPr>
        <w:jc w:val="both"/>
        <w:rPr>
          <w:sz w:val="22"/>
          <w:szCs w:val="22"/>
        </w:rPr>
      </w:pPr>
    </w:p>
    <w:p w14:paraId="10D9DB6B" w14:textId="235FA252" w:rsidR="00082E6B" w:rsidRPr="00FD7F37" w:rsidRDefault="00082E6B" w:rsidP="009302C7">
      <w:pPr>
        <w:pStyle w:val="ListParagraph"/>
        <w:numPr>
          <w:ilvl w:val="0"/>
          <w:numId w:val="25"/>
        </w:numPr>
        <w:jc w:val="both"/>
        <w:rPr>
          <w:sz w:val="22"/>
          <w:szCs w:val="22"/>
        </w:rPr>
      </w:pPr>
      <w:r>
        <w:rPr>
          <w:sz w:val="22"/>
          <w:szCs w:val="22"/>
        </w:rPr>
        <w:t xml:space="preserve">To retain </w:t>
      </w:r>
      <w:r w:rsidR="00415B74">
        <w:rPr>
          <w:sz w:val="22"/>
          <w:szCs w:val="22"/>
        </w:rPr>
        <w:t>this funding</w:t>
      </w:r>
      <w:r>
        <w:rPr>
          <w:sz w:val="22"/>
          <w:szCs w:val="22"/>
        </w:rPr>
        <w:t xml:space="preserve"> at 2024/25 levels i.e. 0% or cash flat. This effectively is the default position</w:t>
      </w:r>
      <w:r w:rsidR="00635F51">
        <w:rPr>
          <w:sz w:val="22"/>
          <w:szCs w:val="22"/>
        </w:rPr>
        <w:t xml:space="preserve"> and would represent a continuation of current practice</w:t>
      </w:r>
      <w:r>
        <w:rPr>
          <w:sz w:val="22"/>
          <w:szCs w:val="22"/>
        </w:rPr>
        <w:t xml:space="preserve">. </w:t>
      </w:r>
      <w:r w:rsidR="00415B74">
        <w:rPr>
          <w:sz w:val="22"/>
          <w:szCs w:val="22"/>
        </w:rPr>
        <w:t>Although not included in this</w:t>
      </w:r>
      <w:r w:rsidR="007468E3">
        <w:rPr>
          <w:sz w:val="22"/>
          <w:szCs w:val="22"/>
        </w:rPr>
        <w:t xml:space="preserve"> restriction</w:t>
      </w:r>
      <w:r w:rsidR="00415B74">
        <w:rPr>
          <w:sz w:val="22"/>
          <w:szCs w:val="22"/>
        </w:rPr>
        <w:t>, 0%</w:t>
      </w:r>
      <w:r>
        <w:rPr>
          <w:sz w:val="22"/>
          <w:szCs w:val="22"/>
        </w:rPr>
        <w:t xml:space="preserve"> would align with the DfE’s Minimum Funding Guarantee for special schools / academies and would also align with the maximum MFG that can be provided for the mainstream sector. </w:t>
      </w:r>
      <w:r w:rsidR="00415B74">
        <w:rPr>
          <w:sz w:val="22"/>
          <w:szCs w:val="22"/>
        </w:rPr>
        <w:t>It would align with the treatment of the 3 grants that are being transferred into the Schools Block in 2025/26 (the Teacher Pay Grant, the Teacher Pensions Grant and the Core Schools Budget Grant), where uplift is not applied but there is no reduction. It is assessed that there would be a small impact, depending on pay award, from a reduction of funding in real terms. This is assessed to be minor for resourced provisions</w:t>
      </w:r>
      <w:r w:rsidR="00FD7F37">
        <w:rPr>
          <w:sz w:val="22"/>
          <w:szCs w:val="22"/>
        </w:rPr>
        <w:t>, as allocation</w:t>
      </w:r>
      <w:r w:rsidR="0062005F">
        <w:rPr>
          <w:sz w:val="22"/>
          <w:szCs w:val="22"/>
        </w:rPr>
        <w:t>s</w:t>
      </w:r>
      <w:r w:rsidR="00FD7F37">
        <w:rPr>
          <w:sz w:val="22"/>
          <w:szCs w:val="22"/>
        </w:rPr>
        <w:t xml:space="preserve"> </w:t>
      </w:r>
      <w:r w:rsidR="00635F51">
        <w:rPr>
          <w:sz w:val="22"/>
          <w:szCs w:val="22"/>
        </w:rPr>
        <w:t xml:space="preserve">are small and </w:t>
      </w:r>
      <w:r w:rsidR="00FD7F37">
        <w:rPr>
          <w:sz w:val="22"/>
          <w:szCs w:val="22"/>
        </w:rPr>
        <w:t xml:space="preserve">range between £3,470 and £16,220. Allocations to special schools / academies and AP Academies range between £60,820 and £263,880. Estimating that all of this funding is spent on staffing, holding the rates of funding at 2024/25 values may produce between a £600 and a £2,640 spending pressure for every 1% increase in costs on a full year basis. </w:t>
      </w:r>
      <w:r w:rsidRPr="00FD7F37">
        <w:rPr>
          <w:sz w:val="22"/>
          <w:szCs w:val="22"/>
        </w:rPr>
        <w:t xml:space="preserve">This assessment of pressure should exclude the impact of the National Insurance contributions increase, which is expected to be supported via additional grant. Also potentially providing further compensation, given the tightness of the 2025/26 formula funding settlements overall, the Authority would expect the DfE to allocate further teacher pay grant funding into schools where the STRB’s recommendation for the September 2025 teachers’ pay award is outside the range that can be afforded by the settlement. The DfE has done this in each of the last 2 financial years. </w:t>
      </w:r>
      <w:r w:rsidR="00FD7F37">
        <w:rPr>
          <w:sz w:val="22"/>
          <w:szCs w:val="22"/>
        </w:rPr>
        <w:t>I</w:t>
      </w:r>
      <w:r w:rsidRPr="00FD7F37">
        <w:rPr>
          <w:sz w:val="22"/>
          <w:szCs w:val="22"/>
        </w:rPr>
        <w:t>t is likely</w:t>
      </w:r>
      <w:r w:rsidR="00FD7F37">
        <w:rPr>
          <w:sz w:val="22"/>
          <w:szCs w:val="22"/>
        </w:rPr>
        <w:t xml:space="preserve"> that there will be </w:t>
      </w:r>
      <w:r w:rsidRPr="00FD7F37">
        <w:rPr>
          <w:sz w:val="22"/>
          <w:szCs w:val="22"/>
        </w:rPr>
        <w:t>some reduction in the value of funding in ‘real terms’. This will depend on a number of factors, including pay awards. But it is also assessed that this is likely to be proportionate to what is happening in the mainstream sector. Holding rates of funding cash flat is an important mitigation action for the forecast High Needs Block deficit</w:t>
      </w:r>
      <w:r w:rsidR="00FD7F37">
        <w:rPr>
          <w:sz w:val="22"/>
          <w:szCs w:val="22"/>
        </w:rPr>
        <w:t xml:space="preserve"> and follows the approach that was agreed for 2024/25.</w:t>
      </w:r>
    </w:p>
    <w:p w14:paraId="10C34AC0" w14:textId="77777777" w:rsidR="00082E6B" w:rsidRDefault="00082E6B" w:rsidP="00082E6B">
      <w:pPr>
        <w:pStyle w:val="ListParagraph"/>
        <w:ind w:left="360"/>
        <w:jc w:val="both"/>
        <w:rPr>
          <w:sz w:val="22"/>
          <w:szCs w:val="22"/>
        </w:rPr>
      </w:pPr>
    </w:p>
    <w:p w14:paraId="337338A0" w14:textId="5610AA9E" w:rsidR="0038314E" w:rsidRDefault="00082E6B" w:rsidP="009302C7">
      <w:pPr>
        <w:pStyle w:val="ListParagraph"/>
        <w:numPr>
          <w:ilvl w:val="0"/>
          <w:numId w:val="25"/>
        </w:numPr>
        <w:jc w:val="both"/>
        <w:rPr>
          <w:sz w:val="22"/>
          <w:szCs w:val="22"/>
        </w:rPr>
      </w:pPr>
      <w:r>
        <w:rPr>
          <w:sz w:val="22"/>
          <w:szCs w:val="22"/>
        </w:rPr>
        <w:t xml:space="preserve">To enact the </w:t>
      </w:r>
      <w:r w:rsidR="008F0814">
        <w:rPr>
          <w:sz w:val="22"/>
          <w:szCs w:val="22"/>
        </w:rPr>
        <w:t>action</w:t>
      </w:r>
      <w:r>
        <w:rPr>
          <w:sz w:val="22"/>
          <w:szCs w:val="22"/>
        </w:rPr>
        <w:t>, either in full or in part, that w</w:t>
      </w:r>
      <w:r w:rsidR="0062005F">
        <w:rPr>
          <w:sz w:val="22"/>
          <w:szCs w:val="22"/>
        </w:rPr>
        <w:t>as</w:t>
      </w:r>
      <w:r>
        <w:rPr>
          <w:sz w:val="22"/>
          <w:szCs w:val="22"/>
        </w:rPr>
        <w:t xml:space="preserve"> set out in the business case. The full year full impact would reduce </w:t>
      </w:r>
      <w:r w:rsidR="0062005F">
        <w:rPr>
          <w:sz w:val="22"/>
          <w:szCs w:val="22"/>
        </w:rPr>
        <w:t xml:space="preserve">funding allocated by the factor by </w:t>
      </w:r>
      <w:r w:rsidR="007468E3">
        <w:rPr>
          <w:sz w:val="22"/>
          <w:szCs w:val="22"/>
        </w:rPr>
        <w:t>10</w:t>
      </w:r>
      <w:r w:rsidR="0062005F">
        <w:rPr>
          <w:sz w:val="22"/>
          <w:szCs w:val="22"/>
        </w:rPr>
        <w:t xml:space="preserve">%. </w:t>
      </w:r>
      <w:r w:rsidR="00E814C3">
        <w:rPr>
          <w:sz w:val="22"/>
          <w:szCs w:val="22"/>
        </w:rPr>
        <w:t xml:space="preserve">In addition to reduction of funding in real terms, allocations for special schools / academies and AP Academies would reduce by between £6,100 and £26,300. </w:t>
      </w:r>
      <w:r w:rsidRPr="00E814C3">
        <w:rPr>
          <w:sz w:val="22"/>
          <w:szCs w:val="22"/>
        </w:rPr>
        <w:t>In discussing this option further now, it is fair and transparent for the Authority to highlight that the High Needs Block settlement is better than was estimated when the business case was first outlined, and to highlight that it is not expected that the mainstream settlement will actively reduce main core formula funding that is received by primary and secondary schools and academies. It is assessed that active reduction in t</w:t>
      </w:r>
      <w:r w:rsidR="00E814C3">
        <w:rPr>
          <w:sz w:val="22"/>
          <w:szCs w:val="22"/>
        </w:rPr>
        <w:t>his funding</w:t>
      </w:r>
      <w:r w:rsidRPr="00E814C3">
        <w:rPr>
          <w:sz w:val="22"/>
          <w:szCs w:val="22"/>
        </w:rPr>
        <w:t xml:space="preserve">, in addition to </w:t>
      </w:r>
      <w:r w:rsidR="00E814C3">
        <w:rPr>
          <w:sz w:val="22"/>
          <w:szCs w:val="22"/>
        </w:rPr>
        <w:t xml:space="preserve">a smaller </w:t>
      </w:r>
      <w:r w:rsidRPr="00E814C3">
        <w:rPr>
          <w:sz w:val="22"/>
          <w:szCs w:val="22"/>
        </w:rPr>
        <w:t xml:space="preserve">reduction in real terms, </w:t>
      </w:r>
      <w:r w:rsidR="00E814C3">
        <w:rPr>
          <w:sz w:val="22"/>
          <w:szCs w:val="22"/>
        </w:rPr>
        <w:t>may</w:t>
      </w:r>
      <w:r w:rsidRPr="00E814C3">
        <w:rPr>
          <w:sz w:val="22"/>
          <w:szCs w:val="22"/>
        </w:rPr>
        <w:t xml:space="preserve"> require provisions to reduce costs, and likely through staffing changes. </w:t>
      </w:r>
      <w:r w:rsidR="008F0814">
        <w:rPr>
          <w:sz w:val="22"/>
          <w:szCs w:val="22"/>
        </w:rPr>
        <w:t>In combination with other funding elements, t</w:t>
      </w:r>
      <w:r w:rsidR="008F0814" w:rsidRPr="00CD1778">
        <w:rPr>
          <w:sz w:val="22"/>
          <w:szCs w:val="22"/>
        </w:rPr>
        <w:t xml:space="preserve">his </w:t>
      </w:r>
      <w:r w:rsidR="008F0814">
        <w:rPr>
          <w:sz w:val="22"/>
          <w:szCs w:val="22"/>
        </w:rPr>
        <w:t>is likely to</w:t>
      </w:r>
      <w:r w:rsidR="008F0814" w:rsidRPr="00CD1778">
        <w:rPr>
          <w:sz w:val="22"/>
          <w:szCs w:val="22"/>
        </w:rPr>
        <w:t xml:space="preserve"> </w:t>
      </w:r>
      <w:r w:rsidR="008F0814">
        <w:rPr>
          <w:sz w:val="22"/>
          <w:szCs w:val="22"/>
        </w:rPr>
        <w:t xml:space="preserve">have direct provision impact, but also may </w:t>
      </w:r>
      <w:r w:rsidR="008F0814" w:rsidRPr="00CD1778">
        <w:rPr>
          <w:sz w:val="22"/>
          <w:szCs w:val="22"/>
        </w:rPr>
        <w:t>have wider implications</w:t>
      </w:r>
      <w:r w:rsidR="008F0814">
        <w:rPr>
          <w:sz w:val="22"/>
          <w:szCs w:val="22"/>
        </w:rPr>
        <w:t xml:space="preserve"> for the Authority</w:t>
      </w:r>
      <w:r w:rsidR="008F0814" w:rsidRPr="00CD1778">
        <w:rPr>
          <w:sz w:val="22"/>
          <w:szCs w:val="22"/>
        </w:rPr>
        <w:t>, including for the creation of additional local places and for controlling the use of independent provisions</w:t>
      </w:r>
      <w:r w:rsidR="008F0814">
        <w:rPr>
          <w:sz w:val="22"/>
          <w:szCs w:val="22"/>
        </w:rPr>
        <w:t>, which may have implications for the Authority’s longer-term management of the High Needs Block</w:t>
      </w:r>
      <w:r w:rsidR="008F0814" w:rsidRPr="00CD1778">
        <w:rPr>
          <w:sz w:val="22"/>
          <w:szCs w:val="22"/>
        </w:rPr>
        <w:t>.</w:t>
      </w:r>
    </w:p>
    <w:p w14:paraId="6B17F2F4" w14:textId="77777777" w:rsidR="008F0814" w:rsidRDefault="008F0814" w:rsidP="008F0814">
      <w:pPr>
        <w:jc w:val="both"/>
        <w:rPr>
          <w:sz w:val="22"/>
          <w:szCs w:val="22"/>
        </w:rPr>
      </w:pPr>
    </w:p>
    <w:p w14:paraId="1E50A3F9" w14:textId="77777777" w:rsidR="008F0814" w:rsidRPr="008F0814" w:rsidRDefault="008F0814" w:rsidP="008F0814">
      <w:pPr>
        <w:jc w:val="both"/>
        <w:rPr>
          <w:sz w:val="22"/>
          <w:szCs w:val="22"/>
        </w:rPr>
      </w:pPr>
    </w:p>
    <w:p w14:paraId="495D6FBF" w14:textId="2EB1614C" w:rsidR="00C41CF3" w:rsidRPr="001475AF" w:rsidRDefault="00414CE5" w:rsidP="00C41CF3">
      <w:pPr>
        <w:jc w:val="both"/>
        <w:rPr>
          <w:sz w:val="22"/>
          <w:szCs w:val="22"/>
        </w:rPr>
      </w:pPr>
      <w:r w:rsidRPr="001475AF">
        <w:rPr>
          <w:b/>
          <w:sz w:val="22"/>
          <w:szCs w:val="22"/>
        </w:rPr>
        <w:t>8</w:t>
      </w:r>
      <w:r w:rsidR="00C41CF3" w:rsidRPr="001475AF">
        <w:rPr>
          <w:b/>
          <w:sz w:val="22"/>
          <w:szCs w:val="22"/>
        </w:rPr>
        <w:t>.</w:t>
      </w:r>
      <w:r w:rsidR="00C41CF3" w:rsidRPr="001475AF">
        <w:rPr>
          <w:b/>
          <w:sz w:val="22"/>
          <w:szCs w:val="22"/>
        </w:rPr>
        <w:tab/>
        <w:t>Top-Up Funding</w:t>
      </w:r>
      <w:r w:rsidR="0041564E" w:rsidRPr="001475AF">
        <w:rPr>
          <w:b/>
          <w:sz w:val="22"/>
          <w:szCs w:val="22"/>
        </w:rPr>
        <w:t xml:space="preserve"> for EHCPs</w:t>
      </w:r>
      <w:r w:rsidR="00CA2B83" w:rsidRPr="001475AF">
        <w:rPr>
          <w:b/>
          <w:sz w:val="22"/>
          <w:szCs w:val="22"/>
        </w:rPr>
        <w:t xml:space="preserve"> 202</w:t>
      </w:r>
      <w:r w:rsidR="00313C1A" w:rsidRPr="001475AF">
        <w:rPr>
          <w:b/>
          <w:sz w:val="22"/>
          <w:szCs w:val="22"/>
        </w:rPr>
        <w:t>5</w:t>
      </w:r>
      <w:r w:rsidR="00CA2B83" w:rsidRPr="001475AF">
        <w:rPr>
          <w:b/>
          <w:sz w:val="22"/>
          <w:szCs w:val="22"/>
        </w:rPr>
        <w:t>/2</w:t>
      </w:r>
      <w:r w:rsidR="00313C1A" w:rsidRPr="001475AF">
        <w:rPr>
          <w:b/>
          <w:sz w:val="22"/>
          <w:szCs w:val="22"/>
        </w:rPr>
        <w:t>6</w:t>
      </w:r>
      <w:r w:rsidR="00C6158B" w:rsidRPr="001475AF">
        <w:rPr>
          <w:b/>
          <w:sz w:val="22"/>
          <w:szCs w:val="22"/>
        </w:rPr>
        <w:t>: Pupil-Led Need</w:t>
      </w:r>
    </w:p>
    <w:p w14:paraId="2DA51AB8" w14:textId="77777777" w:rsidR="00EA1334" w:rsidRDefault="00EA1334" w:rsidP="00EA1334">
      <w:pPr>
        <w:jc w:val="both"/>
        <w:rPr>
          <w:sz w:val="22"/>
          <w:szCs w:val="22"/>
        </w:rPr>
      </w:pPr>
    </w:p>
    <w:p w14:paraId="31FED864" w14:textId="6598CF9A" w:rsidR="00EA1334" w:rsidRDefault="001475AF" w:rsidP="00EA1334">
      <w:pPr>
        <w:jc w:val="both"/>
        <w:rPr>
          <w:sz w:val="22"/>
          <w:szCs w:val="22"/>
        </w:rPr>
      </w:pPr>
      <w:r>
        <w:rPr>
          <w:sz w:val="22"/>
          <w:szCs w:val="22"/>
        </w:rPr>
        <w:t>8</w:t>
      </w:r>
      <w:r w:rsidR="00EA1334">
        <w:rPr>
          <w:sz w:val="22"/>
          <w:szCs w:val="22"/>
        </w:rPr>
        <w:t xml:space="preserve">.1 Top-up funding (also known as Element 3 or ‘Plus’ funding) is the funding required by an institution, over and above place-element funding, to enable a child or young person with high needs to participate in education and learning. Top-up funding is expected to reflect the cost of additional support an institution incurs related to the individual needs of the child or young person. </w:t>
      </w:r>
      <w:r w:rsidR="004F5EEF">
        <w:rPr>
          <w:sz w:val="22"/>
          <w:szCs w:val="22"/>
        </w:rPr>
        <w:t xml:space="preserve">The Authority calls this </w:t>
      </w:r>
      <w:r w:rsidR="00EA1334">
        <w:rPr>
          <w:sz w:val="22"/>
          <w:szCs w:val="22"/>
        </w:rPr>
        <w:t>‘Pupil-Led Need’</w:t>
      </w:r>
      <w:r w:rsidR="00EA1334" w:rsidRPr="009A0A13">
        <w:rPr>
          <w:color w:val="000000" w:themeColor="text1"/>
          <w:sz w:val="22"/>
          <w:szCs w:val="22"/>
        </w:rPr>
        <w:t xml:space="preserve">. </w:t>
      </w:r>
    </w:p>
    <w:p w14:paraId="18C03C1D" w14:textId="77777777" w:rsidR="00EA1334" w:rsidRDefault="00EA1334" w:rsidP="00EA1334">
      <w:pPr>
        <w:jc w:val="both"/>
        <w:rPr>
          <w:sz w:val="22"/>
          <w:szCs w:val="22"/>
        </w:rPr>
      </w:pPr>
    </w:p>
    <w:p w14:paraId="21CED876" w14:textId="24EC54EA" w:rsidR="00EA1334" w:rsidRPr="00966B39" w:rsidRDefault="001475AF" w:rsidP="00EA1334">
      <w:pPr>
        <w:jc w:val="both"/>
        <w:rPr>
          <w:sz w:val="22"/>
          <w:szCs w:val="22"/>
        </w:rPr>
      </w:pPr>
      <w:r>
        <w:rPr>
          <w:sz w:val="22"/>
          <w:szCs w:val="22"/>
        </w:rPr>
        <w:t>8</w:t>
      </w:r>
      <w:r w:rsidR="00EA1334">
        <w:rPr>
          <w:sz w:val="22"/>
          <w:szCs w:val="22"/>
        </w:rPr>
        <w:t xml:space="preserve">.2 Top-up funding for children and young people with EHCPs is paid by the placing local authority. Bradford Council is responsible for paying the top-up for children and young people with EHCPs that are resident in Bradford and that we place either in Bradford-located settings or elsewhere. Institutions in Bradford should directly recover the top-up for their pupils with EHCPs that are placed with </w:t>
      </w:r>
      <w:r w:rsidR="00EA1334" w:rsidRPr="00966B39">
        <w:rPr>
          <w:sz w:val="22"/>
          <w:szCs w:val="22"/>
        </w:rPr>
        <w:t>them by other local authorities.</w:t>
      </w:r>
    </w:p>
    <w:p w14:paraId="3A6D9D51" w14:textId="77777777" w:rsidR="001475AF" w:rsidRDefault="001475AF" w:rsidP="00EA1334">
      <w:pPr>
        <w:jc w:val="both"/>
        <w:rPr>
          <w:sz w:val="22"/>
          <w:szCs w:val="22"/>
        </w:rPr>
      </w:pPr>
    </w:p>
    <w:p w14:paraId="1752FBFD" w14:textId="186D337B" w:rsidR="00EA1334" w:rsidRDefault="001475AF" w:rsidP="00EA1334">
      <w:pPr>
        <w:jc w:val="both"/>
        <w:rPr>
          <w:sz w:val="22"/>
          <w:szCs w:val="22"/>
        </w:rPr>
      </w:pPr>
      <w:r>
        <w:rPr>
          <w:sz w:val="22"/>
          <w:szCs w:val="22"/>
        </w:rPr>
        <w:t>8</w:t>
      </w:r>
      <w:r w:rsidR="00EA1334" w:rsidRPr="00966B39">
        <w:rPr>
          <w:sz w:val="22"/>
          <w:szCs w:val="22"/>
        </w:rPr>
        <w:t>.</w:t>
      </w:r>
      <w:r w:rsidR="00EA1334">
        <w:rPr>
          <w:sz w:val="22"/>
          <w:szCs w:val="22"/>
        </w:rPr>
        <w:t>3</w:t>
      </w:r>
      <w:r w:rsidR="00EA1334" w:rsidRPr="00966B39">
        <w:rPr>
          <w:sz w:val="22"/>
          <w:szCs w:val="22"/>
        </w:rPr>
        <w:t xml:space="preserve"> </w:t>
      </w:r>
      <w:r w:rsidR="00EA1334">
        <w:rPr>
          <w:sz w:val="22"/>
          <w:szCs w:val="22"/>
        </w:rPr>
        <w:t>We introduced at April 2020 a new Banded Model for the allocation of our top-up funding for EHCPs. This model replaced our previous ‘Ranges Model’. The Model continues to include protections, which have ensured (and which will continue to ensure) that no EHCP in place on 1 April 2020 will reduce in value as a result of this funding model change.</w:t>
      </w:r>
    </w:p>
    <w:p w14:paraId="6599D992" w14:textId="77777777" w:rsidR="00EA1334" w:rsidRDefault="00EA1334" w:rsidP="00EA1334">
      <w:pPr>
        <w:jc w:val="both"/>
        <w:rPr>
          <w:sz w:val="22"/>
          <w:szCs w:val="22"/>
        </w:rPr>
      </w:pPr>
    </w:p>
    <w:p w14:paraId="5A3CACE0" w14:textId="743AD515" w:rsidR="00EA1334" w:rsidRDefault="001475AF" w:rsidP="00EA1334">
      <w:pPr>
        <w:jc w:val="both"/>
        <w:rPr>
          <w:color w:val="000000" w:themeColor="text1"/>
          <w:sz w:val="22"/>
          <w:szCs w:val="22"/>
        </w:rPr>
      </w:pPr>
      <w:r>
        <w:rPr>
          <w:color w:val="000000" w:themeColor="text1"/>
          <w:sz w:val="22"/>
          <w:szCs w:val="22"/>
        </w:rPr>
        <w:t>8</w:t>
      </w:r>
      <w:r w:rsidR="00EA1334" w:rsidRPr="00325707">
        <w:rPr>
          <w:color w:val="000000" w:themeColor="text1"/>
          <w:sz w:val="22"/>
          <w:szCs w:val="22"/>
        </w:rPr>
        <w:t>.</w:t>
      </w:r>
      <w:r w:rsidR="00EA1334">
        <w:rPr>
          <w:color w:val="000000" w:themeColor="text1"/>
          <w:sz w:val="22"/>
          <w:szCs w:val="22"/>
        </w:rPr>
        <w:t>4</w:t>
      </w:r>
      <w:r w:rsidR="00EA1334" w:rsidRPr="00325707">
        <w:rPr>
          <w:color w:val="000000" w:themeColor="text1"/>
          <w:sz w:val="22"/>
          <w:szCs w:val="22"/>
        </w:rPr>
        <w:t xml:space="preserve"> </w:t>
      </w:r>
      <w:r>
        <w:rPr>
          <w:color w:val="000000" w:themeColor="text1"/>
          <w:sz w:val="22"/>
          <w:szCs w:val="22"/>
        </w:rPr>
        <w:t>The Authority does not</w:t>
      </w:r>
      <w:r w:rsidR="00EA1334" w:rsidRPr="00325707">
        <w:rPr>
          <w:color w:val="000000" w:themeColor="text1"/>
          <w:sz w:val="22"/>
          <w:szCs w:val="22"/>
        </w:rPr>
        <w:t xml:space="preserve"> propose to make any technical changes to our EHCP Banded Model for the 202</w:t>
      </w:r>
      <w:r w:rsidR="00EA1334">
        <w:rPr>
          <w:color w:val="000000" w:themeColor="text1"/>
          <w:sz w:val="22"/>
          <w:szCs w:val="22"/>
        </w:rPr>
        <w:t>5</w:t>
      </w:r>
      <w:r w:rsidR="00EA1334" w:rsidRPr="00325707">
        <w:rPr>
          <w:color w:val="000000" w:themeColor="text1"/>
          <w:sz w:val="22"/>
          <w:szCs w:val="22"/>
        </w:rPr>
        <w:t>/</w:t>
      </w:r>
      <w:r w:rsidR="00EA1334">
        <w:rPr>
          <w:color w:val="000000" w:themeColor="text1"/>
          <w:sz w:val="22"/>
          <w:szCs w:val="22"/>
        </w:rPr>
        <w:t>26</w:t>
      </w:r>
      <w:r w:rsidR="00EA1334" w:rsidRPr="00325707">
        <w:rPr>
          <w:color w:val="000000" w:themeColor="text1"/>
          <w:sz w:val="22"/>
          <w:szCs w:val="22"/>
        </w:rPr>
        <w:t xml:space="preserve"> financial year. </w:t>
      </w:r>
      <w:r>
        <w:rPr>
          <w:sz w:val="22"/>
          <w:szCs w:val="22"/>
        </w:rPr>
        <w:t>It is</w:t>
      </w:r>
      <w:r w:rsidR="00EA1334" w:rsidRPr="004F7848">
        <w:rPr>
          <w:sz w:val="22"/>
          <w:szCs w:val="22"/>
        </w:rPr>
        <w:t xml:space="preserve"> propose</w:t>
      </w:r>
      <w:r>
        <w:rPr>
          <w:sz w:val="22"/>
          <w:szCs w:val="22"/>
        </w:rPr>
        <w:t>d</w:t>
      </w:r>
      <w:r w:rsidR="00EA1334" w:rsidRPr="004F7848">
        <w:rPr>
          <w:sz w:val="22"/>
          <w:szCs w:val="22"/>
        </w:rPr>
        <w:t xml:space="preserve"> simply to continue to allocate top-up funding using th</w:t>
      </w:r>
      <w:r>
        <w:rPr>
          <w:sz w:val="22"/>
          <w:szCs w:val="22"/>
        </w:rPr>
        <w:t>e</w:t>
      </w:r>
      <w:r w:rsidR="00EA1334" w:rsidRPr="004F7848">
        <w:rPr>
          <w:sz w:val="22"/>
          <w:szCs w:val="22"/>
        </w:rPr>
        <w:t xml:space="preserve"> existing EHCP Banded Model</w:t>
      </w:r>
      <w:r>
        <w:rPr>
          <w:sz w:val="22"/>
          <w:szCs w:val="22"/>
        </w:rPr>
        <w:t xml:space="preserve">. </w:t>
      </w:r>
      <w:r w:rsidR="004F5EEF">
        <w:rPr>
          <w:sz w:val="22"/>
          <w:szCs w:val="22"/>
        </w:rPr>
        <w:t xml:space="preserve">Details of </w:t>
      </w:r>
      <w:r w:rsidR="004F5EEF">
        <w:rPr>
          <w:color w:val="000000" w:themeColor="text1"/>
          <w:sz w:val="22"/>
          <w:szCs w:val="22"/>
        </w:rPr>
        <w:t>h</w:t>
      </w:r>
      <w:r w:rsidR="00EA1334" w:rsidRPr="00325707">
        <w:rPr>
          <w:color w:val="000000" w:themeColor="text1"/>
          <w:sz w:val="22"/>
          <w:szCs w:val="22"/>
        </w:rPr>
        <w:t>ow the Banded Model works</w:t>
      </w:r>
      <w:r w:rsidR="00EA1334">
        <w:rPr>
          <w:color w:val="000000" w:themeColor="text1"/>
          <w:sz w:val="22"/>
          <w:szCs w:val="22"/>
        </w:rPr>
        <w:t>,</w:t>
      </w:r>
      <w:r w:rsidR="00EA1334" w:rsidRPr="00325707">
        <w:rPr>
          <w:color w:val="000000" w:themeColor="text1"/>
          <w:sz w:val="22"/>
          <w:szCs w:val="22"/>
        </w:rPr>
        <w:t xml:space="preserve"> and how it </w:t>
      </w:r>
      <w:r w:rsidR="004F5EEF">
        <w:rPr>
          <w:color w:val="000000" w:themeColor="text1"/>
          <w:sz w:val="22"/>
          <w:szCs w:val="22"/>
        </w:rPr>
        <w:t>is</w:t>
      </w:r>
      <w:r w:rsidR="00EA1334" w:rsidRPr="00325707">
        <w:rPr>
          <w:color w:val="000000" w:themeColor="text1"/>
          <w:sz w:val="22"/>
          <w:szCs w:val="22"/>
        </w:rPr>
        <w:t xml:space="preserve"> applied, are set </w:t>
      </w:r>
      <w:r w:rsidR="004F5EEF">
        <w:rPr>
          <w:color w:val="000000" w:themeColor="text1"/>
          <w:sz w:val="22"/>
          <w:szCs w:val="22"/>
        </w:rPr>
        <w:t xml:space="preserve">out </w:t>
      </w:r>
      <w:r w:rsidR="00EA1334" w:rsidRPr="00325707">
        <w:rPr>
          <w:color w:val="000000" w:themeColor="text1"/>
          <w:sz w:val="22"/>
          <w:szCs w:val="22"/>
        </w:rPr>
        <w:t>in Appendix 2.</w:t>
      </w:r>
    </w:p>
    <w:p w14:paraId="64C0EA5C" w14:textId="77777777" w:rsidR="00EA1334" w:rsidRDefault="00EA1334" w:rsidP="00EA1334">
      <w:pPr>
        <w:jc w:val="both"/>
        <w:rPr>
          <w:color w:val="000000" w:themeColor="text1"/>
          <w:sz w:val="22"/>
          <w:szCs w:val="22"/>
        </w:rPr>
      </w:pPr>
    </w:p>
    <w:p w14:paraId="57EBB538" w14:textId="2F8DFDA6" w:rsidR="00EA1334" w:rsidRDefault="001475AF" w:rsidP="00EA1334">
      <w:pPr>
        <w:jc w:val="both"/>
        <w:rPr>
          <w:sz w:val="22"/>
          <w:szCs w:val="22"/>
        </w:rPr>
      </w:pPr>
      <w:r>
        <w:rPr>
          <w:sz w:val="22"/>
          <w:szCs w:val="22"/>
        </w:rPr>
        <w:t>8</w:t>
      </w:r>
      <w:r w:rsidR="00EA1334" w:rsidRPr="00503D47">
        <w:rPr>
          <w:sz w:val="22"/>
          <w:szCs w:val="22"/>
        </w:rPr>
        <w:t>.</w:t>
      </w:r>
      <w:r w:rsidR="00EA1334">
        <w:rPr>
          <w:sz w:val="22"/>
          <w:szCs w:val="22"/>
        </w:rPr>
        <w:t>5</w:t>
      </w:r>
      <w:r w:rsidR="00EA1334" w:rsidRPr="00503D47">
        <w:rPr>
          <w:sz w:val="22"/>
          <w:szCs w:val="22"/>
        </w:rPr>
        <w:t xml:space="preserve"> </w:t>
      </w:r>
      <w:r w:rsidR="00EA1334">
        <w:rPr>
          <w:sz w:val="22"/>
          <w:szCs w:val="22"/>
        </w:rPr>
        <w:t>The total value of top-up funding owed to an institution by Bradford Council, calculated using the EHCP Banded Model, will continue in 2025/26 to be calculated and paid as now, on a monthly basis. The calculation will be based on the institution’s occupancy recorded on the 10</w:t>
      </w:r>
      <w:r w:rsidR="00EA1334" w:rsidRPr="006F3C92">
        <w:rPr>
          <w:sz w:val="22"/>
          <w:szCs w:val="22"/>
          <w:vertAlign w:val="superscript"/>
        </w:rPr>
        <w:t>th</w:t>
      </w:r>
      <w:r w:rsidR="00EA1334">
        <w:rPr>
          <w:sz w:val="22"/>
          <w:szCs w:val="22"/>
        </w:rPr>
        <w:t xml:space="preserve"> day of each month. Where a child or young person is admitted after the 10</w:t>
      </w:r>
      <w:r w:rsidR="00EA1334" w:rsidRPr="000501E1">
        <w:rPr>
          <w:sz w:val="22"/>
          <w:szCs w:val="22"/>
          <w:vertAlign w:val="superscript"/>
        </w:rPr>
        <w:t>th</w:t>
      </w:r>
      <w:r w:rsidR="00EA1334">
        <w:rPr>
          <w:sz w:val="22"/>
          <w:szCs w:val="22"/>
        </w:rPr>
        <w:t>, top-up funding begins from the next month. In addition:</w:t>
      </w:r>
    </w:p>
    <w:p w14:paraId="08941178" w14:textId="77777777" w:rsidR="00EA1334" w:rsidRDefault="00EA1334" w:rsidP="00EA1334">
      <w:pPr>
        <w:jc w:val="both"/>
        <w:rPr>
          <w:sz w:val="22"/>
          <w:szCs w:val="22"/>
        </w:rPr>
      </w:pPr>
    </w:p>
    <w:p w14:paraId="336EE031" w14:textId="77777777" w:rsidR="00EA1334" w:rsidRPr="00A937A7" w:rsidRDefault="00EA1334" w:rsidP="00EA1334">
      <w:pPr>
        <w:pStyle w:val="ListParagraph"/>
        <w:numPr>
          <w:ilvl w:val="0"/>
          <w:numId w:val="4"/>
        </w:numPr>
        <w:ind w:left="360"/>
        <w:jc w:val="both"/>
        <w:rPr>
          <w:sz w:val="22"/>
          <w:szCs w:val="22"/>
        </w:rPr>
      </w:pPr>
      <w:r>
        <w:rPr>
          <w:sz w:val="22"/>
          <w:szCs w:val="22"/>
        </w:rPr>
        <w:t>R</w:t>
      </w:r>
      <w:r w:rsidRPr="000E5E2B">
        <w:rPr>
          <w:sz w:val="22"/>
          <w:szCs w:val="22"/>
        </w:rPr>
        <w:t>etrospective a</w:t>
      </w:r>
      <w:r>
        <w:rPr>
          <w:sz w:val="22"/>
          <w:szCs w:val="22"/>
        </w:rPr>
        <w:t>djustments will</w:t>
      </w:r>
      <w:r w:rsidRPr="000E5E2B">
        <w:rPr>
          <w:sz w:val="22"/>
          <w:szCs w:val="22"/>
        </w:rPr>
        <w:t xml:space="preserve"> </w:t>
      </w:r>
      <w:r>
        <w:rPr>
          <w:sz w:val="22"/>
          <w:szCs w:val="22"/>
        </w:rPr>
        <w:t xml:space="preserve">be </w:t>
      </w:r>
      <w:r w:rsidRPr="000E5E2B">
        <w:rPr>
          <w:sz w:val="22"/>
          <w:szCs w:val="22"/>
        </w:rPr>
        <w:t xml:space="preserve">made in the </w:t>
      </w:r>
      <w:r>
        <w:rPr>
          <w:sz w:val="22"/>
          <w:szCs w:val="22"/>
        </w:rPr>
        <w:t>subsequent month’s calculations for any inaccuracies</w:t>
      </w:r>
      <w:r w:rsidRPr="000E5E2B">
        <w:rPr>
          <w:sz w:val="22"/>
          <w:szCs w:val="22"/>
        </w:rPr>
        <w:t xml:space="preserve"> in the data for a single month, or where the position has been estimated due to the most up to date data not being available (</w:t>
      </w:r>
      <w:r>
        <w:rPr>
          <w:sz w:val="22"/>
          <w:szCs w:val="22"/>
        </w:rPr>
        <w:t xml:space="preserve">for example, </w:t>
      </w:r>
      <w:r w:rsidRPr="000E5E2B">
        <w:rPr>
          <w:sz w:val="22"/>
          <w:szCs w:val="22"/>
        </w:rPr>
        <w:t>at September, picking up all chan</w:t>
      </w:r>
      <w:r>
        <w:rPr>
          <w:sz w:val="22"/>
          <w:szCs w:val="22"/>
        </w:rPr>
        <w:t xml:space="preserve">ges for the new academic year). How the Local Authority publishes EHCP information and then manages data checking, queries and inaccuracies that might be identified is explained </w:t>
      </w:r>
      <w:hyperlink r:id="rId13" w:history="1">
        <w:r w:rsidRPr="00A937A7">
          <w:rPr>
            <w:rStyle w:val="Hyperlink"/>
            <w:sz w:val="22"/>
            <w:szCs w:val="22"/>
          </w:rPr>
          <w:t>here</w:t>
        </w:r>
      </w:hyperlink>
      <w:r>
        <w:rPr>
          <w:sz w:val="22"/>
          <w:szCs w:val="22"/>
        </w:rPr>
        <w:t>.</w:t>
      </w:r>
    </w:p>
    <w:p w14:paraId="3F9B8919" w14:textId="77777777" w:rsidR="00EA1334" w:rsidRDefault="00EA1334" w:rsidP="00EA1334">
      <w:pPr>
        <w:pStyle w:val="ListParagraph"/>
        <w:ind w:left="360"/>
        <w:jc w:val="both"/>
        <w:rPr>
          <w:sz w:val="22"/>
          <w:szCs w:val="22"/>
        </w:rPr>
      </w:pPr>
    </w:p>
    <w:p w14:paraId="4CE760FE" w14:textId="77777777" w:rsidR="00EA1334" w:rsidRDefault="00EA1334" w:rsidP="00EA1334">
      <w:pPr>
        <w:pStyle w:val="ListParagraph"/>
        <w:numPr>
          <w:ilvl w:val="0"/>
          <w:numId w:val="4"/>
        </w:numPr>
        <w:ind w:left="360"/>
        <w:jc w:val="both"/>
        <w:rPr>
          <w:sz w:val="22"/>
          <w:szCs w:val="22"/>
        </w:rPr>
      </w:pPr>
      <w:r w:rsidRPr="000E5E2B">
        <w:rPr>
          <w:sz w:val="22"/>
          <w:szCs w:val="22"/>
        </w:rPr>
        <w:t xml:space="preserve">Funding for August </w:t>
      </w:r>
      <w:r>
        <w:rPr>
          <w:sz w:val="22"/>
          <w:szCs w:val="22"/>
        </w:rPr>
        <w:t xml:space="preserve">will repeat the position recorded for July, except for Further Education placements, where August’s funding is based on the new academic year’s position. </w:t>
      </w:r>
    </w:p>
    <w:p w14:paraId="6380D31A" w14:textId="77777777" w:rsidR="00EA1334" w:rsidRDefault="00EA1334" w:rsidP="00EA1334">
      <w:pPr>
        <w:pStyle w:val="ListParagraph"/>
        <w:ind w:left="360"/>
        <w:jc w:val="both"/>
        <w:rPr>
          <w:sz w:val="22"/>
          <w:szCs w:val="22"/>
        </w:rPr>
      </w:pPr>
    </w:p>
    <w:p w14:paraId="602F7CB0" w14:textId="77777777" w:rsidR="00EA1334" w:rsidRDefault="00EA1334" w:rsidP="00EA1334">
      <w:pPr>
        <w:pStyle w:val="ListParagraph"/>
        <w:numPr>
          <w:ilvl w:val="0"/>
          <w:numId w:val="4"/>
        </w:numPr>
        <w:ind w:left="360"/>
        <w:jc w:val="both"/>
        <w:rPr>
          <w:sz w:val="22"/>
          <w:szCs w:val="22"/>
        </w:rPr>
      </w:pPr>
      <w:r>
        <w:rPr>
          <w:sz w:val="22"/>
          <w:szCs w:val="22"/>
        </w:rPr>
        <w:t>A ready reckoner will continue to be</w:t>
      </w:r>
      <w:r w:rsidRPr="000E5E2B">
        <w:rPr>
          <w:sz w:val="22"/>
          <w:szCs w:val="22"/>
        </w:rPr>
        <w:t xml:space="preserve"> available</w:t>
      </w:r>
      <w:r>
        <w:rPr>
          <w:sz w:val="22"/>
          <w:szCs w:val="22"/>
        </w:rPr>
        <w:t>, which will help settings</w:t>
      </w:r>
      <w:r w:rsidRPr="000E5E2B">
        <w:rPr>
          <w:sz w:val="22"/>
          <w:szCs w:val="22"/>
        </w:rPr>
        <w:t xml:space="preserve"> predict the impact on </w:t>
      </w:r>
      <w:r>
        <w:rPr>
          <w:sz w:val="22"/>
          <w:szCs w:val="22"/>
        </w:rPr>
        <w:t xml:space="preserve">top-up </w:t>
      </w:r>
      <w:r w:rsidRPr="000E5E2B">
        <w:rPr>
          <w:sz w:val="22"/>
          <w:szCs w:val="22"/>
        </w:rPr>
        <w:t>funding of mov</w:t>
      </w:r>
      <w:r>
        <w:rPr>
          <w:sz w:val="22"/>
          <w:szCs w:val="22"/>
        </w:rPr>
        <w:t>ements in pupil numbers / bands</w:t>
      </w:r>
      <w:r w:rsidRPr="000E5E2B">
        <w:rPr>
          <w:sz w:val="22"/>
          <w:szCs w:val="22"/>
        </w:rPr>
        <w:t xml:space="preserve"> on a monthly basis.</w:t>
      </w:r>
    </w:p>
    <w:p w14:paraId="18CF4987" w14:textId="77777777" w:rsidR="00EA1334" w:rsidRPr="009D3A26" w:rsidRDefault="00EA1334" w:rsidP="00EA1334">
      <w:pPr>
        <w:jc w:val="both"/>
        <w:rPr>
          <w:sz w:val="22"/>
          <w:szCs w:val="22"/>
        </w:rPr>
      </w:pPr>
    </w:p>
    <w:p w14:paraId="63446E7F" w14:textId="77777777" w:rsidR="00EA1334" w:rsidRDefault="00EA1334" w:rsidP="00EA1334">
      <w:pPr>
        <w:pStyle w:val="ListParagraph"/>
        <w:numPr>
          <w:ilvl w:val="0"/>
          <w:numId w:val="4"/>
        </w:numPr>
        <w:ind w:left="360"/>
        <w:jc w:val="both"/>
        <w:rPr>
          <w:sz w:val="22"/>
          <w:szCs w:val="22"/>
        </w:rPr>
      </w:pPr>
      <w:r>
        <w:rPr>
          <w:sz w:val="22"/>
          <w:szCs w:val="22"/>
        </w:rPr>
        <w:t xml:space="preserve">Bradford Council will also continue to publish on Bradford Schools Online monthly funding and payment statements for providers to access. These statements are published </w:t>
      </w:r>
      <w:hyperlink r:id="rId14" w:history="1">
        <w:r w:rsidRPr="00DD7CAB">
          <w:rPr>
            <w:rStyle w:val="Hyperlink"/>
            <w:sz w:val="22"/>
            <w:szCs w:val="22"/>
          </w:rPr>
          <w:t>here</w:t>
        </w:r>
      </w:hyperlink>
      <w:r>
        <w:rPr>
          <w:sz w:val="22"/>
          <w:szCs w:val="22"/>
        </w:rPr>
        <w:t>.</w:t>
      </w:r>
    </w:p>
    <w:p w14:paraId="534FEFA7" w14:textId="77777777" w:rsidR="00EA1334" w:rsidRDefault="00EA1334" w:rsidP="00EA1334">
      <w:pPr>
        <w:jc w:val="both"/>
        <w:rPr>
          <w:sz w:val="22"/>
          <w:szCs w:val="22"/>
        </w:rPr>
      </w:pPr>
    </w:p>
    <w:p w14:paraId="24B8C38F" w14:textId="580E0D89" w:rsidR="00EA1334" w:rsidRPr="00F6486A" w:rsidRDefault="001475AF" w:rsidP="00EA1334">
      <w:pPr>
        <w:jc w:val="both"/>
        <w:rPr>
          <w:color w:val="FF0000"/>
          <w:sz w:val="22"/>
          <w:szCs w:val="22"/>
        </w:rPr>
      </w:pPr>
      <w:r>
        <w:rPr>
          <w:sz w:val="22"/>
          <w:szCs w:val="22"/>
        </w:rPr>
        <w:t>8.6 T</w:t>
      </w:r>
      <w:r w:rsidR="00EA1334" w:rsidRPr="006E3614">
        <w:rPr>
          <w:sz w:val="22"/>
          <w:szCs w:val="22"/>
        </w:rPr>
        <w:t>he process for placing</w:t>
      </w:r>
      <w:r w:rsidR="00EA1334">
        <w:rPr>
          <w:sz w:val="22"/>
          <w:szCs w:val="22"/>
        </w:rPr>
        <w:t xml:space="preserve"> children and young people with EHCPs into the Banded Model will continue to be</w:t>
      </w:r>
      <w:r w:rsidR="00EA1334" w:rsidRPr="006E3614">
        <w:rPr>
          <w:sz w:val="22"/>
          <w:szCs w:val="22"/>
        </w:rPr>
        <w:t xml:space="preserve"> led </w:t>
      </w:r>
      <w:r w:rsidR="00EA1334">
        <w:rPr>
          <w:sz w:val="22"/>
          <w:szCs w:val="22"/>
        </w:rPr>
        <w:t xml:space="preserve">by Bradford Council via the established SEND Panel and using the application and assessment processes this Panel manages. Appeals (or disputes) will be managed by the Panel through its resolution procedure. Information, guidance and documentation on EHCP Panel processes and on SEND assessment is available on Bradford Schools Online </w:t>
      </w:r>
      <w:hyperlink r:id="rId15" w:history="1">
        <w:r w:rsidR="00EA1334" w:rsidRPr="00680485">
          <w:rPr>
            <w:rStyle w:val="Hyperlink"/>
            <w:sz w:val="22"/>
            <w:szCs w:val="22"/>
          </w:rPr>
          <w:t>here</w:t>
        </w:r>
      </w:hyperlink>
      <w:r w:rsidR="00EA1334">
        <w:rPr>
          <w:sz w:val="22"/>
          <w:szCs w:val="22"/>
        </w:rPr>
        <w:t>.</w:t>
      </w:r>
    </w:p>
    <w:p w14:paraId="5F331067" w14:textId="77777777" w:rsidR="00EA1334" w:rsidRDefault="00EA1334" w:rsidP="00EA1334">
      <w:pPr>
        <w:jc w:val="both"/>
        <w:rPr>
          <w:sz w:val="22"/>
          <w:szCs w:val="22"/>
        </w:rPr>
      </w:pPr>
    </w:p>
    <w:p w14:paraId="450915E3" w14:textId="38DF07F2" w:rsidR="00EA1334" w:rsidRDefault="001475AF" w:rsidP="00433746">
      <w:pPr>
        <w:jc w:val="both"/>
        <w:rPr>
          <w:sz w:val="22"/>
          <w:szCs w:val="22"/>
        </w:rPr>
      </w:pPr>
      <w:r>
        <w:rPr>
          <w:sz w:val="22"/>
          <w:szCs w:val="22"/>
        </w:rPr>
        <w:t>8.7</w:t>
      </w:r>
      <w:r w:rsidRPr="001475AF">
        <w:rPr>
          <w:sz w:val="22"/>
          <w:szCs w:val="22"/>
        </w:rPr>
        <w:t xml:space="preserve"> </w:t>
      </w:r>
      <w:r>
        <w:rPr>
          <w:sz w:val="22"/>
          <w:szCs w:val="22"/>
        </w:rPr>
        <w:t xml:space="preserve">In September 2024, the Authority presented to the Schools Forum a business case, which scoped an approach to EHCP Banded Model funding on the basis that </w:t>
      </w:r>
      <w:r w:rsidR="008A629C">
        <w:rPr>
          <w:sz w:val="22"/>
          <w:szCs w:val="22"/>
        </w:rPr>
        <w:t>all the</w:t>
      </w:r>
      <w:r>
        <w:rPr>
          <w:sz w:val="22"/>
          <w:szCs w:val="22"/>
        </w:rPr>
        <w:t xml:space="preserve"> rates of funding that the Model allocates in 2025/26 would be held at 2024/25 values i.e. a 0% or cash flat position. The Authority explained that this would be an action to help mitigate against the forecasted High Needs Block deficit.</w:t>
      </w:r>
      <w:r w:rsidR="007B03E6">
        <w:rPr>
          <w:sz w:val="22"/>
          <w:szCs w:val="22"/>
        </w:rPr>
        <w:t xml:space="preserve"> </w:t>
      </w:r>
      <w:r w:rsidR="008A629C">
        <w:rPr>
          <w:sz w:val="22"/>
          <w:szCs w:val="22"/>
        </w:rPr>
        <w:t>To clarify, t</w:t>
      </w:r>
      <w:r w:rsidR="007B03E6">
        <w:rPr>
          <w:sz w:val="22"/>
          <w:szCs w:val="22"/>
        </w:rPr>
        <w:t xml:space="preserve">he Authority has not proposed </w:t>
      </w:r>
      <w:r w:rsidR="008A629C">
        <w:rPr>
          <w:sz w:val="22"/>
          <w:szCs w:val="22"/>
        </w:rPr>
        <w:t xml:space="preserve">at any time </w:t>
      </w:r>
      <w:r w:rsidR="007B03E6">
        <w:rPr>
          <w:sz w:val="22"/>
          <w:szCs w:val="22"/>
        </w:rPr>
        <w:t xml:space="preserve">to reduce </w:t>
      </w:r>
      <w:r w:rsidR="008A629C">
        <w:rPr>
          <w:sz w:val="22"/>
          <w:szCs w:val="22"/>
        </w:rPr>
        <w:t xml:space="preserve">EHCP Banded Model </w:t>
      </w:r>
      <w:r w:rsidR="007B03E6">
        <w:rPr>
          <w:sz w:val="22"/>
          <w:szCs w:val="22"/>
        </w:rPr>
        <w:t>funding rates</w:t>
      </w:r>
      <w:r w:rsidR="009660EF">
        <w:rPr>
          <w:sz w:val="22"/>
          <w:szCs w:val="22"/>
        </w:rPr>
        <w:t xml:space="preserve"> on current values</w:t>
      </w:r>
      <w:r w:rsidR="007B03E6">
        <w:rPr>
          <w:sz w:val="22"/>
          <w:szCs w:val="22"/>
        </w:rPr>
        <w:t>.</w:t>
      </w:r>
      <w:r w:rsidR="00433746">
        <w:rPr>
          <w:sz w:val="22"/>
          <w:szCs w:val="22"/>
        </w:rPr>
        <w:t xml:space="preserve"> Following the Chancellor’s 30 October Budget, and in particular, the increase in the employer’s contribution to National Insurance from 1 April 2025, the Authority has needed to re-assess the basic assumptions that were made in the original business case. Combining the business case and the reaction to the Budget, the table below shows a </w:t>
      </w:r>
      <w:r w:rsidR="009660EF">
        <w:rPr>
          <w:sz w:val="22"/>
          <w:szCs w:val="22"/>
        </w:rPr>
        <w:t xml:space="preserve">proposed </w:t>
      </w:r>
      <w:r w:rsidR="00433746">
        <w:rPr>
          <w:sz w:val="22"/>
          <w:szCs w:val="22"/>
        </w:rPr>
        <w:t>default position for EHCP top-up funding in 2025/26</w:t>
      </w:r>
      <w:r w:rsidR="008A629C">
        <w:rPr>
          <w:sz w:val="22"/>
          <w:szCs w:val="22"/>
        </w:rPr>
        <w:t>,</w:t>
      </w:r>
      <w:r w:rsidR="00433746">
        <w:rPr>
          <w:sz w:val="22"/>
          <w:szCs w:val="22"/>
        </w:rPr>
        <w:t xml:space="preserve"> for further consideration.</w:t>
      </w:r>
    </w:p>
    <w:p w14:paraId="42E78420" w14:textId="77777777" w:rsidR="00433746" w:rsidRDefault="00433746" w:rsidP="00433746">
      <w:pPr>
        <w:jc w:val="both"/>
        <w:rPr>
          <w:sz w:val="22"/>
          <w:szCs w:val="22"/>
        </w:rPr>
      </w:pPr>
    </w:p>
    <w:p w14:paraId="3BEB5020" w14:textId="77777777" w:rsidR="00433746" w:rsidRDefault="00433746" w:rsidP="00433746">
      <w:pPr>
        <w:jc w:val="both"/>
        <w:rPr>
          <w:sz w:val="22"/>
          <w:szCs w:val="22"/>
        </w:rPr>
      </w:pPr>
    </w:p>
    <w:tbl>
      <w:tblPr>
        <w:tblStyle w:val="TableGrid"/>
        <w:tblW w:w="9296" w:type="dxa"/>
        <w:tblLook w:val="04A0" w:firstRow="1" w:lastRow="0" w:firstColumn="1" w:lastColumn="0" w:noHBand="0" w:noVBand="1"/>
      </w:tblPr>
      <w:tblGrid>
        <w:gridCol w:w="1704"/>
        <w:gridCol w:w="1562"/>
        <w:gridCol w:w="1562"/>
        <w:gridCol w:w="1562"/>
        <w:gridCol w:w="1432"/>
        <w:gridCol w:w="1474"/>
      </w:tblGrid>
      <w:tr w:rsidR="00EA1334" w:rsidRPr="00342F3F" w14:paraId="72F6064D" w14:textId="77777777" w:rsidTr="00F610A5">
        <w:tc>
          <w:tcPr>
            <w:tcW w:w="1704" w:type="dxa"/>
          </w:tcPr>
          <w:p w14:paraId="08997079" w14:textId="77777777" w:rsidR="00EA1334" w:rsidRPr="001965B9" w:rsidRDefault="00EA1334" w:rsidP="00F610A5">
            <w:pPr>
              <w:jc w:val="both"/>
              <w:rPr>
                <w:rFonts w:cs="Arial"/>
                <w:sz w:val="22"/>
                <w:szCs w:val="22"/>
              </w:rPr>
            </w:pPr>
          </w:p>
        </w:tc>
        <w:tc>
          <w:tcPr>
            <w:tcW w:w="1562" w:type="dxa"/>
          </w:tcPr>
          <w:p w14:paraId="017C7E9E" w14:textId="77777777" w:rsidR="00EA1334" w:rsidRPr="001965B9" w:rsidRDefault="00EA1334" w:rsidP="00F610A5">
            <w:pPr>
              <w:jc w:val="right"/>
              <w:rPr>
                <w:rFonts w:cs="Arial"/>
                <w:b/>
              </w:rPr>
            </w:pPr>
            <w:r w:rsidRPr="001965B9">
              <w:rPr>
                <w:rFonts w:cs="Arial"/>
                <w:b/>
                <w:color w:val="000000" w:themeColor="text1"/>
                <w:sz w:val="22"/>
                <w:szCs w:val="22"/>
              </w:rPr>
              <w:t>£ Top-up Value 2024/25</w:t>
            </w:r>
          </w:p>
        </w:tc>
        <w:tc>
          <w:tcPr>
            <w:tcW w:w="1562" w:type="dxa"/>
          </w:tcPr>
          <w:p w14:paraId="201230C4" w14:textId="1744A291" w:rsidR="00EA1334" w:rsidRPr="001965B9" w:rsidRDefault="006A4A37" w:rsidP="00F610A5">
            <w:pPr>
              <w:jc w:val="right"/>
              <w:rPr>
                <w:rFonts w:cs="Arial"/>
              </w:rPr>
            </w:pPr>
            <w:r>
              <w:rPr>
                <w:rFonts w:cs="Arial"/>
                <w:b/>
                <w:sz w:val="22"/>
                <w:szCs w:val="22"/>
              </w:rPr>
              <w:t>Default</w:t>
            </w:r>
            <w:r w:rsidR="00EA1334" w:rsidRPr="001965B9">
              <w:rPr>
                <w:rFonts w:cs="Arial"/>
                <w:b/>
                <w:sz w:val="22"/>
                <w:szCs w:val="22"/>
              </w:rPr>
              <w:t xml:space="preserve"> </w:t>
            </w:r>
            <w:r>
              <w:rPr>
                <w:rFonts w:cs="Arial"/>
                <w:b/>
                <w:sz w:val="22"/>
                <w:szCs w:val="22"/>
              </w:rPr>
              <w:t>£</w:t>
            </w:r>
            <w:r w:rsidR="00EA1334" w:rsidRPr="001965B9">
              <w:rPr>
                <w:rFonts w:cs="Arial"/>
                <w:b/>
                <w:sz w:val="22"/>
                <w:szCs w:val="22"/>
              </w:rPr>
              <w:t>Top-up Value 2025/26</w:t>
            </w:r>
          </w:p>
        </w:tc>
        <w:tc>
          <w:tcPr>
            <w:tcW w:w="1562" w:type="dxa"/>
          </w:tcPr>
          <w:p w14:paraId="74E59FF9" w14:textId="77777777" w:rsidR="00EA1334" w:rsidRPr="001965B9" w:rsidRDefault="00EA1334" w:rsidP="00F610A5">
            <w:pPr>
              <w:jc w:val="right"/>
              <w:rPr>
                <w:rFonts w:cs="Arial"/>
                <w:b/>
                <w:bCs/>
                <w:sz w:val="22"/>
                <w:szCs w:val="22"/>
              </w:rPr>
            </w:pPr>
            <w:r w:rsidRPr="001965B9">
              <w:rPr>
                <w:rFonts w:cs="Arial"/>
                <w:b/>
                <w:bCs/>
                <w:sz w:val="22"/>
                <w:szCs w:val="22"/>
              </w:rPr>
              <w:t xml:space="preserve">% Increase in Top-up Funding </w:t>
            </w:r>
          </w:p>
        </w:tc>
        <w:tc>
          <w:tcPr>
            <w:tcW w:w="1432" w:type="dxa"/>
          </w:tcPr>
          <w:p w14:paraId="283717D2" w14:textId="77777777" w:rsidR="00EA1334" w:rsidRPr="001965B9" w:rsidRDefault="00EA1334" w:rsidP="00F610A5">
            <w:pPr>
              <w:jc w:val="right"/>
              <w:rPr>
                <w:rFonts w:cs="Arial"/>
                <w:b/>
                <w:bCs/>
                <w:sz w:val="22"/>
                <w:szCs w:val="22"/>
              </w:rPr>
            </w:pPr>
            <w:r w:rsidRPr="001965B9">
              <w:rPr>
                <w:rFonts w:cs="Arial"/>
                <w:b/>
                <w:bCs/>
                <w:sz w:val="22"/>
                <w:szCs w:val="22"/>
              </w:rPr>
              <w:t>% Increase Including £6,000</w:t>
            </w:r>
          </w:p>
        </w:tc>
        <w:tc>
          <w:tcPr>
            <w:tcW w:w="1474" w:type="dxa"/>
          </w:tcPr>
          <w:p w14:paraId="64999500" w14:textId="77777777" w:rsidR="00EA1334" w:rsidRPr="001965B9" w:rsidRDefault="00EA1334" w:rsidP="00F610A5">
            <w:pPr>
              <w:jc w:val="right"/>
              <w:rPr>
                <w:rFonts w:cs="Arial"/>
                <w:b/>
                <w:bCs/>
                <w:color w:val="000000" w:themeColor="text1"/>
                <w:sz w:val="22"/>
                <w:szCs w:val="22"/>
              </w:rPr>
            </w:pPr>
            <w:r w:rsidRPr="001965B9">
              <w:rPr>
                <w:rFonts w:cs="Arial"/>
                <w:b/>
                <w:bCs/>
                <w:color w:val="000000" w:themeColor="text1"/>
                <w:sz w:val="22"/>
                <w:szCs w:val="22"/>
              </w:rPr>
              <w:t>% Increase including £10,000</w:t>
            </w:r>
          </w:p>
        </w:tc>
      </w:tr>
      <w:tr w:rsidR="00EA1334" w:rsidRPr="00342F3F" w14:paraId="36635697" w14:textId="77777777" w:rsidTr="00F610A5">
        <w:tc>
          <w:tcPr>
            <w:tcW w:w="1704" w:type="dxa"/>
          </w:tcPr>
          <w:p w14:paraId="635CA7FD" w14:textId="77777777" w:rsidR="00EA1334" w:rsidRPr="001965B9" w:rsidRDefault="00EA1334" w:rsidP="00F610A5">
            <w:pPr>
              <w:jc w:val="both"/>
              <w:rPr>
                <w:rFonts w:cs="Arial"/>
                <w:sz w:val="22"/>
                <w:szCs w:val="22"/>
              </w:rPr>
            </w:pPr>
            <w:r w:rsidRPr="001965B9">
              <w:rPr>
                <w:rFonts w:cs="Arial"/>
                <w:sz w:val="22"/>
                <w:szCs w:val="22"/>
              </w:rPr>
              <w:t>Band 3L</w:t>
            </w:r>
          </w:p>
        </w:tc>
        <w:tc>
          <w:tcPr>
            <w:tcW w:w="1562" w:type="dxa"/>
          </w:tcPr>
          <w:p w14:paraId="74A58407" w14:textId="77777777" w:rsidR="00EA1334" w:rsidRPr="001965B9" w:rsidRDefault="00EA1334" w:rsidP="00F610A5">
            <w:pPr>
              <w:jc w:val="right"/>
              <w:rPr>
                <w:rFonts w:cs="Arial"/>
                <w:sz w:val="22"/>
                <w:szCs w:val="22"/>
              </w:rPr>
            </w:pPr>
            <w:r w:rsidRPr="001965B9">
              <w:rPr>
                <w:rFonts w:cs="Arial"/>
                <w:sz w:val="22"/>
                <w:szCs w:val="22"/>
              </w:rPr>
              <w:t>£2,401</w:t>
            </w:r>
          </w:p>
        </w:tc>
        <w:tc>
          <w:tcPr>
            <w:tcW w:w="1562" w:type="dxa"/>
          </w:tcPr>
          <w:p w14:paraId="0CC6E8B2" w14:textId="77777777" w:rsidR="00EA1334" w:rsidRPr="001965B9" w:rsidRDefault="00EA1334" w:rsidP="00F610A5">
            <w:pPr>
              <w:jc w:val="right"/>
              <w:rPr>
                <w:rFonts w:cs="Arial"/>
                <w:sz w:val="22"/>
                <w:szCs w:val="22"/>
              </w:rPr>
            </w:pPr>
            <w:r w:rsidRPr="001965B9">
              <w:rPr>
                <w:rFonts w:cs="Arial"/>
                <w:sz w:val="22"/>
                <w:szCs w:val="22"/>
              </w:rPr>
              <w:t>£2,813</w:t>
            </w:r>
          </w:p>
        </w:tc>
        <w:tc>
          <w:tcPr>
            <w:tcW w:w="1562" w:type="dxa"/>
          </w:tcPr>
          <w:p w14:paraId="45D9BAB9" w14:textId="77777777" w:rsidR="00EA1334" w:rsidRPr="001965B9" w:rsidRDefault="00EA1334" w:rsidP="00F610A5">
            <w:pPr>
              <w:jc w:val="right"/>
              <w:rPr>
                <w:rFonts w:cs="Arial"/>
                <w:sz w:val="22"/>
                <w:szCs w:val="22"/>
              </w:rPr>
            </w:pPr>
            <w:r w:rsidRPr="001965B9">
              <w:rPr>
                <w:rFonts w:cs="Arial"/>
                <w:sz w:val="22"/>
                <w:szCs w:val="22"/>
              </w:rPr>
              <w:t>17.1%</w:t>
            </w:r>
          </w:p>
        </w:tc>
        <w:tc>
          <w:tcPr>
            <w:tcW w:w="1432" w:type="dxa"/>
          </w:tcPr>
          <w:p w14:paraId="4CDD1EAD" w14:textId="77777777" w:rsidR="00EA1334" w:rsidRPr="001965B9" w:rsidRDefault="00EA1334" w:rsidP="00F610A5">
            <w:pPr>
              <w:pStyle w:val="ListParagraph"/>
              <w:ind w:left="0"/>
              <w:jc w:val="right"/>
              <w:rPr>
                <w:rFonts w:cs="Arial"/>
                <w:sz w:val="22"/>
                <w:szCs w:val="22"/>
              </w:rPr>
            </w:pPr>
            <w:r w:rsidRPr="001965B9">
              <w:rPr>
                <w:rFonts w:cs="Arial"/>
                <w:sz w:val="22"/>
                <w:szCs w:val="22"/>
              </w:rPr>
              <w:t>4.9%</w:t>
            </w:r>
          </w:p>
        </w:tc>
        <w:tc>
          <w:tcPr>
            <w:tcW w:w="1474" w:type="dxa"/>
          </w:tcPr>
          <w:p w14:paraId="59EEBA06" w14:textId="77777777" w:rsidR="00EA1334" w:rsidRPr="001965B9" w:rsidRDefault="00EA1334" w:rsidP="00F610A5">
            <w:pPr>
              <w:pStyle w:val="ListParagraph"/>
              <w:ind w:left="0"/>
              <w:jc w:val="right"/>
              <w:rPr>
                <w:rFonts w:cs="Arial"/>
                <w:bCs/>
                <w:color w:val="000000" w:themeColor="text1"/>
                <w:sz w:val="22"/>
                <w:szCs w:val="22"/>
              </w:rPr>
            </w:pPr>
            <w:r w:rsidRPr="001965B9">
              <w:rPr>
                <w:rFonts w:cs="Arial"/>
                <w:bCs/>
                <w:color w:val="000000" w:themeColor="text1"/>
                <w:sz w:val="22"/>
                <w:szCs w:val="22"/>
              </w:rPr>
              <w:t>n/a</w:t>
            </w:r>
          </w:p>
        </w:tc>
      </w:tr>
      <w:tr w:rsidR="00EA1334" w:rsidRPr="00342F3F" w14:paraId="2BEDF768" w14:textId="77777777" w:rsidTr="00F610A5">
        <w:tc>
          <w:tcPr>
            <w:tcW w:w="1704" w:type="dxa"/>
          </w:tcPr>
          <w:p w14:paraId="1BFDB39A" w14:textId="77777777" w:rsidR="00EA1334" w:rsidRPr="001965B9" w:rsidRDefault="00EA1334" w:rsidP="00F610A5">
            <w:pPr>
              <w:jc w:val="both"/>
              <w:rPr>
                <w:rFonts w:cs="Arial"/>
                <w:sz w:val="22"/>
                <w:szCs w:val="22"/>
              </w:rPr>
            </w:pPr>
            <w:r w:rsidRPr="001965B9">
              <w:rPr>
                <w:rFonts w:cs="Arial"/>
                <w:sz w:val="22"/>
                <w:szCs w:val="22"/>
              </w:rPr>
              <w:t>Band 3M</w:t>
            </w:r>
          </w:p>
        </w:tc>
        <w:tc>
          <w:tcPr>
            <w:tcW w:w="1562" w:type="dxa"/>
          </w:tcPr>
          <w:p w14:paraId="6EDFDF21" w14:textId="77777777" w:rsidR="00EA1334" w:rsidRPr="001965B9" w:rsidRDefault="00EA1334" w:rsidP="00F610A5">
            <w:pPr>
              <w:jc w:val="right"/>
              <w:rPr>
                <w:rFonts w:cs="Arial"/>
                <w:sz w:val="22"/>
                <w:szCs w:val="22"/>
              </w:rPr>
            </w:pPr>
            <w:r w:rsidRPr="001965B9">
              <w:rPr>
                <w:rFonts w:cs="Arial"/>
                <w:sz w:val="22"/>
                <w:szCs w:val="22"/>
              </w:rPr>
              <w:t>£4,237</w:t>
            </w:r>
          </w:p>
        </w:tc>
        <w:tc>
          <w:tcPr>
            <w:tcW w:w="1562" w:type="dxa"/>
          </w:tcPr>
          <w:p w14:paraId="1D7FDA12" w14:textId="77777777" w:rsidR="00EA1334" w:rsidRPr="001965B9" w:rsidRDefault="00EA1334" w:rsidP="00F610A5">
            <w:pPr>
              <w:jc w:val="right"/>
              <w:rPr>
                <w:rFonts w:cs="Arial"/>
                <w:sz w:val="22"/>
                <w:szCs w:val="22"/>
              </w:rPr>
            </w:pPr>
            <w:r w:rsidRPr="001965B9">
              <w:rPr>
                <w:rFonts w:cs="Arial"/>
                <w:sz w:val="22"/>
                <w:szCs w:val="22"/>
              </w:rPr>
              <w:t>£4,739</w:t>
            </w:r>
          </w:p>
        </w:tc>
        <w:tc>
          <w:tcPr>
            <w:tcW w:w="1562" w:type="dxa"/>
          </w:tcPr>
          <w:p w14:paraId="4CDD995D" w14:textId="77777777" w:rsidR="00EA1334" w:rsidRPr="001965B9" w:rsidRDefault="00EA1334" w:rsidP="00F610A5">
            <w:pPr>
              <w:jc w:val="right"/>
              <w:rPr>
                <w:rFonts w:cs="Arial"/>
                <w:sz w:val="22"/>
                <w:szCs w:val="22"/>
              </w:rPr>
            </w:pPr>
            <w:r w:rsidRPr="001965B9">
              <w:rPr>
                <w:rFonts w:cs="Arial"/>
                <w:sz w:val="22"/>
                <w:szCs w:val="22"/>
              </w:rPr>
              <w:t>11.8%</w:t>
            </w:r>
          </w:p>
        </w:tc>
        <w:tc>
          <w:tcPr>
            <w:tcW w:w="1432" w:type="dxa"/>
          </w:tcPr>
          <w:p w14:paraId="6C5160CB" w14:textId="77777777" w:rsidR="00EA1334" w:rsidRPr="001965B9" w:rsidRDefault="00EA1334" w:rsidP="00F610A5">
            <w:pPr>
              <w:pStyle w:val="ListParagraph"/>
              <w:ind w:left="0"/>
              <w:jc w:val="right"/>
              <w:rPr>
                <w:rFonts w:cs="Arial"/>
                <w:sz w:val="22"/>
                <w:szCs w:val="22"/>
              </w:rPr>
            </w:pPr>
            <w:r w:rsidRPr="001965B9">
              <w:rPr>
                <w:rFonts w:cs="Arial"/>
                <w:sz w:val="22"/>
                <w:szCs w:val="22"/>
              </w:rPr>
              <w:t>4.9%</w:t>
            </w:r>
          </w:p>
        </w:tc>
        <w:tc>
          <w:tcPr>
            <w:tcW w:w="1474" w:type="dxa"/>
          </w:tcPr>
          <w:p w14:paraId="08FB4E0D" w14:textId="77777777" w:rsidR="00EA1334" w:rsidRPr="001965B9" w:rsidRDefault="00EA1334" w:rsidP="00F610A5">
            <w:pPr>
              <w:pStyle w:val="ListParagraph"/>
              <w:ind w:left="0"/>
              <w:jc w:val="right"/>
              <w:rPr>
                <w:rFonts w:cs="Arial"/>
                <w:bCs/>
                <w:color w:val="000000" w:themeColor="text1"/>
                <w:sz w:val="22"/>
                <w:szCs w:val="22"/>
              </w:rPr>
            </w:pPr>
            <w:r w:rsidRPr="001965B9">
              <w:rPr>
                <w:rFonts w:cs="Arial"/>
                <w:bCs/>
                <w:color w:val="000000" w:themeColor="text1"/>
                <w:sz w:val="22"/>
                <w:szCs w:val="22"/>
              </w:rPr>
              <w:t>n/a</w:t>
            </w:r>
          </w:p>
        </w:tc>
      </w:tr>
      <w:tr w:rsidR="00EA1334" w:rsidRPr="00342F3F" w14:paraId="65E41F40" w14:textId="77777777" w:rsidTr="00F610A5">
        <w:tc>
          <w:tcPr>
            <w:tcW w:w="1704" w:type="dxa"/>
          </w:tcPr>
          <w:p w14:paraId="63390A79" w14:textId="77777777" w:rsidR="00EA1334" w:rsidRPr="001965B9" w:rsidRDefault="00EA1334" w:rsidP="00F610A5">
            <w:pPr>
              <w:jc w:val="both"/>
              <w:rPr>
                <w:rFonts w:cs="Arial"/>
                <w:sz w:val="22"/>
                <w:szCs w:val="22"/>
              </w:rPr>
            </w:pPr>
            <w:r w:rsidRPr="001965B9">
              <w:rPr>
                <w:rFonts w:cs="Arial"/>
                <w:sz w:val="22"/>
                <w:szCs w:val="22"/>
              </w:rPr>
              <w:t>Band 3H</w:t>
            </w:r>
          </w:p>
        </w:tc>
        <w:tc>
          <w:tcPr>
            <w:tcW w:w="1562" w:type="dxa"/>
          </w:tcPr>
          <w:p w14:paraId="1E53BEEB" w14:textId="77777777" w:rsidR="00EA1334" w:rsidRPr="001965B9" w:rsidRDefault="00EA1334" w:rsidP="00F610A5">
            <w:pPr>
              <w:jc w:val="right"/>
              <w:rPr>
                <w:rFonts w:cs="Arial"/>
                <w:sz w:val="22"/>
                <w:szCs w:val="22"/>
              </w:rPr>
            </w:pPr>
            <w:r w:rsidRPr="001965B9">
              <w:rPr>
                <w:rFonts w:cs="Arial"/>
                <w:sz w:val="22"/>
                <w:szCs w:val="22"/>
              </w:rPr>
              <w:t>£6,019</w:t>
            </w:r>
          </w:p>
        </w:tc>
        <w:tc>
          <w:tcPr>
            <w:tcW w:w="1562" w:type="dxa"/>
          </w:tcPr>
          <w:p w14:paraId="0DCFF39F" w14:textId="77777777" w:rsidR="00EA1334" w:rsidRPr="001965B9" w:rsidRDefault="00EA1334" w:rsidP="00F610A5">
            <w:pPr>
              <w:jc w:val="right"/>
              <w:rPr>
                <w:rFonts w:cs="Arial"/>
                <w:sz w:val="22"/>
                <w:szCs w:val="22"/>
              </w:rPr>
            </w:pPr>
            <w:r w:rsidRPr="001965B9">
              <w:rPr>
                <w:rFonts w:cs="Arial"/>
                <w:sz w:val="22"/>
                <w:szCs w:val="22"/>
              </w:rPr>
              <w:t>£6,608</w:t>
            </w:r>
          </w:p>
        </w:tc>
        <w:tc>
          <w:tcPr>
            <w:tcW w:w="1562" w:type="dxa"/>
          </w:tcPr>
          <w:p w14:paraId="7DC1E1B7" w14:textId="77777777" w:rsidR="00EA1334" w:rsidRPr="001965B9" w:rsidRDefault="00EA1334" w:rsidP="00F610A5">
            <w:pPr>
              <w:jc w:val="right"/>
              <w:rPr>
                <w:rFonts w:cs="Arial"/>
                <w:sz w:val="22"/>
                <w:szCs w:val="22"/>
              </w:rPr>
            </w:pPr>
            <w:r w:rsidRPr="001965B9">
              <w:rPr>
                <w:rFonts w:cs="Arial"/>
                <w:sz w:val="22"/>
                <w:szCs w:val="22"/>
              </w:rPr>
              <w:t>9.8%</w:t>
            </w:r>
          </w:p>
        </w:tc>
        <w:tc>
          <w:tcPr>
            <w:tcW w:w="1432" w:type="dxa"/>
          </w:tcPr>
          <w:p w14:paraId="11FD2A36" w14:textId="77777777" w:rsidR="00EA1334" w:rsidRPr="001965B9" w:rsidRDefault="00EA1334" w:rsidP="00F610A5">
            <w:pPr>
              <w:pStyle w:val="ListParagraph"/>
              <w:ind w:left="0"/>
              <w:jc w:val="right"/>
              <w:rPr>
                <w:rFonts w:cs="Arial"/>
                <w:sz w:val="22"/>
                <w:szCs w:val="22"/>
              </w:rPr>
            </w:pPr>
            <w:r w:rsidRPr="001965B9">
              <w:rPr>
                <w:rFonts w:cs="Arial"/>
                <w:sz w:val="22"/>
                <w:szCs w:val="22"/>
              </w:rPr>
              <w:t>4.9%</w:t>
            </w:r>
          </w:p>
        </w:tc>
        <w:tc>
          <w:tcPr>
            <w:tcW w:w="1474" w:type="dxa"/>
          </w:tcPr>
          <w:p w14:paraId="38490F7E" w14:textId="77777777" w:rsidR="00EA1334" w:rsidRPr="001965B9" w:rsidRDefault="00EA1334" w:rsidP="00F610A5">
            <w:pPr>
              <w:pStyle w:val="ListParagraph"/>
              <w:ind w:left="0"/>
              <w:jc w:val="right"/>
              <w:rPr>
                <w:rFonts w:cs="Arial"/>
                <w:bCs/>
                <w:color w:val="000000" w:themeColor="text1"/>
                <w:sz w:val="22"/>
                <w:szCs w:val="22"/>
              </w:rPr>
            </w:pPr>
            <w:r w:rsidRPr="001965B9">
              <w:rPr>
                <w:rFonts w:cs="Arial"/>
                <w:bCs/>
                <w:color w:val="000000" w:themeColor="text1"/>
                <w:sz w:val="22"/>
                <w:szCs w:val="22"/>
              </w:rPr>
              <w:t>n/a</w:t>
            </w:r>
          </w:p>
        </w:tc>
      </w:tr>
      <w:tr w:rsidR="00EA1334" w:rsidRPr="00342F3F" w14:paraId="77FCFA0C" w14:textId="77777777" w:rsidTr="00F610A5">
        <w:tc>
          <w:tcPr>
            <w:tcW w:w="1704" w:type="dxa"/>
          </w:tcPr>
          <w:p w14:paraId="7B8FC937" w14:textId="77777777" w:rsidR="00EA1334" w:rsidRPr="001965B9" w:rsidRDefault="00EA1334" w:rsidP="00F610A5">
            <w:pPr>
              <w:jc w:val="both"/>
              <w:rPr>
                <w:rFonts w:cs="Arial"/>
                <w:sz w:val="22"/>
                <w:szCs w:val="22"/>
              </w:rPr>
            </w:pPr>
            <w:r w:rsidRPr="001965B9">
              <w:rPr>
                <w:rFonts w:cs="Arial"/>
                <w:sz w:val="22"/>
                <w:szCs w:val="22"/>
              </w:rPr>
              <w:t>Band 4L</w:t>
            </w:r>
          </w:p>
        </w:tc>
        <w:tc>
          <w:tcPr>
            <w:tcW w:w="1562" w:type="dxa"/>
          </w:tcPr>
          <w:p w14:paraId="5627438E" w14:textId="77777777" w:rsidR="00EA1334" w:rsidRPr="001965B9" w:rsidRDefault="00EA1334" w:rsidP="00F610A5">
            <w:pPr>
              <w:jc w:val="right"/>
              <w:rPr>
                <w:rFonts w:cs="Arial"/>
                <w:sz w:val="22"/>
                <w:szCs w:val="22"/>
              </w:rPr>
            </w:pPr>
            <w:r w:rsidRPr="001965B9">
              <w:rPr>
                <w:rFonts w:cs="Arial"/>
                <w:sz w:val="22"/>
                <w:szCs w:val="22"/>
              </w:rPr>
              <w:t>£9,605</w:t>
            </w:r>
          </w:p>
        </w:tc>
        <w:tc>
          <w:tcPr>
            <w:tcW w:w="1562" w:type="dxa"/>
          </w:tcPr>
          <w:p w14:paraId="3B57931A" w14:textId="77777777" w:rsidR="00EA1334" w:rsidRPr="001965B9" w:rsidRDefault="00EA1334" w:rsidP="00F610A5">
            <w:pPr>
              <w:jc w:val="right"/>
              <w:rPr>
                <w:rFonts w:cs="Arial"/>
                <w:sz w:val="22"/>
                <w:szCs w:val="22"/>
              </w:rPr>
            </w:pPr>
            <w:r w:rsidRPr="001965B9">
              <w:rPr>
                <w:rFonts w:cs="Arial"/>
                <w:sz w:val="22"/>
                <w:szCs w:val="22"/>
              </w:rPr>
              <w:t>£9,605</w:t>
            </w:r>
          </w:p>
        </w:tc>
        <w:tc>
          <w:tcPr>
            <w:tcW w:w="1562" w:type="dxa"/>
          </w:tcPr>
          <w:p w14:paraId="29B3113B" w14:textId="77777777" w:rsidR="00EA1334" w:rsidRPr="001965B9" w:rsidRDefault="00EA1334" w:rsidP="00F610A5">
            <w:pPr>
              <w:jc w:val="right"/>
              <w:rPr>
                <w:rFonts w:cs="Arial"/>
                <w:sz w:val="22"/>
                <w:szCs w:val="22"/>
              </w:rPr>
            </w:pPr>
            <w:r w:rsidRPr="001965B9">
              <w:rPr>
                <w:rFonts w:cs="Arial"/>
                <w:sz w:val="22"/>
                <w:szCs w:val="22"/>
              </w:rPr>
              <w:t>0.0%</w:t>
            </w:r>
          </w:p>
        </w:tc>
        <w:tc>
          <w:tcPr>
            <w:tcW w:w="1432" w:type="dxa"/>
          </w:tcPr>
          <w:p w14:paraId="55A8D488" w14:textId="77777777" w:rsidR="00EA1334" w:rsidRPr="001965B9" w:rsidRDefault="00EA1334" w:rsidP="00F610A5">
            <w:pPr>
              <w:pStyle w:val="ListParagraph"/>
              <w:ind w:left="0"/>
              <w:jc w:val="right"/>
              <w:rPr>
                <w:rFonts w:cs="Arial"/>
                <w:sz w:val="22"/>
                <w:szCs w:val="22"/>
              </w:rPr>
            </w:pPr>
            <w:r w:rsidRPr="001965B9">
              <w:rPr>
                <w:rFonts w:cs="Arial"/>
                <w:sz w:val="22"/>
                <w:szCs w:val="22"/>
              </w:rPr>
              <w:t>n/a</w:t>
            </w:r>
          </w:p>
        </w:tc>
        <w:tc>
          <w:tcPr>
            <w:tcW w:w="1474" w:type="dxa"/>
          </w:tcPr>
          <w:p w14:paraId="48EE45EA" w14:textId="77777777" w:rsidR="00EA1334" w:rsidRPr="001965B9" w:rsidRDefault="00EA1334" w:rsidP="00F610A5">
            <w:pPr>
              <w:pStyle w:val="ListParagraph"/>
              <w:ind w:left="0"/>
              <w:jc w:val="right"/>
              <w:rPr>
                <w:rFonts w:cs="Arial"/>
                <w:bCs/>
                <w:color w:val="000000" w:themeColor="text1"/>
                <w:sz w:val="22"/>
                <w:szCs w:val="22"/>
              </w:rPr>
            </w:pPr>
            <w:r w:rsidRPr="001965B9">
              <w:rPr>
                <w:rFonts w:cs="Arial"/>
                <w:bCs/>
                <w:color w:val="000000" w:themeColor="text1"/>
                <w:sz w:val="22"/>
                <w:szCs w:val="22"/>
              </w:rPr>
              <w:t>0.0%</w:t>
            </w:r>
          </w:p>
        </w:tc>
      </w:tr>
      <w:tr w:rsidR="00EA1334" w:rsidRPr="00342F3F" w14:paraId="783D1CDD" w14:textId="77777777" w:rsidTr="00F610A5">
        <w:tc>
          <w:tcPr>
            <w:tcW w:w="1704" w:type="dxa"/>
          </w:tcPr>
          <w:p w14:paraId="3F11889C" w14:textId="77777777" w:rsidR="00EA1334" w:rsidRPr="001965B9" w:rsidRDefault="00EA1334" w:rsidP="00F610A5">
            <w:pPr>
              <w:jc w:val="both"/>
              <w:rPr>
                <w:rFonts w:cs="Arial"/>
                <w:sz w:val="22"/>
                <w:szCs w:val="22"/>
              </w:rPr>
            </w:pPr>
            <w:r w:rsidRPr="001965B9">
              <w:rPr>
                <w:rFonts w:cs="Arial"/>
                <w:sz w:val="22"/>
                <w:szCs w:val="22"/>
              </w:rPr>
              <w:t>Band 4M</w:t>
            </w:r>
          </w:p>
        </w:tc>
        <w:tc>
          <w:tcPr>
            <w:tcW w:w="1562" w:type="dxa"/>
          </w:tcPr>
          <w:p w14:paraId="1EB29207" w14:textId="77777777" w:rsidR="00EA1334" w:rsidRPr="001965B9" w:rsidRDefault="00EA1334" w:rsidP="00F610A5">
            <w:pPr>
              <w:jc w:val="right"/>
              <w:rPr>
                <w:rFonts w:cs="Arial"/>
                <w:sz w:val="22"/>
                <w:szCs w:val="22"/>
              </w:rPr>
            </w:pPr>
            <w:r w:rsidRPr="001965B9">
              <w:rPr>
                <w:rFonts w:cs="Arial"/>
                <w:sz w:val="22"/>
                <w:szCs w:val="22"/>
              </w:rPr>
              <w:t>£13,780</w:t>
            </w:r>
          </w:p>
        </w:tc>
        <w:tc>
          <w:tcPr>
            <w:tcW w:w="1562" w:type="dxa"/>
          </w:tcPr>
          <w:p w14:paraId="4398E9B7" w14:textId="77777777" w:rsidR="00EA1334" w:rsidRPr="001965B9" w:rsidRDefault="00EA1334" w:rsidP="00F610A5">
            <w:pPr>
              <w:jc w:val="right"/>
              <w:rPr>
                <w:rFonts w:cs="Arial"/>
                <w:sz w:val="22"/>
                <w:szCs w:val="22"/>
              </w:rPr>
            </w:pPr>
            <w:r w:rsidRPr="001965B9">
              <w:rPr>
                <w:rFonts w:cs="Arial"/>
                <w:sz w:val="22"/>
                <w:szCs w:val="22"/>
              </w:rPr>
              <w:t>£13,780</w:t>
            </w:r>
          </w:p>
        </w:tc>
        <w:tc>
          <w:tcPr>
            <w:tcW w:w="1562" w:type="dxa"/>
          </w:tcPr>
          <w:p w14:paraId="5C4ADCC8" w14:textId="77777777" w:rsidR="00EA1334" w:rsidRPr="001965B9" w:rsidRDefault="00EA1334" w:rsidP="00F610A5">
            <w:pPr>
              <w:jc w:val="right"/>
              <w:rPr>
                <w:rFonts w:cs="Arial"/>
                <w:sz w:val="22"/>
                <w:szCs w:val="22"/>
              </w:rPr>
            </w:pPr>
            <w:r w:rsidRPr="001965B9">
              <w:rPr>
                <w:rFonts w:cs="Arial"/>
                <w:sz w:val="22"/>
                <w:szCs w:val="22"/>
              </w:rPr>
              <w:t>0.0%</w:t>
            </w:r>
          </w:p>
        </w:tc>
        <w:tc>
          <w:tcPr>
            <w:tcW w:w="1432" w:type="dxa"/>
          </w:tcPr>
          <w:p w14:paraId="3F04D38D" w14:textId="77777777" w:rsidR="00EA1334" w:rsidRPr="001965B9" w:rsidRDefault="00EA1334" w:rsidP="00F610A5">
            <w:pPr>
              <w:pStyle w:val="ListParagraph"/>
              <w:ind w:left="0"/>
              <w:jc w:val="right"/>
              <w:rPr>
                <w:rFonts w:cs="Arial"/>
                <w:sz w:val="22"/>
                <w:szCs w:val="22"/>
              </w:rPr>
            </w:pPr>
            <w:r w:rsidRPr="001965B9">
              <w:rPr>
                <w:rFonts w:cs="Arial"/>
                <w:sz w:val="22"/>
                <w:szCs w:val="22"/>
              </w:rPr>
              <w:t>n/a</w:t>
            </w:r>
          </w:p>
        </w:tc>
        <w:tc>
          <w:tcPr>
            <w:tcW w:w="1474" w:type="dxa"/>
          </w:tcPr>
          <w:p w14:paraId="37349B78" w14:textId="77777777" w:rsidR="00EA1334" w:rsidRPr="001965B9" w:rsidRDefault="00EA1334" w:rsidP="00F610A5">
            <w:pPr>
              <w:pStyle w:val="ListParagraph"/>
              <w:ind w:left="0"/>
              <w:jc w:val="right"/>
              <w:rPr>
                <w:rFonts w:cs="Arial"/>
                <w:bCs/>
                <w:color w:val="000000" w:themeColor="text1"/>
                <w:sz w:val="22"/>
                <w:szCs w:val="22"/>
              </w:rPr>
            </w:pPr>
            <w:r w:rsidRPr="001965B9">
              <w:rPr>
                <w:rFonts w:cs="Arial"/>
                <w:bCs/>
                <w:color w:val="000000" w:themeColor="text1"/>
                <w:sz w:val="22"/>
                <w:szCs w:val="22"/>
              </w:rPr>
              <w:t>0.0%</w:t>
            </w:r>
          </w:p>
        </w:tc>
      </w:tr>
      <w:tr w:rsidR="00EA1334" w:rsidRPr="00342F3F" w14:paraId="3EE97542" w14:textId="77777777" w:rsidTr="00F610A5">
        <w:tc>
          <w:tcPr>
            <w:tcW w:w="1704" w:type="dxa"/>
          </w:tcPr>
          <w:p w14:paraId="5B89350E" w14:textId="77777777" w:rsidR="00EA1334" w:rsidRPr="001965B9" w:rsidRDefault="00EA1334" w:rsidP="00F610A5">
            <w:pPr>
              <w:jc w:val="both"/>
              <w:rPr>
                <w:rFonts w:cs="Arial"/>
                <w:sz w:val="22"/>
                <w:szCs w:val="22"/>
              </w:rPr>
            </w:pPr>
            <w:r w:rsidRPr="001965B9">
              <w:rPr>
                <w:rFonts w:cs="Arial"/>
                <w:sz w:val="22"/>
                <w:szCs w:val="22"/>
              </w:rPr>
              <w:t>Band 4H</w:t>
            </w:r>
          </w:p>
        </w:tc>
        <w:tc>
          <w:tcPr>
            <w:tcW w:w="1562" w:type="dxa"/>
          </w:tcPr>
          <w:p w14:paraId="39C55425" w14:textId="77777777" w:rsidR="00EA1334" w:rsidRPr="001965B9" w:rsidRDefault="00EA1334" w:rsidP="00F610A5">
            <w:pPr>
              <w:jc w:val="right"/>
              <w:rPr>
                <w:rFonts w:cs="Arial"/>
                <w:sz w:val="22"/>
                <w:szCs w:val="22"/>
              </w:rPr>
            </w:pPr>
            <w:r w:rsidRPr="001965B9">
              <w:rPr>
                <w:rFonts w:cs="Arial"/>
                <w:sz w:val="22"/>
                <w:szCs w:val="22"/>
              </w:rPr>
              <w:t>£17,983</w:t>
            </w:r>
          </w:p>
        </w:tc>
        <w:tc>
          <w:tcPr>
            <w:tcW w:w="1562" w:type="dxa"/>
          </w:tcPr>
          <w:p w14:paraId="6239E528" w14:textId="77777777" w:rsidR="00EA1334" w:rsidRPr="001965B9" w:rsidRDefault="00EA1334" w:rsidP="00F610A5">
            <w:pPr>
              <w:jc w:val="right"/>
              <w:rPr>
                <w:rFonts w:cs="Arial"/>
                <w:sz w:val="22"/>
                <w:szCs w:val="22"/>
              </w:rPr>
            </w:pPr>
            <w:r w:rsidRPr="001965B9">
              <w:rPr>
                <w:rFonts w:cs="Arial"/>
                <w:sz w:val="22"/>
                <w:szCs w:val="22"/>
              </w:rPr>
              <w:t>£17,983</w:t>
            </w:r>
          </w:p>
        </w:tc>
        <w:tc>
          <w:tcPr>
            <w:tcW w:w="1562" w:type="dxa"/>
          </w:tcPr>
          <w:p w14:paraId="621927F0" w14:textId="77777777" w:rsidR="00EA1334" w:rsidRPr="001965B9" w:rsidRDefault="00EA1334" w:rsidP="00F610A5">
            <w:pPr>
              <w:jc w:val="right"/>
              <w:rPr>
                <w:rFonts w:cs="Arial"/>
                <w:sz w:val="22"/>
                <w:szCs w:val="22"/>
              </w:rPr>
            </w:pPr>
            <w:r w:rsidRPr="001965B9">
              <w:rPr>
                <w:rFonts w:cs="Arial"/>
                <w:sz w:val="22"/>
                <w:szCs w:val="22"/>
              </w:rPr>
              <w:t>0.0%</w:t>
            </w:r>
          </w:p>
        </w:tc>
        <w:tc>
          <w:tcPr>
            <w:tcW w:w="1432" w:type="dxa"/>
          </w:tcPr>
          <w:p w14:paraId="7A1E1E6A" w14:textId="77777777" w:rsidR="00EA1334" w:rsidRPr="001965B9" w:rsidRDefault="00EA1334" w:rsidP="00F610A5">
            <w:pPr>
              <w:pStyle w:val="ListParagraph"/>
              <w:ind w:left="0"/>
              <w:jc w:val="right"/>
              <w:rPr>
                <w:rFonts w:cs="Arial"/>
                <w:sz w:val="22"/>
                <w:szCs w:val="22"/>
              </w:rPr>
            </w:pPr>
            <w:r w:rsidRPr="001965B9">
              <w:rPr>
                <w:rFonts w:cs="Arial"/>
                <w:sz w:val="22"/>
                <w:szCs w:val="22"/>
              </w:rPr>
              <w:t>n/a</w:t>
            </w:r>
          </w:p>
        </w:tc>
        <w:tc>
          <w:tcPr>
            <w:tcW w:w="1474" w:type="dxa"/>
          </w:tcPr>
          <w:p w14:paraId="7081CEDA" w14:textId="77777777" w:rsidR="00EA1334" w:rsidRPr="001965B9" w:rsidRDefault="00EA1334" w:rsidP="00F610A5">
            <w:pPr>
              <w:pStyle w:val="ListParagraph"/>
              <w:ind w:left="0"/>
              <w:jc w:val="right"/>
              <w:rPr>
                <w:rFonts w:cs="Arial"/>
                <w:bCs/>
                <w:color w:val="000000" w:themeColor="text1"/>
                <w:sz w:val="22"/>
                <w:szCs w:val="22"/>
              </w:rPr>
            </w:pPr>
            <w:r w:rsidRPr="001965B9">
              <w:rPr>
                <w:rFonts w:cs="Arial"/>
                <w:bCs/>
                <w:color w:val="000000" w:themeColor="text1"/>
                <w:sz w:val="22"/>
                <w:szCs w:val="22"/>
              </w:rPr>
              <w:t>0.0%</w:t>
            </w:r>
          </w:p>
        </w:tc>
      </w:tr>
      <w:tr w:rsidR="00EA1334" w:rsidRPr="00342F3F" w14:paraId="162F9763" w14:textId="77777777" w:rsidTr="00F610A5">
        <w:tc>
          <w:tcPr>
            <w:tcW w:w="1704" w:type="dxa"/>
          </w:tcPr>
          <w:p w14:paraId="1D444CC1" w14:textId="77777777" w:rsidR="00EA1334" w:rsidRPr="001965B9" w:rsidRDefault="00EA1334" w:rsidP="00F610A5">
            <w:pPr>
              <w:jc w:val="both"/>
              <w:rPr>
                <w:rFonts w:cs="Arial"/>
                <w:sz w:val="22"/>
                <w:szCs w:val="22"/>
              </w:rPr>
            </w:pPr>
            <w:r w:rsidRPr="001965B9">
              <w:rPr>
                <w:rFonts w:cs="Arial"/>
                <w:sz w:val="22"/>
                <w:szCs w:val="22"/>
              </w:rPr>
              <w:t>Protected 7</w:t>
            </w:r>
          </w:p>
        </w:tc>
        <w:tc>
          <w:tcPr>
            <w:tcW w:w="1562" w:type="dxa"/>
          </w:tcPr>
          <w:p w14:paraId="6041518B" w14:textId="77777777" w:rsidR="00EA1334" w:rsidRPr="001965B9" w:rsidRDefault="00EA1334" w:rsidP="00F610A5">
            <w:pPr>
              <w:jc w:val="right"/>
              <w:rPr>
                <w:rFonts w:cs="Arial"/>
                <w:sz w:val="22"/>
                <w:szCs w:val="22"/>
              </w:rPr>
            </w:pPr>
            <w:r w:rsidRPr="001965B9">
              <w:rPr>
                <w:rFonts w:cs="Arial"/>
                <w:sz w:val="22"/>
                <w:szCs w:val="22"/>
              </w:rPr>
              <w:t>£29,548</w:t>
            </w:r>
          </w:p>
        </w:tc>
        <w:tc>
          <w:tcPr>
            <w:tcW w:w="1562" w:type="dxa"/>
          </w:tcPr>
          <w:p w14:paraId="44E21BA3" w14:textId="77777777" w:rsidR="00EA1334" w:rsidRPr="001965B9" w:rsidRDefault="00EA1334" w:rsidP="00F610A5">
            <w:pPr>
              <w:jc w:val="right"/>
              <w:rPr>
                <w:rFonts w:cs="Arial"/>
                <w:sz w:val="22"/>
                <w:szCs w:val="22"/>
              </w:rPr>
            </w:pPr>
            <w:r w:rsidRPr="001965B9">
              <w:rPr>
                <w:rFonts w:cs="Arial"/>
                <w:sz w:val="22"/>
                <w:szCs w:val="22"/>
              </w:rPr>
              <w:t>£29,548</w:t>
            </w:r>
          </w:p>
        </w:tc>
        <w:tc>
          <w:tcPr>
            <w:tcW w:w="1562" w:type="dxa"/>
          </w:tcPr>
          <w:p w14:paraId="314B0366" w14:textId="77777777" w:rsidR="00EA1334" w:rsidRPr="001965B9" w:rsidRDefault="00EA1334" w:rsidP="00F610A5">
            <w:pPr>
              <w:jc w:val="right"/>
              <w:rPr>
                <w:rFonts w:cs="Arial"/>
                <w:sz w:val="22"/>
                <w:szCs w:val="22"/>
              </w:rPr>
            </w:pPr>
            <w:r w:rsidRPr="001965B9">
              <w:rPr>
                <w:rFonts w:cs="Arial"/>
                <w:sz w:val="22"/>
                <w:szCs w:val="22"/>
              </w:rPr>
              <w:t>0.0%</w:t>
            </w:r>
          </w:p>
        </w:tc>
        <w:tc>
          <w:tcPr>
            <w:tcW w:w="1432" w:type="dxa"/>
          </w:tcPr>
          <w:p w14:paraId="25CE28F6" w14:textId="77777777" w:rsidR="00EA1334" w:rsidRPr="001965B9" w:rsidRDefault="00EA1334" w:rsidP="00F610A5">
            <w:pPr>
              <w:pStyle w:val="ListParagraph"/>
              <w:ind w:left="0"/>
              <w:jc w:val="right"/>
              <w:rPr>
                <w:rFonts w:cs="Arial"/>
                <w:sz w:val="22"/>
                <w:szCs w:val="22"/>
              </w:rPr>
            </w:pPr>
            <w:r w:rsidRPr="001965B9">
              <w:rPr>
                <w:rFonts w:cs="Arial"/>
                <w:sz w:val="22"/>
                <w:szCs w:val="22"/>
              </w:rPr>
              <w:t>n/a</w:t>
            </w:r>
          </w:p>
        </w:tc>
        <w:tc>
          <w:tcPr>
            <w:tcW w:w="1474" w:type="dxa"/>
          </w:tcPr>
          <w:p w14:paraId="71063517" w14:textId="77777777" w:rsidR="00EA1334" w:rsidRPr="001965B9" w:rsidRDefault="00EA1334" w:rsidP="00F610A5">
            <w:pPr>
              <w:pStyle w:val="ListParagraph"/>
              <w:ind w:left="0"/>
              <w:jc w:val="right"/>
              <w:rPr>
                <w:rFonts w:cs="Arial"/>
                <w:bCs/>
                <w:color w:val="000000" w:themeColor="text1"/>
                <w:sz w:val="22"/>
                <w:szCs w:val="22"/>
              </w:rPr>
            </w:pPr>
            <w:r w:rsidRPr="001965B9">
              <w:rPr>
                <w:rFonts w:cs="Arial"/>
                <w:bCs/>
                <w:color w:val="000000" w:themeColor="text1"/>
                <w:sz w:val="22"/>
                <w:szCs w:val="22"/>
              </w:rPr>
              <w:t>0.0%</w:t>
            </w:r>
          </w:p>
        </w:tc>
      </w:tr>
    </w:tbl>
    <w:p w14:paraId="3ACF7753" w14:textId="77777777" w:rsidR="00EA1334" w:rsidRDefault="00EA1334" w:rsidP="00EA1334">
      <w:pPr>
        <w:jc w:val="both"/>
        <w:rPr>
          <w:sz w:val="22"/>
          <w:szCs w:val="22"/>
        </w:rPr>
      </w:pPr>
    </w:p>
    <w:p w14:paraId="44217422" w14:textId="69A7DA46" w:rsidR="00EA1334" w:rsidRDefault="006A4A37" w:rsidP="00EA1334">
      <w:pPr>
        <w:jc w:val="both"/>
        <w:rPr>
          <w:sz w:val="22"/>
          <w:szCs w:val="22"/>
        </w:rPr>
      </w:pPr>
      <w:r>
        <w:rPr>
          <w:sz w:val="22"/>
          <w:szCs w:val="22"/>
        </w:rPr>
        <w:t>8.8</w:t>
      </w:r>
      <w:r w:rsidR="00EA1334" w:rsidRPr="007F3AB3">
        <w:rPr>
          <w:sz w:val="22"/>
          <w:szCs w:val="22"/>
        </w:rPr>
        <w:t xml:space="preserve"> Subject to a check of the DfE’s approach to allocating additional National Insurance grant funding to schools, </w:t>
      </w:r>
      <w:r>
        <w:rPr>
          <w:sz w:val="22"/>
          <w:szCs w:val="22"/>
        </w:rPr>
        <w:t>the Authority</w:t>
      </w:r>
      <w:r w:rsidR="00EA1334">
        <w:rPr>
          <w:sz w:val="22"/>
          <w:szCs w:val="22"/>
        </w:rPr>
        <w:t xml:space="preserve"> </w:t>
      </w:r>
      <w:r>
        <w:rPr>
          <w:sz w:val="22"/>
          <w:szCs w:val="22"/>
        </w:rPr>
        <w:t>assesses that it is necessary for</w:t>
      </w:r>
      <w:r w:rsidR="00EA1334">
        <w:rPr>
          <w:sz w:val="22"/>
          <w:szCs w:val="22"/>
        </w:rPr>
        <w:t xml:space="preserve"> Band 3 rates </w:t>
      </w:r>
      <w:r>
        <w:rPr>
          <w:sz w:val="22"/>
          <w:szCs w:val="22"/>
        </w:rPr>
        <w:t>to be</w:t>
      </w:r>
      <w:r w:rsidR="00EA1334">
        <w:rPr>
          <w:sz w:val="22"/>
          <w:szCs w:val="22"/>
        </w:rPr>
        <w:t xml:space="preserve"> uplifted</w:t>
      </w:r>
      <w:r>
        <w:rPr>
          <w:sz w:val="22"/>
          <w:szCs w:val="22"/>
        </w:rPr>
        <w:t>.</w:t>
      </w:r>
      <w:r w:rsidR="007B03E6">
        <w:rPr>
          <w:sz w:val="22"/>
          <w:szCs w:val="22"/>
        </w:rPr>
        <w:t xml:space="preserve"> It is not possible to hold these at 2024/25 values. </w:t>
      </w:r>
      <w:r>
        <w:rPr>
          <w:sz w:val="22"/>
          <w:szCs w:val="22"/>
        </w:rPr>
        <w:t xml:space="preserve">The </w:t>
      </w:r>
      <w:r w:rsidR="007B03E6">
        <w:rPr>
          <w:sz w:val="22"/>
          <w:szCs w:val="22"/>
        </w:rPr>
        <w:t xml:space="preserve">necessary </w:t>
      </w:r>
      <w:r>
        <w:rPr>
          <w:sz w:val="22"/>
          <w:szCs w:val="22"/>
        </w:rPr>
        <w:t xml:space="preserve">uplift is calculated at 4.9% inclusive of the £6,000 element 2. This is a necessary </w:t>
      </w:r>
      <w:r w:rsidR="00EA1334">
        <w:rPr>
          <w:sz w:val="22"/>
          <w:szCs w:val="22"/>
        </w:rPr>
        <w:t>respon</w:t>
      </w:r>
      <w:r>
        <w:rPr>
          <w:sz w:val="22"/>
          <w:szCs w:val="22"/>
        </w:rPr>
        <w:t>se</w:t>
      </w:r>
      <w:r w:rsidR="00EA1334">
        <w:rPr>
          <w:sz w:val="22"/>
          <w:szCs w:val="22"/>
        </w:rPr>
        <w:t xml:space="preserve"> to the announced increase in the National Insurance employer contributions and the increase in the National Living Wage from April 2025. Band 3 in the model primarily funds pupils with EHCPs in mainstream settings. In</w:t>
      </w:r>
      <w:r>
        <w:rPr>
          <w:sz w:val="22"/>
          <w:szCs w:val="22"/>
        </w:rPr>
        <w:t xml:space="preserve"> calculating this</w:t>
      </w:r>
      <w:r w:rsidR="00EA1334">
        <w:rPr>
          <w:sz w:val="22"/>
          <w:szCs w:val="22"/>
        </w:rPr>
        <w:t xml:space="preserve"> uplift</w:t>
      </w:r>
      <w:r w:rsidR="007B03E6">
        <w:rPr>
          <w:sz w:val="22"/>
          <w:szCs w:val="22"/>
        </w:rPr>
        <w:t xml:space="preserve"> of</w:t>
      </w:r>
      <w:r w:rsidR="00EA1334">
        <w:rPr>
          <w:sz w:val="22"/>
          <w:szCs w:val="22"/>
        </w:rPr>
        <w:t xml:space="preserve"> Band 3 rates, the Authority currently assum</w:t>
      </w:r>
      <w:r>
        <w:rPr>
          <w:sz w:val="22"/>
          <w:szCs w:val="22"/>
        </w:rPr>
        <w:t>es</w:t>
      </w:r>
      <w:r w:rsidR="00EA1334">
        <w:rPr>
          <w:sz w:val="22"/>
          <w:szCs w:val="22"/>
        </w:rPr>
        <w:t xml:space="preserve"> that mainstream schools will not specifically receive National Insurance grant funding in relation to EHCP provision. </w:t>
      </w:r>
      <w:r w:rsidR="00EA1334" w:rsidRPr="003E1EE7">
        <w:rPr>
          <w:sz w:val="22"/>
          <w:szCs w:val="22"/>
        </w:rPr>
        <w:t xml:space="preserve">Whilst mainstream schools </w:t>
      </w:r>
      <w:r w:rsidR="00EA1334">
        <w:rPr>
          <w:sz w:val="22"/>
          <w:szCs w:val="22"/>
        </w:rPr>
        <w:t>are expected to</w:t>
      </w:r>
      <w:r w:rsidR="00EA1334" w:rsidRPr="003E1EE7">
        <w:rPr>
          <w:sz w:val="22"/>
          <w:szCs w:val="22"/>
        </w:rPr>
        <w:t xml:space="preserve"> receive a grant, this is expected to be an allocation for whole school provision</w:t>
      </w:r>
      <w:r w:rsidR="00EA1334">
        <w:rPr>
          <w:sz w:val="22"/>
          <w:szCs w:val="22"/>
        </w:rPr>
        <w:t>, which</w:t>
      </w:r>
      <w:r w:rsidR="00EA1334" w:rsidRPr="003E1EE7">
        <w:rPr>
          <w:sz w:val="22"/>
          <w:szCs w:val="22"/>
        </w:rPr>
        <w:t xml:space="preserve"> is unlikely to support the additional cost of specific EHCP provision.</w:t>
      </w:r>
      <w:r w:rsidR="00EA1334">
        <w:rPr>
          <w:sz w:val="22"/>
          <w:szCs w:val="22"/>
        </w:rPr>
        <w:t xml:space="preserve"> If this is not the case, however, (if the grant does also specifically support EHCP provision) then our rates of funding would not be uplifted as proposed. The Authority will need to check this when further information on the grant is provided by the DfE</w:t>
      </w:r>
      <w:r>
        <w:rPr>
          <w:sz w:val="22"/>
          <w:szCs w:val="22"/>
        </w:rPr>
        <w:t>, expected in December</w:t>
      </w:r>
      <w:r w:rsidR="00EA1334">
        <w:rPr>
          <w:sz w:val="22"/>
          <w:szCs w:val="22"/>
        </w:rPr>
        <w:t>. As such, the Band 3 rates</w:t>
      </w:r>
      <w:r>
        <w:rPr>
          <w:sz w:val="22"/>
          <w:szCs w:val="22"/>
        </w:rPr>
        <w:t xml:space="preserve"> proposal</w:t>
      </w:r>
      <w:r w:rsidR="007E0D6D">
        <w:rPr>
          <w:sz w:val="22"/>
          <w:szCs w:val="22"/>
        </w:rPr>
        <w:t xml:space="preserve"> is</w:t>
      </w:r>
      <w:r w:rsidR="00EA1334">
        <w:rPr>
          <w:sz w:val="22"/>
          <w:szCs w:val="22"/>
        </w:rPr>
        <w:t xml:space="preserve"> subject to change</w:t>
      </w:r>
      <w:r w:rsidR="007E0D6D">
        <w:rPr>
          <w:sz w:val="22"/>
          <w:szCs w:val="22"/>
        </w:rPr>
        <w:t>, but otherwise the Authority would not be seeking to reduce the uplift or to further uplift values on those shown in the table above</w:t>
      </w:r>
      <w:r w:rsidR="00EA1334">
        <w:rPr>
          <w:sz w:val="22"/>
          <w:szCs w:val="22"/>
        </w:rPr>
        <w:t>.</w:t>
      </w:r>
      <w:r w:rsidR="007B03E6">
        <w:rPr>
          <w:sz w:val="22"/>
          <w:szCs w:val="22"/>
        </w:rPr>
        <w:t xml:space="preserve"> This increase in </w:t>
      </w:r>
      <w:r w:rsidR="007E0D6D">
        <w:rPr>
          <w:sz w:val="22"/>
          <w:szCs w:val="22"/>
        </w:rPr>
        <w:t>B</w:t>
      </w:r>
      <w:r w:rsidR="007B03E6">
        <w:rPr>
          <w:sz w:val="22"/>
          <w:szCs w:val="22"/>
        </w:rPr>
        <w:t xml:space="preserve">and 3 rates will have positive impact on other sectors, including the special school / academy sector where currently </w:t>
      </w:r>
      <w:r w:rsidR="007E0D6D">
        <w:rPr>
          <w:sz w:val="22"/>
          <w:szCs w:val="22"/>
        </w:rPr>
        <w:t>81 pupils receive stacked funding at Band 3 levels. The special school / academies sector is expected to receive a National Insurance grant, so this increase in Band 3 is expected to help offset impact of proposals relating to Band 4 rates.</w:t>
      </w:r>
    </w:p>
    <w:p w14:paraId="5271130B" w14:textId="77777777" w:rsidR="00EA1334" w:rsidRDefault="00EA1334" w:rsidP="00EA1334">
      <w:pPr>
        <w:jc w:val="both"/>
        <w:rPr>
          <w:sz w:val="22"/>
          <w:szCs w:val="22"/>
        </w:rPr>
      </w:pPr>
    </w:p>
    <w:p w14:paraId="53399BB6" w14:textId="30AA8E9B" w:rsidR="008A629C" w:rsidRDefault="007E0D6D" w:rsidP="00EA1334">
      <w:pPr>
        <w:jc w:val="both"/>
        <w:rPr>
          <w:sz w:val="22"/>
          <w:szCs w:val="22"/>
        </w:rPr>
      </w:pPr>
      <w:r>
        <w:rPr>
          <w:sz w:val="22"/>
          <w:szCs w:val="22"/>
        </w:rPr>
        <w:t>8.9</w:t>
      </w:r>
      <w:r w:rsidR="00EA1334">
        <w:rPr>
          <w:sz w:val="22"/>
          <w:szCs w:val="22"/>
        </w:rPr>
        <w:t xml:space="preserve"> Also subject to check,</w:t>
      </w:r>
      <w:r>
        <w:rPr>
          <w:sz w:val="22"/>
          <w:szCs w:val="22"/>
        </w:rPr>
        <w:t xml:space="preserve"> the Authority</w:t>
      </w:r>
      <w:r w:rsidR="009660EF">
        <w:rPr>
          <w:sz w:val="22"/>
          <w:szCs w:val="22"/>
        </w:rPr>
        <w:t xml:space="preserve"> proposes</w:t>
      </w:r>
      <w:r>
        <w:rPr>
          <w:sz w:val="22"/>
          <w:szCs w:val="22"/>
        </w:rPr>
        <w:t xml:space="preserve"> the default position</w:t>
      </w:r>
      <w:r w:rsidR="00EA1334">
        <w:rPr>
          <w:sz w:val="22"/>
          <w:szCs w:val="22"/>
        </w:rPr>
        <w:t xml:space="preserve"> that Band 4 (and Protected 7) rates in 2025/26 </w:t>
      </w:r>
      <w:r>
        <w:rPr>
          <w:sz w:val="22"/>
          <w:szCs w:val="22"/>
        </w:rPr>
        <w:t>would be</w:t>
      </w:r>
      <w:r w:rsidR="00EA1334">
        <w:rPr>
          <w:sz w:val="22"/>
          <w:szCs w:val="22"/>
        </w:rPr>
        <w:t xml:space="preserve"> held at 2024/25 values. This would produce a 0% or ‘cash flat’ position, which </w:t>
      </w:r>
      <w:r w:rsidR="00441C1B">
        <w:rPr>
          <w:sz w:val="22"/>
          <w:szCs w:val="22"/>
        </w:rPr>
        <w:t>aligns with</w:t>
      </w:r>
      <w:r w:rsidR="00EA1334">
        <w:rPr>
          <w:sz w:val="22"/>
          <w:szCs w:val="22"/>
        </w:rPr>
        <w:t xml:space="preserve"> the DfE’s Minimum Funding Guarantee for special schools / special school academies, which is set at 0% in 2025/26. </w:t>
      </w:r>
      <w:r>
        <w:rPr>
          <w:sz w:val="22"/>
          <w:szCs w:val="22"/>
        </w:rPr>
        <w:t>This default position is also put forward on the basis that, following further assessment and feedback, it is likely that the School Forum</w:t>
      </w:r>
      <w:r w:rsidR="008A629C">
        <w:rPr>
          <w:sz w:val="22"/>
          <w:szCs w:val="22"/>
        </w:rPr>
        <w:t xml:space="preserve"> will</w:t>
      </w:r>
      <w:r>
        <w:rPr>
          <w:sz w:val="22"/>
          <w:szCs w:val="22"/>
        </w:rPr>
        <w:t xml:space="preserve"> recommend</w:t>
      </w:r>
      <w:r w:rsidR="008A629C">
        <w:rPr>
          <w:sz w:val="22"/>
          <w:szCs w:val="22"/>
        </w:rPr>
        <w:t xml:space="preserve"> that</w:t>
      </w:r>
      <w:r>
        <w:rPr>
          <w:sz w:val="22"/>
          <w:szCs w:val="22"/>
        </w:rPr>
        <w:t xml:space="preserve"> the potential other mitigating actions relating to high needs formula funding </w:t>
      </w:r>
      <w:r w:rsidR="008A629C">
        <w:rPr>
          <w:sz w:val="22"/>
          <w:szCs w:val="22"/>
        </w:rPr>
        <w:t>will</w:t>
      </w:r>
      <w:r>
        <w:rPr>
          <w:sz w:val="22"/>
          <w:szCs w:val="22"/>
        </w:rPr>
        <w:t xml:space="preserve"> be</w:t>
      </w:r>
      <w:r w:rsidR="008A629C">
        <w:rPr>
          <w:sz w:val="22"/>
          <w:szCs w:val="22"/>
        </w:rPr>
        <w:t xml:space="preserve"> either</w:t>
      </w:r>
      <w:r>
        <w:rPr>
          <w:sz w:val="22"/>
          <w:szCs w:val="22"/>
        </w:rPr>
        <w:t xml:space="preserve"> significantly scaled back or not enacted in 2025/26. </w:t>
      </w:r>
      <w:r w:rsidR="00EA1334">
        <w:rPr>
          <w:sz w:val="22"/>
          <w:szCs w:val="22"/>
        </w:rPr>
        <w:t xml:space="preserve">A high needs funding settlement for 2025/26 for providers that is close to ‘cash flat’ </w:t>
      </w:r>
      <w:r>
        <w:rPr>
          <w:sz w:val="22"/>
          <w:szCs w:val="22"/>
        </w:rPr>
        <w:t xml:space="preserve">is expected to be </w:t>
      </w:r>
      <w:r w:rsidR="00EA1334">
        <w:rPr>
          <w:sz w:val="22"/>
          <w:szCs w:val="22"/>
        </w:rPr>
        <w:t>broadly consistent with the settlement that is expected for mainstream schools and academies,</w:t>
      </w:r>
      <w:r w:rsidR="008A629C">
        <w:rPr>
          <w:sz w:val="22"/>
          <w:szCs w:val="22"/>
        </w:rPr>
        <w:t xml:space="preserve"> inclusive of the Schools Block to High Needs Block transfer,</w:t>
      </w:r>
      <w:r w:rsidR="00EA1334">
        <w:rPr>
          <w:sz w:val="22"/>
          <w:szCs w:val="22"/>
        </w:rPr>
        <w:t xml:space="preserve"> </w:t>
      </w:r>
      <w:r w:rsidR="009660EF">
        <w:rPr>
          <w:sz w:val="22"/>
          <w:szCs w:val="22"/>
        </w:rPr>
        <w:t>and</w:t>
      </w:r>
      <w:r w:rsidR="00EA1334">
        <w:rPr>
          <w:sz w:val="22"/>
          <w:szCs w:val="22"/>
        </w:rPr>
        <w:t xml:space="preserve"> the mainstream Minimum Funding Guarantee will be a maximum of 0%.</w:t>
      </w:r>
      <w:r w:rsidR="008A629C">
        <w:rPr>
          <w:sz w:val="22"/>
          <w:szCs w:val="22"/>
        </w:rPr>
        <w:t xml:space="preserve"> Without the transfer, it is currently estimated that mainstream school funding would broadly increase between 0% and 0.6% on a like-for-like </w:t>
      </w:r>
      <w:r w:rsidR="00681CE5">
        <w:rPr>
          <w:sz w:val="22"/>
          <w:szCs w:val="22"/>
        </w:rPr>
        <w:t>basis but</w:t>
      </w:r>
      <w:r w:rsidR="00003040">
        <w:rPr>
          <w:sz w:val="22"/>
          <w:szCs w:val="22"/>
        </w:rPr>
        <w:t xml:space="preserve"> </w:t>
      </w:r>
      <w:r w:rsidR="008A629C">
        <w:rPr>
          <w:sz w:val="22"/>
          <w:szCs w:val="22"/>
        </w:rPr>
        <w:t>excluding the impact of the reduction of the SEND Funding Floor</w:t>
      </w:r>
      <w:r w:rsidR="00681CE5">
        <w:rPr>
          <w:sz w:val="22"/>
          <w:szCs w:val="22"/>
        </w:rPr>
        <w:t>, which would bring the overall settlement back to 0%</w:t>
      </w:r>
      <w:r w:rsidR="008A629C">
        <w:rPr>
          <w:sz w:val="22"/>
          <w:szCs w:val="22"/>
        </w:rPr>
        <w:t>.</w:t>
      </w:r>
      <w:r w:rsidR="00EA1334">
        <w:rPr>
          <w:sz w:val="22"/>
          <w:szCs w:val="22"/>
        </w:rPr>
        <w:t xml:space="preserve"> </w:t>
      </w:r>
      <w:r w:rsidR="009660EF">
        <w:rPr>
          <w:sz w:val="22"/>
          <w:szCs w:val="22"/>
        </w:rPr>
        <w:t>This is an assessment looking at the</w:t>
      </w:r>
      <w:r w:rsidR="00681CE5">
        <w:rPr>
          <w:sz w:val="22"/>
          <w:szCs w:val="22"/>
        </w:rPr>
        <w:t xml:space="preserve"> proportionate impact on the</w:t>
      </w:r>
      <w:r w:rsidR="009660EF">
        <w:rPr>
          <w:sz w:val="22"/>
          <w:szCs w:val="22"/>
        </w:rPr>
        <w:t xml:space="preserve"> whole-school position for both the mainstream and special schools / academies sector.</w:t>
      </w:r>
    </w:p>
    <w:p w14:paraId="73479051" w14:textId="77777777" w:rsidR="008A629C" w:rsidRDefault="008A629C" w:rsidP="00EA1334">
      <w:pPr>
        <w:jc w:val="both"/>
        <w:rPr>
          <w:sz w:val="22"/>
          <w:szCs w:val="22"/>
        </w:rPr>
      </w:pPr>
    </w:p>
    <w:p w14:paraId="56F46CE7" w14:textId="772BB0BB" w:rsidR="00EA1334" w:rsidRPr="008C5CEC" w:rsidRDefault="008A629C" w:rsidP="00EA1334">
      <w:pPr>
        <w:jc w:val="both"/>
        <w:rPr>
          <w:sz w:val="22"/>
          <w:szCs w:val="22"/>
        </w:rPr>
      </w:pPr>
      <w:r>
        <w:rPr>
          <w:sz w:val="22"/>
          <w:szCs w:val="22"/>
        </w:rPr>
        <w:t xml:space="preserve">8.10 </w:t>
      </w:r>
      <w:r w:rsidR="00EA1334">
        <w:rPr>
          <w:sz w:val="22"/>
          <w:szCs w:val="22"/>
        </w:rPr>
        <w:t>The primary recipients of Band 4 funding are special schools and special school academies. The Authority</w:t>
      </w:r>
      <w:r w:rsidR="007E0D6D">
        <w:rPr>
          <w:sz w:val="22"/>
          <w:szCs w:val="22"/>
        </w:rPr>
        <w:t xml:space="preserve"> expects</w:t>
      </w:r>
      <w:r w:rsidR="00EA1334">
        <w:rPr>
          <w:sz w:val="22"/>
          <w:szCs w:val="22"/>
        </w:rPr>
        <w:t xml:space="preserve"> that these schools / academies will receive additional grant funding for increased National Insurance contributions in 2025/26, </w:t>
      </w:r>
      <w:r w:rsidR="007E0D6D">
        <w:rPr>
          <w:sz w:val="22"/>
          <w:szCs w:val="22"/>
        </w:rPr>
        <w:t>meaning that unlike Band 3, the Authority</w:t>
      </w:r>
      <w:r w:rsidR="00441C1B">
        <w:rPr>
          <w:sz w:val="22"/>
          <w:szCs w:val="22"/>
        </w:rPr>
        <w:t>’s</w:t>
      </w:r>
      <w:r w:rsidR="007E0D6D">
        <w:rPr>
          <w:sz w:val="22"/>
          <w:szCs w:val="22"/>
        </w:rPr>
        <w:t xml:space="preserve"> funding model should not adjust for this</w:t>
      </w:r>
      <w:r w:rsidR="00EA1334">
        <w:rPr>
          <w:sz w:val="22"/>
          <w:szCs w:val="22"/>
        </w:rPr>
        <w:t>. It is recognised that, dependent on pay award and inflationary costs, holding Band 4 rates of funding at 2024/25 levels</w:t>
      </w:r>
      <w:r>
        <w:rPr>
          <w:sz w:val="22"/>
          <w:szCs w:val="22"/>
        </w:rPr>
        <w:t xml:space="preserve"> is likely to</w:t>
      </w:r>
      <w:r w:rsidR="00EA1334">
        <w:rPr>
          <w:sz w:val="22"/>
          <w:szCs w:val="22"/>
        </w:rPr>
        <w:t xml:space="preserve"> reduce the spending power</w:t>
      </w:r>
      <w:r>
        <w:rPr>
          <w:sz w:val="22"/>
          <w:szCs w:val="22"/>
        </w:rPr>
        <w:t xml:space="preserve"> in real terms</w:t>
      </w:r>
      <w:r w:rsidR="00EA1334">
        <w:rPr>
          <w:sz w:val="22"/>
          <w:szCs w:val="22"/>
        </w:rPr>
        <w:t xml:space="preserve"> of Band 4 funding on current levels. </w:t>
      </w:r>
      <w:r w:rsidR="00EA1334" w:rsidRPr="008C5CEC">
        <w:rPr>
          <w:sz w:val="22"/>
          <w:szCs w:val="22"/>
        </w:rPr>
        <w:t>For example, a 150-place special school that is allocated £26,500 a place (all Band 4) and spends 80% of this funding on staffing may see pressure of around £32,000 for every 1% of overall staffing cost increase on a full year basis</w:t>
      </w:r>
      <w:r w:rsidR="00EA1334">
        <w:rPr>
          <w:sz w:val="22"/>
          <w:szCs w:val="22"/>
        </w:rPr>
        <w:t>. Specifically mitigating against this, providers that receive Band 4 funding with Band 3 stacking will see an increase in their per pupil funding</w:t>
      </w:r>
      <w:r w:rsidR="00FA1D56">
        <w:rPr>
          <w:sz w:val="22"/>
          <w:szCs w:val="22"/>
        </w:rPr>
        <w:t xml:space="preserve"> in addition to receiv</w:t>
      </w:r>
      <w:r w:rsidR="00441C1B">
        <w:rPr>
          <w:sz w:val="22"/>
          <w:szCs w:val="22"/>
        </w:rPr>
        <w:t>ing</w:t>
      </w:r>
      <w:r w:rsidR="00FA1D56">
        <w:rPr>
          <w:sz w:val="22"/>
          <w:szCs w:val="22"/>
        </w:rPr>
        <w:t xml:space="preserve"> NI grant funding for these pupils</w:t>
      </w:r>
      <w:r w:rsidR="007E0D6D">
        <w:rPr>
          <w:sz w:val="22"/>
          <w:szCs w:val="22"/>
        </w:rPr>
        <w:t>.</w:t>
      </w:r>
      <w:r w:rsidR="00EA1334">
        <w:rPr>
          <w:sz w:val="22"/>
          <w:szCs w:val="22"/>
        </w:rPr>
        <w:t xml:space="preserve"> </w:t>
      </w:r>
      <w:r w:rsidR="007E0D6D">
        <w:rPr>
          <w:sz w:val="22"/>
          <w:szCs w:val="22"/>
        </w:rPr>
        <w:t>G</w:t>
      </w:r>
      <w:r w:rsidR="00EA1334">
        <w:rPr>
          <w:sz w:val="22"/>
          <w:szCs w:val="22"/>
        </w:rPr>
        <w:t>iven the tightness of the 2025/26 formula funding settlements overall, the Authority would expect the DfE to allocate further teacher pay grant funding into schools where the STRB’s recommendation for the September 2025 teachers’ pay award is outside the range that can be afforded by the settlement. The DfE has done this in each of the last 2 financial years.</w:t>
      </w:r>
      <w:r w:rsidR="007E0D6D">
        <w:rPr>
          <w:sz w:val="22"/>
          <w:szCs w:val="22"/>
        </w:rPr>
        <w:t xml:space="preserve"> However, it is assessed that there is likely to be some reduction in the value of funding in ‘real terms’ should Band 4 rates be held at the 2024/25 values. This will depend on a number of factors, including pay awards. But it is also assessed that this is likely to be proportionate to what is happening in the mainstream sector. Holding rates of funding cash flat is an important mitigati</w:t>
      </w:r>
      <w:r w:rsidR="00441C1B">
        <w:rPr>
          <w:sz w:val="22"/>
          <w:szCs w:val="22"/>
        </w:rPr>
        <w:t>ng</w:t>
      </w:r>
      <w:r w:rsidR="007E0D6D">
        <w:rPr>
          <w:sz w:val="22"/>
          <w:szCs w:val="22"/>
        </w:rPr>
        <w:t xml:space="preserve"> action for the forecast High Needs Block deficit.</w:t>
      </w:r>
    </w:p>
    <w:p w14:paraId="692BFEFF" w14:textId="77777777" w:rsidR="00EA1334" w:rsidRPr="00046728" w:rsidRDefault="00EA1334" w:rsidP="001B416B">
      <w:pPr>
        <w:jc w:val="both"/>
        <w:rPr>
          <w:sz w:val="22"/>
          <w:szCs w:val="22"/>
        </w:rPr>
      </w:pPr>
    </w:p>
    <w:p w14:paraId="5AD25E82" w14:textId="1151FC43" w:rsidR="0080115C" w:rsidRPr="0080115C" w:rsidRDefault="00046728" w:rsidP="00046728">
      <w:pPr>
        <w:jc w:val="both"/>
        <w:rPr>
          <w:sz w:val="22"/>
          <w:szCs w:val="22"/>
        </w:rPr>
      </w:pPr>
      <w:r>
        <w:rPr>
          <w:sz w:val="22"/>
          <w:szCs w:val="22"/>
        </w:rPr>
        <w:t>8.1</w:t>
      </w:r>
      <w:r w:rsidR="00672A34">
        <w:rPr>
          <w:sz w:val="22"/>
          <w:szCs w:val="22"/>
        </w:rPr>
        <w:t>1</w:t>
      </w:r>
      <w:r>
        <w:rPr>
          <w:sz w:val="22"/>
          <w:szCs w:val="22"/>
        </w:rPr>
        <w:t xml:space="preserve"> </w:t>
      </w:r>
      <w:r w:rsidR="001C5F64">
        <w:rPr>
          <w:sz w:val="22"/>
          <w:szCs w:val="22"/>
        </w:rPr>
        <w:t>In providing recommendations to the Authority, i</w:t>
      </w:r>
      <w:r>
        <w:rPr>
          <w:sz w:val="22"/>
          <w:szCs w:val="22"/>
        </w:rPr>
        <w:t xml:space="preserve">t is for the Schools Forum to consider the impact of a reduction in Band 4 funding in </w:t>
      </w:r>
      <w:r w:rsidR="00672A34">
        <w:rPr>
          <w:sz w:val="22"/>
          <w:szCs w:val="22"/>
        </w:rPr>
        <w:t>real terms</w:t>
      </w:r>
      <w:r w:rsidR="001C5F64">
        <w:rPr>
          <w:sz w:val="22"/>
          <w:szCs w:val="22"/>
        </w:rPr>
        <w:t xml:space="preserve"> in 2025/26</w:t>
      </w:r>
      <w:r w:rsidR="00003040">
        <w:rPr>
          <w:sz w:val="22"/>
          <w:szCs w:val="22"/>
        </w:rPr>
        <w:t xml:space="preserve"> </w:t>
      </w:r>
      <w:r>
        <w:rPr>
          <w:sz w:val="22"/>
          <w:szCs w:val="22"/>
        </w:rPr>
        <w:t>and to consider whether Band 4 funding should be</w:t>
      </w:r>
      <w:r w:rsidR="00441C1B">
        <w:rPr>
          <w:sz w:val="22"/>
          <w:szCs w:val="22"/>
        </w:rPr>
        <w:t xml:space="preserve"> modestly</w:t>
      </w:r>
      <w:r>
        <w:rPr>
          <w:sz w:val="22"/>
          <w:szCs w:val="22"/>
        </w:rPr>
        <w:t xml:space="preserve"> uplifted.</w:t>
      </w:r>
      <w:r w:rsidR="0080115C" w:rsidRPr="0080115C">
        <w:rPr>
          <w:sz w:val="22"/>
          <w:szCs w:val="22"/>
        </w:rPr>
        <w:t xml:space="preserve"> This </w:t>
      </w:r>
      <w:r w:rsidR="00003040">
        <w:rPr>
          <w:sz w:val="22"/>
          <w:szCs w:val="22"/>
        </w:rPr>
        <w:t>shouldn’t</w:t>
      </w:r>
      <w:r w:rsidR="0080115C" w:rsidRPr="0080115C">
        <w:rPr>
          <w:sz w:val="22"/>
          <w:szCs w:val="22"/>
        </w:rPr>
        <w:t xml:space="preserve"> be considered in isolation</w:t>
      </w:r>
      <w:r>
        <w:rPr>
          <w:sz w:val="22"/>
          <w:szCs w:val="22"/>
        </w:rPr>
        <w:t>, and</w:t>
      </w:r>
      <w:r w:rsidR="0080115C" w:rsidRPr="0080115C">
        <w:rPr>
          <w:sz w:val="22"/>
          <w:szCs w:val="22"/>
        </w:rPr>
        <w:t xml:space="preserve"> consistency and parity between sectors is important</w:t>
      </w:r>
      <w:r w:rsidR="00003040">
        <w:rPr>
          <w:sz w:val="22"/>
          <w:szCs w:val="22"/>
        </w:rPr>
        <w:t>, especially when the Schools Block is making direct contribution to the High Needs Block and deficit mitigation</w:t>
      </w:r>
      <w:r w:rsidR="001C5F64">
        <w:rPr>
          <w:sz w:val="22"/>
          <w:szCs w:val="22"/>
        </w:rPr>
        <w:t>, reducing the funding that would otherwise have been allocated to mainstream, primary and secondary schools and academies</w:t>
      </w:r>
      <w:r w:rsidR="0080115C" w:rsidRPr="0080115C">
        <w:rPr>
          <w:sz w:val="22"/>
          <w:szCs w:val="22"/>
        </w:rPr>
        <w:t>.</w:t>
      </w:r>
      <w:r w:rsidR="00207F25">
        <w:rPr>
          <w:sz w:val="22"/>
          <w:szCs w:val="22"/>
        </w:rPr>
        <w:t xml:space="preserve"> G</w:t>
      </w:r>
      <w:r w:rsidR="0080115C" w:rsidRPr="0080115C">
        <w:rPr>
          <w:sz w:val="22"/>
          <w:szCs w:val="22"/>
        </w:rPr>
        <w:t>iven the tightness of the settlements, as indicated by the DfE’s Minimum Funding Guarantee being set at 0%, the</w:t>
      </w:r>
      <w:r w:rsidR="00340B19">
        <w:rPr>
          <w:sz w:val="22"/>
          <w:szCs w:val="22"/>
        </w:rPr>
        <w:t xml:space="preserve"> Authority assesses that the</w:t>
      </w:r>
      <w:r w:rsidR="0080115C" w:rsidRPr="0080115C">
        <w:rPr>
          <w:sz w:val="22"/>
          <w:szCs w:val="22"/>
        </w:rPr>
        <w:t xml:space="preserve"> scope for increasing</w:t>
      </w:r>
      <w:r w:rsidR="001C5F64">
        <w:rPr>
          <w:sz w:val="22"/>
          <w:szCs w:val="22"/>
        </w:rPr>
        <w:t xml:space="preserve"> Band 4</w:t>
      </w:r>
      <w:r w:rsidR="0080115C" w:rsidRPr="0080115C">
        <w:rPr>
          <w:sz w:val="22"/>
          <w:szCs w:val="22"/>
        </w:rPr>
        <w:t xml:space="preserve"> top-up funding is </w:t>
      </w:r>
      <w:r w:rsidR="00207F25">
        <w:rPr>
          <w:sz w:val="22"/>
          <w:szCs w:val="22"/>
        </w:rPr>
        <w:t xml:space="preserve">generally </w:t>
      </w:r>
      <w:r w:rsidR="0080115C" w:rsidRPr="0080115C">
        <w:rPr>
          <w:sz w:val="22"/>
          <w:szCs w:val="22"/>
        </w:rPr>
        <w:t xml:space="preserve">relatively restricted. Whilst it is recognised that there are arguments against the use of benchmarking in this context, it is the case that the benchmarking does show a </w:t>
      </w:r>
      <w:r w:rsidR="00207F25">
        <w:rPr>
          <w:sz w:val="22"/>
          <w:szCs w:val="22"/>
        </w:rPr>
        <w:t>consistently</w:t>
      </w:r>
      <w:r w:rsidR="0080115C" w:rsidRPr="0080115C">
        <w:rPr>
          <w:sz w:val="22"/>
          <w:szCs w:val="22"/>
        </w:rPr>
        <w:t xml:space="preserve"> higher level of </w:t>
      </w:r>
      <w:r w:rsidR="00441C1B">
        <w:rPr>
          <w:sz w:val="22"/>
          <w:szCs w:val="22"/>
        </w:rPr>
        <w:t>investment</w:t>
      </w:r>
      <w:r>
        <w:rPr>
          <w:sz w:val="22"/>
          <w:szCs w:val="22"/>
        </w:rPr>
        <w:t xml:space="preserve"> in special schools</w:t>
      </w:r>
      <w:r w:rsidR="0080115C" w:rsidRPr="0080115C">
        <w:rPr>
          <w:sz w:val="22"/>
          <w:szCs w:val="22"/>
        </w:rPr>
        <w:t xml:space="preserve"> in Bradford compared against calculated averages. From our contact with Safety Valve authorities, we are aware that a common deficit mitigation action </w:t>
      </w:r>
      <w:r w:rsidR="00441C1B">
        <w:rPr>
          <w:sz w:val="22"/>
          <w:szCs w:val="22"/>
        </w:rPr>
        <w:t>has been</w:t>
      </w:r>
      <w:r w:rsidR="0080115C" w:rsidRPr="0080115C">
        <w:rPr>
          <w:sz w:val="22"/>
          <w:szCs w:val="22"/>
        </w:rPr>
        <w:t xml:space="preserve"> to not uplift funding values. As well as affecting the spending position for 2025/26, </w:t>
      </w:r>
      <w:r>
        <w:rPr>
          <w:sz w:val="22"/>
          <w:szCs w:val="22"/>
        </w:rPr>
        <w:t>uplifting Band 4 values</w:t>
      </w:r>
      <w:r w:rsidR="0080115C" w:rsidRPr="0080115C">
        <w:rPr>
          <w:sz w:val="22"/>
          <w:szCs w:val="22"/>
        </w:rPr>
        <w:t xml:space="preserve"> will have knock-on implications for the base cost that goes forward within the High Needs Block to manage</w:t>
      </w:r>
      <w:r w:rsidR="00340B19">
        <w:rPr>
          <w:sz w:val="22"/>
          <w:szCs w:val="22"/>
        </w:rPr>
        <w:t>, which does need to be considered</w:t>
      </w:r>
      <w:r w:rsidR="0080115C" w:rsidRPr="0080115C">
        <w:rPr>
          <w:sz w:val="22"/>
          <w:szCs w:val="22"/>
        </w:rPr>
        <w:t>.</w:t>
      </w:r>
      <w:r w:rsidR="00441C1B">
        <w:rPr>
          <w:sz w:val="22"/>
          <w:szCs w:val="22"/>
        </w:rPr>
        <w:t xml:space="preserve"> This may require reductions in spending in other areas, which may have implications for schools.</w:t>
      </w:r>
      <w:r w:rsidR="00340B19">
        <w:rPr>
          <w:sz w:val="22"/>
          <w:szCs w:val="22"/>
        </w:rPr>
        <w:t xml:space="preserve"> F</w:t>
      </w:r>
      <w:r w:rsidR="00672A34">
        <w:rPr>
          <w:sz w:val="22"/>
          <w:szCs w:val="22"/>
        </w:rPr>
        <w:t>or reference, increasing Band 4 rates of funding by 1%</w:t>
      </w:r>
      <w:r w:rsidR="00340B19">
        <w:rPr>
          <w:sz w:val="22"/>
          <w:szCs w:val="22"/>
        </w:rPr>
        <w:t xml:space="preserve"> in 2025/26 (inclusive of the place-element)</w:t>
      </w:r>
      <w:r w:rsidR="00672A34">
        <w:rPr>
          <w:sz w:val="22"/>
          <w:szCs w:val="22"/>
        </w:rPr>
        <w:t xml:space="preserve"> would cost around £0.35m in special schools / academies, with further</w:t>
      </w:r>
      <w:r w:rsidR="00441C1B">
        <w:rPr>
          <w:sz w:val="22"/>
          <w:szCs w:val="22"/>
        </w:rPr>
        <w:t xml:space="preserve"> £0.15m</w:t>
      </w:r>
      <w:r w:rsidR="00672A34">
        <w:rPr>
          <w:sz w:val="22"/>
          <w:szCs w:val="22"/>
        </w:rPr>
        <w:t xml:space="preserve"> cost coming from other sectors with </w:t>
      </w:r>
      <w:r w:rsidR="001B4F1B">
        <w:rPr>
          <w:sz w:val="22"/>
          <w:szCs w:val="22"/>
        </w:rPr>
        <w:t>B</w:t>
      </w:r>
      <w:r w:rsidR="00672A34">
        <w:rPr>
          <w:sz w:val="22"/>
          <w:szCs w:val="22"/>
        </w:rPr>
        <w:t>and 4 pupils.</w:t>
      </w:r>
    </w:p>
    <w:p w14:paraId="303971FF" w14:textId="77777777" w:rsidR="0080115C" w:rsidRDefault="0080115C" w:rsidP="001B416B">
      <w:pPr>
        <w:jc w:val="both"/>
        <w:rPr>
          <w:color w:val="FF0000"/>
          <w:sz w:val="22"/>
          <w:szCs w:val="22"/>
        </w:rPr>
      </w:pPr>
    </w:p>
    <w:p w14:paraId="21C9EE94" w14:textId="77777777" w:rsidR="0080115C" w:rsidRPr="00E718DD" w:rsidRDefault="0080115C" w:rsidP="001B416B">
      <w:pPr>
        <w:jc w:val="both"/>
        <w:rPr>
          <w:color w:val="FF0000"/>
          <w:sz w:val="22"/>
          <w:szCs w:val="22"/>
        </w:rPr>
      </w:pPr>
    </w:p>
    <w:p w14:paraId="194F2E48" w14:textId="03BBB182" w:rsidR="00414CE5" w:rsidRPr="00237BFA" w:rsidRDefault="00414CE5" w:rsidP="00414CE5">
      <w:pPr>
        <w:jc w:val="both"/>
        <w:rPr>
          <w:sz w:val="22"/>
          <w:szCs w:val="22"/>
        </w:rPr>
      </w:pPr>
      <w:r w:rsidRPr="00237BFA">
        <w:rPr>
          <w:b/>
          <w:sz w:val="22"/>
          <w:szCs w:val="22"/>
        </w:rPr>
        <w:t>9.</w:t>
      </w:r>
      <w:r w:rsidRPr="00237BFA">
        <w:rPr>
          <w:b/>
          <w:sz w:val="22"/>
          <w:szCs w:val="22"/>
        </w:rPr>
        <w:tab/>
        <w:t>EHCP Top-Up Funding Policy Amendment – AP Medical Placements</w:t>
      </w:r>
    </w:p>
    <w:p w14:paraId="373997E6" w14:textId="77777777" w:rsidR="00414CE5" w:rsidRDefault="00414CE5" w:rsidP="001B416B">
      <w:pPr>
        <w:jc w:val="both"/>
        <w:rPr>
          <w:sz w:val="22"/>
          <w:szCs w:val="22"/>
        </w:rPr>
      </w:pPr>
    </w:p>
    <w:p w14:paraId="2CF63040" w14:textId="665C0713" w:rsidR="005A52C6" w:rsidRDefault="005A52C6" w:rsidP="00414CE5">
      <w:pPr>
        <w:jc w:val="both"/>
        <w:rPr>
          <w:sz w:val="22"/>
          <w:szCs w:val="22"/>
        </w:rPr>
      </w:pPr>
      <w:r>
        <w:rPr>
          <w:sz w:val="22"/>
          <w:szCs w:val="22"/>
        </w:rPr>
        <w:t>9.1 This change is in keeping with the standard accepted principle of ”funding following the child”. The Authority has not previously consulted on this policy change.</w:t>
      </w:r>
    </w:p>
    <w:p w14:paraId="239F7937" w14:textId="77777777" w:rsidR="005A52C6" w:rsidRDefault="005A52C6" w:rsidP="00414CE5">
      <w:pPr>
        <w:jc w:val="both"/>
        <w:rPr>
          <w:sz w:val="22"/>
          <w:szCs w:val="22"/>
        </w:rPr>
      </w:pPr>
    </w:p>
    <w:p w14:paraId="148A9BE0" w14:textId="418134EE" w:rsidR="00414CE5" w:rsidRDefault="00237BFA" w:rsidP="00414CE5">
      <w:pPr>
        <w:jc w:val="both"/>
        <w:rPr>
          <w:sz w:val="22"/>
          <w:szCs w:val="22"/>
        </w:rPr>
      </w:pPr>
      <w:r>
        <w:rPr>
          <w:sz w:val="22"/>
          <w:szCs w:val="22"/>
        </w:rPr>
        <w:t>9.</w:t>
      </w:r>
      <w:r w:rsidR="005A52C6">
        <w:rPr>
          <w:sz w:val="22"/>
          <w:szCs w:val="22"/>
        </w:rPr>
        <w:t>2</w:t>
      </w:r>
      <w:r w:rsidR="00414CE5">
        <w:rPr>
          <w:sz w:val="22"/>
          <w:szCs w:val="22"/>
        </w:rPr>
        <w:t xml:space="preserve"> </w:t>
      </w:r>
      <w:r w:rsidR="00414CE5" w:rsidRPr="002D2BEE">
        <w:rPr>
          <w:sz w:val="22"/>
          <w:szCs w:val="22"/>
        </w:rPr>
        <w:t>It is proposed that a</w:t>
      </w:r>
      <w:r w:rsidR="00414CE5">
        <w:rPr>
          <w:sz w:val="22"/>
          <w:szCs w:val="22"/>
        </w:rPr>
        <w:t>n</w:t>
      </w:r>
      <w:r w:rsidR="00414CE5" w:rsidRPr="002D2BEE">
        <w:rPr>
          <w:sz w:val="22"/>
          <w:szCs w:val="22"/>
        </w:rPr>
        <w:t xml:space="preserve"> amendment to funding policy is made from April 2025 regarding the </w:t>
      </w:r>
      <w:r w:rsidR="00414CE5">
        <w:rPr>
          <w:sz w:val="22"/>
          <w:szCs w:val="22"/>
        </w:rPr>
        <w:t>allocation</w:t>
      </w:r>
      <w:r w:rsidR="00414CE5" w:rsidRPr="002D2BEE">
        <w:rPr>
          <w:sz w:val="22"/>
          <w:szCs w:val="22"/>
        </w:rPr>
        <w:t xml:space="preserve"> of EHCP top-up funding for pupils that remain on the roll of a school</w:t>
      </w:r>
      <w:r>
        <w:rPr>
          <w:sz w:val="22"/>
          <w:szCs w:val="22"/>
        </w:rPr>
        <w:t xml:space="preserve"> / academy</w:t>
      </w:r>
      <w:r w:rsidR="00414CE5" w:rsidRPr="002D2BEE">
        <w:rPr>
          <w:sz w:val="22"/>
          <w:szCs w:val="22"/>
        </w:rPr>
        <w:t xml:space="preserve"> but who access AP medical needs provision that is commissioned by the Authority</w:t>
      </w:r>
      <w:r w:rsidR="00414CE5">
        <w:rPr>
          <w:sz w:val="22"/>
          <w:szCs w:val="22"/>
        </w:rPr>
        <w:t xml:space="preserve"> on a full-time basis</w:t>
      </w:r>
      <w:r w:rsidR="00414CE5" w:rsidRPr="002D2BEE">
        <w:rPr>
          <w:sz w:val="22"/>
          <w:szCs w:val="22"/>
        </w:rPr>
        <w:t>.</w:t>
      </w:r>
      <w:r w:rsidR="00414CE5">
        <w:rPr>
          <w:sz w:val="22"/>
          <w:szCs w:val="22"/>
        </w:rPr>
        <w:t xml:space="preserve"> Currently, schools continue to receive EHCP top-up funding for pupils with EHCPs that are on their rolls but who are accessing Authority commissioned medical-needs AP provision. This is creating financial pressure on the Authority’s High Needs Block, as the Authority’s AP provision must fully meet all the additional needs of the pupil without receiving</w:t>
      </w:r>
      <w:r w:rsidR="003D47E1">
        <w:rPr>
          <w:sz w:val="22"/>
          <w:szCs w:val="22"/>
        </w:rPr>
        <w:t xml:space="preserve"> the</w:t>
      </w:r>
      <w:r w:rsidR="00414CE5">
        <w:rPr>
          <w:sz w:val="22"/>
          <w:szCs w:val="22"/>
        </w:rPr>
        <w:t xml:space="preserve"> top-up funding. It is proposed from April 2025, therefore, that the policy is established where, for pupils with EHCPs that remain on a school’s roll but who access AP medical provision commissioned by the Authority on a full-time basis, the EHCP top-up funding will be retained by the Authority, to be used to support meeting the cost of the needs of the pupil whilst they are in AP provision. It is proposed that top-up funding will be retained from the month after the pupil is placed in the AP provision and will be returned to the school in the month following the pupils return. For pupils that attend AP provision on a part time basis, the top-up funding would continue to be fully allocated to the school i.e. the Authority would not retain any part of this.</w:t>
      </w:r>
      <w:r>
        <w:rPr>
          <w:sz w:val="22"/>
          <w:szCs w:val="22"/>
        </w:rPr>
        <w:t xml:space="preserve"> </w:t>
      </w:r>
    </w:p>
    <w:p w14:paraId="0C412224" w14:textId="77777777" w:rsidR="00414CE5" w:rsidRDefault="00414CE5" w:rsidP="001B416B">
      <w:pPr>
        <w:jc w:val="both"/>
        <w:rPr>
          <w:sz w:val="22"/>
          <w:szCs w:val="22"/>
        </w:rPr>
      </w:pPr>
    </w:p>
    <w:p w14:paraId="6E888BDC" w14:textId="77777777" w:rsidR="00237BFA" w:rsidRDefault="00237BFA" w:rsidP="001B416B">
      <w:pPr>
        <w:jc w:val="both"/>
        <w:rPr>
          <w:sz w:val="22"/>
          <w:szCs w:val="22"/>
        </w:rPr>
      </w:pPr>
    </w:p>
    <w:p w14:paraId="627524FE" w14:textId="57490475" w:rsidR="00414CE5" w:rsidRPr="00237BFA" w:rsidRDefault="00414CE5" w:rsidP="00414CE5">
      <w:pPr>
        <w:jc w:val="both"/>
        <w:rPr>
          <w:sz w:val="22"/>
          <w:szCs w:val="22"/>
        </w:rPr>
      </w:pPr>
      <w:r w:rsidRPr="00237BFA">
        <w:rPr>
          <w:b/>
          <w:sz w:val="22"/>
          <w:szCs w:val="22"/>
        </w:rPr>
        <w:t>10.</w:t>
      </w:r>
      <w:r w:rsidRPr="00237BFA">
        <w:rPr>
          <w:b/>
          <w:sz w:val="22"/>
          <w:szCs w:val="22"/>
        </w:rPr>
        <w:tab/>
        <w:t>PRUs and Alternative Provision Academies 2025/26 – Day Rate Top-up Funding Model</w:t>
      </w:r>
    </w:p>
    <w:p w14:paraId="347F77E1" w14:textId="77777777" w:rsidR="00414CE5" w:rsidRDefault="00414CE5" w:rsidP="001B416B">
      <w:pPr>
        <w:jc w:val="both"/>
        <w:rPr>
          <w:sz w:val="22"/>
          <w:szCs w:val="22"/>
        </w:rPr>
      </w:pPr>
    </w:p>
    <w:p w14:paraId="3FE6B5BD" w14:textId="229D83F7" w:rsidR="00237BFA" w:rsidRDefault="00237BFA" w:rsidP="00237BFA">
      <w:pPr>
        <w:jc w:val="both"/>
        <w:rPr>
          <w:sz w:val="22"/>
          <w:szCs w:val="22"/>
        </w:rPr>
      </w:pPr>
      <w:r>
        <w:rPr>
          <w:sz w:val="22"/>
          <w:szCs w:val="22"/>
        </w:rPr>
        <w:t>10.1 Park Aspire and BAPA both receive place-element funding from the High Needs Block, at £10,000 a place. These settings</w:t>
      </w:r>
      <w:r w:rsidRPr="001D7F5A">
        <w:rPr>
          <w:sz w:val="22"/>
          <w:szCs w:val="22"/>
        </w:rPr>
        <w:t xml:space="preserve"> </w:t>
      </w:r>
      <w:r>
        <w:rPr>
          <w:sz w:val="22"/>
          <w:szCs w:val="22"/>
        </w:rPr>
        <w:t>then also receive top-up funding from the Authority for places that are occupied, following the placement of pupils permanently excluded. The Authority introduced at April 2020 a Day Rate Model for the calculation of this top-up. A formulaic basis, such as this, follows the DfE’s current expectation that, as top-up funding for alternative provision institutions is not usually related to an assessment of SEND, a standard predictable top-up rate can be set, which reflects the overall budget needed by the institution. This budget should be built up with the understanding that a level of capacity is needed to be retained during the year, recognising that numbers on roll in PRUs and in alternative provision academies can fluctuate.</w:t>
      </w:r>
    </w:p>
    <w:p w14:paraId="10D6E0EA" w14:textId="77777777" w:rsidR="00237BFA" w:rsidRDefault="00237BFA" w:rsidP="00237BFA">
      <w:pPr>
        <w:jc w:val="both"/>
        <w:rPr>
          <w:sz w:val="22"/>
          <w:szCs w:val="22"/>
        </w:rPr>
      </w:pPr>
    </w:p>
    <w:p w14:paraId="1E7F2EE7" w14:textId="7BADF8DA" w:rsidR="00237BFA" w:rsidRDefault="00237BFA" w:rsidP="00237BFA">
      <w:pPr>
        <w:jc w:val="both"/>
        <w:rPr>
          <w:sz w:val="22"/>
          <w:szCs w:val="22"/>
        </w:rPr>
      </w:pPr>
      <w:r>
        <w:rPr>
          <w:sz w:val="22"/>
          <w:szCs w:val="22"/>
        </w:rPr>
        <w:t>10.2 Using the Day Rate Model, top-up funding is allocated on an agreed £value per day, multiplied by the number of days of provision expected to be delivered weekly / monthly / termly / annually. The total number of annual days is 195. The value of the day rate adjusts according to the PRU’s / AP academy’s overall occupancy to ensure that a minimum level of funding is allocated to enable the PRU / AP academy to meet fixed costs (largely related to the setting) and to retain sufficient staffing capacity for the Authority to use. The model is informed by annual review, which includes checking actual against expected occupancy. In situations where there are significant differences in occupancy, which are more permanent, the number of places to be commissioned by the Authority will be reviewed for the following year.</w:t>
      </w:r>
    </w:p>
    <w:p w14:paraId="103708BF" w14:textId="77777777" w:rsidR="00237BFA" w:rsidRDefault="00237BFA" w:rsidP="00237BFA">
      <w:pPr>
        <w:jc w:val="both"/>
        <w:rPr>
          <w:sz w:val="22"/>
          <w:szCs w:val="22"/>
        </w:rPr>
      </w:pPr>
    </w:p>
    <w:p w14:paraId="6FCD5E34" w14:textId="7EDFFEB6" w:rsidR="00237BFA" w:rsidRDefault="00237BFA" w:rsidP="00237BFA">
      <w:pPr>
        <w:jc w:val="both"/>
        <w:rPr>
          <w:sz w:val="22"/>
          <w:szCs w:val="22"/>
        </w:rPr>
      </w:pPr>
      <w:r>
        <w:rPr>
          <w:sz w:val="22"/>
          <w:szCs w:val="22"/>
        </w:rPr>
        <w:t>10</w:t>
      </w:r>
      <w:r w:rsidRPr="00E21948">
        <w:rPr>
          <w:sz w:val="22"/>
          <w:szCs w:val="22"/>
        </w:rPr>
        <w:t>.</w:t>
      </w:r>
      <w:r>
        <w:rPr>
          <w:sz w:val="22"/>
          <w:szCs w:val="22"/>
        </w:rPr>
        <w:t>3</w:t>
      </w:r>
      <w:r w:rsidRPr="00E21948">
        <w:rPr>
          <w:sz w:val="22"/>
          <w:szCs w:val="22"/>
        </w:rPr>
        <w:t xml:space="preserve"> </w:t>
      </w:r>
      <w:r>
        <w:rPr>
          <w:sz w:val="22"/>
          <w:szCs w:val="22"/>
        </w:rPr>
        <w:t>The value of the Day Rate currently in 2024/25 is £80.49 per day (or £15,696 per year), and a breakdown of how it is calculated, is set out in the tables below.</w:t>
      </w:r>
    </w:p>
    <w:p w14:paraId="34A3EC39" w14:textId="77777777" w:rsidR="00237BFA" w:rsidRDefault="00237BFA" w:rsidP="00237BFA">
      <w:pPr>
        <w:jc w:val="both"/>
        <w:rPr>
          <w:sz w:val="22"/>
          <w:szCs w:val="22"/>
        </w:rPr>
      </w:pPr>
    </w:p>
    <w:p w14:paraId="2CD5C3B7" w14:textId="77777777" w:rsidR="009302C7" w:rsidRDefault="009302C7" w:rsidP="00237BFA">
      <w:pPr>
        <w:jc w:val="both"/>
        <w:rPr>
          <w:sz w:val="22"/>
          <w:szCs w:val="22"/>
        </w:rPr>
      </w:pPr>
    </w:p>
    <w:tbl>
      <w:tblPr>
        <w:tblStyle w:val="TableGrid"/>
        <w:tblW w:w="0" w:type="auto"/>
        <w:tblLook w:val="04A0" w:firstRow="1" w:lastRow="0" w:firstColumn="1" w:lastColumn="0" w:noHBand="0" w:noVBand="1"/>
      </w:tblPr>
      <w:tblGrid>
        <w:gridCol w:w="6629"/>
        <w:gridCol w:w="2126"/>
      </w:tblGrid>
      <w:tr w:rsidR="00237BFA" w14:paraId="4EB027AB" w14:textId="77777777" w:rsidTr="00F610A5">
        <w:tc>
          <w:tcPr>
            <w:tcW w:w="6629" w:type="dxa"/>
          </w:tcPr>
          <w:p w14:paraId="0FAA1FF3" w14:textId="77777777" w:rsidR="00237BFA" w:rsidRPr="008F176C" w:rsidRDefault="00237BFA" w:rsidP="00F610A5">
            <w:pPr>
              <w:jc w:val="both"/>
              <w:rPr>
                <w:b/>
                <w:sz w:val="22"/>
                <w:szCs w:val="22"/>
              </w:rPr>
            </w:pPr>
            <w:r w:rsidRPr="008F176C">
              <w:rPr>
                <w:b/>
                <w:sz w:val="22"/>
                <w:szCs w:val="22"/>
              </w:rPr>
              <w:t>Factor</w:t>
            </w:r>
          </w:p>
        </w:tc>
        <w:tc>
          <w:tcPr>
            <w:tcW w:w="2126" w:type="dxa"/>
          </w:tcPr>
          <w:p w14:paraId="0C986D92" w14:textId="77777777" w:rsidR="00237BFA" w:rsidRPr="00E21948" w:rsidRDefault="00237BFA" w:rsidP="00F610A5">
            <w:pPr>
              <w:jc w:val="right"/>
              <w:rPr>
                <w:b/>
                <w:sz w:val="22"/>
                <w:szCs w:val="22"/>
              </w:rPr>
            </w:pPr>
            <w:r w:rsidRPr="00E21948">
              <w:rPr>
                <w:b/>
                <w:sz w:val="22"/>
                <w:szCs w:val="22"/>
              </w:rPr>
              <w:t>£Day Rate Value</w:t>
            </w:r>
          </w:p>
        </w:tc>
      </w:tr>
      <w:tr w:rsidR="00237BFA" w14:paraId="35B8CF5D" w14:textId="77777777" w:rsidTr="00F610A5">
        <w:tc>
          <w:tcPr>
            <w:tcW w:w="6629" w:type="dxa"/>
          </w:tcPr>
          <w:p w14:paraId="56EEBCB6" w14:textId="77777777" w:rsidR="00237BFA" w:rsidRPr="008F176C" w:rsidRDefault="00237BFA" w:rsidP="00F610A5">
            <w:pPr>
              <w:jc w:val="both"/>
              <w:rPr>
                <w:sz w:val="22"/>
                <w:szCs w:val="22"/>
              </w:rPr>
            </w:pPr>
            <w:r w:rsidRPr="008F176C">
              <w:rPr>
                <w:sz w:val="22"/>
                <w:szCs w:val="22"/>
              </w:rPr>
              <w:t>Main pupil-need led provision</w:t>
            </w:r>
          </w:p>
        </w:tc>
        <w:tc>
          <w:tcPr>
            <w:tcW w:w="2126" w:type="dxa"/>
          </w:tcPr>
          <w:p w14:paraId="1FCA7A0C" w14:textId="77777777" w:rsidR="00237BFA" w:rsidRPr="00E21948" w:rsidRDefault="00237BFA" w:rsidP="00F610A5">
            <w:pPr>
              <w:jc w:val="right"/>
              <w:rPr>
                <w:sz w:val="22"/>
                <w:szCs w:val="22"/>
              </w:rPr>
            </w:pPr>
            <w:r w:rsidRPr="00E21948">
              <w:rPr>
                <w:sz w:val="22"/>
                <w:szCs w:val="22"/>
              </w:rPr>
              <w:t>£67.26</w:t>
            </w:r>
          </w:p>
        </w:tc>
      </w:tr>
      <w:tr w:rsidR="00237BFA" w14:paraId="55442E16" w14:textId="77777777" w:rsidTr="00F610A5">
        <w:tc>
          <w:tcPr>
            <w:tcW w:w="6629" w:type="dxa"/>
          </w:tcPr>
          <w:p w14:paraId="0DF7F4AF" w14:textId="77777777" w:rsidR="00237BFA" w:rsidRPr="008F176C" w:rsidRDefault="00237BFA" w:rsidP="00F610A5">
            <w:pPr>
              <w:jc w:val="both"/>
              <w:rPr>
                <w:sz w:val="22"/>
                <w:szCs w:val="22"/>
              </w:rPr>
            </w:pPr>
            <w:r w:rsidRPr="008F176C">
              <w:rPr>
                <w:sz w:val="22"/>
                <w:szCs w:val="22"/>
              </w:rPr>
              <w:t>Small Setting Protection</w:t>
            </w:r>
          </w:p>
        </w:tc>
        <w:tc>
          <w:tcPr>
            <w:tcW w:w="2126" w:type="dxa"/>
          </w:tcPr>
          <w:p w14:paraId="7C72A581" w14:textId="77777777" w:rsidR="00237BFA" w:rsidRPr="00E21948" w:rsidRDefault="00237BFA" w:rsidP="00F610A5">
            <w:pPr>
              <w:jc w:val="right"/>
              <w:rPr>
                <w:sz w:val="22"/>
                <w:szCs w:val="22"/>
              </w:rPr>
            </w:pPr>
            <w:r w:rsidRPr="00E21948">
              <w:rPr>
                <w:sz w:val="22"/>
                <w:szCs w:val="22"/>
              </w:rPr>
              <w:t>£5.55</w:t>
            </w:r>
          </w:p>
        </w:tc>
      </w:tr>
      <w:tr w:rsidR="00237BFA" w14:paraId="32250AF0" w14:textId="77777777" w:rsidTr="00F610A5">
        <w:tc>
          <w:tcPr>
            <w:tcW w:w="6629" w:type="dxa"/>
          </w:tcPr>
          <w:p w14:paraId="33A8F54F" w14:textId="77777777" w:rsidR="00237BFA" w:rsidRPr="008F176C" w:rsidRDefault="00237BFA" w:rsidP="00F610A5">
            <w:pPr>
              <w:jc w:val="both"/>
              <w:rPr>
                <w:sz w:val="22"/>
                <w:szCs w:val="22"/>
              </w:rPr>
            </w:pPr>
            <w:r w:rsidRPr="008F176C">
              <w:rPr>
                <w:sz w:val="22"/>
                <w:szCs w:val="22"/>
              </w:rPr>
              <w:t>Business Rates</w:t>
            </w:r>
          </w:p>
        </w:tc>
        <w:tc>
          <w:tcPr>
            <w:tcW w:w="2126" w:type="dxa"/>
          </w:tcPr>
          <w:p w14:paraId="73D7A014" w14:textId="77777777" w:rsidR="00237BFA" w:rsidRPr="00E21948" w:rsidRDefault="00237BFA" w:rsidP="00F610A5">
            <w:pPr>
              <w:jc w:val="right"/>
              <w:rPr>
                <w:sz w:val="22"/>
                <w:szCs w:val="22"/>
              </w:rPr>
            </w:pPr>
            <w:r w:rsidRPr="00E21948">
              <w:rPr>
                <w:sz w:val="22"/>
                <w:szCs w:val="22"/>
              </w:rPr>
              <w:t>£2.02</w:t>
            </w:r>
          </w:p>
        </w:tc>
      </w:tr>
      <w:tr w:rsidR="00237BFA" w14:paraId="47FD2B47" w14:textId="77777777" w:rsidTr="00F610A5">
        <w:tc>
          <w:tcPr>
            <w:tcW w:w="6629" w:type="dxa"/>
          </w:tcPr>
          <w:p w14:paraId="522173C6" w14:textId="77777777" w:rsidR="00237BFA" w:rsidRPr="008F176C" w:rsidRDefault="00237BFA" w:rsidP="00F610A5">
            <w:pPr>
              <w:jc w:val="both"/>
              <w:rPr>
                <w:sz w:val="22"/>
                <w:szCs w:val="22"/>
              </w:rPr>
            </w:pPr>
            <w:r w:rsidRPr="008F176C">
              <w:rPr>
                <w:sz w:val="22"/>
                <w:szCs w:val="22"/>
              </w:rPr>
              <w:t>New Services Delegation</w:t>
            </w:r>
          </w:p>
        </w:tc>
        <w:tc>
          <w:tcPr>
            <w:tcW w:w="2126" w:type="dxa"/>
          </w:tcPr>
          <w:p w14:paraId="686363EB" w14:textId="77777777" w:rsidR="00237BFA" w:rsidRPr="00E21948" w:rsidRDefault="00237BFA" w:rsidP="00F610A5">
            <w:pPr>
              <w:jc w:val="right"/>
              <w:rPr>
                <w:sz w:val="22"/>
                <w:szCs w:val="22"/>
              </w:rPr>
            </w:pPr>
            <w:r w:rsidRPr="00E21948">
              <w:rPr>
                <w:sz w:val="22"/>
                <w:szCs w:val="22"/>
              </w:rPr>
              <w:t>£2.45</w:t>
            </w:r>
          </w:p>
        </w:tc>
      </w:tr>
      <w:tr w:rsidR="00237BFA" w14:paraId="408D338D" w14:textId="77777777" w:rsidTr="00F610A5">
        <w:tc>
          <w:tcPr>
            <w:tcW w:w="6629" w:type="dxa"/>
          </w:tcPr>
          <w:p w14:paraId="567214C3" w14:textId="77777777" w:rsidR="00237BFA" w:rsidRPr="008F176C" w:rsidRDefault="00237BFA" w:rsidP="00F610A5">
            <w:pPr>
              <w:jc w:val="both"/>
              <w:rPr>
                <w:sz w:val="22"/>
                <w:szCs w:val="22"/>
              </w:rPr>
            </w:pPr>
            <w:r w:rsidRPr="008F176C">
              <w:rPr>
                <w:sz w:val="22"/>
                <w:szCs w:val="22"/>
              </w:rPr>
              <w:t>Pupil Mobility</w:t>
            </w:r>
          </w:p>
        </w:tc>
        <w:tc>
          <w:tcPr>
            <w:tcW w:w="2126" w:type="dxa"/>
          </w:tcPr>
          <w:p w14:paraId="7193721A" w14:textId="77777777" w:rsidR="00237BFA" w:rsidRPr="00E21948" w:rsidRDefault="00237BFA" w:rsidP="00F610A5">
            <w:pPr>
              <w:jc w:val="right"/>
              <w:rPr>
                <w:sz w:val="22"/>
                <w:szCs w:val="22"/>
              </w:rPr>
            </w:pPr>
            <w:r w:rsidRPr="00E21948">
              <w:rPr>
                <w:sz w:val="22"/>
                <w:szCs w:val="22"/>
              </w:rPr>
              <w:t>£3.21</w:t>
            </w:r>
          </w:p>
        </w:tc>
      </w:tr>
      <w:tr w:rsidR="00237BFA" w14:paraId="1831FDCF" w14:textId="77777777" w:rsidTr="00F610A5">
        <w:tc>
          <w:tcPr>
            <w:tcW w:w="6629" w:type="dxa"/>
          </w:tcPr>
          <w:p w14:paraId="03FF757A" w14:textId="77777777" w:rsidR="00237BFA" w:rsidRPr="008F176C" w:rsidRDefault="00237BFA" w:rsidP="00F610A5">
            <w:pPr>
              <w:jc w:val="both"/>
              <w:rPr>
                <w:b/>
                <w:sz w:val="22"/>
                <w:szCs w:val="22"/>
              </w:rPr>
            </w:pPr>
            <w:r w:rsidRPr="008F176C">
              <w:rPr>
                <w:b/>
                <w:sz w:val="22"/>
                <w:szCs w:val="22"/>
              </w:rPr>
              <w:t>Total</w:t>
            </w:r>
          </w:p>
        </w:tc>
        <w:tc>
          <w:tcPr>
            <w:tcW w:w="2126" w:type="dxa"/>
          </w:tcPr>
          <w:p w14:paraId="7A4A8735" w14:textId="77777777" w:rsidR="00237BFA" w:rsidRPr="00E21948" w:rsidRDefault="00237BFA" w:rsidP="00F610A5">
            <w:pPr>
              <w:jc w:val="right"/>
              <w:rPr>
                <w:b/>
                <w:sz w:val="22"/>
                <w:szCs w:val="22"/>
              </w:rPr>
            </w:pPr>
            <w:r w:rsidRPr="00E21948">
              <w:rPr>
                <w:b/>
                <w:sz w:val="22"/>
                <w:szCs w:val="22"/>
              </w:rPr>
              <w:t>£80.49</w:t>
            </w:r>
          </w:p>
        </w:tc>
      </w:tr>
    </w:tbl>
    <w:p w14:paraId="50E2A3EC" w14:textId="77777777" w:rsidR="00237BFA" w:rsidRDefault="00237BFA" w:rsidP="00237BFA">
      <w:pPr>
        <w:jc w:val="both"/>
        <w:rPr>
          <w:sz w:val="22"/>
          <w:szCs w:val="22"/>
        </w:rPr>
      </w:pPr>
    </w:p>
    <w:p w14:paraId="21B777A4" w14:textId="77777777" w:rsidR="00237BFA" w:rsidRDefault="00237BFA" w:rsidP="00237BFA">
      <w:pPr>
        <w:jc w:val="both"/>
        <w:rPr>
          <w:sz w:val="22"/>
          <w:szCs w:val="22"/>
        </w:rPr>
      </w:pPr>
      <w:r>
        <w:rPr>
          <w:sz w:val="22"/>
          <w:szCs w:val="22"/>
        </w:rPr>
        <w:t>The equivalent annual per pupil value, based on 195 days, is as follows:</w:t>
      </w:r>
    </w:p>
    <w:p w14:paraId="16759F6E" w14:textId="77777777" w:rsidR="00237BFA" w:rsidRDefault="00237BFA" w:rsidP="00237BFA">
      <w:pPr>
        <w:jc w:val="both"/>
        <w:rPr>
          <w:sz w:val="22"/>
          <w:szCs w:val="22"/>
        </w:rPr>
      </w:pPr>
    </w:p>
    <w:tbl>
      <w:tblPr>
        <w:tblStyle w:val="TableGrid"/>
        <w:tblW w:w="0" w:type="auto"/>
        <w:tblLook w:val="04A0" w:firstRow="1" w:lastRow="0" w:firstColumn="1" w:lastColumn="0" w:noHBand="0" w:noVBand="1"/>
      </w:tblPr>
      <w:tblGrid>
        <w:gridCol w:w="6629"/>
        <w:gridCol w:w="2126"/>
      </w:tblGrid>
      <w:tr w:rsidR="00237BFA" w:rsidRPr="00314EBB" w14:paraId="7A78855B" w14:textId="77777777" w:rsidTr="00F610A5">
        <w:tc>
          <w:tcPr>
            <w:tcW w:w="6629" w:type="dxa"/>
          </w:tcPr>
          <w:p w14:paraId="3971F210" w14:textId="77777777" w:rsidR="00237BFA" w:rsidRPr="008F176C" w:rsidRDefault="00237BFA" w:rsidP="00F610A5">
            <w:pPr>
              <w:jc w:val="both"/>
              <w:rPr>
                <w:b/>
                <w:sz w:val="22"/>
                <w:szCs w:val="22"/>
              </w:rPr>
            </w:pPr>
            <w:r w:rsidRPr="008F176C">
              <w:rPr>
                <w:b/>
                <w:sz w:val="22"/>
                <w:szCs w:val="22"/>
              </w:rPr>
              <w:t>Factor</w:t>
            </w:r>
          </w:p>
        </w:tc>
        <w:tc>
          <w:tcPr>
            <w:tcW w:w="2126" w:type="dxa"/>
          </w:tcPr>
          <w:p w14:paraId="63602501" w14:textId="77777777" w:rsidR="00237BFA" w:rsidRPr="00E21948" w:rsidRDefault="00237BFA" w:rsidP="00F610A5">
            <w:pPr>
              <w:jc w:val="right"/>
              <w:rPr>
                <w:b/>
                <w:sz w:val="22"/>
                <w:szCs w:val="22"/>
              </w:rPr>
            </w:pPr>
            <w:r w:rsidRPr="00E21948">
              <w:rPr>
                <w:b/>
                <w:sz w:val="22"/>
                <w:szCs w:val="22"/>
              </w:rPr>
              <w:t>£Day Rate Value</w:t>
            </w:r>
          </w:p>
        </w:tc>
      </w:tr>
      <w:tr w:rsidR="00237BFA" w:rsidRPr="00433121" w14:paraId="0807381C" w14:textId="77777777" w:rsidTr="00F610A5">
        <w:tc>
          <w:tcPr>
            <w:tcW w:w="6629" w:type="dxa"/>
          </w:tcPr>
          <w:p w14:paraId="7CA0E6C5" w14:textId="77777777" w:rsidR="00237BFA" w:rsidRPr="008F176C" w:rsidRDefault="00237BFA" w:rsidP="00F610A5">
            <w:pPr>
              <w:jc w:val="both"/>
              <w:rPr>
                <w:sz w:val="22"/>
                <w:szCs w:val="22"/>
              </w:rPr>
            </w:pPr>
            <w:r w:rsidRPr="008F176C">
              <w:rPr>
                <w:sz w:val="22"/>
                <w:szCs w:val="22"/>
              </w:rPr>
              <w:t>Main pupil-need led provision</w:t>
            </w:r>
          </w:p>
        </w:tc>
        <w:tc>
          <w:tcPr>
            <w:tcW w:w="2126" w:type="dxa"/>
          </w:tcPr>
          <w:p w14:paraId="43C2175E" w14:textId="77777777" w:rsidR="00237BFA" w:rsidRPr="00E21948" w:rsidRDefault="00237BFA" w:rsidP="00F610A5">
            <w:pPr>
              <w:jc w:val="right"/>
              <w:rPr>
                <w:sz w:val="22"/>
                <w:szCs w:val="22"/>
              </w:rPr>
            </w:pPr>
            <w:r w:rsidRPr="00E21948">
              <w:rPr>
                <w:sz w:val="22"/>
                <w:szCs w:val="22"/>
              </w:rPr>
              <w:t>£13,115</w:t>
            </w:r>
          </w:p>
        </w:tc>
      </w:tr>
      <w:tr w:rsidR="00237BFA" w:rsidRPr="00433121" w14:paraId="1C4F6772" w14:textId="77777777" w:rsidTr="00F610A5">
        <w:tc>
          <w:tcPr>
            <w:tcW w:w="6629" w:type="dxa"/>
          </w:tcPr>
          <w:p w14:paraId="18003E2D" w14:textId="77777777" w:rsidR="00237BFA" w:rsidRPr="008F176C" w:rsidRDefault="00237BFA" w:rsidP="00F610A5">
            <w:pPr>
              <w:jc w:val="both"/>
              <w:rPr>
                <w:sz w:val="22"/>
                <w:szCs w:val="22"/>
              </w:rPr>
            </w:pPr>
            <w:r w:rsidRPr="008F176C">
              <w:rPr>
                <w:sz w:val="22"/>
                <w:szCs w:val="22"/>
              </w:rPr>
              <w:t>Small Setting Protection</w:t>
            </w:r>
          </w:p>
        </w:tc>
        <w:tc>
          <w:tcPr>
            <w:tcW w:w="2126" w:type="dxa"/>
          </w:tcPr>
          <w:p w14:paraId="5C5DFA12" w14:textId="77777777" w:rsidR="00237BFA" w:rsidRPr="00E21948" w:rsidRDefault="00237BFA" w:rsidP="00F610A5">
            <w:pPr>
              <w:jc w:val="right"/>
              <w:rPr>
                <w:sz w:val="22"/>
                <w:szCs w:val="22"/>
              </w:rPr>
            </w:pPr>
            <w:r w:rsidRPr="00E21948">
              <w:rPr>
                <w:sz w:val="22"/>
                <w:szCs w:val="22"/>
              </w:rPr>
              <w:t>£1,082</w:t>
            </w:r>
          </w:p>
        </w:tc>
      </w:tr>
      <w:tr w:rsidR="00237BFA" w:rsidRPr="00433121" w14:paraId="4A7AC407" w14:textId="77777777" w:rsidTr="00F610A5">
        <w:tc>
          <w:tcPr>
            <w:tcW w:w="6629" w:type="dxa"/>
          </w:tcPr>
          <w:p w14:paraId="2D405143" w14:textId="77777777" w:rsidR="00237BFA" w:rsidRPr="008F176C" w:rsidRDefault="00237BFA" w:rsidP="00F610A5">
            <w:pPr>
              <w:jc w:val="both"/>
              <w:rPr>
                <w:sz w:val="22"/>
                <w:szCs w:val="22"/>
              </w:rPr>
            </w:pPr>
            <w:r w:rsidRPr="008F176C">
              <w:rPr>
                <w:sz w:val="22"/>
                <w:szCs w:val="22"/>
              </w:rPr>
              <w:t>Business Rates</w:t>
            </w:r>
          </w:p>
        </w:tc>
        <w:tc>
          <w:tcPr>
            <w:tcW w:w="2126" w:type="dxa"/>
          </w:tcPr>
          <w:p w14:paraId="177A50CF" w14:textId="77777777" w:rsidR="00237BFA" w:rsidRPr="00E21948" w:rsidRDefault="00237BFA" w:rsidP="00F610A5">
            <w:pPr>
              <w:jc w:val="right"/>
              <w:rPr>
                <w:sz w:val="22"/>
                <w:szCs w:val="22"/>
              </w:rPr>
            </w:pPr>
            <w:r w:rsidRPr="00E21948">
              <w:rPr>
                <w:sz w:val="22"/>
                <w:szCs w:val="22"/>
              </w:rPr>
              <w:t>£394</w:t>
            </w:r>
          </w:p>
        </w:tc>
      </w:tr>
      <w:tr w:rsidR="00237BFA" w:rsidRPr="00433121" w14:paraId="6D75E268" w14:textId="77777777" w:rsidTr="00F610A5">
        <w:tc>
          <w:tcPr>
            <w:tcW w:w="6629" w:type="dxa"/>
          </w:tcPr>
          <w:p w14:paraId="62BF2E89" w14:textId="77777777" w:rsidR="00237BFA" w:rsidRPr="008F176C" w:rsidRDefault="00237BFA" w:rsidP="00F610A5">
            <w:pPr>
              <w:jc w:val="both"/>
              <w:rPr>
                <w:sz w:val="22"/>
                <w:szCs w:val="22"/>
              </w:rPr>
            </w:pPr>
            <w:r w:rsidRPr="008F176C">
              <w:rPr>
                <w:sz w:val="22"/>
                <w:szCs w:val="22"/>
              </w:rPr>
              <w:t>New Services Delegation</w:t>
            </w:r>
          </w:p>
        </w:tc>
        <w:tc>
          <w:tcPr>
            <w:tcW w:w="2126" w:type="dxa"/>
          </w:tcPr>
          <w:p w14:paraId="5B69307C" w14:textId="77777777" w:rsidR="00237BFA" w:rsidRPr="00E21948" w:rsidRDefault="00237BFA" w:rsidP="00F610A5">
            <w:pPr>
              <w:jc w:val="right"/>
              <w:rPr>
                <w:sz w:val="22"/>
                <w:szCs w:val="22"/>
              </w:rPr>
            </w:pPr>
            <w:r w:rsidRPr="00E21948">
              <w:rPr>
                <w:sz w:val="22"/>
                <w:szCs w:val="22"/>
              </w:rPr>
              <w:t>£478</w:t>
            </w:r>
          </w:p>
        </w:tc>
      </w:tr>
      <w:tr w:rsidR="00237BFA" w:rsidRPr="00433121" w14:paraId="03BA8770" w14:textId="77777777" w:rsidTr="00F610A5">
        <w:tc>
          <w:tcPr>
            <w:tcW w:w="6629" w:type="dxa"/>
          </w:tcPr>
          <w:p w14:paraId="5E7B960F" w14:textId="77777777" w:rsidR="00237BFA" w:rsidRPr="008F176C" w:rsidRDefault="00237BFA" w:rsidP="00F610A5">
            <w:pPr>
              <w:jc w:val="both"/>
              <w:rPr>
                <w:sz w:val="22"/>
                <w:szCs w:val="22"/>
              </w:rPr>
            </w:pPr>
            <w:r w:rsidRPr="008F176C">
              <w:rPr>
                <w:sz w:val="22"/>
                <w:szCs w:val="22"/>
              </w:rPr>
              <w:t>Pupil Mobility</w:t>
            </w:r>
          </w:p>
        </w:tc>
        <w:tc>
          <w:tcPr>
            <w:tcW w:w="2126" w:type="dxa"/>
          </w:tcPr>
          <w:p w14:paraId="4638950A" w14:textId="77777777" w:rsidR="00237BFA" w:rsidRPr="00E21948" w:rsidRDefault="00237BFA" w:rsidP="00F610A5">
            <w:pPr>
              <w:jc w:val="right"/>
              <w:rPr>
                <w:sz w:val="22"/>
                <w:szCs w:val="22"/>
              </w:rPr>
            </w:pPr>
            <w:r w:rsidRPr="00E21948">
              <w:rPr>
                <w:sz w:val="22"/>
                <w:szCs w:val="22"/>
              </w:rPr>
              <w:t>£627</w:t>
            </w:r>
          </w:p>
        </w:tc>
      </w:tr>
      <w:tr w:rsidR="00237BFA" w:rsidRPr="00433121" w14:paraId="70CD5B0A" w14:textId="77777777" w:rsidTr="00F610A5">
        <w:tc>
          <w:tcPr>
            <w:tcW w:w="6629" w:type="dxa"/>
          </w:tcPr>
          <w:p w14:paraId="25EA8F42" w14:textId="77777777" w:rsidR="00237BFA" w:rsidRPr="008F176C" w:rsidRDefault="00237BFA" w:rsidP="00F610A5">
            <w:pPr>
              <w:jc w:val="both"/>
              <w:rPr>
                <w:b/>
                <w:sz w:val="22"/>
                <w:szCs w:val="22"/>
              </w:rPr>
            </w:pPr>
            <w:r w:rsidRPr="008F176C">
              <w:rPr>
                <w:b/>
                <w:sz w:val="22"/>
                <w:szCs w:val="22"/>
              </w:rPr>
              <w:t>Total</w:t>
            </w:r>
          </w:p>
        </w:tc>
        <w:tc>
          <w:tcPr>
            <w:tcW w:w="2126" w:type="dxa"/>
          </w:tcPr>
          <w:p w14:paraId="328699F7" w14:textId="77777777" w:rsidR="00237BFA" w:rsidRPr="00E21948" w:rsidRDefault="00237BFA" w:rsidP="00F610A5">
            <w:pPr>
              <w:jc w:val="right"/>
              <w:rPr>
                <w:b/>
                <w:sz w:val="22"/>
                <w:szCs w:val="22"/>
              </w:rPr>
            </w:pPr>
            <w:r w:rsidRPr="00E21948">
              <w:rPr>
                <w:b/>
                <w:sz w:val="22"/>
                <w:szCs w:val="22"/>
              </w:rPr>
              <w:t>£15,696</w:t>
            </w:r>
          </w:p>
        </w:tc>
      </w:tr>
    </w:tbl>
    <w:p w14:paraId="063026EA" w14:textId="77777777" w:rsidR="00237BFA" w:rsidRDefault="00237BFA" w:rsidP="00237BFA">
      <w:pPr>
        <w:jc w:val="both"/>
        <w:rPr>
          <w:sz w:val="22"/>
          <w:szCs w:val="22"/>
        </w:rPr>
      </w:pPr>
    </w:p>
    <w:p w14:paraId="19067EDF" w14:textId="3F92099B" w:rsidR="00237BFA" w:rsidRDefault="00237BFA" w:rsidP="00237BFA">
      <w:pPr>
        <w:jc w:val="both"/>
        <w:rPr>
          <w:sz w:val="22"/>
          <w:szCs w:val="22"/>
        </w:rPr>
      </w:pPr>
      <w:r>
        <w:rPr>
          <w:sz w:val="22"/>
          <w:szCs w:val="22"/>
        </w:rPr>
        <w:t xml:space="preserve">10.4 It is proposed to continue to apply the Day Rate Model, as it was applied in 2024/25, with the calculation of a </w:t>
      </w:r>
      <w:r w:rsidRPr="008F176C">
        <w:rPr>
          <w:sz w:val="22"/>
          <w:szCs w:val="22"/>
        </w:rPr>
        <w:t xml:space="preserve">minimum </w:t>
      </w:r>
      <w:r>
        <w:rPr>
          <w:sz w:val="22"/>
          <w:szCs w:val="22"/>
        </w:rPr>
        <w:t>top-up</w:t>
      </w:r>
      <w:r w:rsidRPr="008F176C">
        <w:rPr>
          <w:sz w:val="22"/>
          <w:szCs w:val="22"/>
        </w:rPr>
        <w:t xml:space="preserve"> funding</w:t>
      </w:r>
      <w:r>
        <w:rPr>
          <w:sz w:val="22"/>
          <w:szCs w:val="22"/>
        </w:rPr>
        <w:t xml:space="preserve"> value</w:t>
      </w:r>
      <w:r w:rsidRPr="008F176C">
        <w:rPr>
          <w:sz w:val="22"/>
          <w:szCs w:val="22"/>
        </w:rPr>
        <w:t xml:space="preserve"> based on each setting’s agreed commissioned places number</w:t>
      </w:r>
      <w:r>
        <w:rPr>
          <w:sz w:val="22"/>
          <w:szCs w:val="22"/>
        </w:rPr>
        <w:t xml:space="preserve">. </w:t>
      </w:r>
      <w:r w:rsidRPr="009A28BF">
        <w:rPr>
          <w:sz w:val="22"/>
          <w:szCs w:val="22"/>
        </w:rPr>
        <w:t>In this way, the</w:t>
      </w:r>
      <w:r>
        <w:rPr>
          <w:sz w:val="22"/>
          <w:szCs w:val="22"/>
        </w:rPr>
        <w:t xml:space="preserve"> funding model continues to support both Park Aspire and BAPA</w:t>
      </w:r>
      <w:r w:rsidRPr="009A28BF">
        <w:rPr>
          <w:sz w:val="22"/>
          <w:szCs w:val="22"/>
        </w:rPr>
        <w:t xml:space="preserve"> </w:t>
      </w:r>
      <w:r>
        <w:rPr>
          <w:sz w:val="22"/>
          <w:szCs w:val="22"/>
        </w:rPr>
        <w:t>to retain their unique capacities to deliver the number of places the Authority plans to commission. Please note that the workings below use the current 2024/25 Day Rate value. The 2025/26 Day Rate value is still to be decided and would replace the 2024/25 value in the calculations below:</w:t>
      </w:r>
    </w:p>
    <w:p w14:paraId="293E0143" w14:textId="77777777" w:rsidR="00237BFA" w:rsidRPr="00F85DD6" w:rsidRDefault="00237BFA" w:rsidP="00237BFA">
      <w:pPr>
        <w:jc w:val="both"/>
        <w:rPr>
          <w:color w:val="000000" w:themeColor="text1"/>
          <w:sz w:val="22"/>
          <w:szCs w:val="22"/>
        </w:rPr>
      </w:pPr>
    </w:p>
    <w:p w14:paraId="4AC32F6C" w14:textId="77777777" w:rsidR="00237BFA" w:rsidRPr="00E21948" w:rsidRDefault="00237BFA" w:rsidP="00237BFA">
      <w:pPr>
        <w:pStyle w:val="ListParagraph"/>
        <w:numPr>
          <w:ilvl w:val="0"/>
          <w:numId w:val="12"/>
        </w:numPr>
        <w:jc w:val="both"/>
        <w:rPr>
          <w:sz w:val="22"/>
          <w:szCs w:val="22"/>
        </w:rPr>
      </w:pPr>
      <w:r w:rsidRPr="00E21948">
        <w:rPr>
          <w:sz w:val="22"/>
          <w:szCs w:val="22"/>
        </w:rPr>
        <w:t xml:space="preserve">Where Park Aspire and BAPA are close to full occupancy throughout the year, they will be funded at £80.49 per day per pupil / £15,696 per year per pupil. </w:t>
      </w:r>
    </w:p>
    <w:p w14:paraId="3CFF1209" w14:textId="77777777" w:rsidR="00237BFA" w:rsidRPr="00E21948" w:rsidRDefault="00237BFA" w:rsidP="00237BFA">
      <w:pPr>
        <w:pStyle w:val="ListParagraph"/>
        <w:ind w:left="420"/>
        <w:jc w:val="both"/>
        <w:rPr>
          <w:sz w:val="22"/>
          <w:szCs w:val="22"/>
        </w:rPr>
      </w:pPr>
    </w:p>
    <w:p w14:paraId="2063A7E8" w14:textId="77777777" w:rsidR="00237BFA" w:rsidRPr="00E21948" w:rsidRDefault="00237BFA" w:rsidP="00237BFA">
      <w:pPr>
        <w:pStyle w:val="ListParagraph"/>
        <w:numPr>
          <w:ilvl w:val="0"/>
          <w:numId w:val="12"/>
        </w:numPr>
        <w:jc w:val="both"/>
        <w:rPr>
          <w:sz w:val="22"/>
          <w:szCs w:val="22"/>
        </w:rPr>
      </w:pPr>
      <w:r w:rsidRPr="00E21948">
        <w:rPr>
          <w:sz w:val="22"/>
          <w:szCs w:val="22"/>
        </w:rPr>
        <w:t>The basic day rate value of £80.49 will be adjusted however, where necessary should occupancy fluctuate, to ensure a minimum level of funding to enable capacity retention, meaning that Park Aspire and BAPA will not receive an annual cash total value of top-up funding lower than:</w:t>
      </w:r>
    </w:p>
    <w:p w14:paraId="2A2D3172" w14:textId="77777777" w:rsidR="00237BFA" w:rsidRPr="00E21948" w:rsidRDefault="00237BFA" w:rsidP="00237BFA">
      <w:pPr>
        <w:pStyle w:val="ListParagraph"/>
        <w:ind w:left="420"/>
        <w:jc w:val="both"/>
        <w:rPr>
          <w:sz w:val="22"/>
          <w:szCs w:val="22"/>
        </w:rPr>
      </w:pPr>
    </w:p>
    <w:p w14:paraId="22CEA4CD" w14:textId="77777777" w:rsidR="00237BFA" w:rsidRPr="004E192D" w:rsidRDefault="00237BFA" w:rsidP="00237BFA">
      <w:pPr>
        <w:pStyle w:val="ListParagraph"/>
        <w:numPr>
          <w:ilvl w:val="1"/>
          <w:numId w:val="12"/>
        </w:numPr>
        <w:jc w:val="both"/>
        <w:rPr>
          <w:sz w:val="22"/>
          <w:szCs w:val="22"/>
        </w:rPr>
      </w:pPr>
      <w:r w:rsidRPr="00E21948">
        <w:rPr>
          <w:sz w:val="22"/>
          <w:szCs w:val="22"/>
        </w:rPr>
        <w:t xml:space="preserve">(£1,082 + £394 + £478 + £627) x no. </w:t>
      </w:r>
      <w:r w:rsidRPr="004E192D">
        <w:rPr>
          <w:sz w:val="22"/>
          <w:szCs w:val="22"/>
        </w:rPr>
        <w:t>of places (for setting-based costs), plus</w:t>
      </w:r>
    </w:p>
    <w:p w14:paraId="6C9523C3" w14:textId="77777777" w:rsidR="00237BFA" w:rsidRPr="00E21948" w:rsidRDefault="00237BFA" w:rsidP="00237BFA">
      <w:pPr>
        <w:pStyle w:val="ListParagraph"/>
        <w:ind w:left="1140"/>
        <w:jc w:val="both"/>
        <w:rPr>
          <w:sz w:val="22"/>
          <w:szCs w:val="22"/>
        </w:rPr>
      </w:pPr>
    </w:p>
    <w:p w14:paraId="3089E122" w14:textId="77777777" w:rsidR="00237BFA" w:rsidRPr="00E21948" w:rsidRDefault="00237BFA" w:rsidP="00237BFA">
      <w:pPr>
        <w:pStyle w:val="ListParagraph"/>
        <w:numPr>
          <w:ilvl w:val="1"/>
          <w:numId w:val="12"/>
        </w:numPr>
        <w:jc w:val="both"/>
        <w:rPr>
          <w:sz w:val="22"/>
          <w:szCs w:val="22"/>
        </w:rPr>
      </w:pPr>
      <w:r w:rsidRPr="00E21948">
        <w:rPr>
          <w:sz w:val="22"/>
          <w:szCs w:val="22"/>
        </w:rPr>
        <w:t>88% of £13,115 x no. of places (for main pupil-led need provision)</w:t>
      </w:r>
    </w:p>
    <w:p w14:paraId="348EA168" w14:textId="77777777" w:rsidR="00237BFA" w:rsidRDefault="00237BFA" w:rsidP="00237BFA">
      <w:pPr>
        <w:jc w:val="both"/>
        <w:rPr>
          <w:sz w:val="22"/>
          <w:szCs w:val="22"/>
        </w:rPr>
      </w:pPr>
    </w:p>
    <w:p w14:paraId="5ED2D444" w14:textId="78177E05" w:rsidR="00237BFA" w:rsidRDefault="00681131" w:rsidP="00237BFA">
      <w:pPr>
        <w:jc w:val="both"/>
        <w:rPr>
          <w:sz w:val="22"/>
          <w:szCs w:val="22"/>
        </w:rPr>
      </w:pPr>
      <w:r>
        <w:rPr>
          <w:sz w:val="22"/>
          <w:szCs w:val="22"/>
        </w:rPr>
        <w:t>10</w:t>
      </w:r>
      <w:r w:rsidR="00237BFA">
        <w:rPr>
          <w:sz w:val="22"/>
          <w:szCs w:val="22"/>
        </w:rPr>
        <w:t>.</w:t>
      </w:r>
      <w:r>
        <w:rPr>
          <w:sz w:val="22"/>
          <w:szCs w:val="22"/>
        </w:rPr>
        <w:t>5</w:t>
      </w:r>
      <w:r w:rsidR="00237BFA">
        <w:rPr>
          <w:sz w:val="22"/>
          <w:szCs w:val="22"/>
        </w:rPr>
        <w:t xml:space="preserve"> </w:t>
      </w:r>
      <w:r>
        <w:rPr>
          <w:sz w:val="22"/>
          <w:szCs w:val="22"/>
        </w:rPr>
        <w:t>It is proposed also to</w:t>
      </w:r>
      <w:r w:rsidR="00237BFA">
        <w:rPr>
          <w:sz w:val="22"/>
          <w:szCs w:val="22"/>
        </w:rPr>
        <w:t xml:space="preserve"> continue the following two technical features, which relate to the application ‘in year’ of the Day Rate Model in 2025/26:</w:t>
      </w:r>
    </w:p>
    <w:p w14:paraId="59262B77" w14:textId="77777777" w:rsidR="00237BFA" w:rsidRDefault="00237BFA" w:rsidP="00237BFA">
      <w:pPr>
        <w:jc w:val="both"/>
        <w:rPr>
          <w:sz w:val="22"/>
          <w:szCs w:val="22"/>
        </w:rPr>
      </w:pPr>
    </w:p>
    <w:p w14:paraId="285E4A40" w14:textId="77777777" w:rsidR="00237BFA" w:rsidRDefault="00237BFA" w:rsidP="00237BFA">
      <w:pPr>
        <w:pStyle w:val="ListParagraph"/>
        <w:numPr>
          <w:ilvl w:val="0"/>
          <w:numId w:val="10"/>
        </w:numPr>
        <w:ind w:left="360"/>
        <w:jc w:val="both"/>
        <w:rPr>
          <w:sz w:val="22"/>
          <w:szCs w:val="22"/>
        </w:rPr>
      </w:pPr>
      <w:r>
        <w:rPr>
          <w:sz w:val="22"/>
          <w:szCs w:val="22"/>
        </w:rPr>
        <w:t>We will continue to use the 10</w:t>
      </w:r>
      <w:r w:rsidRPr="00285D38">
        <w:rPr>
          <w:sz w:val="22"/>
          <w:szCs w:val="22"/>
          <w:vertAlign w:val="superscript"/>
        </w:rPr>
        <w:t>th</w:t>
      </w:r>
      <w:r>
        <w:rPr>
          <w:sz w:val="22"/>
          <w:szCs w:val="22"/>
        </w:rPr>
        <w:t xml:space="preserve"> of the month census to count (and re-count) occupancy, which is the process followed for the re-calculation of Banded Model funding for EHCPs. We will continue to re-calculate the funding of Park Aspire and BAPA on a monthly basis as now, taking the 10</w:t>
      </w:r>
      <w:r w:rsidRPr="003C4F3B">
        <w:rPr>
          <w:sz w:val="22"/>
          <w:szCs w:val="22"/>
          <w:vertAlign w:val="superscript"/>
        </w:rPr>
        <w:t>th</w:t>
      </w:r>
      <w:r>
        <w:rPr>
          <w:sz w:val="22"/>
          <w:szCs w:val="22"/>
        </w:rPr>
        <w:t xml:space="preserve"> of the month census as the actual occupancy for that month. We will keep this approach under review for future years. The DfE has signalled, in the national SEND and Alternative Provision Review, that there will be a move towards ‘fixed’ budgets for PRUs and alternative provision academies, where funding allocations will not be affected by ‘in year’ occupancy. Whilst we await further details, and the timing of any directed changes, we propose to continue our current arrangements. We would emphasise that we already employ a factor, as explained above, which does guarantee settings a minimum level of top-up funding, based on the number of commissioned places, without reference to actual occupancy during the year.</w:t>
      </w:r>
    </w:p>
    <w:p w14:paraId="445340CE" w14:textId="77777777" w:rsidR="00237BFA" w:rsidRPr="00C96E2B" w:rsidRDefault="00237BFA" w:rsidP="00237BFA">
      <w:pPr>
        <w:pStyle w:val="ListParagraph"/>
        <w:ind w:left="360"/>
        <w:jc w:val="both"/>
        <w:rPr>
          <w:sz w:val="22"/>
          <w:szCs w:val="22"/>
        </w:rPr>
      </w:pPr>
    </w:p>
    <w:p w14:paraId="48EA0A95" w14:textId="77777777" w:rsidR="00237BFA" w:rsidRPr="00833415" w:rsidRDefault="00237BFA" w:rsidP="00237BFA">
      <w:pPr>
        <w:pStyle w:val="ListParagraph"/>
        <w:numPr>
          <w:ilvl w:val="0"/>
          <w:numId w:val="10"/>
        </w:numPr>
        <w:ind w:left="360"/>
        <w:jc w:val="both"/>
        <w:rPr>
          <w:sz w:val="22"/>
          <w:szCs w:val="22"/>
        </w:rPr>
      </w:pPr>
      <w:r w:rsidRPr="006223B9">
        <w:rPr>
          <w:sz w:val="22"/>
          <w:szCs w:val="22"/>
        </w:rPr>
        <w:t>W</w:t>
      </w:r>
      <w:r>
        <w:rPr>
          <w:sz w:val="22"/>
          <w:szCs w:val="22"/>
        </w:rPr>
        <w:t>e will</w:t>
      </w:r>
      <w:r w:rsidRPr="006223B9">
        <w:rPr>
          <w:sz w:val="22"/>
          <w:szCs w:val="22"/>
        </w:rPr>
        <w:t xml:space="preserve"> continue to </w:t>
      </w:r>
      <w:r>
        <w:rPr>
          <w:sz w:val="22"/>
          <w:szCs w:val="22"/>
        </w:rPr>
        <w:t xml:space="preserve">calculate and </w:t>
      </w:r>
      <w:r w:rsidRPr="006223B9">
        <w:rPr>
          <w:sz w:val="22"/>
          <w:szCs w:val="22"/>
        </w:rPr>
        <w:t xml:space="preserve">profile </w:t>
      </w:r>
      <w:r>
        <w:rPr>
          <w:sz w:val="22"/>
          <w:szCs w:val="22"/>
        </w:rPr>
        <w:t>top-up funding across 12 months. In previous consultations, we have indicated that we could</w:t>
      </w:r>
      <w:r w:rsidRPr="006223B9">
        <w:rPr>
          <w:sz w:val="22"/>
          <w:szCs w:val="22"/>
        </w:rPr>
        <w:t xml:space="preserve"> be more specific about the number of days delivered and funded each month, taking account of the profile of holidays. </w:t>
      </w:r>
      <w:r>
        <w:rPr>
          <w:sz w:val="22"/>
          <w:szCs w:val="22"/>
        </w:rPr>
        <w:t>We indicated that this would be a more significant matter to consider if the numbers on roll in the PRU / AP academy are significantly different at different times of the year. Again, in the context of the national SEND and Alternative Provision review, it does not make sense for us now pursue review work, which would take our approach to funding further away from the ‘fixed’ budget approach that the DfE has proposed for the future.</w:t>
      </w:r>
    </w:p>
    <w:p w14:paraId="701E9654" w14:textId="77777777" w:rsidR="00237BFA" w:rsidRDefault="00237BFA" w:rsidP="00237BFA">
      <w:pPr>
        <w:jc w:val="both"/>
        <w:rPr>
          <w:sz w:val="22"/>
          <w:szCs w:val="22"/>
        </w:rPr>
      </w:pPr>
    </w:p>
    <w:p w14:paraId="77687CFF" w14:textId="127BC6B1" w:rsidR="006F4CA0" w:rsidRDefault="00681131" w:rsidP="00237BFA">
      <w:pPr>
        <w:jc w:val="both"/>
        <w:rPr>
          <w:sz w:val="22"/>
          <w:szCs w:val="22"/>
        </w:rPr>
      </w:pPr>
      <w:r>
        <w:rPr>
          <w:sz w:val="22"/>
          <w:szCs w:val="22"/>
        </w:rPr>
        <w:t xml:space="preserve">10.6 </w:t>
      </w:r>
      <w:r w:rsidR="005A52C6">
        <w:rPr>
          <w:sz w:val="22"/>
          <w:szCs w:val="22"/>
        </w:rPr>
        <w:t>Highlight</w:t>
      </w:r>
      <w:r w:rsidR="001E33BA">
        <w:rPr>
          <w:sz w:val="22"/>
          <w:szCs w:val="22"/>
        </w:rPr>
        <w:t>ing</w:t>
      </w:r>
      <w:r w:rsidR="005A52C6">
        <w:rPr>
          <w:sz w:val="22"/>
          <w:szCs w:val="22"/>
        </w:rPr>
        <w:t xml:space="preserve"> the continu</w:t>
      </w:r>
      <w:r w:rsidR="00EB613B">
        <w:rPr>
          <w:sz w:val="22"/>
          <w:szCs w:val="22"/>
        </w:rPr>
        <w:t>ity that is</w:t>
      </w:r>
      <w:r w:rsidR="005A52C6">
        <w:rPr>
          <w:sz w:val="22"/>
          <w:szCs w:val="22"/>
        </w:rPr>
        <w:t xml:space="preserve"> proposed in </w:t>
      </w:r>
      <w:r w:rsidR="00793E97">
        <w:rPr>
          <w:sz w:val="22"/>
          <w:szCs w:val="22"/>
        </w:rPr>
        <w:t xml:space="preserve">the </w:t>
      </w:r>
      <w:r w:rsidR="00EB613B">
        <w:rPr>
          <w:sz w:val="22"/>
          <w:szCs w:val="22"/>
        </w:rPr>
        <w:t xml:space="preserve">AP Academy </w:t>
      </w:r>
      <w:r w:rsidR="005A52C6">
        <w:rPr>
          <w:sz w:val="22"/>
          <w:szCs w:val="22"/>
        </w:rPr>
        <w:t>funding mechanism, t</w:t>
      </w:r>
      <w:r w:rsidR="00F241E6">
        <w:rPr>
          <w:sz w:val="22"/>
          <w:szCs w:val="22"/>
        </w:rPr>
        <w:t xml:space="preserve">he </w:t>
      </w:r>
      <w:r w:rsidR="005A52C6">
        <w:rPr>
          <w:sz w:val="22"/>
          <w:szCs w:val="22"/>
        </w:rPr>
        <w:t>key</w:t>
      </w:r>
      <w:r w:rsidR="00F241E6">
        <w:rPr>
          <w:sz w:val="22"/>
          <w:szCs w:val="22"/>
        </w:rPr>
        <w:t xml:space="preserve"> consideration is the value of Day Rate </w:t>
      </w:r>
      <w:r w:rsidR="00EB613B">
        <w:rPr>
          <w:sz w:val="22"/>
          <w:szCs w:val="22"/>
        </w:rPr>
        <w:t xml:space="preserve">that is </w:t>
      </w:r>
      <w:r w:rsidR="001E33BA">
        <w:rPr>
          <w:sz w:val="22"/>
          <w:szCs w:val="22"/>
        </w:rPr>
        <w:t>allocated</w:t>
      </w:r>
      <w:r w:rsidR="00F241E6">
        <w:rPr>
          <w:sz w:val="22"/>
          <w:szCs w:val="22"/>
        </w:rPr>
        <w:t xml:space="preserve"> in 2025/26.</w:t>
      </w:r>
      <w:r>
        <w:rPr>
          <w:sz w:val="22"/>
          <w:szCs w:val="22"/>
        </w:rPr>
        <w:t xml:space="preserve"> </w:t>
      </w:r>
      <w:r w:rsidR="00237BFA">
        <w:rPr>
          <w:sz w:val="22"/>
          <w:szCs w:val="22"/>
        </w:rPr>
        <w:t xml:space="preserve">In September 2024, the Authority presented to the Schools Forum a business case, which </w:t>
      </w:r>
      <w:r>
        <w:rPr>
          <w:sz w:val="22"/>
          <w:szCs w:val="22"/>
        </w:rPr>
        <w:t>scoped</w:t>
      </w:r>
      <w:r w:rsidR="00237BFA">
        <w:rPr>
          <w:sz w:val="22"/>
          <w:szCs w:val="22"/>
        </w:rPr>
        <w:t xml:space="preserve"> potential </w:t>
      </w:r>
      <w:r>
        <w:rPr>
          <w:sz w:val="22"/>
          <w:szCs w:val="22"/>
        </w:rPr>
        <w:t xml:space="preserve">reduction </w:t>
      </w:r>
      <w:r w:rsidR="001E33BA">
        <w:rPr>
          <w:sz w:val="22"/>
          <w:szCs w:val="22"/>
        </w:rPr>
        <w:t>of</w:t>
      </w:r>
      <w:r w:rsidR="00237BFA">
        <w:rPr>
          <w:sz w:val="22"/>
          <w:szCs w:val="22"/>
        </w:rPr>
        <w:t xml:space="preserve"> the </w:t>
      </w:r>
      <w:r>
        <w:rPr>
          <w:sz w:val="22"/>
          <w:szCs w:val="22"/>
        </w:rPr>
        <w:t>D</w:t>
      </w:r>
      <w:r w:rsidR="00237BFA">
        <w:rPr>
          <w:sz w:val="22"/>
          <w:szCs w:val="22"/>
        </w:rPr>
        <w:t xml:space="preserve">ay </w:t>
      </w:r>
      <w:r>
        <w:rPr>
          <w:sz w:val="22"/>
          <w:szCs w:val="22"/>
        </w:rPr>
        <w:t>R</w:t>
      </w:r>
      <w:r w:rsidR="00237BFA">
        <w:rPr>
          <w:sz w:val="22"/>
          <w:szCs w:val="22"/>
        </w:rPr>
        <w:t>ate in 2025/26</w:t>
      </w:r>
      <w:r w:rsidR="00F241E6">
        <w:rPr>
          <w:sz w:val="22"/>
          <w:szCs w:val="22"/>
        </w:rPr>
        <w:t>, via reduction in the new services delegation and small setting protection elements of this rate.</w:t>
      </w:r>
      <w:r w:rsidR="00EB613B">
        <w:rPr>
          <w:sz w:val="22"/>
          <w:szCs w:val="22"/>
        </w:rPr>
        <w:t xml:space="preserve"> This is a potential action to help mitigate against the forecast High Needs Block deficit.</w:t>
      </w:r>
      <w:r w:rsidR="00F241E6">
        <w:rPr>
          <w:sz w:val="22"/>
          <w:szCs w:val="22"/>
        </w:rPr>
        <w:t xml:space="preserve"> </w:t>
      </w:r>
      <w:r w:rsidR="006F4CA0">
        <w:rPr>
          <w:sz w:val="22"/>
          <w:szCs w:val="22"/>
        </w:rPr>
        <w:t>T</w:t>
      </w:r>
      <w:r w:rsidR="00F241E6">
        <w:rPr>
          <w:sz w:val="22"/>
          <w:szCs w:val="22"/>
        </w:rPr>
        <w:t>he business case set out adjustments that, if implemented and in full, would reduce the value of the Day</w:t>
      </w:r>
      <w:r w:rsidR="006F4CA0">
        <w:rPr>
          <w:sz w:val="22"/>
          <w:szCs w:val="22"/>
        </w:rPr>
        <w:t xml:space="preserve"> Rate</w:t>
      </w:r>
      <w:r w:rsidR="00F241E6">
        <w:rPr>
          <w:sz w:val="22"/>
          <w:szCs w:val="22"/>
        </w:rPr>
        <w:t xml:space="preserve"> by £1,561 or </w:t>
      </w:r>
      <w:r w:rsidR="00EB613B">
        <w:rPr>
          <w:sz w:val="22"/>
          <w:szCs w:val="22"/>
        </w:rPr>
        <w:t xml:space="preserve">by </w:t>
      </w:r>
      <w:r w:rsidR="00F241E6">
        <w:rPr>
          <w:sz w:val="22"/>
          <w:szCs w:val="22"/>
        </w:rPr>
        <w:t>10%</w:t>
      </w:r>
      <w:r w:rsidR="00EB613B">
        <w:rPr>
          <w:sz w:val="22"/>
          <w:szCs w:val="22"/>
        </w:rPr>
        <w:t xml:space="preserve"> per pupil</w:t>
      </w:r>
      <w:r w:rsidR="00F241E6">
        <w:rPr>
          <w:sz w:val="22"/>
          <w:szCs w:val="22"/>
        </w:rPr>
        <w:t>. The business case suggested that if reduction was enacted that this would be done incrementally</w:t>
      </w:r>
      <w:r w:rsidR="00EB613B">
        <w:rPr>
          <w:sz w:val="22"/>
          <w:szCs w:val="22"/>
        </w:rPr>
        <w:t xml:space="preserve"> across 2025/26 and 2026/27.</w:t>
      </w:r>
    </w:p>
    <w:p w14:paraId="7D52FB71" w14:textId="77777777" w:rsidR="006F4CA0" w:rsidRDefault="006F4CA0" w:rsidP="00237BFA">
      <w:pPr>
        <w:jc w:val="both"/>
        <w:rPr>
          <w:sz w:val="22"/>
          <w:szCs w:val="22"/>
        </w:rPr>
      </w:pPr>
    </w:p>
    <w:p w14:paraId="230D2908" w14:textId="60F8C095" w:rsidR="00F241E6" w:rsidRDefault="006F4CA0" w:rsidP="00237BFA">
      <w:pPr>
        <w:jc w:val="both"/>
        <w:rPr>
          <w:sz w:val="22"/>
          <w:szCs w:val="22"/>
        </w:rPr>
      </w:pPr>
      <w:r>
        <w:rPr>
          <w:sz w:val="22"/>
          <w:szCs w:val="22"/>
        </w:rPr>
        <w:t xml:space="preserve">10.7 </w:t>
      </w:r>
      <w:r w:rsidR="00F241E6">
        <w:rPr>
          <w:sz w:val="22"/>
          <w:szCs w:val="22"/>
        </w:rPr>
        <w:t>Discussion on the Day Rate should include th</w:t>
      </w:r>
      <w:r w:rsidR="00EB613B">
        <w:rPr>
          <w:sz w:val="22"/>
          <w:szCs w:val="22"/>
        </w:rPr>
        <w:t>e</w:t>
      </w:r>
      <w:r w:rsidR="00F241E6">
        <w:rPr>
          <w:sz w:val="22"/>
          <w:szCs w:val="22"/>
        </w:rPr>
        <w:t xml:space="preserve"> considerations that are important to discussions on the EHCP Banded Model and </w:t>
      </w:r>
      <w:r w:rsidR="00EB613B">
        <w:rPr>
          <w:sz w:val="22"/>
          <w:szCs w:val="22"/>
        </w:rPr>
        <w:t xml:space="preserve">the mitigations relating to </w:t>
      </w:r>
      <w:r w:rsidR="00F241E6">
        <w:rPr>
          <w:sz w:val="22"/>
          <w:szCs w:val="22"/>
        </w:rPr>
        <w:t xml:space="preserve">special school / academy setting-led need factors. It </w:t>
      </w:r>
      <w:r>
        <w:rPr>
          <w:sz w:val="22"/>
          <w:szCs w:val="22"/>
        </w:rPr>
        <w:t>is also important</w:t>
      </w:r>
      <w:r w:rsidR="00F241E6">
        <w:rPr>
          <w:sz w:val="22"/>
          <w:szCs w:val="22"/>
        </w:rPr>
        <w:t xml:space="preserve">, unless there is clear reason </w:t>
      </w:r>
      <w:r w:rsidR="00793E97">
        <w:rPr>
          <w:sz w:val="22"/>
          <w:szCs w:val="22"/>
        </w:rPr>
        <w:t>otherwise</w:t>
      </w:r>
      <w:r w:rsidR="00F241E6">
        <w:rPr>
          <w:sz w:val="22"/>
          <w:szCs w:val="22"/>
        </w:rPr>
        <w:t>,</w:t>
      </w:r>
      <w:r>
        <w:rPr>
          <w:sz w:val="22"/>
          <w:szCs w:val="22"/>
        </w:rPr>
        <w:t xml:space="preserve"> </w:t>
      </w:r>
      <w:r w:rsidR="00EB613B">
        <w:rPr>
          <w:sz w:val="22"/>
          <w:szCs w:val="22"/>
        </w:rPr>
        <w:t xml:space="preserve">that </w:t>
      </w:r>
      <w:r w:rsidR="00F241E6">
        <w:rPr>
          <w:sz w:val="22"/>
          <w:szCs w:val="22"/>
        </w:rPr>
        <w:t>there is parity</w:t>
      </w:r>
      <w:r w:rsidR="00FB3B8D">
        <w:rPr>
          <w:sz w:val="22"/>
          <w:szCs w:val="22"/>
        </w:rPr>
        <w:t xml:space="preserve"> in the overall scale of adjustments</w:t>
      </w:r>
      <w:r w:rsidR="00EB613B">
        <w:rPr>
          <w:sz w:val="22"/>
          <w:szCs w:val="22"/>
        </w:rPr>
        <w:t>,</w:t>
      </w:r>
      <w:r w:rsidR="00FB3B8D">
        <w:rPr>
          <w:sz w:val="22"/>
          <w:szCs w:val="22"/>
        </w:rPr>
        <w:t xml:space="preserve"> between special schools / academies and AP Academies</w:t>
      </w:r>
      <w:r w:rsidR="00EB613B">
        <w:rPr>
          <w:sz w:val="22"/>
          <w:szCs w:val="22"/>
        </w:rPr>
        <w:t>,</w:t>
      </w:r>
      <w:r>
        <w:rPr>
          <w:sz w:val="22"/>
          <w:szCs w:val="22"/>
        </w:rPr>
        <w:t xml:space="preserve"> and that the position of the Day Rate is consistent with what happens with EHCP top-up funding</w:t>
      </w:r>
      <w:r w:rsidR="0001755A">
        <w:rPr>
          <w:sz w:val="22"/>
          <w:szCs w:val="22"/>
        </w:rPr>
        <w:t xml:space="preserve"> (Band 4)</w:t>
      </w:r>
      <w:r w:rsidR="00FB3B8D">
        <w:rPr>
          <w:sz w:val="22"/>
          <w:szCs w:val="22"/>
        </w:rPr>
        <w:t xml:space="preserve">. Alignment with the mainstream sector is also </w:t>
      </w:r>
      <w:r>
        <w:rPr>
          <w:sz w:val="22"/>
          <w:szCs w:val="22"/>
        </w:rPr>
        <w:t xml:space="preserve">an </w:t>
      </w:r>
      <w:r w:rsidR="00FB3B8D">
        <w:rPr>
          <w:sz w:val="22"/>
          <w:szCs w:val="22"/>
        </w:rPr>
        <w:t>important consider</w:t>
      </w:r>
      <w:r>
        <w:rPr>
          <w:sz w:val="22"/>
          <w:szCs w:val="22"/>
        </w:rPr>
        <w:t>ation</w:t>
      </w:r>
      <w:r w:rsidR="00FB3B8D">
        <w:rPr>
          <w:sz w:val="22"/>
          <w:szCs w:val="22"/>
        </w:rPr>
        <w:t xml:space="preserve">. </w:t>
      </w:r>
      <w:r w:rsidR="00F241E6" w:rsidRPr="00793E97">
        <w:rPr>
          <w:sz w:val="22"/>
          <w:szCs w:val="22"/>
        </w:rPr>
        <w:t>Th</w:t>
      </w:r>
      <w:r w:rsidR="00FB3B8D" w:rsidRPr="00793E97">
        <w:rPr>
          <w:sz w:val="22"/>
          <w:szCs w:val="22"/>
        </w:rPr>
        <w:t>e broad</w:t>
      </w:r>
      <w:r w:rsidR="00F241E6" w:rsidRPr="00793E97">
        <w:rPr>
          <w:sz w:val="22"/>
          <w:szCs w:val="22"/>
        </w:rPr>
        <w:t xml:space="preserve"> options</w:t>
      </w:r>
      <w:r w:rsidR="00FB3B8D" w:rsidRPr="00793E97">
        <w:rPr>
          <w:sz w:val="22"/>
          <w:szCs w:val="22"/>
        </w:rPr>
        <w:t xml:space="preserve"> for the AP Day Rate</w:t>
      </w:r>
      <w:r w:rsidR="00F241E6" w:rsidRPr="00793E97">
        <w:rPr>
          <w:sz w:val="22"/>
          <w:szCs w:val="22"/>
        </w:rPr>
        <w:t xml:space="preserve"> for 2025/26 are:</w:t>
      </w:r>
    </w:p>
    <w:p w14:paraId="1CD3C8C9" w14:textId="77777777" w:rsidR="00F241E6" w:rsidRDefault="00F241E6" w:rsidP="00237BFA">
      <w:pPr>
        <w:jc w:val="both"/>
        <w:rPr>
          <w:sz w:val="22"/>
          <w:szCs w:val="22"/>
        </w:rPr>
      </w:pPr>
    </w:p>
    <w:p w14:paraId="333A4768" w14:textId="07AA7502" w:rsidR="00237BFA" w:rsidRDefault="00F241E6" w:rsidP="00207F25">
      <w:pPr>
        <w:pStyle w:val="ListParagraph"/>
        <w:numPr>
          <w:ilvl w:val="0"/>
          <w:numId w:val="24"/>
        </w:numPr>
        <w:jc w:val="both"/>
        <w:rPr>
          <w:sz w:val="22"/>
          <w:szCs w:val="22"/>
        </w:rPr>
      </w:pPr>
      <w:r>
        <w:rPr>
          <w:sz w:val="22"/>
          <w:szCs w:val="22"/>
        </w:rPr>
        <w:t xml:space="preserve">To retain the Day Rate </w:t>
      </w:r>
      <w:r w:rsidR="00FB3B8D">
        <w:rPr>
          <w:sz w:val="22"/>
          <w:szCs w:val="22"/>
        </w:rPr>
        <w:t>at 2024/25 levels i.e. 0% or cash flat.</w:t>
      </w:r>
      <w:r w:rsidR="006F4CA0">
        <w:rPr>
          <w:sz w:val="22"/>
          <w:szCs w:val="22"/>
        </w:rPr>
        <w:t xml:space="preserve"> This effectively is the default position. </w:t>
      </w:r>
      <w:r w:rsidR="00FB3B8D">
        <w:rPr>
          <w:sz w:val="22"/>
          <w:szCs w:val="22"/>
        </w:rPr>
        <w:t>This would align with the</w:t>
      </w:r>
      <w:r w:rsidR="00EB613B">
        <w:rPr>
          <w:sz w:val="22"/>
          <w:szCs w:val="22"/>
        </w:rPr>
        <w:t xml:space="preserve"> DfE’s</w:t>
      </w:r>
      <w:r w:rsidR="00FB3B8D">
        <w:rPr>
          <w:sz w:val="22"/>
          <w:szCs w:val="22"/>
        </w:rPr>
        <w:t xml:space="preserve"> requirement of the Minimum Funding Guarantee for special schools / academies and would also align with the maximum MFG that </w:t>
      </w:r>
      <w:r w:rsidR="001B217E">
        <w:rPr>
          <w:sz w:val="22"/>
          <w:szCs w:val="22"/>
        </w:rPr>
        <w:t>can</w:t>
      </w:r>
      <w:r w:rsidR="00FB3B8D">
        <w:rPr>
          <w:sz w:val="22"/>
          <w:szCs w:val="22"/>
        </w:rPr>
        <w:t xml:space="preserve"> be provided for the mainstream sector. With the inclusion of the Schools Block to High Needs Block transfer, a 0% settlement would </w:t>
      </w:r>
      <w:r w:rsidR="006F4CA0">
        <w:rPr>
          <w:sz w:val="22"/>
          <w:szCs w:val="22"/>
        </w:rPr>
        <w:t xml:space="preserve">also </w:t>
      </w:r>
      <w:r w:rsidR="00FB3B8D">
        <w:rPr>
          <w:sz w:val="22"/>
          <w:szCs w:val="22"/>
        </w:rPr>
        <w:t>align to the per pupil funding result for the majority of mainstream schools and academies.</w:t>
      </w:r>
      <w:r w:rsidR="006F4CA0">
        <w:rPr>
          <w:sz w:val="22"/>
          <w:szCs w:val="22"/>
        </w:rPr>
        <w:t xml:space="preserve"> Without the transfer,</w:t>
      </w:r>
      <w:r w:rsidR="00EB613B">
        <w:rPr>
          <w:sz w:val="22"/>
          <w:szCs w:val="22"/>
        </w:rPr>
        <w:t xml:space="preserve"> it is currently estimated that</w:t>
      </w:r>
      <w:r w:rsidR="006F4CA0">
        <w:rPr>
          <w:sz w:val="22"/>
          <w:szCs w:val="22"/>
        </w:rPr>
        <w:t xml:space="preserve"> mainstream school funding would broadly increase between 0% and 0.6% on a like-for-like basis</w:t>
      </w:r>
      <w:r w:rsidR="00C8429E" w:rsidRPr="00C8429E">
        <w:rPr>
          <w:sz w:val="22"/>
          <w:szCs w:val="22"/>
        </w:rPr>
        <w:t xml:space="preserve"> </w:t>
      </w:r>
      <w:r w:rsidR="00C8429E">
        <w:rPr>
          <w:sz w:val="22"/>
          <w:szCs w:val="22"/>
        </w:rPr>
        <w:t>but excluding the impact of the reduction of the SEND Funding Floor, which would bring the overall settlement back to 0%.</w:t>
      </w:r>
      <w:r w:rsidR="00C8429E">
        <w:rPr>
          <w:sz w:val="22"/>
          <w:szCs w:val="22"/>
        </w:rPr>
        <w:t xml:space="preserve"> </w:t>
      </w:r>
      <w:r w:rsidR="00FB3B8D">
        <w:rPr>
          <w:sz w:val="22"/>
          <w:szCs w:val="22"/>
        </w:rPr>
        <w:t xml:space="preserve">Based on </w:t>
      </w:r>
      <w:r w:rsidR="00EB613B">
        <w:rPr>
          <w:sz w:val="22"/>
          <w:szCs w:val="22"/>
        </w:rPr>
        <w:t xml:space="preserve">a full </w:t>
      </w:r>
      <w:r w:rsidR="00FB3B8D">
        <w:rPr>
          <w:sz w:val="22"/>
          <w:szCs w:val="22"/>
        </w:rPr>
        <w:t xml:space="preserve">90 place provision, an AP academy would receive £900,000 of place funding and £1,312,600 of Day Rate top-up funding, £2,312,600 in total. Estimating that 80% of this is spent on staffing, this would indicate that holding Day Rate funding flat at </w:t>
      </w:r>
      <w:r w:rsidR="006F4CA0">
        <w:rPr>
          <w:sz w:val="22"/>
          <w:szCs w:val="22"/>
        </w:rPr>
        <w:t xml:space="preserve">the </w:t>
      </w:r>
      <w:r w:rsidR="00FB3B8D">
        <w:rPr>
          <w:sz w:val="22"/>
          <w:szCs w:val="22"/>
        </w:rPr>
        <w:t>2024/25</w:t>
      </w:r>
      <w:r w:rsidR="006F4CA0">
        <w:rPr>
          <w:sz w:val="22"/>
          <w:szCs w:val="22"/>
        </w:rPr>
        <w:t xml:space="preserve"> value</w:t>
      </w:r>
      <w:r w:rsidR="00FB3B8D">
        <w:rPr>
          <w:sz w:val="22"/>
          <w:szCs w:val="22"/>
        </w:rPr>
        <w:t xml:space="preserve"> may produce a</w:t>
      </w:r>
      <w:r w:rsidR="0001755A">
        <w:rPr>
          <w:sz w:val="22"/>
          <w:szCs w:val="22"/>
        </w:rPr>
        <w:t xml:space="preserve"> </w:t>
      </w:r>
      <w:r w:rsidR="00FB3B8D">
        <w:rPr>
          <w:sz w:val="22"/>
          <w:szCs w:val="22"/>
        </w:rPr>
        <w:t xml:space="preserve">£18,500 spending pressure for every 1% increase in staffing costs on a full year basis. This </w:t>
      </w:r>
      <w:r w:rsidR="006F4CA0">
        <w:rPr>
          <w:sz w:val="22"/>
          <w:szCs w:val="22"/>
        </w:rPr>
        <w:t>assessment of pressure should</w:t>
      </w:r>
      <w:r w:rsidR="00FB3B8D">
        <w:rPr>
          <w:sz w:val="22"/>
          <w:szCs w:val="22"/>
        </w:rPr>
        <w:t xml:space="preserve"> exclud</w:t>
      </w:r>
      <w:r w:rsidR="006F4CA0">
        <w:rPr>
          <w:sz w:val="22"/>
          <w:szCs w:val="22"/>
        </w:rPr>
        <w:t>e</w:t>
      </w:r>
      <w:r w:rsidR="00FB3B8D">
        <w:rPr>
          <w:sz w:val="22"/>
          <w:szCs w:val="22"/>
        </w:rPr>
        <w:t xml:space="preserve"> the impact of</w:t>
      </w:r>
      <w:r w:rsidR="006F4CA0">
        <w:rPr>
          <w:sz w:val="22"/>
          <w:szCs w:val="22"/>
        </w:rPr>
        <w:t xml:space="preserve"> the</w:t>
      </w:r>
      <w:r w:rsidR="00FB3B8D">
        <w:rPr>
          <w:sz w:val="22"/>
          <w:szCs w:val="22"/>
        </w:rPr>
        <w:t xml:space="preserve"> National Insurance contribution</w:t>
      </w:r>
      <w:r w:rsidR="006F4CA0">
        <w:rPr>
          <w:sz w:val="22"/>
          <w:szCs w:val="22"/>
        </w:rPr>
        <w:t>s</w:t>
      </w:r>
      <w:r w:rsidR="00FB3B8D">
        <w:rPr>
          <w:sz w:val="22"/>
          <w:szCs w:val="22"/>
        </w:rPr>
        <w:t xml:space="preserve"> increase, which is expected to be supported via additional grant. </w:t>
      </w:r>
      <w:r w:rsidR="00E058AE">
        <w:rPr>
          <w:sz w:val="22"/>
          <w:szCs w:val="22"/>
        </w:rPr>
        <w:t>Also potentially providing further compensation, g</w:t>
      </w:r>
      <w:r w:rsidR="00FB3B8D" w:rsidRPr="00FB3B8D">
        <w:rPr>
          <w:sz w:val="22"/>
          <w:szCs w:val="22"/>
        </w:rPr>
        <w:t xml:space="preserve">iven the tightness of the 2025/26 formula funding settlements overall, the Authority would expect the DfE to allocate further teacher pay grant funding into schools where the STRB’s recommendation for the September 2025 teachers’ pay award is outside the range that can be afforded by the settlement. The DfE has done this in each of the last 2 financial years. </w:t>
      </w:r>
      <w:r w:rsidR="006F4CA0">
        <w:rPr>
          <w:sz w:val="22"/>
          <w:szCs w:val="22"/>
        </w:rPr>
        <w:t>However, it is assessed that there is likely to be some reduction in the value of funding in ‘real terms’ should the Day Rate be held at the 2024/25 value.</w:t>
      </w:r>
      <w:r w:rsidR="0001755A">
        <w:rPr>
          <w:sz w:val="22"/>
          <w:szCs w:val="22"/>
        </w:rPr>
        <w:t xml:space="preserve"> This will depend on a number of factors, including pay awards.</w:t>
      </w:r>
      <w:r w:rsidR="006F4CA0">
        <w:rPr>
          <w:sz w:val="22"/>
          <w:szCs w:val="22"/>
        </w:rPr>
        <w:t xml:space="preserve"> </w:t>
      </w:r>
      <w:r w:rsidR="00A72CF8">
        <w:rPr>
          <w:sz w:val="22"/>
          <w:szCs w:val="22"/>
        </w:rPr>
        <w:t>But i</w:t>
      </w:r>
      <w:r w:rsidR="006F4CA0">
        <w:rPr>
          <w:sz w:val="22"/>
          <w:szCs w:val="22"/>
        </w:rPr>
        <w:t>t is also assessed that this is likely to be proportionate to what is happening in the mainstream sector and also, depending on decisions, what is happening in the special schools / academies sector.</w:t>
      </w:r>
      <w:r w:rsidR="0001755A">
        <w:rPr>
          <w:sz w:val="22"/>
          <w:szCs w:val="22"/>
        </w:rPr>
        <w:t xml:space="preserve"> Holding rates of funding cash flat is an important mitigation action for the forecast High Needs Block deficit</w:t>
      </w:r>
      <w:r w:rsidR="00EB613B">
        <w:rPr>
          <w:sz w:val="22"/>
          <w:szCs w:val="22"/>
        </w:rPr>
        <w:t>.</w:t>
      </w:r>
    </w:p>
    <w:p w14:paraId="594CBD9F" w14:textId="77777777" w:rsidR="00A72CF8" w:rsidRDefault="00A72CF8" w:rsidP="00A72CF8">
      <w:pPr>
        <w:pStyle w:val="ListParagraph"/>
        <w:ind w:left="360"/>
        <w:jc w:val="both"/>
        <w:rPr>
          <w:sz w:val="22"/>
          <w:szCs w:val="22"/>
        </w:rPr>
      </w:pPr>
    </w:p>
    <w:p w14:paraId="0B7EE385" w14:textId="26206FF1" w:rsidR="000337D7" w:rsidRDefault="00A72CF8" w:rsidP="00207F25">
      <w:pPr>
        <w:pStyle w:val="ListParagraph"/>
        <w:numPr>
          <w:ilvl w:val="0"/>
          <w:numId w:val="24"/>
        </w:numPr>
        <w:jc w:val="both"/>
        <w:rPr>
          <w:sz w:val="22"/>
          <w:szCs w:val="22"/>
        </w:rPr>
      </w:pPr>
      <w:r w:rsidRPr="00262639">
        <w:rPr>
          <w:sz w:val="22"/>
          <w:szCs w:val="22"/>
        </w:rPr>
        <w:t xml:space="preserve">To enact the </w:t>
      </w:r>
      <w:r w:rsidR="00C8429E">
        <w:rPr>
          <w:sz w:val="22"/>
          <w:szCs w:val="22"/>
        </w:rPr>
        <w:t>actions</w:t>
      </w:r>
      <w:r w:rsidRPr="00262639">
        <w:rPr>
          <w:sz w:val="22"/>
          <w:szCs w:val="22"/>
        </w:rPr>
        <w:t>, either in full or in part, that were set out in the outline business case. The full year full impact would reduce the Day Rate by £1,561 (10% per pupil). For a</w:t>
      </w:r>
      <w:r w:rsidR="00B53E90" w:rsidRPr="00262639">
        <w:rPr>
          <w:sz w:val="22"/>
          <w:szCs w:val="22"/>
        </w:rPr>
        <w:t xml:space="preserve"> full</w:t>
      </w:r>
      <w:r w:rsidRPr="00262639">
        <w:rPr>
          <w:sz w:val="22"/>
          <w:szCs w:val="22"/>
        </w:rPr>
        <w:t xml:space="preserve"> 90-place provision, this would reduce funding on current levels by £140,490 (6%)</w:t>
      </w:r>
      <w:r w:rsidR="0001755A" w:rsidRPr="00262639">
        <w:rPr>
          <w:sz w:val="22"/>
          <w:szCs w:val="22"/>
        </w:rPr>
        <w:t>. This would be</w:t>
      </w:r>
      <w:r w:rsidRPr="00262639">
        <w:rPr>
          <w:sz w:val="22"/>
          <w:szCs w:val="22"/>
        </w:rPr>
        <w:t xml:space="preserve"> in addition to the ‘real terms’ reduction that is assessed in option a. As part of the initial scoping, the Authority discussed</w:t>
      </w:r>
      <w:r w:rsidR="0001755A" w:rsidRPr="00262639">
        <w:rPr>
          <w:sz w:val="22"/>
          <w:szCs w:val="22"/>
        </w:rPr>
        <w:t xml:space="preserve"> the possible options</w:t>
      </w:r>
      <w:r w:rsidRPr="00262639">
        <w:rPr>
          <w:sz w:val="22"/>
          <w:szCs w:val="22"/>
        </w:rPr>
        <w:t xml:space="preserve"> directly with the AP Academies. It was identified </w:t>
      </w:r>
      <w:r w:rsidR="0001755A" w:rsidRPr="00262639">
        <w:rPr>
          <w:sz w:val="22"/>
          <w:szCs w:val="22"/>
        </w:rPr>
        <w:t xml:space="preserve">at this time </w:t>
      </w:r>
      <w:r w:rsidRPr="00262639">
        <w:rPr>
          <w:sz w:val="22"/>
          <w:szCs w:val="22"/>
        </w:rPr>
        <w:t>that a reduction of this size was out of step with the potential reductions to the special school sector (which w</w:t>
      </w:r>
      <w:r w:rsidR="0001755A" w:rsidRPr="00262639">
        <w:rPr>
          <w:sz w:val="22"/>
          <w:szCs w:val="22"/>
        </w:rPr>
        <w:t>ould be</w:t>
      </w:r>
      <w:r w:rsidRPr="00262639">
        <w:rPr>
          <w:sz w:val="22"/>
          <w:szCs w:val="22"/>
        </w:rPr>
        <w:t xml:space="preserve"> around 3.6% per pupil) and so the Authority has already identified that the size of </w:t>
      </w:r>
      <w:r w:rsidR="0001755A" w:rsidRPr="00262639">
        <w:rPr>
          <w:sz w:val="22"/>
          <w:szCs w:val="22"/>
        </w:rPr>
        <w:t>adjustments</w:t>
      </w:r>
      <w:r w:rsidRPr="00262639">
        <w:rPr>
          <w:sz w:val="22"/>
          <w:szCs w:val="22"/>
        </w:rPr>
        <w:t xml:space="preserve"> would be scaled back. In discussing this option further</w:t>
      </w:r>
      <w:r w:rsidR="000337D7" w:rsidRPr="00262639">
        <w:rPr>
          <w:sz w:val="22"/>
          <w:szCs w:val="22"/>
        </w:rPr>
        <w:t xml:space="preserve"> now</w:t>
      </w:r>
      <w:r w:rsidRPr="00262639">
        <w:rPr>
          <w:sz w:val="22"/>
          <w:szCs w:val="22"/>
        </w:rPr>
        <w:t>, it is fair and transparent for the Authority to highlight that the High Needs Block settlement is better than was estimated when the business case was first outlined</w:t>
      </w:r>
      <w:r w:rsidR="0001755A" w:rsidRPr="00262639">
        <w:rPr>
          <w:sz w:val="22"/>
          <w:szCs w:val="22"/>
        </w:rPr>
        <w:t>,</w:t>
      </w:r>
      <w:r w:rsidRPr="00262639">
        <w:rPr>
          <w:sz w:val="22"/>
          <w:szCs w:val="22"/>
        </w:rPr>
        <w:t xml:space="preserve"> and to highlight that it is not expected that the mainstream settlement will actively reduce main core formula funding that is received by primary and secondary schools and academies. The Authority still propos</w:t>
      </w:r>
      <w:r w:rsidR="0001755A" w:rsidRPr="00262639">
        <w:rPr>
          <w:sz w:val="22"/>
          <w:szCs w:val="22"/>
        </w:rPr>
        <w:t>es</w:t>
      </w:r>
      <w:r w:rsidRPr="00262639">
        <w:rPr>
          <w:sz w:val="22"/>
          <w:szCs w:val="22"/>
        </w:rPr>
        <w:t xml:space="preserve"> a review and reduction of the SEND Funding Floor, </w:t>
      </w:r>
      <w:r w:rsidR="0001755A" w:rsidRPr="00262639">
        <w:rPr>
          <w:sz w:val="22"/>
          <w:szCs w:val="22"/>
        </w:rPr>
        <w:t xml:space="preserve">but this is targeted SEND funding that does not apply to all schools and academies and that is allocated in addition to core formula funding. </w:t>
      </w:r>
      <w:r w:rsidR="00622E57" w:rsidRPr="00262639">
        <w:rPr>
          <w:sz w:val="22"/>
          <w:szCs w:val="22"/>
        </w:rPr>
        <w:t>By contrast, t</w:t>
      </w:r>
      <w:r w:rsidR="0001755A" w:rsidRPr="00262639">
        <w:rPr>
          <w:sz w:val="22"/>
          <w:szCs w:val="22"/>
        </w:rPr>
        <w:t xml:space="preserve">he Day Rate </w:t>
      </w:r>
      <w:r w:rsidR="00B53E90" w:rsidRPr="00262639">
        <w:rPr>
          <w:sz w:val="22"/>
          <w:szCs w:val="22"/>
        </w:rPr>
        <w:t>allocates</w:t>
      </w:r>
      <w:r w:rsidR="0001755A" w:rsidRPr="00262639">
        <w:rPr>
          <w:sz w:val="22"/>
          <w:szCs w:val="22"/>
        </w:rPr>
        <w:t xml:space="preserve"> core-formula funding that is received by the AP Academies</w:t>
      </w:r>
      <w:r w:rsidR="00B53E90" w:rsidRPr="00262639">
        <w:rPr>
          <w:sz w:val="22"/>
          <w:szCs w:val="22"/>
        </w:rPr>
        <w:t xml:space="preserve"> to deliver their </w:t>
      </w:r>
      <w:r w:rsidR="00262639" w:rsidRPr="00262639">
        <w:rPr>
          <w:sz w:val="22"/>
          <w:szCs w:val="22"/>
        </w:rPr>
        <w:t xml:space="preserve">core </w:t>
      </w:r>
      <w:r w:rsidR="00B53E90" w:rsidRPr="00262639">
        <w:rPr>
          <w:sz w:val="22"/>
          <w:szCs w:val="22"/>
        </w:rPr>
        <w:t>provision</w:t>
      </w:r>
      <w:r w:rsidR="0001755A" w:rsidRPr="00262639">
        <w:rPr>
          <w:sz w:val="22"/>
          <w:szCs w:val="22"/>
        </w:rPr>
        <w:t>.</w:t>
      </w:r>
      <w:r w:rsidR="00B53E90" w:rsidRPr="00262639">
        <w:rPr>
          <w:sz w:val="22"/>
          <w:szCs w:val="22"/>
        </w:rPr>
        <w:t xml:space="preserve"> It is assessed that active reduction in the value of the Day Rate, in addition to reduction in real terms, will require provisions to reduce costs, </w:t>
      </w:r>
      <w:r w:rsidR="00A25A00" w:rsidRPr="00262639">
        <w:rPr>
          <w:sz w:val="22"/>
          <w:szCs w:val="22"/>
        </w:rPr>
        <w:t xml:space="preserve">and </w:t>
      </w:r>
      <w:r w:rsidR="005E6F3D" w:rsidRPr="00262639">
        <w:rPr>
          <w:sz w:val="22"/>
          <w:szCs w:val="22"/>
        </w:rPr>
        <w:t>likely through staffing changes</w:t>
      </w:r>
      <w:r w:rsidR="000337D7" w:rsidRPr="00262639">
        <w:rPr>
          <w:sz w:val="22"/>
          <w:szCs w:val="22"/>
        </w:rPr>
        <w:t>.</w:t>
      </w:r>
      <w:r w:rsidR="008C2580" w:rsidRPr="00262639">
        <w:rPr>
          <w:sz w:val="22"/>
          <w:szCs w:val="22"/>
        </w:rPr>
        <w:t xml:space="preserve"> </w:t>
      </w:r>
      <w:r w:rsidR="00262639" w:rsidRPr="00CD1778">
        <w:rPr>
          <w:sz w:val="22"/>
          <w:szCs w:val="22"/>
        </w:rPr>
        <w:t xml:space="preserve">This may </w:t>
      </w:r>
      <w:r w:rsidR="00C8429E">
        <w:rPr>
          <w:sz w:val="22"/>
          <w:szCs w:val="22"/>
        </w:rPr>
        <w:t xml:space="preserve">have </w:t>
      </w:r>
      <w:r w:rsidR="00262639">
        <w:rPr>
          <w:sz w:val="22"/>
          <w:szCs w:val="22"/>
        </w:rPr>
        <w:t xml:space="preserve">direct provision impact, but also may </w:t>
      </w:r>
      <w:r w:rsidR="00262639" w:rsidRPr="00CD1778">
        <w:rPr>
          <w:sz w:val="22"/>
          <w:szCs w:val="22"/>
        </w:rPr>
        <w:t xml:space="preserve">have wider implications, including for the creation of additional </w:t>
      </w:r>
      <w:r w:rsidR="00C8429E">
        <w:rPr>
          <w:sz w:val="22"/>
          <w:szCs w:val="22"/>
        </w:rPr>
        <w:t xml:space="preserve">AP </w:t>
      </w:r>
      <w:r w:rsidR="00262639" w:rsidRPr="00CD1778">
        <w:rPr>
          <w:sz w:val="22"/>
          <w:szCs w:val="22"/>
        </w:rPr>
        <w:t xml:space="preserve">local places and for controlling the use of </w:t>
      </w:r>
      <w:r w:rsidR="00C8429E">
        <w:rPr>
          <w:sz w:val="22"/>
          <w:szCs w:val="22"/>
        </w:rPr>
        <w:t xml:space="preserve">AP </w:t>
      </w:r>
      <w:r w:rsidR="00262639" w:rsidRPr="00CD1778">
        <w:rPr>
          <w:sz w:val="22"/>
          <w:szCs w:val="22"/>
        </w:rPr>
        <w:t>independent provisions.</w:t>
      </w:r>
    </w:p>
    <w:p w14:paraId="727C7F67" w14:textId="77777777" w:rsidR="00262639" w:rsidRPr="00262639" w:rsidRDefault="00262639" w:rsidP="00262639">
      <w:pPr>
        <w:pStyle w:val="ListParagraph"/>
        <w:ind w:left="360"/>
        <w:jc w:val="both"/>
        <w:rPr>
          <w:sz w:val="22"/>
          <w:szCs w:val="22"/>
        </w:rPr>
      </w:pPr>
    </w:p>
    <w:p w14:paraId="61F0D0AD" w14:textId="48B1B045" w:rsidR="00C8429E" w:rsidRPr="00C8429E" w:rsidRDefault="000337D7" w:rsidP="001B416B">
      <w:pPr>
        <w:pStyle w:val="ListParagraph"/>
        <w:numPr>
          <w:ilvl w:val="0"/>
          <w:numId w:val="24"/>
        </w:numPr>
        <w:jc w:val="both"/>
        <w:rPr>
          <w:sz w:val="22"/>
          <w:szCs w:val="22"/>
        </w:rPr>
      </w:pPr>
      <w:r>
        <w:rPr>
          <w:sz w:val="22"/>
          <w:szCs w:val="22"/>
        </w:rPr>
        <w:t xml:space="preserve">To uplift the Day Rate on 2024/25 levels. This </w:t>
      </w:r>
      <w:r w:rsidR="00207F25">
        <w:rPr>
          <w:sz w:val="22"/>
          <w:szCs w:val="22"/>
        </w:rPr>
        <w:t>shouldn’t</w:t>
      </w:r>
      <w:r>
        <w:rPr>
          <w:sz w:val="22"/>
          <w:szCs w:val="22"/>
        </w:rPr>
        <w:t xml:space="preserve"> be considered in isolation, and what has been said regarding consistency and parity between sectors is important. It has been the Authority’s standard practice in recent years to adjust the value of the Day Rate annually by the mean increase in Band 4 EHCP Banded Model values. As a default setting, the Authority would expect to apply the same principle in 2025/26. Therefore, what is decided about Band 4 EHCP funding is critical here. As stated under option a, holding rates of funding cash flat is an important mitigation action for the forecasted High Needs Block deficit.</w:t>
      </w:r>
      <w:r w:rsidR="001C1193">
        <w:rPr>
          <w:sz w:val="22"/>
          <w:szCs w:val="22"/>
        </w:rPr>
        <w:t xml:space="preserve"> Given the tightness of the settlements, as indicated by the DfE’s Minimum Funding Guarantee being set at 0%, the scope for increasing top-up funding is assessed to be relatively restricted.</w:t>
      </w:r>
      <w:r w:rsidR="00793E97">
        <w:rPr>
          <w:sz w:val="22"/>
          <w:szCs w:val="22"/>
        </w:rPr>
        <w:t xml:space="preserve"> Whilst it is recognised that there are arguments against the use of benchmarking in this context, it is the case that the benchmarking does show a cons</w:t>
      </w:r>
      <w:r w:rsidR="00207F25">
        <w:rPr>
          <w:sz w:val="22"/>
          <w:szCs w:val="22"/>
        </w:rPr>
        <w:t>istently</w:t>
      </w:r>
      <w:r w:rsidR="00793E97">
        <w:rPr>
          <w:sz w:val="22"/>
          <w:szCs w:val="22"/>
        </w:rPr>
        <w:t xml:space="preserve"> higher level of </w:t>
      </w:r>
      <w:r w:rsidR="00C8429E">
        <w:rPr>
          <w:sz w:val="22"/>
          <w:szCs w:val="22"/>
        </w:rPr>
        <w:t>investment</w:t>
      </w:r>
      <w:r w:rsidR="00793E97">
        <w:rPr>
          <w:sz w:val="22"/>
          <w:szCs w:val="22"/>
        </w:rPr>
        <w:t xml:space="preserve"> in Bradford compared against calculated averages.</w:t>
      </w:r>
      <w:r w:rsidR="00A25A00">
        <w:rPr>
          <w:sz w:val="22"/>
          <w:szCs w:val="22"/>
        </w:rPr>
        <w:t xml:space="preserve"> From our contact with Safety Valve authorities, we are aware that a common deficit mitigation action </w:t>
      </w:r>
      <w:r w:rsidR="00C8429E">
        <w:rPr>
          <w:sz w:val="22"/>
          <w:szCs w:val="22"/>
        </w:rPr>
        <w:t>has been</w:t>
      </w:r>
      <w:r w:rsidR="00A25A00">
        <w:rPr>
          <w:sz w:val="22"/>
          <w:szCs w:val="22"/>
        </w:rPr>
        <w:t xml:space="preserve"> to not uplift funding values.</w:t>
      </w:r>
      <w:r w:rsidR="000771BE">
        <w:rPr>
          <w:sz w:val="22"/>
          <w:szCs w:val="22"/>
        </w:rPr>
        <w:t xml:space="preserve"> For reference, based on 180 places, an increase of </w:t>
      </w:r>
      <w:r w:rsidR="00207F25">
        <w:rPr>
          <w:sz w:val="22"/>
          <w:szCs w:val="22"/>
        </w:rPr>
        <w:t xml:space="preserve">1% in </w:t>
      </w:r>
      <w:r w:rsidR="000771BE">
        <w:rPr>
          <w:sz w:val="22"/>
          <w:szCs w:val="22"/>
        </w:rPr>
        <w:t xml:space="preserve">the Day Rate </w:t>
      </w:r>
      <w:r w:rsidR="00207F25">
        <w:rPr>
          <w:sz w:val="22"/>
          <w:szCs w:val="22"/>
        </w:rPr>
        <w:t>(</w:t>
      </w:r>
      <w:r w:rsidR="000771BE">
        <w:rPr>
          <w:sz w:val="22"/>
          <w:szCs w:val="22"/>
        </w:rPr>
        <w:t>plus place-element funding</w:t>
      </w:r>
      <w:r w:rsidR="00207F25">
        <w:rPr>
          <w:sz w:val="22"/>
          <w:szCs w:val="22"/>
        </w:rPr>
        <w:t>)</w:t>
      </w:r>
      <w:r w:rsidR="000771BE">
        <w:rPr>
          <w:sz w:val="22"/>
          <w:szCs w:val="22"/>
        </w:rPr>
        <w:t xml:space="preserve"> would cost an additional £46,000 </w:t>
      </w:r>
      <w:r w:rsidR="0038314E">
        <w:rPr>
          <w:sz w:val="22"/>
          <w:szCs w:val="22"/>
        </w:rPr>
        <w:t>in 2025/26</w:t>
      </w:r>
      <w:r w:rsidR="000771BE">
        <w:rPr>
          <w:sz w:val="22"/>
          <w:szCs w:val="22"/>
        </w:rPr>
        <w:t>.</w:t>
      </w:r>
      <w:r w:rsidR="0038314E">
        <w:rPr>
          <w:sz w:val="22"/>
          <w:szCs w:val="22"/>
        </w:rPr>
        <w:t xml:space="preserve"> </w:t>
      </w:r>
      <w:r w:rsidR="00890CC6">
        <w:rPr>
          <w:sz w:val="22"/>
          <w:szCs w:val="22"/>
        </w:rPr>
        <w:t>As well as affecting the spending position for 2025/26, t</w:t>
      </w:r>
      <w:r w:rsidR="0038314E">
        <w:rPr>
          <w:sz w:val="22"/>
          <w:szCs w:val="22"/>
        </w:rPr>
        <w:t>his will also have knock-on implications for the base cost that goes forward within the High Needs Block to manage</w:t>
      </w:r>
      <w:r w:rsidR="00207F25">
        <w:rPr>
          <w:sz w:val="22"/>
          <w:szCs w:val="22"/>
        </w:rPr>
        <w:t>, which does need to be considered.</w:t>
      </w:r>
      <w:r w:rsidR="00C8429E">
        <w:rPr>
          <w:sz w:val="22"/>
          <w:szCs w:val="22"/>
        </w:rPr>
        <w:t xml:space="preserve"> </w:t>
      </w:r>
      <w:r w:rsidR="00C8429E" w:rsidRPr="00C8429E">
        <w:rPr>
          <w:sz w:val="22"/>
          <w:szCs w:val="22"/>
        </w:rPr>
        <w:t>This may require reductions in spending in other areas, which may have implications for schools.</w:t>
      </w:r>
    </w:p>
    <w:p w14:paraId="1A9C5FD0" w14:textId="77777777" w:rsidR="00793E97" w:rsidRDefault="00793E97" w:rsidP="001B416B">
      <w:pPr>
        <w:jc w:val="both"/>
        <w:rPr>
          <w:sz w:val="22"/>
          <w:szCs w:val="22"/>
        </w:rPr>
      </w:pPr>
    </w:p>
    <w:p w14:paraId="7859FCFD" w14:textId="77777777" w:rsidR="00C8429E" w:rsidRPr="00181D75" w:rsidRDefault="00C8429E" w:rsidP="001B416B">
      <w:pPr>
        <w:jc w:val="both"/>
        <w:rPr>
          <w:sz w:val="22"/>
          <w:szCs w:val="22"/>
        </w:rPr>
      </w:pPr>
    </w:p>
    <w:p w14:paraId="353FB2A3" w14:textId="54FA9F94" w:rsidR="00181D75" w:rsidRPr="00181D75" w:rsidRDefault="00181D75" w:rsidP="00181D75">
      <w:pPr>
        <w:jc w:val="both"/>
        <w:rPr>
          <w:sz w:val="22"/>
          <w:szCs w:val="22"/>
        </w:rPr>
      </w:pPr>
      <w:r w:rsidRPr="00181D75">
        <w:rPr>
          <w:b/>
          <w:sz w:val="22"/>
          <w:szCs w:val="22"/>
        </w:rPr>
        <w:t>11.</w:t>
      </w:r>
      <w:r w:rsidRPr="00181D75">
        <w:rPr>
          <w:b/>
          <w:sz w:val="22"/>
          <w:szCs w:val="22"/>
        </w:rPr>
        <w:tab/>
        <w:t>Mainstream Primary &amp; Secondary – Notional SEND Budgets</w:t>
      </w:r>
    </w:p>
    <w:p w14:paraId="13103D3C" w14:textId="77777777" w:rsidR="00414CE5" w:rsidRDefault="00414CE5" w:rsidP="001B416B">
      <w:pPr>
        <w:jc w:val="both"/>
        <w:rPr>
          <w:sz w:val="22"/>
          <w:szCs w:val="22"/>
        </w:rPr>
      </w:pPr>
    </w:p>
    <w:p w14:paraId="12E0D52E" w14:textId="3BFC7B89" w:rsidR="00181D75" w:rsidRPr="00F07942" w:rsidRDefault="00181D75" w:rsidP="00181D75">
      <w:pPr>
        <w:jc w:val="both"/>
        <w:rPr>
          <w:bCs/>
          <w:sz w:val="22"/>
          <w:szCs w:val="22"/>
        </w:rPr>
      </w:pPr>
      <w:r>
        <w:rPr>
          <w:bCs/>
          <w:sz w:val="22"/>
          <w:szCs w:val="22"/>
        </w:rPr>
        <w:t>11.1</w:t>
      </w:r>
      <w:r w:rsidRPr="00DF52E4">
        <w:rPr>
          <w:bCs/>
          <w:sz w:val="22"/>
          <w:szCs w:val="22"/>
        </w:rPr>
        <w:t xml:space="preserve"> </w:t>
      </w:r>
      <w:r>
        <w:rPr>
          <w:bCs/>
          <w:sz w:val="22"/>
          <w:szCs w:val="22"/>
        </w:rPr>
        <w:t>The Authority proposes</w:t>
      </w:r>
      <w:r w:rsidRPr="00DF52E4">
        <w:rPr>
          <w:bCs/>
          <w:sz w:val="22"/>
          <w:szCs w:val="22"/>
        </w:rPr>
        <w:t xml:space="preserve"> to slightly amend our definition of Notional SEND budgets within mainstream primary and secondary school and academy formula funding allocations in 202</w:t>
      </w:r>
      <w:r>
        <w:rPr>
          <w:bCs/>
          <w:sz w:val="22"/>
          <w:szCs w:val="22"/>
        </w:rPr>
        <w:t>5</w:t>
      </w:r>
      <w:r w:rsidRPr="00DF52E4">
        <w:rPr>
          <w:bCs/>
          <w:sz w:val="22"/>
          <w:szCs w:val="22"/>
        </w:rPr>
        <w:t>/2</w:t>
      </w:r>
      <w:r>
        <w:rPr>
          <w:bCs/>
          <w:sz w:val="22"/>
          <w:szCs w:val="22"/>
        </w:rPr>
        <w:t>6</w:t>
      </w:r>
      <w:r w:rsidRPr="00DF52E4">
        <w:rPr>
          <w:bCs/>
          <w:sz w:val="22"/>
          <w:szCs w:val="22"/>
        </w:rPr>
        <w:t>.</w:t>
      </w:r>
      <w:r>
        <w:rPr>
          <w:bCs/>
          <w:sz w:val="22"/>
          <w:szCs w:val="22"/>
        </w:rPr>
        <w:t xml:space="preserve"> This proposals was set out in a </w:t>
      </w:r>
      <w:hyperlink r:id="rId16" w:history="1">
        <w:r w:rsidRPr="007C7066">
          <w:rPr>
            <w:rStyle w:val="Hyperlink"/>
            <w:bCs/>
            <w:sz w:val="22"/>
            <w:szCs w:val="22"/>
          </w:rPr>
          <w:t>business case</w:t>
        </w:r>
      </w:hyperlink>
      <w:r>
        <w:rPr>
          <w:bCs/>
          <w:sz w:val="22"/>
          <w:szCs w:val="22"/>
        </w:rPr>
        <w:t xml:space="preserve"> that was published in early October. Please refer to this case for more detailed information on the proposal and modelling for individual schools and academies. </w:t>
      </w:r>
      <w:r>
        <w:rPr>
          <w:sz w:val="22"/>
          <w:szCs w:val="22"/>
        </w:rPr>
        <w:t>These changes are aimed at improving the fairness of our definition and bringing our definition closer into line with other similar authorities, which is felt to be especially important in the run up to the implementation of the ‘hard’ National Funding Formula, where the DfE has previously stated that a consistent national SEND budget definition will be established. The Authority has so far not received any feedback, comment or question on this proposal.</w:t>
      </w:r>
    </w:p>
    <w:p w14:paraId="565EF97C" w14:textId="77777777" w:rsidR="00181D75" w:rsidRDefault="00181D75" w:rsidP="00181D75">
      <w:pPr>
        <w:jc w:val="both"/>
        <w:rPr>
          <w:sz w:val="22"/>
          <w:szCs w:val="22"/>
        </w:rPr>
      </w:pPr>
    </w:p>
    <w:p w14:paraId="1495F798" w14:textId="594A231A" w:rsidR="00181D75" w:rsidRDefault="00181D75" w:rsidP="00181D75">
      <w:pPr>
        <w:jc w:val="both"/>
        <w:rPr>
          <w:sz w:val="22"/>
          <w:szCs w:val="22"/>
        </w:rPr>
      </w:pPr>
      <w:r>
        <w:rPr>
          <w:sz w:val="22"/>
          <w:szCs w:val="22"/>
        </w:rPr>
        <w:t>11.2 It is important to explain that, irrespective of whether we use the existing or proposed amended definition, the overall total value of Notional SEND budgets is expected to increase in 2025/26, due to the merger of the teacher pay and pensions grants and the CSBG into formula funding. Irrespective of changes to the definition, individual schools and academies will also see differences (both up and down) due to pupil numbers and pupil circumstances changes (differences between the October 2024 and the October 2023 Censuses).</w:t>
      </w:r>
    </w:p>
    <w:p w14:paraId="58484B1F" w14:textId="77777777" w:rsidR="00181D75" w:rsidRDefault="00181D75" w:rsidP="00181D75">
      <w:pPr>
        <w:jc w:val="both"/>
        <w:rPr>
          <w:sz w:val="22"/>
          <w:szCs w:val="22"/>
        </w:rPr>
      </w:pPr>
    </w:p>
    <w:p w14:paraId="6876DA59" w14:textId="5E232294" w:rsidR="00181D75" w:rsidRDefault="00181D75" w:rsidP="00181D75">
      <w:pPr>
        <w:jc w:val="both"/>
        <w:rPr>
          <w:sz w:val="22"/>
          <w:szCs w:val="22"/>
        </w:rPr>
      </w:pPr>
      <w:r>
        <w:rPr>
          <w:sz w:val="22"/>
          <w:szCs w:val="22"/>
        </w:rPr>
        <w:t>11.3 It is proposed to adjust our definition as follows:</w:t>
      </w:r>
    </w:p>
    <w:p w14:paraId="32A36C5D" w14:textId="77777777" w:rsidR="00181D75" w:rsidRDefault="00181D75" w:rsidP="00181D75">
      <w:pPr>
        <w:jc w:val="both"/>
        <w:rPr>
          <w:sz w:val="22"/>
          <w:szCs w:val="22"/>
        </w:rPr>
      </w:pPr>
    </w:p>
    <w:p w14:paraId="4280F211" w14:textId="77777777" w:rsidR="00181D75" w:rsidRPr="00C23190" w:rsidRDefault="00181D75" w:rsidP="00181D75">
      <w:pPr>
        <w:jc w:val="both"/>
        <w:rPr>
          <w:sz w:val="22"/>
          <w:szCs w:val="22"/>
          <w:u w:val="single"/>
        </w:rPr>
      </w:pPr>
      <w:r w:rsidRPr="00C23190">
        <w:rPr>
          <w:sz w:val="22"/>
          <w:szCs w:val="22"/>
          <w:u w:val="single"/>
        </w:rPr>
        <w:t>Current</w:t>
      </w:r>
      <w:r>
        <w:rPr>
          <w:sz w:val="22"/>
          <w:szCs w:val="22"/>
          <w:u w:val="single"/>
        </w:rPr>
        <w:t xml:space="preserve"> 2024/25</w:t>
      </w:r>
    </w:p>
    <w:p w14:paraId="67D35E8C" w14:textId="77777777" w:rsidR="00181D75" w:rsidRDefault="00181D75" w:rsidP="00181D75">
      <w:pPr>
        <w:jc w:val="both"/>
        <w:rPr>
          <w:sz w:val="22"/>
          <w:szCs w:val="22"/>
        </w:rPr>
      </w:pPr>
    </w:p>
    <w:tbl>
      <w:tblPr>
        <w:tblStyle w:val="TableGrid"/>
        <w:tblW w:w="0" w:type="auto"/>
        <w:tblLook w:val="04A0" w:firstRow="1" w:lastRow="0" w:firstColumn="1" w:lastColumn="0" w:noHBand="0" w:noVBand="1"/>
      </w:tblPr>
      <w:tblGrid>
        <w:gridCol w:w="6600"/>
        <w:gridCol w:w="1954"/>
        <w:gridCol w:w="2118"/>
      </w:tblGrid>
      <w:tr w:rsidR="00181D75" w:rsidRPr="00D210FF" w14:paraId="516D738C" w14:textId="77777777" w:rsidTr="00F610A5">
        <w:tc>
          <w:tcPr>
            <w:tcW w:w="6600" w:type="dxa"/>
          </w:tcPr>
          <w:p w14:paraId="32DF2209" w14:textId="77777777" w:rsidR="00181D75" w:rsidRPr="00D210FF" w:rsidRDefault="00181D75" w:rsidP="00F610A5">
            <w:pPr>
              <w:jc w:val="both"/>
              <w:rPr>
                <w:b/>
                <w:sz w:val="22"/>
                <w:szCs w:val="22"/>
              </w:rPr>
            </w:pPr>
            <w:r w:rsidRPr="00D210FF">
              <w:rPr>
                <w:b/>
                <w:sz w:val="22"/>
                <w:szCs w:val="22"/>
              </w:rPr>
              <w:t>Formula Factor</w:t>
            </w:r>
          </w:p>
        </w:tc>
        <w:tc>
          <w:tcPr>
            <w:tcW w:w="1954" w:type="dxa"/>
          </w:tcPr>
          <w:p w14:paraId="352992CE" w14:textId="77777777" w:rsidR="00181D75" w:rsidRPr="00D210FF" w:rsidRDefault="00181D75" w:rsidP="00F610A5">
            <w:pPr>
              <w:jc w:val="right"/>
              <w:rPr>
                <w:b/>
                <w:sz w:val="22"/>
                <w:szCs w:val="22"/>
              </w:rPr>
            </w:pPr>
            <w:r w:rsidRPr="00D210FF">
              <w:rPr>
                <w:b/>
                <w:sz w:val="22"/>
                <w:szCs w:val="22"/>
              </w:rPr>
              <w:t>% Primary</w:t>
            </w:r>
          </w:p>
        </w:tc>
        <w:tc>
          <w:tcPr>
            <w:tcW w:w="2118" w:type="dxa"/>
          </w:tcPr>
          <w:p w14:paraId="16F1B305" w14:textId="77777777" w:rsidR="00181D75" w:rsidRPr="00D210FF" w:rsidRDefault="00181D75" w:rsidP="00F610A5">
            <w:pPr>
              <w:jc w:val="right"/>
              <w:rPr>
                <w:b/>
                <w:sz w:val="22"/>
                <w:szCs w:val="22"/>
              </w:rPr>
            </w:pPr>
            <w:r w:rsidRPr="00D210FF">
              <w:rPr>
                <w:b/>
                <w:sz w:val="22"/>
                <w:szCs w:val="22"/>
              </w:rPr>
              <w:t>% Secondary</w:t>
            </w:r>
          </w:p>
        </w:tc>
      </w:tr>
      <w:tr w:rsidR="00181D75" w14:paraId="49407B97" w14:textId="77777777" w:rsidTr="00F610A5">
        <w:tc>
          <w:tcPr>
            <w:tcW w:w="6600" w:type="dxa"/>
          </w:tcPr>
          <w:p w14:paraId="6EF6AC8E" w14:textId="77777777" w:rsidR="00181D75" w:rsidRDefault="00181D75" w:rsidP="00F610A5">
            <w:pPr>
              <w:jc w:val="both"/>
              <w:rPr>
                <w:sz w:val="22"/>
                <w:szCs w:val="22"/>
              </w:rPr>
            </w:pPr>
            <w:r>
              <w:rPr>
                <w:sz w:val="22"/>
                <w:szCs w:val="22"/>
              </w:rPr>
              <w:t>Prior Low Attainment Factor</w:t>
            </w:r>
          </w:p>
        </w:tc>
        <w:tc>
          <w:tcPr>
            <w:tcW w:w="1954" w:type="dxa"/>
          </w:tcPr>
          <w:p w14:paraId="0846B69B" w14:textId="77777777" w:rsidR="00181D75" w:rsidRDefault="00181D75" w:rsidP="00F610A5">
            <w:pPr>
              <w:jc w:val="right"/>
              <w:rPr>
                <w:sz w:val="22"/>
                <w:szCs w:val="22"/>
              </w:rPr>
            </w:pPr>
            <w:r>
              <w:rPr>
                <w:sz w:val="22"/>
                <w:szCs w:val="22"/>
              </w:rPr>
              <w:t>100%</w:t>
            </w:r>
          </w:p>
        </w:tc>
        <w:tc>
          <w:tcPr>
            <w:tcW w:w="2118" w:type="dxa"/>
          </w:tcPr>
          <w:p w14:paraId="1BD804E5" w14:textId="77777777" w:rsidR="00181D75" w:rsidRDefault="00181D75" w:rsidP="00F610A5">
            <w:pPr>
              <w:jc w:val="right"/>
              <w:rPr>
                <w:sz w:val="22"/>
                <w:szCs w:val="22"/>
              </w:rPr>
            </w:pPr>
            <w:r>
              <w:rPr>
                <w:sz w:val="22"/>
                <w:szCs w:val="22"/>
              </w:rPr>
              <w:t>100%</w:t>
            </w:r>
          </w:p>
        </w:tc>
      </w:tr>
      <w:tr w:rsidR="00181D75" w14:paraId="53E46EB1" w14:textId="77777777" w:rsidTr="00F610A5">
        <w:tc>
          <w:tcPr>
            <w:tcW w:w="6600" w:type="dxa"/>
          </w:tcPr>
          <w:p w14:paraId="49D224C0" w14:textId="77777777" w:rsidR="00181D75" w:rsidRDefault="00181D75" w:rsidP="00F610A5">
            <w:pPr>
              <w:jc w:val="both"/>
              <w:rPr>
                <w:sz w:val="22"/>
                <w:szCs w:val="22"/>
              </w:rPr>
            </w:pPr>
            <w:r>
              <w:rPr>
                <w:sz w:val="22"/>
                <w:szCs w:val="22"/>
              </w:rPr>
              <w:t>Free School Meals Factor</w:t>
            </w:r>
          </w:p>
        </w:tc>
        <w:tc>
          <w:tcPr>
            <w:tcW w:w="1954" w:type="dxa"/>
          </w:tcPr>
          <w:p w14:paraId="1DD8ABE0" w14:textId="77777777" w:rsidR="00181D75" w:rsidRDefault="00181D75" w:rsidP="00F610A5">
            <w:pPr>
              <w:jc w:val="right"/>
              <w:rPr>
                <w:sz w:val="22"/>
                <w:szCs w:val="22"/>
              </w:rPr>
            </w:pPr>
            <w:r>
              <w:rPr>
                <w:sz w:val="22"/>
                <w:szCs w:val="22"/>
              </w:rPr>
              <w:t>27.0%</w:t>
            </w:r>
          </w:p>
        </w:tc>
        <w:tc>
          <w:tcPr>
            <w:tcW w:w="2118" w:type="dxa"/>
          </w:tcPr>
          <w:p w14:paraId="1C4666DA" w14:textId="77777777" w:rsidR="00181D75" w:rsidRDefault="00181D75" w:rsidP="00F610A5">
            <w:pPr>
              <w:jc w:val="right"/>
              <w:rPr>
                <w:sz w:val="22"/>
                <w:szCs w:val="22"/>
              </w:rPr>
            </w:pPr>
            <w:r>
              <w:rPr>
                <w:sz w:val="22"/>
                <w:szCs w:val="22"/>
              </w:rPr>
              <w:t>27.0%</w:t>
            </w:r>
          </w:p>
        </w:tc>
      </w:tr>
      <w:tr w:rsidR="00181D75" w14:paraId="4400F215" w14:textId="77777777" w:rsidTr="00F610A5">
        <w:tc>
          <w:tcPr>
            <w:tcW w:w="6600" w:type="dxa"/>
          </w:tcPr>
          <w:p w14:paraId="7D7770A9" w14:textId="77777777" w:rsidR="00181D75" w:rsidRDefault="00181D75" w:rsidP="00F610A5">
            <w:pPr>
              <w:jc w:val="both"/>
              <w:rPr>
                <w:sz w:val="22"/>
                <w:szCs w:val="22"/>
              </w:rPr>
            </w:pPr>
            <w:r>
              <w:rPr>
                <w:sz w:val="22"/>
                <w:szCs w:val="22"/>
              </w:rPr>
              <w:t>Income Deprivation Affecting Children Index (IDACI) Factor</w:t>
            </w:r>
          </w:p>
        </w:tc>
        <w:tc>
          <w:tcPr>
            <w:tcW w:w="1954" w:type="dxa"/>
          </w:tcPr>
          <w:p w14:paraId="6A2A06F7" w14:textId="77777777" w:rsidR="00181D75" w:rsidRDefault="00181D75" w:rsidP="00F610A5">
            <w:pPr>
              <w:jc w:val="right"/>
              <w:rPr>
                <w:sz w:val="22"/>
                <w:szCs w:val="22"/>
              </w:rPr>
            </w:pPr>
            <w:r>
              <w:rPr>
                <w:sz w:val="22"/>
                <w:szCs w:val="22"/>
              </w:rPr>
              <w:t>27.0%</w:t>
            </w:r>
          </w:p>
        </w:tc>
        <w:tc>
          <w:tcPr>
            <w:tcW w:w="2118" w:type="dxa"/>
          </w:tcPr>
          <w:p w14:paraId="695A306F" w14:textId="77777777" w:rsidR="00181D75" w:rsidRDefault="00181D75" w:rsidP="00F610A5">
            <w:pPr>
              <w:jc w:val="right"/>
              <w:rPr>
                <w:sz w:val="22"/>
                <w:szCs w:val="22"/>
              </w:rPr>
            </w:pPr>
            <w:r>
              <w:rPr>
                <w:sz w:val="22"/>
                <w:szCs w:val="22"/>
              </w:rPr>
              <w:t>27.0%</w:t>
            </w:r>
          </w:p>
        </w:tc>
      </w:tr>
      <w:tr w:rsidR="00181D75" w14:paraId="19FC7937" w14:textId="77777777" w:rsidTr="00F610A5">
        <w:tc>
          <w:tcPr>
            <w:tcW w:w="6600" w:type="dxa"/>
          </w:tcPr>
          <w:p w14:paraId="7353EEB6" w14:textId="77777777" w:rsidR="00181D75" w:rsidRDefault="00181D75" w:rsidP="00F610A5">
            <w:pPr>
              <w:jc w:val="both"/>
              <w:rPr>
                <w:sz w:val="22"/>
                <w:szCs w:val="22"/>
              </w:rPr>
            </w:pPr>
            <w:r>
              <w:rPr>
                <w:sz w:val="22"/>
                <w:szCs w:val="22"/>
              </w:rPr>
              <w:t>Base £APP funding (AWPU)</w:t>
            </w:r>
          </w:p>
        </w:tc>
        <w:tc>
          <w:tcPr>
            <w:tcW w:w="1954" w:type="dxa"/>
          </w:tcPr>
          <w:p w14:paraId="75F9A936" w14:textId="77777777" w:rsidR="00181D75" w:rsidRDefault="00181D75" w:rsidP="00F610A5">
            <w:pPr>
              <w:jc w:val="right"/>
              <w:rPr>
                <w:sz w:val="22"/>
                <w:szCs w:val="22"/>
              </w:rPr>
            </w:pPr>
            <w:r>
              <w:rPr>
                <w:sz w:val="22"/>
                <w:szCs w:val="22"/>
              </w:rPr>
              <w:t>6.25%</w:t>
            </w:r>
          </w:p>
        </w:tc>
        <w:tc>
          <w:tcPr>
            <w:tcW w:w="2118" w:type="dxa"/>
          </w:tcPr>
          <w:p w14:paraId="05DD6871" w14:textId="77777777" w:rsidR="00181D75" w:rsidRDefault="00181D75" w:rsidP="00F610A5">
            <w:pPr>
              <w:jc w:val="right"/>
              <w:rPr>
                <w:sz w:val="22"/>
                <w:szCs w:val="22"/>
              </w:rPr>
            </w:pPr>
            <w:r>
              <w:rPr>
                <w:sz w:val="22"/>
                <w:szCs w:val="22"/>
              </w:rPr>
              <w:t>4.0%</w:t>
            </w:r>
          </w:p>
        </w:tc>
      </w:tr>
      <w:tr w:rsidR="00181D75" w14:paraId="35C87C3D" w14:textId="77777777" w:rsidTr="00F610A5">
        <w:tc>
          <w:tcPr>
            <w:tcW w:w="6600" w:type="dxa"/>
          </w:tcPr>
          <w:p w14:paraId="05C2F55F" w14:textId="77777777" w:rsidR="00181D75" w:rsidRDefault="00181D75" w:rsidP="00F610A5">
            <w:pPr>
              <w:jc w:val="both"/>
              <w:rPr>
                <w:sz w:val="22"/>
                <w:szCs w:val="22"/>
              </w:rPr>
            </w:pPr>
            <w:r>
              <w:rPr>
                <w:sz w:val="22"/>
                <w:szCs w:val="22"/>
              </w:rPr>
              <w:t>Minimum Level of Funding top-up (MFL)</w:t>
            </w:r>
          </w:p>
        </w:tc>
        <w:tc>
          <w:tcPr>
            <w:tcW w:w="1954" w:type="dxa"/>
          </w:tcPr>
          <w:p w14:paraId="234BEE71" w14:textId="77777777" w:rsidR="00181D75" w:rsidRDefault="00181D75" w:rsidP="00F610A5">
            <w:pPr>
              <w:jc w:val="right"/>
              <w:rPr>
                <w:sz w:val="22"/>
                <w:szCs w:val="22"/>
              </w:rPr>
            </w:pPr>
            <w:r>
              <w:rPr>
                <w:sz w:val="22"/>
                <w:szCs w:val="22"/>
              </w:rPr>
              <w:t>48.0%</w:t>
            </w:r>
          </w:p>
        </w:tc>
        <w:tc>
          <w:tcPr>
            <w:tcW w:w="2118" w:type="dxa"/>
          </w:tcPr>
          <w:p w14:paraId="33072FFB" w14:textId="77777777" w:rsidR="00181D75" w:rsidRDefault="00181D75" w:rsidP="00F610A5">
            <w:pPr>
              <w:jc w:val="right"/>
              <w:rPr>
                <w:sz w:val="22"/>
                <w:szCs w:val="22"/>
              </w:rPr>
            </w:pPr>
            <w:r>
              <w:rPr>
                <w:sz w:val="22"/>
                <w:szCs w:val="22"/>
              </w:rPr>
              <w:t>48.0%</w:t>
            </w:r>
          </w:p>
        </w:tc>
      </w:tr>
    </w:tbl>
    <w:p w14:paraId="6752F1A5" w14:textId="77777777" w:rsidR="00181D75" w:rsidRDefault="00181D75" w:rsidP="00181D75">
      <w:pPr>
        <w:jc w:val="both"/>
        <w:rPr>
          <w:sz w:val="22"/>
          <w:szCs w:val="22"/>
        </w:rPr>
      </w:pPr>
    </w:p>
    <w:p w14:paraId="26435B46" w14:textId="77777777" w:rsidR="006D0E81" w:rsidRDefault="006D0E81" w:rsidP="00181D75">
      <w:pPr>
        <w:jc w:val="both"/>
        <w:rPr>
          <w:sz w:val="22"/>
          <w:szCs w:val="22"/>
        </w:rPr>
      </w:pPr>
    </w:p>
    <w:p w14:paraId="104B9C3F" w14:textId="77777777" w:rsidR="006D0E81" w:rsidRDefault="006D0E81" w:rsidP="00181D75">
      <w:pPr>
        <w:jc w:val="both"/>
        <w:rPr>
          <w:sz w:val="22"/>
          <w:szCs w:val="22"/>
        </w:rPr>
      </w:pPr>
    </w:p>
    <w:p w14:paraId="3DD653A6" w14:textId="77777777" w:rsidR="006D0E81" w:rsidRDefault="006D0E81" w:rsidP="00181D75">
      <w:pPr>
        <w:jc w:val="both"/>
        <w:rPr>
          <w:sz w:val="22"/>
          <w:szCs w:val="22"/>
        </w:rPr>
      </w:pPr>
    </w:p>
    <w:p w14:paraId="740D3DB3" w14:textId="77777777" w:rsidR="00181D75" w:rsidRPr="00C23190" w:rsidRDefault="00181D75" w:rsidP="00181D75">
      <w:pPr>
        <w:jc w:val="both"/>
        <w:rPr>
          <w:sz w:val="22"/>
          <w:szCs w:val="22"/>
          <w:u w:val="single"/>
        </w:rPr>
      </w:pPr>
      <w:r w:rsidRPr="00C23190">
        <w:rPr>
          <w:sz w:val="22"/>
          <w:szCs w:val="22"/>
          <w:u w:val="single"/>
        </w:rPr>
        <w:t>Adjusted</w:t>
      </w:r>
      <w:r>
        <w:rPr>
          <w:sz w:val="22"/>
          <w:szCs w:val="22"/>
          <w:u w:val="single"/>
        </w:rPr>
        <w:t xml:space="preserve"> 2025/26</w:t>
      </w:r>
    </w:p>
    <w:p w14:paraId="3B04F869" w14:textId="77777777" w:rsidR="00181D75" w:rsidRDefault="00181D75" w:rsidP="00181D75">
      <w:pPr>
        <w:jc w:val="both"/>
        <w:rPr>
          <w:sz w:val="22"/>
          <w:szCs w:val="22"/>
        </w:rPr>
      </w:pPr>
    </w:p>
    <w:tbl>
      <w:tblPr>
        <w:tblStyle w:val="TableGrid"/>
        <w:tblW w:w="0" w:type="auto"/>
        <w:tblLook w:val="04A0" w:firstRow="1" w:lastRow="0" w:firstColumn="1" w:lastColumn="0" w:noHBand="0" w:noVBand="1"/>
      </w:tblPr>
      <w:tblGrid>
        <w:gridCol w:w="6600"/>
        <w:gridCol w:w="1954"/>
        <w:gridCol w:w="2118"/>
      </w:tblGrid>
      <w:tr w:rsidR="00181D75" w:rsidRPr="00046DBF" w14:paraId="2BB7100C" w14:textId="77777777" w:rsidTr="00F610A5">
        <w:tc>
          <w:tcPr>
            <w:tcW w:w="6600" w:type="dxa"/>
          </w:tcPr>
          <w:p w14:paraId="48BA9BB3" w14:textId="77777777" w:rsidR="00181D75" w:rsidRPr="00934A5A" w:rsidRDefault="00181D75" w:rsidP="00F610A5">
            <w:pPr>
              <w:jc w:val="both"/>
              <w:rPr>
                <w:rFonts w:cs="Arial"/>
                <w:b/>
                <w:sz w:val="22"/>
                <w:szCs w:val="22"/>
              </w:rPr>
            </w:pPr>
            <w:r w:rsidRPr="00934A5A">
              <w:rPr>
                <w:rFonts w:cs="Arial"/>
                <w:b/>
                <w:sz w:val="22"/>
                <w:szCs w:val="22"/>
              </w:rPr>
              <w:t>Formula Factor</w:t>
            </w:r>
          </w:p>
        </w:tc>
        <w:tc>
          <w:tcPr>
            <w:tcW w:w="1954" w:type="dxa"/>
          </w:tcPr>
          <w:p w14:paraId="39F40DC6" w14:textId="77777777" w:rsidR="00181D75" w:rsidRPr="00934A5A" w:rsidRDefault="00181D75" w:rsidP="00F610A5">
            <w:pPr>
              <w:jc w:val="right"/>
              <w:rPr>
                <w:rFonts w:cs="Arial"/>
                <w:b/>
                <w:sz w:val="22"/>
                <w:szCs w:val="22"/>
              </w:rPr>
            </w:pPr>
            <w:r w:rsidRPr="00934A5A">
              <w:rPr>
                <w:rFonts w:cs="Arial"/>
                <w:b/>
                <w:sz w:val="22"/>
                <w:szCs w:val="22"/>
              </w:rPr>
              <w:t>% Primary</w:t>
            </w:r>
          </w:p>
        </w:tc>
        <w:tc>
          <w:tcPr>
            <w:tcW w:w="2118" w:type="dxa"/>
          </w:tcPr>
          <w:p w14:paraId="62C14669" w14:textId="77777777" w:rsidR="00181D75" w:rsidRPr="00934A5A" w:rsidRDefault="00181D75" w:rsidP="00F610A5">
            <w:pPr>
              <w:jc w:val="right"/>
              <w:rPr>
                <w:rFonts w:cs="Arial"/>
                <w:b/>
                <w:sz w:val="22"/>
                <w:szCs w:val="22"/>
              </w:rPr>
            </w:pPr>
            <w:r w:rsidRPr="00934A5A">
              <w:rPr>
                <w:rFonts w:cs="Arial"/>
                <w:b/>
                <w:sz w:val="22"/>
                <w:szCs w:val="22"/>
              </w:rPr>
              <w:t>% Secondary</w:t>
            </w:r>
          </w:p>
        </w:tc>
      </w:tr>
      <w:tr w:rsidR="00181D75" w:rsidRPr="00046DBF" w14:paraId="3C0065D7" w14:textId="77777777" w:rsidTr="00F610A5">
        <w:tc>
          <w:tcPr>
            <w:tcW w:w="6600" w:type="dxa"/>
          </w:tcPr>
          <w:p w14:paraId="28EF7766" w14:textId="77777777" w:rsidR="00181D75" w:rsidRPr="00934A5A" w:rsidRDefault="00181D75" w:rsidP="00F610A5">
            <w:pPr>
              <w:jc w:val="both"/>
              <w:rPr>
                <w:rFonts w:cs="Arial"/>
                <w:sz w:val="22"/>
                <w:szCs w:val="22"/>
              </w:rPr>
            </w:pPr>
            <w:r w:rsidRPr="00934A5A">
              <w:rPr>
                <w:rFonts w:cs="Arial"/>
                <w:sz w:val="22"/>
                <w:szCs w:val="22"/>
              </w:rPr>
              <w:t>Prior Low Attainment Factor</w:t>
            </w:r>
          </w:p>
        </w:tc>
        <w:tc>
          <w:tcPr>
            <w:tcW w:w="1954" w:type="dxa"/>
          </w:tcPr>
          <w:p w14:paraId="05C45222" w14:textId="77777777" w:rsidR="00181D75" w:rsidRPr="00934A5A" w:rsidRDefault="00181D75" w:rsidP="00F610A5">
            <w:pPr>
              <w:jc w:val="right"/>
              <w:rPr>
                <w:rFonts w:cs="Arial"/>
                <w:sz w:val="22"/>
                <w:szCs w:val="22"/>
              </w:rPr>
            </w:pPr>
            <w:r w:rsidRPr="00934A5A">
              <w:rPr>
                <w:rFonts w:cs="Arial"/>
                <w:sz w:val="22"/>
                <w:szCs w:val="22"/>
              </w:rPr>
              <w:t>100%</w:t>
            </w:r>
          </w:p>
        </w:tc>
        <w:tc>
          <w:tcPr>
            <w:tcW w:w="2118" w:type="dxa"/>
          </w:tcPr>
          <w:p w14:paraId="578FA02B" w14:textId="77777777" w:rsidR="00181D75" w:rsidRPr="00934A5A" w:rsidRDefault="00181D75" w:rsidP="00F610A5">
            <w:pPr>
              <w:jc w:val="right"/>
              <w:rPr>
                <w:rFonts w:cs="Arial"/>
                <w:sz w:val="22"/>
                <w:szCs w:val="22"/>
              </w:rPr>
            </w:pPr>
            <w:r w:rsidRPr="00934A5A">
              <w:rPr>
                <w:rFonts w:cs="Arial"/>
                <w:sz w:val="22"/>
                <w:szCs w:val="22"/>
              </w:rPr>
              <w:t>100%</w:t>
            </w:r>
          </w:p>
        </w:tc>
      </w:tr>
      <w:tr w:rsidR="00181D75" w:rsidRPr="00046DBF" w14:paraId="108F2B2E" w14:textId="77777777" w:rsidTr="00F610A5">
        <w:tc>
          <w:tcPr>
            <w:tcW w:w="6600" w:type="dxa"/>
          </w:tcPr>
          <w:p w14:paraId="764FC93C" w14:textId="77777777" w:rsidR="00181D75" w:rsidRPr="00934A5A" w:rsidRDefault="00181D75" w:rsidP="00F610A5">
            <w:pPr>
              <w:jc w:val="both"/>
              <w:rPr>
                <w:rFonts w:cs="Arial"/>
                <w:sz w:val="22"/>
                <w:szCs w:val="22"/>
              </w:rPr>
            </w:pPr>
            <w:r w:rsidRPr="00934A5A">
              <w:rPr>
                <w:rFonts w:cs="Arial"/>
                <w:sz w:val="22"/>
                <w:szCs w:val="22"/>
              </w:rPr>
              <w:t>Free School Meals Factor</w:t>
            </w:r>
          </w:p>
        </w:tc>
        <w:tc>
          <w:tcPr>
            <w:tcW w:w="1954" w:type="dxa"/>
          </w:tcPr>
          <w:p w14:paraId="6DE804B8" w14:textId="77777777" w:rsidR="00181D75" w:rsidRPr="00934A5A" w:rsidRDefault="00181D75" w:rsidP="00F610A5">
            <w:pPr>
              <w:jc w:val="right"/>
              <w:rPr>
                <w:rFonts w:cs="Arial"/>
                <w:sz w:val="22"/>
                <w:szCs w:val="22"/>
              </w:rPr>
            </w:pPr>
            <w:r w:rsidRPr="00934A5A">
              <w:rPr>
                <w:rFonts w:cs="Arial"/>
                <w:sz w:val="22"/>
                <w:szCs w:val="22"/>
              </w:rPr>
              <w:t>29.0%</w:t>
            </w:r>
          </w:p>
        </w:tc>
        <w:tc>
          <w:tcPr>
            <w:tcW w:w="2118" w:type="dxa"/>
          </w:tcPr>
          <w:p w14:paraId="790A05D8" w14:textId="77777777" w:rsidR="00181D75" w:rsidRPr="00934A5A" w:rsidRDefault="00181D75" w:rsidP="00F610A5">
            <w:pPr>
              <w:jc w:val="right"/>
              <w:rPr>
                <w:rFonts w:cs="Arial"/>
                <w:sz w:val="22"/>
                <w:szCs w:val="22"/>
              </w:rPr>
            </w:pPr>
            <w:r w:rsidRPr="00934A5A">
              <w:rPr>
                <w:rFonts w:cs="Arial"/>
                <w:sz w:val="22"/>
                <w:szCs w:val="22"/>
              </w:rPr>
              <w:t>29.0%</w:t>
            </w:r>
          </w:p>
        </w:tc>
      </w:tr>
      <w:tr w:rsidR="00181D75" w:rsidRPr="00046DBF" w14:paraId="2282442F" w14:textId="77777777" w:rsidTr="00F610A5">
        <w:tc>
          <w:tcPr>
            <w:tcW w:w="6600" w:type="dxa"/>
          </w:tcPr>
          <w:p w14:paraId="5F7832FD" w14:textId="77777777" w:rsidR="00181D75" w:rsidRPr="00934A5A" w:rsidRDefault="00181D75" w:rsidP="00F610A5">
            <w:pPr>
              <w:jc w:val="both"/>
              <w:rPr>
                <w:rFonts w:cs="Arial"/>
                <w:sz w:val="22"/>
                <w:szCs w:val="22"/>
              </w:rPr>
            </w:pPr>
            <w:r w:rsidRPr="00934A5A">
              <w:rPr>
                <w:rFonts w:cs="Arial"/>
                <w:sz w:val="22"/>
                <w:szCs w:val="22"/>
              </w:rPr>
              <w:t>Income Deprivation Affecting Children Index (IDACI) Factor</w:t>
            </w:r>
          </w:p>
        </w:tc>
        <w:tc>
          <w:tcPr>
            <w:tcW w:w="1954" w:type="dxa"/>
          </w:tcPr>
          <w:p w14:paraId="2149055B" w14:textId="77777777" w:rsidR="00181D75" w:rsidRPr="00934A5A" w:rsidRDefault="00181D75" w:rsidP="00F610A5">
            <w:pPr>
              <w:jc w:val="right"/>
              <w:rPr>
                <w:rFonts w:cs="Arial"/>
                <w:sz w:val="22"/>
                <w:szCs w:val="22"/>
              </w:rPr>
            </w:pPr>
            <w:r w:rsidRPr="00934A5A">
              <w:rPr>
                <w:rFonts w:cs="Arial"/>
                <w:sz w:val="22"/>
                <w:szCs w:val="22"/>
              </w:rPr>
              <w:t>29.0%</w:t>
            </w:r>
          </w:p>
        </w:tc>
        <w:tc>
          <w:tcPr>
            <w:tcW w:w="2118" w:type="dxa"/>
          </w:tcPr>
          <w:p w14:paraId="095F27B0" w14:textId="77777777" w:rsidR="00181D75" w:rsidRPr="00934A5A" w:rsidRDefault="00181D75" w:rsidP="00F610A5">
            <w:pPr>
              <w:jc w:val="right"/>
              <w:rPr>
                <w:rFonts w:cs="Arial"/>
                <w:sz w:val="22"/>
                <w:szCs w:val="22"/>
              </w:rPr>
            </w:pPr>
            <w:r w:rsidRPr="00934A5A">
              <w:rPr>
                <w:rFonts w:cs="Arial"/>
                <w:sz w:val="22"/>
                <w:szCs w:val="22"/>
              </w:rPr>
              <w:t>29.0%</w:t>
            </w:r>
          </w:p>
        </w:tc>
      </w:tr>
      <w:tr w:rsidR="00181D75" w:rsidRPr="00046DBF" w14:paraId="246C7065" w14:textId="77777777" w:rsidTr="00F610A5">
        <w:tc>
          <w:tcPr>
            <w:tcW w:w="6600" w:type="dxa"/>
          </w:tcPr>
          <w:p w14:paraId="7A7E9038" w14:textId="77777777" w:rsidR="00181D75" w:rsidRPr="00934A5A" w:rsidRDefault="00181D75" w:rsidP="00F610A5">
            <w:pPr>
              <w:jc w:val="both"/>
              <w:rPr>
                <w:rFonts w:cs="Arial"/>
                <w:sz w:val="22"/>
                <w:szCs w:val="22"/>
              </w:rPr>
            </w:pPr>
            <w:r w:rsidRPr="00934A5A">
              <w:rPr>
                <w:rFonts w:cs="Arial"/>
                <w:sz w:val="22"/>
                <w:szCs w:val="22"/>
              </w:rPr>
              <w:t>Base £APP funding (AWPU)</w:t>
            </w:r>
          </w:p>
        </w:tc>
        <w:tc>
          <w:tcPr>
            <w:tcW w:w="1954" w:type="dxa"/>
          </w:tcPr>
          <w:p w14:paraId="646FA9AE" w14:textId="77777777" w:rsidR="00181D75" w:rsidRPr="00934A5A" w:rsidRDefault="00181D75" w:rsidP="00F610A5">
            <w:pPr>
              <w:jc w:val="right"/>
              <w:rPr>
                <w:rFonts w:cs="Arial"/>
                <w:sz w:val="22"/>
                <w:szCs w:val="22"/>
              </w:rPr>
            </w:pPr>
            <w:r w:rsidRPr="00934A5A">
              <w:rPr>
                <w:rFonts w:cs="Arial"/>
                <w:sz w:val="22"/>
                <w:szCs w:val="22"/>
              </w:rPr>
              <w:t>6.0%</w:t>
            </w:r>
          </w:p>
        </w:tc>
        <w:tc>
          <w:tcPr>
            <w:tcW w:w="2118" w:type="dxa"/>
          </w:tcPr>
          <w:p w14:paraId="2ACD636F" w14:textId="77777777" w:rsidR="00181D75" w:rsidRPr="00934A5A" w:rsidRDefault="00181D75" w:rsidP="00F610A5">
            <w:pPr>
              <w:jc w:val="right"/>
              <w:rPr>
                <w:rFonts w:cs="Arial"/>
                <w:sz w:val="22"/>
                <w:szCs w:val="22"/>
              </w:rPr>
            </w:pPr>
            <w:r w:rsidRPr="00934A5A">
              <w:rPr>
                <w:rFonts w:cs="Arial"/>
                <w:sz w:val="22"/>
                <w:szCs w:val="22"/>
              </w:rPr>
              <w:t>3.75%</w:t>
            </w:r>
          </w:p>
        </w:tc>
      </w:tr>
      <w:tr w:rsidR="00181D75" w:rsidRPr="00046DBF" w14:paraId="74351955" w14:textId="77777777" w:rsidTr="00F610A5">
        <w:tc>
          <w:tcPr>
            <w:tcW w:w="6600" w:type="dxa"/>
          </w:tcPr>
          <w:p w14:paraId="6F2088B6" w14:textId="77777777" w:rsidR="00181D75" w:rsidRPr="00934A5A" w:rsidRDefault="00181D75" w:rsidP="00F610A5">
            <w:pPr>
              <w:jc w:val="both"/>
              <w:rPr>
                <w:rFonts w:cs="Arial"/>
                <w:sz w:val="22"/>
                <w:szCs w:val="22"/>
              </w:rPr>
            </w:pPr>
            <w:r w:rsidRPr="00934A5A">
              <w:rPr>
                <w:rFonts w:cs="Arial"/>
                <w:sz w:val="22"/>
                <w:szCs w:val="22"/>
              </w:rPr>
              <w:t>Minimum Level of Funding top-up (MFL)</w:t>
            </w:r>
          </w:p>
        </w:tc>
        <w:tc>
          <w:tcPr>
            <w:tcW w:w="1954" w:type="dxa"/>
          </w:tcPr>
          <w:p w14:paraId="4E29ACE5" w14:textId="77777777" w:rsidR="00181D75" w:rsidRPr="00934A5A" w:rsidRDefault="00181D75" w:rsidP="00F610A5">
            <w:pPr>
              <w:jc w:val="right"/>
              <w:rPr>
                <w:rFonts w:cs="Arial"/>
                <w:sz w:val="22"/>
                <w:szCs w:val="22"/>
              </w:rPr>
            </w:pPr>
            <w:r w:rsidRPr="00934A5A">
              <w:rPr>
                <w:rFonts w:cs="Arial"/>
                <w:sz w:val="22"/>
                <w:szCs w:val="22"/>
              </w:rPr>
              <w:t>48.0%</w:t>
            </w:r>
          </w:p>
        </w:tc>
        <w:tc>
          <w:tcPr>
            <w:tcW w:w="2118" w:type="dxa"/>
          </w:tcPr>
          <w:p w14:paraId="2FDAB3EB" w14:textId="77777777" w:rsidR="00181D75" w:rsidRPr="00934A5A" w:rsidRDefault="00181D75" w:rsidP="00F610A5">
            <w:pPr>
              <w:jc w:val="right"/>
              <w:rPr>
                <w:rFonts w:cs="Arial"/>
                <w:sz w:val="22"/>
                <w:szCs w:val="22"/>
              </w:rPr>
            </w:pPr>
            <w:r w:rsidRPr="00934A5A">
              <w:rPr>
                <w:rFonts w:cs="Arial"/>
                <w:sz w:val="22"/>
                <w:szCs w:val="22"/>
              </w:rPr>
              <w:t>48.0%</w:t>
            </w:r>
          </w:p>
        </w:tc>
      </w:tr>
      <w:tr w:rsidR="00181D75" w:rsidRPr="00046DBF" w14:paraId="5FDDD535" w14:textId="77777777" w:rsidTr="00F610A5">
        <w:tc>
          <w:tcPr>
            <w:tcW w:w="6600" w:type="dxa"/>
          </w:tcPr>
          <w:p w14:paraId="3419BF5A" w14:textId="77777777" w:rsidR="00181D75" w:rsidRPr="00934A5A" w:rsidRDefault="00181D75" w:rsidP="00F610A5">
            <w:pPr>
              <w:jc w:val="both"/>
              <w:rPr>
                <w:rFonts w:cs="Arial"/>
                <w:sz w:val="22"/>
                <w:szCs w:val="22"/>
              </w:rPr>
            </w:pPr>
            <w:r w:rsidRPr="00934A5A">
              <w:rPr>
                <w:rFonts w:cs="Arial"/>
                <w:sz w:val="22"/>
                <w:szCs w:val="22"/>
              </w:rPr>
              <w:t>Minimum Funding Guarantee (MFG) &amp; Gains Cap</w:t>
            </w:r>
          </w:p>
        </w:tc>
        <w:tc>
          <w:tcPr>
            <w:tcW w:w="1954" w:type="dxa"/>
          </w:tcPr>
          <w:p w14:paraId="5ACEA1B5" w14:textId="77777777" w:rsidR="00181D75" w:rsidRPr="00934A5A" w:rsidRDefault="00181D75" w:rsidP="00F610A5">
            <w:pPr>
              <w:jc w:val="right"/>
              <w:rPr>
                <w:rFonts w:cs="Arial"/>
                <w:sz w:val="22"/>
                <w:szCs w:val="22"/>
              </w:rPr>
            </w:pPr>
            <w:r w:rsidRPr="00934A5A">
              <w:rPr>
                <w:rFonts w:cs="Arial"/>
                <w:sz w:val="22"/>
                <w:szCs w:val="22"/>
              </w:rPr>
              <w:t>48.0%</w:t>
            </w:r>
          </w:p>
        </w:tc>
        <w:tc>
          <w:tcPr>
            <w:tcW w:w="2118" w:type="dxa"/>
          </w:tcPr>
          <w:p w14:paraId="441E7791" w14:textId="77777777" w:rsidR="00181D75" w:rsidRPr="00934A5A" w:rsidRDefault="00181D75" w:rsidP="00F610A5">
            <w:pPr>
              <w:jc w:val="right"/>
              <w:rPr>
                <w:rFonts w:cs="Arial"/>
                <w:sz w:val="22"/>
                <w:szCs w:val="22"/>
              </w:rPr>
            </w:pPr>
            <w:r w:rsidRPr="00934A5A">
              <w:rPr>
                <w:rFonts w:cs="Arial"/>
                <w:sz w:val="22"/>
                <w:szCs w:val="22"/>
              </w:rPr>
              <w:t>48.0%</w:t>
            </w:r>
          </w:p>
        </w:tc>
      </w:tr>
    </w:tbl>
    <w:p w14:paraId="5C4942CB" w14:textId="77777777" w:rsidR="00181D75" w:rsidRDefault="00181D75" w:rsidP="00181D75">
      <w:pPr>
        <w:jc w:val="both"/>
        <w:rPr>
          <w:sz w:val="22"/>
          <w:szCs w:val="22"/>
        </w:rPr>
      </w:pPr>
    </w:p>
    <w:p w14:paraId="01945F36" w14:textId="62A57CD2" w:rsidR="00181D75" w:rsidRDefault="00181D75" w:rsidP="00181D75">
      <w:pPr>
        <w:jc w:val="both"/>
        <w:rPr>
          <w:sz w:val="22"/>
          <w:szCs w:val="22"/>
        </w:rPr>
      </w:pPr>
      <w:r>
        <w:rPr>
          <w:sz w:val="22"/>
          <w:szCs w:val="22"/>
        </w:rPr>
        <w:t>11.4 We will continue to annually review our Notional SEND definition in the lead up to the hard National Funding Formula, including in response to any further prescription from the DfE, and may consult on further incremental changes.</w:t>
      </w:r>
    </w:p>
    <w:p w14:paraId="34153897" w14:textId="77777777" w:rsidR="00181D75" w:rsidRDefault="00181D75" w:rsidP="00181D75">
      <w:pPr>
        <w:jc w:val="both"/>
        <w:rPr>
          <w:sz w:val="22"/>
          <w:szCs w:val="22"/>
        </w:rPr>
      </w:pPr>
    </w:p>
    <w:p w14:paraId="2D28C582" w14:textId="37F0AEB0" w:rsidR="00181D75" w:rsidRDefault="00181D75" w:rsidP="00181D75">
      <w:pPr>
        <w:jc w:val="both"/>
        <w:rPr>
          <w:sz w:val="22"/>
          <w:szCs w:val="22"/>
        </w:rPr>
      </w:pPr>
      <w:r>
        <w:rPr>
          <w:sz w:val="22"/>
          <w:szCs w:val="22"/>
        </w:rPr>
        <w:t>11.5 Please note that we intend to continue to add to Notional SEND budgets 6.0% of a mainstream school’s or academy’s allocation from the Early Years Single Funding Formula, for mainstream primary schools and academies that have early years entitlement provision.</w:t>
      </w:r>
    </w:p>
    <w:p w14:paraId="102DEA9A" w14:textId="77777777" w:rsidR="00181D75" w:rsidRDefault="00181D75" w:rsidP="00181D75">
      <w:pPr>
        <w:jc w:val="both"/>
        <w:rPr>
          <w:color w:val="FF0000"/>
          <w:sz w:val="22"/>
          <w:szCs w:val="22"/>
          <w:u w:val="single"/>
        </w:rPr>
      </w:pPr>
    </w:p>
    <w:p w14:paraId="780BC39A" w14:textId="77777777" w:rsidR="00181D75" w:rsidRDefault="00181D75" w:rsidP="00181D75">
      <w:pPr>
        <w:jc w:val="both"/>
        <w:rPr>
          <w:b/>
          <w:sz w:val="22"/>
          <w:szCs w:val="22"/>
        </w:rPr>
      </w:pPr>
    </w:p>
    <w:p w14:paraId="765BF629" w14:textId="3954CDB6" w:rsidR="00181D75" w:rsidRPr="00331728" w:rsidRDefault="00181D75" w:rsidP="00181D75">
      <w:pPr>
        <w:jc w:val="both"/>
        <w:rPr>
          <w:b/>
          <w:color w:val="FF0000"/>
          <w:sz w:val="22"/>
          <w:szCs w:val="22"/>
        </w:rPr>
      </w:pPr>
      <w:r w:rsidRPr="00DA53D8">
        <w:rPr>
          <w:b/>
          <w:sz w:val="22"/>
          <w:szCs w:val="22"/>
        </w:rPr>
        <w:t>1</w:t>
      </w:r>
      <w:r>
        <w:rPr>
          <w:b/>
          <w:sz w:val="22"/>
          <w:szCs w:val="22"/>
        </w:rPr>
        <w:t>2</w:t>
      </w:r>
      <w:r w:rsidRPr="00DA53D8">
        <w:rPr>
          <w:b/>
          <w:sz w:val="22"/>
          <w:szCs w:val="22"/>
        </w:rPr>
        <w:t>.</w:t>
      </w:r>
      <w:r w:rsidRPr="00DA53D8">
        <w:rPr>
          <w:b/>
          <w:sz w:val="22"/>
          <w:szCs w:val="22"/>
        </w:rPr>
        <w:tab/>
        <w:t>The SEND Funding Floor Mechanism for Mainstream Primary &amp; Secondary in 2025/26</w:t>
      </w:r>
    </w:p>
    <w:p w14:paraId="40FF6F9E" w14:textId="77777777" w:rsidR="00181D75" w:rsidRDefault="00181D75" w:rsidP="00181D75">
      <w:pPr>
        <w:jc w:val="both"/>
        <w:rPr>
          <w:color w:val="FF0000"/>
          <w:sz w:val="22"/>
          <w:szCs w:val="22"/>
        </w:rPr>
      </w:pPr>
    </w:p>
    <w:p w14:paraId="2269C975" w14:textId="22963DCB" w:rsidR="00181D75" w:rsidRDefault="00181D75" w:rsidP="00181D75">
      <w:pPr>
        <w:jc w:val="both"/>
        <w:rPr>
          <w:bCs/>
          <w:sz w:val="22"/>
          <w:szCs w:val="22"/>
        </w:rPr>
      </w:pPr>
      <w:r w:rsidRPr="00141EB1">
        <w:rPr>
          <w:sz w:val="22"/>
          <w:szCs w:val="22"/>
        </w:rPr>
        <w:t>1</w:t>
      </w:r>
      <w:r>
        <w:rPr>
          <w:sz w:val="22"/>
          <w:szCs w:val="22"/>
        </w:rPr>
        <w:t>2</w:t>
      </w:r>
      <w:r w:rsidRPr="00141EB1">
        <w:rPr>
          <w:sz w:val="22"/>
          <w:szCs w:val="22"/>
        </w:rPr>
        <w:t>.1</w:t>
      </w:r>
      <w:r>
        <w:rPr>
          <w:sz w:val="22"/>
          <w:szCs w:val="22"/>
        </w:rPr>
        <w:t xml:space="preserve"> Bradford’s SEND Funding Floor is an additional targeted SEND funding mechanism for mainstream primary and secondary schools and academies.</w:t>
      </w:r>
      <w:r w:rsidRPr="00141EB1">
        <w:rPr>
          <w:sz w:val="22"/>
          <w:szCs w:val="22"/>
        </w:rPr>
        <w:t xml:space="preserve"> </w:t>
      </w:r>
      <w:r>
        <w:rPr>
          <w:sz w:val="22"/>
          <w:szCs w:val="22"/>
        </w:rPr>
        <w:t>How this mechanism works currently is explained in Appendix 3. It is proposed that this mechanism is continued up to 31 August 2025 (adjusted as it would normally be for the period April 2025 to August 2025), but that a revised SEND Funding Floor is used from 1 September 2025. The Authority has so far not received any feedback, comment or question on this proposal.</w:t>
      </w:r>
    </w:p>
    <w:p w14:paraId="4F6244CD" w14:textId="77777777" w:rsidR="00181D75" w:rsidRDefault="00181D75" w:rsidP="00181D75">
      <w:pPr>
        <w:jc w:val="both"/>
        <w:rPr>
          <w:bCs/>
          <w:sz w:val="22"/>
          <w:szCs w:val="22"/>
        </w:rPr>
      </w:pPr>
    </w:p>
    <w:p w14:paraId="07F64843" w14:textId="5BE1EDA3" w:rsidR="00181D75" w:rsidRDefault="00181D75" w:rsidP="00181D75">
      <w:pPr>
        <w:jc w:val="both"/>
        <w:rPr>
          <w:bCs/>
          <w:sz w:val="22"/>
          <w:szCs w:val="22"/>
        </w:rPr>
      </w:pPr>
      <w:r>
        <w:rPr>
          <w:bCs/>
          <w:sz w:val="22"/>
          <w:szCs w:val="22"/>
        </w:rPr>
        <w:t xml:space="preserve">12.2 This proposal was set out in a </w:t>
      </w:r>
      <w:hyperlink r:id="rId17" w:history="1">
        <w:r w:rsidRPr="007C7066">
          <w:rPr>
            <w:rStyle w:val="Hyperlink"/>
            <w:bCs/>
            <w:sz w:val="22"/>
            <w:szCs w:val="22"/>
          </w:rPr>
          <w:t>business case</w:t>
        </w:r>
      </w:hyperlink>
      <w:r>
        <w:rPr>
          <w:bCs/>
          <w:sz w:val="22"/>
          <w:szCs w:val="22"/>
        </w:rPr>
        <w:t xml:space="preserve"> that was published in early October. Please refer to this business case for more detailed background and explanation of the proposed change. In outline, the Authority proposes to move to a new two-step process for the allocation of additional SEND Floor funding: step 1 (the application of a formula) and step 2 (a Local Authority assessment). As a result of these changes, the SEND Floor is expected to have a narrower scope, with funding being more targeted, in line with the DfE’s guidance and the position that is found in other local authorities. This change will have funding implications for mainstream primary and secondary schools and academies that currently receive it, which is why the Authority is not proposing to change this mechanism until September 2025. At this time, the Authority would advise all schools and academies to not assume that the level of SEND Floor funding that they currently receive will continue from September 2025. </w:t>
      </w:r>
    </w:p>
    <w:p w14:paraId="0E3EF960" w14:textId="77777777" w:rsidR="00181D75" w:rsidRDefault="00181D75" w:rsidP="00181D75">
      <w:pPr>
        <w:jc w:val="both"/>
        <w:rPr>
          <w:bCs/>
          <w:sz w:val="22"/>
          <w:szCs w:val="22"/>
        </w:rPr>
      </w:pPr>
    </w:p>
    <w:p w14:paraId="38CFE9C4" w14:textId="09CDE5B3" w:rsidR="00414CE5" w:rsidRPr="00EA1334" w:rsidRDefault="00181D75" w:rsidP="00C93AF0">
      <w:pPr>
        <w:jc w:val="both"/>
        <w:rPr>
          <w:sz w:val="22"/>
          <w:szCs w:val="22"/>
        </w:rPr>
      </w:pPr>
      <w:r>
        <w:rPr>
          <w:bCs/>
          <w:sz w:val="22"/>
          <w:szCs w:val="22"/>
        </w:rPr>
        <w:t xml:space="preserve">12.3 The Authority will continue to discuss this change with the Schools Forum in meetings to be held in December and January. </w:t>
      </w:r>
      <w:r w:rsidRPr="00106876">
        <w:rPr>
          <w:sz w:val="22"/>
          <w:szCs w:val="22"/>
        </w:rPr>
        <w:t>The Authority</w:t>
      </w:r>
      <w:r>
        <w:rPr>
          <w:sz w:val="22"/>
          <w:szCs w:val="22"/>
        </w:rPr>
        <w:t xml:space="preserve"> also</w:t>
      </w:r>
      <w:r w:rsidRPr="00106876">
        <w:rPr>
          <w:sz w:val="22"/>
          <w:szCs w:val="22"/>
        </w:rPr>
        <w:t xml:space="preserve"> intends to conduct a</w:t>
      </w:r>
      <w:r>
        <w:rPr>
          <w:sz w:val="22"/>
          <w:szCs w:val="22"/>
        </w:rPr>
        <w:t>n additional</w:t>
      </w:r>
      <w:r w:rsidRPr="00106876">
        <w:rPr>
          <w:sz w:val="22"/>
          <w:szCs w:val="22"/>
        </w:rPr>
        <w:t xml:space="preserve"> short single matter consultation on the technical details of the new mechanism</w:t>
      </w:r>
      <w:r>
        <w:rPr>
          <w:sz w:val="22"/>
          <w:szCs w:val="22"/>
        </w:rPr>
        <w:t xml:space="preserve"> in due course in the new year</w:t>
      </w:r>
      <w:r w:rsidRPr="00106876">
        <w:rPr>
          <w:sz w:val="22"/>
          <w:szCs w:val="22"/>
        </w:rPr>
        <w:t>.</w:t>
      </w:r>
      <w:r>
        <w:rPr>
          <w:sz w:val="22"/>
          <w:szCs w:val="22"/>
        </w:rPr>
        <w:t xml:space="preserve"> This will enable schools and academies to provide feedback on the technical details of the proposed new mechanism. However, for the purposes of setting the 2025/26 Schools Budget, the Authority intends to propose that the SEND Funding Floor budget is established on the basis that revision of the mechanism is enacted from September 2025.</w:t>
      </w:r>
    </w:p>
    <w:p w14:paraId="55E4E38C" w14:textId="77777777" w:rsidR="00370FE6" w:rsidRDefault="00370FE6" w:rsidP="00C93AF0">
      <w:pPr>
        <w:jc w:val="both"/>
        <w:rPr>
          <w:b/>
          <w:sz w:val="22"/>
          <w:szCs w:val="22"/>
        </w:rPr>
      </w:pPr>
    </w:p>
    <w:p w14:paraId="64EC1537" w14:textId="77777777" w:rsidR="007B64DB" w:rsidRDefault="007B64DB" w:rsidP="00C93AF0">
      <w:pPr>
        <w:jc w:val="both"/>
        <w:rPr>
          <w:b/>
          <w:sz w:val="22"/>
          <w:szCs w:val="22"/>
        </w:rPr>
      </w:pPr>
    </w:p>
    <w:p w14:paraId="48FA4ACD" w14:textId="458BEB20" w:rsidR="00C93AF0" w:rsidRPr="000F3452" w:rsidRDefault="005F6CF2" w:rsidP="00C93AF0">
      <w:pPr>
        <w:jc w:val="both"/>
        <w:rPr>
          <w:b/>
          <w:sz w:val="22"/>
          <w:szCs w:val="22"/>
        </w:rPr>
      </w:pPr>
      <w:r w:rsidRPr="000F3452">
        <w:rPr>
          <w:b/>
          <w:sz w:val="22"/>
          <w:szCs w:val="22"/>
        </w:rPr>
        <w:t>1</w:t>
      </w:r>
      <w:r w:rsidR="00EA1334">
        <w:rPr>
          <w:b/>
          <w:sz w:val="22"/>
          <w:szCs w:val="22"/>
        </w:rPr>
        <w:t>3</w:t>
      </w:r>
      <w:r w:rsidR="00C93AF0" w:rsidRPr="000F3452">
        <w:rPr>
          <w:b/>
          <w:sz w:val="22"/>
          <w:szCs w:val="22"/>
        </w:rPr>
        <w:t>.</w:t>
      </w:r>
      <w:r w:rsidR="00C93AF0" w:rsidRPr="000F3452">
        <w:rPr>
          <w:b/>
          <w:sz w:val="22"/>
          <w:szCs w:val="22"/>
        </w:rPr>
        <w:tab/>
        <w:t>Equalities Impact Assessment</w:t>
      </w:r>
      <w:r w:rsidR="00844049">
        <w:rPr>
          <w:b/>
          <w:sz w:val="22"/>
          <w:szCs w:val="22"/>
        </w:rPr>
        <w:t xml:space="preserve"> Summary</w:t>
      </w:r>
    </w:p>
    <w:p w14:paraId="45146540" w14:textId="77777777" w:rsidR="00C93AF0" w:rsidRPr="000F3452" w:rsidRDefault="00C93AF0" w:rsidP="00355873">
      <w:pPr>
        <w:jc w:val="both"/>
        <w:rPr>
          <w:bCs/>
          <w:sz w:val="22"/>
          <w:szCs w:val="22"/>
        </w:rPr>
      </w:pPr>
    </w:p>
    <w:p w14:paraId="54BFC169" w14:textId="4DBE9F9D" w:rsidR="000F3452" w:rsidRPr="000F3452" w:rsidRDefault="000F3452" w:rsidP="000F3452">
      <w:pPr>
        <w:jc w:val="both"/>
        <w:rPr>
          <w:bCs/>
          <w:sz w:val="22"/>
          <w:szCs w:val="22"/>
        </w:rPr>
      </w:pPr>
      <w:r>
        <w:rPr>
          <w:bCs/>
          <w:sz w:val="22"/>
          <w:szCs w:val="22"/>
        </w:rPr>
        <w:t>1</w:t>
      </w:r>
      <w:r w:rsidR="00844049">
        <w:rPr>
          <w:bCs/>
          <w:sz w:val="22"/>
          <w:szCs w:val="22"/>
        </w:rPr>
        <w:t>3</w:t>
      </w:r>
      <w:r>
        <w:rPr>
          <w:bCs/>
          <w:sz w:val="22"/>
          <w:szCs w:val="22"/>
        </w:rPr>
        <w:t xml:space="preserve">.1 </w:t>
      </w:r>
      <w:r w:rsidRPr="000F3452">
        <w:rPr>
          <w:bCs/>
          <w:sz w:val="22"/>
          <w:szCs w:val="22"/>
        </w:rPr>
        <w:t>The Public Sector Equality Duty (PSED) of the Equality Act 2010 requires the Local Authority to give due regard to achieving the following objectives in exercising its functions:</w:t>
      </w:r>
    </w:p>
    <w:p w14:paraId="5B6BAA11" w14:textId="77777777" w:rsidR="000F3452" w:rsidRPr="000F3452" w:rsidRDefault="000F3452" w:rsidP="000F3452">
      <w:pPr>
        <w:jc w:val="both"/>
        <w:rPr>
          <w:bCs/>
          <w:sz w:val="22"/>
          <w:szCs w:val="22"/>
        </w:rPr>
      </w:pPr>
    </w:p>
    <w:p w14:paraId="774CA09C" w14:textId="77777777" w:rsidR="000F3452" w:rsidRDefault="000F3452" w:rsidP="009564E6">
      <w:pPr>
        <w:pStyle w:val="ListParagraph"/>
        <w:numPr>
          <w:ilvl w:val="0"/>
          <w:numId w:val="17"/>
        </w:numPr>
        <w:jc w:val="both"/>
        <w:rPr>
          <w:bCs/>
          <w:sz w:val="22"/>
          <w:szCs w:val="22"/>
        </w:rPr>
      </w:pPr>
      <w:r w:rsidRPr="000F3452">
        <w:rPr>
          <w:bCs/>
          <w:sz w:val="22"/>
          <w:szCs w:val="22"/>
        </w:rPr>
        <w:t>Eliminate discrimination, harassment, victimisation, and any other conduct that is prohibited by or under the Equality Act 2010.</w:t>
      </w:r>
    </w:p>
    <w:p w14:paraId="37F2E694" w14:textId="77777777" w:rsidR="000F3452" w:rsidRDefault="000F3452" w:rsidP="009564E6">
      <w:pPr>
        <w:pStyle w:val="ListParagraph"/>
        <w:numPr>
          <w:ilvl w:val="0"/>
          <w:numId w:val="17"/>
        </w:numPr>
        <w:jc w:val="both"/>
        <w:rPr>
          <w:bCs/>
          <w:sz w:val="22"/>
          <w:szCs w:val="22"/>
        </w:rPr>
      </w:pPr>
      <w:r w:rsidRPr="000F3452">
        <w:rPr>
          <w:bCs/>
          <w:sz w:val="22"/>
          <w:szCs w:val="22"/>
        </w:rPr>
        <w:t>Advance equality of opportunity between persons who share a relevant protected characteristic and persons who do not share it.</w:t>
      </w:r>
    </w:p>
    <w:p w14:paraId="13409E70" w14:textId="62F3A44C" w:rsidR="000F3452" w:rsidRPr="000F3452" w:rsidRDefault="000F3452" w:rsidP="009564E6">
      <w:pPr>
        <w:pStyle w:val="ListParagraph"/>
        <w:numPr>
          <w:ilvl w:val="0"/>
          <w:numId w:val="17"/>
        </w:numPr>
        <w:jc w:val="both"/>
        <w:rPr>
          <w:bCs/>
          <w:sz w:val="22"/>
          <w:szCs w:val="22"/>
        </w:rPr>
      </w:pPr>
      <w:r w:rsidRPr="000F3452">
        <w:rPr>
          <w:bCs/>
          <w:sz w:val="22"/>
          <w:szCs w:val="22"/>
        </w:rPr>
        <w:t>Foster good relations between persons who share a relevant protected characteristic and persons who do not share it.</w:t>
      </w:r>
    </w:p>
    <w:p w14:paraId="7A253676" w14:textId="77777777" w:rsidR="000F3452" w:rsidRDefault="000F3452" w:rsidP="000F3452">
      <w:pPr>
        <w:jc w:val="both"/>
        <w:rPr>
          <w:bCs/>
          <w:sz w:val="22"/>
          <w:szCs w:val="22"/>
          <w:u w:val="single"/>
        </w:rPr>
      </w:pPr>
    </w:p>
    <w:p w14:paraId="1BD75B01" w14:textId="468D64B5" w:rsidR="000F3452" w:rsidRDefault="000F3452" w:rsidP="000F3452">
      <w:pPr>
        <w:jc w:val="both"/>
        <w:rPr>
          <w:bCs/>
          <w:sz w:val="22"/>
          <w:szCs w:val="22"/>
          <w:u w:val="single"/>
        </w:rPr>
      </w:pPr>
      <w:r>
        <w:rPr>
          <w:color w:val="000000" w:themeColor="text1"/>
          <w:sz w:val="22"/>
          <w:szCs w:val="22"/>
        </w:rPr>
        <w:t>1</w:t>
      </w:r>
      <w:r w:rsidR="00844049">
        <w:rPr>
          <w:color w:val="000000" w:themeColor="text1"/>
          <w:sz w:val="22"/>
          <w:szCs w:val="22"/>
        </w:rPr>
        <w:t>3</w:t>
      </w:r>
      <w:r>
        <w:rPr>
          <w:color w:val="000000" w:themeColor="text1"/>
          <w:sz w:val="22"/>
          <w:szCs w:val="22"/>
        </w:rPr>
        <w:t xml:space="preserve">.2 </w:t>
      </w:r>
      <w:r w:rsidRPr="00FF4340">
        <w:rPr>
          <w:color w:val="000000" w:themeColor="text1"/>
          <w:sz w:val="22"/>
          <w:szCs w:val="22"/>
        </w:rPr>
        <w:t xml:space="preserve">We have considered the impact on persons who share any of the protected characteristics: age, disability, gender reassignment, marriage and civil partnership, pregnancy and maternity, race, religion or belief, sex, sexual orientation. We have focused on the protected characteristics for which the potential impact is largest, and which are most closely tied to the formula funding proposals </w:t>
      </w:r>
      <w:r>
        <w:rPr>
          <w:color w:val="000000" w:themeColor="text1"/>
          <w:sz w:val="22"/>
          <w:szCs w:val="22"/>
        </w:rPr>
        <w:t>that are</w:t>
      </w:r>
      <w:r w:rsidRPr="00FF4340">
        <w:rPr>
          <w:color w:val="000000" w:themeColor="text1"/>
          <w:sz w:val="22"/>
          <w:szCs w:val="22"/>
        </w:rPr>
        <w:t xml:space="preserve"> put forward.</w:t>
      </w:r>
    </w:p>
    <w:p w14:paraId="3D905E9F" w14:textId="77777777" w:rsidR="000F3452" w:rsidRDefault="000F3452" w:rsidP="000F3452">
      <w:pPr>
        <w:jc w:val="both"/>
        <w:rPr>
          <w:bCs/>
          <w:sz w:val="22"/>
          <w:szCs w:val="22"/>
          <w:u w:val="single"/>
        </w:rPr>
      </w:pPr>
    </w:p>
    <w:p w14:paraId="00A73EC3" w14:textId="4BCF9E38" w:rsidR="000F3452" w:rsidRPr="000F3452" w:rsidRDefault="000F3452" w:rsidP="000F3452">
      <w:pPr>
        <w:jc w:val="both"/>
        <w:rPr>
          <w:bCs/>
          <w:sz w:val="22"/>
          <w:szCs w:val="22"/>
          <w:u w:val="single"/>
        </w:rPr>
      </w:pPr>
      <w:r>
        <w:rPr>
          <w:bCs/>
          <w:sz w:val="22"/>
          <w:szCs w:val="22"/>
          <w:u w:val="single"/>
        </w:rPr>
        <w:t>Continued Use of Existing Top-up Funding</w:t>
      </w:r>
      <w:r w:rsidR="00BE1A52">
        <w:rPr>
          <w:bCs/>
          <w:sz w:val="22"/>
          <w:szCs w:val="22"/>
          <w:u w:val="single"/>
        </w:rPr>
        <w:t xml:space="preserve"> &amp; Setting-led Need Factors</w:t>
      </w:r>
      <w:r>
        <w:rPr>
          <w:bCs/>
          <w:sz w:val="22"/>
          <w:szCs w:val="22"/>
          <w:u w:val="single"/>
        </w:rPr>
        <w:t xml:space="preserve"> Models</w:t>
      </w:r>
    </w:p>
    <w:p w14:paraId="16EBDB40" w14:textId="77777777" w:rsidR="000F3452" w:rsidRDefault="000F3452" w:rsidP="000F3452">
      <w:pPr>
        <w:jc w:val="both"/>
        <w:rPr>
          <w:bCs/>
          <w:sz w:val="22"/>
          <w:szCs w:val="22"/>
          <w:u w:val="single"/>
        </w:rPr>
      </w:pPr>
    </w:p>
    <w:p w14:paraId="567508D9" w14:textId="4CFAA06E" w:rsidR="000F3452" w:rsidRPr="00FF4340" w:rsidRDefault="000F3452" w:rsidP="000F3452">
      <w:pPr>
        <w:jc w:val="both"/>
        <w:rPr>
          <w:color w:val="000000" w:themeColor="text1"/>
          <w:sz w:val="22"/>
          <w:szCs w:val="22"/>
        </w:rPr>
      </w:pPr>
      <w:r>
        <w:rPr>
          <w:color w:val="000000" w:themeColor="text1"/>
          <w:sz w:val="22"/>
          <w:szCs w:val="22"/>
        </w:rPr>
        <w:t>1</w:t>
      </w:r>
      <w:r w:rsidR="00844049">
        <w:rPr>
          <w:color w:val="000000" w:themeColor="text1"/>
          <w:sz w:val="22"/>
          <w:szCs w:val="22"/>
        </w:rPr>
        <w:t>3</w:t>
      </w:r>
      <w:r w:rsidRPr="00FF4340">
        <w:rPr>
          <w:color w:val="000000" w:themeColor="text1"/>
          <w:sz w:val="22"/>
          <w:szCs w:val="22"/>
        </w:rPr>
        <w:t>.3 The arrangements that the</w:t>
      </w:r>
      <w:r>
        <w:rPr>
          <w:color w:val="000000" w:themeColor="text1"/>
          <w:sz w:val="22"/>
          <w:szCs w:val="22"/>
        </w:rPr>
        <w:t xml:space="preserve"> </w:t>
      </w:r>
      <w:r w:rsidRPr="00FF4340">
        <w:rPr>
          <w:color w:val="000000" w:themeColor="text1"/>
          <w:sz w:val="22"/>
          <w:szCs w:val="22"/>
        </w:rPr>
        <w:t>Authority proposes for the 202</w:t>
      </w:r>
      <w:r>
        <w:rPr>
          <w:color w:val="000000" w:themeColor="text1"/>
          <w:sz w:val="22"/>
          <w:szCs w:val="22"/>
        </w:rPr>
        <w:t>5</w:t>
      </w:r>
      <w:r w:rsidRPr="00FF4340">
        <w:rPr>
          <w:color w:val="000000" w:themeColor="text1"/>
          <w:sz w:val="22"/>
          <w:szCs w:val="22"/>
        </w:rPr>
        <w:t>/</w:t>
      </w:r>
      <w:r>
        <w:rPr>
          <w:color w:val="000000" w:themeColor="text1"/>
          <w:sz w:val="22"/>
          <w:szCs w:val="22"/>
        </w:rPr>
        <w:t>26</w:t>
      </w:r>
      <w:r w:rsidRPr="00FF4340">
        <w:rPr>
          <w:color w:val="000000" w:themeColor="text1"/>
          <w:sz w:val="22"/>
          <w:szCs w:val="22"/>
        </w:rPr>
        <w:t xml:space="preserve"> financial year retain a significant amount of continuity</w:t>
      </w:r>
      <w:r w:rsidR="002E09C8">
        <w:rPr>
          <w:color w:val="000000" w:themeColor="text1"/>
          <w:sz w:val="22"/>
          <w:szCs w:val="22"/>
        </w:rPr>
        <w:t xml:space="preserve"> and, therefore,</w:t>
      </w:r>
      <w:r>
        <w:rPr>
          <w:color w:val="000000" w:themeColor="text1"/>
          <w:sz w:val="22"/>
          <w:szCs w:val="22"/>
        </w:rPr>
        <w:t xml:space="preserve"> </w:t>
      </w:r>
      <w:r w:rsidRPr="00FF4340">
        <w:rPr>
          <w:color w:val="000000" w:themeColor="text1"/>
          <w:sz w:val="22"/>
          <w:szCs w:val="22"/>
        </w:rPr>
        <w:t>represen</w:t>
      </w:r>
      <w:r w:rsidR="002E09C8">
        <w:rPr>
          <w:color w:val="000000" w:themeColor="text1"/>
          <w:sz w:val="22"/>
          <w:szCs w:val="22"/>
        </w:rPr>
        <w:t>t</w:t>
      </w:r>
      <w:r w:rsidRPr="00FF4340">
        <w:rPr>
          <w:color w:val="000000" w:themeColor="text1"/>
          <w:sz w:val="22"/>
          <w:szCs w:val="22"/>
        </w:rPr>
        <w:t xml:space="preserve"> no change on current positive practice. </w:t>
      </w:r>
    </w:p>
    <w:p w14:paraId="62E14E16" w14:textId="77777777" w:rsidR="000F3452" w:rsidRPr="005F6CF2" w:rsidRDefault="000F3452" w:rsidP="000F3452">
      <w:pPr>
        <w:jc w:val="both"/>
        <w:rPr>
          <w:color w:val="FF0000"/>
          <w:sz w:val="22"/>
          <w:szCs w:val="22"/>
        </w:rPr>
      </w:pPr>
    </w:p>
    <w:p w14:paraId="787D995A" w14:textId="2B24CAF2" w:rsidR="000F3452" w:rsidRDefault="000F3452" w:rsidP="000F3452">
      <w:pPr>
        <w:jc w:val="both"/>
        <w:rPr>
          <w:sz w:val="22"/>
          <w:szCs w:val="22"/>
        </w:rPr>
      </w:pPr>
      <w:r>
        <w:rPr>
          <w:sz w:val="22"/>
          <w:szCs w:val="22"/>
        </w:rPr>
        <w:t>1</w:t>
      </w:r>
      <w:r w:rsidR="00844049">
        <w:rPr>
          <w:sz w:val="22"/>
          <w:szCs w:val="22"/>
        </w:rPr>
        <w:t>3</w:t>
      </w:r>
      <w:r w:rsidRPr="00D94F46">
        <w:rPr>
          <w:sz w:val="22"/>
          <w:szCs w:val="22"/>
        </w:rPr>
        <w:t xml:space="preserve">.4 The Authority proposes the continued application of the EHCP Banded Model, which was first introduced at April 2020. The impact of this model, on the funding of schools, academies and </w:t>
      </w:r>
      <w:r>
        <w:rPr>
          <w:sz w:val="22"/>
          <w:szCs w:val="22"/>
        </w:rPr>
        <w:t xml:space="preserve">on </w:t>
      </w:r>
      <w:r w:rsidRPr="00D94F46">
        <w:rPr>
          <w:sz w:val="22"/>
          <w:szCs w:val="22"/>
        </w:rPr>
        <w:t>other providers for all children and young people with EHCPs, is assessed to continue to be entirely positive. The Banded Model continues to improve the way schools and providers in Bradford are funded for children and young people with SEND with EHCPs. Although it cannot be evidenced at this stage that our change in funding model has directly advanced equality of opportunity for children and young people that share a protected characteristic, it is expected that this model will support this.</w:t>
      </w:r>
    </w:p>
    <w:p w14:paraId="0570F91A" w14:textId="77777777" w:rsidR="000F3452" w:rsidRDefault="000F3452" w:rsidP="000F3452">
      <w:pPr>
        <w:jc w:val="both"/>
        <w:rPr>
          <w:sz w:val="22"/>
          <w:szCs w:val="22"/>
        </w:rPr>
      </w:pPr>
    </w:p>
    <w:p w14:paraId="46C588A0" w14:textId="0F72CFCE" w:rsidR="000F3452" w:rsidRDefault="000F3452" w:rsidP="000F3452">
      <w:pPr>
        <w:jc w:val="both"/>
        <w:rPr>
          <w:sz w:val="22"/>
          <w:szCs w:val="22"/>
        </w:rPr>
      </w:pPr>
      <w:r>
        <w:rPr>
          <w:sz w:val="22"/>
          <w:szCs w:val="22"/>
        </w:rPr>
        <w:t>1</w:t>
      </w:r>
      <w:r w:rsidR="00844049">
        <w:rPr>
          <w:sz w:val="22"/>
          <w:szCs w:val="22"/>
        </w:rPr>
        <w:t>3</w:t>
      </w:r>
      <w:r w:rsidRPr="003D6FDF">
        <w:rPr>
          <w:sz w:val="22"/>
          <w:szCs w:val="22"/>
        </w:rPr>
        <w:t>.</w:t>
      </w:r>
      <w:r w:rsidR="00844049">
        <w:rPr>
          <w:sz w:val="22"/>
          <w:szCs w:val="22"/>
        </w:rPr>
        <w:t>5</w:t>
      </w:r>
      <w:r w:rsidRPr="003D6FDF">
        <w:rPr>
          <w:sz w:val="22"/>
          <w:szCs w:val="22"/>
        </w:rPr>
        <w:t xml:space="preserve"> </w:t>
      </w:r>
      <w:r w:rsidR="004D1F03">
        <w:rPr>
          <w:sz w:val="22"/>
          <w:szCs w:val="22"/>
        </w:rPr>
        <w:t>Subject to check, t</w:t>
      </w:r>
      <w:r w:rsidRPr="003D6FDF">
        <w:rPr>
          <w:sz w:val="22"/>
          <w:szCs w:val="22"/>
        </w:rPr>
        <w:t xml:space="preserve">he Authority proposes to </w:t>
      </w:r>
      <w:r>
        <w:rPr>
          <w:sz w:val="22"/>
          <w:szCs w:val="22"/>
        </w:rPr>
        <w:t>further</w:t>
      </w:r>
      <w:r w:rsidRPr="003D6FDF">
        <w:rPr>
          <w:sz w:val="22"/>
          <w:szCs w:val="22"/>
        </w:rPr>
        <w:t xml:space="preserve"> uplift the values of </w:t>
      </w:r>
      <w:r>
        <w:rPr>
          <w:sz w:val="22"/>
          <w:szCs w:val="22"/>
        </w:rPr>
        <w:t xml:space="preserve">Band 3 </w:t>
      </w:r>
      <w:r w:rsidRPr="003D6FDF">
        <w:rPr>
          <w:sz w:val="22"/>
          <w:szCs w:val="22"/>
        </w:rPr>
        <w:t>top-up funding allocated by the EHCP Banded Model</w:t>
      </w:r>
      <w:r w:rsidR="004D1F03">
        <w:rPr>
          <w:sz w:val="22"/>
          <w:szCs w:val="22"/>
        </w:rPr>
        <w:t xml:space="preserve"> by 4.9</w:t>
      </w:r>
      <w:r w:rsidR="00844049">
        <w:rPr>
          <w:sz w:val="22"/>
          <w:szCs w:val="22"/>
        </w:rPr>
        <w:t>%</w:t>
      </w:r>
      <w:r w:rsidRPr="003D6FDF">
        <w:rPr>
          <w:sz w:val="22"/>
          <w:szCs w:val="22"/>
        </w:rPr>
        <w:t>.</w:t>
      </w:r>
      <w:r w:rsidR="004D1F03">
        <w:rPr>
          <w:sz w:val="22"/>
          <w:szCs w:val="22"/>
        </w:rPr>
        <w:t xml:space="preserve"> </w:t>
      </w:r>
      <w:r>
        <w:rPr>
          <w:sz w:val="22"/>
          <w:szCs w:val="22"/>
        </w:rPr>
        <w:t xml:space="preserve">This is </w:t>
      </w:r>
      <w:r w:rsidR="006D0E81">
        <w:rPr>
          <w:sz w:val="22"/>
          <w:szCs w:val="22"/>
        </w:rPr>
        <w:t>primarily to</w:t>
      </w:r>
      <w:r>
        <w:rPr>
          <w:sz w:val="22"/>
          <w:szCs w:val="22"/>
        </w:rPr>
        <w:t xml:space="preserve"> support the impact of the increase in the employer’s contribution to National Insurance from </w:t>
      </w:r>
      <w:r w:rsidR="004D1F03">
        <w:rPr>
          <w:sz w:val="22"/>
          <w:szCs w:val="22"/>
        </w:rPr>
        <w:t xml:space="preserve">April 2025. Band 3 principally funds </w:t>
      </w:r>
      <w:r w:rsidR="008E215F">
        <w:rPr>
          <w:sz w:val="22"/>
          <w:szCs w:val="22"/>
        </w:rPr>
        <w:t xml:space="preserve">SEND </w:t>
      </w:r>
      <w:r w:rsidR="004D1F03">
        <w:rPr>
          <w:sz w:val="22"/>
          <w:szCs w:val="22"/>
        </w:rPr>
        <w:t>pupils with EHCPs in mainstream provisions. It is expected that, by uplifting Band 3 rates, the Authority’s Banded Model will continue to effectively support children and young people with EHCPs that are placed in mainstream provisions, alongside supporting mainstream inclusion more generally.</w:t>
      </w:r>
    </w:p>
    <w:p w14:paraId="64196D87" w14:textId="77777777" w:rsidR="00BE1A52" w:rsidRDefault="00BE1A52" w:rsidP="000F3452">
      <w:pPr>
        <w:jc w:val="both"/>
        <w:rPr>
          <w:sz w:val="22"/>
          <w:szCs w:val="22"/>
        </w:rPr>
      </w:pPr>
    </w:p>
    <w:p w14:paraId="3AB792E2" w14:textId="6B8F3B24" w:rsidR="00BE1A52" w:rsidRDefault="00BE1A52" w:rsidP="000F3452">
      <w:pPr>
        <w:jc w:val="both"/>
        <w:rPr>
          <w:sz w:val="22"/>
          <w:szCs w:val="22"/>
        </w:rPr>
      </w:pPr>
      <w:r>
        <w:rPr>
          <w:sz w:val="22"/>
          <w:szCs w:val="22"/>
        </w:rPr>
        <w:t>1</w:t>
      </w:r>
      <w:r w:rsidR="00844049">
        <w:rPr>
          <w:sz w:val="22"/>
          <w:szCs w:val="22"/>
        </w:rPr>
        <w:t>3</w:t>
      </w:r>
      <w:r>
        <w:rPr>
          <w:sz w:val="22"/>
          <w:szCs w:val="22"/>
        </w:rPr>
        <w:t xml:space="preserve">.6 Subject to check, the Authority proposes </w:t>
      </w:r>
      <w:r w:rsidR="00844049">
        <w:rPr>
          <w:sz w:val="22"/>
          <w:szCs w:val="22"/>
        </w:rPr>
        <w:t xml:space="preserve">as a minimum </w:t>
      </w:r>
      <w:r>
        <w:rPr>
          <w:sz w:val="22"/>
          <w:szCs w:val="22"/>
        </w:rPr>
        <w:t xml:space="preserve">to protect Band 4 top-up funding rates at 2024/25 values. For special schools / academies, this will ensure that the Authority is compliant with the DfE’s Minimum Funding Guarantee. This </w:t>
      </w:r>
      <w:r w:rsidR="006D0E81">
        <w:rPr>
          <w:sz w:val="22"/>
          <w:szCs w:val="22"/>
        </w:rPr>
        <w:t>is also expected to provide for</w:t>
      </w:r>
      <w:r>
        <w:rPr>
          <w:sz w:val="22"/>
          <w:szCs w:val="22"/>
        </w:rPr>
        <w:t xml:space="preserve"> an overall settlement that will be broadly consistent</w:t>
      </w:r>
      <w:r w:rsidR="006D0E81">
        <w:rPr>
          <w:sz w:val="22"/>
          <w:szCs w:val="22"/>
        </w:rPr>
        <w:t xml:space="preserve"> and proportionate</w:t>
      </w:r>
      <w:r>
        <w:rPr>
          <w:sz w:val="22"/>
          <w:szCs w:val="22"/>
        </w:rPr>
        <w:t xml:space="preserve"> with the settlement that is expected for mainstream schools and academies, where the mainstream Minimum Funding Guarantee will be a maximum of 0%.</w:t>
      </w:r>
      <w:r w:rsidR="006D0E81">
        <w:rPr>
          <w:sz w:val="22"/>
          <w:szCs w:val="22"/>
        </w:rPr>
        <w:t xml:space="preserve"> As discussed in this document, i</w:t>
      </w:r>
      <w:r>
        <w:rPr>
          <w:sz w:val="22"/>
          <w:szCs w:val="22"/>
        </w:rPr>
        <w:t>t is recognised that, dependent on pay award and inflationary costs, holding Band 4 rates of funding at 2024/25 levels may reduce the spending power of Band 4 funding on current levels</w:t>
      </w:r>
      <w:r w:rsidR="00844049">
        <w:rPr>
          <w:sz w:val="22"/>
          <w:szCs w:val="22"/>
        </w:rPr>
        <w:t xml:space="preserve"> (reduction of funding in real terms)</w:t>
      </w:r>
      <w:r>
        <w:rPr>
          <w:sz w:val="22"/>
          <w:szCs w:val="22"/>
        </w:rPr>
        <w:t>.</w:t>
      </w:r>
      <w:r w:rsidR="006D0E81">
        <w:rPr>
          <w:sz w:val="22"/>
          <w:szCs w:val="22"/>
        </w:rPr>
        <w:t xml:space="preserve"> </w:t>
      </w:r>
      <w:r>
        <w:rPr>
          <w:sz w:val="22"/>
          <w:szCs w:val="22"/>
        </w:rPr>
        <w:t xml:space="preserve">Specifically mitigating against this, providers that receive Band 4 funding with Band 3 stacking will see an increase in their per pupil funding and, given the tightness of the 2025/26 formula funding settlements overall, the Authority would expect the DfE to allocate further teacher pay grant funding into schools where the STRB’s recommendation for the September 2025 teachers’ pay award is outside the range that can be afforded by the settlement. The DfE has done this in each of the last 2 financial years. The Authority’s benchmarking clearly shows </w:t>
      </w:r>
      <w:r w:rsidR="008E215F">
        <w:rPr>
          <w:sz w:val="22"/>
          <w:szCs w:val="22"/>
        </w:rPr>
        <w:t xml:space="preserve">that </w:t>
      </w:r>
      <w:r>
        <w:rPr>
          <w:sz w:val="22"/>
          <w:szCs w:val="22"/>
        </w:rPr>
        <w:t>per-place funding for special schools / academies in Bradford is consistently higher than</w:t>
      </w:r>
      <w:r w:rsidR="008E215F">
        <w:rPr>
          <w:sz w:val="22"/>
          <w:szCs w:val="22"/>
        </w:rPr>
        <w:t xml:space="preserve"> </w:t>
      </w:r>
      <w:r>
        <w:rPr>
          <w:sz w:val="22"/>
          <w:szCs w:val="22"/>
        </w:rPr>
        <w:t>comparative averages, evidencing the investment that the Authority has made</w:t>
      </w:r>
      <w:r w:rsidR="00844049">
        <w:rPr>
          <w:sz w:val="22"/>
          <w:szCs w:val="22"/>
        </w:rPr>
        <w:t xml:space="preserve"> already</w:t>
      </w:r>
      <w:r>
        <w:rPr>
          <w:sz w:val="22"/>
          <w:szCs w:val="22"/>
        </w:rPr>
        <w:t xml:space="preserve"> and continues to make</w:t>
      </w:r>
      <w:r w:rsidR="008E215F">
        <w:rPr>
          <w:sz w:val="22"/>
          <w:szCs w:val="22"/>
        </w:rPr>
        <w:t xml:space="preserve"> in</w:t>
      </w:r>
      <w:r>
        <w:rPr>
          <w:sz w:val="22"/>
          <w:szCs w:val="22"/>
        </w:rPr>
        <w:t xml:space="preserve"> supporting children and young people with SEND that are placed in special schools</w:t>
      </w:r>
      <w:r w:rsidR="00661C49">
        <w:rPr>
          <w:sz w:val="22"/>
          <w:szCs w:val="22"/>
        </w:rPr>
        <w:t xml:space="preserve"> / academies</w:t>
      </w:r>
      <w:r>
        <w:rPr>
          <w:sz w:val="22"/>
          <w:szCs w:val="22"/>
        </w:rPr>
        <w:t xml:space="preserve">. </w:t>
      </w:r>
    </w:p>
    <w:p w14:paraId="27B997D7" w14:textId="77777777" w:rsidR="00844049" w:rsidRDefault="00844049" w:rsidP="008E215F">
      <w:pPr>
        <w:jc w:val="both"/>
        <w:rPr>
          <w:sz w:val="22"/>
          <w:szCs w:val="22"/>
        </w:rPr>
      </w:pPr>
    </w:p>
    <w:p w14:paraId="1BA38A9D" w14:textId="504517A6" w:rsidR="008E215F" w:rsidRPr="006D0E81" w:rsidRDefault="008E215F" w:rsidP="008E215F">
      <w:pPr>
        <w:jc w:val="both"/>
        <w:rPr>
          <w:sz w:val="22"/>
          <w:szCs w:val="22"/>
        </w:rPr>
      </w:pPr>
      <w:r w:rsidRPr="006D0E81">
        <w:rPr>
          <w:sz w:val="22"/>
          <w:szCs w:val="22"/>
        </w:rPr>
        <w:t>1</w:t>
      </w:r>
      <w:r w:rsidR="00844049" w:rsidRPr="006D0E81">
        <w:rPr>
          <w:sz w:val="22"/>
          <w:szCs w:val="22"/>
        </w:rPr>
        <w:t>3</w:t>
      </w:r>
      <w:r w:rsidRPr="006D0E81">
        <w:rPr>
          <w:sz w:val="22"/>
          <w:szCs w:val="22"/>
        </w:rPr>
        <w:t>.</w:t>
      </w:r>
      <w:r w:rsidR="00844049" w:rsidRPr="006D0E81">
        <w:rPr>
          <w:sz w:val="22"/>
          <w:szCs w:val="22"/>
        </w:rPr>
        <w:t>7</w:t>
      </w:r>
      <w:r w:rsidRPr="006D0E81">
        <w:rPr>
          <w:sz w:val="22"/>
          <w:szCs w:val="22"/>
        </w:rPr>
        <w:t xml:space="preserve"> </w:t>
      </w:r>
      <w:r w:rsidR="006D0E81" w:rsidRPr="006D0E81">
        <w:rPr>
          <w:sz w:val="22"/>
          <w:szCs w:val="22"/>
        </w:rPr>
        <w:t xml:space="preserve">This document further discusses the options relating the continuation of some of the additional funding that is allocated to special schools / academies and AP Academies for ‘setting-led needs’, and for the continuation of former teacher pay and pensions grants. We refer to the assessment that is given in the relevant sections of this document. </w:t>
      </w:r>
      <w:r w:rsidR="006D0E81" w:rsidRPr="006D0E81">
        <w:rPr>
          <w:sz w:val="22"/>
          <w:szCs w:val="22"/>
        </w:rPr>
        <w:t xml:space="preserve">The Authority has not put forward adjustments to the other setting-led need factors and these are expected to continue on the same basis as 2024/25 using the same rates of funding. </w:t>
      </w:r>
    </w:p>
    <w:p w14:paraId="5DB63029" w14:textId="77777777" w:rsidR="008E215F" w:rsidRPr="00844049" w:rsidRDefault="008E215F" w:rsidP="008E215F">
      <w:pPr>
        <w:jc w:val="both"/>
        <w:rPr>
          <w:color w:val="FF0000"/>
          <w:sz w:val="22"/>
          <w:szCs w:val="22"/>
        </w:rPr>
      </w:pPr>
    </w:p>
    <w:p w14:paraId="03AF7AF5" w14:textId="03341597" w:rsidR="008E215F" w:rsidRPr="00844049" w:rsidRDefault="008E215F" w:rsidP="008E215F">
      <w:pPr>
        <w:jc w:val="both"/>
        <w:rPr>
          <w:color w:val="FF0000"/>
          <w:sz w:val="22"/>
          <w:szCs w:val="22"/>
        </w:rPr>
      </w:pPr>
      <w:r w:rsidRPr="006D0E81">
        <w:rPr>
          <w:sz w:val="22"/>
          <w:szCs w:val="22"/>
        </w:rPr>
        <w:t>1</w:t>
      </w:r>
      <w:r w:rsidR="00844049" w:rsidRPr="006D0E81">
        <w:rPr>
          <w:sz w:val="22"/>
          <w:szCs w:val="22"/>
        </w:rPr>
        <w:t>3</w:t>
      </w:r>
      <w:r w:rsidRPr="006D0E81">
        <w:rPr>
          <w:sz w:val="22"/>
          <w:szCs w:val="22"/>
        </w:rPr>
        <w:t xml:space="preserve">.8 </w:t>
      </w:r>
      <w:r w:rsidR="006D0E81" w:rsidRPr="006D0E81">
        <w:rPr>
          <w:sz w:val="22"/>
          <w:szCs w:val="22"/>
        </w:rPr>
        <w:t xml:space="preserve">This document further discusses the options relating </w:t>
      </w:r>
      <w:r w:rsidR="006D0E81">
        <w:rPr>
          <w:sz w:val="22"/>
          <w:szCs w:val="22"/>
        </w:rPr>
        <w:t xml:space="preserve">to </w:t>
      </w:r>
      <w:r w:rsidR="006D0E81" w:rsidRPr="006D0E81">
        <w:rPr>
          <w:sz w:val="22"/>
          <w:szCs w:val="22"/>
        </w:rPr>
        <w:t>the continuation of</w:t>
      </w:r>
      <w:r w:rsidR="006D0E81">
        <w:rPr>
          <w:sz w:val="22"/>
          <w:szCs w:val="22"/>
        </w:rPr>
        <w:t xml:space="preserve"> the Alternative Provision Day Rate Model. The technical workings of this Model are not proposed to change. </w:t>
      </w:r>
      <w:r w:rsidR="006D0E81" w:rsidRPr="006D0E81">
        <w:rPr>
          <w:sz w:val="22"/>
          <w:szCs w:val="22"/>
        </w:rPr>
        <w:t>We refer to the assessment that is given in the relevant sections of this document.</w:t>
      </w:r>
    </w:p>
    <w:p w14:paraId="34B6563C" w14:textId="77777777" w:rsidR="00164162" w:rsidRDefault="00164162" w:rsidP="000F3452">
      <w:pPr>
        <w:jc w:val="both"/>
        <w:rPr>
          <w:bCs/>
          <w:sz w:val="22"/>
          <w:szCs w:val="22"/>
          <w:u w:val="single"/>
        </w:rPr>
      </w:pPr>
    </w:p>
    <w:p w14:paraId="2D780D79" w14:textId="379A6C4F" w:rsidR="00164162" w:rsidRPr="000F3452" w:rsidRDefault="00164162" w:rsidP="00164162">
      <w:pPr>
        <w:jc w:val="both"/>
        <w:rPr>
          <w:bCs/>
          <w:sz w:val="22"/>
          <w:szCs w:val="22"/>
          <w:u w:val="single"/>
        </w:rPr>
      </w:pPr>
      <w:r>
        <w:rPr>
          <w:bCs/>
          <w:sz w:val="22"/>
          <w:szCs w:val="22"/>
          <w:u w:val="single"/>
        </w:rPr>
        <w:t>Changing the Funding Policy regarding the top-up funding of pupils places in</w:t>
      </w:r>
      <w:r w:rsidR="0028203D">
        <w:rPr>
          <w:bCs/>
          <w:sz w:val="22"/>
          <w:szCs w:val="22"/>
          <w:u w:val="single"/>
        </w:rPr>
        <w:t xml:space="preserve"> medical AP provision</w:t>
      </w:r>
    </w:p>
    <w:p w14:paraId="59610E80" w14:textId="77777777" w:rsidR="00164162" w:rsidRDefault="00164162" w:rsidP="000F3452">
      <w:pPr>
        <w:jc w:val="both"/>
        <w:rPr>
          <w:bCs/>
          <w:sz w:val="22"/>
          <w:szCs w:val="22"/>
          <w:u w:val="single"/>
        </w:rPr>
      </w:pPr>
    </w:p>
    <w:p w14:paraId="27199611" w14:textId="002CF496" w:rsidR="0028203D" w:rsidRPr="006D0E81" w:rsidRDefault="0028203D" w:rsidP="000F3452">
      <w:pPr>
        <w:jc w:val="both"/>
        <w:rPr>
          <w:sz w:val="22"/>
          <w:szCs w:val="22"/>
        </w:rPr>
      </w:pPr>
      <w:r>
        <w:rPr>
          <w:bCs/>
          <w:sz w:val="22"/>
          <w:szCs w:val="22"/>
        </w:rPr>
        <w:t>1</w:t>
      </w:r>
      <w:r w:rsidR="00844049">
        <w:rPr>
          <w:bCs/>
          <w:sz w:val="22"/>
          <w:szCs w:val="22"/>
        </w:rPr>
        <w:t>3</w:t>
      </w:r>
      <w:r>
        <w:rPr>
          <w:bCs/>
          <w:sz w:val="22"/>
          <w:szCs w:val="22"/>
        </w:rPr>
        <w:t xml:space="preserve">.9 The proposal to amend the funding policy </w:t>
      </w:r>
      <w:r w:rsidRPr="002D2BEE">
        <w:rPr>
          <w:sz w:val="22"/>
          <w:szCs w:val="22"/>
        </w:rPr>
        <w:t xml:space="preserve">regarding the </w:t>
      </w:r>
      <w:r>
        <w:rPr>
          <w:sz w:val="22"/>
          <w:szCs w:val="22"/>
        </w:rPr>
        <w:t>allocation</w:t>
      </w:r>
      <w:r w:rsidRPr="002D2BEE">
        <w:rPr>
          <w:sz w:val="22"/>
          <w:szCs w:val="22"/>
        </w:rPr>
        <w:t xml:space="preserve"> of EHCP top-up funding for pupils that remain on the roll of a school but who access AP medical needs provision that is commissioned by the Authority</w:t>
      </w:r>
      <w:r>
        <w:rPr>
          <w:sz w:val="22"/>
          <w:szCs w:val="22"/>
        </w:rPr>
        <w:t xml:space="preserve"> on a full-time basis is put forward to better support funding to ‘follow the child’, to ensure that the needs of children and young people that have EHCPs and that attend medical AP provision are effectively met. This is assessed to be positive.</w:t>
      </w:r>
    </w:p>
    <w:p w14:paraId="518DA7A7" w14:textId="77777777" w:rsidR="00164162" w:rsidRPr="000F3452" w:rsidRDefault="00164162" w:rsidP="00164162">
      <w:pPr>
        <w:jc w:val="both"/>
        <w:rPr>
          <w:bCs/>
          <w:sz w:val="22"/>
          <w:szCs w:val="22"/>
          <w:u w:val="single"/>
        </w:rPr>
      </w:pPr>
      <w:r>
        <w:rPr>
          <w:bCs/>
          <w:sz w:val="22"/>
          <w:szCs w:val="22"/>
          <w:u w:val="single"/>
        </w:rPr>
        <w:t xml:space="preserve">Adjusting the Definition of </w:t>
      </w:r>
      <w:r w:rsidRPr="000F3452">
        <w:rPr>
          <w:bCs/>
          <w:sz w:val="22"/>
          <w:szCs w:val="22"/>
          <w:u w:val="single"/>
        </w:rPr>
        <w:t>Notional SEND</w:t>
      </w:r>
      <w:r>
        <w:rPr>
          <w:bCs/>
          <w:sz w:val="22"/>
          <w:szCs w:val="22"/>
          <w:u w:val="single"/>
        </w:rPr>
        <w:t xml:space="preserve"> Budgets</w:t>
      </w:r>
    </w:p>
    <w:p w14:paraId="4BDBFD35" w14:textId="77777777" w:rsidR="00164162" w:rsidRDefault="00164162" w:rsidP="000F3452">
      <w:pPr>
        <w:jc w:val="both"/>
        <w:rPr>
          <w:bCs/>
          <w:sz w:val="22"/>
          <w:szCs w:val="22"/>
          <w:u w:val="single"/>
        </w:rPr>
      </w:pPr>
    </w:p>
    <w:p w14:paraId="19F5CEE4" w14:textId="63ED48EA" w:rsidR="00582CAD" w:rsidRPr="000F3452" w:rsidRDefault="00582CAD" w:rsidP="00582CAD">
      <w:pPr>
        <w:jc w:val="both"/>
        <w:rPr>
          <w:bCs/>
          <w:sz w:val="22"/>
          <w:szCs w:val="22"/>
        </w:rPr>
      </w:pPr>
      <w:r>
        <w:rPr>
          <w:bCs/>
          <w:sz w:val="22"/>
          <w:szCs w:val="22"/>
        </w:rPr>
        <w:t>1</w:t>
      </w:r>
      <w:r w:rsidR="00844049">
        <w:rPr>
          <w:bCs/>
          <w:sz w:val="22"/>
          <w:szCs w:val="22"/>
        </w:rPr>
        <w:t>3</w:t>
      </w:r>
      <w:r>
        <w:rPr>
          <w:bCs/>
          <w:sz w:val="22"/>
          <w:szCs w:val="22"/>
        </w:rPr>
        <w:t xml:space="preserve">.10 </w:t>
      </w:r>
      <w:r w:rsidRPr="000F3452">
        <w:rPr>
          <w:bCs/>
          <w:sz w:val="22"/>
          <w:szCs w:val="22"/>
        </w:rPr>
        <w:t xml:space="preserve">Where there is correlation with the measures that are used, </w:t>
      </w:r>
      <w:r>
        <w:rPr>
          <w:bCs/>
          <w:sz w:val="22"/>
          <w:szCs w:val="22"/>
        </w:rPr>
        <w:t xml:space="preserve">mainstream </w:t>
      </w:r>
      <w:r w:rsidRPr="000F3452">
        <w:rPr>
          <w:bCs/>
          <w:sz w:val="22"/>
          <w:szCs w:val="22"/>
        </w:rPr>
        <w:t xml:space="preserve">schools / academies receive funding via </w:t>
      </w:r>
      <w:r>
        <w:rPr>
          <w:bCs/>
          <w:sz w:val="22"/>
          <w:szCs w:val="22"/>
        </w:rPr>
        <w:t xml:space="preserve">the </w:t>
      </w:r>
      <w:r w:rsidRPr="000F3452">
        <w:rPr>
          <w:bCs/>
          <w:sz w:val="22"/>
          <w:szCs w:val="22"/>
        </w:rPr>
        <w:t>Schools Block formula to support children and young people that share some of the protected characteristics, related to SEND (disability) and race (ethnicity), through the Additional Educational Needs (AEN) factors. The AEN factors are: Free School Meals (FSM), Income Deprivation Affecting Children Index (IDACI), English as an Additional Language (EAL), Low Prior Attainment (LPA) and Pupil Mobility. There is strong correlation between LPA and SEND. There is also strong correlation between race (ethnicity), EAL and Pupil Mobility. There are also correlations e.g. between SEND and measures of deprivation and between LPA and measures of deprivation. Our formula funding deprivation measures, therefore, closely correlate with low income / low wage, which is an additional characteristic that is identified by the Council.</w:t>
      </w:r>
    </w:p>
    <w:p w14:paraId="550F68C9" w14:textId="77777777" w:rsidR="0028203D" w:rsidRDefault="0028203D" w:rsidP="000F3452">
      <w:pPr>
        <w:jc w:val="both"/>
        <w:rPr>
          <w:bCs/>
          <w:sz w:val="22"/>
          <w:szCs w:val="22"/>
          <w:u w:val="single"/>
        </w:rPr>
      </w:pPr>
    </w:p>
    <w:p w14:paraId="31DCBC0F" w14:textId="767BA155" w:rsidR="00582CAD" w:rsidRPr="000F3452" w:rsidRDefault="00582CAD" w:rsidP="00582CAD">
      <w:pPr>
        <w:jc w:val="both"/>
        <w:rPr>
          <w:bCs/>
          <w:sz w:val="22"/>
          <w:szCs w:val="22"/>
        </w:rPr>
      </w:pPr>
      <w:r>
        <w:rPr>
          <w:bCs/>
          <w:sz w:val="22"/>
          <w:szCs w:val="22"/>
        </w:rPr>
        <w:t>1</w:t>
      </w:r>
      <w:r w:rsidR="00844049">
        <w:rPr>
          <w:bCs/>
          <w:sz w:val="22"/>
          <w:szCs w:val="22"/>
        </w:rPr>
        <w:t>3</w:t>
      </w:r>
      <w:r>
        <w:rPr>
          <w:bCs/>
          <w:sz w:val="22"/>
          <w:szCs w:val="22"/>
        </w:rPr>
        <w:t xml:space="preserve">.11 </w:t>
      </w:r>
      <w:r w:rsidRPr="000F3452">
        <w:rPr>
          <w:bCs/>
          <w:sz w:val="22"/>
          <w:szCs w:val="22"/>
        </w:rPr>
        <w:t>Changes to the calculation of Notional SEND budgets for mainstream primary and secondary schools do not materially alter the value of formula funding that an individual school or academy receives.</w:t>
      </w:r>
      <w:r>
        <w:rPr>
          <w:bCs/>
          <w:sz w:val="22"/>
          <w:szCs w:val="22"/>
        </w:rPr>
        <w:t xml:space="preserve"> </w:t>
      </w:r>
      <w:r w:rsidRPr="000F3452">
        <w:rPr>
          <w:bCs/>
          <w:sz w:val="22"/>
          <w:szCs w:val="22"/>
        </w:rPr>
        <w:t xml:space="preserve">As such, the changes that are proposed do not have direct implications for equalities (either positive or negative), in the sense that these changes do not affect the funding that a school / academy </w:t>
      </w:r>
      <w:r>
        <w:rPr>
          <w:bCs/>
          <w:sz w:val="22"/>
          <w:szCs w:val="22"/>
        </w:rPr>
        <w:t xml:space="preserve">actually </w:t>
      </w:r>
      <w:r w:rsidRPr="000F3452">
        <w:rPr>
          <w:bCs/>
          <w:sz w:val="22"/>
          <w:szCs w:val="22"/>
        </w:rPr>
        <w:t xml:space="preserve">receives. </w:t>
      </w:r>
      <w:r w:rsidR="008D6D57">
        <w:rPr>
          <w:bCs/>
          <w:sz w:val="22"/>
          <w:szCs w:val="22"/>
        </w:rPr>
        <w:t>However, a</w:t>
      </w:r>
      <w:r w:rsidRPr="000F3452">
        <w:rPr>
          <w:bCs/>
          <w:sz w:val="22"/>
          <w:szCs w:val="22"/>
        </w:rPr>
        <w:t>n individual school / academy is expected to review its spending on supporting the additional needs of pupils with reference to their Notional SEND Budget. As such, it is identified in this context that the proposed changes will modestly increase these budgets overall, to the benefit of pupils with additional needs. We assess that proposing to incrementally amend our definition of Notional SEND budgets continues to support schools and academies to make effective provision for pupils with additional educational needs and with Special Educational Needs and Disabilities. In this sense, the expected impact of the proposed amendments is positive.</w:t>
      </w:r>
    </w:p>
    <w:p w14:paraId="45703BE5" w14:textId="77777777" w:rsidR="00D50AE5" w:rsidRDefault="00D50AE5" w:rsidP="000F3452">
      <w:pPr>
        <w:jc w:val="both"/>
        <w:rPr>
          <w:bCs/>
          <w:sz w:val="22"/>
          <w:szCs w:val="22"/>
          <w:u w:val="single"/>
        </w:rPr>
      </w:pPr>
    </w:p>
    <w:p w14:paraId="1F6ED68A" w14:textId="42E89AB1" w:rsidR="000F3452" w:rsidRPr="000F3452" w:rsidRDefault="00164162" w:rsidP="000F3452">
      <w:pPr>
        <w:jc w:val="both"/>
        <w:rPr>
          <w:bCs/>
          <w:sz w:val="22"/>
          <w:szCs w:val="22"/>
          <w:u w:val="single"/>
        </w:rPr>
      </w:pPr>
      <w:r>
        <w:rPr>
          <w:bCs/>
          <w:sz w:val="22"/>
          <w:szCs w:val="22"/>
          <w:u w:val="single"/>
        </w:rPr>
        <w:t>Adjusting the SEND Funding Floor</w:t>
      </w:r>
      <w:r w:rsidR="008D6D57">
        <w:rPr>
          <w:bCs/>
          <w:sz w:val="22"/>
          <w:szCs w:val="22"/>
          <w:u w:val="single"/>
        </w:rPr>
        <w:t xml:space="preserve"> at September 2025</w:t>
      </w:r>
    </w:p>
    <w:p w14:paraId="176ABCE0" w14:textId="77777777" w:rsidR="000F3452" w:rsidRDefault="000F3452" w:rsidP="000F3452">
      <w:pPr>
        <w:jc w:val="both"/>
        <w:rPr>
          <w:bCs/>
          <w:sz w:val="22"/>
          <w:szCs w:val="22"/>
        </w:rPr>
      </w:pPr>
    </w:p>
    <w:p w14:paraId="52E63CAD" w14:textId="31F8A2DB" w:rsidR="001E7899" w:rsidRDefault="001E7899" w:rsidP="001E7899">
      <w:pPr>
        <w:jc w:val="both"/>
        <w:rPr>
          <w:bCs/>
          <w:sz w:val="22"/>
          <w:szCs w:val="22"/>
        </w:rPr>
      </w:pPr>
      <w:r>
        <w:rPr>
          <w:bCs/>
          <w:sz w:val="22"/>
          <w:szCs w:val="22"/>
        </w:rPr>
        <w:t>1</w:t>
      </w:r>
      <w:r w:rsidR="00844049">
        <w:rPr>
          <w:bCs/>
          <w:sz w:val="22"/>
          <w:szCs w:val="22"/>
        </w:rPr>
        <w:t>3</w:t>
      </w:r>
      <w:r>
        <w:rPr>
          <w:bCs/>
          <w:sz w:val="22"/>
          <w:szCs w:val="22"/>
        </w:rPr>
        <w:t xml:space="preserve">.12 </w:t>
      </w:r>
      <w:r w:rsidR="00320392">
        <w:rPr>
          <w:bCs/>
          <w:sz w:val="22"/>
          <w:szCs w:val="22"/>
        </w:rPr>
        <w:t xml:space="preserve">The SEND Funding Floor is a “targeted funding mechanism”. </w:t>
      </w:r>
      <w:r w:rsidRPr="001E7899">
        <w:rPr>
          <w:bCs/>
          <w:sz w:val="22"/>
          <w:szCs w:val="22"/>
        </w:rPr>
        <w:t xml:space="preserve">The Authority proposes to amend </w:t>
      </w:r>
      <w:r w:rsidR="00320392">
        <w:rPr>
          <w:bCs/>
          <w:sz w:val="22"/>
          <w:szCs w:val="22"/>
        </w:rPr>
        <w:t>this</w:t>
      </w:r>
      <w:r>
        <w:rPr>
          <w:bCs/>
          <w:sz w:val="22"/>
          <w:szCs w:val="22"/>
        </w:rPr>
        <w:t xml:space="preserve"> at September 2025</w:t>
      </w:r>
      <w:r w:rsidRPr="001E7899">
        <w:rPr>
          <w:bCs/>
          <w:sz w:val="22"/>
          <w:szCs w:val="22"/>
        </w:rPr>
        <w:t xml:space="preserve"> for the purposes of</w:t>
      </w:r>
      <w:r>
        <w:rPr>
          <w:bCs/>
          <w:sz w:val="22"/>
          <w:szCs w:val="22"/>
        </w:rPr>
        <w:t>: a) b</w:t>
      </w:r>
      <w:r w:rsidRPr="001E7899">
        <w:rPr>
          <w:bCs/>
          <w:sz w:val="22"/>
          <w:szCs w:val="22"/>
        </w:rPr>
        <w:t>ringing this into line with the DfE’s guidance and the practice that is found in other local authorities, recognising that</w:t>
      </w:r>
      <w:r>
        <w:rPr>
          <w:bCs/>
          <w:sz w:val="22"/>
          <w:szCs w:val="22"/>
        </w:rPr>
        <w:t xml:space="preserve"> Bradford’s mechanism is </w:t>
      </w:r>
      <w:r w:rsidRPr="001E7899">
        <w:rPr>
          <w:bCs/>
          <w:sz w:val="22"/>
          <w:szCs w:val="22"/>
        </w:rPr>
        <w:t>currently an ‘outlier’</w:t>
      </w:r>
      <w:r>
        <w:rPr>
          <w:bCs/>
          <w:sz w:val="22"/>
          <w:szCs w:val="22"/>
        </w:rPr>
        <w:t>, b) r</w:t>
      </w:r>
      <w:r w:rsidRPr="001E7899">
        <w:rPr>
          <w:bCs/>
          <w:sz w:val="22"/>
          <w:szCs w:val="22"/>
        </w:rPr>
        <w:t xml:space="preserve">e-focusing </w:t>
      </w:r>
      <w:r>
        <w:rPr>
          <w:bCs/>
          <w:sz w:val="22"/>
          <w:szCs w:val="22"/>
        </w:rPr>
        <w:t>the</w:t>
      </w:r>
      <w:r w:rsidRPr="001E7899">
        <w:rPr>
          <w:bCs/>
          <w:sz w:val="22"/>
          <w:szCs w:val="22"/>
        </w:rPr>
        <w:t xml:space="preserve"> Floor on a smaller number of exceptional schools / academies, as expected by the DfE’s published guidance</w:t>
      </w:r>
      <w:r>
        <w:rPr>
          <w:bCs/>
          <w:sz w:val="22"/>
          <w:szCs w:val="22"/>
        </w:rPr>
        <w:t>, c) a</w:t>
      </w:r>
      <w:r w:rsidRPr="001E7899">
        <w:rPr>
          <w:bCs/>
          <w:sz w:val="22"/>
          <w:szCs w:val="22"/>
        </w:rPr>
        <w:t xml:space="preserve">dding into </w:t>
      </w:r>
      <w:r>
        <w:rPr>
          <w:bCs/>
          <w:sz w:val="22"/>
          <w:szCs w:val="22"/>
        </w:rPr>
        <w:t>the Authority’s</w:t>
      </w:r>
      <w:r w:rsidRPr="001E7899">
        <w:rPr>
          <w:bCs/>
          <w:sz w:val="22"/>
          <w:szCs w:val="22"/>
        </w:rPr>
        <w:t xml:space="preserve"> process for determining eligibility an assessment of a school’s / academy’s SEND provision and practice and their overall financial position to improve accountability and the value for money and impact of our spending</w:t>
      </w:r>
      <w:r>
        <w:rPr>
          <w:bCs/>
          <w:sz w:val="22"/>
          <w:szCs w:val="22"/>
        </w:rPr>
        <w:t>, and d) r</w:t>
      </w:r>
      <w:r w:rsidRPr="001E7899">
        <w:rPr>
          <w:bCs/>
          <w:sz w:val="22"/>
          <w:szCs w:val="22"/>
        </w:rPr>
        <w:t>educing the cost of the Funding Floor to the High Needs Block, in seeking to mitigate against the forecasted High Needs Block defici</w:t>
      </w:r>
      <w:r>
        <w:rPr>
          <w:bCs/>
          <w:sz w:val="22"/>
          <w:szCs w:val="22"/>
        </w:rPr>
        <w:t>t.</w:t>
      </w:r>
    </w:p>
    <w:p w14:paraId="6B2E7400" w14:textId="77777777" w:rsidR="00844049" w:rsidRDefault="00844049" w:rsidP="001E7899">
      <w:pPr>
        <w:jc w:val="both"/>
        <w:rPr>
          <w:bCs/>
          <w:sz w:val="22"/>
          <w:szCs w:val="22"/>
        </w:rPr>
      </w:pPr>
    </w:p>
    <w:p w14:paraId="4D9ECC08" w14:textId="5B2179B0" w:rsidR="00320392" w:rsidRDefault="001E7899" w:rsidP="001E7899">
      <w:pPr>
        <w:jc w:val="both"/>
        <w:rPr>
          <w:bCs/>
          <w:sz w:val="22"/>
          <w:szCs w:val="22"/>
        </w:rPr>
      </w:pPr>
      <w:r>
        <w:rPr>
          <w:bCs/>
          <w:sz w:val="22"/>
          <w:szCs w:val="22"/>
        </w:rPr>
        <w:t>1</w:t>
      </w:r>
      <w:r w:rsidR="00844049">
        <w:rPr>
          <w:bCs/>
          <w:sz w:val="22"/>
          <w:szCs w:val="22"/>
        </w:rPr>
        <w:t>3</w:t>
      </w:r>
      <w:r>
        <w:rPr>
          <w:bCs/>
          <w:sz w:val="22"/>
          <w:szCs w:val="22"/>
        </w:rPr>
        <w:t xml:space="preserve">.13 </w:t>
      </w:r>
      <w:r w:rsidRPr="001E7899">
        <w:rPr>
          <w:bCs/>
          <w:sz w:val="22"/>
          <w:szCs w:val="22"/>
        </w:rPr>
        <w:t xml:space="preserve">It is important to stress that this proposal </w:t>
      </w:r>
      <w:r w:rsidR="001811B8">
        <w:rPr>
          <w:bCs/>
          <w:sz w:val="22"/>
          <w:szCs w:val="22"/>
        </w:rPr>
        <w:t>affects</w:t>
      </w:r>
      <w:r w:rsidRPr="001E7899">
        <w:rPr>
          <w:bCs/>
          <w:sz w:val="22"/>
          <w:szCs w:val="22"/>
        </w:rPr>
        <w:t xml:space="preserve"> additional </w:t>
      </w:r>
      <w:r>
        <w:rPr>
          <w:bCs/>
          <w:sz w:val="22"/>
          <w:szCs w:val="22"/>
        </w:rPr>
        <w:t>un-</w:t>
      </w:r>
      <w:r w:rsidRPr="001E7899">
        <w:rPr>
          <w:bCs/>
          <w:sz w:val="22"/>
          <w:szCs w:val="22"/>
        </w:rPr>
        <w:t>ringfenced school / academy funding</w:t>
      </w:r>
      <w:r w:rsidR="00320392">
        <w:rPr>
          <w:bCs/>
          <w:sz w:val="22"/>
          <w:szCs w:val="22"/>
        </w:rPr>
        <w:t>. It will not change</w:t>
      </w:r>
      <w:r w:rsidRPr="001E7899">
        <w:rPr>
          <w:bCs/>
          <w:sz w:val="22"/>
          <w:szCs w:val="22"/>
        </w:rPr>
        <w:t xml:space="preserve"> </w:t>
      </w:r>
      <w:r w:rsidR="00320392">
        <w:rPr>
          <w:bCs/>
          <w:sz w:val="22"/>
          <w:szCs w:val="22"/>
        </w:rPr>
        <w:t xml:space="preserve">earmarked or ring-fenced </w:t>
      </w:r>
      <w:r w:rsidRPr="001E7899">
        <w:rPr>
          <w:bCs/>
          <w:sz w:val="22"/>
          <w:szCs w:val="22"/>
        </w:rPr>
        <w:t>funding that is allocated in respect of named individual</w:t>
      </w:r>
      <w:r w:rsidR="00320392">
        <w:rPr>
          <w:bCs/>
          <w:sz w:val="22"/>
          <w:szCs w:val="22"/>
        </w:rPr>
        <w:t>s through EHCPs</w:t>
      </w:r>
      <w:r w:rsidRPr="001E7899">
        <w:rPr>
          <w:bCs/>
          <w:sz w:val="22"/>
          <w:szCs w:val="22"/>
        </w:rPr>
        <w:t>. Local authorities are not required to operate “targeted funding” mechanisms</w:t>
      </w:r>
      <w:r w:rsidR="00320392">
        <w:rPr>
          <w:bCs/>
          <w:sz w:val="22"/>
          <w:szCs w:val="22"/>
        </w:rPr>
        <w:t>, though</w:t>
      </w:r>
      <w:r w:rsidRPr="001E7899">
        <w:rPr>
          <w:bCs/>
          <w:sz w:val="22"/>
          <w:szCs w:val="22"/>
        </w:rPr>
        <w:t xml:space="preserve"> are encouraged by the DfE’s guidance to do so.</w:t>
      </w:r>
    </w:p>
    <w:p w14:paraId="11F6AED6" w14:textId="77777777" w:rsidR="001811B8" w:rsidRDefault="001811B8" w:rsidP="001811B8">
      <w:pPr>
        <w:jc w:val="both"/>
        <w:rPr>
          <w:bCs/>
          <w:sz w:val="22"/>
          <w:szCs w:val="22"/>
        </w:rPr>
      </w:pPr>
    </w:p>
    <w:p w14:paraId="7169BB6A" w14:textId="5976EC2F" w:rsidR="001811B8" w:rsidRPr="001811B8" w:rsidRDefault="00320392" w:rsidP="001811B8">
      <w:pPr>
        <w:jc w:val="both"/>
        <w:rPr>
          <w:bCs/>
          <w:sz w:val="22"/>
          <w:szCs w:val="22"/>
        </w:rPr>
      </w:pPr>
      <w:r>
        <w:rPr>
          <w:bCs/>
          <w:sz w:val="22"/>
          <w:szCs w:val="22"/>
        </w:rPr>
        <w:t>1</w:t>
      </w:r>
      <w:r w:rsidR="00844049">
        <w:rPr>
          <w:bCs/>
          <w:sz w:val="22"/>
          <w:szCs w:val="22"/>
        </w:rPr>
        <w:t>3</w:t>
      </w:r>
      <w:r>
        <w:rPr>
          <w:bCs/>
          <w:sz w:val="22"/>
          <w:szCs w:val="22"/>
        </w:rPr>
        <w:t>.1</w:t>
      </w:r>
      <w:r w:rsidR="001811B8">
        <w:rPr>
          <w:bCs/>
          <w:sz w:val="22"/>
          <w:szCs w:val="22"/>
        </w:rPr>
        <w:t>4</w:t>
      </w:r>
      <w:r>
        <w:rPr>
          <w:bCs/>
          <w:sz w:val="22"/>
          <w:szCs w:val="22"/>
        </w:rPr>
        <w:t xml:space="preserve"> As currently proposed, it is expected that that the amended SEND Funding Floor will re-focus the allocation of additional funding on a smaller number of exceptional schools / academies. </w:t>
      </w:r>
      <w:r w:rsidRPr="00320392">
        <w:rPr>
          <w:bCs/>
          <w:sz w:val="22"/>
          <w:szCs w:val="22"/>
        </w:rPr>
        <w:t>Typically, these will be schools / academies that are not already in receipt of more substantial values of additional educational needs formula funding but that have higher proportions of pupils with EHCPs.</w:t>
      </w:r>
      <w:r>
        <w:rPr>
          <w:bCs/>
          <w:sz w:val="22"/>
          <w:szCs w:val="22"/>
        </w:rPr>
        <w:t xml:space="preserve"> It is expected that the amended SEND Funding Floor will result in primary and secondary schools</w:t>
      </w:r>
      <w:r w:rsidR="001811B8">
        <w:rPr>
          <w:bCs/>
          <w:sz w:val="22"/>
          <w:szCs w:val="22"/>
        </w:rPr>
        <w:t xml:space="preserve"> / academies</w:t>
      </w:r>
      <w:r>
        <w:rPr>
          <w:bCs/>
          <w:sz w:val="22"/>
          <w:szCs w:val="22"/>
        </w:rPr>
        <w:t xml:space="preserve"> that are currently in receipt of funding no longer being eligible. </w:t>
      </w:r>
      <w:r w:rsidRPr="00320392">
        <w:rPr>
          <w:bCs/>
          <w:sz w:val="22"/>
          <w:szCs w:val="22"/>
        </w:rPr>
        <w:t>Typically</w:t>
      </w:r>
      <w:r>
        <w:rPr>
          <w:bCs/>
          <w:sz w:val="22"/>
          <w:szCs w:val="22"/>
        </w:rPr>
        <w:t>,</w:t>
      </w:r>
      <w:r w:rsidRPr="00320392">
        <w:rPr>
          <w:bCs/>
          <w:sz w:val="22"/>
          <w:szCs w:val="22"/>
        </w:rPr>
        <w:t xml:space="preserve"> these will be schools / academies that are already in receipt of more substantial values of additional educational needs formula funding where their proportions of pupils with EHCPs are not exceptional.</w:t>
      </w:r>
      <w:r>
        <w:rPr>
          <w:bCs/>
          <w:sz w:val="22"/>
          <w:szCs w:val="22"/>
        </w:rPr>
        <w:t xml:space="preserve"> It is expected that the overall annual spending on the SEND Floor will reduce.</w:t>
      </w:r>
      <w:r w:rsidR="001811B8">
        <w:rPr>
          <w:bCs/>
          <w:sz w:val="22"/>
          <w:szCs w:val="22"/>
        </w:rPr>
        <w:t xml:space="preserve"> </w:t>
      </w:r>
      <w:r w:rsidR="001811B8" w:rsidRPr="001811B8">
        <w:rPr>
          <w:bCs/>
          <w:sz w:val="22"/>
          <w:szCs w:val="22"/>
        </w:rPr>
        <w:t>The introduction of the ‘Local Authority assessment’ step is expected to improve accountability and the value for money of spending within the High Needs Block. All schools / academies are expected to develop high quality inclusive universal and SEND provision that should be funded using their already delegated formula funding. Schools / academies will continue to receive this formula funding, based on measures of additional educational needs, and the Local Authority will continue to define ‘Notional SEND budgets’, from which schools / academies are expected to support their pupils with SEND</w:t>
      </w:r>
    </w:p>
    <w:p w14:paraId="02437846" w14:textId="77777777" w:rsidR="001811B8" w:rsidRDefault="001811B8" w:rsidP="00320392">
      <w:pPr>
        <w:pStyle w:val="ListParagraph"/>
        <w:ind w:left="0"/>
        <w:jc w:val="both"/>
        <w:rPr>
          <w:bCs/>
          <w:sz w:val="22"/>
          <w:szCs w:val="22"/>
        </w:rPr>
      </w:pPr>
    </w:p>
    <w:p w14:paraId="71E35563" w14:textId="03A38545" w:rsidR="00320392" w:rsidRPr="00320392" w:rsidRDefault="00320392" w:rsidP="00320392">
      <w:pPr>
        <w:pStyle w:val="ListParagraph"/>
        <w:ind w:left="0"/>
        <w:jc w:val="both"/>
        <w:rPr>
          <w:bCs/>
          <w:sz w:val="22"/>
          <w:szCs w:val="22"/>
        </w:rPr>
      </w:pPr>
      <w:r>
        <w:rPr>
          <w:bCs/>
          <w:sz w:val="22"/>
          <w:szCs w:val="22"/>
        </w:rPr>
        <w:t>1</w:t>
      </w:r>
      <w:r w:rsidR="00844049">
        <w:rPr>
          <w:bCs/>
          <w:sz w:val="22"/>
          <w:szCs w:val="22"/>
        </w:rPr>
        <w:t>3</w:t>
      </w:r>
      <w:r>
        <w:rPr>
          <w:bCs/>
          <w:sz w:val="22"/>
          <w:szCs w:val="22"/>
        </w:rPr>
        <w:t>.1</w:t>
      </w:r>
      <w:r w:rsidR="001811B8">
        <w:rPr>
          <w:bCs/>
          <w:sz w:val="22"/>
          <w:szCs w:val="22"/>
        </w:rPr>
        <w:t>5</w:t>
      </w:r>
      <w:r>
        <w:rPr>
          <w:bCs/>
          <w:sz w:val="22"/>
          <w:szCs w:val="22"/>
        </w:rPr>
        <w:t xml:space="preserve"> </w:t>
      </w:r>
      <w:r w:rsidRPr="00320392">
        <w:rPr>
          <w:bCs/>
          <w:sz w:val="22"/>
          <w:szCs w:val="22"/>
        </w:rPr>
        <w:t xml:space="preserve">The Funding Floor post amendment will still represent a substantial SEND funding support mechanism for the mainstream sector. It will support equalities as it is fundamentally in place to </w:t>
      </w:r>
      <w:r w:rsidR="001811B8">
        <w:rPr>
          <w:bCs/>
          <w:sz w:val="22"/>
          <w:szCs w:val="22"/>
        </w:rPr>
        <w:t xml:space="preserve">identify and to </w:t>
      </w:r>
      <w:r w:rsidRPr="00320392">
        <w:rPr>
          <w:bCs/>
          <w:sz w:val="22"/>
          <w:szCs w:val="22"/>
        </w:rPr>
        <w:t xml:space="preserve">mitigate against exceptional and disproportionate circumstances. </w:t>
      </w:r>
      <w:r>
        <w:rPr>
          <w:bCs/>
          <w:sz w:val="22"/>
          <w:szCs w:val="22"/>
        </w:rPr>
        <w:t xml:space="preserve">The </w:t>
      </w:r>
      <w:r w:rsidRPr="00320392">
        <w:rPr>
          <w:bCs/>
          <w:sz w:val="22"/>
          <w:szCs w:val="22"/>
        </w:rPr>
        <w:t xml:space="preserve">Floor will continue to </w:t>
      </w:r>
      <w:r>
        <w:rPr>
          <w:bCs/>
          <w:sz w:val="22"/>
          <w:szCs w:val="22"/>
        </w:rPr>
        <w:t xml:space="preserve">support / </w:t>
      </w:r>
      <w:r w:rsidRPr="00320392">
        <w:rPr>
          <w:bCs/>
          <w:sz w:val="22"/>
          <w:szCs w:val="22"/>
        </w:rPr>
        <w:t>protect the funding</w:t>
      </w:r>
      <w:r>
        <w:rPr>
          <w:bCs/>
          <w:sz w:val="22"/>
          <w:szCs w:val="22"/>
        </w:rPr>
        <w:t xml:space="preserve"> that is</w:t>
      </w:r>
      <w:r w:rsidRPr="00320392">
        <w:rPr>
          <w:bCs/>
          <w:sz w:val="22"/>
          <w:szCs w:val="22"/>
        </w:rPr>
        <w:t xml:space="preserve"> used by mainstream schools and academies to support their wider Additional Educational Needs (AEN), SEND and Alternative Provision (AP) activities</w:t>
      </w:r>
      <w:r>
        <w:rPr>
          <w:bCs/>
          <w:sz w:val="22"/>
          <w:szCs w:val="22"/>
        </w:rPr>
        <w:t>, in support of high-quality universal provision</w:t>
      </w:r>
      <w:r w:rsidRPr="00320392">
        <w:rPr>
          <w:bCs/>
          <w:sz w:val="22"/>
          <w:szCs w:val="22"/>
        </w:rPr>
        <w:t xml:space="preserve">. The Floor </w:t>
      </w:r>
      <w:r>
        <w:rPr>
          <w:bCs/>
          <w:sz w:val="22"/>
          <w:szCs w:val="22"/>
        </w:rPr>
        <w:t xml:space="preserve">will continue to </w:t>
      </w:r>
      <w:r w:rsidRPr="00320392">
        <w:rPr>
          <w:bCs/>
          <w:sz w:val="22"/>
          <w:szCs w:val="22"/>
        </w:rPr>
        <w:t>financially support mainstream schools and academies that have higher proportions of pupils with EHCPs, in support of inclusion, combining also to support schools and academies that may have lower levels of AEN formula funding and that may be smaller in size.</w:t>
      </w:r>
    </w:p>
    <w:p w14:paraId="3E3961A4" w14:textId="77777777" w:rsidR="008D6D57" w:rsidRDefault="008D6D57" w:rsidP="00355873">
      <w:pPr>
        <w:jc w:val="both"/>
        <w:rPr>
          <w:b/>
          <w:color w:val="FF0000"/>
          <w:sz w:val="22"/>
          <w:szCs w:val="22"/>
        </w:rPr>
      </w:pPr>
    </w:p>
    <w:p w14:paraId="55F0C1A8" w14:textId="2E59EC1E" w:rsidR="001811B8" w:rsidRDefault="001811B8" w:rsidP="001811B8">
      <w:pPr>
        <w:jc w:val="both"/>
        <w:rPr>
          <w:bCs/>
          <w:sz w:val="22"/>
          <w:szCs w:val="22"/>
        </w:rPr>
      </w:pPr>
      <w:r>
        <w:rPr>
          <w:bCs/>
          <w:sz w:val="22"/>
          <w:szCs w:val="22"/>
        </w:rPr>
        <w:t>1</w:t>
      </w:r>
      <w:r w:rsidR="00844049">
        <w:rPr>
          <w:bCs/>
          <w:sz w:val="22"/>
          <w:szCs w:val="22"/>
        </w:rPr>
        <w:t>3</w:t>
      </w:r>
      <w:r>
        <w:rPr>
          <w:bCs/>
          <w:sz w:val="22"/>
          <w:szCs w:val="22"/>
        </w:rPr>
        <w:t xml:space="preserve">.16 A further consultation on the new mechanism will be conducted in due course in the new year. </w:t>
      </w:r>
      <w:r w:rsidR="008C4EE8">
        <w:rPr>
          <w:bCs/>
          <w:sz w:val="22"/>
          <w:szCs w:val="22"/>
        </w:rPr>
        <w:t>An</w:t>
      </w:r>
      <w:r>
        <w:rPr>
          <w:bCs/>
          <w:sz w:val="22"/>
          <w:szCs w:val="22"/>
        </w:rPr>
        <w:t xml:space="preserve"> EQIA will accompany this consultation. </w:t>
      </w:r>
    </w:p>
    <w:p w14:paraId="1B7C2371" w14:textId="77777777" w:rsidR="001811B8" w:rsidRDefault="001811B8" w:rsidP="00355873">
      <w:pPr>
        <w:jc w:val="both"/>
        <w:rPr>
          <w:b/>
          <w:sz w:val="22"/>
          <w:szCs w:val="22"/>
        </w:rPr>
      </w:pPr>
    </w:p>
    <w:p w14:paraId="31D9DA78" w14:textId="5C4E8B82" w:rsidR="00C6158B" w:rsidRDefault="005F6CF2" w:rsidP="00355873">
      <w:pPr>
        <w:jc w:val="both"/>
        <w:rPr>
          <w:b/>
          <w:sz w:val="22"/>
          <w:szCs w:val="22"/>
        </w:rPr>
      </w:pPr>
      <w:r>
        <w:rPr>
          <w:b/>
          <w:sz w:val="22"/>
          <w:szCs w:val="22"/>
        </w:rPr>
        <w:t>1</w:t>
      </w:r>
      <w:r w:rsidR="00844049">
        <w:rPr>
          <w:b/>
          <w:sz w:val="22"/>
          <w:szCs w:val="22"/>
        </w:rPr>
        <w:t>4</w:t>
      </w:r>
      <w:r w:rsidR="00C6158B">
        <w:rPr>
          <w:b/>
          <w:sz w:val="22"/>
          <w:szCs w:val="22"/>
        </w:rPr>
        <w:t>.</w:t>
      </w:r>
      <w:r w:rsidR="00C6158B">
        <w:rPr>
          <w:b/>
          <w:sz w:val="22"/>
          <w:szCs w:val="22"/>
        </w:rPr>
        <w:tab/>
        <w:t>Appendices</w:t>
      </w:r>
    </w:p>
    <w:p w14:paraId="0D9EF6A7" w14:textId="77777777" w:rsidR="00C6158B" w:rsidRDefault="00C6158B" w:rsidP="00355873">
      <w:pPr>
        <w:jc w:val="both"/>
        <w:rPr>
          <w:sz w:val="22"/>
          <w:szCs w:val="22"/>
        </w:rPr>
      </w:pPr>
    </w:p>
    <w:p w14:paraId="26691BF8" w14:textId="77777777" w:rsidR="00C6158B" w:rsidRPr="00981A96" w:rsidRDefault="00C6158B" w:rsidP="00355873">
      <w:pPr>
        <w:jc w:val="both"/>
        <w:rPr>
          <w:sz w:val="22"/>
          <w:szCs w:val="22"/>
        </w:rPr>
      </w:pPr>
      <w:r w:rsidRPr="00981A96">
        <w:rPr>
          <w:sz w:val="22"/>
          <w:szCs w:val="22"/>
        </w:rPr>
        <w:t>Appendix 1</w:t>
      </w:r>
      <w:r w:rsidRPr="00981A96">
        <w:rPr>
          <w:sz w:val="22"/>
          <w:szCs w:val="22"/>
        </w:rPr>
        <w:tab/>
        <w:t>Summary of the Place-Plus system and how this works for different providers</w:t>
      </w:r>
    </w:p>
    <w:p w14:paraId="2962AE85" w14:textId="77777777" w:rsidR="00CF7030" w:rsidRPr="00096DF2" w:rsidRDefault="00877D3E" w:rsidP="00377184">
      <w:pPr>
        <w:ind w:left="1080" w:hanging="1080"/>
        <w:jc w:val="both"/>
        <w:rPr>
          <w:sz w:val="22"/>
          <w:szCs w:val="22"/>
        </w:rPr>
      </w:pPr>
      <w:r w:rsidRPr="00096DF2">
        <w:rPr>
          <w:sz w:val="22"/>
          <w:szCs w:val="22"/>
        </w:rPr>
        <w:t>Appendix 2</w:t>
      </w:r>
      <w:r w:rsidRPr="00096DF2">
        <w:rPr>
          <w:sz w:val="22"/>
          <w:szCs w:val="22"/>
        </w:rPr>
        <w:tab/>
      </w:r>
      <w:r w:rsidR="004B4608" w:rsidRPr="00096DF2">
        <w:rPr>
          <w:sz w:val="22"/>
          <w:szCs w:val="22"/>
        </w:rPr>
        <w:t>Banded</w:t>
      </w:r>
      <w:r w:rsidR="00CF7030" w:rsidRPr="00096DF2">
        <w:rPr>
          <w:sz w:val="22"/>
          <w:szCs w:val="22"/>
        </w:rPr>
        <w:t xml:space="preserve"> Model fo</w:t>
      </w:r>
      <w:r w:rsidRPr="00096DF2">
        <w:rPr>
          <w:sz w:val="22"/>
          <w:szCs w:val="22"/>
        </w:rPr>
        <w:t xml:space="preserve">r Pupil-Led Need </w:t>
      </w:r>
      <w:r w:rsidR="00D32993" w:rsidRPr="00096DF2">
        <w:rPr>
          <w:sz w:val="22"/>
          <w:szCs w:val="22"/>
        </w:rPr>
        <w:t>Top-up</w:t>
      </w:r>
      <w:r w:rsidRPr="00096DF2">
        <w:rPr>
          <w:sz w:val="22"/>
          <w:szCs w:val="22"/>
        </w:rPr>
        <w:t xml:space="preserve"> Funding</w:t>
      </w:r>
    </w:p>
    <w:p w14:paraId="49CDEB59" w14:textId="486BFA87" w:rsidR="00CF7030" w:rsidRPr="00E22212" w:rsidRDefault="00877D3E" w:rsidP="00355873">
      <w:pPr>
        <w:jc w:val="both"/>
        <w:rPr>
          <w:sz w:val="22"/>
          <w:szCs w:val="22"/>
        </w:rPr>
      </w:pPr>
      <w:r w:rsidRPr="00E22212">
        <w:rPr>
          <w:sz w:val="22"/>
          <w:szCs w:val="22"/>
        </w:rPr>
        <w:t>Appendix 3</w:t>
      </w:r>
      <w:r w:rsidR="00CF7030" w:rsidRPr="00E22212">
        <w:rPr>
          <w:sz w:val="22"/>
          <w:szCs w:val="22"/>
        </w:rPr>
        <w:tab/>
        <w:t>Technical Annex</w:t>
      </w:r>
      <w:r w:rsidR="00E6101C" w:rsidRPr="00E22212">
        <w:rPr>
          <w:sz w:val="22"/>
          <w:szCs w:val="22"/>
        </w:rPr>
        <w:t xml:space="preserve"> 202</w:t>
      </w:r>
      <w:r w:rsidR="00981A96" w:rsidRPr="00E22212">
        <w:rPr>
          <w:sz w:val="22"/>
          <w:szCs w:val="22"/>
        </w:rPr>
        <w:t>4</w:t>
      </w:r>
      <w:r w:rsidR="00E6101C" w:rsidRPr="00E22212">
        <w:rPr>
          <w:sz w:val="22"/>
          <w:szCs w:val="22"/>
        </w:rPr>
        <w:t>/2</w:t>
      </w:r>
      <w:r w:rsidR="00981A96" w:rsidRPr="00E22212">
        <w:rPr>
          <w:sz w:val="22"/>
          <w:szCs w:val="22"/>
        </w:rPr>
        <w:t>5</w:t>
      </w:r>
      <w:r w:rsidR="00E6101C" w:rsidRPr="00E22212">
        <w:rPr>
          <w:sz w:val="22"/>
          <w:szCs w:val="22"/>
        </w:rPr>
        <w:t xml:space="preserve"> Approach</w:t>
      </w:r>
      <w:r w:rsidR="00CF7030" w:rsidRPr="00E22212">
        <w:rPr>
          <w:sz w:val="22"/>
          <w:szCs w:val="22"/>
        </w:rPr>
        <w:t xml:space="preserve"> (including Setting-Led Need factors)</w:t>
      </w:r>
    </w:p>
    <w:p w14:paraId="7BCA96A9" w14:textId="59AE2C10" w:rsidR="00C6158B" w:rsidRPr="00E22212" w:rsidRDefault="00877D3E" w:rsidP="00355873">
      <w:pPr>
        <w:jc w:val="both"/>
        <w:rPr>
          <w:sz w:val="22"/>
          <w:szCs w:val="22"/>
        </w:rPr>
      </w:pPr>
      <w:r w:rsidRPr="00E22212">
        <w:rPr>
          <w:sz w:val="22"/>
          <w:szCs w:val="22"/>
        </w:rPr>
        <w:t>Appendix 4</w:t>
      </w:r>
      <w:r w:rsidR="00CF7030" w:rsidRPr="00E22212">
        <w:rPr>
          <w:sz w:val="22"/>
          <w:szCs w:val="22"/>
        </w:rPr>
        <w:tab/>
      </w:r>
      <w:r w:rsidR="001C7379" w:rsidRPr="00E22212">
        <w:rPr>
          <w:sz w:val="22"/>
          <w:szCs w:val="22"/>
        </w:rPr>
        <w:t>Planned Commissioned</w:t>
      </w:r>
      <w:r w:rsidR="00C6158B" w:rsidRPr="00E22212">
        <w:rPr>
          <w:sz w:val="22"/>
          <w:szCs w:val="22"/>
        </w:rPr>
        <w:t xml:space="preserve"> Places</w:t>
      </w:r>
      <w:r w:rsidR="00E93140" w:rsidRPr="00E22212">
        <w:rPr>
          <w:sz w:val="22"/>
          <w:szCs w:val="22"/>
        </w:rPr>
        <w:t xml:space="preserve"> 202</w:t>
      </w:r>
      <w:r w:rsidR="00981A96" w:rsidRPr="00E22212">
        <w:rPr>
          <w:sz w:val="22"/>
          <w:szCs w:val="22"/>
        </w:rPr>
        <w:t>5</w:t>
      </w:r>
      <w:r w:rsidR="00E93140" w:rsidRPr="00E22212">
        <w:rPr>
          <w:sz w:val="22"/>
          <w:szCs w:val="22"/>
        </w:rPr>
        <w:t>/2</w:t>
      </w:r>
      <w:r w:rsidR="00981A96" w:rsidRPr="00E22212">
        <w:rPr>
          <w:sz w:val="22"/>
          <w:szCs w:val="22"/>
        </w:rPr>
        <w:t>6</w:t>
      </w:r>
      <w:r w:rsidR="00C6158B" w:rsidRPr="00E22212">
        <w:rPr>
          <w:sz w:val="22"/>
          <w:szCs w:val="22"/>
        </w:rPr>
        <w:t xml:space="preserve"> (Bradford-located settings)</w:t>
      </w:r>
    </w:p>
    <w:p w14:paraId="5ECEF93C" w14:textId="77777777" w:rsidR="006E0F99" w:rsidRDefault="006E0F99" w:rsidP="00355873">
      <w:pPr>
        <w:jc w:val="both"/>
        <w:rPr>
          <w:color w:val="000000" w:themeColor="text1"/>
          <w:sz w:val="22"/>
          <w:szCs w:val="22"/>
        </w:rPr>
      </w:pPr>
    </w:p>
    <w:p w14:paraId="36D340B1" w14:textId="77777777" w:rsidR="006E0F99" w:rsidRDefault="006E0F99" w:rsidP="00355873">
      <w:pPr>
        <w:jc w:val="both"/>
        <w:rPr>
          <w:color w:val="000000" w:themeColor="text1"/>
          <w:sz w:val="22"/>
          <w:szCs w:val="22"/>
        </w:rPr>
      </w:pPr>
    </w:p>
    <w:p w14:paraId="0FA9BA30" w14:textId="77777777" w:rsidR="006E0F99" w:rsidRDefault="006E0F99" w:rsidP="00355873">
      <w:pPr>
        <w:jc w:val="both"/>
        <w:rPr>
          <w:color w:val="000000" w:themeColor="text1"/>
          <w:sz w:val="22"/>
          <w:szCs w:val="22"/>
        </w:rPr>
      </w:pPr>
    </w:p>
    <w:p w14:paraId="4843A4BF" w14:textId="77777777" w:rsidR="006E0F99" w:rsidRDefault="006E0F99" w:rsidP="00355873">
      <w:pPr>
        <w:jc w:val="both"/>
        <w:rPr>
          <w:color w:val="000000" w:themeColor="text1"/>
          <w:sz w:val="22"/>
          <w:szCs w:val="22"/>
        </w:rPr>
      </w:pPr>
    </w:p>
    <w:p w14:paraId="2915C9B6" w14:textId="77777777" w:rsidR="006E0F99" w:rsidRDefault="006E0F99" w:rsidP="00355873">
      <w:pPr>
        <w:jc w:val="both"/>
        <w:rPr>
          <w:color w:val="000000" w:themeColor="text1"/>
          <w:sz w:val="22"/>
          <w:szCs w:val="22"/>
        </w:rPr>
      </w:pPr>
    </w:p>
    <w:p w14:paraId="3982F7D6" w14:textId="77777777" w:rsidR="006E0F99" w:rsidRDefault="006E0F99" w:rsidP="00355873">
      <w:pPr>
        <w:jc w:val="both"/>
        <w:rPr>
          <w:color w:val="000000" w:themeColor="text1"/>
          <w:sz w:val="22"/>
          <w:szCs w:val="22"/>
        </w:rPr>
      </w:pPr>
    </w:p>
    <w:p w14:paraId="43EA91CE" w14:textId="77777777" w:rsidR="006E0F99" w:rsidRDefault="006E0F99" w:rsidP="00355873">
      <w:pPr>
        <w:jc w:val="both"/>
        <w:rPr>
          <w:color w:val="000000" w:themeColor="text1"/>
          <w:sz w:val="22"/>
          <w:szCs w:val="22"/>
        </w:rPr>
      </w:pPr>
    </w:p>
    <w:p w14:paraId="2612F536" w14:textId="77777777" w:rsidR="006E0F99" w:rsidRDefault="006E0F99" w:rsidP="00355873">
      <w:pPr>
        <w:jc w:val="both"/>
        <w:rPr>
          <w:color w:val="000000" w:themeColor="text1"/>
          <w:sz w:val="22"/>
          <w:szCs w:val="22"/>
        </w:rPr>
      </w:pPr>
    </w:p>
    <w:p w14:paraId="3A9F970F" w14:textId="77777777" w:rsidR="006E0F99" w:rsidRDefault="006E0F99" w:rsidP="00355873">
      <w:pPr>
        <w:jc w:val="both"/>
        <w:rPr>
          <w:color w:val="000000" w:themeColor="text1"/>
          <w:sz w:val="22"/>
          <w:szCs w:val="22"/>
        </w:rPr>
      </w:pPr>
    </w:p>
    <w:p w14:paraId="2E2FA248" w14:textId="77777777" w:rsidR="006E0F99" w:rsidRDefault="006E0F99" w:rsidP="00355873">
      <w:pPr>
        <w:jc w:val="both"/>
        <w:rPr>
          <w:color w:val="000000" w:themeColor="text1"/>
          <w:sz w:val="22"/>
          <w:szCs w:val="22"/>
        </w:rPr>
      </w:pPr>
    </w:p>
    <w:p w14:paraId="412F2EFB" w14:textId="77777777" w:rsidR="006E0F99" w:rsidRDefault="006E0F99" w:rsidP="00355873">
      <w:pPr>
        <w:jc w:val="both"/>
        <w:rPr>
          <w:color w:val="000000" w:themeColor="text1"/>
          <w:sz w:val="22"/>
          <w:szCs w:val="22"/>
        </w:rPr>
      </w:pPr>
    </w:p>
    <w:p w14:paraId="5FAAA8D0" w14:textId="77777777" w:rsidR="00D50AE5" w:rsidRDefault="00D50AE5" w:rsidP="00355873">
      <w:pPr>
        <w:jc w:val="both"/>
        <w:rPr>
          <w:color w:val="000000" w:themeColor="text1"/>
          <w:sz w:val="22"/>
          <w:szCs w:val="22"/>
        </w:rPr>
      </w:pPr>
    </w:p>
    <w:p w14:paraId="76A73109" w14:textId="77777777" w:rsidR="00D50AE5" w:rsidRDefault="00D50AE5" w:rsidP="00355873">
      <w:pPr>
        <w:jc w:val="both"/>
        <w:rPr>
          <w:color w:val="000000" w:themeColor="text1"/>
          <w:sz w:val="22"/>
          <w:szCs w:val="22"/>
        </w:rPr>
      </w:pPr>
    </w:p>
    <w:p w14:paraId="34EFE4E2" w14:textId="77777777" w:rsidR="00D50AE5" w:rsidRDefault="00D50AE5" w:rsidP="00355873">
      <w:pPr>
        <w:jc w:val="both"/>
        <w:rPr>
          <w:color w:val="000000" w:themeColor="text1"/>
          <w:sz w:val="22"/>
          <w:szCs w:val="22"/>
        </w:rPr>
      </w:pPr>
    </w:p>
    <w:p w14:paraId="2E7DB6B4" w14:textId="77777777" w:rsidR="00D50AE5" w:rsidRDefault="00D50AE5" w:rsidP="00355873">
      <w:pPr>
        <w:jc w:val="both"/>
        <w:rPr>
          <w:color w:val="000000" w:themeColor="text1"/>
          <w:sz w:val="22"/>
          <w:szCs w:val="22"/>
        </w:rPr>
      </w:pPr>
    </w:p>
    <w:p w14:paraId="79B80FB5" w14:textId="77777777" w:rsidR="00D50AE5" w:rsidRDefault="00D50AE5" w:rsidP="00355873">
      <w:pPr>
        <w:jc w:val="both"/>
        <w:rPr>
          <w:color w:val="000000" w:themeColor="text1"/>
          <w:sz w:val="22"/>
          <w:szCs w:val="22"/>
        </w:rPr>
      </w:pPr>
    </w:p>
    <w:p w14:paraId="147101AF" w14:textId="77777777" w:rsidR="00D50AE5" w:rsidRDefault="00D50AE5" w:rsidP="00355873">
      <w:pPr>
        <w:jc w:val="both"/>
        <w:rPr>
          <w:color w:val="000000" w:themeColor="text1"/>
          <w:sz w:val="22"/>
          <w:szCs w:val="22"/>
        </w:rPr>
      </w:pPr>
    </w:p>
    <w:p w14:paraId="78C9470A" w14:textId="77777777" w:rsidR="00D50AE5" w:rsidRDefault="00D50AE5" w:rsidP="00355873">
      <w:pPr>
        <w:jc w:val="both"/>
        <w:rPr>
          <w:color w:val="000000" w:themeColor="text1"/>
          <w:sz w:val="22"/>
          <w:szCs w:val="22"/>
        </w:rPr>
      </w:pPr>
    </w:p>
    <w:p w14:paraId="7C0444D6" w14:textId="77777777" w:rsidR="00D50AE5" w:rsidRDefault="00D50AE5" w:rsidP="00355873">
      <w:pPr>
        <w:jc w:val="both"/>
        <w:rPr>
          <w:color w:val="000000" w:themeColor="text1"/>
          <w:sz w:val="22"/>
          <w:szCs w:val="22"/>
        </w:rPr>
      </w:pPr>
    </w:p>
    <w:p w14:paraId="6D2AC0A8" w14:textId="77777777" w:rsidR="00D50AE5" w:rsidRDefault="00D50AE5" w:rsidP="00355873">
      <w:pPr>
        <w:jc w:val="both"/>
        <w:rPr>
          <w:color w:val="000000" w:themeColor="text1"/>
          <w:sz w:val="22"/>
          <w:szCs w:val="22"/>
        </w:rPr>
      </w:pPr>
    </w:p>
    <w:p w14:paraId="24F0B6CA" w14:textId="77777777" w:rsidR="00D50AE5" w:rsidRDefault="00D50AE5" w:rsidP="00355873">
      <w:pPr>
        <w:jc w:val="both"/>
        <w:rPr>
          <w:color w:val="000000" w:themeColor="text1"/>
          <w:sz w:val="22"/>
          <w:szCs w:val="22"/>
        </w:rPr>
      </w:pPr>
    </w:p>
    <w:p w14:paraId="5FFEB92A" w14:textId="77777777" w:rsidR="00D50AE5" w:rsidRDefault="00D50AE5" w:rsidP="00355873">
      <w:pPr>
        <w:jc w:val="both"/>
        <w:rPr>
          <w:color w:val="000000" w:themeColor="text1"/>
          <w:sz w:val="22"/>
          <w:szCs w:val="22"/>
        </w:rPr>
      </w:pPr>
    </w:p>
    <w:p w14:paraId="3F8706B1" w14:textId="77777777" w:rsidR="00D50AE5" w:rsidRDefault="00D50AE5" w:rsidP="00355873">
      <w:pPr>
        <w:jc w:val="both"/>
        <w:rPr>
          <w:color w:val="000000" w:themeColor="text1"/>
          <w:sz w:val="22"/>
          <w:szCs w:val="22"/>
        </w:rPr>
      </w:pPr>
    </w:p>
    <w:p w14:paraId="59378216" w14:textId="77777777" w:rsidR="00D50AE5" w:rsidRDefault="00D50AE5" w:rsidP="00355873">
      <w:pPr>
        <w:jc w:val="both"/>
        <w:rPr>
          <w:color w:val="000000" w:themeColor="text1"/>
          <w:sz w:val="22"/>
          <w:szCs w:val="22"/>
        </w:rPr>
      </w:pPr>
    </w:p>
    <w:p w14:paraId="5F3070D8" w14:textId="77777777" w:rsidR="00D50AE5" w:rsidRDefault="00D50AE5" w:rsidP="00355873">
      <w:pPr>
        <w:jc w:val="both"/>
        <w:rPr>
          <w:color w:val="000000" w:themeColor="text1"/>
          <w:sz w:val="22"/>
          <w:szCs w:val="22"/>
        </w:rPr>
      </w:pPr>
    </w:p>
    <w:p w14:paraId="4508DCC5" w14:textId="77777777" w:rsidR="00D50AE5" w:rsidRDefault="00D50AE5" w:rsidP="00355873">
      <w:pPr>
        <w:jc w:val="both"/>
        <w:rPr>
          <w:color w:val="000000" w:themeColor="text1"/>
          <w:sz w:val="22"/>
          <w:szCs w:val="22"/>
        </w:rPr>
      </w:pPr>
    </w:p>
    <w:p w14:paraId="26B67E0C" w14:textId="77777777" w:rsidR="00D50AE5" w:rsidRDefault="00D50AE5" w:rsidP="00355873">
      <w:pPr>
        <w:jc w:val="both"/>
        <w:rPr>
          <w:color w:val="000000" w:themeColor="text1"/>
          <w:sz w:val="22"/>
          <w:szCs w:val="22"/>
        </w:rPr>
      </w:pPr>
    </w:p>
    <w:p w14:paraId="3E625F73" w14:textId="77777777" w:rsidR="00D50AE5" w:rsidRDefault="00D50AE5" w:rsidP="00355873">
      <w:pPr>
        <w:jc w:val="both"/>
        <w:rPr>
          <w:color w:val="000000" w:themeColor="text1"/>
          <w:sz w:val="22"/>
          <w:szCs w:val="22"/>
        </w:rPr>
      </w:pPr>
    </w:p>
    <w:p w14:paraId="66FA694E" w14:textId="77777777" w:rsidR="00D50AE5" w:rsidRDefault="00D50AE5" w:rsidP="00355873">
      <w:pPr>
        <w:jc w:val="both"/>
        <w:rPr>
          <w:color w:val="000000" w:themeColor="text1"/>
          <w:sz w:val="22"/>
          <w:szCs w:val="22"/>
        </w:rPr>
      </w:pPr>
    </w:p>
    <w:p w14:paraId="29617A19" w14:textId="77777777" w:rsidR="00D50AE5" w:rsidRDefault="00D50AE5" w:rsidP="00355873">
      <w:pPr>
        <w:jc w:val="both"/>
        <w:rPr>
          <w:color w:val="000000" w:themeColor="text1"/>
          <w:sz w:val="22"/>
          <w:szCs w:val="22"/>
        </w:rPr>
      </w:pPr>
    </w:p>
    <w:p w14:paraId="5EF26D78" w14:textId="77777777" w:rsidR="00D50AE5" w:rsidRDefault="00D50AE5" w:rsidP="00355873">
      <w:pPr>
        <w:jc w:val="both"/>
        <w:rPr>
          <w:color w:val="000000" w:themeColor="text1"/>
          <w:sz w:val="22"/>
          <w:szCs w:val="22"/>
        </w:rPr>
      </w:pPr>
    </w:p>
    <w:p w14:paraId="64773635" w14:textId="77777777" w:rsidR="00D50AE5" w:rsidRDefault="00D50AE5" w:rsidP="00355873">
      <w:pPr>
        <w:jc w:val="both"/>
        <w:rPr>
          <w:color w:val="000000" w:themeColor="text1"/>
          <w:sz w:val="22"/>
          <w:szCs w:val="22"/>
        </w:rPr>
      </w:pPr>
    </w:p>
    <w:p w14:paraId="39650ACB" w14:textId="77777777" w:rsidR="00D50AE5" w:rsidRDefault="00D50AE5" w:rsidP="00355873">
      <w:pPr>
        <w:jc w:val="both"/>
        <w:rPr>
          <w:color w:val="000000" w:themeColor="text1"/>
          <w:sz w:val="22"/>
          <w:szCs w:val="22"/>
        </w:rPr>
      </w:pPr>
    </w:p>
    <w:p w14:paraId="0271B275" w14:textId="77777777" w:rsidR="00D50AE5" w:rsidRDefault="00D50AE5" w:rsidP="00355873">
      <w:pPr>
        <w:jc w:val="both"/>
        <w:rPr>
          <w:color w:val="000000" w:themeColor="text1"/>
          <w:sz w:val="22"/>
          <w:szCs w:val="22"/>
        </w:rPr>
      </w:pPr>
    </w:p>
    <w:p w14:paraId="19A4B69F" w14:textId="77777777" w:rsidR="00D50AE5" w:rsidRDefault="00D50AE5" w:rsidP="00355873">
      <w:pPr>
        <w:jc w:val="both"/>
        <w:rPr>
          <w:color w:val="000000" w:themeColor="text1"/>
          <w:sz w:val="22"/>
          <w:szCs w:val="22"/>
        </w:rPr>
      </w:pPr>
    </w:p>
    <w:p w14:paraId="6CED261C" w14:textId="77777777" w:rsidR="00D50AE5" w:rsidRDefault="00D50AE5" w:rsidP="00355873">
      <w:pPr>
        <w:jc w:val="both"/>
        <w:rPr>
          <w:color w:val="000000" w:themeColor="text1"/>
          <w:sz w:val="22"/>
          <w:szCs w:val="22"/>
        </w:rPr>
      </w:pPr>
    </w:p>
    <w:p w14:paraId="71F0613D" w14:textId="77777777" w:rsidR="00D50AE5" w:rsidRDefault="00D50AE5" w:rsidP="00355873">
      <w:pPr>
        <w:jc w:val="both"/>
        <w:rPr>
          <w:color w:val="000000" w:themeColor="text1"/>
          <w:sz w:val="22"/>
          <w:szCs w:val="22"/>
        </w:rPr>
      </w:pPr>
    </w:p>
    <w:p w14:paraId="0686ADBE" w14:textId="77777777" w:rsidR="00D50AE5" w:rsidRDefault="00D50AE5" w:rsidP="00355873">
      <w:pPr>
        <w:jc w:val="both"/>
        <w:rPr>
          <w:color w:val="000000" w:themeColor="text1"/>
          <w:sz w:val="22"/>
          <w:szCs w:val="22"/>
        </w:rPr>
      </w:pPr>
    </w:p>
    <w:p w14:paraId="359DF67A" w14:textId="77777777" w:rsidR="00D50AE5" w:rsidRDefault="00D50AE5" w:rsidP="00355873">
      <w:pPr>
        <w:jc w:val="both"/>
        <w:rPr>
          <w:color w:val="000000" w:themeColor="text1"/>
          <w:sz w:val="22"/>
          <w:szCs w:val="22"/>
        </w:rPr>
      </w:pPr>
    </w:p>
    <w:p w14:paraId="52975EA8" w14:textId="77777777" w:rsidR="00D50AE5" w:rsidRDefault="00D50AE5" w:rsidP="00355873">
      <w:pPr>
        <w:jc w:val="both"/>
        <w:rPr>
          <w:color w:val="000000" w:themeColor="text1"/>
          <w:sz w:val="22"/>
          <w:szCs w:val="22"/>
        </w:rPr>
      </w:pPr>
    </w:p>
    <w:p w14:paraId="59CAA58B" w14:textId="77777777" w:rsidR="00D50AE5" w:rsidRDefault="00D50AE5" w:rsidP="00355873">
      <w:pPr>
        <w:jc w:val="both"/>
        <w:rPr>
          <w:color w:val="000000" w:themeColor="text1"/>
          <w:sz w:val="22"/>
          <w:szCs w:val="22"/>
        </w:rPr>
      </w:pPr>
    </w:p>
    <w:p w14:paraId="2D9AB1F7" w14:textId="77777777" w:rsidR="00D50AE5" w:rsidRDefault="00D50AE5" w:rsidP="00355873">
      <w:pPr>
        <w:jc w:val="both"/>
        <w:rPr>
          <w:color w:val="000000" w:themeColor="text1"/>
          <w:sz w:val="22"/>
          <w:szCs w:val="22"/>
        </w:rPr>
      </w:pPr>
    </w:p>
    <w:p w14:paraId="7574F19B" w14:textId="77777777" w:rsidR="00D50AE5" w:rsidRDefault="00D50AE5" w:rsidP="00355873">
      <w:pPr>
        <w:jc w:val="both"/>
        <w:rPr>
          <w:color w:val="000000" w:themeColor="text1"/>
          <w:sz w:val="22"/>
          <w:szCs w:val="22"/>
        </w:rPr>
      </w:pPr>
    </w:p>
    <w:p w14:paraId="323FA565" w14:textId="77777777" w:rsidR="00D50AE5" w:rsidRDefault="00D50AE5" w:rsidP="00355873">
      <w:pPr>
        <w:jc w:val="both"/>
        <w:rPr>
          <w:color w:val="000000" w:themeColor="text1"/>
          <w:sz w:val="22"/>
          <w:szCs w:val="22"/>
        </w:rPr>
      </w:pPr>
    </w:p>
    <w:p w14:paraId="254145D1" w14:textId="77777777" w:rsidR="00D50AE5" w:rsidRDefault="00D50AE5" w:rsidP="00355873">
      <w:pPr>
        <w:jc w:val="both"/>
        <w:rPr>
          <w:color w:val="000000" w:themeColor="text1"/>
          <w:sz w:val="22"/>
          <w:szCs w:val="22"/>
        </w:rPr>
      </w:pPr>
    </w:p>
    <w:p w14:paraId="7021C6E7" w14:textId="77777777" w:rsidR="00D50AE5" w:rsidRDefault="00D50AE5" w:rsidP="00355873">
      <w:pPr>
        <w:jc w:val="both"/>
        <w:rPr>
          <w:color w:val="000000" w:themeColor="text1"/>
          <w:sz w:val="22"/>
          <w:szCs w:val="22"/>
        </w:rPr>
      </w:pPr>
    </w:p>
    <w:p w14:paraId="3FF1B988" w14:textId="77777777" w:rsidR="00D50AE5" w:rsidRDefault="00D50AE5" w:rsidP="00355873">
      <w:pPr>
        <w:jc w:val="both"/>
        <w:rPr>
          <w:color w:val="000000" w:themeColor="text1"/>
          <w:sz w:val="22"/>
          <w:szCs w:val="22"/>
        </w:rPr>
      </w:pPr>
    </w:p>
    <w:p w14:paraId="133935DE" w14:textId="77777777" w:rsidR="00D50AE5" w:rsidRDefault="00D50AE5" w:rsidP="00355873">
      <w:pPr>
        <w:jc w:val="both"/>
        <w:rPr>
          <w:color w:val="000000" w:themeColor="text1"/>
          <w:sz w:val="22"/>
          <w:szCs w:val="22"/>
        </w:rPr>
      </w:pPr>
    </w:p>
    <w:p w14:paraId="799E525F" w14:textId="77777777" w:rsidR="004A1353" w:rsidRDefault="004A1353" w:rsidP="00355873">
      <w:pPr>
        <w:jc w:val="both"/>
        <w:rPr>
          <w:color w:val="000000" w:themeColor="text1"/>
          <w:sz w:val="22"/>
          <w:szCs w:val="22"/>
        </w:rPr>
      </w:pPr>
    </w:p>
    <w:p w14:paraId="0A5DA85F" w14:textId="77777777" w:rsidR="004A1353" w:rsidRDefault="004A1353" w:rsidP="00355873">
      <w:pPr>
        <w:jc w:val="both"/>
        <w:rPr>
          <w:color w:val="000000" w:themeColor="text1"/>
          <w:sz w:val="22"/>
          <w:szCs w:val="22"/>
        </w:rPr>
      </w:pPr>
    </w:p>
    <w:p w14:paraId="12152CF5" w14:textId="77777777" w:rsidR="004A1353" w:rsidRDefault="004A1353" w:rsidP="00355873">
      <w:pPr>
        <w:jc w:val="both"/>
        <w:rPr>
          <w:color w:val="000000" w:themeColor="text1"/>
          <w:sz w:val="22"/>
          <w:szCs w:val="22"/>
        </w:rPr>
      </w:pPr>
    </w:p>
    <w:p w14:paraId="7D348876" w14:textId="77777777" w:rsidR="004A1353" w:rsidRDefault="004A1353" w:rsidP="00355873">
      <w:pPr>
        <w:jc w:val="both"/>
        <w:rPr>
          <w:color w:val="000000" w:themeColor="text1"/>
          <w:sz w:val="22"/>
          <w:szCs w:val="22"/>
        </w:rPr>
      </w:pPr>
    </w:p>
    <w:p w14:paraId="0F0A1F91" w14:textId="77777777" w:rsidR="004A1353" w:rsidRDefault="004A1353" w:rsidP="00355873">
      <w:pPr>
        <w:jc w:val="both"/>
        <w:rPr>
          <w:color w:val="000000" w:themeColor="text1"/>
          <w:sz w:val="22"/>
          <w:szCs w:val="22"/>
        </w:rPr>
      </w:pPr>
    </w:p>
    <w:p w14:paraId="7C50903E" w14:textId="77777777" w:rsidR="004A1353" w:rsidRDefault="004A1353" w:rsidP="00355873">
      <w:pPr>
        <w:jc w:val="both"/>
        <w:rPr>
          <w:color w:val="000000" w:themeColor="text1"/>
          <w:sz w:val="22"/>
          <w:szCs w:val="22"/>
        </w:rPr>
      </w:pPr>
    </w:p>
    <w:p w14:paraId="43FD23B4" w14:textId="77777777" w:rsidR="004A1353" w:rsidRDefault="004A1353" w:rsidP="00355873">
      <w:pPr>
        <w:jc w:val="both"/>
        <w:rPr>
          <w:color w:val="000000" w:themeColor="text1"/>
          <w:sz w:val="22"/>
          <w:szCs w:val="22"/>
        </w:rPr>
      </w:pPr>
    </w:p>
    <w:p w14:paraId="432EEE57" w14:textId="77777777" w:rsidR="004A1353" w:rsidRDefault="004A1353" w:rsidP="00355873">
      <w:pPr>
        <w:jc w:val="both"/>
        <w:rPr>
          <w:color w:val="000000" w:themeColor="text1"/>
          <w:sz w:val="22"/>
          <w:szCs w:val="22"/>
        </w:rPr>
      </w:pPr>
    </w:p>
    <w:p w14:paraId="2E6F1D7A" w14:textId="77777777" w:rsidR="00D50AE5" w:rsidRDefault="00D50AE5" w:rsidP="00355873">
      <w:pPr>
        <w:jc w:val="both"/>
        <w:rPr>
          <w:color w:val="000000" w:themeColor="text1"/>
          <w:sz w:val="22"/>
          <w:szCs w:val="22"/>
        </w:rPr>
      </w:pPr>
    </w:p>
    <w:p w14:paraId="3351C9DF" w14:textId="77777777" w:rsidR="00D50AE5" w:rsidRDefault="00D50AE5" w:rsidP="00355873">
      <w:pPr>
        <w:jc w:val="both"/>
        <w:rPr>
          <w:color w:val="000000" w:themeColor="text1"/>
          <w:sz w:val="22"/>
          <w:szCs w:val="22"/>
        </w:rPr>
      </w:pPr>
    </w:p>
    <w:p w14:paraId="7BDB4B6F" w14:textId="77777777" w:rsidR="00D50AE5" w:rsidRDefault="00D50AE5" w:rsidP="00355873">
      <w:pPr>
        <w:jc w:val="both"/>
        <w:rPr>
          <w:color w:val="000000" w:themeColor="text1"/>
          <w:sz w:val="22"/>
          <w:szCs w:val="22"/>
        </w:rPr>
      </w:pPr>
    </w:p>
    <w:p w14:paraId="7521CDED" w14:textId="77777777" w:rsidR="00D50AE5" w:rsidRDefault="00D50AE5" w:rsidP="00355873">
      <w:pPr>
        <w:jc w:val="both"/>
        <w:rPr>
          <w:color w:val="000000" w:themeColor="text1"/>
          <w:sz w:val="22"/>
          <w:szCs w:val="22"/>
        </w:rPr>
      </w:pPr>
    </w:p>
    <w:p w14:paraId="0BF17ECB" w14:textId="77777777" w:rsidR="00D50AE5" w:rsidRDefault="00D50AE5" w:rsidP="00355873">
      <w:pPr>
        <w:jc w:val="both"/>
        <w:rPr>
          <w:color w:val="000000" w:themeColor="text1"/>
          <w:sz w:val="22"/>
          <w:szCs w:val="22"/>
        </w:rPr>
      </w:pPr>
    </w:p>
    <w:p w14:paraId="0CA83122" w14:textId="77777777" w:rsidR="00D50AE5" w:rsidRDefault="00D50AE5" w:rsidP="00355873">
      <w:pPr>
        <w:jc w:val="both"/>
        <w:rPr>
          <w:color w:val="000000" w:themeColor="text1"/>
          <w:sz w:val="22"/>
          <w:szCs w:val="22"/>
        </w:rPr>
      </w:pPr>
    </w:p>
    <w:p w14:paraId="409927D5" w14:textId="77777777" w:rsidR="00D50AE5" w:rsidRDefault="00D50AE5" w:rsidP="00355873">
      <w:pPr>
        <w:jc w:val="both"/>
        <w:rPr>
          <w:color w:val="000000" w:themeColor="text1"/>
          <w:sz w:val="22"/>
          <w:szCs w:val="22"/>
        </w:rPr>
      </w:pPr>
    </w:p>
    <w:p w14:paraId="0453727E" w14:textId="77777777" w:rsidR="00D50AE5" w:rsidRDefault="00D50AE5" w:rsidP="00355873">
      <w:pPr>
        <w:jc w:val="both"/>
        <w:rPr>
          <w:color w:val="000000" w:themeColor="text1"/>
          <w:sz w:val="22"/>
          <w:szCs w:val="22"/>
        </w:rPr>
      </w:pPr>
    </w:p>
    <w:p w14:paraId="3305FB50" w14:textId="77777777" w:rsidR="00D50AE5" w:rsidRDefault="00D50AE5" w:rsidP="00355873">
      <w:pPr>
        <w:jc w:val="both"/>
        <w:rPr>
          <w:color w:val="000000" w:themeColor="text1"/>
          <w:sz w:val="22"/>
          <w:szCs w:val="22"/>
        </w:rPr>
      </w:pPr>
    </w:p>
    <w:p w14:paraId="60A9EFB8" w14:textId="77777777" w:rsidR="00D50AE5" w:rsidRDefault="00D50AE5" w:rsidP="00355873">
      <w:pPr>
        <w:jc w:val="both"/>
        <w:rPr>
          <w:color w:val="000000" w:themeColor="text1"/>
          <w:sz w:val="22"/>
          <w:szCs w:val="22"/>
        </w:rPr>
      </w:pPr>
    </w:p>
    <w:p w14:paraId="27F12964" w14:textId="77777777" w:rsidR="00D50AE5" w:rsidRDefault="00D50AE5" w:rsidP="00355873">
      <w:pPr>
        <w:jc w:val="both"/>
        <w:rPr>
          <w:color w:val="000000" w:themeColor="text1"/>
          <w:sz w:val="22"/>
          <w:szCs w:val="22"/>
        </w:rPr>
      </w:pPr>
    </w:p>
    <w:p w14:paraId="10FA5BAE" w14:textId="77777777" w:rsidR="00D50AE5" w:rsidRDefault="00D50AE5" w:rsidP="00355873">
      <w:pPr>
        <w:jc w:val="both"/>
        <w:rPr>
          <w:color w:val="000000" w:themeColor="text1"/>
          <w:sz w:val="22"/>
          <w:szCs w:val="22"/>
        </w:rPr>
      </w:pPr>
    </w:p>
    <w:p w14:paraId="4A783A8E" w14:textId="77777777" w:rsidR="00D50AE5" w:rsidRDefault="00D50AE5" w:rsidP="00355873">
      <w:pPr>
        <w:jc w:val="both"/>
        <w:rPr>
          <w:color w:val="000000" w:themeColor="text1"/>
          <w:sz w:val="22"/>
          <w:szCs w:val="22"/>
        </w:rPr>
      </w:pPr>
    </w:p>
    <w:p w14:paraId="08AC2DC2" w14:textId="77777777" w:rsidR="00D50AE5" w:rsidRDefault="00D50AE5" w:rsidP="00355873">
      <w:pPr>
        <w:jc w:val="both"/>
        <w:rPr>
          <w:color w:val="000000" w:themeColor="text1"/>
          <w:sz w:val="22"/>
          <w:szCs w:val="22"/>
        </w:rPr>
      </w:pPr>
    </w:p>
    <w:p w14:paraId="297AB10B" w14:textId="77777777" w:rsidR="00D50AE5" w:rsidRDefault="00D50AE5" w:rsidP="00355873">
      <w:pPr>
        <w:jc w:val="both"/>
        <w:rPr>
          <w:color w:val="000000" w:themeColor="text1"/>
          <w:sz w:val="22"/>
          <w:szCs w:val="22"/>
        </w:rPr>
      </w:pPr>
    </w:p>
    <w:p w14:paraId="4944B6D2" w14:textId="77777777" w:rsidR="00D50AE5" w:rsidRDefault="00D50AE5" w:rsidP="00355873">
      <w:pPr>
        <w:jc w:val="both"/>
        <w:rPr>
          <w:color w:val="000000" w:themeColor="text1"/>
          <w:sz w:val="22"/>
          <w:szCs w:val="22"/>
        </w:rPr>
      </w:pPr>
    </w:p>
    <w:p w14:paraId="1C23B715" w14:textId="77777777" w:rsidR="00D50AE5" w:rsidRDefault="00D50AE5" w:rsidP="00355873">
      <w:pPr>
        <w:jc w:val="both"/>
        <w:rPr>
          <w:color w:val="000000" w:themeColor="text1"/>
          <w:sz w:val="22"/>
          <w:szCs w:val="22"/>
        </w:rPr>
      </w:pPr>
    </w:p>
    <w:p w14:paraId="4A9E50ED" w14:textId="77777777" w:rsidR="00D50AE5" w:rsidRDefault="00D50AE5" w:rsidP="00355873">
      <w:pPr>
        <w:jc w:val="both"/>
        <w:rPr>
          <w:color w:val="000000" w:themeColor="text1"/>
          <w:sz w:val="22"/>
          <w:szCs w:val="22"/>
        </w:rPr>
      </w:pPr>
    </w:p>
    <w:p w14:paraId="524C1215" w14:textId="77777777" w:rsidR="00D50AE5" w:rsidRDefault="00D50AE5" w:rsidP="00355873">
      <w:pPr>
        <w:jc w:val="both"/>
        <w:rPr>
          <w:color w:val="000000" w:themeColor="text1"/>
          <w:sz w:val="22"/>
          <w:szCs w:val="22"/>
        </w:rPr>
      </w:pPr>
    </w:p>
    <w:p w14:paraId="04201A07" w14:textId="77777777" w:rsidR="00D50AE5" w:rsidRDefault="00D50AE5" w:rsidP="00355873">
      <w:pPr>
        <w:jc w:val="both"/>
        <w:rPr>
          <w:color w:val="000000" w:themeColor="text1"/>
          <w:sz w:val="22"/>
          <w:szCs w:val="22"/>
        </w:rPr>
      </w:pPr>
    </w:p>
    <w:p w14:paraId="1170F4DE" w14:textId="77777777" w:rsidR="00D50AE5" w:rsidRDefault="00D50AE5" w:rsidP="00355873">
      <w:pPr>
        <w:jc w:val="both"/>
        <w:rPr>
          <w:color w:val="000000" w:themeColor="text1"/>
          <w:sz w:val="22"/>
          <w:szCs w:val="22"/>
        </w:rPr>
      </w:pPr>
    </w:p>
    <w:p w14:paraId="4F5E8D3B" w14:textId="77777777" w:rsidR="006E0F99" w:rsidRDefault="006E0F99" w:rsidP="00355873">
      <w:pPr>
        <w:jc w:val="both"/>
        <w:rPr>
          <w:color w:val="000000" w:themeColor="text1"/>
          <w:sz w:val="22"/>
          <w:szCs w:val="22"/>
        </w:rPr>
      </w:pPr>
    </w:p>
    <w:p w14:paraId="7C779264" w14:textId="77777777" w:rsidR="006E0F99" w:rsidRDefault="006E0F99" w:rsidP="00355873">
      <w:pPr>
        <w:jc w:val="both"/>
        <w:rPr>
          <w:color w:val="000000" w:themeColor="text1"/>
          <w:sz w:val="22"/>
          <w:szCs w:val="22"/>
        </w:rPr>
      </w:pPr>
    </w:p>
    <w:p w14:paraId="0ABB5D05" w14:textId="77777777" w:rsidR="006E0F99" w:rsidRDefault="006E0F99" w:rsidP="00355873">
      <w:pPr>
        <w:jc w:val="both"/>
        <w:rPr>
          <w:color w:val="000000" w:themeColor="text1"/>
          <w:sz w:val="22"/>
          <w:szCs w:val="22"/>
        </w:rPr>
      </w:pPr>
    </w:p>
    <w:p w14:paraId="10480CA4" w14:textId="77777777" w:rsidR="006E0F99" w:rsidRDefault="006E0F99" w:rsidP="00355873">
      <w:pPr>
        <w:jc w:val="both"/>
        <w:rPr>
          <w:color w:val="000000" w:themeColor="text1"/>
          <w:sz w:val="22"/>
          <w:szCs w:val="22"/>
        </w:rPr>
      </w:pPr>
    </w:p>
    <w:p w14:paraId="6BDF1549" w14:textId="77777777" w:rsidR="006E0F99" w:rsidRDefault="006E0F99" w:rsidP="00355873">
      <w:pPr>
        <w:jc w:val="both"/>
        <w:rPr>
          <w:color w:val="000000" w:themeColor="text1"/>
          <w:sz w:val="22"/>
          <w:szCs w:val="22"/>
        </w:rPr>
      </w:pPr>
    </w:p>
    <w:p w14:paraId="0B970C69" w14:textId="77777777" w:rsidR="006E0F99" w:rsidRDefault="006E0F99" w:rsidP="00355873">
      <w:pPr>
        <w:jc w:val="both"/>
        <w:rPr>
          <w:color w:val="000000" w:themeColor="text1"/>
          <w:sz w:val="22"/>
          <w:szCs w:val="22"/>
        </w:rPr>
      </w:pPr>
    </w:p>
    <w:p w14:paraId="3D958DE0" w14:textId="77777777" w:rsidR="006E0F99" w:rsidRDefault="006E0F99" w:rsidP="00355873">
      <w:pPr>
        <w:jc w:val="both"/>
        <w:rPr>
          <w:color w:val="000000" w:themeColor="text1"/>
          <w:sz w:val="22"/>
          <w:szCs w:val="22"/>
        </w:rPr>
      </w:pPr>
    </w:p>
    <w:p w14:paraId="545E8EE7" w14:textId="77777777" w:rsidR="006E0F99" w:rsidRDefault="006E0F99" w:rsidP="00355873">
      <w:pPr>
        <w:jc w:val="both"/>
        <w:rPr>
          <w:color w:val="000000" w:themeColor="text1"/>
          <w:sz w:val="22"/>
          <w:szCs w:val="22"/>
        </w:rPr>
      </w:pPr>
    </w:p>
    <w:p w14:paraId="0811270A" w14:textId="77777777" w:rsidR="006E0F99" w:rsidRDefault="006E0F99" w:rsidP="00355873">
      <w:pPr>
        <w:jc w:val="both"/>
        <w:rPr>
          <w:color w:val="000000" w:themeColor="text1"/>
          <w:sz w:val="22"/>
          <w:szCs w:val="22"/>
        </w:rPr>
      </w:pPr>
    </w:p>
    <w:p w14:paraId="20DDA311" w14:textId="77777777" w:rsidR="006E0F99" w:rsidRDefault="006E0F99" w:rsidP="00355873">
      <w:pPr>
        <w:jc w:val="both"/>
        <w:rPr>
          <w:color w:val="000000" w:themeColor="text1"/>
          <w:sz w:val="22"/>
          <w:szCs w:val="22"/>
        </w:rPr>
      </w:pPr>
    </w:p>
    <w:p w14:paraId="3F06DA9C" w14:textId="77777777" w:rsidR="006E0F99" w:rsidRDefault="006E0F99" w:rsidP="00355873">
      <w:pPr>
        <w:jc w:val="both"/>
        <w:rPr>
          <w:color w:val="000000" w:themeColor="text1"/>
          <w:sz w:val="22"/>
          <w:szCs w:val="22"/>
        </w:rPr>
      </w:pPr>
    </w:p>
    <w:p w14:paraId="068C8E0C" w14:textId="77777777" w:rsidR="006E0F99" w:rsidRDefault="006E0F99" w:rsidP="00355873">
      <w:pPr>
        <w:jc w:val="both"/>
        <w:rPr>
          <w:color w:val="000000" w:themeColor="text1"/>
          <w:sz w:val="22"/>
          <w:szCs w:val="22"/>
        </w:rPr>
      </w:pPr>
    </w:p>
    <w:p w14:paraId="6EED21E6" w14:textId="77777777" w:rsidR="006E0F99" w:rsidRDefault="006E0F99" w:rsidP="00355873">
      <w:pPr>
        <w:jc w:val="both"/>
        <w:rPr>
          <w:color w:val="000000" w:themeColor="text1"/>
          <w:sz w:val="22"/>
          <w:szCs w:val="22"/>
        </w:rPr>
      </w:pPr>
    </w:p>
    <w:p w14:paraId="4CA16AA0" w14:textId="77777777" w:rsidR="006E0F99" w:rsidRDefault="006E0F99" w:rsidP="00355873">
      <w:pPr>
        <w:jc w:val="both"/>
        <w:rPr>
          <w:color w:val="000000" w:themeColor="text1"/>
          <w:sz w:val="22"/>
          <w:szCs w:val="22"/>
        </w:rPr>
      </w:pPr>
    </w:p>
    <w:p w14:paraId="596A2758" w14:textId="77777777" w:rsidR="006E0F99" w:rsidRDefault="006E0F99" w:rsidP="00355873">
      <w:pPr>
        <w:jc w:val="both"/>
        <w:rPr>
          <w:color w:val="000000" w:themeColor="text1"/>
          <w:sz w:val="22"/>
          <w:szCs w:val="22"/>
        </w:rPr>
      </w:pPr>
    </w:p>
    <w:p w14:paraId="7D73D6DC" w14:textId="77777777" w:rsidR="006E0F99" w:rsidRDefault="006E0F99" w:rsidP="00355873">
      <w:pPr>
        <w:jc w:val="both"/>
        <w:rPr>
          <w:color w:val="000000" w:themeColor="text1"/>
          <w:sz w:val="22"/>
          <w:szCs w:val="22"/>
        </w:rPr>
      </w:pPr>
    </w:p>
    <w:p w14:paraId="7A8EB1ED" w14:textId="77777777" w:rsidR="006E0F99" w:rsidRDefault="006E0F99" w:rsidP="00355873">
      <w:pPr>
        <w:jc w:val="both"/>
        <w:rPr>
          <w:color w:val="000000" w:themeColor="text1"/>
          <w:sz w:val="22"/>
          <w:szCs w:val="22"/>
        </w:rPr>
      </w:pPr>
    </w:p>
    <w:p w14:paraId="4FCCF6E4" w14:textId="77777777" w:rsidR="006E0F99" w:rsidRDefault="006E0F99" w:rsidP="00355873">
      <w:pPr>
        <w:jc w:val="both"/>
        <w:rPr>
          <w:color w:val="000000" w:themeColor="text1"/>
          <w:sz w:val="22"/>
          <w:szCs w:val="22"/>
        </w:rPr>
      </w:pPr>
    </w:p>
    <w:p w14:paraId="79B727C8" w14:textId="77777777" w:rsidR="006E0F99" w:rsidRDefault="006E0F99" w:rsidP="00355873">
      <w:pPr>
        <w:jc w:val="both"/>
        <w:rPr>
          <w:color w:val="000000" w:themeColor="text1"/>
          <w:sz w:val="22"/>
          <w:szCs w:val="22"/>
        </w:rPr>
      </w:pPr>
    </w:p>
    <w:p w14:paraId="3A3B773A" w14:textId="77777777" w:rsidR="006E0F99" w:rsidRDefault="006E0F99" w:rsidP="00355873">
      <w:pPr>
        <w:jc w:val="both"/>
        <w:rPr>
          <w:color w:val="000000" w:themeColor="text1"/>
          <w:sz w:val="22"/>
          <w:szCs w:val="22"/>
        </w:rPr>
      </w:pPr>
    </w:p>
    <w:p w14:paraId="0BD1126B" w14:textId="77777777" w:rsidR="006E0F99" w:rsidRDefault="006E0F99" w:rsidP="00355873">
      <w:pPr>
        <w:jc w:val="both"/>
        <w:rPr>
          <w:color w:val="000000" w:themeColor="text1"/>
          <w:sz w:val="22"/>
          <w:szCs w:val="22"/>
        </w:rPr>
      </w:pPr>
    </w:p>
    <w:p w14:paraId="4A89F77C" w14:textId="77777777" w:rsidR="006E0F99" w:rsidRDefault="006E0F99" w:rsidP="00355873">
      <w:pPr>
        <w:jc w:val="both"/>
        <w:rPr>
          <w:color w:val="000000" w:themeColor="text1"/>
          <w:sz w:val="22"/>
          <w:szCs w:val="22"/>
        </w:rPr>
      </w:pPr>
    </w:p>
    <w:p w14:paraId="488AD2EF" w14:textId="77777777" w:rsidR="006E0F99" w:rsidRDefault="006E0F99" w:rsidP="00355873">
      <w:pPr>
        <w:jc w:val="both"/>
        <w:rPr>
          <w:color w:val="000000" w:themeColor="text1"/>
          <w:sz w:val="22"/>
          <w:szCs w:val="22"/>
        </w:rPr>
      </w:pPr>
    </w:p>
    <w:p w14:paraId="53AEBFB9" w14:textId="77777777" w:rsidR="006E0F99" w:rsidRDefault="006E0F99" w:rsidP="00355873">
      <w:pPr>
        <w:jc w:val="both"/>
        <w:rPr>
          <w:color w:val="000000" w:themeColor="text1"/>
          <w:sz w:val="22"/>
          <w:szCs w:val="22"/>
        </w:rPr>
      </w:pPr>
    </w:p>
    <w:p w14:paraId="39D7595F" w14:textId="77777777" w:rsidR="006E0F99" w:rsidRDefault="006E0F99" w:rsidP="00355873">
      <w:pPr>
        <w:jc w:val="both"/>
        <w:rPr>
          <w:color w:val="000000" w:themeColor="text1"/>
          <w:sz w:val="22"/>
          <w:szCs w:val="22"/>
        </w:rPr>
      </w:pPr>
    </w:p>
    <w:p w14:paraId="482A1FEB" w14:textId="77777777" w:rsidR="006E0F99" w:rsidRDefault="006E0F99" w:rsidP="00355873">
      <w:pPr>
        <w:jc w:val="both"/>
        <w:rPr>
          <w:color w:val="000000" w:themeColor="text1"/>
          <w:sz w:val="22"/>
          <w:szCs w:val="22"/>
        </w:rPr>
      </w:pPr>
    </w:p>
    <w:p w14:paraId="7FF83971" w14:textId="77777777" w:rsidR="006E0F99" w:rsidRDefault="006E0F99" w:rsidP="00355873">
      <w:pPr>
        <w:jc w:val="both"/>
        <w:rPr>
          <w:color w:val="000000" w:themeColor="text1"/>
          <w:sz w:val="22"/>
          <w:szCs w:val="22"/>
        </w:rPr>
      </w:pPr>
    </w:p>
    <w:p w14:paraId="29E89DAC" w14:textId="77777777" w:rsidR="006E0F99" w:rsidRDefault="006E0F99" w:rsidP="00355873">
      <w:pPr>
        <w:jc w:val="both"/>
        <w:rPr>
          <w:color w:val="000000" w:themeColor="text1"/>
          <w:sz w:val="22"/>
          <w:szCs w:val="22"/>
        </w:rPr>
      </w:pPr>
    </w:p>
    <w:p w14:paraId="773D4B8D" w14:textId="77777777" w:rsidR="006E0F99" w:rsidRDefault="006E0F99" w:rsidP="00355873">
      <w:pPr>
        <w:jc w:val="both"/>
        <w:rPr>
          <w:color w:val="000000" w:themeColor="text1"/>
          <w:sz w:val="22"/>
          <w:szCs w:val="22"/>
        </w:rPr>
      </w:pPr>
    </w:p>
    <w:p w14:paraId="590268B6" w14:textId="77777777" w:rsidR="006E0F99" w:rsidRDefault="006E0F99" w:rsidP="00355873">
      <w:pPr>
        <w:jc w:val="both"/>
        <w:rPr>
          <w:color w:val="000000" w:themeColor="text1"/>
          <w:sz w:val="22"/>
          <w:szCs w:val="22"/>
        </w:rPr>
      </w:pPr>
    </w:p>
    <w:p w14:paraId="2E60DB4F" w14:textId="77777777" w:rsidR="006E0F99" w:rsidRDefault="006E0F99" w:rsidP="00355873">
      <w:pPr>
        <w:jc w:val="both"/>
        <w:rPr>
          <w:color w:val="000000" w:themeColor="text1"/>
          <w:sz w:val="22"/>
          <w:szCs w:val="22"/>
        </w:rPr>
      </w:pPr>
    </w:p>
    <w:p w14:paraId="6A14AF6B" w14:textId="77777777" w:rsidR="006E0F99" w:rsidRDefault="006E0F99" w:rsidP="00355873">
      <w:pPr>
        <w:jc w:val="both"/>
        <w:rPr>
          <w:color w:val="000000" w:themeColor="text1"/>
          <w:sz w:val="22"/>
          <w:szCs w:val="22"/>
        </w:rPr>
      </w:pPr>
    </w:p>
    <w:p w14:paraId="64AA3357" w14:textId="77777777" w:rsidR="006E0F99" w:rsidRDefault="006E0F99" w:rsidP="00355873">
      <w:pPr>
        <w:jc w:val="both"/>
        <w:rPr>
          <w:color w:val="000000" w:themeColor="text1"/>
          <w:sz w:val="22"/>
          <w:szCs w:val="22"/>
        </w:rPr>
      </w:pPr>
    </w:p>
    <w:p w14:paraId="0B3DF50B" w14:textId="77777777" w:rsidR="006E0F99" w:rsidRDefault="006E0F99" w:rsidP="00355873">
      <w:pPr>
        <w:jc w:val="both"/>
        <w:rPr>
          <w:color w:val="000000" w:themeColor="text1"/>
          <w:sz w:val="22"/>
          <w:szCs w:val="22"/>
        </w:rPr>
      </w:pPr>
    </w:p>
    <w:p w14:paraId="6F05CF20" w14:textId="77777777" w:rsidR="006E0F99" w:rsidRDefault="006E0F99" w:rsidP="00355873">
      <w:pPr>
        <w:jc w:val="both"/>
        <w:rPr>
          <w:color w:val="000000" w:themeColor="text1"/>
          <w:sz w:val="22"/>
          <w:szCs w:val="22"/>
        </w:rPr>
      </w:pPr>
    </w:p>
    <w:p w14:paraId="771D0B51" w14:textId="77777777" w:rsidR="006E0F99" w:rsidRDefault="006E0F99" w:rsidP="00355873">
      <w:pPr>
        <w:jc w:val="both"/>
        <w:rPr>
          <w:color w:val="000000" w:themeColor="text1"/>
          <w:sz w:val="22"/>
          <w:szCs w:val="22"/>
        </w:rPr>
      </w:pPr>
    </w:p>
    <w:p w14:paraId="597C76C9" w14:textId="77777777" w:rsidR="006E0F99" w:rsidRDefault="006E0F99" w:rsidP="00355873">
      <w:pPr>
        <w:jc w:val="both"/>
        <w:rPr>
          <w:color w:val="000000" w:themeColor="text1"/>
          <w:sz w:val="22"/>
          <w:szCs w:val="22"/>
        </w:rPr>
      </w:pPr>
    </w:p>
    <w:p w14:paraId="0ABE241B" w14:textId="77777777" w:rsidR="006E0F99" w:rsidRDefault="006E0F99" w:rsidP="00355873">
      <w:pPr>
        <w:jc w:val="both"/>
        <w:rPr>
          <w:color w:val="000000" w:themeColor="text1"/>
          <w:sz w:val="22"/>
          <w:szCs w:val="22"/>
        </w:rPr>
      </w:pPr>
    </w:p>
    <w:p w14:paraId="18E6C360" w14:textId="77777777" w:rsidR="006E0F99" w:rsidRDefault="006E0F99" w:rsidP="00355873">
      <w:pPr>
        <w:jc w:val="both"/>
        <w:rPr>
          <w:color w:val="000000" w:themeColor="text1"/>
          <w:sz w:val="22"/>
          <w:szCs w:val="22"/>
        </w:rPr>
      </w:pPr>
    </w:p>
    <w:p w14:paraId="623E7D26" w14:textId="77777777" w:rsidR="006E0F99" w:rsidRDefault="006E0F99" w:rsidP="00355873">
      <w:pPr>
        <w:jc w:val="both"/>
        <w:rPr>
          <w:color w:val="000000" w:themeColor="text1"/>
          <w:sz w:val="22"/>
          <w:szCs w:val="22"/>
        </w:rPr>
      </w:pPr>
    </w:p>
    <w:p w14:paraId="3CBFEE61" w14:textId="77777777" w:rsidR="006E0F99" w:rsidRPr="00AC1631" w:rsidRDefault="006E0F99" w:rsidP="00355873">
      <w:pPr>
        <w:jc w:val="both"/>
        <w:rPr>
          <w:color w:val="000000" w:themeColor="text1"/>
          <w:sz w:val="22"/>
          <w:szCs w:val="22"/>
        </w:rPr>
      </w:pPr>
    </w:p>
    <w:p w14:paraId="5C157B7A" w14:textId="77777777" w:rsidR="005F6CF2" w:rsidRDefault="005F6CF2" w:rsidP="00355873">
      <w:pPr>
        <w:jc w:val="both"/>
        <w:rPr>
          <w:sz w:val="22"/>
          <w:szCs w:val="22"/>
        </w:rPr>
      </w:pPr>
    </w:p>
    <w:p w14:paraId="3F2EDA4D" w14:textId="77777777" w:rsidR="005A63FC" w:rsidRDefault="005A63FC" w:rsidP="00355873">
      <w:pPr>
        <w:rPr>
          <w:b/>
          <w:sz w:val="22"/>
          <w:szCs w:val="22"/>
        </w:rPr>
        <w:sectPr w:rsidR="005A63FC" w:rsidSect="00ED7708">
          <w:footerReference w:type="even" r:id="rId18"/>
          <w:footerReference w:type="default" r:id="rId19"/>
          <w:pgSz w:w="11906" w:h="16838"/>
          <w:pgMar w:top="624" w:right="624" w:bottom="624" w:left="624" w:header="709" w:footer="709" w:gutter="0"/>
          <w:cols w:space="708"/>
          <w:docGrid w:linePitch="360"/>
        </w:sectPr>
      </w:pPr>
    </w:p>
    <w:p w14:paraId="037993CB" w14:textId="77777777" w:rsidR="00395FE8" w:rsidRPr="00716C50" w:rsidRDefault="00B73BBE" w:rsidP="00355873">
      <w:pPr>
        <w:jc w:val="center"/>
        <w:rPr>
          <w:b/>
          <w:sz w:val="22"/>
          <w:szCs w:val="22"/>
        </w:rPr>
      </w:pPr>
      <w:r w:rsidRPr="00981A96">
        <w:rPr>
          <w:b/>
          <w:sz w:val="22"/>
          <w:szCs w:val="22"/>
        </w:rPr>
        <w:t xml:space="preserve">Appendix 1 – </w:t>
      </w:r>
      <w:r w:rsidR="008F34BE" w:rsidRPr="00981A96">
        <w:rPr>
          <w:b/>
          <w:sz w:val="22"/>
          <w:szCs w:val="22"/>
        </w:rPr>
        <w:t xml:space="preserve">High level </w:t>
      </w:r>
      <w:r w:rsidR="005A63FC" w:rsidRPr="00981A96">
        <w:rPr>
          <w:b/>
          <w:sz w:val="22"/>
          <w:szCs w:val="22"/>
        </w:rPr>
        <w:t>Summary of Place-Plus</w:t>
      </w:r>
      <w:r w:rsidR="00C6158B" w:rsidRPr="00981A96">
        <w:rPr>
          <w:b/>
          <w:sz w:val="22"/>
          <w:szCs w:val="22"/>
        </w:rPr>
        <w:t xml:space="preserve"> and how this works for different providers</w:t>
      </w:r>
      <w:r w:rsidR="00E06AD5" w:rsidRPr="00981A96">
        <w:rPr>
          <w:b/>
          <w:sz w:val="22"/>
          <w:szCs w:val="22"/>
        </w:rPr>
        <w:t xml:space="preserve"> in Bradford</w:t>
      </w:r>
    </w:p>
    <w:p w14:paraId="6A2781B9" w14:textId="77777777" w:rsidR="00395FE8" w:rsidRDefault="00395FE8" w:rsidP="00355873">
      <w:pPr>
        <w:jc w:val="both"/>
        <w:rPr>
          <w:sz w:val="22"/>
          <w:szCs w:val="22"/>
        </w:rPr>
      </w:pPr>
    </w:p>
    <w:tbl>
      <w:tblPr>
        <w:tblStyle w:val="TableGrid"/>
        <w:tblW w:w="0" w:type="auto"/>
        <w:tblLook w:val="04A0" w:firstRow="1" w:lastRow="0" w:firstColumn="1" w:lastColumn="0" w:noHBand="0" w:noVBand="1"/>
      </w:tblPr>
      <w:tblGrid>
        <w:gridCol w:w="2376"/>
        <w:gridCol w:w="2268"/>
        <w:gridCol w:w="2410"/>
        <w:gridCol w:w="2410"/>
        <w:gridCol w:w="2126"/>
        <w:gridCol w:w="2126"/>
        <w:gridCol w:w="1985"/>
      </w:tblGrid>
      <w:tr w:rsidR="00B73BBE" w14:paraId="65316A66" w14:textId="77777777" w:rsidTr="00355873">
        <w:tc>
          <w:tcPr>
            <w:tcW w:w="2376" w:type="dxa"/>
          </w:tcPr>
          <w:p w14:paraId="08A89224" w14:textId="77777777" w:rsidR="00B73BBE" w:rsidRPr="007A178E" w:rsidRDefault="00B73BBE" w:rsidP="008D56E1">
            <w:pPr>
              <w:rPr>
                <w:b/>
                <w:sz w:val="22"/>
                <w:szCs w:val="22"/>
              </w:rPr>
            </w:pPr>
          </w:p>
        </w:tc>
        <w:tc>
          <w:tcPr>
            <w:tcW w:w="2268" w:type="dxa"/>
          </w:tcPr>
          <w:p w14:paraId="45FB3330" w14:textId="77777777" w:rsidR="00B73BBE" w:rsidRPr="007A178E" w:rsidRDefault="007A178E" w:rsidP="008D4143">
            <w:pPr>
              <w:rPr>
                <w:b/>
                <w:sz w:val="22"/>
                <w:szCs w:val="22"/>
              </w:rPr>
            </w:pPr>
            <w:r w:rsidRPr="007A178E">
              <w:rPr>
                <w:b/>
                <w:sz w:val="22"/>
                <w:szCs w:val="22"/>
              </w:rPr>
              <w:t>Pre-16</w:t>
            </w:r>
          </w:p>
        </w:tc>
        <w:tc>
          <w:tcPr>
            <w:tcW w:w="2410" w:type="dxa"/>
          </w:tcPr>
          <w:p w14:paraId="50E7968C" w14:textId="77777777" w:rsidR="00B73BBE" w:rsidRPr="007A178E" w:rsidRDefault="007A178E" w:rsidP="008D4143">
            <w:pPr>
              <w:rPr>
                <w:b/>
                <w:sz w:val="22"/>
                <w:szCs w:val="22"/>
              </w:rPr>
            </w:pPr>
            <w:r w:rsidRPr="007A178E">
              <w:rPr>
                <w:b/>
                <w:sz w:val="22"/>
                <w:szCs w:val="22"/>
              </w:rPr>
              <w:t>Pre-16</w:t>
            </w:r>
          </w:p>
        </w:tc>
        <w:tc>
          <w:tcPr>
            <w:tcW w:w="2410" w:type="dxa"/>
          </w:tcPr>
          <w:p w14:paraId="5F875817" w14:textId="77777777" w:rsidR="00B73BBE" w:rsidRPr="007A178E" w:rsidRDefault="007A178E" w:rsidP="008D4143">
            <w:pPr>
              <w:rPr>
                <w:b/>
                <w:sz w:val="22"/>
                <w:szCs w:val="22"/>
              </w:rPr>
            </w:pPr>
            <w:r w:rsidRPr="007A178E">
              <w:rPr>
                <w:b/>
                <w:sz w:val="22"/>
                <w:szCs w:val="22"/>
              </w:rPr>
              <w:t>Post-16</w:t>
            </w:r>
          </w:p>
        </w:tc>
        <w:tc>
          <w:tcPr>
            <w:tcW w:w="2126" w:type="dxa"/>
          </w:tcPr>
          <w:p w14:paraId="664B6563" w14:textId="77777777" w:rsidR="00B73BBE" w:rsidRPr="007A178E" w:rsidRDefault="007A178E" w:rsidP="008D4143">
            <w:pPr>
              <w:rPr>
                <w:b/>
                <w:sz w:val="22"/>
                <w:szCs w:val="22"/>
              </w:rPr>
            </w:pPr>
            <w:r w:rsidRPr="007A178E">
              <w:rPr>
                <w:b/>
                <w:sz w:val="22"/>
                <w:szCs w:val="22"/>
              </w:rPr>
              <w:t>Post</w:t>
            </w:r>
            <w:r w:rsidR="00157EF5">
              <w:rPr>
                <w:b/>
                <w:sz w:val="22"/>
                <w:szCs w:val="22"/>
              </w:rPr>
              <w:t>-</w:t>
            </w:r>
            <w:r w:rsidRPr="007A178E">
              <w:rPr>
                <w:b/>
                <w:sz w:val="22"/>
                <w:szCs w:val="22"/>
              </w:rPr>
              <w:t>16</w:t>
            </w:r>
          </w:p>
        </w:tc>
        <w:tc>
          <w:tcPr>
            <w:tcW w:w="2126" w:type="dxa"/>
          </w:tcPr>
          <w:p w14:paraId="757D6A8B" w14:textId="77777777" w:rsidR="00B73BBE" w:rsidRPr="007A178E" w:rsidRDefault="00B73BBE" w:rsidP="001B416B">
            <w:pPr>
              <w:jc w:val="both"/>
              <w:rPr>
                <w:b/>
                <w:sz w:val="22"/>
                <w:szCs w:val="22"/>
              </w:rPr>
            </w:pPr>
          </w:p>
        </w:tc>
        <w:tc>
          <w:tcPr>
            <w:tcW w:w="1985" w:type="dxa"/>
          </w:tcPr>
          <w:p w14:paraId="676D3FB1" w14:textId="77777777" w:rsidR="00B73BBE" w:rsidRPr="007A178E" w:rsidRDefault="00B73BBE" w:rsidP="001B416B">
            <w:pPr>
              <w:jc w:val="both"/>
              <w:rPr>
                <w:b/>
                <w:sz w:val="22"/>
                <w:szCs w:val="22"/>
              </w:rPr>
            </w:pPr>
          </w:p>
        </w:tc>
      </w:tr>
      <w:tr w:rsidR="00B73BBE" w14:paraId="10E38FE9" w14:textId="77777777" w:rsidTr="00355873">
        <w:tc>
          <w:tcPr>
            <w:tcW w:w="2376" w:type="dxa"/>
          </w:tcPr>
          <w:p w14:paraId="33CBC9FC" w14:textId="77777777" w:rsidR="00B73BBE" w:rsidRPr="007A178E" w:rsidRDefault="007A178E" w:rsidP="008D56E1">
            <w:pPr>
              <w:rPr>
                <w:b/>
                <w:sz w:val="22"/>
                <w:szCs w:val="22"/>
              </w:rPr>
            </w:pPr>
            <w:r w:rsidRPr="007A178E">
              <w:rPr>
                <w:b/>
                <w:sz w:val="22"/>
                <w:szCs w:val="22"/>
              </w:rPr>
              <w:t>Type of Provision</w:t>
            </w:r>
          </w:p>
        </w:tc>
        <w:tc>
          <w:tcPr>
            <w:tcW w:w="2268" w:type="dxa"/>
          </w:tcPr>
          <w:p w14:paraId="2C1096D9" w14:textId="77777777" w:rsidR="00B73BBE" w:rsidRPr="007A178E" w:rsidRDefault="007A178E" w:rsidP="007A178E">
            <w:pPr>
              <w:rPr>
                <w:b/>
                <w:sz w:val="22"/>
                <w:szCs w:val="22"/>
              </w:rPr>
            </w:pPr>
            <w:r w:rsidRPr="007A178E">
              <w:rPr>
                <w:b/>
                <w:sz w:val="22"/>
                <w:szCs w:val="22"/>
              </w:rPr>
              <w:t>Place</w:t>
            </w:r>
            <w:r w:rsidR="00AC7860">
              <w:rPr>
                <w:b/>
                <w:sz w:val="22"/>
                <w:szCs w:val="22"/>
              </w:rPr>
              <w:t xml:space="preserve"> (Core)</w:t>
            </w:r>
            <w:r w:rsidRPr="007A178E">
              <w:rPr>
                <w:b/>
                <w:sz w:val="22"/>
                <w:szCs w:val="22"/>
              </w:rPr>
              <w:t xml:space="preserve"> Funding</w:t>
            </w:r>
          </w:p>
        </w:tc>
        <w:tc>
          <w:tcPr>
            <w:tcW w:w="2410" w:type="dxa"/>
          </w:tcPr>
          <w:p w14:paraId="1377D58E" w14:textId="77777777" w:rsidR="00B73BBE" w:rsidRPr="007A178E" w:rsidRDefault="007A178E" w:rsidP="007A178E">
            <w:pPr>
              <w:rPr>
                <w:b/>
                <w:sz w:val="22"/>
                <w:szCs w:val="22"/>
              </w:rPr>
            </w:pPr>
            <w:r w:rsidRPr="007A178E">
              <w:rPr>
                <w:b/>
                <w:sz w:val="22"/>
                <w:szCs w:val="22"/>
              </w:rPr>
              <w:t>Top-Up Funding</w:t>
            </w:r>
            <w:r>
              <w:rPr>
                <w:b/>
                <w:sz w:val="22"/>
                <w:szCs w:val="22"/>
              </w:rPr>
              <w:t xml:space="preserve"> (Pupil-Led Need)</w:t>
            </w:r>
          </w:p>
        </w:tc>
        <w:tc>
          <w:tcPr>
            <w:tcW w:w="2410" w:type="dxa"/>
          </w:tcPr>
          <w:p w14:paraId="77487070" w14:textId="77777777" w:rsidR="00B73BBE" w:rsidRPr="007A178E" w:rsidRDefault="007A178E" w:rsidP="007A178E">
            <w:pPr>
              <w:rPr>
                <w:b/>
                <w:sz w:val="22"/>
                <w:szCs w:val="22"/>
              </w:rPr>
            </w:pPr>
            <w:r w:rsidRPr="007A178E">
              <w:rPr>
                <w:b/>
                <w:sz w:val="22"/>
                <w:szCs w:val="22"/>
              </w:rPr>
              <w:t>Place Funding</w:t>
            </w:r>
          </w:p>
        </w:tc>
        <w:tc>
          <w:tcPr>
            <w:tcW w:w="2126" w:type="dxa"/>
          </w:tcPr>
          <w:p w14:paraId="310E804F" w14:textId="77777777" w:rsidR="00B73BBE" w:rsidRPr="007A178E" w:rsidRDefault="007A178E" w:rsidP="007A178E">
            <w:pPr>
              <w:rPr>
                <w:b/>
                <w:sz w:val="22"/>
                <w:szCs w:val="22"/>
              </w:rPr>
            </w:pPr>
            <w:r w:rsidRPr="007A178E">
              <w:rPr>
                <w:b/>
                <w:sz w:val="22"/>
                <w:szCs w:val="22"/>
              </w:rPr>
              <w:t>Top-Up Funding</w:t>
            </w:r>
            <w:r>
              <w:rPr>
                <w:b/>
                <w:sz w:val="22"/>
                <w:szCs w:val="22"/>
              </w:rPr>
              <w:t xml:space="preserve"> (Pupil-Led Need)</w:t>
            </w:r>
          </w:p>
        </w:tc>
        <w:tc>
          <w:tcPr>
            <w:tcW w:w="2126" w:type="dxa"/>
          </w:tcPr>
          <w:p w14:paraId="145D27D9" w14:textId="77777777" w:rsidR="00B73BBE" w:rsidRPr="007A178E" w:rsidRDefault="007A178E" w:rsidP="007A178E">
            <w:pPr>
              <w:rPr>
                <w:b/>
                <w:sz w:val="22"/>
                <w:szCs w:val="22"/>
              </w:rPr>
            </w:pPr>
            <w:r w:rsidRPr="007A178E">
              <w:rPr>
                <w:b/>
                <w:sz w:val="22"/>
                <w:szCs w:val="22"/>
              </w:rPr>
              <w:t>Setting-Led Need Factors</w:t>
            </w:r>
          </w:p>
        </w:tc>
        <w:tc>
          <w:tcPr>
            <w:tcW w:w="1985" w:type="dxa"/>
          </w:tcPr>
          <w:p w14:paraId="54CE7ECE" w14:textId="77777777" w:rsidR="00B73BBE" w:rsidRPr="007A178E" w:rsidRDefault="007A178E" w:rsidP="00AB1B5C">
            <w:pPr>
              <w:rPr>
                <w:b/>
                <w:sz w:val="22"/>
                <w:szCs w:val="22"/>
              </w:rPr>
            </w:pPr>
            <w:r w:rsidRPr="007A178E">
              <w:rPr>
                <w:b/>
                <w:sz w:val="22"/>
                <w:szCs w:val="22"/>
              </w:rPr>
              <w:t>Additional Support Measures</w:t>
            </w:r>
            <w:r>
              <w:rPr>
                <w:b/>
                <w:sz w:val="22"/>
                <w:szCs w:val="22"/>
              </w:rPr>
              <w:t xml:space="preserve"> </w:t>
            </w:r>
          </w:p>
        </w:tc>
      </w:tr>
      <w:tr w:rsidR="00B73BBE" w14:paraId="471407BB" w14:textId="77777777" w:rsidTr="00355873">
        <w:tc>
          <w:tcPr>
            <w:tcW w:w="2376" w:type="dxa"/>
          </w:tcPr>
          <w:p w14:paraId="0514A6C7" w14:textId="77777777" w:rsidR="00B73BBE" w:rsidRDefault="008D56E1" w:rsidP="008D56E1">
            <w:pPr>
              <w:rPr>
                <w:sz w:val="22"/>
                <w:szCs w:val="22"/>
              </w:rPr>
            </w:pPr>
            <w:r w:rsidRPr="00677053">
              <w:rPr>
                <w:b/>
                <w:sz w:val="22"/>
                <w:szCs w:val="22"/>
              </w:rPr>
              <w:t>Mainstream primary &amp; secondary</w:t>
            </w:r>
            <w:r>
              <w:rPr>
                <w:sz w:val="22"/>
                <w:szCs w:val="22"/>
              </w:rPr>
              <w:t xml:space="preserve"> (</w:t>
            </w:r>
            <w:r w:rsidR="00722E97">
              <w:rPr>
                <w:sz w:val="22"/>
                <w:szCs w:val="22"/>
              </w:rPr>
              <w:t xml:space="preserve">maintained </w:t>
            </w:r>
            <w:r>
              <w:rPr>
                <w:sz w:val="22"/>
                <w:szCs w:val="22"/>
              </w:rPr>
              <w:t>schools, academies and free school</w:t>
            </w:r>
            <w:r w:rsidR="00893C44">
              <w:rPr>
                <w:sz w:val="22"/>
                <w:szCs w:val="22"/>
              </w:rPr>
              <w:t>s)</w:t>
            </w:r>
          </w:p>
        </w:tc>
        <w:tc>
          <w:tcPr>
            <w:tcW w:w="2268" w:type="dxa"/>
          </w:tcPr>
          <w:p w14:paraId="044EDE90" w14:textId="77777777" w:rsidR="00B73BBE" w:rsidRDefault="00173952" w:rsidP="00AC7860">
            <w:pPr>
              <w:rPr>
                <w:sz w:val="22"/>
                <w:szCs w:val="22"/>
              </w:rPr>
            </w:pPr>
            <w:r>
              <w:rPr>
                <w:sz w:val="22"/>
                <w:szCs w:val="22"/>
              </w:rPr>
              <w:t>Element 1 is i</w:t>
            </w:r>
            <w:r w:rsidR="00AC7860">
              <w:rPr>
                <w:sz w:val="22"/>
                <w:szCs w:val="22"/>
              </w:rPr>
              <w:t>ncluded within the per-pupil funding</w:t>
            </w:r>
            <w:r w:rsidR="00B22A7E">
              <w:rPr>
                <w:sz w:val="22"/>
                <w:szCs w:val="22"/>
              </w:rPr>
              <w:t xml:space="preserve"> allocated</w:t>
            </w:r>
            <w:r w:rsidR="00AC7860">
              <w:rPr>
                <w:sz w:val="22"/>
                <w:szCs w:val="22"/>
              </w:rPr>
              <w:t xml:space="preserve"> through the local school funding formula</w:t>
            </w:r>
            <w:r w:rsidR="00E64CBB">
              <w:rPr>
                <w:sz w:val="22"/>
                <w:szCs w:val="22"/>
              </w:rPr>
              <w:t xml:space="preserve"> (NFF</w:t>
            </w:r>
            <w:r w:rsidR="00E709B8">
              <w:rPr>
                <w:sz w:val="22"/>
                <w:szCs w:val="22"/>
              </w:rPr>
              <w:t>-based</w:t>
            </w:r>
            <w:r w:rsidR="00E64CBB">
              <w:rPr>
                <w:sz w:val="22"/>
                <w:szCs w:val="22"/>
              </w:rPr>
              <w:t>)</w:t>
            </w:r>
            <w:r w:rsidR="00AC7860">
              <w:rPr>
                <w:sz w:val="22"/>
                <w:szCs w:val="22"/>
              </w:rPr>
              <w:t>.</w:t>
            </w:r>
          </w:p>
          <w:p w14:paraId="60BCEB9D" w14:textId="77777777" w:rsidR="00173952" w:rsidRDefault="00173952" w:rsidP="00AC7860">
            <w:pPr>
              <w:rPr>
                <w:sz w:val="22"/>
                <w:szCs w:val="22"/>
              </w:rPr>
            </w:pPr>
          </w:p>
          <w:p w14:paraId="4AA7D3CE" w14:textId="77777777" w:rsidR="00AC7860" w:rsidRDefault="00173952" w:rsidP="00AC7860">
            <w:pPr>
              <w:rPr>
                <w:sz w:val="22"/>
                <w:szCs w:val="22"/>
              </w:rPr>
            </w:pPr>
            <w:r>
              <w:rPr>
                <w:sz w:val="22"/>
                <w:szCs w:val="22"/>
              </w:rPr>
              <w:t xml:space="preserve">Element 2 - </w:t>
            </w:r>
          </w:p>
          <w:p w14:paraId="237563A6" w14:textId="77777777" w:rsidR="00AC7860" w:rsidRDefault="00173952" w:rsidP="00AC7860">
            <w:pPr>
              <w:rPr>
                <w:sz w:val="22"/>
                <w:szCs w:val="22"/>
              </w:rPr>
            </w:pPr>
            <w:r>
              <w:rPr>
                <w:sz w:val="22"/>
                <w:szCs w:val="22"/>
              </w:rPr>
              <w:t>t</w:t>
            </w:r>
            <w:r w:rsidR="00AC7860">
              <w:rPr>
                <w:sz w:val="22"/>
                <w:szCs w:val="22"/>
              </w:rPr>
              <w:t>he first £6,000 of additional support cost</w:t>
            </w:r>
            <w:r>
              <w:rPr>
                <w:sz w:val="22"/>
                <w:szCs w:val="22"/>
              </w:rPr>
              <w:t xml:space="preserve"> –</w:t>
            </w:r>
            <w:r w:rsidR="00AC7860">
              <w:rPr>
                <w:sz w:val="22"/>
                <w:szCs w:val="22"/>
              </w:rPr>
              <w:t xml:space="preserve"> is</w:t>
            </w:r>
            <w:r>
              <w:rPr>
                <w:sz w:val="22"/>
                <w:szCs w:val="22"/>
              </w:rPr>
              <w:t xml:space="preserve"> also already</w:t>
            </w:r>
            <w:r w:rsidR="00AC7860">
              <w:rPr>
                <w:sz w:val="22"/>
                <w:szCs w:val="22"/>
              </w:rPr>
              <w:t xml:space="preserve"> delegated with the school’</w:t>
            </w:r>
            <w:r w:rsidR="009F5C48">
              <w:rPr>
                <w:sz w:val="22"/>
                <w:szCs w:val="22"/>
              </w:rPr>
              <w:t xml:space="preserve">s </w:t>
            </w:r>
            <w:r>
              <w:rPr>
                <w:sz w:val="22"/>
                <w:szCs w:val="22"/>
              </w:rPr>
              <w:t>formula funding</w:t>
            </w:r>
            <w:r w:rsidR="009F5C48">
              <w:rPr>
                <w:sz w:val="22"/>
                <w:szCs w:val="22"/>
              </w:rPr>
              <w:t xml:space="preserve"> allocation</w:t>
            </w:r>
            <w:r w:rsidR="00AC7860">
              <w:rPr>
                <w:sz w:val="22"/>
                <w:szCs w:val="22"/>
              </w:rPr>
              <w:t>.</w:t>
            </w:r>
          </w:p>
          <w:p w14:paraId="697C9AAA" w14:textId="77777777" w:rsidR="00E64CBB" w:rsidRDefault="00E64CBB" w:rsidP="00AC7860">
            <w:pPr>
              <w:rPr>
                <w:sz w:val="22"/>
                <w:szCs w:val="22"/>
              </w:rPr>
            </w:pPr>
          </w:p>
          <w:p w14:paraId="6C4650E9" w14:textId="77777777" w:rsidR="00E64CBB" w:rsidRDefault="00E64CBB" w:rsidP="00AC7860">
            <w:pPr>
              <w:rPr>
                <w:sz w:val="22"/>
                <w:szCs w:val="22"/>
              </w:rPr>
            </w:pPr>
            <w:r>
              <w:rPr>
                <w:sz w:val="22"/>
                <w:szCs w:val="22"/>
              </w:rPr>
              <w:t>Notional SEND defines the value of funding already allocated</w:t>
            </w:r>
            <w:r w:rsidR="00A2474E">
              <w:rPr>
                <w:sz w:val="22"/>
                <w:szCs w:val="22"/>
              </w:rPr>
              <w:t xml:space="preserve"> (see </w:t>
            </w:r>
            <w:r w:rsidR="00407FCC" w:rsidRPr="006829B3">
              <w:rPr>
                <w:color w:val="000000" w:themeColor="text1"/>
                <w:sz w:val="22"/>
                <w:szCs w:val="22"/>
              </w:rPr>
              <w:t>section 10</w:t>
            </w:r>
            <w:r w:rsidR="00A2474E" w:rsidRPr="006829B3">
              <w:rPr>
                <w:color w:val="000000" w:themeColor="text1"/>
                <w:sz w:val="22"/>
                <w:szCs w:val="22"/>
              </w:rPr>
              <w:t>)</w:t>
            </w:r>
            <w:r w:rsidRPr="006829B3">
              <w:rPr>
                <w:color w:val="000000" w:themeColor="text1"/>
                <w:sz w:val="22"/>
                <w:szCs w:val="22"/>
              </w:rPr>
              <w:t>.</w:t>
            </w:r>
          </w:p>
          <w:p w14:paraId="609ADCB9" w14:textId="77777777" w:rsidR="00AB1B5C" w:rsidRDefault="00AB1B5C" w:rsidP="00AC7860">
            <w:pPr>
              <w:rPr>
                <w:sz w:val="22"/>
                <w:szCs w:val="22"/>
              </w:rPr>
            </w:pPr>
          </w:p>
        </w:tc>
        <w:tc>
          <w:tcPr>
            <w:tcW w:w="2410" w:type="dxa"/>
          </w:tcPr>
          <w:p w14:paraId="30129C92" w14:textId="77777777" w:rsidR="00B73BBE" w:rsidRDefault="00AC7860" w:rsidP="00AC7860">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550D4E13" w14:textId="77777777" w:rsidR="00AC7860" w:rsidRDefault="00AC7860" w:rsidP="00AC7860">
            <w:pPr>
              <w:rPr>
                <w:sz w:val="22"/>
                <w:szCs w:val="22"/>
              </w:rPr>
            </w:pPr>
          </w:p>
          <w:p w14:paraId="7A792237" w14:textId="77777777" w:rsidR="00AC7860" w:rsidRDefault="00AC7860" w:rsidP="00AC7860">
            <w:pPr>
              <w:rPr>
                <w:sz w:val="22"/>
                <w:szCs w:val="22"/>
              </w:rPr>
            </w:pPr>
            <w:r>
              <w:rPr>
                <w:sz w:val="22"/>
                <w:szCs w:val="22"/>
              </w:rPr>
              <w:t>Allocated in ‘real time’ during the year.</w:t>
            </w:r>
            <w:r w:rsidR="00E709B8">
              <w:rPr>
                <w:sz w:val="22"/>
                <w:szCs w:val="22"/>
              </w:rPr>
              <w:t xml:space="preserve"> </w:t>
            </w:r>
            <w:r w:rsidR="00FD3D0F">
              <w:rPr>
                <w:sz w:val="22"/>
                <w:szCs w:val="22"/>
              </w:rPr>
              <w:t>Changes</w:t>
            </w:r>
            <w:r w:rsidR="00926891">
              <w:rPr>
                <w:sz w:val="22"/>
                <w:szCs w:val="22"/>
              </w:rPr>
              <w:t xml:space="preserve"> for starters and leavers.</w:t>
            </w:r>
          </w:p>
          <w:p w14:paraId="142286BA" w14:textId="77777777" w:rsidR="00AC7860" w:rsidRDefault="00AC7860" w:rsidP="00AC7860">
            <w:pPr>
              <w:rPr>
                <w:sz w:val="22"/>
                <w:szCs w:val="22"/>
              </w:rPr>
            </w:pPr>
          </w:p>
          <w:p w14:paraId="0B975308" w14:textId="77777777" w:rsidR="00893C44" w:rsidRDefault="00180BF8" w:rsidP="00AC7860">
            <w:pPr>
              <w:rPr>
                <w:sz w:val="22"/>
                <w:szCs w:val="22"/>
              </w:rPr>
            </w:pPr>
            <w:r>
              <w:rPr>
                <w:sz w:val="22"/>
                <w:szCs w:val="22"/>
              </w:rPr>
              <w:t xml:space="preserve">Uses the </w:t>
            </w:r>
            <w:r w:rsidR="00893C44">
              <w:rPr>
                <w:sz w:val="22"/>
                <w:szCs w:val="22"/>
              </w:rPr>
              <w:t xml:space="preserve">Banded Model </w:t>
            </w:r>
            <w:r w:rsidR="00877D3E">
              <w:rPr>
                <w:sz w:val="22"/>
                <w:szCs w:val="22"/>
              </w:rPr>
              <w:t>(see appendix 2</w:t>
            </w:r>
            <w:r w:rsidR="00893C44">
              <w:rPr>
                <w:sz w:val="22"/>
                <w:szCs w:val="22"/>
              </w:rPr>
              <w:t>).</w:t>
            </w:r>
          </w:p>
          <w:p w14:paraId="47591BFE" w14:textId="77777777" w:rsidR="000A6674" w:rsidRDefault="000A6674" w:rsidP="00AC7860">
            <w:pPr>
              <w:rPr>
                <w:sz w:val="22"/>
                <w:szCs w:val="22"/>
              </w:rPr>
            </w:pPr>
          </w:p>
          <w:p w14:paraId="4093C10E" w14:textId="77777777" w:rsidR="000A6674" w:rsidRDefault="000A6674" w:rsidP="000A6674">
            <w:pPr>
              <w:rPr>
                <w:sz w:val="22"/>
                <w:szCs w:val="22"/>
              </w:rPr>
            </w:pPr>
            <w:r>
              <w:rPr>
                <w:sz w:val="22"/>
                <w:szCs w:val="22"/>
              </w:rPr>
              <w:t xml:space="preserve">The </w:t>
            </w:r>
            <w:r w:rsidR="00D32993">
              <w:rPr>
                <w:sz w:val="22"/>
                <w:szCs w:val="22"/>
              </w:rPr>
              <w:t>top-up</w:t>
            </w:r>
            <w:r>
              <w:rPr>
                <w:sz w:val="22"/>
                <w:szCs w:val="22"/>
              </w:rPr>
              <w:t xml:space="preserve"> funding is allocated to and retained by the school.</w:t>
            </w:r>
          </w:p>
          <w:p w14:paraId="7F62117F" w14:textId="77777777" w:rsidR="000A6674" w:rsidRDefault="000A6674" w:rsidP="00AC7860">
            <w:pPr>
              <w:rPr>
                <w:sz w:val="22"/>
                <w:szCs w:val="22"/>
              </w:rPr>
            </w:pPr>
          </w:p>
        </w:tc>
        <w:tc>
          <w:tcPr>
            <w:tcW w:w="2410" w:type="dxa"/>
          </w:tcPr>
          <w:p w14:paraId="7046260D" w14:textId="77777777" w:rsidR="00B73BBE" w:rsidRDefault="00DA6EC4" w:rsidP="00AC7860">
            <w:pPr>
              <w:rPr>
                <w:sz w:val="22"/>
                <w:szCs w:val="22"/>
              </w:rPr>
            </w:pPr>
            <w:r>
              <w:rPr>
                <w:sz w:val="22"/>
                <w:szCs w:val="22"/>
              </w:rPr>
              <w:t>Element 1 (based on the 16-19 national funding formula) plus Element 2 (£6,000) based on t</w:t>
            </w:r>
            <w:r w:rsidR="00770C2F">
              <w:rPr>
                <w:sz w:val="22"/>
                <w:szCs w:val="22"/>
              </w:rPr>
              <w:t>he number of places to be commissioned</w:t>
            </w:r>
            <w:r>
              <w:rPr>
                <w:sz w:val="22"/>
                <w:szCs w:val="22"/>
              </w:rPr>
              <w:t>.</w:t>
            </w:r>
          </w:p>
        </w:tc>
        <w:tc>
          <w:tcPr>
            <w:tcW w:w="2126" w:type="dxa"/>
          </w:tcPr>
          <w:p w14:paraId="4E2EB6BC" w14:textId="77777777" w:rsidR="00DA6EC4" w:rsidRDefault="00DA6EC4" w:rsidP="00DA6EC4">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7125276E" w14:textId="77777777" w:rsidR="00DA6EC4" w:rsidRDefault="00DA6EC4" w:rsidP="00DA6EC4">
            <w:pPr>
              <w:rPr>
                <w:sz w:val="22"/>
                <w:szCs w:val="22"/>
              </w:rPr>
            </w:pPr>
          </w:p>
          <w:p w14:paraId="39669EB2" w14:textId="77777777" w:rsidR="00926891" w:rsidRDefault="00926891" w:rsidP="00926891">
            <w:pPr>
              <w:rPr>
                <w:sz w:val="22"/>
                <w:szCs w:val="22"/>
              </w:rPr>
            </w:pPr>
            <w:r>
              <w:rPr>
                <w:sz w:val="22"/>
                <w:szCs w:val="22"/>
              </w:rPr>
              <w:t xml:space="preserve">Allocated in ‘real time’ during the year. </w:t>
            </w:r>
            <w:r w:rsidR="00FD3D0F">
              <w:rPr>
                <w:sz w:val="22"/>
                <w:szCs w:val="22"/>
              </w:rPr>
              <w:t>Changes</w:t>
            </w:r>
            <w:r>
              <w:rPr>
                <w:sz w:val="22"/>
                <w:szCs w:val="22"/>
              </w:rPr>
              <w:t xml:space="preserve"> for starters and leavers.</w:t>
            </w:r>
          </w:p>
          <w:p w14:paraId="30E2F6B2" w14:textId="77777777" w:rsidR="00DA6EC4" w:rsidRDefault="00DA6EC4" w:rsidP="00DA6EC4">
            <w:pPr>
              <w:rPr>
                <w:sz w:val="22"/>
                <w:szCs w:val="22"/>
              </w:rPr>
            </w:pPr>
          </w:p>
          <w:p w14:paraId="0E1ED0F3" w14:textId="77777777" w:rsidR="00877D3E" w:rsidRDefault="00180BF8" w:rsidP="00877D3E">
            <w:pPr>
              <w:rPr>
                <w:sz w:val="22"/>
                <w:szCs w:val="22"/>
              </w:rPr>
            </w:pPr>
            <w:r>
              <w:rPr>
                <w:sz w:val="22"/>
                <w:szCs w:val="22"/>
              </w:rPr>
              <w:t xml:space="preserve">Uses the </w:t>
            </w:r>
            <w:r w:rsidR="00877D3E">
              <w:rPr>
                <w:sz w:val="22"/>
                <w:szCs w:val="22"/>
              </w:rPr>
              <w:t>Banded Model (see appendix 2).</w:t>
            </w:r>
          </w:p>
          <w:p w14:paraId="4F42BC4A" w14:textId="77777777" w:rsidR="000A6674" w:rsidRDefault="000A6674" w:rsidP="00DA6EC4">
            <w:pPr>
              <w:rPr>
                <w:sz w:val="22"/>
                <w:szCs w:val="22"/>
              </w:rPr>
            </w:pPr>
          </w:p>
          <w:p w14:paraId="4E3E3DB2" w14:textId="77777777" w:rsidR="000A6674" w:rsidRDefault="000A6674" w:rsidP="000A6674">
            <w:pPr>
              <w:rPr>
                <w:sz w:val="22"/>
                <w:szCs w:val="22"/>
              </w:rPr>
            </w:pPr>
            <w:r>
              <w:rPr>
                <w:sz w:val="22"/>
                <w:szCs w:val="22"/>
              </w:rPr>
              <w:t xml:space="preserve">The </w:t>
            </w:r>
            <w:r w:rsidR="00D32993">
              <w:rPr>
                <w:sz w:val="22"/>
                <w:szCs w:val="22"/>
              </w:rPr>
              <w:t>top-up</w:t>
            </w:r>
            <w:r>
              <w:rPr>
                <w:sz w:val="22"/>
                <w:szCs w:val="22"/>
              </w:rPr>
              <w:t xml:space="preserve"> funding is allocated to and retained by the school.</w:t>
            </w:r>
          </w:p>
          <w:p w14:paraId="44D1B533" w14:textId="77777777" w:rsidR="000A6674" w:rsidRDefault="000A6674" w:rsidP="00DA6EC4">
            <w:pPr>
              <w:rPr>
                <w:sz w:val="22"/>
                <w:szCs w:val="22"/>
              </w:rPr>
            </w:pPr>
          </w:p>
        </w:tc>
        <w:tc>
          <w:tcPr>
            <w:tcW w:w="2126" w:type="dxa"/>
          </w:tcPr>
          <w:p w14:paraId="3C212FB5" w14:textId="77777777" w:rsidR="00B73BBE" w:rsidRDefault="00DA6EC4" w:rsidP="00AC7860">
            <w:pPr>
              <w:rPr>
                <w:sz w:val="22"/>
                <w:szCs w:val="22"/>
              </w:rPr>
            </w:pPr>
            <w:r>
              <w:rPr>
                <w:sz w:val="22"/>
                <w:szCs w:val="22"/>
              </w:rPr>
              <w:t>None.</w:t>
            </w:r>
          </w:p>
        </w:tc>
        <w:tc>
          <w:tcPr>
            <w:tcW w:w="1985" w:type="dxa"/>
          </w:tcPr>
          <w:p w14:paraId="603005D9" w14:textId="1B47E1CB" w:rsidR="00B73BBE" w:rsidRDefault="00DA6EC4" w:rsidP="00AC7860">
            <w:pPr>
              <w:rPr>
                <w:sz w:val="22"/>
                <w:szCs w:val="22"/>
              </w:rPr>
            </w:pPr>
            <w:r>
              <w:rPr>
                <w:sz w:val="22"/>
                <w:szCs w:val="22"/>
              </w:rPr>
              <w:t>SE</w:t>
            </w:r>
            <w:r w:rsidR="00F47E8F">
              <w:rPr>
                <w:sz w:val="22"/>
                <w:szCs w:val="22"/>
              </w:rPr>
              <w:t xml:space="preserve">ND Funding </w:t>
            </w:r>
            <w:r w:rsidR="00180BF8">
              <w:rPr>
                <w:sz w:val="22"/>
                <w:szCs w:val="22"/>
              </w:rPr>
              <w:t>Floor support</w:t>
            </w:r>
            <w:r w:rsidR="00042C1A">
              <w:rPr>
                <w:sz w:val="22"/>
                <w:szCs w:val="22"/>
              </w:rPr>
              <w:t>s</w:t>
            </w:r>
            <w:r w:rsidR="00180BF8">
              <w:rPr>
                <w:sz w:val="22"/>
                <w:szCs w:val="22"/>
              </w:rPr>
              <w:t xml:space="preserve"> Element 2 cost in</w:t>
            </w:r>
            <w:r w:rsidR="00770C2F">
              <w:rPr>
                <w:sz w:val="22"/>
                <w:szCs w:val="22"/>
              </w:rPr>
              <w:t xml:space="preserve"> pre-16 provision</w:t>
            </w:r>
            <w:r w:rsidR="00180BF8">
              <w:rPr>
                <w:sz w:val="22"/>
                <w:szCs w:val="22"/>
              </w:rPr>
              <w:t>s</w:t>
            </w:r>
            <w:r w:rsidR="00770C2F">
              <w:rPr>
                <w:sz w:val="22"/>
                <w:szCs w:val="22"/>
              </w:rPr>
              <w:t xml:space="preserve"> </w:t>
            </w:r>
          </w:p>
          <w:p w14:paraId="2D5D4088" w14:textId="77777777" w:rsidR="00677053" w:rsidRDefault="00677053" w:rsidP="00AC7860">
            <w:pPr>
              <w:rPr>
                <w:sz w:val="22"/>
                <w:szCs w:val="22"/>
              </w:rPr>
            </w:pPr>
          </w:p>
          <w:p w14:paraId="6D816E0E" w14:textId="77777777" w:rsidR="00651453" w:rsidRDefault="00651453" w:rsidP="00AC7860">
            <w:pPr>
              <w:rPr>
                <w:sz w:val="22"/>
                <w:szCs w:val="22"/>
              </w:rPr>
            </w:pPr>
          </w:p>
          <w:p w14:paraId="19680853" w14:textId="77777777" w:rsidR="00651453" w:rsidRDefault="00651453" w:rsidP="00AC7860">
            <w:pPr>
              <w:rPr>
                <w:sz w:val="22"/>
                <w:szCs w:val="22"/>
              </w:rPr>
            </w:pPr>
          </w:p>
        </w:tc>
      </w:tr>
      <w:tr w:rsidR="000C6B6C" w14:paraId="42D8999B" w14:textId="77777777" w:rsidTr="00355873">
        <w:tc>
          <w:tcPr>
            <w:tcW w:w="2376" w:type="dxa"/>
          </w:tcPr>
          <w:p w14:paraId="667977E2" w14:textId="77777777" w:rsidR="000C6B6C" w:rsidRDefault="000C6B6C" w:rsidP="008D56E1">
            <w:pPr>
              <w:rPr>
                <w:sz w:val="22"/>
                <w:szCs w:val="22"/>
              </w:rPr>
            </w:pPr>
            <w:r w:rsidRPr="00677053">
              <w:rPr>
                <w:b/>
                <w:sz w:val="22"/>
                <w:szCs w:val="22"/>
              </w:rPr>
              <w:t>M</w:t>
            </w:r>
            <w:r w:rsidR="009F5C48" w:rsidRPr="00677053">
              <w:rPr>
                <w:b/>
                <w:sz w:val="22"/>
                <w:szCs w:val="22"/>
              </w:rPr>
              <w:t>ainstream early years</w:t>
            </w:r>
            <w:r w:rsidR="009F5C48">
              <w:rPr>
                <w:sz w:val="22"/>
                <w:szCs w:val="22"/>
              </w:rPr>
              <w:t xml:space="preserve"> (</w:t>
            </w:r>
            <w:r w:rsidR="00EA10F0">
              <w:rPr>
                <w:sz w:val="22"/>
                <w:szCs w:val="22"/>
              </w:rPr>
              <w:t xml:space="preserve">nursery </w:t>
            </w:r>
            <w:r w:rsidR="009F5C48">
              <w:rPr>
                <w:sz w:val="22"/>
                <w:szCs w:val="22"/>
              </w:rPr>
              <w:t>schools,</w:t>
            </w:r>
            <w:r w:rsidR="00926891">
              <w:rPr>
                <w:sz w:val="22"/>
                <w:szCs w:val="22"/>
              </w:rPr>
              <w:t xml:space="preserve"> </w:t>
            </w:r>
            <w:r>
              <w:rPr>
                <w:sz w:val="22"/>
                <w:szCs w:val="22"/>
              </w:rPr>
              <w:t>classes and PVI</w:t>
            </w:r>
            <w:r w:rsidR="00EA10F0">
              <w:rPr>
                <w:sz w:val="22"/>
                <w:szCs w:val="22"/>
              </w:rPr>
              <w:t xml:space="preserve"> providers</w:t>
            </w:r>
            <w:r>
              <w:rPr>
                <w:sz w:val="22"/>
                <w:szCs w:val="22"/>
              </w:rPr>
              <w:t>)</w:t>
            </w:r>
          </w:p>
        </w:tc>
        <w:tc>
          <w:tcPr>
            <w:tcW w:w="2268" w:type="dxa"/>
          </w:tcPr>
          <w:p w14:paraId="5CF908F8" w14:textId="77777777" w:rsidR="000C6B6C" w:rsidRDefault="00B22A7E" w:rsidP="00AC7860">
            <w:pPr>
              <w:rPr>
                <w:sz w:val="22"/>
                <w:szCs w:val="22"/>
              </w:rPr>
            </w:pPr>
            <w:r>
              <w:rPr>
                <w:sz w:val="22"/>
                <w:szCs w:val="22"/>
              </w:rPr>
              <w:t>Element 1</w:t>
            </w:r>
            <w:r w:rsidR="005D4E9A">
              <w:rPr>
                <w:sz w:val="22"/>
                <w:szCs w:val="22"/>
              </w:rPr>
              <w:t xml:space="preserve"> is</w:t>
            </w:r>
            <w:r>
              <w:rPr>
                <w:sz w:val="22"/>
                <w:szCs w:val="22"/>
              </w:rPr>
              <w:t xml:space="preserve"> included within the per-pupil funding allocated through the local EYSFF.</w:t>
            </w:r>
          </w:p>
          <w:p w14:paraId="58D9F333" w14:textId="77777777" w:rsidR="00B22A7E" w:rsidRDefault="00B22A7E" w:rsidP="00AC7860">
            <w:pPr>
              <w:rPr>
                <w:sz w:val="22"/>
                <w:szCs w:val="22"/>
              </w:rPr>
            </w:pPr>
          </w:p>
          <w:p w14:paraId="3C53D4F4" w14:textId="77777777" w:rsidR="00B22A7E" w:rsidRDefault="00252C11" w:rsidP="00AC7860">
            <w:pPr>
              <w:rPr>
                <w:sz w:val="22"/>
                <w:szCs w:val="22"/>
              </w:rPr>
            </w:pPr>
            <w:r>
              <w:rPr>
                <w:sz w:val="22"/>
                <w:szCs w:val="22"/>
              </w:rPr>
              <w:t>Early Years SEND Inclusion Grant</w:t>
            </w:r>
            <w:r w:rsidR="00B22A7E">
              <w:rPr>
                <w:sz w:val="22"/>
                <w:szCs w:val="22"/>
              </w:rPr>
              <w:t xml:space="preserve"> allocates Element 2 (£6,000) for eligible low level emerging SEND</w:t>
            </w:r>
            <w:r w:rsidR="00C66383">
              <w:rPr>
                <w:sz w:val="22"/>
                <w:szCs w:val="22"/>
              </w:rPr>
              <w:t xml:space="preserve"> (non-EHCP)</w:t>
            </w:r>
            <w:r w:rsidR="003173FD">
              <w:rPr>
                <w:sz w:val="22"/>
                <w:szCs w:val="22"/>
              </w:rPr>
              <w:t xml:space="preserve"> as agreed by Panel</w:t>
            </w:r>
            <w:r w:rsidR="00B22A7E">
              <w:rPr>
                <w:sz w:val="22"/>
                <w:szCs w:val="22"/>
              </w:rPr>
              <w:t>.</w:t>
            </w:r>
          </w:p>
          <w:p w14:paraId="771D5DEB" w14:textId="77777777" w:rsidR="00E709B8" w:rsidRDefault="00E709B8" w:rsidP="00AC7860">
            <w:pPr>
              <w:rPr>
                <w:sz w:val="22"/>
                <w:szCs w:val="22"/>
              </w:rPr>
            </w:pPr>
          </w:p>
          <w:p w14:paraId="3CA8F2F0" w14:textId="77777777" w:rsidR="00E709B8" w:rsidRDefault="00E709B8" w:rsidP="00AC7860">
            <w:pPr>
              <w:rPr>
                <w:sz w:val="22"/>
                <w:szCs w:val="22"/>
              </w:rPr>
            </w:pPr>
            <w:r>
              <w:rPr>
                <w:sz w:val="22"/>
                <w:szCs w:val="22"/>
              </w:rPr>
              <w:t>Element 2 is</w:t>
            </w:r>
            <w:r w:rsidR="00180BF8">
              <w:rPr>
                <w:sz w:val="22"/>
                <w:szCs w:val="22"/>
              </w:rPr>
              <w:t xml:space="preserve"> allocated to</w:t>
            </w:r>
            <w:r>
              <w:rPr>
                <w:sz w:val="22"/>
                <w:szCs w:val="22"/>
              </w:rPr>
              <w:t xml:space="preserve"> early years EHCPs in addition to </w:t>
            </w:r>
            <w:r w:rsidR="00D32993">
              <w:rPr>
                <w:sz w:val="22"/>
                <w:szCs w:val="22"/>
              </w:rPr>
              <w:t>top-up</w:t>
            </w:r>
            <w:r>
              <w:rPr>
                <w:sz w:val="22"/>
                <w:szCs w:val="22"/>
              </w:rPr>
              <w:t>.</w:t>
            </w:r>
          </w:p>
        </w:tc>
        <w:tc>
          <w:tcPr>
            <w:tcW w:w="2410" w:type="dxa"/>
          </w:tcPr>
          <w:p w14:paraId="387CB0B0" w14:textId="77777777" w:rsidR="00B22A7E" w:rsidRDefault="00B22A7E" w:rsidP="00B22A7E">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22931F10" w14:textId="77777777" w:rsidR="00B22A7E" w:rsidRDefault="00B22A7E" w:rsidP="00B22A7E">
            <w:pPr>
              <w:rPr>
                <w:sz w:val="22"/>
                <w:szCs w:val="22"/>
              </w:rPr>
            </w:pPr>
          </w:p>
          <w:p w14:paraId="011B7B76" w14:textId="77777777" w:rsidR="00926891" w:rsidRDefault="00926891" w:rsidP="00926891">
            <w:pPr>
              <w:rPr>
                <w:sz w:val="22"/>
                <w:szCs w:val="22"/>
              </w:rPr>
            </w:pPr>
            <w:r>
              <w:rPr>
                <w:sz w:val="22"/>
                <w:szCs w:val="22"/>
              </w:rPr>
              <w:t xml:space="preserve">Allocated in ‘real time’ during the year. </w:t>
            </w:r>
            <w:r w:rsidR="00FD3D0F">
              <w:rPr>
                <w:sz w:val="22"/>
                <w:szCs w:val="22"/>
              </w:rPr>
              <w:t>Changes</w:t>
            </w:r>
            <w:r>
              <w:rPr>
                <w:sz w:val="22"/>
                <w:szCs w:val="22"/>
              </w:rPr>
              <w:t xml:space="preserve"> for starters and leavers.</w:t>
            </w:r>
          </w:p>
          <w:p w14:paraId="165C1EC2" w14:textId="77777777" w:rsidR="00877D3E" w:rsidRDefault="00877D3E" w:rsidP="00877D3E">
            <w:pPr>
              <w:rPr>
                <w:sz w:val="22"/>
                <w:szCs w:val="22"/>
              </w:rPr>
            </w:pPr>
          </w:p>
          <w:p w14:paraId="6714B77E" w14:textId="77777777" w:rsidR="00877D3E" w:rsidRDefault="00877D3E" w:rsidP="00877D3E">
            <w:pPr>
              <w:rPr>
                <w:sz w:val="22"/>
                <w:szCs w:val="22"/>
              </w:rPr>
            </w:pPr>
          </w:p>
          <w:p w14:paraId="20D038E6" w14:textId="77777777" w:rsidR="00877D3E" w:rsidRDefault="00180BF8" w:rsidP="00877D3E">
            <w:pPr>
              <w:rPr>
                <w:sz w:val="22"/>
                <w:szCs w:val="22"/>
              </w:rPr>
            </w:pPr>
            <w:r>
              <w:rPr>
                <w:sz w:val="22"/>
                <w:szCs w:val="22"/>
              </w:rPr>
              <w:t xml:space="preserve">Uses the </w:t>
            </w:r>
            <w:r w:rsidR="00877D3E">
              <w:rPr>
                <w:sz w:val="22"/>
                <w:szCs w:val="22"/>
              </w:rPr>
              <w:t>Banded Model (see appendix 2).</w:t>
            </w:r>
          </w:p>
          <w:p w14:paraId="6F23A2B9" w14:textId="77777777" w:rsidR="002D7067" w:rsidRDefault="002D7067" w:rsidP="00B22A7E">
            <w:pPr>
              <w:rPr>
                <w:sz w:val="22"/>
                <w:szCs w:val="22"/>
              </w:rPr>
            </w:pPr>
          </w:p>
          <w:p w14:paraId="452684E0" w14:textId="77777777" w:rsidR="002D7067" w:rsidRDefault="002D7067" w:rsidP="002D7067">
            <w:pPr>
              <w:rPr>
                <w:sz w:val="22"/>
                <w:szCs w:val="22"/>
              </w:rPr>
            </w:pPr>
            <w:r>
              <w:rPr>
                <w:sz w:val="22"/>
                <w:szCs w:val="22"/>
              </w:rPr>
              <w:t xml:space="preserve">The </w:t>
            </w:r>
            <w:r w:rsidR="00D32993">
              <w:rPr>
                <w:sz w:val="22"/>
                <w:szCs w:val="22"/>
              </w:rPr>
              <w:t>top-up</w:t>
            </w:r>
            <w:r>
              <w:rPr>
                <w:sz w:val="22"/>
                <w:szCs w:val="22"/>
              </w:rPr>
              <w:t xml:space="preserve"> funding is allocated to and retained by the school or provider.</w:t>
            </w:r>
          </w:p>
          <w:p w14:paraId="71C44DFA" w14:textId="77777777" w:rsidR="00EA10F0" w:rsidRDefault="00EA10F0" w:rsidP="00B22A7E">
            <w:pPr>
              <w:rPr>
                <w:sz w:val="22"/>
                <w:szCs w:val="22"/>
              </w:rPr>
            </w:pPr>
          </w:p>
        </w:tc>
        <w:tc>
          <w:tcPr>
            <w:tcW w:w="2410" w:type="dxa"/>
          </w:tcPr>
          <w:p w14:paraId="12F07066" w14:textId="77777777" w:rsidR="000C6B6C" w:rsidRDefault="00B22A7E" w:rsidP="00AC7860">
            <w:pPr>
              <w:rPr>
                <w:sz w:val="22"/>
                <w:szCs w:val="22"/>
              </w:rPr>
            </w:pPr>
            <w:r>
              <w:rPr>
                <w:sz w:val="22"/>
                <w:szCs w:val="22"/>
              </w:rPr>
              <w:t>n/a</w:t>
            </w:r>
          </w:p>
        </w:tc>
        <w:tc>
          <w:tcPr>
            <w:tcW w:w="2126" w:type="dxa"/>
          </w:tcPr>
          <w:p w14:paraId="2D14C735" w14:textId="77777777" w:rsidR="000C6B6C" w:rsidRDefault="00B22A7E" w:rsidP="00AC7860">
            <w:pPr>
              <w:rPr>
                <w:sz w:val="22"/>
                <w:szCs w:val="22"/>
              </w:rPr>
            </w:pPr>
            <w:r>
              <w:rPr>
                <w:sz w:val="22"/>
                <w:szCs w:val="22"/>
              </w:rPr>
              <w:t>n/a</w:t>
            </w:r>
          </w:p>
        </w:tc>
        <w:tc>
          <w:tcPr>
            <w:tcW w:w="2126" w:type="dxa"/>
          </w:tcPr>
          <w:p w14:paraId="112B010B" w14:textId="77777777" w:rsidR="000C6B6C" w:rsidRDefault="00B22A7E" w:rsidP="00AC7860">
            <w:pPr>
              <w:rPr>
                <w:sz w:val="22"/>
                <w:szCs w:val="22"/>
              </w:rPr>
            </w:pPr>
            <w:r>
              <w:rPr>
                <w:sz w:val="22"/>
                <w:szCs w:val="22"/>
              </w:rPr>
              <w:t>None.</w:t>
            </w:r>
          </w:p>
        </w:tc>
        <w:tc>
          <w:tcPr>
            <w:tcW w:w="1985" w:type="dxa"/>
          </w:tcPr>
          <w:p w14:paraId="39D3ACBB" w14:textId="77777777" w:rsidR="000C6B6C" w:rsidRDefault="00B22A7E" w:rsidP="00AC7860">
            <w:pPr>
              <w:rPr>
                <w:sz w:val="22"/>
                <w:szCs w:val="22"/>
              </w:rPr>
            </w:pPr>
            <w:r>
              <w:rPr>
                <w:sz w:val="22"/>
                <w:szCs w:val="22"/>
              </w:rPr>
              <w:t>Early Years SEND Inclusion</w:t>
            </w:r>
            <w:r w:rsidR="00252C11">
              <w:rPr>
                <w:sz w:val="22"/>
                <w:szCs w:val="22"/>
              </w:rPr>
              <w:t xml:space="preserve"> Grant</w:t>
            </w:r>
            <w:r w:rsidR="00072AC0">
              <w:rPr>
                <w:sz w:val="22"/>
                <w:szCs w:val="22"/>
              </w:rPr>
              <w:t xml:space="preserve"> (EYIF)</w:t>
            </w:r>
            <w:r>
              <w:rPr>
                <w:sz w:val="22"/>
                <w:szCs w:val="22"/>
              </w:rPr>
              <w:t>.</w:t>
            </w:r>
          </w:p>
          <w:p w14:paraId="08966272" w14:textId="77777777" w:rsidR="00B22A7E" w:rsidRDefault="00B22A7E" w:rsidP="00AC7860">
            <w:pPr>
              <w:rPr>
                <w:sz w:val="22"/>
                <w:szCs w:val="22"/>
              </w:rPr>
            </w:pPr>
          </w:p>
          <w:p w14:paraId="0C4B6118" w14:textId="77777777" w:rsidR="00B22A7E" w:rsidRDefault="00B22A7E" w:rsidP="00AC7860">
            <w:pPr>
              <w:rPr>
                <w:sz w:val="22"/>
                <w:szCs w:val="22"/>
              </w:rPr>
            </w:pPr>
            <w:r>
              <w:rPr>
                <w:sz w:val="22"/>
                <w:szCs w:val="22"/>
              </w:rPr>
              <w:t>DAF Grant.</w:t>
            </w:r>
          </w:p>
        </w:tc>
      </w:tr>
      <w:tr w:rsidR="00B73BBE" w14:paraId="558796E2" w14:textId="77777777" w:rsidTr="00355873">
        <w:tc>
          <w:tcPr>
            <w:tcW w:w="2376" w:type="dxa"/>
          </w:tcPr>
          <w:p w14:paraId="0A899884" w14:textId="77777777" w:rsidR="00B73BBE" w:rsidRDefault="00973F70" w:rsidP="008D56E1">
            <w:pPr>
              <w:rPr>
                <w:sz w:val="22"/>
                <w:szCs w:val="22"/>
              </w:rPr>
            </w:pPr>
            <w:r w:rsidRPr="00677053">
              <w:rPr>
                <w:b/>
                <w:sz w:val="22"/>
                <w:szCs w:val="22"/>
              </w:rPr>
              <w:t>School-led Resourced Provisions</w:t>
            </w:r>
            <w:r w:rsidR="008D56E1">
              <w:rPr>
                <w:sz w:val="22"/>
                <w:szCs w:val="22"/>
              </w:rPr>
              <w:t xml:space="preserve"> (mainstream primary &amp; secondary)</w:t>
            </w:r>
          </w:p>
          <w:p w14:paraId="5BACC52F" w14:textId="77777777" w:rsidR="00EA10F0" w:rsidRDefault="00EA10F0" w:rsidP="008D56E1">
            <w:pPr>
              <w:rPr>
                <w:sz w:val="22"/>
                <w:szCs w:val="22"/>
              </w:rPr>
            </w:pPr>
          </w:p>
          <w:p w14:paraId="0E1595FC" w14:textId="77777777" w:rsidR="00EA10F0" w:rsidRPr="00252C11" w:rsidRDefault="00EA10F0" w:rsidP="008D56E1">
            <w:pPr>
              <w:rPr>
                <w:i/>
                <w:sz w:val="22"/>
                <w:szCs w:val="22"/>
              </w:rPr>
            </w:pPr>
          </w:p>
        </w:tc>
        <w:tc>
          <w:tcPr>
            <w:tcW w:w="2268" w:type="dxa"/>
          </w:tcPr>
          <w:p w14:paraId="6D27AC53" w14:textId="77777777" w:rsidR="00B73BBE" w:rsidRDefault="00841C4B" w:rsidP="00AC7860">
            <w:pPr>
              <w:rPr>
                <w:sz w:val="22"/>
                <w:szCs w:val="22"/>
              </w:rPr>
            </w:pPr>
            <w:r>
              <w:rPr>
                <w:sz w:val="22"/>
                <w:szCs w:val="22"/>
              </w:rPr>
              <w:t>Element</w:t>
            </w:r>
            <w:r w:rsidR="00EA10F0">
              <w:rPr>
                <w:sz w:val="22"/>
                <w:szCs w:val="22"/>
              </w:rPr>
              <w:t>s</w:t>
            </w:r>
            <w:r>
              <w:rPr>
                <w:sz w:val="22"/>
                <w:szCs w:val="22"/>
              </w:rPr>
              <w:t xml:space="preserve"> 1 &amp;</w:t>
            </w:r>
            <w:r w:rsidR="00EA10F0">
              <w:rPr>
                <w:sz w:val="22"/>
                <w:szCs w:val="22"/>
              </w:rPr>
              <w:t xml:space="preserve"> 2 are</w:t>
            </w:r>
            <w:r>
              <w:rPr>
                <w:sz w:val="22"/>
                <w:szCs w:val="22"/>
              </w:rPr>
              <w:t xml:space="preserve"> allocated through a combination of per-pupil funding allocated through the local school</w:t>
            </w:r>
            <w:r w:rsidR="00EA10F0">
              <w:rPr>
                <w:sz w:val="22"/>
                <w:szCs w:val="22"/>
              </w:rPr>
              <w:t>’</w:t>
            </w:r>
            <w:r>
              <w:rPr>
                <w:sz w:val="22"/>
                <w:szCs w:val="22"/>
              </w:rPr>
              <w:t>s funding formula</w:t>
            </w:r>
            <w:r w:rsidR="00EA10F0">
              <w:rPr>
                <w:sz w:val="22"/>
                <w:szCs w:val="22"/>
              </w:rPr>
              <w:t xml:space="preserve"> plus £6,000 per place for places</w:t>
            </w:r>
            <w:r>
              <w:rPr>
                <w:sz w:val="22"/>
                <w:szCs w:val="22"/>
              </w:rPr>
              <w:t xml:space="preserve"> occupied by pupils on roll in October</w:t>
            </w:r>
            <w:r w:rsidR="007A6EE0">
              <w:rPr>
                <w:sz w:val="22"/>
                <w:szCs w:val="22"/>
              </w:rPr>
              <w:t xml:space="preserve"> in the previous year</w:t>
            </w:r>
            <w:r>
              <w:rPr>
                <w:sz w:val="22"/>
                <w:szCs w:val="22"/>
              </w:rPr>
              <w:t xml:space="preserve"> and £10,000 per place for the </w:t>
            </w:r>
            <w:r w:rsidR="00EE6B5C">
              <w:rPr>
                <w:sz w:val="22"/>
                <w:szCs w:val="22"/>
              </w:rPr>
              <w:t>remainder of places agreed to be commissioned</w:t>
            </w:r>
            <w:r>
              <w:rPr>
                <w:sz w:val="22"/>
                <w:szCs w:val="22"/>
              </w:rPr>
              <w:t>.</w:t>
            </w:r>
          </w:p>
          <w:p w14:paraId="260AECCE" w14:textId="77777777" w:rsidR="00541AF9" w:rsidRDefault="00541AF9" w:rsidP="00AC7860">
            <w:pPr>
              <w:rPr>
                <w:sz w:val="22"/>
                <w:szCs w:val="22"/>
              </w:rPr>
            </w:pPr>
          </w:p>
          <w:p w14:paraId="0C2B7008" w14:textId="77777777" w:rsidR="003235F9" w:rsidRDefault="003235F9" w:rsidP="00AC7860">
            <w:pPr>
              <w:rPr>
                <w:sz w:val="22"/>
                <w:szCs w:val="22"/>
              </w:rPr>
            </w:pPr>
            <w:r>
              <w:rPr>
                <w:sz w:val="22"/>
                <w:szCs w:val="22"/>
              </w:rPr>
              <w:t>Additional place-funding is allocated in real time where occupancy is exceeded, with an end of year reconciliation to ensure no overall overpayment of additional place-led funding for the actual total composite occupancy across the year.</w:t>
            </w:r>
          </w:p>
          <w:p w14:paraId="7975AA89" w14:textId="77777777" w:rsidR="003235F9" w:rsidRDefault="003235F9" w:rsidP="00AC7860">
            <w:pPr>
              <w:rPr>
                <w:sz w:val="22"/>
                <w:szCs w:val="22"/>
              </w:rPr>
            </w:pPr>
          </w:p>
          <w:p w14:paraId="321C3C7C" w14:textId="77777777" w:rsidR="00541AF9" w:rsidRDefault="00541AF9" w:rsidP="00AC7860">
            <w:pPr>
              <w:rPr>
                <w:sz w:val="22"/>
                <w:szCs w:val="22"/>
              </w:rPr>
            </w:pPr>
            <w:r>
              <w:rPr>
                <w:sz w:val="22"/>
                <w:szCs w:val="22"/>
              </w:rPr>
              <w:t>Both Elements 1 and 2 are retained by the school.</w:t>
            </w:r>
          </w:p>
          <w:p w14:paraId="00493E7D" w14:textId="77777777" w:rsidR="00E5081E" w:rsidRDefault="00E5081E" w:rsidP="00AC7860">
            <w:pPr>
              <w:rPr>
                <w:sz w:val="22"/>
                <w:szCs w:val="22"/>
              </w:rPr>
            </w:pPr>
          </w:p>
          <w:p w14:paraId="14EEE1EF" w14:textId="77777777" w:rsidR="00E5081E" w:rsidRDefault="00E5081E" w:rsidP="00AC7860">
            <w:pPr>
              <w:rPr>
                <w:sz w:val="22"/>
                <w:szCs w:val="22"/>
              </w:rPr>
            </w:pPr>
            <w:r>
              <w:rPr>
                <w:sz w:val="22"/>
                <w:szCs w:val="22"/>
              </w:rPr>
              <w:t>Element 1 is set at a minimum of £4,000 per agreed place.</w:t>
            </w:r>
          </w:p>
          <w:p w14:paraId="2B5E3ADC" w14:textId="77777777" w:rsidR="00841C4B" w:rsidRDefault="00841C4B" w:rsidP="00AC7860">
            <w:pPr>
              <w:rPr>
                <w:sz w:val="22"/>
                <w:szCs w:val="22"/>
              </w:rPr>
            </w:pPr>
          </w:p>
        </w:tc>
        <w:tc>
          <w:tcPr>
            <w:tcW w:w="2410" w:type="dxa"/>
          </w:tcPr>
          <w:p w14:paraId="5904D222" w14:textId="77777777" w:rsidR="00841C4B" w:rsidRDefault="00841C4B" w:rsidP="00841C4B">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28FE47F5" w14:textId="77777777" w:rsidR="00841C4B" w:rsidRDefault="00841C4B" w:rsidP="00841C4B">
            <w:pPr>
              <w:rPr>
                <w:sz w:val="22"/>
                <w:szCs w:val="22"/>
              </w:rPr>
            </w:pPr>
          </w:p>
          <w:p w14:paraId="3E1B412B" w14:textId="77777777" w:rsidR="00C56DE0" w:rsidRDefault="00C56DE0" w:rsidP="00C56DE0">
            <w:pPr>
              <w:rPr>
                <w:sz w:val="22"/>
                <w:szCs w:val="22"/>
              </w:rPr>
            </w:pPr>
            <w:r>
              <w:rPr>
                <w:sz w:val="22"/>
                <w:szCs w:val="22"/>
              </w:rPr>
              <w:t xml:space="preserve">Allocated in ‘real time’ during the year. </w:t>
            </w:r>
            <w:r w:rsidR="00FD3D0F">
              <w:rPr>
                <w:sz w:val="22"/>
                <w:szCs w:val="22"/>
              </w:rPr>
              <w:t>Changes</w:t>
            </w:r>
            <w:r>
              <w:rPr>
                <w:sz w:val="22"/>
                <w:szCs w:val="22"/>
              </w:rPr>
              <w:t xml:space="preserve"> for starters and leavers.</w:t>
            </w:r>
          </w:p>
          <w:p w14:paraId="369FED2E" w14:textId="77777777" w:rsidR="00841C4B" w:rsidRDefault="00841C4B" w:rsidP="00841C4B">
            <w:pPr>
              <w:rPr>
                <w:sz w:val="22"/>
                <w:szCs w:val="22"/>
              </w:rPr>
            </w:pPr>
          </w:p>
          <w:p w14:paraId="305AE065" w14:textId="77777777" w:rsidR="00877D3E" w:rsidRDefault="00223F70" w:rsidP="00877D3E">
            <w:pPr>
              <w:rPr>
                <w:sz w:val="22"/>
                <w:szCs w:val="22"/>
              </w:rPr>
            </w:pPr>
            <w:r>
              <w:rPr>
                <w:sz w:val="22"/>
                <w:szCs w:val="22"/>
              </w:rPr>
              <w:t xml:space="preserve">Uses the </w:t>
            </w:r>
            <w:r w:rsidR="00877D3E">
              <w:rPr>
                <w:sz w:val="22"/>
                <w:szCs w:val="22"/>
              </w:rPr>
              <w:t>Banded Model (see appendix 2).</w:t>
            </w:r>
          </w:p>
          <w:p w14:paraId="295F3EA3" w14:textId="77777777" w:rsidR="00B73BBE" w:rsidRDefault="00B73BBE" w:rsidP="00841C4B">
            <w:pPr>
              <w:rPr>
                <w:sz w:val="22"/>
                <w:szCs w:val="22"/>
              </w:rPr>
            </w:pPr>
          </w:p>
          <w:p w14:paraId="45F2B2AE" w14:textId="77777777" w:rsidR="00541AF9" w:rsidRDefault="00541AF9" w:rsidP="00541AF9">
            <w:pPr>
              <w:rPr>
                <w:sz w:val="22"/>
                <w:szCs w:val="22"/>
              </w:rPr>
            </w:pPr>
            <w:r>
              <w:rPr>
                <w:sz w:val="22"/>
                <w:szCs w:val="22"/>
              </w:rPr>
              <w:t xml:space="preserve">The </w:t>
            </w:r>
            <w:r w:rsidR="00D32993">
              <w:rPr>
                <w:sz w:val="22"/>
                <w:szCs w:val="22"/>
              </w:rPr>
              <w:t>top-up</w:t>
            </w:r>
            <w:r>
              <w:rPr>
                <w:sz w:val="22"/>
                <w:szCs w:val="22"/>
              </w:rPr>
              <w:t xml:space="preserve"> funding is allocated to</w:t>
            </w:r>
            <w:r w:rsidR="004F4F14">
              <w:rPr>
                <w:sz w:val="22"/>
                <w:szCs w:val="22"/>
              </w:rPr>
              <w:t xml:space="preserve"> and retained by</w:t>
            </w:r>
            <w:r>
              <w:rPr>
                <w:sz w:val="22"/>
                <w:szCs w:val="22"/>
              </w:rPr>
              <w:t xml:space="preserve"> the school.</w:t>
            </w:r>
          </w:p>
          <w:p w14:paraId="0ABD9149" w14:textId="77777777" w:rsidR="00541AF9" w:rsidRDefault="00541AF9" w:rsidP="00841C4B">
            <w:pPr>
              <w:rPr>
                <w:sz w:val="22"/>
                <w:szCs w:val="22"/>
              </w:rPr>
            </w:pPr>
          </w:p>
        </w:tc>
        <w:tc>
          <w:tcPr>
            <w:tcW w:w="2410" w:type="dxa"/>
          </w:tcPr>
          <w:p w14:paraId="257B495B" w14:textId="77777777" w:rsidR="00B73BBE" w:rsidRDefault="00841C4B" w:rsidP="00AC7860">
            <w:pPr>
              <w:rPr>
                <w:sz w:val="22"/>
                <w:szCs w:val="22"/>
              </w:rPr>
            </w:pPr>
            <w:r>
              <w:rPr>
                <w:sz w:val="22"/>
                <w:szCs w:val="22"/>
              </w:rPr>
              <w:t>Element 1 (based on the 16-19 national funding formula) plus Element 2 (£6,000) based on t</w:t>
            </w:r>
            <w:r w:rsidR="00DD27BF">
              <w:rPr>
                <w:sz w:val="22"/>
                <w:szCs w:val="22"/>
              </w:rPr>
              <w:t>he number of places to be commissioned</w:t>
            </w:r>
            <w:r>
              <w:rPr>
                <w:sz w:val="22"/>
                <w:szCs w:val="22"/>
              </w:rPr>
              <w:t>.</w:t>
            </w:r>
          </w:p>
          <w:p w14:paraId="05B9E581" w14:textId="77777777" w:rsidR="004F4F14" w:rsidRDefault="004F4F14" w:rsidP="00AC7860">
            <w:pPr>
              <w:rPr>
                <w:sz w:val="22"/>
                <w:szCs w:val="22"/>
              </w:rPr>
            </w:pPr>
          </w:p>
          <w:p w14:paraId="47A6373E" w14:textId="77777777" w:rsidR="004F4F14" w:rsidRDefault="004F4F14" w:rsidP="004F4F14">
            <w:pPr>
              <w:rPr>
                <w:sz w:val="22"/>
                <w:szCs w:val="22"/>
              </w:rPr>
            </w:pPr>
            <w:r>
              <w:rPr>
                <w:sz w:val="22"/>
                <w:szCs w:val="22"/>
              </w:rPr>
              <w:t>Both Elements 1 and 2 are retained by the school.</w:t>
            </w:r>
          </w:p>
          <w:p w14:paraId="4EA213E6" w14:textId="77777777" w:rsidR="004F4F14" w:rsidRDefault="004F4F14" w:rsidP="00AC7860">
            <w:pPr>
              <w:rPr>
                <w:sz w:val="22"/>
                <w:szCs w:val="22"/>
              </w:rPr>
            </w:pPr>
          </w:p>
        </w:tc>
        <w:tc>
          <w:tcPr>
            <w:tcW w:w="2126" w:type="dxa"/>
          </w:tcPr>
          <w:p w14:paraId="3AE2383F" w14:textId="77777777" w:rsidR="00841C4B" w:rsidRDefault="00841C4B" w:rsidP="00841C4B">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13948CA0" w14:textId="77777777" w:rsidR="00841C4B" w:rsidRDefault="00841C4B" w:rsidP="00841C4B">
            <w:pPr>
              <w:rPr>
                <w:sz w:val="22"/>
                <w:szCs w:val="22"/>
              </w:rPr>
            </w:pPr>
          </w:p>
          <w:p w14:paraId="44E39165" w14:textId="77777777" w:rsidR="00C56DE0" w:rsidRDefault="00C56DE0" w:rsidP="00C56DE0">
            <w:pPr>
              <w:rPr>
                <w:sz w:val="22"/>
                <w:szCs w:val="22"/>
              </w:rPr>
            </w:pPr>
            <w:r>
              <w:rPr>
                <w:sz w:val="22"/>
                <w:szCs w:val="22"/>
              </w:rPr>
              <w:t xml:space="preserve">Allocated in ‘real time’ during the year. </w:t>
            </w:r>
            <w:r w:rsidR="00FD3D0F">
              <w:rPr>
                <w:sz w:val="22"/>
                <w:szCs w:val="22"/>
              </w:rPr>
              <w:t>Changes</w:t>
            </w:r>
            <w:r>
              <w:rPr>
                <w:sz w:val="22"/>
                <w:szCs w:val="22"/>
              </w:rPr>
              <w:t xml:space="preserve"> for starters and leavers.</w:t>
            </w:r>
          </w:p>
          <w:p w14:paraId="694D9D2A" w14:textId="77777777" w:rsidR="00841C4B" w:rsidRDefault="00841C4B" w:rsidP="00841C4B">
            <w:pPr>
              <w:rPr>
                <w:sz w:val="22"/>
                <w:szCs w:val="22"/>
              </w:rPr>
            </w:pPr>
          </w:p>
          <w:p w14:paraId="61934D6A" w14:textId="77777777" w:rsidR="00877D3E" w:rsidRDefault="00223F70" w:rsidP="00877D3E">
            <w:pPr>
              <w:rPr>
                <w:sz w:val="22"/>
                <w:szCs w:val="22"/>
              </w:rPr>
            </w:pPr>
            <w:r>
              <w:rPr>
                <w:sz w:val="22"/>
                <w:szCs w:val="22"/>
              </w:rPr>
              <w:t xml:space="preserve">Uses the </w:t>
            </w:r>
            <w:r w:rsidR="00877D3E">
              <w:rPr>
                <w:sz w:val="22"/>
                <w:szCs w:val="22"/>
              </w:rPr>
              <w:t>Banded Model (see appendix 2).</w:t>
            </w:r>
          </w:p>
          <w:p w14:paraId="6B0DD0B1" w14:textId="77777777" w:rsidR="00B73BBE" w:rsidRDefault="00B73BBE" w:rsidP="00841C4B">
            <w:pPr>
              <w:rPr>
                <w:sz w:val="22"/>
                <w:szCs w:val="22"/>
              </w:rPr>
            </w:pPr>
          </w:p>
          <w:p w14:paraId="0C0C19CE" w14:textId="77777777" w:rsidR="004F4F14" w:rsidRDefault="004F4F14" w:rsidP="004F4F14">
            <w:pPr>
              <w:rPr>
                <w:sz w:val="22"/>
                <w:szCs w:val="22"/>
              </w:rPr>
            </w:pPr>
            <w:r>
              <w:rPr>
                <w:sz w:val="22"/>
                <w:szCs w:val="22"/>
              </w:rPr>
              <w:t xml:space="preserve">The </w:t>
            </w:r>
            <w:r w:rsidR="00D32993">
              <w:rPr>
                <w:sz w:val="22"/>
                <w:szCs w:val="22"/>
              </w:rPr>
              <w:t>top-up</w:t>
            </w:r>
            <w:r>
              <w:rPr>
                <w:sz w:val="22"/>
                <w:szCs w:val="22"/>
              </w:rPr>
              <w:t xml:space="preserve"> funding is allocated to and retained by the school.</w:t>
            </w:r>
          </w:p>
          <w:p w14:paraId="47469EEB" w14:textId="77777777" w:rsidR="004F4F14" w:rsidRDefault="004F4F14" w:rsidP="00841C4B">
            <w:pPr>
              <w:rPr>
                <w:sz w:val="22"/>
                <w:szCs w:val="22"/>
              </w:rPr>
            </w:pPr>
          </w:p>
          <w:p w14:paraId="7B4B8837" w14:textId="77777777" w:rsidR="002D7067" w:rsidRDefault="002D7067" w:rsidP="00841C4B">
            <w:pPr>
              <w:rPr>
                <w:sz w:val="22"/>
                <w:szCs w:val="22"/>
              </w:rPr>
            </w:pPr>
          </w:p>
          <w:p w14:paraId="1BB5A6EF" w14:textId="77777777" w:rsidR="002D7067" w:rsidRDefault="002D7067" w:rsidP="00841C4B">
            <w:pPr>
              <w:rPr>
                <w:sz w:val="22"/>
                <w:szCs w:val="22"/>
              </w:rPr>
            </w:pPr>
          </w:p>
        </w:tc>
        <w:tc>
          <w:tcPr>
            <w:tcW w:w="2126" w:type="dxa"/>
          </w:tcPr>
          <w:p w14:paraId="22D1E988" w14:textId="77777777" w:rsidR="00B73BBE" w:rsidRDefault="006A3369" w:rsidP="00AC7860">
            <w:pPr>
              <w:rPr>
                <w:sz w:val="22"/>
                <w:szCs w:val="22"/>
              </w:rPr>
            </w:pPr>
            <w:r>
              <w:rPr>
                <w:sz w:val="22"/>
                <w:szCs w:val="22"/>
              </w:rPr>
              <w:t>Small Setting Protection.</w:t>
            </w:r>
          </w:p>
          <w:p w14:paraId="69F8BD8D" w14:textId="77777777" w:rsidR="006A3369" w:rsidRDefault="006A3369" w:rsidP="00AC7860">
            <w:pPr>
              <w:rPr>
                <w:sz w:val="22"/>
                <w:szCs w:val="22"/>
              </w:rPr>
            </w:pPr>
          </w:p>
          <w:p w14:paraId="068CBE71" w14:textId="77777777" w:rsidR="006A3369" w:rsidRDefault="006A3369" w:rsidP="00AC7860">
            <w:pPr>
              <w:rPr>
                <w:sz w:val="22"/>
                <w:szCs w:val="22"/>
              </w:rPr>
            </w:pPr>
            <w:r>
              <w:rPr>
                <w:sz w:val="22"/>
                <w:szCs w:val="22"/>
              </w:rPr>
              <w:t>3% Cash Budget Protection.</w:t>
            </w:r>
          </w:p>
          <w:p w14:paraId="60729DF6" w14:textId="77777777" w:rsidR="00FA388E" w:rsidRDefault="00FA388E" w:rsidP="00AC7860">
            <w:pPr>
              <w:rPr>
                <w:sz w:val="22"/>
                <w:szCs w:val="22"/>
              </w:rPr>
            </w:pPr>
          </w:p>
          <w:p w14:paraId="2822C6F4" w14:textId="77777777" w:rsidR="00FA388E" w:rsidRDefault="00FA388E" w:rsidP="00FA388E">
            <w:pPr>
              <w:rPr>
                <w:sz w:val="22"/>
                <w:szCs w:val="22"/>
              </w:rPr>
            </w:pPr>
            <w:r>
              <w:rPr>
                <w:sz w:val="22"/>
                <w:szCs w:val="22"/>
              </w:rPr>
              <w:t xml:space="preserve">See appendix 3. </w:t>
            </w:r>
          </w:p>
          <w:p w14:paraId="59373749" w14:textId="77777777" w:rsidR="00FA388E" w:rsidRDefault="00FA388E" w:rsidP="00AC7860">
            <w:pPr>
              <w:rPr>
                <w:sz w:val="22"/>
                <w:szCs w:val="22"/>
              </w:rPr>
            </w:pPr>
          </w:p>
        </w:tc>
        <w:tc>
          <w:tcPr>
            <w:tcW w:w="1985" w:type="dxa"/>
          </w:tcPr>
          <w:p w14:paraId="3650D1A6" w14:textId="582FFF5E" w:rsidR="00B73BBE" w:rsidRDefault="00C67C7A" w:rsidP="00AC7860">
            <w:pPr>
              <w:rPr>
                <w:sz w:val="22"/>
                <w:szCs w:val="22"/>
              </w:rPr>
            </w:pPr>
            <w:r>
              <w:rPr>
                <w:sz w:val="22"/>
                <w:szCs w:val="22"/>
              </w:rPr>
              <w:t>Teacher Pay and Teacher Pensions Grants</w:t>
            </w:r>
          </w:p>
        </w:tc>
      </w:tr>
      <w:tr w:rsidR="00B73BBE" w14:paraId="5C45BEF5" w14:textId="77777777" w:rsidTr="00355873">
        <w:tc>
          <w:tcPr>
            <w:tcW w:w="2376" w:type="dxa"/>
          </w:tcPr>
          <w:p w14:paraId="4DB4442D" w14:textId="77777777" w:rsidR="00964A10" w:rsidRDefault="00964A10" w:rsidP="008D56E1">
            <w:pPr>
              <w:rPr>
                <w:sz w:val="22"/>
                <w:szCs w:val="22"/>
              </w:rPr>
            </w:pPr>
            <w:r w:rsidRPr="00677053">
              <w:rPr>
                <w:b/>
                <w:sz w:val="22"/>
                <w:szCs w:val="22"/>
              </w:rPr>
              <w:t>Local Authority-led Sensory Need R</w:t>
            </w:r>
            <w:r w:rsidR="00973F70" w:rsidRPr="00677053">
              <w:rPr>
                <w:b/>
                <w:sz w:val="22"/>
                <w:szCs w:val="22"/>
              </w:rPr>
              <w:t>esourced Provisions</w:t>
            </w:r>
            <w:r w:rsidR="008D56E1">
              <w:rPr>
                <w:sz w:val="22"/>
                <w:szCs w:val="22"/>
              </w:rPr>
              <w:t xml:space="preserve"> (mainstream primary &amp; secondary)</w:t>
            </w:r>
            <w:r>
              <w:rPr>
                <w:sz w:val="22"/>
                <w:szCs w:val="22"/>
              </w:rPr>
              <w:t>.</w:t>
            </w:r>
          </w:p>
          <w:p w14:paraId="17A857A7" w14:textId="77777777" w:rsidR="00964A10" w:rsidRDefault="00964A10" w:rsidP="008D56E1">
            <w:pPr>
              <w:rPr>
                <w:sz w:val="22"/>
                <w:szCs w:val="22"/>
              </w:rPr>
            </w:pPr>
          </w:p>
          <w:p w14:paraId="30376B53" w14:textId="77777777" w:rsidR="005A0EA2" w:rsidRDefault="005A0EA2" w:rsidP="008D56E1">
            <w:pPr>
              <w:rPr>
                <w:sz w:val="22"/>
                <w:szCs w:val="22"/>
              </w:rPr>
            </w:pPr>
          </w:p>
          <w:p w14:paraId="591D17D5" w14:textId="77777777" w:rsidR="005A0EA2" w:rsidRDefault="000C1025" w:rsidP="008D56E1">
            <w:pPr>
              <w:rPr>
                <w:sz w:val="22"/>
                <w:szCs w:val="22"/>
              </w:rPr>
            </w:pPr>
            <w:r>
              <w:rPr>
                <w:sz w:val="22"/>
                <w:szCs w:val="22"/>
              </w:rPr>
              <w:t>.</w:t>
            </w:r>
          </w:p>
        </w:tc>
        <w:tc>
          <w:tcPr>
            <w:tcW w:w="2268" w:type="dxa"/>
          </w:tcPr>
          <w:p w14:paraId="4C28278F" w14:textId="77777777" w:rsidR="006A3369" w:rsidRDefault="006A3369" w:rsidP="006A3369">
            <w:pPr>
              <w:rPr>
                <w:sz w:val="22"/>
                <w:szCs w:val="22"/>
              </w:rPr>
            </w:pPr>
            <w:r>
              <w:rPr>
                <w:sz w:val="22"/>
                <w:szCs w:val="22"/>
              </w:rPr>
              <w:t>Element</w:t>
            </w:r>
            <w:r w:rsidR="00964A10">
              <w:rPr>
                <w:sz w:val="22"/>
                <w:szCs w:val="22"/>
              </w:rPr>
              <w:t>s 1 &amp; 2 are</w:t>
            </w:r>
            <w:r>
              <w:rPr>
                <w:sz w:val="22"/>
                <w:szCs w:val="22"/>
              </w:rPr>
              <w:t xml:space="preserve"> allocated through a combination of per-pupil funding allocated through the local school</w:t>
            </w:r>
            <w:r w:rsidR="00EA10F0">
              <w:rPr>
                <w:sz w:val="22"/>
                <w:szCs w:val="22"/>
              </w:rPr>
              <w:t>’</w:t>
            </w:r>
            <w:r>
              <w:rPr>
                <w:sz w:val="22"/>
                <w:szCs w:val="22"/>
              </w:rPr>
              <w:t>s funding formula plus £6,000 per place for those occupied by pupils on roll in October</w:t>
            </w:r>
            <w:r w:rsidR="00964A10">
              <w:rPr>
                <w:sz w:val="22"/>
                <w:szCs w:val="22"/>
              </w:rPr>
              <w:t xml:space="preserve"> in the previous year</w:t>
            </w:r>
            <w:r>
              <w:rPr>
                <w:sz w:val="22"/>
                <w:szCs w:val="22"/>
              </w:rPr>
              <w:t xml:space="preserve"> and £10,000 per place for the </w:t>
            </w:r>
            <w:r w:rsidR="00964A10">
              <w:rPr>
                <w:sz w:val="22"/>
                <w:szCs w:val="22"/>
              </w:rPr>
              <w:t>remainder of places agreed to be commissioned</w:t>
            </w:r>
            <w:r>
              <w:rPr>
                <w:sz w:val="22"/>
                <w:szCs w:val="22"/>
              </w:rPr>
              <w:t>.</w:t>
            </w:r>
          </w:p>
          <w:p w14:paraId="3B828958" w14:textId="77777777" w:rsidR="00B73BBE" w:rsidRDefault="00B73BBE" w:rsidP="00AC7860">
            <w:pPr>
              <w:rPr>
                <w:sz w:val="22"/>
                <w:szCs w:val="22"/>
              </w:rPr>
            </w:pPr>
          </w:p>
          <w:p w14:paraId="19DBBA21" w14:textId="77777777" w:rsidR="00ED0A54" w:rsidRDefault="00964A10" w:rsidP="00964A10">
            <w:pPr>
              <w:rPr>
                <w:sz w:val="22"/>
                <w:szCs w:val="22"/>
              </w:rPr>
            </w:pPr>
            <w:r>
              <w:rPr>
                <w:sz w:val="22"/>
                <w:szCs w:val="22"/>
              </w:rPr>
              <w:t>The</w:t>
            </w:r>
            <w:r w:rsidR="00ED0A54">
              <w:rPr>
                <w:sz w:val="22"/>
                <w:szCs w:val="22"/>
              </w:rPr>
              <w:t xml:space="preserve"> host school retains Element 1</w:t>
            </w:r>
            <w:r w:rsidR="009D6A3B">
              <w:rPr>
                <w:sz w:val="22"/>
                <w:szCs w:val="22"/>
              </w:rPr>
              <w:t>, set at a minimum of £4,000 per</w:t>
            </w:r>
            <w:r w:rsidR="00ED0A54">
              <w:rPr>
                <w:sz w:val="22"/>
                <w:szCs w:val="22"/>
              </w:rPr>
              <w:t xml:space="preserve"> </w:t>
            </w:r>
            <w:r w:rsidR="00E5081E">
              <w:rPr>
                <w:sz w:val="22"/>
                <w:szCs w:val="22"/>
              </w:rPr>
              <w:t xml:space="preserve">agreed </w:t>
            </w:r>
            <w:r w:rsidR="00ED0A54">
              <w:rPr>
                <w:sz w:val="22"/>
                <w:szCs w:val="22"/>
              </w:rPr>
              <w:t xml:space="preserve">place. </w:t>
            </w:r>
          </w:p>
          <w:p w14:paraId="1D805091" w14:textId="77777777" w:rsidR="00ED0A54" w:rsidRDefault="00ED0A54" w:rsidP="00964A10">
            <w:pPr>
              <w:rPr>
                <w:sz w:val="22"/>
                <w:szCs w:val="22"/>
              </w:rPr>
            </w:pPr>
          </w:p>
          <w:p w14:paraId="5E9F9694" w14:textId="77777777" w:rsidR="00964A10" w:rsidRDefault="00964A10" w:rsidP="00964A10">
            <w:pPr>
              <w:rPr>
                <w:sz w:val="22"/>
                <w:szCs w:val="22"/>
              </w:rPr>
            </w:pPr>
            <w:r>
              <w:rPr>
                <w:sz w:val="22"/>
                <w:szCs w:val="22"/>
              </w:rPr>
              <w:t>Element 2 funding is retained by Bradford Council.</w:t>
            </w:r>
            <w:r w:rsidR="00E83FEC">
              <w:rPr>
                <w:sz w:val="22"/>
                <w:szCs w:val="22"/>
              </w:rPr>
              <w:t xml:space="preserve"> This currently requires </w:t>
            </w:r>
            <w:r w:rsidR="00694B60">
              <w:rPr>
                <w:sz w:val="22"/>
                <w:szCs w:val="22"/>
              </w:rPr>
              <w:t xml:space="preserve">host </w:t>
            </w:r>
            <w:r w:rsidR="00E83FEC">
              <w:rPr>
                <w:sz w:val="22"/>
                <w:szCs w:val="22"/>
              </w:rPr>
              <w:t>schools to repa</w:t>
            </w:r>
            <w:r w:rsidR="00910023">
              <w:rPr>
                <w:sz w:val="22"/>
                <w:szCs w:val="22"/>
              </w:rPr>
              <w:t>y Element 2 back to the Council.</w:t>
            </w:r>
          </w:p>
          <w:p w14:paraId="2B6085AE" w14:textId="77777777" w:rsidR="003235F9" w:rsidRDefault="003235F9" w:rsidP="003235F9">
            <w:pPr>
              <w:rPr>
                <w:sz w:val="22"/>
                <w:szCs w:val="22"/>
              </w:rPr>
            </w:pPr>
            <w:r>
              <w:rPr>
                <w:sz w:val="22"/>
                <w:szCs w:val="22"/>
              </w:rPr>
              <w:t>Additional place-funding is allocated in real time where occupancy is exceeded, with an end of year reconciliation to ensure no overall overpayment of additional place-led funding for the actual total composite occupancy across the year.</w:t>
            </w:r>
          </w:p>
          <w:p w14:paraId="30F53CDA" w14:textId="77777777" w:rsidR="00964A10" w:rsidRDefault="00964A10" w:rsidP="00AC7860">
            <w:pPr>
              <w:rPr>
                <w:sz w:val="22"/>
                <w:szCs w:val="22"/>
              </w:rPr>
            </w:pPr>
          </w:p>
        </w:tc>
        <w:tc>
          <w:tcPr>
            <w:tcW w:w="2410" w:type="dxa"/>
          </w:tcPr>
          <w:p w14:paraId="4B2C4C77" w14:textId="77777777" w:rsidR="006A3369" w:rsidRDefault="006A3369" w:rsidP="006A3369">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7D7E3FD4" w14:textId="77777777" w:rsidR="006A3369" w:rsidRDefault="006A3369" w:rsidP="006A3369">
            <w:pPr>
              <w:rPr>
                <w:sz w:val="22"/>
                <w:szCs w:val="22"/>
              </w:rPr>
            </w:pPr>
          </w:p>
          <w:p w14:paraId="6F63969B" w14:textId="77777777" w:rsidR="00C56DE0" w:rsidRDefault="00C56DE0" w:rsidP="00C56DE0">
            <w:pPr>
              <w:rPr>
                <w:sz w:val="22"/>
                <w:szCs w:val="22"/>
              </w:rPr>
            </w:pPr>
            <w:r>
              <w:rPr>
                <w:sz w:val="22"/>
                <w:szCs w:val="22"/>
              </w:rPr>
              <w:t xml:space="preserve">Allocated in ‘real time’ during the year. </w:t>
            </w:r>
            <w:r w:rsidR="00FD3D0F">
              <w:rPr>
                <w:sz w:val="22"/>
                <w:szCs w:val="22"/>
              </w:rPr>
              <w:t>Changes</w:t>
            </w:r>
            <w:r>
              <w:rPr>
                <w:sz w:val="22"/>
                <w:szCs w:val="22"/>
              </w:rPr>
              <w:t xml:space="preserve"> for starters and leavers.</w:t>
            </w:r>
          </w:p>
          <w:p w14:paraId="5A95BC68" w14:textId="77777777" w:rsidR="006A3369" w:rsidRDefault="006A3369" w:rsidP="006A3369">
            <w:pPr>
              <w:rPr>
                <w:sz w:val="22"/>
                <w:szCs w:val="22"/>
              </w:rPr>
            </w:pPr>
          </w:p>
          <w:p w14:paraId="3D69C49D" w14:textId="77777777" w:rsidR="00877D3E" w:rsidRDefault="00223F70" w:rsidP="00877D3E">
            <w:pPr>
              <w:rPr>
                <w:sz w:val="22"/>
                <w:szCs w:val="22"/>
              </w:rPr>
            </w:pPr>
            <w:r>
              <w:rPr>
                <w:sz w:val="22"/>
                <w:szCs w:val="22"/>
              </w:rPr>
              <w:t xml:space="preserve">Uses the </w:t>
            </w:r>
            <w:r w:rsidR="00877D3E">
              <w:rPr>
                <w:sz w:val="22"/>
                <w:szCs w:val="22"/>
              </w:rPr>
              <w:t>Banded Model (see appendix 2).</w:t>
            </w:r>
          </w:p>
          <w:p w14:paraId="1DA884EB" w14:textId="77777777" w:rsidR="00964A10" w:rsidRDefault="00964A10" w:rsidP="00964A10">
            <w:pPr>
              <w:rPr>
                <w:sz w:val="22"/>
                <w:szCs w:val="22"/>
              </w:rPr>
            </w:pPr>
          </w:p>
          <w:p w14:paraId="64FFE297" w14:textId="77777777" w:rsidR="00964A10" w:rsidRDefault="00964A10" w:rsidP="00964A10">
            <w:pPr>
              <w:rPr>
                <w:sz w:val="22"/>
                <w:szCs w:val="22"/>
              </w:rPr>
            </w:pPr>
            <w:r>
              <w:rPr>
                <w:sz w:val="22"/>
                <w:szCs w:val="22"/>
              </w:rPr>
              <w:t xml:space="preserve">The </w:t>
            </w:r>
            <w:r w:rsidR="00D32993">
              <w:rPr>
                <w:sz w:val="22"/>
                <w:szCs w:val="22"/>
              </w:rPr>
              <w:t>top-up</w:t>
            </w:r>
            <w:r>
              <w:rPr>
                <w:sz w:val="22"/>
                <w:szCs w:val="22"/>
              </w:rPr>
              <w:t xml:space="preserve"> funding is retained by Bradford Council.</w:t>
            </w:r>
          </w:p>
          <w:p w14:paraId="47A4B60A" w14:textId="77777777" w:rsidR="00B73BBE" w:rsidRDefault="00B73BBE" w:rsidP="006A3369">
            <w:pPr>
              <w:rPr>
                <w:sz w:val="22"/>
                <w:szCs w:val="22"/>
              </w:rPr>
            </w:pPr>
          </w:p>
        </w:tc>
        <w:tc>
          <w:tcPr>
            <w:tcW w:w="2410" w:type="dxa"/>
          </w:tcPr>
          <w:p w14:paraId="14E868CA" w14:textId="77777777" w:rsidR="00877D3E" w:rsidRDefault="006A3369" w:rsidP="00AC7860">
            <w:pPr>
              <w:rPr>
                <w:sz w:val="22"/>
                <w:szCs w:val="22"/>
              </w:rPr>
            </w:pPr>
            <w:r>
              <w:rPr>
                <w:sz w:val="22"/>
                <w:szCs w:val="22"/>
              </w:rPr>
              <w:t xml:space="preserve">Element 1 (based on the 16-19 national funding formula) plus </w:t>
            </w:r>
          </w:p>
          <w:p w14:paraId="3308C7FA" w14:textId="77777777" w:rsidR="00B73BBE" w:rsidRDefault="006A3369" w:rsidP="00AC7860">
            <w:pPr>
              <w:rPr>
                <w:sz w:val="22"/>
                <w:szCs w:val="22"/>
              </w:rPr>
            </w:pPr>
            <w:r>
              <w:rPr>
                <w:sz w:val="22"/>
                <w:szCs w:val="22"/>
              </w:rPr>
              <w:t>Element 2 (£6,000) based on t</w:t>
            </w:r>
            <w:r w:rsidR="009D6A3B">
              <w:rPr>
                <w:sz w:val="22"/>
                <w:szCs w:val="22"/>
              </w:rPr>
              <w:t>he number of places to be commissioned</w:t>
            </w:r>
            <w:r>
              <w:rPr>
                <w:sz w:val="22"/>
                <w:szCs w:val="22"/>
              </w:rPr>
              <w:t>.</w:t>
            </w:r>
          </w:p>
          <w:p w14:paraId="72EC9D4E" w14:textId="77777777" w:rsidR="007426B7" w:rsidRDefault="007426B7" w:rsidP="00AC7860">
            <w:pPr>
              <w:rPr>
                <w:sz w:val="22"/>
                <w:szCs w:val="22"/>
              </w:rPr>
            </w:pPr>
          </w:p>
          <w:p w14:paraId="7A5BB138" w14:textId="77777777" w:rsidR="007426B7" w:rsidRDefault="007426B7" w:rsidP="007426B7">
            <w:pPr>
              <w:rPr>
                <w:sz w:val="22"/>
                <w:szCs w:val="22"/>
              </w:rPr>
            </w:pPr>
            <w:r>
              <w:rPr>
                <w:sz w:val="22"/>
                <w:szCs w:val="22"/>
              </w:rPr>
              <w:t xml:space="preserve">The host school retains Element 1. </w:t>
            </w:r>
          </w:p>
          <w:p w14:paraId="2AAAA329" w14:textId="77777777" w:rsidR="007426B7" w:rsidRDefault="007426B7" w:rsidP="007426B7">
            <w:pPr>
              <w:rPr>
                <w:sz w:val="22"/>
                <w:szCs w:val="22"/>
              </w:rPr>
            </w:pPr>
          </w:p>
          <w:p w14:paraId="6F42326F" w14:textId="77777777" w:rsidR="00E83FEC" w:rsidRDefault="00E83FEC" w:rsidP="00E83FEC">
            <w:pPr>
              <w:rPr>
                <w:sz w:val="22"/>
                <w:szCs w:val="22"/>
              </w:rPr>
            </w:pPr>
            <w:r>
              <w:rPr>
                <w:sz w:val="22"/>
                <w:szCs w:val="22"/>
              </w:rPr>
              <w:t xml:space="preserve">Element 2 funding is retained by Bradford Council. This currently requires </w:t>
            </w:r>
            <w:r w:rsidR="005437A8">
              <w:rPr>
                <w:sz w:val="22"/>
                <w:szCs w:val="22"/>
              </w:rPr>
              <w:t xml:space="preserve">host </w:t>
            </w:r>
            <w:r>
              <w:rPr>
                <w:sz w:val="22"/>
                <w:szCs w:val="22"/>
              </w:rPr>
              <w:t>schools to repay Element 2 back to the Council.</w:t>
            </w:r>
          </w:p>
          <w:p w14:paraId="5995C4A8" w14:textId="77777777" w:rsidR="007426B7" w:rsidRDefault="007426B7" w:rsidP="00AC7860">
            <w:pPr>
              <w:rPr>
                <w:sz w:val="22"/>
                <w:szCs w:val="22"/>
              </w:rPr>
            </w:pPr>
          </w:p>
        </w:tc>
        <w:tc>
          <w:tcPr>
            <w:tcW w:w="2126" w:type="dxa"/>
          </w:tcPr>
          <w:p w14:paraId="61A65671" w14:textId="77777777" w:rsidR="006A3369" w:rsidRDefault="006A3369" w:rsidP="006A3369">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454F1F17" w14:textId="77777777" w:rsidR="006A3369" w:rsidRDefault="006A3369" w:rsidP="006A3369">
            <w:pPr>
              <w:rPr>
                <w:sz w:val="22"/>
                <w:szCs w:val="22"/>
              </w:rPr>
            </w:pPr>
          </w:p>
          <w:p w14:paraId="0768A0BB" w14:textId="77777777" w:rsidR="00C56DE0" w:rsidRDefault="00C56DE0" w:rsidP="00C56DE0">
            <w:pPr>
              <w:rPr>
                <w:sz w:val="22"/>
                <w:szCs w:val="22"/>
              </w:rPr>
            </w:pPr>
            <w:r>
              <w:rPr>
                <w:sz w:val="22"/>
                <w:szCs w:val="22"/>
              </w:rPr>
              <w:t xml:space="preserve">Allocated in ‘real time’ during the year. </w:t>
            </w:r>
            <w:r w:rsidR="00FD3D0F">
              <w:rPr>
                <w:sz w:val="22"/>
                <w:szCs w:val="22"/>
              </w:rPr>
              <w:t>Changes</w:t>
            </w:r>
            <w:r>
              <w:rPr>
                <w:sz w:val="22"/>
                <w:szCs w:val="22"/>
              </w:rPr>
              <w:t xml:space="preserve"> for starters and leavers.</w:t>
            </w:r>
          </w:p>
          <w:p w14:paraId="53EAE493" w14:textId="77777777" w:rsidR="006A3369" w:rsidRDefault="006A3369" w:rsidP="006A3369">
            <w:pPr>
              <w:rPr>
                <w:sz w:val="22"/>
                <w:szCs w:val="22"/>
              </w:rPr>
            </w:pPr>
          </w:p>
          <w:p w14:paraId="754FAF8B" w14:textId="77777777" w:rsidR="00877D3E" w:rsidRDefault="00223F70" w:rsidP="00877D3E">
            <w:pPr>
              <w:rPr>
                <w:sz w:val="22"/>
                <w:szCs w:val="22"/>
              </w:rPr>
            </w:pPr>
            <w:r>
              <w:rPr>
                <w:sz w:val="22"/>
                <w:szCs w:val="22"/>
              </w:rPr>
              <w:t xml:space="preserve">Uses the </w:t>
            </w:r>
            <w:r w:rsidR="00877D3E">
              <w:rPr>
                <w:sz w:val="22"/>
                <w:szCs w:val="22"/>
              </w:rPr>
              <w:t>Banded Model (see appendix 2).</w:t>
            </w:r>
          </w:p>
          <w:p w14:paraId="0D0E6707" w14:textId="77777777" w:rsidR="009D6A3B" w:rsidRDefault="009D6A3B" w:rsidP="009D6A3B">
            <w:pPr>
              <w:rPr>
                <w:sz w:val="22"/>
                <w:szCs w:val="22"/>
              </w:rPr>
            </w:pPr>
          </w:p>
          <w:p w14:paraId="7C933102" w14:textId="77777777" w:rsidR="009D6A3B" w:rsidRDefault="009D6A3B" w:rsidP="009D6A3B">
            <w:pPr>
              <w:rPr>
                <w:sz w:val="22"/>
                <w:szCs w:val="22"/>
              </w:rPr>
            </w:pPr>
            <w:r>
              <w:rPr>
                <w:sz w:val="22"/>
                <w:szCs w:val="22"/>
              </w:rPr>
              <w:t xml:space="preserve">The </w:t>
            </w:r>
            <w:r w:rsidR="00D32993">
              <w:rPr>
                <w:sz w:val="22"/>
                <w:szCs w:val="22"/>
              </w:rPr>
              <w:t>top-up</w:t>
            </w:r>
            <w:r>
              <w:rPr>
                <w:sz w:val="22"/>
                <w:szCs w:val="22"/>
              </w:rPr>
              <w:t xml:space="preserve"> funding is retained by Bradford Council.</w:t>
            </w:r>
          </w:p>
          <w:p w14:paraId="35CC2625" w14:textId="77777777" w:rsidR="00B73BBE" w:rsidRDefault="00B73BBE" w:rsidP="006A3369">
            <w:pPr>
              <w:rPr>
                <w:sz w:val="22"/>
                <w:szCs w:val="22"/>
              </w:rPr>
            </w:pPr>
          </w:p>
        </w:tc>
        <w:tc>
          <w:tcPr>
            <w:tcW w:w="2126" w:type="dxa"/>
          </w:tcPr>
          <w:p w14:paraId="73E01C33" w14:textId="77777777" w:rsidR="00B73BBE" w:rsidRDefault="0059772F" w:rsidP="006A3369">
            <w:pPr>
              <w:rPr>
                <w:sz w:val="22"/>
                <w:szCs w:val="22"/>
              </w:rPr>
            </w:pPr>
            <w:r>
              <w:rPr>
                <w:sz w:val="22"/>
                <w:szCs w:val="22"/>
              </w:rPr>
              <w:t>Small Setting Protection.</w:t>
            </w:r>
          </w:p>
          <w:p w14:paraId="6E2BBD5E" w14:textId="77777777" w:rsidR="00FA388E" w:rsidRDefault="00FA388E" w:rsidP="006A3369">
            <w:pPr>
              <w:rPr>
                <w:sz w:val="22"/>
                <w:szCs w:val="22"/>
              </w:rPr>
            </w:pPr>
          </w:p>
          <w:p w14:paraId="1F0CBA7C" w14:textId="77777777" w:rsidR="00FA388E" w:rsidRDefault="00FA388E" w:rsidP="00FA388E">
            <w:pPr>
              <w:rPr>
                <w:sz w:val="22"/>
                <w:szCs w:val="22"/>
              </w:rPr>
            </w:pPr>
            <w:r>
              <w:rPr>
                <w:sz w:val="22"/>
                <w:szCs w:val="22"/>
              </w:rPr>
              <w:t xml:space="preserve">See appendix 3. </w:t>
            </w:r>
          </w:p>
          <w:p w14:paraId="465AD9EC" w14:textId="77777777" w:rsidR="00FA388E" w:rsidRDefault="00FA388E" w:rsidP="006A3369">
            <w:pPr>
              <w:rPr>
                <w:sz w:val="22"/>
                <w:szCs w:val="22"/>
              </w:rPr>
            </w:pPr>
          </w:p>
        </w:tc>
        <w:tc>
          <w:tcPr>
            <w:tcW w:w="1985" w:type="dxa"/>
          </w:tcPr>
          <w:p w14:paraId="26671963" w14:textId="442FD6C4" w:rsidR="00B73BBE" w:rsidRDefault="00C67C7A" w:rsidP="00AC7860">
            <w:pPr>
              <w:rPr>
                <w:sz w:val="22"/>
                <w:szCs w:val="22"/>
              </w:rPr>
            </w:pPr>
            <w:r>
              <w:rPr>
                <w:sz w:val="22"/>
                <w:szCs w:val="22"/>
              </w:rPr>
              <w:t>Teacher Pay and Teacher Pensions Grants</w:t>
            </w:r>
          </w:p>
        </w:tc>
      </w:tr>
      <w:tr w:rsidR="007426B7" w14:paraId="6E05E6A4" w14:textId="77777777" w:rsidTr="00355873">
        <w:tc>
          <w:tcPr>
            <w:tcW w:w="2376" w:type="dxa"/>
          </w:tcPr>
          <w:p w14:paraId="7ABBAE98" w14:textId="77777777" w:rsidR="007426B7" w:rsidRDefault="007426B7" w:rsidP="007426B7">
            <w:pPr>
              <w:rPr>
                <w:sz w:val="22"/>
                <w:szCs w:val="22"/>
              </w:rPr>
            </w:pPr>
            <w:r w:rsidRPr="00271340">
              <w:rPr>
                <w:b/>
                <w:sz w:val="22"/>
                <w:szCs w:val="22"/>
              </w:rPr>
              <w:t>Local Authority-led Resourced Provisions</w:t>
            </w:r>
            <w:r>
              <w:rPr>
                <w:sz w:val="22"/>
                <w:szCs w:val="22"/>
              </w:rPr>
              <w:t xml:space="preserve"> (mainstream primary &amp; secondary).</w:t>
            </w:r>
          </w:p>
          <w:p w14:paraId="0D25E526" w14:textId="77777777" w:rsidR="007426B7" w:rsidRDefault="007426B7" w:rsidP="007426B7">
            <w:pPr>
              <w:rPr>
                <w:sz w:val="22"/>
                <w:szCs w:val="22"/>
              </w:rPr>
            </w:pPr>
          </w:p>
          <w:p w14:paraId="01D493E3" w14:textId="77777777" w:rsidR="007426B7" w:rsidRDefault="007426B7" w:rsidP="0059772F">
            <w:pPr>
              <w:rPr>
                <w:sz w:val="22"/>
                <w:szCs w:val="22"/>
              </w:rPr>
            </w:pPr>
          </w:p>
        </w:tc>
        <w:tc>
          <w:tcPr>
            <w:tcW w:w="2268" w:type="dxa"/>
          </w:tcPr>
          <w:p w14:paraId="533A1DF7" w14:textId="77777777" w:rsidR="007426B7" w:rsidRDefault="007426B7" w:rsidP="007426B7">
            <w:pPr>
              <w:rPr>
                <w:sz w:val="22"/>
                <w:szCs w:val="22"/>
              </w:rPr>
            </w:pPr>
            <w:r>
              <w:rPr>
                <w:sz w:val="22"/>
                <w:szCs w:val="22"/>
              </w:rPr>
              <w:t>Element 1 is allocated through a combination of per-pupil funding allocated through the local scho</w:t>
            </w:r>
            <w:r w:rsidR="00E152D3">
              <w:rPr>
                <w:sz w:val="22"/>
                <w:szCs w:val="22"/>
              </w:rPr>
              <w:t>ol’s funding formula plus £4,000 (or the higher MFL value)</w:t>
            </w:r>
            <w:r>
              <w:rPr>
                <w:sz w:val="22"/>
                <w:szCs w:val="22"/>
              </w:rPr>
              <w:t xml:space="preserve"> for places agreed to be commissioned but not occupied by pupils on roll in October in the previous year.</w:t>
            </w:r>
          </w:p>
          <w:p w14:paraId="779C76E7" w14:textId="77777777" w:rsidR="007426B7" w:rsidRDefault="007426B7" w:rsidP="007426B7">
            <w:pPr>
              <w:rPr>
                <w:sz w:val="22"/>
                <w:szCs w:val="22"/>
              </w:rPr>
            </w:pPr>
          </w:p>
          <w:p w14:paraId="488A7B85" w14:textId="77777777" w:rsidR="007426B7" w:rsidRDefault="007426B7" w:rsidP="007426B7">
            <w:pPr>
              <w:rPr>
                <w:sz w:val="22"/>
                <w:szCs w:val="22"/>
              </w:rPr>
            </w:pPr>
            <w:r>
              <w:rPr>
                <w:sz w:val="22"/>
                <w:szCs w:val="22"/>
              </w:rPr>
              <w:t>The host school retains Element 1, set at a minimum of £4,000</w:t>
            </w:r>
            <w:r w:rsidR="00E152D3">
              <w:rPr>
                <w:sz w:val="22"/>
                <w:szCs w:val="22"/>
              </w:rPr>
              <w:t xml:space="preserve"> (or the higher MFL value)</w:t>
            </w:r>
            <w:r>
              <w:rPr>
                <w:sz w:val="22"/>
                <w:szCs w:val="22"/>
              </w:rPr>
              <w:t xml:space="preserve"> per agreed place. </w:t>
            </w:r>
          </w:p>
          <w:p w14:paraId="03B1840C" w14:textId="77777777" w:rsidR="007426B7" w:rsidRDefault="007426B7" w:rsidP="007426B7">
            <w:pPr>
              <w:rPr>
                <w:sz w:val="22"/>
                <w:szCs w:val="22"/>
              </w:rPr>
            </w:pPr>
          </w:p>
          <w:p w14:paraId="4C2374F5" w14:textId="77777777" w:rsidR="007426B7" w:rsidRDefault="007426B7" w:rsidP="007426B7">
            <w:pPr>
              <w:rPr>
                <w:sz w:val="22"/>
                <w:szCs w:val="22"/>
              </w:rPr>
            </w:pPr>
            <w:r>
              <w:rPr>
                <w:sz w:val="22"/>
                <w:szCs w:val="22"/>
              </w:rPr>
              <w:t>Element 2 funding is calculated at £6,000 per commissioned place and is retained by Bradford Council.</w:t>
            </w:r>
          </w:p>
          <w:p w14:paraId="074AC87A" w14:textId="77777777" w:rsidR="007426B7" w:rsidRDefault="007426B7" w:rsidP="006A3369">
            <w:pPr>
              <w:rPr>
                <w:sz w:val="22"/>
                <w:szCs w:val="22"/>
              </w:rPr>
            </w:pPr>
          </w:p>
        </w:tc>
        <w:tc>
          <w:tcPr>
            <w:tcW w:w="2410" w:type="dxa"/>
          </w:tcPr>
          <w:p w14:paraId="5AF9B242" w14:textId="77777777" w:rsidR="007426B7" w:rsidRDefault="007426B7" w:rsidP="007426B7">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383861D2" w14:textId="77777777" w:rsidR="007426B7" w:rsidRDefault="007426B7" w:rsidP="007426B7">
            <w:pPr>
              <w:rPr>
                <w:sz w:val="22"/>
                <w:szCs w:val="22"/>
              </w:rPr>
            </w:pPr>
          </w:p>
          <w:p w14:paraId="660D98F1" w14:textId="77777777" w:rsidR="007426B7" w:rsidRDefault="007426B7" w:rsidP="007426B7">
            <w:pPr>
              <w:rPr>
                <w:sz w:val="22"/>
                <w:szCs w:val="22"/>
              </w:rPr>
            </w:pPr>
            <w:r>
              <w:rPr>
                <w:sz w:val="22"/>
                <w:szCs w:val="22"/>
              </w:rPr>
              <w:t>Allocated in ‘real time’ during the year. Changes for starters and leavers.</w:t>
            </w:r>
          </w:p>
          <w:p w14:paraId="32B145B8" w14:textId="77777777" w:rsidR="00877D3E" w:rsidRDefault="00877D3E" w:rsidP="007426B7">
            <w:pPr>
              <w:rPr>
                <w:sz w:val="22"/>
                <w:szCs w:val="22"/>
              </w:rPr>
            </w:pPr>
          </w:p>
          <w:p w14:paraId="55CC7A76" w14:textId="77777777" w:rsidR="00877D3E" w:rsidRDefault="00223F70" w:rsidP="00877D3E">
            <w:pPr>
              <w:rPr>
                <w:sz w:val="22"/>
                <w:szCs w:val="22"/>
              </w:rPr>
            </w:pPr>
            <w:r>
              <w:rPr>
                <w:sz w:val="22"/>
                <w:szCs w:val="22"/>
              </w:rPr>
              <w:t xml:space="preserve">Uses the </w:t>
            </w:r>
            <w:r w:rsidR="00877D3E">
              <w:rPr>
                <w:sz w:val="22"/>
                <w:szCs w:val="22"/>
              </w:rPr>
              <w:t>Banded Model (see appendix 2).</w:t>
            </w:r>
          </w:p>
          <w:p w14:paraId="2082D9CF" w14:textId="77777777" w:rsidR="007426B7" w:rsidRDefault="007426B7" w:rsidP="007426B7">
            <w:pPr>
              <w:rPr>
                <w:sz w:val="22"/>
                <w:szCs w:val="22"/>
              </w:rPr>
            </w:pPr>
          </w:p>
          <w:p w14:paraId="56EAA4FA" w14:textId="77777777" w:rsidR="007426B7" w:rsidRDefault="007426B7" w:rsidP="007426B7">
            <w:pPr>
              <w:rPr>
                <w:sz w:val="22"/>
                <w:szCs w:val="22"/>
              </w:rPr>
            </w:pPr>
            <w:r>
              <w:rPr>
                <w:sz w:val="22"/>
                <w:szCs w:val="22"/>
              </w:rPr>
              <w:t xml:space="preserve">The </w:t>
            </w:r>
            <w:r w:rsidR="00D32993">
              <w:rPr>
                <w:sz w:val="22"/>
                <w:szCs w:val="22"/>
              </w:rPr>
              <w:t>top-up</w:t>
            </w:r>
            <w:r>
              <w:rPr>
                <w:sz w:val="22"/>
                <w:szCs w:val="22"/>
              </w:rPr>
              <w:t xml:space="preserve"> funding is retained by Bradford Council.</w:t>
            </w:r>
          </w:p>
          <w:p w14:paraId="02C7EF4E" w14:textId="77777777" w:rsidR="007426B7" w:rsidRDefault="007426B7" w:rsidP="006A3369">
            <w:pPr>
              <w:rPr>
                <w:sz w:val="22"/>
                <w:szCs w:val="22"/>
              </w:rPr>
            </w:pPr>
          </w:p>
        </w:tc>
        <w:tc>
          <w:tcPr>
            <w:tcW w:w="2410" w:type="dxa"/>
          </w:tcPr>
          <w:p w14:paraId="4B3426B4" w14:textId="77777777" w:rsidR="007426B7" w:rsidRDefault="007426B7" w:rsidP="004308EC">
            <w:pPr>
              <w:rPr>
                <w:sz w:val="22"/>
                <w:szCs w:val="22"/>
              </w:rPr>
            </w:pPr>
            <w:r>
              <w:rPr>
                <w:sz w:val="22"/>
                <w:szCs w:val="22"/>
              </w:rPr>
              <w:t>Element 1 (based on the 16-19 national funding formula) plus Element 2 (£6,000) based on the number of places to be commissioned.</w:t>
            </w:r>
          </w:p>
          <w:p w14:paraId="2ABD970B" w14:textId="77777777" w:rsidR="007426B7" w:rsidRDefault="007426B7" w:rsidP="004308EC">
            <w:pPr>
              <w:rPr>
                <w:sz w:val="22"/>
                <w:szCs w:val="22"/>
              </w:rPr>
            </w:pPr>
          </w:p>
          <w:p w14:paraId="46584EB2" w14:textId="77777777" w:rsidR="007426B7" w:rsidRDefault="007426B7" w:rsidP="004308EC">
            <w:pPr>
              <w:rPr>
                <w:sz w:val="22"/>
                <w:szCs w:val="22"/>
              </w:rPr>
            </w:pPr>
            <w:r>
              <w:rPr>
                <w:sz w:val="22"/>
                <w:szCs w:val="22"/>
              </w:rPr>
              <w:t xml:space="preserve">The host school retains Element 1. </w:t>
            </w:r>
          </w:p>
          <w:p w14:paraId="44CFEA5D" w14:textId="77777777" w:rsidR="007426B7" w:rsidRDefault="007426B7" w:rsidP="004308EC">
            <w:pPr>
              <w:rPr>
                <w:sz w:val="22"/>
                <w:szCs w:val="22"/>
              </w:rPr>
            </w:pPr>
          </w:p>
          <w:p w14:paraId="775EDA9B" w14:textId="77777777" w:rsidR="007426B7" w:rsidRDefault="007426B7" w:rsidP="004308EC">
            <w:pPr>
              <w:rPr>
                <w:sz w:val="22"/>
                <w:szCs w:val="22"/>
              </w:rPr>
            </w:pPr>
            <w:r>
              <w:rPr>
                <w:sz w:val="22"/>
                <w:szCs w:val="22"/>
              </w:rPr>
              <w:t>Element 2 funding is retained by Bradford Council.</w:t>
            </w:r>
          </w:p>
          <w:p w14:paraId="0CF570EF" w14:textId="77777777" w:rsidR="007426B7" w:rsidRDefault="007426B7" w:rsidP="004308EC">
            <w:pPr>
              <w:rPr>
                <w:sz w:val="22"/>
                <w:szCs w:val="22"/>
              </w:rPr>
            </w:pPr>
          </w:p>
        </w:tc>
        <w:tc>
          <w:tcPr>
            <w:tcW w:w="2126" w:type="dxa"/>
          </w:tcPr>
          <w:p w14:paraId="3EFA47C8" w14:textId="77777777" w:rsidR="007426B7" w:rsidRDefault="007426B7" w:rsidP="004308EC">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22A09E06" w14:textId="77777777" w:rsidR="007426B7" w:rsidRDefault="007426B7" w:rsidP="004308EC">
            <w:pPr>
              <w:rPr>
                <w:sz w:val="22"/>
                <w:szCs w:val="22"/>
              </w:rPr>
            </w:pPr>
          </w:p>
          <w:p w14:paraId="06DB01E8" w14:textId="77777777" w:rsidR="007426B7" w:rsidRDefault="007426B7" w:rsidP="004308EC">
            <w:pPr>
              <w:rPr>
                <w:sz w:val="22"/>
                <w:szCs w:val="22"/>
              </w:rPr>
            </w:pPr>
            <w:r>
              <w:rPr>
                <w:sz w:val="22"/>
                <w:szCs w:val="22"/>
              </w:rPr>
              <w:t>Allocated in ‘real time’ during the year. Changes for starters and leavers.</w:t>
            </w:r>
          </w:p>
          <w:p w14:paraId="1AE4DDD3" w14:textId="77777777" w:rsidR="007426B7" w:rsidRDefault="007426B7" w:rsidP="004308EC">
            <w:pPr>
              <w:rPr>
                <w:sz w:val="22"/>
                <w:szCs w:val="22"/>
              </w:rPr>
            </w:pPr>
          </w:p>
          <w:p w14:paraId="591EB880" w14:textId="77777777" w:rsidR="00877D3E" w:rsidRDefault="00223F70" w:rsidP="00877D3E">
            <w:pPr>
              <w:rPr>
                <w:sz w:val="22"/>
                <w:szCs w:val="22"/>
              </w:rPr>
            </w:pPr>
            <w:r>
              <w:rPr>
                <w:sz w:val="22"/>
                <w:szCs w:val="22"/>
              </w:rPr>
              <w:t xml:space="preserve">Uses the </w:t>
            </w:r>
            <w:r w:rsidR="00877D3E">
              <w:rPr>
                <w:sz w:val="22"/>
                <w:szCs w:val="22"/>
              </w:rPr>
              <w:t>Banded Model (see appendix 2).</w:t>
            </w:r>
          </w:p>
          <w:p w14:paraId="0A98DFF8" w14:textId="77777777" w:rsidR="007426B7" w:rsidRDefault="007426B7" w:rsidP="004308EC">
            <w:pPr>
              <w:rPr>
                <w:sz w:val="22"/>
                <w:szCs w:val="22"/>
              </w:rPr>
            </w:pPr>
          </w:p>
          <w:p w14:paraId="25D4DBED" w14:textId="77777777" w:rsidR="007426B7" w:rsidRDefault="007426B7" w:rsidP="004308EC">
            <w:pPr>
              <w:rPr>
                <w:sz w:val="22"/>
                <w:szCs w:val="22"/>
              </w:rPr>
            </w:pPr>
            <w:r>
              <w:rPr>
                <w:sz w:val="22"/>
                <w:szCs w:val="22"/>
              </w:rPr>
              <w:t xml:space="preserve">The </w:t>
            </w:r>
            <w:r w:rsidR="00D32993">
              <w:rPr>
                <w:sz w:val="22"/>
                <w:szCs w:val="22"/>
              </w:rPr>
              <w:t>top-up</w:t>
            </w:r>
            <w:r>
              <w:rPr>
                <w:sz w:val="22"/>
                <w:szCs w:val="22"/>
              </w:rPr>
              <w:t xml:space="preserve"> funding is retained by Bradford Council.</w:t>
            </w:r>
          </w:p>
          <w:p w14:paraId="7205DABA" w14:textId="77777777" w:rsidR="007426B7" w:rsidRDefault="007426B7" w:rsidP="004308EC">
            <w:pPr>
              <w:rPr>
                <w:sz w:val="22"/>
                <w:szCs w:val="22"/>
              </w:rPr>
            </w:pPr>
          </w:p>
        </w:tc>
        <w:tc>
          <w:tcPr>
            <w:tcW w:w="2126" w:type="dxa"/>
          </w:tcPr>
          <w:p w14:paraId="65A50449" w14:textId="77777777" w:rsidR="00FA388E" w:rsidRDefault="00FA388E" w:rsidP="00FA388E">
            <w:pPr>
              <w:rPr>
                <w:sz w:val="22"/>
                <w:szCs w:val="22"/>
              </w:rPr>
            </w:pPr>
            <w:r>
              <w:rPr>
                <w:sz w:val="22"/>
                <w:szCs w:val="22"/>
              </w:rPr>
              <w:t>Small Setting Protection.</w:t>
            </w:r>
          </w:p>
          <w:p w14:paraId="531949DC" w14:textId="77777777" w:rsidR="00FA388E" w:rsidRDefault="00FA388E" w:rsidP="00FA388E">
            <w:pPr>
              <w:rPr>
                <w:sz w:val="22"/>
                <w:szCs w:val="22"/>
              </w:rPr>
            </w:pPr>
          </w:p>
          <w:p w14:paraId="0C335D22" w14:textId="77777777" w:rsidR="00FA388E" w:rsidRDefault="00FA388E" w:rsidP="00FA388E">
            <w:pPr>
              <w:rPr>
                <w:sz w:val="22"/>
                <w:szCs w:val="22"/>
              </w:rPr>
            </w:pPr>
            <w:r>
              <w:rPr>
                <w:sz w:val="22"/>
                <w:szCs w:val="22"/>
              </w:rPr>
              <w:t xml:space="preserve">See appendix 3. </w:t>
            </w:r>
          </w:p>
          <w:p w14:paraId="29889D85" w14:textId="77777777" w:rsidR="00FA388E" w:rsidRDefault="00FA388E" w:rsidP="00FA388E">
            <w:pPr>
              <w:rPr>
                <w:sz w:val="22"/>
                <w:szCs w:val="22"/>
              </w:rPr>
            </w:pPr>
          </w:p>
        </w:tc>
        <w:tc>
          <w:tcPr>
            <w:tcW w:w="1985" w:type="dxa"/>
          </w:tcPr>
          <w:p w14:paraId="790FCBAF" w14:textId="36DB6FDB" w:rsidR="007426B7" w:rsidRDefault="00C67C7A" w:rsidP="004308EC">
            <w:pPr>
              <w:rPr>
                <w:sz w:val="22"/>
                <w:szCs w:val="22"/>
              </w:rPr>
            </w:pPr>
            <w:r>
              <w:rPr>
                <w:sz w:val="22"/>
                <w:szCs w:val="22"/>
              </w:rPr>
              <w:t>Teacher Pay and Teacher Pensions Grants</w:t>
            </w:r>
          </w:p>
        </w:tc>
      </w:tr>
      <w:tr w:rsidR="007426B7" w14:paraId="293AB74D" w14:textId="77777777" w:rsidTr="00355873">
        <w:tc>
          <w:tcPr>
            <w:tcW w:w="2376" w:type="dxa"/>
          </w:tcPr>
          <w:p w14:paraId="736E1B55" w14:textId="77777777" w:rsidR="007426B7" w:rsidRDefault="00910023" w:rsidP="008D56E1">
            <w:pPr>
              <w:rPr>
                <w:sz w:val="22"/>
                <w:szCs w:val="22"/>
              </w:rPr>
            </w:pPr>
            <w:r w:rsidRPr="00271340">
              <w:rPr>
                <w:b/>
                <w:sz w:val="22"/>
                <w:szCs w:val="22"/>
              </w:rPr>
              <w:t>Early Years Enhanced Specialist Provisions</w:t>
            </w:r>
            <w:r>
              <w:rPr>
                <w:sz w:val="22"/>
                <w:szCs w:val="22"/>
              </w:rPr>
              <w:t xml:space="preserve"> </w:t>
            </w:r>
            <w:r w:rsidR="007426B7">
              <w:rPr>
                <w:sz w:val="22"/>
                <w:szCs w:val="22"/>
              </w:rPr>
              <w:t xml:space="preserve"> (maintained nursery schools)</w:t>
            </w:r>
          </w:p>
        </w:tc>
        <w:tc>
          <w:tcPr>
            <w:tcW w:w="2268" w:type="dxa"/>
          </w:tcPr>
          <w:p w14:paraId="621B9286" w14:textId="77777777" w:rsidR="007426B7" w:rsidRDefault="007426B7" w:rsidP="00FD3D0F">
            <w:pPr>
              <w:rPr>
                <w:sz w:val="22"/>
                <w:szCs w:val="22"/>
              </w:rPr>
            </w:pPr>
            <w:r>
              <w:rPr>
                <w:sz w:val="22"/>
                <w:szCs w:val="22"/>
              </w:rPr>
              <w:t>Element</w:t>
            </w:r>
            <w:r w:rsidR="00910023">
              <w:rPr>
                <w:sz w:val="22"/>
                <w:szCs w:val="22"/>
              </w:rPr>
              <w:t>s 1 &amp; 2 are</w:t>
            </w:r>
            <w:r>
              <w:rPr>
                <w:sz w:val="22"/>
                <w:szCs w:val="22"/>
              </w:rPr>
              <w:t xml:space="preserve"> allocated through a combination of per-pupil funding allocated through</w:t>
            </w:r>
            <w:r w:rsidR="00FA0815">
              <w:rPr>
                <w:sz w:val="22"/>
                <w:szCs w:val="22"/>
              </w:rPr>
              <w:t xml:space="preserve"> the local EYSFF</w:t>
            </w:r>
            <w:r>
              <w:rPr>
                <w:sz w:val="22"/>
                <w:szCs w:val="22"/>
              </w:rPr>
              <w:t xml:space="preserve"> plus £6,000 per</w:t>
            </w:r>
            <w:r w:rsidR="00FA0815">
              <w:rPr>
                <w:sz w:val="22"/>
                <w:szCs w:val="22"/>
              </w:rPr>
              <w:t xml:space="preserve"> FTE</w:t>
            </w:r>
            <w:r>
              <w:rPr>
                <w:sz w:val="22"/>
                <w:szCs w:val="22"/>
              </w:rPr>
              <w:t xml:space="preserve"> </w:t>
            </w:r>
            <w:r w:rsidR="00910023">
              <w:rPr>
                <w:sz w:val="22"/>
                <w:szCs w:val="22"/>
              </w:rPr>
              <w:t xml:space="preserve">commissioned </w:t>
            </w:r>
            <w:r>
              <w:rPr>
                <w:sz w:val="22"/>
                <w:szCs w:val="22"/>
              </w:rPr>
              <w:t xml:space="preserve">place. </w:t>
            </w:r>
          </w:p>
          <w:p w14:paraId="56D10841" w14:textId="77777777" w:rsidR="007426B7" w:rsidRDefault="007426B7" w:rsidP="00FD3D0F">
            <w:pPr>
              <w:rPr>
                <w:sz w:val="22"/>
                <w:szCs w:val="22"/>
              </w:rPr>
            </w:pPr>
          </w:p>
          <w:p w14:paraId="2C367CD5" w14:textId="77777777" w:rsidR="00910023" w:rsidRDefault="00910023" w:rsidP="00910023">
            <w:pPr>
              <w:rPr>
                <w:sz w:val="22"/>
                <w:szCs w:val="22"/>
              </w:rPr>
            </w:pPr>
            <w:r>
              <w:rPr>
                <w:sz w:val="22"/>
                <w:szCs w:val="22"/>
              </w:rPr>
              <w:t>Both Elements 1 and 2 are retained by the school.</w:t>
            </w:r>
          </w:p>
          <w:p w14:paraId="415FBB57" w14:textId="77777777" w:rsidR="00910023" w:rsidRDefault="00910023" w:rsidP="00FD3D0F">
            <w:pPr>
              <w:rPr>
                <w:sz w:val="22"/>
                <w:szCs w:val="22"/>
              </w:rPr>
            </w:pPr>
          </w:p>
          <w:p w14:paraId="10A2C8C8" w14:textId="77777777" w:rsidR="007426B7" w:rsidRDefault="00910023" w:rsidP="00FD3D0F">
            <w:pPr>
              <w:rPr>
                <w:sz w:val="22"/>
                <w:szCs w:val="22"/>
              </w:rPr>
            </w:pPr>
            <w:r>
              <w:rPr>
                <w:sz w:val="22"/>
                <w:szCs w:val="22"/>
              </w:rPr>
              <w:t>Additional Element 1 funding is paid using</w:t>
            </w:r>
            <w:r w:rsidR="007426B7">
              <w:rPr>
                <w:sz w:val="22"/>
                <w:szCs w:val="22"/>
              </w:rPr>
              <w:t xml:space="preserve"> EYSFF </w:t>
            </w:r>
            <w:r>
              <w:rPr>
                <w:sz w:val="22"/>
                <w:szCs w:val="22"/>
              </w:rPr>
              <w:t xml:space="preserve">rates for any </w:t>
            </w:r>
            <w:r w:rsidR="00FA0815">
              <w:rPr>
                <w:sz w:val="22"/>
                <w:szCs w:val="22"/>
              </w:rPr>
              <w:t xml:space="preserve">FTE </w:t>
            </w:r>
            <w:r>
              <w:rPr>
                <w:sz w:val="22"/>
                <w:szCs w:val="22"/>
              </w:rPr>
              <w:t>places not occupied in the EYSFF termly censuses</w:t>
            </w:r>
            <w:r w:rsidR="007426B7">
              <w:rPr>
                <w:sz w:val="22"/>
                <w:szCs w:val="22"/>
              </w:rPr>
              <w:t xml:space="preserve">. </w:t>
            </w:r>
          </w:p>
          <w:p w14:paraId="4FFD61C5" w14:textId="77777777" w:rsidR="003235F9" w:rsidRDefault="003235F9" w:rsidP="00FD3D0F">
            <w:pPr>
              <w:rPr>
                <w:sz w:val="22"/>
                <w:szCs w:val="22"/>
              </w:rPr>
            </w:pPr>
          </w:p>
          <w:p w14:paraId="469C967C" w14:textId="77777777" w:rsidR="007426B7" w:rsidRDefault="003235F9" w:rsidP="00AC7860">
            <w:pPr>
              <w:rPr>
                <w:sz w:val="22"/>
                <w:szCs w:val="22"/>
              </w:rPr>
            </w:pPr>
            <w:r>
              <w:rPr>
                <w:sz w:val="22"/>
                <w:szCs w:val="22"/>
              </w:rPr>
              <w:t>Additional place-funding is allocated in real time where occupancy is exceeded, with an end of year reconciliation to ensure no overall overpayment of additional place-led funding for the actual total composite occupancy across the year.</w:t>
            </w:r>
          </w:p>
        </w:tc>
        <w:tc>
          <w:tcPr>
            <w:tcW w:w="2410" w:type="dxa"/>
          </w:tcPr>
          <w:p w14:paraId="0045FDAD" w14:textId="77777777" w:rsidR="007426B7" w:rsidRDefault="007426B7" w:rsidP="00FD3D0F">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1821752C" w14:textId="77777777" w:rsidR="007426B7" w:rsidRDefault="007426B7" w:rsidP="00FD3D0F">
            <w:pPr>
              <w:rPr>
                <w:sz w:val="22"/>
                <w:szCs w:val="22"/>
              </w:rPr>
            </w:pPr>
          </w:p>
          <w:p w14:paraId="5698C99D" w14:textId="77777777" w:rsidR="007426B7" w:rsidRDefault="007426B7" w:rsidP="00FD3D0F">
            <w:pPr>
              <w:rPr>
                <w:sz w:val="22"/>
                <w:szCs w:val="22"/>
              </w:rPr>
            </w:pPr>
            <w:r>
              <w:rPr>
                <w:sz w:val="22"/>
                <w:szCs w:val="22"/>
              </w:rPr>
              <w:t>Allocated in ‘real time’ during the year. Changes for starters and leavers.</w:t>
            </w:r>
          </w:p>
          <w:p w14:paraId="3E7B6FD2" w14:textId="77777777" w:rsidR="007426B7" w:rsidRDefault="007426B7" w:rsidP="00FD3D0F">
            <w:pPr>
              <w:rPr>
                <w:sz w:val="22"/>
                <w:szCs w:val="22"/>
              </w:rPr>
            </w:pPr>
          </w:p>
          <w:p w14:paraId="207DAAE6" w14:textId="77777777" w:rsidR="00910023" w:rsidRDefault="003235F9" w:rsidP="00910023">
            <w:pPr>
              <w:rPr>
                <w:sz w:val="22"/>
                <w:szCs w:val="22"/>
              </w:rPr>
            </w:pPr>
            <w:r>
              <w:rPr>
                <w:sz w:val="22"/>
                <w:szCs w:val="22"/>
              </w:rPr>
              <w:t xml:space="preserve">Uses the </w:t>
            </w:r>
            <w:r w:rsidR="00877D3E">
              <w:rPr>
                <w:sz w:val="22"/>
                <w:szCs w:val="22"/>
              </w:rPr>
              <w:t xml:space="preserve">Banded Model (see appendix 2). </w:t>
            </w:r>
            <w:r w:rsidR="00910023">
              <w:rPr>
                <w:sz w:val="22"/>
                <w:szCs w:val="22"/>
              </w:rPr>
              <w:t xml:space="preserve">All EYESP places </w:t>
            </w:r>
            <w:r w:rsidR="00877D3E">
              <w:rPr>
                <w:sz w:val="22"/>
                <w:szCs w:val="22"/>
              </w:rPr>
              <w:t xml:space="preserve">funded at </w:t>
            </w:r>
            <w:r w:rsidR="00FA388E">
              <w:rPr>
                <w:sz w:val="22"/>
                <w:szCs w:val="22"/>
              </w:rPr>
              <w:t xml:space="preserve">a minimum </w:t>
            </w:r>
            <w:r w:rsidR="00877D3E">
              <w:rPr>
                <w:sz w:val="22"/>
                <w:szCs w:val="22"/>
              </w:rPr>
              <w:t>Band 4L</w:t>
            </w:r>
            <w:r w:rsidR="00FA388E">
              <w:rPr>
                <w:sz w:val="22"/>
                <w:szCs w:val="22"/>
              </w:rPr>
              <w:t xml:space="preserve"> (assessment places)</w:t>
            </w:r>
            <w:r w:rsidR="00910023">
              <w:rPr>
                <w:sz w:val="22"/>
                <w:szCs w:val="22"/>
              </w:rPr>
              <w:t xml:space="preserve">. </w:t>
            </w:r>
          </w:p>
          <w:p w14:paraId="10120AB5" w14:textId="77777777" w:rsidR="00910023" w:rsidRDefault="00910023" w:rsidP="00910023">
            <w:pPr>
              <w:rPr>
                <w:sz w:val="22"/>
                <w:szCs w:val="22"/>
              </w:rPr>
            </w:pPr>
          </w:p>
          <w:p w14:paraId="1F316A5E" w14:textId="77777777" w:rsidR="00910023" w:rsidRDefault="00910023" w:rsidP="00910023">
            <w:pPr>
              <w:rPr>
                <w:sz w:val="22"/>
                <w:szCs w:val="22"/>
              </w:rPr>
            </w:pPr>
            <w:r>
              <w:rPr>
                <w:sz w:val="22"/>
                <w:szCs w:val="22"/>
              </w:rPr>
              <w:t xml:space="preserve">The </w:t>
            </w:r>
            <w:r w:rsidR="00D32993">
              <w:rPr>
                <w:sz w:val="22"/>
                <w:szCs w:val="22"/>
              </w:rPr>
              <w:t>top-up</w:t>
            </w:r>
            <w:r>
              <w:rPr>
                <w:sz w:val="22"/>
                <w:szCs w:val="22"/>
              </w:rPr>
              <w:t xml:space="preserve"> funding is allocated to and retained by the school.</w:t>
            </w:r>
          </w:p>
          <w:p w14:paraId="45CA5CDC" w14:textId="77777777" w:rsidR="007426B7" w:rsidRDefault="007426B7" w:rsidP="00FD3D0F">
            <w:pPr>
              <w:rPr>
                <w:sz w:val="22"/>
                <w:szCs w:val="22"/>
              </w:rPr>
            </w:pPr>
          </w:p>
        </w:tc>
        <w:tc>
          <w:tcPr>
            <w:tcW w:w="2410" w:type="dxa"/>
          </w:tcPr>
          <w:p w14:paraId="7F592D0C" w14:textId="77777777" w:rsidR="007426B7" w:rsidRDefault="007426B7" w:rsidP="00AC7860">
            <w:pPr>
              <w:rPr>
                <w:sz w:val="22"/>
                <w:szCs w:val="22"/>
              </w:rPr>
            </w:pPr>
            <w:r>
              <w:rPr>
                <w:sz w:val="22"/>
                <w:szCs w:val="22"/>
              </w:rPr>
              <w:t>n/a</w:t>
            </w:r>
          </w:p>
        </w:tc>
        <w:tc>
          <w:tcPr>
            <w:tcW w:w="2126" w:type="dxa"/>
          </w:tcPr>
          <w:p w14:paraId="1B22305B" w14:textId="77777777" w:rsidR="007426B7" w:rsidRDefault="007426B7" w:rsidP="00AC7860">
            <w:pPr>
              <w:rPr>
                <w:sz w:val="22"/>
                <w:szCs w:val="22"/>
              </w:rPr>
            </w:pPr>
            <w:r>
              <w:rPr>
                <w:sz w:val="22"/>
                <w:szCs w:val="22"/>
              </w:rPr>
              <w:t>n/a</w:t>
            </w:r>
          </w:p>
        </w:tc>
        <w:tc>
          <w:tcPr>
            <w:tcW w:w="2126" w:type="dxa"/>
          </w:tcPr>
          <w:p w14:paraId="09A5C471" w14:textId="77777777" w:rsidR="00FA388E" w:rsidRDefault="00663B9C" w:rsidP="00AC7860">
            <w:pPr>
              <w:rPr>
                <w:sz w:val="22"/>
                <w:szCs w:val="22"/>
              </w:rPr>
            </w:pPr>
            <w:r>
              <w:rPr>
                <w:sz w:val="22"/>
                <w:szCs w:val="22"/>
              </w:rPr>
              <w:t>Small Setting Protection</w:t>
            </w:r>
            <w:r w:rsidR="00877D3E">
              <w:rPr>
                <w:sz w:val="22"/>
                <w:szCs w:val="22"/>
              </w:rPr>
              <w:t>.</w:t>
            </w:r>
          </w:p>
          <w:p w14:paraId="376DCB10" w14:textId="77777777" w:rsidR="00FA388E" w:rsidRDefault="00FA388E" w:rsidP="00AC7860">
            <w:pPr>
              <w:rPr>
                <w:sz w:val="22"/>
                <w:szCs w:val="22"/>
              </w:rPr>
            </w:pPr>
          </w:p>
          <w:p w14:paraId="0A13FE81" w14:textId="77777777" w:rsidR="00877D3E" w:rsidRDefault="00FA388E" w:rsidP="00AC7860">
            <w:pPr>
              <w:rPr>
                <w:sz w:val="22"/>
                <w:szCs w:val="22"/>
              </w:rPr>
            </w:pPr>
            <w:r>
              <w:rPr>
                <w:sz w:val="22"/>
                <w:szCs w:val="22"/>
              </w:rPr>
              <w:t>See appendix 3.</w:t>
            </w:r>
            <w:r w:rsidR="00877D3E">
              <w:rPr>
                <w:sz w:val="22"/>
                <w:szCs w:val="22"/>
              </w:rPr>
              <w:t xml:space="preserve"> </w:t>
            </w:r>
          </w:p>
          <w:p w14:paraId="3C175E99" w14:textId="77777777" w:rsidR="00877D3E" w:rsidRDefault="00877D3E" w:rsidP="00AC7860">
            <w:pPr>
              <w:rPr>
                <w:sz w:val="22"/>
                <w:szCs w:val="22"/>
              </w:rPr>
            </w:pPr>
          </w:p>
          <w:p w14:paraId="6794F536" w14:textId="77777777" w:rsidR="00A03632" w:rsidRDefault="00A03632" w:rsidP="00AC7860">
            <w:pPr>
              <w:rPr>
                <w:sz w:val="22"/>
                <w:szCs w:val="22"/>
              </w:rPr>
            </w:pPr>
          </w:p>
        </w:tc>
        <w:tc>
          <w:tcPr>
            <w:tcW w:w="1985" w:type="dxa"/>
          </w:tcPr>
          <w:p w14:paraId="58900C75" w14:textId="11A26354" w:rsidR="007426B7" w:rsidRDefault="00C67C7A" w:rsidP="00AC7860">
            <w:pPr>
              <w:rPr>
                <w:sz w:val="22"/>
                <w:szCs w:val="22"/>
              </w:rPr>
            </w:pPr>
            <w:r>
              <w:rPr>
                <w:sz w:val="22"/>
                <w:szCs w:val="22"/>
              </w:rPr>
              <w:t>Teacher Pay and Teacher Pensions Grants</w:t>
            </w:r>
          </w:p>
        </w:tc>
      </w:tr>
      <w:tr w:rsidR="007426B7" w14:paraId="052E7B4A" w14:textId="77777777" w:rsidTr="00355873">
        <w:tc>
          <w:tcPr>
            <w:tcW w:w="2376" w:type="dxa"/>
          </w:tcPr>
          <w:p w14:paraId="4C96D3CC" w14:textId="77777777" w:rsidR="007426B7" w:rsidRPr="00271340" w:rsidRDefault="00ED01C0" w:rsidP="008D56E1">
            <w:pPr>
              <w:rPr>
                <w:b/>
                <w:sz w:val="22"/>
                <w:szCs w:val="22"/>
              </w:rPr>
            </w:pPr>
            <w:r w:rsidRPr="00271340">
              <w:rPr>
                <w:b/>
                <w:sz w:val="22"/>
                <w:szCs w:val="22"/>
              </w:rPr>
              <w:t xml:space="preserve">Maintained </w:t>
            </w:r>
            <w:r w:rsidR="007426B7" w:rsidRPr="00271340">
              <w:rPr>
                <w:b/>
                <w:sz w:val="22"/>
                <w:szCs w:val="22"/>
              </w:rPr>
              <w:t>Special Schools &amp; Special</w:t>
            </w:r>
            <w:r w:rsidRPr="00271340">
              <w:rPr>
                <w:b/>
                <w:sz w:val="22"/>
                <w:szCs w:val="22"/>
              </w:rPr>
              <w:t xml:space="preserve"> School</w:t>
            </w:r>
            <w:r w:rsidR="007426B7" w:rsidRPr="00271340">
              <w:rPr>
                <w:b/>
                <w:sz w:val="22"/>
                <w:szCs w:val="22"/>
              </w:rPr>
              <w:t xml:space="preserve"> Academies</w:t>
            </w:r>
          </w:p>
        </w:tc>
        <w:tc>
          <w:tcPr>
            <w:tcW w:w="2268" w:type="dxa"/>
          </w:tcPr>
          <w:p w14:paraId="5148163F" w14:textId="77777777" w:rsidR="007426B7" w:rsidRDefault="00965715" w:rsidP="00AC7860">
            <w:pPr>
              <w:rPr>
                <w:sz w:val="22"/>
                <w:szCs w:val="22"/>
              </w:rPr>
            </w:pPr>
            <w:r>
              <w:rPr>
                <w:sz w:val="22"/>
                <w:szCs w:val="22"/>
              </w:rPr>
              <w:t>Element</w:t>
            </w:r>
            <w:r w:rsidR="00E32B6E">
              <w:rPr>
                <w:sz w:val="22"/>
                <w:szCs w:val="22"/>
              </w:rPr>
              <w:t>s</w:t>
            </w:r>
            <w:r>
              <w:rPr>
                <w:sz w:val="22"/>
                <w:szCs w:val="22"/>
              </w:rPr>
              <w:t xml:space="preserve"> 1 and 2 are combined in a fixed </w:t>
            </w:r>
            <w:r w:rsidR="007426B7">
              <w:rPr>
                <w:sz w:val="22"/>
                <w:szCs w:val="22"/>
              </w:rPr>
              <w:t>£10,000 per place</w:t>
            </w:r>
            <w:r>
              <w:rPr>
                <w:sz w:val="22"/>
                <w:szCs w:val="22"/>
              </w:rPr>
              <w:t>,</w:t>
            </w:r>
            <w:r w:rsidR="007426B7">
              <w:rPr>
                <w:sz w:val="22"/>
                <w:szCs w:val="22"/>
              </w:rPr>
              <w:t xml:space="preserve"> based on an agreed number of places</w:t>
            </w:r>
            <w:r w:rsidR="00ED01C0">
              <w:rPr>
                <w:sz w:val="22"/>
                <w:szCs w:val="22"/>
              </w:rPr>
              <w:t xml:space="preserve"> to be commissioned</w:t>
            </w:r>
            <w:r w:rsidR="007426B7">
              <w:rPr>
                <w:sz w:val="22"/>
                <w:szCs w:val="22"/>
              </w:rPr>
              <w:t>.</w:t>
            </w:r>
          </w:p>
          <w:p w14:paraId="558A4042" w14:textId="77777777" w:rsidR="007426B7" w:rsidRDefault="007426B7" w:rsidP="00AC7860">
            <w:pPr>
              <w:rPr>
                <w:sz w:val="22"/>
                <w:szCs w:val="22"/>
              </w:rPr>
            </w:pPr>
            <w:r>
              <w:rPr>
                <w:sz w:val="22"/>
                <w:szCs w:val="22"/>
              </w:rPr>
              <w:t>Additional place-funding is allocated</w:t>
            </w:r>
            <w:r w:rsidR="00965715">
              <w:rPr>
                <w:sz w:val="22"/>
                <w:szCs w:val="22"/>
              </w:rPr>
              <w:t xml:space="preserve"> in real time</w:t>
            </w:r>
            <w:r>
              <w:rPr>
                <w:sz w:val="22"/>
                <w:szCs w:val="22"/>
              </w:rPr>
              <w:t xml:space="preserve"> where occupancy </w:t>
            </w:r>
            <w:r w:rsidR="00ED01C0">
              <w:rPr>
                <w:sz w:val="22"/>
                <w:szCs w:val="22"/>
              </w:rPr>
              <w:t>is exceeded,</w:t>
            </w:r>
            <w:r>
              <w:rPr>
                <w:sz w:val="22"/>
                <w:szCs w:val="22"/>
              </w:rPr>
              <w:t xml:space="preserve"> with an end of year reconciliation</w:t>
            </w:r>
            <w:r w:rsidR="00ED01C0">
              <w:rPr>
                <w:sz w:val="22"/>
                <w:szCs w:val="22"/>
              </w:rPr>
              <w:t xml:space="preserve"> to ensure no overall overpayment of additional place-led funding for </w:t>
            </w:r>
            <w:r w:rsidR="00965715">
              <w:rPr>
                <w:sz w:val="22"/>
                <w:szCs w:val="22"/>
              </w:rPr>
              <w:t xml:space="preserve">the </w:t>
            </w:r>
            <w:r w:rsidR="00ED01C0">
              <w:rPr>
                <w:sz w:val="22"/>
                <w:szCs w:val="22"/>
              </w:rPr>
              <w:t>actual total composite occupancy across the year</w:t>
            </w:r>
            <w:r>
              <w:rPr>
                <w:sz w:val="22"/>
                <w:szCs w:val="22"/>
              </w:rPr>
              <w:t>.</w:t>
            </w:r>
          </w:p>
          <w:p w14:paraId="33D007DB" w14:textId="77777777" w:rsidR="007426B7" w:rsidRDefault="007426B7" w:rsidP="00AC7860">
            <w:pPr>
              <w:rPr>
                <w:sz w:val="22"/>
                <w:szCs w:val="22"/>
              </w:rPr>
            </w:pPr>
          </w:p>
          <w:p w14:paraId="4ECA3B44" w14:textId="77777777" w:rsidR="00ED01C0" w:rsidRDefault="004308EC" w:rsidP="00AC7860">
            <w:pPr>
              <w:rPr>
                <w:sz w:val="22"/>
                <w:szCs w:val="22"/>
              </w:rPr>
            </w:pPr>
            <w:r>
              <w:rPr>
                <w:sz w:val="22"/>
                <w:szCs w:val="22"/>
              </w:rPr>
              <w:t>R</w:t>
            </w:r>
            <w:r w:rsidR="00ED01C0">
              <w:rPr>
                <w:sz w:val="22"/>
                <w:szCs w:val="22"/>
              </w:rPr>
              <w:t>etained by the school.</w:t>
            </w:r>
          </w:p>
          <w:p w14:paraId="3F509052" w14:textId="77777777" w:rsidR="00ED01C0" w:rsidRDefault="00ED01C0" w:rsidP="00AC7860">
            <w:pPr>
              <w:rPr>
                <w:sz w:val="22"/>
                <w:szCs w:val="22"/>
              </w:rPr>
            </w:pPr>
          </w:p>
        </w:tc>
        <w:tc>
          <w:tcPr>
            <w:tcW w:w="2410" w:type="dxa"/>
          </w:tcPr>
          <w:p w14:paraId="10BD73DB" w14:textId="77777777" w:rsidR="007426B7" w:rsidRDefault="007426B7" w:rsidP="00F47E8F">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4F1258C6" w14:textId="77777777" w:rsidR="007426B7" w:rsidRDefault="007426B7" w:rsidP="00F47E8F">
            <w:pPr>
              <w:rPr>
                <w:sz w:val="22"/>
                <w:szCs w:val="22"/>
              </w:rPr>
            </w:pPr>
          </w:p>
          <w:p w14:paraId="0DE470F6" w14:textId="77777777" w:rsidR="007426B7" w:rsidRDefault="007426B7" w:rsidP="00F47E8F">
            <w:pPr>
              <w:rPr>
                <w:sz w:val="22"/>
                <w:szCs w:val="22"/>
              </w:rPr>
            </w:pPr>
            <w:r>
              <w:rPr>
                <w:sz w:val="22"/>
                <w:szCs w:val="22"/>
              </w:rPr>
              <w:t>Allocated in ‘real time’ during the year. Changes for starters and leavers.</w:t>
            </w:r>
          </w:p>
          <w:p w14:paraId="0FCE365B" w14:textId="77777777" w:rsidR="007426B7" w:rsidRDefault="007426B7" w:rsidP="00F47E8F">
            <w:pPr>
              <w:rPr>
                <w:sz w:val="22"/>
                <w:szCs w:val="22"/>
              </w:rPr>
            </w:pPr>
          </w:p>
          <w:p w14:paraId="7508023E" w14:textId="77777777" w:rsidR="00ED01C0" w:rsidRDefault="003235F9" w:rsidP="00ED01C0">
            <w:pPr>
              <w:rPr>
                <w:sz w:val="22"/>
                <w:szCs w:val="22"/>
              </w:rPr>
            </w:pPr>
            <w:r>
              <w:rPr>
                <w:sz w:val="22"/>
                <w:szCs w:val="22"/>
              </w:rPr>
              <w:t xml:space="preserve">Uses the </w:t>
            </w:r>
            <w:r w:rsidR="00877D3E">
              <w:rPr>
                <w:sz w:val="22"/>
                <w:szCs w:val="22"/>
              </w:rPr>
              <w:t xml:space="preserve">Banded Model (see appendix 2). </w:t>
            </w:r>
          </w:p>
          <w:p w14:paraId="4F4B05C6" w14:textId="77777777" w:rsidR="00877D3E" w:rsidRDefault="00877D3E" w:rsidP="00ED01C0">
            <w:pPr>
              <w:rPr>
                <w:sz w:val="22"/>
                <w:szCs w:val="22"/>
              </w:rPr>
            </w:pPr>
          </w:p>
          <w:p w14:paraId="0C296383" w14:textId="77777777" w:rsidR="00ED01C0" w:rsidRDefault="00ED01C0" w:rsidP="00ED01C0">
            <w:pPr>
              <w:rPr>
                <w:sz w:val="22"/>
                <w:szCs w:val="22"/>
              </w:rPr>
            </w:pPr>
            <w:r>
              <w:rPr>
                <w:sz w:val="22"/>
                <w:szCs w:val="22"/>
              </w:rPr>
              <w:t xml:space="preserve">The </w:t>
            </w:r>
            <w:r w:rsidR="00D32993">
              <w:rPr>
                <w:sz w:val="22"/>
                <w:szCs w:val="22"/>
              </w:rPr>
              <w:t>top-up</w:t>
            </w:r>
            <w:r>
              <w:rPr>
                <w:sz w:val="22"/>
                <w:szCs w:val="22"/>
              </w:rPr>
              <w:t xml:space="preserve"> funding is allocated to and retained by the school.</w:t>
            </w:r>
          </w:p>
          <w:p w14:paraId="2ADB3F41" w14:textId="77777777" w:rsidR="007426B7" w:rsidRDefault="007426B7" w:rsidP="00F47E8F">
            <w:pPr>
              <w:rPr>
                <w:sz w:val="22"/>
                <w:szCs w:val="22"/>
              </w:rPr>
            </w:pPr>
          </w:p>
        </w:tc>
        <w:tc>
          <w:tcPr>
            <w:tcW w:w="2410" w:type="dxa"/>
          </w:tcPr>
          <w:p w14:paraId="38166FF7" w14:textId="77777777" w:rsidR="007426B7" w:rsidRDefault="007426B7" w:rsidP="00FE01F3">
            <w:pPr>
              <w:rPr>
                <w:sz w:val="22"/>
                <w:szCs w:val="22"/>
              </w:rPr>
            </w:pPr>
            <w:r>
              <w:rPr>
                <w:sz w:val="22"/>
                <w:szCs w:val="22"/>
              </w:rPr>
              <w:t>£10,000 per place based on an agreed number of places.</w:t>
            </w:r>
          </w:p>
          <w:p w14:paraId="4FD217EB" w14:textId="77777777" w:rsidR="007426B7" w:rsidRDefault="007426B7" w:rsidP="00FE01F3">
            <w:pPr>
              <w:rPr>
                <w:sz w:val="22"/>
                <w:szCs w:val="22"/>
              </w:rPr>
            </w:pPr>
          </w:p>
          <w:p w14:paraId="49EC6D42" w14:textId="77777777" w:rsidR="00BC21E5" w:rsidRDefault="00BC21E5" w:rsidP="00BC21E5">
            <w:pPr>
              <w:rPr>
                <w:sz w:val="22"/>
                <w:szCs w:val="22"/>
              </w:rPr>
            </w:pPr>
            <w:r>
              <w:rPr>
                <w:sz w:val="22"/>
                <w:szCs w:val="22"/>
              </w:rPr>
              <w:t>Additional place-funding is allocated</w:t>
            </w:r>
            <w:r w:rsidR="00E32B6E">
              <w:rPr>
                <w:sz w:val="22"/>
                <w:szCs w:val="22"/>
              </w:rPr>
              <w:t xml:space="preserve"> in real time</w:t>
            </w:r>
            <w:r>
              <w:rPr>
                <w:sz w:val="22"/>
                <w:szCs w:val="22"/>
              </w:rPr>
              <w:t xml:space="preserve"> where occupancy is exceeded, with an end of year reconciliation to ensure no overall overpayment of additional place-led funding for actual total composite occupancy across the year.</w:t>
            </w:r>
          </w:p>
          <w:p w14:paraId="0E28637B" w14:textId="77777777" w:rsidR="00BC21E5" w:rsidRDefault="00BC21E5" w:rsidP="00BC21E5">
            <w:pPr>
              <w:rPr>
                <w:sz w:val="22"/>
                <w:szCs w:val="22"/>
              </w:rPr>
            </w:pPr>
          </w:p>
          <w:p w14:paraId="3E7D2BBE" w14:textId="77777777" w:rsidR="00BC21E5" w:rsidRDefault="00E32B6E" w:rsidP="00BC21E5">
            <w:pPr>
              <w:rPr>
                <w:sz w:val="22"/>
                <w:szCs w:val="22"/>
              </w:rPr>
            </w:pPr>
            <w:r>
              <w:rPr>
                <w:sz w:val="22"/>
                <w:szCs w:val="22"/>
              </w:rPr>
              <w:t>R</w:t>
            </w:r>
            <w:r w:rsidR="00BC21E5">
              <w:rPr>
                <w:sz w:val="22"/>
                <w:szCs w:val="22"/>
              </w:rPr>
              <w:t>etained by the school.</w:t>
            </w:r>
          </w:p>
          <w:p w14:paraId="6303EB7E" w14:textId="77777777" w:rsidR="007426B7" w:rsidRDefault="007426B7" w:rsidP="00FE01F3">
            <w:pPr>
              <w:rPr>
                <w:sz w:val="22"/>
                <w:szCs w:val="22"/>
              </w:rPr>
            </w:pPr>
          </w:p>
        </w:tc>
        <w:tc>
          <w:tcPr>
            <w:tcW w:w="2126" w:type="dxa"/>
          </w:tcPr>
          <w:p w14:paraId="286E27F4" w14:textId="77777777" w:rsidR="007426B7" w:rsidRDefault="003235F9" w:rsidP="00FE01F3">
            <w:pPr>
              <w:rPr>
                <w:sz w:val="22"/>
                <w:szCs w:val="22"/>
              </w:rPr>
            </w:pPr>
            <w:r>
              <w:rPr>
                <w:sz w:val="22"/>
                <w:szCs w:val="22"/>
              </w:rPr>
              <w:t xml:space="preserve">Uses the </w:t>
            </w:r>
            <w:r w:rsidR="00877D3E">
              <w:rPr>
                <w:sz w:val="22"/>
                <w:szCs w:val="22"/>
              </w:rPr>
              <w:t xml:space="preserve">Banded Model (see appendix 2). </w:t>
            </w:r>
          </w:p>
        </w:tc>
        <w:tc>
          <w:tcPr>
            <w:tcW w:w="2126" w:type="dxa"/>
          </w:tcPr>
          <w:p w14:paraId="24FF73B0" w14:textId="77777777" w:rsidR="007426B7" w:rsidRDefault="007426B7" w:rsidP="00AC7860">
            <w:pPr>
              <w:rPr>
                <w:sz w:val="22"/>
                <w:szCs w:val="22"/>
              </w:rPr>
            </w:pPr>
            <w:r>
              <w:rPr>
                <w:sz w:val="22"/>
                <w:szCs w:val="22"/>
              </w:rPr>
              <w:t>Split Sites</w:t>
            </w:r>
            <w:r w:rsidR="00680B98">
              <w:rPr>
                <w:sz w:val="22"/>
                <w:szCs w:val="22"/>
              </w:rPr>
              <w:t xml:space="preserve">. </w:t>
            </w:r>
          </w:p>
          <w:p w14:paraId="7705FBAE" w14:textId="77777777" w:rsidR="007426B7" w:rsidRDefault="007426B7" w:rsidP="00AC7860">
            <w:pPr>
              <w:rPr>
                <w:sz w:val="22"/>
                <w:szCs w:val="22"/>
              </w:rPr>
            </w:pPr>
          </w:p>
          <w:p w14:paraId="3B952CC2" w14:textId="77777777" w:rsidR="007426B7" w:rsidRDefault="003235F9" w:rsidP="00AC7860">
            <w:pPr>
              <w:rPr>
                <w:sz w:val="22"/>
                <w:szCs w:val="22"/>
              </w:rPr>
            </w:pPr>
            <w:r>
              <w:rPr>
                <w:sz w:val="22"/>
                <w:szCs w:val="22"/>
              </w:rPr>
              <w:t>Post 16 E</w:t>
            </w:r>
            <w:r w:rsidR="007426B7">
              <w:rPr>
                <w:sz w:val="22"/>
                <w:szCs w:val="22"/>
              </w:rPr>
              <w:t>lement 1 enhancement.</w:t>
            </w:r>
          </w:p>
          <w:p w14:paraId="64E2F3B4" w14:textId="77777777" w:rsidR="007426B7" w:rsidRDefault="007426B7" w:rsidP="00AC7860">
            <w:pPr>
              <w:rPr>
                <w:sz w:val="22"/>
                <w:szCs w:val="22"/>
              </w:rPr>
            </w:pPr>
          </w:p>
          <w:p w14:paraId="71AC2970" w14:textId="77777777" w:rsidR="007426B7" w:rsidRDefault="007426B7" w:rsidP="00AC7860">
            <w:pPr>
              <w:rPr>
                <w:sz w:val="22"/>
                <w:szCs w:val="22"/>
              </w:rPr>
            </w:pPr>
            <w:r>
              <w:rPr>
                <w:sz w:val="22"/>
                <w:szCs w:val="22"/>
              </w:rPr>
              <w:t>New Services Delegation.</w:t>
            </w:r>
          </w:p>
          <w:p w14:paraId="74BEA0D9" w14:textId="77777777" w:rsidR="007426B7" w:rsidRDefault="007426B7" w:rsidP="00AC7860">
            <w:pPr>
              <w:rPr>
                <w:sz w:val="22"/>
                <w:szCs w:val="22"/>
              </w:rPr>
            </w:pPr>
          </w:p>
          <w:p w14:paraId="502DAC14" w14:textId="77777777" w:rsidR="007426B7" w:rsidRDefault="007426B7" w:rsidP="00AC7860">
            <w:pPr>
              <w:rPr>
                <w:sz w:val="22"/>
                <w:szCs w:val="22"/>
              </w:rPr>
            </w:pPr>
            <w:r>
              <w:rPr>
                <w:sz w:val="22"/>
                <w:szCs w:val="22"/>
              </w:rPr>
              <w:t>Small Setting Protection</w:t>
            </w:r>
            <w:r w:rsidR="00FA388E">
              <w:rPr>
                <w:sz w:val="22"/>
                <w:szCs w:val="22"/>
              </w:rPr>
              <w:t>.</w:t>
            </w:r>
          </w:p>
          <w:p w14:paraId="032F4FDD" w14:textId="77777777" w:rsidR="007426B7" w:rsidRDefault="007426B7" w:rsidP="00AC7860">
            <w:pPr>
              <w:rPr>
                <w:sz w:val="22"/>
                <w:szCs w:val="22"/>
              </w:rPr>
            </w:pPr>
          </w:p>
          <w:p w14:paraId="49178788" w14:textId="77777777" w:rsidR="007426B7" w:rsidRDefault="007426B7" w:rsidP="00AC7860">
            <w:pPr>
              <w:rPr>
                <w:sz w:val="22"/>
                <w:szCs w:val="22"/>
              </w:rPr>
            </w:pPr>
            <w:r>
              <w:rPr>
                <w:sz w:val="22"/>
                <w:szCs w:val="22"/>
              </w:rPr>
              <w:t>3% Cash Budget Protection.</w:t>
            </w:r>
          </w:p>
          <w:p w14:paraId="26B759BB" w14:textId="77777777" w:rsidR="00A03632" w:rsidRDefault="00A03632" w:rsidP="00AC7860">
            <w:pPr>
              <w:rPr>
                <w:sz w:val="22"/>
                <w:szCs w:val="22"/>
              </w:rPr>
            </w:pPr>
          </w:p>
          <w:p w14:paraId="62FA25EF" w14:textId="77777777" w:rsidR="00A03632" w:rsidRDefault="00FA388E" w:rsidP="00877D3E">
            <w:pPr>
              <w:rPr>
                <w:sz w:val="22"/>
                <w:szCs w:val="22"/>
              </w:rPr>
            </w:pPr>
            <w:r>
              <w:rPr>
                <w:sz w:val="22"/>
                <w:szCs w:val="22"/>
              </w:rPr>
              <w:t>S</w:t>
            </w:r>
            <w:r w:rsidR="00A03632">
              <w:rPr>
                <w:sz w:val="22"/>
                <w:szCs w:val="22"/>
              </w:rPr>
              <w:t xml:space="preserve">ee appendix </w:t>
            </w:r>
            <w:r w:rsidR="00877D3E">
              <w:rPr>
                <w:sz w:val="22"/>
                <w:szCs w:val="22"/>
              </w:rPr>
              <w:t>3.</w:t>
            </w:r>
          </w:p>
        </w:tc>
        <w:tc>
          <w:tcPr>
            <w:tcW w:w="1985" w:type="dxa"/>
          </w:tcPr>
          <w:p w14:paraId="318E3B36" w14:textId="4E7028A5" w:rsidR="007426B7" w:rsidRDefault="007A2A6A" w:rsidP="00AC7860">
            <w:pPr>
              <w:rPr>
                <w:sz w:val="22"/>
                <w:szCs w:val="22"/>
              </w:rPr>
            </w:pPr>
            <w:r>
              <w:rPr>
                <w:sz w:val="22"/>
                <w:szCs w:val="22"/>
              </w:rPr>
              <w:t>Teacher Pay and Teacher Pensions Grants</w:t>
            </w:r>
            <w:r w:rsidR="00C87439">
              <w:rPr>
                <w:sz w:val="22"/>
                <w:szCs w:val="22"/>
              </w:rPr>
              <w:t>.</w:t>
            </w:r>
          </w:p>
          <w:p w14:paraId="388243FC" w14:textId="77777777" w:rsidR="00C87439" w:rsidRDefault="00C87439" w:rsidP="00AC7860">
            <w:pPr>
              <w:rPr>
                <w:sz w:val="22"/>
                <w:szCs w:val="22"/>
              </w:rPr>
            </w:pPr>
          </w:p>
          <w:p w14:paraId="77700E35" w14:textId="77777777" w:rsidR="00C87439" w:rsidRDefault="00C87439" w:rsidP="00AC7860">
            <w:pPr>
              <w:rPr>
                <w:sz w:val="22"/>
                <w:szCs w:val="22"/>
              </w:rPr>
            </w:pPr>
            <w:r>
              <w:rPr>
                <w:sz w:val="22"/>
                <w:szCs w:val="22"/>
              </w:rPr>
              <w:t xml:space="preserve">Additional </w:t>
            </w:r>
            <w:r w:rsidR="00D41712">
              <w:rPr>
                <w:sz w:val="22"/>
                <w:szCs w:val="22"/>
              </w:rPr>
              <w:t>“3.4% Place-Element”</w:t>
            </w:r>
            <w:r>
              <w:rPr>
                <w:sz w:val="22"/>
                <w:szCs w:val="22"/>
              </w:rPr>
              <w:t xml:space="preserve"> Funding required by DfE (D</w:t>
            </w:r>
            <w:r w:rsidR="00D41712">
              <w:rPr>
                <w:sz w:val="22"/>
                <w:szCs w:val="22"/>
              </w:rPr>
              <w:t>SG Conditions of Grant</w:t>
            </w:r>
            <w:r>
              <w:rPr>
                <w:sz w:val="22"/>
                <w:szCs w:val="22"/>
              </w:rPr>
              <w:t>).</w:t>
            </w:r>
          </w:p>
          <w:p w14:paraId="7D945278" w14:textId="77777777" w:rsidR="00981A96" w:rsidRDefault="00981A96" w:rsidP="00AC7860">
            <w:pPr>
              <w:rPr>
                <w:sz w:val="22"/>
                <w:szCs w:val="22"/>
              </w:rPr>
            </w:pPr>
          </w:p>
          <w:p w14:paraId="7876EB51" w14:textId="07AA5F76" w:rsidR="00981A96" w:rsidRDefault="00981A96" w:rsidP="00AC7860">
            <w:pPr>
              <w:rPr>
                <w:sz w:val="22"/>
                <w:szCs w:val="22"/>
              </w:rPr>
            </w:pPr>
            <w:r>
              <w:rPr>
                <w:sz w:val="22"/>
                <w:szCs w:val="22"/>
              </w:rPr>
              <w:t>Core Schools Budget Grant (CSBG)</w:t>
            </w:r>
          </w:p>
        </w:tc>
      </w:tr>
      <w:tr w:rsidR="007426B7" w14:paraId="0F8CB42A" w14:textId="77777777" w:rsidTr="00355873">
        <w:tc>
          <w:tcPr>
            <w:tcW w:w="2376" w:type="dxa"/>
          </w:tcPr>
          <w:p w14:paraId="633C78E8" w14:textId="77777777" w:rsidR="007426B7" w:rsidRPr="003235F9" w:rsidRDefault="007426B7" w:rsidP="004308EC">
            <w:pPr>
              <w:rPr>
                <w:sz w:val="22"/>
                <w:szCs w:val="22"/>
              </w:rPr>
            </w:pPr>
            <w:r w:rsidRPr="003235F9">
              <w:rPr>
                <w:b/>
                <w:sz w:val="22"/>
                <w:szCs w:val="22"/>
              </w:rPr>
              <w:t>PRUs</w:t>
            </w:r>
            <w:r w:rsidR="003235F9">
              <w:rPr>
                <w:b/>
                <w:sz w:val="22"/>
                <w:szCs w:val="22"/>
              </w:rPr>
              <w:t xml:space="preserve"> &amp; AP </w:t>
            </w:r>
            <w:r w:rsidR="00E64EE3">
              <w:rPr>
                <w:b/>
                <w:sz w:val="22"/>
                <w:szCs w:val="22"/>
              </w:rPr>
              <w:t>Academies</w:t>
            </w:r>
            <w:r w:rsidR="004308EC" w:rsidRPr="003235F9">
              <w:rPr>
                <w:sz w:val="22"/>
                <w:szCs w:val="22"/>
              </w:rPr>
              <w:t xml:space="preserve"> (funding provision for pupils permanently excluded).</w:t>
            </w:r>
          </w:p>
          <w:p w14:paraId="21F750DF" w14:textId="77777777" w:rsidR="004308EC" w:rsidRDefault="004308EC" w:rsidP="004308EC">
            <w:pPr>
              <w:rPr>
                <w:sz w:val="22"/>
                <w:szCs w:val="22"/>
              </w:rPr>
            </w:pPr>
          </w:p>
          <w:p w14:paraId="27E646C4" w14:textId="77777777" w:rsidR="004308EC" w:rsidRPr="004308EC" w:rsidRDefault="004308EC" w:rsidP="003235F9">
            <w:pPr>
              <w:rPr>
                <w:i/>
                <w:sz w:val="22"/>
                <w:szCs w:val="22"/>
              </w:rPr>
            </w:pPr>
          </w:p>
        </w:tc>
        <w:tc>
          <w:tcPr>
            <w:tcW w:w="2268" w:type="dxa"/>
          </w:tcPr>
          <w:p w14:paraId="4835992E" w14:textId="77777777" w:rsidR="00E32B6E" w:rsidRDefault="00E32B6E" w:rsidP="00E32B6E">
            <w:pPr>
              <w:rPr>
                <w:sz w:val="22"/>
                <w:szCs w:val="22"/>
              </w:rPr>
            </w:pPr>
            <w:r>
              <w:rPr>
                <w:sz w:val="22"/>
                <w:szCs w:val="22"/>
              </w:rPr>
              <w:t>Elements 1 and 2 are combined in a fixed £10,000 per place, based on an agreed number of places to be commissioned.</w:t>
            </w:r>
          </w:p>
          <w:p w14:paraId="4B425A98" w14:textId="77777777" w:rsidR="007426B7" w:rsidRDefault="007426B7" w:rsidP="00FE01F3">
            <w:pPr>
              <w:rPr>
                <w:sz w:val="22"/>
                <w:szCs w:val="22"/>
              </w:rPr>
            </w:pPr>
          </w:p>
          <w:p w14:paraId="4B9A4DBD" w14:textId="77777777" w:rsidR="004308EC" w:rsidRDefault="004308EC" w:rsidP="004308EC">
            <w:pPr>
              <w:rPr>
                <w:sz w:val="22"/>
                <w:szCs w:val="22"/>
              </w:rPr>
            </w:pPr>
            <w:r>
              <w:rPr>
                <w:sz w:val="22"/>
                <w:szCs w:val="22"/>
              </w:rPr>
              <w:t>Retained by the PRU</w:t>
            </w:r>
            <w:r w:rsidR="00061220">
              <w:rPr>
                <w:sz w:val="22"/>
                <w:szCs w:val="22"/>
              </w:rPr>
              <w:t xml:space="preserve"> / AP Academy</w:t>
            </w:r>
            <w:r>
              <w:rPr>
                <w:sz w:val="22"/>
                <w:szCs w:val="22"/>
              </w:rPr>
              <w:t>.</w:t>
            </w:r>
          </w:p>
          <w:p w14:paraId="79A5214D" w14:textId="77777777" w:rsidR="004308EC" w:rsidRDefault="004308EC" w:rsidP="004308EC">
            <w:pPr>
              <w:rPr>
                <w:sz w:val="22"/>
                <w:szCs w:val="22"/>
              </w:rPr>
            </w:pPr>
          </w:p>
          <w:p w14:paraId="4EFB786A" w14:textId="77777777" w:rsidR="003235F9" w:rsidRDefault="003235F9" w:rsidP="004308EC">
            <w:pPr>
              <w:rPr>
                <w:sz w:val="22"/>
                <w:szCs w:val="22"/>
              </w:rPr>
            </w:pPr>
            <w:r>
              <w:rPr>
                <w:sz w:val="22"/>
                <w:szCs w:val="22"/>
              </w:rPr>
              <w:t>Additional place-funding is allocated in real time where occupancy is exceeded, with an end of year reconciliation to ensure no overall overpayment of additional place-led funding for the actual total composite occupancy across the year.</w:t>
            </w:r>
          </w:p>
          <w:p w14:paraId="204754A6" w14:textId="77777777" w:rsidR="004308EC" w:rsidRDefault="004308EC" w:rsidP="003235F9">
            <w:pPr>
              <w:rPr>
                <w:sz w:val="22"/>
                <w:szCs w:val="22"/>
              </w:rPr>
            </w:pPr>
          </w:p>
        </w:tc>
        <w:tc>
          <w:tcPr>
            <w:tcW w:w="2410" w:type="dxa"/>
          </w:tcPr>
          <w:p w14:paraId="6B872B7C" w14:textId="77777777" w:rsidR="007426B7" w:rsidRDefault="007426B7" w:rsidP="00FE01F3">
            <w:pPr>
              <w:rPr>
                <w:sz w:val="22"/>
                <w:szCs w:val="22"/>
              </w:rPr>
            </w:pPr>
            <w:r>
              <w:rPr>
                <w:sz w:val="22"/>
                <w:szCs w:val="22"/>
              </w:rPr>
              <w:t xml:space="preserve">Agreed per-pupil </w:t>
            </w:r>
            <w:r w:rsidR="00D32993">
              <w:rPr>
                <w:sz w:val="22"/>
                <w:szCs w:val="22"/>
              </w:rPr>
              <w:t>top-up</w:t>
            </w:r>
            <w:r>
              <w:rPr>
                <w:sz w:val="22"/>
                <w:szCs w:val="22"/>
              </w:rPr>
              <w:t xml:space="preserve"> paid by th</w:t>
            </w:r>
            <w:r w:rsidR="004308EC">
              <w:rPr>
                <w:sz w:val="22"/>
                <w:szCs w:val="22"/>
              </w:rPr>
              <w:t>e commissioning local authority.</w:t>
            </w:r>
          </w:p>
          <w:p w14:paraId="3B9C2351" w14:textId="77777777" w:rsidR="007426B7" w:rsidRDefault="007426B7" w:rsidP="00FE01F3">
            <w:pPr>
              <w:rPr>
                <w:sz w:val="22"/>
                <w:szCs w:val="22"/>
              </w:rPr>
            </w:pPr>
          </w:p>
          <w:p w14:paraId="7003AA39" w14:textId="77777777" w:rsidR="007426B7" w:rsidRDefault="007426B7" w:rsidP="00FE01F3">
            <w:pPr>
              <w:rPr>
                <w:sz w:val="22"/>
                <w:szCs w:val="22"/>
              </w:rPr>
            </w:pPr>
            <w:r>
              <w:rPr>
                <w:sz w:val="22"/>
                <w:szCs w:val="22"/>
              </w:rPr>
              <w:t>Allocated in ‘real time’ during the year. Changes for starters and leavers.</w:t>
            </w:r>
          </w:p>
          <w:p w14:paraId="57A637B4" w14:textId="77777777" w:rsidR="007426B7" w:rsidRDefault="007426B7" w:rsidP="00FE01F3">
            <w:pPr>
              <w:rPr>
                <w:sz w:val="22"/>
                <w:szCs w:val="22"/>
              </w:rPr>
            </w:pPr>
          </w:p>
          <w:p w14:paraId="1EB3DCEB" w14:textId="77777777" w:rsidR="004308EC" w:rsidRPr="00A17E7D" w:rsidRDefault="003235F9" w:rsidP="004308EC">
            <w:pPr>
              <w:rPr>
                <w:sz w:val="22"/>
                <w:szCs w:val="22"/>
              </w:rPr>
            </w:pPr>
            <w:r>
              <w:rPr>
                <w:sz w:val="22"/>
                <w:szCs w:val="22"/>
              </w:rPr>
              <w:t xml:space="preserve">Uses the </w:t>
            </w:r>
            <w:r w:rsidR="004308EC" w:rsidRPr="00A17E7D">
              <w:rPr>
                <w:sz w:val="22"/>
                <w:szCs w:val="22"/>
              </w:rPr>
              <w:t xml:space="preserve">Day Rate </w:t>
            </w:r>
            <w:r w:rsidRPr="00A17E7D">
              <w:rPr>
                <w:sz w:val="22"/>
                <w:szCs w:val="22"/>
              </w:rPr>
              <w:t xml:space="preserve">Model (see </w:t>
            </w:r>
            <w:r w:rsidR="00D1596F" w:rsidRPr="006829B3">
              <w:rPr>
                <w:color w:val="000000" w:themeColor="text1"/>
                <w:sz w:val="22"/>
                <w:szCs w:val="22"/>
              </w:rPr>
              <w:t>section</w:t>
            </w:r>
            <w:r w:rsidR="00483240" w:rsidRPr="006829B3">
              <w:rPr>
                <w:color w:val="000000" w:themeColor="text1"/>
                <w:sz w:val="22"/>
                <w:szCs w:val="22"/>
              </w:rPr>
              <w:t xml:space="preserve"> 8</w:t>
            </w:r>
            <w:r w:rsidRPr="006829B3">
              <w:rPr>
                <w:color w:val="000000" w:themeColor="text1"/>
                <w:sz w:val="22"/>
                <w:szCs w:val="22"/>
              </w:rPr>
              <w:t>)</w:t>
            </w:r>
          </w:p>
          <w:p w14:paraId="752EE5C1" w14:textId="77777777" w:rsidR="004308EC" w:rsidRDefault="004308EC" w:rsidP="004308EC">
            <w:pPr>
              <w:rPr>
                <w:sz w:val="22"/>
                <w:szCs w:val="22"/>
              </w:rPr>
            </w:pPr>
          </w:p>
          <w:p w14:paraId="23311AC5" w14:textId="77777777" w:rsidR="004308EC" w:rsidRDefault="004308EC" w:rsidP="004308EC">
            <w:pPr>
              <w:rPr>
                <w:sz w:val="22"/>
                <w:szCs w:val="22"/>
              </w:rPr>
            </w:pPr>
            <w:r>
              <w:rPr>
                <w:sz w:val="22"/>
                <w:szCs w:val="22"/>
              </w:rPr>
              <w:t xml:space="preserve">The </w:t>
            </w:r>
            <w:r w:rsidR="00D32993">
              <w:rPr>
                <w:sz w:val="22"/>
                <w:szCs w:val="22"/>
              </w:rPr>
              <w:t>top-up</w:t>
            </w:r>
            <w:r>
              <w:rPr>
                <w:sz w:val="22"/>
                <w:szCs w:val="22"/>
              </w:rPr>
              <w:t xml:space="preserve"> funding is allocat</w:t>
            </w:r>
            <w:r w:rsidR="00020933">
              <w:rPr>
                <w:sz w:val="22"/>
                <w:szCs w:val="22"/>
              </w:rPr>
              <w:t>ed to and retained by the PRU</w:t>
            </w:r>
            <w:r w:rsidR="00061220">
              <w:rPr>
                <w:sz w:val="22"/>
                <w:szCs w:val="22"/>
              </w:rPr>
              <w:t xml:space="preserve"> / AP Academy</w:t>
            </w:r>
            <w:r>
              <w:rPr>
                <w:sz w:val="22"/>
                <w:szCs w:val="22"/>
              </w:rPr>
              <w:t>.</w:t>
            </w:r>
          </w:p>
          <w:p w14:paraId="2DDCC292" w14:textId="77777777" w:rsidR="00995305" w:rsidRDefault="00995305" w:rsidP="00FE01F3">
            <w:pPr>
              <w:rPr>
                <w:sz w:val="22"/>
                <w:szCs w:val="22"/>
              </w:rPr>
            </w:pPr>
          </w:p>
        </w:tc>
        <w:tc>
          <w:tcPr>
            <w:tcW w:w="2410" w:type="dxa"/>
          </w:tcPr>
          <w:p w14:paraId="09212E10" w14:textId="77777777" w:rsidR="007426B7" w:rsidRDefault="007426B7" w:rsidP="00FE01F3">
            <w:pPr>
              <w:rPr>
                <w:sz w:val="22"/>
                <w:szCs w:val="22"/>
              </w:rPr>
            </w:pPr>
            <w:r>
              <w:rPr>
                <w:sz w:val="22"/>
                <w:szCs w:val="22"/>
              </w:rPr>
              <w:t>n/a</w:t>
            </w:r>
          </w:p>
        </w:tc>
        <w:tc>
          <w:tcPr>
            <w:tcW w:w="2126" w:type="dxa"/>
          </w:tcPr>
          <w:p w14:paraId="58F0D92D" w14:textId="77777777" w:rsidR="007426B7" w:rsidRDefault="007426B7" w:rsidP="00FE01F3">
            <w:pPr>
              <w:rPr>
                <w:sz w:val="22"/>
                <w:szCs w:val="22"/>
              </w:rPr>
            </w:pPr>
            <w:r>
              <w:rPr>
                <w:sz w:val="22"/>
                <w:szCs w:val="22"/>
              </w:rPr>
              <w:t>n/a</w:t>
            </w:r>
          </w:p>
        </w:tc>
        <w:tc>
          <w:tcPr>
            <w:tcW w:w="2126" w:type="dxa"/>
          </w:tcPr>
          <w:p w14:paraId="2AC88A7C" w14:textId="77777777" w:rsidR="007426B7" w:rsidRDefault="00020933" w:rsidP="00FE01F3">
            <w:pPr>
              <w:rPr>
                <w:sz w:val="22"/>
                <w:szCs w:val="22"/>
              </w:rPr>
            </w:pPr>
            <w:r>
              <w:rPr>
                <w:sz w:val="22"/>
                <w:szCs w:val="22"/>
              </w:rPr>
              <w:t>No specific additional factors –setting-led need costs are</w:t>
            </w:r>
            <w:r w:rsidR="00995305">
              <w:rPr>
                <w:sz w:val="22"/>
                <w:szCs w:val="22"/>
              </w:rPr>
              <w:t xml:space="preserve"> to be</w:t>
            </w:r>
            <w:r>
              <w:rPr>
                <w:sz w:val="22"/>
                <w:szCs w:val="22"/>
              </w:rPr>
              <w:t xml:space="preserve"> covered</w:t>
            </w:r>
            <w:r w:rsidR="00995305">
              <w:rPr>
                <w:sz w:val="22"/>
                <w:szCs w:val="22"/>
              </w:rPr>
              <w:t xml:space="preserve"> within the calculation of the Day R</w:t>
            </w:r>
            <w:r>
              <w:rPr>
                <w:sz w:val="22"/>
                <w:szCs w:val="22"/>
              </w:rPr>
              <w:t>ate.</w:t>
            </w:r>
          </w:p>
        </w:tc>
        <w:tc>
          <w:tcPr>
            <w:tcW w:w="1985" w:type="dxa"/>
          </w:tcPr>
          <w:p w14:paraId="6A75898A" w14:textId="4DD29CE5" w:rsidR="007426B7" w:rsidRDefault="007A2A6A" w:rsidP="00FE01F3">
            <w:pPr>
              <w:rPr>
                <w:sz w:val="22"/>
                <w:szCs w:val="22"/>
              </w:rPr>
            </w:pPr>
            <w:r>
              <w:rPr>
                <w:sz w:val="22"/>
                <w:szCs w:val="22"/>
              </w:rPr>
              <w:t>Teacher Pay and Teacher Pensions Grants</w:t>
            </w:r>
            <w:r w:rsidR="00C87439">
              <w:rPr>
                <w:sz w:val="22"/>
                <w:szCs w:val="22"/>
              </w:rPr>
              <w:t>.</w:t>
            </w:r>
          </w:p>
          <w:p w14:paraId="3A2A72D0" w14:textId="77777777" w:rsidR="00C87439" w:rsidRDefault="00C87439" w:rsidP="00FE01F3">
            <w:pPr>
              <w:rPr>
                <w:sz w:val="22"/>
                <w:szCs w:val="22"/>
              </w:rPr>
            </w:pPr>
          </w:p>
          <w:p w14:paraId="4749A1C9" w14:textId="77777777" w:rsidR="00C87439" w:rsidRDefault="00D41712" w:rsidP="00FE01F3">
            <w:pPr>
              <w:rPr>
                <w:sz w:val="22"/>
                <w:szCs w:val="22"/>
              </w:rPr>
            </w:pPr>
            <w:r>
              <w:rPr>
                <w:sz w:val="22"/>
                <w:szCs w:val="22"/>
              </w:rPr>
              <w:t>Additional “3.4% Place-Element” Funding required by DfE (DSG Conditions of Grant).</w:t>
            </w:r>
          </w:p>
          <w:p w14:paraId="4FA7DAB0" w14:textId="77777777" w:rsidR="00981A96" w:rsidRDefault="00981A96" w:rsidP="00FE01F3">
            <w:pPr>
              <w:rPr>
                <w:sz w:val="22"/>
                <w:szCs w:val="22"/>
              </w:rPr>
            </w:pPr>
          </w:p>
          <w:p w14:paraId="09835CD3" w14:textId="757D633B" w:rsidR="00981A96" w:rsidRDefault="00981A96" w:rsidP="00FE01F3">
            <w:pPr>
              <w:rPr>
                <w:sz w:val="22"/>
                <w:szCs w:val="22"/>
              </w:rPr>
            </w:pPr>
            <w:r>
              <w:rPr>
                <w:sz w:val="22"/>
                <w:szCs w:val="22"/>
              </w:rPr>
              <w:t>Core Schools Budget Grant (CSBG)</w:t>
            </w:r>
          </w:p>
        </w:tc>
      </w:tr>
      <w:tr w:rsidR="007426B7" w14:paraId="474874D4" w14:textId="77777777" w:rsidTr="00355873">
        <w:tc>
          <w:tcPr>
            <w:tcW w:w="2376" w:type="dxa"/>
          </w:tcPr>
          <w:p w14:paraId="23E87ADD" w14:textId="77777777" w:rsidR="007426B7" w:rsidRPr="003235F9" w:rsidRDefault="007426B7" w:rsidP="008D56E1">
            <w:pPr>
              <w:rPr>
                <w:b/>
                <w:sz w:val="22"/>
                <w:szCs w:val="22"/>
              </w:rPr>
            </w:pPr>
            <w:r w:rsidRPr="003235F9">
              <w:rPr>
                <w:b/>
                <w:sz w:val="22"/>
                <w:szCs w:val="22"/>
              </w:rPr>
              <w:t>Hospital Education</w:t>
            </w:r>
            <w:r w:rsidR="002859AA" w:rsidRPr="003235F9">
              <w:rPr>
                <w:b/>
                <w:sz w:val="22"/>
                <w:szCs w:val="22"/>
              </w:rPr>
              <w:t>, Tracks and Medical Home Tuition.</w:t>
            </w:r>
          </w:p>
          <w:p w14:paraId="28BE2E54" w14:textId="77777777" w:rsidR="002859AA" w:rsidRDefault="002859AA" w:rsidP="008D56E1">
            <w:pPr>
              <w:rPr>
                <w:sz w:val="22"/>
                <w:szCs w:val="22"/>
              </w:rPr>
            </w:pPr>
          </w:p>
          <w:p w14:paraId="23040F47" w14:textId="77777777" w:rsidR="002859AA" w:rsidRPr="002859AA" w:rsidRDefault="002859AA" w:rsidP="003235F9">
            <w:pPr>
              <w:rPr>
                <w:i/>
                <w:sz w:val="22"/>
                <w:szCs w:val="22"/>
              </w:rPr>
            </w:pPr>
          </w:p>
        </w:tc>
        <w:tc>
          <w:tcPr>
            <w:tcW w:w="2268" w:type="dxa"/>
          </w:tcPr>
          <w:p w14:paraId="6DCAEA8F" w14:textId="77777777" w:rsidR="007426B7" w:rsidRDefault="002859AA" w:rsidP="00AC7860">
            <w:pPr>
              <w:rPr>
                <w:sz w:val="22"/>
                <w:szCs w:val="22"/>
              </w:rPr>
            </w:pPr>
            <w:r w:rsidRPr="002859AA">
              <w:rPr>
                <w:sz w:val="22"/>
                <w:szCs w:val="22"/>
              </w:rPr>
              <w:t>The funding of the centrally managed</w:t>
            </w:r>
            <w:r w:rsidR="003235F9">
              <w:rPr>
                <w:sz w:val="22"/>
                <w:szCs w:val="22"/>
              </w:rPr>
              <w:t xml:space="preserve"> services</w:t>
            </w:r>
            <w:r w:rsidR="00995305">
              <w:rPr>
                <w:sz w:val="22"/>
                <w:szCs w:val="22"/>
              </w:rPr>
              <w:t xml:space="preserve"> operate</w:t>
            </w:r>
            <w:r w:rsidR="003235F9">
              <w:rPr>
                <w:sz w:val="22"/>
                <w:szCs w:val="22"/>
              </w:rPr>
              <w:t>s</w:t>
            </w:r>
            <w:r w:rsidR="00995305">
              <w:rPr>
                <w:sz w:val="22"/>
                <w:szCs w:val="22"/>
              </w:rPr>
              <w:t xml:space="preserve"> outside</w:t>
            </w:r>
            <w:r w:rsidRPr="002859AA">
              <w:rPr>
                <w:sz w:val="22"/>
                <w:szCs w:val="22"/>
              </w:rPr>
              <w:t xml:space="preserve"> the Place-Plus mechanism, working within </w:t>
            </w:r>
            <w:r w:rsidR="00F952FE">
              <w:rPr>
                <w:sz w:val="22"/>
                <w:szCs w:val="22"/>
              </w:rPr>
              <w:t>the discrete allocation provided</w:t>
            </w:r>
            <w:r w:rsidRPr="002859AA">
              <w:rPr>
                <w:sz w:val="22"/>
                <w:szCs w:val="22"/>
              </w:rPr>
              <w:t xml:space="preserve"> for this service within our HNB</w:t>
            </w:r>
            <w:r>
              <w:rPr>
                <w:sz w:val="22"/>
                <w:szCs w:val="22"/>
              </w:rPr>
              <w:t>. This will be subject to annual review</w:t>
            </w:r>
            <w:r w:rsidR="003B3C06">
              <w:rPr>
                <w:sz w:val="22"/>
                <w:szCs w:val="22"/>
              </w:rPr>
              <w:t xml:space="preserve"> to incorporate</w:t>
            </w:r>
            <w:r w:rsidR="00995305">
              <w:rPr>
                <w:sz w:val="22"/>
                <w:szCs w:val="22"/>
              </w:rPr>
              <w:t xml:space="preserve"> any changes </w:t>
            </w:r>
            <w:r w:rsidR="003B3C06">
              <w:rPr>
                <w:sz w:val="22"/>
                <w:szCs w:val="22"/>
              </w:rPr>
              <w:t xml:space="preserve">in </w:t>
            </w:r>
            <w:r w:rsidR="00995305">
              <w:rPr>
                <w:sz w:val="22"/>
                <w:szCs w:val="22"/>
              </w:rPr>
              <w:t>the DfE</w:t>
            </w:r>
            <w:r w:rsidR="00024671">
              <w:rPr>
                <w:sz w:val="22"/>
                <w:szCs w:val="22"/>
              </w:rPr>
              <w:t>’s funding methodology and requirements</w:t>
            </w:r>
            <w:r>
              <w:rPr>
                <w:sz w:val="22"/>
                <w:szCs w:val="22"/>
              </w:rPr>
              <w:t>.</w:t>
            </w:r>
          </w:p>
          <w:p w14:paraId="1C957300" w14:textId="77777777" w:rsidR="002859AA" w:rsidRPr="002859AA" w:rsidRDefault="002859AA" w:rsidP="003235F9">
            <w:pPr>
              <w:rPr>
                <w:sz w:val="22"/>
                <w:szCs w:val="22"/>
              </w:rPr>
            </w:pPr>
          </w:p>
        </w:tc>
        <w:tc>
          <w:tcPr>
            <w:tcW w:w="2410" w:type="dxa"/>
          </w:tcPr>
          <w:p w14:paraId="2C699500" w14:textId="77777777" w:rsidR="007426B7" w:rsidRPr="00673F1E" w:rsidRDefault="002859AA" w:rsidP="00AC7860">
            <w:pPr>
              <w:rPr>
                <w:sz w:val="22"/>
                <w:szCs w:val="22"/>
              </w:rPr>
            </w:pPr>
            <w:r w:rsidRPr="00673F1E">
              <w:rPr>
                <w:sz w:val="22"/>
                <w:szCs w:val="22"/>
              </w:rPr>
              <w:t>n/a</w:t>
            </w:r>
          </w:p>
        </w:tc>
        <w:tc>
          <w:tcPr>
            <w:tcW w:w="2410" w:type="dxa"/>
          </w:tcPr>
          <w:p w14:paraId="6985FE35" w14:textId="77777777" w:rsidR="007426B7" w:rsidRPr="00673F1E" w:rsidRDefault="007426B7" w:rsidP="00AC7860">
            <w:pPr>
              <w:rPr>
                <w:sz w:val="22"/>
                <w:szCs w:val="22"/>
              </w:rPr>
            </w:pPr>
            <w:r w:rsidRPr="00673F1E">
              <w:rPr>
                <w:sz w:val="22"/>
                <w:szCs w:val="22"/>
              </w:rPr>
              <w:t>n/a</w:t>
            </w:r>
          </w:p>
        </w:tc>
        <w:tc>
          <w:tcPr>
            <w:tcW w:w="2126" w:type="dxa"/>
          </w:tcPr>
          <w:p w14:paraId="547635F5" w14:textId="77777777" w:rsidR="007426B7" w:rsidRPr="00673F1E" w:rsidRDefault="007426B7" w:rsidP="00AC7860">
            <w:pPr>
              <w:rPr>
                <w:sz w:val="22"/>
                <w:szCs w:val="22"/>
              </w:rPr>
            </w:pPr>
            <w:r w:rsidRPr="00673F1E">
              <w:rPr>
                <w:sz w:val="22"/>
                <w:szCs w:val="22"/>
              </w:rPr>
              <w:t>n/a</w:t>
            </w:r>
          </w:p>
        </w:tc>
        <w:tc>
          <w:tcPr>
            <w:tcW w:w="2126" w:type="dxa"/>
          </w:tcPr>
          <w:p w14:paraId="5600D7C3" w14:textId="77777777" w:rsidR="007426B7" w:rsidRPr="00673F1E" w:rsidRDefault="007426B7" w:rsidP="00AC7860">
            <w:pPr>
              <w:rPr>
                <w:sz w:val="22"/>
                <w:szCs w:val="22"/>
              </w:rPr>
            </w:pPr>
            <w:r w:rsidRPr="00673F1E">
              <w:rPr>
                <w:sz w:val="22"/>
                <w:szCs w:val="22"/>
              </w:rPr>
              <w:t>None.</w:t>
            </w:r>
          </w:p>
        </w:tc>
        <w:tc>
          <w:tcPr>
            <w:tcW w:w="1985" w:type="dxa"/>
          </w:tcPr>
          <w:p w14:paraId="796232EC" w14:textId="3C2DF4BA" w:rsidR="007426B7" w:rsidRPr="00673F1E" w:rsidRDefault="007A2A6A" w:rsidP="00AC7860">
            <w:pPr>
              <w:rPr>
                <w:sz w:val="22"/>
                <w:szCs w:val="22"/>
              </w:rPr>
            </w:pPr>
            <w:r>
              <w:rPr>
                <w:sz w:val="22"/>
                <w:szCs w:val="22"/>
              </w:rPr>
              <w:t>Teacher Pay and Teacher Pensions Grants</w:t>
            </w:r>
          </w:p>
        </w:tc>
      </w:tr>
      <w:tr w:rsidR="007426B7" w14:paraId="306B7BC7" w14:textId="77777777" w:rsidTr="00355873">
        <w:tc>
          <w:tcPr>
            <w:tcW w:w="2376" w:type="dxa"/>
          </w:tcPr>
          <w:p w14:paraId="41B6D4D6" w14:textId="77777777" w:rsidR="007426B7" w:rsidRDefault="007426B7" w:rsidP="008D56E1">
            <w:pPr>
              <w:rPr>
                <w:sz w:val="22"/>
                <w:szCs w:val="22"/>
              </w:rPr>
            </w:pPr>
            <w:r w:rsidRPr="00271340">
              <w:rPr>
                <w:b/>
                <w:sz w:val="22"/>
                <w:szCs w:val="22"/>
              </w:rPr>
              <w:t>Further Education Institutions, special institutions and ILPs</w:t>
            </w:r>
            <w:r>
              <w:rPr>
                <w:sz w:val="22"/>
                <w:szCs w:val="22"/>
              </w:rPr>
              <w:t xml:space="preserve"> (post 16) </w:t>
            </w:r>
          </w:p>
        </w:tc>
        <w:tc>
          <w:tcPr>
            <w:tcW w:w="2268" w:type="dxa"/>
          </w:tcPr>
          <w:p w14:paraId="1E0FFE32" w14:textId="77777777" w:rsidR="007426B7" w:rsidRDefault="007426B7" w:rsidP="00AC7860">
            <w:pPr>
              <w:rPr>
                <w:sz w:val="22"/>
                <w:szCs w:val="22"/>
              </w:rPr>
            </w:pPr>
            <w:r>
              <w:rPr>
                <w:sz w:val="22"/>
                <w:szCs w:val="22"/>
              </w:rPr>
              <w:t>n/a</w:t>
            </w:r>
          </w:p>
          <w:p w14:paraId="66977F95" w14:textId="77777777" w:rsidR="007426B7" w:rsidRDefault="007426B7" w:rsidP="00AC7860">
            <w:pPr>
              <w:rPr>
                <w:sz w:val="22"/>
                <w:szCs w:val="22"/>
              </w:rPr>
            </w:pPr>
          </w:p>
          <w:p w14:paraId="5D06528A" w14:textId="77777777" w:rsidR="007426B7" w:rsidRDefault="007426B7" w:rsidP="00AC7860">
            <w:pPr>
              <w:rPr>
                <w:sz w:val="22"/>
                <w:szCs w:val="22"/>
              </w:rPr>
            </w:pPr>
          </w:p>
        </w:tc>
        <w:tc>
          <w:tcPr>
            <w:tcW w:w="2410" w:type="dxa"/>
          </w:tcPr>
          <w:p w14:paraId="5699690C" w14:textId="77777777" w:rsidR="007426B7" w:rsidRDefault="007426B7" w:rsidP="00AC7860">
            <w:pPr>
              <w:rPr>
                <w:sz w:val="22"/>
                <w:szCs w:val="22"/>
              </w:rPr>
            </w:pPr>
            <w:r>
              <w:rPr>
                <w:sz w:val="22"/>
                <w:szCs w:val="22"/>
              </w:rPr>
              <w:t>n/a</w:t>
            </w:r>
          </w:p>
        </w:tc>
        <w:tc>
          <w:tcPr>
            <w:tcW w:w="2410" w:type="dxa"/>
          </w:tcPr>
          <w:p w14:paraId="565FE74C" w14:textId="77777777" w:rsidR="007426B7" w:rsidRDefault="007426B7" w:rsidP="00AC7860">
            <w:pPr>
              <w:rPr>
                <w:sz w:val="22"/>
                <w:szCs w:val="22"/>
              </w:rPr>
            </w:pPr>
            <w:r>
              <w:rPr>
                <w:sz w:val="22"/>
                <w:szCs w:val="22"/>
              </w:rPr>
              <w:t>Element 1 (based on the 16-19 national funding formula) plus Element 2 (£6,000) based on the number of places to be funded.</w:t>
            </w:r>
          </w:p>
          <w:p w14:paraId="383924B4" w14:textId="77777777" w:rsidR="007426B7" w:rsidRDefault="007426B7" w:rsidP="00AC7860">
            <w:pPr>
              <w:rPr>
                <w:sz w:val="22"/>
                <w:szCs w:val="22"/>
              </w:rPr>
            </w:pPr>
          </w:p>
          <w:p w14:paraId="0341DBEB" w14:textId="77777777" w:rsidR="007426B7" w:rsidRDefault="007426B7" w:rsidP="00B779AD">
            <w:pPr>
              <w:rPr>
                <w:sz w:val="22"/>
                <w:szCs w:val="22"/>
              </w:rPr>
            </w:pPr>
            <w:r>
              <w:rPr>
                <w:sz w:val="22"/>
                <w:szCs w:val="22"/>
              </w:rPr>
              <w:t xml:space="preserve">Additional place-funding (element 2 only) can be allocated </w:t>
            </w:r>
            <w:r w:rsidR="00995305">
              <w:rPr>
                <w:sz w:val="22"/>
                <w:szCs w:val="22"/>
              </w:rPr>
              <w:t xml:space="preserve">in year </w:t>
            </w:r>
            <w:r>
              <w:rPr>
                <w:sz w:val="22"/>
                <w:szCs w:val="22"/>
              </w:rPr>
              <w:t>where occupancy exceeds</w:t>
            </w:r>
            <w:r w:rsidR="00995305">
              <w:rPr>
                <w:sz w:val="22"/>
                <w:szCs w:val="22"/>
              </w:rPr>
              <w:t xml:space="preserve"> agreed places,</w:t>
            </w:r>
            <w:r>
              <w:rPr>
                <w:sz w:val="22"/>
                <w:szCs w:val="22"/>
              </w:rPr>
              <w:t xml:space="preserve"> with an end of year reconciliation</w:t>
            </w:r>
            <w:r w:rsidR="00995305">
              <w:rPr>
                <w:sz w:val="22"/>
                <w:szCs w:val="22"/>
              </w:rPr>
              <w:t xml:space="preserve"> to ensure no overall overpayment</w:t>
            </w:r>
            <w:r>
              <w:rPr>
                <w:sz w:val="22"/>
                <w:szCs w:val="22"/>
              </w:rPr>
              <w:t>.</w:t>
            </w:r>
          </w:p>
          <w:p w14:paraId="109E87A3" w14:textId="77777777" w:rsidR="007426B7" w:rsidRDefault="007426B7" w:rsidP="00AC7860">
            <w:pPr>
              <w:rPr>
                <w:sz w:val="22"/>
                <w:szCs w:val="22"/>
              </w:rPr>
            </w:pPr>
          </w:p>
          <w:p w14:paraId="2CC633B6" w14:textId="77777777" w:rsidR="00271340" w:rsidRDefault="00271340" w:rsidP="00271340">
            <w:pPr>
              <w:rPr>
                <w:sz w:val="22"/>
                <w:szCs w:val="22"/>
              </w:rPr>
            </w:pPr>
            <w:r>
              <w:rPr>
                <w:sz w:val="22"/>
                <w:szCs w:val="22"/>
              </w:rPr>
              <w:t>Both Elements 1 and 2 are retained by the institution.</w:t>
            </w:r>
          </w:p>
          <w:p w14:paraId="4ABAA023" w14:textId="77777777" w:rsidR="00271340" w:rsidRDefault="00271340" w:rsidP="00AC7860">
            <w:pPr>
              <w:rPr>
                <w:sz w:val="22"/>
                <w:szCs w:val="22"/>
              </w:rPr>
            </w:pPr>
          </w:p>
        </w:tc>
        <w:tc>
          <w:tcPr>
            <w:tcW w:w="2126" w:type="dxa"/>
          </w:tcPr>
          <w:p w14:paraId="749E4271" w14:textId="77777777" w:rsidR="007426B7" w:rsidRDefault="007426B7" w:rsidP="00B779AD">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7667E02F" w14:textId="77777777" w:rsidR="007426B7" w:rsidRDefault="007426B7" w:rsidP="00B779AD">
            <w:pPr>
              <w:rPr>
                <w:sz w:val="22"/>
                <w:szCs w:val="22"/>
              </w:rPr>
            </w:pPr>
          </w:p>
          <w:p w14:paraId="0A106416" w14:textId="77777777" w:rsidR="007426B7" w:rsidRDefault="007426B7" w:rsidP="00B779AD">
            <w:pPr>
              <w:rPr>
                <w:sz w:val="22"/>
                <w:szCs w:val="22"/>
              </w:rPr>
            </w:pPr>
            <w:r>
              <w:rPr>
                <w:sz w:val="22"/>
                <w:szCs w:val="22"/>
              </w:rPr>
              <w:t>Allocated in ‘real time’ during the year. Changes for starters and leavers.</w:t>
            </w:r>
          </w:p>
          <w:p w14:paraId="31DC60F5" w14:textId="77777777" w:rsidR="007426B7" w:rsidRDefault="007426B7" w:rsidP="00B779AD">
            <w:pPr>
              <w:rPr>
                <w:sz w:val="22"/>
                <w:szCs w:val="22"/>
              </w:rPr>
            </w:pPr>
          </w:p>
          <w:p w14:paraId="6E805CFC" w14:textId="77777777" w:rsidR="008F34BE" w:rsidRDefault="00024671" w:rsidP="00271340">
            <w:pPr>
              <w:rPr>
                <w:sz w:val="22"/>
                <w:szCs w:val="22"/>
              </w:rPr>
            </w:pPr>
            <w:r>
              <w:rPr>
                <w:sz w:val="22"/>
                <w:szCs w:val="22"/>
              </w:rPr>
              <w:t xml:space="preserve">Uses the </w:t>
            </w:r>
            <w:r w:rsidR="00877D3E">
              <w:rPr>
                <w:sz w:val="22"/>
                <w:szCs w:val="22"/>
              </w:rPr>
              <w:t xml:space="preserve">Banded Model (see appendix 2). </w:t>
            </w:r>
          </w:p>
          <w:p w14:paraId="4D7C2269" w14:textId="77777777" w:rsidR="008F34BE" w:rsidRDefault="008F34BE" w:rsidP="00271340">
            <w:pPr>
              <w:rPr>
                <w:sz w:val="22"/>
                <w:szCs w:val="22"/>
              </w:rPr>
            </w:pPr>
          </w:p>
          <w:p w14:paraId="2E410185" w14:textId="77777777" w:rsidR="00271340" w:rsidRDefault="00061220" w:rsidP="00271340">
            <w:pPr>
              <w:rPr>
                <w:sz w:val="22"/>
                <w:szCs w:val="22"/>
              </w:rPr>
            </w:pPr>
            <w:r>
              <w:rPr>
                <w:sz w:val="22"/>
                <w:szCs w:val="22"/>
              </w:rPr>
              <w:t>Typically,</w:t>
            </w:r>
            <w:r w:rsidR="00271340">
              <w:rPr>
                <w:sz w:val="22"/>
                <w:szCs w:val="22"/>
              </w:rPr>
              <w:t xml:space="preserve"> values are funded at 60% for most </w:t>
            </w:r>
            <w:r w:rsidR="00271340" w:rsidRPr="006829B3">
              <w:rPr>
                <w:color w:val="000000" w:themeColor="text1"/>
                <w:sz w:val="22"/>
                <w:szCs w:val="22"/>
              </w:rPr>
              <w:t>placements</w:t>
            </w:r>
            <w:r w:rsidR="00CA51CD" w:rsidRPr="006829B3">
              <w:rPr>
                <w:color w:val="000000" w:themeColor="text1"/>
                <w:sz w:val="22"/>
                <w:szCs w:val="22"/>
              </w:rPr>
              <w:t xml:space="preserve"> (adjusted for the additional 40 hours)</w:t>
            </w:r>
            <w:r w:rsidR="00271340" w:rsidRPr="006829B3">
              <w:rPr>
                <w:color w:val="000000" w:themeColor="text1"/>
                <w:sz w:val="22"/>
                <w:szCs w:val="22"/>
              </w:rPr>
              <w:t>.</w:t>
            </w:r>
            <w:r w:rsidR="00995305" w:rsidRPr="006829B3">
              <w:rPr>
                <w:color w:val="000000" w:themeColor="text1"/>
                <w:sz w:val="22"/>
                <w:szCs w:val="22"/>
              </w:rPr>
              <w:t xml:space="preserve"> Higher cost placements </w:t>
            </w:r>
            <w:r w:rsidR="00995305">
              <w:rPr>
                <w:sz w:val="22"/>
                <w:szCs w:val="22"/>
              </w:rPr>
              <w:t>(low incidence high need) are typically funded on an actual cost basis.</w:t>
            </w:r>
          </w:p>
          <w:p w14:paraId="0EE409F6" w14:textId="77777777" w:rsidR="00271340" w:rsidRDefault="00271340" w:rsidP="00877D3E">
            <w:pPr>
              <w:rPr>
                <w:sz w:val="22"/>
                <w:szCs w:val="22"/>
              </w:rPr>
            </w:pPr>
          </w:p>
        </w:tc>
        <w:tc>
          <w:tcPr>
            <w:tcW w:w="2126" w:type="dxa"/>
          </w:tcPr>
          <w:p w14:paraId="5D5ED026" w14:textId="77777777" w:rsidR="007426B7" w:rsidRDefault="007426B7" w:rsidP="00AC7860">
            <w:pPr>
              <w:rPr>
                <w:sz w:val="22"/>
                <w:szCs w:val="22"/>
              </w:rPr>
            </w:pPr>
            <w:r>
              <w:rPr>
                <w:sz w:val="22"/>
                <w:szCs w:val="22"/>
              </w:rPr>
              <w:t>None.</w:t>
            </w:r>
          </w:p>
        </w:tc>
        <w:tc>
          <w:tcPr>
            <w:tcW w:w="1985" w:type="dxa"/>
          </w:tcPr>
          <w:p w14:paraId="19641AF9" w14:textId="77777777" w:rsidR="007426B7" w:rsidRDefault="007426B7" w:rsidP="00AC7860">
            <w:pPr>
              <w:rPr>
                <w:sz w:val="22"/>
                <w:szCs w:val="22"/>
              </w:rPr>
            </w:pPr>
            <w:r>
              <w:rPr>
                <w:sz w:val="22"/>
                <w:szCs w:val="22"/>
              </w:rPr>
              <w:t>None.</w:t>
            </w:r>
          </w:p>
        </w:tc>
      </w:tr>
      <w:tr w:rsidR="007426B7" w14:paraId="1B8FD2BD" w14:textId="77777777" w:rsidTr="00355873">
        <w:tc>
          <w:tcPr>
            <w:tcW w:w="2376" w:type="dxa"/>
          </w:tcPr>
          <w:p w14:paraId="26785969" w14:textId="77777777" w:rsidR="007426B7" w:rsidRPr="00271340" w:rsidRDefault="007426B7" w:rsidP="008D56E1">
            <w:pPr>
              <w:rPr>
                <w:b/>
                <w:sz w:val="22"/>
                <w:szCs w:val="22"/>
              </w:rPr>
            </w:pPr>
            <w:r w:rsidRPr="00271340">
              <w:rPr>
                <w:b/>
                <w:sz w:val="22"/>
                <w:szCs w:val="22"/>
              </w:rPr>
              <w:t>Independent Schools</w:t>
            </w:r>
          </w:p>
        </w:tc>
        <w:tc>
          <w:tcPr>
            <w:tcW w:w="2268" w:type="dxa"/>
          </w:tcPr>
          <w:p w14:paraId="720ADBFF" w14:textId="77777777" w:rsidR="007426B7" w:rsidRDefault="007426B7" w:rsidP="00AC7860">
            <w:pPr>
              <w:rPr>
                <w:sz w:val="22"/>
                <w:szCs w:val="22"/>
              </w:rPr>
            </w:pPr>
            <w:r>
              <w:rPr>
                <w:sz w:val="22"/>
                <w:szCs w:val="22"/>
              </w:rPr>
              <w:t>The place funding system doesn’t operate in independent schools.</w:t>
            </w:r>
          </w:p>
          <w:p w14:paraId="25A6B116" w14:textId="77777777" w:rsidR="007426B7" w:rsidRDefault="007426B7" w:rsidP="00AC7860">
            <w:pPr>
              <w:rPr>
                <w:sz w:val="22"/>
                <w:szCs w:val="22"/>
              </w:rPr>
            </w:pPr>
          </w:p>
        </w:tc>
        <w:tc>
          <w:tcPr>
            <w:tcW w:w="2410" w:type="dxa"/>
          </w:tcPr>
          <w:p w14:paraId="06E45EC1" w14:textId="77777777" w:rsidR="007426B7" w:rsidRDefault="007426B7" w:rsidP="00DB57B8">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0213C9B7" w14:textId="77777777" w:rsidR="007426B7" w:rsidRDefault="007426B7" w:rsidP="00AC7860">
            <w:pPr>
              <w:rPr>
                <w:sz w:val="22"/>
                <w:szCs w:val="22"/>
              </w:rPr>
            </w:pPr>
          </w:p>
        </w:tc>
        <w:tc>
          <w:tcPr>
            <w:tcW w:w="2410" w:type="dxa"/>
          </w:tcPr>
          <w:p w14:paraId="4C2E1C6A" w14:textId="77777777" w:rsidR="007426B7" w:rsidRDefault="007426B7" w:rsidP="00FE01F3">
            <w:pPr>
              <w:rPr>
                <w:sz w:val="22"/>
                <w:szCs w:val="22"/>
              </w:rPr>
            </w:pPr>
            <w:r>
              <w:rPr>
                <w:sz w:val="22"/>
                <w:szCs w:val="22"/>
              </w:rPr>
              <w:t>The place funding system doesn’t operate in independent schools.</w:t>
            </w:r>
          </w:p>
          <w:p w14:paraId="2004EB6C" w14:textId="77777777" w:rsidR="007426B7" w:rsidRDefault="007426B7" w:rsidP="00FE01F3">
            <w:pPr>
              <w:rPr>
                <w:sz w:val="22"/>
                <w:szCs w:val="22"/>
              </w:rPr>
            </w:pPr>
          </w:p>
        </w:tc>
        <w:tc>
          <w:tcPr>
            <w:tcW w:w="2126" w:type="dxa"/>
          </w:tcPr>
          <w:p w14:paraId="77C861B4" w14:textId="77777777" w:rsidR="007426B7" w:rsidRDefault="007426B7" w:rsidP="00FE01F3">
            <w:pPr>
              <w:rPr>
                <w:sz w:val="22"/>
                <w:szCs w:val="22"/>
              </w:rPr>
            </w:pPr>
            <w:r>
              <w:rPr>
                <w:sz w:val="22"/>
                <w:szCs w:val="22"/>
              </w:rPr>
              <w:t xml:space="preserve">Agreed per-pupil </w:t>
            </w:r>
            <w:r w:rsidR="00D32993">
              <w:rPr>
                <w:sz w:val="22"/>
                <w:szCs w:val="22"/>
              </w:rPr>
              <w:t>top-up</w:t>
            </w:r>
            <w:r>
              <w:rPr>
                <w:sz w:val="22"/>
                <w:szCs w:val="22"/>
              </w:rPr>
              <w:t xml:space="preserve"> paid by the commissioning local authority.</w:t>
            </w:r>
          </w:p>
          <w:p w14:paraId="5D591D91" w14:textId="77777777" w:rsidR="007426B7" w:rsidRDefault="007426B7" w:rsidP="00FE01F3">
            <w:pPr>
              <w:rPr>
                <w:sz w:val="22"/>
                <w:szCs w:val="22"/>
              </w:rPr>
            </w:pPr>
          </w:p>
        </w:tc>
        <w:tc>
          <w:tcPr>
            <w:tcW w:w="2126" w:type="dxa"/>
          </w:tcPr>
          <w:p w14:paraId="3ED02229" w14:textId="77777777" w:rsidR="007426B7" w:rsidRDefault="007426B7" w:rsidP="00AC7860">
            <w:pPr>
              <w:rPr>
                <w:sz w:val="22"/>
                <w:szCs w:val="22"/>
              </w:rPr>
            </w:pPr>
            <w:r>
              <w:rPr>
                <w:sz w:val="22"/>
                <w:szCs w:val="22"/>
              </w:rPr>
              <w:t>None.</w:t>
            </w:r>
          </w:p>
        </w:tc>
        <w:tc>
          <w:tcPr>
            <w:tcW w:w="1985" w:type="dxa"/>
          </w:tcPr>
          <w:p w14:paraId="51BB5A9B" w14:textId="4A124A27" w:rsidR="007426B7" w:rsidRDefault="007426B7" w:rsidP="00AC7860">
            <w:pPr>
              <w:rPr>
                <w:sz w:val="22"/>
                <w:szCs w:val="22"/>
              </w:rPr>
            </w:pPr>
          </w:p>
        </w:tc>
      </w:tr>
    </w:tbl>
    <w:p w14:paraId="77945BBF" w14:textId="77777777" w:rsidR="00D9166A" w:rsidRDefault="00D9166A" w:rsidP="00355873">
      <w:pPr>
        <w:jc w:val="both"/>
        <w:rPr>
          <w:sz w:val="22"/>
          <w:szCs w:val="22"/>
        </w:rPr>
      </w:pPr>
    </w:p>
    <w:p w14:paraId="1190AC58" w14:textId="77777777" w:rsidR="00517A8F" w:rsidRDefault="00517A8F" w:rsidP="00355873">
      <w:pPr>
        <w:jc w:val="both"/>
        <w:rPr>
          <w:sz w:val="22"/>
          <w:szCs w:val="22"/>
        </w:rPr>
      </w:pPr>
    </w:p>
    <w:p w14:paraId="76306C7B" w14:textId="77777777" w:rsidR="001F06CE" w:rsidRDefault="001F06CE" w:rsidP="00355873">
      <w:pPr>
        <w:jc w:val="both"/>
        <w:rPr>
          <w:sz w:val="22"/>
          <w:szCs w:val="22"/>
        </w:rPr>
      </w:pPr>
    </w:p>
    <w:p w14:paraId="3ABE9395" w14:textId="77777777" w:rsidR="001F06CE" w:rsidRDefault="001F06CE" w:rsidP="00355873">
      <w:pPr>
        <w:jc w:val="both"/>
        <w:rPr>
          <w:sz w:val="22"/>
          <w:szCs w:val="22"/>
        </w:rPr>
      </w:pPr>
    </w:p>
    <w:p w14:paraId="3C30A05C" w14:textId="77777777" w:rsidR="001F06CE" w:rsidRDefault="001F06CE" w:rsidP="00355873">
      <w:pPr>
        <w:jc w:val="both"/>
        <w:rPr>
          <w:sz w:val="22"/>
          <w:szCs w:val="22"/>
        </w:rPr>
      </w:pPr>
    </w:p>
    <w:p w14:paraId="3084AC1C" w14:textId="77777777" w:rsidR="001F06CE" w:rsidRDefault="001F06CE" w:rsidP="00355873">
      <w:pPr>
        <w:jc w:val="both"/>
        <w:rPr>
          <w:sz w:val="22"/>
          <w:szCs w:val="22"/>
        </w:rPr>
      </w:pPr>
    </w:p>
    <w:p w14:paraId="6CCB7AF9" w14:textId="77777777" w:rsidR="001F06CE" w:rsidRDefault="001F06CE" w:rsidP="00355873">
      <w:pPr>
        <w:jc w:val="both"/>
        <w:rPr>
          <w:sz w:val="22"/>
          <w:szCs w:val="22"/>
        </w:rPr>
      </w:pPr>
    </w:p>
    <w:p w14:paraId="7903B860" w14:textId="77777777" w:rsidR="005A63FC" w:rsidRDefault="005A63FC" w:rsidP="00355873">
      <w:pPr>
        <w:jc w:val="both"/>
        <w:rPr>
          <w:sz w:val="22"/>
          <w:szCs w:val="22"/>
        </w:rPr>
        <w:sectPr w:rsidR="005A63FC" w:rsidSect="005A63FC">
          <w:pgSz w:w="16838" w:h="11906" w:orient="landscape"/>
          <w:pgMar w:top="624" w:right="624" w:bottom="624" w:left="624" w:header="709" w:footer="709" w:gutter="0"/>
          <w:cols w:space="708"/>
          <w:docGrid w:linePitch="360"/>
        </w:sectPr>
      </w:pPr>
    </w:p>
    <w:p w14:paraId="0D339A24" w14:textId="59C3A927" w:rsidR="003B75EF" w:rsidRPr="007642E8" w:rsidRDefault="00877D3E" w:rsidP="00650B70">
      <w:pPr>
        <w:jc w:val="center"/>
        <w:rPr>
          <w:b/>
          <w:sz w:val="22"/>
          <w:szCs w:val="22"/>
        </w:rPr>
      </w:pPr>
      <w:r w:rsidRPr="0057205D">
        <w:rPr>
          <w:b/>
          <w:sz w:val="22"/>
          <w:szCs w:val="22"/>
        </w:rPr>
        <w:t>Appendix 2</w:t>
      </w:r>
    </w:p>
    <w:p w14:paraId="0FAD0589" w14:textId="77777777" w:rsidR="00BD0097" w:rsidRDefault="00BD0097" w:rsidP="00355873">
      <w:pPr>
        <w:jc w:val="center"/>
        <w:rPr>
          <w:b/>
          <w:sz w:val="22"/>
          <w:szCs w:val="22"/>
        </w:rPr>
      </w:pPr>
    </w:p>
    <w:p w14:paraId="7BBA23EB" w14:textId="3B25B10B" w:rsidR="003B75EF" w:rsidRPr="00716C50" w:rsidRDefault="007642E8" w:rsidP="00355873">
      <w:pPr>
        <w:jc w:val="center"/>
        <w:rPr>
          <w:b/>
          <w:sz w:val="22"/>
          <w:szCs w:val="22"/>
        </w:rPr>
      </w:pPr>
      <w:r>
        <w:rPr>
          <w:b/>
          <w:sz w:val="22"/>
          <w:szCs w:val="22"/>
        </w:rPr>
        <w:t xml:space="preserve">The </w:t>
      </w:r>
      <w:r w:rsidR="00840F75">
        <w:rPr>
          <w:b/>
          <w:sz w:val="22"/>
          <w:szCs w:val="22"/>
        </w:rPr>
        <w:t xml:space="preserve">EHCP </w:t>
      </w:r>
      <w:r w:rsidR="003B75EF" w:rsidRPr="003B75EF">
        <w:rPr>
          <w:b/>
          <w:sz w:val="22"/>
          <w:szCs w:val="22"/>
        </w:rPr>
        <w:t xml:space="preserve">Banded Model for </w:t>
      </w:r>
      <w:r w:rsidR="00F3262F">
        <w:rPr>
          <w:b/>
          <w:sz w:val="22"/>
          <w:szCs w:val="22"/>
        </w:rPr>
        <w:t xml:space="preserve">Funding </w:t>
      </w:r>
      <w:r w:rsidR="003B75EF" w:rsidRPr="003B75EF">
        <w:rPr>
          <w:b/>
          <w:sz w:val="22"/>
          <w:szCs w:val="22"/>
        </w:rPr>
        <w:t xml:space="preserve">Pupil-Led Need </w:t>
      </w:r>
      <w:r w:rsidR="00D32993">
        <w:rPr>
          <w:b/>
          <w:sz w:val="22"/>
          <w:szCs w:val="22"/>
        </w:rPr>
        <w:t>Top-up</w:t>
      </w:r>
    </w:p>
    <w:p w14:paraId="2F00F5B1" w14:textId="77777777" w:rsidR="003B75EF" w:rsidRDefault="003B75EF" w:rsidP="00355873">
      <w:pPr>
        <w:rPr>
          <w:rFonts w:cs="Arial"/>
          <w:b/>
          <w:sz w:val="22"/>
          <w:szCs w:val="22"/>
          <w:u w:val="single"/>
        </w:rPr>
      </w:pPr>
    </w:p>
    <w:p w14:paraId="52DE62F0" w14:textId="77777777" w:rsidR="003B75EF" w:rsidRDefault="003B75EF" w:rsidP="00355873">
      <w:pPr>
        <w:rPr>
          <w:rFonts w:cs="Arial"/>
          <w:b/>
          <w:sz w:val="22"/>
          <w:szCs w:val="22"/>
          <w:u w:val="single"/>
        </w:rPr>
      </w:pPr>
      <w:r>
        <w:rPr>
          <w:rFonts w:cs="Arial"/>
          <w:b/>
          <w:sz w:val="22"/>
          <w:szCs w:val="22"/>
          <w:u w:val="single"/>
        </w:rPr>
        <w:t>Introduction</w:t>
      </w:r>
    </w:p>
    <w:p w14:paraId="388670A6" w14:textId="77777777" w:rsidR="003B75EF" w:rsidRDefault="003B75EF" w:rsidP="00355873">
      <w:pPr>
        <w:jc w:val="both"/>
        <w:rPr>
          <w:rFonts w:cs="Arial"/>
          <w:b/>
          <w:sz w:val="22"/>
          <w:szCs w:val="22"/>
          <w:u w:val="single"/>
        </w:rPr>
      </w:pPr>
    </w:p>
    <w:p w14:paraId="189C5385" w14:textId="77777777" w:rsidR="003B75EF" w:rsidRPr="00BD0097" w:rsidRDefault="003B75EF" w:rsidP="00355873">
      <w:pPr>
        <w:jc w:val="both"/>
        <w:rPr>
          <w:rFonts w:cs="Arial"/>
          <w:sz w:val="22"/>
          <w:szCs w:val="22"/>
        </w:rPr>
      </w:pPr>
      <w:r w:rsidRPr="003B75EF">
        <w:rPr>
          <w:rFonts w:cs="Arial"/>
          <w:sz w:val="22"/>
          <w:szCs w:val="22"/>
        </w:rPr>
        <w:t>1.</w:t>
      </w:r>
      <w:r w:rsidRPr="00BD0097">
        <w:rPr>
          <w:rFonts w:cs="Arial"/>
          <w:sz w:val="22"/>
          <w:szCs w:val="22"/>
        </w:rPr>
        <w:t xml:space="preserve">1 Top-up funding (also known as Element 3 or ‘Plus’ funding) is the funding required by an institution, over and above place funding, to enable a child or young person with high needs to participate in education and learning. Top-up funding is expected </w:t>
      </w:r>
      <w:r w:rsidR="002B6DB0">
        <w:rPr>
          <w:rFonts w:cs="Arial"/>
          <w:sz w:val="22"/>
          <w:szCs w:val="22"/>
        </w:rPr>
        <w:t xml:space="preserve">to </w:t>
      </w:r>
      <w:r w:rsidRPr="00BD0097">
        <w:rPr>
          <w:rFonts w:cs="Arial"/>
          <w:sz w:val="22"/>
          <w:szCs w:val="22"/>
        </w:rPr>
        <w:t xml:space="preserve">reflect the cost of additional support an institution incurs related to the individual needs of the child or young person. </w:t>
      </w:r>
    </w:p>
    <w:p w14:paraId="403CC62C" w14:textId="77777777" w:rsidR="003B75EF" w:rsidRPr="00BD0097" w:rsidRDefault="003B75EF" w:rsidP="00355873">
      <w:pPr>
        <w:rPr>
          <w:rFonts w:cs="Arial"/>
          <w:sz w:val="22"/>
          <w:szCs w:val="22"/>
        </w:rPr>
      </w:pPr>
    </w:p>
    <w:p w14:paraId="768B49F1" w14:textId="77777777" w:rsidR="005170C9" w:rsidRDefault="003B75EF" w:rsidP="00355873">
      <w:pPr>
        <w:spacing w:after="200" w:line="276" w:lineRule="auto"/>
        <w:jc w:val="both"/>
        <w:rPr>
          <w:rFonts w:cs="Arial"/>
          <w:sz w:val="22"/>
          <w:szCs w:val="22"/>
        </w:rPr>
      </w:pPr>
      <w:r>
        <w:rPr>
          <w:rFonts w:cs="Arial"/>
          <w:sz w:val="22"/>
          <w:szCs w:val="22"/>
        </w:rPr>
        <w:t>1.2 As with many</w:t>
      </w:r>
      <w:r w:rsidR="007642E8">
        <w:rPr>
          <w:rFonts w:cs="Arial"/>
          <w:sz w:val="22"/>
          <w:szCs w:val="22"/>
        </w:rPr>
        <w:t xml:space="preserve"> authorities, Bradford</w:t>
      </w:r>
      <w:r w:rsidR="008A7E65">
        <w:rPr>
          <w:rFonts w:cs="Arial"/>
          <w:sz w:val="22"/>
          <w:szCs w:val="22"/>
        </w:rPr>
        <w:t xml:space="preserve"> allocates</w:t>
      </w:r>
      <w:r w:rsidR="00BA6FCE">
        <w:rPr>
          <w:rFonts w:cs="Arial"/>
          <w:sz w:val="22"/>
          <w:szCs w:val="22"/>
        </w:rPr>
        <w:t xml:space="preserve"> top-</w:t>
      </w:r>
      <w:r w:rsidR="00DF115E">
        <w:rPr>
          <w:rFonts w:cs="Arial"/>
          <w:sz w:val="22"/>
          <w:szCs w:val="22"/>
        </w:rPr>
        <w:t>up funding using a b</w:t>
      </w:r>
      <w:r w:rsidR="001807E5">
        <w:rPr>
          <w:rFonts w:cs="Arial"/>
          <w:sz w:val="22"/>
          <w:szCs w:val="22"/>
        </w:rPr>
        <w:t>and model</w:t>
      </w:r>
      <w:r w:rsidR="00DF115E">
        <w:rPr>
          <w:rFonts w:cs="Arial"/>
          <w:sz w:val="22"/>
          <w:szCs w:val="22"/>
        </w:rPr>
        <w:t xml:space="preserve">. </w:t>
      </w:r>
      <w:r w:rsidR="005170C9" w:rsidRPr="00BD0097">
        <w:rPr>
          <w:rFonts w:cs="Arial"/>
          <w:sz w:val="22"/>
          <w:szCs w:val="22"/>
        </w:rPr>
        <w:t>This m</w:t>
      </w:r>
      <w:r w:rsidR="005170C9">
        <w:rPr>
          <w:rFonts w:cs="Arial"/>
          <w:sz w:val="22"/>
          <w:szCs w:val="22"/>
        </w:rPr>
        <w:t>odel is used to assign E</w:t>
      </w:r>
      <w:r w:rsidR="000F5D3C">
        <w:rPr>
          <w:rFonts w:cs="Arial"/>
          <w:sz w:val="22"/>
          <w:szCs w:val="22"/>
        </w:rPr>
        <w:t xml:space="preserve">ducation </w:t>
      </w:r>
      <w:r w:rsidR="005170C9">
        <w:rPr>
          <w:rFonts w:cs="Arial"/>
          <w:sz w:val="22"/>
          <w:szCs w:val="22"/>
        </w:rPr>
        <w:t>H</w:t>
      </w:r>
      <w:r w:rsidR="000F5D3C">
        <w:rPr>
          <w:rFonts w:cs="Arial"/>
          <w:sz w:val="22"/>
          <w:szCs w:val="22"/>
        </w:rPr>
        <w:t xml:space="preserve">ealth and </w:t>
      </w:r>
      <w:r w:rsidR="005170C9">
        <w:rPr>
          <w:rFonts w:cs="Arial"/>
          <w:sz w:val="22"/>
          <w:szCs w:val="22"/>
        </w:rPr>
        <w:t>C</w:t>
      </w:r>
      <w:r w:rsidR="000F5D3C">
        <w:rPr>
          <w:rFonts w:cs="Arial"/>
          <w:sz w:val="22"/>
          <w:szCs w:val="22"/>
        </w:rPr>
        <w:t xml:space="preserve">are </w:t>
      </w:r>
      <w:r w:rsidR="005170C9">
        <w:rPr>
          <w:rFonts w:cs="Arial"/>
          <w:sz w:val="22"/>
          <w:szCs w:val="22"/>
        </w:rPr>
        <w:t>P</w:t>
      </w:r>
      <w:r w:rsidR="000F5D3C">
        <w:rPr>
          <w:rFonts w:cs="Arial"/>
          <w:sz w:val="22"/>
          <w:szCs w:val="22"/>
        </w:rPr>
        <w:t>lans (EHCPs)</w:t>
      </w:r>
      <w:r w:rsidR="008A7E65">
        <w:rPr>
          <w:rFonts w:cs="Arial"/>
          <w:sz w:val="22"/>
          <w:szCs w:val="22"/>
        </w:rPr>
        <w:t xml:space="preserve"> into bands</w:t>
      </w:r>
      <w:r w:rsidR="005170C9" w:rsidRPr="00BD0097">
        <w:rPr>
          <w:rFonts w:cs="Arial"/>
          <w:sz w:val="22"/>
          <w:szCs w:val="22"/>
        </w:rPr>
        <w:t xml:space="preserve"> of need </w:t>
      </w:r>
      <w:r w:rsidR="007642E8">
        <w:rPr>
          <w:rFonts w:cs="Arial"/>
          <w:sz w:val="22"/>
          <w:szCs w:val="22"/>
        </w:rPr>
        <w:t>for funding purposes. Each band</w:t>
      </w:r>
      <w:r w:rsidR="005170C9" w:rsidRPr="00BD0097">
        <w:rPr>
          <w:rFonts w:cs="Arial"/>
          <w:sz w:val="22"/>
          <w:szCs w:val="22"/>
        </w:rPr>
        <w:t xml:space="preserve"> has an applicable l</w:t>
      </w:r>
      <w:r w:rsidR="000C43C4">
        <w:rPr>
          <w:rFonts w:cs="Arial"/>
          <w:sz w:val="22"/>
          <w:szCs w:val="22"/>
        </w:rPr>
        <w:t>evel of funding and every EHCP</w:t>
      </w:r>
      <w:r w:rsidR="005170C9" w:rsidRPr="00BD0097">
        <w:rPr>
          <w:rFonts w:cs="Arial"/>
          <w:sz w:val="22"/>
          <w:szCs w:val="22"/>
        </w:rPr>
        <w:t xml:space="preserve"> assi</w:t>
      </w:r>
      <w:r w:rsidR="007642E8">
        <w:rPr>
          <w:rFonts w:cs="Arial"/>
          <w:sz w:val="22"/>
          <w:szCs w:val="22"/>
        </w:rPr>
        <w:t>gned to a band</w:t>
      </w:r>
      <w:r w:rsidR="008763CA">
        <w:rPr>
          <w:rFonts w:cs="Arial"/>
          <w:sz w:val="22"/>
          <w:szCs w:val="22"/>
        </w:rPr>
        <w:t xml:space="preserve"> is allocated a</w:t>
      </w:r>
      <w:r w:rsidR="005170C9" w:rsidRPr="00BD0097">
        <w:rPr>
          <w:rFonts w:cs="Arial"/>
          <w:sz w:val="22"/>
          <w:szCs w:val="22"/>
        </w:rPr>
        <w:t xml:space="preserve"> set value of funding.</w:t>
      </w:r>
    </w:p>
    <w:p w14:paraId="58A09916" w14:textId="15C5CE8E" w:rsidR="007642E8" w:rsidRDefault="007642E8" w:rsidP="00355873">
      <w:pPr>
        <w:spacing w:after="200" w:line="276" w:lineRule="auto"/>
        <w:jc w:val="both"/>
        <w:rPr>
          <w:rFonts w:cs="Arial"/>
          <w:sz w:val="22"/>
          <w:szCs w:val="22"/>
        </w:rPr>
      </w:pPr>
      <w:r>
        <w:rPr>
          <w:sz w:val="22"/>
          <w:szCs w:val="22"/>
        </w:rPr>
        <w:t xml:space="preserve">1.3 </w:t>
      </w:r>
      <w:r w:rsidR="001D7EC4">
        <w:rPr>
          <w:sz w:val="22"/>
          <w:szCs w:val="22"/>
        </w:rPr>
        <w:t>At April 2020, for the</w:t>
      </w:r>
      <w:r>
        <w:rPr>
          <w:sz w:val="22"/>
          <w:szCs w:val="22"/>
        </w:rPr>
        <w:t xml:space="preserve"> 2020/21 financial year, we introduced a new Banded Model.</w:t>
      </w:r>
      <w:r w:rsidR="0057205D">
        <w:rPr>
          <w:sz w:val="22"/>
          <w:szCs w:val="22"/>
        </w:rPr>
        <w:t xml:space="preserve"> </w:t>
      </w:r>
      <w:r w:rsidR="00D90A7F">
        <w:rPr>
          <w:sz w:val="22"/>
          <w:szCs w:val="22"/>
        </w:rPr>
        <w:t>This</w:t>
      </w:r>
      <w:r>
        <w:rPr>
          <w:sz w:val="22"/>
          <w:szCs w:val="22"/>
        </w:rPr>
        <w:t xml:space="preserve"> model includes protections, which have ensured</w:t>
      </w:r>
      <w:r w:rsidR="008A7E65">
        <w:rPr>
          <w:sz w:val="22"/>
          <w:szCs w:val="22"/>
        </w:rPr>
        <w:t>, and will continue to ensure,</w:t>
      </w:r>
      <w:r>
        <w:rPr>
          <w:sz w:val="22"/>
          <w:szCs w:val="22"/>
        </w:rPr>
        <w:t xml:space="preserve"> that no EHCP in place on 1 April 2020 reduce</w:t>
      </w:r>
      <w:r w:rsidR="008A7E65">
        <w:rPr>
          <w:sz w:val="22"/>
          <w:szCs w:val="22"/>
        </w:rPr>
        <w:t>s</w:t>
      </w:r>
      <w:r>
        <w:rPr>
          <w:sz w:val="22"/>
          <w:szCs w:val="22"/>
        </w:rPr>
        <w:t xml:space="preserve"> in value</w:t>
      </w:r>
      <w:r w:rsidR="00545173">
        <w:rPr>
          <w:sz w:val="22"/>
          <w:szCs w:val="22"/>
        </w:rPr>
        <w:t xml:space="preserve"> as a result of funding model change</w:t>
      </w:r>
      <w:r w:rsidR="008A7E65">
        <w:rPr>
          <w:sz w:val="22"/>
          <w:szCs w:val="22"/>
        </w:rPr>
        <w:t>.</w:t>
      </w:r>
    </w:p>
    <w:p w14:paraId="241DC89F" w14:textId="6B5B03D2" w:rsidR="003B75EF" w:rsidRDefault="007642E8" w:rsidP="00355873">
      <w:pPr>
        <w:spacing w:after="200" w:line="276" w:lineRule="auto"/>
        <w:jc w:val="both"/>
        <w:rPr>
          <w:rFonts w:cs="Arial"/>
          <w:sz w:val="22"/>
          <w:szCs w:val="22"/>
        </w:rPr>
      </w:pPr>
      <w:r>
        <w:rPr>
          <w:rFonts w:cs="Arial"/>
          <w:sz w:val="22"/>
          <w:szCs w:val="22"/>
        </w:rPr>
        <w:t>1.4</w:t>
      </w:r>
      <w:r w:rsidR="005170C9">
        <w:rPr>
          <w:rFonts w:cs="Arial"/>
          <w:sz w:val="22"/>
          <w:szCs w:val="22"/>
        </w:rPr>
        <w:t xml:space="preserve"> A band</w:t>
      </w:r>
      <w:r w:rsidR="00BD0097">
        <w:rPr>
          <w:rFonts w:cs="Arial"/>
          <w:sz w:val="22"/>
          <w:szCs w:val="22"/>
        </w:rPr>
        <w:t xml:space="preserve"> </w:t>
      </w:r>
      <w:r w:rsidR="005170C9">
        <w:rPr>
          <w:rFonts w:cs="Arial"/>
          <w:sz w:val="22"/>
          <w:szCs w:val="22"/>
        </w:rPr>
        <w:t>s</w:t>
      </w:r>
      <w:r w:rsidR="00BD0097">
        <w:rPr>
          <w:rFonts w:cs="Arial"/>
          <w:sz w:val="22"/>
          <w:szCs w:val="22"/>
        </w:rPr>
        <w:t>ystem</w:t>
      </w:r>
      <w:r w:rsidR="003B75EF">
        <w:rPr>
          <w:rFonts w:cs="Arial"/>
          <w:sz w:val="22"/>
          <w:szCs w:val="22"/>
        </w:rPr>
        <w:t xml:space="preserve"> </w:t>
      </w:r>
      <w:r w:rsidR="00317362">
        <w:rPr>
          <w:rFonts w:cs="Arial"/>
          <w:sz w:val="22"/>
          <w:szCs w:val="22"/>
        </w:rPr>
        <w:t>is</w:t>
      </w:r>
      <w:r w:rsidR="003B75EF">
        <w:rPr>
          <w:rFonts w:cs="Arial"/>
          <w:sz w:val="22"/>
          <w:szCs w:val="22"/>
        </w:rPr>
        <w:t xml:space="preserve"> more responsive to the needs of an individual child or young person than a blanket lump sum style</w:t>
      </w:r>
      <w:r w:rsidR="00C84B37">
        <w:rPr>
          <w:rFonts w:cs="Arial"/>
          <w:sz w:val="22"/>
          <w:szCs w:val="22"/>
        </w:rPr>
        <w:t xml:space="preserve"> approach but</w:t>
      </w:r>
      <w:r w:rsidR="003B75EF">
        <w:rPr>
          <w:rFonts w:cs="Arial"/>
          <w:sz w:val="22"/>
          <w:szCs w:val="22"/>
        </w:rPr>
        <w:t xml:space="preserve"> is not quite as sensitive as an approach where the</w:t>
      </w:r>
      <w:r w:rsidR="000C43C4">
        <w:rPr>
          <w:rFonts w:cs="Arial"/>
          <w:sz w:val="22"/>
          <w:szCs w:val="22"/>
        </w:rPr>
        <w:t xml:space="preserve"> cost of the</w:t>
      </w:r>
      <w:r w:rsidR="003B75EF">
        <w:rPr>
          <w:rFonts w:cs="Arial"/>
          <w:sz w:val="22"/>
          <w:szCs w:val="22"/>
        </w:rPr>
        <w:t xml:space="preserve"> nee</w:t>
      </w:r>
      <w:r w:rsidR="00A47365">
        <w:rPr>
          <w:rFonts w:cs="Arial"/>
          <w:sz w:val="22"/>
          <w:szCs w:val="22"/>
        </w:rPr>
        <w:t>d</w:t>
      </w:r>
      <w:r w:rsidR="000C43C4">
        <w:rPr>
          <w:rFonts w:cs="Arial"/>
          <w:sz w:val="22"/>
          <w:szCs w:val="22"/>
        </w:rPr>
        <w:t>s of a child or young person is</w:t>
      </w:r>
      <w:r w:rsidR="003B75EF">
        <w:rPr>
          <w:rFonts w:cs="Arial"/>
          <w:sz w:val="22"/>
          <w:szCs w:val="22"/>
        </w:rPr>
        <w:t xml:space="preserve"> calculated </w:t>
      </w:r>
      <w:r w:rsidR="00C84B37">
        <w:rPr>
          <w:rFonts w:cs="Arial"/>
          <w:sz w:val="22"/>
          <w:szCs w:val="22"/>
        </w:rPr>
        <w:t>on an exact</w:t>
      </w:r>
      <w:r w:rsidR="003B75EF">
        <w:rPr>
          <w:rFonts w:cs="Arial"/>
          <w:sz w:val="22"/>
          <w:szCs w:val="22"/>
        </w:rPr>
        <w:t xml:space="preserve"> b</w:t>
      </w:r>
      <w:r w:rsidR="00420C64">
        <w:rPr>
          <w:rFonts w:cs="Arial"/>
          <w:sz w:val="22"/>
          <w:szCs w:val="22"/>
        </w:rPr>
        <w:t xml:space="preserve">asis. Blanket, </w:t>
      </w:r>
      <w:r w:rsidR="005170C9">
        <w:rPr>
          <w:rFonts w:cs="Arial"/>
          <w:sz w:val="22"/>
          <w:szCs w:val="22"/>
        </w:rPr>
        <w:t>band</w:t>
      </w:r>
      <w:r w:rsidR="00420C64">
        <w:rPr>
          <w:rFonts w:cs="Arial"/>
          <w:sz w:val="22"/>
          <w:szCs w:val="22"/>
        </w:rPr>
        <w:t xml:space="preserve">, and </w:t>
      </w:r>
      <w:r w:rsidR="00D064A0">
        <w:rPr>
          <w:rFonts w:cs="Arial"/>
          <w:sz w:val="22"/>
          <w:szCs w:val="22"/>
        </w:rPr>
        <w:t>individually costed</w:t>
      </w:r>
      <w:r w:rsidR="00420C64">
        <w:rPr>
          <w:rFonts w:cs="Arial"/>
          <w:sz w:val="22"/>
          <w:szCs w:val="22"/>
        </w:rPr>
        <w:t xml:space="preserve"> systems all have pros and cons</w:t>
      </w:r>
      <w:r w:rsidR="003B75EF">
        <w:rPr>
          <w:rFonts w:cs="Arial"/>
          <w:sz w:val="22"/>
          <w:szCs w:val="22"/>
        </w:rPr>
        <w:t xml:space="preserve">. </w:t>
      </w:r>
      <w:r w:rsidR="00D35D20">
        <w:rPr>
          <w:rFonts w:cs="Arial"/>
          <w:sz w:val="22"/>
          <w:szCs w:val="22"/>
        </w:rPr>
        <w:t>The main positive features of b</w:t>
      </w:r>
      <w:r w:rsidR="005170C9">
        <w:rPr>
          <w:rFonts w:cs="Arial"/>
          <w:sz w:val="22"/>
          <w:szCs w:val="22"/>
        </w:rPr>
        <w:t>and</w:t>
      </w:r>
      <w:r w:rsidR="00D35D20">
        <w:rPr>
          <w:rFonts w:cs="Arial"/>
          <w:sz w:val="22"/>
          <w:szCs w:val="22"/>
        </w:rPr>
        <w:t xml:space="preserve"> m</w:t>
      </w:r>
      <w:r w:rsidR="003B75EF">
        <w:rPr>
          <w:rFonts w:cs="Arial"/>
          <w:sz w:val="22"/>
          <w:szCs w:val="22"/>
        </w:rPr>
        <w:t>odel</w:t>
      </w:r>
      <w:r w:rsidR="00D35D20">
        <w:rPr>
          <w:rFonts w:cs="Arial"/>
          <w:sz w:val="22"/>
          <w:szCs w:val="22"/>
        </w:rPr>
        <w:t>s</w:t>
      </w:r>
      <w:r w:rsidR="003B75EF">
        <w:rPr>
          <w:rFonts w:cs="Arial"/>
          <w:sz w:val="22"/>
          <w:szCs w:val="22"/>
        </w:rPr>
        <w:t xml:space="preserve">, and </w:t>
      </w:r>
      <w:r w:rsidR="000C43C4">
        <w:rPr>
          <w:rFonts w:cs="Arial"/>
          <w:sz w:val="22"/>
          <w:szCs w:val="22"/>
        </w:rPr>
        <w:t xml:space="preserve">of </w:t>
      </w:r>
      <w:r w:rsidR="003B75EF">
        <w:rPr>
          <w:rFonts w:cs="Arial"/>
          <w:sz w:val="22"/>
          <w:szCs w:val="22"/>
        </w:rPr>
        <w:t xml:space="preserve">our </w:t>
      </w:r>
      <w:r>
        <w:rPr>
          <w:rFonts w:cs="Arial"/>
          <w:sz w:val="22"/>
          <w:szCs w:val="22"/>
        </w:rPr>
        <w:t>Banded M</w:t>
      </w:r>
      <w:r w:rsidR="003B75EF" w:rsidRPr="003B75EF">
        <w:rPr>
          <w:rFonts w:cs="Arial"/>
          <w:sz w:val="22"/>
          <w:szCs w:val="22"/>
        </w:rPr>
        <w:t>odel</w:t>
      </w:r>
      <w:r w:rsidR="003B75EF">
        <w:rPr>
          <w:rFonts w:cs="Arial"/>
          <w:sz w:val="22"/>
          <w:szCs w:val="22"/>
        </w:rPr>
        <w:t>,</w:t>
      </w:r>
      <w:r w:rsidR="00A47365">
        <w:rPr>
          <w:rFonts w:cs="Arial"/>
          <w:sz w:val="22"/>
          <w:szCs w:val="22"/>
        </w:rPr>
        <w:t xml:space="preserve"> are</w:t>
      </w:r>
      <w:r w:rsidR="00420C64">
        <w:rPr>
          <w:rFonts w:cs="Arial"/>
          <w:sz w:val="22"/>
          <w:szCs w:val="22"/>
        </w:rPr>
        <w:t xml:space="preserve"> </w:t>
      </w:r>
      <w:r w:rsidR="00D35D20">
        <w:rPr>
          <w:rFonts w:cs="Arial"/>
          <w:sz w:val="22"/>
          <w:szCs w:val="22"/>
        </w:rPr>
        <w:t>that these help promote consistency and transparency</w:t>
      </w:r>
      <w:r w:rsidR="00A47365">
        <w:rPr>
          <w:rFonts w:cs="Arial"/>
          <w:sz w:val="22"/>
          <w:szCs w:val="22"/>
        </w:rPr>
        <w:t>, reduce complication</w:t>
      </w:r>
      <w:r w:rsidR="000C43C4">
        <w:rPr>
          <w:rFonts w:cs="Arial"/>
          <w:sz w:val="22"/>
          <w:szCs w:val="22"/>
        </w:rPr>
        <w:t>, support</w:t>
      </w:r>
      <w:r w:rsidR="00317362">
        <w:rPr>
          <w:rFonts w:cs="Arial"/>
          <w:sz w:val="22"/>
          <w:szCs w:val="22"/>
        </w:rPr>
        <w:t xml:space="preserve"> the quick assessment and release of funds, whilst also</w:t>
      </w:r>
      <w:r w:rsidR="00420C64">
        <w:rPr>
          <w:rFonts w:cs="Arial"/>
          <w:sz w:val="22"/>
          <w:szCs w:val="22"/>
        </w:rPr>
        <w:t xml:space="preserve"> </w:t>
      </w:r>
      <w:r w:rsidR="00317362">
        <w:rPr>
          <w:rFonts w:cs="Arial"/>
          <w:sz w:val="22"/>
          <w:szCs w:val="22"/>
        </w:rPr>
        <w:t>enabling</w:t>
      </w:r>
      <w:r w:rsidR="003B75EF" w:rsidRPr="003B75EF">
        <w:rPr>
          <w:rFonts w:cs="Arial"/>
          <w:sz w:val="22"/>
          <w:szCs w:val="22"/>
        </w:rPr>
        <w:t xml:space="preserve"> the </w:t>
      </w:r>
      <w:r w:rsidR="003B75EF">
        <w:rPr>
          <w:rFonts w:cs="Arial"/>
          <w:sz w:val="22"/>
          <w:szCs w:val="22"/>
        </w:rPr>
        <w:t xml:space="preserve">SEND </w:t>
      </w:r>
      <w:r w:rsidR="00317362">
        <w:rPr>
          <w:rFonts w:cs="Arial"/>
          <w:sz w:val="22"/>
          <w:szCs w:val="22"/>
        </w:rPr>
        <w:t>Panel to find a ‘close</w:t>
      </w:r>
      <w:r w:rsidR="00B04342">
        <w:rPr>
          <w:rFonts w:cs="Arial"/>
          <w:sz w:val="22"/>
          <w:szCs w:val="22"/>
        </w:rPr>
        <w:t xml:space="preserve"> fit’ for</w:t>
      </w:r>
      <w:r w:rsidR="003B75EF" w:rsidRPr="003B75EF">
        <w:rPr>
          <w:rFonts w:cs="Arial"/>
          <w:sz w:val="22"/>
          <w:szCs w:val="22"/>
        </w:rPr>
        <w:t xml:space="preserve"> funding</w:t>
      </w:r>
      <w:r w:rsidR="009506FA">
        <w:rPr>
          <w:rFonts w:cs="Arial"/>
          <w:sz w:val="22"/>
          <w:szCs w:val="22"/>
        </w:rPr>
        <w:t xml:space="preserve"> the needs of a</w:t>
      </w:r>
      <w:r w:rsidR="00545173">
        <w:rPr>
          <w:rFonts w:cs="Arial"/>
          <w:sz w:val="22"/>
          <w:szCs w:val="22"/>
        </w:rPr>
        <w:t>n individual</w:t>
      </w:r>
      <w:r w:rsidR="009506FA">
        <w:rPr>
          <w:rFonts w:cs="Arial"/>
          <w:sz w:val="22"/>
          <w:szCs w:val="22"/>
        </w:rPr>
        <w:t xml:space="preserve"> child or young person</w:t>
      </w:r>
      <w:r w:rsidR="000E2966">
        <w:rPr>
          <w:rFonts w:cs="Arial"/>
          <w:sz w:val="22"/>
          <w:szCs w:val="22"/>
        </w:rPr>
        <w:t xml:space="preserve"> with an EHCP</w:t>
      </w:r>
      <w:r w:rsidR="009506FA">
        <w:rPr>
          <w:rFonts w:cs="Arial"/>
          <w:sz w:val="22"/>
          <w:szCs w:val="22"/>
        </w:rPr>
        <w:t>.</w:t>
      </w:r>
    </w:p>
    <w:p w14:paraId="25A63742" w14:textId="7DF149C8" w:rsidR="006675AF" w:rsidRPr="007642E8" w:rsidRDefault="00BD0097" w:rsidP="000F5D3C">
      <w:pPr>
        <w:spacing w:after="200" w:line="276" w:lineRule="auto"/>
        <w:jc w:val="both"/>
        <w:rPr>
          <w:rFonts w:cs="Arial"/>
          <w:sz w:val="22"/>
          <w:szCs w:val="22"/>
        </w:rPr>
      </w:pPr>
      <w:r w:rsidRPr="007642E8">
        <w:rPr>
          <w:rFonts w:cs="Arial"/>
          <w:sz w:val="22"/>
          <w:szCs w:val="22"/>
        </w:rPr>
        <w:t>1.5</w:t>
      </w:r>
      <w:r w:rsidR="007642E8" w:rsidRPr="007642E8">
        <w:rPr>
          <w:rFonts w:cs="Arial"/>
          <w:sz w:val="22"/>
          <w:szCs w:val="22"/>
        </w:rPr>
        <w:t xml:space="preserve"> In continuing to use </w:t>
      </w:r>
      <w:r w:rsidR="008763CA">
        <w:rPr>
          <w:rFonts w:cs="Arial"/>
          <w:sz w:val="22"/>
          <w:szCs w:val="22"/>
        </w:rPr>
        <w:t>our</w:t>
      </w:r>
      <w:r w:rsidR="007642E8" w:rsidRPr="007642E8">
        <w:rPr>
          <w:rFonts w:cs="Arial"/>
          <w:sz w:val="22"/>
          <w:szCs w:val="22"/>
        </w:rPr>
        <w:t xml:space="preserve"> Banded M</w:t>
      </w:r>
      <w:r w:rsidRPr="007642E8">
        <w:rPr>
          <w:rFonts w:cs="Arial"/>
          <w:sz w:val="22"/>
          <w:szCs w:val="22"/>
        </w:rPr>
        <w:t>odel</w:t>
      </w:r>
      <w:r w:rsidR="00933B99">
        <w:rPr>
          <w:rFonts w:cs="Arial"/>
          <w:sz w:val="22"/>
          <w:szCs w:val="22"/>
        </w:rPr>
        <w:t xml:space="preserve"> in 202</w:t>
      </w:r>
      <w:r w:rsidR="00981A96">
        <w:rPr>
          <w:rFonts w:cs="Arial"/>
          <w:sz w:val="22"/>
          <w:szCs w:val="22"/>
        </w:rPr>
        <w:t>5</w:t>
      </w:r>
      <w:r w:rsidR="00933B99">
        <w:rPr>
          <w:rFonts w:cs="Arial"/>
          <w:sz w:val="22"/>
          <w:szCs w:val="22"/>
        </w:rPr>
        <w:t>/2</w:t>
      </w:r>
      <w:r w:rsidR="00981A96">
        <w:rPr>
          <w:rFonts w:cs="Arial"/>
          <w:sz w:val="22"/>
          <w:szCs w:val="22"/>
        </w:rPr>
        <w:t>6</w:t>
      </w:r>
      <w:r w:rsidRPr="007642E8">
        <w:rPr>
          <w:rFonts w:cs="Arial"/>
          <w:sz w:val="22"/>
          <w:szCs w:val="22"/>
        </w:rPr>
        <w:t xml:space="preserve">, the Council’s intention is still to retain </w:t>
      </w:r>
      <w:r w:rsidR="00F3262F" w:rsidRPr="007642E8">
        <w:rPr>
          <w:rFonts w:cs="Arial"/>
          <w:sz w:val="22"/>
          <w:szCs w:val="22"/>
        </w:rPr>
        <w:t>a</w:t>
      </w:r>
      <w:r w:rsidRPr="007642E8">
        <w:rPr>
          <w:rFonts w:cs="Arial"/>
          <w:sz w:val="22"/>
          <w:szCs w:val="22"/>
        </w:rPr>
        <w:t xml:space="preserve"> uniform framework for calculating top-up funding for EHCPs. The Council’s expectation continues to be that this framework will enable a close fit to be found for the funding of the vast majority of EHCPs and will ensure consistency of approach in the funding of high needs across mainstream and specialist settings both pre and post 16. It is accepted that there will be a small number of children or young people that will si</w:t>
      </w:r>
      <w:r w:rsidR="00B04342" w:rsidRPr="007642E8">
        <w:rPr>
          <w:rFonts w:cs="Arial"/>
          <w:sz w:val="22"/>
          <w:szCs w:val="22"/>
        </w:rPr>
        <w:t>t outside this banded framework,</w:t>
      </w:r>
      <w:r w:rsidRPr="007642E8">
        <w:rPr>
          <w:rFonts w:cs="Arial"/>
          <w:sz w:val="22"/>
          <w:szCs w:val="22"/>
        </w:rPr>
        <w:t xml:space="preserve"> most of whom will be placed in sp</w:t>
      </w:r>
      <w:r w:rsidR="006675AF" w:rsidRPr="007642E8">
        <w:rPr>
          <w:rFonts w:cs="Arial"/>
          <w:sz w:val="22"/>
          <w:szCs w:val="22"/>
        </w:rPr>
        <w:t>ecialist independent provisions.</w:t>
      </w:r>
    </w:p>
    <w:p w14:paraId="74A29AFE" w14:textId="61405710" w:rsidR="007642E8" w:rsidRPr="000F5D3C" w:rsidRDefault="007642E8" w:rsidP="000F5D3C">
      <w:pPr>
        <w:spacing w:after="200" w:line="276" w:lineRule="auto"/>
        <w:jc w:val="both"/>
        <w:rPr>
          <w:rFonts w:cs="Arial"/>
          <w:sz w:val="22"/>
          <w:szCs w:val="22"/>
        </w:rPr>
      </w:pPr>
      <w:r w:rsidRPr="007642E8">
        <w:rPr>
          <w:rFonts w:cs="Arial"/>
          <w:sz w:val="22"/>
          <w:szCs w:val="22"/>
        </w:rPr>
        <w:t xml:space="preserve">1.6 </w:t>
      </w:r>
      <w:r w:rsidR="00CA1B00">
        <w:rPr>
          <w:rFonts w:cs="Arial"/>
          <w:sz w:val="22"/>
          <w:szCs w:val="22"/>
        </w:rPr>
        <w:t>T</w:t>
      </w:r>
      <w:r w:rsidR="00414CE5">
        <w:rPr>
          <w:rFonts w:cs="Arial"/>
          <w:sz w:val="22"/>
          <w:szCs w:val="22"/>
        </w:rPr>
        <w:t>he Authority is</w:t>
      </w:r>
      <w:r w:rsidRPr="007642E8">
        <w:rPr>
          <w:rFonts w:cs="Arial"/>
          <w:sz w:val="22"/>
          <w:szCs w:val="22"/>
        </w:rPr>
        <w:t xml:space="preserve"> not proposing technical ch</w:t>
      </w:r>
      <w:r w:rsidR="008763CA">
        <w:rPr>
          <w:rFonts w:cs="Arial"/>
          <w:sz w:val="22"/>
          <w:szCs w:val="22"/>
        </w:rPr>
        <w:t>anges to our Banded M</w:t>
      </w:r>
      <w:r w:rsidR="00933B99">
        <w:rPr>
          <w:rFonts w:cs="Arial"/>
          <w:sz w:val="22"/>
          <w:szCs w:val="22"/>
        </w:rPr>
        <w:t>odel in 202</w:t>
      </w:r>
      <w:r w:rsidR="00981A96">
        <w:rPr>
          <w:rFonts w:cs="Arial"/>
          <w:sz w:val="22"/>
          <w:szCs w:val="22"/>
        </w:rPr>
        <w:t>5</w:t>
      </w:r>
      <w:r w:rsidR="00933B99">
        <w:rPr>
          <w:rFonts w:cs="Arial"/>
          <w:sz w:val="22"/>
          <w:szCs w:val="22"/>
        </w:rPr>
        <w:t>/2</w:t>
      </w:r>
      <w:r w:rsidR="00981A96">
        <w:rPr>
          <w:rFonts w:cs="Arial"/>
          <w:sz w:val="22"/>
          <w:szCs w:val="22"/>
        </w:rPr>
        <w:t>6</w:t>
      </w:r>
      <w:r w:rsidRPr="007642E8">
        <w:rPr>
          <w:rFonts w:cs="Arial"/>
          <w:sz w:val="22"/>
          <w:szCs w:val="22"/>
        </w:rPr>
        <w:t>.</w:t>
      </w:r>
      <w:r w:rsidR="00414CE5">
        <w:rPr>
          <w:rFonts w:cs="Arial"/>
          <w:sz w:val="22"/>
          <w:szCs w:val="22"/>
        </w:rPr>
        <w:t xml:space="preserve"> </w:t>
      </w:r>
      <w:r w:rsidRPr="000F5D3C">
        <w:rPr>
          <w:rFonts w:cs="Arial"/>
          <w:sz w:val="22"/>
          <w:szCs w:val="22"/>
        </w:rPr>
        <w:t>Below is a summary of how the Banded Model operates.</w:t>
      </w:r>
      <w:r w:rsidR="00414CE5">
        <w:rPr>
          <w:rFonts w:cs="Arial"/>
          <w:sz w:val="22"/>
          <w:szCs w:val="22"/>
        </w:rPr>
        <w:t xml:space="preserve"> The main document</w:t>
      </w:r>
      <w:r w:rsidR="00CA1B00">
        <w:rPr>
          <w:rFonts w:cs="Arial"/>
          <w:sz w:val="22"/>
          <w:szCs w:val="22"/>
        </w:rPr>
        <w:t xml:space="preserve"> </w:t>
      </w:r>
      <w:r w:rsidR="00414CE5">
        <w:rPr>
          <w:rFonts w:cs="Arial"/>
          <w:sz w:val="22"/>
          <w:szCs w:val="22"/>
        </w:rPr>
        <w:t>discusses the values of top-up funding allocated via the Banded Model.</w:t>
      </w:r>
    </w:p>
    <w:p w14:paraId="1D20EF12" w14:textId="77777777" w:rsidR="007642E8" w:rsidRPr="007642E8" w:rsidRDefault="007642E8" w:rsidP="00355873">
      <w:pPr>
        <w:jc w:val="both"/>
        <w:rPr>
          <w:b/>
          <w:sz w:val="22"/>
          <w:szCs w:val="22"/>
        </w:rPr>
      </w:pPr>
    </w:p>
    <w:p w14:paraId="1380557E" w14:textId="249F20F3" w:rsidR="003B75EF" w:rsidRPr="00F3262F" w:rsidRDefault="00F3262F" w:rsidP="00355873">
      <w:pPr>
        <w:spacing w:after="200" w:line="276" w:lineRule="auto"/>
        <w:rPr>
          <w:rFonts w:cs="Arial"/>
          <w:b/>
          <w:sz w:val="22"/>
          <w:szCs w:val="22"/>
          <w:u w:val="single"/>
        </w:rPr>
      </w:pPr>
      <w:r w:rsidRPr="00F3262F">
        <w:rPr>
          <w:rFonts w:cs="Arial"/>
          <w:b/>
          <w:sz w:val="22"/>
          <w:szCs w:val="22"/>
          <w:u w:val="single"/>
        </w:rPr>
        <w:t>The Banded Model</w:t>
      </w:r>
    </w:p>
    <w:p w14:paraId="3D5C6EFB" w14:textId="77777777" w:rsidR="003B75EF" w:rsidRPr="00F3262F" w:rsidRDefault="00967573" w:rsidP="00355873">
      <w:pPr>
        <w:spacing w:after="200" w:line="276" w:lineRule="auto"/>
        <w:jc w:val="both"/>
        <w:rPr>
          <w:rFonts w:cs="Arial"/>
          <w:sz w:val="22"/>
          <w:szCs w:val="22"/>
        </w:rPr>
      </w:pPr>
      <w:r>
        <w:rPr>
          <w:rFonts w:cs="Arial"/>
          <w:sz w:val="22"/>
          <w:szCs w:val="22"/>
        </w:rPr>
        <w:t xml:space="preserve">2.1 </w:t>
      </w:r>
      <w:r w:rsidR="00B04342">
        <w:rPr>
          <w:rFonts w:cs="Arial"/>
          <w:sz w:val="22"/>
          <w:szCs w:val="22"/>
        </w:rPr>
        <w:t xml:space="preserve">The </w:t>
      </w:r>
      <w:r w:rsidR="007642E8">
        <w:rPr>
          <w:rFonts w:cs="Arial"/>
          <w:sz w:val="22"/>
          <w:szCs w:val="22"/>
        </w:rPr>
        <w:t>Banded Model</w:t>
      </w:r>
      <w:r w:rsidR="00B04342">
        <w:rPr>
          <w:rFonts w:cs="Arial"/>
          <w:sz w:val="22"/>
          <w:szCs w:val="22"/>
        </w:rPr>
        <w:t xml:space="preserve"> use</w:t>
      </w:r>
      <w:r w:rsidR="007642E8">
        <w:rPr>
          <w:rFonts w:cs="Arial"/>
          <w:sz w:val="22"/>
          <w:szCs w:val="22"/>
        </w:rPr>
        <w:t>s</w:t>
      </w:r>
      <w:r w:rsidR="00B04342">
        <w:rPr>
          <w:rFonts w:cs="Arial"/>
          <w:sz w:val="22"/>
          <w:szCs w:val="22"/>
        </w:rPr>
        <w:t xml:space="preserve"> </w:t>
      </w:r>
      <w:r w:rsidR="006675AF">
        <w:rPr>
          <w:rFonts w:cs="Arial"/>
          <w:sz w:val="22"/>
          <w:szCs w:val="22"/>
        </w:rPr>
        <w:t>at its base</w:t>
      </w:r>
      <w:r w:rsidR="00C51158">
        <w:rPr>
          <w:rFonts w:cs="Arial"/>
          <w:sz w:val="22"/>
          <w:szCs w:val="22"/>
        </w:rPr>
        <w:t xml:space="preserve"> </w:t>
      </w:r>
      <w:r w:rsidR="00B04342">
        <w:rPr>
          <w:rFonts w:cs="Arial"/>
          <w:sz w:val="22"/>
          <w:szCs w:val="22"/>
        </w:rPr>
        <w:t>the</w:t>
      </w:r>
      <w:r w:rsidR="003B75EF" w:rsidRPr="00F3262F">
        <w:rPr>
          <w:rFonts w:cs="Arial"/>
          <w:sz w:val="22"/>
          <w:szCs w:val="22"/>
        </w:rPr>
        <w:t xml:space="preserve"> </w:t>
      </w:r>
      <w:hyperlink r:id="rId20" w:history="1">
        <w:r w:rsidR="003B75EF" w:rsidRPr="00CE0A5F">
          <w:rPr>
            <w:rStyle w:val="Hyperlink"/>
            <w:rFonts w:cs="Arial"/>
            <w:sz w:val="22"/>
            <w:szCs w:val="22"/>
          </w:rPr>
          <w:t>Bradford Matrix of Need</w:t>
        </w:r>
      </w:hyperlink>
      <w:r w:rsidR="00AC064E">
        <w:rPr>
          <w:rFonts w:cs="Arial"/>
          <w:sz w:val="22"/>
          <w:szCs w:val="22"/>
        </w:rPr>
        <w:t>,</w:t>
      </w:r>
      <w:r w:rsidR="00CE0A5F">
        <w:rPr>
          <w:rFonts w:cs="Arial"/>
          <w:sz w:val="22"/>
          <w:szCs w:val="22"/>
        </w:rPr>
        <w:t xml:space="preserve"> which outlines waves of</w:t>
      </w:r>
      <w:r w:rsidR="007D587E">
        <w:rPr>
          <w:rFonts w:cs="Arial"/>
          <w:sz w:val="22"/>
          <w:szCs w:val="22"/>
        </w:rPr>
        <w:t xml:space="preserve"> intervention</w:t>
      </w:r>
      <w:r w:rsidR="00AC064E">
        <w:rPr>
          <w:rFonts w:cs="Arial"/>
          <w:sz w:val="22"/>
          <w:szCs w:val="22"/>
        </w:rPr>
        <w:t>:</w:t>
      </w:r>
    </w:p>
    <w:p w14:paraId="1E1A7378" w14:textId="77777777" w:rsidR="003B75EF" w:rsidRPr="001A56DC" w:rsidRDefault="003B75EF" w:rsidP="009564E6">
      <w:pPr>
        <w:pStyle w:val="ListParagraph"/>
        <w:numPr>
          <w:ilvl w:val="0"/>
          <w:numId w:val="7"/>
        </w:numPr>
        <w:spacing w:after="200" w:line="276" w:lineRule="auto"/>
        <w:ind w:left="360"/>
        <w:jc w:val="both"/>
        <w:rPr>
          <w:rFonts w:cs="Arial"/>
          <w:sz w:val="22"/>
          <w:szCs w:val="22"/>
        </w:rPr>
      </w:pPr>
      <w:r w:rsidRPr="001A56DC">
        <w:rPr>
          <w:rFonts w:cs="Arial"/>
          <w:sz w:val="22"/>
          <w:szCs w:val="22"/>
        </w:rPr>
        <w:t>Band 1 (Quality First Teaching)</w:t>
      </w:r>
    </w:p>
    <w:p w14:paraId="77CC85BA" w14:textId="77777777" w:rsidR="003B75EF" w:rsidRPr="001A56DC" w:rsidRDefault="003B75EF" w:rsidP="009564E6">
      <w:pPr>
        <w:pStyle w:val="ListParagraph"/>
        <w:numPr>
          <w:ilvl w:val="0"/>
          <w:numId w:val="7"/>
        </w:numPr>
        <w:spacing w:after="200" w:line="276" w:lineRule="auto"/>
        <w:ind w:left="360"/>
        <w:jc w:val="both"/>
        <w:rPr>
          <w:rFonts w:cs="Arial"/>
          <w:sz w:val="22"/>
          <w:szCs w:val="22"/>
        </w:rPr>
      </w:pPr>
      <w:r w:rsidRPr="001A56DC">
        <w:rPr>
          <w:rFonts w:cs="Arial"/>
          <w:sz w:val="22"/>
          <w:szCs w:val="22"/>
        </w:rPr>
        <w:t>Band 2 (SEND Support)</w:t>
      </w:r>
      <w:r w:rsidR="00DB4822" w:rsidRPr="001A56DC">
        <w:rPr>
          <w:rFonts w:cs="Arial"/>
          <w:sz w:val="22"/>
          <w:szCs w:val="22"/>
        </w:rPr>
        <w:t xml:space="preserve"> </w:t>
      </w:r>
    </w:p>
    <w:p w14:paraId="7C33272E" w14:textId="77777777" w:rsidR="003B75EF" w:rsidRPr="001A56DC" w:rsidRDefault="003B75EF" w:rsidP="009564E6">
      <w:pPr>
        <w:pStyle w:val="ListParagraph"/>
        <w:numPr>
          <w:ilvl w:val="0"/>
          <w:numId w:val="7"/>
        </w:numPr>
        <w:spacing w:after="200" w:line="276" w:lineRule="auto"/>
        <w:ind w:left="360"/>
        <w:jc w:val="both"/>
        <w:rPr>
          <w:rFonts w:cs="Arial"/>
          <w:sz w:val="22"/>
          <w:szCs w:val="22"/>
        </w:rPr>
      </w:pPr>
      <w:r w:rsidRPr="001A56DC">
        <w:rPr>
          <w:rFonts w:cs="Arial"/>
          <w:sz w:val="22"/>
          <w:szCs w:val="22"/>
        </w:rPr>
        <w:t>Band 3 (EHCP) – typically mainstre</w:t>
      </w:r>
      <w:r w:rsidR="00DB4822" w:rsidRPr="001A56DC">
        <w:rPr>
          <w:rFonts w:cs="Arial"/>
          <w:sz w:val="22"/>
          <w:szCs w:val="22"/>
        </w:rPr>
        <w:t>am - this is the band at which E</w:t>
      </w:r>
      <w:r w:rsidRPr="001A56DC">
        <w:rPr>
          <w:rFonts w:cs="Arial"/>
          <w:sz w:val="22"/>
          <w:szCs w:val="22"/>
        </w:rPr>
        <w:t>lement 3 EHCP funding begins</w:t>
      </w:r>
    </w:p>
    <w:p w14:paraId="5172FE3B" w14:textId="77777777" w:rsidR="0041486C" w:rsidRPr="001A56DC" w:rsidRDefault="003B75EF" w:rsidP="009564E6">
      <w:pPr>
        <w:pStyle w:val="ListParagraph"/>
        <w:numPr>
          <w:ilvl w:val="0"/>
          <w:numId w:val="7"/>
        </w:numPr>
        <w:spacing w:after="200" w:line="276" w:lineRule="auto"/>
        <w:ind w:left="360"/>
        <w:jc w:val="both"/>
        <w:rPr>
          <w:rFonts w:cs="Arial"/>
          <w:sz w:val="22"/>
          <w:szCs w:val="22"/>
        </w:rPr>
      </w:pPr>
      <w:r w:rsidRPr="001A56DC">
        <w:rPr>
          <w:rFonts w:cs="Arial"/>
          <w:sz w:val="22"/>
          <w:szCs w:val="22"/>
        </w:rPr>
        <w:t>Band 4 (EHCP Plus) – typically specialist provision</w:t>
      </w:r>
    </w:p>
    <w:p w14:paraId="049B0F47" w14:textId="6091E883" w:rsidR="00CE0A5F" w:rsidRDefault="00CE0A5F" w:rsidP="00355873">
      <w:pPr>
        <w:jc w:val="both"/>
        <w:rPr>
          <w:rFonts w:cs="Arial"/>
          <w:sz w:val="22"/>
          <w:szCs w:val="22"/>
        </w:rPr>
      </w:pPr>
      <w:r w:rsidRPr="001A56DC">
        <w:rPr>
          <w:rFonts w:cs="Arial"/>
          <w:sz w:val="22"/>
          <w:szCs w:val="22"/>
        </w:rPr>
        <w:t>This Matrix identifies the responsibilities of schools and providers in their use of already delegated funds</w:t>
      </w:r>
      <w:r w:rsidR="000E2966" w:rsidRPr="001A56DC">
        <w:rPr>
          <w:rFonts w:cs="Arial"/>
          <w:sz w:val="22"/>
          <w:szCs w:val="22"/>
        </w:rPr>
        <w:t xml:space="preserve"> in meeting</w:t>
      </w:r>
      <w:r w:rsidR="0041486C" w:rsidRPr="001A56DC">
        <w:rPr>
          <w:rFonts w:cs="Arial"/>
          <w:sz w:val="22"/>
          <w:szCs w:val="22"/>
        </w:rPr>
        <w:t xml:space="preserve"> the cost of support up to Band </w:t>
      </w:r>
      <w:r w:rsidR="000E2966" w:rsidRPr="001A56DC">
        <w:rPr>
          <w:rFonts w:cs="Arial"/>
          <w:sz w:val="22"/>
          <w:szCs w:val="22"/>
        </w:rPr>
        <w:t>3. It then identifies t</w:t>
      </w:r>
      <w:r w:rsidR="000A6DBF" w:rsidRPr="001A56DC">
        <w:rPr>
          <w:rFonts w:cs="Arial"/>
          <w:sz w:val="22"/>
          <w:szCs w:val="22"/>
        </w:rPr>
        <w:t>he point at which</w:t>
      </w:r>
      <w:r w:rsidR="000E2966" w:rsidRPr="001A56DC">
        <w:rPr>
          <w:rFonts w:cs="Arial"/>
          <w:sz w:val="22"/>
          <w:szCs w:val="22"/>
        </w:rPr>
        <w:t xml:space="preserve"> </w:t>
      </w:r>
      <w:r w:rsidR="00D32993">
        <w:rPr>
          <w:rFonts w:cs="Arial"/>
          <w:sz w:val="22"/>
          <w:szCs w:val="22"/>
        </w:rPr>
        <w:t>top-up</w:t>
      </w:r>
      <w:r w:rsidR="0041486C" w:rsidRPr="001A56DC">
        <w:rPr>
          <w:rFonts w:cs="Arial"/>
          <w:sz w:val="22"/>
          <w:szCs w:val="22"/>
        </w:rPr>
        <w:t xml:space="preserve"> f</w:t>
      </w:r>
      <w:r w:rsidR="00390086" w:rsidRPr="001A56DC">
        <w:rPr>
          <w:rFonts w:cs="Arial"/>
          <w:sz w:val="22"/>
          <w:szCs w:val="22"/>
        </w:rPr>
        <w:t>unding will begin in our model, which is EHCP Band 3</w:t>
      </w:r>
      <w:r w:rsidR="0041486C" w:rsidRPr="001A56DC">
        <w:rPr>
          <w:rFonts w:cs="Arial"/>
          <w:sz w:val="22"/>
          <w:szCs w:val="22"/>
        </w:rPr>
        <w:t>.</w:t>
      </w:r>
      <w:r w:rsidR="000E2966" w:rsidRPr="001A56DC">
        <w:rPr>
          <w:rFonts w:cs="Arial"/>
          <w:sz w:val="22"/>
          <w:szCs w:val="22"/>
        </w:rPr>
        <w:t xml:space="preserve"> </w:t>
      </w:r>
    </w:p>
    <w:p w14:paraId="6EB1FA36" w14:textId="77777777" w:rsidR="0057205D" w:rsidRPr="00CE0A5F" w:rsidRDefault="0057205D" w:rsidP="00355873">
      <w:pPr>
        <w:jc w:val="both"/>
        <w:rPr>
          <w:rFonts w:cs="Arial"/>
          <w:sz w:val="22"/>
          <w:szCs w:val="22"/>
        </w:rPr>
      </w:pPr>
    </w:p>
    <w:p w14:paraId="4BA5D535" w14:textId="0398D3E0" w:rsidR="000039A4" w:rsidRDefault="00623C6E" w:rsidP="00355873">
      <w:pPr>
        <w:spacing w:after="200" w:line="276" w:lineRule="auto"/>
        <w:jc w:val="both"/>
        <w:rPr>
          <w:rFonts w:cs="Arial"/>
          <w:sz w:val="22"/>
          <w:szCs w:val="22"/>
        </w:rPr>
      </w:pPr>
      <w:r>
        <w:rPr>
          <w:rFonts w:cs="Arial"/>
          <w:sz w:val="22"/>
          <w:szCs w:val="22"/>
        </w:rPr>
        <w:t xml:space="preserve">2.2 </w:t>
      </w:r>
      <w:r w:rsidR="007642E8">
        <w:rPr>
          <w:rFonts w:cs="Arial"/>
          <w:sz w:val="22"/>
          <w:szCs w:val="22"/>
        </w:rPr>
        <w:t xml:space="preserve">The </w:t>
      </w:r>
      <w:r>
        <w:rPr>
          <w:rFonts w:cs="Arial"/>
          <w:sz w:val="22"/>
          <w:szCs w:val="22"/>
        </w:rPr>
        <w:t xml:space="preserve">Banded Model has 6 bands and 6 </w:t>
      </w:r>
      <w:r w:rsidR="00F40218">
        <w:rPr>
          <w:rFonts w:cs="Arial"/>
          <w:sz w:val="22"/>
          <w:szCs w:val="22"/>
        </w:rPr>
        <w:t>funding steps</w:t>
      </w:r>
      <w:r w:rsidR="00CA1B00">
        <w:rPr>
          <w:rFonts w:cs="Arial"/>
          <w:sz w:val="22"/>
          <w:szCs w:val="22"/>
        </w:rPr>
        <w:t>. The</w:t>
      </w:r>
      <w:r w:rsidR="00DF0E19">
        <w:rPr>
          <w:rFonts w:cs="Arial"/>
          <w:sz w:val="22"/>
          <w:szCs w:val="22"/>
        </w:rPr>
        <w:t xml:space="preserve"> values </w:t>
      </w:r>
      <w:r w:rsidR="00414CE5">
        <w:rPr>
          <w:rFonts w:cs="Arial"/>
          <w:sz w:val="22"/>
          <w:szCs w:val="22"/>
        </w:rPr>
        <w:t xml:space="preserve">allocated in this current year 2024/25 </w:t>
      </w:r>
      <w:r w:rsidR="00CA1B00">
        <w:rPr>
          <w:rFonts w:cs="Arial"/>
          <w:sz w:val="22"/>
          <w:szCs w:val="22"/>
        </w:rPr>
        <w:t xml:space="preserve">are </w:t>
      </w:r>
      <w:r w:rsidR="00414CE5">
        <w:rPr>
          <w:rFonts w:cs="Arial"/>
          <w:sz w:val="22"/>
          <w:szCs w:val="22"/>
        </w:rPr>
        <w:t>set</w:t>
      </w:r>
      <w:r w:rsidR="000F4635">
        <w:rPr>
          <w:rFonts w:cs="Arial"/>
          <w:sz w:val="22"/>
          <w:szCs w:val="22"/>
        </w:rPr>
        <w:t xml:space="preserve"> out in the ta</w:t>
      </w:r>
      <w:r w:rsidR="0043067C">
        <w:rPr>
          <w:rFonts w:cs="Arial"/>
          <w:sz w:val="22"/>
          <w:szCs w:val="22"/>
        </w:rPr>
        <w:t>b</w:t>
      </w:r>
      <w:r w:rsidR="000F4635">
        <w:rPr>
          <w:rFonts w:cs="Arial"/>
          <w:sz w:val="22"/>
          <w:szCs w:val="22"/>
        </w:rPr>
        <w:t>le below</w:t>
      </w:r>
      <w:r w:rsidR="00414CE5">
        <w:rPr>
          <w:rFonts w:cs="Arial"/>
          <w:sz w:val="22"/>
          <w:szCs w:val="22"/>
        </w:rPr>
        <w:t xml:space="preserve">. </w:t>
      </w:r>
      <w:r w:rsidR="000F4635">
        <w:rPr>
          <w:rFonts w:cs="Arial"/>
          <w:sz w:val="22"/>
          <w:szCs w:val="22"/>
        </w:rPr>
        <w:t xml:space="preserve">This table shows the value of </w:t>
      </w:r>
      <w:r w:rsidR="00D32993">
        <w:rPr>
          <w:rFonts w:cs="Arial"/>
          <w:sz w:val="22"/>
          <w:szCs w:val="22"/>
        </w:rPr>
        <w:t>top-up</w:t>
      </w:r>
      <w:r w:rsidR="000F4635">
        <w:rPr>
          <w:rFonts w:cs="Arial"/>
          <w:sz w:val="22"/>
          <w:szCs w:val="22"/>
        </w:rPr>
        <w:t xml:space="preserve"> by band</w:t>
      </w:r>
      <w:r w:rsidR="00F40218">
        <w:rPr>
          <w:rFonts w:cs="Arial"/>
          <w:sz w:val="22"/>
          <w:szCs w:val="22"/>
        </w:rPr>
        <w:t xml:space="preserve"> and</w:t>
      </w:r>
      <w:r w:rsidR="000F33B5">
        <w:rPr>
          <w:rFonts w:cs="Arial"/>
          <w:sz w:val="22"/>
          <w:szCs w:val="22"/>
        </w:rPr>
        <w:t xml:space="preserve"> the value of E</w:t>
      </w:r>
      <w:r w:rsidR="000F4635">
        <w:rPr>
          <w:rFonts w:cs="Arial"/>
          <w:sz w:val="22"/>
          <w:szCs w:val="22"/>
        </w:rPr>
        <w:t xml:space="preserve">lement 2 </w:t>
      </w:r>
      <w:r w:rsidR="008763CA">
        <w:rPr>
          <w:rFonts w:cs="Arial"/>
          <w:sz w:val="22"/>
          <w:szCs w:val="22"/>
        </w:rPr>
        <w:t>contributions</w:t>
      </w:r>
      <w:r w:rsidR="000F4635">
        <w:rPr>
          <w:rFonts w:cs="Arial"/>
          <w:sz w:val="22"/>
          <w:szCs w:val="22"/>
        </w:rPr>
        <w:t>, which schools and provider</w:t>
      </w:r>
      <w:r w:rsidR="00F40218">
        <w:rPr>
          <w:rFonts w:cs="Arial"/>
          <w:sz w:val="22"/>
          <w:szCs w:val="22"/>
        </w:rPr>
        <w:t xml:space="preserve">s will add to the </w:t>
      </w:r>
      <w:r w:rsidR="00D32993">
        <w:rPr>
          <w:rFonts w:cs="Arial"/>
          <w:sz w:val="22"/>
          <w:szCs w:val="22"/>
        </w:rPr>
        <w:t>top-up</w:t>
      </w:r>
      <w:r w:rsidR="00F40218">
        <w:rPr>
          <w:rFonts w:cs="Arial"/>
          <w:sz w:val="22"/>
          <w:szCs w:val="22"/>
        </w:rPr>
        <w:t xml:space="preserve"> </w:t>
      </w:r>
      <w:r w:rsidR="0043067C">
        <w:rPr>
          <w:rFonts w:cs="Arial"/>
          <w:sz w:val="22"/>
          <w:szCs w:val="22"/>
        </w:rPr>
        <w:t xml:space="preserve">from their budgets </w:t>
      </w:r>
      <w:r w:rsidR="00F40218">
        <w:rPr>
          <w:rFonts w:cs="Arial"/>
          <w:sz w:val="22"/>
          <w:szCs w:val="22"/>
        </w:rPr>
        <w:t>to</w:t>
      </w:r>
      <w:r w:rsidR="000F4635">
        <w:rPr>
          <w:rFonts w:cs="Arial"/>
          <w:sz w:val="22"/>
          <w:szCs w:val="22"/>
        </w:rPr>
        <w:t xml:space="preserve"> produce the total value of funding available for supporting the costs of an EHCP.</w:t>
      </w:r>
    </w:p>
    <w:p w14:paraId="33F137DC" w14:textId="551AC887" w:rsidR="000F4635" w:rsidRDefault="00390086" w:rsidP="00355873">
      <w:pPr>
        <w:spacing w:after="200" w:line="276" w:lineRule="auto"/>
        <w:jc w:val="both"/>
        <w:rPr>
          <w:rFonts w:cs="Arial"/>
          <w:sz w:val="22"/>
          <w:szCs w:val="22"/>
        </w:rPr>
      </w:pPr>
      <w:r>
        <w:rPr>
          <w:rFonts w:cs="Arial"/>
          <w:sz w:val="22"/>
          <w:szCs w:val="22"/>
        </w:rPr>
        <w:t xml:space="preserve">In all steps within the </w:t>
      </w:r>
      <w:r w:rsidR="00D90A7F">
        <w:rPr>
          <w:rFonts w:cs="Arial"/>
          <w:sz w:val="22"/>
          <w:szCs w:val="22"/>
        </w:rPr>
        <w:t xml:space="preserve">model </w:t>
      </w:r>
      <w:r w:rsidR="00D90A7F" w:rsidRPr="000F4635">
        <w:rPr>
          <w:rFonts w:cs="Arial"/>
          <w:sz w:val="22"/>
          <w:szCs w:val="22"/>
        </w:rPr>
        <w:t>the</w:t>
      </w:r>
      <w:r w:rsidR="000F4635" w:rsidRPr="000F4635">
        <w:rPr>
          <w:rFonts w:cs="Arial"/>
          <w:sz w:val="22"/>
          <w:szCs w:val="22"/>
        </w:rPr>
        <w:t xml:space="preserve"> school / provider, with the excepti</w:t>
      </w:r>
      <w:r w:rsidR="000F4635">
        <w:rPr>
          <w:rFonts w:cs="Arial"/>
          <w:sz w:val="22"/>
          <w:szCs w:val="22"/>
        </w:rPr>
        <w:t xml:space="preserve">on of EHCPs for </w:t>
      </w:r>
      <w:r w:rsidR="00981A96">
        <w:rPr>
          <w:rFonts w:cs="Arial"/>
          <w:sz w:val="22"/>
          <w:szCs w:val="22"/>
        </w:rPr>
        <w:t xml:space="preserve">early years-aged children </w:t>
      </w:r>
      <w:r w:rsidR="000F4635" w:rsidRPr="000F4635">
        <w:rPr>
          <w:rFonts w:cs="Arial"/>
          <w:sz w:val="22"/>
          <w:szCs w:val="22"/>
        </w:rPr>
        <w:t>(</w:t>
      </w:r>
      <w:r w:rsidR="000F4635">
        <w:rPr>
          <w:rFonts w:cs="Arial"/>
          <w:sz w:val="22"/>
          <w:szCs w:val="22"/>
        </w:rPr>
        <w:t xml:space="preserve">in </w:t>
      </w:r>
      <w:r w:rsidR="000F4635" w:rsidRPr="000F4635">
        <w:rPr>
          <w:rFonts w:cs="Arial"/>
          <w:sz w:val="22"/>
          <w:szCs w:val="22"/>
        </w:rPr>
        <w:t>pre-reception)</w:t>
      </w:r>
      <w:r w:rsidR="008553CE">
        <w:rPr>
          <w:rFonts w:cs="Arial"/>
          <w:sz w:val="22"/>
          <w:szCs w:val="22"/>
        </w:rPr>
        <w:t xml:space="preserve"> in mainstream not specialist provision</w:t>
      </w:r>
      <w:r w:rsidR="000F33B5">
        <w:rPr>
          <w:rFonts w:cs="Arial"/>
          <w:sz w:val="22"/>
          <w:szCs w:val="22"/>
        </w:rPr>
        <w:t>, is expected to contribute E</w:t>
      </w:r>
      <w:r w:rsidR="000F4635" w:rsidRPr="000F4635">
        <w:rPr>
          <w:rFonts w:cs="Arial"/>
          <w:sz w:val="22"/>
          <w:szCs w:val="22"/>
        </w:rPr>
        <w:t>lement 2 funding</w:t>
      </w:r>
      <w:r w:rsidR="0043067C">
        <w:rPr>
          <w:rFonts w:cs="Arial"/>
          <w:sz w:val="22"/>
          <w:szCs w:val="22"/>
        </w:rPr>
        <w:t>,</w:t>
      </w:r>
      <w:r w:rsidR="000F4635" w:rsidRPr="000F4635">
        <w:rPr>
          <w:rFonts w:cs="Arial"/>
          <w:sz w:val="22"/>
          <w:szCs w:val="22"/>
        </w:rPr>
        <w:t xml:space="preserve"> currently at a value of £6,000</w:t>
      </w:r>
      <w:r w:rsidR="00F40218">
        <w:rPr>
          <w:rFonts w:cs="Arial"/>
          <w:sz w:val="22"/>
          <w:szCs w:val="22"/>
        </w:rPr>
        <w:t xml:space="preserve"> per 1 FTE</w:t>
      </w:r>
      <w:r w:rsidR="0043067C">
        <w:rPr>
          <w:rFonts w:cs="Arial"/>
          <w:sz w:val="22"/>
          <w:szCs w:val="22"/>
        </w:rPr>
        <w:t>,</w:t>
      </w:r>
      <w:r w:rsidR="000F4635" w:rsidRPr="000F4635">
        <w:rPr>
          <w:rFonts w:cs="Arial"/>
          <w:sz w:val="22"/>
          <w:szCs w:val="22"/>
        </w:rPr>
        <w:t xml:space="preserve"> to the cost of</w:t>
      </w:r>
      <w:r w:rsidR="000F4635">
        <w:rPr>
          <w:rFonts w:cs="Arial"/>
          <w:sz w:val="22"/>
          <w:szCs w:val="22"/>
        </w:rPr>
        <w:t xml:space="preserve"> the</w:t>
      </w:r>
      <w:r w:rsidR="000F4635" w:rsidRPr="000F4635">
        <w:rPr>
          <w:rFonts w:cs="Arial"/>
          <w:sz w:val="22"/>
          <w:szCs w:val="22"/>
        </w:rPr>
        <w:t xml:space="preserve"> additional needs</w:t>
      </w:r>
      <w:r w:rsidR="000F4635">
        <w:rPr>
          <w:rFonts w:cs="Arial"/>
          <w:sz w:val="22"/>
          <w:szCs w:val="22"/>
        </w:rPr>
        <w:t xml:space="preserve"> set out in the EHCP</w:t>
      </w:r>
      <w:r w:rsidR="000F4635" w:rsidRPr="000F4635">
        <w:rPr>
          <w:rFonts w:cs="Arial"/>
          <w:sz w:val="22"/>
          <w:szCs w:val="22"/>
        </w:rPr>
        <w:t>.</w:t>
      </w:r>
      <w:r w:rsidR="000F4635">
        <w:rPr>
          <w:rFonts w:cs="Arial"/>
          <w:sz w:val="22"/>
          <w:szCs w:val="22"/>
        </w:rPr>
        <w:t xml:space="preserve"> For EHCPs for </w:t>
      </w:r>
      <w:r w:rsidR="00981A96">
        <w:rPr>
          <w:rFonts w:cs="Arial"/>
          <w:sz w:val="22"/>
          <w:szCs w:val="22"/>
        </w:rPr>
        <w:t>early years-aged children</w:t>
      </w:r>
      <w:r w:rsidR="000F4635">
        <w:rPr>
          <w:rFonts w:cs="Arial"/>
          <w:sz w:val="22"/>
          <w:szCs w:val="22"/>
        </w:rPr>
        <w:t xml:space="preserve"> (in pre-reception)</w:t>
      </w:r>
      <w:r w:rsidR="00724228">
        <w:rPr>
          <w:rFonts w:cs="Arial"/>
          <w:sz w:val="22"/>
          <w:szCs w:val="22"/>
        </w:rPr>
        <w:t xml:space="preserve"> in mainstream</w:t>
      </w:r>
      <w:r w:rsidR="008553CE">
        <w:rPr>
          <w:rFonts w:cs="Arial"/>
          <w:sz w:val="22"/>
          <w:szCs w:val="22"/>
        </w:rPr>
        <w:t xml:space="preserve"> not specialist provision</w:t>
      </w:r>
      <w:r w:rsidR="000F4635">
        <w:rPr>
          <w:rFonts w:cs="Arial"/>
          <w:sz w:val="22"/>
          <w:szCs w:val="22"/>
        </w:rPr>
        <w:t>, that are</w:t>
      </w:r>
      <w:r w:rsidR="00FA26BB">
        <w:rPr>
          <w:rFonts w:cs="Arial"/>
          <w:sz w:val="22"/>
          <w:szCs w:val="22"/>
        </w:rPr>
        <w:t xml:space="preserve"> only</w:t>
      </w:r>
      <w:r w:rsidR="000F4635">
        <w:rPr>
          <w:rFonts w:cs="Arial"/>
          <w:sz w:val="22"/>
          <w:szCs w:val="22"/>
        </w:rPr>
        <w:t xml:space="preserve"> funded through the Early Years Single Funding Formula (EYSFF), becau</w:t>
      </w:r>
      <w:r w:rsidR="000F33B5">
        <w:rPr>
          <w:rFonts w:cs="Arial"/>
          <w:sz w:val="22"/>
          <w:szCs w:val="22"/>
        </w:rPr>
        <w:t>se the EYSFF does not allocate Element 2 funding, E</w:t>
      </w:r>
      <w:r w:rsidR="000F4635">
        <w:rPr>
          <w:rFonts w:cs="Arial"/>
          <w:sz w:val="22"/>
          <w:szCs w:val="22"/>
        </w:rPr>
        <w:t xml:space="preserve">lement 2 </w:t>
      </w:r>
      <w:r w:rsidR="0043067C">
        <w:rPr>
          <w:rFonts w:cs="Arial"/>
          <w:sz w:val="22"/>
          <w:szCs w:val="22"/>
        </w:rPr>
        <w:t>is</w:t>
      </w:r>
      <w:r w:rsidR="000F4635">
        <w:rPr>
          <w:rFonts w:cs="Arial"/>
          <w:sz w:val="22"/>
          <w:szCs w:val="22"/>
        </w:rPr>
        <w:t xml:space="preserve"> allocated</w:t>
      </w:r>
      <w:r w:rsidR="006C68CF">
        <w:rPr>
          <w:rFonts w:cs="Arial"/>
          <w:sz w:val="22"/>
          <w:szCs w:val="22"/>
        </w:rPr>
        <w:t xml:space="preserve"> on an FTE basis</w:t>
      </w:r>
      <w:r w:rsidR="000F4635">
        <w:rPr>
          <w:rFonts w:cs="Arial"/>
          <w:sz w:val="22"/>
          <w:szCs w:val="22"/>
        </w:rPr>
        <w:t xml:space="preserve"> in addition to the </w:t>
      </w:r>
      <w:r w:rsidR="00D32993">
        <w:rPr>
          <w:rFonts w:cs="Arial"/>
          <w:sz w:val="22"/>
          <w:szCs w:val="22"/>
        </w:rPr>
        <w:t>top-up</w:t>
      </w:r>
      <w:r w:rsidR="000F4635">
        <w:rPr>
          <w:rFonts w:cs="Arial"/>
          <w:sz w:val="22"/>
          <w:szCs w:val="22"/>
        </w:rPr>
        <w:t xml:space="preserve"> value for these EHCPs until these children enter reception</w:t>
      </w:r>
      <w:r w:rsidR="00724228">
        <w:rPr>
          <w:rFonts w:cs="Arial"/>
          <w:sz w:val="22"/>
          <w:szCs w:val="22"/>
        </w:rPr>
        <w:t xml:space="preserve"> year. This </w:t>
      </w:r>
      <w:r w:rsidR="008553CE">
        <w:rPr>
          <w:rFonts w:cs="Arial"/>
          <w:sz w:val="22"/>
          <w:szCs w:val="22"/>
        </w:rPr>
        <w:t xml:space="preserve">addition </w:t>
      </w:r>
      <w:r w:rsidR="00724228">
        <w:rPr>
          <w:rFonts w:cs="Arial"/>
          <w:sz w:val="22"/>
          <w:szCs w:val="22"/>
        </w:rPr>
        <w:t>does not apply to early years children that are placed in special schools or in resourced provision</w:t>
      </w:r>
      <w:r w:rsidR="008553CE">
        <w:rPr>
          <w:rFonts w:cs="Arial"/>
          <w:sz w:val="22"/>
          <w:szCs w:val="22"/>
        </w:rPr>
        <w:t>s</w:t>
      </w:r>
      <w:r w:rsidR="00FA26BB">
        <w:rPr>
          <w:rFonts w:cs="Arial"/>
          <w:sz w:val="22"/>
          <w:szCs w:val="22"/>
        </w:rPr>
        <w:t xml:space="preserve"> as</w:t>
      </w:r>
      <w:r w:rsidR="00724228">
        <w:rPr>
          <w:rFonts w:cs="Arial"/>
          <w:sz w:val="22"/>
          <w:szCs w:val="22"/>
        </w:rPr>
        <w:t xml:space="preserve"> these</w:t>
      </w:r>
      <w:r w:rsidR="008553CE">
        <w:rPr>
          <w:rFonts w:cs="Arial"/>
          <w:sz w:val="22"/>
          <w:szCs w:val="22"/>
        </w:rPr>
        <w:t xml:space="preserve"> provisions</w:t>
      </w:r>
      <w:r w:rsidR="00724228">
        <w:rPr>
          <w:rFonts w:cs="Arial"/>
          <w:sz w:val="22"/>
          <w:szCs w:val="22"/>
        </w:rPr>
        <w:t xml:space="preserve"> are funded on a p</w:t>
      </w:r>
      <w:r w:rsidR="000F33B5">
        <w:rPr>
          <w:rFonts w:cs="Arial"/>
          <w:sz w:val="22"/>
          <w:szCs w:val="22"/>
        </w:rPr>
        <w:t>lace-led basis, which includes E</w:t>
      </w:r>
      <w:r w:rsidR="00724228">
        <w:rPr>
          <w:rFonts w:cs="Arial"/>
          <w:sz w:val="22"/>
          <w:szCs w:val="22"/>
        </w:rPr>
        <w:t>lement 2.</w:t>
      </w:r>
    </w:p>
    <w:tbl>
      <w:tblPr>
        <w:tblStyle w:val="TableGrid"/>
        <w:tblW w:w="0" w:type="auto"/>
        <w:tblLook w:val="04A0" w:firstRow="1" w:lastRow="0" w:firstColumn="1" w:lastColumn="0" w:noHBand="0" w:noVBand="1"/>
      </w:tblPr>
      <w:tblGrid>
        <w:gridCol w:w="2613"/>
        <w:gridCol w:w="2598"/>
        <w:gridCol w:w="2605"/>
        <w:gridCol w:w="2604"/>
      </w:tblGrid>
      <w:tr w:rsidR="00FD55D1" w:rsidRPr="0076284D" w14:paraId="59047BBD" w14:textId="77777777" w:rsidTr="00F610A5">
        <w:tc>
          <w:tcPr>
            <w:tcW w:w="2718" w:type="dxa"/>
          </w:tcPr>
          <w:p w14:paraId="46499264" w14:textId="77777777" w:rsidR="00FD55D1" w:rsidRPr="000F4635" w:rsidRDefault="00FD55D1" w:rsidP="00F610A5">
            <w:pPr>
              <w:spacing w:after="200" w:line="276" w:lineRule="auto"/>
              <w:rPr>
                <w:rFonts w:cs="Arial"/>
                <w:b/>
                <w:sz w:val="22"/>
                <w:szCs w:val="22"/>
              </w:rPr>
            </w:pPr>
          </w:p>
        </w:tc>
        <w:tc>
          <w:tcPr>
            <w:tcW w:w="2718" w:type="dxa"/>
          </w:tcPr>
          <w:p w14:paraId="0F81E2DE" w14:textId="36AC16B0" w:rsidR="00FD55D1" w:rsidRPr="000011C2" w:rsidRDefault="00FD55D1" w:rsidP="00F610A5">
            <w:pPr>
              <w:spacing w:after="200" w:line="276" w:lineRule="auto"/>
              <w:jc w:val="right"/>
              <w:rPr>
                <w:rFonts w:cs="Arial"/>
                <w:b/>
                <w:sz w:val="22"/>
                <w:szCs w:val="22"/>
              </w:rPr>
            </w:pPr>
            <w:r w:rsidRPr="000011C2">
              <w:rPr>
                <w:rFonts w:cs="Arial"/>
                <w:b/>
                <w:sz w:val="22"/>
                <w:szCs w:val="22"/>
              </w:rPr>
              <w:t xml:space="preserve">Top-up Value </w:t>
            </w:r>
            <w:r>
              <w:rPr>
                <w:rFonts w:cs="Arial"/>
                <w:b/>
                <w:sz w:val="22"/>
                <w:szCs w:val="22"/>
              </w:rPr>
              <w:t>2024/25</w:t>
            </w:r>
          </w:p>
        </w:tc>
        <w:tc>
          <w:tcPr>
            <w:tcW w:w="2719" w:type="dxa"/>
          </w:tcPr>
          <w:p w14:paraId="04E91EA4" w14:textId="77777777" w:rsidR="00FD55D1" w:rsidRPr="000011C2" w:rsidRDefault="00FD55D1" w:rsidP="00F610A5">
            <w:pPr>
              <w:spacing w:after="200" w:line="276" w:lineRule="auto"/>
              <w:jc w:val="right"/>
              <w:rPr>
                <w:rFonts w:cs="Arial"/>
                <w:b/>
                <w:sz w:val="22"/>
                <w:szCs w:val="22"/>
              </w:rPr>
            </w:pPr>
            <w:r w:rsidRPr="000011C2">
              <w:rPr>
                <w:rFonts w:cs="Arial"/>
                <w:b/>
                <w:sz w:val="22"/>
                <w:szCs w:val="22"/>
              </w:rPr>
              <w:t>Element 2 Value FTE the school / provider adds</w:t>
            </w:r>
          </w:p>
        </w:tc>
        <w:tc>
          <w:tcPr>
            <w:tcW w:w="2719" w:type="dxa"/>
          </w:tcPr>
          <w:p w14:paraId="7E4931B2" w14:textId="5D17319E" w:rsidR="00FD55D1" w:rsidRPr="000011C2" w:rsidRDefault="00FD55D1" w:rsidP="00F610A5">
            <w:pPr>
              <w:spacing w:after="200" w:line="276" w:lineRule="auto"/>
              <w:jc w:val="right"/>
              <w:rPr>
                <w:rFonts w:cs="Arial"/>
                <w:b/>
                <w:sz w:val="22"/>
                <w:szCs w:val="22"/>
              </w:rPr>
            </w:pPr>
            <w:r w:rsidRPr="000011C2">
              <w:rPr>
                <w:rFonts w:cs="Arial"/>
                <w:b/>
                <w:sz w:val="22"/>
                <w:szCs w:val="22"/>
              </w:rPr>
              <w:t>Total Value of Funding to support the EHCP</w:t>
            </w:r>
            <w:r>
              <w:rPr>
                <w:rFonts w:cs="Arial"/>
                <w:b/>
                <w:sz w:val="22"/>
                <w:szCs w:val="22"/>
              </w:rPr>
              <w:t xml:space="preserve"> 2024/25</w:t>
            </w:r>
          </w:p>
        </w:tc>
      </w:tr>
      <w:tr w:rsidR="00FD55D1" w14:paraId="54E05830" w14:textId="77777777" w:rsidTr="00F610A5">
        <w:tc>
          <w:tcPr>
            <w:tcW w:w="2718" w:type="dxa"/>
          </w:tcPr>
          <w:p w14:paraId="1C0BE817" w14:textId="77777777" w:rsidR="00FD55D1" w:rsidRPr="000F4635" w:rsidRDefault="00FD55D1" w:rsidP="00F610A5">
            <w:pPr>
              <w:spacing w:after="200" w:line="276" w:lineRule="auto"/>
              <w:rPr>
                <w:rFonts w:cs="Arial"/>
                <w:b/>
                <w:sz w:val="22"/>
                <w:szCs w:val="22"/>
              </w:rPr>
            </w:pPr>
            <w:r w:rsidRPr="000F4635">
              <w:rPr>
                <w:rFonts w:cs="Arial"/>
                <w:b/>
                <w:sz w:val="22"/>
                <w:szCs w:val="22"/>
              </w:rPr>
              <w:t>Band 3 Low (3L)</w:t>
            </w:r>
          </w:p>
        </w:tc>
        <w:tc>
          <w:tcPr>
            <w:tcW w:w="2718" w:type="dxa"/>
          </w:tcPr>
          <w:p w14:paraId="0FD37973"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£2,401</w:t>
            </w:r>
          </w:p>
        </w:tc>
        <w:tc>
          <w:tcPr>
            <w:tcW w:w="2719" w:type="dxa"/>
          </w:tcPr>
          <w:p w14:paraId="3EE6E201" w14:textId="77777777" w:rsidR="00FD55D1" w:rsidRPr="000011C2" w:rsidRDefault="00FD55D1" w:rsidP="00F610A5">
            <w:pPr>
              <w:spacing w:after="200" w:line="276" w:lineRule="auto"/>
              <w:jc w:val="right"/>
              <w:rPr>
                <w:rFonts w:cs="Arial"/>
                <w:sz w:val="22"/>
                <w:szCs w:val="22"/>
              </w:rPr>
            </w:pPr>
            <w:r w:rsidRPr="000011C2">
              <w:rPr>
                <w:rFonts w:cs="Arial"/>
                <w:sz w:val="22"/>
                <w:szCs w:val="22"/>
              </w:rPr>
              <w:t>£6,000</w:t>
            </w:r>
          </w:p>
        </w:tc>
        <w:tc>
          <w:tcPr>
            <w:tcW w:w="2719" w:type="dxa"/>
          </w:tcPr>
          <w:p w14:paraId="3A79272A"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£8,401</w:t>
            </w:r>
          </w:p>
        </w:tc>
      </w:tr>
      <w:tr w:rsidR="00FD55D1" w14:paraId="00FAB20D" w14:textId="77777777" w:rsidTr="00F610A5">
        <w:tc>
          <w:tcPr>
            <w:tcW w:w="2718" w:type="dxa"/>
          </w:tcPr>
          <w:p w14:paraId="3DA412CA" w14:textId="77777777" w:rsidR="00FD55D1" w:rsidRPr="000F4635" w:rsidRDefault="00FD55D1" w:rsidP="00F610A5">
            <w:pPr>
              <w:spacing w:after="200" w:line="276" w:lineRule="auto"/>
              <w:rPr>
                <w:rFonts w:cs="Arial"/>
                <w:b/>
                <w:sz w:val="22"/>
                <w:szCs w:val="22"/>
              </w:rPr>
            </w:pPr>
            <w:r w:rsidRPr="000F4635">
              <w:rPr>
                <w:rFonts w:cs="Arial"/>
                <w:b/>
                <w:sz w:val="22"/>
                <w:szCs w:val="22"/>
              </w:rPr>
              <w:t>Band 3 Medium (3M)</w:t>
            </w:r>
          </w:p>
        </w:tc>
        <w:tc>
          <w:tcPr>
            <w:tcW w:w="2718" w:type="dxa"/>
          </w:tcPr>
          <w:p w14:paraId="5A7191B1"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£4,237</w:t>
            </w:r>
          </w:p>
        </w:tc>
        <w:tc>
          <w:tcPr>
            <w:tcW w:w="2719" w:type="dxa"/>
          </w:tcPr>
          <w:p w14:paraId="51EF29FD" w14:textId="77777777" w:rsidR="00FD55D1" w:rsidRPr="000011C2" w:rsidRDefault="00FD55D1" w:rsidP="00F610A5">
            <w:pPr>
              <w:spacing w:after="200" w:line="276" w:lineRule="auto"/>
              <w:jc w:val="right"/>
              <w:rPr>
                <w:rFonts w:cs="Arial"/>
                <w:sz w:val="22"/>
                <w:szCs w:val="22"/>
              </w:rPr>
            </w:pPr>
            <w:r w:rsidRPr="000011C2">
              <w:rPr>
                <w:rFonts w:cs="Arial"/>
                <w:sz w:val="22"/>
                <w:szCs w:val="22"/>
              </w:rPr>
              <w:t>£6,000</w:t>
            </w:r>
          </w:p>
        </w:tc>
        <w:tc>
          <w:tcPr>
            <w:tcW w:w="2719" w:type="dxa"/>
          </w:tcPr>
          <w:p w14:paraId="5F2A9DF5"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£10,237</w:t>
            </w:r>
          </w:p>
        </w:tc>
      </w:tr>
      <w:tr w:rsidR="00FD55D1" w14:paraId="2F675AE8" w14:textId="77777777" w:rsidTr="00F610A5">
        <w:tc>
          <w:tcPr>
            <w:tcW w:w="2718" w:type="dxa"/>
          </w:tcPr>
          <w:p w14:paraId="2C8D3B5F" w14:textId="77777777" w:rsidR="00FD55D1" w:rsidRPr="000F4635" w:rsidRDefault="00FD55D1" w:rsidP="00F610A5">
            <w:pPr>
              <w:spacing w:after="200" w:line="276" w:lineRule="auto"/>
              <w:rPr>
                <w:rFonts w:cs="Arial"/>
                <w:b/>
                <w:sz w:val="22"/>
                <w:szCs w:val="22"/>
              </w:rPr>
            </w:pPr>
            <w:r w:rsidRPr="000F4635">
              <w:rPr>
                <w:rFonts w:cs="Arial"/>
                <w:b/>
                <w:sz w:val="22"/>
                <w:szCs w:val="22"/>
              </w:rPr>
              <w:t>Band 3 High (3H)</w:t>
            </w:r>
          </w:p>
        </w:tc>
        <w:tc>
          <w:tcPr>
            <w:tcW w:w="2718" w:type="dxa"/>
          </w:tcPr>
          <w:p w14:paraId="412B6A27"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£6,019</w:t>
            </w:r>
          </w:p>
        </w:tc>
        <w:tc>
          <w:tcPr>
            <w:tcW w:w="2719" w:type="dxa"/>
          </w:tcPr>
          <w:p w14:paraId="399439D1" w14:textId="77777777" w:rsidR="00FD55D1" w:rsidRPr="000011C2" w:rsidRDefault="00FD55D1" w:rsidP="00F610A5">
            <w:pPr>
              <w:spacing w:after="200" w:line="276" w:lineRule="auto"/>
              <w:jc w:val="right"/>
              <w:rPr>
                <w:rFonts w:cs="Arial"/>
                <w:sz w:val="22"/>
                <w:szCs w:val="22"/>
              </w:rPr>
            </w:pPr>
            <w:r w:rsidRPr="000011C2">
              <w:rPr>
                <w:rFonts w:cs="Arial"/>
                <w:sz w:val="22"/>
                <w:szCs w:val="22"/>
              </w:rPr>
              <w:t>£6,000</w:t>
            </w:r>
          </w:p>
        </w:tc>
        <w:tc>
          <w:tcPr>
            <w:tcW w:w="2719" w:type="dxa"/>
          </w:tcPr>
          <w:p w14:paraId="067AC86B"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£12,019</w:t>
            </w:r>
          </w:p>
        </w:tc>
      </w:tr>
      <w:tr w:rsidR="00FD55D1" w14:paraId="58EE4930" w14:textId="77777777" w:rsidTr="00F610A5">
        <w:tc>
          <w:tcPr>
            <w:tcW w:w="2718" w:type="dxa"/>
          </w:tcPr>
          <w:p w14:paraId="2B174C4D" w14:textId="77777777" w:rsidR="00FD55D1" w:rsidRPr="000F4635" w:rsidRDefault="00FD55D1" w:rsidP="00F610A5">
            <w:pPr>
              <w:spacing w:after="200" w:line="276" w:lineRule="auto"/>
              <w:rPr>
                <w:rFonts w:cs="Arial"/>
                <w:b/>
                <w:sz w:val="22"/>
                <w:szCs w:val="22"/>
              </w:rPr>
            </w:pPr>
            <w:r w:rsidRPr="000F4635">
              <w:rPr>
                <w:rFonts w:cs="Arial"/>
                <w:b/>
                <w:sz w:val="22"/>
                <w:szCs w:val="22"/>
              </w:rPr>
              <w:t>Band 4 Low (4L)</w:t>
            </w:r>
          </w:p>
        </w:tc>
        <w:tc>
          <w:tcPr>
            <w:tcW w:w="2718" w:type="dxa"/>
          </w:tcPr>
          <w:p w14:paraId="37D6ED88"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£9,605</w:t>
            </w:r>
          </w:p>
        </w:tc>
        <w:tc>
          <w:tcPr>
            <w:tcW w:w="2719" w:type="dxa"/>
          </w:tcPr>
          <w:p w14:paraId="4B633FCA" w14:textId="77777777" w:rsidR="00FD55D1" w:rsidRPr="000011C2" w:rsidRDefault="00FD55D1" w:rsidP="00F610A5">
            <w:pPr>
              <w:spacing w:after="200" w:line="276" w:lineRule="auto"/>
              <w:jc w:val="right"/>
              <w:rPr>
                <w:rFonts w:cs="Arial"/>
                <w:sz w:val="22"/>
                <w:szCs w:val="22"/>
              </w:rPr>
            </w:pPr>
            <w:r w:rsidRPr="000011C2">
              <w:rPr>
                <w:rFonts w:cs="Arial"/>
                <w:sz w:val="22"/>
                <w:szCs w:val="22"/>
              </w:rPr>
              <w:t>£6,000</w:t>
            </w:r>
          </w:p>
        </w:tc>
        <w:tc>
          <w:tcPr>
            <w:tcW w:w="2719" w:type="dxa"/>
          </w:tcPr>
          <w:p w14:paraId="399309DE"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£15,605</w:t>
            </w:r>
          </w:p>
        </w:tc>
      </w:tr>
      <w:tr w:rsidR="00FD55D1" w14:paraId="5ADE1F91" w14:textId="77777777" w:rsidTr="00F610A5">
        <w:tc>
          <w:tcPr>
            <w:tcW w:w="2718" w:type="dxa"/>
          </w:tcPr>
          <w:p w14:paraId="487A917A" w14:textId="77777777" w:rsidR="00FD55D1" w:rsidRPr="000F4635" w:rsidRDefault="00FD55D1" w:rsidP="00F610A5">
            <w:pPr>
              <w:spacing w:after="200" w:line="276" w:lineRule="auto"/>
              <w:rPr>
                <w:rFonts w:cs="Arial"/>
                <w:b/>
                <w:sz w:val="22"/>
                <w:szCs w:val="22"/>
              </w:rPr>
            </w:pPr>
            <w:r w:rsidRPr="000F4635">
              <w:rPr>
                <w:rFonts w:cs="Arial"/>
                <w:b/>
                <w:sz w:val="22"/>
                <w:szCs w:val="22"/>
              </w:rPr>
              <w:t>Band 4 Medium (4M)</w:t>
            </w:r>
          </w:p>
        </w:tc>
        <w:tc>
          <w:tcPr>
            <w:tcW w:w="2718" w:type="dxa"/>
          </w:tcPr>
          <w:p w14:paraId="212BC366"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£13,780</w:t>
            </w:r>
          </w:p>
        </w:tc>
        <w:tc>
          <w:tcPr>
            <w:tcW w:w="2719" w:type="dxa"/>
          </w:tcPr>
          <w:p w14:paraId="26F3DDDF" w14:textId="77777777" w:rsidR="00FD55D1" w:rsidRPr="000011C2" w:rsidRDefault="00FD55D1" w:rsidP="00F610A5">
            <w:pPr>
              <w:spacing w:after="200" w:line="276" w:lineRule="auto"/>
              <w:jc w:val="right"/>
              <w:rPr>
                <w:rFonts w:cs="Arial"/>
                <w:sz w:val="22"/>
                <w:szCs w:val="22"/>
              </w:rPr>
            </w:pPr>
            <w:r w:rsidRPr="000011C2">
              <w:rPr>
                <w:rFonts w:cs="Arial"/>
                <w:sz w:val="22"/>
                <w:szCs w:val="22"/>
              </w:rPr>
              <w:t>£6,000</w:t>
            </w:r>
          </w:p>
        </w:tc>
        <w:tc>
          <w:tcPr>
            <w:tcW w:w="2719" w:type="dxa"/>
          </w:tcPr>
          <w:p w14:paraId="7493883A"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£19,780</w:t>
            </w:r>
          </w:p>
        </w:tc>
      </w:tr>
      <w:tr w:rsidR="00FD55D1" w14:paraId="534B8E52" w14:textId="77777777" w:rsidTr="00F610A5">
        <w:tc>
          <w:tcPr>
            <w:tcW w:w="2718" w:type="dxa"/>
          </w:tcPr>
          <w:p w14:paraId="166DD951" w14:textId="77777777" w:rsidR="00FD55D1" w:rsidRPr="000F4635" w:rsidRDefault="00FD55D1" w:rsidP="00F610A5">
            <w:pPr>
              <w:spacing w:after="200" w:line="276" w:lineRule="auto"/>
              <w:rPr>
                <w:rFonts w:cs="Arial"/>
                <w:b/>
                <w:sz w:val="22"/>
                <w:szCs w:val="22"/>
              </w:rPr>
            </w:pPr>
            <w:r w:rsidRPr="000F4635">
              <w:rPr>
                <w:rFonts w:cs="Arial"/>
                <w:b/>
                <w:sz w:val="22"/>
                <w:szCs w:val="22"/>
              </w:rPr>
              <w:t>Band 4 High (4H)</w:t>
            </w:r>
          </w:p>
        </w:tc>
        <w:tc>
          <w:tcPr>
            <w:tcW w:w="2718" w:type="dxa"/>
          </w:tcPr>
          <w:p w14:paraId="0F36B186"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£17,983</w:t>
            </w:r>
          </w:p>
        </w:tc>
        <w:tc>
          <w:tcPr>
            <w:tcW w:w="2719" w:type="dxa"/>
          </w:tcPr>
          <w:p w14:paraId="404524E4" w14:textId="77777777" w:rsidR="00FD55D1" w:rsidRPr="000011C2" w:rsidRDefault="00FD55D1" w:rsidP="00F610A5">
            <w:pPr>
              <w:spacing w:after="200" w:line="276" w:lineRule="auto"/>
              <w:jc w:val="right"/>
              <w:rPr>
                <w:rFonts w:cs="Arial"/>
                <w:sz w:val="22"/>
                <w:szCs w:val="22"/>
              </w:rPr>
            </w:pPr>
            <w:r w:rsidRPr="000011C2">
              <w:rPr>
                <w:rFonts w:cs="Arial"/>
                <w:sz w:val="22"/>
                <w:szCs w:val="22"/>
              </w:rPr>
              <w:t>£6,000</w:t>
            </w:r>
          </w:p>
        </w:tc>
        <w:tc>
          <w:tcPr>
            <w:tcW w:w="2719" w:type="dxa"/>
          </w:tcPr>
          <w:p w14:paraId="37A5160C"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£23,983</w:t>
            </w:r>
          </w:p>
        </w:tc>
      </w:tr>
      <w:tr w:rsidR="00FD55D1" w14:paraId="7FFE1B89" w14:textId="77777777" w:rsidTr="00F610A5">
        <w:tc>
          <w:tcPr>
            <w:tcW w:w="2718" w:type="dxa"/>
          </w:tcPr>
          <w:p w14:paraId="149FAFF7" w14:textId="77777777" w:rsidR="00FD55D1" w:rsidRPr="000F4635" w:rsidRDefault="00FD55D1" w:rsidP="00F610A5">
            <w:pPr>
              <w:spacing w:after="200" w:line="276" w:lineRule="auto"/>
              <w:rPr>
                <w:rFonts w:cs="Arial"/>
                <w:b/>
                <w:sz w:val="22"/>
                <w:szCs w:val="22"/>
              </w:rPr>
            </w:pPr>
            <w:r>
              <w:rPr>
                <w:rFonts w:cs="Arial"/>
                <w:b/>
                <w:sz w:val="22"/>
                <w:szCs w:val="22"/>
              </w:rPr>
              <w:t>Protected 7</w:t>
            </w:r>
          </w:p>
        </w:tc>
        <w:tc>
          <w:tcPr>
            <w:tcW w:w="2718" w:type="dxa"/>
          </w:tcPr>
          <w:p w14:paraId="4D2E57D8"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£29,548</w:t>
            </w:r>
          </w:p>
        </w:tc>
        <w:tc>
          <w:tcPr>
            <w:tcW w:w="2719" w:type="dxa"/>
          </w:tcPr>
          <w:p w14:paraId="05ECCD64" w14:textId="77777777" w:rsidR="00FD55D1" w:rsidRPr="000011C2" w:rsidRDefault="00FD55D1" w:rsidP="00F610A5">
            <w:pPr>
              <w:spacing w:after="200" w:line="276" w:lineRule="auto"/>
              <w:jc w:val="right"/>
              <w:rPr>
                <w:rFonts w:cs="Arial"/>
                <w:sz w:val="22"/>
                <w:szCs w:val="22"/>
              </w:rPr>
            </w:pPr>
            <w:r w:rsidRPr="000011C2">
              <w:rPr>
                <w:rFonts w:cs="Arial"/>
                <w:sz w:val="22"/>
                <w:szCs w:val="22"/>
              </w:rPr>
              <w:t>£6,000</w:t>
            </w:r>
          </w:p>
        </w:tc>
        <w:tc>
          <w:tcPr>
            <w:tcW w:w="2719" w:type="dxa"/>
          </w:tcPr>
          <w:p w14:paraId="68903996" w14:textId="77777777" w:rsidR="00FD55D1" w:rsidRPr="000011C2" w:rsidRDefault="00FD55D1" w:rsidP="00F610A5">
            <w:pPr>
              <w:pStyle w:val="ListParagraph"/>
              <w:ind w:left="0"/>
              <w:jc w:val="right"/>
              <w:rPr>
                <w:rFonts w:cs="Arial"/>
                <w:b/>
                <w:sz w:val="22"/>
                <w:szCs w:val="22"/>
              </w:rPr>
            </w:pPr>
            <w:r w:rsidRPr="000011C2">
              <w:rPr>
                <w:rFonts w:cs="Arial"/>
                <w:b/>
                <w:sz w:val="22"/>
                <w:szCs w:val="22"/>
              </w:rPr>
              <w:t>£35,548</w:t>
            </w:r>
          </w:p>
        </w:tc>
      </w:tr>
    </w:tbl>
    <w:p w14:paraId="02DE8DBC" w14:textId="77777777" w:rsidR="00371DA9" w:rsidRDefault="00371DA9" w:rsidP="00355873">
      <w:pPr>
        <w:spacing w:after="200" w:line="276" w:lineRule="auto"/>
        <w:jc w:val="both"/>
        <w:rPr>
          <w:rFonts w:cs="Arial"/>
          <w:sz w:val="22"/>
          <w:szCs w:val="22"/>
        </w:rPr>
      </w:pPr>
    </w:p>
    <w:p w14:paraId="2EF00DD6" w14:textId="5940341C" w:rsidR="000B5D1C" w:rsidRDefault="008763CA" w:rsidP="00355873">
      <w:pPr>
        <w:spacing w:after="200" w:line="276" w:lineRule="auto"/>
        <w:jc w:val="both"/>
        <w:rPr>
          <w:rFonts w:cs="Arial"/>
          <w:sz w:val="22"/>
          <w:szCs w:val="22"/>
        </w:rPr>
      </w:pPr>
      <w:r>
        <w:rPr>
          <w:rFonts w:cs="Arial"/>
          <w:sz w:val="22"/>
          <w:szCs w:val="22"/>
        </w:rPr>
        <w:t>The</w:t>
      </w:r>
      <w:r w:rsidR="000B5D1C">
        <w:rPr>
          <w:rFonts w:cs="Arial"/>
          <w:sz w:val="22"/>
          <w:szCs w:val="22"/>
        </w:rPr>
        <w:t xml:space="preserve"> model </w:t>
      </w:r>
      <w:r w:rsidR="00705526">
        <w:rPr>
          <w:rFonts w:cs="Arial"/>
          <w:sz w:val="22"/>
          <w:szCs w:val="22"/>
        </w:rPr>
        <w:t>is calculated on a</w:t>
      </w:r>
      <w:r w:rsidR="000B5D1C">
        <w:rPr>
          <w:rFonts w:cs="Arial"/>
          <w:sz w:val="22"/>
          <w:szCs w:val="22"/>
        </w:rPr>
        <w:t xml:space="preserve"> provision-mapping</w:t>
      </w:r>
      <w:r w:rsidR="00705526">
        <w:rPr>
          <w:rFonts w:cs="Arial"/>
          <w:sz w:val="22"/>
          <w:szCs w:val="22"/>
        </w:rPr>
        <w:t xml:space="preserve"> approach</w:t>
      </w:r>
      <w:r w:rsidR="000B5D1C">
        <w:rPr>
          <w:rFonts w:cs="Arial"/>
          <w:sz w:val="22"/>
          <w:szCs w:val="22"/>
        </w:rPr>
        <w:t xml:space="preserve">. </w:t>
      </w:r>
      <w:r w:rsidR="00705526">
        <w:rPr>
          <w:rFonts w:cs="Arial"/>
          <w:sz w:val="22"/>
          <w:szCs w:val="22"/>
        </w:rPr>
        <w:t xml:space="preserve">The </w:t>
      </w:r>
      <w:r w:rsidR="004B3F7B">
        <w:rPr>
          <w:rFonts w:cs="Arial"/>
          <w:sz w:val="22"/>
          <w:szCs w:val="22"/>
        </w:rPr>
        <w:t xml:space="preserve">additional educational </w:t>
      </w:r>
      <w:r w:rsidR="00705526">
        <w:rPr>
          <w:rFonts w:cs="Arial"/>
          <w:sz w:val="22"/>
          <w:szCs w:val="22"/>
        </w:rPr>
        <w:t xml:space="preserve">needs of a child with an EHCP typically will be met through additional adult contact time. </w:t>
      </w:r>
      <w:r w:rsidR="00371DA9">
        <w:rPr>
          <w:rFonts w:cs="Arial"/>
          <w:sz w:val="22"/>
          <w:szCs w:val="22"/>
        </w:rPr>
        <w:t>Typically,</w:t>
      </w:r>
      <w:r w:rsidR="00705526">
        <w:rPr>
          <w:rFonts w:cs="Arial"/>
          <w:sz w:val="22"/>
          <w:szCs w:val="22"/>
        </w:rPr>
        <w:t xml:space="preserve"> this will be delivered in a combination of individual</w:t>
      </w:r>
      <w:r w:rsidR="002869A7">
        <w:rPr>
          <w:rFonts w:cs="Arial"/>
          <w:sz w:val="22"/>
          <w:szCs w:val="22"/>
        </w:rPr>
        <w:t xml:space="preserve"> time and time in</w:t>
      </w:r>
      <w:r w:rsidR="00705526">
        <w:rPr>
          <w:rFonts w:cs="Arial"/>
          <w:sz w:val="22"/>
          <w:szCs w:val="22"/>
        </w:rPr>
        <w:t xml:space="preserve"> smaller groups. The </w:t>
      </w:r>
      <w:r w:rsidR="006C68CF">
        <w:rPr>
          <w:rFonts w:cs="Arial"/>
          <w:sz w:val="22"/>
          <w:szCs w:val="22"/>
        </w:rPr>
        <w:t xml:space="preserve">overall </w:t>
      </w:r>
      <w:r w:rsidR="00705526">
        <w:rPr>
          <w:rFonts w:cs="Arial"/>
          <w:sz w:val="22"/>
          <w:szCs w:val="22"/>
        </w:rPr>
        <w:t xml:space="preserve">volume of time will increase as needs increase and the proportion of this time that is delivered </w:t>
      </w:r>
      <w:r w:rsidR="002869A7">
        <w:rPr>
          <w:rFonts w:cs="Arial"/>
          <w:sz w:val="22"/>
          <w:szCs w:val="22"/>
        </w:rPr>
        <w:t>on a more bespoke</w:t>
      </w:r>
      <w:r w:rsidR="00705526">
        <w:rPr>
          <w:rFonts w:cs="Arial"/>
          <w:sz w:val="22"/>
          <w:szCs w:val="22"/>
        </w:rPr>
        <w:t xml:space="preserve"> basis will also increase as needs increase</w:t>
      </w:r>
      <w:r w:rsidR="002869A7">
        <w:rPr>
          <w:rFonts w:cs="Arial"/>
          <w:sz w:val="22"/>
          <w:szCs w:val="22"/>
        </w:rPr>
        <w:t xml:space="preserve">. </w:t>
      </w:r>
      <w:r w:rsidR="000B5D1C">
        <w:rPr>
          <w:rFonts w:cs="Arial"/>
          <w:sz w:val="22"/>
          <w:szCs w:val="22"/>
        </w:rPr>
        <w:t>The values of the bands have been built up on</w:t>
      </w:r>
      <w:r w:rsidR="00E8426D">
        <w:rPr>
          <w:rFonts w:cs="Arial"/>
          <w:sz w:val="22"/>
          <w:szCs w:val="22"/>
        </w:rPr>
        <w:t xml:space="preserve"> assumptions</w:t>
      </w:r>
      <w:r w:rsidR="000B5D1C" w:rsidRPr="000B5D1C">
        <w:rPr>
          <w:rFonts w:cs="Arial"/>
          <w:sz w:val="22"/>
          <w:szCs w:val="22"/>
        </w:rPr>
        <w:t xml:space="preserve"> about the proportion of additional support given to an EHCP, with this support split between bespoke time and time in smaller groups. This is a model for the SEND Panel to use to determine the volume and type of support </w:t>
      </w:r>
      <w:r w:rsidR="000B5D1C">
        <w:rPr>
          <w:rFonts w:cs="Arial"/>
          <w:sz w:val="22"/>
          <w:szCs w:val="22"/>
        </w:rPr>
        <w:t>required to</w:t>
      </w:r>
      <w:r w:rsidR="002869A7">
        <w:rPr>
          <w:rFonts w:cs="Arial"/>
          <w:sz w:val="22"/>
          <w:szCs w:val="22"/>
        </w:rPr>
        <w:t xml:space="preserve"> </w:t>
      </w:r>
      <w:r w:rsidR="000B5D1C" w:rsidRPr="000B5D1C">
        <w:rPr>
          <w:rFonts w:cs="Arial"/>
          <w:sz w:val="22"/>
          <w:szCs w:val="22"/>
        </w:rPr>
        <w:t xml:space="preserve">closely meet the needs of an individual EHCP. </w:t>
      </w:r>
    </w:p>
    <w:p w14:paraId="5BE2CD0B" w14:textId="20EA8D94" w:rsidR="0057205D" w:rsidRDefault="0057205D" w:rsidP="00355873">
      <w:pPr>
        <w:spacing w:after="200" w:line="276" w:lineRule="auto"/>
        <w:jc w:val="both"/>
        <w:rPr>
          <w:rFonts w:cs="Arial"/>
          <w:sz w:val="22"/>
          <w:szCs w:val="22"/>
        </w:rPr>
      </w:pPr>
      <w:r w:rsidRPr="007A2A6A">
        <w:rPr>
          <w:rFonts w:cs="Arial"/>
          <w:sz w:val="22"/>
          <w:szCs w:val="22"/>
        </w:rPr>
        <w:t xml:space="preserve">The Band 3 values are calculated on assumptions on additional ‘support assistant’ time (where bespoke </w:t>
      </w:r>
      <w:r w:rsidRPr="00E21948">
        <w:rPr>
          <w:rFonts w:cs="Arial"/>
          <w:sz w:val="22"/>
          <w:szCs w:val="22"/>
        </w:rPr>
        <w:t>means 1:1 and group time is in groups of 1:3).</w:t>
      </w:r>
      <w:r>
        <w:rPr>
          <w:rFonts w:cs="Arial"/>
          <w:sz w:val="22"/>
          <w:szCs w:val="22"/>
        </w:rPr>
        <w:t xml:space="preserve"> </w:t>
      </w:r>
      <w:r w:rsidRPr="007A2A6A">
        <w:rPr>
          <w:rFonts w:cs="Arial"/>
          <w:sz w:val="22"/>
          <w:szCs w:val="22"/>
        </w:rPr>
        <w:t xml:space="preserve">The Band 4 values are calculated on assumptions on both support assistant time (where bespoke means 1:1 and group </w:t>
      </w:r>
      <w:r w:rsidRPr="00371DA9">
        <w:rPr>
          <w:rFonts w:cs="Arial"/>
          <w:sz w:val="22"/>
          <w:szCs w:val="22"/>
        </w:rPr>
        <w:t xml:space="preserve">time is in groups of 1:2) and teacher time </w:t>
      </w:r>
      <w:r w:rsidRPr="00E21948">
        <w:rPr>
          <w:rFonts w:cs="Arial"/>
          <w:sz w:val="22"/>
          <w:szCs w:val="22"/>
        </w:rPr>
        <w:t>in group sizes of 1:12, 1:8 and 1:6.</w:t>
      </w:r>
    </w:p>
    <w:p w14:paraId="4A4F887C" w14:textId="4070E38A" w:rsidR="00305E97" w:rsidRDefault="00305E97" w:rsidP="00355873">
      <w:pPr>
        <w:spacing w:after="200" w:line="276" w:lineRule="auto"/>
        <w:jc w:val="both"/>
        <w:rPr>
          <w:rFonts w:cs="Arial"/>
          <w:sz w:val="22"/>
          <w:szCs w:val="22"/>
        </w:rPr>
      </w:pPr>
      <w:r>
        <w:rPr>
          <w:rFonts w:cs="Arial"/>
          <w:sz w:val="22"/>
          <w:szCs w:val="22"/>
        </w:rPr>
        <w:t xml:space="preserve">2.3 </w:t>
      </w:r>
      <w:r w:rsidRPr="00DF0E19">
        <w:rPr>
          <w:rFonts w:cs="Arial"/>
          <w:sz w:val="22"/>
          <w:szCs w:val="22"/>
        </w:rPr>
        <w:t>Band 3 (EHCP) typically will support the cost of EHCPs placed in mainstream provisions. Band 4 (EHCP plus) typically will support the cost of EHCPs placed in specialist provisions.</w:t>
      </w:r>
      <w:r w:rsidR="00875471">
        <w:rPr>
          <w:rFonts w:cs="Arial"/>
          <w:sz w:val="22"/>
          <w:szCs w:val="22"/>
        </w:rPr>
        <w:t xml:space="preserve"> However, this is not an absolute </w:t>
      </w:r>
      <w:r w:rsidR="001047AE">
        <w:rPr>
          <w:rFonts w:cs="Arial"/>
          <w:sz w:val="22"/>
          <w:szCs w:val="22"/>
        </w:rPr>
        <w:t>position,</w:t>
      </w:r>
      <w:r w:rsidR="00875471">
        <w:rPr>
          <w:rFonts w:cs="Arial"/>
          <w:sz w:val="22"/>
          <w:szCs w:val="22"/>
        </w:rPr>
        <w:t xml:space="preserve"> and the </w:t>
      </w:r>
      <w:r w:rsidR="004F596F">
        <w:rPr>
          <w:rFonts w:cs="Arial"/>
          <w:sz w:val="22"/>
          <w:szCs w:val="22"/>
        </w:rPr>
        <w:t xml:space="preserve">SEND </w:t>
      </w:r>
      <w:r w:rsidR="00875471">
        <w:rPr>
          <w:rFonts w:cs="Arial"/>
          <w:sz w:val="22"/>
          <w:szCs w:val="22"/>
        </w:rPr>
        <w:t>Panel will use the model flexibly to closely meet need.</w:t>
      </w:r>
    </w:p>
    <w:p w14:paraId="0EC65AE9" w14:textId="77777777" w:rsidR="00623C6E" w:rsidRDefault="00DF0E19" w:rsidP="00355873">
      <w:pPr>
        <w:spacing w:after="200" w:line="276" w:lineRule="auto"/>
        <w:jc w:val="both"/>
        <w:rPr>
          <w:rFonts w:cs="Arial"/>
          <w:sz w:val="22"/>
          <w:szCs w:val="22"/>
        </w:rPr>
      </w:pPr>
      <w:r>
        <w:rPr>
          <w:rFonts w:cs="Arial"/>
          <w:sz w:val="22"/>
          <w:szCs w:val="22"/>
        </w:rPr>
        <w:t>2.4</w:t>
      </w:r>
      <w:r w:rsidR="000039A4">
        <w:rPr>
          <w:rFonts w:cs="Arial"/>
          <w:sz w:val="22"/>
          <w:szCs w:val="22"/>
        </w:rPr>
        <w:t xml:space="preserve"> </w:t>
      </w:r>
      <w:r w:rsidR="00623C6E">
        <w:rPr>
          <w:rFonts w:cs="Arial"/>
          <w:sz w:val="22"/>
          <w:szCs w:val="22"/>
        </w:rPr>
        <w:t>Each EHCP</w:t>
      </w:r>
      <w:r w:rsidR="00FC49FC">
        <w:rPr>
          <w:rFonts w:cs="Arial"/>
          <w:sz w:val="22"/>
          <w:szCs w:val="22"/>
        </w:rPr>
        <w:t xml:space="preserve"> will</w:t>
      </w:r>
      <w:r w:rsidR="00623C6E">
        <w:rPr>
          <w:rFonts w:cs="Arial"/>
          <w:sz w:val="22"/>
          <w:szCs w:val="22"/>
        </w:rPr>
        <w:t xml:space="preserve"> be funded at the ban</w:t>
      </w:r>
      <w:r w:rsidR="00C13413">
        <w:rPr>
          <w:rFonts w:cs="Arial"/>
          <w:sz w:val="22"/>
          <w:szCs w:val="22"/>
        </w:rPr>
        <w:t>d value that provides the close</w:t>
      </w:r>
      <w:r w:rsidR="008A3776">
        <w:rPr>
          <w:rFonts w:cs="Arial"/>
          <w:sz w:val="22"/>
          <w:szCs w:val="22"/>
        </w:rPr>
        <w:t>st</w:t>
      </w:r>
      <w:r w:rsidR="00623C6E">
        <w:rPr>
          <w:rFonts w:cs="Arial"/>
          <w:sz w:val="22"/>
          <w:szCs w:val="22"/>
        </w:rPr>
        <w:t xml:space="preserve"> fit for</w:t>
      </w:r>
      <w:r w:rsidR="00FC49FC">
        <w:rPr>
          <w:rFonts w:cs="Arial"/>
          <w:sz w:val="22"/>
          <w:szCs w:val="22"/>
        </w:rPr>
        <w:t xml:space="preserve"> meeting</w:t>
      </w:r>
      <w:r w:rsidR="00623C6E">
        <w:rPr>
          <w:rFonts w:cs="Arial"/>
          <w:sz w:val="22"/>
          <w:szCs w:val="22"/>
        </w:rPr>
        <w:t xml:space="preserve"> the cost of the needs of the child or young</w:t>
      </w:r>
      <w:r w:rsidR="00007D54">
        <w:rPr>
          <w:rFonts w:cs="Arial"/>
          <w:sz w:val="22"/>
          <w:szCs w:val="22"/>
        </w:rPr>
        <w:t xml:space="preserve"> person. In the </w:t>
      </w:r>
      <w:r w:rsidR="00712C24">
        <w:rPr>
          <w:rFonts w:cs="Arial"/>
          <w:sz w:val="22"/>
          <w:szCs w:val="22"/>
        </w:rPr>
        <w:t>model, the closest fit</w:t>
      </w:r>
      <w:r w:rsidR="00623C6E">
        <w:rPr>
          <w:rFonts w:cs="Arial"/>
          <w:sz w:val="22"/>
          <w:szCs w:val="22"/>
        </w:rPr>
        <w:t xml:space="preserve"> may </w:t>
      </w:r>
      <w:r w:rsidR="00FC49FC">
        <w:rPr>
          <w:rFonts w:cs="Arial"/>
          <w:sz w:val="22"/>
          <w:szCs w:val="22"/>
        </w:rPr>
        <w:t xml:space="preserve">also </w:t>
      </w:r>
      <w:r w:rsidR="00623C6E">
        <w:rPr>
          <w:rFonts w:cs="Arial"/>
          <w:sz w:val="22"/>
          <w:szCs w:val="22"/>
        </w:rPr>
        <w:t>be found by combining (</w:t>
      </w:r>
      <w:r w:rsidR="000043B2">
        <w:rPr>
          <w:rFonts w:cs="Arial"/>
          <w:sz w:val="22"/>
          <w:szCs w:val="22"/>
        </w:rPr>
        <w:t>‘</w:t>
      </w:r>
      <w:r w:rsidR="00623C6E">
        <w:rPr>
          <w:rFonts w:cs="Arial"/>
          <w:sz w:val="22"/>
          <w:szCs w:val="22"/>
        </w:rPr>
        <w:t>stacking</w:t>
      </w:r>
      <w:r w:rsidR="000043B2">
        <w:rPr>
          <w:rFonts w:cs="Arial"/>
          <w:sz w:val="22"/>
          <w:szCs w:val="22"/>
        </w:rPr>
        <w:t>’</w:t>
      </w:r>
      <w:r w:rsidR="00553D4C">
        <w:rPr>
          <w:rFonts w:cs="Arial"/>
          <w:sz w:val="22"/>
          <w:szCs w:val="22"/>
        </w:rPr>
        <w:t>) more than one</w:t>
      </w:r>
      <w:r w:rsidR="00623C6E">
        <w:rPr>
          <w:rFonts w:cs="Arial"/>
          <w:sz w:val="22"/>
          <w:szCs w:val="22"/>
        </w:rPr>
        <w:t xml:space="preserve"> band value. The facility to combine values means that the SEND Panel can use the model</w:t>
      </w:r>
      <w:r w:rsidR="00FC49FC">
        <w:rPr>
          <w:rFonts w:cs="Arial"/>
          <w:sz w:val="22"/>
          <w:szCs w:val="22"/>
        </w:rPr>
        <w:t xml:space="preserve"> in a flexible way</w:t>
      </w:r>
      <w:r w:rsidR="00623C6E">
        <w:rPr>
          <w:rFonts w:cs="Arial"/>
          <w:sz w:val="22"/>
          <w:szCs w:val="22"/>
        </w:rPr>
        <w:t xml:space="preserve"> to find a </w:t>
      </w:r>
      <w:r w:rsidR="00C13413">
        <w:rPr>
          <w:rFonts w:cs="Arial"/>
          <w:sz w:val="22"/>
          <w:szCs w:val="22"/>
        </w:rPr>
        <w:t xml:space="preserve">very </w:t>
      </w:r>
      <w:r w:rsidR="00623C6E">
        <w:rPr>
          <w:rFonts w:cs="Arial"/>
          <w:sz w:val="22"/>
          <w:szCs w:val="22"/>
        </w:rPr>
        <w:t>close fit for the funding especially of children and young people with significant secondary needs as well as those that require additional functional support</w:t>
      </w:r>
      <w:r w:rsidR="000043B2">
        <w:rPr>
          <w:rFonts w:cs="Arial"/>
          <w:sz w:val="22"/>
          <w:szCs w:val="22"/>
        </w:rPr>
        <w:t xml:space="preserve"> </w:t>
      </w:r>
      <w:r w:rsidR="00FC49FC">
        <w:rPr>
          <w:rFonts w:cs="Arial"/>
          <w:sz w:val="22"/>
          <w:szCs w:val="22"/>
        </w:rPr>
        <w:t xml:space="preserve">both </w:t>
      </w:r>
      <w:r w:rsidR="001E1106">
        <w:rPr>
          <w:rFonts w:cs="Arial"/>
          <w:sz w:val="22"/>
          <w:szCs w:val="22"/>
        </w:rPr>
        <w:t>within and outside of</w:t>
      </w:r>
      <w:r w:rsidR="004F596F">
        <w:rPr>
          <w:rFonts w:cs="Arial"/>
          <w:sz w:val="22"/>
          <w:szCs w:val="22"/>
        </w:rPr>
        <w:t xml:space="preserve"> the standard taught</w:t>
      </w:r>
      <w:r>
        <w:rPr>
          <w:rFonts w:cs="Arial"/>
          <w:sz w:val="22"/>
          <w:szCs w:val="22"/>
        </w:rPr>
        <w:t xml:space="preserve"> school day</w:t>
      </w:r>
      <w:r w:rsidR="00511054">
        <w:rPr>
          <w:rFonts w:cs="Arial"/>
          <w:sz w:val="22"/>
          <w:szCs w:val="22"/>
        </w:rPr>
        <w:t xml:space="preserve"> where this i</w:t>
      </w:r>
      <w:r w:rsidR="001E1106">
        <w:rPr>
          <w:rFonts w:cs="Arial"/>
          <w:sz w:val="22"/>
          <w:szCs w:val="22"/>
        </w:rPr>
        <w:t>s not already funded within a single band value</w:t>
      </w:r>
      <w:r>
        <w:rPr>
          <w:rFonts w:cs="Arial"/>
          <w:sz w:val="22"/>
          <w:szCs w:val="22"/>
        </w:rPr>
        <w:t>.</w:t>
      </w:r>
    </w:p>
    <w:p w14:paraId="6A9A5237" w14:textId="77777777" w:rsidR="00C13413" w:rsidRDefault="000039A4" w:rsidP="00355873">
      <w:pPr>
        <w:spacing w:after="200" w:line="276" w:lineRule="auto"/>
        <w:jc w:val="both"/>
        <w:rPr>
          <w:rFonts w:cs="Arial"/>
          <w:sz w:val="22"/>
          <w:szCs w:val="22"/>
        </w:rPr>
      </w:pPr>
      <w:r>
        <w:rPr>
          <w:rFonts w:cs="Arial"/>
          <w:sz w:val="22"/>
          <w:szCs w:val="22"/>
        </w:rPr>
        <w:t>2.</w:t>
      </w:r>
      <w:r w:rsidR="00FC49FC">
        <w:rPr>
          <w:rFonts w:cs="Arial"/>
          <w:sz w:val="22"/>
          <w:szCs w:val="22"/>
        </w:rPr>
        <w:t>5</w:t>
      </w:r>
      <w:r w:rsidR="00C13413">
        <w:rPr>
          <w:rFonts w:cs="Arial"/>
          <w:sz w:val="22"/>
          <w:szCs w:val="22"/>
        </w:rPr>
        <w:t xml:space="preserve"> </w:t>
      </w:r>
      <w:r w:rsidR="00007D54">
        <w:rPr>
          <w:rFonts w:cs="Arial"/>
          <w:sz w:val="22"/>
          <w:szCs w:val="22"/>
        </w:rPr>
        <w:t>It is helpful t</w:t>
      </w:r>
      <w:r w:rsidR="00C13413">
        <w:rPr>
          <w:rFonts w:cs="Arial"/>
          <w:sz w:val="22"/>
          <w:szCs w:val="22"/>
        </w:rPr>
        <w:t xml:space="preserve">o </w:t>
      </w:r>
      <w:r w:rsidR="00CD1122">
        <w:rPr>
          <w:rFonts w:cs="Arial"/>
          <w:sz w:val="22"/>
          <w:szCs w:val="22"/>
        </w:rPr>
        <w:t xml:space="preserve">continue to </w:t>
      </w:r>
      <w:r w:rsidR="00C13413">
        <w:rPr>
          <w:rFonts w:cs="Arial"/>
          <w:sz w:val="22"/>
          <w:szCs w:val="22"/>
        </w:rPr>
        <w:t>highlight</w:t>
      </w:r>
      <w:r w:rsidR="008A3776">
        <w:rPr>
          <w:rFonts w:cs="Arial"/>
          <w:sz w:val="22"/>
          <w:szCs w:val="22"/>
        </w:rPr>
        <w:t xml:space="preserve"> </w:t>
      </w:r>
      <w:r w:rsidR="00FC49FC">
        <w:rPr>
          <w:rFonts w:cs="Arial"/>
          <w:sz w:val="22"/>
          <w:szCs w:val="22"/>
        </w:rPr>
        <w:t>the</w:t>
      </w:r>
      <w:r w:rsidR="00774213">
        <w:rPr>
          <w:rFonts w:cs="Arial"/>
          <w:sz w:val="22"/>
          <w:szCs w:val="22"/>
        </w:rPr>
        <w:t xml:space="preserve"> main differences between our</w:t>
      </w:r>
      <w:r w:rsidR="00C13413">
        <w:rPr>
          <w:rFonts w:cs="Arial"/>
          <w:sz w:val="22"/>
          <w:szCs w:val="22"/>
        </w:rPr>
        <w:t xml:space="preserve"> </w:t>
      </w:r>
      <w:r w:rsidR="00226F66">
        <w:rPr>
          <w:rFonts w:cs="Arial"/>
          <w:sz w:val="22"/>
          <w:szCs w:val="22"/>
        </w:rPr>
        <w:t xml:space="preserve">current </w:t>
      </w:r>
      <w:r w:rsidR="00774213">
        <w:rPr>
          <w:rFonts w:cs="Arial"/>
          <w:sz w:val="22"/>
          <w:szCs w:val="22"/>
        </w:rPr>
        <w:t>Banded Model and our</w:t>
      </w:r>
      <w:r w:rsidR="00007D54">
        <w:rPr>
          <w:rFonts w:cs="Arial"/>
          <w:sz w:val="22"/>
          <w:szCs w:val="22"/>
        </w:rPr>
        <w:t xml:space="preserve"> previous</w:t>
      </w:r>
      <w:r w:rsidR="00C13413">
        <w:rPr>
          <w:rFonts w:cs="Arial"/>
          <w:sz w:val="22"/>
          <w:szCs w:val="22"/>
        </w:rPr>
        <w:t xml:space="preserve"> Ranges Model</w:t>
      </w:r>
      <w:r w:rsidR="00007D54">
        <w:rPr>
          <w:rFonts w:cs="Arial"/>
          <w:sz w:val="22"/>
          <w:szCs w:val="22"/>
        </w:rPr>
        <w:t xml:space="preserve"> that was used up to 31 March 2020</w:t>
      </w:r>
      <w:r w:rsidR="00C13413">
        <w:rPr>
          <w:rFonts w:cs="Arial"/>
          <w:sz w:val="22"/>
          <w:szCs w:val="22"/>
        </w:rPr>
        <w:t>:</w:t>
      </w:r>
    </w:p>
    <w:p w14:paraId="3D510350" w14:textId="77777777" w:rsidR="00DF0E19" w:rsidRDefault="00007D54" w:rsidP="009564E6">
      <w:pPr>
        <w:pStyle w:val="ListParagraph"/>
        <w:numPr>
          <w:ilvl w:val="0"/>
          <w:numId w:val="9"/>
        </w:numPr>
        <w:spacing w:after="200" w:line="276" w:lineRule="auto"/>
        <w:jc w:val="both"/>
        <w:rPr>
          <w:rFonts w:cs="Arial"/>
          <w:sz w:val="22"/>
          <w:szCs w:val="22"/>
        </w:rPr>
      </w:pPr>
      <w:r>
        <w:rPr>
          <w:rFonts w:cs="Arial"/>
          <w:sz w:val="22"/>
          <w:szCs w:val="22"/>
        </w:rPr>
        <w:t>The Banded M</w:t>
      </w:r>
      <w:r w:rsidR="00DF0E19" w:rsidRPr="003B75EF">
        <w:rPr>
          <w:rFonts w:cs="Arial"/>
          <w:sz w:val="22"/>
          <w:szCs w:val="22"/>
        </w:rPr>
        <w:t>odel does not have a 7</w:t>
      </w:r>
      <w:r w:rsidR="00DF0E19" w:rsidRPr="003B75EF">
        <w:rPr>
          <w:rFonts w:cs="Arial"/>
          <w:sz w:val="22"/>
          <w:szCs w:val="22"/>
          <w:vertAlign w:val="superscript"/>
        </w:rPr>
        <w:t>th</w:t>
      </w:r>
      <w:r w:rsidR="00DF0E19" w:rsidRPr="003B75EF">
        <w:rPr>
          <w:rFonts w:cs="Arial"/>
          <w:sz w:val="22"/>
          <w:szCs w:val="22"/>
        </w:rPr>
        <w:t xml:space="preserve"> step (the equivalent of </w:t>
      </w:r>
      <w:r>
        <w:rPr>
          <w:rFonts w:cs="Arial"/>
          <w:sz w:val="22"/>
          <w:szCs w:val="22"/>
        </w:rPr>
        <w:t>the previous</w:t>
      </w:r>
      <w:r w:rsidR="00DF0E19">
        <w:rPr>
          <w:rFonts w:cs="Arial"/>
          <w:sz w:val="22"/>
          <w:szCs w:val="22"/>
        </w:rPr>
        <w:t xml:space="preserve"> Range 7). It is</w:t>
      </w:r>
      <w:r w:rsidR="00960671">
        <w:rPr>
          <w:rFonts w:cs="Arial"/>
          <w:sz w:val="22"/>
          <w:szCs w:val="22"/>
        </w:rPr>
        <w:t xml:space="preserve"> expected that stacking will</w:t>
      </w:r>
      <w:r w:rsidR="00DF0E19" w:rsidRPr="003B75EF">
        <w:rPr>
          <w:rFonts w:cs="Arial"/>
          <w:sz w:val="22"/>
          <w:szCs w:val="22"/>
        </w:rPr>
        <w:t xml:space="preserve"> deliver a level of support higher than the single </w:t>
      </w:r>
      <w:r w:rsidR="00FC49FC">
        <w:rPr>
          <w:rFonts w:cs="Arial"/>
          <w:sz w:val="22"/>
          <w:szCs w:val="22"/>
        </w:rPr>
        <w:t xml:space="preserve">band </w:t>
      </w:r>
      <w:r w:rsidR="00DF0E19">
        <w:rPr>
          <w:rFonts w:cs="Arial"/>
          <w:sz w:val="22"/>
          <w:szCs w:val="22"/>
        </w:rPr>
        <w:t>4H</w:t>
      </w:r>
      <w:r w:rsidR="00953092">
        <w:rPr>
          <w:rFonts w:cs="Arial"/>
          <w:sz w:val="22"/>
          <w:szCs w:val="22"/>
        </w:rPr>
        <w:t>,</w:t>
      </w:r>
      <w:r w:rsidR="00DF0E19">
        <w:rPr>
          <w:rFonts w:cs="Arial"/>
          <w:sz w:val="22"/>
          <w:szCs w:val="22"/>
        </w:rPr>
        <w:t xml:space="preserve"> where this is necessary. S</w:t>
      </w:r>
      <w:r w:rsidR="00DF0E19" w:rsidRPr="003B75EF">
        <w:rPr>
          <w:rFonts w:cs="Arial"/>
          <w:sz w:val="22"/>
          <w:szCs w:val="22"/>
        </w:rPr>
        <w:t xml:space="preserve">pecific transition arrangements </w:t>
      </w:r>
      <w:r>
        <w:rPr>
          <w:rFonts w:cs="Arial"/>
          <w:sz w:val="22"/>
          <w:szCs w:val="22"/>
        </w:rPr>
        <w:t>are in place for</w:t>
      </w:r>
      <w:r w:rsidR="00FC49FC">
        <w:rPr>
          <w:rFonts w:cs="Arial"/>
          <w:sz w:val="22"/>
          <w:szCs w:val="22"/>
        </w:rPr>
        <w:t xml:space="preserve"> Range 7 EHCPs </w:t>
      </w:r>
      <w:r>
        <w:rPr>
          <w:rFonts w:cs="Arial"/>
          <w:sz w:val="22"/>
          <w:szCs w:val="22"/>
        </w:rPr>
        <w:t>that existed at 1 April 2020.</w:t>
      </w:r>
    </w:p>
    <w:p w14:paraId="67F8ED26" w14:textId="77777777" w:rsidR="00511054" w:rsidRDefault="00511054" w:rsidP="0046317B">
      <w:pPr>
        <w:pStyle w:val="ListParagraph"/>
        <w:spacing w:after="200" w:line="276" w:lineRule="auto"/>
        <w:ind w:left="360"/>
        <w:jc w:val="both"/>
        <w:rPr>
          <w:rFonts w:cs="Arial"/>
          <w:sz w:val="22"/>
          <w:szCs w:val="22"/>
        </w:rPr>
      </w:pPr>
    </w:p>
    <w:p w14:paraId="53AEC9E2" w14:textId="77777777" w:rsidR="00DF0E19" w:rsidRDefault="00511054" w:rsidP="009564E6">
      <w:pPr>
        <w:pStyle w:val="ListParagraph"/>
        <w:numPr>
          <w:ilvl w:val="0"/>
          <w:numId w:val="9"/>
        </w:numPr>
        <w:spacing w:after="200" w:line="276" w:lineRule="auto"/>
        <w:jc w:val="both"/>
        <w:rPr>
          <w:rFonts w:cs="Arial"/>
          <w:sz w:val="22"/>
          <w:szCs w:val="22"/>
        </w:rPr>
      </w:pPr>
      <w:r>
        <w:rPr>
          <w:rFonts w:cs="Arial"/>
          <w:sz w:val="22"/>
          <w:szCs w:val="22"/>
        </w:rPr>
        <w:t>The Panel can</w:t>
      </w:r>
      <w:r w:rsidRPr="003B75EF">
        <w:rPr>
          <w:rFonts w:cs="Arial"/>
          <w:sz w:val="22"/>
          <w:szCs w:val="22"/>
        </w:rPr>
        <w:t xml:space="preserve"> ‘stack’ values (meaning an E</w:t>
      </w:r>
      <w:r w:rsidR="00207EEB">
        <w:rPr>
          <w:rFonts w:cs="Arial"/>
          <w:sz w:val="22"/>
          <w:szCs w:val="22"/>
        </w:rPr>
        <w:t>HCP can be allocated more than one</w:t>
      </w:r>
      <w:r w:rsidRPr="003B75EF">
        <w:rPr>
          <w:rFonts w:cs="Arial"/>
          <w:sz w:val="22"/>
          <w:szCs w:val="22"/>
        </w:rPr>
        <w:t xml:space="preserve"> value) in order to find </w:t>
      </w:r>
      <w:r>
        <w:rPr>
          <w:rFonts w:cs="Arial"/>
          <w:sz w:val="22"/>
          <w:szCs w:val="22"/>
        </w:rPr>
        <w:t>a close fit.</w:t>
      </w:r>
    </w:p>
    <w:p w14:paraId="7383BF56" w14:textId="77777777" w:rsidR="00511054" w:rsidRPr="00511054" w:rsidRDefault="00511054" w:rsidP="0046317B">
      <w:pPr>
        <w:pStyle w:val="ListParagraph"/>
        <w:spacing w:after="200" w:line="276" w:lineRule="auto"/>
        <w:ind w:left="360"/>
        <w:jc w:val="both"/>
        <w:rPr>
          <w:rFonts w:cs="Arial"/>
          <w:sz w:val="22"/>
          <w:szCs w:val="22"/>
        </w:rPr>
      </w:pPr>
    </w:p>
    <w:p w14:paraId="20503716" w14:textId="77777777" w:rsidR="00C13413" w:rsidRPr="00CA745D" w:rsidRDefault="00007D54" w:rsidP="009564E6">
      <w:pPr>
        <w:pStyle w:val="ListParagraph"/>
        <w:numPr>
          <w:ilvl w:val="0"/>
          <w:numId w:val="9"/>
        </w:numPr>
        <w:spacing w:after="200" w:line="276" w:lineRule="auto"/>
        <w:jc w:val="both"/>
        <w:rPr>
          <w:rFonts w:cs="Arial"/>
          <w:sz w:val="22"/>
          <w:szCs w:val="22"/>
        </w:rPr>
      </w:pPr>
      <w:r>
        <w:rPr>
          <w:rFonts w:cs="Arial"/>
          <w:sz w:val="22"/>
          <w:szCs w:val="22"/>
        </w:rPr>
        <w:t>The Banded M</w:t>
      </w:r>
      <w:r w:rsidR="00511054" w:rsidRPr="00CA745D">
        <w:rPr>
          <w:rFonts w:cs="Arial"/>
          <w:sz w:val="22"/>
          <w:szCs w:val="22"/>
        </w:rPr>
        <w:t xml:space="preserve">odel does not use primary need as </w:t>
      </w:r>
      <w:r w:rsidR="00D13E26">
        <w:rPr>
          <w:rFonts w:cs="Arial"/>
          <w:sz w:val="22"/>
          <w:szCs w:val="22"/>
        </w:rPr>
        <w:t xml:space="preserve">a </w:t>
      </w:r>
      <w:r w:rsidR="00511054" w:rsidRPr="00CA745D">
        <w:rPr>
          <w:rFonts w:cs="Arial"/>
          <w:sz w:val="22"/>
          <w:szCs w:val="22"/>
        </w:rPr>
        <w:t>marker for the placement of an EHCP into a band.</w:t>
      </w:r>
      <w:r w:rsidR="004F596F">
        <w:rPr>
          <w:rFonts w:cs="Arial"/>
          <w:sz w:val="22"/>
          <w:szCs w:val="22"/>
        </w:rPr>
        <w:t xml:space="preserve"> Placement is based on </w:t>
      </w:r>
      <w:r w:rsidR="00960671">
        <w:rPr>
          <w:rFonts w:cs="Arial"/>
          <w:sz w:val="22"/>
          <w:szCs w:val="22"/>
        </w:rPr>
        <w:t xml:space="preserve">assessed </w:t>
      </w:r>
      <w:r w:rsidR="004F596F">
        <w:rPr>
          <w:rFonts w:cs="Arial"/>
          <w:sz w:val="22"/>
          <w:szCs w:val="22"/>
        </w:rPr>
        <w:t>level of need.</w:t>
      </w:r>
    </w:p>
    <w:p w14:paraId="405E0FBF" w14:textId="77777777" w:rsidR="00305E97" w:rsidRPr="00CA745D" w:rsidRDefault="00305E97" w:rsidP="0046317B">
      <w:pPr>
        <w:pStyle w:val="ListParagraph"/>
        <w:spacing w:after="200" w:line="276" w:lineRule="auto"/>
        <w:ind w:left="360"/>
        <w:jc w:val="both"/>
        <w:rPr>
          <w:rFonts w:cs="Arial"/>
          <w:sz w:val="22"/>
          <w:szCs w:val="22"/>
        </w:rPr>
      </w:pPr>
    </w:p>
    <w:p w14:paraId="2245DF56" w14:textId="1F65D0FF" w:rsidR="00FC49FC" w:rsidRPr="00605C7B" w:rsidRDefault="00007D54" w:rsidP="009564E6">
      <w:pPr>
        <w:pStyle w:val="ListParagraph"/>
        <w:numPr>
          <w:ilvl w:val="0"/>
          <w:numId w:val="9"/>
        </w:numPr>
        <w:spacing w:after="200" w:line="276" w:lineRule="auto"/>
        <w:jc w:val="both"/>
        <w:rPr>
          <w:rFonts w:cs="Arial"/>
          <w:sz w:val="22"/>
          <w:szCs w:val="22"/>
        </w:rPr>
      </w:pPr>
      <w:r>
        <w:rPr>
          <w:rFonts w:cs="Arial"/>
          <w:sz w:val="22"/>
          <w:szCs w:val="22"/>
        </w:rPr>
        <w:t>Whereas the previous Ranges Model defined</w:t>
      </w:r>
      <w:r w:rsidR="00511054" w:rsidRPr="00CA745D">
        <w:rPr>
          <w:rFonts w:cs="Arial"/>
          <w:sz w:val="22"/>
          <w:szCs w:val="22"/>
        </w:rPr>
        <w:t xml:space="preserve"> need in terms o</w:t>
      </w:r>
      <w:r>
        <w:rPr>
          <w:rFonts w:cs="Arial"/>
          <w:sz w:val="22"/>
          <w:szCs w:val="22"/>
        </w:rPr>
        <w:t>f 1:1 hours of support, the Banded M</w:t>
      </w:r>
      <w:r w:rsidR="00E8426D">
        <w:rPr>
          <w:rFonts w:cs="Arial"/>
          <w:sz w:val="22"/>
          <w:szCs w:val="22"/>
        </w:rPr>
        <w:t>odel uses a</w:t>
      </w:r>
      <w:r w:rsidR="00960671">
        <w:rPr>
          <w:rFonts w:cs="Arial"/>
          <w:sz w:val="22"/>
          <w:szCs w:val="22"/>
        </w:rPr>
        <w:t xml:space="preserve"> </w:t>
      </w:r>
      <w:r w:rsidR="00511054" w:rsidRPr="00CA745D">
        <w:rPr>
          <w:rFonts w:cs="Arial"/>
          <w:sz w:val="22"/>
          <w:szCs w:val="22"/>
        </w:rPr>
        <w:t>p</w:t>
      </w:r>
      <w:r w:rsidR="00305E97" w:rsidRPr="00CA745D">
        <w:rPr>
          <w:rFonts w:cs="Arial"/>
          <w:sz w:val="22"/>
          <w:szCs w:val="22"/>
        </w:rPr>
        <w:t>rovision mapping</w:t>
      </w:r>
      <w:r w:rsidR="00511054" w:rsidRPr="00CA745D">
        <w:rPr>
          <w:rFonts w:cs="Arial"/>
          <w:sz w:val="22"/>
          <w:szCs w:val="22"/>
        </w:rPr>
        <w:t xml:space="preserve"> approach</w:t>
      </w:r>
      <w:r w:rsidR="00CA745D" w:rsidRPr="00CA745D">
        <w:rPr>
          <w:rFonts w:cs="Arial"/>
          <w:sz w:val="22"/>
          <w:szCs w:val="22"/>
        </w:rPr>
        <w:t xml:space="preserve"> and </w:t>
      </w:r>
      <w:r w:rsidR="004F596F">
        <w:rPr>
          <w:rFonts w:cs="Arial"/>
          <w:sz w:val="22"/>
          <w:szCs w:val="22"/>
        </w:rPr>
        <w:t>a combination of bespoke</w:t>
      </w:r>
      <w:r w:rsidR="00CA745D" w:rsidRPr="00CA745D">
        <w:rPr>
          <w:rFonts w:cs="Arial"/>
          <w:sz w:val="22"/>
          <w:szCs w:val="22"/>
        </w:rPr>
        <w:t xml:space="preserve"> time and time in smaller groups.</w:t>
      </w:r>
    </w:p>
    <w:p w14:paraId="30B9D27F" w14:textId="77777777" w:rsidR="00605C7B" w:rsidRDefault="00605C7B" w:rsidP="00605C7B">
      <w:pPr>
        <w:pStyle w:val="ListParagraph"/>
        <w:spacing w:after="200" w:line="276" w:lineRule="auto"/>
        <w:ind w:left="360"/>
        <w:jc w:val="both"/>
        <w:rPr>
          <w:rFonts w:cs="Arial"/>
          <w:sz w:val="22"/>
          <w:szCs w:val="22"/>
        </w:rPr>
      </w:pPr>
    </w:p>
    <w:p w14:paraId="6D95996A" w14:textId="703EB52F" w:rsidR="00FC49FC" w:rsidRPr="008869EA" w:rsidRDefault="00FC49FC" w:rsidP="009564E6">
      <w:pPr>
        <w:pStyle w:val="ListParagraph"/>
        <w:numPr>
          <w:ilvl w:val="0"/>
          <w:numId w:val="9"/>
        </w:numPr>
        <w:spacing w:after="200" w:line="276" w:lineRule="auto"/>
        <w:jc w:val="both"/>
        <w:rPr>
          <w:rFonts w:cs="Arial"/>
          <w:sz w:val="22"/>
          <w:szCs w:val="22"/>
        </w:rPr>
      </w:pPr>
      <w:r w:rsidRPr="003B75EF">
        <w:rPr>
          <w:rFonts w:cs="Arial"/>
          <w:sz w:val="22"/>
          <w:szCs w:val="22"/>
        </w:rPr>
        <w:t xml:space="preserve">The </w:t>
      </w:r>
      <w:r w:rsidR="00007D54">
        <w:rPr>
          <w:rFonts w:cs="Arial"/>
          <w:sz w:val="22"/>
          <w:szCs w:val="22"/>
        </w:rPr>
        <w:t>Banded</w:t>
      </w:r>
      <w:r w:rsidR="00D13E26">
        <w:rPr>
          <w:rFonts w:cs="Arial"/>
          <w:sz w:val="22"/>
          <w:szCs w:val="22"/>
        </w:rPr>
        <w:t xml:space="preserve"> </w:t>
      </w:r>
      <w:r w:rsidR="00007D54">
        <w:rPr>
          <w:rFonts w:cs="Arial"/>
          <w:sz w:val="22"/>
          <w:szCs w:val="22"/>
        </w:rPr>
        <w:t xml:space="preserve">Model </w:t>
      </w:r>
      <w:r w:rsidRPr="003B75EF">
        <w:rPr>
          <w:rFonts w:cs="Arial"/>
          <w:sz w:val="22"/>
          <w:szCs w:val="22"/>
        </w:rPr>
        <w:t>work</w:t>
      </w:r>
      <w:r w:rsidR="00007D54">
        <w:rPr>
          <w:rFonts w:cs="Arial"/>
          <w:sz w:val="22"/>
          <w:szCs w:val="22"/>
        </w:rPr>
        <w:t>s</w:t>
      </w:r>
      <w:r w:rsidRPr="003B75EF">
        <w:rPr>
          <w:rFonts w:cs="Arial"/>
          <w:sz w:val="22"/>
          <w:szCs w:val="22"/>
        </w:rPr>
        <w:t xml:space="preserve"> alongside </w:t>
      </w:r>
      <w:r>
        <w:rPr>
          <w:rFonts w:cs="Arial"/>
          <w:sz w:val="22"/>
          <w:szCs w:val="22"/>
        </w:rPr>
        <w:t xml:space="preserve">a </w:t>
      </w:r>
      <w:r w:rsidRPr="003B75EF">
        <w:rPr>
          <w:rFonts w:cs="Arial"/>
          <w:sz w:val="22"/>
          <w:szCs w:val="22"/>
        </w:rPr>
        <w:t>clarified</w:t>
      </w:r>
      <w:r>
        <w:rPr>
          <w:rFonts w:cs="Arial"/>
          <w:sz w:val="22"/>
          <w:szCs w:val="22"/>
        </w:rPr>
        <w:t xml:space="preserve"> / amended approach to the sharing of the cost of </w:t>
      </w:r>
      <w:r w:rsidRPr="003B75EF">
        <w:rPr>
          <w:rFonts w:cs="Arial"/>
          <w:sz w:val="22"/>
          <w:szCs w:val="22"/>
        </w:rPr>
        <w:t>speciali</w:t>
      </w:r>
      <w:r>
        <w:rPr>
          <w:rFonts w:cs="Arial"/>
          <w:sz w:val="22"/>
          <w:szCs w:val="22"/>
        </w:rPr>
        <w:t>st equipment</w:t>
      </w:r>
      <w:r w:rsidRPr="003B75EF">
        <w:rPr>
          <w:rFonts w:cs="Arial"/>
          <w:sz w:val="22"/>
          <w:szCs w:val="22"/>
        </w:rPr>
        <w:t>.</w:t>
      </w:r>
      <w:r w:rsidR="00CA745D">
        <w:rPr>
          <w:rFonts w:cs="Arial"/>
          <w:sz w:val="22"/>
          <w:szCs w:val="22"/>
        </w:rPr>
        <w:t xml:space="preserve"> </w:t>
      </w:r>
    </w:p>
    <w:p w14:paraId="1F2B7A09" w14:textId="77777777" w:rsidR="00D13E26" w:rsidRPr="00D13E26" w:rsidRDefault="00D13E26" w:rsidP="00355873">
      <w:pPr>
        <w:spacing w:after="200" w:line="276" w:lineRule="auto"/>
        <w:jc w:val="both"/>
        <w:rPr>
          <w:rFonts w:cs="Arial"/>
          <w:sz w:val="22"/>
          <w:szCs w:val="22"/>
        </w:rPr>
      </w:pPr>
      <w:r w:rsidRPr="00D13E26">
        <w:rPr>
          <w:rFonts w:cs="Arial"/>
          <w:sz w:val="22"/>
          <w:szCs w:val="22"/>
        </w:rPr>
        <w:t>2.</w:t>
      </w:r>
      <w:r>
        <w:rPr>
          <w:rFonts w:cs="Arial"/>
          <w:sz w:val="22"/>
          <w:szCs w:val="22"/>
        </w:rPr>
        <w:t>6</w:t>
      </w:r>
      <w:r w:rsidRPr="00D13E26">
        <w:rPr>
          <w:rFonts w:cs="Arial"/>
          <w:sz w:val="22"/>
          <w:szCs w:val="22"/>
        </w:rPr>
        <w:t xml:space="preserve"> To highlight </w:t>
      </w:r>
      <w:r>
        <w:rPr>
          <w:rFonts w:cs="Arial"/>
          <w:sz w:val="22"/>
          <w:szCs w:val="22"/>
        </w:rPr>
        <w:t xml:space="preserve">how the </w:t>
      </w:r>
      <w:r w:rsidR="000F33B5">
        <w:rPr>
          <w:rFonts w:cs="Arial"/>
          <w:sz w:val="22"/>
          <w:szCs w:val="22"/>
        </w:rPr>
        <w:t>Banded Model continues to be</w:t>
      </w:r>
      <w:r>
        <w:rPr>
          <w:rFonts w:cs="Arial"/>
          <w:sz w:val="22"/>
          <w:szCs w:val="22"/>
        </w:rPr>
        <w:t xml:space="preserve"> the same or similar to</w:t>
      </w:r>
      <w:r w:rsidR="00007D54">
        <w:rPr>
          <w:rFonts w:cs="Arial"/>
          <w:sz w:val="22"/>
          <w:szCs w:val="22"/>
        </w:rPr>
        <w:t xml:space="preserve"> the previous</w:t>
      </w:r>
      <w:r w:rsidRPr="00D13E26">
        <w:rPr>
          <w:rFonts w:cs="Arial"/>
          <w:sz w:val="22"/>
          <w:szCs w:val="22"/>
        </w:rPr>
        <w:t xml:space="preserve"> Ranges Model:</w:t>
      </w:r>
    </w:p>
    <w:p w14:paraId="61F56EEE" w14:textId="77777777" w:rsidR="00FC49FC" w:rsidRDefault="00FC49FC" w:rsidP="009564E6">
      <w:pPr>
        <w:pStyle w:val="ListParagraph"/>
        <w:numPr>
          <w:ilvl w:val="0"/>
          <w:numId w:val="8"/>
        </w:numPr>
        <w:spacing w:after="200" w:line="276" w:lineRule="auto"/>
        <w:jc w:val="both"/>
        <w:rPr>
          <w:rFonts w:cs="Arial"/>
          <w:sz w:val="22"/>
          <w:szCs w:val="22"/>
        </w:rPr>
      </w:pPr>
      <w:r w:rsidRPr="00EC42D8">
        <w:rPr>
          <w:rFonts w:cs="Arial"/>
          <w:sz w:val="22"/>
          <w:szCs w:val="22"/>
        </w:rPr>
        <w:t>Decisions on the application of the Banded Model</w:t>
      </w:r>
      <w:r w:rsidR="000F33B5">
        <w:rPr>
          <w:rFonts w:cs="Arial"/>
          <w:sz w:val="22"/>
          <w:szCs w:val="22"/>
        </w:rPr>
        <w:t xml:space="preserve"> – which of the 6 bands an</w:t>
      </w:r>
      <w:r>
        <w:rPr>
          <w:rFonts w:cs="Arial"/>
          <w:sz w:val="22"/>
          <w:szCs w:val="22"/>
        </w:rPr>
        <w:t xml:space="preserve"> EHCP is placed in and whether an EHCP is</w:t>
      </w:r>
      <w:r w:rsidR="00524427">
        <w:rPr>
          <w:rFonts w:cs="Arial"/>
          <w:sz w:val="22"/>
          <w:szCs w:val="22"/>
        </w:rPr>
        <w:t xml:space="preserve"> given more than </w:t>
      </w:r>
      <w:r w:rsidR="002510CF">
        <w:rPr>
          <w:rFonts w:cs="Arial"/>
          <w:sz w:val="22"/>
          <w:szCs w:val="22"/>
        </w:rPr>
        <w:t>one</w:t>
      </w:r>
      <w:r w:rsidR="00524427">
        <w:rPr>
          <w:rFonts w:cs="Arial"/>
          <w:sz w:val="22"/>
          <w:szCs w:val="22"/>
        </w:rPr>
        <w:t xml:space="preserve"> band value -</w:t>
      </w:r>
      <w:r w:rsidRPr="00EC42D8">
        <w:rPr>
          <w:rFonts w:cs="Arial"/>
          <w:sz w:val="22"/>
          <w:szCs w:val="22"/>
        </w:rPr>
        <w:t xml:space="preserve"> </w:t>
      </w:r>
      <w:r>
        <w:rPr>
          <w:rFonts w:cs="Arial"/>
          <w:sz w:val="22"/>
          <w:szCs w:val="22"/>
        </w:rPr>
        <w:t>continue</w:t>
      </w:r>
      <w:r w:rsidRPr="00EC42D8">
        <w:rPr>
          <w:rFonts w:cs="Arial"/>
          <w:sz w:val="22"/>
          <w:szCs w:val="22"/>
        </w:rPr>
        <w:t xml:space="preserve"> </w:t>
      </w:r>
      <w:r>
        <w:rPr>
          <w:rFonts w:cs="Arial"/>
          <w:sz w:val="22"/>
          <w:szCs w:val="22"/>
        </w:rPr>
        <w:t xml:space="preserve">to </w:t>
      </w:r>
      <w:r w:rsidRPr="00EC42D8">
        <w:rPr>
          <w:rFonts w:cs="Arial"/>
          <w:sz w:val="22"/>
          <w:szCs w:val="22"/>
        </w:rPr>
        <w:t>be taken by Bradford Council’s SEND Panel with refere</w:t>
      </w:r>
      <w:r w:rsidR="003F3E31">
        <w:rPr>
          <w:rFonts w:cs="Arial"/>
          <w:sz w:val="22"/>
          <w:szCs w:val="22"/>
        </w:rPr>
        <w:t>nce to the evidence submitted through</w:t>
      </w:r>
      <w:r w:rsidRPr="00EC42D8">
        <w:rPr>
          <w:rFonts w:cs="Arial"/>
          <w:sz w:val="22"/>
          <w:szCs w:val="22"/>
        </w:rPr>
        <w:t xml:space="preserve"> the EHCP assessment process.</w:t>
      </w:r>
      <w:r w:rsidR="00237167">
        <w:rPr>
          <w:rFonts w:cs="Arial"/>
          <w:sz w:val="22"/>
          <w:szCs w:val="22"/>
        </w:rPr>
        <w:t xml:space="preserve"> Appeals and dispute</w:t>
      </w:r>
      <w:r w:rsidR="001D4BD1">
        <w:rPr>
          <w:rFonts w:cs="Arial"/>
          <w:sz w:val="22"/>
          <w:szCs w:val="22"/>
        </w:rPr>
        <w:t>s</w:t>
      </w:r>
      <w:r w:rsidR="00237167">
        <w:rPr>
          <w:rFonts w:cs="Arial"/>
          <w:sz w:val="22"/>
          <w:szCs w:val="22"/>
        </w:rPr>
        <w:t xml:space="preserve"> also continue to be resolved through the Panel process.</w:t>
      </w:r>
    </w:p>
    <w:p w14:paraId="1FAD7B20" w14:textId="77777777" w:rsidR="00FC49FC" w:rsidRDefault="00FC49FC" w:rsidP="0046317B">
      <w:pPr>
        <w:pStyle w:val="ListParagraph"/>
        <w:spacing w:after="200" w:line="276" w:lineRule="auto"/>
        <w:ind w:left="360"/>
        <w:jc w:val="both"/>
        <w:rPr>
          <w:rFonts w:cs="Arial"/>
          <w:sz w:val="22"/>
          <w:szCs w:val="22"/>
        </w:rPr>
      </w:pPr>
    </w:p>
    <w:p w14:paraId="5D594C38" w14:textId="77777777" w:rsidR="00DF0E19" w:rsidRDefault="00DF0E19" w:rsidP="009564E6">
      <w:pPr>
        <w:pStyle w:val="ListParagraph"/>
        <w:numPr>
          <w:ilvl w:val="0"/>
          <w:numId w:val="8"/>
        </w:numPr>
        <w:spacing w:after="200" w:line="276" w:lineRule="auto"/>
        <w:jc w:val="both"/>
        <w:rPr>
          <w:rFonts w:cs="Arial"/>
          <w:sz w:val="22"/>
          <w:szCs w:val="22"/>
        </w:rPr>
      </w:pPr>
      <w:r w:rsidRPr="006C1D2E">
        <w:rPr>
          <w:rFonts w:cs="Arial"/>
          <w:sz w:val="22"/>
          <w:szCs w:val="22"/>
        </w:rPr>
        <w:t>In all steps within the model, the school</w:t>
      </w:r>
      <w:r>
        <w:rPr>
          <w:rFonts w:cs="Arial"/>
          <w:sz w:val="22"/>
          <w:szCs w:val="22"/>
        </w:rPr>
        <w:t xml:space="preserve"> / provider, with the exception of EHCPs for 2, 3 and 4 years olds (pre-reception)</w:t>
      </w:r>
      <w:r w:rsidR="003F3E31">
        <w:rPr>
          <w:rFonts w:cs="Arial"/>
          <w:sz w:val="22"/>
          <w:szCs w:val="22"/>
        </w:rPr>
        <w:t xml:space="preserve"> in mainstream not specialist provision</w:t>
      </w:r>
      <w:r>
        <w:rPr>
          <w:rFonts w:cs="Arial"/>
          <w:sz w:val="22"/>
          <w:szCs w:val="22"/>
        </w:rPr>
        <w:t>,</w:t>
      </w:r>
      <w:r w:rsidR="000F33B5">
        <w:rPr>
          <w:rFonts w:cs="Arial"/>
          <w:sz w:val="22"/>
          <w:szCs w:val="22"/>
        </w:rPr>
        <w:t xml:space="preserve"> is expected to contribute E</w:t>
      </w:r>
      <w:r w:rsidRPr="006C1D2E">
        <w:rPr>
          <w:rFonts w:cs="Arial"/>
          <w:sz w:val="22"/>
          <w:szCs w:val="22"/>
        </w:rPr>
        <w:t>lement 2 funding currently at a value of £6,000</w:t>
      </w:r>
      <w:r>
        <w:rPr>
          <w:rFonts w:cs="Arial"/>
          <w:sz w:val="22"/>
          <w:szCs w:val="22"/>
        </w:rPr>
        <w:t xml:space="preserve"> to the cost of additional needs</w:t>
      </w:r>
      <w:r w:rsidRPr="006C1D2E">
        <w:rPr>
          <w:rFonts w:cs="Arial"/>
          <w:sz w:val="22"/>
          <w:szCs w:val="22"/>
        </w:rPr>
        <w:t>.</w:t>
      </w:r>
      <w:r>
        <w:rPr>
          <w:rFonts w:cs="Arial"/>
          <w:sz w:val="22"/>
          <w:szCs w:val="22"/>
        </w:rPr>
        <w:t xml:space="preserve"> </w:t>
      </w:r>
    </w:p>
    <w:p w14:paraId="45CDF921" w14:textId="77777777" w:rsidR="00DF0E19" w:rsidRPr="006C1D2E" w:rsidRDefault="00DF0E19" w:rsidP="0046317B">
      <w:pPr>
        <w:pStyle w:val="ListParagraph"/>
        <w:spacing w:after="200" w:line="276" w:lineRule="auto"/>
        <w:ind w:left="360"/>
        <w:jc w:val="both"/>
        <w:rPr>
          <w:rFonts w:cs="Arial"/>
          <w:sz w:val="22"/>
          <w:szCs w:val="22"/>
        </w:rPr>
      </w:pPr>
    </w:p>
    <w:p w14:paraId="09DB3957" w14:textId="77777777" w:rsidR="000707A8" w:rsidRDefault="00DF0E19" w:rsidP="009564E6">
      <w:pPr>
        <w:pStyle w:val="ListParagraph"/>
        <w:numPr>
          <w:ilvl w:val="0"/>
          <w:numId w:val="8"/>
        </w:numPr>
        <w:spacing w:after="200" w:line="276" w:lineRule="auto"/>
        <w:jc w:val="both"/>
        <w:rPr>
          <w:rFonts w:cs="Arial"/>
          <w:sz w:val="22"/>
          <w:szCs w:val="22"/>
        </w:rPr>
      </w:pPr>
      <w:r w:rsidRPr="003B75EF">
        <w:rPr>
          <w:rFonts w:cs="Arial"/>
          <w:sz w:val="22"/>
          <w:szCs w:val="22"/>
        </w:rPr>
        <w:t xml:space="preserve">The bottom </w:t>
      </w:r>
      <w:r w:rsidR="003F3E31">
        <w:rPr>
          <w:rFonts w:cs="Arial"/>
          <w:sz w:val="22"/>
          <w:szCs w:val="22"/>
        </w:rPr>
        <w:t>‘</w:t>
      </w:r>
      <w:r w:rsidRPr="003B75EF">
        <w:rPr>
          <w:rFonts w:cs="Arial"/>
          <w:sz w:val="22"/>
          <w:szCs w:val="22"/>
        </w:rPr>
        <w:t>threshold</w:t>
      </w:r>
      <w:r w:rsidR="003F3E31">
        <w:rPr>
          <w:rFonts w:cs="Arial"/>
          <w:sz w:val="22"/>
          <w:szCs w:val="22"/>
        </w:rPr>
        <w:t>’</w:t>
      </w:r>
      <w:r w:rsidRPr="003B75EF">
        <w:rPr>
          <w:rFonts w:cs="Arial"/>
          <w:sz w:val="22"/>
          <w:szCs w:val="22"/>
        </w:rPr>
        <w:t xml:space="preserve"> for the 1</w:t>
      </w:r>
      <w:r w:rsidRPr="003B75EF">
        <w:rPr>
          <w:rFonts w:cs="Arial"/>
          <w:sz w:val="22"/>
          <w:szCs w:val="22"/>
          <w:vertAlign w:val="superscript"/>
        </w:rPr>
        <w:t>st</w:t>
      </w:r>
      <w:r w:rsidR="003F3E31">
        <w:rPr>
          <w:rFonts w:cs="Arial"/>
          <w:sz w:val="22"/>
          <w:szCs w:val="22"/>
        </w:rPr>
        <w:t xml:space="preserve"> step of Band </w:t>
      </w:r>
      <w:r w:rsidRPr="003B75EF">
        <w:rPr>
          <w:rFonts w:cs="Arial"/>
          <w:sz w:val="22"/>
          <w:szCs w:val="22"/>
        </w:rPr>
        <w:t>3</w:t>
      </w:r>
      <w:r w:rsidR="003F3E31">
        <w:rPr>
          <w:rFonts w:cs="Arial"/>
          <w:sz w:val="22"/>
          <w:szCs w:val="22"/>
        </w:rPr>
        <w:t xml:space="preserve"> </w:t>
      </w:r>
      <w:r w:rsidR="000707A8">
        <w:rPr>
          <w:rFonts w:cs="Arial"/>
          <w:sz w:val="22"/>
          <w:szCs w:val="22"/>
        </w:rPr>
        <w:t xml:space="preserve">(3 </w:t>
      </w:r>
      <w:r w:rsidRPr="003B75EF">
        <w:rPr>
          <w:rFonts w:cs="Arial"/>
          <w:sz w:val="22"/>
          <w:szCs w:val="22"/>
        </w:rPr>
        <w:t>L</w:t>
      </w:r>
      <w:r w:rsidR="003F3E31">
        <w:rPr>
          <w:rFonts w:cs="Arial"/>
          <w:sz w:val="22"/>
          <w:szCs w:val="22"/>
        </w:rPr>
        <w:t>ow</w:t>
      </w:r>
      <w:r w:rsidR="000707A8">
        <w:rPr>
          <w:rFonts w:cs="Arial"/>
          <w:sz w:val="22"/>
          <w:szCs w:val="22"/>
        </w:rPr>
        <w:t>)</w:t>
      </w:r>
      <w:r w:rsidR="00207EEB">
        <w:rPr>
          <w:rFonts w:cs="Arial"/>
          <w:sz w:val="22"/>
          <w:szCs w:val="22"/>
        </w:rPr>
        <w:t xml:space="preserve"> </w:t>
      </w:r>
      <w:r w:rsidR="000F33B5">
        <w:rPr>
          <w:rFonts w:cs="Arial"/>
          <w:sz w:val="22"/>
          <w:szCs w:val="22"/>
        </w:rPr>
        <w:t xml:space="preserve">is the same as the </w:t>
      </w:r>
      <w:r w:rsidR="00CD1122">
        <w:rPr>
          <w:rFonts w:cs="Arial"/>
          <w:sz w:val="22"/>
          <w:szCs w:val="22"/>
        </w:rPr>
        <w:t>Ranges Model</w:t>
      </w:r>
      <w:r w:rsidR="000F33B5">
        <w:rPr>
          <w:rFonts w:cs="Arial"/>
          <w:sz w:val="22"/>
          <w:szCs w:val="22"/>
        </w:rPr>
        <w:t>. The Banded M</w:t>
      </w:r>
      <w:r w:rsidR="003F3E31">
        <w:rPr>
          <w:rFonts w:cs="Arial"/>
          <w:sz w:val="22"/>
          <w:szCs w:val="22"/>
        </w:rPr>
        <w:t xml:space="preserve">odel </w:t>
      </w:r>
      <w:r w:rsidR="000F33B5">
        <w:rPr>
          <w:rFonts w:cs="Arial"/>
          <w:sz w:val="22"/>
          <w:szCs w:val="22"/>
        </w:rPr>
        <w:t xml:space="preserve">itself has not </w:t>
      </w:r>
      <w:r w:rsidR="003F3E31">
        <w:rPr>
          <w:rFonts w:cs="Arial"/>
          <w:sz w:val="22"/>
          <w:szCs w:val="22"/>
        </w:rPr>
        <w:t>change</w:t>
      </w:r>
      <w:r w:rsidR="000F33B5">
        <w:rPr>
          <w:rFonts w:cs="Arial"/>
          <w:sz w:val="22"/>
          <w:szCs w:val="22"/>
        </w:rPr>
        <w:t>d</w:t>
      </w:r>
      <w:r w:rsidR="003F3E31">
        <w:rPr>
          <w:rFonts w:cs="Arial"/>
          <w:sz w:val="22"/>
          <w:szCs w:val="22"/>
        </w:rPr>
        <w:t xml:space="preserve"> the thr</w:t>
      </w:r>
      <w:r w:rsidR="00524427">
        <w:rPr>
          <w:rFonts w:cs="Arial"/>
          <w:sz w:val="22"/>
          <w:szCs w:val="22"/>
        </w:rPr>
        <w:t>eshold at which EHCP funding can</w:t>
      </w:r>
      <w:r w:rsidR="003F3E31">
        <w:rPr>
          <w:rFonts w:cs="Arial"/>
          <w:sz w:val="22"/>
          <w:szCs w:val="22"/>
        </w:rPr>
        <w:t xml:space="preserve"> initiate</w:t>
      </w:r>
      <w:r w:rsidR="000F33B5">
        <w:rPr>
          <w:rFonts w:cs="Arial"/>
          <w:sz w:val="22"/>
          <w:szCs w:val="22"/>
        </w:rPr>
        <w:t xml:space="preserve"> nor has it</w:t>
      </w:r>
      <w:r w:rsidR="00237167">
        <w:rPr>
          <w:rFonts w:cs="Arial"/>
          <w:sz w:val="22"/>
          <w:szCs w:val="22"/>
        </w:rPr>
        <w:t xml:space="preserve"> change</w:t>
      </w:r>
      <w:r w:rsidR="000F33B5">
        <w:rPr>
          <w:rFonts w:cs="Arial"/>
          <w:sz w:val="22"/>
          <w:szCs w:val="22"/>
        </w:rPr>
        <w:t>d</w:t>
      </w:r>
      <w:r w:rsidR="00237167">
        <w:rPr>
          <w:rFonts w:cs="Arial"/>
          <w:sz w:val="22"/>
          <w:szCs w:val="22"/>
        </w:rPr>
        <w:t xml:space="preserve"> the point</w:t>
      </w:r>
      <w:r w:rsidR="00393B38">
        <w:rPr>
          <w:rFonts w:cs="Arial"/>
          <w:sz w:val="22"/>
          <w:szCs w:val="22"/>
        </w:rPr>
        <w:t>s</w:t>
      </w:r>
      <w:r w:rsidR="00237167">
        <w:rPr>
          <w:rFonts w:cs="Arial"/>
          <w:sz w:val="22"/>
          <w:szCs w:val="22"/>
        </w:rPr>
        <w:t xml:space="preserve"> of access to an</w:t>
      </w:r>
      <w:r w:rsidR="00B52CAF">
        <w:rPr>
          <w:rFonts w:cs="Arial"/>
          <w:sz w:val="22"/>
          <w:szCs w:val="22"/>
        </w:rPr>
        <w:t xml:space="preserve"> EHCP. It </w:t>
      </w:r>
      <w:r w:rsidR="000F33B5">
        <w:rPr>
          <w:rFonts w:cs="Arial"/>
          <w:sz w:val="22"/>
          <w:szCs w:val="22"/>
        </w:rPr>
        <w:t>simply has changed</w:t>
      </w:r>
      <w:r w:rsidR="00B52CAF">
        <w:rPr>
          <w:rFonts w:cs="Arial"/>
          <w:sz w:val="22"/>
          <w:szCs w:val="22"/>
        </w:rPr>
        <w:t xml:space="preserve"> the options that are available to the </w:t>
      </w:r>
      <w:r w:rsidR="00281907">
        <w:rPr>
          <w:rFonts w:cs="Arial"/>
          <w:sz w:val="22"/>
          <w:szCs w:val="22"/>
        </w:rPr>
        <w:t xml:space="preserve">SEND </w:t>
      </w:r>
      <w:r w:rsidR="00B52CAF">
        <w:rPr>
          <w:rFonts w:cs="Arial"/>
          <w:sz w:val="22"/>
          <w:szCs w:val="22"/>
        </w:rPr>
        <w:t>Panel to use to ensure that</w:t>
      </w:r>
      <w:r w:rsidR="00237167">
        <w:rPr>
          <w:rFonts w:cs="Arial"/>
          <w:sz w:val="22"/>
          <w:szCs w:val="22"/>
        </w:rPr>
        <w:t xml:space="preserve"> </w:t>
      </w:r>
      <w:r w:rsidR="00281907">
        <w:rPr>
          <w:rFonts w:cs="Arial"/>
          <w:sz w:val="22"/>
          <w:szCs w:val="22"/>
        </w:rPr>
        <w:t xml:space="preserve">an </w:t>
      </w:r>
      <w:r w:rsidR="00237167">
        <w:rPr>
          <w:rFonts w:cs="Arial"/>
          <w:sz w:val="22"/>
          <w:szCs w:val="22"/>
        </w:rPr>
        <w:t>EHCP</w:t>
      </w:r>
      <w:r w:rsidR="00281907">
        <w:rPr>
          <w:rFonts w:cs="Arial"/>
          <w:sz w:val="22"/>
          <w:szCs w:val="22"/>
        </w:rPr>
        <w:t xml:space="preserve"> is appropriately and</w:t>
      </w:r>
      <w:r w:rsidR="00B52CAF">
        <w:rPr>
          <w:rFonts w:cs="Arial"/>
          <w:sz w:val="22"/>
          <w:szCs w:val="22"/>
        </w:rPr>
        <w:t xml:space="preserve"> accurately funded</w:t>
      </w:r>
      <w:r w:rsidR="003F3E31">
        <w:rPr>
          <w:rFonts w:cs="Arial"/>
          <w:sz w:val="22"/>
          <w:szCs w:val="22"/>
        </w:rPr>
        <w:t>.</w:t>
      </w:r>
    </w:p>
    <w:p w14:paraId="3A33639F" w14:textId="77777777" w:rsidR="000707A8" w:rsidRDefault="000707A8" w:rsidP="00355873">
      <w:pPr>
        <w:pStyle w:val="ListParagraph"/>
        <w:spacing w:after="200" w:line="276" w:lineRule="auto"/>
        <w:ind w:left="0"/>
        <w:jc w:val="both"/>
        <w:rPr>
          <w:rFonts w:cs="Arial"/>
          <w:sz w:val="22"/>
          <w:szCs w:val="22"/>
        </w:rPr>
      </w:pPr>
    </w:p>
    <w:p w14:paraId="60819A42" w14:textId="32477308" w:rsidR="00DF0E19" w:rsidRDefault="000707A8" w:rsidP="009564E6">
      <w:pPr>
        <w:pStyle w:val="ListParagraph"/>
        <w:numPr>
          <w:ilvl w:val="0"/>
          <w:numId w:val="8"/>
        </w:numPr>
        <w:spacing w:after="200" w:line="276" w:lineRule="auto"/>
        <w:jc w:val="both"/>
        <w:rPr>
          <w:rFonts w:cs="Arial"/>
          <w:sz w:val="22"/>
          <w:szCs w:val="22"/>
        </w:rPr>
      </w:pPr>
      <w:r w:rsidRPr="000707A8">
        <w:rPr>
          <w:rFonts w:cs="Arial"/>
          <w:sz w:val="22"/>
          <w:szCs w:val="22"/>
        </w:rPr>
        <w:t xml:space="preserve">For the top-up funding of post 16 high needs students with EHCPs in the Further Education sector, it has been agreed previously with the relevant providers that, as, on average, colleges deliver around 60% of the hours delivered by schools, colleges are funded for the vast majority of students at 60% of the Banded Model value for the primary need of the student. The exceptions are students with the primary need of sensory impairment (Hearing / Visual), where funding continues to be allocated on an actual cost basis. Due to the specific support needs of these students in Further Education, and the diverse nature of their curriculum choices, it is not possible to formularise this funding element. </w:t>
      </w:r>
      <w:r w:rsidR="00F95257">
        <w:rPr>
          <w:rFonts w:cs="Arial"/>
          <w:sz w:val="22"/>
          <w:szCs w:val="22"/>
        </w:rPr>
        <w:t>T</w:t>
      </w:r>
      <w:r w:rsidRPr="000707A8">
        <w:rPr>
          <w:rFonts w:cs="Arial"/>
          <w:sz w:val="22"/>
          <w:szCs w:val="22"/>
        </w:rPr>
        <w:t xml:space="preserve">his approach </w:t>
      </w:r>
      <w:r w:rsidR="00F95257">
        <w:rPr>
          <w:rFonts w:cs="Arial"/>
          <w:sz w:val="22"/>
          <w:szCs w:val="22"/>
        </w:rPr>
        <w:t xml:space="preserve">is continued in the </w:t>
      </w:r>
      <w:r w:rsidRPr="000707A8">
        <w:rPr>
          <w:rFonts w:cs="Arial"/>
          <w:sz w:val="22"/>
          <w:szCs w:val="22"/>
        </w:rPr>
        <w:t>application Banded Model</w:t>
      </w:r>
      <w:r w:rsidR="00CA51CD">
        <w:rPr>
          <w:rFonts w:cs="Arial"/>
          <w:sz w:val="22"/>
          <w:szCs w:val="22"/>
        </w:rPr>
        <w:t xml:space="preserve"> in 202</w:t>
      </w:r>
      <w:r w:rsidR="0057205D">
        <w:rPr>
          <w:rFonts w:cs="Arial"/>
          <w:sz w:val="22"/>
          <w:szCs w:val="22"/>
        </w:rPr>
        <w:t>5</w:t>
      </w:r>
      <w:r w:rsidR="00CA51CD">
        <w:rPr>
          <w:rFonts w:cs="Arial"/>
          <w:sz w:val="22"/>
          <w:szCs w:val="22"/>
        </w:rPr>
        <w:t>/2</w:t>
      </w:r>
      <w:r w:rsidR="0057205D">
        <w:rPr>
          <w:rFonts w:cs="Arial"/>
          <w:sz w:val="22"/>
          <w:szCs w:val="22"/>
        </w:rPr>
        <w:t>6.</w:t>
      </w:r>
    </w:p>
    <w:p w14:paraId="6707CB76" w14:textId="77777777" w:rsidR="00F95257" w:rsidRPr="00F95257" w:rsidRDefault="00F95257" w:rsidP="0046317B">
      <w:pPr>
        <w:pStyle w:val="ListParagraph"/>
        <w:spacing w:after="200" w:line="276" w:lineRule="auto"/>
        <w:ind w:left="360"/>
        <w:jc w:val="both"/>
        <w:rPr>
          <w:rFonts w:cs="Arial"/>
          <w:sz w:val="22"/>
          <w:szCs w:val="22"/>
        </w:rPr>
      </w:pPr>
    </w:p>
    <w:p w14:paraId="311566E1" w14:textId="77777777" w:rsidR="00FC49FC" w:rsidRDefault="00F95257" w:rsidP="009564E6">
      <w:pPr>
        <w:pStyle w:val="ListParagraph"/>
        <w:numPr>
          <w:ilvl w:val="0"/>
          <w:numId w:val="8"/>
        </w:numPr>
        <w:spacing w:after="200" w:line="276" w:lineRule="auto"/>
        <w:jc w:val="both"/>
        <w:rPr>
          <w:rFonts w:cs="Arial"/>
          <w:sz w:val="22"/>
          <w:szCs w:val="22"/>
        </w:rPr>
      </w:pPr>
      <w:r>
        <w:rPr>
          <w:rFonts w:cs="Arial"/>
          <w:sz w:val="22"/>
          <w:szCs w:val="22"/>
        </w:rPr>
        <w:t>The</w:t>
      </w:r>
      <w:r w:rsidR="00DF0E19" w:rsidRPr="003B75EF">
        <w:rPr>
          <w:rFonts w:cs="Arial"/>
          <w:sz w:val="22"/>
          <w:szCs w:val="22"/>
        </w:rPr>
        <w:t xml:space="preserve"> ‘technical f</w:t>
      </w:r>
      <w:r>
        <w:rPr>
          <w:rFonts w:cs="Arial"/>
          <w:sz w:val="22"/>
          <w:szCs w:val="22"/>
        </w:rPr>
        <w:t xml:space="preserve">ramework’ is the same for </w:t>
      </w:r>
      <w:r w:rsidR="000A28E1">
        <w:rPr>
          <w:rFonts w:cs="Arial"/>
          <w:sz w:val="22"/>
          <w:szCs w:val="22"/>
        </w:rPr>
        <w:t xml:space="preserve">the </w:t>
      </w:r>
      <w:r w:rsidR="00DF0E19" w:rsidRPr="003B75EF">
        <w:rPr>
          <w:rFonts w:cs="Arial"/>
          <w:sz w:val="22"/>
          <w:szCs w:val="22"/>
        </w:rPr>
        <w:t xml:space="preserve">operation of the </w:t>
      </w:r>
      <w:r w:rsidR="00CD1122">
        <w:rPr>
          <w:rFonts w:cs="Arial"/>
          <w:sz w:val="22"/>
          <w:szCs w:val="22"/>
        </w:rPr>
        <w:t>Banded M</w:t>
      </w:r>
      <w:r w:rsidR="00DF0E19" w:rsidRPr="003B75EF">
        <w:rPr>
          <w:rFonts w:cs="Arial"/>
          <w:sz w:val="22"/>
          <w:szCs w:val="22"/>
        </w:rPr>
        <w:t>odel during the year e.g. the monthly re-calculation</w:t>
      </w:r>
      <w:r w:rsidR="00FC49FC">
        <w:rPr>
          <w:rFonts w:cs="Arial"/>
          <w:sz w:val="22"/>
          <w:szCs w:val="22"/>
        </w:rPr>
        <w:t xml:space="preserve"> of EHCP funding from the c</w:t>
      </w:r>
      <w:r w:rsidR="00DF0E19" w:rsidRPr="003B75EF">
        <w:rPr>
          <w:rFonts w:cs="Arial"/>
          <w:sz w:val="22"/>
          <w:szCs w:val="22"/>
        </w:rPr>
        <w:t>ensus</w:t>
      </w:r>
      <w:r w:rsidR="00D63721">
        <w:rPr>
          <w:rFonts w:cs="Arial"/>
          <w:sz w:val="22"/>
          <w:szCs w:val="22"/>
        </w:rPr>
        <w:t xml:space="preserve"> of EHCPs on roll</w:t>
      </w:r>
      <w:r w:rsidR="00DF0E19" w:rsidRPr="003B75EF">
        <w:rPr>
          <w:rFonts w:cs="Arial"/>
          <w:sz w:val="22"/>
          <w:szCs w:val="22"/>
        </w:rPr>
        <w:t xml:space="preserve"> on 10</w:t>
      </w:r>
      <w:r w:rsidR="00DF0E19" w:rsidRPr="003B75EF">
        <w:rPr>
          <w:rFonts w:cs="Arial"/>
          <w:sz w:val="22"/>
          <w:szCs w:val="22"/>
          <w:vertAlign w:val="superscript"/>
        </w:rPr>
        <w:t>th</w:t>
      </w:r>
      <w:r w:rsidR="00FC49FC">
        <w:rPr>
          <w:rFonts w:cs="Arial"/>
          <w:sz w:val="22"/>
          <w:szCs w:val="22"/>
        </w:rPr>
        <w:t xml:space="preserve"> of each month.</w:t>
      </w:r>
    </w:p>
    <w:p w14:paraId="1D1886A1" w14:textId="77777777" w:rsidR="000707A8" w:rsidRPr="000707A8" w:rsidRDefault="000707A8" w:rsidP="0046317B">
      <w:pPr>
        <w:pStyle w:val="ListParagraph"/>
        <w:spacing w:after="200" w:line="276" w:lineRule="auto"/>
        <w:ind w:left="360"/>
        <w:jc w:val="both"/>
        <w:rPr>
          <w:rFonts w:cs="Arial"/>
          <w:sz w:val="22"/>
          <w:szCs w:val="22"/>
        </w:rPr>
      </w:pPr>
    </w:p>
    <w:p w14:paraId="50F18D81" w14:textId="77777777" w:rsidR="003B75EF" w:rsidRPr="00D378FE" w:rsidRDefault="00F95257" w:rsidP="009564E6">
      <w:pPr>
        <w:pStyle w:val="ListParagraph"/>
        <w:numPr>
          <w:ilvl w:val="0"/>
          <w:numId w:val="8"/>
        </w:numPr>
        <w:spacing w:after="200" w:line="276" w:lineRule="auto"/>
        <w:jc w:val="both"/>
        <w:rPr>
          <w:rFonts w:cs="Arial"/>
          <w:sz w:val="22"/>
          <w:szCs w:val="22"/>
        </w:rPr>
      </w:pPr>
      <w:r>
        <w:rPr>
          <w:rFonts w:cs="Arial"/>
          <w:sz w:val="22"/>
          <w:szCs w:val="22"/>
        </w:rPr>
        <w:t>An assessment place (which was</w:t>
      </w:r>
      <w:r w:rsidR="00FC49FC" w:rsidRPr="003B75EF">
        <w:rPr>
          <w:rFonts w:cs="Arial"/>
          <w:sz w:val="22"/>
          <w:szCs w:val="22"/>
        </w:rPr>
        <w:t xml:space="preserve"> Range</w:t>
      </w:r>
      <w:r>
        <w:rPr>
          <w:rFonts w:cs="Arial"/>
          <w:sz w:val="22"/>
          <w:szCs w:val="22"/>
        </w:rPr>
        <w:t xml:space="preserve"> 4D) has</w:t>
      </w:r>
      <w:r w:rsidR="000707A8">
        <w:rPr>
          <w:rFonts w:cs="Arial"/>
          <w:sz w:val="22"/>
          <w:szCs w:val="22"/>
        </w:rPr>
        <w:t xml:space="preserve"> become </w:t>
      </w:r>
      <w:r w:rsidR="00D378FE">
        <w:rPr>
          <w:rFonts w:cs="Arial"/>
          <w:sz w:val="22"/>
          <w:szCs w:val="22"/>
        </w:rPr>
        <w:t xml:space="preserve">Band </w:t>
      </w:r>
      <w:r>
        <w:rPr>
          <w:rFonts w:cs="Arial"/>
          <w:sz w:val="22"/>
          <w:szCs w:val="22"/>
        </w:rPr>
        <w:t>4L. This</w:t>
      </w:r>
      <w:r w:rsidR="00FC49FC" w:rsidRPr="003B75EF">
        <w:rPr>
          <w:rFonts w:cs="Arial"/>
          <w:sz w:val="22"/>
          <w:szCs w:val="22"/>
        </w:rPr>
        <w:t xml:space="preserve"> fund</w:t>
      </w:r>
      <w:r>
        <w:rPr>
          <w:rFonts w:cs="Arial"/>
          <w:sz w:val="22"/>
          <w:szCs w:val="22"/>
        </w:rPr>
        <w:t>s</w:t>
      </w:r>
      <w:r w:rsidR="00FC49FC" w:rsidRPr="003B75EF">
        <w:rPr>
          <w:rFonts w:cs="Arial"/>
          <w:sz w:val="22"/>
          <w:szCs w:val="22"/>
        </w:rPr>
        <w:t xml:space="preserve"> EHCPs placed in specialist provisions </w:t>
      </w:r>
      <w:r w:rsidR="00CD1122">
        <w:rPr>
          <w:rFonts w:cs="Arial"/>
          <w:sz w:val="22"/>
          <w:szCs w:val="22"/>
        </w:rPr>
        <w:t>until a final determination of b</w:t>
      </w:r>
      <w:r w:rsidR="00FC49FC" w:rsidRPr="003B75EF">
        <w:rPr>
          <w:rFonts w:cs="Arial"/>
          <w:sz w:val="22"/>
          <w:szCs w:val="22"/>
        </w:rPr>
        <w:t>and from the Panel is received.</w:t>
      </w:r>
      <w:r>
        <w:rPr>
          <w:rFonts w:cs="Arial"/>
          <w:sz w:val="22"/>
          <w:szCs w:val="22"/>
        </w:rPr>
        <w:t xml:space="preserve"> </w:t>
      </w:r>
      <w:r w:rsidRPr="003B75EF">
        <w:rPr>
          <w:rFonts w:cs="Arial"/>
          <w:sz w:val="22"/>
          <w:szCs w:val="22"/>
        </w:rPr>
        <w:t xml:space="preserve">Funding </w:t>
      </w:r>
      <w:r w:rsidR="00CD1122">
        <w:rPr>
          <w:rFonts w:cs="Arial"/>
          <w:sz w:val="22"/>
          <w:szCs w:val="22"/>
        </w:rPr>
        <w:t>is</w:t>
      </w:r>
      <w:r w:rsidRPr="003B75EF">
        <w:rPr>
          <w:rFonts w:cs="Arial"/>
          <w:sz w:val="22"/>
          <w:szCs w:val="22"/>
        </w:rPr>
        <w:t xml:space="preserve"> changed at this point if this is different from 4L. </w:t>
      </w:r>
      <w:r w:rsidR="00FC49FC" w:rsidRPr="003B75EF">
        <w:rPr>
          <w:rFonts w:cs="Arial"/>
          <w:sz w:val="22"/>
          <w:szCs w:val="22"/>
        </w:rPr>
        <w:t xml:space="preserve"> </w:t>
      </w:r>
      <w:r>
        <w:rPr>
          <w:rFonts w:cs="Arial"/>
          <w:sz w:val="22"/>
          <w:szCs w:val="22"/>
        </w:rPr>
        <w:t xml:space="preserve">Band 4L also continues to be used to </w:t>
      </w:r>
      <w:r w:rsidR="00226F66">
        <w:rPr>
          <w:rFonts w:cs="Arial"/>
          <w:sz w:val="22"/>
          <w:szCs w:val="22"/>
        </w:rPr>
        <w:t xml:space="preserve">more </w:t>
      </w:r>
      <w:r w:rsidR="00CD1122">
        <w:rPr>
          <w:rFonts w:cs="Arial"/>
          <w:sz w:val="22"/>
          <w:szCs w:val="22"/>
        </w:rPr>
        <w:t xml:space="preserve">permanently </w:t>
      </w:r>
      <w:r w:rsidR="00226F66">
        <w:rPr>
          <w:rFonts w:cs="Arial"/>
          <w:sz w:val="22"/>
          <w:szCs w:val="22"/>
        </w:rPr>
        <w:t>fund</w:t>
      </w:r>
      <w:r>
        <w:rPr>
          <w:rFonts w:cs="Arial"/>
          <w:sz w:val="22"/>
          <w:szCs w:val="22"/>
        </w:rPr>
        <w:t xml:space="preserve"> placements in the Early Years ESPs that are attached to maintained nursery schools. </w:t>
      </w:r>
      <w:r w:rsidR="00FC49FC" w:rsidRPr="003B75EF">
        <w:rPr>
          <w:rFonts w:cs="Arial"/>
          <w:sz w:val="22"/>
          <w:szCs w:val="22"/>
        </w:rPr>
        <w:t xml:space="preserve"> </w:t>
      </w:r>
    </w:p>
    <w:p w14:paraId="5DCE5E7C" w14:textId="77777777" w:rsidR="00D378FE" w:rsidRDefault="00D378FE" w:rsidP="00355873">
      <w:pPr>
        <w:jc w:val="both"/>
        <w:rPr>
          <w:rFonts w:cs="Arial"/>
          <w:b/>
          <w:sz w:val="22"/>
          <w:szCs w:val="22"/>
          <w:u w:val="single"/>
        </w:rPr>
      </w:pPr>
    </w:p>
    <w:p w14:paraId="510BA5F8" w14:textId="77777777" w:rsidR="00CC0CA3" w:rsidRDefault="00150A5E" w:rsidP="00355873">
      <w:pPr>
        <w:jc w:val="both"/>
        <w:rPr>
          <w:rFonts w:cs="Arial"/>
          <w:b/>
          <w:sz w:val="22"/>
          <w:szCs w:val="22"/>
          <w:u w:val="single"/>
        </w:rPr>
      </w:pPr>
      <w:r>
        <w:rPr>
          <w:rFonts w:cs="Arial"/>
          <w:b/>
          <w:sz w:val="22"/>
          <w:szCs w:val="22"/>
          <w:u w:val="single"/>
        </w:rPr>
        <w:t xml:space="preserve">A </w:t>
      </w:r>
      <w:r w:rsidR="00CD1122">
        <w:rPr>
          <w:rFonts w:cs="Arial"/>
          <w:b/>
          <w:sz w:val="22"/>
          <w:szCs w:val="22"/>
          <w:u w:val="single"/>
        </w:rPr>
        <w:t>r</w:t>
      </w:r>
      <w:r>
        <w:rPr>
          <w:rFonts w:cs="Arial"/>
          <w:b/>
          <w:sz w:val="22"/>
          <w:szCs w:val="22"/>
          <w:u w:val="single"/>
        </w:rPr>
        <w:t xml:space="preserve">eminder of the </w:t>
      </w:r>
      <w:r w:rsidR="00CD1122">
        <w:rPr>
          <w:rFonts w:cs="Arial"/>
          <w:b/>
          <w:sz w:val="22"/>
          <w:szCs w:val="22"/>
          <w:u w:val="single"/>
        </w:rPr>
        <w:t>t</w:t>
      </w:r>
      <w:r w:rsidR="003B75EF" w:rsidRPr="00F3262F">
        <w:rPr>
          <w:rFonts w:cs="Arial"/>
          <w:b/>
          <w:sz w:val="22"/>
          <w:szCs w:val="22"/>
          <w:u w:val="single"/>
        </w:rPr>
        <w:t>ransition</w:t>
      </w:r>
      <w:r>
        <w:rPr>
          <w:rFonts w:cs="Arial"/>
          <w:b/>
          <w:sz w:val="22"/>
          <w:szCs w:val="22"/>
          <w:u w:val="single"/>
        </w:rPr>
        <w:t xml:space="preserve"> from the previous Ranges Model</w:t>
      </w:r>
    </w:p>
    <w:p w14:paraId="46EAFCA6" w14:textId="77777777" w:rsidR="00CC0CA3" w:rsidRPr="00CC0CA3" w:rsidRDefault="00CC0CA3" w:rsidP="00355873">
      <w:pPr>
        <w:jc w:val="both"/>
        <w:rPr>
          <w:rFonts w:cs="Arial"/>
          <w:b/>
          <w:sz w:val="22"/>
          <w:szCs w:val="22"/>
          <w:u w:val="single"/>
        </w:rPr>
      </w:pPr>
    </w:p>
    <w:p w14:paraId="3FEB592D" w14:textId="77777777" w:rsidR="00CC0CA3" w:rsidRPr="003B75EF" w:rsidRDefault="00CC0CA3" w:rsidP="00355873">
      <w:pPr>
        <w:spacing w:after="200" w:line="276" w:lineRule="auto"/>
        <w:jc w:val="both"/>
        <w:rPr>
          <w:rFonts w:cs="Arial"/>
          <w:sz w:val="22"/>
          <w:szCs w:val="22"/>
        </w:rPr>
      </w:pPr>
      <w:r>
        <w:rPr>
          <w:rFonts w:cs="Arial"/>
          <w:sz w:val="22"/>
          <w:szCs w:val="22"/>
        </w:rPr>
        <w:t xml:space="preserve">3.1 </w:t>
      </w:r>
      <w:r w:rsidR="00150A5E">
        <w:rPr>
          <w:rFonts w:cs="Arial"/>
          <w:sz w:val="22"/>
          <w:szCs w:val="22"/>
        </w:rPr>
        <w:t>It is helpful to remind provid</w:t>
      </w:r>
      <w:r w:rsidR="00CD1122">
        <w:rPr>
          <w:rFonts w:cs="Arial"/>
          <w:sz w:val="22"/>
          <w:szCs w:val="22"/>
        </w:rPr>
        <w:t>ers of how we moved from the</w:t>
      </w:r>
      <w:r w:rsidR="00150A5E">
        <w:rPr>
          <w:rFonts w:cs="Arial"/>
          <w:sz w:val="22"/>
          <w:szCs w:val="22"/>
        </w:rPr>
        <w:t xml:space="preserve"> Ranges Model to the now established Banded Model </w:t>
      </w:r>
      <w:r w:rsidR="00CD1122">
        <w:rPr>
          <w:rFonts w:cs="Arial"/>
          <w:sz w:val="22"/>
          <w:szCs w:val="22"/>
        </w:rPr>
        <w:t>and what protections continue to be in place</w:t>
      </w:r>
      <w:r w:rsidR="00150A5E">
        <w:rPr>
          <w:rFonts w:cs="Arial"/>
          <w:sz w:val="22"/>
          <w:szCs w:val="22"/>
        </w:rPr>
        <w:t>.</w:t>
      </w:r>
      <w:r w:rsidR="001B1431">
        <w:rPr>
          <w:rFonts w:cs="Arial"/>
          <w:sz w:val="22"/>
          <w:szCs w:val="22"/>
        </w:rPr>
        <w:t xml:space="preserve"> </w:t>
      </w:r>
      <w:r w:rsidR="005C06D6" w:rsidRPr="00150A5E">
        <w:rPr>
          <w:rFonts w:cs="Arial"/>
          <w:sz w:val="22"/>
          <w:szCs w:val="22"/>
        </w:rPr>
        <w:t>All EHCPs in place</w:t>
      </w:r>
      <w:r w:rsidR="003B75EF" w:rsidRPr="00150A5E">
        <w:rPr>
          <w:rFonts w:cs="Arial"/>
          <w:sz w:val="22"/>
          <w:szCs w:val="22"/>
        </w:rPr>
        <w:t xml:space="preserve"> at 1 April </w:t>
      </w:r>
      <w:r w:rsidR="00150A5E">
        <w:rPr>
          <w:rFonts w:cs="Arial"/>
          <w:sz w:val="22"/>
          <w:szCs w:val="22"/>
        </w:rPr>
        <w:t>2020 were automatically</w:t>
      </w:r>
      <w:r w:rsidR="003B75EF" w:rsidRPr="00150A5E">
        <w:rPr>
          <w:rFonts w:cs="Arial"/>
          <w:sz w:val="22"/>
          <w:szCs w:val="22"/>
        </w:rPr>
        <w:t xml:space="preserve"> transferred on to the</w:t>
      </w:r>
      <w:r w:rsidR="00150A5E">
        <w:rPr>
          <w:rFonts w:cs="Arial"/>
          <w:sz w:val="22"/>
          <w:szCs w:val="22"/>
        </w:rPr>
        <w:t xml:space="preserve"> new Banded Model system at 1 April 2020 </w:t>
      </w:r>
      <w:r w:rsidR="003B75EF" w:rsidRPr="00150A5E">
        <w:rPr>
          <w:rFonts w:cs="Arial"/>
          <w:sz w:val="22"/>
          <w:szCs w:val="22"/>
        </w:rPr>
        <w:t>as follows:</w:t>
      </w:r>
    </w:p>
    <w:tbl>
      <w:tblPr>
        <w:tblStyle w:val="TableGrid"/>
        <w:tblW w:w="0" w:type="auto"/>
        <w:tblInd w:w="536" w:type="dxa"/>
        <w:tblLook w:val="04A0" w:firstRow="1" w:lastRow="0" w:firstColumn="1" w:lastColumn="0" w:noHBand="0" w:noVBand="1"/>
      </w:tblPr>
      <w:tblGrid>
        <w:gridCol w:w="1488"/>
        <w:gridCol w:w="1506"/>
        <w:gridCol w:w="1540"/>
      </w:tblGrid>
      <w:tr w:rsidR="00150A5E" w:rsidRPr="003B75EF" w14:paraId="5B5725A1" w14:textId="77777777" w:rsidTr="00355873">
        <w:tc>
          <w:tcPr>
            <w:tcW w:w="1488" w:type="dxa"/>
          </w:tcPr>
          <w:p w14:paraId="42C8EA44" w14:textId="77777777" w:rsidR="00150A5E" w:rsidRPr="003B75EF" w:rsidRDefault="00150A5E" w:rsidP="00CC0CA3">
            <w:pPr>
              <w:pStyle w:val="ListParagraph"/>
              <w:ind w:left="0"/>
              <w:jc w:val="both"/>
              <w:rPr>
                <w:rFonts w:cs="Arial"/>
                <w:b/>
                <w:color w:val="548DD4" w:themeColor="text2" w:themeTint="99"/>
                <w:sz w:val="22"/>
                <w:szCs w:val="22"/>
              </w:rPr>
            </w:pPr>
            <w:r>
              <w:rPr>
                <w:rFonts w:cs="Arial"/>
                <w:b/>
                <w:color w:val="548DD4" w:themeColor="text2" w:themeTint="99"/>
                <w:sz w:val="22"/>
                <w:szCs w:val="22"/>
              </w:rPr>
              <w:t xml:space="preserve">Range </w:t>
            </w:r>
            <w:r w:rsidRPr="003B75EF">
              <w:rPr>
                <w:rFonts w:cs="Arial"/>
                <w:b/>
                <w:color w:val="548DD4" w:themeColor="text2" w:themeTint="99"/>
                <w:sz w:val="22"/>
                <w:szCs w:val="22"/>
              </w:rPr>
              <w:t xml:space="preserve"> </w:t>
            </w:r>
          </w:p>
        </w:tc>
        <w:tc>
          <w:tcPr>
            <w:tcW w:w="1506" w:type="dxa"/>
          </w:tcPr>
          <w:p w14:paraId="30D00128" w14:textId="77777777" w:rsidR="00150A5E" w:rsidRPr="003B75EF" w:rsidRDefault="00150A5E" w:rsidP="00150A5E">
            <w:pPr>
              <w:pStyle w:val="ListParagraph"/>
              <w:ind w:left="0"/>
              <w:jc w:val="center"/>
              <w:rPr>
                <w:rFonts w:cs="Arial"/>
                <w:b/>
                <w:color w:val="548DD4" w:themeColor="text2" w:themeTint="99"/>
                <w:sz w:val="22"/>
                <w:szCs w:val="22"/>
              </w:rPr>
            </w:pPr>
          </w:p>
        </w:tc>
        <w:tc>
          <w:tcPr>
            <w:tcW w:w="1540" w:type="dxa"/>
          </w:tcPr>
          <w:p w14:paraId="36C915D4"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Band</w:t>
            </w:r>
          </w:p>
        </w:tc>
      </w:tr>
      <w:tr w:rsidR="00150A5E" w:rsidRPr="003B75EF" w14:paraId="2E3A1A58" w14:textId="77777777" w:rsidTr="00355873">
        <w:tc>
          <w:tcPr>
            <w:tcW w:w="1488" w:type="dxa"/>
          </w:tcPr>
          <w:p w14:paraId="394B737F"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Range 4A</w:t>
            </w:r>
          </w:p>
        </w:tc>
        <w:tc>
          <w:tcPr>
            <w:tcW w:w="1506" w:type="dxa"/>
          </w:tcPr>
          <w:p w14:paraId="1E9A9918" w14:textId="77777777" w:rsidR="00150A5E" w:rsidRPr="003B75EF" w:rsidRDefault="00150A5E" w:rsidP="00150A5E">
            <w:pPr>
              <w:pStyle w:val="ListParagraph"/>
              <w:ind w:left="0"/>
              <w:jc w:val="center"/>
              <w:rPr>
                <w:rFonts w:cs="Arial"/>
                <w:b/>
                <w:color w:val="548DD4" w:themeColor="text2" w:themeTint="99"/>
                <w:sz w:val="22"/>
                <w:szCs w:val="22"/>
              </w:rPr>
            </w:pPr>
            <w:r>
              <w:rPr>
                <w:rFonts w:cs="Arial"/>
                <w:b/>
                <w:color w:val="548DD4" w:themeColor="text2" w:themeTint="99"/>
                <w:sz w:val="22"/>
                <w:szCs w:val="22"/>
              </w:rPr>
              <w:t>became</w:t>
            </w:r>
          </w:p>
        </w:tc>
        <w:tc>
          <w:tcPr>
            <w:tcW w:w="1540" w:type="dxa"/>
          </w:tcPr>
          <w:p w14:paraId="2BEFEBE9"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Band 3L</w:t>
            </w:r>
          </w:p>
        </w:tc>
      </w:tr>
      <w:tr w:rsidR="00150A5E" w:rsidRPr="003B75EF" w14:paraId="66EB87EA" w14:textId="77777777" w:rsidTr="00355873">
        <w:tc>
          <w:tcPr>
            <w:tcW w:w="1488" w:type="dxa"/>
          </w:tcPr>
          <w:p w14:paraId="06116D80"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Range 4B</w:t>
            </w:r>
          </w:p>
        </w:tc>
        <w:tc>
          <w:tcPr>
            <w:tcW w:w="1506" w:type="dxa"/>
          </w:tcPr>
          <w:p w14:paraId="65A27E92" w14:textId="77777777" w:rsidR="00150A5E" w:rsidRDefault="00150A5E" w:rsidP="00150A5E">
            <w:pPr>
              <w:jc w:val="center"/>
            </w:pPr>
            <w:r w:rsidRPr="00923377">
              <w:rPr>
                <w:rFonts w:cs="Arial"/>
                <w:b/>
                <w:color w:val="548DD4" w:themeColor="text2" w:themeTint="99"/>
                <w:sz w:val="22"/>
                <w:szCs w:val="22"/>
              </w:rPr>
              <w:t>became</w:t>
            </w:r>
          </w:p>
        </w:tc>
        <w:tc>
          <w:tcPr>
            <w:tcW w:w="1540" w:type="dxa"/>
          </w:tcPr>
          <w:p w14:paraId="25DE9449"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Band 3M</w:t>
            </w:r>
          </w:p>
        </w:tc>
      </w:tr>
      <w:tr w:rsidR="00150A5E" w:rsidRPr="003B75EF" w14:paraId="4C6511F2" w14:textId="77777777" w:rsidTr="00355873">
        <w:tc>
          <w:tcPr>
            <w:tcW w:w="1488" w:type="dxa"/>
          </w:tcPr>
          <w:p w14:paraId="74C9FC36"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Range 4C</w:t>
            </w:r>
          </w:p>
        </w:tc>
        <w:tc>
          <w:tcPr>
            <w:tcW w:w="1506" w:type="dxa"/>
          </w:tcPr>
          <w:p w14:paraId="03DDAC84" w14:textId="77777777" w:rsidR="00150A5E" w:rsidRDefault="00150A5E" w:rsidP="00150A5E">
            <w:pPr>
              <w:jc w:val="center"/>
            </w:pPr>
            <w:r w:rsidRPr="00923377">
              <w:rPr>
                <w:rFonts w:cs="Arial"/>
                <w:b/>
                <w:color w:val="548DD4" w:themeColor="text2" w:themeTint="99"/>
                <w:sz w:val="22"/>
                <w:szCs w:val="22"/>
              </w:rPr>
              <w:t>became</w:t>
            </w:r>
          </w:p>
        </w:tc>
        <w:tc>
          <w:tcPr>
            <w:tcW w:w="1540" w:type="dxa"/>
          </w:tcPr>
          <w:p w14:paraId="6A2FF208"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Band 3H</w:t>
            </w:r>
          </w:p>
        </w:tc>
      </w:tr>
      <w:tr w:rsidR="00150A5E" w:rsidRPr="003B75EF" w14:paraId="2379FC94" w14:textId="77777777" w:rsidTr="00355873">
        <w:tc>
          <w:tcPr>
            <w:tcW w:w="1488" w:type="dxa"/>
          </w:tcPr>
          <w:p w14:paraId="5C6E401D"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Range 4D</w:t>
            </w:r>
          </w:p>
        </w:tc>
        <w:tc>
          <w:tcPr>
            <w:tcW w:w="1506" w:type="dxa"/>
          </w:tcPr>
          <w:p w14:paraId="0C9E7227" w14:textId="77777777" w:rsidR="00150A5E" w:rsidRDefault="00150A5E" w:rsidP="00150A5E">
            <w:pPr>
              <w:jc w:val="center"/>
            </w:pPr>
            <w:r w:rsidRPr="00923377">
              <w:rPr>
                <w:rFonts w:cs="Arial"/>
                <w:b/>
                <w:color w:val="548DD4" w:themeColor="text2" w:themeTint="99"/>
                <w:sz w:val="22"/>
                <w:szCs w:val="22"/>
              </w:rPr>
              <w:t>became</w:t>
            </w:r>
          </w:p>
        </w:tc>
        <w:tc>
          <w:tcPr>
            <w:tcW w:w="1540" w:type="dxa"/>
          </w:tcPr>
          <w:p w14:paraId="358DFEF0"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Band 4L</w:t>
            </w:r>
          </w:p>
        </w:tc>
      </w:tr>
      <w:tr w:rsidR="00150A5E" w:rsidRPr="003B75EF" w14:paraId="1EDBF329" w14:textId="77777777" w:rsidTr="00355873">
        <w:tc>
          <w:tcPr>
            <w:tcW w:w="1488" w:type="dxa"/>
          </w:tcPr>
          <w:p w14:paraId="19DB86DF"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Range 5</w:t>
            </w:r>
          </w:p>
        </w:tc>
        <w:tc>
          <w:tcPr>
            <w:tcW w:w="1506" w:type="dxa"/>
          </w:tcPr>
          <w:p w14:paraId="15D1C8F8" w14:textId="77777777" w:rsidR="00150A5E" w:rsidRDefault="00150A5E" w:rsidP="00150A5E">
            <w:pPr>
              <w:jc w:val="center"/>
            </w:pPr>
            <w:r w:rsidRPr="00923377">
              <w:rPr>
                <w:rFonts w:cs="Arial"/>
                <w:b/>
                <w:color w:val="548DD4" w:themeColor="text2" w:themeTint="99"/>
                <w:sz w:val="22"/>
                <w:szCs w:val="22"/>
              </w:rPr>
              <w:t>became</w:t>
            </w:r>
          </w:p>
        </w:tc>
        <w:tc>
          <w:tcPr>
            <w:tcW w:w="1540" w:type="dxa"/>
          </w:tcPr>
          <w:p w14:paraId="2C178F29"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Band 4M</w:t>
            </w:r>
          </w:p>
        </w:tc>
      </w:tr>
      <w:tr w:rsidR="00150A5E" w:rsidRPr="003B75EF" w14:paraId="03974932" w14:textId="77777777" w:rsidTr="00355873">
        <w:tc>
          <w:tcPr>
            <w:tcW w:w="1488" w:type="dxa"/>
          </w:tcPr>
          <w:p w14:paraId="770C2882"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Range 6</w:t>
            </w:r>
          </w:p>
        </w:tc>
        <w:tc>
          <w:tcPr>
            <w:tcW w:w="1506" w:type="dxa"/>
          </w:tcPr>
          <w:p w14:paraId="287B0168" w14:textId="77777777" w:rsidR="00150A5E" w:rsidRDefault="00150A5E" w:rsidP="00150A5E">
            <w:pPr>
              <w:jc w:val="center"/>
            </w:pPr>
            <w:r w:rsidRPr="00923377">
              <w:rPr>
                <w:rFonts w:cs="Arial"/>
                <w:b/>
                <w:color w:val="548DD4" w:themeColor="text2" w:themeTint="99"/>
                <w:sz w:val="22"/>
                <w:szCs w:val="22"/>
              </w:rPr>
              <w:t>became</w:t>
            </w:r>
          </w:p>
        </w:tc>
        <w:tc>
          <w:tcPr>
            <w:tcW w:w="1540" w:type="dxa"/>
          </w:tcPr>
          <w:p w14:paraId="11F1C821"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Band 4H</w:t>
            </w:r>
          </w:p>
        </w:tc>
      </w:tr>
      <w:tr w:rsidR="00150A5E" w:rsidRPr="003B75EF" w14:paraId="079579E5" w14:textId="77777777" w:rsidTr="00355873">
        <w:tc>
          <w:tcPr>
            <w:tcW w:w="1488" w:type="dxa"/>
          </w:tcPr>
          <w:p w14:paraId="5DDFC746"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Range 7</w:t>
            </w:r>
          </w:p>
        </w:tc>
        <w:tc>
          <w:tcPr>
            <w:tcW w:w="1506" w:type="dxa"/>
          </w:tcPr>
          <w:p w14:paraId="6CECA68A" w14:textId="77777777" w:rsidR="00150A5E" w:rsidRDefault="00150A5E" w:rsidP="00150A5E">
            <w:pPr>
              <w:jc w:val="center"/>
            </w:pPr>
            <w:r w:rsidRPr="00923377">
              <w:rPr>
                <w:rFonts w:cs="Arial"/>
                <w:b/>
                <w:color w:val="548DD4" w:themeColor="text2" w:themeTint="99"/>
                <w:sz w:val="22"/>
                <w:szCs w:val="22"/>
              </w:rPr>
              <w:t>became</w:t>
            </w:r>
          </w:p>
        </w:tc>
        <w:tc>
          <w:tcPr>
            <w:tcW w:w="1540" w:type="dxa"/>
          </w:tcPr>
          <w:p w14:paraId="4DBDDB5E" w14:textId="77777777" w:rsidR="00150A5E" w:rsidRPr="003B75EF" w:rsidRDefault="00150A5E" w:rsidP="00CC0CA3">
            <w:pPr>
              <w:pStyle w:val="ListParagraph"/>
              <w:ind w:left="0"/>
              <w:jc w:val="both"/>
              <w:rPr>
                <w:rFonts w:cs="Arial"/>
                <w:b/>
                <w:color w:val="548DD4" w:themeColor="text2" w:themeTint="99"/>
                <w:sz w:val="22"/>
                <w:szCs w:val="22"/>
              </w:rPr>
            </w:pPr>
            <w:r w:rsidRPr="003B75EF">
              <w:rPr>
                <w:rFonts w:cs="Arial"/>
                <w:b/>
                <w:color w:val="548DD4" w:themeColor="text2" w:themeTint="99"/>
                <w:sz w:val="22"/>
                <w:szCs w:val="22"/>
              </w:rPr>
              <w:t>Protected 7</w:t>
            </w:r>
          </w:p>
        </w:tc>
      </w:tr>
    </w:tbl>
    <w:p w14:paraId="0C720A61" w14:textId="77777777" w:rsidR="003B75EF" w:rsidRPr="003B75EF" w:rsidRDefault="003B75EF" w:rsidP="00355873">
      <w:pPr>
        <w:jc w:val="both"/>
        <w:rPr>
          <w:rFonts w:cs="Arial"/>
          <w:sz w:val="22"/>
          <w:szCs w:val="22"/>
        </w:rPr>
      </w:pPr>
    </w:p>
    <w:p w14:paraId="0E04E9F5" w14:textId="77777777" w:rsidR="00150A5E" w:rsidRDefault="001B1431" w:rsidP="00355873">
      <w:pPr>
        <w:spacing w:after="200" w:line="276" w:lineRule="auto"/>
        <w:jc w:val="both"/>
        <w:rPr>
          <w:rFonts w:cs="Arial"/>
          <w:sz w:val="22"/>
          <w:szCs w:val="22"/>
        </w:rPr>
      </w:pPr>
      <w:r>
        <w:rPr>
          <w:rFonts w:cs="Arial"/>
          <w:sz w:val="22"/>
          <w:szCs w:val="22"/>
        </w:rPr>
        <w:t>3.2</w:t>
      </w:r>
      <w:r w:rsidR="00150A5E">
        <w:rPr>
          <w:rFonts w:cs="Arial"/>
          <w:sz w:val="22"/>
          <w:szCs w:val="22"/>
        </w:rPr>
        <w:t xml:space="preserve"> </w:t>
      </w:r>
      <w:r w:rsidR="00CD1122">
        <w:rPr>
          <w:rFonts w:cs="Arial"/>
          <w:sz w:val="22"/>
          <w:szCs w:val="22"/>
        </w:rPr>
        <w:t>M</w:t>
      </w:r>
      <w:r w:rsidR="003B75EF" w:rsidRPr="00150A5E">
        <w:rPr>
          <w:rFonts w:cs="Arial"/>
          <w:sz w:val="22"/>
          <w:szCs w:val="22"/>
        </w:rPr>
        <w:t>ost</w:t>
      </w:r>
      <w:r w:rsidR="00D378FE" w:rsidRPr="00150A5E">
        <w:rPr>
          <w:rFonts w:cs="Arial"/>
          <w:sz w:val="22"/>
          <w:szCs w:val="22"/>
        </w:rPr>
        <w:t xml:space="preserve"> existing</w:t>
      </w:r>
      <w:r w:rsidR="00CD1122">
        <w:rPr>
          <w:rFonts w:cs="Arial"/>
          <w:sz w:val="22"/>
          <w:szCs w:val="22"/>
        </w:rPr>
        <w:t xml:space="preserve"> EHCPs on an on-going basis will</w:t>
      </w:r>
      <w:r w:rsidR="003B75EF" w:rsidRPr="00150A5E">
        <w:rPr>
          <w:rFonts w:cs="Arial"/>
          <w:sz w:val="22"/>
          <w:szCs w:val="22"/>
        </w:rPr>
        <w:t xml:space="preserve"> remain within the band they </w:t>
      </w:r>
      <w:r w:rsidR="00150A5E">
        <w:rPr>
          <w:rFonts w:cs="Arial"/>
          <w:sz w:val="22"/>
          <w:szCs w:val="22"/>
        </w:rPr>
        <w:t>were</w:t>
      </w:r>
      <w:r w:rsidR="003B75EF" w:rsidRPr="00150A5E">
        <w:rPr>
          <w:rFonts w:cs="Arial"/>
          <w:sz w:val="22"/>
          <w:szCs w:val="22"/>
        </w:rPr>
        <w:t xml:space="preserve"> transferred to. The </w:t>
      </w:r>
      <w:r w:rsidR="00D378FE" w:rsidRPr="00150A5E">
        <w:rPr>
          <w:rFonts w:cs="Arial"/>
          <w:sz w:val="22"/>
          <w:szCs w:val="22"/>
        </w:rPr>
        <w:t xml:space="preserve">SEND </w:t>
      </w:r>
      <w:r w:rsidR="003B75EF" w:rsidRPr="00150A5E">
        <w:rPr>
          <w:rFonts w:cs="Arial"/>
          <w:sz w:val="22"/>
          <w:szCs w:val="22"/>
        </w:rPr>
        <w:t xml:space="preserve">Panel will </w:t>
      </w:r>
      <w:r w:rsidR="00150A5E">
        <w:rPr>
          <w:rFonts w:cs="Arial"/>
          <w:sz w:val="22"/>
          <w:szCs w:val="22"/>
        </w:rPr>
        <w:t xml:space="preserve">continue to </w:t>
      </w:r>
      <w:r w:rsidR="003B75EF" w:rsidRPr="00150A5E">
        <w:rPr>
          <w:rFonts w:cs="Arial"/>
          <w:sz w:val="22"/>
          <w:szCs w:val="22"/>
        </w:rPr>
        <w:t xml:space="preserve">review, through the annual review process, individual EHCPs where the banding may be disputed, where there are obvious </w:t>
      </w:r>
      <w:r w:rsidR="00E642E9" w:rsidRPr="00150A5E">
        <w:rPr>
          <w:rFonts w:cs="Arial"/>
          <w:sz w:val="22"/>
          <w:szCs w:val="22"/>
        </w:rPr>
        <w:t xml:space="preserve">existing </w:t>
      </w:r>
      <w:r w:rsidR="003B75EF" w:rsidRPr="00150A5E">
        <w:rPr>
          <w:rFonts w:cs="Arial"/>
          <w:sz w:val="22"/>
          <w:szCs w:val="22"/>
        </w:rPr>
        <w:t>inaccuracies</w:t>
      </w:r>
      <w:r w:rsidR="00E642E9" w:rsidRPr="00150A5E">
        <w:rPr>
          <w:rFonts w:cs="Arial"/>
          <w:sz w:val="22"/>
          <w:szCs w:val="22"/>
        </w:rPr>
        <w:t xml:space="preserve"> or where the needs of the child or young person h</w:t>
      </w:r>
      <w:r w:rsidR="000A28E1" w:rsidRPr="00150A5E">
        <w:rPr>
          <w:rFonts w:cs="Arial"/>
          <w:sz w:val="22"/>
          <w:szCs w:val="22"/>
        </w:rPr>
        <w:t>ave</w:t>
      </w:r>
      <w:r w:rsidR="003B75EF" w:rsidRPr="00150A5E">
        <w:rPr>
          <w:rFonts w:cs="Arial"/>
          <w:sz w:val="22"/>
          <w:szCs w:val="22"/>
        </w:rPr>
        <w:t xml:space="preserve"> changed.</w:t>
      </w:r>
    </w:p>
    <w:p w14:paraId="6D9010C0" w14:textId="77777777" w:rsidR="00D378FE" w:rsidRPr="00150A5E" w:rsidRDefault="001B1431" w:rsidP="00377184">
      <w:pPr>
        <w:spacing w:after="200" w:line="276" w:lineRule="auto"/>
        <w:jc w:val="both"/>
        <w:rPr>
          <w:rFonts w:cs="Arial"/>
          <w:sz w:val="22"/>
          <w:szCs w:val="22"/>
        </w:rPr>
      </w:pPr>
      <w:r>
        <w:rPr>
          <w:rFonts w:cs="Arial"/>
          <w:sz w:val="22"/>
          <w:szCs w:val="22"/>
        </w:rPr>
        <w:t>3.3</w:t>
      </w:r>
      <w:r w:rsidR="00150A5E">
        <w:rPr>
          <w:rFonts w:cs="Arial"/>
          <w:sz w:val="22"/>
          <w:szCs w:val="22"/>
        </w:rPr>
        <w:t xml:space="preserve"> </w:t>
      </w:r>
      <w:r w:rsidR="003B75EF" w:rsidRPr="00150A5E">
        <w:rPr>
          <w:rFonts w:cs="Arial"/>
          <w:sz w:val="22"/>
          <w:szCs w:val="22"/>
        </w:rPr>
        <w:t xml:space="preserve">The </w:t>
      </w:r>
      <w:r w:rsidR="00150A5E">
        <w:rPr>
          <w:rFonts w:cs="Arial"/>
          <w:sz w:val="22"/>
          <w:szCs w:val="22"/>
        </w:rPr>
        <w:t>B</w:t>
      </w:r>
      <w:r w:rsidR="00377184">
        <w:rPr>
          <w:rFonts w:cs="Arial"/>
          <w:sz w:val="22"/>
          <w:szCs w:val="22"/>
        </w:rPr>
        <w:t>a</w:t>
      </w:r>
      <w:r w:rsidR="00150A5E">
        <w:rPr>
          <w:rFonts w:cs="Arial"/>
          <w:sz w:val="22"/>
          <w:szCs w:val="22"/>
        </w:rPr>
        <w:t>nded Model operates u</w:t>
      </w:r>
      <w:r w:rsidR="003B75EF" w:rsidRPr="00150A5E">
        <w:rPr>
          <w:rFonts w:cs="Arial"/>
          <w:sz w:val="22"/>
          <w:szCs w:val="22"/>
        </w:rPr>
        <w:t>nder the guarantee that, for EHCPs in place at 1 April 2020, the EHCP will not ever drop to a lower valued band unless the</w:t>
      </w:r>
      <w:r w:rsidR="00D378FE" w:rsidRPr="00150A5E">
        <w:rPr>
          <w:rFonts w:cs="Arial"/>
          <w:sz w:val="22"/>
          <w:szCs w:val="22"/>
        </w:rPr>
        <w:t xml:space="preserve"> SEND</w:t>
      </w:r>
      <w:r w:rsidR="003B75EF" w:rsidRPr="00150A5E">
        <w:rPr>
          <w:rFonts w:cs="Arial"/>
          <w:sz w:val="22"/>
          <w:szCs w:val="22"/>
        </w:rPr>
        <w:t xml:space="preserve"> Panel ag</w:t>
      </w:r>
      <w:r w:rsidR="00D378FE" w:rsidRPr="00150A5E">
        <w:rPr>
          <w:rFonts w:cs="Arial"/>
          <w:sz w:val="22"/>
          <w:szCs w:val="22"/>
        </w:rPr>
        <w:t>rees that the needs of the child or young person</w:t>
      </w:r>
      <w:r w:rsidR="003B75EF" w:rsidRPr="00150A5E">
        <w:rPr>
          <w:rFonts w:cs="Arial"/>
          <w:sz w:val="22"/>
          <w:szCs w:val="22"/>
        </w:rPr>
        <w:t xml:space="preserve"> are reduced when compared against the needs presented to the Panel in the original EHCP de</w:t>
      </w:r>
      <w:r w:rsidR="00150A5E">
        <w:rPr>
          <w:rFonts w:cs="Arial"/>
          <w:sz w:val="22"/>
          <w:szCs w:val="22"/>
        </w:rPr>
        <w:t>termination. This guarantee</w:t>
      </w:r>
      <w:r w:rsidR="003B75EF" w:rsidRPr="00150A5E">
        <w:rPr>
          <w:rFonts w:cs="Arial"/>
          <w:sz w:val="22"/>
          <w:szCs w:val="22"/>
        </w:rPr>
        <w:t xml:space="preserve"> remain</w:t>
      </w:r>
      <w:r w:rsidR="00150A5E">
        <w:rPr>
          <w:rFonts w:cs="Arial"/>
          <w:sz w:val="22"/>
          <w:szCs w:val="22"/>
        </w:rPr>
        <w:t>s</w:t>
      </w:r>
      <w:r w:rsidR="003B75EF" w:rsidRPr="00150A5E">
        <w:rPr>
          <w:rFonts w:cs="Arial"/>
          <w:sz w:val="22"/>
          <w:szCs w:val="22"/>
        </w:rPr>
        <w:t xml:space="preserve"> until the pupil reaches the end of year 11. This guarantee does not extend to assessment places </w:t>
      </w:r>
      <w:r w:rsidR="00150A5E">
        <w:rPr>
          <w:rFonts w:cs="Arial"/>
          <w:sz w:val="22"/>
          <w:szCs w:val="22"/>
        </w:rPr>
        <w:t xml:space="preserve">that were </w:t>
      </w:r>
      <w:r w:rsidR="003B75EF" w:rsidRPr="00150A5E">
        <w:rPr>
          <w:rFonts w:cs="Arial"/>
          <w:sz w:val="22"/>
          <w:szCs w:val="22"/>
        </w:rPr>
        <w:t xml:space="preserve">funded at </w:t>
      </w:r>
      <w:r w:rsidR="00150A5E">
        <w:rPr>
          <w:rFonts w:cs="Arial"/>
          <w:sz w:val="22"/>
          <w:szCs w:val="22"/>
        </w:rPr>
        <w:t>1 April 2020 (as these pupils did</w:t>
      </w:r>
      <w:r w:rsidR="003B75EF" w:rsidRPr="00150A5E">
        <w:rPr>
          <w:rFonts w:cs="Arial"/>
          <w:sz w:val="22"/>
          <w:szCs w:val="22"/>
        </w:rPr>
        <w:t xml:space="preserve"> not yet have EHCPs).</w:t>
      </w:r>
    </w:p>
    <w:p w14:paraId="4ADF9128" w14:textId="77777777" w:rsidR="00545173" w:rsidRPr="00405067" w:rsidRDefault="001B1431" w:rsidP="00405067">
      <w:pPr>
        <w:spacing w:after="200" w:line="276" w:lineRule="auto"/>
        <w:jc w:val="both"/>
        <w:rPr>
          <w:rFonts w:cs="Arial"/>
          <w:sz w:val="22"/>
          <w:szCs w:val="22"/>
        </w:rPr>
      </w:pPr>
      <w:r>
        <w:rPr>
          <w:rFonts w:cs="Arial"/>
          <w:sz w:val="22"/>
          <w:szCs w:val="22"/>
        </w:rPr>
        <w:t>3.4</w:t>
      </w:r>
      <w:r w:rsidR="00150A5E">
        <w:rPr>
          <w:rFonts w:cs="Arial"/>
          <w:sz w:val="22"/>
          <w:szCs w:val="22"/>
        </w:rPr>
        <w:t xml:space="preserve"> The </w:t>
      </w:r>
      <w:r w:rsidR="00CD1122">
        <w:rPr>
          <w:rFonts w:cs="Arial"/>
          <w:sz w:val="22"/>
          <w:szCs w:val="22"/>
        </w:rPr>
        <w:t>Banded M</w:t>
      </w:r>
      <w:r w:rsidR="00150A5E">
        <w:rPr>
          <w:rFonts w:cs="Arial"/>
          <w:sz w:val="22"/>
          <w:szCs w:val="22"/>
        </w:rPr>
        <w:t xml:space="preserve">odel </w:t>
      </w:r>
      <w:r w:rsidR="00150A5E" w:rsidRPr="00150A5E">
        <w:rPr>
          <w:rFonts w:cs="Arial"/>
          <w:sz w:val="22"/>
          <w:szCs w:val="22"/>
        </w:rPr>
        <w:t>retain</w:t>
      </w:r>
      <w:r w:rsidR="00150A5E">
        <w:rPr>
          <w:rFonts w:cs="Arial"/>
          <w:sz w:val="22"/>
          <w:szCs w:val="22"/>
        </w:rPr>
        <w:t>s</w:t>
      </w:r>
      <w:r w:rsidR="00150A5E" w:rsidRPr="00150A5E">
        <w:rPr>
          <w:rFonts w:cs="Arial"/>
          <w:sz w:val="22"/>
          <w:szCs w:val="22"/>
        </w:rPr>
        <w:t xml:space="preserve"> a transitional ‘Protected 7’ band, which will </w:t>
      </w:r>
      <w:r w:rsidR="00150A5E">
        <w:rPr>
          <w:rFonts w:cs="Arial"/>
          <w:sz w:val="22"/>
          <w:szCs w:val="22"/>
        </w:rPr>
        <w:t>continue to fund EHCPs</w:t>
      </w:r>
      <w:r w:rsidR="00150A5E" w:rsidRPr="00150A5E">
        <w:rPr>
          <w:rFonts w:cs="Arial"/>
          <w:sz w:val="22"/>
          <w:szCs w:val="22"/>
        </w:rPr>
        <w:t xml:space="preserve"> </w:t>
      </w:r>
      <w:r w:rsidR="00CD1122">
        <w:rPr>
          <w:rFonts w:cs="Arial"/>
          <w:sz w:val="22"/>
          <w:szCs w:val="22"/>
        </w:rPr>
        <w:t xml:space="preserve">that we </w:t>
      </w:r>
      <w:r w:rsidR="00150A5E" w:rsidRPr="00150A5E">
        <w:rPr>
          <w:rFonts w:cs="Arial"/>
          <w:sz w:val="22"/>
          <w:szCs w:val="22"/>
        </w:rPr>
        <w:t>graded at Range 7</w:t>
      </w:r>
      <w:r w:rsidR="00150A5E">
        <w:rPr>
          <w:rFonts w:cs="Arial"/>
          <w:sz w:val="22"/>
          <w:szCs w:val="22"/>
        </w:rPr>
        <w:t xml:space="preserve"> </w:t>
      </w:r>
      <w:r w:rsidR="00CD1122">
        <w:rPr>
          <w:rFonts w:cs="Arial"/>
          <w:sz w:val="22"/>
          <w:szCs w:val="22"/>
        </w:rPr>
        <w:t>under the old model</w:t>
      </w:r>
      <w:r w:rsidR="00150A5E" w:rsidRPr="00150A5E">
        <w:rPr>
          <w:rFonts w:cs="Arial"/>
          <w:sz w:val="22"/>
          <w:szCs w:val="22"/>
        </w:rPr>
        <w:t xml:space="preserve">. </w:t>
      </w:r>
      <w:r w:rsidR="00CD1122">
        <w:rPr>
          <w:rFonts w:cs="Arial"/>
          <w:sz w:val="22"/>
          <w:szCs w:val="22"/>
        </w:rPr>
        <w:t xml:space="preserve">These </w:t>
      </w:r>
      <w:r w:rsidR="00150A5E" w:rsidRPr="00150A5E">
        <w:rPr>
          <w:rFonts w:cs="Arial"/>
          <w:sz w:val="22"/>
          <w:szCs w:val="22"/>
        </w:rPr>
        <w:t>Range 7 pupils will stay funded by the Protected 7 band unless an annual review gives them a higher level of funding using the new model (via stacking), when the pupil would be transferred onto the new model at this point, or where the pupil’s needs are agreed to have reduced when compared against the needs presented to the Panel in the original EHCP Range 7 determinat</w:t>
      </w:r>
      <w:r w:rsidR="00150A5E">
        <w:rPr>
          <w:rFonts w:cs="Arial"/>
          <w:sz w:val="22"/>
          <w:szCs w:val="22"/>
        </w:rPr>
        <w:t>ion. This guarantee</w:t>
      </w:r>
      <w:r w:rsidR="00150A5E" w:rsidRPr="00150A5E">
        <w:rPr>
          <w:rFonts w:cs="Arial"/>
          <w:sz w:val="22"/>
          <w:szCs w:val="22"/>
        </w:rPr>
        <w:t xml:space="preserve"> remain</w:t>
      </w:r>
      <w:r w:rsidR="00150A5E">
        <w:rPr>
          <w:rFonts w:cs="Arial"/>
          <w:sz w:val="22"/>
          <w:szCs w:val="22"/>
        </w:rPr>
        <w:t>s</w:t>
      </w:r>
      <w:r w:rsidR="00150A5E" w:rsidRPr="00150A5E">
        <w:rPr>
          <w:rFonts w:cs="Arial"/>
          <w:sz w:val="22"/>
          <w:szCs w:val="22"/>
        </w:rPr>
        <w:t xml:space="preserve"> in place until the pupil reaches the end of year 11.  </w:t>
      </w:r>
      <w:r w:rsidR="00150A5E">
        <w:rPr>
          <w:rFonts w:cs="Arial"/>
          <w:sz w:val="22"/>
          <w:szCs w:val="22"/>
        </w:rPr>
        <w:t xml:space="preserve">The value of Protected 7 will be uplifted each year by the same </w:t>
      </w:r>
      <w:r w:rsidR="00CD1122">
        <w:rPr>
          <w:rFonts w:cs="Arial"/>
          <w:sz w:val="22"/>
          <w:szCs w:val="22"/>
        </w:rPr>
        <w:t>%</w:t>
      </w:r>
      <w:r w:rsidR="00150A5E">
        <w:rPr>
          <w:rFonts w:cs="Arial"/>
          <w:sz w:val="22"/>
          <w:szCs w:val="22"/>
        </w:rPr>
        <w:t xml:space="preserve"> that is applied to Band 4H.</w:t>
      </w:r>
    </w:p>
    <w:p w14:paraId="7DD08BA9" w14:textId="77777777" w:rsidR="00E8426D" w:rsidRDefault="00E8426D" w:rsidP="00355873">
      <w:pPr>
        <w:jc w:val="center"/>
        <w:rPr>
          <w:b/>
          <w:sz w:val="22"/>
          <w:szCs w:val="22"/>
        </w:rPr>
      </w:pPr>
    </w:p>
    <w:p w14:paraId="448AD452" w14:textId="77777777" w:rsidR="00756FF2" w:rsidRDefault="00756FF2" w:rsidP="00355873">
      <w:pPr>
        <w:jc w:val="center"/>
        <w:rPr>
          <w:b/>
          <w:sz w:val="22"/>
          <w:szCs w:val="22"/>
        </w:rPr>
      </w:pPr>
    </w:p>
    <w:p w14:paraId="1DA4B28E" w14:textId="77777777" w:rsidR="00E8426D" w:rsidRDefault="00E8426D" w:rsidP="003619BF">
      <w:pPr>
        <w:rPr>
          <w:b/>
          <w:sz w:val="22"/>
          <w:szCs w:val="22"/>
        </w:rPr>
      </w:pPr>
    </w:p>
    <w:p w14:paraId="624615ED" w14:textId="77777777" w:rsidR="00935AF6" w:rsidRDefault="00935AF6" w:rsidP="003619BF">
      <w:pPr>
        <w:rPr>
          <w:b/>
          <w:sz w:val="22"/>
          <w:szCs w:val="22"/>
        </w:rPr>
      </w:pPr>
    </w:p>
    <w:p w14:paraId="2740014C" w14:textId="77777777" w:rsidR="004D10DA" w:rsidRDefault="004D10DA" w:rsidP="004A1353">
      <w:pPr>
        <w:rPr>
          <w:b/>
          <w:sz w:val="22"/>
          <w:szCs w:val="22"/>
        </w:rPr>
      </w:pPr>
    </w:p>
    <w:p w14:paraId="40E631AF" w14:textId="77777777" w:rsidR="004A1353" w:rsidRDefault="004A1353" w:rsidP="004A1353">
      <w:pPr>
        <w:rPr>
          <w:b/>
          <w:sz w:val="22"/>
          <w:szCs w:val="22"/>
        </w:rPr>
      </w:pPr>
    </w:p>
    <w:p w14:paraId="5262B47F" w14:textId="40246CD4" w:rsidR="00E37FC5" w:rsidRPr="005301F8" w:rsidRDefault="00877D3E" w:rsidP="00355873">
      <w:pPr>
        <w:jc w:val="center"/>
        <w:rPr>
          <w:b/>
          <w:sz w:val="22"/>
          <w:szCs w:val="22"/>
        </w:rPr>
      </w:pPr>
      <w:r w:rsidRPr="0057205D">
        <w:rPr>
          <w:b/>
          <w:sz w:val="22"/>
          <w:szCs w:val="22"/>
        </w:rPr>
        <w:t>Appendix 3</w:t>
      </w:r>
      <w:r w:rsidR="00E37FC5" w:rsidRPr="0057205D">
        <w:rPr>
          <w:b/>
          <w:sz w:val="22"/>
          <w:szCs w:val="22"/>
        </w:rPr>
        <w:t xml:space="preserve"> – Technical Annex</w:t>
      </w:r>
      <w:r w:rsidR="00756FF2" w:rsidRPr="0057205D">
        <w:rPr>
          <w:b/>
          <w:sz w:val="22"/>
          <w:szCs w:val="22"/>
        </w:rPr>
        <w:t xml:space="preserve"> 202</w:t>
      </w:r>
      <w:r w:rsidR="0057205D" w:rsidRPr="0057205D">
        <w:rPr>
          <w:b/>
          <w:sz w:val="22"/>
          <w:szCs w:val="22"/>
        </w:rPr>
        <w:t>4</w:t>
      </w:r>
      <w:r w:rsidR="00756FF2" w:rsidRPr="0057205D">
        <w:rPr>
          <w:b/>
          <w:sz w:val="22"/>
          <w:szCs w:val="22"/>
        </w:rPr>
        <w:t>/2</w:t>
      </w:r>
      <w:r w:rsidR="0057205D" w:rsidRPr="0057205D">
        <w:rPr>
          <w:b/>
          <w:sz w:val="22"/>
          <w:szCs w:val="22"/>
        </w:rPr>
        <w:t>5</w:t>
      </w:r>
      <w:r w:rsidR="00E6101C" w:rsidRPr="0057205D">
        <w:rPr>
          <w:b/>
          <w:sz w:val="22"/>
          <w:szCs w:val="22"/>
        </w:rPr>
        <w:t xml:space="preserve"> Approach</w:t>
      </w:r>
    </w:p>
    <w:p w14:paraId="2FB34DD8" w14:textId="77777777" w:rsidR="00E37FC5" w:rsidRDefault="00E37FC5" w:rsidP="00355873">
      <w:pPr>
        <w:jc w:val="both"/>
        <w:rPr>
          <w:sz w:val="22"/>
          <w:szCs w:val="22"/>
        </w:rPr>
      </w:pPr>
    </w:p>
    <w:p w14:paraId="0CBE2BEB" w14:textId="29BEB4AA" w:rsidR="00E37FC5" w:rsidRDefault="00890444" w:rsidP="00355873">
      <w:pPr>
        <w:jc w:val="both"/>
        <w:rPr>
          <w:sz w:val="22"/>
          <w:szCs w:val="22"/>
        </w:rPr>
      </w:pPr>
      <w:r>
        <w:rPr>
          <w:sz w:val="22"/>
          <w:szCs w:val="22"/>
        </w:rPr>
        <w:t>This appendix contains more technical detail on the definition</w:t>
      </w:r>
      <w:r w:rsidR="0066340D">
        <w:rPr>
          <w:sz w:val="22"/>
          <w:szCs w:val="22"/>
        </w:rPr>
        <w:t>s</w:t>
      </w:r>
      <w:r>
        <w:rPr>
          <w:sz w:val="22"/>
          <w:szCs w:val="22"/>
        </w:rPr>
        <w:t xml:space="preserve"> and calculation</w:t>
      </w:r>
      <w:r w:rsidR="0066340D">
        <w:rPr>
          <w:sz w:val="22"/>
          <w:szCs w:val="22"/>
        </w:rPr>
        <w:t xml:space="preserve">s </w:t>
      </w:r>
      <w:r>
        <w:rPr>
          <w:sz w:val="22"/>
          <w:szCs w:val="22"/>
        </w:rPr>
        <w:t>of factors that are contained within Bradford Coun</w:t>
      </w:r>
      <w:r w:rsidR="007B515F">
        <w:rPr>
          <w:sz w:val="22"/>
          <w:szCs w:val="22"/>
        </w:rPr>
        <w:t>cil’s</w:t>
      </w:r>
      <w:r w:rsidR="00756FF2">
        <w:rPr>
          <w:sz w:val="22"/>
          <w:szCs w:val="22"/>
        </w:rPr>
        <w:t xml:space="preserve"> </w:t>
      </w:r>
      <w:r w:rsidR="00A57A21">
        <w:rPr>
          <w:sz w:val="22"/>
          <w:szCs w:val="22"/>
          <w:u w:val="single"/>
        </w:rPr>
        <w:t>current</w:t>
      </w:r>
      <w:r w:rsidR="00756FF2" w:rsidRPr="00756FF2">
        <w:rPr>
          <w:sz w:val="22"/>
          <w:szCs w:val="22"/>
          <w:u w:val="single"/>
        </w:rPr>
        <w:t xml:space="preserve"> 202</w:t>
      </w:r>
      <w:r w:rsidR="0057205D">
        <w:rPr>
          <w:sz w:val="22"/>
          <w:szCs w:val="22"/>
          <w:u w:val="single"/>
        </w:rPr>
        <w:t>4</w:t>
      </w:r>
      <w:r w:rsidR="00756FF2" w:rsidRPr="00756FF2">
        <w:rPr>
          <w:sz w:val="22"/>
          <w:szCs w:val="22"/>
          <w:u w:val="single"/>
        </w:rPr>
        <w:t>/2</w:t>
      </w:r>
      <w:r w:rsidR="0057205D">
        <w:rPr>
          <w:sz w:val="22"/>
          <w:szCs w:val="22"/>
          <w:u w:val="single"/>
        </w:rPr>
        <w:t>5</w:t>
      </w:r>
      <w:r w:rsidR="00756FF2">
        <w:rPr>
          <w:sz w:val="22"/>
          <w:szCs w:val="22"/>
          <w:u w:val="single"/>
        </w:rPr>
        <w:t xml:space="preserve"> financial year</w:t>
      </w:r>
      <w:r w:rsidR="00D40BAA">
        <w:rPr>
          <w:sz w:val="22"/>
          <w:szCs w:val="22"/>
        </w:rPr>
        <w:t xml:space="preserve"> EHCP</w:t>
      </w:r>
      <w:r w:rsidR="007B515F">
        <w:rPr>
          <w:sz w:val="22"/>
          <w:szCs w:val="22"/>
        </w:rPr>
        <w:t xml:space="preserve"> high needs funding model.</w:t>
      </w:r>
    </w:p>
    <w:p w14:paraId="76A77EAE" w14:textId="77777777" w:rsidR="003235F9" w:rsidRDefault="003235F9" w:rsidP="00355873">
      <w:pPr>
        <w:jc w:val="both"/>
        <w:rPr>
          <w:sz w:val="22"/>
          <w:szCs w:val="22"/>
        </w:rPr>
      </w:pPr>
    </w:p>
    <w:p w14:paraId="12B3CEC7" w14:textId="77777777" w:rsidR="00890444" w:rsidRPr="009879CD" w:rsidRDefault="00890444" w:rsidP="00355873">
      <w:pPr>
        <w:jc w:val="both"/>
        <w:rPr>
          <w:b/>
          <w:sz w:val="22"/>
          <w:szCs w:val="22"/>
          <w:u w:val="single"/>
        </w:rPr>
      </w:pPr>
      <w:r w:rsidRPr="009879CD">
        <w:rPr>
          <w:b/>
          <w:sz w:val="22"/>
          <w:szCs w:val="22"/>
          <w:u w:val="single"/>
        </w:rPr>
        <w:t>Notional SEND</w:t>
      </w:r>
      <w:r w:rsidR="00E13622">
        <w:rPr>
          <w:b/>
          <w:sz w:val="22"/>
          <w:szCs w:val="22"/>
          <w:u w:val="single"/>
        </w:rPr>
        <w:t xml:space="preserve"> Budgets</w:t>
      </w:r>
      <w:r w:rsidRPr="009879CD">
        <w:rPr>
          <w:b/>
          <w:sz w:val="22"/>
          <w:szCs w:val="22"/>
          <w:u w:val="single"/>
        </w:rPr>
        <w:t xml:space="preserve"> (Mainstream Schools Block</w:t>
      </w:r>
      <w:r w:rsidR="005921B5" w:rsidRPr="009879CD">
        <w:rPr>
          <w:b/>
          <w:sz w:val="22"/>
          <w:szCs w:val="22"/>
          <w:u w:val="single"/>
        </w:rPr>
        <w:t xml:space="preserve"> Primary &amp; Secondary</w:t>
      </w:r>
      <w:r w:rsidRPr="009879CD">
        <w:rPr>
          <w:b/>
          <w:sz w:val="22"/>
          <w:szCs w:val="22"/>
          <w:u w:val="single"/>
        </w:rPr>
        <w:t>)</w:t>
      </w:r>
    </w:p>
    <w:p w14:paraId="17105B9F" w14:textId="77777777" w:rsidR="00BA1CC7" w:rsidRDefault="00BA1CC7" w:rsidP="00355873">
      <w:pPr>
        <w:jc w:val="both"/>
        <w:rPr>
          <w:sz w:val="22"/>
          <w:szCs w:val="22"/>
        </w:rPr>
      </w:pPr>
    </w:p>
    <w:p w14:paraId="6C513EDB" w14:textId="56123D26" w:rsidR="001703C1" w:rsidRPr="00BA1CC7" w:rsidRDefault="001703C1" w:rsidP="001703C1">
      <w:pPr>
        <w:jc w:val="both"/>
        <w:rPr>
          <w:sz w:val="22"/>
          <w:szCs w:val="22"/>
        </w:rPr>
      </w:pPr>
      <w:r>
        <w:rPr>
          <w:sz w:val="22"/>
          <w:szCs w:val="22"/>
        </w:rPr>
        <w:t>Local authorities are</w:t>
      </w:r>
      <w:r w:rsidRPr="00BA1CC7">
        <w:rPr>
          <w:sz w:val="22"/>
          <w:szCs w:val="22"/>
        </w:rPr>
        <w:t xml:space="preserve"> required to define for each primary and secondary school</w:t>
      </w:r>
      <w:r>
        <w:rPr>
          <w:sz w:val="22"/>
          <w:szCs w:val="22"/>
        </w:rPr>
        <w:t xml:space="preserve"> and academy</w:t>
      </w:r>
      <w:r w:rsidRPr="00BA1CC7">
        <w:rPr>
          <w:sz w:val="22"/>
          <w:szCs w:val="22"/>
        </w:rPr>
        <w:t xml:space="preserve"> the value of </w:t>
      </w:r>
      <w:r>
        <w:rPr>
          <w:sz w:val="22"/>
          <w:szCs w:val="22"/>
        </w:rPr>
        <w:t xml:space="preserve">mainstream </w:t>
      </w:r>
      <w:r w:rsidRPr="00BA1CC7">
        <w:rPr>
          <w:sz w:val="22"/>
          <w:szCs w:val="22"/>
        </w:rPr>
        <w:t>formula funding that is ‘notionally’ allocated for</w:t>
      </w:r>
      <w:r>
        <w:rPr>
          <w:sz w:val="22"/>
          <w:szCs w:val="22"/>
        </w:rPr>
        <w:t xml:space="preserve"> Special Educational Needs and Disabilities (SEND)</w:t>
      </w:r>
      <w:r w:rsidRPr="00BA1CC7">
        <w:rPr>
          <w:sz w:val="22"/>
          <w:szCs w:val="22"/>
        </w:rPr>
        <w:t xml:space="preserve"> (for meeting the first </w:t>
      </w:r>
      <w:r w:rsidRPr="0036379B">
        <w:rPr>
          <w:sz w:val="22"/>
          <w:szCs w:val="22"/>
        </w:rPr>
        <w:t xml:space="preserve">£6,000 of </w:t>
      </w:r>
      <w:r w:rsidRPr="00BA1CC7">
        <w:rPr>
          <w:sz w:val="22"/>
          <w:szCs w:val="22"/>
        </w:rPr>
        <w:t xml:space="preserve">needs </w:t>
      </w:r>
      <w:r>
        <w:rPr>
          <w:sz w:val="22"/>
          <w:szCs w:val="22"/>
        </w:rPr>
        <w:t xml:space="preserve">both </w:t>
      </w:r>
      <w:r w:rsidRPr="00BA1CC7">
        <w:rPr>
          <w:sz w:val="22"/>
          <w:szCs w:val="22"/>
        </w:rPr>
        <w:t>for pupils with EHCPs and the needs of pupils without EHCPs). How Bradford currently</w:t>
      </w:r>
      <w:r>
        <w:rPr>
          <w:sz w:val="22"/>
          <w:szCs w:val="22"/>
        </w:rPr>
        <w:t xml:space="preserve"> (in 202</w:t>
      </w:r>
      <w:r w:rsidR="0057205D">
        <w:rPr>
          <w:sz w:val="22"/>
          <w:szCs w:val="22"/>
        </w:rPr>
        <w:t>4</w:t>
      </w:r>
      <w:r>
        <w:rPr>
          <w:sz w:val="22"/>
          <w:szCs w:val="22"/>
        </w:rPr>
        <w:t>/2</w:t>
      </w:r>
      <w:r w:rsidR="0057205D">
        <w:rPr>
          <w:sz w:val="22"/>
          <w:szCs w:val="22"/>
        </w:rPr>
        <w:t>5</w:t>
      </w:r>
      <w:r>
        <w:rPr>
          <w:sz w:val="22"/>
          <w:szCs w:val="22"/>
        </w:rPr>
        <w:t>)</w:t>
      </w:r>
      <w:r w:rsidRPr="00BA1CC7">
        <w:rPr>
          <w:sz w:val="22"/>
          <w:szCs w:val="22"/>
        </w:rPr>
        <w:t xml:space="preserve"> defines notional SEN</w:t>
      </w:r>
      <w:r>
        <w:rPr>
          <w:sz w:val="22"/>
          <w:szCs w:val="22"/>
        </w:rPr>
        <w:t>D (the %s of funding within</w:t>
      </w:r>
      <w:r w:rsidRPr="00BA1CC7">
        <w:rPr>
          <w:sz w:val="22"/>
          <w:szCs w:val="22"/>
        </w:rPr>
        <w:t xml:space="preserve"> each </w:t>
      </w:r>
      <w:r>
        <w:rPr>
          <w:sz w:val="22"/>
          <w:szCs w:val="22"/>
        </w:rPr>
        <w:t xml:space="preserve">formula </w:t>
      </w:r>
      <w:r w:rsidRPr="00BA1CC7">
        <w:rPr>
          <w:sz w:val="22"/>
          <w:szCs w:val="22"/>
        </w:rPr>
        <w:t>factor that make up this budget) is shown in the table below.</w:t>
      </w:r>
    </w:p>
    <w:p w14:paraId="03E5408A" w14:textId="77777777" w:rsidR="001703C1" w:rsidRDefault="001703C1" w:rsidP="001703C1">
      <w:pPr>
        <w:pStyle w:val="ListParagraph"/>
        <w:jc w:val="both"/>
        <w:rPr>
          <w:sz w:val="22"/>
          <w:szCs w:val="22"/>
        </w:rPr>
      </w:pPr>
    </w:p>
    <w:tbl>
      <w:tblPr>
        <w:tblStyle w:val="TableGrid"/>
        <w:tblW w:w="0" w:type="auto"/>
        <w:tblLook w:val="04A0" w:firstRow="1" w:lastRow="0" w:firstColumn="1" w:lastColumn="0" w:noHBand="0" w:noVBand="1"/>
      </w:tblPr>
      <w:tblGrid>
        <w:gridCol w:w="6409"/>
        <w:gridCol w:w="1921"/>
        <w:gridCol w:w="2090"/>
      </w:tblGrid>
      <w:tr w:rsidR="001703C1" w:rsidRPr="00D210FF" w14:paraId="3347EDCA" w14:textId="77777777" w:rsidTr="00255C16">
        <w:tc>
          <w:tcPr>
            <w:tcW w:w="6600" w:type="dxa"/>
          </w:tcPr>
          <w:p w14:paraId="0CE98DAE" w14:textId="77777777" w:rsidR="001703C1" w:rsidRPr="00D210FF" w:rsidRDefault="001703C1" w:rsidP="00255C16">
            <w:pPr>
              <w:jc w:val="both"/>
              <w:rPr>
                <w:b/>
                <w:sz w:val="22"/>
                <w:szCs w:val="22"/>
              </w:rPr>
            </w:pPr>
            <w:r w:rsidRPr="00D210FF">
              <w:rPr>
                <w:b/>
                <w:sz w:val="22"/>
                <w:szCs w:val="22"/>
              </w:rPr>
              <w:t>Formula Factor</w:t>
            </w:r>
          </w:p>
        </w:tc>
        <w:tc>
          <w:tcPr>
            <w:tcW w:w="1954" w:type="dxa"/>
          </w:tcPr>
          <w:p w14:paraId="76ED11BE" w14:textId="77777777" w:rsidR="001703C1" w:rsidRPr="00D210FF" w:rsidRDefault="001703C1" w:rsidP="00255C16">
            <w:pPr>
              <w:jc w:val="right"/>
              <w:rPr>
                <w:b/>
                <w:sz w:val="22"/>
                <w:szCs w:val="22"/>
              </w:rPr>
            </w:pPr>
            <w:r w:rsidRPr="00D210FF">
              <w:rPr>
                <w:b/>
                <w:sz w:val="22"/>
                <w:szCs w:val="22"/>
              </w:rPr>
              <w:t>% Primary</w:t>
            </w:r>
          </w:p>
        </w:tc>
        <w:tc>
          <w:tcPr>
            <w:tcW w:w="2118" w:type="dxa"/>
          </w:tcPr>
          <w:p w14:paraId="7FCE9570" w14:textId="77777777" w:rsidR="001703C1" w:rsidRPr="00D210FF" w:rsidRDefault="001703C1" w:rsidP="00255C16">
            <w:pPr>
              <w:jc w:val="right"/>
              <w:rPr>
                <w:b/>
                <w:sz w:val="22"/>
                <w:szCs w:val="22"/>
              </w:rPr>
            </w:pPr>
            <w:r w:rsidRPr="00D210FF">
              <w:rPr>
                <w:b/>
                <w:sz w:val="22"/>
                <w:szCs w:val="22"/>
              </w:rPr>
              <w:t>% Secondary</w:t>
            </w:r>
          </w:p>
        </w:tc>
      </w:tr>
      <w:tr w:rsidR="001703C1" w14:paraId="579D0D3A" w14:textId="77777777" w:rsidTr="00255C16">
        <w:tc>
          <w:tcPr>
            <w:tcW w:w="6600" w:type="dxa"/>
          </w:tcPr>
          <w:p w14:paraId="697A1AD9" w14:textId="77777777" w:rsidR="001703C1" w:rsidRDefault="001703C1" w:rsidP="00255C16">
            <w:pPr>
              <w:jc w:val="both"/>
              <w:rPr>
                <w:sz w:val="22"/>
                <w:szCs w:val="22"/>
              </w:rPr>
            </w:pPr>
            <w:r>
              <w:rPr>
                <w:sz w:val="22"/>
                <w:szCs w:val="22"/>
              </w:rPr>
              <w:t>Prior Low Attainment Factor</w:t>
            </w:r>
          </w:p>
        </w:tc>
        <w:tc>
          <w:tcPr>
            <w:tcW w:w="1954" w:type="dxa"/>
          </w:tcPr>
          <w:p w14:paraId="0C64E714" w14:textId="77777777" w:rsidR="001703C1" w:rsidRDefault="001703C1" w:rsidP="00255C16">
            <w:pPr>
              <w:jc w:val="right"/>
              <w:rPr>
                <w:sz w:val="22"/>
                <w:szCs w:val="22"/>
              </w:rPr>
            </w:pPr>
            <w:r>
              <w:rPr>
                <w:sz w:val="22"/>
                <w:szCs w:val="22"/>
              </w:rPr>
              <w:t>100%</w:t>
            </w:r>
          </w:p>
        </w:tc>
        <w:tc>
          <w:tcPr>
            <w:tcW w:w="2118" w:type="dxa"/>
          </w:tcPr>
          <w:p w14:paraId="1601A17E" w14:textId="77777777" w:rsidR="001703C1" w:rsidRDefault="001703C1" w:rsidP="00255C16">
            <w:pPr>
              <w:jc w:val="right"/>
              <w:rPr>
                <w:sz w:val="22"/>
                <w:szCs w:val="22"/>
              </w:rPr>
            </w:pPr>
            <w:r>
              <w:rPr>
                <w:sz w:val="22"/>
                <w:szCs w:val="22"/>
              </w:rPr>
              <w:t>100%</w:t>
            </w:r>
          </w:p>
        </w:tc>
      </w:tr>
      <w:tr w:rsidR="001703C1" w14:paraId="05CF973B" w14:textId="77777777" w:rsidTr="00255C16">
        <w:tc>
          <w:tcPr>
            <w:tcW w:w="6600" w:type="dxa"/>
          </w:tcPr>
          <w:p w14:paraId="3F115B96" w14:textId="77777777" w:rsidR="001703C1" w:rsidRDefault="001703C1" w:rsidP="00255C16">
            <w:pPr>
              <w:jc w:val="both"/>
              <w:rPr>
                <w:sz w:val="22"/>
                <w:szCs w:val="22"/>
              </w:rPr>
            </w:pPr>
            <w:r>
              <w:rPr>
                <w:sz w:val="22"/>
                <w:szCs w:val="22"/>
              </w:rPr>
              <w:t>Free School Meals Factor</w:t>
            </w:r>
          </w:p>
        </w:tc>
        <w:tc>
          <w:tcPr>
            <w:tcW w:w="1954" w:type="dxa"/>
          </w:tcPr>
          <w:p w14:paraId="17F36A74" w14:textId="3EF33A38" w:rsidR="001703C1" w:rsidRDefault="001703C1" w:rsidP="00255C16">
            <w:pPr>
              <w:jc w:val="right"/>
              <w:rPr>
                <w:sz w:val="22"/>
                <w:szCs w:val="22"/>
              </w:rPr>
            </w:pPr>
            <w:r>
              <w:rPr>
                <w:sz w:val="22"/>
                <w:szCs w:val="22"/>
              </w:rPr>
              <w:t>2</w:t>
            </w:r>
            <w:r w:rsidR="0057205D">
              <w:rPr>
                <w:sz w:val="22"/>
                <w:szCs w:val="22"/>
              </w:rPr>
              <w:t>7</w:t>
            </w:r>
            <w:r>
              <w:rPr>
                <w:sz w:val="22"/>
                <w:szCs w:val="22"/>
              </w:rPr>
              <w:t>.0%</w:t>
            </w:r>
          </w:p>
        </w:tc>
        <w:tc>
          <w:tcPr>
            <w:tcW w:w="2118" w:type="dxa"/>
          </w:tcPr>
          <w:p w14:paraId="70479943" w14:textId="0141A2A1" w:rsidR="001703C1" w:rsidRDefault="001703C1" w:rsidP="00255C16">
            <w:pPr>
              <w:jc w:val="right"/>
              <w:rPr>
                <w:sz w:val="22"/>
                <w:szCs w:val="22"/>
              </w:rPr>
            </w:pPr>
            <w:r>
              <w:rPr>
                <w:sz w:val="22"/>
                <w:szCs w:val="22"/>
              </w:rPr>
              <w:t>2</w:t>
            </w:r>
            <w:r w:rsidR="0057205D">
              <w:rPr>
                <w:sz w:val="22"/>
                <w:szCs w:val="22"/>
              </w:rPr>
              <w:t>7</w:t>
            </w:r>
            <w:r>
              <w:rPr>
                <w:sz w:val="22"/>
                <w:szCs w:val="22"/>
              </w:rPr>
              <w:t>.0%</w:t>
            </w:r>
          </w:p>
        </w:tc>
      </w:tr>
      <w:tr w:rsidR="001703C1" w14:paraId="47291A38" w14:textId="77777777" w:rsidTr="00255C16">
        <w:tc>
          <w:tcPr>
            <w:tcW w:w="6600" w:type="dxa"/>
          </w:tcPr>
          <w:p w14:paraId="07E95787" w14:textId="77777777" w:rsidR="001703C1" w:rsidRDefault="001703C1" w:rsidP="00255C16">
            <w:pPr>
              <w:jc w:val="both"/>
              <w:rPr>
                <w:sz w:val="22"/>
                <w:szCs w:val="22"/>
              </w:rPr>
            </w:pPr>
            <w:r>
              <w:rPr>
                <w:sz w:val="22"/>
                <w:szCs w:val="22"/>
              </w:rPr>
              <w:t>Income Deprivation Affecting Children Index (IDACI) Factor</w:t>
            </w:r>
          </w:p>
        </w:tc>
        <w:tc>
          <w:tcPr>
            <w:tcW w:w="1954" w:type="dxa"/>
          </w:tcPr>
          <w:p w14:paraId="1DCF8626" w14:textId="5C9EFA32" w:rsidR="001703C1" w:rsidRDefault="001703C1" w:rsidP="00255C16">
            <w:pPr>
              <w:jc w:val="right"/>
              <w:rPr>
                <w:sz w:val="22"/>
                <w:szCs w:val="22"/>
              </w:rPr>
            </w:pPr>
            <w:r>
              <w:rPr>
                <w:sz w:val="22"/>
                <w:szCs w:val="22"/>
              </w:rPr>
              <w:t>2</w:t>
            </w:r>
            <w:r w:rsidR="0057205D">
              <w:rPr>
                <w:sz w:val="22"/>
                <w:szCs w:val="22"/>
              </w:rPr>
              <w:t>7</w:t>
            </w:r>
            <w:r>
              <w:rPr>
                <w:sz w:val="22"/>
                <w:szCs w:val="22"/>
              </w:rPr>
              <w:t>.0%</w:t>
            </w:r>
          </w:p>
        </w:tc>
        <w:tc>
          <w:tcPr>
            <w:tcW w:w="2118" w:type="dxa"/>
          </w:tcPr>
          <w:p w14:paraId="3D5A2ACF" w14:textId="3E03CE89" w:rsidR="001703C1" w:rsidRDefault="001703C1" w:rsidP="00255C16">
            <w:pPr>
              <w:jc w:val="right"/>
              <w:rPr>
                <w:sz w:val="22"/>
                <w:szCs w:val="22"/>
              </w:rPr>
            </w:pPr>
            <w:r>
              <w:rPr>
                <w:sz w:val="22"/>
                <w:szCs w:val="22"/>
              </w:rPr>
              <w:t>2</w:t>
            </w:r>
            <w:r w:rsidR="0057205D">
              <w:rPr>
                <w:sz w:val="22"/>
                <w:szCs w:val="22"/>
              </w:rPr>
              <w:t>7</w:t>
            </w:r>
            <w:r>
              <w:rPr>
                <w:sz w:val="22"/>
                <w:szCs w:val="22"/>
              </w:rPr>
              <w:t>.0%</w:t>
            </w:r>
          </w:p>
        </w:tc>
      </w:tr>
      <w:tr w:rsidR="001703C1" w14:paraId="0046BF4A" w14:textId="77777777" w:rsidTr="00255C16">
        <w:tc>
          <w:tcPr>
            <w:tcW w:w="6600" w:type="dxa"/>
          </w:tcPr>
          <w:p w14:paraId="0EDFBA14" w14:textId="77777777" w:rsidR="001703C1" w:rsidRDefault="001703C1" w:rsidP="00255C16">
            <w:pPr>
              <w:jc w:val="both"/>
              <w:rPr>
                <w:sz w:val="22"/>
                <w:szCs w:val="22"/>
              </w:rPr>
            </w:pPr>
            <w:r>
              <w:rPr>
                <w:sz w:val="22"/>
                <w:szCs w:val="22"/>
              </w:rPr>
              <w:t>Base £APP funding (AWPU)</w:t>
            </w:r>
          </w:p>
        </w:tc>
        <w:tc>
          <w:tcPr>
            <w:tcW w:w="1954" w:type="dxa"/>
          </w:tcPr>
          <w:p w14:paraId="37F23BAD" w14:textId="71AB7F02" w:rsidR="001703C1" w:rsidRDefault="0057205D" w:rsidP="00255C16">
            <w:pPr>
              <w:jc w:val="right"/>
              <w:rPr>
                <w:sz w:val="22"/>
                <w:szCs w:val="22"/>
              </w:rPr>
            </w:pPr>
            <w:r>
              <w:rPr>
                <w:sz w:val="22"/>
                <w:szCs w:val="22"/>
              </w:rPr>
              <w:t>6.25</w:t>
            </w:r>
            <w:r w:rsidR="001703C1">
              <w:rPr>
                <w:sz w:val="22"/>
                <w:szCs w:val="22"/>
              </w:rPr>
              <w:t>%</w:t>
            </w:r>
          </w:p>
        </w:tc>
        <w:tc>
          <w:tcPr>
            <w:tcW w:w="2118" w:type="dxa"/>
          </w:tcPr>
          <w:p w14:paraId="62E82E58" w14:textId="77777777" w:rsidR="001703C1" w:rsidRDefault="001703C1" w:rsidP="00255C16">
            <w:pPr>
              <w:jc w:val="right"/>
              <w:rPr>
                <w:sz w:val="22"/>
                <w:szCs w:val="22"/>
              </w:rPr>
            </w:pPr>
            <w:r>
              <w:rPr>
                <w:sz w:val="22"/>
                <w:szCs w:val="22"/>
              </w:rPr>
              <w:t>4.0%</w:t>
            </w:r>
          </w:p>
        </w:tc>
      </w:tr>
      <w:tr w:rsidR="001703C1" w14:paraId="6E65335A" w14:textId="77777777" w:rsidTr="00255C16">
        <w:tc>
          <w:tcPr>
            <w:tcW w:w="6600" w:type="dxa"/>
          </w:tcPr>
          <w:p w14:paraId="35251AC7" w14:textId="77777777" w:rsidR="001703C1" w:rsidRDefault="001703C1" w:rsidP="00255C16">
            <w:pPr>
              <w:jc w:val="both"/>
              <w:rPr>
                <w:sz w:val="22"/>
                <w:szCs w:val="22"/>
              </w:rPr>
            </w:pPr>
            <w:r>
              <w:rPr>
                <w:sz w:val="22"/>
                <w:szCs w:val="22"/>
              </w:rPr>
              <w:t>Minimum Level of Funding top-up (MFL)</w:t>
            </w:r>
          </w:p>
        </w:tc>
        <w:tc>
          <w:tcPr>
            <w:tcW w:w="1954" w:type="dxa"/>
          </w:tcPr>
          <w:p w14:paraId="6B81142A" w14:textId="77777777" w:rsidR="001703C1" w:rsidRDefault="001703C1" w:rsidP="00255C16">
            <w:pPr>
              <w:jc w:val="right"/>
              <w:rPr>
                <w:sz w:val="22"/>
                <w:szCs w:val="22"/>
              </w:rPr>
            </w:pPr>
            <w:r>
              <w:rPr>
                <w:sz w:val="22"/>
                <w:szCs w:val="22"/>
              </w:rPr>
              <w:t>48.0%</w:t>
            </w:r>
          </w:p>
        </w:tc>
        <w:tc>
          <w:tcPr>
            <w:tcW w:w="2118" w:type="dxa"/>
          </w:tcPr>
          <w:p w14:paraId="51EF8F9C" w14:textId="77777777" w:rsidR="001703C1" w:rsidRDefault="001703C1" w:rsidP="00255C16">
            <w:pPr>
              <w:jc w:val="right"/>
              <w:rPr>
                <w:sz w:val="22"/>
                <w:szCs w:val="22"/>
              </w:rPr>
            </w:pPr>
            <w:r>
              <w:rPr>
                <w:sz w:val="22"/>
                <w:szCs w:val="22"/>
              </w:rPr>
              <w:t>48.0%</w:t>
            </w:r>
          </w:p>
        </w:tc>
      </w:tr>
    </w:tbl>
    <w:p w14:paraId="3B70022D" w14:textId="77777777" w:rsidR="001703C1" w:rsidRDefault="001703C1" w:rsidP="001703C1">
      <w:pPr>
        <w:jc w:val="both"/>
        <w:rPr>
          <w:sz w:val="22"/>
          <w:szCs w:val="22"/>
        </w:rPr>
      </w:pPr>
    </w:p>
    <w:p w14:paraId="53104333" w14:textId="77777777" w:rsidR="001703C1" w:rsidRDefault="001703C1" w:rsidP="001703C1">
      <w:pPr>
        <w:jc w:val="both"/>
        <w:rPr>
          <w:sz w:val="22"/>
          <w:szCs w:val="22"/>
        </w:rPr>
      </w:pPr>
      <w:r>
        <w:rPr>
          <w:sz w:val="22"/>
          <w:szCs w:val="22"/>
        </w:rPr>
        <w:t>In addition, 6.0% of a mainstream school’s or academy’s allocation from the Early Years Single Funding Formula, for mainstream primary schools and academies that have early years entitlement provision, is also defined to be available for supporting SEND in early years.</w:t>
      </w:r>
    </w:p>
    <w:p w14:paraId="410031AE" w14:textId="77777777" w:rsidR="005731CF" w:rsidRDefault="005731CF" w:rsidP="00355873">
      <w:pPr>
        <w:jc w:val="both"/>
        <w:rPr>
          <w:sz w:val="22"/>
          <w:szCs w:val="22"/>
        </w:rPr>
      </w:pPr>
    </w:p>
    <w:p w14:paraId="3F7EB6C1" w14:textId="77777777" w:rsidR="0096548C" w:rsidRDefault="0096548C" w:rsidP="00355873">
      <w:pPr>
        <w:jc w:val="both"/>
        <w:rPr>
          <w:sz w:val="22"/>
          <w:szCs w:val="22"/>
        </w:rPr>
      </w:pPr>
    </w:p>
    <w:p w14:paraId="7B35DC15" w14:textId="77777777" w:rsidR="00E37FC5" w:rsidRPr="009879CD" w:rsidRDefault="00890444" w:rsidP="00355873">
      <w:pPr>
        <w:jc w:val="both"/>
        <w:rPr>
          <w:b/>
          <w:sz w:val="22"/>
          <w:szCs w:val="22"/>
          <w:u w:val="single"/>
        </w:rPr>
      </w:pPr>
      <w:r w:rsidRPr="009879CD">
        <w:rPr>
          <w:b/>
          <w:sz w:val="22"/>
          <w:szCs w:val="22"/>
          <w:u w:val="single"/>
        </w:rPr>
        <w:t>SEND Funding Floor (Mainstream</w:t>
      </w:r>
      <w:r w:rsidR="005921B5" w:rsidRPr="009879CD">
        <w:rPr>
          <w:b/>
          <w:sz w:val="22"/>
          <w:szCs w:val="22"/>
          <w:u w:val="single"/>
        </w:rPr>
        <w:t xml:space="preserve"> Primary &amp; Secondary</w:t>
      </w:r>
      <w:r w:rsidRPr="009879CD">
        <w:rPr>
          <w:b/>
          <w:sz w:val="22"/>
          <w:szCs w:val="22"/>
          <w:u w:val="single"/>
        </w:rPr>
        <w:t>)</w:t>
      </w:r>
    </w:p>
    <w:p w14:paraId="5C4906E4" w14:textId="77777777" w:rsidR="00890444" w:rsidRDefault="00890444" w:rsidP="00355873">
      <w:pPr>
        <w:jc w:val="both"/>
        <w:rPr>
          <w:sz w:val="22"/>
          <w:szCs w:val="22"/>
        </w:rPr>
      </w:pPr>
    </w:p>
    <w:p w14:paraId="73F47590" w14:textId="77777777" w:rsidR="0057205D" w:rsidRDefault="0057205D" w:rsidP="0057205D">
      <w:pPr>
        <w:jc w:val="both"/>
        <w:rPr>
          <w:sz w:val="22"/>
          <w:szCs w:val="22"/>
        </w:rPr>
      </w:pPr>
      <w:r>
        <w:rPr>
          <w:sz w:val="22"/>
          <w:szCs w:val="22"/>
        </w:rPr>
        <w:t>The SEND Funding Floor formula is aimed at ensuring</w:t>
      </w:r>
      <w:r w:rsidRPr="005145F0">
        <w:rPr>
          <w:sz w:val="22"/>
          <w:szCs w:val="22"/>
        </w:rPr>
        <w:t xml:space="preserve"> that no</w:t>
      </w:r>
      <w:r>
        <w:rPr>
          <w:sz w:val="22"/>
          <w:szCs w:val="22"/>
        </w:rPr>
        <w:t xml:space="preserve"> mainstream primary or secondary maintained school or academy</w:t>
      </w:r>
      <w:r w:rsidRPr="005145F0">
        <w:rPr>
          <w:sz w:val="22"/>
          <w:szCs w:val="22"/>
        </w:rPr>
        <w:t xml:space="preserve"> </w:t>
      </w:r>
      <w:r>
        <w:rPr>
          <w:sz w:val="22"/>
          <w:szCs w:val="22"/>
        </w:rPr>
        <w:t xml:space="preserve">will </w:t>
      </w:r>
      <w:r w:rsidRPr="005145F0">
        <w:rPr>
          <w:sz w:val="22"/>
          <w:szCs w:val="22"/>
        </w:rPr>
        <w:t>have to manage</w:t>
      </w:r>
      <w:r>
        <w:rPr>
          <w:sz w:val="22"/>
          <w:szCs w:val="22"/>
        </w:rPr>
        <w:t>, from their own delegated mainstream formula funding,</w:t>
      </w:r>
      <w:r w:rsidRPr="005145F0">
        <w:rPr>
          <w:sz w:val="22"/>
          <w:szCs w:val="22"/>
        </w:rPr>
        <w:t xml:space="preserve"> a</w:t>
      </w:r>
      <w:r>
        <w:rPr>
          <w:sz w:val="22"/>
          <w:szCs w:val="22"/>
        </w:rPr>
        <w:t>n above phase-average cost pressure in respect of their commitment to meet the cost of E</w:t>
      </w:r>
      <w:r w:rsidRPr="005145F0">
        <w:rPr>
          <w:sz w:val="22"/>
          <w:szCs w:val="22"/>
        </w:rPr>
        <w:t>lement 2</w:t>
      </w:r>
      <w:r>
        <w:rPr>
          <w:sz w:val="22"/>
          <w:szCs w:val="22"/>
        </w:rPr>
        <w:t xml:space="preserve"> (£6,000)</w:t>
      </w:r>
      <w:r w:rsidRPr="005145F0">
        <w:rPr>
          <w:sz w:val="22"/>
          <w:szCs w:val="22"/>
        </w:rPr>
        <w:t xml:space="preserve"> for </w:t>
      </w:r>
      <w:r>
        <w:rPr>
          <w:sz w:val="22"/>
          <w:szCs w:val="22"/>
        </w:rPr>
        <w:t>their EHCPs</w:t>
      </w:r>
      <w:r w:rsidRPr="005145F0">
        <w:rPr>
          <w:sz w:val="22"/>
          <w:szCs w:val="22"/>
        </w:rPr>
        <w:t>.</w:t>
      </w:r>
      <w:r>
        <w:rPr>
          <w:sz w:val="22"/>
          <w:szCs w:val="22"/>
        </w:rPr>
        <w:t xml:space="preserve"> As well as supporting provision for pupils with EHCPs, this approach will help to protect the funding used by schools and academies to support their wider Additional Educational Needs, SEND and Alternative Provision activities. It will directly financially support schools and academies that have higher proportions of pupils with EHCPs, in support of inclusion, combining also to support schools and academies that may have lower levels of Additional Education Needs formula funding (because they have e.g. lower levels of deprivation) but higher numbers of EHCPs, and also that may be smaller in size. It will also support schools and academies that may have some turbulence in formula funding as a result of in year pupil numbers changes.</w:t>
      </w:r>
    </w:p>
    <w:p w14:paraId="555C087B" w14:textId="77777777" w:rsidR="001703C1" w:rsidRDefault="001703C1" w:rsidP="001703C1">
      <w:pPr>
        <w:jc w:val="both"/>
        <w:rPr>
          <w:sz w:val="22"/>
          <w:szCs w:val="22"/>
        </w:rPr>
      </w:pPr>
    </w:p>
    <w:p w14:paraId="46BE4AF9" w14:textId="0807CA6C" w:rsidR="001703C1" w:rsidRDefault="001703C1" w:rsidP="001703C1">
      <w:pPr>
        <w:jc w:val="both"/>
        <w:rPr>
          <w:sz w:val="22"/>
          <w:szCs w:val="22"/>
        </w:rPr>
      </w:pPr>
      <w:r>
        <w:rPr>
          <w:sz w:val="22"/>
          <w:szCs w:val="22"/>
        </w:rPr>
        <w:t>Funding allocated using the Floor is re-calculated monthly for changes in the number</w:t>
      </w:r>
      <w:r w:rsidR="009776AF">
        <w:rPr>
          <w:sz w:val="22"/>
          <w:szCs w:val="22"/>
        </w:rPr>
        <w:t xml:space="preserve"> of</w:t>
      </w:r>
      <w:r>
        <w:rPr>
          <w:sz w:val="22"/>
          <w:szCs w:val="22"/>
        </w:rPr>
        <w:t xml:space="preserve"> Education Health and Care Plans (EHCPs) on roll.</w:t>
      </w:r>
    </w:p>
    <w:p w14:paraId="0D4F08B4" w14:textId="77777777" w:rsidR="001703C1" w:rsidRDefault="001703C1" w:rsidP="001703C1">
      <w:pPr>
        <w:jc w:val="both"/>
        <w:rPr>
          <w:sz w:val="22"/>
          <w:szCs w:val="22"/>
        </w:rPr>
      </w:pPr>
    </w:p>
    <w:p w14:paraId="2C0D977E" w14:textId="203E12CB" w:rsidR="001703C1" w:rsidRPr="006842B2" w:rsidRDefault="001703C1" w:rsidP="001703C1">
      <w:pPr>
        <w:jc w:val="both"/>
        <w:rPr>
          <w:sz w:val="22"/>
          <w:szCs w:val="22"/>
        </w:rPr>
      </w:pPr>
      <w:r w:rsidRPr="006842B2">
        <w:rPr>
          <w:sz w:val="22"/>
          <w:szCs w:val="22"/>
        </w:rPr>
        <w:t>The formula</w:t>
      </w:r>
      <w:r>
        <w:rPr>
          <w:sz w:val="22"/>
          <w:szCs w:val="22"/>
        </w:rPr>
        <w:t xml:space="preserve"> for 202</w:t>
      </w:r>
      <w:r w:rsidR="0057205D">
        <w:rPr>
          <w:sz w:val="22"/>
          <w:szCs w:val="22"/>
        </w:rPr>
        <w:t>4</w:t>
      </w:r>
      <w:r>
        <w:rPr>
          <w:sz w:val="22"/>
          <w:szCs w:val="22"/>
        </w:rPr>
        <w:t>/2</w:t>
      </w:r>
      <w:r w:rsidR="0057205D">
        <w:rPr>
          <w:sz w:val="22"/>
          <w:szCs w:val="22"/>
        </w:rPr>
        <w:t>5</w:t>
      </w:r>
      <w:r>
        <w:rPr>
          <w:sz w:val="22"/>
          <w:szCs w:val="22"/>
        </w:rPr>
        <w:t xml:space="preserve"> </w:t>
      </w:r>
      <w:r w:rsidRPr="006842B2">
        <w:rPr>
          <w:sz w:val="22"/>
          <w:szCs w:val="22"/>
        </w:rPr>
        <w:t>is as follows</w:t>
      </w:r>
      <w:r>
        <w:rPr>
          <w:sz w:val="22"/>
          <w:szCs w:val="22"/>
        </w:rPr>
        <w:t>:</w:t>
      </w:r>
    </w:p>
    <w:p w14:paraId="207975CC" w14:textId="77777777" w:rsidR="001703C1" w:rsidRDefault="001703C1" w:rsidP="001703C1">
      <w:pPr>
        <w:jc w:val="both"/>
        <w:rPr>
          <w:color w:val="FF0000"/>
          <w:sz w:val="22"/>
          <w:szCs w:val="22"/>
        </w:rPr>
      </w:pPr>
    </w:p>
    <w:p w14:paraId="6EA8CF59" w14:textId="77777777" w:rsidR="001703C1" w:rsidRDefault="001703C1" w:rsidP="001703C1">
      <w:pPr>
        <w:jc w:val="both"/>
        <w:rPr>
          <w:sz w:val="22"/>
          <w:szCs w:val="22"/>
        </w:rPr>
      </w:pPr>
      <w:r w:rsidRPr="00843AE6">
        <w:rPr>
          <w:sz w:val="22"/>
          <w:szCs w:val="22"/>
        </w:rPr>
        <w:t xml:space="preserve">Where </w:t>
      </w:r>
      <w:r>
        <w:rPr>
          <w:sz w:val="22"/>
          <w:szCs w:val="22"/>
        </w:rPr>
        <w:t xml:space="preserve">Part </w:t>
      </w:r>
      <w:r w:rsidRPr="00843AE6">
        <w:rPr>
          <w:sz w:val="22"/>
          <w:szCs w:val="22"/>
        </w:rPr>
        <w:t xml:space="preserve">A is greater than </w:t>
      </w:r>
      <w:r>
        <w:rPr>
          <w:sz w:val="22"/>
          <w:szCs w:val="22"/>
        </w:rPr>
        <w:t xml:space="preserve">Part </w:t>
      </w:r>
      <w:r w:rsidRPr="00843AE6">
        <w:rPr>
          <w:sz w:val="22"/>
          <w:szCs w:val="22"/>
        </w:rPr>
        <w:t>B</w:t>
      </w:r>
      <w:r>
        <w:rPr>
          <w:sz w:val="22"/>
          <w:szCs w:val="22"/>
        </w:rPr>
        <w:t>,</w:t>
      </w:r>
      <w:r w:rsidRPr="00843AE6">
        <w:rPr>
          <w:sz w:val="22"/>
          <w:szCs w:val="22"/>
        </w:rPr>
        <w:t xml:space="preserve"> a </w:t>
      </w:r>
      <w:r>
        <w:rPr>
          <w:sz w:val="22"/>
          <w:szCs w:val="22"/>
        </w:rPr>
        <w:t>school / academy receives a top-</w:t>
      </w:r>
      <w:r w:rsidRPr="00843AE6">
        <w:rPr>
          <w:sz w:val="22"/>
          <w:szCs w:val="22"/>
        </w:rPr>
        <w:t>up for the difference</w:t>
      </w:r>
      <w:r>
        <w:rPr>
          <w:sz w:val="22"/>
          <w:szCs w:val="22"/>
        </w:rPr>
        <w:t xml:space="preserve"> between Part A and Part B</w:t>
      </w:r>
      <w:r w:rsidRPr="00843AE6">
        <w:rPr>
          <w:sz w:val="22"/>
          <w:szCs w:val="22"/>
        </w:rPr>
        <w:t>.</w:t>
      </w:r>
    </w:p>
    <w:p w14:paraId="5D278B08" w14:textId="77777777" w:rsidR="001703C1" w:rsidRDefault="001703C1" w:rsidP="001703C1">
      <w:pPr>
        <w:jc w:val="both"/>
        <w:rPr>
          <w:sz w:val="22"/>
          <w:szCs w:val="22"/>
        </w:rPr>
      </w:pPr>
    </w:p>
    <w:p w14:paraId="510D9BEE" w14:textId="77777777" w:rsidR="001703C1" w:rsidRDefault="001703C1" w:rsidP="001703C1">
      <w:pPr>
        <w:jc w:val="both"/>
        <w:rPr>
          <w:sz w:val="22"/>
          <w:szCs w:val="22"/>
        </w:rPr>
      </w:pPr>
      <w:r w:rsidRPr="003F45F0">
        <w:rPr>
          <w:sz w:val="22"/>
          <w:szCs w:val="22"/>
        </w:rPr>
        <w:t>A =</w:t>
      </w:r>
      <w:r>
        <w:rPr>
          <w:sz w:val="22"/>
          <w:szCs w:val="22"/>
        </w:rPr>
        <w:t xml:space="preserve"> is the</w:t>
      </w:r>
      <w:r w:rsidRPr="003F45F0">
        <w:rPr>
          <w:sz w:val="22"/>
          <w:szCs w:val="22"/>
        </w:rPr>
        <w:t xml:space="preserve"> </w:t>
      </w:r>
      <w:r>
        <w:rPr>
          <w:sz w:val="22"/>
          <w:szCs w:val="22"/>
        </w:rPr>
        <w:t>Full Time Equivalent (FTE) number of EHCPs on roll at a mainstream school / academy, excluding early years and post 16 students that have EHCPs, multiplied by £6,000 (which is the value of E</w:t>
      </w:r>
      <w:r w:rsidRPr="003F45F0">
        <w:rPr>
          <w:sz w:val="22"/>
          <w:szCs w:val="22"/>
        </w:rPr>
        <w:t>lement 2)</w:t>
      </w:r>
      <w:r>
        <w:rPr>
          <w:sz w:val="22"/>
          <w:szCs w:val="22"/>
        </w:rPr>
        <w:t>. Part A is re-calculated monthly for changes in the number Education Health and Care Plans (EHCPs) on roll.</w:t>
      </w:r>
    </w:p>
    <w:p w14:paraId="1223D421" w14:textId="77777777" w:rsidR="001703C1" w:rsidRPr="003F45F0" w:rsidRDefault="001703C1" w:rsidP="001703C1">
      <w:pPr>
        <w:jc w:val="both"/>
        <w:rPr>
          <w:sz w:val="22"/>
          <w:szCs w:val="22"/>
        </w:rPr>
      </w:pPr>
    </w:p>
    <w:p w14:paraId="6B6EDA20" w14:textId="117CE5A9" w:rsidR="001703C1" w:rsidRPr="00533D51" w:rsidRDefault="001703C1" w:rsidP="0057205D">
      <w:pPr>
        <w:jc w:val="both"/>
        <w:rPr>
          <w:sz w:val="22"/>
          <w:szCs w:val="22"/>
        </w:rPr>
      </w:pPr>
      <w:r>
        <w:rPr>
          <w:sz w:val="22"/>
          <w:szCs w:val="22"/>
        </w:rPr>
        <w:t>B = is the percentage of a school’s / academy’s</w:t>
      </w:r>
      <w:r w:rsidRPr="003F45F0">
        <w:rPr>
          <w:sz w:val="22"/>
          <w:szCs w:val="22"/>
        </w:rPr>
        <w:t xml:space="preserve"> A</w:t>
      </w:r>
      <w:r>
        <w:rPr>
          <w:sz w:val="22"/>
          <w:szCs w:val="22"/>
        </w:rPr>
        <w:t xml:space="preserve">dditional Educational Needs delegated formula </w:t>
      </w:r>
      <w:r w:rsidRPr="003F45F0">
        <w:rPr>
          <w:sz w:val="22"/>
          <w:szCs w:val="22"/>
        </w:rPr>
        <w:t>funding</w:t>
      </w:r>
      <w:r>
        <w:rPr>
          <w:sz w:val="22"/>
          <w:szCs w:val="22"/>
        </w:rPr>
        <w:t xml:space="preserve"> that is required to be put to the Element 2 (£6,000) cost of a school’s / academy’s EHCPs</w:t>
      </w:r>
      <w:r w:rsidRPr="003F45F0">
        <w:rPr>
          <w:sz w:val="22"/>
          <w:szCs w:val="22"/>
        </w:rPr>
        <w:t>,</w:t>
      </w:r>
      <w:r>
        <w:rPr>
          <w:sz w:val="22"/>
          <w:szCs w:val="22"/>
        </w:rPr>
        <w:t xml:space="preserve"> before the SEND Funding Floor will provide additional financial support. There are 2 elements to the Part B calculation, the ‘percentage’ and what is meant by ‘Additional Educational Needs delegated formula funding’. Unlike Part A, both elements of Part B are fixed at the beginning of the 202</w:t>
      </w:r>
      <w:r w:rsidR="0057205D">
        <w:rPr>
          <w:sz w:val="22"/>
          <w:szCs w:val="22"/>
        </w:rPr>
        <w:t>4</w:t>
      </w:r>
      <w:r>
        <w:rPr>
          <w:sz w:val="22"/>
          <w:szCs w:val="22"/>
        </w:rPr>
        <w:t>/2</w:t>
      </w:r>
      <w:r w:rsidR="0057205D">
        <w:rPr>
          <w:sz w:val="22"/>
          <w:szCs w:val="22"/>
        </w:rPr>
        <w:t>5</w:t>
      </w:r>
      <w:r>
        <w:rPr>
          <w:sz w:val="22"/>
          <w:szCs w:val="22"/>
        </w:rPr>
        <w:t xml:space="preserve"> financial year and will not change</w:t>
      </w:r>
      <w:r w:rsidR="0057205D">
        <w:rPr>
          <w:sz w:val="22"/>
          <w:szCs w:val="22"/>
        </w:rPr>
        <w:t>.</w:t>
      </w:r>
    </w:p>
    <w:p w14:paraId="16B2F656" w14:textId="1FFBA07E" w:rsidR="001703C1" w:rsidRDefault="001703C1" w:rsidP="009564E6">
      <w:pPr>
        <w:pStyle w:val="ListParagraph"/>
        <w:numPr>
          <w:ilvl w:val="0"/>
          <w:numId w:val="13"/>
        </w:numPr>
        <w:ind w:left="360"/>
        <w:contextualSpacing w:val="0"/>
        <w:jc w:val="both"/>
        <w:rPr>
          <w:sz w:val="22"/>
          <w:szCs w:val="22"/>
        </w:rPr>
      </w:pPr>
      <w:r w:rsidRPr="00533D51">
        <w:rPr>
          <w:sz w:val="22"/>
          <w:szCs w:val="22"/>
        </w:rPr>
        <w:t xml:space="preserve">The ‘percentage’ is the phase median average percentage of Additional Educational Needs formula funding that schools / academies contribute to Element 2 £6,000 costs in respect of their EHCPs. The phase average is rounded plus </w:t>
      </w:r>
      <w:r w:rsidR="0057205D">
        <w:rPr>
          <w:sz w:val="22"/>
          <w:szCs w:val="22"/>
        </w:rPr>
        <w:t>3</w:t>
      </w:r>
      <w:r w:rsidRPr="00533D51">
        <w:rPr>
          <w:sz w:val="22"/>
          <w:szCs w:val="22"/>
        </w:rPr>
        <w:t xml:space="preserve">%. </w:t>
      </w:r>
      <w:r w:rsidRPr="00E15E6D">
        <w:rPr>
          <w:sz w:val="22"/>
          <w:szCs w:val="22"/>
        </w:rPr>
        <w:t xml:space="preserve">Separate percentages are used for primary and for secondary phases. The averages that </w:t>
      </w:r>
      <w:r>
        <w:rPr>
          <w:sz w:val="22"/>
          <w:szCs w:val="22"/>
        </w:rPr>
        <w:t>are used</w:t>
      </w:r>
      <w:r w:rsidRPr="00E15E6D">
        <w:rPr>
          <w:sz w:val="22"/>
          <w:szCs w:val="22"/>
        </w:rPr>
        <w:t xml:space="preserve"> in 202</w:t>
      </w:r>
      <w:r w:rsidR="0057205D">
        <w:rPr>
          <w:sz w:val="22"/>
          <w:szCs w:val="22"/>
        </w:rPr>
        <w:t>4</w:t>
      </w:r>
      <w:r w:rsidRPr="00E15E6D">
        <w:rPr>
          <w:sz w:val="22"/>
          <w:szCs w:val="22"/>
        </w:rPr>
        <w:t>/2</w:t>
      </w:r>
      <w:r w:rsidR="0057205D">
        <w:rPr>
          <w:sz w:val="22"/>
          <w:szCs w:val="22"/>
        </w:rPr>
        <w:t>5</w:t>
      </w:r>
      <w:r w:rsidRPr="00E15E6D">
        <w:rPr>
          <w:sz w:val="22"/>
          <w:szCs w:val="22"/>
        </w:rPr>
        <w:t xml:space="preserve"> are </w:t>
      </w:r>
      <w:r>
        <w:rPr>
          <w:sz w:val="22"/>
          <w:szCs w:val="22"/>
        </w:rPr>
        <w:t>1</w:t>
      </w:r>
      <w:r w:rsidR="0057205D">
        <w:rPr>
          <w:sz w:val="22"/>
          <w:szCs w:val="22"/>
        </w:rPr>
        <w:t>6.6</w:t>
      </w:r>
      <w:r w:rsidRPr="00E15E6D">
        <w:rPr>
          <w:sz w:val="22"/>
          <w:szCs w:val="22"/>
        </w:rPr>
        <w:t xml:space="preserve">% for the primary phase and </w:t>
      </w:r>
      <w:r>
        <w:rPr>
          <w:sz w:val="22"/>
          <w:szCs w:val="22"/>
        </w:rPr>
        <w:t>1</w:t>
      </w:r>
      <w:r w:rsidR="0057205D">
        <w:rPr>
          <w:sz w:val="22"/>
          <w:szCs w:val="22"/>
        </w:rPr>
        <w:t>2.4</w:t>
      </w:r>
      <w:r w:rsidRPr="00E15E6D">
        <w:rPr>
          <w:sz w:val="22"/>
          <w:szCs w:val="22"/>
        </w:rPr>
        <w:t xml:space="preserve">% for the secondary phase. </w:t>
      </w:r>
    </w:p>
    <w:p w14:paraId="6AA10CB1" w14:textId="77777777" w:rsidR="001703C1" w:rsidRPr="00533D51" w:rsidRDefault="001703C1" w:rsidP="001703C1">
      <w:pPr>
        <w:pStyle w:val="ListParagraph"/>
        <w:ind w:left="360"/>
        <w:jc w:val="both"/>
        <w:rPr>
          <w:sz w:val="22"/>
          <w:szCs w:val="22"/>
        </w:rPr>
      </w:pPr>
    </w:p>
    <w:p w14:paraId="3F70DF22" w14:textId="77777777" w:rsidR="001703C1" w:rsidRDefault="001703C1" w:rsidP="009564E6">
      <w:pPr>
        <w:pStyle w:val="ListParagraph"/>
        <w:numPr>
          <w:ilvl w:val="0"/>
          <w:numId w:val="13"/>
        </w:numPr>
        <w:ind w:left="360"/>
        <w:contextualSpacing w:val="0"/>
        <w:jc w:val="both"/>
        <w:rPr>
          <w:sz w:val="22"/>
          <w:szCs w:val="22"/>
        </w:rPr>
      </w:pPr>
      <w:r>
        <w:rPr>
          <w:sz w:val="22"/>
          <w:szCs w:val="22"/>
        </w:rPr>
        <w:t>‘Additional Educational Needs delegated formula funding’ i</w:t>
      </w:r>
      <w:r w:rsidRPr="003F45F0">
        <w:rPr>
          <w:sz w:val="22"/>
          <w:szCs w:val="22"/>
        </w:rPr>
        <w:t>s</w:t>
      </w:r>
      <w:r>
        <w:rPr>
          <w:sz w:val="22"/>
          <w:szCs w:val="22"/>
        </w:rPr>
        <w:t xml:space="preserve"> calculated by taking the following funding factors that are included within the delegated formula funding allocations received by mainstream schools / academies. For academies, this funding / these factors are within General Annual Grant (GAG) funding. For maintained schools, this funding / these factors are within the Section 251 formula funding.</w:t>
      </w:r>
    </w:p>
    <w:p w14:paraId="682CE65A" w14:textId="77777777" w:rsidR="001703C1" w:rsidRPr="00C61079" w:rsidRDefault="001703C1" w:rsidP="001703C1">
      <w:pPr>
        <w:pStyle w:val="ListParagraph"/>
        <w:ind w:left="360"/>
        <w:jc w:val="both"/>
        <w:rPr>
          <w:sz w:val="22"/>
          <w:szCs w:val="22"/>
        </w:rPr>
      </w:pPr>
    </w:p>
    <w:p w14:paraId="1D8E0415" w14:textId="77777777" w:rsidR="001703C1" w:rsidRDefault="001703C1" w:rsidP="001703C1">
      <w:pPr>
        <w:pStyle w:val="ListParagraph"/>
        <w:ind w:left="360"/>
        <w:jc w:val="both"/>
        <w:rPr>
          <w:sz w:val="22"/>
          <w:szCs w:val="22"/>
        </w:rPr>
      </w:pPr>
      <w:r>
        <w:rPr>
          <w:sz w:val="22"/>
          <w:szCs w:val="22"/>
        </w:rPr>
        <w:t>1</w:t>
      </w:r>
      <w:r w:rsidRPr="003F45F0">
        <w:rPr>
          <w:sz w:val="22"/>
          <w:szCs w:val="22"/>
        </w:rPr>
        <w:t xml:space="preserve">00% of </w:t>
      </w:r>
      <w:r>
        <w:rPr>
          <w:sz w:val="22"/>
          <w:szCs w:val="22"/>
        </w:rPr>
        <w:t xml:space="preserve">the </w:t>
      </w:r>
      <w:r w:rsidRPr="003F45F0">
        <w:rPr>
          <w:sz w:val="22"/>
          <w:szCs w:val="22"/>
        </w:rPr>
        <w:t>E</w:t>
      </w:r>
      <w:r>
        <w:rPr>
          <w:sz w:val="22"/>
          <w:szCs w:val="22"/>
        </w:rPr>
        <w:t xml:space="preserve">nglish as an </w:t>
      </w:r>
      <w:r w:rsidRPr="003F45F0">
        <w:rPr>
          <w:sz w:val="22"/>
          <w:szCs w:val="22"/>
        </w:rPr>
        <w:t>A</w:t>
      </w:r>
      <w:r>
        <w:rPr>
          <w:sz w:val="22"/>
          <w:szCs w:val="22"/>
        </w:rPr>
        <w:t xml:space="preserve">dditional </w:t>
      </w:r>
      <w:r w:rsidRPr="003F45F0">
        <w:rPr>
          <w:sz w:val="22"/>
          <w:szCs w:val="22"/>
        </w:rPr>
        <w:t>L</w:t>
      </w:r>
      <w:r>
        <w:rPr>
          <w:sz w:val="22"/>
          <w:szCs w:val="22"/>
        </w:rPr>
        <w:t>anguage factor</w:t>
      </w:r>
    </w:p>
    <w:p w14:paraId="6C3F56FE" w14:textId="77777777" w:rsidR="001703C1" w:rsidRDefault="001703C1" w:rsidP="001703C1">
      <w:pPr>
        <w:pStyle w:val="ListParagraph"/>
        <w:ind w:left="360"/>
        <w:jc w:val="both"/>
        <w:rPr>
          <w:sz w:val="22"/>
          <w:szCs w:val="22"/>
        </w:rPr>
      </w:pPr>
      <w:r>
        <w:rPr>
          <w:sz w:val="22"/>
          <w:szCs w:val="22"/>
        </w:rPr>
        <w:t xml:space="preserve">100% of the </w:t>
      </w:r>
      <w:r w:rsidRPr="003F45F0">
        <w:rPr>
          <w:sz w:val="22"/>
          <w:szCs w:val="22"/>
        </w:rPr>
        <w:t>F</w:t>
      </w:r>
      <w:r>
        <w:rPr>
          <w:sz w:val="22"/>
          <w:szCs w:val="22"/>
        </w:rPr>
        <w:t xml:space="preserve">ree </w:t>
      </w:r>
      <w:r w:rsidRPr="003F45F0">
        <w:rPr>
          <w:sz w:val="22"/>
          <w:szCs w:val="22"/>
        </w:rPr>
        <w:t>S</w:t>
      </w:r>
      <w:r>
        <w:rPr>
          <w:sz w:val="22"/>
          <w:szCs w:val="22"/>
        </w:rPr>
        <w:t xml:space="preserve">chool </w:t>
      </w:r>
      <w:r w:rsidRPr="003F45F0">
        <w:rPr>
          <w:sz w:val="22"/>
          <w:szCs w:val="22"/>
        </w:rPr>
        <w:t>M</w:t>
      </w:r>
      <w:r>
        <w:rPr>
          <w:sz w:val="22"/>
          <w:szCs w:val="22"/>
        </w:rPr>
        <w:t>eals factors</w:t>
      </w:r>
      <w:r w:rsidRPr="003F45F0">
        <w:rPr>
          <w:sz w:val="22"/>
          <w:szCs w:val="22"/>
        </w:rPr>
        <w:t xml:space="preserve"> </w:t>
      </w:r>
    </w:p>
    <w:p w14:paraId="54F94569" w14:textId="77777777" w:rsidR="001703C1" w:rsidRDefault="001703C1" w:rsidP="001703C1">
      <w:pPr>
        <w:pStyle w:val="ListParagraph"/>
        <w:ind w:left="360"/>
        <w:jc w:val="both"/>
        <w:rPr>
          <w:sz w:val="22"/>
          <w:szCs w:val="22"/>
        </w:rPr>
      </w:pPr>
      <w:r>
        <w:rPr>
          <w:sz w:val="22"/>
          <w:szCs w:val="22"/>
        </w:rPr>
        <w:t xml:space="preserve">100% of the </w:t>
      </w:r>
      <w:r w:rsidRPr="003F45F0">
        <w:rPr>
          <w:sz w:val="22"/>
          <w:szCs w:val="22"/>
        </w:rPr>
        <w:t>Prior Attainment</w:t>
      </w:r>
      <w:r>
        <w:rPr>
          <w:sz w:val="22"/>
          <w:szCs w:val="22"/>
        </w:rPr>
        <w:t xml:space="preserve"> factor</w:t>
      </w:r>
    </w:p>
    <w:p w14:paraId="79E89FCA" w14:textId="77777777" w:rsidR="001703C1" w:rsidRDefault="001703C1" w:rsidP="001703C1">
      <w:pPr>
        <w:pStyle w:val="ListParagraph"/>
        <w:ind w:left="360"/>
        <w:jc w:val="both"/>
        <w:rPr>
          <w:sz w:val="22"/>
          <w:szCs w:val="22"/>
        </w:rPr>
      </w:pPr>
      <w:r>
        <w:rPr>
          <w:sz w:val="22"/>
          <w:szCs w:val="22"/>
        </w:rPr>
        <w:t xml:space="preserve">100% of the </w:t>
      </w:r>
      <w:r w:rsidRPr="003F45F0">
        <w:rPr>
          <w:sz w:val="22"/>
          <w:szCs w:val="22"/>
        </w:rPr>
        <w:t>M</w:t>
      </w:r>
      <w:r>
        <w:rPr>
          <w:sz w:val="22"/>
          <w:szCs w:val="22"/>
        </w:rPr>
        <w:t xml:space="preserve">inimum </w:t>
      </w:r>
      <w:r w:rsidRPr="003F45F0">
        <w:rPr>
          <w:sz w:val="22"/>
          <w:szCs w:val="22"/>
        </w:rPr>
        <w:t>F</w:t>
      </w:r>
      <w:r>
        <w:rPr>
          <w:sz w:val="22"/>
          <w:szCs w:val="22"/>
        </w:rPr>
        <w:t xml:space="preserve">unding </w:t>
      </w:r>
      <w:r w:rsidRPr="003F45F0">
        <w:rPr>
          <w:sz w:val="22"/>
          <w:szCs w:val="22"/>
        </w:rPr>
        <w:t>L</w:t>
      </w:r>
      <w:r>
        <w:rPr>
          <w:sz w:val="22"/>
          <w:szCs w:val="22"/>
        </w:rPr>
        <w:t>evel factor</w:t>
      </w:r>
    </w:p>
    <w:p w14:paraId="6C46EFA2" w14:textId="77777777" w:rsidR="001703C1" w:rsidRDefault="001703C1" w:rsidP="001703C1">
      <w:pPr>
        <w:pStyle w:val="ListParagraph"/>
        <w:ind w:left="360"/>
        <w:jc w:val="both"/>
        <w:rPr>
          <w:sz w:val="22"/>
          <w:szCs w:val="22"/>
        </w:rPr>
      </w:pPr>
      <w:r>
        <w:rPr>
          <w:sz w:val="22"/>
          <w:szCs w:val="22"/>
        </w:rPr>
        <w:t>100% of the Income Deprivation Affecting Children Index (IDACI) factor</w:t>
      </w:r>
    </w:p>
    <w:p w14:paraId="7863FF60" w14:textId="77777777" w:rsidR="001703C1" w:rsidRDefault="001703C1" w:rsidP="001703C1">
      <w:pPr>
        <w:ind w:firstLine="360"/>
        <w:jc w:val="both"/>
        <w:rPr>
          <w:sz w:val="22"/>
          <w:szCs w:val="22"/>
        </w:rPr>
      </w:pPr>
      <w:r>
        <w:rPr>
          <w:sz w:val="22"/>
          <w:szCs w:val="22"/>
        </w:rPr>
        <w:t xml:space="preserve"> </w:t>
      </w:r>
      <w:r w:rsidRPr="006E6286">
        <w:rPr>
          <w:sz w:val="22"/>
          <w:szCs w:val="22"/>
        </w:rPr>
        <w:t>80% of Minimum Funding Guarantee factor</w:t>
      </w:r>
    </w:p>
    <w:p w14:paraId="20315E27" w14:textId="77777777" w:rsidR="00587CBC" w:rsidRDefault="00587CBC" w:rsidP="00355873">
      <w:pPr>
        <w:jc w:val="both"/>
        <w:rPr>
          <w:sz w:val="22"/>
          <w:szCs w:val="22"/>
        </w:rPr>
      </w:pPr>
    </w:p>
    <w:p w14:paraId="20F5D383" w14:textId="77777777" w:rsidR="00587CBC" w:rsidRDefault="00587CBC" w:rsidP="00355873">
      <w:pPr>
        <w:jc w:val="both"/>
        <w:rPr>
          <w:sz w:val="22"/>
          <w:szCs w:val="22"/>
        </w:rPr>
      </w:pPr>
    </w:p>
    <w:p w14:paraId="11C01E29" w14:textId="77777777" w:rsidR="00890444" w:rsidRPr="005462B3" w:rsidRDefault="00E2556D" w:rsidP="00355873">
      <w:pPr>
        <w:jc w:val="both"/>
        <w:rPr>
          <w:b/>
          <w:sz w:val="22"/>
          <w:szCs w:val="22"/>
          <w:u w:val="single"/>
        </w:rPr>
      </w:pPr>
      <w:r w:rsidRPr="005462B3">
        <w:rPr>
          <w:b/>
          <w:sz w:val="22"/>
          <w:szCs w:val="22"/>
          <w:u w:val="single"/>
        </w:rPr>
        <w:t xml:space="preserve">Setting-Led Needs Factors – </w:t>
      </w:r>
      <w:r w:rsidR="000A3DE9" w:rsidRPr="005462B3">
        <w:rPr>
          <w:b/>
          <w:sz w:val="22"/>
          <w:szCs w:val="22"/>
          <w:u w:val="single"/>
        </w:rPr>
        <w:t xml:space="preserve">Maintained </w:t>
      </w:r>
      <w:r w:rsidRPr="005462B3">
        <w:rPr>
          <w:b/>
          <w:sz w:val="22"/>
          <w:szCs w:val="22"/>
          <w:u w:val="single"/>
        </w:rPr>
        <w:t>Special Schools</w:t>
      </w:r>
      <w:r w:rsidR="004C1C0E" w:rsidRPr="005462B3">
        <w:rPr>
          <w:b/>
          <w:sz w:val="22"/>
          <w:szCs w:val="22"/>
          <w:u w:val="single"/>
        </w:rPr>
        <w:t xml:space="preserve"> &amp; Special </w:t>
      </w:r>
      <w:r w:rsidR="000A3DE9" w:rsidRPr="005462B3">
        <w:rPr>
          <w:b/>
          <w:sz w:val="22"/>
          <w:szCs w:val="22"/>
          <w:u w:val="single"/>
        </w:rPr>
        <w:t xml:space="preserve">School </w:t>
      </w:r>
      <w:r w:rsidR="004C1C0E" w:rsidRPr="005462B3">
        <w:rPr>
          <w:b/>
          <w:sz w:val="22"/>
          <w:szCs w:val="22"/>
          <w:u w:val="single"/>
        </w:rPr>
        <w:t>Academies</w:t>
      </w:r>
    </w:p>
    <w:p w14:paraId="1251CF02" w14:textId="77777777" w:rsidR="00890444" w:rsidRDefault="00890444" w:rsidP="00355873">
      <w:pPr>
        <w:jc w:val="both"/>
        <w:rPr>
          <w:sz w:val="22"/>
          <w:szCs w:val="22"/>
        </w:rPr>
      </w:pPr>
    </w:p>
    <w:p w14:paraId="677F3779" w14:textId="5EA3B270" w:rsidR="009879CD" w:rsidRPr="007A2A6A" w:rsidRDefault="009879CD" w:rsidP="00355873">
      <w:pPr>
        <w:numPr>
          <w:ilvl w:val="0"/>
          <w:numId w:val="2"/>
        </w:numPr>
        <w:tabs>
          <w:tab w:val="clear" w:pos="720"/>
          <w:tab w:val="num" w:pos="-1440"/>
        </w:tabs>
        <w:ind w:left="360"/>
        <w:jc w:val="both"/>
        <w:rPr>
          <w:sz w:val="22"/>
          <w:szCs w:val="22"/>
          <w:u w:val="single"/>
        </w:rPr>
      </w:pPr>
      <w:r>
        <w:rPr>
          <w:sz w:val="22"/>
          <w:szCs w:val="22"/>
          <w:u w:val="single"/>
        </w:rPr>
        <w:t xml:space="preserve">New </w:t>
      </w:r>
      <w:r w:rsidR="004C1C0E">
        <w:rPr>
          <w:sz w:val="22"/>
          <w:szCs w:val="22"/>
          <w:u w:val="single"/>
        </w:rPr>
        <w:t xml:space="preserve">Services </w:t>
      </w:r>
      <w:r>
        <w:rPr>
          <w:sz w:val="22"/>
          <w:szCs w:val="22"/>
          <w:u w:val="single"/>
        </w:rPr>
        <w:t>Delegation</w:t>
      </w:r>
      <w:r>
        <w:rPr>
          <w:sz w:val="22"/>
          <w:szCs w:val="22"/>
        </w:rPr>
        <w:t xml:space="preserve"> – an additional amount per pupil to reflect that stand alone </w:t>
      </w:r>
      <w:r w:rsidR="003D0A94">
        <w:rPr>
          <w:sz w:val="22"/>
          <w:szCs w:val="22"/>
        </w:rPr>
        <w:t>special schools</w:t>
      </w:r>
      <w:r w:rsidR="00355873">
        <w:rPr>
          <w:sz w:val="22"/>
          <w:szCs w:val="22"/>
        </w:rPr>
        <w:t xml:space="preserve"> and special school academies</w:t>
      </w:r>
      <w:r w:rsidR="003D0A94">
        <w:rPr>
          <w:sz w:val="22"/>
          <w:szCs w:val="22"/>
        </w:rPr>
        <w:t xml:space="preserve"> </w:t>
      </w:r>
      <w:r>
        <w:rPr>
          <w:sz w:val="22"/>
          <w:szCs w:val="22"/>
        </w:rPr>
        <w:t>cannot access de-delegated and centrally managed services wit</w:t>
      </w:r>
      <w:r w:rsidR="007077B7">
        <w:rPr>
          <w:sz w:val="22"/>
          <w:szCs w:val="22"/>
        </w:rPr>
        <w:t>hout charge –</w:t>
      </w:r>
      <w:r w:rsidR="000A3DE9" w:rsidRPr="007A2A6A">
        <w:rPr>
          <w:sz w:val="22"/>
          <w:szCs w:val="22"/>
        </w:rPr>
        <w:t xml:space="preserve"> set at a </w:t>
      </w:r>
      <w:r w:rsidR="000A3DE9" w:rsidRPr="00B11043">
        <w:rPr>
          <w:sz w:val="22"/>
          <w:szCs w:val="22"/>
        </w:rPr>
        <w:t xml:space="preserve">flat </w:t>
      </w:r>
      <w:r w:rsidR="00B11043" w:rsidRPr="00B11043">
        <w:rPr>
          <w:sz w:val="22"/>
          <w:szCs w:val="22"/>
        </w:rPr>
        <w:t>£449.88</w:t>
      </w:r>
      <w:r w:rsidRPr="00B11043">
        <w:rPr>
          <w:sz w:val="22"/>
          <w:szCs w:val="22"/>
        </w:rPr>
        <w:t xml:space="preserve"> per pupil</w:t>
      </w:r>
      <w:r w:rsidR="005462B3" w:rsidRPr="00B11043">
        <w:rPr>
          <w:sz w:val="22"/>
          <w:szCs w:val="22"/>
        </w:rPr>
        <w:t xml:space="preserve"> </w:t>
      </w:r>
      <w:r w:rsidR="005462B3" w:rsidRPr="007A2A6A">
        <w:rPr>
          <w:sz w:val="22"/>
          <w:szCs w:val="22"/>
        </w:rPr>
        <w:t>in</w:t>
      </w:r>
      <w:r w:rsidR="00DE345E">
        <w:rPr>
          <w:sz w:val="22"/>
          <w:szCs w:val="22"/>
        </w:rPr>
        <w:t xml:space="preserve"> 202</w:t>
      </w:r>
      <w:r w:rsidR="0057205D">
        <w:rPr>
          <w:sz w:val="22"/>
          <w:szCs w:val="22"/>
        </w:rPr>
        <w:t>4</w:t>
      </w:r>
      <w:r w:rsidR="00355873" w:rsidRPr="007A2A6A">
        <w:rPr>
          <w:sz w:val="22"/>
          <w:szCs w:val="22"/>
        </w:rPr>
        <w:t>/</w:t>
      </w:r>
      <w:r w:rsidR="00DE345E">
        <w:rPr>
          <w:sz w:val="22"/>
          <w:szCs w:val="22"/>
        </w:rPr>
        <w:t>2</w:t>
      </w:r>
      <w:r w:rsidR="0057205D">
        <w:rPr>
          <w:sz w:val="22"/>
          <w:szCs w:val="22"/>
        </w:rPr>
        <w:t>5</w:t>
      </w:r>
      <w:r w:rsidRPr="007A2A6A">
        <w:rPr>
          <w:sz w:val="22"/>
          <w:szCs w:val="22"/>
        </w:rPr>
        <w:t>. So a setting with 100 pupils receives</w:t>
      </w:r>
      <w:r w:rsidR="00355873" w:rsidRPr="007A2A6A">
        <w:rPr>
          <w:sz w:val="22"/>
          <w:szCs w:val="22"/>
        </w:rPr>
        <w:t xml:space="preserve"> 100 x £</w:t>
      </w:r>
      <w:r w:rsidR="00B11043">
        <w:rPr>
          <w:sz w:val="22"/>
          <w:szCs w:val="22"/>
        </w:rPr>
        <w:t>449.88</w:t>
      </w:r>
      <w:r w:rsidR="000A3DE9" w:rsidRPr="007A2A6A">
        <w:rPr>
          <w:sz w:val="22"/>
          <w:szCs w:val="22"/>
        </w:rPr>
        <w:t xml:space="preserve"> </w:t>
      </w:r>
      <w:r w:rsidR="00355873" w:rsidRPr="007A2A6A">
        <w:rPr>
          <w:sz w:val="22"/>
          <w:szCs w:val="22"/>
        </w:rPr>
        <w:t xml:space="preserve">= </w:t>
      </w:r>
      <w:r w:rsidR="00B11043">
        <w:rPr>
          <w:sz w:val="22"/>
          <w:szCs w:val="22"/>
        </w:rPr>
        <w:t>£44,988</w:t>
      </w:r>
      <w:r w:rsidR="003D0A94" w:rsidRPr="007A2A6A">
        <w:rPr>
          <w:sz w:val="22"/>
          <w:szCs w:val="22"/>
        </w:rPr>
        <w:t xml:space="preserve"> </w:t>
      </w:r>
      <w:r w:rsidRPr="007A2A6A">
        <w:rPr>
          <w:sz w:val="22"/>
          <w:szCs w:val="22"/>
        </w:rPr>
        <w:t>funding.</w:t>
      </w:r>
    </w:p>
    <w:p w14:paraId="167FFC32" w14:textId="77777777" w:rsidR="009879CD" w:rsidRPr="007A2A6A" w:rsidRDefault="009879CD" w:rsidP="00355873">
      <w:pPr>
        <w:jc w:val="both"/>
        <w:rPr>
          <w:sz w:val="22"/>
          <w:szCs w:val="22"/>
        </w:rPr>
      </w:pPr>
    </w:p>
    <w:p w14:paraId="46FAB878" w14:textId="77777777" w:rsidR="009879CD" w:rsidRPr="007A2A6A" w:rsidRDefault="009879CD" w:rsidP="00355873">
      <w:pPr>
        <w:numPr>
          <w:ilvl w:val="0"/>
          <w:numId w:val="2"/>
        </w:numPr>
        <w:tabs>
          <w:tab w:val="clear" w:pos="720"/>
          <w:tab w:val="num" w:pos="-1080"/>
        </w:tabs>
        <w:ind w:left="360"/>
        <w:jc w:val="both"/>
        <w:rPr>
          <w:sz w:val="22"/>
          <w:szCs w:val="22"/>
        </w:rPr>
      </w:pPr>
      <w:r w:rsidRPr="007A2A6A">
        <w:rPr>
          <w:sz w:val="22"/>
          <w:szCs w:val="22"/>
          <w:u w:val="single"/>
        </w:rPr>
        <w:t>Small Setting Protection</w:t>
      </w:r>
      <w:r w:rsidRPr="007A2A6A">
        <w:rPr>
          <w:sz w:val="22"/>
          <w:szCs w:val="22"/>
        </w:rPr>
        <w:t xml:space="preserve"> – an additional sum, for stand-alone settings with fewer than 75 places, to ensure a minimum level of funding for fixed costs. The</w:t>
      </w:r>
      <w:r w:rsidR="000A3DE9" w:rsidRPr="007A2A6A">
        <w:rPr>
          <w:sz w:val="22"/>
          <w:szCs w:val="22"/>
        </w:rPr>
        <w:t xml:space="preserve"> formula</w:t>
      </w:r>
      <w:r w:rsidRPr="007A2A6A">
        <w:rPr>
          <w:sz w:val="22"/>
          <w:szCs w:val="22"/>
        </w:rPr>
        <w:t xml:space="preserve"> is:</w:t>
      </w:r>
    </w:p>
    <w:p w14:paraId="1B83B72D" w14:textId="77777777" w:rsidR="003D0A94" w:rsidRPr="007A2A6A" w:rsidRDefault="003D0A94" w:rsidP="00355873">
      <w:pPr>
        <w:ind w:left="360"/>
        <w:jc w:val="both"/>
        <w:rPr>
          <w:sz w:val="22"/>
          <w:szCs w:val="22"/>
        </w:rPr>
      </w:pPr>
    </w:p>
    <w:p w14:paraId="2716FC2F" w14:textId="77777777" w:rsidR="009879CD" w:rsidRPr="007A2A6A" w:rsidRDefault="009879CD" w:rsidP="00355873">
      <w:pPr>
        <w:jc w:val="both"/>
        <w:rPr>
          <w:sz w:val="22"/>
          <w:szCs w:val="22"/>
        </w:rPr>
      </w:pPr>
      <w:r w:rsidRPr="007A2A6A">
        <w:rPr>
          <w:sz w:val="22"/>
          <w:szCs w:val="22"/>
        </w:rPr>
        <w:tab/>
        <w:t xml:space="preserve">A </w:t>
      </w:r>
      <w:r w:rsidRPr="007A2A6A">
        <w:rPr>
          <w:sz w:val="22"/>
          <w:szCs w:val="22"/>
        </w:rPr>
        <w:tab/>
        <w:t xml:space="preserve">(75 x £10,000 x 20%) </w:t>
      </w:r>
    </w:p>
    <w:p w14:paraId="37D571D0" w14:textId="3BEAABFA" w:rsidR="009879CD" w:rsidRPr="007A2A6A" w:rsidRDefault="009879CD" w:rsidP="00355873">
      <w:pPr>
        <w:jc w:val="both"/>
        <w:rPr>
          <w:sz w:val="22"/>
          <w:szCs w:val="22"/>
        </w:rPr>
      </w:pPr>
      <w:r w:rsidRPr="007A2A6A">
        <w:rPr>
          <w:sz w:val="22"/>
          <w:szCs w:val="22"/>
        </w:rPr>
        <w:tab/>
      </w:r>
      <w:r w:rsidR="005A43AE" w:rsidRPr="007A2A6A">
        <w:rPr>
          <w:sz w:val="22"/>
          <w:szCs w:val="22"/>
        </w:rPr>
        <w:t xml:space="preserve">B </w:t>
      </w:r>
      <w:r w:rsidR="005A43AE" w:rsidRPr="007A2A6A">
        <w:rPr>
          <w:sz w:val="22"/>
          <w:szCs w:val="22"/>
        </w:rPr>
        <w:tab/>
      </w:r>
      <w:r w:rsidRPr="007A2A6A">
        <w:rPr>
          <w:sz w:val="22"/>
          <w:szCs w:val="22"/>
        </w:rPr>
        <w:t xml:space="preserve">(setting’s place funding x 20%) </w:t>
      </w:r>
    </w:p>
    <w:p w14:paraId="127C1121" w14:textId="77777777" w:rsidR="009879CD" w:rsidRPr="007A2A6A" w:rsidRDefault="009879CD" w:rsidP="00355873">
      <w:pPr>
        <w:jc w:val="both"/>
        <w:rPr>
          <w:sz w:val="22"/>
          <w:szCs w:val="22"/>
        </w:rPr>
      </w:pPr>
      <w:r w:rsidRPr="007A2A6A">
        <w:rPr>
          <w:sz w:val="22"/>
          <w:szCs w:val="22"/>
        </w:rPr>
        <w:tab/>
        <w:t xml:space="preserve">= </w:t>
      </w:r>
      <w:r w:rsidR="00D32993">
        <w:rPr>
          <w:sz w:val="22"/>
          <w:szCs w:val="22"/>
        </w:rPr>
        <w:t>top-up</w:t>
      </w:r>
      <w:r w:rsidRPr="007A2A6A">
        <w:rPr>
          <w:sz w:val="22"/>
          <w:szCs w:val="22"/>
        </w:rPr>
        <w:t xml:space="preserve"> to the value of A where B is less than A</w:t>
      </w:r>
    </w:p>
    <w:p w14:paraId="3CA9ED4A" w14:textId="77777777" w:rsidR="009879CD" w:rsidRPr="007A2A6A" w:rsidRDefault="009879CD" w:rsidP="00355873">
      <w:pPr>
        <w:jc w:val="both"/>
        <w:rPr>
          <w:sz w:val="22"/>
          <w:szCs w:val="22"/>
        </w:rPr>
      </w:pPr>
    </w:p>
    <w:p w14:paraId="5E01029A" w14:textId="77777777" w:rsidR="00355873" w:rsidRPr="007A2A6A" w:rsidRDefault="00355873" w:rsidP="00355873">
      <w:pPr>
        <w:ind w:left="360"/>
        <w:jc w:val="both"/>
        <w:rPr>
          <w:sz w:val="22"/>
          <w:szCs w:val="22"/>
          <w:u w:val="single"/>
        </w:rPr>
      </w:pPr>
      <w:r w:rsidRPr="007A2A6A">
        <w:rPr>
          <w:sz w:val="22"/>
          <w:szCs w:val="22"/>
        </w:rPr>
        <w:t xml:space="preserve">As all special schools </w:t>
      </w:r>
      <w:r w:rsidR="00377184" w:rsidRPr="007A2A6A">
        <w:rPr>
          <w:sz w:val="22"/>
          <w:szCs w:val="22"/>
        </w:rPr>
        <w:t xml:space="preserve">and special school academies </w:t>
      </w:r>
      <w:r w:rsidRPr="007A2A6A">
        <w:rPr>
          <w:sz w:val="22"/>
          <w:szCs w:val="22"/>
        </w:rPr>
        <w:t xml:space="preserve">are now larger than 75, this is not a factor that is currently </w:t>
      </w:r>
      <w:r w:rsidR="00A36764">
        <w:rPr>
          <w:sz w:val="22"/>
          <w:szCs w:val="22"/>
        </w:rPr>
        <w:t>employed</w:t>
      </w:r>
      <w:r w:rsidRPr="007A2A6A">
        <w:rPr>
          <w:sz w:val="22"/>
          <w:szCs w:val="22"/>
        </w:rPr>
        <w:t>.</w:t>
      </w:r>
    </w:p>
    <w:p w14:paraId="67CDBC2A" w14:textId="77777777" w:rsidR="00355873" w:rsidRPr="007A2A6A" w:rsidRDefault="00355873" w:rsidP="00355873">
      <w:pPr>
        <w:jc w:val="both"/>
        <w:rPr>
          <w:sz w:val="22"/>
          <w:szCs w:val="22"/>
        </w:rPr>
      </w:pPr>
      <w:r w:rsidRPr="007A2A6A">
        <w:rPr>
          <w:sz w:val="22"/>
          <w:szCs w:val="22"/>
        </w:rPr>
        <w:tab/>
      </w:r>
    </w:p>
    <w:p w14:paraId="5AB87883" w14:textId="7D3E7E70" w:rsidR="009879CD" w:rsidRPr="001C07EB" w:rsidRDefault="009879CD" w:rsidP="00355873">
      <w:pPr>
        <w:numPr>
          <w:ilvl w:val="0"/>
          <w:numId w:val="2"/>
        </w:numPr>
        <w:tabs>
          <w:tab w:val="clear" w:pos="720"/>
          <w:tab w:val="num" w:pos="-720"/>
        </w:tabs>
        <w:ind w:left="360"/>
        <w:jc w:val="both"/>
        <w:rPr>
          <w:sz w:val="22"/>
          <w:szCs w:val="22"/>
          <w:u w:val="single"/>
        </w:rPr>
      </w:pPr>
      <w:r w:rsidRPr="007A2A6A">
        <w:rPr>
          <w:sz w:val="22"/>
          <w:szCs w:val="22"/>
          <w:u w:val="single"/>
        </w:rPr>
        <w:t>Split Sites</w:t>
      </w:r>
      <w:r w:rsidRPr="007A2A6A">
        <w:rPr>
          <w:sz w:val="22"/>
          <w:szCs w:val="22"/>
        </w:rPr>
        <w:t xml:space="preserve"> – an additional sum for </w:t>
      </w:r>
      <w:r w:rsidR="00377184" w:rsidRPr="007A2A6A">
        <w:rPr>
          <w:sz w:val="22"/>
          <w:szCs w:val="22"/>
        </w:rPr>
        <w:t xml:space="preserve">special </w:t>
      </w:r>
      <w:r w:rsidRPr="007A2A6A">
        <w:rPr>
          <w:sz w:val="22"/>
          <w:szCs w:val="22"/>
        </w:rPr>
        <w:t xml:space="preserve">schools </w:t>
      </w:r>
      <w:r w:rsidR="000A3DE9" w:rsidRPr="007A2A6A">
        <w:rPr>
          <w:sz w:val="22"/>
          <w:szCs w:val="22"/>
        </w:rPr>
        <w:t xml:space="preserve">and </w:t>
      </w:r>
      <w:r w:rsidR="00377184" w:rsidRPr="007A2A6A">
        <w:rPr>
          <w:sz w:val="22"/>
          <w:szCs w:val="22"/>
        </w:rPr>
        <w:t xml:space="preserve">special school </w:t>
      </w:r>
      <w:r w:rsidR="000A3DE9" w:rsidRPr="007A2A6A">
        <w:rPr>
          <w:sz w:val="22"/>
          <w:szCs w:val="22"/>
        </w:rPr>
        <w:t xml:space="preserve">academies </w:t>
      </w:r>
      <w:r w:rsidRPr="007A2A6A">
        <w:rPr>
          <w:sz w:val="22"/>
          <w:szCs w:val="22"/>
        </w:rPr>
        <w:t xml:space="preserve">that operate across </w:t>
      </w:r>
      <w:r w:rsidR="000A3DE9" w:rsidRPr="007A2A6A">
        <w:rPr>
          <w:sz w:val="22"/>
          <w:szCs w:val="22"/>
        </w:rPr>
        <w:t xml:space="preserve">split / satellite </w:t>
      </w:r>
      <w:r w:rsidRPr="007A2A6A">
        <w:rPr>
          <w:sz w:val="22"/>
          <w:szCs w:val="22"/>
        </w:rPr>
        <w:t>sites</w:t>
      </w:r>
      <w:r w:rsidR="000A3DE9" w:rsidRPr="007A2A6A">
        <w:rPr>
          <w:sz w:val="22"/>
          <w:szCs w:val="22"/>
        </w:rPr>
        <w:t xml:space="preserve">. The full year value </w:t>
      </w:r>
      <w:r w:rsidR="00A36764">
        <w:rPr>
          <w:sz w:val="22"/>
          <w:szCs w:val="22"/>
        </w:rPr>
        <w:t>of this lump sum is</w:t>
      </w:r>
      <w:r w:rsidR="00377184" w:rsidRPr="00B11043">
        <w:rPr>
          <w:sz w:val="22"/>
          <w:szCs w:val="22"/>
        </w:rPr>
        <w:t xml:space="preserve"> </w:t>
      </w:r>
      <w:r w:rsidR="004F509B" w:rsidRPr="00B11043">
        <w:rPr>
          <w:sz w:val="22"/>
          <w:szCs w:val="22"/>
        </w:rPr>
        <w:t>£</w:t>
      </w:r>
      <w:r w:rsidR="00B11043" w:rsidRPr="00B11043">
        <w:rPr>
          <w:sz w:val="22"/>
          <w:szCs w:val="22"/>
        </w:rPr>
        <w:t>226,74</w:t>
      </w:r>
      <w:r w:rsidR="00DE345E" w:rsidRPr="00B11043">
        <w:rPr>
          <w:sz w:val="22"/>
          <w:szCs w:val="22"/>
        </w:rPr>
        <w:t>0</w:t>
      </w:r>
      <w:r w:rsidR="00355873" w:rsidRPr="00B11043">
        <w:rPr>
          <w:sz w:val="22"/>
          <w:szCs w:val="22"/>
        </w:rPr>
        <w:t xml:space="preserve"> </w:t>
      </w:r>
      <w:r w:rsidR="00DE345E" w:rsidRPr="00B11043">
        <w:rPr>
          <w:sz w:val="22"/>
          <w:szCs w:val="22"/>
        </w:rPr>
        <w:t>in 202</w:t>
      </w:r>
      <w:r w:rsidR="0057205D">
        <w:rPr>
          <w:sz w:val="22"/>
          <w:szCs w:val="22"/>
        </w:rPr>
        <w:t>4</w:t>
      </w:r>
      <w:r w:rsidR="00DE345E" w:rsidRPr="00B11043">
        <w:rPr>
          <w:sz w:val="22"/>
          <w:szCs w:val="22"/>
        </w:rPr>
        <w:t>/2</w:t>
      </w:r>
      <w:r w:rsidR="0057205D">
        <w:rPr>
          <w:sz w:val="22"/>
          <w:szCs w:val="22"/>
        </w:rPr>
        <w:t>5</w:t>
      </w:r>
      <w:r w:rsidR="00355873" w:rsidRPr="00B11043">
        <w:rPr>
          <w:sz w:val="22"/>
          <w:szCs w:val="22"/>
        </w:rPr>
        <w:t>.</w:t>
      </w:r>
    </w:p>
    <w:p w14:paraId="71F430F3" w14:textId="77777777" w:rsidR="009879CD" w:rsidRPr="005B2B0F" w:rsidRDefault="009879CD" w:rsidP="00355873">
      <w:pPr>
        <w:ind w:left="360"/>
        <w:jc w:val="both"/>
        <w:rPr>
          <w:sz w:val="22"/>
          <w:szCs w:val="22"/>
          <w:u w:val="single"/>
        </w:rPr>
      </w:pPr>
    </w:p>
    <w:p w14:paraId="4006C1AE" w14:textId="768CAA57" w:rsidR="003D0A94" w:rsidRPr="00D33119" w:rsidRDefault="006F5C94" w:rsidP="00355873">
      <w:pPr>
        <w:numPr>
          <w:ilvl w:val="0"/>
          <w:numId w:val="2"/>
        </w:numPr>
        <w:tabs>
          <w:tab w:val="clear" w:pos="720"/>
          <w:tab w:val="num" w:pos="-360"/>
        </w:tabs>
        <w:ind w:left="360"/>
        <w:jc w:val="both"/>
        <w:rPr>
          <w:sz w:val="22"/>
          <w:szCs w:val="22"/>
          <w:u w:val="single"/>
        </w:rPr>
      </w:pPr>
      <w:r>
        <w:rPr>
          <w:sz w:val="22"/>
          <w:szCs w:val="22"/>
          <w:u w:val="single"/>
        </w:rPr>
        <w:t>Post-</w:t>
      </w:r>
      <w:r w:rsidR="009879CD" w:rsidRPr="00D33119">
        <w:rPr>
          <w:sz w:val="22"/>
          <w:szCs w:val="22"/>
          <w:u w:val="single"/>
        </w:rPr>
        <w:t>16 Places</w:t>
      </w:r>
      <w:r w:rsidR="009879CD" w:rsidRPr="00D33119">
        <w:rPr>
          <w:sz w:val="22"/>
          <w:szCs w:val="22"/>
        </w:rPr>
        <w:t xml:space="preserve"> – an </w:t>
      </w:r>
      <w:r>
        <w:rPr>
          <w:sz w:val="22"/>
          <w:szCs w:val="22"/>
        </w:rPr>
        <w:t>additional sum per Post-</w:t>
      </w:r>
      <w:r w:rsidR="009879CD" w:rsidRPr="00B11043">
        <w:rPr>
          <w:sz w:val="22"/>
          <w:szCs w:val="22"/>
        </w:rPr>
        <w:t>16 place, t</w:t>
      </w:r>
      <w:r w:rsidR="009968E9" w:rsidRPr="00B11043">
        <w:rPr>
          <w:sz w:val="22"/>
          <w:szCs w:val="22"/>
        </w:rPr>
        <w:t>o allocate an</w:t>
      </w:r>
      <w:r w:rsidR="004F509B" w:rsidRPr="00B11043">
        <w:rPr>
          <w:sz w:val="22"/>
          <w:szCs w:val="22"/>
        </w:rPr>
        <w:t xml:space="preserve"> additional </w:t>
      </w:r>
      <w:r w:rsidR="00D33119" w:rsidRPr="00B11043">
        <w:rPr>
          <w:sz w:val="22"/>
          <w:szCs w:val="22"/>
        </w:rPr>
        <w:t>£1,</w:t>
      </w:r>
      <w:r w:rsidR="00151C31">
        <w:rPr>
          <w:sz w:val="22"/>
          <w:szCs w:val="22"/>
        </w:rPr>
        <w:t>6</w:t>
      </w:r>
      <w:r w:rsidR="009879CD" w:rsidRPr="00B11043">
        <w:rPr>
          <w:sz w:val="22"/>
          <w:szCs w:val="22"/>
        </w:rPr>
        <w:t>00 per</w:t>
      </w:r>
      <w:r w:rsidR="005462B3" w:rsidRPr="00B11043">
        <w:rPr>
          <w:sz w:val="22"/>
          <w:szCs w:val="22"/>
        </w:rPr>
        <w:t xml:space="preserve"> </w:t>
      </w:r>
      <w:r w:rsidR="009879CD" w:rsidRPr="00B11043">
        <w:rPr>
          <w:sz w:val="22"/>
          <w:szCs w:val="22"/>
        </w:rPr>
        <w:t>place</w:t>
      </w:r>
      <w:r w:rsidR="004F509B" w:rsidRPr="00B11043">
        <w:rPr>
          <w:sz w:val="22"/>
          <w:szCs w:val="22"/>
        </w:rPr>
        <w:t xml:space="preserve">. </w:t>
      </w:r>
      <w:r w:rsidR="009879CD" w:rsidRPr="00B11043">
        <w:rPr>
          <w:sz w:val="22"/>
          <w:szCs w:val="22"/>
        </w:rPr>
        <w:t>This ensures</w:t>
      </w:r>
      <w:r>
        <w:rPr>
          <w:sz w:val="22"/>
          <w:szCs w:val="22"/>
        </w:rPr>
        <w:t xml:space="preserve"> that special schools with post-</w:t>
      </w:r>
      <w:r w:rsidR="009879CD" w:rsidRPr="00B11043">
        <w:rPr>
          <w:sz w:val="22"/>
          <w:szCs w:val="22"/>
        </w:rPr>
        <w:t xml:space="preserve">16 places </w:t>
      </w:r>
      <w:r w:rsidR="004F509B" w:rsidRPr="00B11043">
        <w:rPr>
          <w:sz w:val="22"/>
          <w:szCs w:val="22"/>
        </w:rPr>
        <w:t xml:space="preserve">receive the nationally set </w:t>
      </w:r>
      <w:r>
        <w:rPr>
          <w:sz w:val="22"/>
          <w:szCs w:val="22"/>
        </w:rPr>
        <w:t>DfE value of element 1 for post-</w:t>
      </w:r>
      <w:r w:rsidR="004F509B" w:rsidRPr="00B11043">
        <w:rPr>
          <w:sz w:val="22"/>
          <w:szCs w:val="22"/>
        </w:rPr>
        <w:t>16 pupils</w:t>
      </w:r>
      <w:r w:rsidR="0057205D">
        <w:rPr>
          <w:sz w:val="22"/>
          <w:szCs w:val="22"/>
        </w:rPr>
        <w:t>.</w:t>
      </w:r>
    </w:p>
    <w:p w14:paraId="5E40FD29" w14:textId="77777777" w:rsidR="00A03632" w:rsidRPr="003D0A94" w:rsidRDefault="00A03632" w:rsidP="00355873">
      <w:pPr>
        <w:ind w:left="360"/>
        <w:jc w:val="both"/>
        <w:rPr>
          <w:sz w:val="22"/>
          <w:szCs w:val="22"/>
          <w:u w:val="single"/>
        </w:rPr>
      </w:pPr>
    </w:p>
    <w:p w14:paraId="4E5B4506" w14:textId="36D43AC7" w:rsidR="00080D04" w:rsidRPr="005A43AE" w:rsidRDefault="004C1C0E" w:rsidP="00E37FC5">
      <w:pPr>
        <w:numPr>
          <w:ilvl w:val="0"/>
          <w:numId w:val="2"/>
        </w:numPr>
        <w:tabs>
          <w:tab w:val="clear" w:pos="720"/>
          <w:tab w:val="num" w:pos="0"/>
        </w:tabs>
        <w:ind w:left="360"/>
        <w:jc w:val="both"/>
        <w:rPr>
          <w:sz w:val="22"/>
          <w:szCs w:val="22"/>
          <w:u w:val="single"/>
        </w:rPr>
      </w:pPr>
      <w:r>
        <w:rPr>
          <w:color w:val="000000"/>
          <w:sz w:val="22"/>
          <w:szCs w:val="22"/>
          <w:u w:val="single"/>
        </w:rPr>
        <w:t xml:space="preserve">3% </w:t>
      </w:r>
      <w:r w:rsidR="009879CD" w:rsidRPr="004C1C0E">
        <w:rPr>
          <w:color w:val="000000"/>
          <w:sz w:val="22"/>
          <w:szCs w:val="22"/>
          <w:u w:val="single"/>
        </w:rPr>
        <w:t>Cash Budget Protection</w:t>
      </w:r>
      <w:r w:rsidR="009879CD" w:rsidRPr="004C1C0E">
        <w:rPr>
          <w:color w:val="000000"/>
          <w:sz w:val="22"/>
          <w:szCs w:val="22"/>
        </w:rPr>
        <w:t xml:space="preserve"> – an additional total cash budget </w:t>
      </w:r>
      <w:r w:rsidR="005462B3">
        <w:rPr>
          <w:color w:val="000000"/>
          <w:sz w:val="22"/>
          <w:szCs w:val="22"/>
        </w:rPr>
        <w:t xml:space="preserve">safety net </w:t>
      </w:r>
      <w:r w:rsidR="009879CD" w:rsidRPr="004C1C0E">
        <w:rPr>
          <w:color w:val="000000"/>
          <w:sz w:val="22"/>
          <w:szCs w:val="22"/>
        </w:rPr>
        <w:t>protection,</w:t>
      </w:r>
      <w:r>
        <w:rPr>
          <w:color w:val="000000"/>
          <w:sz w:val="22"/>
          <w:szCs w:val="22"/>
        </w:rPr>
        <w:t xml:space="preserve"> </w:t>
      </w:r>
      <w:r w:rsidR="009879CD" w:rsidRPr="004C1C0E">
        <w:rPr>
          <w:color w:val="000000"/>
          <w:sz w:val="22"/>
          <w:szCs w:val="22"/>
        </w:rPr>
        <w:t>which ensures that at no po</w:t>
      </w:r>
      <w:r w:rsidR="00E13622">
        <w:rPr>
          <w:color w:val="000000"/>
          <w:sz w:val="22"/>
          <w:szCs w:val="22"/>
        </w:rPr>
        <w:t>int during 202</w:t>
      </w:r>
      <w:r w:rsidR="0057205D">
        <w:rPr>
          <w:color w:val="000000"/>
          <w:sz w:val="22"/>
          <w:szCs w:val="22"/>
        </w:rPr>
        <w:t>4</w:t>
      </w:r>
      <w:r w:rsidR="00E13622">
        <w:rPr>
          <w:color w:val="000000"/>
          <w:sz w:val="22"/>
          <w:szCs w:val="22"/>
        </w:rPr>
        <w:t>/2</w:t>
      </w:r>
      <w:r w:rsidR="0057205D">
        <w:rPr>
          <w:color w:val="000000"/>
          <w:sz w:val="22"/>
          <w:szCs w:val="22"/>
        </w:rPr>
        <w:t>5</w:t>
      </w:r>
      <w:r w:rsidR="009879CD" w:rsidRPr="004C1C0E">
        <w:rPr>
          <w:color w:val="000000"/>
          <w:sz w:val="22"/>
          <w:szCs w:val="22"/>
        </w:rPr>
        <w:t xml:space="preserve"> will the total ‘Place Plus’ calculated </w:t>
      </w:r>
      <w:r w:rsidR="003D0A94">
        <w:rPr>
          <w:color w:val="000000"/>
          <w:sz w:val="22"/>
          <w:szCs w:val="22"/>
        </w:rPr>
        <w:t>budget for an individual special school</w:t>
      </w:r>
      <w:r w:rsidR="009879CD" w:rsidRPr="004C1C0E">
        <w:rPr>
          <w:color w:val="000000"/>
          <w:sz w:val="22"/>
          <w:szCs w:val="22"/>
        </w:rPr>
        <w:t xml:space="preserve"> be more tha</w:t>
      </w:r>
      <w:r w:rsidR="003D0A94">
        <w:rPr>
          <w:color w:val="000000"/>
          <w:sz w:val="22"/>
          <w:szCs w:val="22"/>
        </w:rPr>
        <w:t>n 3</w:t>
      </w:r>
      <w:r w:rsidR="004F509B">
        <w:rPr>
          <w:color w:val="000000"/>
          <w:sz w:val="22"/>
          <w:szCs w:val="22"/>
        </w:rPr>
        <w:t>% lower than</w:t>
      </w:r>
      <w:r w:rsidR="00E13622">
        <w:rPr>
          <w:color w:val="000000"/>
          <w:sz w:val="22"/>
          <w:szCs w:val="22"/>
        </w:rPr>
        <w:t xml:space="preserve"> the 202</w:t>
      </w:r>
      <w:r w:rsidR="0057205D">
        <w:rPr>
          <w:color w:val="000000"/>
          <w:sz w:val="22"/>
          <w:szCs w:val="22"/>
        </w:rPr>
        <w:t>3</w:t>
      </w:r>
      <w:r w:rsidR="00E13622">
        <w:rPr>
          <w:color w:val="000000"/>
          <w:sz w:val="22"/>
          <w:szCs w:val="22"/>
        </w:rPr>
        <w:t>/2</w:t>
      </w:r>
      <w:r w:rsidR="0057205D">
        <w:rPr>
          <w:color w:val="000000"/>
          <w:sz w:val="22"/>
          <w:szCs w:val="22"/>
        </w:rPr>
        <w:t>4</w:t>
      </w:r>
      <w:r w:rsidR="005462B3">
        <w:rPr>
          <w:color w:val="000000"/>
          <w:sz w:val="22"/>
          <w:szCs w:val="22"/>
        </w:rPr>
        <w:t xml:space="preserve"> total level of funding. </w:t>
      </w:r>
      <w:r w:rsidR="004F509B">
        <w:rPr>
          <w:color w:val="000000"/>
          <w:sz w:val="22"/>
          <w:szCs w:val="22"/>
        </w:rPr>
        <w:t>As most special schools are</w:t>
      </w:r>
      <w:r w:rsidR="005462B3">
        <w:rPr>
          <w:color w:val="000000"/>
          <w:sz w:val="22"/>
          <w:szCs w:val="22"/>
        </w:rPr>
        <w:t xml:space="preserve"> / have been</w:t>
      </w:r>
      <w:r w:rsidR="004F509B">
        <w:rPr>
          <w:color w:val="000000"/>
          <w:sz w:val="22"/>
          <w:szCs w:val="22"/>
        </w:rPr>
        <w:t xml:space="preserve"> increasing place</w:t>
      </w:r>
      <w:r w:rsidR="005462B3">
        <w:rPr>
          <w:color w:val="000000"/>
          <w:sz w:val="22"/>
          <w:szCs w:val="22"/>
        </w:rPr>
        <w:t>s</w:t>
      </w:r>
      <w:r w:rsidR="004F509B">
        <w:rPr>
          <w:color w:val="000000"/>
          <w:sz w:val="22"/>
          <w:szCs w:val="22"/>
        </w:rPr>
        <w:t>,</w:t>
      </w:r>
      <w:r w:rsidR="00377184">
        <w:rPr>
          <w:color w:val="000000"/>
          <w:sz w:val="22"/>
          <w:szCs w:val="22"/>
        </w:rPr>
        <w:t xml:space="preserve"> together with the uplifted Banded Model funding rates,</w:t>
      </w:r>
      <w:r w:rsidR="004F509B">
        <w:rPr>
          <w:color w:val="000000"/>
          <w:sz w:val="22"/>
          <w:szCs w:val="22"/>
        </w:rPr>
        <w:t xml:space="preserve"> this is not </w:t>
      </w:r>
      <w:r w:rsidR="00080D04">
        <w:rPr>
          <w:color w:val="000000"/>
          <w:sz w:val="22"/>
          <w:szCs w:val="22"/>
        </w:rPr>
        <w:t xml:space="preserve">a factor that </w:t>
      </w:r>
      <w:r w:rsidR="0057205D">
        <w:rPr>
          <w:color w:val="000000"/>
          <w:sz w:val="22"/>
          <w:szCs w:val="22"/>
        </w:rPr>
        <w:t>is</w:t>
      </w:r>
      <w:r w:rsidR="00080D04">
        <w:rPr>
          <w:color w:val="000000"/>
          <w:sz w:val="22"/>
          <w:szCs w:val="22"/>
        </w:rPr>
        <w:t xml:space="preserve"> needed in </w:t>
      </w:r>
      <w:r w:rsidR="005A43AE">
        <w:rPr>
          <w:color w:val="000000"/>
          <w:sz w:val="22"/>
          <w:szCs w:val="22"/>
        </w:rPr>
        <w:t>202</w:t>
      </w:r>
      <w:r w:rsidR="0057205D">
        <w:rPr>
          <w:color w:val="000000"/>
          <w:sz w:val="22"/>
          <w:szCs w:val="22"/>
        </w:rPr>
        <w:t>4</w:t>
      </w:r>
      <w:r w:rsidR="005A43AE">
        <w:rPr>
          <w:color w:val="000000"/>
          <w:sz w:val="22"/>
          <w:szCs w:val="22"/>
        </w:rPr>
        <w:t>/2</w:t>
      </w:r>
      <w:r w:rsidR="0057205D">
        <w:rPr>
          <w:color w:val="000000"/>
          <w:sz w:val="22"/>
          <w:szCs w:val="22"/>
        </w:rPr>
        <w:t>5</w:t>
      </w:r>
      <w:r w:rsidR="005A43AE">
        <w:rPr>
          <w:color w:val="000000"/>
          <w:sz w:val="22"/>
          <w:szCs w:val="22"/>
        </w:rPr>
        <w:t xml:space="preserve"> but</w:t>
      </w:r>
      <w:r w:rsidR="00A856BB">
        <w:rPr>
          <w:color w:val="000000"/>
          <w:sz w:val="22"/>
          <w:szCs w:val="22"/>
        </w:rPr>
        <w:t xml:space="preserve"> remain</w:t>
      </w:r>
      <w:r w:rsidR="005A43AE">
        <w:rPr>
          <w:color w:val="000000"/>
          <w:sz w:val="22"/>
          <w:szCs w:val="22"/>
        </w:rPr>
        <w:t>s</w:t>
      </w:r>
      <w:r w:rsidR="004F509B">
        <w:rPr>
          <w:color w:val="000000"/>
          <w:sz w:val="22"/>
          <w:szCs w:val="22"/>
        </w:rPr>
        <w:t xml:space="preserve"> in place to ensure a safety </w:t>
      </w:r>
      <w:r w:rsidR="005A43AE">
        <w:rPr>
          <w:color w:val="000000"/>
          <w:sz w:val="22"/>
          <w:szCs w:val="22"/>
        </w:rPr>
        <w:t>net.</w:t>
      </w:r>
    </w:p>
    <w:p w14:paraId="1E73C927" w14:textId="77777777" w:rsidR="00377184" w:rsidRDefault="00377184" w:rsidP="00E37FC5">
      <w:pPr>
        <w:jc w:val="both"/>
        <w:rPr>
          <w:sz w:val="22"/>
          <w:szCs w:val="22"/>
        </w:rPr>
      </w:pPr>
    </w:p>
    <w:p w14:paraId="5ECBEAA3" w14:textId="77777777" w:rsidR="005A43AE" w:rsidRDefault="005A43AE" w:rsidP="00E37FC5">
      <w:pPr>
        <w:jc w:val="both"/>
        <w:rPr>
          <w:sz w:val="22"/>
          <w:szCs w:val="22"/>
        </w:rPr>
      </w:pPr>
    </w:p>
    <w:p w14:paraId="5AF8AC11" w14:textId="77777777" w:rsidR="003D0A94" w:rsidRPr="000A3DE9" w:rsidRDefault="003D0A94" w:rsidP="003D0A94">
      <w:pPr>
        <w:jc w:val="both"/>
        <w:rPr>
          <w:sz w:val="22"/>
          <w:szCs w:val="22"/>
        </w:rPr>
      </w:pPr>
      <w:r w:rsidRPr="000A3DE9">
        <w:rPr>
          <w:b/>
          <w:sz w:val="22"/>
          <w:szCs w:val="22"/>
          <w:u w:val="single"/>
        </w:rPr>
        <w:t xml:space="preserve">Setting-Led Needs Factors – </w:t>
      </w:r>
      <w:r w:rsidR="00A03632" w:rsidRPr="000A3DE9">
        <w:rPr>
          <w:b/>
          <w:sz w:val="22"/>
          <w:szCs w:val="22"/>
          <w:u w:val="single"/>
        </w:rPr>
        <w:t xml:space="preserve">School-Led </w:t>
      </w:r>
      <w:r w:rsidRPr="000A3DE9">
        <w:rPr>
          <w:b/>
          <w:sz w:val="22"/>
          <w:szCs w:val="22"/>
          <w:u w:val="single"/>
        </w:rPr>
        <w:t>R</w:t>
      </w:r>
      <w:r w:rsidR="00A03632" w:rsidRPr="000A3DE9">
        <w:rPr>
          <w:b/>
          <w:sz w:val="22"/>
          <w:szCs w:val="22"/>
          <w:u w:val="single"/>
        </w:rPr>
        <w:t>esourced Provisions</w:t>
      </w:r>
      <w:r w:rsidR="00FC0D5E" w:rsidRPr="000A3DE9">
        <w:rPr>
          <w:b/>
          <w:sz w:val="22"/>
          <w:szCs w:val="22"/>
          <w:u w:val="single"/>
        </w:rPr>
        <w:t xml:space="preserve"> </w:t>
      </w:r>
      <w:r w:rsidRPr="000A3DE9">
        <w:rPr>
          <w:b/>
          <w:sz w:val="22"/>
          <w:szCs w:val="22"/>
          <w:u w:val="single"/>
        </w:rPr>
        <w:t>Mainstream Primary &amp; Secondary Schools</w:t>
      </w:r>
      <w:r w:rsidR="00FC0D5E" w:rsidRPr="000A3DE9">
        <w:rPr>
          <w:b/>
          <w:sz w:val="22"/>
          <w:szCs w:val="22"/>
          <w:u w:val="single"/>
        </w:rPr>
        <w:t xml:space="preserve"> and Academies</w:t>
      </w:r>
    </w:p>
    <w:p w14:paraId="10EDEC48" w14:textId="77777777" w:rsidR="00BE2009" w:rsidRPr="000A3DE9" w:rsidRDefault="00BE2009" w:rsidP="000A3DE9">
      <w:pPr>
        <w:jc w:val="both"/>
        <w:rPr>
          <w:sz w:val="22"/>
          <w:szCs w:val="22"/>
        </w:rPr>
      </w:pPr>
    </w:p>
    <w:p w14:paraId="128E5369" w14:textId="77777777" w:rsidR="00BE2009" w:rsidRDefault="00BE2009" w:rsidP="009564E6">
      <w:pPr>
        <w:numPr>
          <w:ilvl w:val="0"/>
          <w:numId w:val="6"/>
        </w:numPr>
        <w:ind w:left="360"/>
        <w:jc w:val="both"/>
        <w:rPr>
          <w:sz w:val="22"/>
          <w:szCs w:val="22"/>
        </w:rPr>
      </w:pPr>
      <w:r w:rsidRPr="0006685B">
        <w:rPr>
          <w:sz w:val="22"/>
          <w:szCs w:val="22"/>
          <w:u w:val="single"/>
        </w:rPr>
        <w:t>Small</w:t>
      </w:r>
      <w:r>
        <w:rPr>
          <w:sz w:val="22"/>
          <w:szCs w:val="22"/>
          <w:u w:val="single"/>
        </w:rPr>
        <w:t xml:space="preserve"> Setting</w:t>
      </w:r>
      <w:r w:rsidRPr="0006685B">
        <w:rPr>
          <w:sz w:val="22"/>
          <w:szCs w:val="22"/>
          <w:u w:val="single"/>
        </w:rPr>
        <w:t xml:space="preserve"> Protection</w:t>
      </w:r>
      <w:r w:rsidR="000A3DE9">
        <w:rPr>
          <w:sz w:val="22"/>
          <w:szCs w:val="22"/>
        </w:rPr>
        <w:t xml:space="preserve"> – an additional sum for provisions</w:t>
      </w:r>
      <w:r w:rsidR="00DA358B">
        <w:rPr>
          <w:sz w:val="22"/>
          <w:szCs w:val="22"/>
        </w:rPr>
        <w:t xml:space="preserve"> with fewer than 24</w:t>
      </w:r>
      <w:r>
        <w:rPr>
          <w:sz w:val="22"/>
          <w:szCs w:val="22"/>
        </w:rPr>
        <w:t xml:space="preserve"> </w:t>
      </w:r>
      <w:r w:rsidR="000A3DE9">
        <w:rPr>
          <w:sz w:val="22"/>
          <w:szCs w:val="22"/>
        </w:rPr>
        <w:t xml:space="preserve">FTE </w:t>
      </w:r>
      <w:r>
        <w:rPr>
          <w:sz w:val="22"/>
          <w:szCs w:val="22"/>
        </w:rPr>
        <w:t xml:space="preserve">places, to ensure a minimum level of funding for </w:t>
      </w:r>
      <w:r w:rsidR="000A3DE9">
        <w:rPr>
          <w:sz w:val="22"/>
          <w:szCs w:val="22"/>
        </w:rPr>
        <w:t xml:space="preserve">fixed costs. The formula </w:t>
      </w:r>
      <w:r>
        <w:rPr>
          <w:sz w:val="22"/>
          <w:szCs w:val="22"/>
        </w:rPr>
        <w:t>is:</w:t>
      </w:r>
    </w:p>
    <w:p w14:paraId="7922A108" w14:textId="77777777" w:rsidR="00BE2009" w:rsidRDefault="00BE2009" w:rsidP="00355873">
      <w:pPr>
        <w:pStyle w:val="ListParagraph"/>
        <w:ind w:left="360"/>
        <w:jc w:val="both"/>
        <w:rPr>
          <w:sz w:val="22"/>
          <w:szCs w:val="22"/>
        </w:rPr>
      </w:pPr>
    </w:p>
    <w:p w14:paraId="4088B175" w14:textId="77777777" w:rsidR="00DA358B" w:rsidRDefault="00DA358B" w:rsidP="00355873">
      <w:pPr>
        <w:jc w:val="both"/>
        <w:rPr>
          <w:sz w:val="22"/>
          <w:szCs w:val="22"/>
        </w:rPr>
      </w:pPr>
      <w:r>
        <w:rPr>
          <w:sz w:val="22"/>
          <w:szCs w:val="22"/>
        </w:rPr>
        <w:tab/>
        <w:t xml:space="preserve">A </w:t>
      </w:r>
      <w:r>
        <w:rPr>
          <w:sz w:val="22"/>
          <w:szCs w:val="22"/>
        </w:rPr>
        <w:tab/>
        <w:t>(24</w:t>
      </w:r>
      <w:r w:rsidR="000A3DE9">
        <w:rPr>
          <w:sz w:val="22"/>
          <w:szCs w:val="22"/>
        </w:rPr>
        <w:t xml:space="preserve"> FTE</w:t>
      </w:r>
      <w:r>
        <w:rPr>
          <w:sz w:val="22"/>
          <w:szCs w:val="22"/>
        </w:rPr>
        <w:t xml:space="preserve"> x £10,000 x 20%) </w:t>
      </w:r>
    </w:p>
    <w:p w14:paraId="570CB197" w14:textId="77777777" w:rsidR="00DA358B" w:rsidRDefault="00DA358B" w:rsidP="00355873">
      <w:pPr>
        <w:jc w:val="both"/>
        <w:rPr>
          <w:sz w:val="22"/>
          <w:szCs w:val="22"/>
        </w:rPr>
      </w:pPr>
      <w:r>
        <w:rPr>
          <w:sz w:val="22"/>
          <w:szCs w:val="22"/>
        </w:rPr>
        <w:tab/>
        <w:t xml:space="preserve">B  </w:t>
      </w:r>
      <w:r>
        <w:rPr>
          <w:sz w:val="22"/>
          <w:szCs w:val="22"/>
        </w:rPr>
        <w:tab/>
        <w:t>(setting’s place funding</w:t>
      </w:r>
      <w:r w:rsidR="00133239">
        <w:rPr>
          <w:sz w:val="22"/>
          <w:szCs w:val="22"/>
        </w:rPr>
        <w:t xml:space="preserve"> (where each</w:t>
      </w:r>
      <w:r w:rsidR="00BA58DD">
        <w:rPr>
          <w:sz w:val="22"/>
          <w:szCs w:val="22"/>
        </w:rPr>
        <w:t xml:space="preserve"> place is worth £10,000)</w:t>
      </w:r>
      <w:r>
        <w:rPr>
          <w:sz w:val="22"/>
          <w:szCs w:val="22"/>
        </w:rPr>
        <w:t xml:space="preserve"> x 20%) </w:t>
      </w:r>
    </w:p>
    <w:p w14:paraId="1D05D0C3" w14:textId="77777777" w:rsidR="00DA358B" w:rsidRPr="00133239" w:rsidRDefault="00DA358B" w:rsidP="00355873">
      <w:pPr>
        <w:jc w:val="both"/>
        <w:rPr>
          <w:sz w:val="22"/>
          <w:szCs w:val="22"/>
        </w:rPr>
      </w:pPr>
      <w:r>
        <w:rPr>
          <w:sz w:val="22"/>
          <w:szCs w:val="22"/>
        </w:rPr>
        <w:tab/>
        <w:t xml:space="preserve">= </w:t>
      </w:r>
      <w:r w:rsidR="00D32993">
        <w:rPr>
          <w:sz w:val="22"/>
          <w:szCs w:val="22"/>
        </w:rPr>
        <w:t>top-up</w:t>
      </w:r>
      <w:r>
        <w:rPr>
          <w:sz w:val="22"/>
          <w:szCs w:val="22"/>
        </w:rPr>
        <w:t xml:space="preserve"> to the value of A where B is less than A</w:t>
      </w:r>
    </w:p>
    <w:p w14:paraId="032699B1" w14:textId="77777777" w:rsidR="00DA358B" w:rsidRDefault="00DA358B" w:rsidP="00355873">
      <w:pPr>
        <w:pStyle w:val="ListParagraph"/>
        <w:ind w:left="360"/>
        <w:jc w:val="both"/>
        <w:rPr>
          <w:sz w:val="22"/>
          <w:szCs w:val="22"/>
        </w:rPr>
      </w:pPr>
    </w:p>
    <w:p w14:paraId="7AE2CE66" w14:textId="77777777" w:rsidR="00BE2009" w:rsidRPr="00355873" w:rsidRDefault="00BE2009" w:rsidP="009564E6">
      <w:pPr>
        <w:pStyle w:val="ListParagraph"/>
        <w:numPr>
          <w:ilvl w:val="0"/>
          <w:numId w:val="6"/>
        </w:numPr>
        <w:ind w:left="360"/>
        <w:jc w:val="both"/>
        <w:rPr>
          <w:sz w:val="22"/>
          <w:szCs w:val="22"/>
        </w:rPr>
      </w:pPr>
      <w:r>
        <w:rPr>
          <w:color w:val="000000"/>
          <w:sz w:val="22"/>
          <w:szCs w:val="22"/>
          <w:u w:val="single"/>
        </w:rPr>
        <w:t xml:space="preserve">3% </w:t>
      </w:r>
      <w:r w:rsidRPr="004C1C0E">
        <w:rPr>
          <w:color w:val="000000"/>
          <w:sz w:val="22"/>
          <w:szCs w:val="22"/>
          <w:u w:val="single"/>
        </w:rPr>
        <w:t>Cash Budget Protection</w:t>
      </w:r>
      <w:r>
        <w:rPr>
          <w:color w:val="000000"/>
          <w:sz w:val="22"/>
          <w:szCs w:val="22"/>
        </w:rPr>
        <w:t xml:space="preserve"> – as special schools above.</w:t>
      </w:r>
    </w:p>
    <w:p w14:paraId="6A151A9D" w14:textId="77777777" w:rsidR="00355873" w:rsidRPr="00BE2009" w:rsidRDefault="00355873" w:rsidP="00355873">
      <w:pPr>
        <w:pStyle w:val="ListParagraph"/>
        <w:ind w:left="360"/>
        <w:jc w:val="both"/>
        <w:rPr>
          <w:sz w:val="22"/>
          <w:szCs w:val="22"/>
        </w:rPr>
      </w:pPr>
    </w:p>
    <w:p w14:paraId="46AAD7AB" w14:textId="77777777" w:rsidR="005462B3" w:rsidRDefault="005462B3" w:rsidP="001B416B">
      <w:pPr>
        <w:jc w:val="both"/>
        <w:rPr>
          <w:sz w:val="22"/>
          <w:szCs w:val="22"/>
        </w:rPr>
      </w:pPr>
    </w:p>
    <w:p w14:paraId="2320A4C6" w14:textId="77777777" w:rsidR="00DE345E" w:rsidRPr="000A3DE9" w:rsidRDefault="00DE345E" w:rsidP="00DE345E">
      <w:pPr>
        <w:jc w:val="both"/>
        <w:rPr>
          <w:sz w:val="22"/>
          <w:szCs w:val="22"/>
        </w:rPr>
      </w:pPr>
      <w:r w:rsidRPr="000A3DE9">
        <w:rPr>
          <w:b/>
          <w:sz w:val="22"/>
          <w:szCs w:val="22"/>
          <w:u w:val="single"/>
        </w:rPr>
        <w:t xml:space="preserve">Setting-Led Needs Factors – </w:t>
      </w:r>
      <w:r>
        <w:rPr>
          <w:b/>
          <w:sz w:val="22"/>
          <w:szCs w:val="22"/>
          <w:u w:val="single"/>
        </w:rPr>
        <w:t>Local Authority</w:t>
      </w:r>
      <w:r w:rsidRPr="000A3DE9">
        <w:rPr>
          <w:b/>
          <w:sz w:val="22"/>
          <w:szCs w:val="22"/>
          <w:u w:val="single"/>
        </w:rPr>
        <w:t>-Led Resourced Provisions Mainstream Primary &amp; Secondary Schools and Academies</w:t>
      </w:r>
      <w:r>
        <w:rPr>
          <w:b/>
          <w:sz w:val="22"/>
          <w:szCs w:val="22"/>
          <w:u w:val="single"/>
        </w:rPr>
        <w:t xml:space="preserve"> (both Sensory and SEMH)</w:t>
      </w:r>
    </w:p>
    <w:p w14:paraId="365DF7C1" w14:textId="77777777" w:rsidR="00DE345E" w:rsidRDefault="00DE345E" w:rsidP="00DE345E">
      <w:pPr>
        <w:jc w:val="both"/>
        <w:rPr>
          <w:sz w:val="22"/>
          <w:szCs w:val="22"/>
        </w:rPr>
      </w:pPr>
    </w:p>
    <w:p w14:paraId="4DF666F4" w14:textId="77777777" w:rsidR="00DE345E" w:rsidRDefault="00DE345E" w:rsidP="00DE345E">
      <w:pPr>
        <w:jc w:val="both"/>
        <w:rPr>
          <w:sz w:val="22"/>
          <w:szCs w:val="22"/>
        </w:rPr>
      </w:pPr>
      <w:r>
        <w:rPr>
          <w:sz w:val="22"/>
          <w:szCs w:val="22"/>
        </w:rPr>
        <w:t xml:space="preserve">Please note that the Local Authority retains this </w:t>
      </w:r>
      <w:r w:rsidR="00D32993">
        <w:rPr>
          <w:sz w:val="22"/>
          <w:szCs w:val="22"/>
        </w:rPr>
        <w:t>top-up</w:t>
      </w:r>
      <w:r>
        <w:rPr>
          <w:sz w:val="22"/>
          <w:szCs w:val="22"/>
        </w:rPr>
        <w:t xml:space="preserve"> funding.</w:t>
      </w:r>
    </w:p>
    <w:p w14:paraId="00D86F31" w14:textId="77777777" w:rsidR="00DE345E" w:rsidRPr="000A3DE9" w:rsidRDefault="00DE345E" w:rsidP="00DE345E">
      <w:pPr>
        <w:jc w:val="both"/>
        <w:rPr>
          <w:sz w:val="22"/>
          <w:szCs w:val="22"/>
        </w:rPr>
      </w:pPr>
    </w:p>
    <w:p w14:paraId="0A2E6865" w14:textId="77777777" w:rsidR="00DE345E" w:rsidRDefault="00DE345E" w:rsidP="009564E6">
      <w:pPr>
        <w:numPr>
          <w:ilvl w:val="0"/>
          <w:numId w:val="6"/>
        </w:numPr>
        <w:ind w:left="360"/>
        <w:jc w:val="both"/>
        <w:rPr>
          <w:sz w:val="22"/>
          <w:szCs w:val="22"/>
        </w:rPr>
      </w:pPr>
      <w:r w:rsidRPr="0006685B">
        <w:rPr>
          <w:sz w:val="22"/>
          <w:szCs w:val="22"/>
          <w:u w:val="single"/>
        </w:rPr>
        <w:t>Small</w:t>
      </w:r>
      <w:r>
        <w:rPr>
          <w:sz w:val="22"/>
          <w:szCs w:val="22"/>
          <w:u w:val="single"/>
        </w:rPr>
        <w:t xml:space="preserve"> Setting</w:t>
      </w:r>
      <w:r w:rsidRPr="0006685B">
        <w:rPr>
          <w:sz w:val="22"/>
          <w:szCs w:val="22"/>
          <w:u w:val="single"/>
        </w:rPr>
        <w:t xml:space="preserve"> Protection</w:t>
      </w:r>
      <w:r>
        <w:rPr>
          <w:sz w:val="22"/>
          <w:szCs w:val="22"/>
        </w:rPr>
        <w:t xml:space="preserve"> – an additional sum for provisions with fewer than 24 FTE places, to ensure a minimum level of funding for fixed costs. The formula is:</w:t>
      </w:r>
    </w:p>
    <w:p w14:paraId="3167AA02" w14:textId="77777777" w:rsidR="00DE345E" w:rsidRDefault="00DE345E" w:rsidP="00DE345E">
      <w:pPr>
        <w:pStyle w:val="ListParagraph"/>
        <w:ind w:left="360"/>
        <w:jc w:val="both"/>
        <w:rPr>
          <w:sz w:val="22"/>
          <w:szCs w:val="22"/>
        </w:rPr>
      </w:pPr>
    </w:p>
    <w:p w14:paraId="70F1E05C" w14:textId="77777777" w:rsidR="00DE345E" w:rsidRDefault="00DE345E" w:rsidP="00DE345E">
      <w:pPr>
        <w:jc w:val="both"/>
        <w:rPr>
          <w:sz w:val="22"/>
          <w:szCs w:val="22"/>
        </w:rPr>
      </w:pPr>
      <w:r>
        <w:rPr>
          <w:sz w:val="22"/>
          <w:szCs w:val="22"/>
        </w:rPr>
        <w:tab/>
        <w:t xml:space="preserve">A </w:t>
      </w:r>
      <w:r>
        <w:rPr>
          <w:sz w:val="22"/>
          <w:szCs w:val="22"/>
        </w:rPr>
        <w:tab/>
        <w:t xml:space="preserve">(24 FTE x £10,000 x 20%) </w:t>
      </w:r>
    </w:p>
    <w:p w14:paraId="0A391283" w14:textId="332388BA" w:rsidR="00DE345E" w:rsidRDefault="00DE345E" w:rsidP="00DE345E">
      <w:pPr>
        <w:jc w:val="both"/>
        <w:rPr>
          <w:sz w:val="22"/>
          <w:szCs w:val="22"/>
        </w:rPr>
      </w:pPr>
      <w:r>
        <w:rPr>
          <w:sz w:val="22"/>
          <w:szCs w:val="22"/>
        </w:rPr>
        <w:tab/>
      </w:r>
      <w:r w:rsidR="00A57A21">
        <w:rPr>
          <w:sz w:val="22"/>
          <w:szCs w:val="22"/>
        </w:rPr>
        <w:t xml:space="preserve">B </w:t>
      </w:r>
      <w:r w:rsidR="00A57A21">
        <w:rPr>
          <w:sz w:val="22"/>
          <w:szCs w:val="22"/>
        </w:rPr>
        <w:tab/>
      </w:r>
      <w:r>
        <w:rPr>
          <w:sz w:val="22"/>
          <w:szCs w:val="22"/>
        </w:rPr>
        <w:t xml:space="preserve">(setting’s place funding (where each place is worth £10,000) x 20%) </w:t>
      </w:r>
    </w:p>
    <w:p w14:paraId="4A87E8CE" w14:textId="77777777" w:rsidR="00DE345E" w:rsidRPr="00133239" w:rsidRDefault="00DE345E" w:rsidP="00DE345E">
      <w:pPr>
        <w:jc w:val="both"/>
        <w:rPr>
          <w:sz w:val="22"/>
          <w:szCs w:val="22"/>
        </w:rPr>
      </w:pPr>
      <w:r>
        <w:rPr>
          <w:sz w:val="22"/>
          <w:szCs w:val="22"/>
        </w:rPr>
        <w:tab/>
        <w:t xml:space="preserve">= </w:t>
      </w:r>
      <w:r w:rsidR="00D32993">
        <w:rPr>
          <w:sz w:val="22"/>
          <w:szCs w:val="22"/>
        </w:rPr>
        <w:t>top-up</w:t>
      </w:r>
      <w:r>
        <w:rPr>
          <w:sz w:val="22"/>
          <w:szCs w:val="22"/>
        </w:rPr>
        <w:t xml:space="preserve"> to the value of A where B is less than A</w:t>
      </w:r>
    </w:p>
    <w:p w14:paraId="44DD994B" w14:textId="77777777" w:rsidR="00DE345E" w:rsidRDefault="00DE345E" w:rsidP="00A03632">
      <w:pPr>
        <w:jc w:val="both"/>
        <w:rPr>
          <w:b/>
          <w:sz w:val="22"/>
          <w:szCs w:val="22"/>
          <w:u w:val="single"/>
        </w:rPr>
      </w:pPr>
    </w:p>
    <w:p w14:paraId="044EA0B3" w14:textId="77777777" w:rsidR="00DE345E" w:rsidRDefault="00DE345E" w:rsidP="00A03632">
      <w:pPr>
        <w:jc w:val="both"/>
        <w:rPr>
          <w:b/>
          <w:sz w:val="22"/>
          <w:szCs w:val="22"/>
          <w:u w:val="single"/>
        </w:rPr>
      </w:pPr>
    </w:p>
    <w:p w14:paraId="5777AD52" w14:textId="77777777" w:rsidR="00A03632" w:rsidRPr="000A3DE9" w:rsidRDefault="00A03632" w:rsidP="00A03632">
      <w:pPr>
        <w:jc w:val="both"/>
        <w:rPr>
          <w:sz w:val="22"/>
          <w:szCs w:val="22"/>
        </w:rPr>
      </w:pPr>
      <w:r w:rsidRPr="000A3DE9">
        <w:rPr>
          <w:b/>
          <w:sz w:val="22"/>
          <w:szCs w:val="22"/>
          <w:u w:val="single"/>
        </w:rPr>
        <w:t>Setting-Led Needs Factors – E</w:t>
      </w:r>
      <w:r w:rsidR="000A3DE9" w:rsidRPr="000A3DE9">
        <w:rPr>
          <w:b/>
          <w:sz w:val="22"/>
          <w:szCs w:val="22"/>
          <w:u w:val="single"/>
        </w:rPr>
        <w:t>arly Years Enhanced Specialist Provisions</w:t>
      </w:r>
    </w:p>
    <w:p w14:paraId="254108C5" w14:textId="77777777" w:rsidR="001F06CE" w:rsidRDefault="001F06CE" w:rsidP="001B416B">
      <w:pPr>
        <w:jc w:val="both"/>
        <w:rPr>
          <w:sz w:val="22"/>
          <w:szCs w:val="22"/>
        </w:rPr>
      </w:pPr>
    </w:p>
    <w:p w14:paraId="4AFA2936" w14:textId="77777777" w:rsidR="000A3DE9" w:rsidRPr="00355873" w:rsidRDefault="000A3DE9" w:rsidP="009564E6">
      <w:pPr>
        <w:pStyle w:val="ListParagraph"/>
        <w:numPr>
          <w:ilvl w:val="0"/>
          <w:numId w:val="6"/>
        </w:numPr>
        <w:ind w:left="360"/>
        <w:jc w:val="both"/>
        <w:rPr>
          <w:color w:val="000000"/>
          <w:sz w:val="22"/>
          <w:szCs w:val="22"/>
          <w:u w:val="single"/>
        </w:rPr>
      </w:pPr>
      <w:r w:rsidRPr="00355873">
        <w:rPr>
          <w:color w:val="000000"/>
          <w:sz w:val="22"/>
          <w:szCs w:val="22"/>
          <w:u w:val="single"/>
        </w:rPr>
        <w:t xml:space="preserve">Small Setting </w:t>
      </w:r>
      <w:r w:rsidRPr="0046317B">
        <w:rPr>
          <w:color w:val="000000"/>
          <w:sz w:val="22"/>
          <w:szCs w:val="22"/>
          <w:u w:val="single"/>
        </w:rPr>
        <w:t>Protection</w:t>
      </w:r>
      <w:r w:rsidRPr="0046317B">
        <w:rPr>
          <w:color w:val="000000"/>
          <w:sz w:val="22"/>
          <w:szCs w:val="22"/>
        </w:rPr>
        <w:t xml:space="preserve"> –</w:t>
      </w:r>
      <w:r w:rsidR="0046317B" w:rsidRPr="0046317B">
        <w:rPr>
          <w:color w:val="000000"/>
          <w:sz w:val="22"/>
          <w:szCs w:val="22"/>
        </w:rPr>
        <w:t xml:space="preserve"> as</w:t>
      </w:r>
      <w:r w:rsidRPr="0046317B">
        <w:rPr>
          <w:color w:val="000000"/>
          <w:sz w:val="22"/>
          <w:szCs w:val="22"/>
        </w:rPr>
        <w:t xml:space="preserve"> School-Led Resourced Provisions above.</w:t>
      </w:r>
    </w:p>
    <w:p w14:paraId="7A0BC691" w14:textId="77777777" w:rsidR="001F06CE" w:rsidRDefault="001F06CE" w:rsidP="001B416B">
      <w:pPr>
        <w:jc w:val="both"/>
        <w:rPr>
          <w:sz w:val="22"/>
          <w:szCs w:val="22"/>
        </w:rPr>
      </w:pPr>
    </w:p>
    <w:p w14:paraId="30CDB398" w14:textId="77777777" w:rsidR="00E37FC5" w:rsidRDefault="00E37FC5" w:rsidP="00E37FC5">
      <w:pPr>
        <w:jc w:val="both"/>
        <w:rPr>
          <w:sz w:val="22"/>
          <w:szCs w:val="22"/>
        </w:rPr>
      </w:pPr>
    </w:p>
    <w:p w14:paraId="5E6F9F11" w14:textId="77777777" w:rsidR="00C87C73" w:rsidRDefault="00C87C73" w:rsidP="00E37FC5">
      <w:pPr>
        <w:jc w:val="both"/>
        <w:rPr>
          <w:sz w:val="22"/>
          <w:szCs w:val="22"/>
        </w:rPr>
      </w:pPr>
    </w:p>
    <w:p w14:paraId="7B3628A3" w14:textId="77777777" w:rsidR="00C87C73" w:rsidRDefault="00C87C73" w:rsidP="00E37FC5">
      <w:pPr>
        <w:jc w:val="both"/>
        <w:rPr>
          <w:sz w:val="22"/>
          <w:szCs w:val="22"/>
        </w:rPr>
      </w:pPr>
    </w:p>
    <w:p w14:paraId="67C1F0C5" w14:textId="77777777" w:rsidR="00C87C73" w:rsidRDefault="00C87C73" w:rsidP="00E37FC5">
      <w:pPr>
        <w:jc w:val="both"/>
        <w:rPr>
          <w:sz w:val="22"/>
          <w:szCs w:val="22"/>
        </w:rPr>
      </w:pPr>
    </w:p>
    <w:p w14:paraId="163EA3A4" w14:textId="77777777" w:rsidR="00C87C73" w:rsidRDefault="00C87C73" w:rsidP="00E37FC5">
      <w:pPr>
        <w:jc w:val="both"/>
        <w:rPr>
          <w:sz w:val="22"/>
          <w:szCs w:val="22"/>
        </w:rPr>
      </w:pPr>
    </w:p>
    <w:p w14:paraId="7C187788" w14:textId="77777777" w:rsidR="00C87C73" w:rsidRDefault="00C87C73" w:rsidP="00E37FC5">
      <w:pPr>
        <w:jc w:val="both"/>
        <w:rPr>
          <w:sz w:val="22"/>
          <w:szCs w:val="22"/>
        </w:rPr>
      </w:pPr>
    </w:p>
    <w:p w14:paraId="678AB200" w14:textId="77777777" w:rsidR="00133F30" w:rsidRDefault="00133F30" w:rsidP="00E37FC5">
      <w:pPr>
        <w:jc w:val="both"/>
        <w:rPr>
          <w:sz w:val="22"/>
          <w:szCs w:val="22"/>
        </w:rPr>
      </w:pPr>
    </w:p>
    <w:p w14:paraId="576EB47E" w14:textId="77777777" w:rsidR="00133F30" w:rsidRDefault="00133F30" w:rsidP="00E37FC5">
      <w:pPr>
        <w:jc w:val="both"/>
        <w:rPr>
          <w:sz w:val="22"/>
          <w:szCs w:val="22"/>
        </w:rPr>
      </w:pPr>
    </w:p>
    <w:p w14:paraId="56FD8A10" w14:textId="77777777" w:rsidR="00133F30" w:rsidRDefault="00133F30" w:rsidP="00E37FC5">
      <w:pPr>
        <w:jc w:val="both"/>
        <w:rPr>
          <w:sz w:val="22"/>
          <w:szCs w:val="22"/>
        </w:rPr>
      </w:pPr>
    </w:p>
    <w:p w14:paraId="247BBB29" w14:textId="77777777" w:rsidR="00133F30" w:rsidRDefault="00133F30" w:rsidP="00E37FC5">
      <w:pPr>
        <w:jc w:val="both"/>
        <w:rPr>
          <w:sz w:val="22"/>
          <w:szCs w:val="22"/>
        </w:rPr>
      </w:pPr>
    </w:p>
    <w:p w14:paraId="44F282BD" w14:textId="77777777" w:rsidR="00133F30" w:rsidRDefault="00133F30" w:rsidP="00E37FC5">
      <w:pPr>
        <w:jc w:val="both"/>
        <w:rPr>
          <w:sz w:val="22"/>
          <w:szCs w:val="22"/>
        </w:rPr>
      </w:pPr>
    </w:p>
    <w:p w14:paraId="3EA33DD2" w14:textId="77777777" w:rsidR="00133F30" w:rsidRDefault="00133F30" w:rsidP="00E37FC5">
      <w:pPr>
        <w:jc w:val="both"/>
        <w:rPr>
          <w:sz w:val="22"/>
          <w:szCs w:val="22"/>
        </w:rPr>
      </w:pPr>
    </w:p>
    <w:p w14:paraId="43775391" w14:textId="77777777" w:rsidR="00133F30" w:rsidRDefault="00133F30" w:rsidP="00E37FC5">
      <w:pPr>
        <w:jc w:val="both"/>
        <w:rPr>
          <w:sz w:val="22"/>
          <w:szCs w:val="22"/>
        </w:rPr>
      </w:pPr>
    </w:p>
    <w:p w14:paraId="152139D4" w14:textId="77777777" w:rsidR="00133F30" w:rsidRDefault="00133F30" w:rsidP="00E37FC5">
      <w:pPr>
        <w:jc w:val="both"/>
        <w:rPr>
          <w:sz w:val="22"/>
          <w:szCs w:val="22"/>
        </w:rPr>
      </w:pPr>
    </w:p>
    <w:p w14:paraId="3AD75A36" w14:textId="77777777" w:rsidR="00133F30" w:rsidRDefault="00133F30" w:rsidP="00E37FC5">
      <w:pPr>
        <w:jc w:val="both"/>
        <w:rPr>
          <w:sz w:val="22"/>
          <w:szCs w:val="22"/>
        </w:rPr>
      </w:pPr>
    </w:p>
    <w:p w14:paraId="631EBBA6" w14:textId="77777777" w:rsidR="00133F30" w:rsidRDefault="00133F30" w:rsidP="00E37FC5">
      <w:pPr>
        <w:jc w:val="both"/>
        <w:rPr>
          <w:sz w:val="22"/>
          <w:szCs w:val="22"/>
        </w:rPr>
      </w:pPr>
    </w:p>
    <w:p w14:paraId="1D8C5456" w14:textId="77777777" w:rsidR="00133F30" w:rsidRDefault="00133F30" w:rsidP="00E37FC5">
      <w:pPr>
        <w:jc w:val="both"/>
        <w:rPr>
          <w:sz w:val="22"/>
          <w:szCs w:val="22"/>
        </w:rPr>
      </w:pPr>
    </w:p>
    <w:p w14:paraId="38B0591A" w14:textId="77777777" w:rsidR="00133F30" w:rsidRDefault="00133F30" w:rsidP="00E37FC5">
      <w:pPr>
        <w:jc w:val="both"/>
        <w:rPr>
          <w:sz w:val="22"/>
          <w:szCs w:val="22"/>
        </w:rPr>
      </w:pPr>
    </w:p>
    <w:p w14:paraId="087B3D24" w14:textId="77777777" w:rsidR="00133F30" w:rsidRDefault="00133F30" w:rsidP="00E37FC5">
      <w:pPr>
        <w:jc w:val="both"/>
        <w:rPr>
          <w:sz w:val="22"/>
          <w:szCs w:val="22"/>
        </w:rPr>
      </w:pPr>
    </w:p>
    <w:p w14:paraId="4AC29738" w14:textId="77777777" w:rsidR="00133F30" w:rsidRDefault="00133F30" w:rsidP="00E37FC5">
      <w:pPr>
        <w:jc w:val="both"/>
        <w:rPr>
          <w:sz w:val="22"/>
          <w:szCs w:val="22"/>
        </w:rPr>
      </w:pPr>
    </w:p>
    <w:p w14:paraId="1F7963C8" w14:textId="77777777" w:rsidR="00133F30" w:rsidRDefault="00133F30" w:rsidP="00E37FC5">
      <w:pPr>
        <w:jc w:val="both"/>
        <w:rPr>
          <w:sz w:val="22"/>
          <w:szCs w:val="22"/>
        </w:rPr>
      </w:pPr>
    </w:p>
    <w:p w14:paraId="02B9476C" w14:textId="77777777" w:rsidR="00133F30" w:rsidRDefault="00133F30" w:rsidP="00E37FC5">
      <w:pPr>
        <w:jc w:val="both"/>
        <w:rPr>
          <w:sz w:val="22"/>
          <w:szCs w:val="22"/>
        </w:rPr>
      </w:pPr>
    </w:p>
    <w:p w14:paraId="2278036B" w14:textId="77777777" w:rsidR="00133F30" w:rsidRDefault="00133F30" w:rsidP="00E37FC5">
      <w:pPr>
        <w:jc w:val="both"/>
        <w:rPr>
          <w:sz w:val="22"/>
          <w:szCs w:val="22"/>
        </w:rPr>
      </w:pPr>
    </w:p>
    <w:p w14:paraId="20372B41" w14:textId="77777777" w:rsidR="00133F30" w:rsidRDefault="00133F30" w:rsidP="00E37FC5">
      <w:pPr>
        <w:jc w:val="both"/>
        <w:rPr>
          <w:sz w:val="22"/>
          <w:szCs w:val="22"/>
        </w:rPr>
      </w:pPr>
    </w:p>
    <w:p w14:paraId="6714DA16" w14:textId="77777777" w:rsidR="00133F30" w:rsidRDefault="00133F30" w:rsidP="00E37FC5">
      <w:pPr>
        <w:jc w:val="both"/>
        <w:rPr>
          <w:sz w:val="22"/>
          <w:szCs w:val="22"/>
        </w:rPr>
      </w:pPr>
    </w:p>
    <w:p w14:paraId="5A93A196" w14:textId="77777777" w:rsidR="00133F30" w:rsidRDefault="00133F30" w:rsidP="00E37FC5">
      <w:pPr>
        <w:jc w:val="both"/>
        <w:rPr>
          <w:sz w:val="22"/>
          <w:szCs w:val="22"/>
        </w:rPr>
      </w:pPr>
    </w:p>
    <w:p w14:paraId="57D93A6C" w14:textId="77777777" w:rsidR="004D10DA" w:rsidRDefault="004D10DA" w:rsidP="00E37FC5">
      <w:pPr>
        <w:jc w:val="both"/>
        <w:rPr>
          <w:sz w:val="22"/>
          <w:szCs w:val="22"/>
        </w:rPr>
      </w:pPr>
    </w:p>
    <w:p w14:paraId="632A3B62" w14:textId="77777777" w:rsidR="004D10DA" w:rsidRDefault="004D10DA" w:rsidP="00E37FC5">
      <w:pPr>
        <w:jc w:val="both"/>
        <w:rPr>
          <w:sz w:val="22"/>
          <w:szCs w:val="22"/>
        </w:rPr>
      </w:pPr>
    </w:p>
    <w:p w14:paraId="1C003823" w14:textId="77777777" w:rsidR="004D10DA" w:rsidRDefault="004D10DA" w:rsidP="00E37FC5">
      <w:pPr>
        <w:jc w:val="both"/>
        <w:rPr>
          <w:sz w:val="22"/>
          <w:szCs w:val="22"/>
        </w:rPr>
      </w:pPr>
    </w:p>
    <w:p w14:paraId="735DD6D2" w14:textId="77777777" w:rsidR="00133F30" w:rsidRDefault="00133F30" w:rsidP="00E37FC5">
      <w:pPr>
        <w:jc w:val="both"/>
        <w:rPr>
          <w:sz w:val="22"/>
          <w:szCs w:val="22"/>
        </w:rPr>
      </w:pPr>
    </w:p>
    <w:p w14:paraId="16CB73AA" w14:textId="77777777" w:rsidR="00133F30" w:rsidRDefault="00133F30" w:rsidP="00E37FC5">
      <w:pPr>
        <w:jc w:val="both"/>
        <w:rPr>
          <w:sz w:val="22"/>
          <w:szCs w:val="22"/>
        </w:rPr>
      </w:pPr>
    </w:p>
    <w:p w14:paraId="51AE9C02" w14:textId="634E2150" w:rsidR="00C87C73" w:rsidRDefault="00C87C73" w:rsidP="00E37FC5">
      <w:pPr>
        <w:jc w:val="both"/>
        <w:rPr>
          <w:sz w:val="22"/>
          <w:szCs w:val="22"/>
        </w:rPr>
      </w:pPr>
    </w:p>
    <w:p w14:paraId="32A3DF74" w14:textId="77777777" w:rsidR="00C87C73" w:rsidRDefault="00C87C73" w:rsidP="00E37FC5">
      <w:pPr>
        <w:jc w:val="both"/>
        <w:rPr>
          <w:sz w:val="22"/>
          <w:szCs w:val="22"/>
        </w:rPr>
      </w:pPr>
    </w:p>
    <w:p w14:paraId="61B0B9AF" w14:textId="77777777" w:rsidR="006216C3" w:rsidRDefault="006216C3" w:rsidP="00E37FC5">
      <w:pPr>
        <w:jc w:val="both"/>
        <w:rPr>
          <w:sz w:val="22"/>
          <w:szCs w:val="22"/>
        </w:rPr>
      </w:pPr>
    </w:p>
    <w:p w14:paraId="7B063EB1" w14:textId="77777777" w:rsidR="006216C3" w:rsidRDefault="006216C3" w:rsidP="00E37FC5">
      <w:pPr>
        <w:jc w:val="both"/>
        <w:rPr>
          <w:sz w:val="22"/>
          <w:szCs w:val="22"/>
        </w:rPr>
      </w:pPr>
    </w:p>
    <w:p w14:paraId="22D37DD9" w14:textId="143D46FD" w:rsidR="00E6101C" w:rsidRPr="00FD55D1" w:rsidRDefault="008766AD" w:rsidP="00FD55D1">
      <w:pPr>
        <w:jc w:val="both"/>
        <w:rPr>
          <w:sz w:val="22"/>
          <w:szCs w:val="22"/>
        </w:rPr>
        <w:sectPr w:rsidR="00E6101C" w:rsidRPr="00FD55D1" w:rsidSect="00995305">
          <w:footerReference w:type="default" r:id="rId21"/>
          <w:pgSz w:w="11906" w:h="16838" w:code="9"/>
          <w:pgMar w:top="907" w:right="851" w:bottom="907" w:left="851" w:header="567" w:footer="709" w:gutter="0"/>
          <w:cols w:space="708"/>
          <w:docGrid w:linePitch="360"/>
        </w:sectPr>
      </w:pPr>
      <w:r w:rsidRPr="008766AD">
        <w:rPr>
          <w:noProof/>
        </w:rPr>
        <w:drawing>
          <wp:inline distT="0" distB="0" distL="0" distR="0" wp14:anchorId="071FE00D" wp14:editId="151A37D9">
            <wp:extent cx="5589270" cy="9540240"/>
            <wp:effectExtent l="0" t="0" r="0" b="3810"/>
            <wp:docPr id="35306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9270" cy="9540240"/>
                    </a:xfrm>
                    <a:prstGeom prst="rect">
                      <a:avLst/>
                    </a:prstGeom>
                    <a:noFill/>
                    <a:ln>
                      <a:noFill/>
                    </a:ln>
                  </pic:spPr>
                </pic:pic>
              </a:graphicData>
            </a:graphic>
          </wp:inline>
        </w:drawing>
      </w:r>
    </w:p>
    <w:p w14:paraId="7027849E" w14:textId="77777777" w:rsidR="001F06CE" w:rsidRDefault="001F06CE" w:rsidP="001B416B">
      <w:pPr>
        <w:jc w:val="both"/>
        <w:rPr>
          <w:sz w:val="22"/>
          <w:szCs w:val="22"/>
        </w:rPr>
      </w:pPr>
    </w:p>
    <w:sectPr w:rsidR="001F06CE" w:rsidSect="007629C4">
      <w:pgSz w:w="11906" w:h="16838" w:code="9"/>
      <w:pgMar w:top="907" w:right="851" w:bottom="907"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C0A6E" w14:textId="77777777" w:rsidR="009867AE" w:rsidRDefault="009867AE">
      <w:r>
        <w:separator/>
      </w:r>
    </w:p>
  </w:endnote>
  <w:endnote w:type="continuationSeparator" w:id="0">
    <w:p w14:paraId="732CEE2E" w14:textId="77777777" w:rsidR="009867AE" w:rsidRDefault="0098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A60EF" w14:textId="77777777" w:rsidR="009867AE" w:rsidRDefault="009867AE" w:rsidP="005A33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563A0" w14:textId="77777777" w:rsidR="009867AE" w:rsidRDefault="009867AE" w:rsidP="005A33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66D50" w14:textId="77777777" w:rsidR="009867AE" w:rsidRDefault="009867AE" w:rsidP="005A33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7439">
      <w:rPr>
        <w:rStyle w:val="PageNumber"/>
        <w:noProof/>
      </w:rPr>
      <w:t>27</w:t>
    </w:r>
    <w:r>
      <w:rPr>
        <w:rStyle w:val="PageNumber"/>
      </w:rPr>
      <w:fldChar w:fldCharType="end"/>
    </w:r>
  </w:p>
  <w:p w14:paraId="0FBC8748" w14:textId="77777777" w:rsidR="009867AE" w:rsidRDefault="009867AE" w:rsidP="005A33F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576587"/>
      <w:docPartObj>
        <w:docPartGallery w:val="Page Numbers (Bottom of Page)"/>
        <w:docPartUnique/>
      </w:docPartObj>
    </w:sdtPr>
    <w:sdtEndPr>
      <w:rPr>
        <w:noProof/>
      </w:rPr>
    </w:sdtEndPr>
    <w:sdtContent>
      <w:p w14:paraId="35900222" w14:textId="77777777" w:rsidR="009867AE" w:rsidRDefault="009867AE">
        <w:pPr>
          <w:pStyle w:val="Footer"/>
          <w:jc w:val="right"/>
        </w:pPr>
        <w:r>
          <w:fldChar w:fldCharType="begin"/>
        </w:r>
        <w:r>
          <w:instrText xml:space="preserve"> PAGE   \* MERGEFORMAT </w:instrText>
        </w:r>
        <w:r>
          <w:fldChar w:fldCharType="separate"/>
        </w:r>
        <w:r w:rsidR="00C87439">
          <w:rPr>
            <w:noProof/>
          </w:rPr>
          <w:t>45</w:t>
        </w:r>
        <w:r>
          <w:rPr>
            <w:noProof/>
          </w:rPr>
          <w:fldChar w:fldCharType="end"/>
        </w:r>
      </w:p>
    </w:sdtContent>
  </w:sdt>
  <w:p w14:paraId="70AEA25F" w14:textId="77777777" w:rsidR="009867AE" w:rsidRDefault="00986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70D87" w14:textId="77777777" w:rsidR="009867AE" w:rsidRDefault="009867AE">
      <w:r>
        <w:separator/>
      </w:r>
    </w:p>
  </w:footnote>
  <w:footnote w:type="continuationSeparator" w:id="0">
    <w:p w14:paraId="2211BFFF" w14:textId="77777777" w:rsidR="009867AE" w:rsidRDefault="0098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F30"/>
    <w:multiLevelType w:val="hybridMultilevel"/>
    <w:tmpl w:val="7EC0202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317682"/>
    <w:multiLevelType w:val="hybridMultilevel"/>
    <w:tmpl w:val="645C7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F03CF9"/>
    <w:multiLevelType w:val="hybridMultilevel"/>
    <w:tmpl w:val="93D02E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2E76A0E"/>
    <w:multiLevelType w:val="hybridMultilevel"/>
    <w:tmpl w:val="D436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727E2"/>
    <w:multiLevelType w:val="hybridMultilevel"/>
    <w:tmpl w:val="356C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A6BDD"/>
    <w:multiLevelType w:val="hybridMultilevel"/>
    <w:tmpl w:val="7EC0202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925CEC"/>
    <w:multiLevelType w:val="hybridMultilevel"/>
    <w:tmpl w:val="3468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64502"/>
    <w:multiLevelType w:val="hybridMultilevel"/>
    <w:tmpl w:val="2BF23F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F512AD"/>
    <w:multiLevelType w:val="hybridMultilevel"/>
    <w:tmpl w:val="6722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14995"/>
    <w:multiLevelType w:val="hybridMultilevel"/>
    <w:tmpl w:val="B06A43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B80C09"/>
    <w:multiLevelType w:val="hybridMultilevel"/>
    <w:tmpl w:val="FA9A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A19F8"/>
    <w:multiLevelType w:val="hybridMultilevel"/>
    <w:tmpl w:val="F2568A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D048BD"/>
    <w:multiLevelType w:val="hybridMultilevel"/>
    <w:tmpl w:val="8E84F5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15173C8"/>
    <w:multiLevelType w:val="hybridMultilevel"/>
    <w:tmpl w:val="071E5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424AFC"/>
    <w:multiLevelType w:val="multilevel"/>
    <w:tmpl w:val="E618EE3E"/>
    <w:lvl w:ilvl="0">
      <w:start w:val="8"/>
      <w:numFmt w:val="decimal"/>
      <w:lvlText w:val="%1"/>
      <w:lvlJc w:val="left"/>
      <w:pPr>
        <w:ind w:left="420" w:hanging="420"/>
      </w:pPr>
      <w:rPr>
        <w:rFonts w:hint="default"/>
        <w:color w:val="FF0000"/>
      </w:rPr>
    </w:lvl>
    <w:lvl w:ilvl="1">
      <w:start w:val="10"/>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469F10CD"/>
    <w:multiLevelType w:val="hybridMultilevel"/>
    <w:tmpl w:val="55F867F8"/>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481C24F5"/>
    <w:multiLevelType w:val="hybridMultilevel"/>
    <w:tmpl w:val="001A4D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1F22C8"/>
    <w:multiLevelType w:val="hybridMultilevel"/>
    <w:tmpl w:val="24B0C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345BC"/>
    <w:multiLevelType w:val="hybridMultilevel"/>
    <w:tmpl w:val="F3E0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D2282F"/>
    <w:multiLevelType w:val="hybridMultilevel"/>
    <w:tmpl w:val="7B863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26352F"/>
    <w:multiLevelType w:val="hybridMultilevel"/>
    <w:tmpl w:val="2A9C1D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61B532BF"/>
    <w:multiLevelType w:val="hybridMultilevel"/>
    <w:tmpl w:val="200CE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5563FC"/>
    <w:multiLevelType w:val="hybridMultilevel"/>
    <w:tmpl w:val="7EC0202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2A656F"/>
    <w:multiLevelType w:val="hybridMultilevel"/>
    <w:tmpl w:val="9B0CC0A6"/>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421914"/>
    <w:multiLevelType w:val="hybridMultilevel"/>
    <w:tmpl w:val="D2F6E3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25595582">
    <w:abstractNumId w:val="12"/>
  </w:num>
  <w:num w:numId="2" w16cid:durableId="1323660565">
    <w:abstractNumId w:val="24"/>
  </w:num>
  <w:num w:numId="3" w16cid:durableId="208424760">
    <w:abstractNumId w:val="23"/>
  </w:num>
  <w:num w:numId="4" w16cid:durableId="1272326237">
    <w:abstractNumId w:val="6"/>
  </w:num>
  <w:num w:numId="5" w16cid:durableId="1152912735">
    <w:abstractNumId w:val="18"/>
  </w:num>
  <w:num w:numId="6" w16cid:durableId="1687751550">
    <w:abstractNumId w:val="10"/>
  </w:num>
  <w:num w:numId="7" w16cid:durableId="1604919588">
    <w:abstractNumId w:val="17"/>
  </w:num>
  <w:num w:numId="8" w16cid:durableId="292563249">
    <w:abstractNumId w:val="7"/>
  </w:num>
  <w:num w:numId="9" w16cid:durableId="208692096">
    <w:abstractNumId w:val="11"/>
  </w:num>
  <w:num w:numId="10" w16cid:durableId="1845439651">
    <w:abstractNumId w:val="3"/>
  </w:num>
  <w:num w:numId="11" w16cid:durableId="782961767">
    <w:abstractNumId w:val="21"/>
  </w:num>
  <w:num w:numId="12" w16cid:durableId="1296713022">
    <w:abstractNumId w:val="15"/>
  </w:num>
  <w:num w:numId="13" w16cid:durableId="1038237149">
    <w:abstractNumId w:val="2"/>
  </w:num>
  <w:num w:numId="14" w16cid:durableId="1198589013">
    <w:abstractNumId w:val="19"/>
  </w:num>
  <w:num w:numId="15" w16cid:durableId="2029943227">
    <w:abstractNumId w:val="20"/>
  </w:num>
  <w:num w:numId="16" w16cid:durableId="206528788">
    <w:abstractNumId w:val="13"/>
  </w:num>
  <w:num w:numId="17" w16cid:durableId="1936862164">
    <w:abstractNumId w:val="4"/>
  </w:num>
  <w:num w:numId="18" w16cid:durableId="49808020">
    <w:abstractNumId w:val="1"/>
  </w:num>
  <w:num w:numId="19" w16cid:durableId="338388132">
    <w:abstractNumId w:val="9"/>
  </w:num>
  <w:num w:numId="20" w16cid:durableId="1364591564">
    <w:abstractNumId w:val="22"/>
  </w:num>
  <w:num w:numId="21" w16cid:durableId="705372142">
    <w:abstractNumId w:val="8"/>
  </w:num>
  <w:num w:numId="22" w16cid:durableId="642661017">
    <w:abstractNumId w:val="16"/>
  </w:num>
  <w:num w:numId="23" w16cid:durableId="1039160744">
    <w:abstractNumId w:val="14"/>
  </w:num>
  <w:num w:numId="24" w16cid:durableId="1462920045">
    <w:abstractNumId w:val="5"/>
  </w:num>
  <w:num w:numId="25" w16cid:durableId="152713587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B60"/>
    <w:rsid w:val="0000051E"/>
    <w:rsid w:val="000008CF"/>
    <w:rsid w:val="00000F99"/>
    <w:rsid w:val="000011E8"/>
    <w:rsid w:val="0000177A"/>
    <w:rsid w:val="000018C1"/>
    <w:rsid w:val="00001C2A"/>
    <w:rsid w:val="00002824"/>
    <w:rsid w:val="0000290F"/>
    <w:rsid w:val="0000292A"/>
    <w:rsid w:val="00002F3C"/>
    <w:rsid w:val="00003040"/>
    <w:rsid w:val="00003041"/>
    <w:rsid w:val="000034E3"/>
    <w:rsid w:val="00003966"/>
    <w:rsid w:val="000039A4"/>
    <w:rsid w:val="00003B29"/>
    <w:rsid w:val="00003FDF"/>
    <w:rsid w:val="0000438D"/>
    <w:rsid w:val="000043B2"/>
    <w:rsid w:val="00004734"/>
    <w:rsid w:val="00004A12"/>
    <w:rsid w:val="000052B8"/>
    <w:rsid w:val="000055AE"/>
    <w:rsid w:val="0000585C"/>
    <w:rsid w:val="00005E46"/>
    <w:rsid w:val="00006697"/>
    <w:rsid w:val="000071B1"/>
    <w:rsid w:val="000075C2"/>
    <w:rsid w:val="00007D54"/>
    <w:rsid w:val="00007F33"/>
    <w:rsid w:val="00007F6E"/>
    <w:rsid w:val="0001033E"/>
    <w:rsid w:val="00010787"/>
    <w:rsid w:val="00010E0E"/>
    <w:rsid w:val="000122AD"/>
    <w:rsid w:val="000124CD"/>
    <w:rsid w:val="00013054"/>
    <w:rsid w:val="0001320E"/>
    <w:rsid w:val="00013467"/>
    <w:rsid w:val="00013EBA"/>
    <w:rsid w:val="00014071"/>
    <w:rsid w:val="00014DF8"/>
    <w:rsid w:val="00014F82"/>
    <w:rsid w:val="0001529A"/>
    <w:rsid w:val="000158E1"/>
    <w:rsid w:val="00015B45"/>
    <w:rsid w:val="00015E47"/>
    <w:rsid w:val="00016341"/>
    <w:rsid w:val="000163EF"/>
    <w:rsid w:val="00016829"/>
    <w:rsid w:val="000169B3"/>
    <w:rsid w:val="00016B43"/>
    <w:rsid w:val="00016D5C"/>
    <w:rsid w:val="00017073"/>
    <w:rsid w:val="00017315"/>
    <w:rsid w:val="0001755A"/>
    <w:rsid w:val="0001776B"/>
    <w:rsid w:val="00017CE4"/>
    <w:rsid w:val="000201D9"/>
    <w:rsid w:val="00020420"/>
    <w:rsid w:val="00020421"/>
    <w:rsid w:val="00020933"/>
    <w:rsid w:val="000222C5"/>
    <w:rsid w:val="00022504"/>
    <w:rsid w:val="00022995"/>
    <w:rsid w:val="00022EE6"/>
    <w:rsid w:val="0002315A"/>
    <w:rsid w:val="000231A3"/>
    <w:rsid w:val="000231F1"/>
    <w:rsid w:val="000232CB"/>
    <w:rsid w:val="000233D9"/>
    <w:rsid w:val="00023740"/>
    <w:rsid w:val="00023DD2"/>
    <w:rsid w:val="00023FB6"/>
    <w:rsid w:val="00024581"/>
    <w:rsid w:val="00024596"/>
    <w:rsid w:val="00024671"/>
    <w:rsid w:val="000248F0"/>
    <w:rsid w:val="00024CCF"/>
    <w:rsid w:val="0002509E"/>
    <w:rsid w:val="00025DA7"/>
    <w:rsid w:val="00027604"/>
    <w:rsid w:val="00027825"/>
    <w:rsid w:val="00027DBC"/>
    <w:rsid w:val="000303CF"/>
    <w:rsid w:val="00030497"/>
    <w:rsid w:val="0003079A"/>
    <w:rsid w:val="000307C9"/>
    <w:rsid w:val="00030813"/>
    <w:rsid w:val="0003085F"/>
    <w:rsid w:val="00030FF0"/>
    <w:rsid w:val="00031825"/>
    <w:rsid w:val="0003204A"/>
    <w:rsid w:val="0003210B"/>
    <w:rsid w:val="000328A4"/>
    <w:rsid w:val="000337D7"/>
    <w:rsid w:val="0003399C"/>
    <w:rsid w:val="00033E97"/>
    <w:rsid w:val="000349E8"/>
    <w:rsid w:val="00034A13"/>
    <w:rsid w:val="00034F71"/>
    <w:rsid w:val="0003530E"/>
    <w:rsid w:val="0003652D"/>
    <w:rsid w:val="000366E5"/>
    <w:rsid w:val="000370CF"/>
    <w:rsid w:val="00037602"/>
    <w:rsid w:val="00037951"/>
    <w:rsid w:val="00040139"/>
    <w:rsid w:val="00040651"/>
    <w:rsid w:val="0004094D"/>
    <w:rsid w:val="00040B45"/>
    <w:rsid w:val="00041BB9"/>
    <w:rsid w:val="00041F0B"/>
    <w:rsid w:val="00042922"/>
    <w:rsid w:val="00042C1A"/>
    <w:rsid w:val="00042E9A"/>
    <w:rsid w:val="000431BA"/>
    <w:rsid w:val="00044A9D"/>
    <w:rsid w:val="00045088"/>
    <w:rsid w:val="0004562B"/>
    <w:rsid w:val="00045F67"/>
    <w:rsid w:val="00046728"/>
    <w:rsid w:val="00046CC9"/>
    <w:rsid w:val="000501E1"/>
    <w:rsid w:val="00050C0E"/>
    <w:rsid w:val="00050CF8"/>
    <w:rsid w:val="00050D4D"/>
    <w:rsid w:val="00052A4A"/>
    <w:rsid w:val="00053930"/>
    <w:rsid w:val="00053D23"/>
    <w:rsid w:val="000543BB"/>
    <w:rsid w:val="0005478B"/>
    <w:rsid w:val="000548E4"/>
    <w:rsid w:val="0005574F"/>
    <w:rsid w:val="00055DD7"/>
    <w:rsid w:val="00056363"/>
    <w:rsid w:val="00056580"/>
    <w:rsid w:val="0005672B"/>
    <w:rsid w:val="0005739F"/>
    <w:rsid w:val="000611D8"/>
    <w:rsid w:val="00061220"/>
    <w:rsid w:val="00061587"/>
    <w:rsid w:val="00061604"/>
    <w:rsid w:val="00061EA5"/>
    <w:rsid w:val="00062611"/>
    <w:rsid w:val="00062671"/>
    <w:rsid w:val="00062D4D"/>
    <w:rsid w:val="000631E1"/>
    <w:rsid w:val="00063796"/>
    <w:rsid w:val="00063E83"/>
    <w:rsid w:val="00064345"/>
    <w:rsid w:val="0006518D"/>
    <w:rsid w:val="000651A2"/>
    <w:rsid w:val="000653AD"/>
    <w:rsid w:val="00066227"/>
    <w:rsid w:val="00066237"/>
    <w:rsid w:val="0006685B"/>
    <w:rsid w:val="00066CCC"/>
    <w:rsid w:val="000670B0"/>
    <w:rsid w:val="00067AEE"/>
    <w:rsid w:val="00070057"/>
    <w:rsid w:val="000707A8"/>
    <w:rsid w:val="00070DB3"/>
    <w:rsid w:val="00071924"/>
    <w:rsid w:val="00071DCE"/>
    <w:rsid w:val="00071F76"/>
    <w:rsid w:val="0007235F"/>
    <w:rsid w:val="00072519"/>
    <w:rsid w:val="00072AC0"/>
    <w:rsid w:val="00072EE1"/>
    <w:rsid w:val="000733F8"/>
    <w:rsid w:val="000738DF"/>
    <w:rsid w:val="00073CDD"/>
    <w:rsid w:val="00073DE8"/>
    <w:rsid w:val="000745CD"/>
    <w:rsid w:val="000747DD"/>
    <w:rsid w:val="00074F08"/>
    <w:rsid w:val="00075A27"/>
    <w:rsid w:val="00076098"/>
    <w:rsid w:val="00076EDC"/>
    <w:rsid w:val="000771A4"/>
    <w:rsid w:val="000771BE"/>
    <w:rsid w:val="0007745B"/>
    <w:rsid w:val="00080345"/>
    <w:rsid w:val="0008069D"/>
    <w:rsid w:val="000809E6"/>
    <w:rsid w:val="00080B7C"/>
    <w:rsid w:val="00080C6E"/>
    <w:rsid w:val="00080D04"/>
    <w:rsid w:val="00080FA4"/>
    <w:rsid w:val="00081239"/>
    <w:rsid w:val="0008132D"/>
    <w:rsid w:val="00081A86"/>
    <w:rsid w:val="00081FAA"/>
    <w:rsid w:val="00082A16"/>
    <w:rsid w:val="00082E6B"/>
    <w:rsid w:val="00082FC4"/>
    <w:rsid w:val="000832D5"/>
    <w:rsid w:val="00083560"/>
    <w:rsid w:val="00083BB8"/>
    <w:rsid w:val="00083DD1"/>
    <w:rsid w:val="00083F51"/>
    <w:rsid w:val="00084624"/>
    <w:rsid w:val="00085987"/>
    <w:rsid w:val="00085D51"/>
    <w:rsid w:val="00085F3D"/>
    <w:rsid w:val="00086BBD"/>
    <w:rsid w:val="00087D2E"/>
    <w:rsid w:val="00090A2B"/>
    <w:rsid w:val="00091B7E"/>
    <w:rsid w:val="00092024"/>
    <w:rsid w:val="000920C6"/>
    <w:rsid w:val="0009250D"/>
    <w:rsid w:val="00092815"/>
    <w:rsid w:val="00092965"/>
    <w:rsid w:val="000930A6"/>
    <w:rsid w:val="0009335C"/>
    <w:rsid w:val="00093C4F"/>
    <w:rsid w:val="00094567"/>
    <w:rsid w:val="00095D01"/>
    <w:rsid w:val="00095F54"/>
    <w:rsid w:val="00096314"/>
    <w:rsid w:val="000968E3"/>
    <w:rsid w:val="00096DF2"/>
    <w:rsid w:val="00097A14"/>
    <w:rsid w:val="00097D67"/>
    <w:rsid w:val="000A01CC"/>
    <w:rsid w:val="000A03BA"/>
    <w:rsid w:val="000A14A6"/>
    <w:rsid w:val="000A1518"/>
    <w:rsid w:val="000A1C51"/>
    <w:rsid w:val="000A2095"/>
    <w:rsid w:val="000A21B7"/>
    <w:rsid w:val="000A2294"/>
    <w:rsid w:val="000A2363"/>
    <w:rsid w:val="000A28E1"/>
    <w:rsid w:val="000A2957"/>
    <w:rsid w:val="000A3C3F"/>
    <w:rsid w:val="000A3DE9"/>
    <w:rsid w:val="000A4011"/>
    <w:rsid w:val="000A44F8"/>
    <w:rsid w:val="000A492F"/>
    <w:rsid w:val="000A5E22"/>
    <w:rsid w:val="000A5EC7"/>
    <w:rsid w:val="000A61E9"/>
    <w:rsid w:val="000A662B"/>
    <w:rsid w:val="000A6674"/>
    <w:rsid w:val="000A6D86"/>
    <w:rsid w:val="000A6DBF"/>
    <w:rsid w:val="000B1608"/>
    <w:rsid w:val="000B1C8A"/>
    <w:rsid w:val="000B1F80"/>
    <w:rsid w:val="000B201E"/>
    <w:rsid w:val="000B3126"/>
    <w:rsid w:val="000B38F4"/>
    <w:rsid w:val="000B3927"/>
    <w:rsid w:val="000B3A27"/>
    <w:rsid w:val="000B434E"/>
    <w:rsid w:val="000B4425"/>
    <w:rsid w:val="000B45EB"/>
    <w:rsid w:val="000B4B16"/>
    <w:rsid w:val="000B4C5A"/>
    <w:rsid w:val="000B4EA2"/>
    <w:rsid w:val="000B5168"/>
    <w:rsid w:val="000B5382"/>
    <w:rsid w:val="000B53A9"/>
    <w:rsid w:val="000B584C"/>
    <w:rsid w:val="000B5B96"/>
    <w:rsid w:val="000B5D1C"/>
    <w:rsid w:val="000B675F"/>
    <w:rsid w:val="000B67E3"/>
    <w:rsid w:val="000B6980"/>
    <w:rsid w:val="000B70DE"/>
    <w:rsid w:val="000B7311"/>
    <w:rsid w:val="000B7953"/>
    <w:rsid w:val="000B7E49"/>
    <w:rsid w:val="000C050B"/>
    <w:rsid w:val="000C0B6D"/>
    <w:rsid w:val="000C0F17"/>
    <w:rsid w:val="000C1025"/>
    <w:rsid w:val="000C10F8"/>
    <w:rsid w:val="000C1D3C"/>
    <w:rsid w:val="000C28C3"/>
    <w:rsid w:val="000C28D0"/>
    <w:rsid w:val="000C2E1C"/>
    <w:rsid w:val="000C2E43"/>
    <w:rsid w:val="000C31DD"/>
    <w:rsid w:val="000C35B6"/>
    <w:rsid w:val="000C3C21"/>
    <w:rsid w:val="000C3F03"/>
    <w:rsid w:val="000C4395"/>
    <w:rsid w:val="000C43C4"/>
    <w:rsid w:val="000C55E9"/>
    <w:rsid w:val="000C5E85"/>
    <w:rsid w:val="000C6289"/>
    <w:rsid w:val="000C6B12"/>
    <w:rsid w:val="000C6B6C"/>
    <w:rsid w:val="000C6EA6"/>
    <w:rsid w:val="000C7723"/>
    <w:rsid w:val="000C794E"/>
    <w:rsid w:val="000C7C70"/>
    <w:rsid w:val="000C7D31"/>
    <w:rsid w:val="000D02D4"/>
    <w:rsid w:val="000D03D4"/>
    <w:rsid w:val="000D04FA"/>
    <w:rsid w:val="000D0904"/>
    <w:rsid w:val="000D1A5F"/>
    <w:rsid w:val="000D1AEE"/>
    <w:rsid w:val="000D1D3E"/>
    <w:rsid w:val="000D2917"/>
    <w:rsid w:val="000D29B2"/>
    <w:rsid w:val="000D3463"/>
    <w:rsid w:val="000D3A15"/>
    <w:rsid w:val="000D40F2"/>
    <w:rsid w:val="000D48C3"/>
    <w:rsid w:val="000D559A"/>
    <w:rsid w:val="000D5F9F"/>
    <w:rsid w:val="000D61CA"/>
    <w:rsid w:val="000D6C21"/>
    <w:rsid w:val="000D6F8E"/>
    <w:rsid w:val="000D7E51"/>
    <w:rsid w:val="000D7E8B"/>
    <w:rsid w:val="000E0510"/>
    <w:rsid w:val="000E081E"/>
    <w:rsid w:val="000E13BC"/>
    <w:rsid w:val="000E1437"/>
    <w:rsid w:val="000E15D2"/>
    <w:rsid w:val="000E161F"/>
    <w:rsid w:val="000E1A5E"/>
    <w:rsid w:val="000E1EBA"/>
    <w:rsid w:val="000E2204"/>
    <w:rsid w:val="000E25AE"/>
    <w:rsid w:val="000E2966"/>
    <w:rsid w:val="000E42EC"/>
    <w:rsid w:val="000E48D9"/>
    <w:rsid w:val="000E55AF"/>
    <w:rsid w:val="000E58D6"/>
    <w:rsid w:val="000E5E2B"/>
    <w:rsid w:val="000E604A"/>
    <w:rsid w:val="000E6AD4"/>
    <w:rsid w:val="000E6B8E"/>
    <w:rsid w:val="000E6CA7"/>
    <w:rsid w:val="000E6F68"/>
    <w:rsid w:val="000E6FD3"/>
    <w:rsid w:val="000F13C5"/>
    <w:rsid w:val="000F160D"/>
    <w:rsid w:val="000F1840"/>
    <w:rsid w:val="000F29CB"/>
    <w:rsid w:val="000F2FCF"/>
    <w:rsid w:val="000F2FE7"/>
    <w:rsid w:val="000F33B5"/>
    <w:rsid w:val="000F3452"/>
    <w:rsid w:val="000F38FA"/>
    <w:rsid w:val="000F4635"/>
    <w:rsid w:val="000F52E0"/>
    <w:rsid w:val="000F54D3"/>
    <w:rsid w:val="000F5D3C"/>
    <w:rsid w:val="000F5E84"/>
    <w:rsid w:val="000F6FB5"/>
    <w:rsid w:val="000F7477"/>
    <w:rsid w:val="000F75B8"/>
    <w:rsid w:val="000F76DD"/>
    <w:rsid w:val="000F7A08"/>
    <w:rsid w:val="001000A3"/>
    <w:rsid w:val="00100D16"/>
    <w:rsid w:val="00101046"/>
    <w:rsid w:val="00101394"/>
    <w:rsid w:val="001024ED"/>
    <w:rsid w:val="00102A50"/>
    <w:rsid w:val="00102C7C"/>
    <w:rsid w:val="00103670"/>
    <w:rsid w:val="001036A5"/>
    <w:rsid w:val="0010409C"/>
    <w:rsid w:val="001040B4"/>
    <w:rsid w:val="00104188"/>
    <w:rsid w:val="001047AE"/>
    <w:rsid w:val="001050B4"/>
    <w:rsid w:val="00105DEF"/>
    <w:rsid w:val="00106177"/>
    <w:rsid w:val="001062C5"/>
    <w:rsid w:val="00106876"/>
    <w:rsid w:val="001069A7"/>
    <w:rsid w:val="00106D30"/>
    <w:rsid w:val="00106E16"/>
    <w:rsid w:val="00107E49"/>
    <w:rsid w:val="00110077"/>
    <w:rsid w:val="001103E2"/>
    <w:rsid w:val="00110D6B"/>
    <w:rsid w:val="00111103"/>
    <w:rsid w:val="00111AF7"/>
    <w:rsid w:val="00111D3A"/>
    <w:rsid w:val="00112688"/>
    <w:rsid w:val="00112A82"/>
    <w:rsid w:val="00112F3B"/>
    <w:rsid w:val="00113E4F"/>
    <w:rsid w:val="001145C5"/>
    <w:rsid w:val="00114DF5"/>
    <w:rsid w:val="00115154"/>
    <w:rsid w:val="00115B49"/>
    <w:rsid w:val="00116816"/>
    <w:rsid w:val="00116AC1"/>
    <w:rsid w:val="00116F74"/>
    <w:rsid w:val="00117124"/>
    <w:rsid w:val="00117A1F"/>
    <w:rsid w:val="00117DF4"/>
    <w:rsid w:val="00120761"/>
    <w:rsid w:val="001212D1"/>
    <w:rsid w:val="00121AAE"/>
    <w:rsid w:val="001221A2"/>
    <w:rsid w:val="00122868"/>
    <w:rsid w:val="00122E39"/>
    <w:rsid w:val="001230A4"/>
    <w:rsid w:val="00123315"/>
    <w:rsid w:val="001233C2"/>
    <w:rsid w:val="001237A3"/>
    <w:rsid w:val="00123E23"/>
    <w:rsid w:val="00123FF3"/>
    <w:rsid w:val="00124CE0"/>
    <w:rsid w:val="00124EA8"/>
    <w:rsid w:val="00125589"/>
    <w:rsid w:val="00125F78"/>
    <w:rsid w:val="001261CB"/>
    <w:rsid w:val="00126D8D"/>
    <w:rsid w:val="0012780E"/>
    <w:rsid w:val="001310DA"/>
    <w:rsid w:val="00132464"/>
    <w:rsid w:val="001328C5"/>
    <w:rsid w:val="00132ED6"/>
    <w:rsid w:val="00133239"/>
    <w:rsid w:val="00133F2D"/>
    <w:rsid w:val="00133F30"/>
    <w:rsid w:val="00134075"/>
    <w:rsid w:val="00134169"/>
    <w:rsid w:val="0013458E"/>
    <w:rsid w:val="001345BF"/>
    <w:rsid w:val="00134673"/>
    <w:rsid w:val="00134A11"/>
    <w:rsid w:val="0013532B"/>
    <w:rsid w:val="00135336"/>
    <w:rsid w:val="00135E3D"/>
    <w:rsid w:val="00136ACA"/>
    <w:rsid w:val="00136DA7"/>
    <w:rsid w:val="001372A5"/>
    <w:rsid w:val="00140119"/>
    <w:rsid w:val="001402CD"/>
    <w:rsid w:val="00141EB1"/>
    <w:rsid w:val="00141EFB"/>
    <w:rsid w:val="00141F78"/>
    <w:rsid w:val="001431F8"/>
    <w:rsid w:val="00143BA6"/>
    <w:rsid w:val="00144BC8"/>
    <w:rsid w:val="00144BE9"/>
    <w:rsid w:val="00145225"/>
    <w:rsid w:val="001458FC"/>
    <w:rsid w:val="0014609D"/>
    <w:rsid w:val="00147266"/>
    <w:rsid w:val="001475AF"/>
    <w:rsid w:val="00147860"/>
    <w:rsid w:val="001478FB"/>
    <w:rsid w:val="0015027F"/>
    <w:rsid w:val="0015069B"/>
    <w:rsid w:val="00150971"/>
    <w:rsid w:val="00150A5E"/>
    <w:rsid w:val="00150A9A"/>
    <w:rsid w:val="00150C94"/>
    <w:rsid w:val="00150DDF"/>
    <w:rsid w:val="0015118D"/>
    <w:rsid w:val="001511F2"/>
    <w:rsid w:val="00151C31"/>
    <w:rsid w:val="0015213D"/>
    <w:rsid w:val="00152260"/>
    <w:rsid w:val="00152993"/>
    <w:rsid w:val="00152C7F"/>
    <w:rsid w:val="00152D2C"/>
    <w:rsid w:val="001535F5"/>
    <w:rsid w:val="00154164"/>
    <w:rsid w:val="0015569A"/>
    <w:rsid w:val="00155E38"/>
    <w:rsid w:val="00155E64"/>
    <w:rsid w:val="00156D01"/>
    <w:rsid w:val="00157236"/>
    <w:rsid w:val="00157EF5"/>
    <w:rsid w:val="00161046"/>
    <w:rsid w:val="001616A5"/>
    <w:rsid w:val="00161C25"/>
    <w:rsid w:val="00162108"/>
    <w:rsid w:val="001627A9"/>
    <w:rsid w:val="00162B9D"/>
    <w:rsid w:val="00163CD5"/>
    <w:rsid w:val="00163F30"/>
    <w:rsid w:val="00164162"/>
    <w:rsid w:val="001644AE"/>
    <w:rsid w:val="0016494C"/>
    <w:rsid w:val="0016497B"/>
    <w:rsid w:val="001649E6"/>
    <w:rsid w:val="00164FBB"/>
    <w:rsid w:val="00165132"/>
    <w:rsid w:val="00165208"/>
    <w:rsid w:val="00165641"/>
    <w:rsid w:val="001660F8"/>
    <w:rsid w:val="00166504"/>
    <w:rsid w:val="0016660A"/>
    <w:rsid w:val="001667D1"/>
    <w:rsid w:val="00167232"/>
    <w:rsid w:val="00167308"/>
    <w:rsid w:val="00167386"/>
    <w:rsid w:val="00167758"/>
    <w:rsid w:val="001677B1"/>
    <w:rsid w:val="00167917"/>
    <w:rsid w:val="001703C1"/>
    <w:rsid w:val="001706F9"/>
    <w:rsid w:val="00170ABF"/>
    <w:rsid w:val="00170C8A"/>
    <w:rsid w:val="001711AC"/>
    <w:rsid w:val="00171423"/>
    <w:rsid w:val="00172906"/>
    <w:rsid w:val="00173386"/>
    <w:rsid w:val="00173406"/>
    <w:rsid w:val="00173952"/>
    <w:rsid w:val="001755F6"/>
    <w:rsid w:val="00175B7F"/>
    <w:rsid w:val="001764C8"/>
    <w:rsid w:val="0017684B"/>
    <w:rsid w:val="00176D9E"/>
    <w:rsid w:val="00176ED1"/>
    <w:rsid w:val="00177628"/>
    <w:rsid w:val="001777E0"/>
    <w:rsid w:val="0017782E"/>
    <w:rsid w:val="00180740"/>
    <w:rsid w:val="001807E5"/>
    <w:rsid w:val="00180BF8"/>
    <w:rsid w:val="001811B8"/>
    <w:rsid w:val="00181D68"/>
    <w:rsid w:val="00181D75"/>
    <w:rsid w:val="00182380"/>
    <w:rsid w:val="001826CA"/>
    <w:rsid w:val="00182E6C"/>
    <w:rsid w:val="00183200"/>
    <w:rsid w:val="00183BFA"/>
    <w:rsid w:val="0018439C"/>
    <w:rsid w:val="00184849"/>
    <w:rsid w:val="00184E27"/>
    <w:rsid w:val="0018529F"/>
    <w:rsid w:val="00185870"/>
    <w:rsid w:val="00186CA8"/>
    <w:rsid w:val="001870E0"/>
    <w:rsid w:val="00187EF4"/>
    <w:rsid w:val="00187F2F"/>
    <w:rsid w:val="00190528"/>
    <w:rsid w:val="00193774"/>
    <w:rsid w:val="00194006"/>
    <w:rsid w:val="00194ABA"/>
    <w:rsid w:val="00195EF4"/>
    <w:rsid w:val="0019612D"/>
    <w:rsid w:val="00196362"/>
    <w:rsid w:val="001965B9"/>
    <w:rsid w:val="00196A2C"/>
    <w:rsid w:val="00196B75"/>
    <w:rsid w:val="00196D11"/>
    <w:rsid w:val="00196DF9"/>
    <w:rsid w:val="001972DD"/>
    <w:rsid w:val="0019745E"/>
    <w:rsid w:val="00197D3D"/>
    <w:rsid w:val="00197E00"/>
    <w:rsid w:val="001A00C7"/>
    <w:rsid w:val="001A0272"/>
    <w:rsid w:val="001A035F"/>
    <w:rsid w:val="001A06E4"/>
    <w:rsid w:val="001A0E8E"/>
    <w:rsid w:val="001A1127"/>
    <w:rsid w:val="001A1358"/>
    <w:rsid w:val="001A16E3"/>
    <w:rsid w:val="001A1C44"/>
    <w:rsid w:val="001A209B"/>
    <w:rsid w:val="001A2499"/>
    <w:rsid w:val="001A399E"/>
    <w:rsid w:val="001A3F38"/>
    <w:rsid w:val="001A483D"/>
    <w:rsid w:val="001A5684"/>
    <w:rsid w:val="001A56DC"/>
    <w:rsid w:val="001A588A"/>
    <w:rsid w:val="001A5B25"/>
    <w:rsid w:val="001A5D69"/>
    <w:rsid w:val="001A617F"/>
    <w:rsid w:val="001A6358"/>
    <w:rsid w:val="001A6741"/>
    <w:rsid w:val="001A6939"/>
    <w:rsid w:val="001B025A"/>
    <w:rsid w:val="001B0530"/>
    <w:rsid w:val="001B0942"/>
    <w:rsid w:val="001B10A0"/>
    <w:rsid w:val="001B113E"/>
    <w:rsid w:val="001B1431"/>
    <w:rsid w:val="001B17DF"/>
    <w:rsid w:val="001B1A21"/>
    <w:rsid w:val="001B217E"/>
    <w:rsid w:val="001B2920"/>
    <w:rsid w:val="001B3093"/>
    <w:rsid w:val="001B3CAA"/>
    <w:rsid w:val="001B416B"/>
    <w:rsid w:val="001B41B9"/>
    <w:rsid w:val="001B447B"/>
    <w:rsid w:val="001B4F1B"/>
    <w:rsid w:val="001B502E"/>
    <w:rsid w:val="001B50CE"/>
    <w:rsid w:val="001B5262"/>
    <w:rsid w:val="001B539D"/>
    <w:rsid w:val="001B54B2"/>
    <w:rsid w:val="001B55EA"/>
    <w:rsid w:val="001B6998"/>
    <w:rsid w:val="001B79F5"/>
    <w:rsid w:val="001B7E0D"/>
    <w:rsid w:val="001C07EB"/>
    <w:rsid w:val="001C0A33"/>
    <w:rsid w:val="001C0A4A"/>
    <w:rsid w:val="001C0E8C"/>
    <w:rsid w:val="001C0EA3"/>
    <w:rsid w:val="001C1193"/>
    <w:rsid w:val="001C16B5"/>
    <w:rsid w:val="001C16EB"/>
    <w:rsid w:val="001C2268"/>
    <w:rsid w:val="001C291C"/>
    <w:rsid w:val="001C3CE4"/>
    <w:rsid w:val="001C4477"/>
    <w:rsid w:val="001C47DB"/>
    <w:rsid w:val="001C5482"/>
    <w:rsid w:val="001C5AF0"/>
    <w:rsid w:val="001C5F64"/>
    <w:rsid w:val="001C60D1"/>
    <w:rsid w:val="001C6B4E"/>
    <w:rsid w:val="001C705F"/>
    <w:rsid w:val="001C7379"/>
    <w:rsid w:val="001C79BA"/>
    <w:rsid w:val="001D0048"/>
    <w:rsid w:val="001D004C"/>
    <w:rsid w:val="001D050C"/>
    <w:rsid w:val="001D11F4"/>
    <w:rsid w:val="001D158F"/>
    <w:rsid w:val="001D29AE"/>
    <w:rsid w:val="001D2D87"/>
    <w:rsid w:val="001D3251"/>
    <w:rsid w:val="001D392E"/>
    <w:rsid w:val="001D4BC8"/>
    <w:rsid w:val="001D4BD1"/>
    <w:rsid w:val="001D53F5"/>
    <w:rsid w:val="001D618B"/>
    <w:rsid w:val="001D6C54"/>
    <w:rsid w:val="001D6F80"/>
    <w:rsid w:val="001D6F8E"/>
    <w:rsid w:val="001D7005"/>
    <w:rsid w:val="001D758A"/>
    <w:rsid w:val="001D7E60"/>
    <w:rsid w:val="001D7EC4"/>
    <w:rsid w:val="001D7F5A"/>
    <w:rsid w:val="001E00CE"/>
    <w:rsid w:val="001E010D"/>
    <w:rsid w:val="001E0130"/>
    <w:rsid w:val="001E0E81"/>
    <w:rsid w:val="001E100A"/>
    <w:rsid w:val="001E1106"/>
    <w:rsid w:val="001E1470"/>
    <w:rsid w:val="001E15B3"/>
    <w:rsid w:val="001E1DAB"/>
    <w:rsid w:val="001E20E8"/>
    <w:rsid w:val="001E241F"/>
    <w:rsid w:val="001E2903"/>
    <w:rsid w:val="001E2928"/>
    <w:rsid w:val="001E2FD6"/>
    <w:rsid w:val="001E33BA"/>
    <w:rsid w:val="001E4062"/>
    <w:rsid w:val="001E437E"/>
    <w:rsid w:val="001E49A2"/>
    <w:rsid w:val="001E5187"/>
    <w:rsid w:val="001E550A"/>
    <w:rsid w:val="001E6175"/>
    <w:rsid w:val="001E65B6"/>
    <w:rsid w:val="001E70DA"/>
    <w:rsid w:val="001E74E8"/>
    <w:rsid w:val="001E7641"/>
    <w:rsid w:val="001E7899"/>
    <w:rsid w:val="001E7D93"/>
    <w:rsid w:val="001F06CE"/>
    <w:rsid w:val="001F14EC"/>
    <w:rsid w:val="001F210A"/>
    <w:rsid w:val="001F235E"/>
    <w:rsid w:val="001F2F0B"/>
    <w:rsid w:val="001F3430"/>
    <w:rsid w:val="001F4135"/>
    <w:rsid w:val="001F4895"/>
    <w:rsid w:val="001F4A8B"/>
    <w:rsid w:val="001F508F"/>
    <w:rsid w:val="001F546A"/>
    <w:rsid w:val="001F5D9B"/>
    <w:rsid w:val="001F6054"/>
    <w:rsid w:val="001F6595"/>
    <w:rsid w:val="001F6F4E"/>
    <w:rsid w:val="001F727D"/>
    <w:rsid w:val="001F76E3"/>
    <w:rsid w:val="001F774C"/>
    <w:rsid w:val="00200773"/>
    <w:rsid w:val="0020278C"/>
    <w:rsid w:val="00202CAB"/>
    <w:rsid w:val="00202E7F"/>
    <w:rsid w:val="00203143"/>
    <w:rsid w:val="00203806"/>
    <w:rsid w:val="002044F1"/>
    <w:rsid w:val="00205738"/>
    <w:rsid w:val="00205D25"/>
    <w:rsid w:val="00205F15"/>
    <w:rsid w:val="00206140"/>
    <w:rsid w:val="00206E5D"/>
    <w:rsid w:val="00207120"/>
    <w:rsid w:val="002079FD"/>
    <w:rsid w:val="00207C47"/>
    <w:rsid w:val="00207EEB"/>
    <w:rsid w:val="00207F25"/>
    <w:rsid w:val="002109B2"/>
    <w:rsid w:val="00210ADC"/>
    <w:rsid w:val="00210C4D"/>
    <w:rsid w:val="0021126C"/>
    <w:rsid w:val="002119C9"/>
    <w:rsid w:val="00211F35"/>
    <w:rsid w:val="0021298E"/>
    <w:rsid w:val="00213900"/>
    <w:rsid w:val="002149B9"/>
    <w:rsid w:val="00214CB1"/>
    <w:rsid w:val="002151F4"/>
    <w:rsid w:val="00215269"/>
    <w:rsid w:val="00215393"/>
    <w:rsid w:val="002177E0"/>
    <w:rsid w:val="0022087E"/>
    <w:rsid w:val="00220DCE"/>
    <w:rsid w:val="00221195"/>
    <w:rsid w:val="0022177A"/>
    <w:rsid w:val="00221881"/>
    <w:rsid w:val="00221989"/>
    <w:rsid w:val="00222738"/>
    <w:rsid w:val="00222D2B"/>
    <w:rsid w:val="00223E97"/>
    <w:rsid w:val="00223F70"/>
    <w:rsid w:val="00223F95"/>
    <w:rsid w:val="00224C4E"/>
    <w:rsid w:val="00225A33"/>
    <w:rsid w:val="002261F2"/>
    <w:rsid w:val="00226980"/>
    <w:rsid w:val="00226F66"/>
    <w:rsid w:val="002279E0"/>
    <w:rsid w:val="00227DCA"/>
    <w:rsid w:val="00230C5B"/>
    <w:rsid w:val="002310A6"/>
    <w:rsid w:val="002324B2"/>
    <w:rsid w:val="0023255D"/>
    <w:rsid w:val="00232D1F"/>
    <w:rsid w:val="00232D5F"/>
    <w:rsid w:val="00232E6A"/>
    <w:rsid w:val="00233188"/>
    <w:rsid w:val="002331A0"/>
    <w:rsid w:val="00233685"/>
    <w:rsid w:val="002336ED"/>
    <w:rsid w:val="00233DD7"/>
    <w:rsid w:val="00233EDD"/>
    <w:rsid w:val="002351A7"/>
    <w:rsid w:val="00235349"/>
    <w:rsid w:val="0023551A"/>
    <w:rsid w:val="002357B6"/>
    <w:rsid w:val="00235BF6"/>
    <w:rsid w:val="00235E82"/>
    <w:rsid w:val="00235F05"/>
    <w:rsid w:val="002364E2"/>
    <w:rsid w:val="002365F5"/>
    <w:rsid w:val="00236840"/>
    <w:rsid w:val="00236A7C"/>
    <w:rsid w:val="00236F03"/>
    <w:rsid w:val="0023702E"/>
    <w:rsid w:val="00237167"/>
    <w:rsid w:val="00237BFA"/>
    <w:rsid w:val="00237C97"/>
    <w:rsid w:val="00237ECB"/>
    <w:rsid w:val="00237FA7"/>
    <w:rsid w:val="00240014"/>
    <w:rsid w:val="0024006E"/>
    <w:rsid w:val="00240B56"/>
    <w:rsid w:val="0024120F"/>
    <w:rsid w:val="0024126A"/>
    <w:rsid w:val="002413C0"/>
    <w:rsid w:val="00241509"/>
    <w:rsid w:val="00241900"/>
    <w:rsid w:val="00242D47"/>
    <w:rsid w:val="00242E4B"/>
    <w:rsid w:val="002431AF"/>
    <w:rsid w:val="0024348D"/>
    <w:rsid w:val="002435C3"/>
    <w:rsid w:val="00243696"/>
    <w:rsid w:val="0024377D"/>
    <w:rsid w:val="00243AD0"/>
    <w:rsid w:val="00244014"/>
    <w:rsid w:val="0024409C"/>
    <w:rsid w:val="00245109"/>
    <w:rsid w:val="00245DA5"/>
    <w:rsid w:val="00245E27"/>
    <w:rsid w:val="00246308"/>
    <w:rsid w:val="0024639E"/>
    <w:rsid w:val="002463BD"/>
    <w:rsid w:val="002473FF"/>
    <w:rsid w:val="00247716"/>
    <w:rsid w:val="00247BCE"/>
    <w:rsid w:val="002510CF"/>
    <w:rsid w:val="00251903"/>
    <w:rsid w:val="002524B2"/>
    <w:rsid w:val="00252B08"/>
    <w:rsid w:val="00252C11"/>
    <w:rsid w:val="00253889"/>
    <w:rsid w:val="00253ABC"/>
    <w:rsid w:val="00253C91"/>
    <w:rsid w:val="0025415A"/>
    <w:rsid w:val="002542A9"/>
    <w:rsid w:val="00254EB2"/>
    <w:rsid w:val="00255248"/>
    <w:rsid w:val="00255371"/>
    <w:rsid w:val="00255884"/>
    <w:rsid w:val="002558CC"/>
    <w:rsid w:val="002558F0"/>
    <w:rsid w:val="002560BE"/>
    <w:rsid w:val="00256410"/>
    <w:rsid w:val="00256E21"/>
    <w:rsid w:val="002575E6"/>
    <w:rsid w:val="00257D27"/>
    <w:rsid w:val="00260127"/>
    <w:rsid w:val="0026103F"/>
    <w:rsid w:val="0026209D"/>
    <w:rsid w:val="00262639"/>
    <w:rsid w:val="0026279B"/>
    <w:rsid w:val="00262D2F"/>
    <w:rsid w:val="002644BF"/>
    <w:rsid w:val="002647EF"/>
    <w:rsid w:val="00264A08"/>
    <w:rsid w:val="00264AB1"/>
    <w:rsid w:val="00264BCF"/>
    <w:rsid w:val="00266101"/>
    <w:rsid w:val="002662B8"/>
    <w:rsid w:val="002662E0"/>
    <w:rsid w:val="002665EF"/>
    <w:rsid w:val="002667A9"/>
    <w:rsid w:val="0026684E"/>
    <w:rsid w:val="00266B28"/>
    <w:rsid w:val="002679DA"/>
    <w:rsid w:val="00267FB4"/>
    <w:rsid w:val="00270006"/>
    <w:rsid w:val="00270E23"/>
    <w:rsid w:val="0027118D"/>
    <w:rsid w:val="002712BE"/>
    <w:rsid w:val="00271340"/>
    <w:rsid w:val="002716AA"/>
    <w:rsid w:val="00271AFE"/>
    <w:rsid w:val="00271C38"/>
    <w:rsid w:val="0027290C"/>
    <w:rsid w:val="00273508"/>
    <w:rsid w:val="0027400C"/>
    <w:rsid w:val="0027400D"/>
    <w:rsid w:val="00274389"/>
    <w:rsid w:val="0027461F"/>
    <w:rsid w:val="0027470F"/>
    <w:rsid w:val="00274A83"/>
    <w:rsid w:val="002753D8"/>
    <w:rsid w:val="0027601E"/>
    <w:rsid w:val="002761CE"/>
    <w:rsid w:val="0027641C"/>
    <w:rsid w:val="002769C3"/>
    <w:rsid w:val="00276DAE"/>
    <w:rsid w:val="002778D7"/>
    <w:rsid w:val="00277972"/>
    <w:rsid w:val="0028034D"/>
    <w:rsid w:val="00280B34"/>
    <w:rsid w:val="00281114"/>
    <w:rsid w:val="00281907"/>
    <w:rsid w:val="00281CAA"/>
    <w:rsid w:val="0028203D"/>
    <w:rsid w:val="0028208E"/>
    <w:rsid w:val="0028248B"/>
    <w:rsid w:val="002827F7"/>
    <w:rsid w:val="00283214"/>
    <w:rsid w:val="00283E5D"/>
    <w:rsid w:val="002845CB"/>
    <w:rsid w:val="00284B42"/>
    <w:rsid w:val="00284D06"/>
    <w:rsid w:val="002859AA"/>
    <w:rsid w:val="00285D38"/>
    <w:rsid w:val="00285D49"/>
    <w:rsid w:val="00285D75"/>
    <w:rsid w:val="00285F9B"/>
    <w:rsid w:val="0028648F"/>
    <w:rsid w:val="002869A7"/>
    <w:rsid w:val="002875F3"/>
    <w:rsid w:val="00287A1C"/>
    <w:rsid w:val="0029015E"/>
    <w:rsid w:val="002907FD"/>
    <w:rsid w:val="0029203F"/>
    <w:rsid w:val="002928F1"/>
    <w:rsid w:val="00292B86"/>
    <w:rsid w:val="00293077"/>
    <w:rsid w:val="00293710"/>
    <w:rsid w:val="0029385C"/>
    <w:rsid w:val="00293B55"/>
    <w:rsid w:val="00294705"/>
    <w:rsid w:val="00295095"/>
    <w:rsid w:val="002957DE"/>
    <w:rsid w:val="00295D12"/>
    <w:rsid w:val="002965AA"/>
    <w:rsid w:val="002968E8"/>
    <w:rsid w:val="00296BEA"/>
    <w:rsid w:val="0029715B"/>
    <w:rsid w:val="0029771B"/>
    <w:rsid w:val="002977CE"/>
    <w:rsid w:val="00297835"/>
    <w:rsid w:val="00297B0F"/>
    <w:rsid w:val="00297E32"/>
    <w:rsid w:val="002A02E6"/>
    <w:rsid w:val="002A090B"/>
    <w:rsid w:val="002A0D81"/>
    <w:rsid w:val="002A116A"/>
    <w:rsid w:val="002A176F"/>
    <w:rsid w:val="002A1AA3"/>
    <w:rsid w:val="002A1D89"/>
    <w:rsid w:val="002A1F08"/>
    <w:rsid w:val="002A2019"/>
    <w:rsid w:val="002A2B5C"/>
    <w:rsid w:val="002A3059"/>
    <w:rsid w:val="002A30B8"/>
    <w:rsid w:val="002A3591"/>
    <w:rsid w:val="002A38B8"/>
    <w:rsid w:val="002A4D4F"/>
    <w:rsid w:val="002A5334"/>
    <w:rsid w:val="002A5B9D"/>
    <w:rsid w:val="002A630F"/>
    <w:rsid w:val="002A6B53"/>
    <w:rsid w:val="002A6DCB"/>
    <w:rsid w:val="002B0462"/>
    <w:rsid w:val="002B05BC"/>
    <w:rsid w:val="002B0681"/>
    <w:rsid w:val="002B07AC"/>
    <w:rsid w:val="002B0AE7"/>
    <w:rsid w:val="002B176E"/>
    <w:rsid w:val="002B1C96"/>
    <w:rsid w:val="002B1F3A"/>
    <w:rsid w:val="002B3601"/>
    <w:rsid w:val="002B37B8"/>
    <w:rsid w:val="002B3FE5"/>
    <w:rsid w:val="002B4AC0"/>
    <w:rsid w:val="002B4CE0"/>
    <w:rsid w:val="002B5356"/>
    <w:rsid w:val="002B5662"/>
    <w:rsid w:val="002B591E"/>
    <w:rsid w:val="002B6183"/>
    <w:rsid w:val="002B61E0"/>
    <w:rsid w:val="002B6DB0"/>
    <w:rsid w:val="002B726B"/>
    <w:rsid w:val="002B7BAC"/>
    <w:rsid w:val="002B7C66"/>
    <w:rsid w:val="002B7D8B"/>
    <w:rsid w:val="002B7F7A"/>
    <w:rsid w:val="002C067F"/>
    <w:rsid w:val="002C0798"/>
    <w:rsid w:val="002C1010"/>
    <w:rsid w:val="002C1891"/>
    <w:rsid w:val="002C253D"/>
    <w:rsid w:val="002C25B8"/>
    <w:rsid w:val="002C30BA"/>
    <w:rsid w:val="002C3C79"/>
    <w:rsid w:val="002C458B"/>
    <w:rsid w:val="002C4886"/>
    <w:rsid w:val="002C505D"/>
    <w:rsid w:val="002C62AF"/>
    <w:rsid w:val="002C6C9F"/>
    <w:rsid w:val="002D004D"/>
    <w:rsid w:val="002D07C7"/>
    <w:rsid w:val="002D13C0"/>
    <w:rsid w:val="002D189F"/>
    <w:rsid w:val="002D1A98"/>
    <w:rsid w:val="002D1F21"/>
    <w:rsid w:val="002D2580"/>
    <w:rsid w:val="002D2BEE"/>
    <w:rsid w:val="002D36BC"/>
    <w:rsid w:val="002D3FD9"/>
    <w:rsid w:val="002D457D"/>
    <w:rsid w:val="002D4B9A"/>
    <w:rsid w:val="002D575A"/>
    <w:rsid w:val="002D5CFB"/>
    <w:rsid w:val="002D6378"/>
    <w:rsid w:val="002D667F"/>
    <w:rsid w:val="002D67AA"/>
    <w:rsid w:val="002D69A1"/>
    <w:rsid w:val="002D6CD9"/>
    <w:rsid w:val="002D7059"/>
    <w:rsid w:val="002D7067"/>
    <w:rsid w:val="002D7577"/>
    <w:rsid w:val="002D7D85"/>
    <w:rsid w:val="002D7E38"/>
    <w:rsid w:val="002E0638"/>
    <w:rsid w:val="002E09C8"/>
    <w:rsid w:val="002E1D84"/>
    <w:rsid w:val="002E20D1"/>
    <w:rsid w:val="002E26AB"/>
    <w:rsid w:val="002E3A2B"/>
    <w:rsid w:val="002E3AAE"/>
    <w:rsid w:val="002E3C40"/>
    <w:rsid w:val="002E3DEB"/>
    <w:rsid w:val="002E43E1"/>
    <w:rsid w:val="002E46EB"/>
    <w:rsid w:val="002E494B"/>
    <w:rsid w:val="002E5076"/>
    <w:rsid w:val="002E584D"/>
    <w:rsid w:val="002E5BC6"/>
    <w:rsid w:val="002E5EC9"/>
    <w:rsid w:val="002E6408"/>
    <w:rsid w:val="002E6E44"/>
    <w:rsid w:val="002E70F8"/>
    <w:rsid w:val="002F04CC"/>
    <w:rsid w:val="002F0AC8"/>
    <w:rsid w:val="002F0BEC"/>
    <w:rsid w:val="002F0C2C"/>
    <w:rsid w:val="002F161E"/>
    <w:rsid w:val="002F1C3A"/>
    <w:rsid w:val="002F1DA6"/>
    <w:rsid w:val="002F229E"/>
    <w:rsid w:val="002F24B8"/>
    <w:rsid w:val="002F2BC2"/>
    <w:rsid w:val="002F3460"/>
    <w:rsid w:val="002F37D9"/>
    <w:rsid w:val="002F3843"/>
    <w:rsid w:val="002F41D0"/>
    <w:rsid w:val="002F4317"/>
    <w:rsid w:val="002F464F"/>
    <w:rsid w:val="002F46DD"/>
    <w:rsid w:val="002F47F2"/>
    <w:rsid w:val="002F4AD1"/>
    <w:rsid w:val="002F4F42"/>
    <w:rsid w:val="002F618F"/>
    <w:rsid w:val="002F6407"/>
    <w:rsid w:val="002F6593"/>
    <w:rsid w:val="002F6C99"/>
    <w:rsid w:val="002F7559"/>
    <w:rsid w:val="002F79E5"/>
    <w:rsid w:val="0030053D"/>
    <w:rsid w:val="003009B2"/>
    <w:rsid w:val="00300DA2"/>
    <w:rsid w:val="00301D99"/>
    <w:rsid w:val="00301FD8"/>
    <w:rsid w:val="0030249E"/>
    <w:rsid w:val="003027C3"/>
    <w:rsid w:val="003028F1"/>
    <w:rsid w:val="00302DC9"/>
    <w:rsid w:val="0030362F"/>
    <w:rsid w:val="00303A12"/>
    <w:rsid w:val="00304933"/>
    <w:rsid w:val="003050A7"/>
    <w:rsid w:val="0030537D"/>
    <w:rsid w:val="00305690"/>
    <w:rsid w:val="00305744"/>
    <w:rsid w:val="0030579B"/>
    <w:rsid w:val="00305B0E"/>
    <w:rsid w:val="00305E97"/>
    <w:rsid w:val="00305EE8"/>
    <w:rsid w:val="00305FD4"/>
    <w:rsid w:val="003063CF"/>
    <w:rsid w:val="00306421"/>
    <w:rsid w:val="00306D2B"/>
    <w:rsid w:val="00306D85"/>
    <w:rsid w:val="00306DC8"/>
    <w:rsid w:val="00307556"/>
    <w:rsid w:val="00307E43"/>
    <w:rsid w:val="00307FFD"/>
    <w:rsid w:val="00311403"/>
    <w:rsid w:val="00311DE4"/>
    <w:rsid w:val="00312003"/>
    <w:rsid w:val="00312B2A"/>
    <w:rsid w:val="00312BFB"/>
    <w:rsid w:val="0031317E"/>
    <w:rsid w:val="00313C1A"/>
    <w:rsid w:val="00313E0E"/>
    <w:rsid w:val="00314EBB"/>
    <w:rsid w:val="003155A4"/>
    <w:rsid w:val="00315C0C"/>
    <w:rsid w:val="003160AA"/>
    <w:rsid w:val="00316541"/>
    <w:rsid w:val="003171F9"/>
    <w:rsid w:val="00317362"/>
    <w:rsid w:val="003173FD"/>
    <w:rsid w:val="00317A53"/>
    <w:rsid w:val="00320392"/>
    <w:rsid w:val="00320CF3"/>
    <w:rsid w:val="00320CFD"/>
    <w:rsid w:val="00321001"/>
    <w:rsid w:val="003213DA"/>
    <w:rsid w:val="0032140C"/>
    <w:rsid w:val="003217D8"/>
    <w:rsid w:val="003218E3"/>
    <w:rsid w:val="00321DDF"/>
    <w:rsid w:val="0032260D"/>
    <w:rsid w:val="003227EC"/>
    <w:rsid w:val="003229DA"/>
    <w:rsid w:val="00322A23"/>
    <w:rsid w:val="00322B49"/>
    <w:rsid w:val="00322D1E"/>
    <w:rsid w:val="0032317E"/>
    <w:rsid w:val="003235F9"/>
    <w:rsid w:val="00323F56"/>
    <w:rsid w:val="0032489E"/>
    <w:rsid w:val="003248B1"/>
    <w:rsid w:val="003253BF"/>
    <w:rsid w:val="00325707"/>
    <w:rsid w:val="00325CE0"/>
    <w:rsid w:val="00326EBC"/>
    <w:rsid w:val="00327115"/>
    <w:rsid w:val="00327390"/>
    <w:rsid w:val="00327DD6"/>
    <w:rsid w:val="00331357"/>
    <w:rsid w:val="00331728"/>
    <w:rsid w:val="00331CB9"/>
    <w:rsid w:val="003327B5"/>
    <w:rsid w:val="00332BC8"/>
    <w:rsid w:val="0033310B"/>
    <w:rsid w:val="00333AD8"/>
    <w:rsid w:val="00333B9C"/>
    <w:rsid w:val="00333D5E"/>
    <w:rsid w:val="0033427A"/>
    <w:rsid w:val="00334435"/>
    <w:rsid w:val="00334B35"/>
    <w:rsid w:val="00334C07"/>
    <w:rsid w:val="0033546D"/>
    <w:rsid w:val="0033569C"/>
    <w:rsid w:val="003362B9"/>
    <w:rsid w:val="003365F9"/>
    <w:rsid w:val="00336BCA"/>
    <w:rsid w:val="00336C8C"/>
    <w:rsid w:val="00337027"/>
    <w:rsid w:val="00337202"/>
    <w:rsid w:val="0033735A"/>
    <w:rsid w:val="003373DF"/>
    <w:rsid w:val="00337617"/>
    <w:rsid w:val="00340477"/>
    <w:rsid w:val="0034071E"/>
    <w:rsid w:val="00340B19"/>
    <w:rsid w:val="00341D9E"/>
    <w:rsid w:val="00341F5F"/>
    <w:rsid w:val="003422D5"/>
    <w:rsid w:val="00342886"/>
    <w:rsid w:val="00342AF0"/>
    <w:rsid w:val="00342F3F"/>
    <w:rsid w:val="0034581F"/>
    <w:rsid w:val="00345CBC"/>
    <w:rsid w:val="00346A65"/>
    <w:rsid w:val="00347A8F"/>
    <w:rsid w:val="00347FBE"/>
    <w:rsid w:val="0035083B"/>
    <w:rsid w:val="003510E4"/>
    <w:rsid w:val="00352835"/>
    <w:rsid w:val="00352984"/>
    <w:rsid w:val="003530D9"/>
    <w:rsid w:val="00353596"/>
    <w:rsid w:val="00353BCD"/>
    <w:rsid w:val="003540C8"/>
    <w:rsid w:val="00354DB9"/>
    <w:rsid w:val="00354E41"/>
    <w:rsid w:val="00355192"/>
    <w:rsid w:val="00355873"/>
    <w:rsid w:val="00355875"/>
    <w:rsid w:val="0035596C"/>
    <w:rsid w:val="00355C57"/>
    <w:rsid w:val="00355EB4"/>
    <w:rsid w:val="003569B5"/>
    <w:rsid w:val="00356E35"/>
    <w:rsid w:val="003571FC"/>
    <w:rsid w:val="00357CCD"/>
    <w:rsid w:val="00357F92"/>
    <w:rsid w:val="003602DB"/>
    <w:rsid w:val="0036058F"/>
    <w:rsid w:val="00360CFB"/>
    <w:rsid w:val="00361042"/>
    <w:rsid w:val="003619BF"/>
    <w:rsid w:val="00362A61"/>
    <w:rsid w:val="0036308E"/>
    <w:rsid w:val="003639CA"/>
    <w:rsid w:val="00363D15"/>
    <w:rsid w:val="003640C4"/>
    <w:rsid w:val="003642BD"/>
    <w:rsid w:val="00364AD3"/>
    <w:rsid w:val="00364CEB"/>
    <w:rsid w:val="003654D6"/>
    <w:rsid w:val="00365810"/>
    <w:rsid w:val="00365FCB"/>
    <w:rsid w:val="003661EF"/>
    <w:rsid w:val="00366370"/>
    <w:rsid w:val="00366A60"/>
    <w:rsid w:val="00366B5C"/>
    <w:rsid w:val="003671AB"/>
    <w:rsid w:val="0036749E"/>
    <w:rsid w:val="003677AC"/>
    <w:rsid w:val="00367841"/>
    <w:rsid w:val="00370FE6"/>
    <w:rsid w:val="00371214"/>
    <w:rsid w:val="003718CA"/>
    <w:rsid w:val="00371DA9"/>
    <w:rsid w:val="003732F1"/>
    <w:rsid w:val="00373659"/>
    <w:rsid w:val="00373923"/>
    <w:rsid w:val="003739C7"/>
    <w:rsid w:val="00373C1D"/>
    <w:rsid w:val="00373FCD"/>
    <w:rsid w:val="00374AFD"/>
    <w:rsid w:val="00374FD5"/>
    <w:rsid w:val="0037594A"/>
    <w:rsid w:val="00375EEB"/>
    <w:rsid w:val="003765B8"/>
    <w:rsid w:val="00376A88"/>
    <w:rsid w:val="0037709D"/>
    <w:rsid w:val="00377184"/>
    <w:rsid w:val="0037792D"/>
    <w:rsid w:val="00377B90"/>
    <w:rsid w:val="00377E32"/>
    <w:rsid w:val="00380548"/>
    <w:rsid w:val="00380B51"/>
    <w:rsid w:val="00380D18"/>
    <w:rsid w:val="003811E4"/>
    <w:rsid w:val="00381735"/>
    <w:rsid w:val="003817FF"/>
    <w:rsid w:val="00381C14"/>
    <w:rsid w:val="00381DC9"/>
    <w:rsid w:val="00382105"/>
    <w:rsid w:val="003822A6"/>
    <w:rsid w:val="00382C79"/>
    <w:rsid w:val="0038314E"/>
    <w:rsid w:val="003841AB"/>
    <w:rsid w:val="003850B1"/>
    <w:rsid w:val="00386068"/>
    <w:rsid w:val="003866BA"/>
    <w:rsid w:val="00386C74"/>
    <w:rsid w:val="00387008"/>
    <w:rsid w:val="003871B6"/>
    <w:rsid w:val="0038743F"/>
    <w:rsid w:val="0038778B"/>
    <w:rsid w:val="00390086"/>
    <w:rsid w:val="00390242"/>
    <w:rsid w:val="00390555"/>
    <w:rsid w:val="00390B30"/>
    <w:rsid w:val="00391005"/>
    <w:rsid w:val="00391DED"/>
    <w:rsid w:val="00392DC3"/>
    <w:rsid w:val="00393B38"/>
    <w:rsid w:val="0039416E"/>
    <w:rsid w:val="00394595"/>
    <w:rsid w:val="003945C6"/>
    <w:rsid w:val="00394726"/>
    <w:rsid w:val="00394A1B"/>
    <w:rsid w:val="00395402"/>
    <w:rsid w:val="00395AE4"/>
    <w:rsid w:val="00395FE8"/>
    <w:rsid w:val="00396A6B"/>
    <w:rsid w:val="00396B47"/>
    <w:rsid w:val="00396C07"/>
    <w:rsid w:val="00396D3A"/>
    <w:rsid w:val="00397F3F"/>
    <w:rsid w:val="003A0328"/>
    <w:rsid w:val="003A09E5"/>
    <w:rsid w:val="003A0B34"/>
    <w:rsid w:val="003A1420"/>
    <w:rsid w:val="003A243E"/>
    <w:rsid w:val="003A24CA"/>
    <w:rsid w:val="003A269C"/>
    <w:rsid w:val="003A3261"/>
    <w:rsid w:val="003A35EE"/>
    <w:rsid w:val="003A3905"/>
    <w:rsid w:val="003A4090"/>
    <w:rsid w:val="003A4382"/>
    <w:rsid w:val="003A48DB"/>
    <w:rsid w:val="003A4F95"/>
    <w:rsid w:val="003A5794"/>
    <w:rsid w:val="003A5825"/>
    <w:rsid w:val="003A5BB3"/>
    <w:rsid w:val="003A5CAE"/>
    <w:rsid w:val="003A600E"/>
    <w:rsid w:val="003A6060"/>
    <w:rsid w:val="003A7475"/>
    <w:rsid w:val="003B027E"/>
    <w:rsid w:val="003B060F"/>
    <w:rsid w:val="003B0B26"/>
    <w:rsid w:val="003B0F72"/>
    <w:rsid w:val="003B10D0"/>
    <w:rsid w:val="003B1983"/>
    <w:rsid w:val="003B19BE"/>
    <w:rsid w:val="003B20B0"/>
    <w:rsid w:val="003B262C"/>
    <w:rsid w:val="003B291C"/>
    <w:rsid w:val="003B296C"/>
    <w:rsid w:val="003B2D3D"/>
    <w:rsid w:val="003B3874"/>
    <w:rsid w:val="003B38E1"/>
    <w:rsid w:val="003B3C06"/>
    <w:rsid w:val="003B3E9A"/>
    <w:rsid w:val="003B4E51"/>
    <w:rsid w:val="003B56E9"/>
    <w:rsid w:val="003B5B79"/>
    <w:rsid w:val="003B5C98"/>
    <w:rsid w:val="003B6610"/>
    <w:rsid w:val="003B6CCF"/>
    <w:rsid w:val="003B75EF"/>
    <w:rsid w:val="003C0948"/>
    <w:rsid w:val="003C2473"/>
    <w:rsid w:val="003C263E"/>
    <w:rsid w:val="003C2A3F"/>
    <w:rsid w:val="003C2D37"/>
    <w:rsid w:val="003C2FF8"/>
    <w:rsid w:val="003C30ED"/>
    <w:rsid w:val="003C3778"/>
    <w:rsid w:val="003C3873"/>
    <w:rsid w:val="003C3CD7"/>
    <w:rsid w:val="003C4F3B"/>
    <w:rsid w:val="003C52A9"/>
    <w:rsid w:val="003C5584"/>
    <w:rsid w:val="003C5689"/>
    <w:rsid w:val="003C5C82"/>
    <w:rsid w:val="003C5F16"/>
    <w:rsid w:val="003C6106"/>
    <w:rsid w:val="003C6B60"/>
    <w:rsid w:val="003C7453"/>
    <w:rsid w:val="003C7D92"/>
    <w:rsid w:val="003C7EC7"/>
    <w:rsid w:val="003D035D"/>
    <w:rsid w:val="003D05B5"/>
    <w:rsid w:val="003D0A94"/>
    <w:rsid w:val="003D0CF8"/>
    <w:rsid w:val="003D1264"/>
    <w:rsid w:val="003D133D"/>
    <w:rsid w:val="003D14C5"/>
    <w:rsid w:val="003D1A7E"/>
    <w:rsid w:val="003D228D"/>
    <w:rsid w:val="003D250E"/>
    <w:rsid w:val="003D2EE0"/>
    <w:rsid w:val="003D2F7E"/>
    <w:rsid w:val="003D4711"/>
    <w:rsid w:val="003D47E1"/>
    <w:rsid w:val="003D48F0"/>
    <w:rsid w:val="003D61BA"/>
    <w:rsid w:val="003D6647"/>
    <w:rsid w:val="003D6FDF"/>
    <w:rsid w:val="003E1D62"/>
    <w:rsid w:val="003E1EE7"/>
    <w:rsid w:val="003E2064"/>
    <w:rsid w:val="003E211E"/>
    <w:rsid w:val="003E22D6"/>
    <w:rsid w:val="003E238F"/>
    <w:rsid w:val="003E2910"/>
    <w:rsid w:val="003E2B7C"/>
    <w:rsid w:val="003E2BF1"/>
    <w:rsid w:val="003E30D6"/>
    <w:rsid w:val="003E33CE"/>
    <w:rsid w:val="003E34D1"/>
    <w:rsid w:val="003E3908"/>
    <w:rsid w:val="003E3A25"/>
    <w:rsid w:val="003E3C15"/>
    <w:rsid w:val="003E4B89"/>
    <w:rsid w:val="003E4C16"/>
    <w:rsid w:val="003E4D3A"/>
    <w:rsid w:val="003E558D"/>
    <w:rsid w:val="003E6B81"/>
    <w:rsid w:val="003E752D"/>
    <w:rsid w:val="003F0267"/>
    <w:rsid w:val="003F18E3"/>
    <w:rsid w:val="003F319F"/>
    <w:rsid w:val="003F3303"/>
    <w:rsid w:val="003F33B1"/>
    <w:rsid w:val="003F3E08"/>
    <w:rsid w:val="003F3E31"/>
    <w:rsid w:val="003F40C5"/>
    <w:rsid w:val="003F45F0"/>
    <w:rsid w:val="003F5079"/>
    <w:rsid w:val="003F50C4"/>
    <w:rsid w:val="003F633C"/>
    <w:rsid w:val="003F65F1"/>
    <w:rsid w:val="003F6609"/>
    <w:rsid w:val="003F7CD2"/>
    <w:rsid w:val="004001AE"/>
    <w:rsid w:val="0040028A"/>
    <w:rsid w:val="00400720"/>
    <w:rsid w:val="00400F72"/>
    <w:rsid w:val="00401175"/>
    <w:rsid w:val="004014BE"/>
    <w:rsid w:val="0040191E"/>
    <w:rsid w:val="00401D17"/>
    <w:rsid w:val="00402858"/>
    <w:rsid w:val="00402E1D"/>
    <w:rsid w:val="0040300F"/>
    <w:rsid w:val="0040362F"/>
    <w:rsid w:val="004038F8"/>
    <w:rsid w:val="004045C4"/>
    <w:rsid w:val="00404CB2"/>
    <w:rsid w:val="00405067"/>
    <w:rsid w:val="00406056"/>
    <w:rsid w:val="0040643D"/>
    <w:rsid w:val="0040686D"/>
    <w:rsid w:val="00406B20"/>
    <w:rsid w:val="00406EDA"/>
    <w:rsid w:val="00406F67"/>
    <w:rsid w:val="0040710F"/>
    <w:rsid w:val="00407447"/>
    <w:rsid w:val="004074B0"/>
    <w:rsid w:val="00407644"/>
    <w:rsid w:val="004077D7"/>
    <w:rsid w:val="00407A09"/>
    <w:rsid w:val="00407B13"/>
    <w:rsid w:val="00407FCC"/>
    <w:rsid w:val="004101ED"/>
    <w:rsid w:val="00412025"/>
    <w:rsid w:val="00412AE7"/>
    <w:rsid w:val="004130AE"/>
    <w:rsid w:val="00413263"/>
    <w:rsid w:val="00414339"/>
    <w:rsid w:val="00414520"/>
    <w:rsid w:val="004145E3"/>
    <w:rsid w:val="0041486C"/>
    <w:rsid w:val="00414949"/>
    <w:rsid w:val="00414A69"/>
    <w:rsid w:val="00414CE5"/>
    <w:rsid w:val="0041552C"/>
    <w:rsid w:val="0041564E"/>
    <w:rsid w:val="0041571D"/>
    <w:rsid w:val="00415B74"/>
    <w:rsid w:val="00416111"/>
    <w:rsid w:val="00416BC2"/>
    <w:rsid w:val="00417247"/>
    <w:rsid w:val="0041744B"/>
    <w:rsid w:val="00417557"/>
    <w:rsid w:val="00417AFB"/>
    <w:rsid w:val="00417F20"/>
    <w:rsid w:val="00420C64"/>
    <w:rsid w:val="00420EF0"/>
    <w:rsid w:val="00421206"/>
    <w:rsid w:val="004213A7"/>
    <w:rsid w:val="00421A1F"/>
    <w:rsid w:val="00421A20"/>
    <w:rsid w:val="00422560"/>
    <w:rsid w:val="00422704"/>
    <w:rsid w:val="00422A9B"/>
    <w:rsid w:val="0042353F"/>
    <w:rsid w:val="00423A2A"/>
    <w:rsid w:val="00423C14"/>
    <w:rsid w:val="00423EEC"/>
    <w:rsid w:val="0042455F"/>
    <w:rsid w:val="004248D2"/>
    <w:rsid w:val="00424D27"/>
    <w:rsid w:val="0042513F"/>
    <w:rsid w:val="004251BC"/>
    <w:rsid w:val="004263A2"/>
    <w:rsid w:val="00426465"/>
    <w:rsid w:val="0042649D"/>
    <w:rsid w:val="0042696B"/>
    <w:rsid w:val="00426D6E"/>
    <w:rsid w:val="00427E9E"/>
    <w:rsid w:val="0043067C"/>
    <w:rsid w:val="004308EC"/>
    <w:rsid w:val="00430C9A"/>
    <w:rsid w:val="00431B67"/>
    <w:rsid w:val="00432801"/>
    <w:rsid w:val="00433121"/>
    <w:rsid w:val="00433391"/>
    <w:rsid w:val="004336E5"/>
    <w:rsid w:val="00433746"/>
    <w:rsid w:val="00435087"/>
    <w:rsid w:val="00435273"/>
    <w:rsid w:val="004356D9"/>
    <w:rsid w:val="004358D0"/>
    <w:rsid w:val="0043667F"/>
    <w:rsid w:val="00436826"/>
    <w:rsid w:val="00436B34"/>
    <w:rsid w:val="00436D4E"/>
    <w:rsid w:val="0043764E"/>
    <w:rsid w:val="00440968"/>
    <w:rsid w:val="0044174F"/>
    <w:rsid w:val="00441C1B"/>
    <w:rsid w:val="0044315E"/>
    <w:rsid w:val="004438D5"/>
    <w:rsid w:val="00443B8B"/>
    <w:rsid w:val="00443D04"/>
    <w:rsid w:val="004440DD"/>
    <w:rsid w:val="0044415B"/>
    <w:rsid w:val="004441B4"/>
    <w:rsid w:val="00444558"/>
    <w:rsid w:val="004447B4"/>
    <w:rsid w:val="00444A8E"/>
    <w:rsid w:val="0044503E"/>
    <w:rsid w:val="00445182"/>
    <w:rsid w:val="0044558C"/>
    <w:rsid w:val="00445750"/>
    <w:rsid w:val="00445B03"/>
    <w:rsid w:val="00445C32"/>
    <w:rsid w:val="00445D41"/>
    <w:rsid w:val="00445D5E"/>
    <w:rsid w:val="00446160"/>
    <w:rsid w:val="00446F5D"/>
    <w:rsid w:val="0044725F"/>
    <w:rsid w:val="00447605"/>
    <w:rsid w:val="00447A99"/>
    <w:rsid w:val="00447C23"/>
    <w:rsid w:val="00447FD3"/>
    <w:rsid w:val="0045075E"/>
    <w:rsid w:val="00450C94"/>
    <w:rsid w:val="00450FF6"/>
    <w:rsid w:val="00451274"/>
    <w:rsid w:val="004512D4"/>
    <w:rsid w:val="004525A0"/>
    <w:rsid w:val="00452A9D"/>
    <w:rsid w:val="00452C9E"/>
    <w:rsid w:val="00452D41"/>
    <w:rsid w:val="0045362B"/>
    <w:rsid w:val="00453D88"/>
    <w:rsid w:val="00454167"/>
    <w:rsid w:val="00454210"/>
    <w:rsid w:val="00454454"/>
    <w:rsid w:val="004549A6"/>
    <w:rsid w:val="004554E1"/>
    <w:rsid w:val="00455858"/>
    <w:rsid w:val="00455C50"/>
    <w:rsid w:val="00455EED"/>
    <w:rsid w:val="004567D2"/>
    <w:rsid w:val="004571D0"/>
    <w:rsid w:val="0045738A"/>
    <w:rsid w:val="00457878"/>
    <w:rsid w:val="00457B1A"/>
    <w:rsid w:val="00457DD4"/>
    <w:rsid w:val="0046060C"/>
    <w:rsid w:val="00460DCB"/>
    <w:rsid w:val="00461412"/>
    <w:rsid w:val="0046147E"/>
    <w:rsid w:val="00461491"/>
    <w:rsid w:val="004614D6"/>
    <w:rsid w:val="00461B30"/>
    <w:rsid w:val="004623E9"/>
    <w:rsid w:val="004627F0"/>
    <w:rsid w:val="00462BDB"/>
    <w:rsid w:val="0046317B"/>
    <w:rsid w:val="00464907"/>
    <w:rsid w:val="0046528A"/>
    <w:rsid w:val="00465378"/>
    <w:rsid w:val="00466026"/>
    <w:rsid w:val="00466C62"/>
    <w:rsid w:val="00466E58"/>
    <w:rsid w:val="004676E2"/>
    <w:rsid w:val="00467764"/>
    <w:rsid w:val="00467EF2"/>
    <w:rsid w:val="00467F8C"/>
    <w:rsid w:val="00470315"/>
    <w:rsid w:val="004705CC"/>
    <w:rsid w:val="00470823"/>
    <w:rsid w:val="00470D3E"/>
    <w:rsid w:val="00470D86"/>
    <w:rsid w:val="00470EAB"/>
    <w:rsid w:val="00471018"/>
    <w:rsid w:val="00471ACE"/>
    <w:rsid w:val="004721BC"/>
    <w:rsid w:val="004732A1"/>
    <w:rsid w:val="004734B2"/>
    <w:rsid w:val="00473ED1"/>
    <w:rsid w:val="004747E8"/>
    <w:rsid w:val="00474ADA"/>
    <w:rsid w:val="004755BE"/>
    <w:rsid w:val="00475B93"/>
    <w:rsid w:val="00475BB1"/>
    <w:rsid w:val="00475F21"/>
    <w:rsid w:val="004760E0"/>
    <w:rsid w:val="00476752"/>
    <w:rsid w:val="0047781D"/>
    <w:rsid w:val="0048062C"/>
    <w:rsid w:val="00481AC2"/>
    <w:rsid w:val="00481F92"/>
    <w:rsid w:val="004822CA"/>
    <w:rsid w:val="00482577"/>
    <w:rsid w:val="00482894"/>
    <w:rsid w:val="00482A90"/>
    <w:rsid w:val="00482D0A"/>
    <w:rsid w:val="00483240"/>
    <w:rsid w:val="0048372E"/>
    <w:rsid w:val="004837A0"/>
    <w:rsid w:val="00483C8D"/>
    <w:rsid w:val="00483F7F"/>
    <w:rsid w:val="004844D7"/>
    <w:rsid w:val="00484D77"/>
    <w:rsid w:val="0048720B"/>
    <w:rsid w:val="00487221"/>
    <w:rsid w:val="0049048D"/>
    <w:rsid w:val="00491C34"/>
    <w:rsid w:val="004926F0"/>
    <w:rsid w:val="00493D04"/>
    <w:rsid w:val="00493F7B"/>
    <w:rsid w:val="0049424D"/>
    <w:rsid w:val="004953EE"/>
    <w:rsid w:val="00496167"/>
    <w:rsid w:val="004970CA"/>
    <w:rsid w:val="0049763D"/>
    <w:rsid w:val="004977C0"/>
    <w:rsid w:val="00497B51"/>
    <w:rsid w:val="004A0745"/>
    <w:rsid w:val="004A1353"/>
    <w:rsid w:val="004A17B6"/>
    <w:rsid w:val="004A23A5"/>
    <w:rsid w:val="004A24A3"/>
    <w:rsid w:val="004A25BF"/>
    <w:rsid w:val="004A2A94"/>
    <w:rsid w:val="004A2BBB"/>
    <w:rsid w:val="004A2F62"/>
    <w:rsid w:val="004A3E7A"/>
    <w:rsid w:val="004A443C"/>
    <w:rsid w:val="004A461F"/>
    <w:rsid w:val="004A4CEC"/>
    <w:rsid w:val="004A4D3C"/>
    <w:rsid w:val="004A5A8D"/>
    <w:rsid w:val="004A5F9F"/>
    <w:rsid w:val="004A62C7"/>
    <w:rsid w:val="004A6AB9"/>
    <w:rsid w:val="004A6BFF"/>
    <w:rsid w:val="004A7A28"/>
    <w:rsid w:val="004A7AD9"/>
    <w:rsid w:val="004B067A"/>
    <w:rsid w:val="004B09D5"/>
    <w:rsid w:val="004B1827"/>
    <w:rsid w:val="004B1947"/>
    <w:rsid w:val="004B3180"/>
    <w:rsid w:val="004B3867"/>
    <w:rsid w:val="004B39DC"/>
    <w:rsid w:val="004B3B5F"/>
    <w:rsid w:val="004B3F7B"/>
    <w:rsid w:val="004B3F91"/>
    <w:rsid w:val="004B456D"/>
    <w:rsid w:val="004B4608"/>
    <w:rsid w:val="004B59AA"/>
    <w:rsid w:val="004B5D87"/>
    <w:rsid w:val="004B5EAD"/>
    <w:rsid w:val="004B5FA9"/>
    <w:rsid w:val="004B60D8"/>
    <w:rsid w:val="004B657B"/>
    <w:rsid w:val="004B65FC"/>
    <w:rsid w:val="004B65FD"/>
    <w:rsid w:val="004B6E18"/>
    <w:rsid w:val="004B6F04"/>
    <w:rsid w:val="004B72F2"/>
    <w:rsid w:val="004C0B0E"/>
    <w:rsid w:val="004C0FBB"/>
    <w:rsid w:val="004C191F"/>
    <w:rsid w:val="004C1C0E"/>
    <w:rsid w:val="004C1D23"/>
    <w:rsid w:val="004C1E44"/>
    <w:rsid w:val="004C2650"/>
    <w:rsid w:val="004C26EC"/>
    <w:rsid w:val="004C2812"/>
    <w:rsid w:val="004C2D8C"/>
    <w:rsid w:val="004C2F3E"/>
    <w:rsid w:val="004C3C55"/>
    <w:rsid w:val="004C49D7"/>
    <w:rsid w:val="004C5CD2"/>
    <w:rsid w:val="004C6EA3"/>
    <w:rsid w:val="004C7540"/>
    <w:rsid w:val="004D008C"/>
    <w:rsid w:val="004D0E03"/>
    <w:rsid w:val="004D10DA"/>
    <w:rsid w:val="004D1260"/>
    <w:rsid w:val="004D16BC"/>
    <w:rsid w:val="004D1F03"/>
    <w:rsid w:val="004D29B2"/>
    <w:rsid w:val="004D2C53"/>
    <w:rsid w:val="004D303D"/>
    <w:rsid w:val="004D31E9"/>
    <w:rsid w:val="004D36DC"/>
    <w:rsid w:val="004D3734"/>
    <w:rsid w:val="004D40B5"/>
    <w:rsid w:val="004D41B3"/>
    <w:rsid w:val="004D437F"/>
    <w:rsid w:val="004D4410"/>
    <w:rsid w:val="004D4843"/>
    <w:rsid w:val="004D4AED"/>
    <w:rsid w:val="004D4E4F"/>
    <w:rsid w:val="004D5AB3"/>
    <w:rsid w:val="004D5F34"/>
    <w:rsid w:val="004D6799"/>
    <w:rsid w:val="004D6F36"/>
    <w:rsid w:val="004D721D"/>
    <w:rsid w:val="004E0417"/>
    <w:rsid w:val="004E06F9"/>
    <w:rsid w:val="004E08C0"/>
    <w:rsid w:val="004E0CD1"/>
    <w:rsid w:val="004E192D"/>
    <w:rsid w:val="004E2AD7"/>
    <w:rsid w:val="004E372F"/>
    <w:rsid w:val="004E4A5E"/>
    <w:rsid w:val="004E5450"/>
    <w:rsid w:val="004E556D"/>
    <w:rsid w:val="004E617D"/>
    <w:rsid w:val="004E654F"/>
    <w:rsid w:val="004E6F33"/>
    <w:rsid w:val="004E76F6"/>
    <w:rsid w:val="004E78EF"/>
    <w:rsid w:val="004E7DDC"/>
    <w:rsid w:val="004F056D"/>
    <w:rsid w:val="004F09F4"/>
    <w:rsid w:val="004F13BB"/>
    <w:rsid w:val="004F19B1"/>
    <w:rsid w:val="004F1C1E"/>
    <w:rsid w:val="004F1E2F"/>
    <w:rsid w:val="004F1F03"/>
    <w:rsid w:val="004F2823"/>
    <w:rsid w:val="004F2888"/>
    <w:rsid w:val="004F30A0"/>
    <w:rsid w:val="004F37A7"/>
    <w:rsid w:val="004F39A6"/>
    <w:rsid w:val="004F39E0"/>
    <w:rsid w:val="004F3F5C"/>
    <w:rsid w:val="004F41F3"/>
    <w:rsid w:val="004F4F14"/>
    <w:rsid w:val="004F4F8B"/>
    <w:rsid w:val="004F509B"/>
    <w:rsid w:val="004F50ED"/>
    <w:rsid w:val="004F52B9"/>
    <w:rsid w:val="004F5648"/>
    <w:rsid w:val="004F596F"/>
    <w:rsid w:val="004F5EEF"/>
    <w:rsid w:val="004F60BA"/>
    <w:rsid w:val="004F63F2"/>
    <w:rsid w:val="004F6605"/>
    <w:rsid w:val="004F6D87"/>
    <w:rsid w:val="004F70AF"/>
    <w:rsid w:val="004F772F"/>
    <w:rsid w:val="004F7848"/>
    <w:rsid w:val="004F7F64"/>
    <w:rsid w:val="005005A4"/>
    <w:rsid w:val="005006CF"/>
    <w:rsid w:val="00500ED5"/>
    <w:rsid w:val="00501447"/>
    <w:rsid w:val="00501B70"/>
    <w:rsid w:val="00502557"/>
    <w:rsid w:val="0050368D"/>
    <w:rsid w:val="00503D47"/>
    <w:rsid w:val="00503E75"/>
    <w:rsid w:val="00505054"/>
    <w:rsid w:val="00505225"/>
    <w:rsid w:val="00505DFC"/>
    <w:rsid w:val="0050612D"/>
    <w:rsid w:val="005072BE"/>
    <w:rsid w:val="00507B08"/>
    <w:rsid w:val="00507E3A"/>
    <w:rsid w:val="005109B9"/>
    <w:rsid w:val="00510F82"/>
    <w:rsid w:val="00511054"/>
    <w:rsid w:val="00512946"/>
    <w:rsid w:val="00512FB1"/>
    <w:rsid w:val="00512FD9"/>
    <w:rsid w:val="00513869"/>
    <w:rsid w:val="00513D1B"/>
    <w:rsid w:val="00514569"/>
    <w:rsid w:val="005145F0"/>
    <w:rsid w:val="00514A56"/>
    <w:rsid w:val="00515162"/>
    <w:rsid w:val="005170C9"/>
    <w:rsid w:val="00517476"/>
    <w:rsid w:val="00517A8F"/>
    <w:rsid w:val="00520745"/>
    <w:rsid w:val="00520821"/>
    <w:rsid w:val="00520F8F"/>
    <w:rsid w:val="005211BE"/>
    <w:rsid w:val="00521354"/>
    <w:rsid w:val="00521649"/>
    <w:rsid w:val="00521A76"/>
    <w:rsid w:val="00522069"/>
    <w:rsid w:val="00522399"/>
    <w:rsid w:val="005224E7"/>
    <w:rsid w:val="00522700"/>
    <w:rsid w:val="00522CDD"/>
    <w:rsid w:val="00523205"/>
    <w:rsid w:val="0052400E"/>
    <w:rsid w:val="00524317"/>
    <w:rsid w:val="00524427"/>
    <w:rsid w:val="00524C2F"/>
    <w:rsid w:val="00524D41"/>
    <w:rsid w:val="005250ED"/>
    <w:rsid w:val="00525234"/>
    <w:rsid w:val="005254FE"/>
    <w:rsid w:val="00525C1C"/>
    <w:rsid w:val="00526B01"/>
    <w:rsid w:val="00527AA1"/>
    <w:rsid w:val="00527F12"/>
    <w:rsid w:val="00527FF5"/>
    <w:rsid w:val="005300E3"/>
    <w:rsid w:val="005301F8"/>
    <w:rsid w:val="00530AC9"/>
    <w:rsid w:val="0053111C"/>
    <w:rsid w:val="00532ECC"/>
    <w:rsid w:val="00533131"/>
    <w:rsid w:val="00533684"/>
    <w:rsid w:val="00533A03"/>
    <w:rsid w:val="00533B0A"/>
    <w:rsid w:val="00533CB2"/>
    <w:rsid w:val="005348FE"/>
    <w:rsid w:val="00535035"/>
    <w:rsid w:val="00535039"/>
    <w:rsid w:val="00535162"/>
    <w:rsid w:val="005353D2"/>
    <w:rsid w:val="005356A2"/>
    <w:rsid w:val="00535AAB"/>
    <w:rsid w:val="00535F45"/>
    <w:rsid w:val="0053613B"/>
    <w:rsid w:val="005364E8"/>
    <w:rsid w:val="005366A0"/>
    <w:rsid w:val="00536958"/>
    <w:rsid w:val="00536AFA"/>
    <w:rsid w:val="005370BC"/>
    <w:rsid w:val="0054041F"/>
    <w:rsid w:val="00540764"/>
    <w:rsid w:val="00540871"/>
    <w:rsid w:val="00540899"/>
    <w:rsid w:val="00541AF9"/>
    <w:rsid w:val="00541B7C"/>
    <w:rsid w:val="0054203B"/>
    <w:rsid w:val="00542663"/>
    <w:rsid w:val="00542E23"/>
    <w:rsid w:val="00543789"/>
    <w:rsid w:val="005437A8"/>
    <w:rsid w:val="00543CA9"/>
    <w:rsid w:val="0054491D"/>
    <w:rsid w:val="0054493C"/>
    <w:rsid w:val="00545173"/>
    <w:rsid w:val="005462B3"/>
    <w:rsid w:val="005465E0"/>
    <w:rsid w:val="00547C16"/>
    <w:rsid w:val="00550566"/>
    <w:rsid w:val="00550749"/>
    <w:rsid w:val="0055165D"/>
    <w:rsid w:val="00551BE2"/>
    <w:rsid w:val="005534DF"/>
    <w:rsid w:val="00553B94"/>
    <w:rsid w:val="00553D4C"/>
    <w:rsid w:val="00553DE1"/>
    <w:rsid w:val="0055467B"/>
    <w:rsid w:val="0055481D"/>
    <w:rsid w:val="0055511E"/>
    <w:rsid w:val="005554D8"/>
    <w:rsid w:val="00555A3F"/>
    <w:rsid w:val="00555EED"/>
    <w:rsid w:val="0055643E"/>
    <w:rsid w:val="00556456"/>
    <w:rsid w:val="00556C00"/>
    <w:rsid w:val="00557B59"/>
    <w:rsid w:val="00557CA6"/>
    <w:rsid w:val="00560CCC"/>
    <w:rsid w:val="00561335"/>
    <w:rsid w:val="005613C3"/>
    <w:rsid w:val="0056216E"/>
    <w:rsid w:val="0056217F"/>
    <w:rsid w:val="00562256"/>
    <w:rsid w:val="005624C3"/>
    <w:rsid w:val="00562949"/>
    <w:rsid w:val="00562AF3"/>
    <w:rsid w:val="00562C60"/>
    <w:rsid w:val="00563229"/>
    <w:rsid w:val="0056336C"/>
    <w:rsid w:val="00563A6A"/>
    <w:rsid w:val="00563BA5"/>
    <w:rsid w:val="00563C62"/>
    <w:rsid w:val="005642BE"/>
    <w:rsid w:val="0056473A"/>
    <w:rsid w:val="00564AE1"/>
    <w:rsid w:val="0056500E"/>
    <w:rsid w:val="005657A2"/>
    <w:rsid w:val="00565BC0"/>
    <w:rsid w:val="00565ED5"/>
    <w:rsid w:val="00566FBE"/>
    <w:rsid w:val="005674C6"/>
    <w:rsid w:val="00567699"/>
    <w:rsid w:val="00567C89"/>
    <w:rsid w:val="00570A90"/>
    <w:rsid w:val="00570AC6"/>
    <w:rsid w:val="00571206"/>
    <w:rsid w:val="005713E2"/>
    <w:rsid w:val="005714A4"/>
    <w:rsid w:val="0057205D"/>
    <w:rsid w:val="005724F2"/>
    <w:rsid w:val="00572779"/>
    <w:rsid w:val="005731CF"/>
    <w:rsid w:val="00573954"/>
    <w:rsid w:val="00573BD7"/>
    <w:rsid w:val="00573C96"/>
    <w:rsid w:val="005743A2"/>
    <w:rsid w:val="00575874"/>
    <w:rsid w:val="005768F9"/>
    <w:rsid w:val="0057697A"/>
    <w:rsid w:val="00576DA7"/>
    <w:rsid w:val="00580058"/>
    <w:rsid w:val="00580A52"/>
    <w:rsid w:val="00581441"/>
    <w:rsid w:val="00581848"/>
    <w:rsid w:val="00581BE8"/>
    <w:rsid w:val="00582577"/>
    <w:rsid w:val="0058281A"/>
    <w:rsid w:val="00582C07"/>
    <w:rsid w:val="00582C13"/>
    <w:rsid w:val="00582CAD"/>
    <w:rsid w:val="00583201"/>
    <w:rsid w:val="00583686"/>
    <w:rsid w:val="0058404A"/>
    <w:rsid w:val="0058465C"/>
    <w:rsid w:val="005848AF"/>
    <w:rsid w:val="00585A45"/>
    <w:rsid w:val="0058613E"/>
    <w:rsid w:val="00586622"/>
    <w:rsid w:val="0058749F"/>
    <w:rsid w:val="005877CF"/>
    <w:rsid w:val="00587CBC"/>
    <w:rsid w:val="00587EE2"/>
    <w:rsid w:val="005900E7"/>
    <w:rsid w:val="005906AF"/>
    <w:rsid w:val="005912FB"/>
    <w:rsid w:val="00591FF7"/>
    <w:rsid w:val="00592093"/>
    <w:rsid w:val="005921B5"/>
    <w:rsid w:val="0059221C"/>
    <w:rsid w:val="0059246F"/>
    <w:rsid w:val="00593662"/>
    <w:rsid w:val="00594C60"/>
    <w:rsid w:val="00595E04"/>
    <w:rsid w:val="00596526"/>
    <w:rsid w:val="00596789"/>
    <w:rsid w:val="00597084"/>
    <w:rsid w:val="0059772F"/>
    <w:rsid w:val="00597DA6"/>
    <w:rsid w:val="005A0065"/>
    <w:rsid w:val="005A0EA2"/>
    <w:rsid w:val="005A13B5"/>
    <w:rsid w:val="005A1654"/>
    <w:rsid w:val="005A1B7C"/>
    <w:rsid w:val="005A1E11"/>
    <w:rsid w:val="005A20CE"/>
    <w:rsid w:val="005A20DC"/>
    <w:rsid w:val="005A2E3C"/>
    <w:rsid w:val="005A2F08"/>
    <w:rsid w:val="005A33B4"/>
    <w:rsid w:val="005A33F2"/>
    <w:rsid w:val="005A39DC"/>
    <w:rsid w:val="005A3A32"/>
    <w:rsid w:val="005A4399"/>
    <w:rsid w:val="005A43AE"/>
    <w:rsid w:val="005A4FFB"/>
    <w:rsid w:val="005A52C6"/>
    <w:rsid w:val="005A5727"/>
    <w:rsid w:val="005A60EA"/>
    <w:rsid w:val="005A622C"/>
    <w:rsid w:val="005A63FC"/>
    <w:rsid w:val="005A65EE"/>
    <w:rsid w:val="005A70F5"/>
    <w:rsid w:val="005A746B"/>
    <w:rsid w:val="005A7F86"/>
    <w:rsid w:val="005B0630"/>
    <w:rsid w:val="005B0B14"/>
    <w:rsid w:val="005B0B5D"/>
    <w:rsid w:val="005B1722"/>
    <w:rsid w:val="005B181E"/>
    <w:rsid w:val="005B1F32"/>
    <w:rsid w:val="005B2092"/>
    <w:rsid w:val="005B22D3"/>
    <w:rsid w:val="005B2B0F"/>
    <w:rsid w:val="005B32F7"/>
    <w:rsid w:val="005B3E48"/>
    <w:rsid w:val="005B41C9"/>
    <w:rsid w:val="005B4991"/>
    <w:rsid w:val="005B4A40"/>
    <w:rsid w:val="005B6DDD"/>
    <w:rsid w:val="005B72C5"/>
    <w:rsid w:val="005C04B5"/>
    <w:rsid w:val="005C06D6"/>
    <w:rsid w:val="005C07FD"/>
    <w:rsid w:val="005C10D4"/>
    <w:rsid w:val="005C12F2"/>
    <w:rsid w:val="005C1689"/>
    <w:rsid w:val="005C1B99"/>
    <w:rsid w:val="005C2DBF"/>
    <w:rsid w:val="005C31F9"/>
    <w:rsid w:val="005C37C8"/>
    <w:rsid w:val="005C3F07"/>
    <w:rsid w:val="005C53F3"/>
    <w:rsid w:val="005C5735"/>
    <w:rsid w:val="005C65C6"/>
    <w:rsid w:val="005C736F"/>
    <w:rsid w:val="005C753B"/>
    <w:rsid w:val="005C7B0D"/>
    <w:rsid w:val="005C7C2B"/>
    <w:rsid w:val="005C7D0D"/>
    <w:rsid w:val="005C7ECE"/>
    <w:rsid w:val="005D0648"/>
    <w:rsid w:val="005D091B"/>
    <w:rsid w:val="005D0CD1"/>
    <w:rsid w:val="005D15C8"/>
    <w:rsid w:val="005D206B"/>
    <w:rsid w:val="005D26FD"/>
    <w:rsid w:val="005D2C7A"/>
    <w:rsid w:val="005D2C81"/>
    <w:rsid w:val="005D2E74"/>
    <w:rsid w:val="005D35FF"/>
    <w:rsid w:val="005D4129"/>
    <w:rsid w:val="005D4187"/>
    <w:rsid w:val="005D48AA"/>
    <w:rsid w:val="005D4D03"/>
    <w:rsid w:val="005D4E9A"/>
    <w:rsid w:val="005D5C11"/>
    <w:rsid w:val="005D6828"/>
    <w:rsid w:val="005D7250"/>
    <w:rsid w:val="005D7274"/>
    <w:rsid w:val="005D7671"/>
    <w:rsid w:val="005D77DF"/>
    <w:rsid w:val="005D780F"/>
    <w:rsid w:val="005D7E23"/>
    <w:rsid w:val="005D7F88"/>
    <w:rsid w:val="005E04E2"/>
    <w:rsid w:val="005E0894"/>
    <w:rsid w:val="005E0FB9"/>
    <w:rsid w:val="005E1A25"/>
    <w:rsid w:val="005E26C3"/>
    <w:rsid w:val="005E29D5"/>
    <w:rsid w:val="005E2AF3"/>
    <w:rsid w:val="005E3458"/>
    <w:rsid w:val="005E3C35"/>
    <w:rsid w:val="005E3E9D"/>
    <w:rsid w:val="005E4B4E"/>
    <w:rsid w:val="005E6A25"/>
    <w:rsid w:val="005E6E41"/>
    <w:rsid w:val="005E6F3D"/>
    <w:rsid w:val="005E70DE"/>
    <w:rsid w:val="005E7F8C"/>
    <w:rsid w:val="005F04E0"/>
    <w:rsid w:val="005F0BD6"/>
    <w:rsid w:val="005F154C"/>
    <w:rsid w:val="005F1CE8"/>
    <w:rsid w:val="005F2241"/>
    <w:rsid w:val="005F293F"/>
    <w:rsid w:val="005F3362"/>
    <w:rsid w:val="005F36B4"/>
    <w:rsid w:val="005F3899"/>
    <w:rsid w:val="005F39C9"/>
    <w:rsid w:val="005F3AA9"/>
    <w:rsid w:val="005F3CBE"/>
    <w:rsid w:val="005F40FA"/>
    <w:rsid w:val="005F45C7"/>
    <w:rsid w:val="005F47D7"/>
    <w:rsid w:val="005F53C9"/>
    <w:rsid w:val="005F5FA8"/>
    <w:rsid w:val="005F6CF2"/>
    <w:rsid w:val="005F716F"/>
    <w:rsid w:val="005F72A2"/>
    <w:rsid w:val="005F7689"/>
    <w:rsid w:val="00601F51"/>
    <w:rsid w:val="00603E14"/>
    <w:rsid w:val="00604725"/>
    <w:rsid w:val="00604B1D"/>
    <w:rsid w:val="00604C85"/>
    <w:rsid w:val="00604E91"/>
    <w:rsid w:val="006051C3"/>
    <w:rsid w:val="006052E1"/>
    <w:rsid w:val="006053FA"/>
    <w:rsid w:val="0060593A"/>
    <w:rsid w:val="006059A2"/>
    <w:rsid w:val="00605C7B"/>
    <w:rsid w:val="00605D04"/>
    <w:rsid w:val="00605E3A"/>
    <w:rsid w:val="0060641A"/>
    <w:rsid w:val="00606697"/>
    <w:rsid w:val="00606745"/>
    <w:rsid w:val="0060699C"/>
    <w:rsid w:val="0060724B"/>
    <w:rsid w:val="00607FAA"/>
    <w:rsid w:val="0061039D"/>
    <w:rsid w:val="00611871"/>
    <w:rsid w:val="00611A32"/>
    <w:rsid w:val="00611CCA"/>
    <w:rsid w:val="00611D98"/>
    <w:rsid w:val="00611ED9"/>
    <w:rsid w:val="00612A4F"/>
    <w:rsid w:val="00613167"/>
    <w:rsid w:val="00613545"/>
    <w:rsid w:val="00614197"/>
    <w:rsid w:val="00614599"/>
    <w:rsid w:val="0061501B"/>
    <w:rsid w:val="006155E7"/>
    <w:rsid w:val="0061571F"/>
    <w:rsid w:val="00615A6A"/>
    <w:rsid w:val="00615FA2"/>
    <w:rsid w:val="00615FCF"/>
    <w:rsid w:val="006169DC"/>
    <w:rsid w:val="00616D0A"/>
    <w:rsid w:val="00616F52"/>
    <w:rsid w:val="006172E5"/>
    <w:rsid w:val="006173BE"/>
    <w:rsid w:val="00617BC0"/>
    <w:rsid w:val="0062005F"/>
    <w:rsid w:val="00620916"/>
    <w:rsid w:val="00620EB0"/>
    <w:rsid w:val="006216C3"/>
    <w:rsid w:val="00621766"/>
    <w:rsid w:val="006220CB"/>
    <w:rsid w:val="006223B9"/>
    <w:rsid w:val="00622559"/>
    <w:rsid w:val="006227B6"/>
    <w:rsid w:val="00622C8B"/>
    <w:rsid w:val="00622CD1"/>
    <w:rsid w:val="00622E57"/>
    <w:rsid w:val="00623C6E"/>
    <w:rsid w:val="0062430D"/>
    <w:rsid w:val="006244F2"/>
    <w:rsid w:val="006256DB"/>
    <w:rsid w:val="0062642B"/>
    <w:rsid w:val="006266DF"/>
    <w:rsid w:val="00626D2D"/>
    <w:rsid w:val="006270CC"/>
    <w:rsid w:val="00630787"/>
    <w:rsid w:val="006311CB"/>
    <w:rsid w:val="0063186D"/>
    <w:rsid w:val="00631D09"/>
    <w:rsid w:val="0063248F"/>
    <w:rsid w:val="006327B3"/>
    <w:rsid w:val="00632A21"/>
    <w:rsid w:val="00633402"/>
    <w:rsid w:val="00633455"/>
    <w:rsid w:val="00633901"/>
    <w:rsid w:val="00633BEA"/>
    <w:rsid w:val="00633EF1"/>
    <w:rsid w:val="006348B4"/>
    <w:rsid w:val="00634D27"/>
    <w:rsid w:val="00635033"/>
    <w:rsid w:val="0063543A"/>
    <w:rsid w:val="0063553A"/>
    <w:rsid w:val="00635779"/>
    <w:rsid w:val="00635F51"/>
    <w:rsid w:val="00635FB9"/>
    <w:rsid w:val="00636014"/>
    <w:rsid w:val="00636224"/>
    <w:rsid w:val="006367EB"/>
    <w:rsid w:val="006372E3"/>
    <w:rsid w:val="006404BA"/>
    <w:rsid w:val="00640E8F"/>
    <w:rsid w:val="00640F50"/>
    <w:rsid w:val="00640FF3"/>
    <w:rsid w:val="0064247B"/>
    <w:rsid w:val="00642515"/>
    <w:rsid w:val="006429EA"/>
    <w:rsid w:val="00642B61"/>
    <w:rsid w:val="00642CD9"/>
    <w:rsid w:val="00642D4D"/>
    <w:rsid w:val="00642F2C"/>
    <w:rsid w:val="0064331B"/>
    <w:rsid w:val="0064336C"/>
    <w:rsid w:val="0064383C"/>
    <w:rsid w:val="006438B1"/>
    <w:rsid w:val="006439AA"/>
    <w:rsid w:val="00643BCA"/>
    <w:rsid w:val="00643CF0"/>
    <w:rsid w:val="00643E50"/>
    <w:rsid w:val="00643FF4"/>
    <w:rsid w:val="006459C9"/>
    <w:rsid w:val="006464A0"/>
    <w:rsid w:val="00646C90"/>
    <w:rsid w:val="00647A6F"/>
    <w:rsid w:val="00647B3B"/>
    <w:rsid w:val="00650B70"/>
    <w:rsid w:val="00650CEB"/>
    <w:rsid w:val="00650DFA"/>
    <w:rsid w:val="00650E4E"/>
    <w:rsid w:val="00650FA3"/>
    <w:rsid w:val="00651370"/>
    <w:rsid w:val="00651453"/>
    <w:rsid w:val="00651747"/>
    <w:rsid w:val="00651974"/>
    <w:rsid w:val="00651B51"/>
    <w:rsid w:val="00652CC9"/>
    <w:rsid w:val="00652DD7"/>
    <w:rsid w:val="00653593"/>
    <w:rsid w:val="006539E4"/>
    <w:rsid w:val="00653F61"/>
    <w:rsid w:val="00655839"/>
    <w:rsid w:val="00655BA5"/>
    <w:rsid w:val="00655E2C"/>
    <w:rsid w:val="0065629D"/>
    <w:rsid w:val="006566CB"/>
    <w:rsid w:val="0066087E"/>
    <w:rsid w:val="006617FD"/>
    <w:rsid w:val="006619C7"/>
    <w:rsid w:val="00661C49"/>
    <w:rsid w:val="00662B0B"/>
    <w:rsid w:val="00662C69"/>
    <w:rsid w:val="00662CB9"/>
    <w:rsid w:val="0066340D"/>
    <w:rsid w:val="006635A3"/>
    <w:rsid w:val="00663B9C"/>
    <w:rsid w:val="00663F76"/>
    <w:rsid w:val="00664157"/>
    <w:rsid w:val="00664DF2"/>
    <w:rsid w:val="00664E04"/>
    <w:rsid w:val="00665267"/>
    <w:rsid w:val="006656AE"/>
    <w:rsid w:val="006658F9"/>
    <w:rsid w:val="00665D6A"/>
    <w:rsid w:val="00665F36"/>
    <w:rsid w:val="00666E2C"/>
    <w:rsid w:val="006675AF"/>
    <w:rsid w:val="00667EE0"/>
    <w:rsid w:val="0067061B"/>
    <w:rsid w:val="006706DE"/>
    <w:rsid w:val="00670743"/>
    <w:rsid w:val="006711BA"/>
    <w:rsid w:val="0067126A"/>
    <w:rsid w:val="0067136B"/>
    <w:rsid w:val="00671C4D"/>
    <w:rsid w:val="00672A34"/>
    <w:rsid w:val="00672FCB"/>
    <w:rsid w:val="00673F1E"/>
    <w:rsid w:val="006741B3"/>
    <w:rsid w:val="006741E6"/>
    <w:rsid w:val="006756BF"/>
    <w:rsid w:val="00676FAA"/>
    <w:rsid w:val="00676FD3"/>
    <w:rsid w:val="00677053"/>
    <w:rsid w:val="00677A16"/>
    <w:rsid w:val="00677C41"/>
    <w:rsid w:val="00680485"/>
    <w:rsid w:val="00680B3A"/>
    <w:rsid w:val="00680B98"/>
    <w:rsid w:val="00681131"/>
    <w:rsid w:val="0068183B"/>
    <w:rsid w:val="00681CE5"/>
    <w:rsid w:val="006829B3"/>
    <w:rsid w:val="00682CA9"/>
    <w:rsid w:val="00682CFF"/>
    <w:rsid w:val="00683211"/>
    <w:rsid w:val="0068338C"/>
    <w:rsid w:val="00683529"/>
    <w:rsid w:val="00683669"/>
    <w:rsid w:val="00684089"/>
    <w:rsid w:val="00684AE4"/>
    <w:rsid w:val="00684CBE"/>
    <w:rsid w:val="00684CDF"/>
    <w:rsid w:val="00684E9D"/>
    <w:rsid w:val="00684FA0"/>
    <w:rsid w:val="006854DC"/>
    <w:rsid w:val="0068590C"/>
    <w:rsid w:val="00685A43"/>
    <w:rsid w:val="00685D21"/>
    <w:rsid w:val="00686A8F"/>
    <w:rsid w:val="00686AB6"/>
    <w:rsid w:val="0068759A"/>
    <w:rsid w:val="006878C5"/>
    <w:rsid w:val="00687A49"/>
    <w:rsid w:val="00687B8D"/>
    <w:rsid w:val="0069041D"/>
    <w:rsid w:val="006916B0"/>
    <w:rsid w:val="00692A4C"/>
    <w:rsid w:val="00692C3A"/>
    <w:rsid w:val="00692F98"/>
    <w:rsid w:val="00693965"/>
    <w:rsid w:val="00693AEC"/>
    <w:rsid w:val="00693CCB"/>
    <w:rsid w:val="00694120"/>
    <w:rsid w:val="00694B60"/>
    <w:rsid w:val="0069512E"/>
    <w:rsid w:val="00696411"/>
    <w:rsid w:val="006979F3"/>
    <w:rsid w:val="006A0415"/>
    <w:rsid w:val="006A0721"/>
    <w:rsid w:val="006A0CBF"/>
    <w:rsid w:val="006A0E07"/>
    <w:rsid w:val="006A136B"/>
    <w:rsid w:val="006A166C"/>
    <w:rsid w:val="006A1CA7"/>
    <w:rsid w:val="006A1CE3"/>
    <w:rsid w:val="006A1CED"/>
    <w:rsid w:val="006A3369"/>
    <w:rsid w:val="006A40B3"/>
    <w:rsid w:val="006A4A37"/>
    <w:rsid w:val="006A4AA0"/>
    <w:rsid w:val="006A4CFA"/>
    <w:rsid w:val="006A5818"/>
    <w:rsid w:val="006A6169"/>
    <w:rsid w:val="006A72FC"/>
    <w:rsid w:val="006A72FF"/>
    <w:rsid w:val="006A77E0"/>
    <w:rsid w:val="006A77F1"/>
    <w:rsid w:val="006A7DFB"/>
    <w:rsid w:val="006A7FA7"/>
    <w:rsid w:val="006B1CA8"/>
    <w:rsid w:val="006B2D75"/>
    <w:rsid w:val="006B2F3A"/>
    <w:rsid w:val="006B2F4B"/>
    <w:rsid w:val="006B32C2"/>
    <w:rsid w:val="006B3D51"/>
    <w:rsid w:val="006B40BF"/>
    <w:rsid w:val="006B433A"/>
    <w:rsid w:val="006B5608"/>
    <w:rsid w:val="006B5AEB"/>
    <w:rsid w:val="006B6E8D"/>
    <w:rsid w:val="006B7933"/>
    <w:rsid w:val="006C0567"/>
    <w:rsid w:val="006C075F"/>
    <w:rsid w:val="006C0D84"/>
    <w:rsid w:val="006C13EB"/>
    <w:rsid w:val="006C1D2E"/>
    <w:rsid w:val="006C21B2"/>
    <w:rsid w:val="006C21B7"/>
    <w:rsid w:val="006C2372"/>
    <w:rsid w:val="006C29D3"/>
    <w:rsid w:val="006C2CCF"/>
    <w:rsid w:val="006C2E57"/>
    <w:rsid w:val="006C3997"/>
    <w:rsid w:val="006C3E84"/>
    <w:rsid w:val="006C45F9"/>
    <w:rsid w:val="006C5737"/>
    <w:rsid w:val="006C68CF"/>
    <w:rsid w:val="006C722E"/>
    <w:rsid w:val="006C7CF6"/>
    <w:rsid w:val="006D096E"/>
    <w:rsid w:val="006D0E55"/>
    <w:rsid w:val="006D0E81"/>
    <w:rsid w:val="006D10F1"/>
    <w:rsid w:val="006D11C7"/>
    <w:rsid w:val="006D11FA"/>
    <w:rsid w:val="006D1F16"/>
    <w:rsid w:val="006D21D3"/>
    <w:rsid w:val="006D23D2"/>
    <w:rsid w:val="006D2457"/>
    <w:rsid w:val="006D27E3"/>
    <w:rsid w:val="006D2CBD"/>
    <w:rsid w:val="006D3744"/>
    <w:rsid w:val="006D3B88"/>
    <w:rsid w:val="006D4283"/>
    <w:rsid w:val="006D4439"/>
    <w:rsid w:val="006D478D"/>
    <w:rsid w:val="006D499B"/>
    <w:rsid w:val="006D4BE3"/>
    <w:rsid w:val="006D51E4"/>
    <w:rsid w:val="006D55CD"/>
    <w:rsid w:val="006D5C2E"/>
    <w:rsid w:val="006D5C82"/>
    <w:rsid w:val="006D5E27"/>
    <w:rsid w:val="006D6055"/>
    <w:rsid w:val="006D60F6"/>
    <w:rsid w:val="006D636E"/>
    <w:rsid w:val="006D6448"/>
    <w:rsid w:val="006D6D63"/>
    <w:rsid w:val="006D7062"/>
    <w:rsid w:val="006D7EBB"/>
    <w:rsid w:val="006E03C4"/>
    <w:rsid w:val="006E05EB"/>
    <w:rsid w:val="006E0987"/>
    <w:rsid w:val="006E0B09"/>
    <w:rsid w:val="006E0F99"/>
    <w:rsid w:val="006E10C0"/>
    <w:rsid w:val="006E2BC6"/>
    <w:rsid w:val="006E31D1"/>
    <w:rsid w:val="006E3614"/>
    <w:rsid w:val="006E36BF"/>
    <w:rsid w:val="006E4013"/>
    <w:rsid w:val="006E40A7"/>
    <w:rsid w:val="006E43D8"/>
    <w:rsid w:val="006E4CBC"/>
    <w:rsid w:val="006E4CBF"/>
    <w:rsid w:val="006E5A69"/>
    <w:rsid w:val="006E6604"/>
    <w:rsid w:val="006E680B"/>
    <w:rsid w:val="006E696E"/>
    <w:rsid w:val="006E7301"/>
    <w:rsid w:val="006E7372"/>
    <w:rsid w:val="006E7D8B"/>
    <w:rsid w:val="006E7F7A"/>
    <w:rsid w:val="006F0179"/>
    <w:rsid w:val="006F05BB"/>
    <w:rsid w:val="006F0A70"/>
    <w:rsid w:val="006F0F19"/>
    <w:rsid w:val="006F14F3"/>
    <w:rsid w:val="006F1A01"/>
    <w:rsid w:val="006F1DF0"/>
    <w:rsid w:val="006F2CAC"/>
    <w:rsid w:val="006F3C02"/>
    <w:rsid w:val="006F3C92"/>
    <w:rsid w:val="006F4BF7"/>
    <w:rsid w:val="006F4CA0"/>
    <w:rsid w:val="006F52F4"/>
    <w:rsid w:val="006F5859"/>
    <w:rsid w:val="006F5C94"/>
    <w:rsid w:val="006F5E43"/>
    <w:rsid w:val="006F5F52"/>
    <w:rsid w:val="006F6979"/>
    <w:rsid w:val="006F6A01"/>
    <w:rsid w:val="006F6CB6"/>
    <w:rsid w:val="00700033"/>
    <w:rsid w:val="0070092D"/>
    <w:rsid w:val="0070118A"/>
    <w:rsid w:val="007017A7"/>
    <w:rsid w:val="007032E9"/>
    <w:rsid w:val="00703E66"/>
    <w:rsid w:val="00703FA8"/>
    <w:rsid w:val="007049CC"/>
    <w:rsid w:val="00705469"/>
    <w:rsid w:val="00705526"/>
    <w:rsid w:val="00705923"/>
    <w:rsid w:val="00705BF0"/>
    <w:rsid w:val="00705F72"/>
    <w:rsid w:val="007074E8"/>
    <w:rsid w:val="007077B7"/>
    <w:rsid w:val="00710E69"/>
    <w:rsid w:val="00711777"/>
    <w:rsid w:val="00711F1F"/>
    <w:rsid w:val="00712158"/>
    <w:rsid w:val="0071220C"/>
    <w:rsid w:val="00712C24"/>
    <w:rsid w:val="007134A5"/>
    <w:rsid w:val="00713D09"/>
    <w:rsid w:val="00714B53"/>
    <w:rsid w:val="00714E92"/>
    <w:rsid w:val="0071506B"/>
    <w:rsid w:val="00716C50"/>
    <w:rsid w:val="00717009"/>
    <w:rsid w:val="00717F1A"/>
    <w:rsid w:val="00720192"/>
    <w:rsid w:val="00720578"/>
    <w:rsid w:val="007208B6"/>
    <w:rsid w:val="00720FD5"/>
    <w:rsid w:val="00721953"/>
    <w:rsid w:val="00721B28"/>
    <w:rsid w:val="007220CD"/>
    <w:rsid w:val="00722192"/>
    <w:rsid w:val="0072259D"/>
    <w:rsid w:val="0072279D"/>
    <w:rsid w:val="007229A6"/>
    <w:rsid w:val="00722BCE"/>
    <w:rsid w:val="00722DCE"/>
    <w:rsid w:val="00722E97"/>
    <w:rsid w:val="00723184"/>
    <w:rsid w:val="00723AA0"/>
    <w:rsid w:val="00724228"/>
    <w:rsid w:val="0072438D"/>
    <w:rsid w:val="0072517D"/>
    <w:rsid w:val="00725574"/>
    <w:rsid w:val="00725A90"/>
    <w:rsid w:val="00725CD2"/>
    <w:rsid w:val="007260DE"/>
    <w:rsid w:val="00726E00"/>
    <w:rsid w:val="00727798"/>
    <w:rsid w:val="007279F4"/>
    <w:rsid w:val="00727CFC"/>
    <w:rsid w:val="00730190"/>
    <w:rsid w:val="00730940"/>
    <w:rsid w:val="00731372"/>
    <w:rsid w:val="007314DF"/>
    <w:rsid w:val="007315B6"/>
    <w:rsid w:val="00731700"/>
    <w:rsid w:val="007320E5"/>
    <w:rsid w:val="00732116"/>
    <w:rsid w:val="007321DC"/>
    <w:rsid w:val="007324BF"/>
    <w:rsid w:val="007325B2"/>
    <w:rsid w:val="00732A6B"/>
    <w:rsid w:val="0073356B"/>
    <w:rsid w:val="00733B8C"/>
    <w:rsid w:val="00733F29"/>
    <w:rsid w:val="00734364"/>
    <w:rsid w:val="007347FD"/>
    <w:rsid w:val="00734829"/>
    <w:rsid w:val="00734CF0"/>
    <w:rsid w:val="007354B2"/>
    <w:rsid w:val="00735E25"/>
    <w:rsid w:val="00736165"/>
    <w:rsid w:val="0073663C"/>
    <w:rsid w:val="007367AF"/>
    <w:rsid w:val="00737829"/>
    <w:rsid w:val="00737D13"/>
    <w:rsid w:val="00737E3D"/>
    <w:rsid w:val="00740E54"/>
    <w:rsid w:val="00740E82"/>
    <w:rsid w:val="00741136"/>
    <w:rsid w:val="0074138F"/>
    <w:rsid w:val="0074202C"/>
    <w:rsid w:val="00742240"/>
    <w:rsid w:val="0074239D"/>
    <w:rsid w:val="007426B7"/>
    <w:rsid w:val="00742AA0"/>
    <w:rsid w:val="0074317A"/>
    <w:rsid w:val="00743283"/>
    <w:rsid w:val="00743784"/>
    <w:rsid w:val="00744B6E"/>
    <w:rsid w:val="00744F2E"/>
    <w:rsid w:val="007458C4"/>
    <w:rsid w:val="00745F8E"/>
    <w:rsid w:val="007468E3"/>
    <w:rsid w:val="0075006E"/>
    <w:rsid w:val="0075070B"/>
    <w:rsid w:val="00750975"/>
    <w:rsid w:val="00750A01"/>
    <w:rsid w:val="00751E61"/>
    <w:rsid w:val="00752254"/>
    <w:rsid w:val="007523DB"/>
    <w:rsid w:val="007526D1"/>
    <w:rsid w:val="00752747"/>
    <w:rsid w:val="00753A32"/>
    <w:rsid w:val="00754587"/>
    <w:rsid w:val="007545BE"/>
    <w:rsid w:val="00754B39"/>
    <w:rsid w:val="00755542"/>
    <w:rsid w:val="00755625"/>
    <w:rsid w:val="00756403"/>
    <w:rsid w:val="007564AA"/>
    <w:rsid w:val="007568EF"/>
    <w:rsid w:val="00756FF2"/>
    <w:rsid w:val="007572F6"/>
    <w:rsid w:val="0076027F"/>
    <w:rsid w:val="007606EC"/>
    <w:rsid w:val="0076086D"/>
    <w:rsid w:val="007617A5"/>
    <w:rsid w:val="00762658"/>
    <w:rsid w:val="0076284D"/>
    <w:rsid w:val="007629C4"/>
    <w:rsid w:val="007633FF"/>
    <w:rsid w:val="0076399D"/>
    <w:rsid w:val="00764171"/>
    <w:rsid w:val="007642E8"/>
    <w:rsid w:val="00764797"/>
    <w:rsid w:val="00764D4E"/>
    <w:rsid w:val="00764DE6"/>
    <w:rsid w:val="0076520C"/>
    <w:rsid w:val="0076547B"/>
    <w:rsid w:val="007655EA"/>
    <w:rsid w:val="00765892"/>
    <w:rsid w:val="00765AD9"/>
    <w:rsid w:val="00765E8C"/>
    <w:rsid w:val="00765FD7"/>
    <w:rsid w:val="00766DD1"/>
    <w:rsid w:val="007670AF"/>
    <w:rsid w:val="00767B83"/>
    <w:rsid w:val="0077002E"/>
    <w:rsid w:val="00770616"/>
    <w:rsid w:val="00770801"/>
    <w:rsid w:val="00770AC8"/>
    <w:rsid w:val="00770C2F"/>
    <w:rsid w:val="00770DAD"/>
    <w:rsid w:val="007713F2"/>
    <w:rsid w:val="00771840"/>
    <w:rsid w:val="00772195"/>
    <w:rsid w:val="007728F7"/>
    <w:rsid w:val="00772908"/>
    <w:rsid w:val="00773799"/>
    <w:rsid w:val="00774213"/>
    <w:rsid w:val="00774FFB"/>
    <w:rsid w:val="00776312"/>
    <w:rsid w:val="007772EF"/>
    <w:rsid w:val="00777367"/>
    <w:rsid w:val="0078088C"/>
    <w:rsid w:val="00780B38"/>
    <w:rsid w:val="0078136B"/>
    <w:rsid w:val="007825EC"/>
    <w:rsid w:val="00782B79"/>
    <w:rsid w:val="00782B86"/>
    <w:rsid w:val="00782FAF"/>
    <w:rsid w:val="0078343E"/>
    <w:rsid w:val="00783AD9"/>
    <w:rsid w:val="00783B16"/>
    <w:rsid w:val="00783E72"/>
    <w:rsid w:val="00784633"/>
    <w:rsid w:val="007848E3"/>
    <w:rsid w:val="00785289"/>
    <w:rsid w:val="00785E2C"/>
    <w:rsid w:val="007864C4"/>
    <w:rsid w:val="00786ED8"/>
    <w:rsid w:val="00786F18"/>
    <w:rsid w:val="00786F23"/>
    <w:rsid w:val="00787013"/>
    <w:rsid w:val="0078730C"/>
    <w:rsid w:val="00787D88"/>
    <w:rsid w:val="00787F2F"/>
    <w:rsid w:val="00790DF5"/>
    <w:rsid w:val="0079156F"/>
    <w:rsid w:val="0079178D"/>
    <w:rsid w:val="00792422"/>
    <w:rsid w:val="00792952"/>
    <w:rsid w:val="0079346A"/>
    <w:rsid w:val="00793715"/>
    <w:rsid w:val="0079392C"/>
    <w:rsid w:val="00793E97"/>
    <w:rsid w:val="007940E6"/>
    <w:rsid w:val="00794978"/>
    <w:rsid w:val="00795D4F"/>
    <w:rsid w:val="00796A22"/>
    <w:rsid w:val="00796B2A"/>
    <w:rsid w:val="00797706"/>
    <w:rsid w:val="0079788A"/>
    <w:rsid w:val="007979E5"/>
    <w:rsid w:val="007A0E6F"/>
    <w:rsid w:val="007A14FF"/>
    <w:rsid w:val="007A1587"/>
    <w:rsid w:val="007A178E"/>
    <w:rsid w:val="007A2A6A"/>
    <w:rsid w:val="007A41E5"/>
    <w:rsid w:val="007A4467"/>
    <w:rsid w:val="007A4919"/>
    <w:rsid w:val="007A4F61"/>
    <w:rsid w:val="007A50A3"/>
    <w:rsid w:val="007A50D0"/>
    <w:rsid w:val="007A5253"/>
    <w:rsid w:val="007A539A"/>
    <w:rsid w:val="007A5A27"/>
    <w:rsid w:val="007A607B"/>
    <w:rsid w:val="007A6452"/>
    <w:rsid w:val="007A6B8D"/>
    <w:rsid w:val="007A6EE0"/>
    <w:rsid w:val="007A72AC"/>
    <w:rsid w:val="007B03E6"/>
    <w:rsid w:val="007B062A"/>
    <w:rsid w:val="007B08B0"/>
    <w:rsid w:val="007B0C6A"/>
    <w:rsid w:val="007B0D66"/>
    <w:rsid w:val="007B1982"/>
    <w:rsid w:val="007B2B70"/>
    <w:rsid w:val="007B3E3F"/>
    <w:rsid w:val="007B4706"/>
    <w:rsid w:val="007B4803"/>
    <w:rsid w:val="007B515F"/>
    <w:rsid w:val="007B55F4"/>
    <w:rsid w:val="007B5DCB"/>
    <w:rsid w:val="007B5E90"/>
    <w:rsid w:val="007B5F34"/>
    <w:rsid w:val="007B64DB"/>
    <w:rsid w:val="007B698C"/>
    <w:rsid w:val="007B6ECD"/>
    <w:rsid w:val="007B72D2"/>
    <w:rsid w:val="007B764D"/>
    <w:rsid w:val="007B7B52"/>
    <w:rsid w:val="007C030A"/>
    <w:rsid w:val="007C0B61"/>
    <w:rsid w:val="007C0B8E"/>
    <w:rsid w:val="007C0F7A"/>
    <w:rsid w:val="007C10C0"/>
    <w:rsid w:val="007C173C"/>
    <w:rsid w:val="007C1A73"/>
    <w:rsid w:val="007C1E16"/>
    <w:rsid w:val="007C21A9"/>
    <w:rsid w:val="007C2455"/>
    <w:rsid w:val="007C24CD"/>
    <w:rsid w:val="007C2C1C"/>
    <w:rsid w:val="007C3155"/>
    <w:rsid w:val="007C3B14"/>
    <w:rsid w:val="007C3BB2"/>
    <w:rsid w:val="007C409E"/>
    <w:rsid w:val="007C40EB"/>
    <w:rsid w:val="007C4291"/>
    <w:rsid w:val="007C4568"/>
    <w:rsid w:val="007C47D7"/>
    <w:rsid w:val="007C5165"/>
    <w:rsid w:val="007C5DE4"/>
    <w:rsid w:val="007C61BF"/>
    <w:rsid w:val="007C637E"/>
    <w:rsid w:val="007C638C"/>
    <w:rsid w:val="007C6553"/>
    <w:rsid w:val="007C6E7F"/>
    <w:rsid w:val="007C7066"/>
    <w:rsid w:val="007D015C"/>
    <w:rsid w:val="007D07B5"/>
    <w:rsid w:val="007D1694"/>
    <w:rsid w:val="007D1963"/>
    <w:rsid w:val="007D2263"/>
    <w:rsid w:val="007D2E20"/>
    <w:rsid w:val="007D3C47"/>
    <w:rsid w:val="007D4220"/>
    <w:rsid w:val="007D560E"/>
    <w:rsid w:val="007D5638"/>
    <w:rsid w:val="007D587E"/>
    <w:rsid w:val="007D5A12"/>
    <w:rsid w:val="007D5B58"/>
    <w:rsid w:val="007D68F7"/>
    <w:rsid w:val="007E0236"/>
    <w:rsid w:val="007E06F0"/>
    <w:rsid w:val="007E0D6D"/>
    <w:rsid w:val="007E123E"/>
    <w:rsid w:val="007E132E"/>
    <w:rsid w:val="007E2D53"/>
    <w:rsid w:val="007E2E7D"/>
    <w:rsid w:val="007E2EBA"/>
    <w:rsid w:val="007E2EDF"/>
    <w:rsid w:val="007E361D"/>
    <w:rsid w:val="007E3D67"/>
    <w:rsid w:val="007E4133"/>
    <w:rsid w:val="007E4686"/>
    <w:rsid w:val="007E476C"/>
    <w:rsid w:val="007E4D68"/>
    <w:rsid w:val="007E54BC"/>
    <w:rsid w:val="007E56DA"/>
    <w:rsid w:val="007E5AA6"/>
    <w:rsid w:val="007E5F58"/>
    <w:rsid w:val="007E6AB2"/>
    <w:rsid w:val="007E6DF0"/>
    <w:rsid w:val="007E7146"/>
    <w:rsid w:val="007E7582"/>
    <w:rsid w:val="007E786F"/>
    <w:rsid w:val="007E7EC0"/>
    <w:rsid w:val="007F01FF"/>
    <w:rsid w:val="007F039D"/>
    <w:rsid w:val="007F06C2"/>
    <w:rsid w:val="007F0722"/>
    <w:rsid w:val="007F0DB7"/>
    <w:rsid w:val="007F1AB6"/>
    <w:rsid w:val="007F3336"/>
    <w:rsid w:val="007F3AB3"/>
    <w:rsid w:val="007F3CA5"/>
    <w:rsid w:val="007F3CFB"/>
    <w:rsid w:val="007F44F1"/>
    <w:rsid w:val="007F4EBD"/>
    <w:rsid w:val="007F56BA"/>
    <w:rsid w:val="007F5947"/>
    <w:rsid w:val="007F5B40"/>
    <w:rsid w:val="007F65AE"/>
    <w:rsid w:val="007F688A"/>
    <w:rsid w:val="007F6D3D"/>
    <w:rsid w:val="007F7353"/>
    <w:rsid w:val="007F73F6"/>
    <w:rsid w:val="00800203"/>
    <w:rsid w:val="00800279"/>
    <w:rsid w:val="0080044D"/>
    <w:rsid w:val="00800801"/>
    <w:rsid w:val="008009E9"/>
    <w:rsid w:val="008010FE"/>
    <w:rsid w:val="0080115C"/>
    <w:rsid w:val="0080167F"/>
    <w:rsid w:val="00801D46"/>
    <w:rsid w:val="00802137"/>
    <w:rsid w:val="0080270C"/>
    <w:rsid w:val="00802859"/>
    <w:rsid w:val="00802922"/>
    <w:rsid w:val="00802D03"/>
    <w:rsid w:val="00803CC1"/>
    <w:rsid w:val="00803CDB"/>
    <w:rsid w:val="00804235"/>
    <w:rsid w:val="0080443E"/>
    <w:rsid w:val="00804553"/>
    <w:rsid w:val="008048EC"/>
    <w:rsid w:val="00805663"/>
    <w:rsid w:val="008056DF"/>
    <w:rsid w:val="00805F13"/>
    <w:rsid w:val="00805F14"/>
    <w:rsid w:val="008063D1"/>
    <w:rsid w:val="00806CAD"/>
    <w:rsid w:val="00807385"/>
    <w:rsid w:val="0080747E"/>
    <w:rsid w:val="008074E0"/>
    <w:rsid w:val="00807B13"/>
    <w:rsid w:val="00807D9B"/>
    <w:rsid w:val="00811543"/>
    <w:rsid w:val="00812ACC"/>
    <w:rsid w:val="00814897"/>
    <w:rsid w:val="00816976"/>
    <w:rsid w:val="00816ACF"/>
    <w:rsid w:val="00816ECB"/>
    <w:rsid w:val="00817653"/>
    <w:rsid w:val="00817B03"/>
    <w:rsid w:val="00817C5D"/>
    <w:rsid w:val="00820551"/>
    <w:rsid w:val="00820E88"/>
    <w:rsid w:val="00820F21"/>
    <w:rsid w:val="00821460"/>
    <w:rsid w:val="008215A3"/>
    <w:rsid w:val="008216F4"/>
    <w:rsid w:val="00821736"/>
    <w:rsid w:val="0082291D"/>
    <w:rsid w:val="0082295C"/>
    <w:rsid w:val="008229B6"/>
    <w:rsid w:val="0082311B"/>
    <w:rsid w:val="0082348E"/>
    <w:rsid w:val="008237ED"/>
    <w:rsid w:val="008238A1"/>
    <w:rsid w:val="00823EE1"/>
    <w:rsid w:val="00824754"/>
    <w:rsid w:val="008249D9"/>
    <w:rsid w:val="00824FDB"/>
    <w:rsid w:val="00825F60"/>
    <w:rsid w:val="00826609"/>
    <w:rsid w:val="00826698"/>
    <w:rsid w:val="00826A90"/>
    <w:rsid w:val="0082709B"/>
    <w:rsid w:val="00830ED8"/>
    <w:rsid w:val="00831990"/>
    <w:rsid w:val="00831DC5"/>
    <w:rsid w:val="0083261E"/>
    <w:rsid w:val="00833415"/>
    <w:rsid w:val="0083359F"/>
    <w:rsid w:val="00834086"/>
    <w:rsid w:val="00834112"/>
    <w:rsid w:val="00834239"/>
    <w:rsid w:val="00834990"/>
    <w:rsid w:val="0083533A"/>
    <w:rsid w:val="008360A6"/>
    <w:rsid w:val="00836FB0"/>
    <w:rsid w:val="0083779B"/>
    <w:rsid w:val="00837814"/>
    <w:rsid w:val="00837980"/>
    <w:rsid w:val="008403A8"/>
    <w:rsid w:val="00840D39"/>
    <w:rsid w:val="00840F75"/>
    <w:rsid w:val="0084185C"/>
    <w:rsid w:val="00841C4B"/>
    <w:rsid w:val="00842493"/>
    <w:rsid w:val="008428AF"/>
    <w:rsid w:val="00843048"/>
    <w:rsid w:val="00843122"/>
    <w:rsid w:val="008434B5"/>
    <w:rsid w:val="00843F5C"/>
    <w:rsid w:val="00844049"/>
    <w:rsid w:val="00844A22"/>
    <w:rsid w:val="00844B63"/>
    <w:rsid w:val="00844E33"/>
    <w:rsid w:val="008450C6"/>
    <w:rsid w:val="008451AB"/>
    <w:rsid w:val="0084545D"/>
    <w:rsid w:val="0084559D"/>
    <w:rsid w:val="008458DA"/>
    <w:rsid w:val="00845ADD"/>
    <w:rsid w:val="00845D33"/>
    <w:rsid w:val="00845FAE"/>
    <w:rsid w:val="008472E0"/>
    <w:rsid w:val="00847909"/>
    <w:rsid w:val="00847947"/>
    <w:rsid w:val="00847C09"/>
    <w:rsid w:val="00850624"/>
    <w:rsid w:val="00850AF2"/>
    <w:rsid w:val="00851B7B"/>
    <w:rsid w:val="00851CC0"/>
    <w:rsid w:val="0085223B"/>
    <w:rsid w:val="008525B0"/>
    <w:rsid w:val="00852953"/>
    <w:rsid w:val="00852C80"/>
    <w:rsid w:val="0085304D"/>
    <w:rsid w:val="0085345C"/>
    <w:rsid w:val="00854869"/>
    <w:rsid w:val="00854CB8"/>
    <w:rsid w:val="00855225"/>
    <w:rsid w:val="0085538E"/>
    <w:rsid w:val="008553CE"/>
    <w:rsid w:val="008566B7"/>
    <w:rsid w:val="00857BD0"/>
    <w:rsid w:val="00860341"/>
    <w:rsid w:val="00860D84"/>
    <w:rsid w:val="008616C1"/>
    <w:rsid w:val="00861DEC"/>
    <w:rsid w:val="0086219F"/>
    <w:rsid w:val="00862951"/>
    <w:rsid w:val="0086313C"/>
    <w:rsid w:val="00863300"/>
    <w:rsid w:val="00863EBE"/>
    <w:rsid w:val="008654B4"/>
    <w:rsid w:val="00865770"/>
    <w:rsid w:val="008661AD"/>
    <w:rsid w:val="008663DB"/>
    <w:rsid w:val="0086662B"/>
    <w:rsid w:val="00866D69"/>
    <w:rsid w:val="0086786A"/>
    <w:rsid w:val="008679F4"/>
    <w:rsid w:val="00867A95"/>
    <w:rsid w:val="00867BB2"/>
    <w:rsid w:val="00870873"/>
    <w:rsid w:val="00871DB2"/>
    <w:rsid w:val="00871F81"/>
    <w:rsid w:val="008725D7"/>
    <w:rsid w:val="008733F4"/>
    <w:rsid w:val="0087370D"/>
    <w:rsid w:val="00874585"/>
    <w:rsid w:val="008746F9"/>
    <w:rsid w:val="00874BAF"/>
    <w:rsid w:val="00875471"/>
    <w:rsid w:val="008757AE"/>
    <w:rsid w:val="008763CA"/>
    <w:rsid w:val="0087640B"/>
    <w:rsid w:val="008766AD"/>
    <w:rsid w:val="008767B2"/>
    <w:rsid w:val="00877250"/>
    <w:rsid w:val="008773BD"/>
    <w:rsid w:val="00877529"/>
    <w:rsid w:val="008775E2"/>
    <w:rsid w:val="00877A59"/>
    <w:rsid w:val="00877D3E"/>
    <w:rsid w:val="0088045A"/>
    <w:rsid w:val="008805EE"/>
    <w:rsid w:val="008807E6"/>
    <w:rsid w:val="008825CF"/>
    <w:rsid w:val="00883567"/>
    <w:rsid w:val="00883D57"/>
    <w:rsid w:val="0088466B"/>
    <w:rsid w:val="0088482A"/>
    <w:rsid w:val="00884CD7"/>
    <w:rsid w:val="00884CF4"/>
    <w:rsid w:val="00884D2B"/>
    <w:rsid w:val="00884DE2"/>
    <w:rsid w:val="008853A1"/>
    <w:rsid w:val="00885551"/>
    <w:rsid w:val="00885844"/>
    <w:rsid w:val="00885FB2"/>
    <w:rsid w:val="008869EA"/>
    <w:rsid w:val="00886B1C"/>
    <w:rsid w:val="00887661"/>
    <w:rsid w:val="008876D6"/>
    <w:rsid w:val="00890444"/>
    <w:rsid w:val="00890B4A"/>
    <w:rsid w:val="00890CC6"/>
    <w:rsid w:val="00891519"/>
    <w:rsid w:val="00891C92"/>
    <w:rsid w:val="00893C44"/>
    <w:rsid w:val="00894326"/>
    <w:rsid w:val="00894E26"/>
    <w:rsid w:val="00894FAA"/>
    <w:rsid w:val="00895145"/>
    <w:rsid w:val="00895383"/>
    <w:rsid w:val="008958B9"/>
    <w:rsid w:val="008962AC"/>
    <w:rsid w:val="008962F0"/>
    <w:rsid w:val="00896AAE"/>
    <w:rsid w:val="00896AAF"/>
    <w:rsid w:val="00896F39"/>
    <w:rsid w:val="00897157"/>
    <w:rsid w:val="0089719E"/>
    <w:rsid w:val="008A0C9E"/>
    <w:rsid w:val="008A2220"/>
    <w:rsid w:val="008A262C"/>
    <w:rsid w:val="008A2C3A"/>
    <w:rsid w:val="008A2DA2"/>
    <w:rsid w:val="008A3776"/>
    <w:rsid w:val="008A37DE"/>
    <w:rsid w:val="008A4249"/>
    <w:rsid w:val="008A434C"/>
    <w:rsid w:val="008A4D74"/>
    <w:rsid w:val="008A53A2"/>
    <w:rsid w:val="008A563C"/>
    <w:rsid w:val="008A590D"/>
    <w:rsid w:val="008A629C"/>
    <w:rsid w:val="008A6757"/>
    <w:rsid w:val="008A67EF"/>
    <w:rsid w:val="008A708D"/>
    <w:rsid w:val="008A71B3"/>
    <w:rsid w:val="008A7E65"/>
    <w:rsid w:val="008B006E"/>
    <w:rsid w:val="008B00BF"/>
    <w:rsid w:val="008B02F6"/>
    <w:rsid w:val="008B0A79"/>
    <w:rsid w:val="008B0F9B"/>
    <w:rsid w:val="008B15BD"/>
    <w:rsid w:val="008B334A"/>
    <w:rsid w:val="008B356C"/>
    <w:rsid w:val="008B36B5"/>
    <w:rsid w:val="008B4054"/>
    <w:rsid w:val="008B406D"/>
    <w:rsid w:val="008B4731"/>
    <w:rsid w:val="008B4823"/>
    <w:rsid w:val="008B4B06"/>
    <w:rsid w:val="008B4B3D"/>
    <w:rsid w:val="008B4FB0"/>
    <w:rsid w:val="008B51BB"/>
    <w:rsid w:val="008B5A2B"/>
    <w:rsid w:val="008B5C31"/>
    <w:rsid w:val="008B66AC"/>
    <w:rsid w:val="008B66C7"/>
    <w:rsid w:val="008B6EF5"/>
    <w:rsid w:val="008B7D3F"/>
    <w:rsid w:val="008C004B"/>
    <w:rsid w:val="008C01A7"/>
    <w:rsid w:val="008C09EB"/>
    <w:rsid w:val="008C0EAB"/>
    <w:rsid w:val="008C19EE"/>
    <w:rsid w:val="008C2371"/>
    <w:rsid w:val="008C2580"/>
    <w:rsid w:val="008C275F"/>
    <w:rsid w:val="008C27AF"/>
    <w:rsid w:val="008C33C4"/>
    <w:rsid w:val="008C348B"/>
    <w:rsid w:val="008C34D3"/>
    <w:rsid w:val="008C364C"/>
    <w:rsid w:val="008C454D"/>
    <w:rsid w:val="008C479B"/>
    <w:rsid w:val="008C4B6E"/>
    <w:rsid w:val="008C4EE8"/>
    <w:rsid w:val="008C58C6"/>
    <w:rsid w:val="008C5CEC"/>
    <w:rsid w:val="008C6D70"/>
    <w:rsid w:val="008C6E7D"/>
    <w:rsid w:val="008C7442"/>
    <w:rsid w:val="008D01C5"/>
    <w:rsid w:val="008D0842"/>
    <w:rsid w:val="008D08C2"/>
    <w:rsid w:val="008D09A7"/>
    <w:rsid w:val="008D0E50"/>
    <w:rsid w:val="008D144D"/>
    <w:rsid w:val="008D15CE"/>
    <w:rsid w:val="008D16A1"/>
    <w:rsid w:val="008D2326"/>
    <w:rsid w:val="008D29E6"/>
    <w:rsid w:val="008D2A9D"/>
    <w:rsid w:val="008D2B36"/>
    <w:rsid w:val="008D2E5B"/>
    <w:rsid w:val="008D2E9E"/>
    <w:rsid w:val="008D30E7"/>
    <w:rsid w:val="008D3AA0"/>
    <w:rsid w:val="008D4143"/>
    <w:rsid w:val="008D47A2"/>
    <w:rsid w:val="008D56E1"/>
    <w:rsid w:val="008D5EC7"/>
    <w:rsid w:val="008D61CF"/>
    <w:rsid w:val="008D6368"/>
    <w:rsid w:val="008D68CD"/>
    <w:rsid w:val="008D6D57"/>
    <w:rsid w:val="008D7097"/>
    <w:rsid w:val="008D72A4"/>
    <w:rsid w:val="008D7802"/>
    <w:rsid w:val="008D7C10"/>
    <w:rsid w:val="008E19C3"/>
    <w:rsid w:val="008E1CF0"/>
    <w:rsid w:val="008E1D20"/>
    <w:rsid w:val="008E1E33"/>
    <w:rsid w:val="008E215F"/>
    <w:rsid w:val="008E2586"/>
    <w:rsid w:val="008E394C"/>
    <w:rsid w:val="008E4B87"/>
    <w:rsid w:val="008E5484"/>
    <w:rsid w:val="008E5566"/>
    <w:rsid w:val="008E565D"/>
    <w:rsid w:val="008E567C"/>
    <w:rsid w:val="008E5DF9"/>
    <w:rsid w:val="008E5E4E"/>
    <w:rsid w:val="008E6701"/>
    <w:rsid w:val="008E6946"/>
    <w:rsid w:val="008E6D90"/>
    <w:rsid w:val="008E75DF"/>
    <w:rsid w:val="008E7F85"/>
    <w:rsid w:val="008F0131"/>
    <w:rsid w:val="008F01E1"/>
    <w:rsid w:val="008F0265"/>
    <w:rsid w:val="008F03F3"/>
    <w:rsid w:val="008F0814"/>
    <w:rsid w:val="008F0DC6"/>
    <w:rsid w:val="008F1265"/>
    <w:rsid w:val="008F176C"/>
    <w:rsid w:val="008F1A60"/>
    <w:rsid w:val="008F1CEB"/>
    <w:rsid w:val="008F291F"/>
    <w:rsid w:val="008F34BE"/>
    <w:rsid w:val="008F38BC"/>
    <w:rsid w:val="008F3CD1"/>
    <w:rsid w:val="008F4B56"/>
    <w:rsid w:val="008F4E11"/>
    <w:rsid w:val="008F4E8F"/>
    <w:rsid w:val="008F590D"/>
    <w:rsid w:val="008F6082"/>
    <w:rsid w:val="008F6BDC"/>
    <w:rsid w:val="008F703A"/>
    <w:rsid w:val="008F7E04"/>
    <w:rsid w:val="009000FE"/>
    <w:rsid w:val="00900ED0"/>
    <w:rsid w:val="00900EE2"/>
    <w:rsid w:val="0090119B"/>
    <w:rsid w:val="009015D2"/>
    <w:rsid w:val="00901715"/>
    <w:rsid w:val="00901CA8"/>
    <w:rsid w:val="00901E03"/>
    <w:rsid w:val="009034EB"/>
    <w:rsid w:val="009036B0"/>
    <w:rsid w:val="009041DE"/>
    <w:rsid w:val="00904E3A"/>
    <w:rsid w:val="00905771"/>
    <w:rsid w:val="0090591F"/>
    <w:rsid w:val="00906E41"/>
    <w:rsid w:val="00907149"/>
    <w:rsid w:val="00910023"/>
    <w:rsid w:val="009106E1"/>
    <w:rsid w:val="00910E5D"/>
    <w:rsid w:val="009113AE"/>
    <w:rsid w:val="0091173B"/>
    <w:rsid w:val="00911DF8"/>
    <w:rsid w:val="009122B7"/>
    <w:rsid w:val="009123BF"/>
    <w:rsid w:val="00913165"/>
    <w:rsid w:val="00913653"/>
    <w:rsid w:val="00913BBC"/>
    <w:rsid w:val="00913FCB"/>
    <w:rsid w:val="00914732"/>
    <w:rsid w:val="00915319"/>
    <w:rsid w:val="00916365"/>
    <w:rsid w:val="00916984"/>
    <w:rsid w:val="009169A6"/>
    <w:rsid w:val="00916CE1"/>
    <w:rsid w:val="00916D06"/>
    <w:rsid w:val="00916E88"/>
    <w:rsid w:val="0091741D"/>
    <w:rsid w:val="00917578"/>
    <w:rsid w:val="009177FC"/>
    <w:rsid w:val="00917E83"/>
    <w:rsid w:val="009207E0"/>
    <w:rsid w:val="00920929"/>
    <w:rsid w:val="009209B9"/>
    <w:rsid w:val="009211B4"/>
    <w:rsid w:val="0092120A"/>
    <w:rsid w:val="00921318"/>
    <w:rsid w:val="009215FC"/>
    <w:rsid w:val="00921E3E"/>
    <w:rsid w:val="00922622"/>
    <w:rsid w:val="00922BD7"/>
    <w:rsid w:val="0092360D"/>
    <w:rsid w:val="00923889"/>
    <w:rsid w:val="00923BF3"/>
    <w:rsid w:val="00924575"/>
    <w:rsid w:val="00924C42"/>
    <w:rsid w:val="009254A1"/>
    <w:rsid w:val="009255A5"/>
    <w:rsid w:val="00926103"/>
    <w:rsid w:val="00926315"/>
    <w:rsid w:val="00926891"/>
    <w:rsid w:val="00926A82"/>
    <w:rsid w:val="00926FC6"/>
    <w:rsid w:val="009271C3"/>
    <w:rsid w:val="00930177"/>
    <w:rsid w:val="00930200"/>
    <w:rsid w:val="009302C7"/>
    <w:rsid w:val="0093159E"/>
    <w:rsid w:val="00931BC1"/>
    <w:rsid w:val="00932B77"/>
    <w:rsid w:val="00932FB9"/>
    <w:rsid w:val="00933A82"/>
    <w:rsid w:val="00933B8B"/>
    <w:rsid w:val="00933B99"/>
    <w:rsid w:val="00933DF3"/>
    <w:rsid w:val="009346B2"/>
    <w:rsid w:val="00934A5A"/>
    <w:rsid w:val="00934F81"/>
    <w:rsid w:val="009350F6"/>
    <w:rsid w:val="009357AD"/>
    <w:rsid w:val="009358CE"/>
    <w:rsid w:val="00935AF6"/>
    <w:rsid w:val="00935C30"/>
    <w:rsid w:val="00935F21"/>
    <w:rsid w:val="009365C9"/>
    <w:rsid w:val="00936B57"/>
    <w:rsid w:val="009403C9"/>
    <w:rsid w:val="00940EB6"/>
    <w:rsid w:val="009416E9"/>
    <w:rsid w:val="00941865"/>
    <w:rsid w:val="00941B89"/>
    <w:rsid w:val="00941F0D"/>
    <w:rsid w:val="0094226F"/>
    <w:rsid w:val="00942293"/>
    <w:rsid w:val="0094241D"/>
    <w:rsid w:val="0094281F"/>
    <w:rsid w:val="009428D3"/>
    <w:rsid w:val="00942F6E"/>
    <w:rsid w:val="00943EB6"/>
    <w:rsid w:val="0094409A"/>
    <w:rsid w:val="00944593"/>
    <w:rsid w:val="009446F9"/>
    <w:rsid w:val="00945960"/>
    <w:rsid w:val="0094692E"/>
    <w:rsid w:val="00947A5F"/>
    <w:rsid w:val="009506FA"/>
    <w:rsid w:val="0095151D"/>
    <w:rsid w:val="00951E3C"/>
    <w:rsid w:val="0095211E"/>
    <w:rsid w:val="00952EDE"/>
    <w:rsid w:val="00953092"/>
    <w:rsid w:val="0095349F"/>
    <w:rsid w:val="009540DB"/>
    <w:rsid w:val="009544D1"/>
    <w:rsid w:val="009550C2"/>
    <w:rsid w:val="00955B88"/>
    <w:rsid w:val="00955BF7"/>
    <w:rsid w:val="00956482"/>
    <w:rsid w:val="009564E6"/>
    <w:rsid w:val="009568EB"/>
    <w:rsid w:val="00956A85"/>
    <w:rsid w:val="00960671"/>
    <w:rsid w:val="00960A5D"/>
    <w:rsid w:val="00960E12"/>
    <w:rsid w:val="00961775"/>
    <w:rsid w:val="00961C7C"/>
    <w:rsid w:val="00961F09"/>
    <w:rsid w:val="00962035"/>
    <w:rsid w:val="009622D2"/>
    <w:rsid w:val="00962524"/>
    <w:rsid w:val="009638FA"/>
    <w:rsid w:val="0096406E"/>
    <w:rsid w:val="00964454"/>
    <w:rsid w:val="00964725"/>
    <w:rsid w:val="00964853"/>
    <w:rsid w:val="00964A10"/>
    <w:rsid w:val="0096548C"/>
    <w:rsid w:val="0096562D"/>
    <w:rsid w:val="00965715"/>
    <w:rsid w:val="00965D06"/>
    <w:rsid w:val="00965F12"/>
    <w:rsid w:val="009660EF"/>
    <w:rsid w:val="00966B39"/>
    <w:rsid w:val="00966B84"/>
    <w:rsid w:val="0096706D"/>
    <w:rsid w:val="00967573"/>
    <w:rsid w:val="00970C68"/>
    <w:rsid w:val="0097125F"/>
    <w:rsid w:val="009717EF"/>
    <w:rsid w:val="009725A4"/>
    <w:rsid w:val="00972D63"/>
    <w:rsid w:val="00973F70"/>
    <w:rsid w:val="0097446E"/>
    <w:rsid w:val="0097471C"/>
    <w:rsid w:val="00974B7A"/>
    <w:rsid w:val="00975F8B"/>
    <w:rsid w:val="00976197"/>
    <w:rsid w:val="0097692D"/>
    <w:rsid w:val="00976D4F"/>
    <w:rsid w:val="0097727C"/>
    <w:rsid w:val="009772E7"/>
    <w:rsid w:val="00977313"/>
    <w:rsid w:val="00977397"/>
    <w:rsid w:val="00977479"/>
    <w:rsid w:val="009776AF"/>
    <w:rsid w:val="00977D3B"/>
    <w:rsid w:val="00977F2C"/>
    <w:rsid w:val="00980344"/>
    <w:rsid w:val="00981507"/>
    <w:rsid w:val="00981933"/>
    <w:rsid w:val="00981A96"/>
    <w:rsid w:val="00981B23"/>
    <w:rsid w:val="00981CF1"/>
    <w:rsid w:val="00982725"/>
    <w:rsid w:val="00982D7B"/>
    <w:rsid w:val="00982F4B"/>
    <w:rsid w:val="00983170"/>
    <w:rsid w:val="00983B7E"/>
    <w:rsid w:val="009846A3"/>
    <w:rsid w:val="00984840"/>
    <w:rsid w:val="009849DA"/>
    <w:rsid w:val="0098541B"/>
    <w:rsid w:val="00985523"/>
    <w:rsid w:val="009867AE"/>
    <w:rsid w:val="009879CD"/>
    <w:rsid w:val="00990358"/>
    <w:rsid w:val="00990480"/>
    <w:rsid w:val="00990E31"/>
    <w:rsid w:val="00991226"/>
    <w:rsid w:val="009917FB"/>
    <w:rsid w:val="00992CE9"/>
    <w:rsid w:val="00993335"/>
    <w:rsid w:val="00995305"/>
    <w:rsid w:val="00995832"/>
    <w:rsid w:val="00995BAA"/>
    <w:rsid w:val="00995C1E"/>
    <w:rsid w:val="009960FB"/>
    <w:rsid w:val="009968E9"/>
    <w:rsid w:val="00996AAC"/>
    <w:rsid w:val="0099705B"/>
    <w:rsid w:val="009976E5"/>
    <w:rsid w:val="00997B75"/>
    <w:rsid w:val="009A05CC"/>
    <w:rsid w:val="009A0A13"/>
    <w:rsid w:val="009A0DF5"/>
    <w:rsid w:val="009A1683"/>
    <w:rsid w:val="009A214D"/>
    <w:rsid w:val="009A2389"/>
    <w:rsid w:val="009A2660"/>
    <w:rsid w:val="009A26B6"/>
    <w:rsid w:val="009A2869"/>
    <w:rsid w:val="009A28BF"/>
    <w:rsid w:val="009A2BB2"/>
    <w:rsid w:val="009A3593"/>
    <w:rsid w:val="009A3783"/>
    <w:rsid w:val="009A3E28"/>
    <w:rsid w:val="009A3F87"/>
    <w:rsid w:val="009A408A"/>
    <w:rsid w:val="009A47FF"/>
    <w:rsid w:val="009A4DE8"/>
    <w:rsid w:val="009A50E6"/>
    <w:rsid w:val="009A66A4"/>
    <w:rsid w:val="009A68C7"/>
    <w:rsid w:val="009A6BD7"/>
    <w:rsid w:val="009A7648"/>
    <w:rsid w:val="009A790D"/>
    <w:rsid w:val="009A7D1C"/>
    <w:rsid w:val="009B00B7"/>
    <w:rsid w:val="009B0824"/>
    <w:rsid w:val="009B086A"/>
    <w:rsid w:val="009B18F3"/>
    <w:rsid w:val="009B1D6F"/>
    <w:rsid w:val="009B22D6"/>
    <w:rsid w:val="009B2784"/>
    <w:rsid w:val="009B283C"/>
    <w:rsid w:val="009B30D9"/>
    <w:rsid w:val="009B3FD1"/>
    <w:rsid w:val="009B56AB"/>
    <w:rsid w:val="009B5FE8"/>
    <w:rsid w:val="009B76F4"/>
    <w:rsid w:val="009B78F5"/>
    <w:rsid w:val="009B7AB2"/>
    <w:rsid w:val="009C01C5"/>
    <w:rsid w:val="009C0710"/>
    <w:rsid w:val="009C079C"/>
    <w:rsid w:val="009C0E36"/>
    <w:rsid w:val="009C1508"/>
    <w:rsid w:val="009C1A94"/>
    <w:rsid w:val="009C2D7B"/>
    <w:rsid w:val="009C3A51"/>
    <w:rsid w:val="009C3C68"/>
    <w:rsid w:val="009C4549"/>
    <w:rsid w:val="009C47BA"/>
    <w:rsid w:val="009C5CE8"/>
    <w:rsid w:val="009C5E3D"/>
    <w:rsid w:val="009C63FD"/>
    <w:rsid w:val="009C65BC"/>
    <w:rsid w:val="009C6972"/>
    <w:rsid w:val="009C7A66"/>
    <w:rsid w:val="009D01BF"/>
    <w:rsid w:val="009D0F42"/>
    <w:rsid w:val="009D12B5"/>
    <w:rsid w:val="009D16B4"/>
    <w:rsid w:val="009D28B2"/>
    <w:rsid w:val="009D2983"/>
    <w:rsid w:val="009D335B"/>
    <w:rsid w:val="009D3A26"/>
    <w:rsid w:val="009D41E5"/>
    <w:rsid w:val="009D5076"/>
    <w:rsid w:val="009D5861"/>
    <w:rsid w:val="009D64BB"/>
    <w:rsid w:val="009D6587"/>
    <w:rsid w:val="009D6A3B"/>
    <w:rsid w:val="009D6B23"/>
    <w:rsid w:val="009D6CFE"/>
    <w:rsid w:val="009D7255"/>
    <w:rsid w:val="009D739A"/>
    <w:rsid w:val="009D743F"/>
    <w:rsid w:val="009D7613"/>
    <w:rsid w:val="009D7B79"/>
    <w:rsid w:val="009D7DC0"/>
    <w:rsid w:val="009D7DC8"/>
    <w:rsid w:val="009E045E"/>
    <w:rsid w:val="009E0842"/>
    <w:rsid w:val="009E180E"/>
    <w:rsid w:val="009E28D5"/>
    <w:rsid w:val="009E3D45"/>
    <w:rsid w:val="009E3DA1"/>
    <w:rsid w:val="009E521E"/>
    <w:rsid w:val="009E5C55"/>
    <w:rsid w:val="009E5E7B"/>
    <w:rsid w:val="009E65DA"/>
    <w:rsid w:val="009E6751"/>
    <w:rsid w:val="009E6D2E"/>
    <w:rsid w:val="009E7655"/>
    <w:rsid w:val="009E7C79"/>
    <w:rsid w:val="009F0079"/>
    <w:rsid w:val="009F008C"/>
    <w:rsid w:val="009F0AAD"/>
    <w:rsid w:val="009F0D1B"/>
    <w:rsid w:val="009F2352"/>
    <w:rsid w:val="009F24EB"/>
    <w:rsid w:val="009F276D"/>
    <w:rsid w:val="009F2D68"/>
    <w:rsid w:val="009F34E4"/>
    <w:rsid w:val="009F394F"/>
    <w:rsid w:val="009F43F8"/>
    <w:rsid w:val="009F5549"/>
    <w:rsid w:val="009F5B3D"/>
    <w:rsid w:val="009F5C48"/>
    <w:rsid w:val="009F6CB2"/>
    <w:rsid w:val="00A002B0"/>
    <w:rsid w:val="00A002FB"/>
    <w:rsid w:val="00A007D1"/>
    <w:rsid w:val="00A00A68"/>
    <w:rsid w:val="00A00ACC"/>
    <w:rsid w:val="00A01D14"/>
    <w:rsid w:val="00A02B0E"/>
    <w:rsid w:val="00A02C24"/>
    <w:rsid w:val="00A02FAD"/>
    <w:rsid w:val="00A03632"/>
    <w:rsid w:val="00A03EE9"/>
    <w:rsid w:val="00A044F8"/>
    <w:rsid w:val="00A0484E"/>
    <w:rsid w:val="00A05806"/>
    <w:rsid w:val="00A058DF"/>
    <w:rsid w:val="00A059A2"/>
    <w:rsid w:val="00A06219"/>
    <w:rsid w:val="00A06976"/>
    <w:rsid w:val="00A104BB"/>
    <w:rsid w:val="00A11117"/>
    <w:rsid w:val="00A11182"/>
    <w:rsid w:val="00A11DC6"/>
    <w:rsid w:val="00A12941"/>
    <w:rsid w:val="00A1363B"/>
    <w:rsid w:val="00A139C8"/>
    <w:rsid w:val="00A13CA3"/>
    <w:rsid w:val="00A13ED4"/>
    <w:rsid w:val="00A13EDB"/>
    <w:rsid w:val="00A13F40"/>
    <w:rsid w:val="00A13FDA"/>
    <w:rsid w:val="00A14442"/>
    <w:rsid w:val="00A14A68"/>
    <w:rsid w:val="00A14BB7"/>
    <w:rsid w:val="00A14E57"/>
    <w:rsid w:val="00A14E96"/>
    <w:rsid w:val="00A15080"/>
    <w:rsid w:val="00A1641A"/>
    <w:rsid w:val="00A1660D"/>
    <w:rsid w:val="00A17707"/>
    <w:rsid w:val="00A17E7D"/>
    <w:rsid w:val="00A20157"/>
    <w:rsid w:val="00A206A0"/>
    <w:rsid w:val="00A2073D"/>
    <w:rsid w:val="00A213EB"/>
    <w:rsid w:val="00A213F6"/>
    <w:rsid w:val="00A2150F"/>
    <w:rsid w:val="00A21BA7"/>
    <w:rsid w:val="00A22485"/>
    <w:rsid w:val="00A224E6"/>
    <w:rsid w:val="00A23D81"/>
    <w:rsid w:val="00A24278"/>
    <w:rsid w:val="00A2474E"/>
    <w:rsid w:val="00A24890"/>
    <w:rsid w:val="00A24F44"/>
    <w:rsid w:val="00A250A9"/>
    <w:rsid w:val="00A25A00"/>
    <w:rsid w:val="00A25EBD"/>
    <w:rsid w:val="00A25FAD"/>
    <w:rsid w:val="00A2687F"/>
    <w:rsid w:val="00A2737E"/>
    <w:rsid w:val="00A3043F"/>
    <w:rsid w:val="00A315BF"/>
    <w:rsid w:val="00A31948"/>
    <w:rsid w:val="00A31D7E"/>
    <w:rsid w:val="00A32864"/>
    <w:rsid w:val="00A3393F"/>
    <w:rsid w:val="00A33CD2"/>
    <w:rsid w:val="00A34F36"/>
    <w:rsid w:val="00A35C56"/>
    <w:rsid w:val="00A36764"/>
    <w:rsid w:val="00A3677C"/>
    <w:rsid w:val="00A36A78"/>
    <w:rsid w:val="00A371EE"/>
    <w:rsid w:val="00A37F75"/>
    <w:rsid w:val="00A404BD"/>
    <w:rsid w:val="00A409B1"/>
    <w:rsid w:val="00A40D99"/>
    <w:rsid w:val="00A40E08"/>
    <w:rsid w:val="00A415EB"/>
    <w:rsid w:val="00A417EA"/>
    <w:rsid w:val="00A41DD6"/>
    <w:rsid w:val="00A42A60"/>
    <w:rsid w:val="00A42C0D"/>
    <w:rsid w:val="00A42D8B"/>
    <w:rsid w:val="00A43DB9"/>
    <w:rsid w:val="00A44893"/>
    <w:rsid w:val="00A45FE6"/>
    <w:rsid w:val="00A462C0"/>
    <w:rsid w:val="00A46385"/>
    <w:rsid w:val="00A469C2"/>
    <w:rsid w:val="00A47365"/>
    <w:rsid w:val="00A50480"/>
    <w:rsid w:val="00A50497"/>
    <w:rsid w:val="00A50BBF"/>
    <w:rsid w:val="00A50DC2"/>
    <w:rsid w:val="00A50DE2"/>
    <w:rsid w:val="00A516E2"/>
    <w:rsid w:val="00A520E8"/>
    <w:rsid w:val="00A5227F"/>
    <w:rsid w:val="00A52FD4"/>
    <w:rsid w:val="00A5319C"/>
    <w:rsid w:val="00A53BEA"/>
    <w:rsid w:val="00A53DD7"/>
    <w:rsid w:val="00A54194"/>
    <w:rsid w:val="00A54827"/>
    <w:rsid w:val="00A54C03"/>
    <w:rsid w:val="00A55E8B"/>
    <w:rsid w:val="00A5619B"/>
    <w:rsid w:val="00A56FFA"/>
    <w:rsid w:val="00A57574"/>
    <w:rsid w:val="00A57621"/>
    <w:rsid w:val="00A57A21"/>
    <w:rsid w:val="00A609CC"/>
    <w:rsid w:val="00A609DD"/>
    <w:rsid w:val="00A60AC5"/>
    <w:rsid w:val="00A60F4D"/>
    <w:rsid w:val="00A60FDB"/>
    <w:rsid w:val="00A622D9"/>
    <w:rsid w:val="00A62415"/>
    <w:rsid w:val="00A62A74"/>
    <w:rsid w:val="00A6336E"/>
    <w:rsid w:val="00A63514"/>
    <w:rsid w:val="00A6367C"/>
    <w:rsid w:val="00A63E14"/>
    <w:rsid w:val="00A63E3C"/>
    <w:rsid w:val="00A640C3"/>
    <w:rsid w:val="00A64285"/>
    <w:rsid w:val="00A64334"/>
    <w:rsid w:val="00A65BCB"/>
    <w:rsid w:val="00A661F2"/>
    <w:rsid w:val="00A662D4"/>
    <w:rsid w:val="00A6659F"/>
    <w:rsid w:val="00A6697B"/>
    <w:rsid w:val="00A66C1B"/>
    <w:rsid w:val="00A67009"/>
    <w:rsid w:val="00A67224"/>
    <w:rsid w:val="00A67313"/>
    <w:rsid w:val="00A6750E"/>
    <w:rsid w:val="00A67C0B"/>
    <w:rsid w:val="00A70715"/>
    <w:rsid w:val="00A707FF"/>
    <w:rsid w:val="00A7090A"/>
    <w:rsid w:val="00A71186"/>
    <w:rsid w:val="00A7154F"/>
    <w:rsid w:val="00A71A41"/>
    <w:rsid w:val="00A72220"/>
    <w:rsid w:val="00A7229B"/>
    <w:rsid w:val="00A72CF8"/>
    <w:rsid w:val="00A733D3"/>
    <w:rsid w:val="00A737BB"/>
    <w:rsid w:val="00A7423F"/>
    <w:rsid w:val="00A74431"/>
    <w:rsid w:val="00A748D3"/>
    <w:rsid w:val="00A75215"/>
    <w:rsid w:val="00A755E8"/>
    <w:rsid w:val="00A75B27"/>
    <w:rsid w:val="00A76C6A"/>
    <w:rsid w:val="00A77233"/>
    <w:rsid w:val="00A77554"/>
    <w:rsid w:val="00A8009D"/>
    <w:rsid w:val="00A8051D"/>
    <w:rsid w:val="00A80743"/>
    <w:rsid w:val="00A81086"/>
    <w:rsid w:val="00A81214"/>
    <w:rsid w:val="00A815AB"/>
    <w:rsid w:val="00A82212"/>
    <w:rsid w:val="00A8282B"/>
    <w:rsid w:val="00A8314C"/>
    <w:rsid w:val="00A83A37"/>
    <w:rsid w:val="00A83AAC"/>
    <w:rsid w:val="00A8442D"/>
    <w:rsid w:val="00A85130"/>
    <w:rsid w:val="00A85146"/>
    <w:rsid w:val="00A855C6"/>
    <w:rsid w:val="00A856BB"/>
    <w:rsid w:val="00A85F21"/>
    <w:rsid w:val="00A86796"/>
    <w:rsid w:val="00A8759E"/>
    <w:rsid w:val="00A8793D"/>
    <w:rsid w:val="00A9000B"/>
    <w:rsid w:val="00A902E4"/>
    <w:rsid w:val="00A90B42"/>
    <w:rsid w:val="00A90EF4"/>
    <w:rsid w:val="00A92B92"/>
    <w:rsid w:val="00A9318E"/>
    <w:rsid w:val="00A931F6"/>
    <w:rsid w:val="00A934A6"/>
    <w:rsid w:val="00A937A7"/>
    <w:rsid w:val="00A9444C"/>
    <w:rsid w:val="00A94F6E"/>
    <w:rsid w:val="00A9569B"/>
    <w:rsid w:val="00A9574C"/>
    <w:rsid w:val="00A96CD7"/>
    <w:rsid w:val="00A97923"/>
    <w:rsid w:val="00AA0283"/>
    <w:rsid w:val="00AA05E1"/>
    <w:rsid w:val="00AA118D"/>
    <w:rsid w:val="00AA1651"/>
    <w:rsid w:val="00AA16F5"/>
    <w:rsid w:val="00AA1D1B"/>
    <w:rsid w:val="00AA245B"/>
    <w:rsid w:val="00AA2525"/>
    <w:rsid w:val="00AA322C"/>
    <w:rsid w:val="00AA4218"/>
    <w:rsid w:val="00AA4AB8"/>
    <w:rsid w:val="00AA4B12"/>
    <w:rsid w:val="00AA4DF4"/>
    <w:rsid w:val="00AA5AF3"/>
    <w:rsid w:val="00AA5E9B"/>
    <w:rsid w:val="00AA5F07"/>
    <w:rsid w:val="00AA60A3"/>
    <w:rsid w:val="00AA6681"/>
    <w:rsid w:val="00AA6DF9"/>
    <w:rsid w:val="00AA71B2"/>
    <w:rsid w:val="00AA7531"/>
    <w:rsid w:val="00AB01BF"/>
    <w:rsid w:val="00AB0BE9"/>
    <w:rsid w:val="00AB1404"/>
    <w:rsid w:val="00AB1B5C"/>
    <w:rsid w:val="00AB2DDA"/>
    <w:rsid w:val="00AB3DF2"/>
    <w:rsid w:val="00AB4263"/>
    <w:rsid w:val="00AB4801"/>
    <w:rsid w:val="00AB4E1C"/>
    <w:rsid w:val="00AB5754"/>
    <w:rsid w:val="00AB5F81"/>
    <w:rsid w:val="00AB6CCA"/>
    <w:rsid w:val="00AB7BD0"/>
    <w:rsid w:val="00AB7CC3"/>
    <w:rsid w:val="00AB7EC1"/>
    <w:rsid w:val="00AC00EE"/>
    <w:rsid w:val="00AC064E"/>
    <w:rsid w:val="00AC0800"/>
    <w:rsid w:val="00AC0B5A"/>
    <w:rsid w:val="00AC0DD4"/>
    <w:rsid w:val="00AC0F87"/>
    <w:rsid w:val="00AC12ED"/>
    <w:rsid w:val="00AC1631"/>
    <w:rsid w:val="00AC16AA"/>
    <w:rsid w:val="00AC22F4"/>
    <w:rsid w:val="00AC2679"/>
    <w:rsid w:val="00AC39CD"/>
    <w:rsid w:val="00AC41FA"/>
    <w:rsid w:val="00AC451C"/>
    <w:rsid w:val="00AC4BBC"/>
    <w:rsid w:val="00AC4C98"/>
    <w:rsid w:val="00AC513C"/>
    <w:rsid w:val="00AC5161"/>
    <w:rsid w:val="00AC59AF"/>
    <w:rsid w:val="00AC5A54"/>
    <w:rsid w:val="00AC5C2B"/>
    <w:rsid w:val="00AC63DD"/>
    <w:rsid w:val="00AC69F2"/>
    <w:rsid w:val="00AC6BE1"/>
    <w:rsid w:val="00AC6DE9"/>
    <w:rsid w:val="00AC6E53"/>
    <w:rsid w:val="00AC76C8"/>
    <w:rsid w:val="00AC7860"/>
    <w:rsid w:val="00AC7C48"/>
    <w:rsid w:val="00AC7F09"/>
    <w:rsid w:val="00AC7FD7"/>
    <w:rsid w:val="00AD04BD"/>
    <w:rsid w:val="00AD04E6"/>
    <w:rsid w:val="00AD080B"/>
    <w:rsid w:val="00AD0E59"/>
    <w:rsid w:val="00AD0E9A"/>
    <w:rsid w:val="00AD1A09"/>
    <w:rsid w:val="00AD1F52"/>
    <w:rsid w:val="00AD23BF"/>
    <w:rsid w:val="00AD2A78"/>
    <w:rsid w:val="00AD2ACE"/>
    <w:rsid w:val="00AD2DE7"/>
    <w:rsid w:val="00AD2EF1"/>
    <w:rsid w:val="00AD32BE"/>
    <w:rsid w:val="00AD3551"/>
    <w:rsid w:val="00AD390A"/>
    <w:rsid w:val="00AD4C82"/>
    <w:rsid w:val="00AD4C84"/>
    <w:rsid w:val="00AD4C86"/>
    <w:rsid w:val="00AD58AE"/>
    <w:rsid w:val="00AD5BF5"/>
    <w:rsid w:val="00AD6E8C"/>
    <w:rsid w:val="00AD6EA3"/>
    <w:rsid w:val="00AD7973"/>
    <w:rsid w:val="00AD7EB6"/>
    <w:rsid w:val="00AD7FAF"/>
    <w:rsid w:val="00AE0882"/>
    <w:rsid w:val="00AE1138"/>
    <w:rsid w:val="00AE24D0"/>
    <w:rsid w:val="00AE334D"/>
    <w:rsid w:val="00AE34D7"/>
    <w:rsid w:val="00AE39EC"/>
    <w:rsid w:val="00AE3DC9"/>
    <w:rsid w:val="00AE3F83"/>
    <w:rsid w:val="00AE40C0"/>
    <w:rsid w:val="00AE439B"/>
    <w:rsid w:val="00AE5D03"/>
    <w:rsid w:val="00AE6654"/>
    <w:rsid w:val="00AE6B53"/>
    <w:rsid w:val="00AE7042"/>
    <w:rsid w:val="00AE7795"/>
    <w:rsid w:val="00AE7E6D"/>
    <w:rsid w:val="00AE7ECB"/>
    <w:rsid w:val="00AF00AA"/>
    <w:rsid w:val="00AF07E8"/>
    <w:rsid w:val="00AF10EC"/>
    <w:rsid w:val="00AF2532"/>
    <w:rsid w:val="00AF2AB8"/>
    <w:rsid w:val="00AF3647"/>
    <w:rsid w:val="00AF376F"/>
    <w:rsid w:val="00AF3BD1"/>
    <w:rsid w:val="00AF3D54"/>
    <w:rsid w:val="00AF3DC5"/>
    <w:rsid w:val="00AF44CF"/>
    <w:rsid w:val="00AF533B"/>
    <w:rsid w:val="00AF59AA"/>
    <w:rsid w:val="00AF5BB5"/>
    <w:rsid w:val="00AF6F56"/>
    <w:rsid w:val="00AF78C1"/>
    <w:rsid w:val="00AF7903"/>
    <w:rsid w:val="00AF7A79"/>
    <w:rsid w:val="00AF7D55"/>
    <w:rsid w:val="00B0085D"/>
    <w:rsid w:val="00B00889"/>
    <w:rsid w:val="00B00971"/>
    <w:rsid w:val="00B00C29"/>
    <w:rsid w:val="00B00D63"/>
    <w:rsid w:val="00B00ECA"/>
    <w:rsid w:val="00B01B6E"/>
    <w:rsid w:val="00B0266F"/>
    <w:rsid w:val="00B027ED"/>
    <w:rsid w:val="00B02994"/>
    <w:rsid w:val="00B04342"/>
    <w:rsid w:val="00B04D2E"/>
    <w:rsid w:val="00B05F10"/>
    <w:rsid w:val="00B07185"/>
    <w:rsid w:val="00B071FA"/>
    <w:rsid w:val="00B07351"/>
    <w:rsid w:val="00B07880"/>
    <w:rsid w:val="00B079E8"/>
    <w:rsid w:val="00B10F0B"/>
    <w:rsid w:val="00B11043"/>
    <w:rsid w:val="00B1146D"/>
    <w:rsid w:val="00B11CDF"/>
    <w:rsid w:val="00B11F59"/>
    <w:rsid w:val="00B12780"/>
    <w:rsid w:val="00B12A38"/>
    <w:rsid w:val="00B131B1"/>
    <w:rsid w:val="00B137E4"/>
    <w:rsid w:val="00B13ACD"/>
    <w:rsid w:val="00B13F04"/>
    <w:rsid w:val="00B145C7"/>
    <w:rsid w:val="00B14CA3"/>
    <w:rsid w:val="00B14CD7"/>
    <w:rsid w:val="00B14F45"/>
    <w:rsid w:val="00B16FAF"/>
    <w:rsid w:val="00B1700C"/>
    <w:rsid w:val="00B202BC"/>
    <w:rsid w:val="00B2058D"/>
    <w:rsid w:val="00B20A72"/>
    <w:rsid w:val="00B20D6D"/>
    <w:rsid w:val="00B21720"/>
    <w:rsid w:val="00B229CE"/>
    <w:rsid w:val="00B22A7E"/>
    <w:rsid w:val="00B237B6"/>
    <w:rsid w:val="00B23B2A"/>
    <w:rsid w:val="00B23DC4"/>
    <w:rsid w:val="00B24307"/>
    <w:rsid w:val="00B24422"/>
    <w:rsid w:val="00B2499D"/>
    <w:rsid w:val="00B24B38"/>
    <w:rsid w:val="00B24B71"/>
    <w:rsid w:val="00B251B6"/>
    <w:rsid w:val="00B25364"/>
    <w:rsid w:val="00B254F4"/>
    <w:rsid w:val="00B2552D"/>
    <w:rsid w:val="00B25D3E"/>
    <w:rsid w:val="00B25FEF"/>
    <w:rsid w:val="00B26595"/>
    <w:rsid w:val="00B30055"/>
    <w:rsid w:val="00B30372"/>
    <w:rsid w:val="00B307D1"/>
    <w:rsid w:val="00B30FC0"/>
    <w:rsid w:val="00B31749"/>
    <w:rsid w:val="00B31857"/>
    <w:rsid w:val="00B3249C"/>
    <w:rsid w:val="00B3263A"/>
    <w:rsid w:val="00B32673"/>
    <w:rsid w:val="00B32F7A"/>
    <w:rsid w:val="00B337B5"/>
    <w:rsid w:val="00B33C81"/>
    <w:rsid w:val="00B34DAF"/>
    <w:rsid w:val="00B3503F"/>
    <w:rsid w:val="00B351ED"/>
    <w:rsid w:val="00B3562E"/>
    <w:rsid w:val="00B35874"/>
    <w:rsid w:val="00B35A00"/>
    <w:rsid w:val="00B377E8"/>
    <w:rsid w:val="00B40087"/>
    <w:rsid w:val="00B40204"/>
    <w:rsid w:val="00B417FB"/>
    <w:rsid w:val="00B420B0"/>
    <w:rsid w:val="00B42376"/>
    <w:rsid w:val="00B4268E"/>
    <w:rsid w:val="00B42A66"/>
    <w:rsid w:val="00B42AE7"/>
    <w:rsid w:val="00B42C6D"/>
    <w:rsid w:val="00B42FE2"/>
    <w:rsid w:val="00B43F04"/>
    <w:rsid w:val="00B44069"/>
    <w:rsid w:val="00B444ED"/>
    <w:rsid w:val="00B445EE"/>
    <w:rsid w:val="00B445F3"/>
    <w:rsid w:val="00B44627"/>
    <w:rsid w:val="00B446DD"/>
    <w:rsid w:val="00B44775"/>
    <w:rsid w:val="00B45249"/>
    <w:rsid w:val="00B45B21"/>
    <w:rsid w:val="00B45E9D"/>
    <w:rsid w:val="00B46C02"/>
    <w:rsid w:val="00B46FAB"/>
    <w:rsid w:val="00B4771C"/>
    <w:rsid w:val="00B47AB5"/>
    <w:rsid w:val="00B47EA8"/>
    <w:rsid w:val="00B500B3"/>
    <w:rsid w:val="00B50175"/>
    <w:rsid w:val="00B50C21"/>
    <w:rsid w:val="00B51983"/>
    <w:rsid w:val="00B51E1C"/>
    <w:rsid w:val="00B52192"/>
    <w:rsid w:val="00B52CAF"/>
    <w:rsid w:val="00B52F1E"/>
    <w:rsid w:val="00B532B9"/>
    <w:rsid w:val="00B537D3"/>
    <w:rsid w:val="00B53E90"/>
    <w:rsid w:val="00B54BD3"/>
    <w:rsid w:val="00B54CD3"/>
    <w:rsid w:val="00B56677"/>
    <w:rsid w:val="00B5702F"/>
    <w:rsid w:val="00B5760C"/>
    <w:rsid w:val="00B57CCC"/>
    <w:rsid w:val="00B60B6F"/>
    <w:rsid w:val="00B613BF"/>
    <w:rsid w:val="00B61694"/>
    <w:rsid w:val="00B61C81"/>
    <w:rsid w:val="00B62BB4"/>
    <w:rsid w:val="00B62D99"/>
    <w:rsid w:val="00B63098"/>
    <w:rsid w:val="00B6384B"/>
    <w:rsid w:val="00B63FC6"/>
    <w:rsid w:val="00B64113"/>
    <w:rsid w:val="00B64551"/>
    <w:rsid w:val="00B646FA"/>
    <w:rsid w:val="00B649D6"/>
    <w:rsid w:val="00B64AB2"/>
    <w:rsid w:val="00B65CC7"/>
    <w:rsid w:val="00B661CB"/>
    <w:rsid w:val="00B66310"/>
    <w:rsid w:val="00B66CCB"/>
    <w:rsid w:val="00B67D2D"/>
    <w:rsid w:val="00B67F4F"/>
    <w:rsid w:val="00B701C4"/>
    <w:rsid w:val="00B7020B"/>
    <w:rsid w:val="00B70930"/>
    <w:rsid w:val="00B709C1"/>
    <w:rsid w:val="00B70E5A"/>
    <w:rsid w:val="00B70E98"/>
    <w:rsid w:val="00B717E3"/>
    <w:rsid w:val="00B7184C"/>
    <w:rsid w:val="00B718B7"/>
    <w:rsid w:val="00B71B3A"/>
    <w:rsid w:val="00B71E8A"/>
    <w:rsid w:val="00B724AE"/>
    <w:rsid w:val="00B72540"/>
    <w:rsid w:val="00B73024"/>
    <w:rsid w:val="00B734AF"/>
    <w:rsid w:val="00B73585"/>
    <w:rsid w:val="00B73AF0"/>
    <w:rsid w:val="00B73BBE"/>
    <w:rsid w:val="00B740B7"/>
    <w:rsid w:val="00B741E4"/>
    <w:rsid w:val="00B74448"/>
    <w:rsid w:val="00B75C35"/>
    <w:rsid w:val="00B76452"/>
    <w:rsid w:val="00B76B7C"/>
    <w:rsid w:val="00B77471"/>
    <w:rsid w:val="00B775BC"/>
    <w:rsid w:val="00B779AD"/>
    <w:rsid w:val="00B801C6"/>
    <w:rsid w:val="00B802AF"/>
    <w:rsid w:val="00B810BA"/>
    <w:rsid w:val="00B814EA"/>
    <w:rsid w:val="00B81A0D"/>
    <w:rsid w:val="00B81E5B"/>
    <w:rsid w:val="00B82DC3"/>
    <w:rsid w:val="00B830AB"/>
    <w:rsid w:val="00B83D45"/>
    <w:rsid w:val="00B84169"/>
    <w:rsid w:val="00B845DB"/>
    <w:rsid w:val="00B85531"/>
    <w:rsid w:val="00B855BB"/>
    <w:rsid w:val="00B8561D"/>
    <w:rsid w:val="00B85795"/>
    <w:rsid w:val="00B85E33"/>
    <w:rsid w:val="00B86A03"/>
    <w:rsid w:val="00B90011"/>
    <w:rsid w:val="00B90B15"/>
    <w:rsid w:val="00B917AD"/>
    <w:rsid w:val="00B91F97"/>
    <w:rsid w:val="00B92B94"/>
    <w:rsid w:val="00B9307A"/>
    <w:rsid w:val="00B953CE"/>
    <w:rsid w:val="00B9692A"/>
    <w:rsid w:val="00B96D7A"/>
    <w:rsid w:val="00B97FC1"/>
    <w:rsid w:val="00BA0282"/>
    <w:rsid w:val="00BA06BD"/>
    <w:rsid w:val="00BA0822"/>
    <w:rsid w:val="00BA0F37"/>
    <w:rsid w:val="00BA14BC"/>
    <w:rsid w:val="00BA1963"/>
    <w:rsid w:val="00BA1CC7"/>
    <w:rsid w:val="00BA25CF"/>
    <w:rsid w:val="00BA4933"/>
    <w:rsid w:val="00BA4CE3"/>
    <w:rsid w:val="00BA4E8F"/>
    <w:rsid w:val="00BA56D8"/>
    <w:rsid w:val="00BA58DD"/>
    <w:rsid w:val="00BA5C6D"/>
    <w:rsid w:val="00BA5F78"/>
    <w:rsid w:val="00BA66BB"/>
    <w:rsid w:val="00BA6AFF"/>
    <w:rsid w:val="00BA6CED"/>
    <w:rsid w:val="00BA6FCE"/>
    <w:rsid w:val="00BA7565"/>
    <w:rsid w:val="00BB0226"/>
    <w:rsid w:val="00BB0D04"/>
    <w:rsid w:val="00BB0E44"/>
    <w:rsid w:val="00BB0E8A"/>
    <w:rsid w:val="00BB0F19"/>
    <w:rsid w:val="00BB2034"/>
    <w:rsid w:val="00BB2147"/>
    <w:rsid w:val="00BB2A5F"/>
    <w:rsid w:val="00BB2C23"/>
    <w:rsid w:val="00BB2E5E"/>
    <w:rsid w:val="00BB485B"/>
    <w:rsid w:val="00BB4B5F"/>
    <w:rsid w:val="00BB5029"/>
    <w:rsid w:val="00BB5326"/>
    <w:rsid w:val="00BB55E1"/>
    <w:rsid w:val="00BB5EF0"/>
    <w:rsid w:val="00BB6529"/>
    <w:rsid w:val="00BB67F9"/>
    <w:rsid w:val="00BB6BE4"/>
    <w:rsid w:val="00BB73B6"/>
    <w:rsid w:val="00BB7412"/>
    <w:rsid w:val="00BB796C"/>
    <w:rsid w:val="00BC07E7"/>
    <w:rsid w:val="00BC08BB"/>
    <w:rsid w:val="00BC1089"/>
    <w:rsid w:val="00BC15E5"/>
    <w:rsid w:val="00BC1636"/>
    <w:rsid w:val="00BC1B28"/>
    <w:rsid w:val="00BC21E5"/>
    <w:rsid w:val="00BC2425"/>
    <w:rsid w:val="00BC29D1"/>
    <w:rsid w:val="00BC4A48"/>
    <w:rsid w:val="00BC509E"/>
    <w:rsid w:val="00BC5AB5"/>
    <w:rsid w:val="00BC5B40"/>
    <w:rsid w:val="00BC6094"/>
    <w:rsid w:val="00BC6385"/>
    <w:rsid w:val="00BC7F3E"/>
    <w:rsid w:val="00BD0097"/>
    <w:rsid w:val="00BD0812"/>
    <w:rsid w:val="00BD112A"/>
    <w:rsid w:val="00BD17FA"/>
    <w:rsid w:val="00BD1A38"/>
    <w:rsid w:val="00BD1CCD"/>
    <w:rsid w:val="00BD24A1"/>
    <w:rsid w:val="00BD2A11"/>
    <w:rsid w:val="00BD2CE3"/>
    <w:rsid w:val="00BD2DB5"/>
    <w:rsid w:val="00BD2E00"/>
    <w:rsid w:val="00BD3968"/>
    <w:rsid w:val="00BD441E"/>
    <w:rsid w:val="00BD4537"/>
    <w:rsid w:val="00BD487C"/>
    <w:rsid w:val="00BD51AF"/>
    <w:rsid w:val="00BD5661"/>
    <w:rsid w:val="00BD58B1"/>
    <w:rsid w:val="00BD5DFA"/>
    <w:rsid w:val="00BD62AC"/>
    <w:rsid w:val="00BD66E3"/>
    <w:rsid w:val="00BD6BA6"/>
    <w:rsid w:val="00BD78C2"/>
    <w:rsid w:val="00BE0824"/>
    <w:rsid w:val="00BE09CD"/>
    <w:rsid w:val="00BE0EED"/>
    <w:rsid w:val="00BE10B7"/>
    <w:rsid w:val="00BE11EA"/>
    <w:rsid w:val="00BE1A52"/>
    <w:rsid w:val="00BE2009"/>
    <w:rsid w:val="00BE2DB7"/>
    <w:rsid w:val="00BE3505"/>
    <w:rsid w:val="00BE47CB"/>
    <w:rsid w:val="00BE4CD6"/>
    <w:rsid w:val="00BE5903"/>
    <w:rsid w:val="00BE6CE1"/>
    <w:rsid w:val="00BE6F7F"/>
    <w:rsid w:val="00BE70AE"/>
    <w:rsid w:val="00BE792B"/>
    <w:rsid w:val="00BE7D57"/>
    <w:rsid w:val="00BF002F"/>
    <w:rsid w:val="00BF0FDD"/>
    <w:rsid w:val="00BF13A5"/>
    <w:rsid w:val="00BF27F5"/>
    <w:rsid w:val="00BF2808"/>
    <w:rsid w:val="00BF28E1"/>
    <w:rsid w:val="00BF2A8C"/>
    <w:rsid w:val="00BF33D8"/>
    <w:rsid w:val="00BF341C"/>
    <w:rsid w:val="00BF373C"/>
    <w:rsid w:val="00BF3B22"/>
    <w:rsid w:val="00BF41E0"/>
    <w:rsid w:val="00BF47FC"/>
    <w:rsid w:val="00BF4A91"/>
    <w:rsid w:val="00BF5419"/>
    <w:rsid w:val="00BF5F0F"/>
    <w:rsid w:val="00BF63EB"/>
    <w:rsid w:val="00BF65F5"/>
    <w:rsid w:val="00BF65FB"/>
    <w:rsid w:val="00BF6F28"/>
    <w:rsid w:val="00BF7041"/>
    <w:rsid w:val="00C00205"/>
    <w:rsid w:val="00C00742"/>
    <w:rsid w:val="00C007E2"/>
    <w:rsid w:val="00C01881"/>
    <w:rsid w:val="00C01C3C"/>
    <w:rsid w:val="00C020B5"/>
    <w:rsid w:val="00C02106"/>
    <w:rsid w:val="00C0255C"/>
    <w:rsid w:val="00C02F25"/>
    <w:rsid w:val="00C02FCC"/>
    <w:rsid w:val="00C030B9"/>
    <w:rsid w:val="00C0360A"/>
    <w:rsid w:val="00C044FB"/>
    <w:rsid w:val="00C050EC"/>
    <w:rsid w:val="00C056E6"/>
    <w:rsid w:val="00C065A6"/>
    <w:rsid w:val="00C0682E"/>
    <w:rsid w:val="00C069A2"/>
    <w:rsid w:val="00C0751B"/>
    <w:rsid w:val="00C1017B"/>
    <w:rsid w:val="00C10EEE"/>
    <w:rsid w:val="00C113B2"/>
    <w:rsid w:val="00C11527"/>
    <w:rsid w:val="00C11CD1"/>
    <w:rsid w:val="00C12FE1"/>
    <w:rsid w:val="00C13413"/>
    <w:rsid w:val="00C13B28"/>
    <w:rsid w:val="00C14094"/>
    <w:rsid w:val="00C14431"/>
    <w:rsid w:val="00C14698"/>
    <w:rsid w:val="00C14A96"/>
    <w:rsid w:val="00C14EDE"/>
    <w:rsid w:val="00C1546B"/>
    <w:rsid w:val="00C15538"/>
    <w:rsid w:val="00C15620"/>
    <w:rsid w:val="00C15FE5"/>
    <w:rsid w:val="00C16186"/>
    <w:rsid w:val="00C169D1"/>
    <w:rsid w:val="00C172BC"/>
    <w:rsid w:val="00C1738E"/>
    <w:rsid w:val="00C174C9"/>
    <w:rsid w:val="00C177FF"/>
    <w:rsid w:val="00C179F4"/>
    <w:rsid w:val="00C17BFD"/>
    <w:rsid w:val="00C17CD7"/>
    <w:rsid w:val="00C17F0A"/>
    <w:rsid w:val="00C20678"/>
    <w:rsid w:val="00C20DD3"/>
    <w:rsid w:val="00C20DDC"/>
    <w:rsid w:val="00C212D7"/>
    <w:rsid w:val="00C212DD"/>
    <w:rsid w:val="00C21658"/>
    <w:rsid w:val="00C217F2"/>
    <w:rsid w:val="00C21F17"/>
    <w:rsid w:val="00C2230C"/>
    <w:rsid w:val="00C22624"/>
    <w:rsid w:val="00C23622"/>
    <w:rsid w:val="00C24103"/>
    <w:rsid w:val="00C2527D"/>
    <w:rsid w:val="00C255A3"/>
    <w:rsid w:val="00C257FF"/>
    <w:rsid w:val="00C25D14"/>
    <w:rsid w:val="00C26190"/>
    <w:rsid w:val="00C26D4F"/>
    <w:rsid w:val="00C26F20"/>
    <w:rsid w:val="00C274F9"/>
    <w:rsid w:val="00C302A9"/>
    <w:rsid w:val="00C320A1"/>
    <w:rsid w:val="00C32144"/>
    <w:rsid w:val="00C3269C"/>
    <w:rsid w:val="00C33026"/>
    <w:rsid w:val="00C33DE4"/>
    <w:rsid w:val="00C33F44"/>
    <w:rsid w:val="00C345F3"/>
    <w:rsid w:val="00C34C3D"/>
    <w:rsid w:val="00C350ED"/>
    <w:rsid w:val="00C35896"/>
    <w:rsid w:val="00C36ACC"/>
    <w:rsid w:val="00C36F07"/>
    <w:rsid w:val="00C37399"/>
    <w:rsid w:val="00C37B4B"/>
    <w:rsid w:val="00C40015"/>
    <w:rsid w:val="00C403D9"/>
    <w:rsid w:val="00C40793"/>
    <w:rsid w:val="00C40917"/>
    <w:rsid w:val="00C40E73"/>
    <w:rsid w:val="00C41189"/>
    <w:rsid w:val="00C41511"/>
    <w:rsid w:val="00C41CF3"/>
    <w:rsid w:val="00C428AB"/>
    <w:rsid w:val="00C42B9F"/>
    <w:rsid w:val="00C42C8F"/>
    <w:rsid w:val="00C42D97"/>
    <w:rsid w:val="00C43C67"/>
    <w:rsid w:val="00C44D9C"/>
    <w:rsid w:val="00C44E4D"/>
    <w:rsid w:val="00C4528C"/>
    <w:rsid w:val="00C4543E"/>
    <w:rsid w:val="00C457F3"/>
    <w:rsid w:val="00C4599A"/>
    <w:rsid w:val="00C460C8"/>
    <w:rsid w:val="00C47555"/>
    <w:rsid w:val="00C47C81"/>
    <w:rsid w:val="00C47E64"/>
    <w:rsid w:val="00C50292"/>
    <w:rsid w:val="00C50339"/>
    <w:rsid w:val="00C50FF6"/>
    <w:rsid w:val="00C51158"/>
    <w:rsid w:val="00C51839"/>
    <w:rsid w:val="00C519EB"/>
    <w:rsid w:val="00C523EE"/>
    <w:rsid w:val="00C527F3"/>
    <w:rsid w:val="00C52BDD"/>
    <w:rsid w:val="00C5330B"/>
    <w:rsid w:val="00C53384"/>
    <w:rsid w:val="00C53984"/>
    <w:rsid w:val="00C53F08"/>
    <w:rsid w:val="00C54C1C"/>
    <w:rsid w:val="00C561AA"/>
    <w:rsid w:val="00C565D7"/>
    <w:rsid w:val="00C56A19"/>
    <w:rsid w:val="00C56DE0"/>
    <w:rsid w:val="00C5711B"/>
    <w:rsid w:val="00C57BE6"/>
    <w:rsid w:val="00C60492"/>
    <w:rsid w:val="00C605FE"/>
    <w:rsid w:val="00C61385"/>
    <w:rsid w:val="00C6158B"/>
    <w:rsid w:val="00C61A76"/>
    <w:rsid w:val="00C621A4"/>
    <w:rsid w:val="00C62EF7"/>
    <w:rsid w:val="00C63132"/>
    <w:rsid w:val="00C63405"/>
    <w:rsid w:val="00C6389E"/>
    <w:rsid w:val="00C638AC"/>
    <w:rsid w:val="00C64DE9"/>
    <w:rsid w:val="00C650F9"/>
    <w:rsid w:val="00C6555C"/>
    <w:rsid w:val="00C661A3"/>
    <w:rsid w:val="00C66383"/>
    <w:rsid w:val="00C66D7E"/>
    <w:rsid w:val="00C66DD0"/>
    <w:rsid w:val="00C67127"/>
    <w:rsid w:val="00C67888"/>
    <w:rsid w:val="00C67C7A"/>
    <w:rsid w:val="00C67CB0"/>
    <w:rsid w:val="00C67E87"/>
    <w:rsid w:val="00C702C0"/>
    <w:rsid w:val="00C706D2"/>
    <w:rsid w:val="00C70739"/>
    <w:rsid w:val="00C715B2"/>
    <w:rsid w:val="00C71970"/>
    <w:rsid w:val="00C71BDD"/>
    <w:rsid w:val="00C71CA2"/>
    <w:rsid w:val="00C71DFD"/>
    <w:rsid w:val="00C71E49"/>
    <w:rsid w:val="00C71EFB"/>
    <w:rsid w:val="00C72A8C"/>
    <w:rsid w:val="00C72DEB"/>
    <w:rsid w:val="00C73B70"/>
    <w:rsid w:val="00C74463"/>
    <w:rsid w:val="00C74E87"/>
    <w:rsid w:val="00C75278"/>
    <w:rsid w:val="00C75381"/>
    <w:rsid w:val="00C7555B"/>
    <w:rsid w:val="00C75676"/>
    <w:rsid w:val="00C756E1"/>
    <w:rsid w:val="00C75F56"/>
    <w:rsid w:val="00C75FFD"/>
    <w:rsid w:val="00C76148"/>
    <w:rsid w:val="00C774DF"/>
    <w:rsid w:val="00C77945"/>
    <w:rsid w:val="00C779F9"/>
    <w:rsid w:val="00C77D7A"/>
    <w:rsid w:val="00C80515"/>
    <w:rsid w:val="00C805B0"/>
    <w:rsid w:val="00C80AEF"/>
    <w:rsid w:val="00C81306"/>
    <w:rsid w:val="00C82385"/>
    <w:rsid w:val="00C82537"/>
    <w:rsid w:val="00C825C0"/>
    <w:rsid w:val="00C8291C"/>
    <w:rsid w:val="00C82A95"/>
    <w:rsid w:val="00C83179"/>
    <w:rsid w:val="00C83417"/>
    <w:rsid w:val="00C8429E"/>
    <w:rsid w:val="00C84B37"/>
    <w:rsid w:val="00C8557E"/>
    <w:rsid w:val="00C8582E"/>
    <w:rsid w:val="00C85CB4"/>
    <w:rsid w:val="00C86D11"/>
    <w:rsid w:val="00C86E07"/>
    <w:rsid w:val="00C87439"/>
    <w:rsid w:val="00C878B7"/>
    <w:rsid w:val="00C87C09"/>
    <w:rsid w:val="00C87C73"/>
    <w:rsid w:val="00C87F1F"/>
    <w:rsid w:val="00C9001B"/>
    <w:rsid w:val="00C906AB"/>
    <w:rsid w:val="00C916B2"/>
    <w:rsid w:val="00C92717"/>
    <w:rsid w:val="00C92AA4"/>
    <w:rsid w:val="00C93292"/>
    <w:rsid w:val="00C93AF0"/>
    <w:rsid w:val="00C93D27"/>
    <w:rsid w:val="00C941F4"/>
    <w:rsid w:val="00C9420D"/>
    <w:rsid w:val="00C95584"/>
    <w:rsid w:val="00C95F06"/>
    <w:rsid w:val="00C95FE7"/>
    <w:rsid w:val="00C96E2B"/>
    <w:rsid w:val="00CA0A1B"/>
    <w:rsid w:val="00CA0DA2"/>
    <w:rsid w:val="00CA148D"/>
    <w:rsid w:val="00CA1B00"/>
    <w:rsid w:val="00CA1F0E"/>
    <w:rsid w:val="00CA245F"/>
    <w:rsid w:val="00CA2768"/>
    <w:rsid w:val="00CA2B83"/>
    <w:rsid w:val="00CA30C6"/>
    <w:rsid w:val="00CA3548"/>
    <w:rsid w:val="00CA4527"/>
    <w:rsid w:val="00CA4623"/>
    <w:rsid w:val="00CA50E7"/>
    <w:rsid w:val="00CA51CD"/>
    <w:rsid w:val="00CA5BA4"/>
    <w:rsid w:val="00CA5C69"/>
    <w:rsid w:val="00CA5CB6"/>
    <w:rsid w:val="00CA6E06"/>
    <w:rsid w:val="00CA745D"/>
    <w:rsid w:val="00CB0630"/>
    <w:rsid w:val="00CB088B"/>
    <w:rsid w:val="00CB1A47"/>
    <w:rsid w:val="00CB1A97"/>
    <w:rsid w:val="00CB1EDE"/>
    <w:rsid w:val="00CB3F01"/>
    <w:rsid w:val="00CB5544"/>
    <w:rsid w:val="00CB55B9"/>
    <w:rsid w:val="00CB5BC5"/>
    <w:rsid w:val="00CB70E3"/>
    <w:rsid w:val="00CB739C"/>
    <w:rsid w:val="00CB79FF"/>
    <w:rsid w:val="00CB7C47"/>
    <w:rsid w:val="00CB7D64"/>
    <w:rsid w:val="00CC0534"/>
    <w:rsid w:val="00CC085E"/>
    <w:rsid w:val="00CC0CA3"/>
    <w:rsid w:val="00CC0D16"/>
    <w:rsid w:val="00CC0DA3"/>
    <w:rsid w:val="00CC0EDD"/>
    <w:rsid w:val="00CC1D5D"/>
    <w:rsid w:val="00CC225E"/>
    <w:rsid w:val="00CC2278"/>
    <w:rsid w:val="00CC22EE"/>
    <w:rsid w:val="00CC2827"/>
    <w:rsid w:val="00CC2998"/>
    <w:rsid w:val="00CC2A87"/>
    <w:rsid w:val="00CC2D31"/>
    <w:rsid w:val="00CC3FB1"/>
    <w:rsid w:val="00CC407F"/>
    <w:rsid w:val="00CC44F0"/>
    <w:rsid w:val="00CC4FEA"/>
    <w:rsid w:val="00CC5729"/>
    <w:rsid w:val="00CC5811"/>
    <w:rsid w:val="00CC650B"/>
    <w:rsid w:val="00CC6FF9"/>
    <w:rsid w:val="00CC73BF"/>
    <w:rsid w:val="00CC7B67"/>
    <w:rsid w:val="00CD00C6"/>
    <w:rsid w:val="00CD06AA"/>
    <w:rsid w:val="00CD10F7"/>
    <w:rsid w:val="00CD1122"/>
    <w:rsid w:val="00CD1293"/>
    <w:rsid w:val="00CD1441"/>
    <w:rsid w:val="00CD1482"/>
    <w:rsid w:val="00CD1724"/>
    <w:rsid w:val="00CD1778"/>
    <w:rsid w:val="00CD246B"/>
    <w:rsid w:val="00CD29C2"/>
    <w:rsid w:val="00CD2DD8"/>
    <w:rsid w:val="00CD3BE4"/>
    <w:rsid w:val="00CD3C4F"/>
    <w:rsid w:val="00CD3DC5"/>
    <w:rsid w:val="00CD4304"/>
    <w:rsid w:val="00CD48D9"/>
    <w:rsid w:val="00CD4E49"/>
    <w:rsid w:val="00CD5A86"/>
    <w:rsid w:val="00CD6BDD"/>
    <w:rsid w:val="00CD7A73"/>
    <w:rsid w:val="00CD7ADF"/>
    <w:rsid w:val="00CE04A7"/>
    <w:rsid w:val="00CE0A5F"/>
    <w:rsid w:val="00CE0E26"/>
    <w:rsid w:val="00CE1F5B"/>
    <w:rsid w:val="00CE264F"/>
    <w:rsid w:val="00CE2A53"/>
    <w:rsid w:val="00CE2DEB"/>
    <w:rsid w:val="00CE3918"/>
    <w:rsid w:val="00CE4539"/>
    <w:rsid w:val="00CE4670"/>
    <w:rsid w:val="00CE576C"/>
    <w:rsid w:val="00CE6CB2"/>
    <w:rsid w:val="00CE6F94"/>
    <w:rsid w:val="00CE743D"/>
    <w:rsid w:val="00CE770B"/>
    <w:rsid w:val="00CE7ABB"/>
    <w:rsid w:val="00CE7FEE"/>
    <w:rsid w:val="00CF0161"/>
    <w:rsid w:val="00CF01D6"/>
    <w:rsid w:val="00CF1441"/>
    <w:rsid w:val="00CF182C"/>
    <w:rsid w:val="00CF18BD"/>
    <w:rsid w:val="00CF27BD"/>
    <w:rsid w:val="00CF2D67"/>
    <w:rsid w:val="00CF3ABB"/>
    <w:rsid w:val="00CF3BB6"/>
    <w:rsid w:val="00CF523A"/>
    <w:rsid w:val="00CF5964"/>
    <w:rsid w:val="00CF59AC"/>
    <w:rsid w:val="00CF5BDF"/>
    <w:rsid w:val="00CF687E"/>
    <w:rsid w:val="00CF7030"/>
    <w:rsid w:val="00CF715B"/>
    <w:rsid w:val="00CF73B0"/>
    <w:rsid w:val="00CF7D46"/>
    <w:rsid w:val="00D00597"/>
    <w:rsid w:val="00D00C2F"/>
    <w:rsid w:val="00D01386"/>
    <w:rsid w:val="00D017C1"/>
    <w:rsid w:val="00D01DC1"/>
    <w:rsid w:val="00D0286B"/>
    <w:rsid w:val="00D033BD"/>
    <w:rsid w:val="00D0388B"/>
    <w:rsid w:val="00D04100"/>
    <w:rsid w:val="00D049D5"/>
    <w:rsid w:val="00D04A76"/>
    <w:rsid w:val="00D05138"/>
    <w:rsid w:val="00D0518F"/>
    <w:rsid w:val="00D064A0"/>
    <w:rsid w:val="00D06517"/>
    <w:rsid w:val="00D06796"/>
    <w:rsid w:val="00D0747C"/>
    <w:rsid w:val="00D0785E"/>
    <w:rsid w:val="00D07DCD"/>
    <w:rsid w:val="00D10737"/>
    <w:rsid w:val="00D10D4C"/>
    <w:rsid w:val="00D10D8A"/>
    <w:rsid w:val="00D1124A"/>
    <w:rsid w:val="00D1126F"/>
    <w:rsid w:val="00D1158C"/>
    <w:rsid w:val="00D118C9"/>
    <w:rsid w:val="00D11A08"/>
    <w:rsid w:val="00D11D13"/>
    <w:rsid w:val="00D128EC"/>
    <w:rsid w:val="00D12CCF"/>
    <w:rsid w:val="00D12F5E"/>
    <w:rsid w:val="00D130C1"/>
    <w:rsid w:val="00D13E26"/>
    <w:rsid w:val="00D14C6F"/>
    <w:rsid w:val="00D1596F"/>
    <w:rsid w:val="00D16094"/>
    <w:rsid w:val="00D16702"/>
    <w:rsid w:val="00D17563"/>
    <w:rsid w:val="00D1781A"/>
    <w:rsid w:val="00D178BF"/>
    <w:rsid w:val="00D17A78"/>
    <w:rsid w:val="00D17E50"/>
    <w:rsid w:val="00D202FE"/>
    <w:rsid w:val="00D2233A"/>
    <w:rsid w:val="00D2239B"/>
    <w:rsid w:val="00D2286C"/>
    <w:rsid w:val="00D22AED"/>
    <w:rsid w:val="00D23264"/>
    <w:rsid w:val="00D23FF0"/>
    <w:rsid w:val="00D241B1"/>
    <w:rsid w:val="00D24A30"/>
    <w:rsid w:val="00D2581A"/>
    <w:rsid w:val="00D25AB8"/>
    <w:rsid w:val="00D262EE"/>
    <w:rsid w:val="00D276B2"/>
    <w:rsid w:val="00D277C0"/>
    <w:rsid w:val="00D27885"/>
    <w:rsid w:val="00D278CD"/>
    <w:rsid w:val="00D27E3C"/>
    <w:rsid w:val="00D27FD9"/>
    <w:rsid w:val="00D3071C"/>
    <w:rsid w:val="00D30F4F"/>
    <w:rsid w:val="00D317B3"/>
    <w:rsid w:val="00D3247E"/>
    <w:rsid w:val="00D32993"/>
    <w:rsid w:val="00D32B2B"/>
    <w:rsid w:val="00D32B81"/>
    <w:rsid w:val="00D33119"/>
    <w:rsid w:val="00D33620"/>
    <w:rsid w:val="00D33AFD"/>
    <w:rsid w:val="00D33B8F"/>
    <w:rsid w:val="00D342D6"/>
    <w:rsid w:val="00D3472B"/>
    <w:rsid w:val="00D34CB1"/>
    <w:rsid w:val="00D34E4F"/>
    <w:rsid w:val="00D35A42"/>
    <w:rsid w:val="00D35D20"/>
    <w:rsid w:val="00D35ECB"/>
    <w:rsid w:val="00D361C0"/>
    <w:rsid w:val="00D36D67"/>
    <w:rsid w:val="00D36E13"/>
    <w:rsid w:val="00D3722B"/>
    <w:rsid w:val="00D376E2"/>
    <w:rsid w:val="00D378FE"/>
    <w:rsid w:val="00D37FC1"/>
    <w:rsid w:val="00D40BAA"/>
    <w:rsid w:val="00D41712"/>
    <w:rsid w:val="00D41AE0"/>
    <w:rsid w:val="00D424A3"/>
    <w:rsid w:val="00D42B29"/>
    <w:rsid w:val="00D4389C"/>
    <w:rsid w:val="00D43FCF"/>
    <w:rsid w:val="00D4461F"/>
    <w:rsid w:val="00D45025"/>
    <w:rsid w:val="00D4546C"/>
    <w:rsid w:val="00D456BE"/>
    <w:rsid w:val="00D4580F"/>
    <w:rsid w:val="00D45A5D"/>
    <w:rsid w:val="00D4650C"/>
    <w:rsid w:val="00D475CD"/>
    <w:rsid w:val="00D47892"/>
    <w:rsid w:val="00D50A08"/>
    <w:rsid w:val="00D50AD0"/>
    <w:rsid w:val="00D50AE5"/>
    <w:rsid w:val="00D51851"/>
    <w:rsid w:val="00D52642"/>
    <w:rsid w:val="00D5369E"/>
    <w:rsid w:val="00D53A77"/>
    <w:rsid w:val="00D53DBF"/>
    <w:rsid w:val="00D541DA"/>
    <w:rsid w:val="00D546BC"/>
    <w:rsid w:val="00D54752"/>
    <w:rsid w:val="00D54A32"/>
    <w:rsid w:val="00D55B19"/>
    <w:rsid w:val="00D561B2"/>
    <w:rsid w:val="00D56651"/>
    <w:rsid w:val="00D56719"/>
    <w:rsid w:val="00D56FBE"/>
    <w:rsid w:val="00D575B5"/>
    <w:rsid w:val="00D57BC2"/>
    <w:rsid w:val="00D57E25"/>
    <w:rsid w:val="00D601B7"/>
    <w:rsid w:val="00D6059D"/>
    <w:rsid w:val="00D6075C"/>
    <w:rsid w:val="00D61255"/>
    <w:rsid w:val="00D615EA"/>
    <w:rsid w:val="00D61F4B"/>
    <w:rsid w:val="00D621E9"/>
    <w:rsid w:val="00D62239"/>
    <w:rsid w:val="00D6229B"/>
    <w:rsid w:val="00D62FC6"/>
    <w:rsid w:val="00D634D4"/>
    <w:rsid w:val="00D63721"/>
    <w:rsid w:val="00D63C1D"/>
    <w:rsid w:val="00D63FBE"/>
    <w:rsid w:val="00D6448F"/>
    <w:rsid w:val="00D64560"/>
    <w:rsid w:val="00D6507F"/>
    <w:rsid w:val="00D6545D"/>
    <w:rsid w:val="00D6567E"/>
    <w:rsid w:val="00D66791"/>
    <w:rsid w:val="00D66C76"/>
    <w:rsid w:val="00D67A8E"/>
    <w:rsid w:val="00D67A90"/>
    <w:rsid w:val="00D67B52"/>
    <w:rsid w:val="00D67D2E"/>
    <w:rsid w:val="00D70F4C"/>
    <w:rsid w:val="00D714BE"/>
    <w:rsid w:val="00D7177E"/>
    <w:rsid w:val="00D71A30"/>
    <w:rsid w:val="00D71D1A"/>
    <w:rsid w:val="00D71FBF"/>
    <w:rsid w:val="00D7211A"/>
    <w:rsid w:val="00D72CD8"/>
    <w:rsid w:val="00D72D11"/>
    <w:rsid w:val="00D73E14"/>
    <w:rsid w:val="00D740CB"/>
    <w:rsid w:val="00D75FE0"/>
    <w:rsid w:val="00D768CB"/>
    <w:rsid w:val="00D76A6C"/>
    <w:rsid w:val="00D80E3B"/>
    <w:rsid w:val="00D810AF"/>
    <w:rsid w:val="00D81A5D"/>
    <w:rsid w:val="00D82F8B"/>
    <w:rsid w:val="00D83124"/>
    <w:rsid w:val="00D831F5"/>
    <w:rsid w:val="00D83272"/>
    <w:rsid w:val="00D83482"/>
    <w:rsid w:val="00D83D13"/>
    <w:rsid w:val="00D83F78"/>
    <w:rsid w:val="00D84A9D"/>
    <w:rsid w:val="00D850CC"/>
    <w:rsid w:val="00D8548D"/>
    <w:rsid w:val="00D856F2"/>
    <w:rsid w:val="00D85834"/>
    <w:rsid w:val="00D8614B"/>
    <w:rsid w:val="00D86DA8"/>
    <w:rsid w:val="00D87DF3"/>
    <w:rsid w:val="00D9041B"/>
    <w:rsid w:val="00D905B9"/>
    <w:rsid w:val="00D905D2"/>
    <w:rsid w:val="00D90A7F"/>
    <w:rsid w:val="00D90BA9"/>
    <w:rsid w:val="00D90D48"/>
    <w:rsid w:val="00D90E63"/>
    <w:rsid w:val="00D9139E"/>
    <w:rsid w:val="00D9166A"/>
    <w:rsid w:val="00D91BE4"/>
    <w:rsid w:val="00D91E66"/>
    <w:rsid w:val="00D92075"/>
    <w:rsid w:val="00D93908"/>
    <w:rsid w:val="00D939CC"/>
    <w:rsid w:val="00D93CB9"/>
    <w:rsid w:val="00D947FE"/>
    <w:rsid w:val="00D94BB3"/>
    <w:rsid w:val="00D94F46"/>
    <w:rsid w:val="00D95392"/>
    <w:rsid w:val="00D9568D"/>
    <w:rsid w:val="00D9693C"/>
    <w:rsid w:val="00D96F3C"/>
    <w:rsid w:val="00DA0B32"/>
    <w:rsid w:val="00DA0DEE"/>
    <w:rsid w:val="00DA1B78"/>
    <w:rsid w:val="00DA1FC2"/>
    <w:rsid w:val="00DA207C"/>
    <w:rsid w:val="00DA252A"/>
    <w:rsid w:val="00DA25AD"/>
    <w:rsid w:val="00DA358B"/>
    <w:rsid w:val="00DA361B"/>
    <w:rsid w:val="00DA39D7"/>
    <w:rsid w:val="00DA3FD8"/>
    <w:rsid w:val="00DA43F4"/>
    <w:rsid w:val="00DA53D8"/>
    <w:rsid w:val="00DA5A19"/>
    <w:rsid w:val="00DA5C8C"/>
    <w:rsid w:val="00DA5D70"/>
    <w:rsid w:val="00DA6449"/>
    <w:rsid w:val="00DA6D07"/>
    <w:rsid w:val="00DA6EC4"/>
    <w:rsid w:val="00DB06F6"/>
    <w:rsid w:val="00DB09F0"/>
    <w:rsid w:val="00DB0C83"/>
    <w:rsid w:val="00DB1593"/>
    <w:rsid w:val="00DB1ADE"/>
    <w:rsid w:val="00DB1ECF"/>
    <w:rsid w:val="00DB207F"/>
    <w:rsid w:val="00DB2B1B"/>
    <w:rsid w:val="00DB2B8E"/>
    <w:rsid w:val="00DB32D5"/>
    <w:rsid w:val="00DB3E6A"/>
    <w:rsid w:val="00DB3EFC"/>
    <w:rsid w:val="00DB407E"/>
    <w:rsid w:val="00DB47DA"/>
    <w:rsid w:val="00DB4822"/>
    <w:rsid w:val="00DB4A13"/>
    <w:rsid w:val="00DB57B8"/>
    <w:rsid w:val="00DB5EC5"/>
    <w:rsid w:val="00DB60C0"/>
    <w:rsid w:val="00DB62A1"/>
    <w:rsid w:val="00DB6666"/>
    <w:rsid w:val="00DB6993"/>
    <w:rsid w:val="00DB7A63"/>
    <w:rsid w:val="00DC0415"/>
    <w:rsid w:val="00DC072D"/>
    <w:rsid w:val="00DC0ACC"/>
    <w:rsid w:val="00DC0FD2"/>
    <w:rsid w:val="00DC10F6"/>
    <w:rsid w:val="00DC16B8"/>
    <w:rsid w:val="00DC17AD"/>
    <w:rsid w:val="00DC1DBF"/>
    <w:rsid w:val="00DC20AC"/>
    <w:rsid w:val="00DC2EFC"/>
    <w:rsid w:val="00DC3B65"/>
    <w:rsid w:val="00DC42B4"/>
    <w:rsid w:val="00DC7303"/>
    <w:rsid w:val="00DC768A"/>
    <w:rsid w:val="00DC7B37"/>
    <w:rsid w:val="00DC7EF1"/>
    <w:rsid w:val="00DD0DE9"/>
    <w:rsid w:val="00DD11A3"/>
    <w:rsid w:val="00DD17A1"/>
    <w:rsid w:val="00DD186A"/>
    <w:rsid w:val="00DD1D4E"/>
    <w:rsid w:val="00DD204B"/>
    <w:rsid w:val="00DD226C"/>
    <w:rsid w:val="00DD27BF"/>
    <w:rsid w:val="00DD289D"/>
    <w:rsid w:val="00DD2927"/>
    <w:rsid w:val="00DD2A83"/>
    <w:rsid w:val="00DD4633"/>
    <w:rsid w:val="00DD4B84"/>
    <w:rsid w:val="00DD51B1"/>
    <w:rsid w:val="00DD5694"/>
    <w:rsid w:val="00DD5C1B"/>
    <w:rsid w:val="00DD5CB4"/>
    <w:rsid w:val="00DD5F8D"/>
    <w:rsid w:val="00DD72B5"/>
    <w:rsid w:val="00DD7850"/>
    <w:rsid w:val="00DD7CAB"/>
    <w:rsid w:val="00DE0189"/>
    <w:rsid w:val="00DE0467"/>
    <w:rsid w:val="00DE0922"/>
    <w:rsid w:val="00DE1101"/>
    <w:rsid w:val="00DE1A1C"/>
    <w:rsid w:val="00DE1FA4"/>
    <w:rsid w:val="00DE25D2"/>
    <w:rsid w:val="00DE2B5A"/>
    <w:rsid w:val="00DE31D2"/>
    <w:rsid w:val="00DE3269"/>
    <w:rsid w:val="00DE345E"/>
    <w:rsid w:val="00DE3B9A"/>
    <w:rsid w:val="00DE436A"/>
    <w:rsid w:val="00DE4767"/>
    <w:rsid w:val="00DE4E41"/>
    <w:rsid w:val="00DE4F6D"/>
    <w:rsid w:val="00DE57AB"/>
    <w:rsid w:val="00DE5B39"/>
    <w:rsid w:val="00DE608F"/>
    <w:rsid w:val="00DE686B"/>
    <w:rsid w:val="00DE6AA3"/>
    <w:rsid w:val="00DE70CE"/>
    <w:rsid w:val="00DE780F"/>
    <w:rsid w:val="00DE79FF"/>
    <w:rsid w:val="00DE7FB4"/>
    <w:rsid w:val="00DF0CAB"/>
    <w:rsid w:val="00DF0D1C"/>
    <w:rsid w:val="00DF0E19"/>
    <w:rsid w:val="00DF0E92"/>
    <w:rsid w:val="00DF100D"/>
    <w:rsid w:val="00DF115E"/>
    <w:rsid w:val="00DF131E"/>
    <w:rsid w:val="00DF156D"/>
    <w:rsid w:val="00DF193B"/>
    <w:rsid w:val="00DF19B9"/>
    <w:rsid w:val="00DF2AFA"/>
    <w:rsid w:val="00DF3238"/>
    <w:rsid w:val="00DF3E7C"/>
    <w:rsid w:val="00DF4946"/>
    <w:rsid w:val="00DF52E4"/>
    <w:rsid w:val="00DF5DF4"/>
    <w:rsid w:val="00DF6237"/>
    <w:rsid w:val="00DF633D"/>
    <w:rsid w:val="00DF651B"/>
    <w:rsid w:val="00DF7962"/>
    <w:rsid w:val="00DF7DCD"/>
    <w:rsid w:val="00E003A4"/>
    <w:rsid w:val="00E00B30"/>
    <w:rsid w:val="00E00F90"/>
    <w:rsid w:val="00E0101F"/>
    <w:rsid w:val="00E01BC9"/>
    <w:rsid w:val="00E02009"/>
    <w:rsid w:val="00E021E2"/>
    <w:rsid w:val="00E021F5"/>
    <w:rsid w:val="00E03181"/>
    <w:rsid w:val="00E037A3"/>
    <w:rsid w:val="00E04283"/>
    <w:rsid w:val="00E043B6"/>
    <w:rsid w:val="00E0444E"/>
    <w:rsid w:val="00E04E27"/>
    <w:rsid w:val="00E04EE2"/>
    <w:rsid w:val="00E058AE"/>
    <w:rsid w:val="00E059F3"/>
    <w:rsid w:val="00E06033"/>
    <w:rsid w:val="00E065D8"/>
    <w:rsid w:val="00E06A8E"/>
    <w:rsid w:val="00E06AD5"/>
    <w:rsid w:val="00E06CF1"/>
    <w:rsid w:val="00E071EC"/>
    <w:rsid w:val="00E0741B"/>
    <w:rsid w:val="00E077FA"/>
    <w:rsid w:val="00E07894"/>
    <w:rsid w:val="00E07948"/>
    <w:rsid w:val="00E07989"/>
    <w:rsid w:val="00E079DC"/>
    <w:rsid w:val="00E07D22"/>
    <w:rsid w:val="00E100EE"/>
    <w:rsid w:val="00E1015E"/>
    <w:rsid w:val="00E102D4"/>
    <w:rsid w:val="00E11312"/>
    <w:rsid w:val="00E119DE"/>
    <w:rsid w:val="00E11B67"/>
    <w:rsid w:val="00E11CF5"/>
    <w:rsid w:val="00E11DAA"/>
    <w:rsid w:val="00E12D5F"/>
    <w:rsid w:val="00E131C6"/>
    <w:rsid w:val="00E132F1"/>
    <w:rsid w:val="00E13360"/>
    <w:rsid w:val="00E133D5"/>
    <w:rsid w:val="00E13622"/>
    <w:rsid w:val="00E1374E"/>
    <w:rsid w:val="00E142ED"/>
    <w:rsid w:val="00E144D0"/>
    <w:rsid w:val="00E14744"/>
    <w:rsid w:val="00E14F17"/>
    <w:rsid w:val="00E15111"/>
    <w:rsid w:val="00E152D3"/>
    <w:rsid w:val="00E15C5D"/>
    <w:rsid w:val="00E168DC"/>
    <w:rsid w:val="00E16D60"/>
    <w:rsid w:val="00E16D93"/>
    <w:rsid w:val="00E213F6"/>
    <w:rsid w:val="00E214C7"/>
    <w:rsid w:val="00E21948"/>
    <w:rsid w:val="00E21DF3"/>
    <w:rsid w:val="00E22154"/>
    <w:rsid w:val="00E22212"/>
    <w:rsid w:val="00E222E4"/>
    <w:rsid w:val="00E23283"/>
    <w:rsid w:val="00E24522"/>
    <w:rsid w:val="00E24625"/>
    <w:rsid w:val="00E2497B"/>
    <w:rsid w:val="00E24B14"/>
    <w:rsid w:val="00E24CDB"/>
    <w:rsid w:val="00E24FB5"/>
    <w:rsid w:val="00E25396"/>
    <w:rsid w:val="00E2556D"/>
    <w:rsid w:val="00E25B37"/>
    <w:rsid w:val="00E2618A"/>
    <w:rsid w:val="00E26885"/>
    <w:rsid w:val="00E26EC0"/>
    <w:rsid w:val="00E26F1D"/>
    <w:rsid w:val="00E2706C"/>
    <w:rsid w:val="00E27EC5"/>
    <w:rsid w:val="00E27F4B"/>
    <w:rsid w:val="00E30972"/>
    <w:rsid w:val="00E30A11"/>
    <w:rsid w:val="00E30A94"/>
    <w:rsid w:val="00E30AE9"/>
    <w:rsid w:val="00E30B53"/>
    <w:rsid w:val="00E325A4"/>
    <w:rsid w:val="00E32B6E"/>
    <w:rsid w:val="00E33117"/>
    <w:rsid w:val="00E339D4"/>
    <w:rsid w:val="00E33C72"/>
    <w:rsid w:val="00E34C27"/>
    <w:rsid w:val="00E35725"/>
    <w:rsid w:val="00E358E3"/>
    <w:rsid w:val="00E35B58"/>
    <w:rsid w:val="00E36084"/>
    <w:rsid w:val="00E360E8"/>
    <w:rsid w:val="00E3732F"/>
    <w:rsid w:val="00E37CC1"/>
    <w:rsid w:val="00E37D7E"/>
    <w:rsid w:val="00E37FC5"/>
    <w:rsid w:val="00E40344"/>
    <w:rsid w:val="00E40B2E"/>
    <w:rsid w:val="00E417C0"/>
    <w:rsid w:val="00E417CE"/>
    <w:rsid w:val="00E417D0"/>
    <w:rsid w:val="00E41A73"/>
    <w:rsid w:val="00E41B77"/>
    <w:rsid w:val="00E41E31"/>
    <w:rsid w:val="00E42E4B"/>
    <w:rsid w:val="00E436A2"/>
    <w:rsid w:val="00E439E1"/>
    <w:rsid w:val="00E4411B"/>
    <w:rsid w:val="00E443B1"/>
    <w:rsid w:val="00E449B4"/>
    <w:rsid w:val="00E45608"/>
    <w:rsid w:val="00E45B76"/>
    <w:rsid w:val="00E45B96"/>
    <w:rsid w:val="00E461E0"/>
    <w:rsid w:val="00E46295"/>
    <w:rsid w:val="00E46A8B"/>
    <w:rsid w:val="00E46BFA"/>
    <w:rsid w:val="00E46C03"/>
    <w:rsid w:val="00E5081E"/>
    <w:rsid w:val="00E5197E"/>
    <w:rsid w:val="00E51B56"/>
    <w:rsid w:val="00E51B6B"/>
    <w:rsid w:val="00E51C35"/>
    <w:rsid w:val="00E52317"/>
    <w:rsid w:val="00E52738"/>
    <w:rsid w:val="00E52CCC"/>
    <w:rsid w:val="00E53CB6"/>
    <w:rsid w:val="00E545F2"/>
    <w:rsid w:val="00E54659"/>
    <w:rsid w:val="00E55608"/>
    <w:rsid w:val="00E55610"/>
    <w:rsid w:val="00E5663F"/>
    <w:rsid w:val="00E56885"/>
    <w:rsid w:val="00E56C24"/>
    <w:rsid w:val="00E5725D"/>
    <w:rsid w:val="00E57460"/>
    <w:rsid w:val="00E57949"/>
    <w:rsid w:val="00E57F80"/>
    <w:rsid w:val="00E605E3"/>
    <w:rsid w:val="00E606C6"/>
    <w:rsid w:val="00E6089E"/>
    <w:rsid w:val="00E60DBC"/>
    <w:rsid w:val="00E6101C"/>
    <w:rsid w:val="00E614B7"/>
    <w:rsid w:val="00E61A54"/>
    <w:rsid w:val="00E62B33"/>
    <w:rsid w:val="00E62F3B"/>
    <w:rsid w:val="00E63307"/>
    <w:rsid w:val="00E63938"/>
    <w:rsid w:val="00E63B98"/>
    <w:rsid w:val="00E63EE4"/>
    <w:rsid w:val="00E642E9"/>
    <w:rsid w:val="00E64BBD"/>
    <w:rsid w:val="00E64CBB"/>
    <w:rsid w:val="00E64EE3"/>
    <w:rsid w:val="00E65263"/>
    <w:rsid w:val="00E654F9"/>
    <w:rsid w:val="00E655D0"/>
    <w:rsid w:val="00E65604"/>
    <w:rsid w:val="00E65B96"/>
    <w:rsid w:val="00E65E3A"/>
    <w:rsid w:val="00E66048"/>
    <w:rsid w:val="00E66958"/>
    <w:rsid w:val="00E676A6"/>
    <w:rsid w:val="00E67D4D"/>
    <w:rsid w:val="00E67FBD"/>
    <w:rsid w:val="00E70769"/>
    <w:rsid w:val="00E709B8"/>
    <w:rsid w:val="00E70D1B"/>
    <w:rsid w:val="00E718DD"/>
    <w:rsid w:val="00E71EA8"/>
    <w:rsid w:val="00E721A8"/>
    <w:rsid w:val="00E724B2"/>
    <w:rsid w:val="00E728D4"/>
    <w:rsid w:val="00E73424"/>
    <w:rsid w:val="00E73521"/>
    <w:rsid w:val="00E73AD6"/>
    <w:rsid w:val="00E74092"/>
    <w:rsid w:val="00E74A3F"/>
    <w:rsid w:val="00E74B8F"/>
    <w:rsid w:val="00E753EF"/>
    <w:rsid w:val="00E75780"/>
    <w:rsid w:val="00E75850"/>
    <w:rsid w:val="00E75A51"/>
    <w:rsid w:val="00E75E31"/>
    <w:rsid w:val="00E75EFC"/>
    <w:rsid w:val="00E76168"/>
    <w:rsid w:val="00E767EE"/>
    <w:rsid w:val="00E8017F"/>
    <w:rsid w:val="00E80191"/>
    <w:rsid w:val="00E80788"/>
    <w:rsid w:val="00E8096A"/>
    <w:rsid w:val="00E80A19"/>
    <w:rsid w:val="00E80EA8"/>
    <w:rsid w:val="00E814C3"/>
    <w:rsid w:val="00E818DE"/>
    <w:rsid w:val="00E81B54"/>
    <w:rsid w:val="00E828A5"/>
    <w:rsid w:val="00E830BA"/>
    <w:rsid w:val="00E8333C"/>
    <w:rsid w:val="00E83FEC"/>
    <w:rsid w:val="00E8426D"/>
    <w:rsid w:val="00E85379"/>
    <w:rsid w:val="00E85ADF"/>
    <w:rsid w:val="00E87E2B"/>
    <w:rsid w:val="00E90140"/>
    <w:rsid w:val="00E90524"/>
    <w:rsid w:val="00E90D0F"/>
    <w:rsid w:val="00E90EF8"/>
    <w:rsid w:val="00E91641"/>
    <w:rsid w:val="00E916E6"/>
    <w:rsid w:val="00E91AF6"/>
    <w:rsid w:val="00E91C3C"/>
    <w:rsid w:val="00E91CF0"/>
    <w:rsid w:val="00E91E00"/>
    <w:rsid w:val="00E91FB6"/>
    <w:rsid w:val="00E922FA"/>
    <w:rsid w:val="00E92D58"/>
    <w:rsid w:val="00E93140"/>
    <w:rsid w:val="00E933DE"/>
    <w:rsid w:val="00E93F8B"/>
    <w:rsid w:val="00E940BC"/>
    <w:rsid w:val="00E941EA"/>
    <w:rsid w:val="00E95069"/>
    <w:rsid w:val="00E95702"/>
    <w:rsid w:val="00E96496"/>
    <w:rsid w:val="00E970F4"/>
    <w:rsid w:val="00E97599"/>
    <w:rsid w:val="00E97D96"/>
    <w:rsid w:val="00E97F79"/>
    <w:rsid w:val="00EA00F2"/>
    <w:rsid w:val="00EA07A6"/>
    <w:rsid w:val="00EA0BFA"/>
    <w:rsid w:val="00EA10F0"/>
    <w:rsid w:val="00EA115E"/>
    <w:rsid w:val="00EA128B"/>
    <w:rsid w:val="00EA1334"/>
    <w:rsid w:val="00EA20A7"/>
    <w:rsid w:val="00EA2B2E"/>
    <w:rsid w:val="00EA2EFE"/>
    <w:rsid w:val="00EA304C"/>
    <w:rsid w:val="00EA32CA"/>
    <w:rsid w:val="00EA4424"/>
    <w:rsid w:val="00EA4D2E"/>
    <w:rsid w:val="00EA54BB"/>
    <w:rsid w:val="00EA5809"/>
    <w:rsid w:val="00EA5997"/>
    <w:rsid w:val="00EA5B76"/>
    <w:rsid w:val="00EA691C"/>
    <w:rsid w:val="00EA701C"/>
    <w:rsid w:val="00EA7546"/>
    <w:rsid w:val="00EA7BD1"/>
    <w:rsid w:val="00EB0CB9"/>
    <w:rsid w:val="00EB11EB"/>
    <w:rsid w:val="00EB19BC"/>
    <w:rsid w:val="00EB19CE"/>
    <w:rsid w:val="00EB2628"/>
    <w:rsid w:val="00EB3B65"/>
    <w:rsid w:val="00EB4729"/>
    <w:rsid w:val="00EB5668"/>
    <w:rsid w:val="00EB5CD7"/>
    <w:rsid w:val="00EB6095"/>
    <w:rsid w:val="00EB613B"/>
    <w:rsid w:val="00EB70BD"/>
    <w:rsid w:val="00EB70C8"/>
    <w:rsid w:val="00EB7803"/>
    <w:rsid w:val="00EB7DC1"/>
    <w:rsid w:val="00EB7FEC"/>
    <w:rsid w:val="00EC0F28"/>
    <w:rsid w:val="00EC1009"/>
    <w:rsid w:val="00EC1E98"/>
    <w:rsid w:val="00EC24C6"/>
    <w:rsid w:val="00EC37E4"/>
    <w:rsid w:val="00EC3D94"/>
    <w:rsid w:val="00EC42D8"/>
    <w:rsid w:val="00EC42E8"/>
    <w:rsid w:val="00EC485E"/>
    <w:rsid w:val="00EC4C05"/>
    <w:rsid w:val="00EC4DAB"/>
    <w:rsid w:val="00EC4E55"/>
    <w:rsid w:val="00EC5978"/>
    <w:rsid w:val="00EC59E4"/>
    <w:rsid w:val="00EC6184"/>
    <w:rsid w:val="00EC65F9"/>
    <w:rsid w:val="00EC6C08"/>
    <w:rsid w:val="00EC7037"/>
    <w:rsid w:val="00EC7050"/>
    <w:rsid w:val="00ED01C0"/>
    <w:rsid w:val="00ED0A54"/>
    <w:rsid w:val="00ED139B"/>
    <w:rsid w:val="00ED1478"/>
    <w:rsid w:val="00ED1518"/>
    <w:rsid w:val="00ED1601"/>
    <w:rsid w:val="00ED25AD"/>
    <w:rsid w:val="00ED32ED"/>
    <w:rsid w:val="00ED3724"/>
    <w:rsid w:val="00ED4A3E"/>
    <w:rsid w:val="00ED4AAE"/>
    <w:rsid w:val="00ED4EC7"/>
    <w:rsid w:val="00ED5103"/>
    <w:rsid w:val="00ED6BE9"/>
    <w:rsid w:val="00ED6F8D"/>
    <w:rsid w:val="00ED74B7"/>
    <w:rsid w:val="00ED7708"/>
    <w:rsid w:val="00ED7774"/>
    <w:rsid w:val="00ED7862"/>
    <w:rsid w:val="00ED7951"/>
    <w:rsid w:val="00ED7E4E"/>
    <w:rsid w:val="00EE0407"/>
    <w:rsid w:val="00EE0ACE"/>
    <w:rsid w:val="00EE0DA2"/>
    <w:rsid w:val="00EE0E31"/>
    <w:rsid w:val="00EE1A3C"/>
    <w:rsid w:val="00EE248A"/>
    <w:rsid w:val="00EE257A"/>
    <w:rsid w:val="00EE269C"/>
    <w:rsid w:val="00EE3979"/>
    <w:rsid w:val="00EE3A13"/>
    <w:rsid w:val="00EE3AC1"/>
    <w:rsid w:val="00EE42EB"/>
    <w:rsid w:val="00EE454C"/>
    <w:rsid w:val="00EE482D"/>
    <w:rsid w:val="00EE48AA"/>
    <w:rsid w:val="00EE4DD6"/>
    <w:rsid w:val="00EE50BC"/>
    <w:rsid w:val="00EE59C9"/>
    <w:rsid w:val="00EE6704"/>
    <w:rsid w:val="00EE6B5C"/>
    <w:rsid w:val="00EE7685"/>
    <w:rsid w:val="00EE7B4B"/>
    <w:rsid w:val="00EF06D8"/>
    <w:rsid w:val="00EF1814"/>
    <w:rsid w:val="00EF1F3E"/>
    <w:rsid w:val="00EF2183"/>
    <w:rsid w:val="00EF2335"/>
    <w:rsid w:val="00EF2501"/>
    <w:rsid w:val="00EF278F"/>
    <w:rsid w:val="00EF372D"/>
    <w:rsid w:val="00EF4223"/>
    <w:rsid w:val="00EF4898"/>
    <w:rsid w:val="00EF5E7E"/>
    <w:rsid w:val="00EF61BB"/>
    <w:rsid w:val="00EF6880"/>
    <w:rsid w:val="00EF72ED"/>
    <w:rsid w:val="00EF73ED"/>
    <w:rsid w:val="00EF79D6"/>
    <w:rsid w:val="00EF7A19"/>
    <w:rsid w:val="00F00263"/>
    <w:rsid w:val="00F010AE"/>
    <w:rsid w:val="00F014E3"/>
    <w:rsid w:val="00F019F0"/>
    <w:rsid w:val="00F027AB"/>
    <w:rsid w:val="00F03D45"/>
    <w:rsid w:val="00F0416C"/>
    <w:rsid w:val="00F046EF"/>
    <w:rsid w:val="00F04E35"/>
    <w:rsid w:val="00F04E9F"/>
    <w:rsid w:val="00F064C8"/>
    <w:rsid w:val="00F06C26"/>
    <w:rsid w:val="00F06ECB"/>
    <w:rsid w:val="00F07540"/>
    <w:rsid w:val="00F078BC"/>
    <w:rsid w:val="00F078C9"/>
    <w:rsid w:val="00F07BED"/>
    <w:rsid w:val="00F07EB8"/>
    <w:rsid w:val="00F10BB5"/>
    <w:rsid w:val="00F11903"/>
    <w:rsid w:val="00F119BA"/>
    <w:rsid w:val="00F124B8"/>
    <w:rsid w:val="00F1284C"/>
    <w:rsid w:val="00F12D07"/>
    <w:rsid w:val="00F12D23"/>
    <w:rsid w:val="00F131F5"/>
    <w:rsid w:val="00F14032"/>
    <w:rsid w:val="00F14717"/>
    <w:rsid w:val="00F14D97"/>
    <w:rsid w:val="00F15056"/>
    <w:rsid w:val="00F1514B"/>
    <w:rsid w:val="00F15529"/>
    <w:rsid w:val="00F15662"/>
    <w:rsid w:val="00F15756"/>
    <w:rsid w:val="00F16161"/>
    <w:rsid w:val="00F161C5"/>
    <w:rsid w:val="00F16455"/>
    <w:rsid w:val="00F16AE6"/>
    <w:rsid w:val="00F16CA0"/>
    <w:rsid w:val="00F16D1B"/>
    <w:rsid w:val="00F17525"/>
    <w:rsid w:val="00F17C96"/>
    <w:rsid w:val="00F201DC"/>
    <w:rsid w:val="00F20676"/>
    <w:rsid w:val="00F2080D"/>
    <w:rsid w:val="00F20994"/>
    <w:rsid w:val="00F20C91"/>
    <w:rsid w:val="00F218F8"/>
    <w:rsid w:val="00F21C23"/>
    <w:rsid w:val="00F227D5"/>
    <w:rsid w:val="00F22FC7"/>
    <w:rsid w:val="00F2307B"/>
    <w:rsid w:val="00F23D3E"/>
    <w:rsid w:val="00F241E6"/>
    <w:rsid w:val="00F24505"/>
    <w:rsid w:val="00F247AB"/>
    <w:rsid w:val="00F251CA"/>
    <w:rsid w:val="00F2577D"/>
    <w:rsid w:val="00F25E2D"/>
    <w:rsid w:val="00F26054"/>
    <w:rsid w:val="00F2674A"/>
    <w:rsid w:val="00F26B80"/>
    <w:rsid w:val="00F2795E"/>
    <w:rsid w:val="00F30097"/>
    <w:rsid w:val="00F302C1"/>
    <w:rsid w:val="00F304FB"/>
    <w:rsid w:val="00F30E1F"/>
    <w:rsid w:val="00F31A7F"/>
    <w:rsid w:val="00F3262F"/>
    <w:rsid w:val="00F328DF"/>
    <w:rsid w:val="00F32909"/>
    <w:rsid w:val="00F32D1B"/>
    <w:rsid w:val="00F3395D"/>
    <w:rsid w:val="00F33D7C"/>
    <w:rsid w:val="00F33E03"/>
    <w:rsid w:val="00F33E8B"/>
    <w:rsid w:val="00F3506F"/>
    <w:rsid w:val="00F3584C"/>
    <w:rsid w:val="00F360FA"/>
    <w:rsid w:val="00F368E0"/>
    <w:rsid w:val="00F36933"/>
    <w:rsid w:val="00F3743B"/>
    <w:rsid w:val="00F37AB2"/>
    <w:rsid w:val="00F401CC"/>
    <w:rsid w:val="00F40218"/>
    <w:rsid w:val="00F41A2D"/>
    <w:rsid w:val="00F41B58"/>
    <w:rsid w:val="00F41ECB"/>
    <w:rsid w:val="00F42947"/>
    <w:rsid w:val="00F43EDE"/>
    <w:rsid w:val="00F44ABE"/>
    <w:rsid w:val="00F44ECE"/>
    <w:rsid w:val="00F44F36"/>
    <w:rsid w:val="00F44F6C"/>
    <w:rsid w:val="00F45079"/>
    <w:rsid w:val="00F457B8"/>
    <w:rsid w:val="00F45C6B"/>
    <w:rsid w:val="00F46924"/>
    <w:rsid w:val="00F4703C"/>
    <w:rsid w:val="00F4769B"/>
    <w:rsid w:val="00F47760"/>
    <w:rsid w:val="00F4797A"/>
    <w:rsid w:val="00F47E0B"/>
    <w:rsid w:val="00F47E8F"/>
    <w:rsid w:val="00F506A0"/>
    <w:rsid w:val="00F506C4"/>
    <w:rsid w:val="00F50ACD"/>
    <w:rsid w:val="00F515E9"/>
    <w:rsid w:val="00F51694"/>
    <w:rsid w:val="00F51BAE"/>
    <w:rsid w:val="00F52AF7"/>
    <w:rsid w:val="00F52B8F"/>
    <w:rsid w:val="00F52BC7"/>
    <w:rsid w:val="00F53110"/>
    <w:rsid w:val="00F53353"/>
    <w:rsid w:val="00F53C2E"/>
    <w:rsid w:val="00F53E2F"/>
    <w:rsid w:val="00F542E7"/>
    <w:rsid w:val="00F54D1A"/>
    <w:rsid w:val="00F54D50"/>
    <w:rsid w:val="00F55BC8"/>
    <w:rsid w:val="00F56180"/>
    <w:rsid w:val="00F565E9"/>
    <w:rsid w:val="00F56C5E"/>
    <w:rsid w:val="00F574DC"/>
    <w:rsid w:val="00F57570"/>
    <w:rsid w:val="00F57783"/>
    <w:rsid w:val="00F578D2"/>
    <w:rsid w:val="00F57BCC"/>
    <w:rsid w:val="00F60303"/>
    <w:rsid w:val="00F6146C"/>
    <w:rsid w:val="00F61ECF"/>
    <w:rsid w:val="00F61EFB"/>
    <w:rsid w:val="00F61FFD"/>
    <w:rsid w:val="00F62027"/>
    <w:rsid w:val="00F62D40"/>
    <w:rsid w:val="00F63C62"/>
    <w:rsid w:val="00F63F4E"/>
    <w:rsid w:val="00F6486A"/>
    <w:rsid w:val="00F65EC8"/>
    <w:rsid w:val="00F66839"/>
    <w:rsid w:val="00F669A4"/>
    <w:rsid w:val="00F66A7E"/>
    <w:rsid w:val="00F66E1B"/>
    <w:rsid w:val="00F7043F"/>
    <w:rsid w:val="00F70BC1"/>
    <w:rsid w:val="00F70CFB"/>
    <w:rsid w:val="00F70E86"/>
    <w:rsid w:val="00F70F15"/>
    <w:rsid w:val="00F71017"/>
    <w:rsid w:val="00F71D8F"/>
    <w:rsid w:val="00F73192"/>
    <w:rsid w:val="00F7401D"/>
    <w:rsid w:val="00F75D4E"/>
    <w:rsid w:val="00F7760A"/>
    <w:rsid w:val="00F77861"/>
    <w:rsid w:val="00F80659"/>
    <w:rsid w:val="00F8085A"/>
    <w:rsid w:val="00F8089A"/>
    <w:rsid w:val="00F8165A"/>
    <w:rsid w:val="00F82086"/>
    <w:rsid w:val="00F823DE"/>
    <w:rsid w:val="00F8285C"/>
    <w:rsid w:val="00F82AE3"/>
    <w:rsid w:val="00F83B21"/>
    <w:rsid w:val="00F83E11"/>
    <w:rsid w:val="00F83EAB"/>
    <w:rsid w:val="00F84410"/>
    <w:rsid w:val="00F84428"/>
    <w:rsid w:val="00F84DB6"/>
    <w:rsid w:val="00F85DD6"/>
    <w:rsid w:val="00F862DA"/>
    <w:rsid w:val="00F86357"/>
    <w:rsid w:val="00F86C18"/>
    <w:rsid w:val="00F86D3B"/>
    <w:rsid w:val="00F870FB"/>
    <w:rsid w:val="00F87BF7"/>
    <w:rsid w:val="00F9051E"/>
    <w:rsid w:val="00F9114E"/>
    <w:rsid w:val="00F92AD8"/>
    <w:rsid w:val="00F92CE4"/>
    <w:rsid w:val="00F9372E"/>
    <w:rsid w:val="00F93893"/>
    <w:rsid w:val="00F93B6E"/>
    <w:rsid w:val="00F94581"/>
    <w:rsid w:val="00F94A05"/>
    <w:rsid w:val="00F95257"/>
    <w:rsid w:val="00F952FE"/>
    <w:rsid w:val="00F9551D"/>
    <w:rsid w:val="00F95818"/>
    <w:rsid w:val="00F9583D"/>
    <w:rsid w:val="00F95F40"/>
    <w:rsid w:val="00F965A3"/>
    <w:rsid w:val="00F9660B"/>
    <w:rsid w:val="00F97748"/>
    <w:rsid w:val="00F97D04"/>
    <w:rsid w:val="00F97EC9"/>
    <w:rsid w:val="00FA018B"/>
    <w:rsid w:val="00FA033D"/>
    <w:rsid w:val="00FA0479"/>
    <w:rsid w:val="00FA0815"/>
    <w:rsid w:val="00FA12E4"/>
    <w:rsid w:val="00FA14F4"/>
    <w:rsid w:val="00FA197F"/>
    <w:rsid w:val="00FA1D56"/>
    <w:rsid w:val="00FA26BB"/>
    <w:rsid w:val="00FA2B5B"/>
    <w:rsid w:val="00FA2D8D"/>
    <w:rsid w:val="00FA388E"/>
    <w:rsid w:val="00FA4176"/>
    <w:rsid w:val="00FA475E"/>
    <w:rsid w:val="00FA4AC5"/>
    <w:rsid w:val="00FA4B5E"/>
    <w:rsid w:val="00FA5479"/>
    <w:rsid w:val="00FA5D50"/>
    <w:rsid w:val="00FA60FA"/>
    <w:rsid w:val="00FA6524"/>
    <w:rsid w:val="00FA7424"/>
    <w:rsid w:val="00FA7864"/>
    <w:rsid w:val="00FA7A31"/>
    <w:rsid w:val="00FB050E"/>
    <w:rsid w:val="00FB121E"/>
    <w:rsid w:val="00FB1948"/>
    <w:rsid w:val="00FB1A10"/>
    <w:rsid w:val="00FB1B62"/>
    <w:rsid w:val="00FB1E72"/>
    <w:rsid w:val="00FB1FAD"/>
    <w:rsid w:val="00FB2A39"/>
    <w:rsid w:val="00FB2F09"/>
    <w:rsid w:val="00FB313D"/>
    <w:rsid w:val="00FB376E"/>
    <w:rsid w:val="00FB3B8D"/>
    <w:rsid w:val="00FB3CEA"/>
    <w:rsid w:val="00FB42EF"/>
    <w:rsid w:val="00FB445D"/>
    <w:rsid w:val="00FB4811"/>
    <w:rsid w:val="00FB4F2D"/>
    <w:rsid w:val="00FB58E2"/>
    <w:rsid w:val="00FB5D41"/>
    <w:rsid w:val="00FB61B6"/>
    <w:rsid w:val="00FB71B4"/>
    <w:rsid w:val="00FB79EE"/>
    <w:rsid w:val="00FB7BFD"/>
    <w:rsid w:val="00FB7C26"/>
    <w:rsid w:val="00FB7DE0"/>
    <w:rsid w:val="00FB7F5F"/>
    <w:rsid w:val="00FC03A9"/>
    <w:rsid w:val="00FC05AF"/>
    <w:rsid w:val="00FC0917"/>
    <w:rsid w:val="00FC0B2C"/>
    <w:rsid w:val="00FC0D5E"/>
    <w:rsid w:val="00FC1361"/>
    <w:rsid w:val="00FC1400"/>
    <w:rsid w:val="00FC179B"/>
    <w:rsid w:val="00FC1862"/>
    <w:rsid w:val="00FC2370"/>
    <w:rsid w:val="00FC26A4"/>
    <w:rsid w:val="00FC3827"/>
    <w:rsid w:val="00FC3A67"/>
    <w:rsid w:val="00FC3B36"/>
    <w:rsid w:val="00FC49FC"/>
    <w:rsid w:val="00FC4E8D"/>
    <w:rsid w:val="00FC52D9"/>
    <w:rsid w:val="00FC555C"/>
    <w:rsid w:val="00FC5CAD"/>
    <w:rsid w:val="00FC5E2D"/>
    <w:rsid w:val="00FC6A20"/>
    <w:rsid w:val="00FC7139"/>
    <w:rsid w:val="00FC7918"/>
    <w:rsid w:val="00FC7C3C"/>
    <w:rsid w:val="00FC7E35"/>
    <w:rsid w:val="00FD079E"/>
    <w:rsid w:val="00FD0897"/>
    <w:rsid w:val="00FD08E5"/>
    <w:rsid w:val="00FD0BB6"/>
    <w:rsid w:val="00FD0EEE"/>
    <w:rsid w:val="00FD16C9"/>
    <w:rsid w:val="00FD1CEA"/>
    <w:rsid w:val="00FD1E5A"/>
    <w:rsid w:val="00FD2944"/>
    <w:rsid w:val="00FD2EE4"/>
    <w:rsid w:val="00FD3147"/>
    <w:rsid w:val="00FD31C5"/>
    <w:rsid w:val="00FD3D0F"/>
    <w:rsid w:val="00FD3E35"/>
    <w:rsid w:val="00FD4D77"/>
    <w:rsid w:val="00FD55D1"/>
    <w:rsid w:val="00FD591C"/>
    <w:rsid w:val="00FD5AC4"/>
    <w:rsid w:val="00FD652A"/>
    <w:rsid w:val="00FD672C"/>
    <w:rsid w:val="00FD73FA"/>
    <w:rsid w:val="00FD7F37"/>
    <w:rsid w:val="00FE01DA"/>
    <w:rsid w:val="00FE01F3"/>
    <w:rsid w:val="00FE0857"/>
    <w:rsid w:val="00FE0A9C"/>
    <w:rsid w:val="00FE0C3A"/>
    <w:rsid w:val="00FE134F"/>
    <w:rsid w:val="00FE1546"/>
    <w:rsid w:val="00FE1862"/>
    <w:rsid w:val="00FE1E0A"/>
    <w:rsid w:val="00FE2814"/>
    <w:rsid w:val="00FE28B8"/>
    <w:rsid w:val="00FE3794"/>
    <w:rsid w:val="00FE37E3"/>
    <w:rsid w:val="00FE3AE6"/>
    <w:rsid w:val="00FE4E2E"/>
    <w:rsid w:val="00FE524C"/>
    <w:rsid w:val="00FE5457"/>
    <w:rsid w:val="00FE559F"/>
    <w:rsid w:val="00FE6751"/>
    <w:rsid w:val="00FE67C9"/>
    <w:rsid w:val="00FE6BD4"/>
    <w:rsid w:val="00FE74DB"/>
    <w:rsid w:val="00FE74F3"/>
    <w:rsid w:val="00FE774E"/>
    <w:rsid w:val="00FE7CA6"/>
    <w:rsid w:val="00FF03C5"/>
    <w:rsid w:val="00FF0C91"/>
    <w:rsid w:val="00FF2C92"/>
    <w:rsid w:val="00FF32F3"/>
    <w:rsid w:val="00FF3C1C"/>
    <w:rsid w:val="00FF3EBB"/>
    <w:rsid w:val="00FF4340"/>
    <w:rsid w:val="00FF452A"/>
    <w:rsid w:val="00FF5981"/>
    <w:rsid w:val="00FF60BD"/>
    <w:rsid w:val="00FF614C"/>
    <w:rsid w:val="00FF61DE"/>
    <w:rsid w:val="00FF6524"/>
    <w:rsid w:val="00FF6871"/>
    <w:rsid w:val="00FF6DB2"/>
    <w:rsid w:val="00FF772B"/>
    <w:rsid w:val="00FF781F"/>
    <w:rsid w:val="00FF7C75"/>
    <w:rsid w:val="00FF7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43DA8"/>
  <w15:docId w15:val="{E54B0697-E0BD-478F-98D4-B93E2233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1983"/>
    <w:rPr>
      <w:color w:val="0000FF"/>
      <w:u w:val="single"/>
    </w:rPr>
  </w:style>
  <w:style w:type="character" w:styleId="FollowedHyperlink">
    <w:name w:val="FollowedHyperlink"/>
    <w:rsid w:val="00857BD0"/>
    <w:rPr>
      <w:color w:val="800080"/>
      <w:u w:val="single"/>
    </w:rPr>
  </w:style>
  <w:style w:type="table" w:styleId="TableGrid">
    <w:name w:val="Table Grid"/>
    <w:basedOn w:val="TableNormal"/>
    <w:uiPriority w:val="59"/>
    <w:rsid w:val="00E02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A33F2"/>
    <w:pPr>
      <w:tabs>
        <w:tab w:val="center" w:pos="4153"/>
        <w:tab w:val="right" w:pos="8306"/>
      </w:tabs>
    </w:pPr>
  </w:style>
  <w:style w:type="character" w:styleId="PageNumber">
    <w:name w:val="page number"/>
    <w:basedOn w:val="DefaultParagraphFont"/>
    <w:rsid w:val="005A33F2"/>
  </w:style>
  <w:style w:type="paragraph" w:styleId="Header">
    <w:name w:val="header"/>
    <w:basedOn w:val="Normal"/>
    <w:rsid w:val="006348B4"/>
    <w:pPr>
      <w:tabs>
        <w:tab w:val="center" w:pos="4153"/>
        <w:tab w:val="right" w:pos="8306"/>
      </w:tabs>
    </w:p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E85379"/>
    <w:pPr>
      <w:ind w:left="720"/>
      <w:contextualSpacing/>
    </w:pPr>
  </w:style>
  <w:style w:type="paragraph" w:styleId="BalloonText">
    <w:name w:val="Balloon Text"/>
    <w:basedOn w:val="Normal"/>
    <w:link w:val="BalloonTextChar"/>
    <w:uiPriority w:val="99"/>
    <w:semiHidden/>
    <w:unhideWhenUsed/>
    <w:rsid w:val="00DC42B4"/>
    <w:rPr>
      <w:rFonts w:ascii="Tahoma" w:hAnsi="Tahoma" w:cs="Tahoma"/>
      <w:sz w:val="16"/>
      <w:szCs w:val="16"/>
    </w:rPr>
  </w:style>
  <w:style w:type="character" w:customStyle="1" w:styleId="BalloonTextChar">
    <w:name w:val="Balloon Text Char"/>
    <w:basedOn w:val="DefaultParagraphFont"/>
    <w:link w:val="BalloonText"/>
    <w:uiPriority w:val="99"/>
    <w:semiHidden/>
    <w:rsid w:val="00DC42B4"/>
    <w:rPr>
      <w:rFonts w:ascii="Tahoma" w:hAnsi="Tahoma" w:cs="Tahoma"/>
      <w:sz w:val="16"/>
      <w:szCs w:val="16"/>
    </w:rPr>
  </w:style>
  <w:style w:type="table" w:customStyle="1" w:styleId="TableGrid1">
    <w:name w:val="Table Grid1"/>
    <w:basedOn w:val="TableNormal"/>
    <w:next w:val="TableGrid"/>
    <w:rsid w:val="00F83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80344"/>
    <w:rPr>
      <w:rFonts w:ascii="Arial" w:hAnsi="Arial"/>
    </w:rPr>
  </w:style>
  <w:style w:type="paragraph" w:customStyle="1" w:styleId="Char1CharChar">
    <w:name w:val="Char1 Char Char"/>
    <w:basedOn w:val="Normal"/>
    <w:rsid w:val="00535162"/>
    <w:pPr>
      <w:keepLines/>
      <w:spacing w:after="160" w:line="240" w:lineRule="exact"/>
      <w:ind w:left="2977"/>
    </w:pPr>
    <w:rPr>
      <w:rFonts w:ascii="Tahoma" w:hAnsi="Tahoma"/>
      <w:szCs w:val="24"/>
      <w:lang w:val="en-US" w:eastAsia="en-US"/>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9D16B4"/>
    <w:rPr>
      <w:rFonts w:ascii="Arial" w:hAnsi="Arial"/>
    </w:rPr>
  </w:style>
  <w:style w:type="character" w:customStyle="1" w:styleId="fontstyle01">
    <w:name w:val="fontstyle01"/>
    <w:basedOn w:val="DefaultParagraphFont"/>
    <w:rsid w:val="00816ECB"/>
    <w:rPr>
      <w:rFonts w:ascii="ArialMT" w:hAnsi="ArialMT" w:hint="default"/>
      <w:b w:val="0"/>
      <w:bCs w:val="0"/>
      <w:i w:val="0"/>
      <w:iCs w:val="0"/>
      <w:color w:val="000000"/>
      <w:sz w:val="24"/>
      <w:szCs w:val="24"/>
    </w:rPr>
  </w:style>
  <w:style w:type="character" w:customStyle="1" w:styleId="fontstyle21">
    <w:name w:val="fontstyle21"/>
    <w:basedOn w:val="DefaultParagraphFont"/>
    <w:rsid w:val="00575874"/>
    <w:rPr>
      <w:rFonts w:ascii="Arial-BoldMT" w:hAnsi="Arial-BoldMT" w:hint="default"/>
      <w:b/>
      <w:bCs/>
      <w:i w:val="0"/>
      <w:iCs w:val="0"/>
      <w:color w:val="000000"/>
      <w:sz w:val="24"/>
      <w:szCs w:val="24"/>
    </w:rPr>
  </w:style>
  <w:style w:type="character" w:customStyle="1" w:styleId="fontstyle31">
    <w:name w:val="fontstyle31"/>
    <w:basedOn w:val="DefaultParagraphFont"/>
    <w:rsid w:val="00575874"/>
    <w:rPr>
      <w:rFonts w:ascii="ArialMT" w:hAnsi="ArialMT" w:hint="default"/>
      <w:b w:val="0"/>
      <w:bCs w:val="0"/>
      <w:i w:val="0"/>
      <w:iCs w:val="0"/>
      <w:color w:val="000000"/>
      <w:sz w:val="24"/>
      <w:szCs w:val="24"/>
    </w:rPr>
  </w:style>
  <w:style w:type="paragraph" w:customStyle="1" w:styleId="Char1CharChar0">
    <w:name w:val="Char1 Char Char"/>
    <w:basedOn w:val="Normal"/>
    <w:rsid w:val="0030579B"/>
    <w:pPr>
      <w:keepLines/>
      <w:spacing w:after="160" w:line="240" w:lineRule="exact"/>
      <w:ind w:left="2977"/>
    </w:pPr>
    <w:rPr>
      <w:rFonts w:ascii="Tahoma" w:hAnsi="Tahoma"/>
      <w:szCs w:val="24"/>
      <w:lang w:val="en-US" w:eastAsia="en-US"/>
    </w:rPr>
  </w:style>
  <w:style w:type="paragraph" w:customStyle="1" w:styleId="Char1CharChar1">
    <w:name w:val="Char1 Char Char"/>
    <w:basedOn w:val="Normal"/>
    <w:rsid w:val="00E06A8E"/>
    <w:pPr>
      <w:keepLines/>
      <w:spacing w:after="160" w:line="240" w:lineRule="exact"/>
      <w:ind w:left="2977"/>
    </w:pPr>
    <w:rPr>
      <w:rFonts w:ascii="Tahoma" w:hAnsi="Tahoma"/>
      <w:szCs w:val="24"/>
      <w:lang w:val="en-US" w:eastAsia="en-US"/>
    </w:rPr>
  </w:style>
  <w:style w:type="paragraph" w:customStyle="1" w:styleId="Char1CharChar2">
    <w:name w:val="Char1 Char Char"/>
    <w:basedOn w:val="Normal"/>
    <w:rsid w:val="007D2263"/>
    <w:pPr>
      <w:keepLines/>
      <w:spacing w:after="160" w:line="240" w:lineRule="exact"/>
      <w:ind w:left="2977"/>
    </w:pPr>
    <w:rPr>
      <w:rFonts w:ascii="Tahoma" w:hAnsi="Tahoma"/>
      <w:szCs w:val="24"/>
      <w:lang w:val="en-US" w:eastAsia="en-US"/>
    </w:rPr>
  </w:style>
  <w:style w:type="paragraph" w:customStyle="1" w:styleId="Char1CharChar3">
    <w:name w:val="Char1 Char Char"/>
    <w:basedOn w:val="Normal"/>
    <w:rsid w:val="00B31749"/>
    <w:pPr>
      <w:keepLines/>
      <w:spacing w:after="160" w:line="240" w:lineRule="exact"/>
      <w:ind w:left="2977"/>
    </w:pPr>
    <w:rPr>
      <w:rFonts w:ascii="Tahoma" w:hAnsi="Tahoma"/>
      <w:szCs w:val="24"/>
      <w:lang w:val="en-US" w:eastAsia="en-US"/>
    </w:rPr>
  </w:style>
  <w:style w:type="character" w:styleId="UnresolvedMention">
    <w:name w:val="Unresolved Mention"/>
    <w:basedOn w:val="DefaultParagraphFont"/>
    <w:uiPriority w:val="99"/>
    <w:semiHidden/>
    <w:unhideWhenUsed/>
    <w:rsid w:val="00615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41160">
      <w:bodyDiv w:val="1"/>
      <w:marLeft w:val="0"/>
      <w:marRight w:val="0"/>
      <w:marTop w:val="0"/>
      <w:marBottom w:val="0"/>
      <w:divBdr>
        <w:top w:val="none" w:sz="0" w:space="0" w:color="auto"/>
        <w:left w:val="none" w:sz="0" w:space="0" w:color="auto"/>
        <w:bottom w:val="none" w:sz="0" w:space="0" w:color="auto"/>
        <w:right w:val="none" w:sz="0" w:space="0" w:color="auto"/>
      </w:divBdr>
    </w:div>
    <w:div w:id="339508097">
      <w:bodyDiv w:val="1"/>
      <w:marLeft w:val="0"/>
      <w:marRight w:val="0"/>
      <w:marTop w:val="0"/>
      <w:marBottom w:val="0"/>
      <w:divBdr>
        <w:top w:val="none" w:sz="0" w:space="0" w:color="auto"/>
        <w:left w:val="none" w:sz="0" w:space="0" w:color="auto"/>
        <w:bottom w:val="none" w:sz="0" w:space="0" w:color="auto"/>
        <w:right w:val="none" w:sz="0" w:space="0" w:color="auto"/>
      </w:divBdr>
    </w:div>
    <w:div w:id="535116884">
      <w:bodyDiv w:val="1"/>
      <w:marLeft w:val="0"/>
      <w:marRight w:val="0"/>
      <w:marTop w:val="0"/>
      <w:marBottom w:val="0"/>
      <w:divBdr>
        <w:top w:val="none" w:sz="0" w:space="0" w:color="auto"/>
        <w:left w:val="none" w:sz="0" w:space="0" w:color="auto"/>
        <w:bottom w:val="none" w:sz="0" w:space="0" w:color="auto"/>
        <w:right w:val="none" w:sz="0" w:space="0" w:color="auto"/>
      </w:divBdr>
    </w:div>
    <w:div w:id="618031487">
      <w:bodyDiv w:val="1"/>
      <w:marLeft w:val="0"/>
      <w:marRight w:val="0"/>
      <w:marTop w:val="0"/>
      <w:marBottom w:val="0"/>
      <w:divBdr>
        <w:top w:val="none" w:sz="0" w:space="0" w:color="auto"/>
        <w:left w:val="none" w:sz="0" w:space="0" w:color="auto"/>
        <w:bottom w:val="none" w:sz="0" w:space="0" w:color="auto"/>
        <w:right w:val="none" w:sz="0" w:space="0" w:color="auto"/>
      </w:divBdr>
    </w:div>
    <w:div w:id="618072925">
      <w:bodyDiv w:val="1"/>
      <w:marLeft w:val="0"/>
      <w:marRight w:val="0"/>
      <w:marTop w:val="0"/>
      <w:marBottom w:val="0"/>
      <w:divBdr>
        <w:top w:val="none" w:sz="0" w:space="0" w:color="auto"/>
        <w:left w:val="none" w:sz="0" w:space="0" w:color="auto"/>
        <w:bottom w:val="none" w:sz="0" w:space="0" w:color="auto"/>
        <w:right w:val="none" w:sz="0" w:space="0" w:color="auto"/>
      </w:divBdr>
    </w:div>
    <w:div w:id="932978929">
      <w:bodyDiv w:val="1"/>
      <w:marLeft w:val="0"/>
      <w:marRight w:val="0"/>
      <w:marTop w:val="0"/>
      <w:marBottom w:val="0"/>
      <w:divBdr>
        <w:top w:val="none" w:sz="0" w:space="0" w:color="auto"/>
        <w:left w:val="none" w:sz="0" w:space="0" w:color="auto"/>
        <w:bottom w:val="none" w:sz="0" w:space="0" w:color="auto"/>
        <w:right w:val="none" w:sz="0" w:space="0" w:color="auto"/>
      </w:divBdr>
    </w:div>
    <w:div w:id="1067219185">
      <w:bodyDiv w:val="1"/>
      <w:marLeft w:val="0"/>
      <w:marRight w:val="0"/>
      <w:marTop w:val="0"/>
      <w:marBottom w:val="0"/>
      <w:divBdr>
        <w:top w:val="none" w:sz="0" w:space="0" w:color="auto"/>
        <w:left w:val="none" w:sz="0" w:space="0" w:color="auto"/>
        <w:bottom w:val="none" w:sz="0" w:space="0" w:color="auto"/>
        <w:right w:val="none" w:sz="0" w:space="0" w:color="auto"/>
      </w:divBdr>
    </w:div>
    <w:div w:id="1245604794">
      <w:bodyDiv w:val="1"/>
      <w:marLeft w:val="0"/>
      <w:marRight w:val="0"/>
      <w:marTop w:val="0"/>
      <w:marBottom w:val="0"/>
      <w:divBdr>
        <w:top w:val="none" w:sz="0" w:space="0" w:color="auto"/>
        <w:left w:val="none" w:sz="0" w:space="0" w:color="auto"/>
        <w:bottom w:val="none" w:sz="0" w:space="0" w:color="auto"/>
        <w:right w:val="none" w:sz="0" w:space="0" w:color="auto"/>
      </w:divBdr>
    </w:div>
    <w:div w:id="1385836201">
      <w:bodyDiv w:val="1"/>
      <w:marLeft w:val="0"/>
      <w:marRight w:val="0"/>
      <w:marTop w:val="0"/>
      <w:marBottom w:val="0"/>
      <w:divBdr>
        <w:top w:val="none" w:sz="0" w:space="0" w:color="auto"/>
        <w:left w:val="none" w:sz="0" w:space="0" w:color="auto"/>
        <w:bottom w:val="none" w:sz="0" w:space="0" w:color="auto"/>
        <w:right w:val="none" w:sz="0" w:space="0" w:color="auto"/>
      </w:divBdr>
    </w:div>
    <w:div w:id="1445886446">
      <w:bodyDiv w:val="1"/>
      <w:marLeft w:val="0"/>
      <w:marRight w:val="0"/>
      <w:marTop w:val="0"/>
      <w:marBottom w:val="0"/>
      <w:divBdr>
        <w:top w:val="none" w:sz="0" w:space="0" w:color="auto"/>
        <w:left w:val="none" w:sz="0" w:space="0" w:color="auto"/>
        <w:bottom w:val="none" w:sz="0" w:space="0" w:color="auto"/>
        <w:right w:val="none" w:sz="0" w:space="0" w:color="auto"/>
      </w:divBdr>
    </w:div>
    <w:div w:id="1553423806">
      <w:bodyDiv w:val="1"/>
      <w:marLeft w:val="0"/>
      <w:marRight w:val="0"/>
      <w:marTop w:val="0"/>
      <w:marBottom w:val="0"/>
      <w:divBdr>
        <w:top w:val="none" w:sz="0" w:space="0" w:color="auto"/>
        <w:left w:val="none" w:sz="0" w:space="0" w:color="auto"/>
        <w:bottom w:val="none" w:sz="0" w:space="0" w:color="auto"/>
        <w:right w:val="none" w:sz="0" w:space="0" w:color="auto"/>
      </w:divBdr>
    </w:div>
    <w:div w:id="1557745052">
      <w:bodyDiv w:val="1"/>
      <w:marLeft w:val="0"/>
      <w:marRight w:val="0"/>
      <w:marTop w:val="0"/>
      <w:marBottom w:val="0"/>
      <w:divBdr>
        <w:top w:val="none" w:sz="0" w:space="0" w:color="auto"/>
        <w:left w:val="none" w:sz="0" w:space="0" w:color="auto"/>
        <w:bottom w:val="none" w:sz="0" w:space="0" w:color="auto"/>
        <w:right w:val="none" w:sz="0" w:space="0" w:color="auto"/>
      </w:divBdr>
    </w:div>
    <w:div w:id="190448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so.bradford.gov.uk/content/finance/bradford-schools-forum/formula-funding-consultations-and-presentations" TargetMode="External"/><Relationship Id="rId13" Type="http://schemas.openxmlformats.org/officeDocument/2006/relationships/hyperlink" Target="https://bso.bradford.gov.uk/secure/content/high-needs-funding-stateme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so.bradford.gov.uk/Secure/CMSPage.aspx?mid=1904" TargetMode="External"/><Relationship Id="rId17" Type="http://schemas.openxmlformats.org/officeDocument/2006/relationships/hyperlink" Target="https://bso.bradford.gov.uk/content/finance/bradford-schools-forum/formula-funding-consultations-and-presentations" TargetMode="External"/><Relationship Id="rId2" Type="http://schemas.openxmlformats.org/officeDocument/2006/relationships/numbering" Target="numbering.xml"/><Relationship Id="rId16" Type="http://schemas.openxmlformats.org/officeDocument/2006/relationships/hyperlink" Target="https://bso.bradford.gov.uk/content/finance/bradford-schools-forum/formula-funding-consultations-and-presentations" TargetMode="External"/><Relationship Id="rId20" Type="http://schemas.openxmlformats.org/officeDocument/2006/relationships/hyperlink" Target="https://bso.bradford.gov.uk/content/send-docum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so.bradford.gov.uk/content/latest-news-and-updates-from-school-funding-tea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so.bradford.gov.uk/content/send-documentation" TargetMode="External"/><Relationship Id="rId23" Type="http://schemas.openxmlformats.org/officeDocument/2006/relationships/fontTable" Target="fontTable.xml"/><Relationship Id="rId10" Type="http://schemas.openxmlformats.org/officeDocument/2006/relationships/hyperlink" Target="mailto:andrew.redding@bradford.gov.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radford.moderngov.co.uk/ieListMeetings.aspx?CId=160&amp;Year=0" TargetMode="External"/><Relationship Id="rId14" Type="http://schemas.openxmlformats.org/officeDocument/2006/relationships/hyperlink" Target="https://bso.bradford.gov.uk/secure/content/high-needs-funding-statements" TargetMode="Externa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A2946-2AB5-4BFD-9B4E-0ED232BC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5056</TotalTime>
  <Pages>38</Pages>
  <Words>16903</Words>
  <Characters>96351</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High Needs</vt:lpstr>
    </vt:vector>
  </TitlesOfParts>
  <Company>Serco-EB</Company>
  <LinksUpToDate>false</LinksUpToDate>
  <CharactersWithSpaces>113028</CharactersWithSpaces>
  <SharedDoc>false</SharedDoc>
  <HLinks>
    <vt:vector size="18" baseType="variant">
      <vt:variant>
        <vt:i4>2752528</vt:i4>
      </vt:variant>
      <vt:variant>
        <vt:i4>6</vt:i4>
      </vt:variant>
      <vt:variant>
        <vt:i4>0</vt:i4>
      </vt:variant>
      <vt:variant>
        <vt:i4>5</vt:i4>
      </vt:variant>
      <vt:variant>
        <vt:lpwstr>mailto:andrew.redding@bradford.gov.uk?subject=CONSULTATION%20RESPONSE%20FORM</vt:lpwstr>
      </vt:variant>
      <vt:variant>
        <vt:lpwstr/>
      </vt:variant>
      <vt:variant>
        <vt:i4>5636219</vt:i4>
      </vt:variant>
      <vt:variant>
        <vt:i4>3</vt:i4>
      </vt:variant>
      <vt:variant>
        <vt:i4>0</vt:i4>
      </vt:variant>
      <vt:variant>
        <vt:i4>5</vt:i4>
      </vt:variant>
      <vt:variant>
        <vt:lpwstr>mailto:sarah.north@bradford.gov.uk?subject=CONSULTATION%20RESPONSE%20FORM</vt:lpwstr>
      </vt:variant>
      <vt:variant>
        <vt:lpwstr/>
      </vt:variant>
      <vt:variant>
        <vt:i4>7995457</vt:i4>
      </vt:variant>
      <vt:variant>
        <vt:i4>0</vt:i4>
      </vt:variant>
      <vt:variant>
        <vt:i4>0</vt:i4>
      </vt:variant>
      <vt:variant>
        <vt:i4>5</vt:i4>
      </vt:variant>
      <vt:variant>
        <vt:lpwstr>mailto:andrew.redding@bradford.gov.uk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Needs</dc:title>
  <dc:creator>andrew.redding</dc:creator>
  <cp:lastModifiedBy>Andrew Redding</cp:lastModifiedBy>
  <cp:revision>1228</cp:revision>
  <cp:lastPrinted>2014-10-06T11:44:00Z</cp:lastPrinted>
  <dcterms:created xsi:type="dcterms:W3CDTF">2019-11-28T15:34:00Z</dcterms:created>
  <dcterms:modified xsi:type="dcterms:W3CDTF">2024-11-27T11:08:00Z</dcterms:modified>
</cp:coreProperties>
</file>