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F0842" w14:textId="6E3C467D" w:rsidR="00397A51" w:rsidRPr="00397A51" w:rsidRDefault="00397A51">
      <w:pPr>
        <w:rPr>
          <w:b/>
          <w:bCs/>
        </w:rPr>
      </w:pPr>
      <w:r w:rsidRPr="00397A51">
        <w:rPr>
          <w:b/>
          <w:bCs/>
        </w:rPr>
        <w:t>Schools Forum 4 December 2024</w:t>
      </w:r>
      <w:r w:rsidR="003E1908">
        <w:rPr>
          <w:b/>
          <w:bCs/>
        </w:rPr>
        <w:tab/>
      </w:r>
      <w:r w:rsidR="003E1908">
        <w:rPr>
          <w:b/>
          <w:bCs/>
        </w:rPr>
        <w:tab/>
      </w:r>
      <w:r w:rsidR="003E1908">
        <w:rPr>
          <w:b/>
          <w:bCs/>
        </w:rPr>
        <w:tab/>
      </w:r>
      <w:r w:rsidR="003E1908">
        <w:rPr>
          <w:b/>
          <w:bCs/>
        </w:rPr>
        <w:tab/>
      </w:r>
      <w:r w:rsidR="003E1908">
        <w:rPr>
          <w:b/>
          <w:bCs/>
        </w:rPr>
        <w:tab/>
      </w:r>
      <w:r w:rsidR="003E1908">
        <w:rPr>
          <w:b/>
          <w:bCs/>
        </w:rPr>
        <w:tab/>
      </w:r>
      <w:r w:rsidR="003E1908">
        <w:rPr>
          <w:b/>
          <w:bCs/>
        </w:rPr>
        <w:tab/>
        <w:t>Document S</w:t>
      </w:r>
      <w:r w:rsidR="00E24ED1">
        <w:rPr>
          <w:b/>
          <w:bCs/>
        </w:rPr>
        <w:t>D</w:t>
      </w:r>
      <w:r w:rsidR="00437312">
        <w:rPr>
          <w:b/>
          <w:bCs/>
        </w:rPr>
        <w:t xml:space="preserve"> Appendix 1</w:t>
      </w:r>
    </w:p>
    <w:p w14:paraId="6431157D" w14:textId="54F06A53" w:rsidR="003930B6" w:rsidRDefault="00FE659D">
      <w:r>
        <w:rPr>
          <w:u w:val="single"/>
        </w:rPr>
        <w:t xml:space="preserve">Schools Block </w:t>
      </w:r>
      <w:r w:rsidR="005B281B">
        <w:rPr>
          <w:u w:val="single"/>
        </w:rPr>
        <w:t xml:space="preserve">Mainstream Primary and Secondary </w:t>
      </w:r>
      <w:r>
        <w:rPr>
          <w:u w:val="single"/>
        </w:rPr>
        <w:t>Formula Funding</w:t>
      </w:r>
      <w:r w:rsidR="009A6227">
        <w:rPr>
          <w:u w:val="single"/>
        </w:rPr>
        <w:t xml:space="preserve"> 2025/26 - </w:t>
      </w:r>
      <w:r w:rsidR="00800B36" w:rsidRPr="00397A51">
        <w:rPr>
          <w:u w:val="single"/>
        </w:rPr>
        <w:t xml:space="preserve"> Update</w:t>
      </w:r>
    </w:p>
    <w:p w14:paraId="6B7BF91D" w14:textId="05B4E3E2" w:rsidR="005B281B" w:rsidRPr="005B281B" w:rsidRDefault="005B281B">
      <w:pPr>
        <w:rPr>
          <w:b/>
          <w:bCs/>
        </w:rPr>
      </w:pPr>
      <w:r w:rsidRPr="005B281B">
        <w:rPr>
          <w:b/>
          <w:bCs/>
        </w:rPr>
        <w:t>Introduction</w:t>
      </w:r>
    </w:p>
    <w:p w14:paraId="30CBCADA" w14:textId="04B17796" w:rsidR="005B281B" w:rsidRDefault="005B281B" w:rsidP="005B281B">
      <w:pPr>
        <w:pStyle w:val="ListParagraph"/>
        <w:numPr>
          <w:ilvl w:val="0"/>
          <w:numId w:val="11"/>
        </w:numPr>
        <w:jc w:val="both"/>
      </w:pPr>
      <w:r>
        <w:t>This report provides an update on Schools Block mainstream core formula funding for 2025/26</w:t>
      </w:r>
      <w:r w:rsidR="00F84622">
        <w:t xml:space="preserve"> for primary and secondary schools and academies</w:t>
      </w:r>
      <w:r>
        <w:t xml:space="preserve">. It is written to set out what has been announced by </w:t>
      </w:r>
      <w:r w:rsidR="00350398">
        <w:t xml:space="preserve">the </w:t>
      </w:r>
      <w:r>
        <w:t xml:space="preserve">DfE up to this point and what is still unknown or estimated. It is intended to act as an information and consultation document. This report follows from the </w:t>
      </w:r>
      <w:hyperlink r:id="rId5" w:history="1">
        <w:r w:rsidRPr="005B281B">
          <w:rPr>
            <w:rStyle w:val="Hyperlink"/>
          </w:rPr>
          <w:t>business cases</w:t>
        </w:r>
      </w:hyperlink>
      <w:r>
        <w:t xml:space="preserve"> that were presented to the Schools Forum in September and October, and from the </w:t>
      </w:r>
      <w:hyperlink r:id="rId6" w:history="1">
        <w:r w:rsidRPr="005B281B">
          <w:rPr>
            <w:rStyle w:val="Hyperlink"/>
          </w:rPr>
          <w:t>briefing note</w:t>
        </w:r>
      </w:hyperlink>
      <w:r>
        <w:t xml:space="preserve"> that was published for schools and academies</w:t>
      </w:r>
      <w:r w:rsidR="009D758A">
        <w:t xml:space="preserve"> on Bradford Schools Online</w:t>
      </w:r>
      <w:r>
        <w:t xml:space="preserve"> on 11 October</w:t>
      </w:r>
      <w:r w:rsidR="00350398">
        <w:t xml:space="preserve"> and updated on 11 November</w:t>
      </w:r>
      <w:r>
        <w:t>.</w:t>
      </w:r>
    </w:p>
    <w:p w14:paraId="368D3509" w14:textId="77777777" w:rsidR="005B281B" w:rsidRDefault="005B281B" w:rsidP="005B281B">
      <w:pPr>
        <w:pStyle w:val="ListParagraph"/>
        <w:ind w:left="360"/>
        <w:jc w:val="both"/>
      </w:pPr>
    </w:p>
    <w:p w14:paraId="094B71BC" w14:textId="746195D9" w:rsidR="00CB5B40" w:rsidRDefault="005B281B" w:rsidP="005B281B">
      <w:pPr>
        <w:pStyle w:val="ListParagraph"/>
        <w:numPr>
          <w:ilvl w:val="0"/>
          <w:numId w:val="11"/>
        </w:numPr>
        <w:jc w:val="both"/>
      </w:pPr>
      <w:r w:rsidRPr="005B281B">
        <w:t>In mid-October each year, the Local Authority normally publishes</w:t>
      </w:r>
      <w:r>
        <w:t xml:space="preserve"> a</w:t>
      </w:r>
      <w:r w:rsidRPr="005B281B">
        <w:t xml:space="preserve"> consultation, which set</w:t>
      </w:r>
      <w:r>
        <w:t>s</w:t>
      </w:r>
      <w:r w:rsidRPr="005B281B">
        <w:t xml:space="preserve"> out proposals for formula funding arrangements for mainstream primary and secondary schools and academies</w:t>
      </w:r>
      <w:r>
        <w:t xml:space="preserve"> </w:t>
      </w:r>
      <w:r w:rsidRPr="005B281B">
        <w:t>in Bradford for the following financial year, having first discussed these proposals with the Schools Forum</w:t>
      </w:r>
      <w:r>
        <w:t xml:space="preserve">. </w:t>
      </w:r>
      <w:r w:rsidRPr="005B281B">
        <w:t>Due to the general election</w:t>
      </w:r>
      <w:r>
        <w:t xml:space="preserve"> and the 30 October Budget</w:t>
      </w:r>
      <w:r w:rsidRPr="005B281B">
        <w:t>, however, the DSG settlements and detailed operational guidance for the 2025/26 financial year have not yet been</w:t>
      </w:r>
      <w:r w:rsidR="00CB5B40">
        <w:t xml:space="preserve"> </w:t>
      </w:r>
      <w:r w:rsidRPr="005B281B">
        <w:t xml:space="preserve">published. </w:t>
      </w:r>
      <w:r w:rsidR="00CB5B40">
        <w:t xml:space="preserve">On 3 October the DfE released a note, which briefly outlined National Funding Formula arrangements for 2025/26. On </w:t>
      </w:r>
      <w:r w:rsidR="00D36445">
        <w:t>6</w:t>
      </w:r>
      <w:r w:rsidR="00CB5B40">
        <w:t xml:space="preserve"> November the DfE the provided some indicative information regarding the values of formula</w:t>
      </w:r>
      <w:r w:rsidR="00D14330">
        <w:t xml:space="preserve"> factors</w:t>
      </w:r>
      <w:r w:rsidR="00CB5B40">
        <w:t>. This information can be found</w:t>
      </w:r>
      <w:hyperlink r:id="rId7" w:history="1">
        <w:r w:rsidR="00CB5B40" w:rsidRPr="00CB5B40">
          <w:rPr>
            <w:rStyle w:val="Hyperlink"/>
          </w:rPr>
          <w:t xml:space="preserve"> here</w:t>
        </w:r>
      </w:hyperlink>
      <w:r w:rsidR="00CB5B40">
        <w:t>. Whilst still indicative and subject to change, this information has given local authorities some insight into the settlement for mainstream primary and secondary schools and academies for 2025/26, and a basis on which to plan. This update</w:t>
      </w:r>
      <w:r w:rsidR="00D14330">
        <w:t xml:space="preserve"> report</w:t>
      </w:r>
      <w:r w:rsidR="00CB5B40">
        <w:t xml:space="preserve"> is written with reference to this indicative information.</w:t>
      </w:r>
    </w:p>
    <w:p w14:paraId="2E56F17F" w14:textId="77777777" w:rsidR="00CB5B40" w:rsidRDefault="00CB5B40" w:rsidP="00CB5B40">
      <w:pPr>
        <w:pStyle w:val="ListParagraph"/>
      </w:pPr>
    </w:p>
    <w:p w14:paraId="5AE91229" w14:textId="02A425F5" w:rsidR="005D75C9" w:rsidRDefault="005D75C9" w:rsidP="005B281B">
      <w:pPr>
        <w:pStyle w:val="ListParagraph"/>
        <w:numPr>
          <w:ilvl w:val="0"/>
          <w:numId w:val="11"/>
        </w:numPr>
        <w:jc w:val="both"/>
      </w:pPr>
      <w:r>
        <w:t xml:space="preserve">The Authority would normally publish individual school / academy </w:t>
      </w:r>
      <w:r w:rsidR="009D758A">
        <w:t xml:space="preserve">level </w:t>
      </w:r>
      <w:r>
        <w:t xml:space="preserve">modelling within the annual Schools Block formula funding </w:t>
      </w:r>
      <w:r w:rsidR="007872D3">
        <w:t xml:space="preserve">development and </w:t>
      </w:r>
      <w:r>
        <w:t>consultation</w:t>
      </w:r>
      <w:r w:rsidR="00350398">
        <w:t xml:space="preserve"> process</w:t>
      </w:r>
      <w:r>
        <w:t>.</w:t>
      </w:r>
      <w:r w:rsidR="00350398">
        <w:t xml:space="preserve"> </w:t>
      </w:r>
      <w:r w:rsidR="00B27DB6">
        <w:t xml:space="preserve">However, it is assessed that </w:t>
      </w:r>
      <w:r w:rsidR="00863661">
        <w:t xml:space="preserve">attempting to </w:t>
      </w:r>
      <w:r w:rsidR="00B27DB6">
        <w:t>provid</w:t>
      </w:r>
      <w:r w:rsidR="00863661">
        <w:t>e</w:t>
      </w:r>
      <w:r w:rsidR="009D758A">
        <w:t xml:space="preserve"> such</w:t>
      </w:r>
      <w:r w:rsidR="00B27DB6">
        <w:t xml:space="preserve"> modelling</w:t>
      </w:r>
      <w:r w:rsidR="009D758A">
        <w:t xml:space="preserve"> </w:t>
      </w:r>
      <w:r w:rsidR="00350398">
        <w:t>now</w:t>
      </w:r>
      <w:r w:rsidR="00B27DB6">
        <w:t>, when matters are still uncertain and to be worked through, is not helpful. The DfE is expected to release details of the settlements and the October 2024 dataset mid-to late-December and accurate and informative modelling will</w:t>
      </w:r>
      <w:r w:rsidR="00350398">
        <w:t xml:space="preserve"> then</w:t>
      </w:r>
      <w:r w:rsidR="00B27DB6">
        <w:t xml:space="preserve"> be constructed by the Authority. This modelling will inform the Schools Forum and will also be signalled more widely for schools and academies</w:t>
      </w:r>
      <w:r w:rsidR="00350398">
        <w:t xml:space="preserve"> via Bradford Schools Online</w:t>
      </w:r>
      <w:r w:rsidR="00B27DB6">
        <w:t>. Schools and academies will get a sense of the settlement and the impact on their budgeting from what is said in this report.</w:t>
      </w:r>
    </w:p>
    <w:p w14:paraId="3A6A8DD4" w14:textId="77777777" w:rsidR="005D75C9" w:rsidRDefault="005D75C9" w:rsidP="005D75C9">
      <w:pPr>
        <w:pStyle w:val="ListParagraph"/>
      </w:pPr>
    </w:p>
    <w:p w14:paraId="11DA5787" w14:textId="5FC2F685" w:rsidR="005B281B" w:rsidRDefault="005D75C9" w:rsidP="00350398">
      <w:pPr>
        <w:pStyle w:val="ListParagraph"/>
        <w:numPr>
          <w:ilvl w:val="0"/>
          <w:numId w:val="11"/>
        </w:numPr>
        <w:jc w:val="both"/>
      </w:pPr>
      <w:r>
        <w:t xml:space="preserve">The Authority </w:t>
      </w:r>
      <w:r w:rsidR="00350398">
        <w:t xml:space="preserve">still has much to work through and to </w:t>
      </w:r>
      <w:r>
        <w:t>discuss with the Schools Forum</w:t>
      </w:r>
      <w:r w:rsidR="00350398">
        <w:t xml:space="preserve">. The Schools Forum will meet </w:t>
      </w:r>
      <w:r>
        <w:t>on 4 December and</w:t>
      </w:r>
      <w:r w:rsidR="00350398">
        <w:t xml:space="preserve"> again on</w:t>
      </w:r>
      <w:r>
        <w:t xml:space="preserve"> 15 January. It is expected that the Forum will make its final recommendations on </w:t>
      </w:r>
      <w:r w:rsidR="00350398">
        <w:t xml:space="preserve">2025/26 Schools Block </w:t>
      </w:r>
      <w:r>
        <w:t xml:space="preserve">formula funding at the meeting on 15 January. </w:t>
      </w:r>
      <w:r w:rsidR="00350398">
        <w:t xml:space="preserve">As has been published via the </w:t>
      </w:r>
      <w:hyperlink r:id="rId8" w:history="1">
        <w:r w:rsidR="00350398" w:rsidRPr="00350398">
          <w:rPr>
            <w:rStyle w:val="Hyperlink"/>
          </w:rPr>
          <w:t>business cases</w:t>
        </w:r>
      </w:hyperlink>
      <w:r w:rsidR="009D758A">
        <w:t xml:space="preserve"> and the briefing notes</w:t>
      </w:r>
      <w:r w:rsidR="00350398">
        <w:t>, the Authority has discussed with the Schools Forum a transfer of £2.6m (0.5%) of Schools Block income to the High Needs Block in 2025/26, in support of the deficit that is forecast in Bradford’s High Needs Block and Dedicated Schools Grant (DSG) account.</w:t>
      </w:r>
      <w:r w:rsidR="009D758A">
        <w:t xml:space="preserve"> This transfer has implications for mainstream primary and secondary formula funding in 2025/26.</w:t>
      </w:r>
      <w:r w:rsidR="00350398">
        <w:t xml:space="preserve"> </w:t>
      </w:r>
      <w:r w:rsidR="007872D3">
        <w:t xml:space="preserve">The transfer was accepted by the Schools Forum on 9 October </w:t>
      </w:r>
      <w:r w:rsidR="0039309A">
        <w:t>and</w:t>
      </w:r>
      <w:r w:rsidR="007872D3">
        <w:t xml:space="preserve"> </w:t>
      </w:r>
      <w:r w:rsidR="00350398">
        <w:t xml:space="preserve">will </w:t>
      </w:r>
      <w:r w:rsidR="009D758A">
        <w:t xml:space="preserve">continue to be discussed </w:t>
      </w:r>
      <w:r w:rsidR="007872D3">
        <w:t>in the meetings to be held</w:t>
      </w:r>
      <w:r w:rsidR="009D758A">
        <w:t xml:space="preserve"> on 4 December and 15 January</w:t>
      </w:r>
      <w:r w:rsidR="00350398">
        <w:t>.</w:t>
      </w:r>
    </w:p>
    <w:p w14:paraId="1DF51947" w14:textId="77777777" w:rsidR="00350398" w:rsidRDefault="00350398" w:rsidP="00350398">
      <w:pPr>
        <w:pStyle w:val="ListParagraph"/>
      </w:pPr>
    </w:p>
    <w:p w14:paraId="56C8AD31" w14:textId="73F27822" w:rsidR="00350398" w:rsidRPr="00350398" w:rsidRDefault="00350398" w:rsidP="00350398">
      <w:pPr>
        <w:pStyle w:val="ListParagraph"/>
        <w:numPr>
          <w:ilvl w:val="0"/>
          <w:numId w:val="11"/>
        </w:numPr>
        <w:jc w:val="both"/>
        <w:rPr>
          <w:rStyle w:val="Hyperlink"/>
          <w:color w:val="auto"/>
          <w:u w:val="none"/>
        </w:rPr>
      </w:pPr>
      <w:r w:rsidRPr="005B281B">
        <w:t>This note is intended as a</w:t>
      </w:r>
      <w:r>
        <w:t>n information and</w:t>
      </w:r>
      <w:r w:rsidRPr="005B281B">
        <w:t xml:space="preserve"> consultation document, and, therefore, comments and feedback</w:t>
      </w:r>
      <w:r>
        <w:t xml:space="preserve"> are welcomed</w:t>
      </w:r>
      <w:r w:rsidRPr="005B281B">
        <w:t xml:space="preserve">. Please address these (as well as any questions) to Andrew Redding. The deadline for responses is </w:t>
      </w:r>
      <w:r w:rsidRPr="009D758A">
        <w:rPr>
          <w:b/>
          <w:bCs/>
        </w:rPr>
        <w:t>Friday 10 January 2025</w:t>
      </w:r>
      <w:r w:rsidRPr="005B281B">
        <w:t>.</w:t>
      </w:r>
      <w:r>
        <w:t xml:space="preserve"> </w:t>
      </w:r>
      <w:hyperlink r:id="rId9" w:history="1">
        <w:r w:rsidRPr="00677FBD">
          <w:rPr>
            <w:rStyle w:val="Hyperlink"/>
          </w:rPr>
          <w:t>andrew.redding@bradford.gov.uk</w:t>
        </w:r>
      </w:hyperlink>
    </w:p>
    <w:p w14:paraId="59FDC396" w14:textId="77777777" w:rsidR="00350398" w:rsidRPr="00350398" w:rsidRDefault="00350398" w:rsidP="00350398">
      <w:pPr>
        <w:pStyle w:val="ListParagraph"/>
        <w:rPr>
          <w:rStyle w:val="Hyperlink"/>
          <w:color w:val="auto"/>
          <w:u w:val="none"/>
        </w:rPr>
      </w:pPr>
    </w:p>
    <w:p w14:paraId="506BFE0B" w14:textId="3C347F4F" w:rsidR="00350398" w:rsidRDefault="00350398" w:rsidP="00350398">
      <w:pPr>
        <w:pStyle w:val="ListParagraph"/>
        <w:numPr>
          <w:ilvl w:val="0"/>
          <w:numId w:val="11"/>
        </w:numPr>
        <w:jc w:val="both"/>
        <w:rPr>
          <w:rStyle w:val="Hyperlink"/>
          <w:color w:val="auto"/>
          <w:u w:val="none"/>
        </w:rPr>
      </w:pPr>
      <w:r>
        <w:rPr>
          <w:rStyle w:val="Hyperlink"/>
          <w:color w:val="auto"/>
          <w:u w:val="none"/>
        </w:rPr>
        <w:t xml:space="preserve">Please note that a separate document </w:t>
      </w:r>
      <w:r w:rsidR="007B79EE">
        <w:rPr>
          <w:rStyle w:val="Hyperlink"/>
          <w:color w:val="auto"/>
          <w:u w:val="none"/>
        </w:rPr>
        <w:t>will be published</w:t>
      </w:r>
      <w:r>
        <w:rPr>
          <w:rStyle w:val="Hyperlink"/>
          <w:color w:val="auto"/>
          <w:u w:val="none"/>
        </w:rPr>
        <w:t>, which provides further information on high needs formula funding matters</w:t>
      </w:r>
      <w:r w:rsidR="001C129D">
        <w:rPr>
          <w:rStyle w:val="Hyperlink"/>
          <w:color w:val="auto"/>
          <w:u w:val="none"/>
        </w:rPr>
        <w:t xml:space="preserve"> for 2025/26</w:t>
      </w:r>
      <w:r>
        <w:rPr>
          <w:rStyle w:val="Hyperlink"/>
          <w:color w:val="auto"/>
          <w:u w:val="none"/>
        </w:rPr>
        <w:t>. For mainstream primary and secondary schools and academies, th</w:t>
      </w:r>
      <w:r w:rsidR="001C129D">
        <w:rPr>
          <w:rStyle w:val="Hyperlink"/>
          <w:color w:val="auto"/>
          <w:u w:val="none"/>
        </w:rPr>
        <w:t>e separate</w:t>
      </w:r>
      <w:r>
        <w:rPr>
          <w:rStyle w:val="Hyperlink"/>
          <w:color w:val="auto"/>
          <w:u w:val="none"/>
        </w:rPr>
        <w:t xml:space="preserve"> document </w:t>
      </w:r>
      <w:r w:rsidR="007B79EE">
        <w:rPr>
          <w:rStyle w:val="Hyperlink"/>
          <w:color w:val="auto"/>
          <w:u w:val="none"/>
        </w:rPr>
        <w:t xml:space="preserve">will </w:t>
      </w:r>
      <w:r w:rsidR="00264FBF">
        <w:rPr>
          <w:rStyle w:val="Hyperlink"/>
          <w:color w:val="auto"/>
          <w:u w:val="none"/>
        </w:rPr>
        <w:t>cover proposals regarding amendment to the definition of Notional SEND Budgets and amendment to the SEND Funding Floor mechanism</w:t>
      </w:r>
      <w:r w:rsidR="009D758A">
        <w:rPr>
          <w:rStyle w:val="Hyperlink"/>
          <w:color w:val="auto"/>
          <w:u w:val="none"/>
        </w:rPr>
        <w:t>, building on the business cases and briefing notes that have been previously published</w:t>
      </w:r>
      <w:r w:rsidR="00264FBF">
        <w:rPr>
          <w:rStyle w:val="Hyperlink"/>
          <w:color w:val="auto"/>
          <w:u w:val="none"/>
        </w:rPr>
        <w:t>. Schools and academies are encouraged to view this separate document</w:t>
      </w:r>
      <w:r w:rsidR="001C129D">
        <w:rPr>
          <w:rStyle w:val="Hyperlink"/>
          <w:color w:val="auto"/>
          <w:u w:val="none"/>
        </w:rPr>
        <w:t xml:space="preserve"> and to respond</w:t>
      </w:r>
      <w:r w:rsidR="00264FBF">
        <w:rPr>
          <w:rStyle w:val="Hyperlink"/>
          <w:color w:val="auto"/>
          <w:u w:val="none"/>
        </w:rPr>
        <w:t>.</w:t>
      </w:r>
    </w:p>
    <w:p w14:paraId="61457DD5" w14:textId="77777777" w:rsidR="00264FBF" w:rsidRPr="00264FBF" w:rsidRDefault="00264FBF" w:rsidP="00264FBF">
      <w:pPr>
        <w:pStyle w:val="ListParagraph"/>
        <w:rPr>
          <w:rStyle w:val="Hyperlink"/>
          <w:color w:val="auto"/>
          <w:u w:val="none"/>
        </w:rPr>
      </w:pPr>
    </w:p>
    <w:p w14:paraId="220E6994" w14:textId="16C9A93E" w:rsidR="00350398" w:rsidRPr="00350398" w:rsidRDefault="00264FBF" w:rsidP="009D758A">
      <w:pPr>
        <w:pStyle w:val="ListParagraph"/>
        <w:numPr>
          <w:ilvl w:val="0"/>
          <w:numId w:val="11"/>
        </w:numPr>
        <w:jc w:val="both"/>
      </w:pPr>
      <w:r>
        <w:rPr>
          <w:rStyle w:val="Hyperlink"/>
          <w:color w:val="auto"/>
          <w:u w:val="none"/>
        </w:rPr>
        <w:lastRenderedPageBreak/>
        <w:t>Please note</w:t>
      </w:r>
      <w:r w:rsidR="00E50CF2">
        <w:rPr>
          <w:rStyle w:val="Hyperlink"/>
          <w:color w:val="auto"/>
          <w:u w:val="none"/>
        </w:rPr>
        <w:t>, as has been the case in the last few years,</w:t>
      </w:r>
      <w:r>
        <w:rPr>
          <w:rStyle w:val="Hyperlink"/>
          <w:color w:val="auto"/>
          <w:u w:val="none"/>
        </w:rPr>
        <w:t xml:space="preserve"> that the Authority expects to release an information and consultation document on early years entitlement funding </w:t>
      </w:r>
      <w:r w:rsidR="001C129D">
        <w:rPr>
          <w:rStyle w:val="Hyperlink"/>
          <w:color w:val="auto"/>
          <w:u w:val="none"/>
        </w:rPr>
        <w:t xml:space="preserve">for 2025/26 </w:t>
      </w:r>
      <w:r w:rsidR="009D758A">
        <w:rPr>
          <w:rStyle w:val="Hyperlink"/>
          <w:color w:val="auto"/>
          <w:u w:val="none"/>
        </w:rPr>
        <w:t>as soon as possible</w:t>
      </w:r>
      <w:r>
        <w:rPr>
          <w:rStyle w:val="Hyperlink"/>
          <w:color w:val="auto"/>
          <w:u w:val="none"/>
        </w:rPr>
        <w:t xml:space="preserve"> in the new year. </w:t>
      </w:r>
    </w:p>
    <w:p w14:paraId="6F47D63E" w14:textId="611F940D" w:rsidR="009D758A" w:rsidRDefault="009D758A" w:rsidP="009D758A">
      <w:pPr>
        <w:rPr>
          <w:b/>
          <w:bCs/>
        </w:rPr>
      </w:pPr>
      <w:r>
        <w:rPr>
          <w:b/>
          <w:bCs/>
        </w:rPr>
        <w:t>The 2025/26 Settlement for Mainstream Primary and Secondary Schools and Academies</w:t>
      </w:r>
    </w:p>
    <w:p w14:paraId="5E4CF5EB" w14:textId="77777777" w:rsidR="00E9079D" w:rsidRDefault="00E9079D" w:rsidP="00E9079D">
      <w:pPr>
        <w:pStyle w:val="ListParagraph"/>
        <w:numPr>
          <w:ilvl w:val="0"/>
          <w:numId w:val="11"/>
        </w:numPr>
        <w:jc w:val="both"/>
        <w:rPr>
          <w:rStyle w:val="Hyperlink"/>
          <w:color w:val="auto"/>
          <w:u w:val="none"/>
        </w:rPr>
      </w:pPr>
      <w:r w:rsidRPr="00E9079D">
        <w:rPr>
          <w:rStyle w:val="Hyperlink"/>
          <w:color w:val="auto"/>
          <w:u w:val="none"/>
        </w:rPr>
        <w:t>The Chancellor announced on 30 October an increase of £2.3bn in the national core schools budget in 2025/26.</w:t>
      </w:r>
    </w:p>
    <w:p w14:paraId="492CBBF0" w14:textId="77777777" w:rsidR="00E9079D" w:rsidRDefault="00E9079D" w:rsidP="00E9079D">
      <w:pPr>
        <w:pStyle w:val="ListParagraph"/>
        <w:ind w:left="360"/>
        <w:jc w:val="both"/>
        <w:rPr>
          <w:rStyle w:val="Hyperlink"/>
          <w:color w:val="auto"/>
          <w:u w:val="none"/>
        </w:rPr>
      </w:pPr>
    </w:p>
    <w:p w14:paraId="09EC2C5B" w14:textId="2F55767C" w:rsidR="00E9079D" w:rsidRPr="00E9079D" w:rsidRDefault="00E9079D" w:rsidP="00E9079D">
      <w:pPr>
        <w:pStyle w:val="ListParagraph"/>
        <w:numPr>
          <w:ilvl w:val="1"/>
          <w:numId w:val="11"/>
        </w:numPr>
        <w:jc w:val="both"/>
        <w:rPr>
          <w:rStyle w:val="Hyperlink"/>
          <w:color w:val="auto"/>
          <w:u w:val="none"/>
        </w:rPr>
      </w:pPr>
      <w:r w:rsidRPr="00E9079D">
        <w:rPr>
          <w:rStyle w:val="Hyperlink"/>
          <w:color w:val="auto"/>
          <w:u w:val="none"/>
        </w:rPr>
        <w:t>£1bn will be allocated to support SEND and Alternative Provision. This includes the continuation of the Core Schools Budget Grant (CSBG) on a full year basis for special schools and AP Academies / PRUs. The remainder of the £1bn (about 60% of this) will be allocated to local authorities via the High Needs Block of the Dedicated Schools Grant</w:t>
      </w:r>
      <w:r>
        <w:rPr>
          <w:rStyle w:val="Hyperlink"/>
          <w:color w:val="auto"/>
          <w:u w:val="none"/>
        </w:rPr>
        <w:t>. A</w:t>
      </w:r>
      <w:r w:rsidRPr="00E9079D">
        <w:rPr>
          <w:rStyle w:val="Hyperlink"/>
          <w:color w:val="auto"/>
          <w:u w:val="none"/>
        </w:rPr>
        <w:t>uthorities will receive 7% - 10% increases in funding per pupil.</w:t>
      </w:r>
      <w:r>
        <w:rPr>
          <w:rStyle w:val="Hyperlink"/>
          <w:color w:val="auto"/>
          <w:u w:val="none"/>
        </w:rPr>
        <w:t xml:space="preserve"> What Bradford will receive is still to be confirmed, but it is estimated that this will be 10%.</w:t>
      </w:r>
    </w:p>
    <w:p w14:paraId="446E5B14" w14:textId="77777777" w:rsidR="00E9079D" w:rsidRPr="00E9079D" w:rsidRDefault="00E9079D" w:rsidP="00E9079D">
      <w:pPr>
        <w:pStyle w:val="ListParagraph"/>
        <w:ind w:left="1080"/>
        <w:jc w:val="both"/>
        <w:rPr>
          <w:rStyle w:val="Hyperlink"/>
          <w:color w:val="auto"/>
          <w:u w:val="none"/>
        </w:rPr>
      </w:pPr>
    </w:p>
    <w:p w14:paraId="58A8D4B2" w14:textId="1BD04979" w:rsidR="00E9079D" w:rsidRPr="00E9079D" w:rsidRDefault="00E9079D" w:rsidP="00E9079D">
      <w:pPr>
        <w:pStyle w:val="ListParagraph"/>
        <w:numPr>
          <w:ilvl w:val="1"/>
          <w:numId w:val="11"/>
        </w:numPr>
        <w:jc w:val="both"/>
        <w:rPr>
          <w:rStyle w:val="Hyperlink"/>
          <w:color w:val="auto"/>
          <w:u w:val="none"/>
        </w:rPr>
      </w:pPr>
      <w:r w:rsidRPr="00E9079D">
        <w:rPr>
          <w:rStyle w:val="Hyperlink"/>
          <w:color w:val="auto"/>
          <w:u w:val="none"/>
        </w:rPr>
        <w:t>£1.3bn will be allocated to support the wider schools budget, including mainstream primary and secondary school and academy formula funding. This includes the continuation of the CSBG on a full year basis for mainstream primary and secondary schools and academies.</w:t>
      </w:r>
    </w:p>
    <w:p w14:paraId="0E4BB27E" w14:textId="77777777" w:rsidR="00E9079D" w:rsidRDefault="00E9079D" w:rsidP="00E9079D">
      <w:pPr>
        <w:pStyle w:val="ListParagraph"/>
        <w:ind w:left="360"/>
        <w:jc w:val="both"/>
        <w:rPr>
          <w:rStyle w:val="Hyperlink"/>
          <w:color w:val="auto"/>
        </w:rPr>
      </w:pPr>
    </w:p>
    <w:p w14:paraId="6BC3B688" w14:textId="5862C96F" w:rsidR="00E9079D" w:rsidRPr="00E9079D" w:rsidRDefault="00E9079D" w:rsidP="00E9079D">
      <w:pPr>
        <w:pStyle w:val="ListParagraph"/>
        <w:numPr>
          <w:ilvl w:val="0"/>
          <w:numId w:val="11"/>
        </w:numPr>
        <w:jc w:val="both"/>
        <w:rPr>
          <w:rStyle w:val="Hyperlink"/>
          <w:color w:val="auto"/>
          <w:u w:val="none"/>
        </w:rPr>
      </w:pPr>
      <w:r w:rsidRPr="00E9079D">
        <w:rPr>
          <w:rStyle w:val="Hyperlink"/>
          <w:color w:val="auto"/>
          <w:u w:val="none"/>
        </w:rPr>
        <w:t xml:space="preserve">The Chancellor </w:t>
      </w:r>
      <w:r>
        <w:rPr>
          <w:rStyle w:val="Hyperlink"/>
          <w:color w:val="auto"/>
          <w:u w:val="none"/>
        </w:rPr>
        <w:t xml:space="preserve">also </w:t>
      </w:r>
      <w:r w:rsidRPr="00E9079D">
        <w:rPr>
          <w:rStyle w:val="Hyperlink"/>
          <w:color w:val="auto"/>
          <w:u w:val="none"/>
        </w:rPr>
        <w:t>announced an increase in employer’s National Insurance contributions from 1 April 2025</w:t>
      </w:r>
      <w:r w:rsidR="00A171CB">
        <w:rPr>
          <w:rStyle w:val="Hyperlink"/>
          <w:color w:val="auto"/>
          <w:u w:val="none"/>
        </w:rPr>
        <w:t>. There are two</w:t>
      </w:r>
      <w:r w:rsidRPr="00E9079D">
        <w:rPr>
          <w:rStyle w:val="Hyperlink"/>
          <w:color w:val="auto"/>
          <w:u w:val="none"/>
        </w:rPr>
        <w:t xml:space="preserve"> parts to this increase – </w:t>
      </w:r>
      <w:r w:rsidR="00A171CB">
        <w:rPr>
          <w:rStyle w:val="Hyperlink"/>
          <w:color w:val="auto"/>
          <w:u w:val="none"/>
        </w:rPr>
        <w:t xml:space="preserve">a </w:t>
      </w:r>
      <w:r w:rsidRPr="00E9079D">
        <w:rPr>
          <w:rStyle w:val="Hyperlink"/>
          <w:color w:val="auto"/>
          <w:u w:val="none"/>
        </w:rPr>
        <w:t>1.2% increase</w:t>
      </w:r>
      <w:r w:rsidR="00A171CB">
        <w:rPr>
          <w:rStyle w:val="Hyperlink"/>
          <w:color w:val="auto"/>
          <w:u w:val="none"/>
        </w:rPr>
        <w:t xml:space="preserve"> in the rate (from 13.8% to 15.0%)</w:t>
      </w:r>
      <w:r w:rsidRPr="00E9079D">
        <w:rPr>
          <w:rStyle w:val="Hyperlink"/>
          <w:color w:val="auto"/>
          <w:u w:val="none"/>
        </w:rPr>
        <w:t xml:space="preserve"> and a reduction in the</w:t>
      </w:r>
      <w:r w:rsidR="00A171CB">
        <w:rPr>
          <w:rStyle w:val="Hyperlink"/>
          <w:color w:val="auto"/>
          <w:u w:val="none"/>
        </w:rPr>
        <w:t xml:space="preserve"> salary</w:t>
      </w:r>
      <w:r w:rsidRPr="00E9079D">
        <w:rPr>
          <w:rStyle w:val="Hyperlink"/>
          <w:color w:val="auto"/>
          <w:u w:val="none"/>
        </w:rPr>
        <w:t xml:space="preserve"> threshold from £9,100 to £5,000. Schools and academies will have to pay this in relation to all their staff (direct impact) and also are likely to have to meet indirect additional costs e.g. as a result of suppliers increasing fees and charges. The Secretary of State for Education has stated that funding, additional to the £2.3bn, will be allocated to schools</w:t>
      </w:r>
      <w:r w:rsidR="00A171CB">
        <w:rPr>
          <w:rStyle w:val="Hyperlink"/>
          <w:color w:val="auto"/>
          <w:u w:val="none"/>
        </w:rPr>
        <w:t xml:space="preserve"> and academies</w:t>
      </w:r>
      <w:r w:rsidRPr="00E9079D">
        <w:rPr>
          <w:rStyle w:val="Hyperlink"/>
          <w:color w:val="auto"/>
          <w:u w:val="none"/>
        </w:rPr>
        <w:t xml:space="preserve"> to support the cost of the NI increase and that this likely will come in the form of an additional separate grant in 2025/26. More information on this is expected before the end of the year. We do not have any more information at this time.</w:t>
      </w:r>
    </w:p>
    <w:p w14:paraId="4D91667A" w14:textId="77777777" w:rsidR="00A171CB" w:rsidRDefault="00A171CB" w:rsidP="00A171CB">
      <w:pPr>
        <w:pStyle w:val="ListParagraph"/>
        <w:ind w:left="360"/>
        <w:jc w:val="both"/>
        <w:rPr>
          <w:rStyle w:val="Hyperlink"/>
          <w:color w:val="auto"/>
        </w:rPr>
      </w:pPr>
    </w:p>
    <w:p w14:paraId="02DBCCB2" w14:textId="77777777" w:rsidR="00A171CB" w:rsidRDefault="00A171CB" w:rsidP="00A171CB">
      <w:pPr>
        <w:pStyle w:val="ListParagraph"/>
        <w:numPr>
          <w:ilvl w:val="0"/>
          <w:numId w:val="11"/>
        </w:numPr>
        <w:jc w:val="both"/>
        <w:rPr>
          <w:rStyle w:val="Hyperlink"/>
          <w:color w:val="auto"/>
          <w:u w:val="none"/>
        </w:rPr>
      </w:pPr>
      <w:r>
        <w:rPr>
          <w:rStyle w:val="Hyperlink"/>
          <w:color w:val="auto"/>
          <w:u w:val="none"/>
        </w:rPr>
        <w:t>In 2025/26, t</w:t>
      </w:r>
      <w:r w:rsidRPr="00A171CB">
        <w:rPr>
          <w:rStyle w:val="Hyperlink"/>
          <w:color w:val="auto"/>
          <w:u w:val="none"/>
        </w:rPr>
        <w:t xml:space="preserve">he CSBG will be merged into formula funding, as will the Teacher Pay Additional Grant and the Teacher Pensions Additional Grant. This means that mainstream schools and academies must stop budgeting separately for these </w:t>
      </w:r>
      <w:r>
        <w:rPr>
          <w:rStyle w:val="Hyperlink"/>
          <w:color w:val="auto"/>
          <w:u w:val="none"/>
        </w:rPr>
        <w:t>three</w:t>
      </w:r>
      <w:r w:rsidRPr="00A171CB">
        <w:rPr>
          <w:rStyle w:val="Hyperlink"/>
          <w:color w:val="auto"/>
          <w:u w:val="none"/>
        </w:rPr>
        <w:t xml:space="preserve"> grants in 2025/26.</w:t>
      </w:r>
    </w:p>
    <w:p w14:paraId="45488B33" w14:textId="77777777" w:rsidR="00A171CB" w:rsidRPr="00A171CB" w:rsidRDefault="00A171CB" w:rsidP="00A171CB">
      <w:pPr>
        <w:pStyle w:val="ListParagraph"/>
        <w:rPr>
          <w:rStyle w:val="Hyperlink"/>
          <w:color w:val="auto"/>
          <w:u w:val="none"/>
        </w:rPr>
      </w:pPr>
    </w:p>
    <w:p w14:paraId="4ABBA7DC" w14:textId="75016253" w:rsidR="00A171CB" w:rsidRPr="00A171CB" w:rsidRDefault="00A171CB" w:rsidP="00A171CB">
      <w:pPr>
        <w:pStyle w:val="ListParagraph"/>
        <w:numPr>
          <w:ilvl w:val="0"/>
          <w:numId w:val="11"/>
        </w:numPr>
        <w:jc w:val="both"/>
        <w:rPr>
          <w:rStyle w:val="Hyperlink"/>
          <w:color w:val="auto"/>
          <w:u w:val="none"/>
        </w:rPr>
      </w:pPr>
      <w:r w:rsidRPr="00A171CB">
        <w:rPr>
          <w:rStyle w:val="Hyperlink"/>
          <w:color w:val="auto"/>
          <w:u w:val="none"/>
        </w:rPr>
        <w:t>Regarding core</w:t>
      </w:r>
      <w:r>
        <w:rPr>
          <w:rStyle w:val="Hyperlink"/>
          <w:color w:val="auto"/>
          <w:u w:val="none"/>
        </w:rPr>
        <w:t xml:space="preserve"> mainstream</w:t>
      </w:r>
      <w:r w:rsidRPr="00A171CB">
        <w:rPr>
          <w:rStyle w:val="Hyperlink"/>
          <w:color w:val="auto"/>
          <w:u w:val="none"/>
        </w:rPr>
        <w:t xml:space="preserve"> formula funding, the majority of primary and secondary schools and academies are likely to have </w:t>
      </w:r>
      <w:r w:rsidR="00CF624E">
        <w:rPr>
          <w:rStyle w:val="Hyperlink"/>
          <w:color w:val="auto"/>
          <w:u w:val="none"/>
        </w:rPr>
        <w:t>forecast</w:t>
      </w:r>
      <w:r w:rsidRPr="00A171CB">
        <w:rPr>
          <w:rStyle w:val="Hyperlink"/>
          <w:color w:val="auto"/>
          <w:u w:val="none"/>
        </w:rPr>
        <w:t xml:space="preserve"> on the following basis for 2025/26:</w:t>
      </w:r>
    </w:p>
    <w:p w14:paraId="1C238980" w14:textId="77777777" w:rsidR="00A171CB" w:rsidRPr="00A171CB" w:rsidRDefault="00A171CB" w:rsidP="00A171CB">
      <w:pPr>
        <w:pStyle w:val="ListParagraph"/>
        <w:rPr>
          <w:rStyle w:val="Hyperlink"/>
          <w:color w:val="auto"/>
          <w:u w:val="none"/>
        </w:rPr>
      </w:pPr>
    </w:p>
    <w:p w14:paraId="1A5EC087" w14:textId="77777777" w:rsidR="00A171CB" w:rsidRDefault="00A171CB" w:rsidP="00A171CB">
      <w:pPr>
        <w:pStyle w:val="ListParagraph"/>
        <w:numPr>
          <w:ilvl w:val="1"/>
          <w:numId w:val="11"/>
        </w:numPr>
        <w:jc w:val="both"/>
        <w:rPr>
          <w:rStyle w:val="Hyperlink"/>
          <w:color w:val="auto"/>
          <w:u w:val="none"/>
        </w:rPr>
      </w:pPr>
      <w:r w:rsidRPr="00A171CB">
        <w:rPr>
          <w:rStyle w:val="Hyperlink"/>
          <w:color w:val="auto"/>
          <w:u w:val="none"/>
        </w:rPr>
        <w:t>An increase of 1% on formula funding variables (so same pupil numbers = a 1% increase in total formula funding).</w:t>
      </w:r>
    </w:p>
    <w:p w14:paraId="0C74607A" w14:textId="77777777" w:rsidR="00A171CB" w:rsidRPr="00A171CB" w:rsidRDefault="00A171CB" w:rsidP="00A171CB">
      <w:pPr>
        <w:pStyle w:val="ListParagraph"/>
        <w:ind w:left="1080"/>
        <w:jc w:val="both"/>
        <w:rPr>
          <w:rStyle w:val="Hyperlink"/>
          <w:color w:val="auto"/>
          <w:u w:val="none"/>
        </w:rPr>
      </w:pPr>
    </w:p>
    <w:p w14:paraId="62CDFD2F" w14:textId="52B906C2" w:rsidR="00A171CB" w:rsidRPr="00A171CB" w:rsidRDefault="00A171CB" w:rsidP="00A171CB">
      <w:pPr>
        <w:pStyle w:val="ListParagraph"/>
        <w:numPr>
          <w:ilvl w:val="1"/>
          <w:numId w:val="11"/>
        </w:numPr>
        <w:jc w:val="both"/>
        <w:rPr>
          <w:rStyle w:val="Hyperlink"/>
          <w:color w:val="auto"/>
          <w:u w:val="none"/>
        </w:rPr>
      </w:pPr>
      <w:r w:rsidRPr="00A171CB">
        <w:rPr>
          <w:rStyle w:val="Hyperlink"/>
          <w:color w:val="auto"/>
          <w:u w:val="none"/>
        </w:rPr>
        <w:t>A Minimum Funding Guarantee</w:t>
      </w:r>
      <w:r>
        <w:rPr>
          <w:rStyle w:val="Hyperlink"/>
          <w:color w:val="auto"/>
          <w:u w:val="none"/>
        </w:rPr>
        <w:t xml:space="preserve"> (MFG)</w:t>
      </w:r>
      <w:r w:rsidRPr="00A171CB">
        <w:rPr>
          <w:rStyle w:val="Hyperlink"/>
          <w:color w:val="auto"/>
          <w:u w:val="none"/>
        </w:rPr>
        <w:t xml:space="preserve"> of positive 0.5% (so same pupil numbers =  a 0.5% increase in total formula funding).</w:t>
      </w:r>
      <w:r>
        <w:rPr>
          <w:rStyle w:val="Hyperlink"/>
          <w:color w:val="auto"/>
          <w:u w:val="none"/>
        </w:rPr>
        <w:t xml:space="preserve"> The MFG is the factor, which guarantees a minimum position on per pupil funding for individual schools / academies compared to the previous financial year, so a 0.5% MFG in 2025/26 </w:t>
      </w:r>
      <w:r w:rsidR="00034690">
        <w:rPr>
          <w:rStyle w:val="Hyperlink"/>
          <w:color w:val="auto"/>
          <w:u w:val="none"/>
        </w:rPr>
        <w:t>would mean that</w:t>
      </w:r>
      <w:r>
        <w:rPr>
          <w:rStyle w:val="Hyperlink"/>
          <w:color w:val="auto"/>
          <w:u w:val="none"/>
        </w:rPr>
        <w:t>, irrespective of changes to formula funding and changes in census data, every school and academy must receive a minimum 0.5% increase in per pupil funding on</w:t>
      </w:r>
      <w:r w:rsidR="00034690">
        <w:rPr>
          <w:rStyle w:val="Hyperlink"/>
          <w:color w:val="auto"/>
          <w:u w:val="none"/>
        </w:rPr>
        <w:t xml:space="preserve"> what they received in</w:t>
      </w:r>
      <w:r>
        <w:rPr>
          <w:rStyle w:val="Hyperlink"/>
          <w:color w:val="auto"/>
          <w:u w:val="none"/>
        </w:rPr>
        <w:t xml:space="preserve"> 2024/25.</w:t>
      </w:r>
    </w:p>
    <w:p w14:paraId="7B86D985" w14:textId="77777777" w:rsidR="00A171CB" w:rsidRDefault="00A171CB" w:rsidP="00A171CB">
      <w:pPr>
        <w:pStyle w:val="ListParagraph"/>
        <w:ind w:left="1080"/>
        <w:jc w:val="both"/>
        <w:rPr>
          <w:rStyle w:val="Hyperlink"/>
          <w:color w:val="auto"/>
          <w:u w:val="none"/>
        </w:rPr>
      </w:pPr>
    </w:p>
    <w:p w14:paraId="1567DF18" w14:textId="535A4636" w:rsidR="00034690" w:rsidRDefault="00A171CB" w:rsidP="00034690">
      <w:pPr>
        <w:pStyle w:val="ListParagraph"/>
        <w:numPr>
          <w:ilvl w:val="1"/>
          <w:numId w:val="11"/>
        </w:numPr>
        <w:jc w:val="both"/>
        <w:rPr>
          <w:rStyle w:val="Hyperlink"/>
          <w:color w:val="auto"/>
          <w:u w:val="none"/>
        </w:rPr>
      </w:pPr>
      <w:r w:rsidRPr="00A171CB">
        <w:rPr>
          <w:rStyle w:val="Hyperlink"/>
          <w:color w:val="auto"/>
          <w:u w:val="none"/>
        </w:rPr>
        <w:t>Minimum Levels of Per Pupil Funding (MFLs) of positive 0.5% (so same pupil numbers = a 0.5% increase in total formula funding).</w:t>
      </w:r>
      <w:r>
        <w:rPr>
          <w:rStyle w:val="Hyperlink"/>
          <w:color w:val="auto"/>
          <w:u w:val="none"/>
        </w:rPr>
        <w:t xml:space="preserve"> The MFL is the factor that guarantees a minimum level of per pupil funding for all schools</w:t>
      </w:r>
      <w:r w:rsidR="00CF624E">
        <w:rPr>
          <w:rStyle w:val="Hyperlink"/>
          <w:color w:val="auto"/>
          <w:u w:val="none"/>
        </w:rPr>
        <w:t xml:space="preserve"> / academies</w:t>
      </w:r>
      <w:r>
        <w:rPr>
          <w:rStyle w:val="Hyperlink"/>
          <w:color w:val="auto"/>
          <w:u w:val="none"/>
        </w:rPr>
        <w:t>. The MFL</w:t>
      </w:r>
      <w:r w:rsidR="00034690">
        <w:rPr>
          <w:rStyle w:val="Hyperlink"/>
          <w:color w:val="auto"/>
          <w:u w:val="none"/>
        </w:rPr>
        <w:t xml:space="preserve"> value</w:t>
      </w:r>
      <w:r>
        <w:rPr>
          <w:rStyle w:val="Hyperlink"/>
          <w:color w:val="auto"/>
          <w:u w:val="none"/>
        </w:rPr>
        <w:t xml:space="preserve"> is different for primary and secondary</w:t>
      </w:r>
      <w:r w:rsidR="00CF624E">
        <w:rPr>
          <w:rStyle w:val="Hyperlink"/>
          <w:color w:val="auto"/>
          <w:u w:val="none"/>
        </w:rPr>
        <w:t xml:space="preserve"> phases</w:t>
      </w:r>
      <w:r>
        <w:rPr>
          <w:rStyle w:val="Hyperlink"/>
          <w:color w:val="auto"/>
          <w:u w:val="none"/>
        </w:rPr>
        <w:t>. If the ‘normal’ funding formula does not give a school or academy at least the prescribed minimum level of per pupil funding</w:t>
      </w:r>
      <w:r w:rsidR="00CF624E">
        <w:rPr>
          <w:rStyle w:val="Hyperlink"/>
          <w:color w:val="auto"/>
          <w:u w:val="none"/>
        </w:rPr>
        <w:t xml:space="preserve"> for that phase</w:t>
      </w:r>
      <w:r w:rsidR="00034690">
        <w:rPr>
          <w:rStyle w:val="Hyperlink"/>
          <w:color w:val="auto"/>
          <w:u w:val="none"/>
        </w:rPr>
        <w:t xml:space="preserve"> in 2025/26</w:t>
      </w:r>
      <w:r>
        <w:rPr>
          <w:rStyle w:val="Hyperlink"/>
          <w:color w:val="auto"/>
          <w:u w:val="none"/>
        </w:rPr>
        <w:t>, the Authority must top funding up to meet this minimum.</w:t>
      </w:r>
    </w:p>
    <w:p w14:paraId="2AB1CA4A" w14:textId="77777777" w:rsidR="00034690" w:rsidRPr="00034690" w:rsidRDefault="00034690" w:rsidP="00034690">
      <w:pPr>
        <w:pStyle w:val="ListParagraph"/>
        <w:rPr>
          <w:rStyle w:val="Hyperlink"/>
          <w:color w:val="auto"/>
          <w:u w:val="none"/>
        </w:rPr>
      </w:pPr>
    </w:p>
    <w:p w14:paraId="7FF5BF05" w14:textId="5DB7D0AB" w:rsidR="00F3592A" w:rsidRDefault="00CB0B87" w:rsidP="00CB0B87">
      <w:pPr>
        <w:pStyle w:val="ListParagraph"/>
        <w:numPr>
          <w:ilvl w:val="0"/>
          <w:numId w:val="11"/>
        </w:numPr>
        <w:jc w:val="both"/>
        <w:rPr>
          <w:rStyle w:val="Hyperlink"/>
          <w:color w:val="auto"/>
          <w:u w:val="none"/>
        </w:rPr>
      </w:pPr>
      <w:r w:rsidRPr="00CB0B87">
        <w:rPr>
          <w:rStyle w:val="Hyperlink"/>
          <w:color w:val="auto"/>
          <w:u w:val="none"/>
        </w:rPr>
        <w:t xml:space="preserve">Following the Budget Statement, the DfE published information on the mainstream core </w:t>
      </w:r>
      <w:r w:rsidR="00F3592A">
        <w:rPr>
          <w:rStyle w:val="Hyperlink"/>
          <w:color w:val="auto"/>
          <w:u w:val="none"/>
        </w:rPr>
        <w:t>National Funding</w:t>
      </w:r>
      <w:r w:rsidRPr="00CB0B87">
        <w:rPr>
          <w:rStyle w:val="Hyperlink"/>
          <w:color w:val="auto"/>
          <w:u w:val="none"/>
        </w:rPr>
        <w:t xml:space="preserve"> </w:t>
      </w:r>
      <w:r w:rsidR="00F3592A">
        <w:rPr>
          <w:rStyle w:val="Hyperlink"/>
          <w:color w:val="auto"/>
          <w:u w:val="none"/>
        </w:rPr>
        <w:t>F</w:t>
      </w:r>
      <w:r w:rsidRPr="00CB0B87">
        <w:rPr>
          <w:rStyle w:val="Hyperlink"/>
          <w:color w:val="auto"/>
          <w:u w:val="none"/>
        </w:rPr>
        <w:t xml:space="preserve">ormula </w:t>
      </w:r>
      <w:r w:rsidR="00F3592A">
        <w:rPr>
          <w:rStyle w:val="Hyperlink"/>
          <w:color w:val="auto"/>
          <w:u w:val="none"/>
        </w:rPr>
        <w:t xml:space="preserve">(NFF) </w:t>
      </w:r>
      <w:r w:rsidRPr="00CB0B87">
        <w:rPr>
          <w:rStyle w:val="Hyperlink"/>
          <w:color w:val="auto"/>
          <w:u w:val="none"/>
        </w:rPr>
        <w:t xml:space="preserve">values for 2025/26. The DfE states that this is still indicative. This information is published </w:t>
      </w:r>
      <w:hyperlink r:id="rId10" w:history="1">
        <w:r w:rsidRPr="00CB0B87">
          <w:rPr>
            <w:rStyle w:val="Hyperlink"/>
            <w:u w:val="none"/>
          </w:rPr>
          <w:t>here</w:t>
        </w:r>
      </w:hyperlink>
      <w:r w:rsidRPr="00CB0B87">
        <w:rPr>
          <w:rStyle w:val="Hyperlink"/>
          <w:color w:val="auto"/>
          <w:u w:val="none"/>
        </w:rPr>
        <w:t xml:space="preserve">. </w:t>
      </w:r>
      <w:r w:rsidR="00F3592A">
        <w:rPr>
          <w:rStyle w:val="Hyperlink"/>
          <w:color w:val="auto"/>
          <w:u w:val="none"/>
        </w:rPr>
        <w:t>This is crucial information as the values of the NFF that are set by the DfE now dictate directly the funding levels that are received by mainstream schools and academies. In Bradford</w:t>
      </w:r>
      <w:r w:rsidR="00C76B08">
        <w:rPr>
          <w:rStyle w:val="Hyperlink"/>
          <w:color w:val="auto"/>
          <w:u w:val="none"/>
        </w:rPr>
        <w:t>,</w:t>
      </w:r>
      <w:r w:rsidR="00F3592A">
        <w:rPr>
          <w:rStyle w:val="Hyperlink"/>
          <w:color w:val="auto"/>
          <w:u w:val="none"/>
        </w:rPr>
        <w:t xml:space="preserve"> we have mirrored the NFF since 2018 and the majority of local authorities also now do so. The DfE continues to require local authorities that do not mirror the NFF to move closer to it.</w:t>
      </w:r>
    </w:p>
    <w:p w14:paraId="719501E2" w14:textId="77777777" w:rsidR="00F3592A" w:rsidRDefault="00F3592A" w:rsidP="00F3592A">
      <w:pPr>
        <w:pStyle w:val="ListParagraph"/>
        <w:ind w:left="360"/>
        <w:jc w:val="both"/>
        <w:rPr>
          <w:rStyle w:val="Hyperlink"/>
          <w:color w:val="auto"/>
          <w:u w:val="none"/>
        </w:rPr>
      </w:pPr>
    </w:p>
    <w:p w14:paraId="6F62E561" w14:textId="6E0A0A52" w:rsidR="00CB0B87" w:rsidRDefault="00CB0B87" w:rsidP="00CB0B87">
      <w:pPr>
        <w:pStyle w:val="ListParagraph"/>
        <w:numPr>
          <w:ilvl w:val="0"/>
          <w:numId w:val="11"/>
        </w:numPr>
        <w:jc w:val="both"/>
        <w:rPr>
          <w:rStyle w:val="Hyperlink"/>
          <w:color w:val="auto"/>
          <w:u w:val="none"/>
        </w:rPr>
      </w:pPr>
      <w:r w:rsidRPr="00CB0B87">
        <w:rPr>
          <w:rStyle w:val="Hyperlink"/>
          <w:color w:val="auto"/>
          <w:u w:val="none"/>
        </w:rPr>
        <w:t>Accounting for the transfer of the C</w:t>
      </w:r>
      <w:r>
        <w:rPr>
          <w:rStyle w:val="Hyperlink"/>
          <w:color w:val="auto"/>
          <w:u w:val="none"/>
        </w:rPr>
        <w:t>ore Schools Budget Grant</w:t>
      </w:r>
      <w:r w:rsidRPr="00CB0B87">
        <w:rPr>
          <w:rStyle w:val="Hyperlink"/>
          <w:color w:val="auto"/>
          <w:u w:val="none"/>
        </w:rPr>
        <w:t xml:space="preserve"> and the additional Teacher Pay and Pensions Grants, which are not ‘new money’ (just moving existing funding around the system), the </w:t>
      </w:r>
      <w:r w:rsidR="00F3592A">
        <w:rPr>
          <w:rStyle w:val="Hyperlink"/>
          <w:color w:val="auto"/>
          <w:u w:val="none"/>
        </w:rPr>
        <w:t xml:space="preserve">NFF </w:t>
      </w:r>
      <w:r w:rsidRPr="00CB0B87">
        <w:rPr>
          <w:rStyle w:val="Hyperlink"/>
          <w:color w:val="auto"/>
          <w:u w:val="none"/>
        </w:rPr>
        <w:t>settlement</w:t>
      </w:r>
      <w:r w:rsidR="00F3592A">
        <w:rPr>
          <w:rStyle w:val="Hyperlink"/>
          <w:color w:val="auto"/>
          <w:u w:val="none"/>
        </w:rPr>
        <w:t xml:space="preserve"> is</w:t>
      </w:r>
      <w:r w:rsidRPr="00CB0B87">
        <w:rPr>
          <w:rStyle w:val="Hyperlink"/>
          <w:color w:val="auto"/>
          <w:u w:val="none"/>
        </w:rPr>
        <w:t xml:space="preserve"> </w:t>
      </w:r>
      <w:r>
        <w:rPr>
          <w:rStyle w:val="Hyperlink"/>
          <w:color w:val="auto"/>
          <w:u w:val="none"/>
        </w:rPr>
        <w:t xml:space="preserve">broadly </w:t>
      </w:r>
      <w:r w:rsidRPr="00CB0B87">
        <w:rPr>
          <w:rStyle w:val="Hyperlink"/>
          <w:color w:val="auto"/>
          <w:u w:val="none"/>
        </w:rPr>
        <w:t>as follows:</w:t>
      </w:r>
    </w:p>
    <w:p w14:paraId="0A5820EC" w14:textId="77777777" w:rsidR="00CB0B87" w:rsidRDefault="00CB0B87" w:rsidP="00CB0B87">
      <w:pPr>
        <w:pStyle w:val="ListParagraph"/>
        <w:ind w:left="360"/>
        <w:jc w:val="both"/>
        <w:rPr>
          <w:rStyle w:val="Hyperlink"/>
          <w:color w:val="auto"/>
          <w:u w:val="none"/>
        </w:rPr>
      </w:pPr>
    </w:p>
    <w:p w14:paraId="6E40F037" w14:textId="224A0A61" w:rsidR="00CB0B87" w:rsidRPr="00CB0B87" w:rsidRDefault="00CB0B87" w:rsidP="00CB0B87">
      <w:pPr>
        <w:pStyle w:val="ListParagraph"/>
        <w:numPr>
          <w:ilvl w:val="1"/>
          <w:numId w:val="11"/>
        </w:numPr>
        <w:jc w:val="both"/>
        <w:rPr>
          <w:rStyle w:val="Hyperlink"/>
          <w:color w:val="auto"/>
          <w:u w:val="none"/>
        </w:rPr>
      </w:pPr>
      <w:r w:rsidRPr="00CB0B87">
        <w:rPr>
          <w:rStyle w:val="Hyperlink"/>
          <w:color w:val="auto"/>
          <w:u w:val="none"/>
        </w:rPr>
        <w:t xml:space="preserve">Increases between 0% and 1% in </w:t>
      </w:r>
      <w:r>
        <w:rPr>
          <w:rStyle w:val="Hyperlink"/>
          <w:color w:val="auto"/>
          <w:u w:val="none"/>
        </w:rPr>
        <w:t>National Funding F</w:t>
      </w:r>
      <w:r w:rsidRPr="00CB0B87">
        <w:rPr>
          <w:rStyle w:val="Hyperlink"/>
          <w:color w:val="auto"/>
          <w:u w:val="none"/>
        </w:rPr>
        <w:t>ormula values, with an average around about 0.</w:t>
      </w:r>
      <w:r w:rsidR="00FD0248">
        <w:rPr>
          <w:rStyle w:val="Hyperlink"/>
          <w:color w:val="auto"/>
          <w:u w:val="none"/>
        </w:rPr>
        <w:t>6</w:t>
      </w:r>
      <w:r w:rsidRPr="00CB0B87">
        <w:rPr>
          <w:rStyle w:val="Hyperlink"/>
          <w:color w:val="auto"/>
          <w:u w:val="none"/>
        </w:rPr>
        <w:t>%.</w:t>
      </w:r>
      <w:r>
        <w:rPr>
          <w:rStyle w:val="Hyperlink"/>
          <w:color w:val="auto"/>
          <w:u w:val="none"/>
        </w:rPr>
        <w:t xml:space="preserve"> This is lower than the 1% that most schools and academies would have used for their 2025/26 budget forecasting.</w:t>
      </w:r>
    </w:p>
    <w:p w14:paraId="309C9890" w14:textId="77777777" w:rsidR="00CB0B87" w:rsidRDefault="00CB0B87" w:rsidP="00CB0B87">
      <w:pPr>
        <w:pStyle w:val="ListParagraph"/>
        <w:ind w:left="1080"/>
        <w:jc w:val="both"/>
        <w:rPr>
          <w:rStyle w:val="Hyperlink"/>
          <w:color w:val="auto"/>
          <w:u w:val="none"/>
        </w:rPr>
      </w:pPr>
    </w:p>
    <w:p w14:paraId="4C4C5C33" w14:textId="20E701B5" w:rsidR="00CB0B87" w:rsidRPr="00CB0B87" w:rsidRDefault="00CB0B87" w:rsidP="00CB0B87">
      <w:pPr>
        <w:pStyle w:val="ListParagraph"/>
        <w:numPr>
          <w:ilvl w:val="1"/>
          <w:numId w:val="11"/>
        </w:numPr>
        <w:jc w:val="both"/>
        <w:rPr>
          <w:rStyle w:val="Hyperlink"/>
          <w:color w:val="auto"/>
          <w:u w:val="none"/>
        </w:rPr>
      </w:pPr>
      <w:r w:rsidRPr="00CB0B87">
        <w:rPr>
          <w:rStyle w:val="Hyperlink"/>
          <w:color w:val="auto"/>
          <w:u w:val="none"/>
        </w:rPr>
        <w:t>A Minimum Funding Guarantee that can be set by local authorities between minus 0.5% and 0%.</w:t>
      </w:r>
      <w:r>
        <w:rPr>
          <w:rStyle w:val="Hyperlink"/>
          <w:color w:val="auto"/>
          <w:u w:val="none"/>
        </w:rPr>
        <w:t xml:space="preserve"> The maximum MFG of 0% (meaning that schools and academies must get the same value of per pupil funding in 2025/26 that they received in 2024/25) is lower than the 0.5% that schools and academies would have used for their 2025/26 budget forecasting.</w:t>
      </w:r>
    </w:p>
    <w:p w14:paraId="0E215556" w14:textId="77777777" w:rsidR="00CB0B87" w:rsidRDefault="00CB0B87" w:rsidP="00CB0B87">
      <w:pPr>
        <w:pStyle w:val="ListParagraph"/>
        <w:ind w:left="1080"/>
        <w:jc w:val="both"/>
        <w:rPr>
          <w:rStyle w:val="Hyperlink"/>
          <w:color w:val="auto"/>
          <w:u w:val="none"/>
        </w:rPr>
      </w:pPr>
    </w:p>
    <w:p w14:paraId="3131CCED" w14:textId="389C1A77" w:rsidR="00CB0B87" w:rsidRDefault="00CB0B87" w:rsidP="00CB0B87">
      <w:pPr>
        <w:pStyle w:val="ListParagraph"/>
        <w:numPr>
          <w:ilvl w:val="1"/>
          <w:numId w:val="11"/>
        </w:numPr>
        <w:jc w:val="both"/>
        <w:rPr>
          <w:rStyle w:val="Hyperlink"/>
          <w:color w:val="auto"/>
          <w:u w:val="none"/>
        </w:rPr>
      </w:pPr>
      <w:r w:rsidRPr="00CB0B87">
        <w:rPr>
          <w:rStyle w:val="Hyperlink"/>
          <w:color w:val="auto"/>
          <w:u w:val="none"/>
        </w:rPr>
        <w:t>Minimum Levels of Per Pupil Funding (MFLs) that are increasing by 1.4% (primary) and 0.6% (secondary).</w:t>
      </w:r>
      <w:r>
        <w:rPr>
          <w:rStyle w:val="Hyperlink"/>
          <w:color w:val="auto"/>
          <w:u w:val="none"/>
        </w:rPr>
        <w:t xml:space="preserve"> These MFLs are actually higher than the 0.5% that schools and academies would have used for their 2025/26 budget forecasting.</w:t>
      </w:r>
    </w:p>
    <w:p w14:paraId="7884D7A9" w14:textId="77777777" w:rsidR="00CB0B87" w:rsidRPr="00CB0B87" w:rsidRDefault="00CB0B87" w:rsidP="00CB0B87">
      <w:pPr>
        <w:pStyle w:val="ListParagraph"/>
        <w:rPr>
          <w:rStyle w:val="Hyperlink"/>
          <w:color w:val="auto"/>
          <w:u w:val="none"/>
        </w:rPr>
      </w:pPr>
    </w:p>
    <w:p w14:paraId="1E9A85E6" w14:textId="1F1177D0" w:rsidR="00CB0B87" w:rsidRDefault="00F3592A" w:rsidP="006616B7">
      <w:pPr>
        <w:pStyle w:val="ListParagraph"/>
        <w:numPr>
          <w:ilvl w:val="0"/>
          <w:numId w:val="11"/>
        </w:numPr>
        <w:jc w:val="both"/>
        <w:rPr>
          <w:rStyle w:val="Hyperlink"/>
          <w:color w:val="auto"/>
          <w:u w:val="none"/>
        </w:rPr>
      </w:pPr>
      <w:r>
        <w:rPr>
          <w:rStyle w:val="Hyperlink"/>
          <w:color w:val="auto"/>
          <w:u w:val="none"/>
        </w:rPr>
        <w:t xml:space="preserve">Therefore, apart from the MFLs, the settlement, based on current indicative information, </w:t>
      </w:r>
      <w:r w:rsidR="00B071A7">
        <w:rPr>
          <w:rStyle w:val="Hyperlink"/>
          <w:color w:val="auto"/>
          <w:u w:val="none"/>
        </w:rPr>
        <w:t xml:space="preserve">appears </w:t>
      </w:r>
      <w:r>
        <w:rPr>
          <w:rStyle w:val="Hyperlink"/>
          <w:color w:val="auto"/>
          <w:u w:val="none"/>
        </w:rPr>
        <w:t xml:space="preserve">to not be at the level of the 2024/25 settlement nor at the level that was previously estimated. </w:t>
      </w:r>
      <w:r w:rsidR="00CB0B87">
        <w:rPr>
          <w:rStyle w:val="Hyperlink"/>
          <w:color w:val="auto"/>
          <w:u w:val="none"/>
        </w:rPr>
        <w:t xml:space="preserve">Providing a little more detail, the table below shows the current 2024/25 values of </w:t>
      </w:r>
      <w:r>
        <w:rPr>
          <w:rStyle w:val="Hyperlink"/>
          <w:color w:val="auto"/>
          <w:u w:val="none"/>
        </w:rPr>
        <w:t xml:space="preserve">individual </w:t>
      </w:r>
      <w:r w:rsidR="00CB0B87">
        <w:rPr>
          <w:rStyle w:val="Hyperlink"/>
          <w:color w:val="auto"/>
          <w:u w:val="none"/>
        </w:rPr>
        <w:t xml:space="preserve">formula factors within the National Funding Formula, what these formula factor values </w:t>
      </w:r>
      <w:r w:rsidR="00B071A7">
        <w:rPr>
          <w:rStyle w:val="Hyperlink"/>
          <w:color w:val="auto"/>
          <w:u w:val="none"/>
        </w:rPr>
        <w:t>have been uplifted to</w:t>
      </w:r>
      <w:r w:rsidR="00CB0B87">
        <w:rPr>
          <w:rStyle w:val="Hyperlink"/>
          <w:color w:val="auto"/>
          <w:u w:val="none"/>
        </w:rPr>
        <w:t xml:space="preserve"> for 2025/26 prior to the transfer in of the</w:t>
      </w:r>
      <w:r>
        <w:rPr>
          <w:rStyle w:val="Hyperlink"/>
          <w:color w:val="auto"/>
          <w:u w:val="none"/>
        </w:rPr>
        <w:t xml:space="preserve"> three</w:t>
      </w:r>
      <w:r w:rsidR="00CB0B87">
        <w:rPr>
          <w:rStyle w:val="Hyperlink"/>
          <w:color w:val="auto"/>
          <w:u w:val="none"/>
        </w:rPr>
        <w:t xml:space="preserve"> grants and </w:t>
      </w:r>
      <w:r w:rsidR="00B071A7">
        <w:rPr>
          <w:rStyle w:val="Hyperlink"/>
          <w:color w:val="auto"/>
          <w:u w:val="none"/>
        </w:rPr>
        <w:t xml:space="preserve">then </w:t>
      </w:r>
      <w:r w:rsidR="00CB0B87">
        <w:rPr>
          <w:rStyle w:val="Hyperlink"/>
          <w:color w:val="auto"/>
          <w:u w:val="none"/>
        </w:rPr>
        <w:t>what the values of the formula factors are finally inclusive of the transfer in of the</w:t>
      </w:r>
      <w:r>
        <w:rPr>
          <w:rStyle w:val="Hyperlink"/>
          <w:color w:val="auto"/>
          <w:u w:val="none"/>
        </w:rPr>
        <w:t xml:space="preserve"> three</w:t>
      </w:r>
      <w:r w:rsidR="00CB0B87">
        <w:rPr>
          <w:rStyle w:val="Hyperlink"/>
          <w:color w:val="auto"/>
          <w:u w:val="none"/>
        </w:rPr>
        <w:t xml:space="preserve"> grants. All this information is taken from the DfE’s </w:t>
      </w:r>
      <w:r w:rsidR="00B071A7">
        <w:rPr>
          <w:rStyle w:val="Hyperlink"/>
          <w:color w:val="auto"/>
          <w:u w:val="none"/>
        </w:rPr>
        <w:t xml:space="preserve">indicative rates </w:t>
      </w:r>
      <w:r w:rsidR="00CB0B87">
        <w:rPr>
          <w:rStyle w:val="Hyperlink"/>
          <w:color w:val="auto"/>
          <w:u w:val="none"/>
        </w:rPr>
        <w:t>publication.</w:t>
      </w:r>
    </w:p>
    <w:p w14:paraId="35D169F0" w14:textId="77777777" w:rsidR="006616B7" w:rsidRPr="006616B7" w:rsidRDefault="006616B7" w:rsidP="006616B7">
      <w:pPr>
        <w:pStyle w:val="ListParagraph"/>
        <w:ind w:left="360"/>
        <w:jc w:val="both"/>
        <w:rPr>
          <w:rStyle w:val="Hyperlink"/>
          <w:color w:val="auto"/>
          <w:u w:val="none"/>
        </w:rPr>
      </w:pPr>
    </w:p>
    <w:tbl>
      <w:tblPr>
        <w:tblStyle w:val="TableGrid"/>
        <w:tblW w:w="0" w:type="auto"/>
        <w:tblInd w:w="360" w:type="dxa"/>
        <w:tblLook w:val="04A0" w:firstRow="1" w:lastRow="0" w:firstColumn="1" w:lastColumn="0" w:noHBand="0" w:noVBand="1"/>
      </w:tblPr>
      <w:tblGrid>
        <w:gridCol w:w="5009"/>
        <w:gridCol w:w="1282"/>
        <w:gridCol w:w="1282"/>
        <w:gridCol w:w="1134"/>
        <w:gridCol w:w="1389"/>
      </w:tblGrid>
      <w:tr w:rsidR="006616B7" w14:paraId="21F07F46" w14:textId="77777777" w:rsidTr="001E51EE">
        <w:tc>
          <w:tcPr>
            <w:tcW w:w="5009" w:type="dxa"/>
          </w:tcPr>
          <w:p w14:paraId="02183957" w14:textId="69E1BF66" w:rsidR="00CB0B87" w:rsidRPr="00CB0B87" w:rsidRDefault="00CB0B87" w:rsidP="006616B7">
            <w:pPr>
              <w:pStyle w:val="ListParagraph"/>
              <w:ind w:left="0"/>
              <w:rPr>
                <w:rStyle w:val="Hyperlink"/>
                <w:rFonts w:asciiTheme="majorHAnsi" w:hAnsiTheme="majorHAnsi"/>
                <w:b/>
                <w:bCs/>
                <w:color w:val="auto"/>
                <w:sz w:val="22"/>
                <w:szCs w:val="22"/>
                <w:u w:val="none"/>
              </w:rPr>
            </w:pPr>
            <w:r w:rsidRPr="00CB0B87">
              <w:rPr>
                <w:rStyle w:val="Hyperlink"/>
                <w:rFonts w:asciiTheme="majorHAnsi" w:hAnsiTheme="majorHAnsi"/>
                <w:b/>
                <w:bCs/>
                <w:color w:val="auto"/>
                <w:sz w:val="22"/>
                <w:szCs w:val="22"/>
                <w:u w:val="none"/>
              </w:rPr>
              <w:t>Factor</w:t>
            </w:r>
          </w:p>
        </w:tc>
        <w:tc>
          <w:tcPr>
            <w:tcW w:w="1282" w:type="dxa"/>
          </w:tcPr>
          <w:p w14:paraId="765C644B" w14:textId="2BBDCE9F" w:rsidR="00CB0B87" w:rsidRPr="00CB0B87" w:rsidRDefault="00CB0B87" w:rsidP="00CB0B87">
            <w:pPr>
              <w:pStyle w:val="ListParagraph"/>
              <w:ind w:left="0"/>
              <w:jc w:val="right"/>
              <w:rPr>
                <w:rStyle w:val="Hyperlink"/>
                <w:rFonts w:asciiTheme="majorHAnsi" w:hAnsiTheme="majorHAnsi"/>
                <w:b/>
                <w:bCs/>
                <w:color w:val="auto"/>
                <w:sz w:val="22"/>
                <w:szCs w:val="22"/>
                <w:u w:val="none"/>
              </w:rPr>
            </w:pPr>
            <w:r w:rsidRPr="00CB0B87">
              <w:rPr>
                <w:rStyle w:val="Hyperlink"/>
                <w:rFonts w:asciiTheme="majorHAnsi" w:hAnsiTheme="majorHAnsi"/>
                <w:b/>
                <w:bCs/>
                <w:color w:val="auto"/>
                <w:sz w:val="22"/>
                <w:szCs w:val="22"/>
                <w:u w:val="none"/>
              </w:rPr>
              <w:t xml:space="preserve">2024/25 </w:t>
            </w:r>
            <w:r w:rsidR="006616B7">
              <w:rPr>
                <w:rStyle w:val="Hyperlink"/>
                <w:rFonts w:asciiTheme="majorHAnsi" w:hAnsiTheme="majorHAnsi"/>
                <w:b/>
                <w:bCs/>
                <w:color w:val="auto"/>
                <w:sz w:val="22"/>
                <w:szCs w:val="22"/>
                <w:u w:val="none"/>
              </w:rPr>
              <w:t xml:space="preserve">NFF </w:t>
            </w:r>
            <w:r w:rsidRPr="00CB0B87">
              <w:rPr>
                <w:rStyle w:val="Hyperlink"/>
                <w:rFonts w:asciiTheme="majorHAnsi" w:hAnsiTheme="majorHAnsi"/>
                <w:b/>
                <w:bCs/>
                <w:color w:val="auto"/>
                <w:sz w:val="22"/>
                <w:szCs w:val="22"/>
                <w:u w:val="none"/>
              </w:rPr>
              <w:t>value</w:t>
            </w:r>
          </w:p>
        </w:tc>
        <w:tc>
          <w:tcPr>
            <w:tcW w:w="1282" w:type="dxa"/>
          </w:tcPr>
          <w:p w14:paraId="51807919" w14:textId="48453FA3" w:rsidR="00CB0B87" w:rsidRPr="00CB0B87" w:rsidRDefault="00CB0B87" w:rsidP="00CB0B87">
            <w:pPr>
              <w:pStyle w:val="ListParagraph"/>
              <w:ind w:left="0"/>
              <w:jc w:val="right"/>
              <w:rPr>
                <w:rStyle w:val="Hyperlink"/>
                <w:rFonts w:asciiTheme="majorHAnsi" w:hAnsiTheme="majorHAnsi"/>
                <w:b/>
                <w:bCs/>
                <w:color w:val="auto"/>
                <w:sz w:val="22"/>
                <w:szCs w:val="22"/>
                <w:u w:val="none"/>
              </w:rPr>
            </w:pPr>
            <w:r w:rsidRPr="00CB0B87">
              <w:rPr>
                <w:rStyle w:val="Hyperlink"/>
                <w:rFonts w:asciiTheme="majorHAnsi" w:hAnsiTheme="majorHAnsi"/>
                <w:b/>
                <w:bCs/>
                <w:color w:val="auto"/>
                <w:sz w:val="22"/>
                <w:szCs w:val="22"/>
                <w:u w:val="none"/>
              </w:rPr>
              <w:t xml:space="preserve">2025/26 </w:t>
            </w:r>
            <w:r w:rsidR="006616B7">
              <w:rPr>
                <w:rStyle w:val="Hyperlink"/>
                <w:rFonts w:asciiTheme="majorHAnsi" w:hAnsiTheme="majorHAnsi"/>
                <w:b/>
                <w:bCs/>
                <w:color w:val="auto"/>
                <w:sz w:val="22"/>
                <w:szCs w:val="22"/>
                <w:u w:val="none"/>
              </w:rPr>
              <w:t xml:space="preserve">NFF </w:t>
            </w:r>
            <w:r w:rsidRPr="00CB0B87">
              <w:rPr>
                <w:rStyle w:val="Hyperlink"/>
                <w:rFonts w:asciiTheme="majorHAnsi" w:hAnsiTheme="majorHAnsi"/>
                <w:b/>
                <w:bCs/>
                <w:color w:val="auto"/>
                <w:sz w:val="22"/>
                <w:szCs w:val="22"/>
                <w:u w:val="none"/>
              </w:rPr>
              <w:t>value before grants</w:t>
            </w:r>
          </w:p>
        </w:tc>
        <w:tc>
          <w:tcPr>
            <w:tcW w:w="1134" w:type="dxa"/>
          </w:tcPr>
          <w:p w14:paraId="48B29B8F" w14:textId="545D8BFE" w:rsidR="00CB0B87" w:rsidRPr="00CB0B87" w:rsidRDefault="00CB0B87" w:rsidP="00CB0B87">
            <w:pPr>
              <w:pStyle w:val="ListParagraph"/>
              <w:ind w:left="0"/>
              <w:jc w:val="right"/>
              <w:rPr>
                <w:rStyle w:val="Hyperlink"/>
                <w:rFonts w:asciiTheme="majorHAnsi" w:hAnsiTheme="majorHAnsi"/>
                <w:b/>
                <w:bCs/>
                <w:color w:val="auto"/>
                <w:sz w:val="22"/>
                <w:szCs w:val="22"/>
                <w:u w:val="none"/>
              </w:rPr>
            </w:pPr>
            <w:r w:rsidRPr="00CB0B87">
              <w:rPr>
                <w:rStyle w:val="Hyperlink"/>
                <w:rFonts w:asciiTheme="majorHAnsi" w:hAnsiTheme="majorHAnsi"/>
                <w:b/>
                <w:bCs/>
                <w:color w:val="auto"/>
                <w:sz w:val="22"/>
                <w:szCs w:val="22"/>
                <w:u w:val="none"/>
              </w:rPr>
              <w:t>% increase</w:t>
            </w:r>
            <w:r w:rsidR="006616B7">
              <w:rPr>
                <w:rStyle w:val="Hyperlink"/>
                <w:rFonts w:asciiTheme="majorHAnsi" w:hAnsiTheme="majorHAnsi"/>
                <w:b/>
                <w:bCs/>
                <w:color w:val="auto"/>
                <w:sz w:val="22"/>
                <w:szCs w:val="22"/>
                <w:u w:val="none"/>
              </w:rPr>
              <w:t xml:space="preserve"> before grants</w:t>
            </w:r>
            <w:r w:rsidR="003C1E6C">
              <w:rPr>
                <w:rStyle w:val="Hyperlink"/>
                <w:rFonts w:asciiTheme="majorHAnsi" w:hAnsiTheme="majorHAnsi"/>
                <w:b/>
                <w:bCs/>
                <w:color w:val="auto"/>
                <w:sz w:val="22"/>
                <w:szCs w:val="22"/>
                <w:u w:val="none"/>
              </w:rPr>
              <w:t xml:space="preserve"> </w:t>
            </w:r>
            <w:r w:rsidR="003C1E6C" w:rsidRPr="003C1E6C">
              <w:rPr>
                <w:rStyle w:val="Hyperlink"/>
                <w:rFonts w:asciiTheme="majorHAnsi" w:hAnsiTheme="majorHAnsi"/>
                <w:b/>
                <w:bCs/>
                <w:color w:val="auto"/>
                <w:sz w:val="22"/>
                <w:szCs w:val="22"/>
                <w:u w:val="none"/>
              </w:rPr>
              <w:t>transfer</w:t>
            </w:r>
          </w:p>
        </w:tc>
        <w:tc>
          <w:tcPr>
            <w:tcW w:w="1389" w:type="dxa"/>
          </w:tcPr>
          <w:p w14:paraId="070690DF" w14:textId="0846653C" w:rsidR="00CB0B87" w:rsidRPr="00CB0B87" w:rsidRDefault="00CB0B87" w:rsidP="00CB0B87">
            <w:pPr>
              <w:pStyle w:val="ListParagraph"/>
              <w:ind w:left="0"/>
              <w:jc w:val="right"/>
              <w:rPr>
                <w:rStyle w:val="Hyperlink"/>
                <w:rFonts w:asciiTheme="majorHAnsi" w:hAnsiTheme="majorHAnsi"/>
                <w:b/>
                <w:bCs/>
                <w:color w:val="auto"/>
                <w:sz w:val="22"/>
                <w:szCs w:val="22"/>
                <w:u w:val="none"/>
              </w:rPr>
            </w:pPr>
            <w:r w:rsidRPr="00CB0B87">
              <w:rPr>
                <w:rStyle w:val="Hyperlink"/>
                <w:rFonts w:asciiTheme="majorHAnsi" w:hAnsiTheme="majorHAnsi"/>
                <w:b/>
                <w:bCs/>
                <w:color w:val="auto"/>
                <w:sz w:val="22"/>
                <w:szCs w:val="22"/>
                <w:u w:val="none"/>
              </w:rPr>
              <w:t xml:space="preserve">2025/26 final </w:t>
            </w:r>
            <w:r w:rsidR="006616B7">
              <w:rPr>
                <w:rStyle w:val="Hyperlink"/>
                <w:rFonts w:asciiTheme="majorHAnsi" w:hAnsiTheme="majorHAnsi"/>
                <w:b/>
                <w:bCs/>
                <w:color w:val="auto"/>
                <w:sz w:val="22"/>
                <w:szCs w:val="22"/>
                <w:u w:val="none"/>
              </w:rPr>
              <w:t xml:space="preserve">NFF </w:t>
            </w:r>
            <w:r w:rsidRPr="00CB0B87">
              <w:rPr>
                <w:rStyle w:val="Hyperlink"/>
                <w:rFonts w:asciiTheme="majorHAnsi" w:hAnsiTheme="majorHAnsi"/>
                <w:b/>
                <w:bCs/>
                <w:color w:val="auto"/>
                <w:sz w:val="22"/>
                <w:szCs w:val="22"/>
                <w:u w:val="none"/>
              </w:rPr>
              <w:t>value including grants</w:t>
            </w:r>
          </w:p>
        </w:tc>
      </w:tr>
      <w:tr w:rsidR="001E51EE" w14:paraId="52466831" w14:textId="77777777" w:rsidTr="001E51EE">
        <w:tc>
          <w:tcPr>
            <w:tcW w:w="5009" w:type="dxa"/>
            <w:vAlign w:val="center"/>
          </w:tcPr>
          <w:p w14:paraId="45F91F6F" w14:textId="72ED631F" w:rsidR="001E51EE" w:rsidRPr="009121C8" w:rsidRDefault="001E51EE" w:rsidP="001E51EE">
            <w:pPr>
              <w:pStyle w:val="ListParagraph"/>
              <w:ind w:left="0"/>
              <w:rPr>
                <w:rStyle w:val="Hyperlink"/>
                <w:rFonts w:asciiTheme="minorHAnsi" w:hAnsiTheme="minorHAnsi"/>
                <w:color w:val="auto"/>
                <w:sz w:val="22"/>
                <w:szCs w:val="22"/>
                <w:u w:val="none"/>
              </w:rPr>
            </w:pPr>
            <w:r w:rsidRPr="009121C8">
              <w:rPr>
                <w:rFonts w:asciiTheme="minorHAnsi" w:hAnsiTheme="minorHAnsi"/>
                <w:sz w:val="22"/>
                <w:szCs w:val="22"/>
              </w:rPr>
              <w:t>Primary – Base £APP (AWPU)</w:t>
            </w:r>
          </w:p>
        </w:tc>
        <w:tc>
          <w:tcPr>
            <w:tcW w:w="1282" w:type="dxa"/>
            <w:tcBorders>
              <w:top w:val="nil"/>
              <w:left w:val="nil"/>
              <w:bottom w:val="single" w:sz="8" w:space="0" w:color="auto"/>
              <w:right w:val="single" w:sz="8" w:space="0" w:color="auto"/>
            </w:tcBorders>
            <w:shd w:val="clear" w:color="auto" w:fill="auto"/>
            <w:vAlign w:val="center"/>
          </w:tcPr>
          <w:p w14:paraId="0137CBC1" w14:textId="5C59CA11" w:rsidR="001E51EE" w:rsidRPr="0066219A" w:rsidRDefault="001E51EE" w:rsidP="001E51EE">
            <w:pPr>
              <w:pStyle w:val="ListParagraph"/>
              <w:ind w:left="0"/>
              <w:jc w:val="right"/>
              <w:rPr>
                <w:rStyle w:val="Hyperlink"/>
                <w:rFonts w:asciiTheme="minorHAnsi" w:hAnsiTheme="minorHAnsi"/>
                <w:color w:val="auto"/>
                <w:sz w:val="22"/>
                <w:szCs w:val="22"/>
                <w:u w:val="none"/>
              </w:rPr>
            </w:pPr>
            <w:r w:rsidRPr="0066219A">
              <w:rPr>
                <w:rFonts w:asciiTheme="minorHAnsi" w:hAnsiTheme="minorHAnsi"/>
                <w:sz w:val="22"/>
                <w:szCs w:val="22"/>
              </w:rPr>
              <w:t>£3,562.61</w:t>
            </w:r>
          </w:p>
        </w:tc>
        <w:tc>
          <w:tcPr>
            <w:tcW w:w="1282" w:type="dxa"/>
          </w:tcPr>
          <w:p w14:paraId="54906A34" w14:textId="26100CD2" w:rsidR="001E51EE" w:rsidRPr="001E51EE" w:rsidRDefault="001E51EE" w:rsidP="001E51EE">
            <w:pPr>
              <w:pStyle w:val="ListParagraph"/>
              <w:ind w:left="0"/>
              <w:jc w:val="right"/>
              <w:rPr>
                <w:rFonts w:asciiTheme="minorHAnsi" w:hAnsiTheme="minorHAnsi"/>
                <w:sz w:val="22"/>
                <w:szCs w:val="22"/>
              </w:rPr>
            </w:pPr>
            <w:r w:rsidRPr="001E51EE">
              <w:rPr>
                <w:rFonts w:asciiTheme="minorHAnsi" w:hAnsiTheme="minorHAnsi"/>
                <w:sz w:val="22"/>
                <w:szCs w:val="22"/>
              </w:rPr>
              <w:t>£3,583</w:t>
            </w:r>
            <w:r>
              <w:rPr>
                <w:rFonts w:asciiTheme="minorHAnsi" w:hAnsiTheme="minorHAns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47247C" w14:textId="55CC9818" w:rsidR="001E51EE" w:rsidRPr="00CB0B87" w:rsidRDefault="001E51EE" w:rsidP="001E51EE">
            <w:pPr>
              <w:pStyle w:val="ListParagraph"/>
              <w:ind w:left="0"/>
              <w:jc w:val="right"/>
              <w:rPr>
                <w:rStyle w:val="Hyperlink"/>
                <w:rFonts w:asciiTheme="majorHAnsi" w:hAnsiTheme="majorHAnsi"/>
                <w:color w:val="auto"/>
                <w:sz w:val="22"/>
                <w:szCs w:val="22"/>
                <w:u w:val="none"/>
              </w:rPr>
            </w:pPr>
            <w:r>
              <w:rPr>
                <w:rFonts w:ascii="Aptos Narrow" w:hAnsi="Aptos Narrow"/>
                <w:color w:val="000000"/>
                <w:sz w:val="22"/>
                <w:szCs w:val="22"/>
              </w:rPr>
              <w:t>0.6%</w:t>
            </w:r>
          </w:p>
        </w:tc>
        <w:tc>
          <w:tcPr>
            <w:tcW w:w="1389" w:type="dxa"/>
          </w:tcPr>
          <w:p w14:paraId="1B4F74F4" w14:textId="7E9D3A88" w:rsidR="001E51EE" w:rsidRPr="00620C1C" w:rsidRDefault="001E51EE" w:rsidP="001E51EE">
            <w:pPr>
              <w:pStyle w:val="ListParagraph"/>
              <w:ind w:left="0"/>
              <w:jc w:val="right"/>
              <w:rPr>
                <w:rFonts w:asciiTheme="minorHAnsi" w:hAnsiTheme="minorHAnsi"/>
                <w:sz w:val="22"/>
                <w:szCs w:val="22"/>
              </w:rPr>
            </w:pPr>
            <w:r w:rsidRPr="00620C1C">
              <w:rPr>
                <w:rFonts w:asciiTheme="minorHAnsi" w:hAnsiTheme="minorHAnsi"/>
                <w:sz w:val="22"/>
                <w:szCs w:val="22"/>
              </w:rPr>
              <w:t>£3,847.65</w:t>
            </w:r>
          </w:p>
        </w:tc>
      </w:tr>
      <w:tr w:rsidR="001E51EE" w14:paraId="6A8EF3BC" w14:textId="77777777" w:rsidTr="001E51EE">
        <w:tc>
          <w:tcPr>
            <w:tcW w:w="5009" w:type="dxa"/>
            <w:vAlign w:val="center"/>
          </w:tcPr>
          <w:p w14:paraId="7217F870" w14:textId="180099FF" w:rsidR="001E51EE" w:rsidRPr="009121C8" w:rsidRDefault="001E51EE" w:rsidP="001E51EE">
            <w:pPr>
              <w:pStyle w:val="ListParagraph"/>
              <w:ind w:left="0"/>
              <w:rPr>
                <w:rStyle w:val="Hyperlink"/>
                <w:rFonts w:asciiTheme="minorHAnsi" w:hAnsiTheme="minorHAnsi"/>
                <w:color w:val="auto"/>
                <w:sz w:val="22"/>
                <w:szCs w:val="22"/>
                <w:u w:val="none"/>
              </w:rPr>
            </w:pPr>
            <w:r w:rsidRPr="009121C8">
              <w:rPr>
                <w:rFonts w:asciiTheme="minorHAnsi" w:hAnsiTheme="minorHAnsi"/>
                <w:sz w:val="22"/>
                <w:szCs w:val="22"/>
              </w:rPr>
              <w:t>Secondary – Key Stage 3 Base £APP</w:t>
            </w:r>
          </w:p>
        </w:tc>
        <w:tc>
          <w:tcPr>
            <w:tcW w:w="1282" w:type="dxa"/>
            <w:tcBorders>
              <w:top w:val="nil"/>
              <w:left w:val="nil"/>
              <w:bottom w:val="single" w:sz="8" w:space="0" w:color="auto"/>
              <w:right w:val="single" w:sz="8" w:space="0" w:color="auto"/>
            </w:tcBorders>
            <w:shd w:val="clear" w:color="auto" w:fill="auto"/>
            <w:vAlign w:val="center"/>
          </w:tcPr>
          <w:p w14:paraId="1CA2DC52" w14:textId="7BA9CC22" w:rsidR="001E51EE" w:rsidRPr="0066219A" w:rsidRDefault="001E51EE" w:rsidP="001E51EE">
            <w:pPr>
              <w:pStyle w:val="ListParagraph"/>
              <w:ind w:left="0"/>
              <w:jc w:val="right"/>
              <w:rPr>
                <w:rStyle w:val="Hyperlink"/>
                <w:rFonts w:asciiTheme="minorHAnsi" w:hAnsiTheme="minorHAnsi"/>
                <w:color w:val="auto"/>
                <w:sz w:val="22"/>
                <w:szCs w:val="22"/>
                <w:u w:val="none"/>
              </w:rPr>
            </w:pPr>
            <w:r w:rsidRPr="0066219A">
              <w:rPr>
                <w:rFonts w:asciiTheme="minorHAnsi" w:hAnsiTheme="minorHAnsi"/>
                <w:sz w:val="22"/>
                <w:szCs w:val="22"/>
              </w:rPr>
              <w:t>£5,022.85</w:t>
            </w:r>
          </w:p>
        </w:tc>
        <w:tc>
          <w:tcPr>
            <w:tcW w:w="1282" w:type="dxa"/>
          </w:tcPr>
          <w:p w14:paraId="2EEB048A" w14:textId="3F7A6B13"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£5,051.00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919F84E" w14:textId="24F3B577" w:rsidR="001E51EE" w:rsidRPr="00CB0B87" w:rsidRDefault="001E51EE" w:rsidP="001E51EE">
            <w:pPr>
              <w:pStyle w:val="ListParagraph"/>
              <w:ind w:left="0"/>
              <w:jc w:val="right"/>
              <w:rPr>
                <w:rStyle w:val="Hyperlink"/>
                <w:rFonts w:asciiTheme="majorHAnsi" w:hAnsiTheme="majorHAnsi"/>
                <w:color w:val="auto"/>
                <w:sz w:val="22"/>
                <w:szCs w:val="22"/>
                <w:u w:val="none"/>
              </w:rPr>
            </w:pPr>
            <w:r>
              <w:rPr>
                <w:rFonts w:ascii="Aptos Narrow" w:hAnsi="Aptos Narrow"/>
                <w:color w:val="000000"/>
                <w:sz w:val="22"/>
                <w:szCs w:val="22"/>
              </w:rPr>
              <w:t>0.6%</w:t>
            </w:r>
          </w:p>
        </w:tc>
        <w:tc>
          <w:tcPr>
            <w:tcW w:w="1389" w:type="dxa"/>
          </w:tcPr>
          <w:p w14:paraId="44577777" w14:textId="37F6F73C" w:rsidR="001E51EE" w:rsidRPr="00620C1C" w:rsidRDefault="001E51EE" w:rsidP="001E51EE">
            <w:pPr>
              <w:pStyle w:val="ListParagraph"/>
              <w:ind w:left="0"/>
              <w:jc w:val="right"/>
              <w:rPr>
                <w:rFonts w:asciiTheme="minorHAnsi" w:hAnsiTheme="minorHAnsi"/>
                <w:sz w:val="22"/>
                <w:szCs w:val="22"/>
              </w:rPr>
            </w:pPr>
            <w:r w:rsidRPr="00620C1C">
              <w:rPr>
                <w:rFonts w:asciiTheme="minorHAnsi" w:hAnsiTheme="minorHAnsi"/>
                <w:sz w:val="22"/>
                <w:szCs w:val="22"/>
              </w:rPr>
              <w:t>£5,422.92</w:t>
            </w:r>
          </w:p>
        </w:tc>
      </w:tr>
      <w:tr w:rsidR="001E51EE" w14:paraId="2AC56664" w14:textId="77777777" w:rsidTr="001E51EE">
        <w:tc>
          <w:tcPr>
            <w:tcW w:w="5009" w:type="dxa"/>
            <w:vAlign w:val="center"/>
          </w:tcPr>
          <w:p w14:paraId="09295588" w14:textId="6A207751" w:rsidR="001E51EE" w:rsidRPr="009121C8" w:rsidRDefault="001E51EE" w:rsidP="001E51EE">
            <w:pPr>
              <w:pStyle w:val="ListParagraph"/>
              <w:ind w:left="0"/>
              <w:rPr>
                <w:rStyle w:val="Hyperlink"/>
                <w:rFonts w:asciiTheme="minorHAnsi" w:hAnsiTheme="minorHAnsi"/>
                <w:color w:val="auto"/>
                <w:sz w:val="22"/>
                <w:szCs w:val="22"/>
                <w:u w:val="none"/>
              </w:rPr>
            </w:pPr>
            <w:r w:rsidRPr="009121C8">
              <w:rPr>
                <w:rFonts w:asciiTheme="minorHAnsi" w:hAnsiTheme="minorHAnsi"/>
                <w:sz w:val="22"/>
                <w:szCs w:val="22"/>
              </w:rPr>
              <w:t>Secondary – Key Stage 4 Base £APP</w:t>
            </w:r>
          </w:p>
        </w:tc>
        <w:tc>
          <w:tcPr>
            <w:tcW w:w="1282" w:type="dxa"/>
            <w:tcBorders>
              <w:top w:val="nil"/>
              <w:left w:val="nil"/>
              <w:bottom w:val="single" w:sz="8" w:space="0" w:color="auto"/>
              <w:right w:val="single" w:sz="8" w:space="0" w:color="auto"/>
            </w:tcBorders>
            <w:shd w:val="clear" w:color="auto" w:fill="auto"/>
            <w:vAlign w:val="center"/>
          </w:tcPr>
          <w:p w14:paraId="11C2FAE8" w14:textId="3C092C03" w:rsidR="001E51EE" w:rsidRPr="0066219A" w:rsidRDefault="001E51EE" w:rsidP="001E51EE">
            <w:pPr>
              <w:pStyle w:val="ListParagraph"/>
              <w:ind w:left="0"/>
              <w:jc w:val="right"/>
              <w:rPr>
                <w:rStyle w:val="Hyperlink"/>
                <w:rFonts w:asciiTheme="minorHAnsi" w:hAnsiTheme="minorHAnsi"/>
                <w:color w:val="auto"/>
                <w:sz w:val="22"/>
                <w:szCs w:val="22"/>
                <w:u w:val="none"/>
              </w:rPr>
            </w:pPr>
            <w:r w:rsidRPr="0066219A">
              <w:rPr>
                <w:rFonts w:asciiTheme="minorHAnsi" w:hAnsiTheme="minorHAnsi"/>
                <w:sz w:val="22"/>
                <w:szCs w:val="22"/>
              </w:rPr>
              <w:t>£5,661.96</w:t>
            </w:r>
          </w:p>
        </w:tc>
        <w:tc>
          <w:tcPr>
            <w:tcW w:w="1282" w:type="dxa"/>
          </w:tcPr>
          <w:p w14:paraId="0020481D" w14:textId="57017AAD"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£5,694.00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17B2BFE" w14:textId="34854C7B" w:rsidR="001E51EE" w:rsidRPr="00CB0B87" w:rsidRDefault="001E51EE" w:rsidP="001E51EE">
            <w:pPr>
              <w:pStyle w:val="ListParagraph"/>
              <w:ind w:left="0"/>
              <w:jc w:val="right"/>
              <w:rPr>
                <w:rStyle w:val="Hyperlink"/>
                <w:rFonts w:asciiTheme="majorHAnsi" w:hAnsiTheme="majorHAnsi"/>
                <w:color w:val="auto"/>
                <w:sz w:val="22"/>
                <w:szCs w:val="22"/>
                <w:u w:val="none"/>
              </w:rPr>
            </w:pPr>
            <w:r>
              <w:rPr>
                <w:rFonts w:ascii="Aptos Narrow" w:hAnsi="Aptos Narrow"/>
                <w:color w:val="000000"/>
                <w:sz w:val="22"/>
                <w:szCs w:val="22"/>
              </w:rPr>
              <w:t>0.6%</w:t>
            </w:r>
          </w:p>
        </w:tc>
        <w:tc>
          <w:tcPr>
            <w:tcW w:w="1389" w:type="dxa"/>
          </w:tcPr>
          <w:p w14:paraId="1D53969A" w14:textId="06257576"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£6,114.04</w:t>
            </w:r>
          </w:p>
        </w:tc>
      </w:tr>
      <w:tr w:rsidR="001E51EE" w14:paraId="3FD78DD9" w14:textId="77777777" w:rsidTr="001E51EE">
        <w:tc>
          <w:tcPr>
            <w:tcW w:w="5009" w:type="dxa"/>
            <w:vAlign w:val="center"/>
          </w:tcPr>
          <w:p w14:paraId="71F5D900" w14:textId="7A8E5AA7" w:rsidR="001E51EE" w:rsidRPr="009121C8" w:rsidRDefault="001E51EE" w:rsidP="001E51EE">
            <w:pPr>
              <w:pStyle w:val="ListParagraph"/>
              <w:ind w:left="0"/>
              <w:rPr>
                <w:rStyle w:val="Hyperlink"/>
                <w:rFonts w:asciiTheme="minorHAnsi" w:hAnsiTheme="minorHAnsi"/>
                <w:color w:val="auto"/>
                <w:sz w:val="22"/>
                <w:szCs w:val="22"/>
                <w:u w:val="none"/>
              </w:rPr>
            </w:pPr>
            <w:r w:rsidRPr="009121C8">
              <w:rPr>
                <w:rFonts w:asciiTheme="minorHAnsi" w:hAnsiTheme="minorHAnsi"/>
                <w:sz w:val="22"/>
                <w:szCs w:val="22"/>
              </w:rPr>
              <w:t>Lump Sum – Primary &amp; Secondary</w:t>
            </w:r>
          </w:p>
        </w:tc>
        <w:tc>
          <w:tcPr>
            <w:tcW w:w="1282" w:type="dxa"/>
            <w:tcBorders>
              <w:top w:val="nil"/>
              <w:left w:val="nil"/>
              <w:bottom w:val="single" w:sz="8" w:space="0" w:color="auto"/>
              <w:right w:val="single" w:sz="8" w:space="0" w:color="auto"/>
            </w:tcBorders>
            <w:shd w:val="clear" w:color="auto" w:fill="auto"/>
            <w:vAlign w:val="center"/>
          </w:tcPr>
          <w:p w14:paraId="7F92CA8F" w14:textId="46EA4C13" w:rsidR="001E51EE" w:rsidRPr="0066219A" w:rsidRDefault="001E51EE" w:rsidP="001E51EE">
            <w:pPr>
              <w:pStyle w:val="ListParagraph"/>
              <w:ind w:left="0"/>
              <w:jc w:val="right"/>
              <w:rPr>
                <w:rStyle w:val="Hyperlink"/>
                <w:rFonts w:asciiTheme="minorHAnsi" w:hAnsiTheme="minorHAnsi"/>
                <w:color w:val="auto"/>
                <w:sz w:val="22"/>
                <w:szCs w:val="22"/>
                <w:u w:val="none"/>
              </w:rPr>
            </w:pPr>
            <w:r w:rsidRPr="0066219A">
              <w:rPr>
                <w:rFonts w:asciiTheme="minorHAnsi" w:hAnsiTheme="minorHAnsi"/>
                <w:sz w:val="22"/>
                <w:szCs w:val="22"/>
              </w:rPr>
              <w:t>£134,423</w:t>
            </w:r>
          </w:p>
        </w:tc>
        <w:tc>
          <w:tcPr>
            <w:tcW w:w="1282" w:type="dxa"/>
          </w:tcPr>
          <w:p w14:paraId="3D71D001" w14:textId="1B30D6F5"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£135,179</w:t>
            </w:r>
          </w:p>
        </w:tc>
        <w:tc>
          <w:tcPr>
            <w:tcW w:w="1134" w:type="dxa"/>
            <w:tcBorders>
              <w:top w:val="nil"/>
              <w:left w:val="single" w:sz="4" w:space="0" w:color="auto"/>
              <w:bottom w:val="single" w:sz="4" w:space="0" w:color="auto"/>
              <w:right w:val="single" w:sz="4" w:space="0" w:color="auto"/>
            </w:tcBorders>
            <w:shd w:val="clear" w:color="auto" w:fill="auto"/>
            <w:vAlign w:val="bottom"/>
          </w:tcPr>
          <w:p w14:paraId="52457A2C" w14:textId="78D3D1A3" w:rsidR="001E51EE" w:rsidRPr="00CB0B87" w:rsidRDefault="001E51EE" w:rsidP="001E51EE">
            <w:pPr>
              <w:pStyle w:val="ListParagraph"/>
              <w:ind w:left="0"/>
              <w:jc w:val="right"/>
              <w:rPr>
                <w:rStyle w:val="Hyperlink"/>
                <w:rFonts w:asciiTheme="majorHAnsi" w:hAnsiTheme="majorHAnsi"/>
                <w:color w:val="auto"/>
                <w:sz w:val="22"/>
                <w:szCs w:val="22"/>
                <w:u w:val="none"/>
              </w:rPr>
            </w:pPr>
            <w:r>
              <w:rPr>
                <w:rFonts w:ascii="Aptos Narrow" w:hAnsi="Aptos Narrow"/>
                <w:color w:val="000000"/>
                <w:sz w:val="22"/>
                <w:szCs w:val="22"/>
              </w:rPr>
              <w:t>0.6%</w:t>
            </w:r>
          </w:p>
        </w:tc>
        <w:tc>
          <w:tcPr>
            <w:tcW w:w="1389" w:type="dxa"/>
          </w:tcPr>
          <w:p w14:paraId="4E6CD295" w14:textId="5CA311D3"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£145,124</w:t>
            </w:r>
          </w:p>
        </w:tc>
      </w:tr>
      <w:tr w:rsidR="001E51EE" w14:paraId="50DA6C91" w14:textId="77777777" w:rsidTr="001E51EE">
        <w:tc>
          <w:tcPr>
            <w:tcW w:w="5009" w:type="dxa"/>
            <w:vAlign w:val="center"/>
          </w:tcPr>
          <w:p w14:paraId="4B699101" w14:textId="4238BF04" w:rsidR="001E51EE" w:rsidRPr="009121C8" w:rsidRDefault="001E51EE" w:rsidP="001E51EE">
            <w:pPr>
              <w:pStyle w:val="ListParagraph"/>
              <w:ind w:left="0"/>
              <w:rPr>
                <w:rStyle w:val="Hyperlink"/>
                <w:rFonts w:asciiTheme="minorHAnsi" w:hAnsiTheme="minorHAnsi"/>
                <w:color w:val="auto"/>
                <w:sz w:val="22"/>
                <w:szCs w:val="22"/>
                <w:u w:val="none"/>
              </w:rPr>
            </w:pPr>
            <w:r w:rsidRPr="009121C8">
              <w:rPr>
                <w:rFonts w:asciiTheme="minorHAnsi" w:hAnsiTheme="minorHAnsi"/>
                <w:sz w:val="22"/>
                <w:szCs w:val="22"/>
              </w:rPr>
              <w:t>Primary - Deprivation – FSM Ever 6</w:t>
            </w:r>
          </w:p>
        </w:tc>
        <w:tc>
          <w:tcPr>
            <w:tcW w:w="1282" w:type="dxa"/>
            <w:tcBorders>
              <w:top w:val="nil"/>
              <w:left w:val="nil"/>
              <w:bottom w:val="single" w:sz="8" w:space="0" w:color="auto"/>
              <w:right w:val="single" w:sz="8" w:space="0" w:color="auto"/>
            </w:tcBorders>
            <w:shd w:val="clear" w:color="auto" w:fill="auto"/>
            <w:vAlign w:val="center"/>
          </w:tcPr>
          <w:p w14:paraId="2BEC9EAB" w14:textId="25755EB4" w:rsidR="001E51EE" w:rsidRPr="0066219A" w:rsidRDefault="001E51EE" w:rsidP="001E51EE">
            <w:pPr>
              <w:pStyle w:val="ListParagraph"/>
              <w:ind w:left="0"/>
              <w:jc w:val="right"/>
              <w:rPr>
                <w:rStyle w:val="Hyperlink"/>
                <w:rFonts w:asciiTheme="minorHAnsi" w:hAnsiTheme="minorHAnsi"/>
                <w:color w:val="auto"/>
                <w:sz w:val="22"/>
                <w:szCs w:val="22"/>
                <w:u w:val="none"/>
              </w:rPr>
            </w:pPr>
            <w:r w:rsidRPr="0066219A">
              <w:rPr>
                <w:rFonts w:asciiTheme="minorHAnsi" w:hAnsiTheme="minorHAnsi"/>
                <w:sz w:val="22"/>
                <w:szCs w:val="22"/>
              </w:rPr>
              <w:t>£820.14</w:t>
            </w:r>
          </w:p>
        </w:tc>
        <w:tc>
          <w:tcPr>
            <w:tcW w:w="1282" w:type="dxa"/>
          </w:tcPr>
          <w:p w14:paraId="2F8FCEA7" w14:textId="54F0EAD0"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£827.00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AF7AFEA" w14:textId="711E5AF0" w:rsidR="001E51EE" w:rsidRPr="00CB0B87" w:rsidRDefault="001E51EE" w:rsidP="001E51EE">
            <w:pPr>
              <w:pStyle w:val="ListParagraph"/>
              <w:ind w:left="0"/>
              <w:jc w:val="right"/>
              <w:rPr>
                <w:rStyle w:val="Hyperlink"/>
                <w:rFonts w:asciiTheme="majorHAnsi" w:hAnsiTheme="majorHAnsi"/>
                <w:color w:val="auto"/>
                <w:sz w:val="22"/>
                <w:szCs w:val="22"/>
                <w:u w:val="none"/>
              </w:rPr>
            </w:pPr>
            <w:r>
              <w:rPr>
                <w:rFonts w:ascii="Aptos Narrow" w:hAnsi="Aptos Narrow"/>
                <w:color w:val="000000"/>
                <w:sz w:val="22"/>
                <w:szCs w:val="22"/>
              </w:rPr>
              <w:t>0.8%</w:t>
            </w:r>
          </w:p>
        </w:tc>
        <w:tc>
          <w:tcPr>
            <w:tcW w:w="1389" w:type="dxa"/>
          </w:tcPr>
          <w:p w14:paraId="4B247647" w14:textId="2DD35EA6"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£1,060.18</w:t>
            </w:r>
          </w:p>
        </w:tc>
      </w:tr>
      <w:tr w:rsidR="001E51EE" w14:paraId="57153DF9" w14:textId="77777777" w:rsidTr="001E51EE">
        <w:tc>
          <w:tcPr>
            <w:tcW w:w="5009" w:type="dxa"/>
            <w:vAlign w:val="center"/>
          </w:tcPr>
          <w:p w14:paraId="6683CA4B" w14:textId="1604CA28" w:rsidR="001E51EE" w:rsidRPr="009121C8" w:rsidRDefault="001E51EE" w:rsidP="001E51EE">
            <w:pPr>
              <w:pStyle w:val="ListParagraph"/>
              <w:ind w:left="0"/>
              <w:rPr>
                <w:rStyle w:val="Hyperlink"/>
                <w:rFonts w:asciiTheme="minorHAnsi" w:hAnsiTheme="minorHAnsi"/>
                <w:color w:val="auto"/>
                <w:sz w:val="22"/>
                <w:szCs w:val="22"/>
                <w:u w:val="none"/>
              </w:rPr>
            </w:pPr>
            <w:r w:rsidRPr="009121C8">
              <w:rPr>
                <w:rFonts w:asciiTheme="minorHAnsi" w:hAnsiTheme="minorHAnsi"/>
                <w:sz w:val="22"/>
                <w:szCs w:val="22"/>
              </w:rPr>
              <w:t>Primary - Deprivation – Flat FSM</w:t>
            </w:r>
          </w:p>
        </w:tc>
        <w:tc>
          <w:tcPr>
            <w:tcW w:w="1282" w:type="dxa"/>
            <w:tcBorders>
              <w:top w:val="nil"/>
              <w:left w:val="nil"/>
              <w:bottom w:val="single" w:sz="8" w:space="0" w:color="auto"/>
              <w:right w:val="single" w:sz="8" w:space="0" w:color="auto"/>
            </w:tcBorders>
            <w:shd w:val="clear" w:color="auto" w:fill="auto"/>
            <w:vAlign w:val="center"/>
          </w:tcPr>
          <w:p w14:paraId="68F4945B" w14:textId="22BEE527" w:rsidR="001E51EE" w:rsidRPr="0066219A" w:rsidRDefault="001E51EE" w:rsidP="001E51EE">
            <w:pPr>
              <w:pStyle w:val="ListParagraph"/>
              <w:ind w:left="0"/>
              <w:jc w:val="right"/>
              <w:rPr>
                <w:rStyle w:val="Hyperlink"/>
                <w:rFonts w:asciiTheme="minorHAnsi" w:hAnsiTheme="minorHAnsi"/>
                <w:color w:val="auto"/>
                <w:sz w:val="22"/>
                <w:szCs w:val="22"/>
                <w:u w:val="none"/>
              </w:rPr>
            </w:pPr>
            <w:r w:rsidRPr="0066219A">
              <w:rPr>
                <w:rFonts w:asciiTheme="minorHAnsi" w:hAnsiTheme="minorHAnsi"/>
                <w:sz w:val="22"/>
                <w:szCs w:val="22"/>
              </w:rPr>
              <w:t>£490.08</w:t>
            </w:r>
          </w:p>
        </w:tc>
        <w:tc>
          <w:tcPr>
            <w:tcW w:w="1282" w:type="dxa"/>
          </w:tcPr>
          <w:p w14:paraId="09EC6398" w14:textId="12465935"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£495.08</w:t>
            </w:r>
          </w:p>
        </w:tc>
        <w:tc>
          <w:tcPr>
            <w:tcW w:w="1134" w:type="dxa"/>
            <w:tcBorders>
              <w:top w:val="nil"/>
              <w:left w:val="single" w:sz="4" w:space="0" w:color="auto"/>
              <w:bottom w:val="single" w:sz="4" w:space="0" w:color="auto"/>
              <w:right w:val="single" w:sz="4" w:space="0" w:color="auto"/>
            </w:tcBorders>
            <w:shd w:val="clear" w:color="auto" w:fill="auto"/>
            <w:vAlign w:val="bottom"/>
          </w:tcPr>
          <w:p w14:paraId="4CB56D59" w14:textId="3493ABCA" w:rsidR="001E51EE" w:rsidRPr="00CB0B87" w:rsidRDefault="001E51EE" w:rsidP="001E51EE">
            <w:pPr>
              <w:pStyle w:val="ListParagraph"/>
              <w:ind w:left="0"/>
              <w:jc w:val="right"/>
              <w:rPr>
                <w:rStyle w:val="Hyperlink"/>
                <w:rFonts w:asciiTheme="majorHAnsi" w:hAnsiTheme="majorHAnsi"/>
                <w:color w:val="auto"/>
                <w:sz w:val="22"/>
                <w:szCs w:val="22"/>
                <w:u w:val="none"/>
              </w:rPr>
            </w:pPr>
            <w:r>
              <w:rPr>
                <w:rFonts w:ascii="Aptos Narrow" w:hAnsi="Aptos Narrow"/>
                <w:color w:val="000000"/>
                <w:sz w:val="22"/>
                <w:szCs w:val="22"/>
              </w:rPr>
              <w:t>1.0%</w:t>
            </w:r>
          </w:p>
        </w:tc>
        <w:tc>
          <w:tcPr>
            <w:tcW w:w="1389" w:type="dxa"/>
          </w:tcPr>
          <w:p w14:paraId="6730D2D6" w14:textId="60F345CC"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£495.08</w:t>
            </w:r>
          </w:p>
        </w:tc>
      </w:tr>
      <w:tr w:rsidR="001E51EE" w14:paraId="7A95A26F" w14:textId="77777777" w:rsidTr="001E51EE">
        <w:tc>
          <w:tcPr>
            <w:tcW w:w="5009" w:type="dxa"/>
            <w:vAlign w:val="center"/>
          </w:tcPr>
          <w:p w14:paraId="58053043" w14:textId="50CC21DE"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FSM Ever 6</w:t>
            </w:r>
          </w:p>
        </w:tc>
        <w:tc>
          <w:tcPr>
            <w:tcW w:w="1282" w:type="dxa"/>
            <w:tcBorders>
              <w:top w:val="nil"/>
              <w:left w:val="nil"/>
              <w:bottom w:val="single" w:sz="8" w:space="0" w:color="auto"/>
              <w:right w:val="single" w:sz="8" w:space="0" w:color="auto"/>
            </w:tcBorders>
            <w:shd w:val="clear" w:color="auto" w:fill="auto"/>
            <w:vAlign w:val="center"/>
          </w:tcPr>
          <w:p w14:paraId="5A19505B" w14:textId="1069C0C5"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£1,200.20</w:t>
            </w:r>
          </w:p>
        </w:tc>
        <w:tc>
          <w:tcPr>
            <w:tcW w:w="1282" w:type="dxa"/>
          </w:tcPr>
          <w:p w14:paraId="182CA0FB" w14:textId="0A36C6F5"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£1,210.00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3288292" w14:textId="20322EF0"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0.8%</w:t>
            </w:r>
          </w:p>
        </w:tc>
        <w:tc>
          <w:tcPr>
            <w:tcW w:w="1389" w:type="dxa"/>
          </w:tcPr>
          <w:p w14:paraId="4425D628" w14:textId="184872D3"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£1,555.26</w:t>
            </w:r>
          </w:p>
        </w:tc>
      </w:tr>
      <w:tr w:rsidR="001E51EE" w14:paraId="26747F30" w14:textId="77777777" w:rsidTr="001E51EE">
        <w:tc>
          <w:tcPr>
            <w:tcW w:w="5009" w:type="dxa"/>
            <w:vAlign w:val="center"/>
          </w:tcPr>
          <w:p w14:paraId="59856E5D" w14:textId="423C2A79"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Flat FSM</w:t>
            </w:r>
          </w:p>
        </w:tc>
        <w:tc>
          <w:tcPr>
            <w:tcW w:w="1282" w:type="dxa"/>
            <w:tcBorders>
              <w:top w:val="nil"/>
              <w:left w:val="nil"/>
              <w:bottom w:val="single" w:sz="8" w:space="0" w:color="auto"/>
              <w:right w:val="single" w:sz="8" w:space="0" w:color="auto"/>
            </w:tcBorders>
            <w:shd w:val="clear" w:color="auto" w:fill="auto"/>
            <w:vAlign w:val="center"/>
          </w:tcPr>
          <w:p w14:paraId="6EE7D14E" w14:textId="4414F080"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£490.08</w:t>
            </w:r>
          </w:p>
        </w:tc>
        <w:tc>
          <w:tcPr>
            <w:tcW w:w="1282" w:type="dxa"/>
          </w:tcPr>
          <w:p w14:paraId="4E559047" w14:textId="31398F54"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£495.08</w:t>
            </w:r>
          </w:p>
        </w:tc>
        <w:tc>
          <w:tcPr>
            <w:tcW w:w="1134" w:type="dxa"/>
            <w:tcBorders>
              <w:top w:val="nil"/>
              <w:left w:val="single" w:sz="4" w:space="0" w:color="auto"/>
              <w:bottom w:val="single" w:sz="4" w:space="0" w:color="auto"/>
              <w:right w:val="single" w:sz="4" w:space="0" w:color="auto"/>
            </w:tcBorders>
            <w:shd w:val="clear" w:color="auto" w:fill="auto"/>
            <w:vAlign w:val="bottom"/>
          </w:tcPr>
          <w:p w14:paraId="438CBFD8" w14:textId="403F7CC3"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1.0%</w:t>
            </w:r>
          </w:p>
        </w:tc>
        <w:tc>
          <w:tcPr>
            <w:tcW w:w="1389" w:type="dxa"/>
          </w:tcPr>
          <w:p w14:paraId="09A8A953" w14:textId="221717C0"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£495.08</w:t>
            </w:r>
          </w:p>
        </w:tc>
      </w:tr>
      <w:tr w:rsidR="001E51EE" w14:paraId="4FA59C82" w14:textId="77777777" w:rsidTr="001E51EE">
        <w:tc>
          <w:tcPr>
            <w:tcW w:w="5009" w:type="dxa"/>
            <w:vAlign w:val="center"/>
          </w:tcPr>
          <w:p w14:paraId="5E402A74" w14:textId="19364238"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Deprivation – IDACI F</w:t>
            </w:r>
          </w:p>
        </w:tc>
        <w:tc>
          <w:tcPr>
            <w:tcW w:w="1282" w:type="dxa"/>
            <w:tcBorders>
              <w:top w:val="nil"/>
              <w:left w:val="nil"/>
              <w:bottom w:val="single" w:sz="8" w:space="0" w:color="auto"/>
              <w:right w:val="single" w:sz="8" w:space="0" w:color="auto"/>
            </w:tcBorders>
            <w:shd w:val="clear" w:color="auto" w:fill="auto"/>
            <w:vAlign w:val="center"/>
          </w:tcPr>
          <w:p w14:paraId="5EA9920F" w14:textId="725B3B69"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£235.04</w:t>
            </w:r>
          </w:p>
        </w:tc>
        <w:tc>
          <w:tcPr>
            <w:tcW w:w="1282" w:type="dxa"/>
          </w:tcPr>
          <w:p w14:paraId="2A553533" w14:textId="083C44CA"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£235.04</w:t>
            </w:r>
          </w:p>
        </w:tc>
        <w:tc>
          <w:tcPr>
            <w:tcW w:w="1134" w:type="dxa"/>
            <w:tcBorders>
              <w:top w:val="nil"/>
              <w:left w:val="single" w:sz="4" w:space="0" w:color="auto"/>
              <w:bottom w:val="single" w:sz="4" w:space="0" w:color="auto"/>
              <w:right w:val="single" w:sz="4" w:space="0" w:color="auto"/>
            </w:tcBorders>
            <w:shd w:val="clear" w:color="auto" w:fill="auto"/>
            <w:vAlign w:val="bottom"/>
          </w:tcPr>
          <w:p w14:paraId="21E6A0A6" w14:textId="5EA21AEE"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0.0%</w:t>
            </w:r>
          </w:p>
        </w:tc>
        <w:tc>
          <w:tcPr>
            <w:tcW w:w="1389" w:type="dxa"/>
          </w:tcPr>
          <w:p w14:paraId="27ADBFD8" w14:textId="51CA7F85"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£235.04</w:t>
            </w:r>
          </w:p>
        </w:tc>
      </w:tr>
      <w:tr w:rsidR="001E51EE" w14:paraId="5686656E" w14:textId="77777777" w:rsidTr="001E51EE">
        <w:tc>
          <w:tcPr>
            <w:tcW w:w="5009" w:type="dxa"/>
            <w:vAlign w:val="center"/>
          </w:tcPr>
          <w:p w14:paraId="1F71F54E" w14:textId="51972526"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Deprivation – IDACI E</w:t>
            </w:r>
          </w:p>
        </w:tc>
        <w:tc>
          <w:tcPr>
            <w:tcW w:w="1282" w:type="dxa"/>
            <w:tcBorders>
              <w:top w:val="nil"/>
              <w:left w:val="nil"/>
              <w:bottom w:val="single" w:sz="8" w:space="0" w:color="auto"/>
              <w:right w:val="single" w:sz="8" w:space="0" w:color="auto"/>
            </w:tcBorders>
            <w:shd w:val="clear" w:color="auto" w:fill="auto"/>
            <w:vAlign w:val="center"/>
          </w:tcPr>
          <w:p w14:paraId="71DC6F26" w14:textId="31030DFA"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£285.05</w:t>
            </w:r>
          </w:p>
        </w:tc>
        <w:tc>
          <w:tcPr>
            <w:tcW w:w="1282" w:type="dxa"/>
          </w:tcPr>
          <w:p w14:paraId="30A0FF63" w14:textId="3623CA71"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£285.05</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725919" w14:textId="0BF0115A"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0.0%</w:t>
            </w:r>
          </w:p>
        </w:tc>
        <w:tc>
          <w:tcPr>
            <w:tcW w:w="1389" w:type="dxa"/>
          </w:tcPr>
          <w:p w14:paraId="5CD0EFA5" w14:textId="3B6B659D"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£285.05</w:t>
            </w:r>
          </w:p>
        </w:tc>
      </w:tr>
      <w:tr w:rsidR="001E51EE" w14:paraId="74345F32" w14:textId="77777777" w:rsidTr="001E51EE">
        <w:tc>
          <w:tcPr>
            <w:tcW w:w="5009" w:type="dxa"/>
            <w:vAlign w:val="center"/>
          </w:tcPr>
          <w:p w14:paraId="7CEE1AA7" w14:textId="2E791599"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Deprivation – IDACI D</w:t>
            </w:r>
          </w:p>
        </w:tc>
        <w:tc>
          <w:tcPr>
            <w:tcW w:w="1282" w:type="dxa"/>
            <w:tcBorders>
              <w:top w:val="nil"/>
              <w:left w:val="nil"/>
              <w:bottom w:val="single" w:sz="8" w:space="0" w:color="auto"/>
              <w:right w:val="single" w:sz="8" w:space="0" w:color="auto"/>
            </w:tcBorders>
            <w:shd w:val="clear" w:color="auto" w:fill="auto"/>
            <w:vAlign w:val="center"/>
          </w:tcPr>
          <w:p w14:paraId="558175DF" w14:textId="5D3BF9C6"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£445.08</w:t>
            </w:r>
          </w:p>
        </w:tc>
        <w:tc>
          <w:tcPr>
            <w:tcW w:w="1282" w:type="dxa"/>
          </w:tcPr>
          <w:p w14:paraId="6293D9EE" w14:textId="03A76D1E"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£445.08</w:t>
            </w:r>
          </w:p>
        </w:tc>
        <w:tc>
          <w:tcPr>
            <w:tcW w:w="1134" w:type="dxa"/>
            <w:tcBorders>
              <w:top w:val="nil"/>
              <w:left w:val="single" w:sz="4" w:space="0" w:color="auto"/>
              <w:bottom w:val="single" w:sz="4" w:space="0" w:color="auto"/>
              <w:right w:val="single" w:sz="4" w:space="0" w:color="auto"/>
            </w:tcBorders>
            <w:shd w:val="clear" w:color="auto" w:fill="auto"/>
            <w:vAlign w:val="bottom"/>
          </w:tcPr>
          <w:p w14:paraId="5D1C6B35" w14:textId="13D66AF6"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0.0%</w:t>
            </w:r>
          </w:p>
        </w:tc>
        <w:tc>
          <w:tcPr>
            <w:tcW w:w="1389" w:type="dxa"/>
          </w:tcPr>
          <w:p w14:paraId="2649B1BD" w14:textId="03A794DF"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£445.08</w:t>
            </w:r>
          </w:p>
        </w:tc>
      </w:tr>
      <w:tr w:rsidR="001E51EE" w14:paraId="0C5846E7" w14:textId="77777777" w:rsidTr="001E51EE">
        <w:tc>
          <w:tcPr>
            <w:tcW w:w="5009" w:type="dxa"/>
            <w:vAlign w:val="center"/>
          </w:tcPr>
          <w:p w14:paraId="18350291" w14:textId="763E4C8B"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Deprivation – IDACI C</w:t>
            </w:r>
          </w:p>
        </w:tc>
        <w:tc>
          <w:tcPr>
            <w:tcW w:w="1282" w:type="dxa"/>
            <w:tcBorders>
              <w:top w:val="nil"/>
              <w:left w:val="nil"/>
              <w:bottom w:val="single" w:sz="8" w:space="0" w:color="auto"/>
              <w:right w:val="single" w:sz="8" w:space="0" w:color="auto"/>
            </w:tcBorders>
            <w:shd w:val="clear" w:color="auto" w:fill="auto"/>
            <w:vAlign w:val="center"/>
          </w:tcPr>
          <w:p w14:paraId="44B042D3" w14:textId="60EA057B"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£485.08</w:t>
            </w:r>
          </w:p>
        </w:tc>
        <w:tc>
          <w:tcPr>
            <w:tcW w:w="1282" w:type="dxa"/>
          </w:tcPr>
          <w:p w14:paraId="390083CD" w14:textId="786FB47B"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£490.08</w:t>
            </w:r>
          </w:p>
        </w:tc>
        <w:tc>
          <w:tcPr>
            <w:tcW w:w="1134" w:type="dxa"/>
            <w:tcBorders>
              <w:top w:val="nil"/>
              <w:left w:val="single" w:sz="4" w:space="0" w:color="auto"/>
              <w:bottom w:val="single" w:sz="4" w:space="0" w:color="auto"/>
              <w:right w:val="single" w:sz="4" w:space="0" w:color="auto"/>
            </w:tcBorders>
            <w:shd w:val="clear" w:color="auto" w:fill="auto"/>
            <w:vAlign w:val="bottom"/>
          </w:tcPr>
          <w:p w14:paraId="63CD1F92" w14:textId="23D21ADD"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1.0%</w:t>
            </w:r>
          </w:p>
        </w:tc>
        <w:tc>
          <w:tcPr>
            <w:tcW w:w="1389" w:type="dxa"/>
          </w:tcPr>
          <w:p w14:paraId="4F41048C" w14:textId="017F0B2A"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£490.08</w:t>
            </w:r>
          </w:p>
        </w:tc>
      </w:tr>
      <w:tr w:rsidR="001E51EE" w14:paraId="7A908E04" w14:textId="77777777" w:rsidTr="001E51EE">
        <w:tc>
          <w:tcPr>
            <w:tcW w:w="5009" w:type="dxa"/>
            <w:vAlign w:val="center"/>
          </w:tcPr>
          <w:p w14:paraId="31A4CFCE" w14:textId="4F0B7904"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Deprivation – IDACI B</w:t>
            </w:r>
          </w:p>
        </w:tc>
        <w:tc>
          <w:tcPr>
            <w:tcW w:w="1282" w:type="dxa"/>
            <w:tcBorders>
              <w:top w:val="nil"/>
              <w:left w:val="nil"/>
              <w:bottom w:val="single" w:sz="8" w:space="0" w:color="auto"/>
              <w:right w:val="single" w:sz="8" w:space="0" w:color="auto"/>
            </w:tcBorders>
            <w:shd w:val="clear" w:color="auto" w:fill="auto"/>
            <w:vAlign w:val="center"/>
          </w:tcPr>
          <w:p w14:paraId="1AC4DB0B" w14:textId="0CE136C0"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£515.09</w:t>
            </w:r>
          </w:p>
        </w:tc>
        <w:tc>
          <w:tcPr>
            <w:tcW w:w="1282" w:type="dxa"/>
          </w:tcPr>
          <w:p w14:paraId="0D13FA3C" w14:textId="3ACA349C"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£520.09</w:t>
            </w:r>
          </w:p>
        </w:tc>
        <w:tc>
          <w:tcPr>
            <w:tcW w:w="1134" w:type="dxa"/>
            <w:tcBorders>
              <w:top w:val="nil"/>
              <w:left w:val="single" w:sz="4" w:space="0" w:color="auto"/>
              <w:bottom w:val="single" w:sz="4" w:space="0" w:color="auto"/>
              <w:right w:val="single" w:sz="4" w:space="0" w:color="auto"/>
            </w:tcBorders>
            <w:shd w:val="clear" w:color="auto" w:fill="auto"/>
            <w:vAlign w:val="bottom"/>
          </w:tcPr>
          <w:p w14:paraId="52737CFA" w14:textId="4E5D4C4D"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1.0%</w:t>
            </w:r>
          </w:p>
        </w:tc>
        <w:tc>
          <w:tcPr>
            <w:tcW w:w="1389" w:type="dxa"/>
          </w:tcPr>
          <w:p w14:paraId="338E70F7" w14:textId="3D1036CB"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£520.09</w:t>
            </w:r>
          </w:p>
        </w:tc>
      </w:tr>
      <w:tr w:rsidR="001E51EE" w14:paraId="13EDF261" w14:textId="77777777" w:rsidTr="001E51EE">
        <w:tc>
          <w:tcPr>
            <w:tcW w:w="5009" w:type="dxa"/>
            <w:vAlign w:val="center"/>
          </w:tcPr>
          <w:p w14:paraId="5E4DFC6E" w14:textId="062E667F"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Deprivation – IDACI A</w:t>
            </w:r>
          </w:p>
        </w:tc>
        <w:tc>
          <w:tcPr>
            <w:tcW w:w="1282" w:type="dxa"/>
            <w:tcBorders>
              <w:top w:val="nil"/>
              <w:left w:val="nil"/>
              <w:bottom w:val="single" w:sz="8" w:space="0" w:color="auto"/>
              <w:right w:val="single" w:sz="8" w:space="0" w:color="auto"/>
            </w:tcBorders>
            <w:shd w:val="clear" w:color="auto" w:fill="auto"/>
            <w:vAlign w:val="center"/>
          </w:tcPr>
          <w:p w14:paraId="70D9E5FE" w14:textId="36FE08EA"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£680.12</w:t>
            </w:r>
          </w:p>
        </w:tc>
        <w:tc>
          <w:tcPr>
            <w:tcW w:w="1282" w:type="dxa"/>
          </w:tcPr>
          <w:p w14:paraId="72593FE6" w14:textId="3F992869"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£685.12</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F559DB" w14:textId="6C4512C4"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0.7%</w:t>
            </w:r>
          </w:p>
        </w:tc>
        <w:tc>
          <w:tcPr>
            <w:tcW w:w="1389" w:type="dxa"/>
          </w:tcPr>
          <w:p w14:paraId="338517C7" w14:textId="0F760EBF"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£685.12</w:t>
            </w:r>
          </w:p>
        </w:tc>
      </w:tr>
      <w:tr w:rsidR="001E51EE" w14:paraId="23136FC9" w14:textId="77777777" w:rsidTr="001E51EE">
        <w:tc>
          <w:tcPr>
            <w:tcW w:w="5009" w:type="dxa"/>
            <w:vAlign w:val="center"/>
          </w:tcPr>
          <w:p w14:paraId="2A7838D9" w14:textId="3D1EDA06"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IDACI F</w:t>
            </w:r>
          </w:p>
        </w:tc>
        <w:tc>
          <w:tcPr>
            <w:tcW w:w="1282" w:type="dxa"/>
            <w:tcBorders>
              <w:top w:val="nil"/>
              <w:left w:val="nil"/>
              <w:bottom w:val="single" w:sz="8" w:space="0" w:color="auto"/>
              <w:right w:val="single" w:sz="8" w:space="0" w:color="auto"/>
            </w:tcBorders>
            <w:shd w:val="clear" w:color="auto" w:fill="auto"/>
            <w:vAlign w:val="center"/>
          </w:tcPr>
          <w:p w14:paraId="6129ACDB" w14:textId="4AA8D671"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£340.06</w:t>
            </w:r>
          </w:p>
        </w:tc>
        <w:tc>
          <w:tcPr>
            <w:tcW w:w="1282" w:type="dxa"/>
          </w:tcPr>
          <w:p w14:paraId="16D9271A" w14:textId="71B00CF9"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£340.06</w:t>
            </w:r>
          </w:p>
        </w:tc>
        <w:tc>
          <w:tcPr>
            <w:tcW w:w="1134" w:type="dxa"/>
            <w:tcBorders>
              <w:top w:val="nil"/>
              <w:left w:val="single" w:sz="4" w:space="0" w:color="auto"/>
              <w:bottom w:val="single" w:sz="4" w:space="0" w:color="auto"/>
              <w:right w:val="single" w:sz="4" w:space="0" w:color="auto"/>
            </w:tcBorders>
            <w:shd w:val="clear" w:color="auto" w:fill="auto"/>
            <w:vAlign w:val="bottom"/>
          </w:tcPr>
          <w:p w14:paraId="23BDC63F" w14:textId="30EDDF84"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0.0%</w:t>
            </w:r>
          </w:p>
        </w:tc>
        <w:tc>
          <w:tcPr>
            <w:tcW w:w="1389" w:type="dxa"/>
          </w:tcPr>
          <w:p w14:paraId="426B2266" w14:textId="77AF8423"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£340.06</w:t>
            </w:r>
          </w:p>
        </w:tc>
      </w:tr>
      <w:tr w:rsidR="001E51EE" w14:paraId="29FDEF95" w14:textId="77777777" w:rsidTr="001E51EE">
        <w:tc>
          <w:tcPr>
            <w:tcW w:w="5009" w:type="dxa"/>
            <w:vAlign w:val="center"/>
          </w:tcPr>
          <w:p w14:paraId="3BB4257F" w14:textId="639EE162"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IDACI E</w:t>
            </w:r>
          </w:p>
        </w:tc>
        <w:tc>
          <w:tcPr>
            <w:tcW w:w="1282" w:type="dxa"/>
            <w:tcBorders>
              <w:top w:val="nil"/>
              <w:left w:val="nil"/>
              <w:bottom w:val="single" w:sz="8" w:space="0" w:color="auto"/>
              <w:right w:val="single" w:sz="8" w:space="0" w:color="auto"/>
            </w:tcBorders>
            <w:shd w:val="clear" w:color="auto" w:fill="auto"/>
            <w:vAlign w:val="center"/>
          </w:tcPr>
          <w:p w14:paraId="090F4AD0" w14:textId="4A379A4C"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£450.08</w:t>
            </w:r>
          </w:p>
        </w:tc>
        <w:tc>
          <w:tcPr>
            <w:tcW w:w="1282" w:type="dxa"/>
          </w:tcPr>
          <w:p w14:paraId="2AB5C097" w14:textId="09EE9B94"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£450.08</w:t>
            </w:r>
          </w:p>
        </w:tc>
        <w:tc>
          <w:tcPr>
            <w:tcW w:w="1134" w:type="dxa"/>
            <w:tcBorders>
              <w:top w:val="nil"/>
              <w:left w:val="single" w:sz="4" w:space="0" w:color="auto"/>
              <w:bottom w:val="single" w:sz="4" w:space="0" w:color="auto"/>
              <w:right w:val="single" w:sz="4" w:space="0" w:color="auto"/>
            </w:tcBorders>
            <w:shd w:val="clear" w:color="auto" w:fill="auto"/>
            <w:vAlign w:val="bottom"/>
          </w:tcPr>
          <w:p w14:paraId="19AA2F15" w14:textId="30A49D9A"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0.0%</w:t>
            </w:r>
          </w:p>
        </w:tc>
        <w:tc>
          <w:tcPr>
            <w:tcW w:w="1389" w:type="dxa"/>
          </w:tcPr>
          <w:p w14:paraId="30DD0462" w14:textId="7A7D9065"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£450.08</w:t>
            </w:r>
          </w:p>
        </w:tc>
      </w:tr>
      <w:tr w:rsidR="001E51EE" w14:paraId="57892599" w14:textId="77777777" w:rsidTr="001E51EE">
        <w:tc>
          <w:tcPr>
            <w:tcW w:w="5009" w:type="dxa"/>
            <w:vAlign w:val="center"/>
          </w:tcPr>
          <w:p w14:paraId="0DDCE1A7" w14:textId="61395832"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IDACI D</w:t>
            </w:r>
          </w:p>
        </w:tc>
        <w:tc>
          <w:tcPr>
            <w:tcW w:w="1282" w:type="dxa"/>
            <w:tcBorders>
              <w:top w:val="nil"/>
              <w:left w:val="nil"/>
              <w:bottom w:val="single" w:sz="8" w:space="0" w:color="auto"/>
              <w:right w:val="single" w:sz="8" w:space="0" w:color="auto"/>
            </w:tcBorders>
            <w:shd w:val="clear" w:color="auto" w:fill="auto"/>
            <w:vAlign w:val="center"/>
          </w:tcPr>
          <w:p w14:paraId="6DC971D2" w14:textId="52272901"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£630.11</w:t>
            </w:r>
          </w:p>
        </w:tc>
        <w:tc>
          <w:tcPr>
            <w:tcW w:w="1282" w:type="dxa"/>
          </w:tcPr>
          <w:p w14:paraId="6420814B" w14:textId="21D33EA1"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£635.11</w:t>
            </w:r>
          </w:p>
        </w:tc>
        <w:tc>
          <w:tcPr>
            <w:tcW w:w="1134" w:type="dxa"/>
            <w:tcBorders>
              <w:top w:val="nil"/>
              <w:left w:val="single" w:sz="4" w:space="0" w:color="auto"/>
              <w:bottom w:val="single" w:sz="4" w:space="0" w:color="auto"/>
              <w:right w:val="single" w:sz="4" w:space="0" w:color="auto"/>
            </w:tcBorders>
            <w:shd w:val="clear" w:color="auto" w:fill="auto"/>
            <w:vAlign w:val="bottom"/>
          </w:tcPr>
          <w:p w14:paraId="4E0D0BC3" w14:textId="363EDDD6"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0.8%</w:t>
            </w:r>
          </w:p>
        </w:tc>
        <w:tc>
          <w:tcPr>
            <w:tcW w:w="1389" w:type="dxa"/>
          </w:tcPr>
          <w:p w14:paraId="658918CC" w14:textId="1FEACF77"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£635.11</w:t>
            </w:r>
          </w:p>
        </w:tc>
      </w:tr>
      <w:tr w:rsidR="001E51EE" w14:paraId="0A775E40" w14:textId="77777777" w:rsidTr="001E51EE">
        <w:tc>
          <w:tcPr>
            <w:tcW w:w="5009" w:type="dxa"/>
            <w:vAlign w:val="center"/>
          </w:tcPr>
          <w:p w14:paraId="4374301B" w14:textId="6FF97012"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IDACI C</w:t>
            </w:r>
          </w:p>
        </w:tc>
        <w:tc>
          <w:tcPr>
            <w:tcW w:w="1282" w:type="dxa"/>
            <w:tcBorders>
              <w:top w:val="nil"/>
              <w:left w:val="nil"/>
              <w:bottom w:val="single" w:sz="8" w:space="0" w:color="auto"/>
              <w:right w:val="single" w:sz="8" w:space="0" w:color="auto"/>
            </w:tcBorders>
            <w:shd w:val="clear" w:color="auto" w:fill="auto"/>
            <w:vAlign w:val="center"/>
          </w:tcPr>
          <w:p w14:paraId="5B664743" w14:textId="435CEB92"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£690.12</w:t>
            </w:r>
          </w:p>
        </w:tc>
        <w:tc>
          <w:tcPr>
            <w:tcW w:w="1282" w:type="dxa"/>
          </w:tcPr>
          <w:p w14:paraId="7DC8ABCE" w14:textId="4016735D"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£695.12</w:t>
            </w:r>
          </w:p>
        </w:tc>
        <w:tc>
          <w:tcPr>
            <w:tcW w:w="1134" w:type="dxa"/>
            <w:tcBorders>
              <w:top w:val="nil"/>
              <w:left w:val="single" w:sz="4" w:space="0" w:color="auto"/>
              <w:bottom w:val="single" w:sz="4" w:space="0" w:color="auto"/>
              <w:right w:val="single" w:sz="4" w:space="0" w:color="auto"/>
            </w:tcBorders>
            <w:shd w:val="clear" w:color="auto" w:fill="auto"/>
            <w:vAlign w:val="bottom"/>
          </w:tcPr>
          <w:p w14:paraId="1673EF35" w14:textId="24D119C2"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0.7%</w:t>
            </w:r>
          </w:p>
        </w:tc>
        <w:tc>
          <w:tcPr>
            <w:tcW w:w="1389" w:type="dxa"/>
          </w:tcPr>
          <w:p w14:paraId="78AC70FC" w14:textId="2D2A2B39"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£695.12</w:t>
            </w:r>
          </w:p>
        </w:tc>
      </w:tr>
      <w:tr w:rsidR="001E51EE" w14:paraId="6605E9AA" w14:textId="77777777" w:rsidTr="00B071A7">
        <w:tc>
          <w:tcPr>
            <w:tcW w:w="5009" w:type="dxa"/>
            <w:vAlign w:val="center"/>
          </w:tcPr>
          <w:p w14:paraId="2067638A" w14:textId="4F4D50AF"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IDACI B</w:t>
            </w:r>
          </w:p>
        </w:tc>
        <w:tc>
          <w:tcPr>
            <w:tcW w:w="1282" w:type="dxa"/>
            <w:tcBorders>
              <w:top w:val="nil"/>
              <w:left w:val="nil"/>
              <w:bottom w:val="single" w:sz="4" w:space="0" w:color="auto"/>
              <w:right w:val="single" w:sz="8" w:space="0" w:color="auto"/>
            </w:tcBorders>
            <w:shd w:val="clear" w:color="auto" w:fill="auto"/>
            <w:vAlign w:val="center"/>
          </w:tcPr>
          <w:p w14:paraId="39627801" w14:textId="5EC62291"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£740.13</w:t>
            </w:r>
          </w:p>
        </w:tc>
        <w:tc>
          <w:tcPr>
            <w:tcW w:w="1282" w:type="dxa"/>
            <w:tcBorders>
              <w:bottom w:val="single" w:sz="4" w:space="0" w:color="auto"/>
            </w:tcBorders>
          </w:tcPr>
          <w:p w14:paraId="11A29429" w14:textId="38549E90"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£745.13</w:t>
            </w:r>
          </w:p>
        </w:tc>
        <w:tc>
          <w:tcPr>
            <w:tcW w:w="1134" w:type="dxa"/>
            <w:tcBorders>
              <w:top w:val="nil"/>
              <w:left w:val="single" w:sz="4" w:space="0" w:color="auto"/>
              <w:bottom w:val="single" w:sz="4" w:space="0" w:color="auto"/>
              <w:right w:val="single" w:sz="4" w:space="0" w:color="auto"/>
            </w:tcBorders>
            <w:shd w:val="clear" w:color="auto" w:fill="auto"/>
            <w:vAlign w:val="bottom"/>
          </w:tcPr>
          <w:p w14:paraId="251A9B8C" w14:textId="04D5F81A"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0.7%</w:t>
            </w:r>
          </w:p>
        </w:tc>
        <w:tc>
          <w:tcPr>
            <w:tcW w:w="1389" w:type="dxa"/>
            <w:tcBorders>
              <w:bottom w:val="single" w:sz="4" w:space="0" w:color="auto"/>
            </w:tcBorders>
          </w:tcPr>
          <w:p w14:paraId="08CE1B9C" w14:textId="195799D1"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£745.13</w:t>
            </w:r>
          </w:p>
        </w:tc>
      </w:tr>
      <w:tr w:rsidR="001E51EE" w14:paraId="7806CE48" w14:textId="77777777" w:rsidTr="00B071A7">
        <w:tc>
          <w:tcPr>
            <w:tcW w:w="5009" w:type="dxa"/>
            <w:vAlign w:val="center"/>
          </w:tcPr>
          <w:p w14:paraId="0BE20F3B" w14:textId="641D2403"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Deprivation – IDACI A</w:t>
            </w:r>
          </w:p>
        </w:tc>
        <w:tc>
          <w:tcPr>
            <w:tcW w:w="1282" w:type="dxa"/>
            <w:tcBorders>
              <w:top w:val="single" w:sz="4" w:space="0" w:color="auto"/>
              <w:left w:val="nil"/>
              <w:bottom w:val="single" w:sz="8" w:space="0" w:color="auto"/>
              <w:right w:val="single" w:sz="8" w:space="0" w:color="auto"/>
            </w:tcBorders>
            <w:shd w:val="clear" w:color="auto" w:fill="auto"/>
            <w:vAlign w:val="center"/>
          </w:tcPr>
          <w:p w14:paraId="7A6EF032" w14:textId="72290F68"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£945.16</w:t>
            </w:r>
          </w:p>
        </w:tc>
        <w:tc>
          <w:tcPr>
            <w:tcW w:w="1282" w:type="dxa"/>
            <w:tcBorders>
              <w:top w:val="single" w:sz="4" w:space="0" w:color="auto"/>
            </w:tcBorders>
          </w:tcPr>
          <w:p w14:paraId="0D019CFD" w14:textId="2153C3BF"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£950.16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F03BE7" w14:textId="1F9BC202"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0.5%</w:t>
            </w:r>
          </w:p>
        </w:tc>
        <w:tc>
          <w:tcPr>
            <w:tcW w:w="1389" w:type="dxa"/>
            <w:tcBorders>
              <w:top w:val="single" w:sz="4" w:space="0" w:color="auto"/>
            </w:tcBorders>
          </w:tcPr>
          <w:p w14:paraId="4836C3EA" w14:textId="5664CA0A"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£950.16</w:t>
            </w:r>
          </w:p>
        </w:tc>
      </w:tr>
      <w:tr w:rsidR="001E51EE" w14:paraId="2FBAB3DC" w14:textId="77777777" w:rsidTr="003C1E6C">
        <w:tc>
          <w:tcPr>
            <w:tcW w:w="5009" w:type="dxa"/>
            <w:vAlign w:val="center"/>
          </w:tcPr>
          <w:p w14:paraId="38249E09" w14:textId="4CFB6A25"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Eng as an Additional Language</w:t>
            </w:r>
          </w:p>
        </w:tc>
        <w:tc>
          <w:tcPr>
            <w:tcW w:w="1282" w:type="dxa"/>
            <w:tcBorders>
              <w:top w:val="single" w:sz="8" w:space="0" w:color="auto"/>
              <w:left w:val="nil"/>
              <w:bottom w:val="single" w:sz="8" w:space="0" w:color="auto"/>
              <w:right w:val="single" w:sz="8" w:space="0" w:color="auto"/>
            </w:tcBorders>
            <w:shd w:val="clear" w:color="auto" w:fill="auto"/>
            <w:vAlign w:val="center"/>
          </w:tcPr>
          <w:p w14:paraId="6FCF9F1A" w14:textId="2C40F6DA"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£590.10</w:t>
            </w:r>
          </w:p>
        </w:tc>
        <w:tc>
          <w:tcPr>
            <w:tcW w:w="1282" w:type="dxa"/>
          </w:tcPr>
          <w:p w14:paraId="0B178E80" w14:textId="7C241E23"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£595.10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C28743" w14:textId="356E81EC"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0.8%</w:t>
            </w:r>
          </w:p>
        </w:tc>
        <w:tc>
          <w:tcPr>
            <w:tcW w:w="1389" w:type="dxa"/>
          </w:tcPr>
          <w:p w14:paraId="3ECBE91C" w14:textId="2EE72623"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£595.10</w:t>
            </w:r>
          </w:p>
        </w:tc>
      </w:tr>
      <w:tr w:rsidR="001E51EE" w14:paraId="24844769" w14:textId="77777777" w:rsidTr="001E51EE">
        <w:tc>
          <w:tcPr>
            <w:tcW w:w="5009" w:type="dxa"/>
            <w:vAlign w:val="center"/>
          </w:tcPr>
          <w:p w14:paraId="2892CCD9" w14:textId="6423EC39"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Eng as an Additional Language</w:t>
            </w:r>
          </w:p>
        </w:tc>
        <w:tc>
          <w:tcPr>
            <w:tcW w:w="1282" w:type="dxa"/>
            <w:tcBorders>
              <w:top w:val="nil"/>
              <w:left w:val="nil"/>
              <w:bottom w:val="single" w:sz="8" w:space="0" w:color="auto"/>
              <w:right w:val="single" w:sz="8" w:space="0" w:color="auto"/>
            </w:tcBorders>
            <w:shd w:val="clear" w:color="000000" w:fill="FFFFFF"/>
            <w:vAlign w:val="center"/>
          </w:tcPr>
          <w:p w14:paraId="22C97714" w14:textId="534ADC97"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£1,585.27</w:t>
            </w:r>
          </w:p>
        </w:tc>
        <w:tc>
          <w:tcPr>
            <w:tcW w:w="1282" w:type="dxa"/>
          </w:tcPr>
          <w:p w14:paraId="25E9F05E" w14:textId="10A517F5"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£1,595.27</w:t>
            </w:r>
          </w:p>
        </w:tc>
        <w:tc>
          <w:tcPr>
            <w:tcW w:w="1134" w:type="dxa"/>
            <w:tcBorders>
              <w:top w:val="nil"/>
              <w:left w:val="single" w:sz="4" w:space="0" w:color="auto"/>
              <w:bottom w:val="single" w:sz="4" w:space="0" w:color="auto"/>
              <w:right w:val="single" w:sz="4" w:space="0" w:color="auto"/>
            </w:tcBorders>
            <w:shd w:val="clear" w:color="auto" w:fill="auto"/>
            <w:vAlign w:val="bottom"/>
          </w:tcPr>
          <w:p w14:paraId="1AB6FF2C" w14:textId="6B7B013D"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0.6%</w:t>
            </w:r>
          </w:p>
        </w:tc>
        <w:tc>
          <w:tcPr>
            <w:tcW w:w="1389" w:type="dxa"/>
          </w:tcPr>
          <w:p w14:paraId="7967F739" w14:textId="22FEF4BE"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£1,595.27</w:t>
            </w:r>
          </w:p>
        </w:tc>
      </w:tr>
      <w:tr w:rsidR="001E51EE" w14:paraId="580E6E6D" w14:textId="77777777" w:rsidTr="001E51EE">
        <w:tc>
          <w:tcPr>
            <w:tcW w:w="5009" w:type="dxa"/>
            <w:vAlign w:val="center"/>
          </w:tcPr>
          <w:p w14:paraId="01B44ACF" w14:textId="512A3E4B"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 xml:space="preserve">Primary – Low Prior Attainment </w:t>
            </w:r>
          </w:p>
        </w:tc>
        <w:tc>
          <w:tcPr>
            <w:tcW w:w="1282" w:type="dxa"/>
            <w:tcBorders>
              <w:top w:val="nil"/>
              <w:left w:val="nil"/>
              <w:bottom w:val="single" w:sz="8" w:space="0" w:color="auto"/>
              <w:right w:val="single" w:sz="8" w:space="0" w:color="auto"/>
            </w:tcBorders>
            <w:shd w:val="clear" w:color="auto" w:fill="auto"/>
            <w:vAlign w:val="center"/>
          </w:tcPr>
          <w:p w14:paraId="7CA69B7F" w14:textId="79FD6D0F"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£1,170.20</w:t>
            </w:r>
          </w:p>
        </w:tc>
        <w:tc>
          <w:tcPr>
            <w:tcW w:w="1282" w:type="dxa"/>
          </w:tcPr>
          <w:p w14:paraId="1EA84F1A" w14:textId="2894D391"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£1,175.20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9EF5B82" w14:textId="68EB7E70"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0.4%</w:t>
            </w:r>
          </w:p>
        </w:tc>
        <w:tc>
          <w:tcPr>
            <w:tcW w:w="1389" w:type="dxa"/>
          </w:tcPr>
          <w:p w14:paraId="2E965382" w14:textId="2505EF2E"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£1,175.20</w:t>
            </w:r>
          </w:p>
        </w:tc>
      </w:tr>
      <w:tr w:rsidR="001E51EE" w14:paraId="0A1F59CC" w14:textId="77777777" w:rsidTr="001E51EE">
        <w:tc>
          <w:tcPr>
            <w:tcW w:w="5009" w:type="dxa"/>
            <w:vAlign w:val="center"/>
          </w:tcPr>
          <w:p w14:paraId="3CAF4163" w14:textId="5CA49930"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 xml:space="preserve">Secondary – Low Prior Attainment </w:t>
            </w:r>
          </w:p>
        </w:tc>
        <w:tc>
          <w:tcPr>
            <w:tcW w:w="1282" w:type="dxa"/>
            <w:tcBorders>
              <w:top w:val="nil"/>
              <w:left w:val="nil"/>
              <w:bottom w:val="single" w:sz="8" w:space="0" w:color="auto"/>
              <w:right w:val="single" w:sz="8" w:space="0" w:color="auto"/>
            </w:tcBorders>
            <w:shd w:val="clear" w:color="auto" w:fill="auto"/>
            <w:vAlign w:val="center"/>
          </w:tcPr>
          <w:p w14:paraId="2A6C3B1F" w14:textId="0A4DE159"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£1,775.30</w:t>
            </w:r>
          </w:p>
        </w:tc>
        <w:tc>
          <w:tcPr>
            <w:tcW w:w="1282" w:type="dxa"/>
          </w:tcPr>
          <w:p w14:paraId="1524EB08" w14:textId="7085390A"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£1,785.30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459526B" w14:textId="2D5E8381"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0.6%</w:t>
            </w:r>
          </w:p>
        </w:tc>
        <w:tc>
          <w:tcPr>
            <w:tcW w:w="1389" w:type="dxa"/>
          </w:tcPr>
          <w:p w14:paraId="31BBBBC6" w14:textId="7411B746"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£1,785.30</w:t>
            </w:r>
          </w:p>
        </w:tc>
      </w:tr>
      <w:tr w:rsidR="001E51EE" w14:paraId="4C3C9815" w14:textId="77777777" w:rsidTr="001E51EE">
        <w:tc>
          <w:tcPr>
            <w:tcW w:w="5009" w:type="dxa"/>
            <w:vAlign w:val="center"/>
          </w:tcPr>
          <w:p w14:paraId="6FC4A9CB" w14:textId="3195AD64"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Pupil Mobility</w:t>
            </w:r>
          </w:p>
        </w:tc>
        <w:tc>
          <w:tcPr>
            <w:tcW w:w="1282" w:type="dxa"/>
            <w:tcBorders>
              <w:top w:val="nil"/>
              <w:left w:val="nil"/>
              <w:bottom w:val="single" w:sz="8" w:space="0" w:color="auto"/>
              <w:right w:val="single" w:sz="8" w:space="0" w:color="auto"/>
            </w:tcBorders>
            <w:shd w:val="clear" w:color="auto" w:fill="auto"/>
            <w:vAlign w:val="center"/>
          </w:tcPr>
          <w:p w14:paraId="66B2C3E9" w14:textId="68CAC169"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£960.16</w:t>
            </w:r>
          </w:p>
        </w:tc>
        <w:tc>
          <w:tcPr>
            <w:tcW w:w="1282" w:type="dxa"/>
          </w:tcPr>
          <w:p w14:paraId="7312A286" w14:textId="41EA2CE5"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£965.16</w:t>
            </w:r>
          </w:p>
        </w:tc>
        <w:tc>
          <w:tcPr>
            <w:tcW w:w="1134" w:type="dxa"/>
            <w:tcBorders>
              <w:top w:val="nil"/>
              <w:left w:val="single" w:sz="4" w:space="0" w:color="auto"/>
              <w:bottom w:val="single" w:sz="4" w:space="0" w:color="auto"/>
              <w:right w:val="single" w:sz="4" w:space="0" w:color="auto"/>
            </w:tcBorders>
            <w:shd w:val="clear" w:color="auto" w:fill="auto"/>
            <w:vAlign w:val="bottom"/>
          </w:tcPr>
          <w:p w14:paraId="2CF1E990" w14:textId="1DE7A629"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0.5%</w:t>
            </w:r>
          </w:p>
        </w:tc>
        <w:tc>
          <w:tcPr>
            <w:tcW w:w="1389" w:type="dxa"/>
          </w:tcPr>
          <w:p w14:paraId="579A0EF4" w14:textId="59FCB34F"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£965.16</w:t>
            </w:r>
          </w:p>
        </w:tc>
      </w:tr>
      <w:tr w:rsidR="001E51EE" w14:paraId="7C8EF4E8" w14:textId="77777777" w:rsidTr="001E51EE">
        <w:tc>
          <w:tcPr>
            <w:tcW w:w="5009" w:type="dxa"/>
            <w:vAlign w:val="center"/>
          </w:tcPr>
          <w:p w14:paraId="4BA3379E" w14:textId="56299ED5"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Secondary – Pupil Mobility</w:t>
            </w:r>
          </w:p>
        </w:tc>
        <w:tc>
          <w:tcPr>
            <w:tcW w:w="1282" w:type="dxa"/>
            <w:tcBorders>
              <w:top w:val="nil"/>
              <w:left w:val="nil"/>
              <w:bottom w:val="single" w:sz="8" w:space="0" w:color="auto"/>
              <w:right w:val="single" w:sz="8" w:space="0" w:color="auto"/>
            </w:tcBorders>
            <w:shd w:val="clear" w:color="auto" w:fill="auto"/>
            <w:vAlign w:val="center"/>
          </w:tcPr>
          <w:p w14:paraId="4F998802" w14:textId="456ACE2F"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£1,380.23</w:t>
            </w:r>
          </w:p>
        </w:tc>
        <w:tc>
          <w:tcPr>
            <w:tcW w:w="1282" w:type="dxa"/>
          </w:tcPr>
          <w:p w14:paraId="500385E0" w14:textId="6C029F2A"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£1,385.30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233B15A" w14:textId="5ADE3282"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0.4%</w:t>
            </w:r>
          </w:p>
        </w:tc>
        <w:tc>
          <w:tcPr>
            <w:tcW w:w="1389" w:type="dxa"/>
          </w:tcPr>
          <w:p w14:paraId="04278E69" w14:textId="29BDB8C2"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£1,385.30</w:t>
            </w:r>
          </w:p>
        </w:tc>
      </w:tr>
      <w:tr w:rsidR="001E51EE" w14:paraId="56110DA1" w14:textId="77777777" w:rsidTr="001E51EE">
        <w:tc>
          <w:tcPr>
            <w:tcW w:w="5009" w:type="dxa"/>
            <w:vAlign w:val="center"/>
          </w:tcPr>
          <w:p w14:paraId="13567347" w14:textId="15BF327D" w:rsidR="001E51EE" w:rsidRPr="009121C8" w:rsidRDefault="001E51EE" w:rsidP="001E51EE">
            <w:pPr>
              <w:pStyle w:val="ListParagraph"/>
              <w:ind w:left="0"/>
              <w:rPr>
                <w:rStyle w:val="Hyperlink"/>
                <w:rFonts w:asciiTheme="minorHAnsi" w:hAnsiTheme="minorHAnsi"/>
                <w:color w:val="auto"/>
                <w:u w:val="none"/>
              </w:rPr>
            </w:pPr>
            <w:r w:rsidRPr="009121C8">
              <w:rPr>
                <w:rFonts w:asciiTheme="minorHAnsi" w:hAnsiTheme="minorHAnsi"/>
                <w:sz w:val="22"/>
                <w:szCs w:val="22"/>
              </w:rPr>
              <w:t>Primary – Minimum £APP (MFL)</w:t>
            </w:r>
          </w:p>
        </w:tc>
        <w:tc>
          <w:tcPr>
            <w:tcW w:w="1282" w:type="dxa"/>
            <w:tcBorders>
              <w:top w:val="nil"/>
              <w:left w:val="nil"/>
              <w:bottom w:val="single" w:sz="8" w:space="0" w:color="auto"/>
              <w:right w:val="single" w:sz="8" w:space="0" w:color="auto"/>
            </w:tcBorders>
            <w:shd w:val="clear" w:color="auto" w:fill="auto"/>
            <w:vAlign w:val="center"/>
          </w:tcPr>
          <w:p w14:paraId="76911C2B" w14:textId="2D74B046"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£4,610</w:t>
            </w:r>
          </w:p>
        </w:tc>
        <w:tc>
          <w:tcPr>
            <w:tcW w:w="1282" w:type="dxa"/>
          </w:tcPr>
          <w:p w14:paraId="37F2925C" w14:textId="23580379"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£4,676</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E5AD42" w14:textId="1944873C"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1.4%</w:t>
            </w:r>
          </w:p>
        </w:tc>
        <w:tc>
          <w:tcPr>
            <w:tcW w:w="1389" w:type="dxa"/>
          </w:tcPr>
          <w:p w14:paraId="5934B503" w14:textId="59D6F04A"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£4,995</w:t>
            </w:r>
          </w:p>
        </w:tc>
      </w:tr>
      <w:tr w:rsidR="001E51EE" w14:paraId="6E84AA16" w14:textId="77777777" w:rsidTr="001E51EE">
        <w:tc>
          <w:tcPr>
            <w:tcW w:w="5009" w:type="dxa"/>
            <w:vAlign w:val="center"/>
          </w:tcPr>
          <w:p w14:paraId="55908FB2" w14:textId="727E110A" w:rsidR="001E51EE" w:rsidRPr="009121C8" w:rsidRDefault="001E51EE" w:rsidP="001E51EE">
            <w:pPr>
              <w:pStyle w:val="ListParagraph"/>
              <w:ind w:left="0"/>
              <w:rPr>
                <w:rFonts w:asciiTheme="minorHAnsi" w:hAnsiTheme="minorHAnsi"/>
              </w:rPr>
            </w:pPr>
            <w:r w:rsidRPr="009121C8">
              <w:rPr>
                <w:rFonts w:asciiTheme="minorHAnsi" w:hAnsiTheme="minorHAnsi"/>
                <w:sz w:val="22"/>
                <w:szCs w:val="22"/>
              </w:rPr>
              <w:t>Secondary – Minimum £APP (MFL)</w:t>
            </w:r>
          </w:p>
        </w:tc>
        <w:tc>
          <w:tcPr>
            <w:tcW w:w="1282" w:type="dxa"/>
            <w:tcBorders>
              <w:top w:val="nil"/>
              <w:left w:val="nil"/>
              <w:bottom w:val="single" w:sz="8" w:space="0" w:color="auto"/>
              <w:right w:val="single" w:sz="8" w:space="0" w:color="auto"/>
            </w:tcBorders>
            <w:shd w:val="clear" w:color="auto" w:fill="auto"/>
            <w:vAlign w:val="center"/>
          </w:tcPr>
          <w:p w14:paraId="25E5868B" w14:textId="709B470B"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£5,995</w:t>
            </w:r>
          </w:p>
        </w:tc>
        <w:tc>
          <w:tcPr>
            <w:tcW w:w="1282" w:type="dxa"/>
          </w:tcPr>
          <w:p w14:paraId="71674508" w14:textId="1865AF5D"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£6,032</w:t>
            </w:r>
          </w:p>
        </w:tc>
        <w:tc>
          <w:tcPr>
            <w:tcW w:w="1134" w:type="dxa"/>
            <w:tcBorders>
              <w:top w:val="nil"/>
              <w:left w:val="single" w:sz="4" w:space="0" w:color="auto"/>
              <w:bottom w:val="single" w:sz="4" w:space="0" w:color="auto"/>
              <w:right w:val="single" w:sz="4" w:space="0" w:color="auto"/>
            </w:tcBorders>
            <w:shd w:val="clear" w:color="auto" w:fill="auto"/>
            <w:vAlign w:val="bottom"/>
          </w:tcPr>
          <w:p w14:paraId="21D02923" w14:textId="7504D2C0"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0.6%</w:t>
            </w:r>
          </w:p>
        </w:tc>
        <w:tc>
          <w:tcPr>
            <w:tcW w:w="1389" w:type="dxa"/>
          </w:tcPr>
          <w:p w14:paraId="49C6E67A" w14:textId="708EBECD"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£6,465</w:t>
            </w:r>
          </w:p>
        </w:tc>
      </w:tr>
      <w:tr w:rsidR="001E51EE" w14:paraId="64942E1D" w14:textId="77777777" w:rsidTr="001E51EE">
        <w:tc>
          <w:tcPr>
            <w:tcW w:w="5009" w:type="dxa"/>
            <w:vAlign w:val="center"/>
          </w:tcPr>
          <w:p w14:paraId="11C0AB47" w14:textId="23B9F929" w:rsidR="001E51EE" w:rsidRPr="009121C8" w:rsidRDefault="001E51EE" w:rsidP="001E51EE">
            <w:pPr>
              <w:pStyle w:val="ListParagraph"/>
              <w:ind w:left="0"/>
              <w:rPr>
                <w:rFonts w:asciiTheme="minorHAnsi" w:hAnsiTheme="minorHAnsi"/>
              </w:rPr>
            </w:pPr>
            <w:r w:rsidRPr="009121C8">
              <w:rPr>
                <w:rFonts w:asciiTheme="minorHAnsi" w:hAnsiTheme="minorHAnsi"/>
                <w:sz w:val="22"/>
                <w:szCs w:val="22"/>
              </w:rPr>
              <w:t>Split Sites – Basic Entitlement Lump Sum</w:t>
            </w:r>
          </w:p>
        </w:tc>
        <w:tc>
          <w:tcPr>
            <w:tcW w:w="1282" w:type="dxa"/>
            <w:tcBorders>
              <w:top w:val="nil"/>
              <w:left w:val="nil"/>
              <w:bottom w:val="single" w:sz="8" w:space="0" w:color="auto"/>
              <w:right w:val="single" w:sz="8" w:space="0" w:color="auto"/>
            </w:tcBorders>
            <w:shd w:val="clear" w:color="auto" w:fill="auto"/>
            <w:vAlign w:val="center"/>
          </w:tcPr>
          <w:p w14:paraId="277773A6" w14:textId="10015421"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£53,709</w:t>
            </w:r>
          </w:p>
        </w:tc>
        <w:tc>
          <w:tcPr>
            <w:tcW w:w="1282" w:type="dxa"/>
          </w:tcPr>
          <w:p w14:paraId="2C9C6B44" w14:textId="6D1C2148"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£53,969</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CBDFE1" w14:textId="5515F44E"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0.5%</w:t>
            </w:r>
          </w:p>
        </w:tc>
        <w:tc>
          <w:tcPr>
            <w:tcW w:w="1389" w:type="dxa"/>
          </w:tcPr>
          <w:p w14:paraId="33587BDA" w14:textId="6C288E57"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£53,969</w:t>
            </w:r>
          </w:p>
        </w:tc>
      </w:tr>
      <w:tr w:rsidR="001E51EE" w14:paraId="6BB77008" w14:textId="77777777" w:rsidTr="001E51EE">
        <w:tc>
          <w:tcPr>
            <w:tcW w:w="5009" w:type="dxa"/>
            <w:vAlign w:val="center"/>
          </w:tcPr>
          <w:p w14:paraId="21D0DC39" w14:textId="7751E2F5" w:rsidR="001E51EE" w:rsidRPr="009121C8" w:rsidRDefault="001E51EE" w:rsidP="001E51EE">
            <w:pPr>
              <w:pStyle w:val="ListParagraph"/>
              <w:ind w:left="0"/>
              <w:rPr>
                <w:rFonts w:asciiTheme="minorHAnsi" w:hAnsiTheme="minorHAnsi"/>
              </w:rPr>
            </w:pPr>
            <w:r w:rsidRPr="009121C8">
              <w:rPr>
                <w:rFonts w:asciiTheme="minorHAnsi" w:hAnsiTheme="minorHAnsi"/>
                <w:sz w:val="22"/>
                <w:szCs w:val="22"/>
              </w:rPr>
              <w:t>Split Sites – Maximum Distance Lump Sum</w:t>
            </w:r>
          </w:p>
        </w:tc>
        <w:tc>
          <w:tcPr>
            <w:tcW w:w="1282" w:type="dxa"/>
            <w:tcBorders>
              <w:top w:val="nil"/>
              <w:left w:val="nil"/>
              <w:bottom w:val="single" w:sz="8" w:space="0" w:color="auto"/>
              <w:right w:val="single" w:sz="8" w:space="0" w:color="auto"/>
            </w:tcBorders>
            <w:shd w:val="clear" w:color="auto" w:fill="auto"/>
            <w:vAlign w:val="center"/>
          </w:tcPr>
          <w:p w14:paraId="649D2C0E" w14:textId="1E053574"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£26,905</w:t>
            </w:r>
          </w:p>
        </w:tc>
        <w:tc>
          <w:tcPr>
            <w:tcW w:w="1282" w:type="dxa"/>
          </w:tcPr>
          <w:p w14:paraId="7CAFFB82" w14:textId="6B35A736"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£27,035</w:t>
            </w:r>
          </w:p>
        </w:tc>
        <w:tc>
          <w:tcPr>
            <w:tcW w:w="1134" w:type="dxa"/>
            <w:tcBorders>
              <w:top w:val="nil"/>
              <w:left w:val="single" w:sz="4" w:space="0" w:color="auto"/>
              <w:bottom w:val="single" w:sz="4" w:space="0" w:color="auto"/>
              <w:right w:val="single" w:sz="4" w:space="0" w:color="auto"/>
            </w:tcBorders>
            <w:shd w:val="clear" w:color="auto" w:fill="auto"/>
            <w:vAlign w:val="bottom"/>
          </w:tcPr>
          <w:p w14:paraId="0650B60C" w14:textId="464A252F"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0.5%</w:t>
            </w:r>
          </w:p>
        </w:tc>
        <w:tc>
          <w:tcPr>
            <w:tcW w:w="1389" w:type="dxa"/>
          </w:tcPr>
          <w:p w14:paraId="61649BBC" w14:textId="73D25A06"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£27,035</w:t>
            </w:r>
          </w:p>
        </w:tc>
      </w:tr>
      <w:tr w:rsidR="001E51EE" w14:paraId="26037F7E" w14:textId="77777777" w:rsidTr="001E51EE">
        <w:tc>
          <w:tcPr>
            <w:tcW w:w="5009" w:type="dxa"/>
            <w:vAlign w:val="center"/>
          </w:tcPr>
          <w:p w14:paraId="01C2901A" w14:textId="6F3ED34C" w:rsidR="001E51EE" w:rsidRPr="009121C8" w:rsidRDefault="001E51EE" w:rsidP="001E51EE">
            <w:pPr>
              <w:pStyle w:val="ListParagraph"/>
              <w:ind w:left="0"/>
              <w:rPr>
                <w:rFonts w:asciiTheme="minorHAnsi" w:hAnsiTheme="minorHAnsi"/>
              </w:rPr>
            </w:pPr>
            <w:r w:rsidRPr="009121C8">
              <w:rPr>
                <w:rFonts w:asciiTheme="minorHAnsi" w:hAnsiTheme="minorHAnsi"/>
                <w:sz w:val="22"/>
                <w:szCs w:val="22"/>
              </w:rPr>
              <w:t>Primary – Sparsity Lump Sum</w:t>
            </w:r>
          </w:p>
        </w:tc>
        <w:tc>
          <w:tcPr>
            <w:tcW w:w="1282" w:type="dxa"/>
            <w:tcBorders>
              <w:top w:val="nil"/>
              <w:left w:val="nil"/>
              <w:bottom w:val="single" w:sz="8" w:space="0" w:color="auto"/>
              <w:right w:val="single" w:sz="8" w:space="0" w:color="auto"/>
            </w:tcBorders>
            <w:shd w:val="clear" w:color="auto" w:fill="auto"/>
            <w:vAlign w:val="center"/>
          </w:tcPr>
          <w:p w14:paraId="201EDBA9" w14:textId="48E07736"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£57,109.71</w:t>
            </w:r>
          </w:p>
        </w:tc>
        <w:tc>
          <w:tcPr>
            <w:tcW w:w="1282" w:type="dxa"/>
          </w:tcPr>
          <w:p w14:paraId="5ADDAE4C" w14:textId="62D1B061"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£57,409.76</w:t>
            </w:r>
          </w:p>
        </w:tc>
        <w:tc>
          <w:tcPr>
            <w:tcW w:w="1134" w:type="dxa"/>
            <w:tcBorders>
              <w:top w:val="nil"/>
              <w:left w:val="single" w:sz="4" w:space="0" w:color="auto"/>
              <w:bottom w:val="single" w:sz="4" w:space="0" w:color="auto"/>
              <w:right w:val="single" w:sz="4" w:space="0" w:color="auto"/>
            </w:tcBorders>
            <w:shd w:val="clear" w:color="auto" w:fill="auto"/>
            <w:vAlign w:val="bottom"/>
          </w:tcPr>
          <w:p w14:paraId="05748A88" w14:textId="2581558A"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0.5%</w:t>
            </w:r>
          </w:p>
        </w:tc>
        <w:tc>
          <w:tcPr>
            <w:tcW w:w="1389" w:type="dxa"/>
          </w:tcPr>
          <w:p w14:paraId="62F32C9D" w14:textId="206BD5B5"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£57,409.76</w:t>
            </w:r>
          </w:p>
        </w:tc>
      </w:tr>
      <w:tr w:rsidR="001E51EE" w14:paraId="7D20BB93" w14:textId="77777777" w:rsidTr="001E51EE">
        <w:tc>
          <w:tcPr>
            <w:tcW w:w="5009" w:type="dxa"/>
            <w:vAlign w:val="center"/>
          </w:tcPr>
          <w:p w14:paraId="4ECAD59F" w14:textId="6BC8FDA5" w:rsidR="001E51EE" w:rsidRPr="009121C8" w:rsidRDefault="001E51EE" w:rsidP="001E51EE">
            <w:pPr>
              <w:pStyle w:val="ListParagraph"/>
              <w:ind w:left="0"/>
              <w:rPr>
                <w:rFonts w:asciiTheme="minorHAnsi" w:hAnsiTheme="minorHAnsi"/>
              </w:rPr>
            </w:pPr>
            <w:r w:rsidRPr="009121C8">
              <w:rPr>
                <w:rFonts w:asciiTheme="minorHAnsi" w:hAnsiTheme="minorHAnsi"/>
                <w:sz w:val="22"/>
                <w:szCs w:val="22"/>
              </w:rPr>
              <w:t>Secondary – Sparsity Lump Sum</w:t>
            </w:r>
          </w:p>
        </w:tc>
        <w:tc>
          <w:tcPr>
            <w:tcW w:w="1282" w:type="dxa"/>
            <w:tcBorders>
              <w:top w:val="nil"/>
              <w:left w:val="nil"/>
              <w:bottom w:val="single" w:sz="8" w:space="0" w:color="auto"/>
              <w:right w:val="single" w:sz="8" w:space="0" w:color="auto"/>
            </w:tcBorders>
            <w:shd w:val="clear" w:color="auto" w:fill="auto"/>
            <w:vAlign w:val="center"/>
          </w:tcPr>
          <w:p w14:paraId="567226CD" w14:textId="664A24D0" w:rsidR="001E51EE" w:rsidRPr="0066219A" w:rsidRDefault="001E51EE" w:rsidP="001E51EE">
            <w:pPr>
              <w:pStyle w:val="ListParagraph"/>
              <w:ind w:left="0"/>
              <w:jc w:val="right"/>
              <w:rPr>
                <w:rStyle w:val="Hyperlink"/>
                <w:rFonts w:asciiTheme="minorHAnsi" w:hAnsiTheme="minorHAnsi"/>
                <w:color w:val="auto"/>
                <w:u w:val="none"/>
              </w:rPr>
            </w:pPr>
            <w:r w:rsidRPr="0066219A">
              <w:rPr>
                <w:rFonts w:asciiTheme="minorHAnsi" w:hAnsiTheme="minorHAnsi"/>
                <w:sz w:val="22"/>
                <w:szCs w:val="22"/>
              </w:rPr>
              <w:t>£83,014.11</w:t>
            </w:r>
          </w:p>
        </w:tc>
        <w:tc>
          <w:tcPr>
            <w:tcW w:w="1282" w:type="dxa"/>
          </w:tcPr>
          <w:p w14:paraId="74477D4E" w14:textId="21686F67" w:rsidR="001E51EE" w:rsidRPr="001E51EE" w:rsidRDefault="001E51EE" w:rsidP="001E51EE">
            <w:pPr>
              <w:pStyle w:val="ListParagraph"/>
              <w:ind w:left="0"/>
              <w:jc w:val="right"/>
              <w:rPr>
                <w:rFonts w:asciiTheme="minorHAnsi" w:hAnsiTheme="minorHAnsi"/>
                <w:sz w:val="22"/>
                <w:szCs w:val="22"/>
              </w:rPr>
            </w:pPr>
            <w:r>
              <w:rPr>
                <w:rFonts w:asciiTheme="minorHAnsi" w:hAnsiTheme="minorHAnsi"/>
                <w:sz w:val="22"/>
                <w:szCs w:val="22"/>
              </w:rPr>
              <w:t>£83,414.18</w:t>
            </w:r>
          </w:p>
        </w:tc>
        <w:tc>
          <w:tcPr>
            <w:tcW w:w="1134" w:type="dxa"/>
            <w:tcBorders>
              <w:top w:val="nil"/>
              <w:left w:val="single" w:sz="4" w:space="0" w:color="auto"/>
              <w:bottom w:val="single" w:sz="4" w:space="0" w:color="auto"/>
              <w:right w:val="single" w:sz="4" w:space="0" w:color="auto"/>
            </w:tcBorders>
            <w:shd w:val="clear" w:color="auto" w:fill="auto"/>
            <w:vAlign w:val="bottom"/>
          </w:tcPr>
          <w:p w14:paraId="759F1CAF" w14:textId="6DBB6453" w:rsidR="001E51EE" w:rsidRPr="00CB0B87" w:rsidRDefault="001E51EE" w:rsidP="001E51EE">
            <w:pPr>
              <w:pStyle w:val="ListParagraph"/>
              <w:ind w:left="0"/>
              <w:jc w:val="right"/>
              <w:rPr>
                <w:rStyle w:val="Hyperlink"/>
                <w:rFonts w:asciiTheme="majorHAnsi" w:hAnsiTheme="majorHAnsi"/>
                <w:color w:val="auto"/>
                <w:u w:val="none"/>
              </w:rPr>
            </w:pPr>
            <w:r>
              <w:rPr>
                <w:rFonts w:ascii="Aptos Narrow" w:hAnsi="Aptos Narrow"/>
                <w:color w:val="000000"/>
                <w:sz w:val="22"/>
                <w:szCs w:val="22"/>
              </w:rPr>
              <w:t>0.5%</w:t>
            </w:r>
          </w:p>
        </w:tc>
        <w:tc>
          <w:tcPr>
            <w:tcW w:w="1389" w:type="dxa"/>
          </w:tcPr>
          <w:p w14:paraId="741C4F72" w14:textId="6A66DEB3" w:rsidR="001E51EE" w:rsidRPr="00620C1C" w:rsidRDefault="001E51EE" w:rsidP="001E51EE">
            <w:pPr>
              <w:pStyle w:val="ListParagraph"/>
              <w:ind w:left="0"/>
              <w:jc w:val="right"/>
              <w:rPr>
                <w:rFonts w:asciiTheme="minorHAnsi" w:hAnsiTheme="minorHAnsi"/>
                <w:sz w:val="22"/>
                <w:szCs w:val="22"/>
              </w:rPr>
            </w:pPr>
            <w:r>
              <w:rPr>
                <w:rFonts w:asciiTheme="minorHAnsi" w:hAnsiTheme="minorHAnsi"/>
                <w:sz w:val="22"/>
                <w:szCs w:val="22"/>
              </w:rPr>
              <w:t>£83,414.18</w:t>
            </w:r>
          </w:p>
        </w:tc>
      </w:tr>
    </w:tbl>
    <w:p w14:paraId="44D09D35" w14:textId="77777777" w:rsidR="00CB0B87" w:rsidRDefault="00CB0B87" w:rsidP="00CB0B87">
      <w:pPr>
        <w:pStyle w:val="ListParagraph"/>
        <w:ind w:left="360"/>
        <w:jc w:val="both"/>
        <w:rPr>
          <w:rStyle w:val="Hyperlink"/>
          <w:color w:val="auto"/>
          <w:u w:val="none"/>
        </w:rPr>
      </w:pPr>
    </w:p>
    <w:p w14:paraId="1E6BE2B0" w14:textId="6891FFAC" w:rsidR="009121C8" w:rsidRDefault="00CB0B87" w:rsidP="009121C8">
      <w:pPr>
        <w:pStyle w:val="ListParagraph"/>
        <w:numPr>
          <w:ilvl w:val="0"/>
          <w:numId w:val="11"/>
        </w:numPr>
        <w:jc w:val="both"/>
        <w:rPr>
          <w:rStyle w:val="Hyperlink"/>
          <w:color w:val="auto"/>
          <w:u w:val="none"/>
        </w:rPr>
      </w:pPr>
      <w:r>
        <w:rPr>
          <w:rStyle w:val="Hyperlink"/>
          <w:color w:val="auto"/>
          <w:u w:val="none"/>
        </w:rPr>
        <w:t xml:space="preserve"> </w:t>
      </w:r>
      <w:r w:rsidR="009121C8">
        <w:rPr>
          <w:rStyle w:val="Hyperlink"/>
          <w:color w:val="auto"/>
          <w:u w:val="none"/>
        </w:rPr>
        <w:t>Please note that these formula factor values are prior to the transfer of Schools Block income to the High Needs Block. In enacting a transfer</w:t>
      </w:r>
      <w:r w:rsidR="00C76B08">
        <w:rPr>
          <w:rStyle w:val="Hyperlink"/>
          <w:color w:val="auto"/>
          <w:u w:val="none"/>
        </w:rPr>
        <w:t xml:space="preserve"> in 2025/26</w:t>
      </w:r>
      <w:r w:rsidR="009121C8">
        <w:rPr>
          <w:rStyle w:val="Hyperlink"/>
          <w:color w:val="auto"/>
          <w:u w:val="none"/>
        </w:rPr>
        <w:t>, the variable values</w:t>
      </w:r>
      <w:r w:rsidR="00B0533F">
        <w:rPr>
          <w:rStyle w:val="Hyperlink"/>
          <w:color w:val="auto"/>
          <w:u w:val="none"/>
        </w:rPr>
        <w:t xml:space="preserve"> that would be used in Bradford</w:t>
      </w:r>
      <w:r w:rsidR="009121C8">
        <w:rPr>
          <w:rStyle w:val="Hyperlink"/>
          <w:color w:val="auto"/>
          <w:u w:val="none"/>
        </w:rPr>
        <w:t xml:space="preserve"> w</w:t>
      </w:r>
      <w:r w:rsidR="00B0533F">
        <w:rPr>
          <w:rStyle w:val="Hyperlink"/>
          <w:color w:val="auto"/>
          <w:u w:val="none"/>
        </w:rPr>
        <w:t>ould</w:t>
      </w:r>
      <w:r w:rsidR="009121C8">
        <w:rPr>
          <w:rStyle w:val="Hyperlink"/>
          <w:color w:val="auto"/>
          <w:u w:val="none"/>
        </w:rPr>
        <w:t xml:space="preserve"> be reduced. This is discussed further in the next section of this report.</w:t>
      </w:r>
    </w:p>
    <w:p w14:paraId="51F98B2D" w14:textId="0BC50B16" w:rsidR="006616B7" w:rsidRDefault="006616B7" w:rsidP="006616B7">
      <w:pPr>
        <w:rPr>
          <w:b/>
          <w:bCs/>
        </w:rPr>
      </w:pPr>
      <w:r>
        <w:rPr>
          <w:b/>
          <w:bCs/>
        </w:rPr>
        <w:t>Bradford’s Formula Funding Approach</w:t>
      </w:r>
      <w:r w:rsidR="009121C8">
        <w:rPr>
          <w:b/>
          <w:bCs/>
        </w:rPr>
        <w:t xml:space="preserve"> 2025/26</w:t>
      </w:r>
    </w:p>
    <w:p w14:paraId="547FC57E" w14:textId="2A804084" w:rsidR="00B0533F" w:rsidRPr="00B0533F" w:rsidRDefault="009121C8" w:rsidP="009121C8">
      <w:pPr>
        <w:pStyle w:val="ListParagraph"/>
        <w:numPr>
          <w:ilvl w:val="0"/>
          <w:numId w:val="11"/>
        </w:numPr>
        <w:jc w:val="both"/>
      </w:pPr>
      <w:r w:rsidRPr="00B0533F">
        <w:rPr>
          <w:rFonts w:cs="Arial"/>
        </w:rPr>
        <w:t>Mainstream formula funding for primary and secondary schools and academies, for Reception to Year 11 pupils, is now National Funding Formula (NFF) based. The DfE has confirmed that the NFF as currently constructed (the</w:t>
      </w:r>
      <w:r w:rsidR="00B0533F">
        <w:rPr>
          <w:rFonts w:cs="Arial"/>
        </w:rPr>
        <w:t xml:space="preserve"> main</w:t>
      </w:r>
      <w:r w:rsidRPr="00B0533F">
        <w:rPr>
          <w:rFonts w:cs="Arial"/>
        </w:rPr>
        <w:t xml:space="preserve"> different formula factors and how these operate) will continue unchanged in 2025/26</w:t>
      </w:r>
      <w:r w:rsidR="00B0533F">
        <w:rPr>
          <w:rFonts w:cs="Arial"/>
        </w:rPr>
        <w:t>. T</w:t>
      </w:r>
      <w:r w:rsidRPr="00B0533F">
        <w:rPr>
          <w:rFonts w:cs="Arial"/>
        </w:rPr>
        <w:t>he DfE has confirmed that the</w:t>
      </w:r>
      <w:r w:rsidR="00C76B08">
        <w:rPr>
          <w:rFonts w:cs="Arial"/>
        </w:rPr>
        <w:t xml:space="preserve"> </w:t>
      </w:r>
      <w:r w:rsidRPr="00B0533F">
        <w:rPr>
          <w:rFonts w:cs="Arial"/>
        </w:rPr>
        <w:t>Minimum Levels of Funding (MFLs) and the Minimum Funding Guarantee (MFG) will continue</w:t>
      </w:r>
      <w:r w:rsidR="00B0533F">
        <w:rPr>
          <w:rFonts w:cs="Arial"/>
        </w:rPr>
        <w:t>.</w:t>
      </w:r>
    </w:p>
    <w:p w14:paraId="53133600" w14:textId="77777777" w:rsidR="00B0533F" w:rsidRPr="00B0533F" w:rsidRDefault="00B0533F" w:rsidP="00B0533F">
      <w:pPr>
        <w:pStyle w:val="ListParagraph"/>
        <w:ind w:left="360"/>
        <w:jc w:val="both"/>
      </w:pPr>
    </w:p>
    <w:p w14:paraId="4BFF1C98" w14:textId="35131455" w:rsidR="00B0533F" w:rsidRPr="00B0533F" w:rsidRDefault="009121C8" w:rsidP="009121C8">
      <w:pPr>
        <w:pStyle w:val="ListParagraph"/>
        <w:numPr>
          <w:ilvl w:val="0"/>
          <w:numId w:val="11"/>
        </w:numPr>
        <w:jc w:val="both"/>
      </w:pPr>
      <w:r w:rsidRPr="00B0533F">
        <w:rPr>
          <w:rFonts w:cs="Arial"/>
        </w:rPr>
        <w:t xml:space="preserve">The values of the primary and secondary phase Minimum Levels of Funding per Pupil (MFLs) remain mandatory </w:t>
      </w:r>
      <w:r w:rsidR="00C76B08">
        <w:rPr>
          <w:rFonts w:cs="Arial"/>
        </w:rPr>
        <w:t xml:space="preserve">in 2025/26 </w:t>
      </w:r>
      <w:r w:rsidRPr="00B0533F">
        <w:rPr>
          <w:rFonts w:cs="Arial"/>
        </w:rPr>
        <w:t xml:space="preserve">and will not be for local determination. As such, </w:t>
      </w:r>
      <w:r w:rsidR="00B0533F">
        <w:rPr>
          <w:rFonts w:cs="Arial"/>
        </w:rPr>
        <w:t>the Authority</w:t>
      </w:r>
      <w:r w:rsidRPr="00B0533F">
        <w:rPr>
          <w:rFonts w:cs="Arial"/>
        </w:rPr>
        <w:t xml:space="preserve"> do</w:t>
      </w:r>
      <w:r w:rsidR="00B0533F">
        <w:rPr>
          <w:rFonts w:cs="Arial"/>
        </w:rPr>
        <w:t>es</w:t>
      </w:r>
      <w:r w:rsidRPr="00B0533F">
        <w:rPr>
          <w:rFonts w:cs="Arial"/>
        </w:rPr>
        <w:t xml:space="preserve"> not consult on the application of the MFL factor. </w:t>
      </w:r>
    </w:p>
    <w:p w14:paraId="14F8D4C7" w14:textId="77777777" w:rsidR="00B0533F" w:rsidRPr="00B0533F" w:rsidRDefault="00B0533F" w:rsidP="00B0533F">
      <w:pPr>
        <w:pStyle w:val="ListParagraph"/>
        <w:rPr>
          <w:rFonts w:cs="Arial"/>
        </w:rPr>
      </w:pPr>
    </w:p>
    <w:p w14:paraId="67F0659D" w14:textId="2553B7EA" w:rsidR="00B0533F" w:rsidRPr="00B0533F" w:rsidRDefault="009121C8" w:rsidP="009121C8">
      <w:pPr>
        <w:pStyle w:val="ListParagraph"/>
        <w:numPr>
          <w:ilvl w:val="0"/>
          <w:numId w:val="11"/>
        </w:numPr>
        <w:jc w:val="both"/>
      </w:pPr>
      <w:r w:rsidRPr="00B0533F">
        <w:rPr>
          <w:rFonts w:cs="Arial"/>
        </w:rPr>
        <w:t>The level of the Minimum Funding Guarantee (MFG)</w:t>
      </w:r>
      <w:r w:rsidR="00B0533F">
        <w:rPr>
          <w:rFonts w:cs="Arial"/>
        </w:rPr>
        <w:t xml:space="preserve"> is for local determination but must be set within a prescribed range</w:t>
      </w:r>
      <w:r w:rsidRPr="00B0533F">
        <w:rPr>
          <w:rFonts w:cs="Arial"/>
        </w:rPr>
        <w:t>.</w:t>
      </w:r>
      <w:r w:rsidR="00B0533F">
        <w:rPr>
          <w:rFonts w:cs="Arial"/>
        </w:rPr>
        <w:t xml:space="preserve"> The DfE has set the range for 2025/26 at between minus 0.5% and 0%. </w:t>
      </w:r>
      <w:r w:rsidRPr="00B0533F">
        <w:rPr>
          <w:rFonts w:cs="Arial"/>
        </w:rPr>
        <w:t xml:space="preserve"> </w:t>
      </w:r>
      <w:r w:rsidR="00B0533F">
        <w:rPr>
          <w:rFonts w:cs="Arial"/>
        </w:rPr>
        <w:t xml:space="preserve">It was explained in the business case in September that the Authority would look to set the MFG at the level of the ‘floor’ that the DfE uses to allocate Schools Block funding to local authorities. </w:t>
      </w:r>
      <w:r w:rsidR="00C76B08">
        <w:rPr>
          <w:rFonts w:cs="Arial"/>
        </w:rPr>
        <w:t xml:space="preserve">The DfE has stated that this floor indicatively is </w:t>
      </w:r>
      <w:r w:rsidR="00B0533F">
        <w:rPr>
          <w:rFonts w:cs="Arial"/>
        </w:rPr>
        <w:t xml:space="preserve">0%. On this basis, as things stand, the Authority </w:t>
      </w:r>
      <w:r w:rsidR="00C76B08">
        <w:rPr>
          <w:rFonts w:cs="Arial"/>
        </w:rPr>
        <w:t xml:space="preserve">would </w:t>
      </w:r>
      <w:r w:rsidR="00B0533F">
        <w:rPr>
          <w:rFonts w:cs="Arial"/>
        </w:rPr>
        <w:t xml:space="preserve">expect to set the MFG at 0% in 2025/26. This is subject to </w:t>
      </w:r>
      <w:r w:rsidR="00C76B08">
        <w:rPr>
          <w:rFonts w:cs="Arial"/>
        </w:rPr>
        <w:t xml:space="preserve">further </w:t>
      </w:r>
      <w:r w:rsidR="00B0533F">
        <w:rPr>
          <w:rFonts w:cs="Arial"/>
        </w:rPr>
        <w:t xml:space="preserve">discussion with the Schools Forum and </w:t>
      </w:r>
      <w:r w:rsidR="00C76B08">
        <w:rPr>
          <w:rFonts w:cs="Arial"/>
        </w:rPr>
        <w:t xml:space="preserve">to </w:t>
      </w:r>
      <w:r w:rsidR="00B0533F">
        <w:rPr>
          <w:rFonts w:cs="Arial"/>
        </w:rPr>
        <w:t xml:space="preserve">final confirmation from the DfE. </w:t>
      </w:r>
    </w:p>
    <w:p w14:paraId="0C7730F9" w14:textId="77777777" w:rsidR="00B0533F" w:rsidRPr="00B0533F" w:rsidRDefault="00B0533F" w:rsidP="00B0533F">
      <w:pPr>
        <w:pStyle w:val="ListParagraph"/>
        <w:rPr>
          <w:rFonts w:cs="Arial"/>
        </w:rPr>
      </w:pPr>
    </w:p>
    <w:p w14:paraId="318E0BFD" w14:textId="369E710F" w:rsidR="00C76B08" w:rsidRPr="00C76B08" w:rsidRDefault="00B0533F" w:rsidP="009121C8">
      <w:pPr>
        <w:pStyle w:val="ListParagraph"/>
        <w:numPr>
          <w:ilvl w:val="0"/>
          <w:numId w:val="11"/>
        </w:numPr>
        <w:jc w:val="both"/>
      </w:pPr>
      <w:r>
        <w:rPr>
          <w:rFonts w:cs="Arial"/>
        </w:rPr>
        <w:t>The Authority</w:t>
      </w:r>
      <w:r w:rsidR="009121C8" w:rsidRPr="00B0533F">
        <w:rPr>
          <w:rFonts w:cs="Arial"/>
        </w:rPr>
        <w:t xml:space="preserve"> ha</w:t>
      </w:r>
      <w:r>
        <w:rPr>
          <w:rFonts w:cs="Arial"/>
        </w:rPr>
        <w:t>s</w:t>
      </w:r>
      <w:r w:rsidR="009121C8" w:rsidRPr="00B0533F">
        <w:rPr>
          <w:rFonts w:cs="Arial"/>
        </w:rPr>
        <w:t xml:space="preserve"> ‘mirrored’ the DfE’s National Funding Formula (NFF) since 2018/19, meaning that we have used the DfE’s NFF to calculate the Reception to Year 11 formula funding allocations for schools and academies in Bradford, rather than using a different local formula. This approach has been strongly and consistently supported. The DfE has also taken steps in recent years to require all local authorities to move closer to mirroring. </w:t>
      </w:r>
      <w:r w:rsidR="00C76B08">
        <w:rPr>
          <w:rFonts w:cs="Arial"/>
        </w:rPr>
        <w:t>T</w:t>
      </w:r>
      <w:r w:rsidR="009121C8" w:rsidRPr="00B0533F">
        <w:rPr>
          <w:rFonts w:cs="Arial"/>
        </w:rPr>
        <w:t>he Local Authority</w:t>
      </w:r>
      <w:r w:rsidR="00423EDE">
        <w:rPr>
          <w:rFonts w:cs="Arial"/>
        </w:rPr>
        <w:t xml:space="preserve"> will</w:t>
      </w:r>
      <w:r w:rsidR="009121C8" w:rsidRPr="00B0533F">
        <w:rPr>
          <w:rFonts w:cs="Arial"/>
        </w:rPr>
        <w:t xml:space="preserve"> continue to mirror the NFF in 2025/26.</w:t>
      </w:r>
    </w:p>
    <w:p w14:paraId="316EB62A" w14:textId="77777777" w:rsidR="00C76B08" w:rsidRPr="00C76B08" w:rsidRDefault="00C76B08" w:rsidP="00C76B08">
      <w:pPr>
        <w:pStyle w:val="ListParagraph"/>
        <w:rPr>
          <w:rFonts w:cs="Arial"/>
        </w:rPr>
      </w:pPr>
    </w:p>
    <w:p w14:paraId="0E894DB1" w14:textId="29930643" w:rsidR="0062681C" w:rsidRPr="0062681C" w:rsidRDefault="009121C8" w:rsidP="009121C8">
      <w:pPr>
        <w:pStyle w:val="ListParagraph"/>
        <w:numPr>
          <w:ilvl w:val="0"/>
          <w:numId w:val="11"/>
        </w:numPr>
        <w:jc w:val="both"/>
      </w:pPr>
      <w:r w:rsidRPr="00C76B08">
        <w:rPr>
          <w:rFonts w:cs="Arial"/>
        </w:rPr>
        <w:t>There are a small number of formula elements that are not currently covered by the NFF. The Local Authority</w:t>
      </w:r>
      <w:r w:rsidR="00423EDE">
        <w:rPr>
          <w:rFonts w:cs="Arial"/>
        </w:rPr>
        <w:t xml:space="preserve"> will</w:t>
      </w:r>
      <w:r w:rsidRPr="00C76B08">
        <w:rPr>
          <w:rFonts w:cs="Arial"/>
        </w:rPr>
        <w:t xml:space="preserve"> continue our local arrangements for these unchanged</w:t>
      </w:r>
      <w:r w:rsidR="0062681C">
        <w:rPr>
          <w:rFonts w:cs="Arial"/>
        </w:rPr>
        <w:t>:</w:t>
      </w:r>
    </w:p>
    <w:p w14:paraId="44762DAE" w14:textId="77777777" w:rsidR="0062681C" w:rsidRPr="0062681C" w:rsidRDefault="0062681C" w:rsidP="0062681C">
      <w:pPr>
        <w:pStyle w:val="ListParagraph"/>
        <w:rPr>
          <w:rFonts w:cs="Arial"/>
        </w:rPr>
      </w:pPr>
    </w:p>
    <w:p w14:paraId="7EBA9152" w14:textId="200BA3F5" w:rsidR="0062681C" w:rsidRPr="0062681C" w:rsidRDefault="0062681C" w:rsidP="0062681C">
      <w:pPr>
        <w:pStyle w:val="ListParagraph"/>
        <w:numPr>
          <w:ilvl w:val="1"/>
          <w:numId w:val="11"/>
        </w:numPr>
        <w:jc w:val="both"/>
      </w:pPr>
      <w:r>
        <w:rPr>
          <w:rFonts w:cs="Arial"/>
        </w:rPr>
        <w:t xml:space="preserve">NNDR </w:t>
      </w:r>
      <w:r w:rsidR="009121C8" w:rsidRPr="00C76B08">
        <w:rPr>
          <w:rFonts w:cs="Arial"/>
        </w:rPr>
        <w:t>Business Rates</w:t>
      </w:r>
    </w:p>
    <w:p w14:paraId="0877C33F" w14:textId="77777777" w:rsidR="0062681C" w:rsidRPr="0062681C" w:rsidRDefault="009121C8" w:rsidP="0062681C">
      <w:pPr>
        <w:pStyle w:val="ListParagraph"/>
        <w:numPr>
          <w:ilvl w:val="1"/>
          <w:numId w:val="11"/>
        </w:numPr>
        <w:jc w:val="both"/>
      </w:pPr>
      <w:r w:rsidRPr="00C76B08">
        <w:rPr>
          <w:rFonts w:cs="Arial"/>
        </w:rPr>
        <w:t>PFI (Building Schools for the Future)</w:t>
      </w:r>
    </w:p>
    <w:p w14:paraId="3355D928" w14:textId="77777777" w:rsidR="0062681C" w:rsidRPr="0062681C" w:rsidRDefault="009121C8" w:rsidP="0062681C">
      <w:pPr>
        <w:pStyle w:val="ListParagraph"/>
        <w:numPr>
          <w:ilvl w:val="1"/>
          <w:numId w:val="11"/>
        </w:numPr>
        <w:jc w:val="both"/>
      </w:pPr>
      <w:r w:rsidRPr="00C76B08">
        <w:rPr>
          <w:rFonts w:cs="Arial"/>
        </w:rPr>
        <w:t>Growth Fund</w:t>
      </w:r>
    </w:p>
    <w:p w14:paraId="4D488107" w14:textId="77777777" w:rsidR="00496BB4" w:rsidRPr="00496BB4" w:rsidRDefault="009121C8" w:rsidP="009121C8">
      <w:pPr>
        <w:pStyle w:val="ListParagraph"/>
        <w:numPr>
          <w:ilvl w:val="1"/>
          <w:numId w:val="11"/>
        </w:numPr>
        <w:jc w:val="both"/>
      </w:pPr>
      <w:r w:rsidRPr="00C76B08">
        <w:rPr>
          <w:rFonts w:cs="Arial"/>
        </w:rPr>
        <w:t>Falling Rolls Fund</w:t>
      </w:r>
    </w:p>
    <w:p w14:paraId="744B0EB3" w14:textId="77777777" w:rsidR="00496BB4" w:rsidRPr="00496BB4" w:rsidRDefault="00496BB4" w:rsidP="00496BB4">
      <w:pPr>
        <w:pStyle w:val="ListParagraph"/>
        <w:ind w:left="1080"/>
        <w:jc w:val="both"/>
      </w:pPr>
    </w:p>
    <w:p w14:paraId="0C5CCB99" w14:textId="1C97BD7C" w:rsidR="00496BB4" w:rsidRPr="00FD0248" w:rsidRDefault="001E2DF8" w:rsidP="006658F9">
      <w:pPr>
        <w:pStyle w:val="ListParagraph"/>
        <w:numPr>
          <w:ilvl w:val="0"/>
          <w:numId w:val="11"/>
        </w:numPr>
        <w:jc w:val="both"/>
      </w:pPr>
      <w:r w:rsidRPr="001E2DF8">
        <w:rPr>
          <w:rFonts w:cs="Arial"/>
        </w:rPr>
        <w:t>W</w:t>
      </w:r>
      <w:r w:rsidR="009121C8" w:rsidRPr="001E2DF8">
        <w:rPr>
          <w:rFonts w:cs="Arial"/>
        </w:rPr>
        <w:t xml:space="preserve">hilst </w:t>
      </w:r>
      <w:r w:rsidRPr="001E2DF8">
        <w:rPr>
          <w:rFonts w:cs="Arial"/>
        </w:rPr>
        <w:t>the Authority</w:t>
      </w:r>
      <w:r w:rsidR="009121C8" w:rsidRPr="001E2DF8">
        <w:rPr>
          <w:rFonts w:cs="Arial"/>
        </w:rPr>
        <w:t xml:space="preserve"> will continue to mirror the core-NFF, the Authority has put forward two changes for 2025/26, which will affect </w:t>
      </w:r>
      <w:r w:rsidR="00443E98">
        <w:rPr>
          <w:rFonts w:cs="Arial"/>
        </w:rPr>
        <w:t xml:space="preserve">exact </w:t>
      </w:r>
      <w:r w:rsidR="009121C8" w:rsidRPr="001E2DF8">
        <w:rPr>
          <w:rFonts w:cs="Arial"/>
        </w:rPr>
        <w:t xml:space="preserve">mirroring. These have been discussed with the Schools Forum. The business cases for these changes, and discussions with the Schools Forum, can be viewed on the </w:t>
      </w:r>
      <w:hyperlink r:id="rId11" w:history="1">
        <w:r w:rsidR="009121C8" w:rsidRPr="006658F9">
          <w:rPr>
            <w:rStyle w:val="Hyperlink"/>
            <w:rFonts w:cs="Arial"/>
          </w:rPr>
          <w:t>Schools Forum’s website</w:t>
        </w:r>
      </w:hyperlink>
      <w:r w:rsidR="009121C8" w:rsidRPr="001E2DF8">
        <w:rPr>
          <w:rFonts w:cs="Arial"/>
        </w:rPr>
        <w:t xml:space="preserve"> in the meetings held on 11 September</w:t>
      </w:r>
      <w:r w:rsidRPr="001E2DF8">
        <w:rPr>
          <w:rFonts w:cs="Arial"/>
        </w:rPr>
        <w:t xml:space="preserve">, </w:t>
      </w:r>
      <w:r w:rsidR="009121C8" w:rsidRPr="001E2DF8">
        <w:rPr>
          <w:rFonts w:cs="Arial"/>
        </w:rPr>
        <w:t>9 October</w:t>
      </w:r>
      <w:r w:rsidRPr="001E2DF8">
        <w:rPr>
          <w:rFonts w:cs="Arial"/>
        </w:rPr>
        <w:t xml:space="preserve"> and 4 December</w:t>
      </w:r>
      <w:r w:rsidR="006658F9">
        <w:rPr>
          <w:rFonts w:cs="Arial"/>
        </w:rPr>
        <w:t xml:space="preserve"> 2024</w:t>
      </w:r>
      <w:r w:rsidR="009121C8" w:rsidRPr="001E2DF8">
        <w:rPr>
          <w:rFonts w:cs="Arial"/>
        </w:rPr>
        <w:t>. The two changes are:</w:t>
      </w:r>
    </w:p>
    <w:p w14:paraId="0D55E32D" w14:textId="77777777" w:rsidR="00FD0248" w:rsidRPr="006658F9" w:rsidRDefault="00FD0248" w:rsidP="00FD0248">
      <w:pPr>
        <w:pStyle w:val="ListParagraph"/>
        <w:ind w:left="360"/>
        <w:jc w:val="both"/>
      </w:pPr>
    </w:p>
    <w:p w14:paraId="1CFF8FE4" w14:textId="03354C35" w:rsidR="006658F9" w:rsidRPr="006658F9" w:rsidRDefault="006658F9" w:rsidP="006658F9">
      <w:pPr>
        <w:pStyle w:val="ListParagraph"/>
        <w:numPr>
          <w:ilvl w:val="1"/>
          <w:numId w:val="11"/>
        </w:numPr>
        <w:jc w:val="both"/>
        <w:rPr>
          <w:rFonts w:cs="Arial"/>
        </w:rPr>
      </w:pPr>
      <w:r w:rsidRPr="006658F9">
        <w:rPr>
          <w:rFonts w:cs="Arial"/>
        </w:rPr>
        <w:t xml:space="preserve">The insertion of a ‘Gains Cap’ into </w:t>
      </w:r>
      <w:r w:rsidR="00DE4843">
        <w:rPr>
          <w:rFonts w:cs="Arial"/>
        </w:rPr>
        <w:t>the</w:t>
      </w:r>
      <w:r w:rsidRPr="006658F9">
        <w:rPr>
          <w:rFonts w:cs="Arial"/>
        </w:rPr>
        <w:t xml:space="preserve"> mainstream funding formula.</w:t>
      </w:r>
    </w:p>
    <w:p w14:paraId="4F0798A4" w14:textId="6F05DBE0" w:rsidR="009121C8" w:rsidRDefault="009121C8" w:rsidP="006658F9">
      <w:pPr>
        <w:pStyle w:val="ListParagraph"/>
        <w:numPr>
          <w:ilvl w:val="1"/>
          <w:numId w:val="11"/>
        </w:numPr>
        <w:jc w:val="both"/>
        <w:rPr>
          <w:rFonts w:cs="Arial"/>
        </w:rPr>
      </w:pPr>
      <w:r w:rsidRPr="006658F9">
        <w:rPr>
          <w:rFonts w:cs="Arial"/>
        </w:rPr>
        <w:t>A transfer</w:t>
      </w:r>
      <w:r w:rsidR="00DE4843">
        <w:rPr>
          <w:rFonts w:cs="Arial"/>
        </w:rPr>
        <w:t xml:space="preserve"> </w:t>
      </w:r>
      <w:r w:rsidRPr="006658F9">
        <w:rPr>
          <w:rFonts w:cs="Arial"/>
        </w:rPr>
        <w:t>of Schools Block income to the High Needs Block.</w:t>
      </w:r>
    </w:p>
    <w:p w14:paraId="54996D64" w14:textId="77777777" w:rsidR="00923C00" w:rsidRPr="00DE4843" w:rsidRDefault="00923C00" w:rsidP="00923C00">
      <w:pPr>
        <w:pStyle w:val="ListParagraph"/>
        <w:ind w:left="1080"/>
        <w:jc w:val="both"/>
        <w:rPr>
          <w:rFonts w:cs="Arial"/>
        </w:rPr>
      </w:pPr>
    </w:p>
    <w:p w14:paraId="502424AC" w14:textId="3CF987FC" w:rsidR="00DE4843" w:rsidRPr="00E254F3" w:rsidRDefault="00DE4843" w:rsidP="009121C8">
      <w:pPr>
        <w:pStyle w:val="ListParagraph"/>
        <w:numPr>
          <w:ilvl w:val="0"/>
          <w:numId w:val="11"/>
        </w:numPr>
        <w:jc w:val="both"/>
        <w:rPr>
          <w:rFonts w:cs="Arial"/>
        </w:rPr>
      </w:pPr>
      <w:r>
        <w:rPr>
          <w:rFonts w:cs="Arial"/>
        </w:rPr>
        <w:t>T</w:t>
      </w:r>
      <w:r w:rsidR="00923C00" w:rsidRPr="00DE4843">
        <w:rPr>
          <w:rFonts w:cs="Arial"/>
        </w:rPr>
        <w:t xml:space="preserve">he Authority proposes that a Gains Cap </w:t>
      </w:r>
      <w:r>
        <w:rPr>
          <w:rFonts w:cs="Arial"/>
        </w:rPr>
        <w:t>is</w:t>
      </w:r>
      <w:r w:rsidR="00923C00" w:rsidRPr="00DE4843">
        <w:rPr>
          <w:rFonts w:cs="Arial"/>
        </w:rPr>
        <w:t xml:space="preserve"> applied in 2025/26. The effect of the Cap will be that</w:t>
      </w:r>
      <w:r w:rsidR="00443E98" w:rsidRPr="00DE4843">
        <w:rPr>
          <w:rFonts w:cs="Arial"/>
        </w:rPr>
        <w:t xml:space="preserve"> </w:t>
      </w:r>
      <w:r w:rsidR="00923C00" w:rsidRPr="00DE4843">
        <w:rPr>
          <w:rFonts w:cs="Arial"/>
        </w:rPr>
        <w:t xml:space="preserve">% increases in per pupil funding that are received by individual schools / academies above a set </w:t>
      </w:r>
      <w:r w:rsidRPr="00DE4843">
        <w:rPr>
          <w:rFonts w:cs="Arial"/>
        </w:rPr>
        <w:t>%</w:t>
      </w:r>
      <w:r w:rsidR="00443E98" w:rsidRPr="00DE4843">
        <w:rPr>
          <w:rFonts w:cs="Arial"/>
        </w:rPr>
        <w:t xml:space="preserve"> will</w:t>
      </w:r>
      <w:r w:rsidR="00E254F3">
        <w:rPr>
          <w:rFonts w:cs="Arial"/>
        </w:rPr>
        <w:t xml:space="preserve"> be</w:t>
      </w:r>
      <w:r w:rsidRPr="00DE4843">
        <w:rPr>
          <w:rFonts w:cs="Arial"/>
        </w:rPr>
        <w:t xml:space="preserve"> </w:t>
      </w:r>
      <w:r w:rsidR="00E254F3">
        <w:rPr>
          <w:rFonts w:cs="Arial"/>
        </w:rPr>
        <w:t>taken away</w:t>
      </w:r>
      <w:r w:rsidR="00923C00" w:rsidRPr="00DE4843">
        <w:rPr>
          <w:rFonts w:cs="Arial"/>
        </w:rPr>
        <w:t>. Increases will vary between schools and academies and are typically generated by changes in October Census data</w:t>
      </w:r>
      <w:r w:rsidR="00852169">
        <w:rPr>
          <w:rFonts w:cs="Arial"/>
        </w:rPr>
        <w:t>, which will not be known until later in December</w:t>
      </w:r>
      <w:r w:rsidR="00923C00" w:rsidRPr="00DE4843">
        <w:rPr>
          <w:rFonts w:cs="Arial"/>
        </w:rPr>
        <w:t xml:space="preserve">. The Cap will help manage the spending position </w:t>
      </w:r>
      <w:r w:rsidRPr="00DE4843">
        <w:rPr>
          <w:rFonts w:cs="Arial"/>
        </w:rPr>
        <w:t>of</w:t>
      </w:r>
      <w:r w:rsidR="00923C00" w:rsidRPr="00DE4843">
        <w:rPr>
          <w:rFonts w:cs="Arial"/>
        </w:rPr>
        <w:t xml:space="preserve"> the Schools Block, whilst </w:t>
      </w:r>
      <w:r w:rsidRPr="00DE4843">
        <w:rPr>
          <w:rFonts w:cs="Arial"/>
        </w:rPr>
        <w:t>also helping to</w:t>
      </w:r>
      <w:r w:rsidR="00923C00" w:rsidRPr="00DE4843">
        <w:rPr>
          <w:rFonts w:cs="Arial"/>
        </w:rPr>
        <w:t xml:space="preserve"> provide for a formula funding result for schools and academies that is fair and equitable.</w:t>
      </w:r>
      <w:r w:rsidR="00443E98" w:rsidRPr="00DE4843">
        <w:rPr>
          <w:rFonts w:cs="Arial"/>
        </w:rPr>
        <w:t xml:space="preserve"> </w:t>
      </w:r>
      <w:r w:rsidR="00923C00" w:rsidRPr="00DE4843">
        <w:rPr>
          <w:rFonts w:cs="Arial"/>
        </w:rPr>
        <w:t>Unfortunately, the Authority cannot confirm at this time what the Cap will be set at. This will be discussed and confirmed with the Schools Forum</w:t>
      </w:r>
      <w:r w:rsidR="00E254F3">
        <w:rPr>
          <w:rFonts w:cs="Arial"/>
        </w:rPr>
        <w:t xml:space="preserve"> on 15 January,</w:t>
      </w:r>
      <w:r w:rsidR="00923C00" w:rsidRPr="00DE4843">
        <w:rPr>
          <w:rFonts w:cs="Arial"/>
        </w:rPr>
        <w:t xml:space="preserve"> following the release of the necessary information in mid to late December. The Authority has set out guiding principles and the outline of the approach that it proposed. It is proposed that a full Gains Cap is applied, rather than a Cap that ‘scales back’ funding above a set level e.g. if the Cap was set at </w:t>
      </w:r>
      <w:r w:rsidR="00B30887">
        <w:rPr>
          <w:rFonts w:cs="Arial"/>
        </w:rPr>
        <w:t>0.5</w:t>
      </w:r>
      <w:r w:rsidR="00923C00" w:rsidRPr="00DE4843">
        <w:rPr>
          <w:rFonts w:cs="Arial"/>
        </w:rPr>
        <w:t xml:space="preserve">% per pupil, all gains above </w:t>
      </w:r>
      <w:r w:rsidR="00B30887">
        <w:rPr>
          <w:rFonts w:cs="Arial"/>
        </w:rPr>
        <w:t>0.5</w:t>
      </w:r>
      <w:r w:rsidR="00923C00" w:rsidRPr="00DE4843">
        <w:rPr>
          <w:rFonts w:cs="Arial"/>
        </w:rPr>
        <w:t xml:space="preserve">% per pupil would be taken away. </w:t>
      </w:r>
      <w:r w:rsidRPr="00DE4843">
        <w:rPr>
          <w:rFonts w:cs="Arial"/>
        </w:rPr>
        <w:t>It is</w:t>
      </w:r>
      <w:r w:rsidR="00923C00" w:rsidRPr="00DE4843">
        <w:rPr>
          <w:rFonts w:cs="Arial"/>
        </w:rPr>
        <w:t xml:space="preserve"> proposed that the Cap would initially be set at the % that is required to meet the cost of the Minimum Funding Guarantee (MFG) and would then be reviewed from this point. </w:t>
      </w:r>
      <w:r w:rsidRPr="00DE4843">
        <w:rPr>
          <w:rFonts w:cs="Arial"/>
        </w:rPr>
        <w:t>For example, if</w:t>
      </w:r>
      <w:r w:rsidR="00923C00" w:rsidRPr="00DE4843">
        <w:rPr>
          <w:rFonts w:cs="Arial"/>
        </w:rPr>
        <w:t xml:space="preserve"> the MFG cost £1.</w:t>
      </w:r>
      <w:r w:rsidRPr="00DE4843">
        <w:rPr>
          <w:rFonts w:cs="Arial"/>
        </w:rPr>
        <w:t>0</w:t>
      </w:r>
      <w:r w:rsidR="00923C00" w:rsidRPr="00DE4843">
        <w:rPr>
          <w:rFonts w:cs="Arial"/>
        </w:rPr>
        <w:t>m</w:t>
      </w:r>
      <w:r w:rsidRPr="00DE4843">
        <w:rPr>
          <w:rFonts w:cs="Arial"/>
        </w:rPr>
        <w:t xml:space="preserve">, the Cap would be set to the % </w:t>
      </w:r>
      <w:r w:rsidR="00923C00" w:rsidRPr="00DE4843">
        <w:rPr>
          <w:rFonts w:cs="Arial"/>
        </w:rPr>
        <w:t>that is required to release £1.</w:t>
      </w:r>
      <w:r w:rsidRPr="00DE4843">
        <w:rPr>
          <w:rFonts w:cs="Arial"/>
        </w:rPr>
        <w:t>0</w:t>
      </w:r>
      <w:r w:rsidR="00923C00" w:rsidRPr="00DE4843">
        <w:rPr>
          <w:rFonts w:cs="Arial"/>
        </w:rPr>
        <w:t>m.</w:t>
      </w:r>
      <w:r w:rsidRPr="00DE4843">
        <w:rPr>
          <w:rFonts w:cs="Arial"/>
        </w:rPr>
        <w:t xml:space="preserve"> This has the effect of neutralising the cost of the MFG to the Schools Block, in support of managing the overall affordability of the Authority’s funding formula.</w:t>
      </w:r>
      <w:r w:rsidR="00923C00" w:rsidRPr="00DE4843">
        <w:rPr>
          <w:rFonts w:cs="Arial"/>
        </w:rPr>
        <w:t xml:space="preserve"> </w:t>
      </w:r>
      <w:r w:rsidRPr="00DE4843">
        <w:rPr>
          <w:rFonts w:cs="Arial"/>
        </w:rPr>
        <w:t>After initially covering the cost of the MFG, the Cap</w:t>
      </w:r>
      <w:r w:rsidR="00923C00" w:rsidRPr="00DE4843">
        <w:rPr>
          <w:rFonts w:cs="Arial"/>
        </w:rPr>
        <w:t xml:space="preserve"> would be subject to further </w:t>
      </w:r>
      <w:r w:rsidRPr="00DE4843">
        <w:rPr>
          <w:rFonts w:cs="Arial"/>
        </w:rPr>
        <w:t xml:space="preserve">checks and assessments to ensure that its impact is </w:t>
      </w:r>
      <w:r w:rsidRPr="00E254F3">
        <w:rPr>
          <w:rFonts w:cs="Arial"/>
        </w:rPr>
        <w:t>as expected.</w:t>
      </w:r>
      <w:r w:rsidR="00923C00" w:rsidRPr="00E254F3">
        <w:rPr>
          <w:rFonts w:cs="Arial"/>
        </w:rPr>
        <w:t xml:space="preserve"> </w:t>
      </w:r>
    </w:p>
    <w:p w14:paraId="2AE9C4EC" w14:textId="77777777" w:rsidR="00DE4843" w:rsidRPr="00E254F3" w:rsidRDefault="00DE4843" w:rsidP="00DE4843">
      <w:pPr>
        <w:pStyle w:val="ListParagraph"/>
        <w:ind w:left="360"/>
        <w:jc w:val="both"/>
        <w:rPr>
          <w:rFonts w:cs="Arial"/>
        </w:rPr>
      </w:pPr>
    </w:p>
    <w:p w14:paraId="3482EBA7" w14:textId="712924C6" w:rsidR="00CB0B87" w:rsidRPr="00E254F3" w:rsidRDefault="009121C8" w:rsidP="00CB0B87">
      <w:pPr>
        <w:pStyle w:val="ListParagraph"/>
        <w:numPr>
          <w:ilvl w:val="0"/>
          <w:numId w:val="11"/>
        </w:numPr>
        <w:jc w:val="both"/>
        <w:rPr>
          <w:rStyle w:val="Hyperlink"/>
          <w:rFonts w:cs="Arial"/>
          <w:color w:val="auto"/>
          <w:u w:val="none"/>
        </w:rPr>
      </w:pPr>
      <w:r w:rsidRPr="00E254F3">
        <w:rPr>
          <w:rFonts w:cs="Arial"/>
        </w:rPr>
        <w:t xml:space="preserve">The Local Authority has </w:t>
      </w:r>
      <w:r w:rsidR="00E254F3" w:rsidRPr="00E254F3">
        <w:rPr>
          <w:rFonts w:cs="Arial"/>
        </w:rPr>
        <w:t xml:space="preserve">discussed with </w:t>
      </w:r>
      <w:r w:rsidRPr="00E254F3">
        <w:rPr>
          <w:rFonts w:cs="Arial"/>
        </w:rPr>
        <w:t xml:space="preserve">the Schools Forum </w:t>
      </w:r>
      <w:r w:rsidR="00E254F3" w:rsidRPr="00E254F3">
        <w:rPr>
          <w:rFonts w:cs="Arial"/>
        </w:rPr>
        <w:t xml:space="preserve">a transfer of </w:t>
      </w:r>
      <w:r w:rsidRPr="00E254F3">
        <w:rPr>
          <w:rFonts w:cs="Arial"/>
        </w:rPr>
        <w:t>£2.6m of Schools Block income to the High Needs Block</w:t>
      </w:r>
      <w:r w:rsidR="00E254F3" w:rsidRPr="00E254F3">
        <w:rPr>
          <w:rFonts w:cs="Arial"/>
        </w:rPr>
        <w:t xml:space="preserve"> in 2025/26</w:t>
      </w:r>
      <w:r w:rsidRPr="00E254F3">
        <w:rPr>
          <w:rFonts w:cs="Arial"/>
        </w:rPr>
        <w:t>.</w:t>
      </w:r>
      <w:r w:rsidR="00E254F3">
        <w:rPr>
          <w:rFonts w:cs="Arial"/>
        </w:rPr>
        <w:t xml:space="preserve"> </w:t>
      </w:r>
      <w:r w:rsidRPr="00E254F3">
        <w:rPr>
          <w:rFonts w:cs="Arial"/>
        </w:rPr>
        <w:t>The business case for this transfer</w:t>
      </w:r>
      <w:r w:rsidR="00E254F3" w:rsidRPr="00E254F3">
        <w:rPr>
          <w:rFonts w:cs="Arial"/>
        </w:rPr>
        <w:t>, and modelling,</w:t>
      </w:r>
      <w:r w:rsidRPr="00E254F3">
        <w:rPr>
          <w:rFonts w:cs="Arial"/>
        </w:rPr>
        <w:t xml:space="preserve"> </w:t>
      </w:r>
      <w:r w:rsidR="00E254F3" w:rsidRPr="00E254F3">
        <w:rPr>
          <w:rFonts w:cs="Arial"/>
        </w:rPr>
        <w:t xml:space="preserve">was published </w:t>
      </w:r>
      <w:r w:rsidRPr="00E254F3">
        <w:rPr>
          <w:rFonts w:cs="Arial"/>
        </w:rPr>
        <w:t xml:space="preserve">on </w:t>
      </w:r>
      <w:hyperlink r:id="rId12" w:history="1">
        <w:r w:rsidRPr="00E254F3">
          <w:rPr>
            <w:rStyle w:val="Hyperlink"/>
            <w:rFonts w:cs="Arial"/>
          </w:rPr>
          <w:t>Bradford Schools Online</w:t>
        </w:r>
      </w:hyperlink>
      <w:r w:rsidRPr="00E254F3">
        <w:rPr>
          <w:rFonts w:cs="Arial"/>
        </w:rPr>
        <w:t xml:space="preserve">. At its simplest level, the transfer means that the overall value of formula funding that is allocated to mainstream primary and secondary schools and academies in 2025/26 will be £2.6m lower than it would be if a transfer did not take place. £2.6m is around 0.5% of the Schools Block. </w:t>
      </w:r>
      <w:r w:rsidR="00E254F3" w:rsidRPr="00E254F3">
        <w:rPr>
          <w:rFonts w:cs="Arial"/>
        </w:rPr>
        <w:t>The transfer will mean that</w:t>
      </w:r>
      <w:r w:rsidRPr="00E254F3">
        <w:rPr>
          <w:rFonts w:cs="Arial"/>
        </w:rPr>
        <w:t xml:space="preserve"> </w:t>
      </w:r>
      <w:r w:rsidR="00E254F3" w:rsidRPr="00E254F3">
        <w:rPr>
          <w:rFonts w:cs="Arial"/>
        </w:rPr>
        <w:t>the Authority would</w:t>
      </w:r>
      <w:r w:rsidRPr="00E254F3">
        <w:rPr>
          <w:rFonts w:cs="Arial"/>
        </w:rPr>
        <w:t xml:space="preserve"> step away a little from full mirroring of the National Funding Formula (NFF), as the values of the NFF factor variables that </w:t>
      </w:r>
      <w:r w:rsidR="00E254F3" w:rsidRPr="00E254F3">
        <w:rPr>
          <w:rFonts w:cs="Arial"/>
        </w:rPr>
        <w:t>are</w:t>
      </w:r>
      <w:r w:rsidRPr="00E254F3">
        <w:rPr>
          <w:rFonts w:cs="Arial"/>
        </w:rPr>
        <w:t xml:space="preserve"> use</w:t>
      </w:r>
      <w:r w:rsidR="00E254F3" w:rsidRPr="00E254F3">
        <w:rPr>
          <w:rFonts w:cs="Arial"/>
        </w:rPr>
        <w:t>d would need to be reduced</w:t>
      </w:r>
      <w:r w:rsidRPr="00E254F3">
        <w:rPr>
          <w:rFonts w:cs="Arial"/>
        </w:rPr>
        <w:t>. The business case describe</w:t>
      </w:r>
      <w:r w:rsidR="00E254F3" w:rsidRPr="00E254F3">
        <w:rPr>
          <w:rFonts w:cs="Arial"/>
        </w:rPr>
        <w:t>d</w:t>
      </w:r>
      <w:r w:rsidRPr="00E254F3">
        <w:rPr>
          <w:rFonts w:cs="Arial"/>
        </w:rPr>
        <w:t xml:space="preserve"> how this would be done</w:t>
      </w:r>
      <w:r w:rsidR="00E254F3">
        <w:rPr>
          <w:rFonts w:cs="Arial"/>
        </w:rPr>
        <w:t xml:space="preserve"> (by reducing variable values by the same %, after having applied a Gains Cap)</w:t>
      </w:r>
      <w:r w:rsidRPr="00E254F3">
        <w:rPr>
          <w:rFonts w:cs="Arial"/>
        </w:rPr>
        <w:t>.</w:t>
      </w:r>
      <w:r w:rsidR="00E254F3" w:rsidRPr="00E254F3">
        <w:rPr>
          <w:rFonts w:cs="Arial"/>
        </w:rPr>
        <w:t xml:space="preserve"> </w:t>
      </w:r>
      <w:r w:rsidRPr="00E254F3">
        <w:rPr>
          <w:rFonts w:cs="Arial"/>
        </w:rPr>
        <w:t>The Schools Forum accepted (on 9 October) the Authority’s proposal for a transfer of £2.6m</w:t>
      </w:r>
      <w:r w:rsidR="00E254F3" w:rsidRPr="00E254F3">
        <w:rPr>
          <w:rFonts w:cs="Arial"/>
        </w:rPr>
        <w:t xml:space="preserve">. </w:t>
      </w:r>
      <w:r w:rsidRPr="00E254F3">
        <w:rPr>
          <w:rFonts w:cs="Arial"/>
        </w:rPr>
        <w:t xml:space="preserve">This </w:t>
      </w:r>
      <w:r w:rsidR="00E254F3" w:rsidRPr="00E254F3">
        <w:rPr>
          <w:rFonts w:cs="Arial"/>
        </w:rPr>
        <w:t>was</w:t>
      </w:r>
      <w:r w:rsidRPr="00E254F3">
        <w:rPr>
          <w:rFonts w:cs="Arial"/>
        </w:rPr>
        <w:t xml:space="preserve"> with the assurance that the Authority will work closely with the Forum on the final details of how the transfer is enacted, following the DfE’s settlement announcements.</w:t>
      </w:r>
      <w:r w:rsidR="00E254F3" w:rsidRPr="00E254F3">
        <w:rPr>
          <w:rFonts w:cs="Arial"/>
        </w:rPr>
        <w:t xml:space="preserve"> The Authority will further discuss the transfer with the Forum in the meetings to be held on 4 December and 15 January.</w:t>
      </w:r>
    </w:p>
    <w:p w14:paraId="7BEA86F1" w14:textId="77777777" w:rsidR="009D758A" w:rsidRDefault="009D758A" w:rsidP="009D758A">
      <w:pPr>
        <w:rPr>
          <w:b/>
          <w:bCs/>
        </w:rPr>
      </w:pPr>
      <w:r>
        <w:rPr>
          <w:b/>
          <w:bCs/>
        </w:rPr>
        <w:t>Mainstream Schools Block Centrally Managed and De-Delegated Funds</w:t>
      </w:r>
    </w:p>
    <w:p w14:paraId="2FE51B85" w14:textId="77777777" w:rsidR="00A21066" w:rsidRDefault="00A21066" w:rsidP="00A21066">
      <w:pPr>
        <w:pStyle w:val="ListParagraph"/>
        <w:numPr>
          <w:ilvl w:val="0"/>
          <w:numId w:val="11"/>
        </w:numPr>
        <w:jc w:val="both"/>
      </w:pPr>
      <w:r w:rsidRPr="00A21066">
        <w:rPr>
          <w:rFonts w:cs="Arial"/>
        </w:rPr>
        <w:t>The Finance Regulations continue to significantly restrict the extent to which the Dedicated Schools Grant (DSG) Schools Block can be retained and managed centrally. The Regulations allow funding for certain types of expenditure to be ‘de-delegated’ - passed back to the Local Authority - from maintained school budgets. The Regulations also permit the operation of Growth and Falling Rolls Funds.</w:t>
      </w:r>
    </w:p>
    <w:p w14:paraId="38D00774" w14:textId="77777777" w:rsidR="00A21066" w:rsidRDefault="00A21066" w:rsidP="00A21066">
      <w:pPr>
        <w:pStyle w:val="ListParagraph"/>
        <w:ind w:left="360"/>
        <w:jc w:val="both"/>
      </w:pPr>
    </w:p>
    <w:p w14:paraId="55B12650" w14:textId="77777777" w:rsidR="00A21066" w:rsidRDefault="00A21066" w:rsidP="00A21066">
      <w:pPr>
        <w:pStyle w:val="ListParagraph"/>
        <w:numPr>
          <w:ilvl w:val="0"/>
          <w:numId w:val="11"/>
        </w:numPr>
        <w:jc w:val="both"/>
      </w:pPr>
      <w:r w:rsidRPr="00A21066">
        <w:rPr>
          <w:rFonts w:cs="Arial"/>
        </w:rPr>
        <w:t>Regarding De-Delegated Funds for maintained schools, the following funds are held in the current 2024/25 financial year:</w:t>
      </w:r>
    </w:p>
    <w:p w14:paraId="0817BBAF" w14:textId="77777777" w:rsidR="00A21066" w:rsidRPr="00A21066" w:rsidRDefault="00A21066" w:rsidP="00A21066">
      <w:pPr>
        <w:pStyle w:val="ListParagraph"/>
        <w:rPr>
          <w:rFonts w:cs="Arial"/>
        </w:rPr>
      </w:pPr>
    </w:p>
    <w:p w14:paraId="6F6FD225" w14:textId="77777777" w:rsidR="00A21066" w:rsidRDefault="00A21066" w:rsidP="00A21066">
      <w:pPr>
        <w:pStyle w:val="ListParagraph"/>
        <w:numPr>
          <w:ilvl w:val="1"/>
          <w:numId w:val="11"/>
        </w:numPr>
        <w:jc w:val="both"/>
      </w:pPr>
      <w:r w:rsidRPr="00A21066">
        <w:rPr>
          <w:rFonts w:cs="Arial"/>
        </w:rPr>
        <w:t>FSM Eligibility Assessments (primary and secondary).</w:t>
      </w:r>
    </w:p>
    <w:p w14:paraId="5423D29D" w14:textId="77777777" w:rsidR="00A21066" w:rsidRDefault="00A21066" w:rsidP="00A21066">
      <w:pPr>
        <w:pStyle w:val="ListParagraph"/>
        <w:numPr>
          <w:ilvl w:val="1"/>
          <w:numId w:val="11"/>
        </w:numPr>
        <w:jc w:val="both"/>
      </w:pPr>
      <w:r w:rsidRPr="00A21066">
        <w:rPr>
          <w:rFonts w:cs="Arial"/>
        </w:rPr>
        <w:t>School Maternity / Paternity ‘insurance’ (primary only).</w:t>
      </w:r>
    </w:p>
    <w:p w14:paraId="08BCC1BE" w14:textId="77777777" w:rsidR="00A21066" w:rsidRDefault="00A21066" w:rsidP="00A21066">
      <w:pPr>
        <w:pStyle w:val="ListParagraph"/>
        <w:numPr>
          <w:ilvl w:val="1"/>
          <w:numId w:val="11"/>
        </w:numPr>
        <w:jc w:val="both"/>
      </w:pPr>
      <w:r w:rsidRPr="00A21066">
        <w:rPr>
          <w:rFonts w:cs="Arial"/>
        </w:rPr>
        <w:t>Trade Union Facilities Time (primary &amp; secondary).</w:t>
      </w:r>
    </w:p>
    <w:p w14:paraId="57D6CF8A" w14:textId="77777777" w:rsidR="00A21066" w:rsidRDefault="00A21066" w:rsidP="00A21066">
      <w:pPr>
        <w:pStyle w:val="ListParagraph"/>
        <w:numPr>
          <w:ilvl w:val="1"/>
          <w:numId w:val="11"/>
        </w:numPr>
        <w:jc w:val="both"/>
      </w:pPr>
      <w:r w:rsidRPr="00A21066">
        <w:rPr>
          <w:rFonts w:cs="Arial"/>
        </w:rPr>
        <w:t>Trade Union Health and Safety Representative Time (primary &amp; secondary).</w:t>
      </w:r>
    </w:p>
    <w:p w14:paraId="0C3BC07D" w14:textId="77777777" w:rsidR="00A21066" w:rsidRDefault="00A21066" w:rsidP="00A21066">
      <w:pPr>
        <w:pStyle w:val="ListParagraph"/>
        <w:numPr>
          <w:ilvl w:val="1"/>
          <w:numId w:val="11"/>
        </w:numPr>
        <w:jc w:val="both"/>
      </w:pPr>
      <w:r w:rsidRPr="00A21066">
        <w:rPr>
          <w:rFonts w:cs="Arial"/>
        </w:rPr>
        <w:t>School Staff Public Duties and Suspensions Fund (primary only).</w:t>
      </w:r>
    </w:p>
    <w:p w14:paraId="39293E2B" w14:textId="77777777" w:rsidR="00A21066" w:rsidRDefault="00A21066" w:rsidP="00A21066">
      <w:pPr>
        <w:pStyle w:val="ListParagraph"/>
        <w:numPr>
          <w:ilvl w:val="1"/>
          <w:numId w:val="11"/>
        </w:numPr>
        <w:jc w:val="both"/>
      </w:pPr>
      <w:r w:rsidRPr="00A21066">
        <w:rPr>
          <w:rFonts w:cs="Arial"/>
        </w:rPr>
        <w:t>School Re-Organisation Costs (primary and secondary).</w:t>
      </w:r>
    </w:p>
    <w:p w14:paraId="51124F90" w14:textId="77777777" w:rsidR="00A21066" w:rsidRDefault="00A21066" w:rsidP="00A21066">
      <w:pPr>
        <w:pStyle w:val="ListParagraph"/>
        <w:numPr>
          <w:ilvl w:val="1"/>
          <w:numId w:val="11"/>
        </w:numPr>
        <w:jc w:val="both"/>
      </w:pPr>
      <w:r w:rsidRPr="00A21066">
        <w:rPr>
          <w:rFonts w:cs="Arial"/>
        </w:rPr>
        <w:t>Exceptional Costs &amp; Schools in Financial Difficulty (primary only).</w:t>
      </w:r>
    </w:p>
    <w:p w14:paraId="353A9F14" w14:textId="7C097A8D" w:rsidR="00A21066" w:rsidRPr="00A21066" w:rsidRDefault="00A21066" w:rsidP="00852169">
      <w:pPr>
        <w:pStyle w:val="ListParagraph"/>
        <w:numPr>
          <w:ilvl w:val="1"/>
          <w:numId w:val="11"/>
        </w:numPr>
        <w:jc w:val="both"/>
      </w:pPr>
      <w:r w:rsidRPr="00A21066">
        <w:rPr>
          <w:rFonts w:cs="Arial"/>
        </w:rPr>
        <w:t>School Improvement (primary &amp; secondary).</w:t>
      </w:r>
    </w:p>
    <w:p w14:paraId="0314A92D" w14:textId="1E153EE0" w:rsidR="00A21066" w:rsidRPr="00A21066" w:rsidRDefault="00A21066" w:rsidP="00A21066">
      <w:pPr>
        <w:pStyle w:val="ListParagraph"/>
        <w:numPr>
          <w:ilvl w:val="0"/>
          <w:numId w:val="11"/>
        </w:numPr>
        <w:jc w:val="both"/>
      </w:pPr>
      <w:r w:rsidRPr="00A21066">
        <w:rPr>
          <w:rFonts w:cs="Arial"/>
        </w:rPr>
        <w:t xml:space="preserve">De-Delegated Funds are decided by members of the Schools Forum on a phase-specific basis. </w:t>
      </w:r>
      <w:r>
        <w:rPr>
          <w:rFonts w:cs="Arial"/>
        </w:rPr>
        <w:t>The Authority</w:t>
      </w:r>
      <w:r w:rsidRPr="00A21066">
        <w:rPr>
          <w:rFonts w:cs="Arial"/>
        </w:rPr>
        <w:t xml:space="preserve"> anticipate</w:t>
      </w:r>
      <w:r>
        <w:rPr>
          <w:rFonts w:cs="Arial"/>
        </w:rPr>
        <w:t>s</w:t>
      </w:r>
      <w:r w:rsidRPr="00A21066">
        <w:rPr>
          <w:rFonts w:cs="Arial"/>
        </w:rPr>
        <w:t xml:space="preserve"> that the Forum (following the Authority’s recommendations) </w:t>
      </w:r>
      <w:r>
        <w:rPr>
          <w:rFonts w:cs="Arial"/>
        </w:rPr>
        <w:t xml:space="preserve">will </w:t>
      </w:r>
      <w:r w:rsidRPr="00A21066">
        <w:rPr>
          <w:rFonts w:cs="Arial"/>
        </w:rPr>
        <w:t>decide to continue existing de-delegated fund arrangements in 2025/26, with the exception of the School Maternity / Paternity ‘Insurance’ fund. The Local Authority signalled in reports for 2024/25 decision making, and in our consultations with schools and presentations to various groups and in budgeting guidance, that the Authority plans to cease the Maternity / Paternity ‘insurance’ scheme for the primary phase. This scheme has already ceased for the secondary phase. The Authority stated in autumn 2023 that we plan to cease this at the end of the 2024/25 academic year, meaning that reimbursements for all existing and new claims will stop at 31 August 2025.</w:t>
      </w:r>
      <w:r>
        <w:rPr>
          <w:rFonts w:cs="Arial"/>
        </w:rPr>
        <w:t xml:space="preserve"> M</w:t>
      </w:r>
      <w:r w:rsidRPr="00A21066">
        <w:rPr>
          <w:rFonts w:cs="Arial"/>
        </w:rPr>
        <w:t>aintained schools</w:t>
      </w:r>
      <w:r>
        <w:rPr>
          <w:rFonts w:cs="Arial"/>
        </w:rPr>
        <w:t xml:space="preserve"> were instructed</w:t>
      </w:r>
      <w:r w:rsidRPr="00A21066">
        <w:rPr>
          <w:rFonts w:cs="Arial"/>
        </w:rPr>
        <w:t xml:space="preserve"> to begin to plan on this basis and to explore alternative arrangements, including through external supply insurance. </w:t>
      </w:r>
      <w:r>
        <w:rPr>
          <w:rFonts w:cs="Arial"/>
        </w:rPr>
        <w:t>The Authority is</w:t>
      </w:r>
      <w:r w:rsidRPr="00A21066">
        <w:rPr>
          <w:rFonts w:cs="Arial"/>
        </w:rPr>
        <w:t xml:space="preserve"> aware that many schools have already explored alternatives. On this basis, the Local Authority expects to recommend to the Schools Forum that the scheme ceases at 31 August 2025. This means that only 5/12ths contributions will be taken from maintained primary school budgets, with 7/12ths contributions released back to maintained primary schools in 2025/26. Contributions will then be £0 from April 2026.</w:t>
      </w:r>
    </w:p>
    <w:p w14:paraId="63DC8A01" w14:textId="77777777" w:rsidR="00A21066" w:rsidRPr="00A21066" w:rsidRDefault="00A21066" w:rsidP="00A21066">
      <w:pPr>
        <w:pStyle w:val="ListParagraph"/>
        <w:ind w:left="360"/>
        <w:jc w:val="both"/>
      </w:pPr>
    </w:p>
    <w:p w14:paraId="603CD538" w14:textId="77777777" w:rsidR="00A21066" w:rsidRDefault="00A21066" w:rsidP="00A21066">
      <w:pPr>
        <w:pStyle w:val="ListParagraph"/>
        <w:numPr>
          <w:ilvl w:val="0"/>
          <w:numId w:val="11"/>
        </w:numPr>
        <w:jc w:val="both"/>
      </w:pPr>
      <w:r w:rsidRPr="00A21066">
        <w:rPr>
          <w:rFonts w:cs="Arial"/>
        </w:rPr>
        <w:t>The Authority does not expect to propose any other amendments for 2025/26, including to the criteria that are used for the allocation of de-delegated funds.</w:t>
      </w:r>
    </w:p>
    <w:p w14:paraId="18CCB178" w14:textId="77777777" w:rsidR="00A21066" w:rsidRPr="00A21066" w:rsidRDefault="00A21066" w:rsidP="00A21066">
      <w:pPr>
        <w:pStyle w:val="ListParagraph"/>
        <w:rPr>
          <w:rFonts w:cs="Arial"/>
        </w:rPr>
      </w:pPr>
    </w:p>
    <w:p w14:paraId="13371058" w14:textId="30D82C59" w:rsidR="00A21066" w:rsidRDefault="00A21066" w:rsidP="00A21066">
      <w:pPr>
        <w:pStyle w:val="ListParagraph"/>
        <w:numPr>
          <w:ilvl w:val="0"/>
          <w:numId w:val="11"/>
        </w:numPr>
        <w:jc w:val="both"/>
      </w:pPr>
      <w:r>
        <w:rPr>
          <w:rFonts w:cs="Arial"/>
        </w:rPr>
        <w:t>The Authority operates a</w:t>
      </w:r>
      <w:r w:rsidRPr="00A21066">
        <w:rPr>
          <w:rFonts w:cs="Arial"/>
        </w:rPr>
        <w:t xml:space="preserve"> Growth Fund, which supports both maintained schools and academies that are expanding for basic-needs purposes at the request of the Local Authority to manage more effectively the financial pressures that are brought by expansion. Unless directed by the DfE, </w:t>
      </w:r>
      <w:r>
        <w:rPr>
          <w:rFonts w:cs="Arial"/>
        </w:rPr>
        <w:t xml:space="preserve">the Authority </w:t>
      </w:r>
      <w:r w:rsidR="00DD20CE">
        <w:rPr>
          <w:rFonts w:cs="Arial"/>
        </w:rPr>
        <w:t>will not</w:t>
      </w:r>
      <w:r w:rsidRPr="00A21066">
        <w:rPr>
          <w:rFonts w:cs="Arial"/>
        </w:rPr>
        <w:t xml:space="preserve"> make any changes to </w:t>
      </w:r>
      <w:r w:rsidR="00DD20CE">
        <w:rPr>
          <w:rFonts w:cs="Arial"/>
        </w:rPr>
        <w:t xml:space="preserve">the </w:t>
      </w:r>
      <w:r w:rsidRPr="00A21066">
        <w:rPr>
          <w:rFonts w:cs="Arial"/>
        </w:rPr>
        <w:t>Growth Fund in 2025/26, other than adjusting funding variables for the latest formula.</w:t>
      </w:r>
    </w:p>
    <w:p w14:paraId="427AA8CE" w14:textId="77777777" w:rsidR="00A21066" w:rsidRPr="00A21066" w:rsidRDefault="00A21066" w:rsidP="00A21066">
      <w:pPr>
        <w:pStyle w:val="ListParagraph"/>
        <w:rPr>
          <w:rFonts w:cs="Arial"/>
        </w:rPr>
      </w:pPr>
    </w:p>
    <w:p w14:paraId="3F3BAA3B" w14:textId="01A5DC58" w:rsidR="005B281B" w:rsidRPr="00DD20CE" w:rsidRDefault="00A21066" w:rsidP="005B281B">
      <w:pPr>
        <w:pStyle w:val="ListParagraph"/>
        <w:numPr>
          <w:ilvl w:val="0"/>
          <w:numId w:val="11"/>
        </w:numPr>
        <w:jc w:val="both"/>
      </w:pPr>
      <w:r>
        <w:rPr>
          <w:rFonts w:cs="Arial"/>
        </w:rPr>
        <w:t>The Authority</w:t>
      </w:r>
      <w:r w:rsidRPr="00A21066">
        <w:rPr>
          <w:rFonts w:cs="Arial"/>
        </w:rPr>
        <w:t xml:space="preserve"> operate</w:t>
      </w:r>
      <w:r>
        <w:rPr>
          <w:rFonts w:cs="Arial"/>
        </w:rPr>
        <w:t>s</w:t>
      </w:r>
      <w:r w:rsidRPr="00A21066">
        <w:rPr>
          <w:rFonts w:cs="Arial"/>
        </w:rPr>
        <w:t xml:space="preserve"> a Falling Rolls Fund</w:t>
      </w:r>
      <w:r>
        <w:rPr>
          <w:rFonts w:cs="Arial"/>
        </w:rPr>
        <w:t xml:space="preserve"> for primary schools</w:t>
      </w:r>
      <w:r w:rsidR="00DD20CE">
        <w:rPr>
          <w:rFonts w:cs="Arial"/>
        </w:rPr>
        <w:t xml:space="preserve"> / </w:t>
      </w:r>
      <w:r>
        <w:rPr>
          <w:rFonts w:cs="Arial"/>
        </w:rPr>
        <w:t>academies</w:t>
      </w:r>
      <w:r w:rsidRPr="00A21066">
        <w:rPr>
          <w:rFonts w:cs="Arial"/>
        </w:rPr>
        <w:t>. This fund is intended to provide budget support in circumstances where pupil numbers growth (to fill surplus capacity) is expected in the near future but where a school or academy currently has surplus places and faces an unmanageable financial position in the short term. The Falling Rolls Fund is not a mechanism for supporting schools and academies that are forecasted to see more permanent / longer-term reductions in pupil numbers because of wider demographic trends.</w:t>
      </w:r>
      <w:r w:rsidR="00DD20CE">
        <w:rPr>
          <w:rFonts w:cs="Arial"/>
        </w:rPr>
        <w:t xml:space="preserve"> N</w:t>
      </w:r>
      <w:r w:rsidRPr="00A21066">
        <w:rPr>
          <w:rFonts w:cs="Arial"/>
        </w:rPr>
        <w:t xml:space="preserve">o schools or academies in Bradford have yet qualified for funding. Unless directed by the DfE, </w:t>
      </w:r>
      <w:r w:rsidR="00DD20CE">
        <w:rPr>
          <w:rFonts w:cs="Arial"/>
        </w:rPr>
        <w:t xml:space="preserve">the Authority will not </w:t>
      </w:r>
      <w:r w:rsidRPr="00A21066">
        <w:rPr>
          <w:rFonts w:cs="Arial"/>
        </w:rPr>
        <w:t>make any changes to</w:t>
      </w:r>
      <w:r w:rsidR="00DD20CE">
        <w:rPr>
          <w:rFonts w:cs="Arial"/>
        </w:rPr>
        <w:t xml:space="preserve"> the</w:t>
      </w:r>
      <w:r w:rsidRPr="00A21066">
        <w:rPr>
          <w:rFonts w:cs="Arial"/>
        </w:rPr>
        <w:t xml:space="preserve"> Falling Rolls Fund in 2025/26, other than adjusting funding variables for the latest formula.</w:t>
      </w:r>
    </w:p>
    <w:p w14:paraId="60334DDF" w14:textId="77777777" w:rsidR="00852169" w:rsidRPr="007428CB" w:rsidRDefault="006616B7" w:rsidP="00852169">
      <w:pPr>
        <w:rPr>
          <w:b/>
          <w:bCs/>
        </w:rPr>
      </w:pPr>
      <w:r w:rsidRPr="007428CB">
        <w:rPr>
          <w:b/>
          <w:bCs/>
        </w:rPr>
        <w:t>E</w:t>
      </w:r>
      <w:r w:rsidR="00DD20CE" w:rsidRPr="007428CB">
        <w:rPr>
          <w:b/>
          <w:bCs/>
        </w:rPr>
        <w:t>quality Impact Assessment</w:t>
      </w:r>
    </w:p>
    <w:p w14:paraId="6EB1B77F" w14:textId="77777777" w:rsidR="00852169" w:rsidRDefault="00852169" w:rsidP="00852169">
      <w:pPr>
        <w:pStyle w:val="ListParagraph"/>
        <w:numPr>
          <w:ilvl w:val="0"/>
          <w:numId w:val="11"/>
        </w:numPr>
      </w:pPr>
      <w:r w:rsidRPr="00852169">
        <w:t>The Public Sector Equality Duty (PSED) of the Equality Act 2010 requires the Local Authority to give due regard to achieving the following objectives in exercising its functions:</w:t>
      </w:r>
    </w:p>
    <w:p w14:paraId="3D7C8843" w14:textId="77777777" w:rsidR="007428CB" w:rsidRDefault="007428CB" w:rsidP="007428CB">
      <w:pPr>
        <w:pStyle w:val="ListParagraph"/>
        <w:ind w:left="360"/>
      </w:pPr>
    </w:p>
    <w:p w14:paraId="737B6A81" w14:textId="77777777" w:rsidR="00852169" w:rsidRDefault="00852169" w:rsidP="00852169">
      <w:pPr>
        <w:pStyle w:val="ListParagraph"/>
        <w:numPr>
          <w:ilvl w:val="1"/>
          <w:numId w:val="11"/>
        </w:numPr>
      </w:pPr>
      <w:r w:rsidRPr="00310A22">
        <w:t>Eliminate discrimination, harassment, victimisation, and any other conduct that is prohibited by or under the Equality Act 2010.</w:t>
      </w:r>
    </w:p>
    <w:p w14:paraId="39B4914A" w14:textId="5F36A656" w:rsidR="00852169" w:rsidRDefault="00852169" w:rsidP="00852169">
      <w:pPr>
        <w:pStyle w:val="ListParagraph"/>
        <w:numPr>
          <w:ilvl w:val="1"/>
          <w:numId w:val="11"/>
        </w:numPr>
      </w:pPr>
      <w:r w:rsidRPr="00310A22">
        <w:t>Advance equality of opportunity between persons who share a relevant protected characteristic and persons who do not share it</w:t>
      </w:r>
      <w:r>
        <w:t>.</w:t>
      </w:r>
    </w:p>
    <w:p w14:paraId="0E175648" w14:textId="77777777" w:rsidR="00852169" w:rsidRDefault="00852169" w:rsidP="00852169">
      <w:pPr>
        <w:pStyle w:val="ListParagraph"/>
        <w:numPr>
          <w:ilvl w:val="1"/>
          <w:numId w:val="11"/>
        </w:numPr>
      </w:pPr>
      <w:r w:rsidRPr="00310A22">
        <w:t>Foster good relations between persons who share a relevant protected characteristic and persons who do not share it.</w:t>
      </w:r>
    </w:p>
    <w:p w14:paraId="62377C9A" w14:textId="77777777" w:rsidR="00852169" w:rsidRDefault="00852169" w:rsidP="00852169">
      <w:pPr>
        <w:pStyle w:val="ListParagraph"/>
        <w:ind w:left="360"/>
        <w:jc w:val="both"/>
      </w:pPr>
    </w:p>
    <w:p w14:paraId="706ECD86" w14:textId="743D5CFA" w:rsidR="00852169" w:rsidRDefault="00852169" w:rsidP="00852169">
      <w:pPr>
        <w:pStyle w:val="ListParagraph"/>
        <w:numPr>
          <w:ilvl w:val="0"/>
          <w:numId w:val="11"/>
        </w:numPr>
        <w:jc w:val="both"/>
      </w:pPr>
      <w:r>
        <w:t xml:space="preserve">It is assessed that formula funding </w:t>
      </w:r>
      <w:r w:rsidRPr="00310A22">
        <w:t>proposals for 202</w:t>
      </w:r>
      <w:r>
        <w:t>5</w:t>
      </w:r>
      <w:r w:rsidRPr="00310A22">
        <w:t>/2</w:t>
      </w:r>
      <w:r>
        <w:t>6</w:t>
      </w:r>
      <w:r w:rsidRPr="00310A22">
        <w:t xml:space="preserve"> will have a</w:t>
      </w:r>
      <w:r>
        <w:t xml:space="preserve"> neutral to</w:t>
      </w:r>
      <w:r w:rsidRPr="00310A22">
        <w:t xml:space="preserve"> positive impact on equalities. We have considered the impact on persons who share any of the protected characteristics: age, disability, gender reassignment, marriage and civil partnership, pregnancy and maternity, race, religion or belief, sex, sexual orientation. We have focused on the protected characteristics for which the potential impact is largest, and which are most closely tied to the formula funding proposals. Where there is positive correlation with the measures that are used, schools and academies receive formula funding to support children and young people that share protected characteristics, related to SEND (disability) and race (ethnicity), through the Additional Educational Needs (AEN) factors that are contained within the schools’ funding formula. The AEN factors are: Free School Meals (FSM), Income Deprivation Affecting Children Index (IDACI), English as an Additional Language (EAL), Low Prior Attainment (LPA) and Pupil Mobility. There is strong correlation between LPA and SEND. There is also strong correlation between race (ethnicity), EAL and Pupil Mobility. There are also correlations e.g. between SEND and measures of deprivation and between LPA and measures of deprivation. It is important therefore, that the Authority carefully considers, in particular, the equalities impact of any proposed changes to the AEN factors.</w:t>
      </w:r>
    </w:p>
    <w:p w14:paraId="61EB3DD1" w14:textId="77777777" w:rsidR="00852169" w:rsidRDefault="00852169" w:rsidP="00852169">
      <w:pPr>
        <w:pStyle w:val="ListParagraph"/>
        <w:ind w:left="360"/>
        <w:jc w:val="both"/>
      </w:pPr>
    </w:p>
    <w:p w14:paraId="626C1E46" w14:textId="2061D993" w:rsidR="00852169" w:rsidRDefault="00852169" w:rsidP="00852169">
      <w:pPr>
        <w:pStyle w:val="ListParagraph"/>
        <w:numPr>
          <w:ilvl w:val="0"/>
          <w:numId w:val="11"/>
        </w:numPr>
        <w:jc w:val="both"/>
      </w:pPr>
      <w:r w:rsidRPr="00310A22">
        <w:t xml:space="preserve">The </w:t>
      </w:r>
      <w:r w:rsidR="006E3846">
        <w:t xml:space="preserve">core </w:t>
      </w:r>
      <w:r w:rsidRPr="00310A22">
        <w:t xml:space="preserve">arrangements that the Local Authority </w:t>
      </w:r>
      <w:r w:rsidR="006E3846">
        <w:t xml:space="preserve">currently </w:t>
      </w:r>
      <w:r w:rsidRPr="00310A22">
        <w:t>proposes for the 202</w:t>
      </w:r>
      <w:r>
        <w:t>5</w:t>
      </w:r>
      <w:r w:rsidRPr="00310A22">
        <w:t>/</w:t>
      </w:r>
      <w:r>
        <w:t>26</w:t>
      </w:r>
      <w:r w:rsidRPr="00310A22">
        <w:t xml:space="preserve"> financial year retain a significant amount of continuity on current formula funding policy and methodology. At its centre, the Local Authority has previously determined and continues to propose t</w:t>
      </w:r>
      <w:r>
        <w:t>o</w:t>
      </w:r>
      <w:r w:rsidRPr="00310A22">
        <w:t xml:space="preserve"> mirror the DfE’s National Funding Formula (NFF) for the calculation of mainstream primary and secondary maintained school and academy delegated allocations in Bradford. As such, our equalities impact assessment of our guiding Schools Block formula funding policy for 202</w:t>
      </w:r>
      <w:r>
        <w:t>5</w:t>
      </w:r>
      <w:r w:rsidRPr="00310A22">
        <w:t>/2</w:t>
      </w:r>
      <w:r>
        <w:t>6</w:t>
      </w:r>
      <w:r w:rsidRPr="00310A22">
        <w:t xml:space="preserve"> is neutral (representing no change on current positive practice) and continues to align with the DfE’s in respect of its </w:t>
      </w:r>
      <w:hyperlink r:id="rId13" w:history="1">
        <w:r w:rsidRPr="00310A22">
          <w:rPr>
            <w:rStyle w:val="Hyperlink"/>
          </w:rPr>
          <w:t>National Formula Funding policy</w:t>
        </w:r>
      </w:hyperlink>
      <w:r w:rsidRPr="00852169">
        <w:rPr>
          <w:rStyle w:val="Hyperlink"/>
          <w:color w:val="auto"/>
        </w:rPr>
        <w:t xml:space="preserve"> </w:t>
      </w:r>
      <w:r w:rsidRPr="00310A22">
        <w:t xml:space="preserve">and its already identified positive impact on the funding of children and young people that share protected characteristics. </w:t>
      </w:r>
    </w:p>
    <w:p w14:paraId="68D25A44" w14:textId="77777777" w:rsidR="00852169" w:rsidRDefault="00852169" w:rsidP="00852169">
      <w:pPr>
        <w:pStyle w:val="ListParagraph"/>
      </w:pPr>
    </w:p>
    <w:p w14:paraId="733DC2D0" w14:textId="0FC321FD" w:rsidR="00852169" w:rsidRDefault="00852169" w:rsidP="00A85DE2">
      <w:pPr>
        <w:pStyle w:val="ListParagraph"/>
        <w:numPr>
          <w:ilvl w:val="0"/>
          <w:numId w:val="11"/>
        </w:numPr>
        <w:jc w:val="both"/>
      </w:pPr>
      <w:r w:rsidRPr="00310A22">
        <w:t xml:space="preserve">Behind the guiding NFF mirroring policy, </w:t>
      </w:r>
      <w:r w:rsidR="00A85DE2">
        <w:t xml:space="preserve">as set by the DfE, </w:t>
      </w:r>
      <w:r w:rsidRPr="00310A22">
        <w:t xml:space="preserve">the values of </w:t>
      </w:r>
      <w:r>
        <w:t>most</w:t>
      </w:r>
      <w:r w:rsidRPr="00310A22">
        <w:t xml:space="preserve"> formula funding factors are uplifted in 202</w:t>
      </w:r>
      <w:r>
        <w:t>5</w:t>
      </w:r>
      <w:r w:rsidRPr="00310A22">
        <w:t>/2</w:t>
      </w:r>
      <w:r>
        <w:t>6</w:t>
      </w:r>
      <w:r w:rsidRPr="00310A22">
        <w:t xml:space="preserve">. These uplifts are assessed to have a positive impact on the funding of all pupils. These uplifts will </w:t>
      </w:r>
      <w:r>
        <w:t xml:space="preserve">also </w:t>
      </w:r>
      <w:r w:rsidRPr="00310A22">
        <w:t xml:space="preserve">have a positive impact on the funding of children and young people that share protected characteristics related to disability (SEND) and race (ethnicity), for which schools and academies receive additional funding through the Additional Educational Needs (AEN) formula factors that use measures that correlate with these protected characteristics. </w:t>
      </w:r>
      <w:r w:rsidR="00A85DE2" w:rsidRPr="00310A22">
        <w:t>The uplifts to be applied to the AEN factors are also assessed at this time not to have a disproportionate impact</w:t>
      </w:r>
      <w:r w:rsidR="00A85DE2">
        <w:t xml:space="preserve">. </w:t>
      </w:r>
      <w:r w:rsidR="00A12451" w:rsidRPr="00310A22">
        <w:t>The factors that allocate funding on measures of Additional Education Needs (AEN) are</w:t>
      </w:r>
      <w:r w:rsidR="00A12451">
        <w:t xml:space="preserve"> </w:t>
      </w:r>
      <w:r w:rsidR="00A12451" w:rsidRPr="00310A22">
        <w:t>increas</w:t>
      </w:r>
      <w:r w:rsidR="00A12451">
        <w:t>ing</w:t>
      </w:r>
      <w:r w:rsidR="00A12451" w:rsidRPr="00310A22">
        <w:t xml:space="preserve"> </w:t>
      </w:r>
      <w:r w:rsidR="00A12451">
        <w:t>up to</w:t>
      </w:r>
      <w:r w:rsidR="00A12451" w:rsidRPr="00310A22">
        <w:t xml:space="preserve"> </w:t>
      </w:r>
      <w:r w:rsidR="00A12451">
        <w:t>1</w:t>
      </w:r>
      <w:r w:rsidR="00A12451" w:rsidRPr="00310A22">
        <w:t>%</w:t>
      </w:r>
      <w:r w:rsidRPr="00310A22">
        <w:t>. In proposing to continue to mirror the National Funding Formula (NFF) in 202</w:t>
      </w:r>
      <w:r>
        <w:t>5</w:t>
      </w:r>
      <w:r w:rsidRPr="00310A22">
        <w:t>/2</w:t>
      </w:r>
      <w:r>
        <w:t>6</w:t>
      </w:r>
      <w:r w:rsidRPr="00310A22">
        <w:t>, on current data, the balance of base NFF funding allocated for all pupils, versus the NFF funding allocated for pupils with Additional Educational Needs, remains similar</w:t>
      </w:r>
      <w:r>
        <w:t xml:space="preserve">. </w:t>
      </w:r>
      <w:r w:rsidRPr="00D52965">
        <w:t>The balance of the total final value of formula funding allocated in 202</w:t>
      </w:r>
      <w:r w:rsidR="00A12451">
        <w:t>5</w:t>
      </w:r>
      <w:r w:rsidRPr="00D52965">
        <w:t>/2</w:t>
      </w:r>
      <w:r w:rsidR="00A12451">
        <w:t>6</w:t>
      </w:r>
      <w:r w:rsidRPr="00D52965">
        <w:t xml:space="preserve">, between base funding and AEN funding and between the different AEN funding factors, </w:t>
      </w:r>
      <w:r w:rsidR="00A85DE2">
        <w:t>may slightly</w:t>
      </w:r>
      <w:r w:rsidRPr="00D52965">
        <w:t xml:space="preserve"> adjust for the annual change in school data to be recorded in the October 202</w:t>
      </w:r>
      <w:r w:rsidR="00A12451">
        <w:t>4</w:t>
      </w:r>
      <w:r w:rsidRPr="00D52965">
        <w:t xml:space="preserve"> Census</w:t>
      </w:r>
      <w:r w:rsidR="00A85DE2">
        <w:t>, but significant changes are not expected.</w:t>
      </w:r>
    </w:p>
    <w:p w14:paraId="100AE65F" w14:textId="77777777" w:rsidR="00A85DE2" w:rsidRDefault="00A85DE2" w:rsidP="00A85DE2">
      <w:pPr>
        <w:pStyle w:val="ListParagraph"/>
        <w:ind w:left="360"/>
        <w:jc w:val="both"/>
      </w:pPr>
    </w:p>
    <w:p w14:paraId="607DBDD3" w14:textId="77777777" w:rsidR="00C33DD1" w:rsidRDefault="00A12451" w:rsidP="00C33DD1">
      <w:pPr>
        <w:pStyle w:val="ListParagraph"/>
        <w:numPr>
          <w:ilvl w:val="0"/>
          <w:numId w:val="11"/>
        </w:numPr>
        <w:jc w:val="both"/>
      </w:pPr>
      <w:r>
        <w:t>Based on indicative rates published by the DfE, t</w:t>
      </w:r>
      <w:r w:rsidRPr="00310A22">
        <w:t>he</w:t>
      </w:r>
      <w:r>
        <w:t xml:space="preserve"> </w:t>
      </w:r>
      <w:r w:rsidRPr="00310A22">
        <w:t xml:space="preserve">Minimum Levels of Per Pupil Funding (MFLs) </w:t>
      </w:r>
      <w:r>
        <w:t>will</w:t>
      </w:r>
      <w:r w:rsidRPr="00310A22">
        <w:t xml:space="preserve"> increase by </w:t>
      </w:r>
      <w:r>
        <w:t>1.4</w:t>
      </w:r>
      <w:r w:rsidRPr="00310A22">
        <w:t>%</w:t>
      </w:r>
      <w:r>
        <w:t xml:space="preserve"> (primary) and 0.6% (secondary).</w:t>
      </w:r>
      <w:r w:rsidR="00C33DD1">
        <w:t xml:space="preserve"> </w:t>
      </w:r>
      <w:r w:rsidR="00852169" w:rsidRPr="00D52965">
        <w:t>Th</w:t>
      </w:r>
      <w:r w:rsidR="00C33DD1">
        <w:t>ese</w:t>
      </w:r>
      <w:r w:rsidR="00852169" w:rsidRPr="00D52965">
        <w:t xml:space="preserve"> </w:t>
      </w:r>
      <w:r w:rsidR="00C33DD1">
        <w:t>are</w:t>
      </w:r>
      <w:r w:rsidR="00852169" w:rsidRPr="00D52965">
        <w:t xml:space="preserve"> mandatory uplift</w:t>
      </w:r>
      <w:r w:rsidR="00C33DD1">
        <w:t>s</w:t>
      </w:r>
      <w:r w:rsidR="00852169" w:rsidRPr="00D52965">
        <w:t>, not for local determination. The DfE has assessed that th</w:t>
      </w:r>
      <w:r w:rsidR="00C33DD1">
        <w:t>e</w:t>
      </w:r>
      <w:r w:rsidR="00852169" w:rsidRPr="00D52965">
        <w:t xml:space="preserve"> uplift</w:t>
      </w:r>
      <w:r w:rsidR="00C33DD1">
        <w:t>s</w:t>
      </w:r>
      <w:r w:rsidR="00852169" w:rsidRPr="00D52965">
        <w:t xml:space="preserve"> will have a positive impact on equalities. Continuing the minimum per pupil funding levels will generally benefit the lower £per pupil funded schools and academies, that do not otherwise attract these levels of funding through the application of the normal National Funding Formula i.e. these schools and academies do not attract significant levels of funding via the Additional Educational Needs factors. These schools and academies tend to have lower than average proportions of groups with protected characteristics. However, they still tend to have some groups with pr</w:t>
      </w:r>
      <w:r w:rsidR="00852169">
        <w:t>otected characteristics.</w:t>
      </w:r>
    </w:p>
    <w:p w14:paraId="52E83AAB" w14:textId="77777777" w:rsidR="00C33DD1" w:rsidRDefault="00C33DD1" w:rsidP="00C33DD1">
      <w:pPr>
        <w:pStyle w:val="ListParagraph"/>
      </w:pPr>
    </w:p>
    <w:p w14:paraId="3BA59AB0" w14:textId="77777777" w:rsidR="00C33DD1" w:rsidRDefault="00A12451" w:rsidP="00C33DD1">
      <w:pPr>
        <w:pStyle w:val="ListParagraph"/>
        <w:numPr>
          <w:ilvl w:val="0"/>
          <w:numId w:val="11"/>
        </w:numPr>
        <w:jc w:val="both"/>
      </w:pPr>
      <w:r>
        <w:t xml:space="preserve">Subject to further discussion with the Schools Forum, and final modelling and decision making, the Authority anticipates that the Minimum Funding Guarantee (MFG) will be set at 0%, which is the maximum that is permitted by the DfE. </w:t>
      </w:r>
      <w:r w:rsidR="00C33DD1">
        <w:t>T</w:t>
      </w:r>
      <w:r w:rsidR="00852169" w:rsidRPr="00D52965">
        <w:t xml:space="preserve">he MFG is especially important for the primary phase, where </w:t>
      </w:r>
      <w:r w:rsidR="00852169">
        <w:t xml:space="preserve">a </w:t>
      </w:r>
      <w:r w:rsidR="00C33DD1">
        <w:t>fifth</w:t>
      </w:r>
      <w:r w:rsidR="00852169">
        <w:t xml:space="preserve"> (2</w:t>
      </w:r>
      <w:r w:rsidR="00C33DD1">
        <w:t>0</w:t>
      </w:r>
      <w:r w:rsidR="00852169" w:rsidRPr="00D52965">
        <w:t>%</w:t>
      </w:r>
      <w:r w:rsidR="00852169">
        <w:t>)</w:t>
      </w:r>
      <w:r w:rsidR="00852169" w:rsidRPr="00D52965">
        <w:t xml:space="preserve"> of schools and academies were funded on the MFG in 202</w:t>
      </w:r>
      <w:r w:rsidR="00C33DD1">
        <w:t>4</w:t>
      </w:r>
      <w:r w:rsidR="00852169" w:rsidRPr="00D52965">
        <w:t>/2</w:t>
      </w:r>
      <w:r w:rsidR="00C33DD1">
        <w:t>5</w:t>
      </w:r>
      <w:r w:rsidR="00852169" w:rsidRPr="00D52965">
        <w:t>.</w:t>
      </w:r>
      <w:r w:rsidR="00852169">
        <w:t xml:space="preserve"> The MFG continues to provide essential protection for schools and academies against year- on-year funding turbulence, in support of stable provision.</w:t>
      </w:r>
    </w:p>
    <w:p w14:paraId="5B2C2927" w14:textId="77777777" w:rsidR="00C33DD1" w:rsidRPr="001369F3" w:rsidRDefault="00C33DD1" w:rsidP="00C33DD1">
      <w:pPr>
        <w:pStyle w:val="ListParagraph"/>
      </w:pPr>
    </w:p>
    <w:p w14:paraId="6C058BDF" w14:textId="056E3984" w:rsidR="001369F3" w:rsidRDefault="001369F3" w:rsidP="001369F3">
      <w:pPr>
        <w:pStyle w:val="ListParagraph"/>
        <w:numPr>
          <w:ilvl w:val="0"/>
          <w:numId w:val="11"/>
        </w:numPr>
        <w:jc w:val="both"/>
      </w:pPr>
      <w:r w:rsidRPr="001369F3">
        <w:t xml:space="preserve">Regarding the application of a </w:t>
      </w:r>
      <w:r w:rsidR="00B75FB6" w:rsidRPr="001369F3">
        <w:t>Gains Cap</w:t>
      </w:r>
      <w:r w:rsidRPr="001369F3">
        <w:t xml:space="preserve">, the Cap will have the effect of reducing increases in per pupil funding received by individual schools / academies. However, the </w:t>
      </w:r>
      <w:r w:rsidRPr="001369F3">
        <w:t xml:space="preserve">Cap will help limit the extent to which additional formula funding reductions would have to be enacted to the allocations of the </w:t>
      </w:r>
      <w:r w:rsidRPr="001369F3">
        <w:t>majority</w:t>
      </w:r>
      <w:r w:rsidRPr="001369F3">
        <w:t xml:space="preserve"> of schools / academies that are generally receiving lower % increases in funding than those that are on the Cap</w:t>
      </w:r>
      <w:r w:rsidRPr="001369F3">
        <w:t>. S</w:t>
      </w:r>
      <w:r w:rsidRPr="001369F3">
        <w:t>chools / academies</w:t>
      </w:r>
      <w:r w:rsidRPr="001369F3">
        <w:t xml:space="preserve"> that are affected by the Cap</w:t>
      </w:r>
      <w:r w:rsidRPr="001369F3">
        <w:t xml:space="preserve"> are expected to still receive higher than average % increases in per pupil funding based on the pupil circumstances data that they have recorded.</w:t>
      </w:r>
      <w:r>
        <w:t xml:space="preserve"> The Cap is viewed by the DfE as a legitimate mechanism for authorities to employ to help support affordability within the Schools Block and to help deliver an overall formula funding result that is fair and equitable</w:t>
      </w:r>
      <w:r w:rsidR="00705316">
        <w:t xml:space="preserve"> within finite resources</w:t>
      </w:r>
      <w:r>
        <w:t>.</w:t>
      </w:r>
    </w:p>
    <w:p w14:paraId="797731F5" w14:textId="77777777" w:rsidR="00705316" w:rsidRDefault="00705316" w:rsidP="00705316">
      <w:pPr>
        <w:pStyle w:val="ListParagraph"/>
      </w:pPr>
    </w:p>
    <w:p w14:paraId="07DEB8A8" w14:textId="592EB598" w:rsidR="00705316" w:rsidRDefault="00705316" w:rsidP="00705316">
      <w:pPr>
        <w:pStyle w:val="ListParagraph"/>
        <w:numPr>
          <w:ilvl w:val="0"/>
          <w:numId w:val="11"/>
        </w:numPr>
        <w:jc w:val="both"/>
      </w:pPr>
      <w:r>
        <w:t xml:space="preserve">A fuller EQIA has been written regarding the Schools Block to High Needs Block transfer and this was shared with the Schools Forum on 11 September (Document RT Appendix 4). </w:t>
      </w:r>
      <w:r w:rsidRPr="00705316">
        <w:t>There is a ‘positive’ as well as a ‘negative’ side of th</w:t>
      </w:r>
      <w:r w:rsidR="008C32FE">
        <w:t>e</w:t>
      </w:r>
      <w:r w:rsidRPr="00705316">
        <w:t xml:space="preserve"> transfer proposal to assess. The positive side (the High Needs Block side) is that £2.6m more funding is proposed to be made available to support the Authority’s High Needs Block and Alternative Provision strategy. The ‘negative’ side (the Schools Block side) is that the formula funding allocations that mainstream primary and secondary schools / academies directly receive in 2025/26 will be £2.6m lower than they otherwise would have been.</w:t>
      </w:r>
      <w:r>
        <w:t xml:space="preserve"> The Authority</w:t>
      </w:r>
      <w:r w:rsidRPr="00705316">
        <w:t xml:space="preserve"> will further assess the overall impact of this adjustment in December, once all information is available, and will refine it to ensure that the impact is proportionate, in consultation with the Schools Forum.</w:t>
      </w:r>
    </w:p>
    <w:p w14:paraId="4F52C2F9" w14:textId="77777777" w:rsidR="00705316" w:rsidRDefault="00705316" w:rsidP="00705316">
      <w:pPr>
        <w:pStyle w:val="ListParagraph"/>
        <w:ind w:left="360"/>
        <w:jc w:val="both"/>
      </w:pPr>
    </w:p>
    <w:p w14:paraId="70F8BD55" w14:textId="61F1F342" w:rsidR="00705316" w:rsidRDefault="00705316" w:rsidP="00705316">
      <w:pPr>
        <w:pStyle w:val="ListParagraph"/>
        <w:ind w:left="360"/>
        <w:jc w:val="both"/>
      </w:pPr>
      <w:r w:rsidRPr="00705316">
        <w:t>On the ‘positive’ side of the proposal (the High Needs Block side), whilst the transfer is proposed primarily so that spending pressure that now sits within the High Needs Block is supported in the short term, importantly, the transfer is proposed to also support the establishment and development of our Alternative Provision (AP) strategy. With its focus on reducing permanent exclusions and better supporting pupils that are excluded and / or that are at vulnerable and are risk of exclusion, although it cannot be evidenced yet that the AP strategy, and the financial model that supports it, will directly advance the equality of opportunity for children and young people that share a protected characteristic, it is expected that it will over time. This is in recognition of the correlation between AEN characteristics of pupils and the incidence of permanent exclusion.</w:t>
      </w:r>
    </w:p>
    <w:p w14:paraId="1DE5B59E" w14:textId="77777777" w:rsidR="00705316" w:rsidRDefault="00705316" w:rsidP="00705316">
      <w:pPr>
        <w:pStyle w:val="ListParagraph"/>
        <w:ind w:left="360"/>
        <w:jc w:val="both"/>
      </w:pPr>
    </w:p>
    <w:p w14:paraId="3145C2CE" w14:textId="11960947" w:rsidR="00705316" w:rsidRDefault="00705316" w:rsidP="00705316">
      <w:pPr>
        <w:pStyle w:val="ListParagraph"/>
        <w:ind w:left="360"/>
        <w:jc w:val="both"/>
      </w:pPr>
      <w:r w:rsidRPr="00705316">
        <w:t>On the ‘negative’ side of the proposal (the Schools Block side), in taking funding out of the Schools Block, the funding that is allocated to schools / academies via the formula’s Additional Educational Needs (AEN) factors would be lower than it otherwise would have been. This may have some implications for children and young people with protected characteristics that are supported by the un</w:t>
      </w:r>
      <w:r>
        <w:t>-</w:t>
      </w:r>
      <w:r w:rsidRPr="00705316">
        <w:t>ringfenced AEN formula funding that schools / academies receive. However, the way that we propose to enact the transfer is designed and assessed to minimise any disproportionate impact on any individual or type of school / academy or pupil and to limit any indirect consequential implications either for children and young people that share a protected characteristic or on relations between people who share a protected characteristic and those that do not.</w:t>
      </w:r>
      <w:r>
        <w:t xml:space="preserve"> </w:t>
      </w:r>
      <w:r w:rsidRPr="00705316">
        <w:t>The main features of this are:</w:t>
      </w:r>
    </w:p>
    <w:p w14:paraId="16DC6982" w14:textId="77777777" w:rsidR="00705316" w:rsidRDefault="00705316" w:rsidP="00705316">
      <w:pPr>
        <w:pStyle w:val="ListParagraph"/>
        <w:ind w:left="360"/>
        <w:jc w:val="both"/>
      </w:pPr>
    </w:p>
    <w:p w14:paraId="23299755" w14:textId="4FA1C113" w:rsidR="00705316" w:rsidRDefault="00705316" w:rsidP="00705316">
      <w:pPr>
        <w:pStyle w:val="ListParagraph"/>
        <w:numPr>
          <w:ilvl w:val="0"/>
          <w:numId w:val="18"/>
        </w:numPr>
        <w:jc w:val="both"/>
      </w:pPr>
      <w:r w:rsidRPr="00705316">
        <w:t xml:space="preserve">The application of the Minimum Funding Guarantee (MFG), which will protect all schools / academies against sharp and / or unexpected changes in per pupil funding. </w:t>
      </w:r>
    </w:p>
    <w:p w14:paraId="33A4AD86" w14:textId="77777777" w:rsidR="00705316" w:rsidRDefault="00705316" w:rsidP="00705316">
      <w:pPr>
        <w:pStyle w:val="ListParagraph"/>
        <w:ind w:left="1080"/>
        <w:jc w:val="both"/>
      </w:pPr>
    </w:p>
    <w:p w14:paraId="567396C3" w14:textId="670A5AA1" w:rsidR="00705316" w:rsidRDefault="00705316" w:rsidP="00705316">
      <w:pPr>
        <w:pStyle w:val="ListParagraph"/>
        <w:numPr>
          <w:ilvl w:val="0"/>
          <w:numId w:val="18"/>
        </w:numPr>
        <w:jc w:val="both"/>
      </w:pPr>
      <w:r w:rsidRPr="00705316">
        <w:t>Schools that are on the Minimum Levels of Funding (MFLs) would continue to be protected</w:t>
      </w:r>
      <w:r>
        <w:t>.</w:t>
      </w:r>
    </w:p>
    <w:p w14:paraId="2B6B87B0" w14:textId="77777777" w:rsidR="00705316" w:rsidRDefault="00705316" w:rsidP="00705316">
      <w:pPr>
        <w:pStyle w:val="ListParagraph"/>
      </w:pPr>
    </w:p>
    <w:p w14:paraId="174AF062" w14:textId="77777777" w:rsidR="00705316" w:rsidRDefault="00705316" w:rsidP="00705316">
      <w:pPr>
        <w:pStyle w:val="ListParagraph"/>
        <w:numPr>
          <w:ilvl w:val="0"/>
          <w:numId w:val="18"/>
        </w:numPr>
        <w:jc w:val="both"/>
      </w:pPr>
      <w:r>
        <w:t xml:space="preserve">The </w:t>
      </w:r>
      <w:r w:rsidRPr="00705316">
        <w:t xml:space="preserve">Gains Cap will help limit the extent to which additional formula funding reductions would have to be enacted to the allocations of the </w:t>
      </w:r>
      <w:r w:rsidRPr="00705316">
        <w:t>majority</w:t>
      </w:r>
      <w:r w:rsidRPr="00705316">
        <w:t xml:space="preserve"> of schools / academies that are generally receiving lower % increases in funding than those that are on the Cap. </w:t>
      </w:r>
    </w:p>
    <w:p w14:paraId="30F49FF7" w14:textId="77777777" w:rsidR="00705316" w:rsidRDefault="00705316" w:rsidP="00705316">
      <w:pPr>
        <w:pStyle w:val="ListParagraph"/>
      </w:pPr>
    </w:p>
    <w:p w14:paraId="00108B83" w14:textId="77777777" w:rsidR="00705316" w:rsidRDefault="00705316" w:rsidP="00705316">
      <w:pPr>
        <w:pStyle w:val="ListParagraph"/>
        <w:numPr>
          <w:ilvl w:val="0"/>
          <w:numId w:val="18"/>
        </w:numPr>
        <w:jc w:val="both"/>
      </w:pPr>
      <w:r w:rsidRPr="00705316">
        <w:t xml:space="preserve">Using the proposed pro-rata % reduction approach across all formula variables any disproportionate impact, on individual or types of school or pupils, that may come from adjusting different factors by different %s, </w:t>
      </w:r>
      <w:r>
        <w:t xml:space="preserve">will be avoided </w:t>
      </w:r>
      <w:r w:rsidRPr="00705316">
        <w:t xml:space="preserve">and the impact of the transfer will be more evenly spread. We would not be changing the ‘balance’ of formula funding between different types of school / academy that have different pupil characteristics. This approach does mean that schools  / academies that generally receive higher levels of per pupil funding, principally due to the formula’s additional educational needs measures, whilst still contributing the same % of their allocations would contribute more in per pupil terms. This is felt to be reasonable, as these schools / academies are expected to benefit more from a developing AP strategy. By extension, as formula factor variable values are higher in the secondary phase, a greater proportion of the £2.6m contribution in per pupil terms will come from the secondary phase. Again,  this is felt to be reasonable, recognising that the demand for AP provision and the number of permanent exclusions are more substantial in this phase. </w:t>
      </w:r>
    </w:p>
    <w:p w14:paraId="5BB880A5" w14:textId="77777777" w:rsidR="00705316" w:rsidRDefault="00705316" w:rsidP="00705316">
      <w:pPr>
        <w:pStyle w:val="ListParagraph"/>
        <w:ind w:left="360"/>
        <w:jc w:val="both"/>
      </w:pPr>
    </w:p>
    <w:p w14:paraId="6D0F12AB" w14:textId="30482B79" w:rsidR="00852169" w:rsidRPr="00D52965" w:rsidRDefault="00C33DD1" w:rsidP="00C33DD1">
      <w:pPr>
        <w:pStyle w:val="ListParagraph"/>
        <w:numPr>
          <w:ilvl w:val="0"/>
          <w:numId w:val="11"/>
        </w:numPr>
        <w:jc w:val="both"/>
      </w:pPr>
      <w:r>
        <w:t>P</w:t>
      </w:r>
      <w:r w:rsidR="00852169" w:rsidRPr="00D52965">
        <w:t>roposing</w:t>
      </w:r>
      <w:r>
        <w:t xml:space="preserve"> </w:t>
      </w:r>
      <w:r w:rsidR="00852169" w:rsidRPr="00D52965">
        <w:t>to continue our other current local approaches not yet covered by the National Funding Formula, including to Growth Funding and Falling Rolls Funding, in 202</w:t>
      </w:r>
      <w:r>
        <w:t>5</w:t>
      </w:r>
      <w:r w:rsidR="00852169" w:rsidRPr="00D52965">
        <w:t>/2</w:t>
      </w:r>
      <w:r>
        <w:t>6</w:t>
      </w:r>
      <w:r w:rsidR="00852169" w:rsidRPr="00D52965">
        <w:t xml:space="preserve"> is impact neutral on equalities (representing no change on current positive practice).</w:t>
      </w:r>
    </w:p>
    <w:p w14:paraId="764C253A" w14:textId="77777777" w:rsidR="00852169" w:rsidRPr="00C611B3" w:rsidRDefault="00852169" w:rsidP="00852169">
      <w:pPr>
        <w:autoSpaceDE w:val="0"/>
        <w:autoSpaceDN w:val="0"/>
        <w:adjustRightInd w:val="0"/>
        <w:jc w:val="both"/>
        <w:rPr>
          <w:color w:val="FF0000"/>
        </w:rPr>
      </w:pPr>
    </w:p>
    <w:p w14:paraId="2264CA44" w14:textId="77777777" w:rsidR="00A12451" w:rsidRDefault="00A12451"/>
    <w:p w14:paraId="787884C5" w14:textId="77777777" w:rsidR="00A12451" w:rsidRDefault="00A12451"/>
    <w:sectPr w:rsidR="00A12451" w:rsidSect="00800B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6281"/>
    <w:multiLevelType w:val="hybridMultilevel"/>
    <w:tmpl w:val="A7F2A1E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A6033"/>
    <w:multiLevelType w:val="hybridMultilevel"/>
    <w:tmpl w:val="EF24D6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E4271F"/>
    <w:multiLevelType w:val="hybridMultilevel"/>
    <w:tmpl w:val="32FE8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311B00"/>
    <w:multiLevelType w:val="hybridMultilevel"/>
    <w:tmpl w:val="E7206A9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36716"/>
    <w:multiLevelType w:val="hybridMultilevel"/>
    <w:tmpl w:val="09904CC6"/>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 w15:restartNumberingAfterBreak="0">
    <w:nsid w:val="244D4C76"/>
    <w:multiLevelType w:val="hybridMultilevel"/>
    <w:tmpl w:val="17A8C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A14995"/>
    <w:multiLevelType w:val="hybridMultilevel"/>
    <w:tmpl w:val="B06A43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EC1B22"/>
    <w:multiLevelType w:val="hybridMultilevel"/>
    <w:tmpl w:val="2CEA5B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4E3C6E"/>
    <w:multiLevelType w:val="hybridMultilevel"/>
    <w:tmpl w:val="CE7E3E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DC3C29"/>
    <w:multiLevelType w:val="hybridMultilevel"/>
    <w:tmpl w:val="7EBA2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B50582"/>
    <w:multiLevelType w:val="hybridMultilevel"/>
    <w:tmpl w:val="371EE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1074D0"/>
    <w:multiLevelType w:val="hybridMultilevel"/>
    <w:tmpl w:val="CE7E3E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6B5C53"/>
    <w:multiLevelType w:val="hybridMultilevel"/>
    <w:tmpl w:val="CE7E3E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534D84"/>
    <w:multiLevelType w:val="hybridMultilevel"/>
    <w:tmpl w:val="6324B43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FF254F"/>
    <w:multiLevelType w:val="hybridMultilevel"/>
    <w:tmpl w:val="0DCCA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3914C4"/>
    <w:multiLevelType w:val="hybridMultilevel"/>
    <w:tmpl w:val="E924BD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D139C"/>
    <w:multiLevelType w:val="hybridMultilevel"/>
    <w:tmpl w:val="D0282560"/>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C233EE"/>
    <w:multiLevelType w:val="hybridMultilevel"/>
    <w:tmpl w:val="E65E6B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874353">
    <w:abstractNumId w:val="15"/>
  </w:num>
  <w:num w:numId="2" w16cid:durableId="1788815502">
    <w:abstractNumId w:val="16"/>
  </w:num>
  <w:num w:numId="3" w16cid:durableId="2136286717">
    <w:abstractNumId w:val="1"/>
  </w:num>
  <w:num w:numId="4" w16cid:durableId="582766653">
    <w:abstractNumId w:val="7"/>
  </w:num>
  <w:num w:numId="5" w16cid:durableId="856580180">
    <w:abstractNumId w:val="0"/>
  </w:num>
  <w:num w:numId="6" w16cid:durableId="463812036">
    <w:abstractNumId w:val="11"/>
  </w:num>
  <w:num w:numId="7" w16cid:durableId="91584548">
    <w:abstractNumId w:val="13"/>
  </w:num>
  <w:num w:numId="8" w16cid:durableId="26222387">
    <w:abstractNumId w:val="3"/>
  </w:num>
  <w:num w:numId="9" w16cid:durableId="2086955877">
    <w:abstractNumId w:val="8"/>
  </w:num>
  <w:num w:numId="10" w16cid:durableId="650402752">
    <w:abstractNumId w:val="12"/>
  </w:num>
  <w:num w:numId="11" w16cid:durableId="338388132">
    <w:abstractNumId w:val="6"/>
  </w:num>
  <w:num w:numId="12" w16cid:durableId="1225531118">
    <w:abstractNumId w:val="10"/>
  </w:num>
  <w:num w:numId="13" w16cid:durableId="591396963">
    <w:abstractNumId w:val="2"/>
  </w:num>
  <w:num w:numId="14" w16cid:durableId="1964725797">
    <w:abstractNumId w:val="4"/>
  </w:num>
  <w:num w:numId="15" w16cid:durableId="1924605261">
    <w:abstractNumId w:val="5"/>
  </w:num>
  <w:num w:numId="16" w16cid:durableId="1623027455">
    <w:abstractNumId w:val="17"/>
  </w:num>
  <w:num w:numId="17" w16cid:durableId="1737236637">
    <w:abstractNumId w:val="9"/>
  </w:num>
  <w:num w:numId="18" w16cid:durableId="1267882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CA"/>
    <w:rsid w:val="00000B74"/>
    <w:rsid w:val="00034690"/>
    <w:rsid w:val="000827A4"/>
    <w:rsid w:val="000B5DC4"/>
    <w:rsid w:val="00130183"/>
    <w:rsid w:val="001369F3"/>
    <w:rsid w:val="001570BA"/>
    <w:rsid w:val="001A3771"/>
    <w:rsid w:val="001C129D"/>
    <w:rsid w:val="001E2DF8"/>
    <w:rsid w:val="001E51EE"/>
    <w:rsid w:val="00227BDB"/>
    <w:rsid w:val="00243FA0"/>
    <w:rsid w:val="002442BE"/>
    <w:rsid w:val="00264FBF"/>
    <w:rsid w:val="002840AB"/>
    <w:rsid w:val="002A2ECA"/>
    <w:rsid w:val="002E6691"/>
    <w:rsid w:val="00350398"/>
    <w:rsid w:val="0039309A"/>
    <w:rsid w:val="003930B6"/>
    <w:rsid w:val="00397A51"/>
    <w:rsid w:val="003C1E6C"/>
    <w:rsid w:val="003E1908"/>
    <w:rsid w:val="003E722B"/>
    <w:rsid w:val="0040741B"/>
    <w:rsid w:val="00415560"/>
    <w:rsid w:val="00423EDE"/>
    <w:rsid w:val="00437312"/>
    <w:rsid w:val="00443E98"/>
    <w:rsid w:val="00496BB4"/>
    <w:rsid w:val="004A2FD6"/>
    <w:rsid w:val="004B73DD"/>
    <w:rsid w:val="00527F1C"/>
    <w:rsid w:val="005B281B"/>
    <w:rsid w:val="005D1BE1"/>
    <w:rsid w:val="005D6DEE"/>
    <w:rsid w:val="005D75C9"/>
    <w:rsid w:val="00620C1C"/>
    <w:rsid w:val="0062681C"/>
    <w:rsid w:val="006616B7"/>
    <w:rsid w:val="0066219A"/>
    <w:rsid w:val="006658F9"/>
    <w:rsid w:val="006C4384"/>
    <w:rsid w:val="006E3846"/>
    <w:rsid w:val="00700D36"/>
    <w:rsid w:val="007046E4"/>
    <w:rsid w:val="00705316"/>
    <w:rsid w:val="00733505"/>
    <w:rsid w:val="007428CB"/>
    <w:rsid w:val="00775968"/>
    <w:rsid w:val="007872D3"/>
    <w:rsid w:val="0079348D"/>
    <w:rsid w:val="007B79EE"/>
    <w:rsid w:val="007E1857"/>
    <w:rsid w:val="00800B36"/>
    <w:rsid w:val="00804DD6"/>
    <w:rsid w:val="00824120"/>
    <w:rsid w:val="00852169"/>
    <w:rsid w:val="00863661"/>
    <w:rsid w:val="00875DB0"/>
    <w:rsid w:val="008B3AFE"/>
    <w:rsid w:val="008C32FE"/>
    <w:rsid w:val="008C379A"/>
    <w:rsid w:val="008D7C8F"/>
    <w:rsid w:val="009121C8"/>
    <w:rsid w:val="00923C00"/>
    <w:rsid w:val="00967B45"/>
    <w:rsid w:val="009A6227"/>
    <w:rsid w:val="009D758A"/>
    <w:rsid w:val="009D7C45"/>
    <w:rsid w:val="00A013BF"/>
    <w:rsid w:val="00A12451"/>
    <w:rsid w:val="00A171CB"/>
    <w:rsid w:val="00A21066"/>
    <w:rsid w:val="00A73232"/>
    <w:rsid w:val="00A73AB5"/>
    <w:rsid w:val="00A847C0"/>
    <w:rsid w:val="00A85DE2"/>
    <w:rsid w:val="00AC2ADF"/>
    <w:rsid w:val="00B02CF5"/>
    <w:rsid w:val="00B0533F"/>
    <w:rsid w:val="00B071A7"/>
    <w:rsid w:val="00B27DB6"/>
    <w:rsid w:val="00B30887"/>
    <w:rsid w:val="00B732C5"/>
    <w:rsid w:val="00B75FB6"/>
    <w:rsid w:val="00BA2F69"/>
    <w:rsid w:val="00BD4214"/>
    <w:rsid w:val="00C069B7"/>
    <w:rsid w:val="00C314B7"/>
    <w:rsid w:val="00C33DD1"/>
    <w:rsid w:val="00C76B08"/>
    <w:rsid w:val="00C946D0"/>
    <w:rsid w:val="00CB0B87"/>
    <w:rsid w:val="00CB5B40"/>
    <w:rsid w:val="00CC68AE"/>
    <w:rsid w:val="00CF5737"/>
    <w:rsid w:val="00CF624E"/>
    <w:rsid w:val="00CF62F1"/>
    <w:rsid w:val="00D14330"/>
    <w:rsid w:val="00D33291"/>
    <w:rsid w:val="00D36445"/>
    <w:rsid w:val="00D73DF2"/>
    <w:rsid w:val="00DD20CE"/>
    <w:rsid w:val="00DE4843"/>
    <w:rsid w:val="00DF3390"/>
    <w:rsid w:val="00E21E99"/>
    <w:rsid w:val="00E24ED1"/>
    <w:rsid w:val="00E254F3"/>
    <w:rsid w:val="00E31D14"/>
    <w:rsid w:val="00E326D4"/>
    <w:rsid w:val="00E50CF2"/>
    <w:rsid w:val="00E9079D"/>
    <w:rsid w:val="00EA2516"/>
    <w:rsid w:val="00EF11BB"/>
    <w:rsid w:val="00EF796E"/>
    <w:rsid w:val="00F26B48"/>
    <w:rsid w:val="00F3592A"/>
    <w:rsid w:val="00F430ED"/>
    <w:rsid w:val="00F84622"/>
    <w:rsid w:val="00FA1C27"/>
    <w:rsid w:val="00FA2B43"/>
    <w:rsid w:val="00FD0248"/>
    <w:rsid w:val="00FE659D"/>
    <w:rsid w:val="00FE65B0"/>
    <w:rsid w:val="00FF3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24A2"/>
  <w15:chartTrackingRefBased/>
  <w15:docId w15:val="{7B7BE8CC-55DA-47B7-B15B-B4DEBB7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ECA"/>
    <w:rPr>
      <w:rFonts w:eastAsiaTheme="majorEastAsia" w:cstheme="majorBidi"/>
      <w:color w:val="272727" w:themeColor="text1" w:themeTint="D8"/>
    </w:rPr>
  </w:style>
  <w:style w:type="paragraph" w:styleId="Title">
    <w:name w:val="Title"/>
    <w:basedOn w:val="Normal"/>
    <w:next w:val="Normal"/>
    <w:link w:val="TitleChar"/>
    <w:uiPriority w:val="10"/>
    <w:qFormat/>
    <w:rsid w:val="002A2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ECA"/>
    <w:pPr>
      <w:spacing w:before="160"/>
      <w:jc w:val="center"/>
    </w:pPr>
    <w:rPr>
      <w:i/>
      <w:iCs/>
      <w:color w:val="404040" w:themeColor="text1" w:themeTint="BF"/>
    </w:rPr>
  </w:style>
  <w:style w:type="character" w:customStyle="1" w:styleId="QuoteChar">
    <w:name w:val="Quote Char"/>
    <w:basedOn w:val="DefaultParagraphFont"/>
    <w:link w:val="Quote"/>
    <w:uiPriority w:val="29"/>
    <w:rsid w:val="002A2ECA"/>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A2ECA"/>
    <w:pPr>
      <w:ind w:left="720"/>
      <w:contextualSpacing/>
    </w:pPr>
  </w:style>
  <w:style w:type="character" w:styleId="IntenseEmphasis">
    <w:name w:val="Intense Emphasis"/>
    <w:basedOn w:val="DefaultParagraphFont"/>
    <w:uiPriority w:val="21"/>
    <w:qFormat/>
    <w:rsid w:val="002A2ECA"/>
    <w:rPr>
      <w:i/>
      <w:iCs/>
      <w:color w:val="0F4761" w:themeColor="accent1" w:themeShade="BF"/>
    </w:rPr>
  </w:style>
  <w:style w:type="paragraph" w:styleId="IntenseQuote">
    <w:name w:val="Intense Quote"/>
    <w:basedOn w:val="Normal"/>
    <w:next w:val="Normal"/>
    <w:link w:val="IntenseQuoteChar"/>
    <w:uiPriority w:val="30"/>
    <w:qFormat/>
    <w:rsid w:val="002A2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ECA"/>
    <w:rPr>
      <w:i/>
      <w:iCs/>
      <w:color w:val="0F4761" w:themeColor="accent1" w:themeShade="BF"/>
    </w:rPr>
  </w:style>
  <w:style w:type="character" w:styleId="IntenseReference">
    <w:name w:val="Intense Reference"/>
    <w:basedOn w:val="DefaultParagraphFont"/>
    <w:uiPriority w:val="32"/>
    <w:qFormat/>
    <w:rsid w:val="002A2ECA"/>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locked/>
    <w:rsid w:val="007046E4"/>
  </w:style>
  <w:style w:type="table" w:styleId="TableGrid">
    <w:name w:val="Table Grid"/>
    <w:basedOn w:val="TableNormal"/>
    <w:uiPriority w:val="59"/>
    <w:rsid w:val="007046E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81B"/>
    <w:rPr>
      <w:color w:val="467886" w:themeColor="hyperlink"/>
      <w:u w:val="single"/>
    </w:rPr>
  </w:style>
  <w:style w:type="character" w:styleId="UnresolvedMention">
    <w:name w:val="Unresolved Mention"/>
    <w:basedOn w:val="DefaultParagraphFont"/>
    <w:uiPriority w:val="99"/>
    <w:semiHidden/>
    <w:unhideWhenUsed/>
    <w:rsid w:val="005B281B"/>
    <w:rPr>
      <w:color w:val="605E5C"/>
      <w:shd w:val="clear" w:color="auto" w:fill="E1DFDD"/>
    </w:rPr>
  </w:style>
  <w:style w:type="character" w:styleId="FollowedHyperlink">
    <w:name w:val="FollowedHyperlink"/>
    <w:basedOn w:val="DefaultParagraphFont"/>
    <w:uiPriority w:val="99"/>
    <w:semiHidden/>
    <w:unhideWhenUsed/>
    <w:rsid w:val="003503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16-schools-funding-local-authority-guidance-for-2025-to-2026/summary-policy-document-for-schools-national-funding-formula-2025-to-2026" TargetMode="External"/><Relationship Id="rId13" Type="http://schemas.openxmlformats.org/officeDocument/2006/relationships/hyperlink" Target="https://www.gov.uk/government/publications/schools-national-funding-formulae-equalities-impact-assessment" TargetMode="External"/><Relationship Id="rId3" Type="http://schemas.openxmlformats.org/officeDocument/2006/relationships/settings" Target="settings.xml"/><Relationship Id="rId7" Type="http://schemas.openxmlformats.org/officeDocument/2006/relationships/hyperlink" Target="https://www.gov.uk/government/publications/pre-16-schools-funding-local-authority-guidance-for-2025-to-2026/summary-policy-document-for-schools-national-funding-formula-2025-to-2026" TargetMode="External"/><Relationship Id="rId12" Type="http://schemas.openxmlformats.org/officeDocument/2006/relationships/hyperlink" Target="https://bso.bradford.gov.uk/content/finance/bradford-schools-forum/formula-funding-consultations-and-presen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o.bradford.gov.uk/content/formula-funding-consultations-and-presentations" TargetMode="External"/><Relationship Id="rId11" Type="http://schemas.openxmlformats.org/officeDocument/2006/relationships/hyperlink" Target="https://bradford.moderngov.co.uk/ieListMeetings.aspx?CId=160&amp;Year=0" TargetMode="External"/><Relationship Id="rId5" Type="http://schemas.openxmlformats.org/officeDocument/2006/relationships/hyperlink" Target="https://bso.bradford.gov.uk/content/formula-funding-consultations-and-presentations" TargetMode="External"/><Relationship Id="rId15" Type="http://schemas.openxmlformats.org/officeDocument/2006/relationships/theme" Target="theme/theme1.xml"/><Relationship Id="rId10" Type="http://schemas.openxmlformats.org/officeDocument/2006/relationships/hyperlink" Target="https://www.gov.uk/government/publications/pre-16-schools-funding-local-authority-guidance-for-2025-to-2026/summary-policy-document-for-schools-national-funding-formula-2025-to-2026" TargetMode="External"/><Relationship Id="rId4" Type="http://schemas.openxmlformats.org/officeDocument/2006/relationships/webSettings" Target="webSettings.xml"/><Relationship Id="rId9" Type="http://schemas.openxmlformats.org/officeDocument/2006/relationships/hyperlink" Target="mailto:andrew.redding@bradfor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9</Pages>
  <Words>5105</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Redding</dc:creator>
  <cp:keywords/>
  <dc:description/>
  <cp:lastModifiedBy>Andrew Redding</cp:lastModifiedBy>
  <cp:revision>98</cp:revision>
  <dcterms:created xsi:type="dcterms:W3CDTF">2024-11-12T08:44:00Z</dcterms:created>
  <dcterms:modified xsi:type="dcterms:W3CDTF">2024-11-22T09:31:00Z</dcterms:modified>
</cp:coreProperties>
</file>