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907" w:rsidRDefault="00A82907" w:rsidP="008D29D4">
      <w:pPr>
        <w:jc w:val="center"/>
        <w:rPr>
          <w:b/>
          <w:bCs/>
          <w:sz w:val="28"/>
          <w:szCs w:val="28"/>
          <w:u w:val="single"/>
        </w:rPr>
      </w:pPr>
    </w:p>
    <w:p w:rsidR="00A82907" w:rsidRDefault="00A82907" w:rsidP="008D29D4">
      <w:pPr>
        <w:jc w:val="center"/>
        <w:rPr>
          <w:b/>
          <w:bCs/>
          <w:sz w:val="28"/>
          <w:szCs w:val="28"/>
          <w:u w:val="single"/>
        </w:rPr>
      </w:pPr>
    </w:p>
    <w:p w:rsidR="00A82907" w:rsidRPr="0065342F" w:rsidRDefault="00A82907" w:rsidP="0065342F">
      <w:pPr>
        <w:jc w:val="center"/>
        <w:rPr>
          <w:sz w:val="28"/>
          <w:szCs w:val="28"/>
        </w:rPr>
      </w:pPr>
      <w:r>
        <w:rPr>
          <w:b/>
          <w:bCs/>
          <w:sz w:val="28"/>
          <w:szCs w:val="28"/>
          <w:u w:val="single"/>
        </w:rPr>
        <w:t>CONSULTATION &amp; INFORMATION ON PRIMARY &amp;</w:t>
      </w:r>
      <w:r w:rsidR="005A7B23">
        <w:rPr>
          <w:b/>
          <w:bCs/>
          <w:sz w:val="28"/>
          <w:szCs w:val="28"/>
          <w:u w:val="single"/>
        </w:rPr>
        <w:t xml:space="preserve"> SECONDARY FUNDING FORMULAE 2016/17</w:t>
      </w:r>
      <w:r>
        <w:rPr>
          <w:b/>
          <w:bCs/>
          <w:sz w:val="28"/>
          <w:szCs w:val="28"/>
          <w:u w:val="single"/>
        </w:rPr>
        <w:t xml:space="preserve"> FINANCIAL YEAR</w:t>
      </w:r>
    </w:p>
    <w:p w:rsidR="00AA5E6D" w:rsidRDefault="00AA5E6D" w:rsidP="00834FF4">
      <w:pPr>
        <w:tabs>
          <w:tab w:val="left" w:pos="4035"/>
        </w:tabs>
        <w:jc w:val="both"/>
        <w:rPr>
          <w:sz w:val="22"/>
          <w:szCs w:val="22"/>
        </w:rPr>
      </w:pPr>
    </w:p>
    <w:p w:rsidR="00A82907" w:rsidRPr="00531C1F" w:rsidRDefault="00A82907" w:rsidP="00834FF4">
      <w:pPr>
        <w:tabs>
          <w:tab w:val="left" w:pos="4035"/>
        </w:tabs>
        <w:jc w:val="both"/>
        <w:rPr>
          <w:sz w:val="22"/>
          <w:szCs w:val="22"/>
        </w:rPr>
      </w:pPr>
      <w:r w:rsidRPr="00531C1F">
        <w:rPr>
          <w:sz w:val="22"/>
          <w:szCs w:val="22"/>
        </w:rPr>
        <w:tab/>
      </w:r>
    </w:p>
    <w:p w:rsidR="00A82907" w:rsidRDefault="00A82907" w:rsidP="000F069A">
      <w:pPr>
        <w:jc w:val="both"/>
        <w:rPr>
          <w:sz w:val="22"/>
          <w:szCs w:val="22"/>
        </w:rPr>
      </w:pPr>
      <w:r w:rsidRPr="000F069A">
        <w:rPr>
          <w:b/>
          <w:bCs/>
          <w:sz w:val="22"/>
          <w:szCs w:val="22"/>
        </w:rPr>
        <w:t>1.</w:t>
      </w:r>
      <w:r w:rsidRPr="000F069A">
        <w:rPr>
          <w:b/>
          <w:bCs/>
          <w:sz w:val="22"/>
          <w:szCs w:val="22"/>
        </w:rPr>
        <w:tab/>
        <w:t>Introduction</w:t>
      </w:r>
      <w:r w:rsidR="000758DA">
        <w:rPr>
          <w:b/>
          <w:bCs/>
          <w:sz w:val="22"/>
          <w:szCs w:val="22"/>
        </w:rPr>
        <w:t xml:space="preserve"> and National </w:t>
      </w:r>
      <w:r w:rsidR="007475C5">
        <w:rPr>
          <w:b/>
          <w:bCs/>
          <w:sz w:val="22"/>
          <w:szCs w:val="22"/>
        </w:rPr>
        <w:t xml:space="preserve">Fair </w:t>
      </w:r>
      <w:r w:rsidR="000758DA">
        <w:rPr>
          <w:b/>
          <w:bCs/>
          <w:sz w:val="22"/>
          <w:szCs w:val="22"/>
        </w:rPr>
        <w:t>Funding Formula</w:t>
      </w:r>
    </w:p>
    <w:p w:rsidR="00A82907" w:rsidRDefault="00A82907" w:rsidP="000F069A">
      <w:pPr>
        <w:jc w:val="both"/>
        <w:rPr>
          <w:sz w:val="22"/>
          <w:szCs w:val="22"/>
        </w:rPr>
      </w:pPr>
    </w:p>
    <w:p w:rsidR="00A82907" w:rsidRPr="00E04E9E" w:rsidRDefault="00A82907" w:rsidP="00F84E9C">
      <w:pPr>
        <w:jc w:val="both"/>
        <w:rPr>
          <w:bCs/>
          <w:sz w:val="22"/>
          <w:szCs w:val="22"/>
        </w:rPr>
      </w:pPr>
      <w:r w:rsidRPr="00E04E9E">
        <w:rPr>
          <w:bCs/>
          <w:sz w:val="22"/>
          <w:szCs w:val="22"/>
        </w:rPr>
        <w:t>1.1</w:t>
      </w:r>
      <w:r w:rsidRPr="00E04E9E">
        <w:rPr>
          <w:sz w:val="22"/>
          <w:szCs w:val="22"/>
        </w:rPr>
        <w:t xml:space="preserve"> </w:t>
      </w:r>
      <w:r w:rsidRPr="00E04E9E">
        <w:rPr>
          <w:bCs/>
          <w:sz w:val="22"/>
          <w:szCs w:val="22"/>
        </w:rPr>
        <w:t>The key message “DO NOT PANIC” has b</w:t>
      </w:r>
      <w:r w:rsidR="005A7B23" w:rsidRPr="00E04E9E">
        <w:rPr>
          <w:bCs/>
          <w:sz w:val="22"/>
          <w:szCs w:val="22"/>
        </w:rPr>
        <w:t>een communicated for the past three</w:t>
      </w:r>
      <w:r w:rsidRPr="00E04E9E">
        <w:rPr>
          <w:bCs/>
          <w:sz w:val="22"/>
          <w:szCs w:val="22"/>
        </w:rPr>
        <w:t xml:space="preserve"> years and remains important </w:t>
      </w:r>
      <w:r w:rsidR="001855CD" w:rsidRPr="00E04E9E">
        <w:rPr>
          <w:bCs/>
          <w:sz w:val="22"/>
          <w:szCs w:val="22"/>
        </w:rPr>
        <w:t>in this year’s consultation. T</w:t>
      </w:r>
      <w:r w:rsidRPr="00E04E9E">
        <w:rPr>
          <w:bCs/>
          <w:sz w:val="22"/>
          <w:szCs w:val="22"/>
        </w:rPr>
        <w:t>he Minimum Funding Guarantee (MFG) will continue to protect schools and academies against sha</w:t>
      </w:r>
      <w:r w:rsidR="005A7B23" w:rsidRPr="00E04E9E">
        <w:rPr>
          <w:bCs/>
          <w:sz w:val="22"/>
          <w:szCs w:val="22"/>
        </w:rPr>
        <w:t>rp reductions in funding in 2016/17</w:t>
      </w:r>
      <w:r w:rsidRPr="00E04E9E">
        <w:rPr>
          <w:bCs/>
          <w:sz w:val="22"/>
          <w:szCs w:val="22"/>
        </w:rPr>
        <w:t>.</w:t>
      </w:r>
    </w:p>
    <w:p w:rsidR="00A82907" w:rsidRPr="00DD4F30" w:rsidRDefault="00A82907" w:rsidP="000F069A">
      <w:pPr>
        <w:jc w:val="both"/>
        <w:rPr>
          <w:sz w:val="22"/>
          <w:szCs w:val="22"/>
        </w:rPr>
      </w:pPr>
    </w:p>
    <w:p w:rsidR="00A82907" w:rsidRDefault="00A82907" w:rsidP="009F648B">
      <w:pPr>
        <w:jc w:val="both"/>
        <w:rPr>
          <w:sz w:val="22"/>
          <w:szCs w:val="22"/>
        </w:rPr>
      </w:pPr>
      <w:r w:rsidRPr="00DD4F30">
        <w:rPr>
          <w:sz w:val="22"/>
          <w:szCs w:val="22"/>
        </w:rPr>
        <w:t>1.2 However, please be aware that, all other elements being the same, schools and academies that were on the MFG in this current financial year will see</w:t>
      </w:r>
      <w:r w:rsidR="007640BF">
        <w:rPr>
          <w:sz w:val="22"/>
          <w:szCs w:val="22"/>
        </w:rPr>
        <w:t xml:space="preserve"> up to</w:t>
      </w:r>
      <w:r w:rsidRPr="00DD4F30">
        <w:rPr>
          <w:sz w:val="22"/>
          <w:szCs w:val="22"/>
        </w:rPr>
        <w:t xml:space="preserve"> a 1.5% reduction in f</w:t>
      </w:r>
      <w:r w:rsidR="005A7B23" w:rsidRPr="00DD4F30">
        <w:rPr>
          <w:sz w:val="22"/>
          <w:szCs w:val="22"/>
        </w:rPr>
        <w:t>ormula funding per pupil in 2016/17</w:t>
      </w:r>
      <w:r w:rsidR="007640BF">
        <w:rPr>
          <w:sz w:val="22"/>
          <w:szCs w:val="22"/>
        </w:rPr>
        <w:t xml:space="preserve">. The </w:t>
      </w:r>
      <w:r w:rsidRPr="00DD4F30">
        <w:rPr>
          <w:sz w:val="22"/>
          <w:szCs w:val="22"/>
        </w:rPr>
        <w:t xml:space="preserve">introduction of a National </w:t>
      </w:r>
      <w:r w:rsidR="00DD4F30">
        <w:rPr>
          <w:sz w:val="22"/>
          <w:szCs w:val="22"/>
        </w:rPr>
        <w:t xml:space="preserve">Fair </w:t>
      </w:r>
      <w:r w:rsidRPr="00DD4F30">
        <w:rPr>
          <w:sz w:val="22"/>
          <w:szCs w:val="22"/>
        </w:rPr>
        <w:t>Funding Formula in the future</w:t>
      </w:r>
      <w:r w:rsidR="007640BF">
        <w:rPr>
          <w:sz w:val="22"/>
          <w:szCs w:val="22"/>
        </w:rPr>
        <w:t xml:space="preserve"> (probably at April 2017</w:t>
      </w:r>
      <w:r w:rsidR="00334D57">
        <w:rPr>
          <w:sz w:val="22"/>
          <w:szCs w:val="22"/>
        </w:rPr>
        <w:t xml:space="preserve"> – see below</w:t>
      </w:r>
      <w:r w:rsidR="007640BF">
        <w:rPr>
          <w:sz w:val="22"/>
          <w:szCs w:val="22"/>
        </w:rPr>
        <w:t>)</w:t>
      </w:r>
      <w:r w:rsidRPr="00DD4F30">
        <w:rPr>
          <w:sz w:val="22"/>
          <w:szCs w:val="22"/>
        </w:rPr>
        <w:t xml:space="preserve"> </w:t>
      </w:r>
      <w:r w:rsidR="007640BF">
        <w:rPr>
          <w:sz w:val="22"/>
          <w:szCs w:val="22"/>
        </w:rPr>
        <w:t>is expected to</w:t>
      </w:r>
      <w:r w:rsidRPr="00DD4F30">
        <w:rPr>
          <w:sz w:val="22"/>
          <w:szCs w:val="22"/>
        </w:rPr>
        <w:t xml:space="preserve"> result in a larger redistribution of funding between sch</w:t>
      </w:r>
      <w:r w:rsidR="00DD4F30">
        <w:rPr>
          <w:sz w:val="22"/>
          <w:szCs w:val="22"/>
        </w:rPr>
        <w:t>ools and academies</w:t>
      </w:r>
      <w:r w:rsidR="007640BF">
        <w:rPr>
          <w:sz w:val="22"/>
          <w:szCs w:val="22"/>
        </w:rPr>
        <w:t xml:space="preserve"> over time</w:t>
      </w:r>
      <w:r w:rsidR="00DD4F30">
        <w:rPr>
          <w:sz w:val="22"/>
          <w:szCs w:val="22"/>
        </w:rPr>
        <w:t>. The MFG</w:t>
      </w:r>
      <w:r w:rsidRPr="00DD4F30">
        <w:rPr>
          <w:sz w:val="22"/>
          <w:szCs w:val="22"/>
        </w:rPr>
        <w:t xml:space="preserve"> is only a sliding scale protection that will be removed at some point. As we move towards a National </w:t>
      </w:r>
      <w:r w:rsidR="00DD4F30">
        <w:rPr>
          <w:sz w:val="22"/>
          <w:szCs w:val="22"/>
        </w:rPr>
        <w:t xml:space="preserve">Fair </w:t>
      </w:r>
      <w:r w:rsidRPr="00DD4F30">
        <w:rPr>
          <w:sz w:val="22"/>
          <w:szCs w:val="22"/>
        </w:rPr>
        <w:t xml:space="preserve">Funding Formula it continues to be important </w:t>
      </w:r>
      <w:r w:rsidR="00F12000">
        <w:rPr>
          <w:sz w:val="22"/>
          <w:szCs w:val="22"/>
        </w:rPr>
        <w:t xml:space="preserve">for us </w:t>
      </w:r>
      <w:r w:rsidRPr="00DD4F30">
        <w:rPr>
          <w:sz w:val="22"/>
          <w:szCs w:val="22"/>
        </w:rPr>
        <w:t xml:space="preserve">to consider our </w:t>
      </w:r>
      <w:r w:rsidR="00DD4F30">
        <w:rPr>
          <w:sz w:val="22"/>
          <w:szCs w:val="22"/>
        </w:rPr>
        <w:t xml:space="preserve">overall </w:t>
      </w:r>
      <w:r w:rsidRPr="00DD4F30">
        <w:rPr>
          <w:sz w:val="22"/>
          <w:szCs w:val="22"/>
        </w:rPr>
        <w:t>D</w:t>
      </w:r>
      <w:r w:rsidR="00FA7F1B">
        <w:rPr>
          <w:sz w:val="22"/>
          <w:szCs w:val="22"/>
        </w:rPr>
        <w:t xml:space="preserve">edicated </w:t>
      </w:r>
      <w:r w:rsidRPr="00DD4F30">
        <w:rPr>
          <w:sz w:val="22"/>
          <w:szCs w:val="22"/>
        </w:rPr>
        <w:t>S</w:t>
      </w:r>
      <w:r w:rsidR="00FA7F1B">
        <w:rPr>
          <w:sz w:val="22"/>
          <w:szCs w:val="22"/>
        </w:rPr>
        <w:t xml:space="preserve">chools </w:t>
      </w:r>
      <w:r w:rsidRPr="00DD4F30">
        <w:rPr>
          <w:sz w:val="22"/>
          <w:szCs w:val="22"/>
        </w:rPr>
        <w:t>G</w:t>
      </w:r>
      <w:r w:rsidR="00FA7F1B">
        <w:rPr>
          <w:sz w:val="22"/>
          <w:szCs w:val="22"/>
        </w:rPr>
        <w:t>rant (DSG)</w:t>
      </w:r>
      <w:r w:rsidRPr="00DD4F30">
        <w:rPr>
          <w:sz w:val="22"/>
          <w:szCs w:val="22"/>
        </w:rPr>
        <w:t xml:space="preserve"> funding position, as well as the funding positions of individual schools and academies, against the national mean and median values. We might expect a national formula in the future to be constructed around these averages. Further work considering the possible impact on individual schools and academies </w:t>
      </w:r>
      <w:r w:rsidR="007E750B" w:rsidRPr="00DD4F30">
        <w:rPr>
          <w:sz w:val="22"/>
          <w:szCs w:val="22"/>
        </w:rPr>
        <w:t xml:space="preserve">is currently underway and will be considered by </w:t>
      </w:r>
      <w:r w:rsidRPr="00DD4F30">
        <w:rPr>
          <w:sz w:val="22"/>
          <w:szCs w:val="22"/>
        </w:rPr>
        <w:t>the</w:t>
      </w:r>
      <w:r w:rsidR="007E750B" w:rsidRPr="00DD4F30">
        <w:rPr>
          <w:sz w:val="22"/>
          <w:szCs w:val="22"/>
        </w:rPr>
        <w:t xml:space="preserve"> Formula Funding Working Group and the Schools Forum during the autumn term.</w:t>
      </w:r>
      <w:r w:rsidR="00FA7F1B">
        <w:rPr>
          <w:sz w:val="22"/>
          <w:szCs w:val="22"/>
        </w:rPr>
        <w:t xml:space="preserve"> We also expect further announcements this term from the DfE about the National Funding Formula.</w:t>
      </w:r>
    </w:p>
    <w:p w:rsidR="00EC0D19" w:rsidRDefault="00EC0D19" w:rsidP="009F648B">
      <w:pPr>
        <w:jc w:val="both"/>
        <w:rPr>
          <w:sz w:val="22"/>
          <w:szCs w:val="22"/>
        </w:rPr>
      </w:pPr>
    </w:p>
    <w:p w:rsidR="00EC0D19" w:rsidRPr="007C3D9D" w:rsidRDefault="00EC0D19" w:rsidP="00EC0D19">
      <w:pPr>
        <w:jc w:val="both"/>
        <w:rPr>
          <w:b/>
          <w:sz w:val="22"/>
          <w:szCs w:val="22"/>
        </w:rPr>
      </w:pPr>
      <w:r w:rsidRPr="007C3D9D">
        <w:rPr>
          <w:b/>
          <w:sz w:val="22"/>
          <w:szCs w:val="22"/>
        </w:rPr>
        <w:t>1.3 We do not propose to make any changes to the structure</w:t>
      </w:r>
      <w:r w:rsidR="00E04E9E">
        <w:rPr>
          <w:b/>
          <w:sz w:val="22"/>
          <w:szCs w:val="22"/>
        </w:rPr>
        <w:t xml:space="preserve"> (factors and how these are used)</w:t>
      </w:r>
      <w:r w:rsidRPr="007C3D9D">
        <w:rPr>
          <w:b/>
          <w:sz w:val="22"/>
          <w:szCs w:val="22"/>
        </w:rPr>
        <w:t xml:space="preserve"> of t</w:t>
      </w:r>
      <w:r w:rsidR="00E04E9E">
        <w:rPr>
          <w:b/>
          <w:sz w:val="22"/>
          <w:szCs w:val="22"/>
        </w:rPr>
        <w:t>he primary and secondary funding</w:t>
      </w:r>
      <w:r w:rsidRPr="007C3D9D">
        <w:rPr>
          <w:b/>
          <w:sz w:val="22"/>
          <w:szCs w:val="22"/>
        </w:rPr>
        <w:t xml:space="preserve"> formulae, or the criteria for the allocation of </w:t>
      </w:r>
      <w:r w:rsidR="009D73DE">
        <w:rPr>
          <w:b/>
          <w:sz w:val="22"/>
          <w:szCs w:val="22"/>
        </w:rPr>
        <w:t xml:space="preserve">Schools Block </w:t>
      </w:r>
      <w:r w:rsidRPr="007C3D9D">
        <w:rPr>
          <w:b/>
          <w:sz w:val="22"/>
          <w:szCs w:val="22"/>
        </w:rPr>
        <w:t>DSG contingency and growth funds, in the 2016/17 financial year. We propose to continue to use the</w:t>
      </w:r>
      <w:r w:rsidR="007C3D9D" w:rsidRPr="007C3D9D">
        <w:rPr>
          <w:b/>
          <w:sz w:val="22"/>
          <w:szCs w:val="22"/>
        </w:rPr>
        <w:t xml:space="preserve"> existing 2015/16</w:t>
      </w:r>
      <w:r w:rsidRPr="007C3D9D">
        <w:rPr>
          <w:b/>
          <w:sz w:val="22"/>
          <w:szCs w:val="22"/>
        </w:rPr>
        <w:t xml:space="preserve"> structure</w:t>
      </w:r>
      <w:r w:rsidR="007C3D9D" w:rsidRPr="007C3D9D">
        <w:rPr>
          <w:b/>
          <w:sz w:val="22"/>
          <w:szCs w:val="22"/>
        </w:rPr>
        <w:t>s</w:t>
      </w:r>
      <w:r w:rsidRPr="007C3D9D">
        <w:rPr>
          <w:b/>
          <w:sz w:val="22"/>
          <w:szCs w:val="22"/>
        </w:rPr>
        <w:t>.</w:t>
      </w:r>
      <w:r w:rsidR="0058052D">
        <w:rPr>
          <w:b/>
          <w:sz w:val="22"/>
          <w:szCs w:val="22"/>
        </w:rPr>
        <w:t xml:space="preserve"> </w:t>
      </w:r>
      <w:r w:rsidR="008B381E">
        <w:rPr>
          <w:b/>
          <w:sz w:val="22"/>
          <w:szCs w:val="22"/>
        </w:rPr>
        <w:t>W</w:t>
      </w:r>
      <w:r w:rsidR="0058052D">
        <w:rPr>
          <w:b/>
          <w:sz w:val="22"/>
          <w:szCs w:val="22"/>
        </w:rPr>
        <w:t>e welcome feedbac</w:t>
      </w:r>
      <w:r w:rsidR="008B381E">
        <w:rPr>
          <w:b/>
          <w:sz w:val="22"/>
          <w:szCs w:val="22"/>
        </w:rPr>
        <w:t>k from schools and academies</w:t>
      </w:r>
      <w:r w:rsidR="002F7A8C">
        <w:rPr>
          <w:b/>
          <w:sz w:val="22"/>
          <w:szCs w:val="22"/>
        </w:rPr>
        <w:t>, especially from maintained schools on the continuation of de-delegation (see paragraph 4)</w:t>
      </w:r>
      <w:r w:rsidR="008B381E">
        <w:rPr>
          <w:b/>
          <w:sz w:val="22"/>
          <w:szCs w:val="22"/>
        </w:rPr>
        <w:t>. However,</w:t>
      </w:r>
      <w:r w:rsidR="0058052D">
        <w:rPr>
          <w:b/>
          <w:sz w:val="22"/>
          <w:szCs w:val="22"/>
        </w:rPr>
        <w:t xml:space="preserve"> </w:t>
      </w:r>
      <w:r w:rsidR="008B381E">
        <w:rPr>
          <w:b/>
          <w:sz w:val="22"/>
          <w:szCs w:val="22"/>
        </w:rPr>
        <w:t xml:space="preserve">as </w:t>
      </w:r>
      <w:r w:rsidR="0058052D">
        <w:rPr>
          <w:b/>
          <w:sz w:val="22"/>
          <w:szCs w:val="22"/>
        </w:rPr>
        <w:t>we are not proposing to make any changes to already agreed structure</w:t>
      </w:r>
      <w:r w:rsidR="009D73DE">
        <w:rPr>
          <w:b/>
          <w:sz w:val="22"/>
          <w:szCs w:val="22"/>
        </w:rPr>
        <w:t>s</w:t>
      </w:r>
      <w:r w:rsidR="007C68F6">
        <w:rPr>
          <w:b/>
          <w:sz w:val="22"/>
          <w:szCs w:val="22"/>
        </w:rPr>
        <w:t>, this document may be viewed more for information purposes and as a</w:t>
      </w:r>
      <w:r w:rsidR="0058052D">
        <w:rPr>
          <w:b/>
          <w:sz w:val="22"/>
          <w:szCs w:val="22"/>
        </w:rPr>
        <w:t xml:space="preserve"> reminder of what our structures are.</w:t>
      </w:r>
    </w:p>
    <w:p w:rsidR="00A82907" w:rsidRPr="00DD4F30" w:rsidRDefault="00A82907" w:rsidP="00F15CE4">
      <w:pPr>
        <w:jc w:val="both"/>
        <w:rPr>
          <w:sz w:val="22"/>
          <w:szCs w:val="22"/>
        </w:rPr>
      </w:pPr>
    </w:p>
    <w:p w:rsidR="00A82907" w:rsidRPr="00DD4F30" w:rsidRDefault="007C3D9D" w:rsidP="00CE0983">
      <w:pPr>
        <w:jc w:val="both"/>
        <w:rPr>
          <w:sz w:val="22"/>
          <w:szCs w:val="22"/>
        </w:rPr>
      </w:pPr>
      <w:r>
        <w:rPr>
          <w:sz w:val="22"/>
          <w:szCs w:val="22"/>
        </w:rPr>
        <w:t>1.4</w:t>
      </w:r>
      <w:r w:rsidR="00A82907" w:rsidRPr="00DD4F30">
        <w:rPr>
          <w:sz w:val="22"/>
          <w:szCs w:val="22"/>
        </w:rPr>
        <w:t xml:space="preserve"> To recap whe</w:t>
      </w:r>
      <w:r w:rsidR="00F12000">
        <w:rPr>
          <w:sz w:val="22"/>
          <w:szCs w:val="22"/>
        </w:rPr>
        <w:t>re we are in the transition to the</w:t>
      </w:r>
      <w:r w:rsidR="00A82907" w:rsidRPr="00DD4F30">
        <w:rPr>
          <w:sz w:val="22"/>
          <w:szCs w:val="22"/>
        </w:rPr>
        <w:t xml:space="preserve"> National Funding Formula for primary and secondary:</w:t>
      </w:r>
    </w:p>
    <w:p w:rsidR="00A82907" w:rsidRPr="008722A8" w:rsidRDefault="00A82907" w:rsidP="00CE0983">
      <w:pPr>
        <w:jc w:val="both"/>
        <w:rPr>
          <w:sz w:val="12"/>
          <w:szCs w:val="12"/>
        </w:rPr>
      </w:pPr>
    </w:p>
    <w:p w:rsidR="00C1640C" w:rsidRPr="00C1640C" w:rsidRDefault="00A82907" w:rsidP="008722A8">
      <w:pPr>
        <w:numPr>
          <w:ilvl w:val="0"/>
          <w:numId w:val="13"/>
        </w:numPr>
        <w:tabs>
          <w:tab w:val="clear" w:pos="720"/>
          <w:tab w:val="num" w:pos="0"/>
        </w:tabs>
        <w:spacing w:after="120"/>
        <w:ind w:left="357" w:hanging="357"/>
        <w:jc w:val="both"/>
        <w:rPr>
          <w:sz w:val="22"/>
          <w:szCs w:val="22"/>
        </w:rPr>
      </w:pPr>
      <w:r w:rsidRPr="00DD4F30">
        <w:rPr>
          <w:sz w:val="22"/>
          <w:szCs w:val="22"/>
        </w:rPr>
        <w:t>In March 2012, the Government announced significant changes to the education funding system. These changes were implemented by all local authorities at 1 April 2013 and included simplified formula arrangements for the calculation of delegated budgets and significant new restrictions on the central management of funds within the Dedicated Schools Grant (DSG).</w:t>
      </w:r>
    </w:p>
    <w:p w:rsidR="00A82907" w:rsidRPr="0038384C" w:rsidRDefault="00A82907" w:rsidP="008722A8">
      <w:pPr>
        <w:numPr>
          <w:ilvl w:val="0"/>
          <w:numId w:val="13"/>
        </w:numPr>
        <w:tabs>
          <w:tab w:val="clear" w:pos="720"/>
          <w:tab w:val="num" w:pos="360"/>
        </w:tabs>
        <w:spacing w:after="120"/>
        <w:ind w:left="357" w:hanging="357"/>
        <w:jc w:val="both"/>
        <w:rPr>
          <w:sz w:val="22"/>
          <w:szCs w:val="22"/>
        </w:rPr>
      </w:pPr>
      <w:r w:rsidRPr="00DD4F30">
        <w:rPr>
          <w:sz w:val="22"/>
          <w:szCs w:val="22"/>
        </w:rPr>
        <w:t>On 4 June 2013, the Government published a document entitled “</w:t>
      </w:r>
      <w:hyperlink r:id="rId9" w:history="1">
        <w:r w:rsidRPr="00DD4F30">
          <w:rPr>
            <w:rStyle w:val="Hyperlink"/>
            <w:sz w:val="22"/>
            <w:szCs w:val="22"/>
          </w:rPr>
          <w:t>2014-15 Revenue Funding Arrangements: Operational Information for local authorities</w:t>
        </w:r>
      </w:hyperlink>
      <w:r w:rsidRPr="00DD4F30">
        <w:rPr>
          <w:sz w:val="22"/>
          <w:szCs w:val="22"/>
        </w:rPr>
        <w:t xml:space="preserve">”, which set out further changes to funding arrangements for the 2014/15 financial year, which were designed to continue progress towards a national fair funding formula. </w:t>
      </w:r>
    </w:p>
    <w:p w:rsidR="00962FC6" w:rsidRPr="0038384C" w:rsidRDefault="00A82907" w:rsidP="008722A8">
      <w:pPr>
        <w:numPr>
          <w:ilvl w:val="0"/>
          <w:numId w:val="13"/>
        </w:numPr>
        <w:tabs>
          <w:tab w:val="clear" w:pos="720"/>
          <w:tab w:val="num" w:pos="360"/>
        </w:tabs>
        <w:spacing w:after="120"/>
        <w:ind w:left="357" w:hanging="357"/>
        <w:jc w:val="both"/>
        <w:rPr>
          <w:sz w:val="22"/>
          <w:szCs w:val="22"/>
        </w:rPr>
      </w:pPr>
      <w:r w:rsidRPr="00DD4F30">
        <w:rPr>
          <w:bCs/>
          <w:sz w:val="22"/>
          <w:szCs w:val="22"/>
        </w:rPr>
        <w:t>On 17 July 2014, the Government confirmed</w:t>
      </w:r>
      <w:r w:rsidR="00B948D6" w:rsidRPr="00DD4F30">
        <w:rPr>
          <w:sz w:val="22"/>
          <w:szCs w:val="22"/>
        </w:rPr>
        <w:t xml:space="preserve"> that authorities and Schools Forums </w:t>
      </w:r>
      <w:r w:rsidRPr="00DD4F30">
        <w:rPr>
          <w:sz w:val="22"/>
          <w:szCs w:val="22"/>
        </w:rPr>
        <w:t xml:space="preserve">would </w:t>
      </w:r>
      <w:r w:rsidR="00B948D6" w:rsidRPr="00DD4F30">
        <w:rPr>
          <w:sz w:val="22"/>
          <w:szCs w:val="22"/>
        </w:rPr>
        <w:t>continue to</w:t>
      </w:r>
      <w:r w:rsidRPr="00DD4F30">
        <w:rPr>
          <w:sz w:val="22"/>
          <w:szCs w:val="22"/>
        </w:rPr>
        <w:t xml:space="preserve"> be required to set local formula </w:t>
      </w:r>
      <w:r w:rsidR="00B948D6" w:rsidRPr="00DD4F30">
        <w:rPr>
          <w:sz w:val="22"/>
          <w:szCs w:val="22"/>
        </w:rPr>
        <w:t xml:space="preserve">funding </w:t>
      </w:r>
      <w:r w:rsidRPr="00DD4F30">
        <w:rPr>
          <w:sz w:val="22"/>
          <w:szCs w:val="22"/>
        </w:rPr>
        <w:t xml:space="preserve">arrangements </w:t>
      </w:r>
      <w:r w:rsidR="00B948D6" w:rsidRPr="00DD4F30">
        <w:rPr>
          <w:sz w:val="22"/>
          <w:szCs w:val="22"/>
        </w:rPr>
        <w:t xml:space="preserve">for the 2015/16 financial year. </w:t>
      </w:r>
      <w:r w:rsidR="00962FC6" w:rsidRPr="00DD4F30">
        <w:rPr>
          <w:sz w:val="22"/>
          <w:szCs w:val="22"/>
        </w:rPr>
        <w:t xml:space="preserve">The </w:t>
      </w:r>
      <w:hyperlink r:id="rId10" w:history="1">
        <w:r w:rsidR="00962FC6" w:rsidRPr="00DD4F30">
          <w:rPr>
            <w:rStyle w:val="Hyperlink"/>
            <w:sz w:val="22"/>
            <w:szCs w:val="22"/>
          </w:rPr>
          <w:t>2015-16 Operational Guide</w:t>
        </w:r>
      </w:hyperlink>
      <w:r w:rsidR="00962FC6" w:rsidRPr="00DD4F30">
        <w:rPr>
          <w:sz w:val="22"/>
          <w:szCs w:val="22"/>
        </w:rPr>
        <w:t xml:space="preserve"> confirmed that the arrangements in place for 2014/15 would continue for 2015/16, but with a</w:t>
      </w:r>
      <w:r w:rsidRPr="00DD4F30">
        <w:rPr>
          <w:sz w:val="22"/>
          <w:szCs w:val="22"/>
        </w:rPr>
        <w:t xml:space="preserve"> small n</w:t>
      </w:r>
      <w:r w:rsidR="00962FC6" w:rsidRPr="00DD4F30">
        <w:rPr>
          <w:sz w:val="22"/>
          <w:szCs w:val="22"/>
        </w:rPr>
        <w:t xml:space="preserve">umber of changes, </w:t>
      </w:r>
      <w:r w:rsidR="0016083A" w:rsidRPr="00DD4F30">
        <w:rPr>
          <w:sz w:val="22"/>
          <w:szCs w:val="22"/>
        </w:rPr>
        <w:t>which included</w:t>
      </w:r>
      <w:r w:rsidR="00962FC6" w:rsidRPr="00DD4F30">
        <w:rPr>
          <w:sz w:val="22"/>
          <w:szCs w:val="22"/>
        </w:rPr>
        <w:t xml:space="preserve"> the requirement for the Authority to</w:t>
      </w:r>
      <w:r w:rsidRPr="00DD4F30">
        <w:rPr>
          <w:sz w:val="22"/>
          <w:szCs w:val="22"/>
        </w:rPr>
        <w:t xml:space="preserve"> calculate funding for all academies (including former non-recoupment academies) and free schools through our local formulae, including funding for in year growth. The Government </w:t>
      </w:r>
      <w:r w:rsidR="00962FC6" w:rsidRPr="00DD4F30">
        <w:rPr>
          <w:sz w:val="22"/>
          <w:szCs w:val="22"/>
        </w:rPr>
        <w:t>also</w:t>
      </w:r>
      <w:r w:rsidRPr="00DD4F30">
        <w:rPr>
          <w:sz w:val="22"/>
          <w:szCs w:val="22"/>
        </w:rPr>
        <w:t xml:space="preserve"> confirmed that £390 million </w:t>
      </w:r>
      <w:r w:rsidR="00962FC6" w:rsidRPr="00DD4F30">
        <w:rPr>
          <w:sz w:val="22"/>
          <w:szCs w:val="22"/>
        </w:rPr>
        <w:t>would</w:t>
      </w:r>
      <w:r w:rsidRPr="00DD4F30">
        <w:rPr>
          <w:sz w:val="22"/>
          <w:szCs w:val="22"/>
        </w:rPr>
        <w:t xml:space="preserve"> be allocated to the least fairly funded authorities in England to ensure that every local authority attracts a minimum funding level for the</w:t>
      </w:r>
      <w:r w:rsidR="0028240A" w:rsidRPr="00DD4F30">
        <w:rPr>
          <w:sz w:val="22"/>
          <w:szCs w:val="22"/>
        </w:rPr>
        <w:t xml:space="preserve"> pupils and schools in its area; as our funding was already above the minimum funding levels, this did not affect Bradford’s DSG.</w:t>
      </w:r>
    </w:p>
    <w:p w:rsidR="00281155" w:rsidRPr="00C1640C" w:rsidRDefault="0016083A" w:rsidP="008722A8">
      <w:pPr>
        <w:numPr>
          <w:ilvl w:val="0"/>
          <w:numId w:val="13"/>
        </w:numPr>
        <w:tabs>
          <w:tab w:val="clear" w:pos="720"/>
          <w:tab w:val="num" w:pos="360"/>
        </w:tabs>
        <w:spacing w:after="120"/>
        <w:ind w:left="357" w:hanging="357"/>
        <w:jc w:val="both"/>
        <w:rPr>
          <w:sz w:val="22"/>
          <w:szCs w:val="22"/>
        </w:rPr>
      </w:pPr>
      <w:r w:rsidRPr="00DD4F30">
        <w:rPr>
          <w:sz w:val="22"/>
          <w:szCs w:val="22"/>
        </w:rPr>
        <w:t>On 16 July 2015</w:t>
      </w:r>
      <w:r w:rsidR="00281155" w:rsidRPr="00DD4F30">
        <w:rPr>
          <w:sz w:val="22"/>
          <w:szCs w:val="22"/>
        </w:rPr>
        <w:t>,</w:t>
      </w:r>
      <w:r w:rsidR="00511B2F">
        <w:rPr>
          <w:sz w:val="22"/>
          <w:szCs w:val="22"/>
        </w:rPr>
        <w:t xml:space="preserve"> the Schools B</w:t>
      </w:r>
      <w:r w:rsidR="00412471" w:rsidRPr="00DD4F30">
        <w:rPr>
          <w:sz w:val="22"/>
          <w:szCs w:val="22"/>
        </w:rPr>
        <w:t xml:space="preserve">lock </w:t>
      </w:r>
      <w:r w:rsidRPr="00DD4F30">
        <w:rPr>
          <w:sz w:val="22"/>
          <w:szCs w:val="22"/>
        </w:rPr>
        <w:t xml:space="preserve">per pupil </w:t>
      </w:r>
      <w:r w:rsidR="00412471" w:rsidRPr="00DD4F30">
        <w:rPr>
          <w:sz w:val="22"/>
          <w:szCs w:val="22"/>
        </w:rPr>
        <w:t>funding r</w:t>
      </w:r>
      <w:r w:rsidR="00FA7F1B">
        <w:rPr>
          <w:sz w:val="22"/>
          <w:szCs w:val="22"/>
        </w:rPr>
        <w:t>ates for each local authority for</w:t>
      </w:r>
      <w:r w:rsidR="00412471" w:rsidRPr="00DD4F30">
        <w:rPr>
          <w:sz w:val="22"/>
          <w:szCs w:val="22"/>
        </w:rPr>
        <w:t xml:space="preserve"> 2016/17 were confirmed to </w:t>
      </w:r>
      <w:r w:rsidRPr="00DD4F30">
        <w:rPr>
          <w:sz w:val="22"/>
          <w:szCs w:val="22"/>
        </w:rPr>
        <w:t xml:space="preserve">be the same as in 2015/16, including the additional money allocated to the least fairly funded authorities as a result of minimum funding levels. </w:t>
      </w:r>
      <w:r w:rsidR="00281155" w:rsidRPr="00DD4F30">
        <w:rPr>
          <w:sz w:val="22"/>
          <w:szCs w:val="22"/>
        </w:rPr>
        <w:t xml:space="preserve">Final schools block allocations will be confirmed in December 2015 in line with data on pupils recorded in the October 2015 Census. </w:t>
      </w:r>
      <w:r w:rsidRPr="00DD4F30">
        <w:rPr>
          <w:sz w:val="22"/>
          <w:szCs w:val="22"/>
        </w:rPr>
        <w:t>On the same day the Government published the “</w:t>
      </w:r>
      <w:hyperlink r:id="rId11" w:history="1">
        <w:r w:rsidRPr="00DD4F30">
          <w:rPr>
            <w:rStyle w:val="Hyperlink"/>
            <w:sz w:val="22"/>
            <w:szCs w:val="22"/>
          </w:rPr>
          <w:t>School revenue funding 2016 to 2017: Operational guide</w:t>
        </w:r>
      </w:hyperlink>
      <w:r w:rsidRPr="00DD4F30">
        <w:rPr>
          <w:sz w:val="22"/>
          <w:szCs w:val="22"/>
        </w:rPr>
        <w:t>” which confirms</w:t>
      </w:r>
      <w:r w:rsidR="0028240A" w:rsidRPr="00DD4F30">
        <w:rPr>
          <w:sz w:val="22"/>
          <w:szCs w:val="22"/>
        </w:rPr>
        <w:t xml:space="preserve"> that the regulations in place for 2015/16 remain unchanged for 2016/17, </w:t>
      </w:r>
      <w:r w:rsidR="0028240A" w:rsidRPr="00E04E9E">
        <w:rPr>
          <w:b/>
          <w:sz w:val="22"/>
          <w:szCs w:val="22"/>
        </w:rPr>
        <w:t xml:space="preserve">so </w:t>
      </w:r>
      <w:r w:rsidR="00E04E9E">
        <w:rPr>
          <w:b/>
          <w:sz w:val="22"/>
          <w:szCs w:val="22"/>
        </w:rPr>
        <w:t>there are no required changes in</w:t>
      </w:r>
      <w:r w:rsidR="0028240A" w:rsidRPr="00DD4F30">
        <w:rPr>
          <w:b/>
          <w:sz w:val="22"/>
          <w:szCs w:val="22"/>
        </w:rPr>
        <w:t xml:space="preserve"> the funding</w:t>
      </w:r>
      <w:r w:rsidR="00FA7F1B">
        <w:rPr>
          <w:b/>
          <w:sz w:val="22"/>
          <w:szCs w:val="22"/>
        </w:rPr>
        <w:t xml:space="preserve"> mechanism</w:t>
      </w:r>
      <w:r w:rsidR="00E04E9E">
        <w:rPr>
          <w:b/>
          <w:sz w:val="22"/>
          <w:szCs w:val="22"/>
        </w:rPr>
        <w:t>s</w:t>
      </w:r>
      <w:r w:rsidR="00FA7F1B">
        <w:rPr>
          <w:b/>
          <w:sz w:val="22"/>
          <w:szCs w:val="22"/>
        </w:rPr>
        <w:t xml:space="preserve"> for </w:t>
      </w:r>
      <w:r w:rsidR="0028240A" w:rsidRPr="00DD4F30">
        <w:rPr>
          <w:b/>
          <w:sz w:val="22"/>
          <w:szCs w:val="22"/>
        </w:rPr>
        <w:t>primary and secondary schools and academies</w:t>
      </w:r>
      <w:r w:rsidR="00281155" w:rsidRPr="00DD4F30">
        <w:rPr>
          <w:b/>
          <w:sz w:val="22"/>
          <w:szCs w:val="22"/>
        </w:rPr>
        <w:t xml:space="preserve"> in the 2016/17 </w:t>
      </w:r>
      <w:r w:rsidR="00281155" w:rsidRPr="00F12000">
        <w:rPr>
          <w:b/>
          <w:sz w:val="22"/>
          <w:szCs w:val="22"/>
        </w:rPr>
        <w:lastRenderedPageBreak/>
        <w:t>financial year.</w:t>
      </w:r>
      <w:r w:rsidR="00FA7F1B" w:rsidRPr="00F12000">
        <w:rPr>
          <w:b/>
          <w:sz w:val="22"/>
          <w:szCs w:val="22"/>
        </w:rPr>
        <w:t xml:space="preserve"> 2016/17 is a stand-still year</w:t>
      </w:r>
      <w:r w:rsidR="00E04E9E">
        <w:rPr>
          <w:b/>
          <w:sz w:val="22"/>
          <w:szCs w:val="22"/>
        </w:rPr>
        <w:t xml:space="preserve"> nationally</w:t>
      </w:r>
      <w:r w:rsidR="00FA7F1B" w:rsidRPr="00F12000">
        <w:rPr>
          <w:b/>
          <w:sz w:val="22"/>
          <w:szCs w:val="22"/>
        </w:rPr>
        <w:t>.</w:t>
      </w:r>
      <w:r w:rsidR="002827DF">
        <w:rPr>
          <w:b/>
          <w:sz w:val="22"/>
          <w:szCs w:val="22"/>
        </w:rPr>
        <w:t xml:space="preserve"> It is on this basis that</w:t>
      </w:r>
      <w:r w:rsidR="00E04E9E">
        <w:rPr>
          <w:b/>
          <w:sz w:val="22"/>
          <w:szCs w:val="22"/>
        </w:rPr>
        <w:t xml:space="preserve"> we propose to make no changes to our primary and secondary formula funding structure.</w:t>
      </w:r>
    </w:p>
    <w:p w:rsidR="000B5831" w:rsidRPr="007475C5" w:rsidRDefault="00281155" w:rsidP="008722A8">
      <w:pPr>
        <w:numPr>
          <w:ilvl w:val="0"/>
          <w:numId w:val="13"/>
        </w:numPr>
        <w:tabs>
          <w:tab w:val="clear" w:pos="720"/>
          <w:tab w:val="num" w:pos="360"/>
        </w:tabs>
        <w:ind w:left="357" w:hanging="357"/>
        <w:jc w:val="both"/>
        <w:rPr>
          <w:sz w:val="22"/>
          <w:szCs w:val="22"/>
        </w:rPr>
      </w:pPr>
      <w:r w:rsidRPr="00DD4F30">
        <w:rPr>
          <w:sz w:val="22"/>
          <w:szCs w:val="22"/>
        </w:rPr>
        <w:t xml:space="preserve">The Education Secretary has stated that the Government will bring forward proposals for a National Fair Funding Formula “in due course”, and these proposals will be subject to extensive consultation. </w:t>
      </w:r>
      <w:r w:rsidR="00DC7002" w:rsidRPr="00DD4F30">
        <w:rPr>
          <w:sz w:val="22"/>
          <w:szCs w:val="22"/>
        </w:rPr>
        <w:t>The earliest date that a National Fair Funding Formula could be implemented is April 2017, and t</w:t>
      </w:r>
      <w:r w:rsidRPr="00DD4F30">
        <w:rPr>
          <w:sz w:val="22"/>
          <w:szCs w:val="22"/>
        </w:rPr>
        <w:t xml:space="preserve">he expectation is that further information will be </w:t>
      </w:r>
      <w:r w:rsidR="0082061B" w:rsidRPr="00DD4F30">
        <w:rPr>
          <w:sz w:val="22"/>
          <w:szCs w:val="22"/>
        </w:rPr>
        <w:t>made available</w:t>
      </w:r>
      <w:r w:rsidRPr="00DD4F30">
        <w:rPr>
          <w:sz w:val="22"/>
          <w:szCs w:val="22"/>
        </w:rPr>
        <w:t xml:space="preserve"> </w:t>
      </w:r>
      <w:r w:rsidR="00FA7F1B">
        <w:rPr>
          <w:sz w:val="22"/>
          <w:szCs w:val="22"/>
        </w:rPr>
        <w:t xml:space="preserve">this term. Given that pressure is mounting nationally from various groups and local authorities </w:t>
      </w:r>
      <w:r w:rsidR="00F12000">
        <w:rPr>
          <w:sz w:val="22"/>
          <w:szCs w:val="22"/>
        </w:rPr>
        <w:t xml:space="preserve">that are </w:t>
      </w:r>
      <w:r w:rsidR="00FA7F1B">
        <w:rPr>
          <w:sz w:val="22"/>
          <w:szCs w:val="22"/>
        </w:rPr>
        <w:t xml:space="preserve">pressing for the swift implementation of a national </w:t>
      </w:r>
      <w:r w:rsidR="007475C5">
        <w:rPr>
          <w:sz w:val="22"/>
          <w:szCs w:val="22"/>
        </w:rPr>
        <w:t xml:space="preserve">fair </w:t>
      </w:r>
      <w:r w:rsidR="00FA7F1B">
        <w:rPr>
          <w:sz w:val="22"/>
          <w:szCs w:val="22"/>
        </w:rPr>
        <w:t>funding formula, and that 2016/17 is a stand-still year</w:t>
      </w:r>
      <w:r w:rsidR="00F12000">
        <w:rPr>
          <w:sz w:val="22"/>
          <w:szCs w:val="22"/>
        </w:rPr>
        <w:t xml:space="preserve"> needed</w:t>
      </w:r>
      <w:r w:rsidR="00FA7F1B">
        <w:rPr>
          <w:sz w:val="22"/>
          <w:szCs w:val="22"/>
        </w:rPr>
        <w:t xml:space="preserve"> to give time for development work and consultation, </w:t>
      </w:r>
      <w:r w:rsidR="00FA7F1B" w:rsidRPr="002F162F">
        <w:rPr>
          <w:b/>
          <w:sz w:val="22"/>
          <w:szCs w:val="22"/>
        </w:rPr>
        <w:t xml:space="preserve">it is expected that the DfE will seek to implement the National </w:t>
      </w:r>
      <w:r w:rsidR="007475C5">
        <w:rPr>
          <w:b/>
          <w:sz w:val="22"/>
          <w:szCs w:val="22"/>
        </w:rPr>
        <w:t xml:space="preserve">Fair </w:t>
      </w:r>
      <w:r w:rsidR="00FA7F1B" w:rsidRPr="002F162F">
        <w:rPr>
          <w:b/>
          <w:sz w:val="22"/>
          <w:szCs w:val="22"/>
        </w:rPr>
        <w:t>Funding Formula at April 2017</w:t>
      </w:r>
      <w:r w:rsidR="00865292">
        <w:rPr>
          <w:sz w:val="22"/>
          <w:szCs w:val="22"/>
        </w:rPr>
        <w:t>.</w:t>
      </w:r>
    </w:p>
    <w:p w:rsidR="007475C5" w:rsidRDefault="007475C5" w:rsidP="00072359">
      <w:pPr>
        <w:jc w:val="both"/>
        <w:rPr>
          <w:sz w:val="22"/>
          <w:szCs w:val="22"/>
        </w:rPr>
      </w:pPr>
    </w:p>
    <w:p w:rsidR="00A82907" w:rsidRDefault="00A82907" w:rsidP="00072359">
      <w:pPr>
        <w:jc w:val="both"/>
        <w:rPr>
          <w:sz w:val="22"/>
          <w:szCs w:val="22"/>
        </w:rPr>
      </w:pPr>
      <w:r>
        <w:rPr>
          <w:sz w:val="22"/>
          <w:szCs w:val="22"/>
        </w:rPr>
        <w:t>1.</w:t>
      </w:r>
      <w:r w:rsidR="000B5831">
        <w:rPr>
          <w:sz w:val="22"/>
          <w:szCs w:val="22"/>
        </w:rPr>
        <w:t>5</w:t>
      </w:r>
      <w:r w:rsidR="007235B5">
        <w:rPr>
          <w:sz w:val="22"/>
          <w:szCs w:val="22"/>
        </w:rPr>
        <w:t xml:space="preserve"> </w:t>
      </w:r>
      <w:r w:rsidR="00713A5B">
        <w:rPr>
          <w:sz w:val="22"/>
          <w:szCs w:val="22"/>
        </w:rPr>
        <w:t>The detail of this document</w:t>
      </w:r>
      <w:r>
        <w:rPr>
          <w:sz w:val="22"/>
          <w:szCs w:val="22"/>
        </w:rPr>
        <w:t xml:space="preserve"> </w:t>
      </w:r>
      <w:r w:rsidR="007235B5">
        <w:rPr>
          <w:sz w:val="22"/>
          <w:szCs w:val="22"/>
        </w:rPr>
        <w:t>has been</w:t>
      </w:r>
      <w:r w:rsidR="00713A5B">
        <w:rPr>
          <w:sz w:val="22"/>
          <w:szCs w:val="22"/>
        </w:rPr>
        <w:t xml:space="preserve"> written</w:t>
      </w:r>
      <w:r>
        <w:rPr>
          <w:sz w:val="22"/>
          <w:szCs w:val="22"/>
        </w:rPr>
        <w:t xml:space="preserve"> by the Loca</w:t>
      </w:r>
      <w:r w:rsidR="00210BFF">
        <w:rPr>
          <w:sz w:val="22"/>
          <w:szCs w:val="22"/>
        </w:rPr>
        <w:t xml:space="preserve">l Authority in conjunction with </w:t>
      </w:r>
      <w:r>
        <w:rPr>
          <w:sz w:val="22"/>
          <w:szCs w:val="22"/>
        </w:rPr>
        <w:t>the Schools</w:t>
      </w:r>
      <w:r w:rsidR="007235B5">
        <w:rPr>
          <w:sz w:val="22"/>
          <w:szCs w:val="22"/>
        </w:rPr>
        <w:t xml:space="preserve"> Forum</w:t>
      </w:r>
      <w:r w:rsidR="00713A5B">
        <w:rPr>
          <w:sz w:val="22"/>
          <w:szCs w:val="22"/>
        </w:rPr>
        <w:t>, with modelling</w:t>
      </w:r>
      <w:r w:rsidR="005A7B23">
        <w:rPr>
          <w:sz w:val="22"/>
          <w:szCs w:val="22"/>
        </w:rPr>
        <w:t xml:space="preserve"> using the October 2014</w:t>
      </w:r>
      <w:r>
        <w:rPr>
          <w:sz w:val="22"/>
          <w:szCs w:val="22"/>
        </w:rPr>
        <w:t xml:space="preserve"> Census dataset, updated </w:t>
      </w:r>
      <w:r w:rsidR="005A7B23">
        <w:rPr>
          <w:sz w:val="22"/>
          <w:szCs w:val="22"/>
        </w:rPr>
        <w:t>for our estimate of October 2015</w:t>
      </w:r>
      <w:r>
        <w:rPr>
          <w:sz w:val="22"/>
          <w:szCs w:val="22"/>
        </w:rPr>
        <w:t xml:space="preserve"> numbers on roll for individual schools and academies. The dataset taken from the actual October 201</w:t>
      </w:r>
      <w:r w:rsidR="005A7B23">
        <w:rPr>
          <w:sz w:val="22"/>
          <w:szCs w:val="22"/>
        </w:rPr>
        <w:t>5</w:t>
      </w:r>
      <w:r>
        <w:rPr>
          <w:sz w:val="22"/>
          <w:szCs w:val="22"/>
        </w:rPr>
        <w:t xml:space="preserve"> Census</w:t>
      </w:r>
      <w:r w:rsidR="005A7B23">
        <w:rPr>
          <w:sz w:val="22"/>
          <w:szCs w:val="22"/>
        </w:rPr>
        <w:t>, collected on Thursday 1 October 2015,</w:t>
      </w:r>
      <w:r>
        <w:rPr>
          <w:sz w:val="22"/>
          <w:szCs w:val="22"/>
        </w:rPr>
        <w:t xml:space="preserve"> will be used to calculate sch</w:t>
      </w:r>
      <w:r w:rsidR="005A7B23">
        <w:rPr>
          <w:sz w:val="22"/>
          <w:szCs w:val="22"/>
        </w:rPr>
        <w:t>ool and academy budgets for 2016/17</w:t>
      </w:r>
      <w:r>
        <w:rPr>
          <w:sz w:val="22"/>
          <w:szCs w:val="22"/>
        </w:rPr>
        <w:t>. Schools and academies are reminded therefore, that it is vitally i</w:t>
      </w:r>
      <w:r w:rsidR="005A7B23">
        <w:rPr>
          <w:sz w:val="22"/>
          <w:szCs w:val="22"/>
        </w:rPr>
        <w:t>mportant that their October 2015</w:t>
      </w:r>
      <w:r>
        <w:rPr>
          <w:sz w:val="22"/>
          <w:szCs w:val="22"/>
        </w:rPr>
        <w:t xml:space="preserve"> Census submissions are </w:t>
      </w:r>
      <w:r w:rsidR="00210BFF">
        <w:rPr>
          <w:sz w:val="22"/>
          <w:szCs w:val="22"/>
        </w:rPr>
        <w:t xml:space="preserve">timely and </w:t>
      </w:r>
      <w:r>
        <w:rPr>
          <w:sz w:val="22"/>
          <w:szCs w:val="22"/>
        </w:rPr>
        <w:t>accurate. The Authority will not be able to intervene to adjust census data once this has been submitted and confirmed with the DfE. Inaccuracies may lead to an under funding in 201</w:t>
      </w:r>
      <w:r w:rsidR="005A7B23">
        <w:rPr>
          <w:sz w:val="22"/>
          <w:szCs w:val="22"/>
        </w:rPr>
        <w:t>6/17</w:t>
      </w:r>
      <w:r>
        <w:rPr>
          <w:sz w:val="22"/>
          <w:szCs w:val="22"/>
        </w:rPr>
        <w:t xml:space="preserve"> that cannot be rectified.</w:t>
      </w:r>
    </w:p>
    <w:p w:rsidR="00A82907" w:rsidRDefault="00A82907" w:rsidP="00F15CE4">
      <w:pPr>
        <w:jc w:val="both"/>
        <w:rPr>
          <w:sz w:val="22"/>
          <w:szCs w:val="22"/>
        </w:rPr>
      </w:pPr>
    </w:p>
    <w:p w:rsidR="00A82907" w:rsidRPr="00782BD6" w:rsidRDefault="007235B5" w:rsidP="00F15CE4">
      <w:pPr>
        <w:jc w:val="both"/>
        <w:rPr>
          <w:color w:val="FF0000"/>
          <w:sz w:val="22"/>
          <w:szCs w:val="22"/>
        </w:rPr>
      </w:pPr>
      <w:r>
        <w:rPr>
          <w:sz w:val="22"/>
          <w:szCs w:val="22"/>
        </w:rPr>
        <w:t>1.6</w:t>
      </w:r>
      <w:r w:rsidR="00A82907">
        <w:rPr>
          <w:sz w:val="22"/>
          <w:szCs w:val="22"/>
        </w:rPr>
        <w:t xml:space="preserve"> The Local Authority must submit to the Educa</w:t>
      </w:r>
      <w:r w:rsidR="005A7B23">
        <w:rPr>
          <w:sz w:val="22"/>
          <w:szCs w:val="22"/>
        </w:rPr>
        <w:t>tion Funding Agency (EFA), by 30</w:t>
      </w:r>
      <w:r w:rsidR="00A82907">
        <w:rPr>
          <w:sz w:val="22"/>
          <w:szCs w:val="22"/>
        </w:rPr>
        <w:t xml:space="preserve"> October 201</w:t>
      </w:r>
      <w:r w:rsidR="005A7B23">
        <w:rPr>
          <w:sz w:val="22"/>
          <w:szCs w:val="22"/>
        </w:rPr>
        <w:t>5</w:t>
      </w:r>
      <w:r w:rsidR="00A82907">
        <w:rPr>
          <w:sz w:val="22"/>
          <w:szCs w:val="22"/>
        </w:rPr>
        <w:t>, a pro-forma, which shows the structure of the formulae that will be used to calculate primary and secondary dele</w:t>
      </w:r>
      <w:r w:rsidR="005A7B23">
        <w:rPr>
          <w:sz w:val="22"/>
          <w:szCs w:val="22"/>
        </w:rPr>
        <w:t>gated budget shares for the 2016/17</w:t>
      </w:r>
      <w:r w:rsidR="00A82907">
        <w:rPr>
          <w:sz w:val="22"/>
          <w:szCs w:val="22"/>
        </w:rPr>
        <w:t xml:space="preserve"> financial year</w:t>
      </w:r>
      <w:r w:rsidR="00A82907" w:rsidRPr="00AC2313">
        <w:rPr>
          <w:sz w:val="22"/>
          <w:szCs w:val="22"/>
        </w:rPr>
        <w:t>. To comply with this deadline, this consultation</w:t>
      </w:r>
      <w:r w:rsidR="00A82907">
        <w:rPr>
          <w:sz w:val="22"/>
          <w:szCs w:val="22"/>
        </w:rPr>
        <w:t xml:space="preserve"> is concerned with</w:t>
      </w:r>
      <w:r w:rsidR="00A82907" w:rsidRPr="00AC2313">
        <w:rPr>
          <w:sz w:val="22"/>
          <w:szCs w:val="22"/>
        </w:rPr>
        <w:t xml:space="preserve"> </w:t>
      </w:r>
      <w:r w:rsidR="00A82907">
        <w:rPr>
          <w:sz w:val="22"/>
          <w:szCs w:val="22"/>
        </w:rPr>
        <w:t>setting the</w:t>
      </w:r>
      <w:r w:rsidR="00A82907" w:rsidRPr="00AC2313">
        <w:rPr>
          <w:sz w:val="22"/>
          <w:szCs w:val="22"/>
        </w:rPr>
        <w:t xml:space="preserve"> </w:t>
      </w:r>
      <w:r w:rsidR="00A82907" w:rsidRPr="00077692">
        <w:rPr>
          <w:sz w:val="22"/>
          <w:szCs w:val="22"/>
          <w:u w:val="single"/>
        </w:rPr>
        <w:t>structure of the formula</w:t>
      </w:r>
      <w:r w:rsidR="005A7B23">
        <w:rPr>
          <w:sz w:val="22"/>
          <w:szCs w:val="22"/>
        </w:rPr>
        <w:t xml:space="preserve"> for 2016/17</w:t>
      </w:r>
      <w:r w:rsidR="00A82907">
        <w:rPr>
          <w:sz w:val="22"/>
          <w:szCs w:val="22"/>
        </w:rPr>
        <w:t>. The Schools Forum will then set the values of formula factor</w:t>
      </w:r>
      <w:r w:rsidR="005A7B23">
        <w:rPr>
          <w:sz w:val="22"/>
          <w:szCs w:val="22"/>
        </w:rPr>
        <w:t xml:space="preserve">s in </w:t>
      </w:r>
      <w:r w:rsidR="00511B2F">
        <w:rPr>
          <w:sz w:val="22"/>
          <w:szCs w:val="22"/>
        </w:rPr>
        <w:t>the</w:t>
      </w:r>
      <w:r w:rsidR="005A7B23">
        <w:rPr>
          <w:sz w:val="22"/>
          <w:szCs w:val="22"/>
        </w:rPr>
        <w:t xml:space="preserve"> meetings in January 2016</w:t>
      </w:r>
      <w:r w:rsidR="00A82907">
        <w:rPr>
          <w:sz w:val="22"/>
          <w:szCs w:val="22"/>
        </w:rPr>
        <w:t>.</w:t>
      </w:r>
    </w:p>
    <w:p w:rsidR="00A82907" w:rsidRDefault="00A82907" w:rsidP="000F069A">
      <w:pPr>
        <w:jc w:val="both"/>
        <w:rPr>
          <w:sz w:val="22"/>
          <w:szCs w:val="22"/>
        </w:rPr>
      </w:pPr>
    </w:p>
    <w:p w:rsidR="00A82907" w:rsidRDefault="007235B5" w:rsidP="009C5548">
      <w:pPr>
        <w:jc w:val="both"/>
        <w:rPr>
          <w:sz w:val="22"/>
          <w:szCs w:val="22"/>
        </w:rPr>
      </w:pPr>
      <w:r>
        <w:rPr>
          <w:sz w:val="22"/>
          <w:szCs w:val="22"/>
        </w:rPr>
        <w:t>1.7</w:t>
      </w:r>
      <w:r w:rsidR="00A82907">
        <w:rPr>
          <w:sz w:val="22"/>
          <w:szCs w:val="22"/>
        </w:rPr>
        <w:t xml:space="preserve"> This consultation document focuses solely on the Schools Block funding of primary (Reception – Year 6) and secondary (Year 7 – Year 11) maintained schools, academies and free schools across the Bradford District. A separate</w:t>
      </w:r>
      <w:r w:rsidR="00A82907" w:rsidRPr="00023626">
        <w:rPr>
          <w:sz w:val="22"/>
          <w:szCs w:val="22"/>
        </w:rPr>
        <w:t xml:space="preserve"> consultation, concerning the funding of Early Years provision, </w:t>
      </w:r>
      <w:r w:rsidR="00A82907" w:rsidRPr="005A2827">
        <w:rPr>
          <w:sz w:val="22"/>
          <w:szCs w:val="22"/>
        </w:rPr>
        <w:t>is currently live</w:t>
      </w:r>
      <w:r w:rsidR="00A82907">
        <w:rPr>
          <w:sz w:val="22"/>
          <w:szCs w:val="22"/>
        </w:rPr>
        <w:t xml:space="preserve"> and closes o</w:t>
      </w:r>
      <w:r w:rsidR="00A82907" w:rsidRPr="002F162F">
        <w:rPr>
          <w:sz w:val="22"/>
          <w:szCs w:val="22"/>
        </w:rPr>
        <w:t xml:space="preserve">n Friday </w:t>
      </w:r>
      <w:r w:rsidR="005A7B23" w:rsidRPr="002F162F">
        <w:rPr>
          <w:sz w:val="22"/>
          <w:szCs w:val="22"/>
        </w:rPr>
        <w:t>16 October 2015</w:t>
      </w:r>
      <w:r w:rsidR="00A82907" w:rsidRPr="002F162F">
        <w:rPr>
          <w:sz w:val="22"/>
          <w:szCs w:val="22"/>
        </w:rPr>
        <w:t>;</w:t>
      </w:r>
      <w:r w:rsidR="002F162F">
        <w:rPr>
          <w:sz w:val="22"/>
          <w:szCs w:val="22"/>
        </w:rPr>
        <w:t xml:space="preserve"> we do propose to make any changes to</w:t>
      </w:r>
      <w:r w:rsidR="00A82907">
        <w:rPr>
          <w:sz w:val="22"/>
          <w:szCs w:val="22"/>
        </w:rPr>
        <w:t xml:space="preserve"> the Early Years Single Funding Fo</w:t>
      </w:r>
      <w:r w:rsidR="005A7B23">
        <w:rPr>
          <w:sz w:val="22"/>
          <w:szCs w:val="22"/>
        </w:rPr>
        <w:t>rmula (EYSFF) in 2016/17</w:t>
      </w:r>
      <w:r w:rsidR="00A82907">
        <w:rPr>
          <w:sz w:val="22"/>
          <w:szCs w:val="22"/>
        </w:rPr>
        <w:t>, subject to the outcome of the consultation. A further consultation, concerning t</w:t>
      </w:r>
      <w:r w:rsidR="005A7B23">
        <w:rPr>
          <w:sz w:val="22"/>
          <w:szCs w:val="22"/>
        </w:rPr>
        <w:t>he funding of High Needs in 2016</w:t>
      </w:r>
      <w:r w:rsidR="00A82907">
        <w:rPr>
          <w:sz w:val="22"/>
          <w:szCs w:val="22"/>
        </w:rPr>
        <w:t>/</w:t>
      </w:r>
      <w:r w:rsidR="005A7B23">
        <w:rPr>
          <w:sz w:val="22"/>
          <w:szCs w:val="22"/>
        </w:rPr>
        <w:t>17</w:t>
      </w:r>
      <w:r w:rsidR="00A82907" w:rsidRPr="00300437">
        <w:rPr>
          <w:sz w:val="22"/>
          <w:szCs w:val="22"/>
        </w:rPr>
        <w:t xml:space="preserve">, will be </w:t>
      </w:r>
      <w:r w:rsidR="00A82907" w:rsidRPr="002F162F">
        <w:rPr>
          <w:sz w:val="22"/>
          <w:szCs w:val="22"/>
        </w:rPr>
        <w:t>publ</w:t>
      </w:r>
      <w:r w:rsidR="005A7B23" w:rsidRPr="002F162F">
        <w:rPr>
          <w:sz w:val="22"/>
          <w:szCs w:val="22"/>
        </w:rPr>
        <w:t>ished at the end of October 2015</w:t>
      </w:r>
      <w:r w:rsidR="00A82907" w:rsidRPr="002F162F">
        <w:rPr>
          <w:sz w:val="22"/>
          <w:szCs w:val="22"/>
        </w:rPr>
        <w:t>.</w:t>
      </w:r>
      <w:r w:rsidR="00A82907">
        <w:rPr>
          <w:sz w:val="22"/>
          <w:szCs w:val="22"/>
        </w:rPr>
        <w:t xml:space="preserve"> These consultation papers are, or will be, available from the </w:t>
      </w:r>
      <w:hyperlink r:id="rId12" w:history="1">
        <w:r w:rsidR="00A82907" w:rsidRPr="00023626">
          <w:rPr>
            <w:rStyle w:val="Hyperlink"/>
            <w:sz w:val="22"/>
            <w:szCs w:val="22"/>
          </w:rPr>
          <w:t>Bradford Schools Forum Consultation Papers</w:t>
        </w:r>
      </w:hyperlink>
      <w:r w:rsidR="00A82907">
        <w:rPr>
          <w:sz w:val="22"/>
          <w:szCs w:val="22"/>
        </w:rPr>
        <w:t xml:space="preserve"> webpage on Bradford Schools Online (BSO).</w:t>
      </w:r>
    </w:p>
    <w:p w:rsidR="00A82907" w:rsidRDefault="00A82907" w:rsidP="009C5548">
      <w:pPr>
        <w:jc w:val="both"/>
        <w:rPr>
          <w:sz w:val="22"/>
          <w:szCs w:val="22"/>
        </w:rPr>
      </w:pPr>
    </w:p>
    <w:p w:rsidR="0024400E" w:rsidRDefault="007235B5" w:rsidP="000F069A">
      <w:pPr>
        <w:jc w:val="both"/>
        <w:rPr>
          <w:sz w:val="22"/>
          <w:szCs w:val="22"/>
        </w:rPr>
      </w:pPr>
      <w:r>
        <w:rPr>
          <w:sz w:val="22"/>
          <w:szCs w:val="22"/>
        </w:rPr>
        <w:t>1.8</w:t>
      </w:r>
      <w:r w:rsidR="00A82907" w:rsidRPr="00062685">
        <w:rPr>
          <w:sz w:val="22"/>
          <w:szCs w:val="22"/>
        </w:rPr>
        <w:t xml:space="preserve"> In addition to these consultations, there are a number of significant discussions taking place within the Schools Forum that school and academy colleagues should keep track of</w:t>
      </w:r>
      <w:r w:rsidR="00062685" w:rsidRPr="00062685">
        <w:rPr>
          <w:sz w:val="22"/>
          <w:szCs w:val="22"/>
        </w:rPr>
        <w:t xml:space="preserve"> (</w:t>
      </w:r>
      <w:r w:rsidR="005276A8">
        <w:rPr>
          <w:sz w:val="22"/>
          <w:szCs w:val="22"/>
        </w:rPr>
        <w:t xml:space="preserve">papers can be accessed from the </w:t>
      </w:r>
      <w:hyperlink r:id="rId13" w:history="1">
        <w:r w:rsidR="00C533B1" w:rsidRPr="007475C5">
          <w:rPr>
            <w:rStyle w:val="Hyperlink"/>
            <w:sz w:val="22"/>
            <w:szCs w:val="22"/>
          </w:rPr>
          <w:t>Bradford Council Minutes website</w:t>
        </w:r>
      </w:hyperlink>
      <w:r w:rsidR="00C533B1" w:rsidRPr="007475C5">
        <w:rPr>
          <w:rStyle w:val="Hyperlink"/>
          <w:i/>
          <w:color w:val="auto"/>
          <w:sz w:val="22"/>
          <w:szCs w:val="22"/>
          <w:u w:val="none"/>
        </w:rPr>
        <w:t>)</w:t>
      </w:r>
      <w:r w:rsidR="005A7B23" w:rsidRPr="007475C5">
        <w:rPr>
          <w:sz w:val="22"/>
          <w:szCs w:val="22"/>
        </w:rPr>
        <w:t xml:space="preserve"> </w:t>
      </w:r>
      <w:r w:rsidR="00A82907" w:rsidRPr="00062685">
        <w:rPr>
          <w:sz w:val="22"/>
          <w:szCs w:val="22"/>
        </w:rPr>
        <w:t xml:space="preserve">as these are likely to have implications for delegated budgets in the </w:t>
      </w:r>
      <w:r w:rsidR="00062685" w:rsidRPr="00062685">
        <w:rPr>
          <w:sz w:val="22"/>
          <w:szCs w:val="22"/>
        </w:rPr>
        <w:t>future. If you are interested to understand more about these discussions</w:t>
      </w:r>
      <w:r w:rsidR="00A82907" w:rsidRPr="00062685">
        <w:rPr>
          <w:sz w:val="22"/>
          <w:szCs w:val="22"/>
        </w:rPr>
        <w:t>, or would like to input into these, please contact Andrew Redding</w:t>
      </w:r>
      <w:r w:rsidR="00062685" w:rsidRPr="00062685">
        <w:rPr>
          <w:sz w:val="22"/>
          <w:szCs w:val="22"/>
        </w:rPr>
        <w:t xml:space="preserve"> 01274 </w:t>
      </w:r>
      <w:r w:rsidR="00F12DA4">
        <w:rPr>
          <w:sz w:val="22"/>
          <w:szCs w:val="22"/>
        </w:rPr>
        <w:t>432678</w:t>
      </w:r>
      <w:r w:rsidR="00062685" w:rsidRPr="00062685">
        <w:rPr>
          <w:sz w:val="22"/>
          <w:szCs w:val="22"/>
        </w:rPr>
        <w:t xml:space="preserve"> </w:t>
      </w:r>
      <w:hyperlink r:id="rId14" w:history="1">
        <w:r w:rsidR="00062685" w:rsidRPr="00062685">
          <w:rPr>
            <w:rStyle w:val="Hyperlink"/>
            <w:sz w:val="22"/>
            <w:szCs w:val="22"/>
          </w:rPr>
          <w:t>andrew.redding@bradford.gov.uk</w:t>
        </w:r>
      </w:hyperlink>
      <w:r w:rsidR="00F12DA4">
        <w:rPr>
          <w:sz w:val="22"/>
          <w:szCs w:val="22"/>
        </w:rPr>
        <w:t xml:space="preserve"> or Sarah North 01274 434173 </w:t>
      </w:r>
      <w:hyperlink r:id="rId15" w:history="1">
        <w:r w:rsidR="00F12DA4" w:rsidRPr="003D18FC">
          <w:rPr>
            <w:rStyle w:val="Hyperlink"/>
            <w:sz w:val="22"/>
            <w:szCs w:val="22"/>
          </w:rPr>
          <w:t>sarah.north@bradford.gov.uk</w:t>
        </w:r>
      </w:hyperlink>
      <w:r w:rsidR="0024400E">
        <w:rPr>
          <w:sz w:val="22"/>
          <w:szCs w:val="22"/>
        </w:rPr>
        <w:t>, or alternatively, liaise with your Schools Forum representative.</w:t>
      </w:r>
    </w:p>
    <w:p w:rsidR="0024400E" w:rsidRDefault="0024400E" w:rsidP="000F069A">
      <w:pPr>
        <w:jc w:val="both"/>
        <w:rPr>
          <w:sz w:val="22"/>
          <w:szCs w:val="22"/>
        </w:rPr>
      </w:pPr>
    </w:p>
    <w:p w:rsidR="00A82907" w:rsidRDefault="007235B5" w:rsidP="000F069A">
      <w:pPr>
        <w:jc w:val="both"/>
        <w:rPr>
          <w:sz w:val="22"/>
          <w:szCs w:val="22"/>
        </w:rPr>
      </w:pPr>
      <w:r>
        <w:rPr>
          <w:sz w:val="22"/>
          <w:szCs w:val="22"/>
        </w:rPr>
        <w:t>1.9</w:t>
      </w:r>
      <w:r w:rsidR="00A82907">
        <w:rPr>
          <w:sz w:val="22"/>
          <w:szCs w:val="22"/>
        </w:rPr>
        <w:t xml:space="preserve"> In order to manage all cost pressures within the DSG in </w:t>
      </w:r>
      <w:r w:rsidR="00F12DA4">
        <w:rPr>
          <w:sz w:val="22"/>
          <w:szCs w:val="22"/>
        </w:rPr>
        <w:t>the past two years</w:t>
      </w:r>
      <w:r w:rsidR="00A82907">
        <w:rPr>
          <w:sz w:val="22"/>
          <w:szCs w:val="22"/>
        </w:rPr>
        <w:t>, the values o</w:t>
      </w:r>
      <w:r w:rsidR="002F162F">
        <w:rPr>
          <w:sz w:val="22"/>
          <w:szCs w:val="22"/>
        </w:rPr>
        <w:t>f certain formula variables have been</w:t>
      </w:r>
      <w:r w:rsidR="00A82907">
        <w:rPr>
          <w:sz w:val="22"/>
          <w:szCs w:val="22"/>
        </w:rPr>
        <w:t xml:space="preserve"> </w:t>
      </w:r>
      <w:r w:rsidR="00A82907" w:rsidRPr="00511B2F">
        <w:rPr>
          <w:sz w:val="22"/>
          <w:szCs w:val="22"/>
        </w:rPr>
        <w:t>reduced. The Local Authority is currently working on the basis of seeking to maintain an overall ‘cash flat’ position for the funding of primary and secondary schools and academies in 201</w:t>
      </w:r>
      <w:r w:rsidR="005276A8" w:rsidRPr="00511B2F">
        <w:rPr>
          <w:sz w:val="22"/>
          <w:szCs w:val="22"/>
        </w:rPr>
        <w:t>6/17</w:t>
      </w:r>
      <w:r w:rsidR="00511B2F" w:rsidRPr="00511B2F">
        <w:rPr>
          <w:sz w:val="22"/>
          <w:szCs w:val="22"/>
        </w:rPr>
        <w:t xml:space="preserve">; this means that the factor unit values used in the </w:t>
      </w:r>
      <w:r w:rsidR="00511B2F">
        <w:rPr>
          <w:sz w:val="22"/>
          <w:szCs w:val="22"/>
        </w:rPr>
        <w:t>illustrative</w:t>
      </w:r>
      <w:r w:rsidR="00511B2F" w:rsidRPr="00511B2F">
        <w:rPr>
          <w:sz w:val="22"/>
          <w:szCs w:val="22"/>
        </w:rPr>
        <w:t xml:space="preserve"> modelling </w:t>
      </w:r>
      <w:r w:rsidR="00511B2F">
        <w:rPr>
          <w:sz w:val="22"/>
          <w:szCs w:val="22"/>
        </w:rPr>
        <w:t xml:space="preserve">in this consultation </w:t>
      </w:r>
      <w:r w:rsidR="00511B2F" w:rsidRPr="00511B2F">
        <w:rPr>
          <w:sz w:val="22"/>
          <w:szCs w:val="22"/>
        </w:rPr>
        <w:t xml:space="preserve">are currently set at 2015/16 values. </w:t>
      </w:r>
      <w:r w:rsidR="00A82907" w:rsidRPr="00511B2F">
        <w:rPr>
          <w:sz w:val="22"/>
          <w:szCs w:val="22"/>
        </w:rPr>
        <w:t xml:space="preserve">However, </w:t>
      </w:r>
      <w:r w:rsidR="00A82907" w:rsidRPr="008D58A2">
        <w:rPr>
          <w:sz w:val="22"/>
          <w:szCs w:val="22"/>
        </w:rPr>
        <w:t>it is highly possible that further reductions in formula variables may be needed to balance the overall DSG allocation.</w:t>
      </w:r>
      <w:r w:rsidR="00A82907">
        <w:rPr>
          <w:sz w:val="22"/>
          <w:szCs w:val="22"/>
        </w:rPr>
        <w:t xml:space="preserve"> Recommendations concerning this will be made by the Schools Forum in January 201</w:t>
      </w:r>
      <w:r w:rsidR="00F12DA4">
        <w:rPr>
          <w:sz w:val="22"/>
          <w:szCs w:val="22"/>
        </w:rPr>
        <w:t>6</w:t>
      </w:r>
      <w:r w:rsidR="00A82907">
        <w:rPr>
          <w:sz w:val="22"/>
          <w:szCs w:val="22"/>
        </w:rPr>
        <w:t>. School and academy colleagues should keep track of discussions by monitoring Schools Forum papers a</w:t>
      </w:r>
      <w:r w:rsidR="00C32DAA">
        <w:rPr>
          <w:sz w:val="22"/>
          <w:szCs w:val="22"/>
        </w:rPr>
        <w:t xml:space="preserve">nd </w:t>
      </w:r>
      <w:r w:rsidR="00C32DAA" w:rsidRPr="008A0F5B">
        <w:rPr>
          <w:sz w:val="22"/>
          <w:szCs w:val="22"/>
        </w:rPr>
        <w:t>minutes</w:t>
      </w:r>
      <w:r w:rsidR="00B631BE" w:rsidRPr="008A0F5B">
        <w:rPr>
          <w:sz w:val="22"/>
          <w:szCs w:val="22"/>
        </w:rPr>
        <w:t xml:space="preserve"> </w:t>
      </w:r>
      <w:r w:rsidR="00C32DAA" w:rsidRPr="008A0F5B">
        <w:rPr>
          <w:sz w:val="22"/>
          <w:szCs w:val="22"/>
        </w:rPr>
        <w:t>available on the</w:t>
      </w:r>
      <w:r w:rsidR="00F12DA4" w:rsidRPr="008A0F5B">
        <w:rPr>
          <w:sz w:val="22"/>
          <w:szCs w:val="22"/>
        </w:rPr>
        <w:t xml:space="preserve"> </w:t>
      </w:r>
      <w:hyperlink r:id="rId16" w:history="1">
        <w:r w:rsidR="00F12DA4" w:rsidRPr="008A0F5B">
          <w:rPr>
            <w:rStyle w:val="Hyperlink"/>
            <w:sz w:val="22"/>
            <w:szCs w:val="22"/>
          </w:rPr>
          <w:t>Bradford Council Minutes website</w:t>
        </w:r>
      </w:hyperlink>
      <w:r w:rsidR="00C32DAA" w:rsidRPr="008A0F5B">
        <w:rPr>
          <w:sz w:val="22"/>
          <w:szCs w:val="22"/>
        </w:rPr>
        <w:t>.</w:t>
      </w:r>
    </w:p>
    <w:p w:rsidR="00A82907" w:rsidRDefault="00A82907" w:rsidP="000F069A">
      <w:pPr>
        <w:jc w:val="both"/>
        <w:rPr>
          <w:sz w:val="22"/>
          <w:szCs w:val="22"/>
        </w:rPr>
      </w:pPr>
      <w:r>
        <w:rPr>
          <w:sz w:val="22"/>
          <w:szCs w:val="22"/>
        </w:rPr>
        <w:t xml:space="preserve"> </w:t>
      </w:r>
    </w:p>
    <w:p w:rsidR="00A82907" w:rsidRDefault="007235B5" w:rsidP="00C968D3">
      <w:pPr>
        <w:jc w:val="both"/>
        <w:rPr>
          <w:sz w:val="22"/>
          <w:szCs w:val="22"/>
        </w:rPr>
      </w:pPr>
      <w:r>
        <w:rPr>
          <w:sz w:val="22"/>
          <w:szCs w:val="22"/>
        </w:rPr>
        <w:t>1.10</w:t>
      </w:r>
      <w:r w:rsidR="00A82907">
        <w:rPr>
          <w:sz w:val="22"/>
          <w:szCs w:val="22"/>
        </w:rPr>
        <w:t xml:space="preserve"> Please note that the </w:t>
      </w:r>
      <w:r w:rsidR="00A82907" w:rsidRPr="00527CFB">
        <w:rPr>
          <w:sz w:val="22"/>
          <w:szCs w:val="22"/>
        </w:rPr>
        <w:t>modelling shown in Appendix 1</w:t>
      </w:r>
      <w:r w:rsidR="00A82907" w:rsidRPr="00527CFB">
        <w:rPr>
          <w:b/>
          <w:bCs/>
          <w:sz w:val="22"/>
          <w:szCs w:val="22"/>
        </w:rPr>
        <w:t xml:space="preserve"> </w:t>
      </w:r>
      <w:r w:rsidR="00A82907" w:rsidRPr="00527CFB">
        <w:rPr>
          <w:sz w:val="22"/>
          <w:szCs w:val="22"/>
        </w:rPr>
        <w:t>is illustrative</w:t>
      </w:r>
      <w:r w:rsidR="00A82907" w:rsidRPr="00D10526">
        <w:rPr>
          <w:sz w:val="22"/>
          <w:szCs w:val="22"/>
        </w:rPr>
        <w:t xml:space="preserve"> only and does not </w:t>
      </w:r>
      <w:r w:rsidR="00A82907">
        <w:rPr>
          <w:sz w:val="22"/>
          <w:szCs w:val="22"/>
        </w:rPr>
        <w:t>represent a final view of 201</w:t>
      </w:r>
      <w:r w:rsidR="00F12DA4">
        <w:rPr>
          <w:sz w:val="22"/>
          <w:szCs w:val="22"/>
        </w:rPr>
        <w:t>6/17</w:t>
      </w:r>
      <w:r w:rsidR="00A82907" w:rsidRPr="00D10526">
        <w:rPr>
          <w:sz w:val="22"/>
          <w:szCs w:val="22"/>
        </w:rPr>
        <w:t xml:space="preserve"> allocation</w:t>
      </w:r>
      <w:r w:rsidR="00A82907">
        <w:rPr>
          <w:sz w:val="22"/>
          <w:szCs w:val="22"/>
        </w:rPr>
        <w:t>s</w:t>
      </w:r>
      <w:r w:rsidR="00A82907" w:rsidRPr="00D10526">
        <w:rPr>
          <w:sz w:val="22"/>
          <w:szCs w:val="22"/>
        </w:rPr>
        <w:t xml:space="preserve"> for each school</w:t>
      </w:r>
      <w:r w:rsidR="00A82907">
        <w:rPr>
          <w:sz w:val="22"/>
          <w:szCs w:val="22"/>
        </w:rPr>
        <w:t xml:space="preserve"> or academy</w:t>
      </w:r>
      <w:r w:rsidR="00A82907" w:rsidRPr="00D10526">
        <w:rPr>
          <w:sz w:val="22"/>
          <w:szCs w:val="22"/>
        </w:rPr>
        <w:t xml:space="preserve">. </w:t>
      </w:r>
      <w:r w:rsidR="00A82907" w:rsidRPr="00933771">
        <w:rPr>
          <w:sz w:val="22"/>
          <w:szCs w:val="22"/>
        </w:rPr>
        <w:t xml:space="preserve">Please see paragraph </w:t>
      </w:r>
      <w:r w:rsidR="008B381E">
        <w:rPr>
          <w:sz w:val="22"/>
          <w:szCs w:val="22"/>
        </w:rPr>
        <w:t>7</w:t>
      </w:r>
      <w:r w:rsidR="00A82907" w:rsidRPr="00933771">
        <w:rPr>
          <w:sz w:val="22"/>
          <w:szCs w:val="22"/>
        </w:rPr>
        <w:t xml:space="preserve"> for</w:t>
      </w:r>
      <w:r w:rsidR="00A82907" w:rsidRPr="00D10526">
        <w:rPr>
          <w:sz w:val="22"/>
          <w:szCs w:val="22"/>
        </w:rPr>
        <w:t xml:space="preserve"> further</w:t>
      </w:r>
      <w:r w:rsidR="00A82907" w:rsidRPr="00896A65">
        <w:rPr>
          <w:sz w:val="22"/>
          <w:szCs w:val="22"/>
        </w:rPr>
        <w:t xml:space="preserve"> explanation</w:t>
      </w:r>
      <w:r w:rsidR="00A82907">
        <w:rPr>
          <w:sz w:val="22"/>
          <w:szCs w:val="22"/>
        </w:rPr>
        <w:t xml:space="preserve"> of what this modelling shows</w:t>
      </w:r>
      <w:r w:rsidR="00A82907" w:rsidRPr="00896A65">
        <w:rPr>
          <w:sz w:val="22"/>
          <w:szCs w:val="22"/>
        </w:rPr>
        <w:t>.</w:t>
      </w:r>
      <w:r w:rsidR="00A82907">
        <w:rPr>
          <w:sz w:val="22"/>
          <w:szCs w:val="22"/>
        </w:rPr>
        <w:t xml:space="preserve"> 201</w:t>
      </w:r>
      <w:r w:rsidR="00F12DA4">
        <w:rPr>
          <w:sz w:val="22"/>
          <w:szCs w:val="22"/>
        </w:rPr>
        <w:t>6/17</w:t>
      </w:r>
      <w:r w:rsidR="00A82907">
        <w:rPr>
          <w:sz w:val="22"/>
          <w:szCs w:val="22"/>
        </w:rPr>
        <w:t xml:space="preserve"> delegated bud</w:t>
      </w:r>
      <w:r w:rsidR="00F12DA4">
        <w:rPr>
          <w:sz w:val="22"/>
          <w:szCs w:val="22"/>
        </w:rPr>
        <w:t>gets are subject to October 2015</w:t>
      </w:r>
      <w:r w:rsidR="00A82907">
        <w:rPr>
          <w:sz w:val="22"/>
          <w:szCs w:val="22"/>
        </w:rPr>
        <w:t xml:space="preserve"> pupil numbers on roll and pupil data, and to overa</w:t>
      </w:r>
      <w:r w:rsidR="00F12DA4">
        <w:rPr>
          <w:sz w:val="22"/>
          <w:szCs w:val="22"/>
        </w:rPr>
        <w:t>ll affordability within the 2016/17</w:t>
      </w:r>
      <w:r w:rsidR="00A82907">
        <w:rPr>
          <w:sz w:val="22"/>
          <w:szCs w:val="22"/>
        </w:rPr>
        <w:t xml:space="preserve"> DSG, taking into account all cost pressures. </w:t>
      </w:r>
      <w:r w:rsidR="00933FD3" w:rsidRPr="00511B2F">
        <w:rPr>
          <w:sz w:val="22"/>
          <w:szCs w:val="22"/>
          <w:u w:val="single"/>
        </w:rPr>
        <w:t>It is very likely that we will be unable to maintain a cash flat position in 2016/17 budgets</w:t>
      </w:r>
      <w:r w:rsidR="00933FD3">
        <w:rPr>
          <w:sz w:val="22"/>
          <w:szCs w:val="22"/>
        </w:rPr>
        <w:t xml:space="preserve">, mainly due to affordability issues with funding for high needs and an overall increase in pupil numbers and data expected in the October </w:t>
      </w:r>
      <w:r w:rsidR="00933FD3" w:rsidRPr="00933771">
        <w:rPr>
          <w:sz w:val="22"/>
          <w:szCs w:val="22"/>
        </w:rPr>
        <w:t xml:space="preserve">census. </w:t>
      </w:r>
      <w:r w:rsidR="00A82907" w:rsidRPr="00933771">
        <w:rPr>
          <w:sz w:val="22"/>
          <w:szCs w:val="22"/>
        </w:rPr>
        <w:t xml:space="preserve">The actual funding position for schools and academies may also be affected by further discussions within the Schools Forum on the relationship between primary and secondary levels of funding, </w:t>
      </w:r>
      <w:r w:rsidR="00511B2F" w:rsidRPr="00933771">
        <w:rPr>
          <w:sz w:val="22"/>
          <w:szCs w:val="22"/>
        </w:rPr>
        <w:t xml:space="preserve">the position against </w:t>
      </w:r>
      <w:r w:rsidR="00A82907" w:rsidRPr="00933771">
        <w:rPr>
          <w:sz w:val="22"/>
          <w:szCs w:val="22"/>
        </w:rPr>
        <w:t xml:space="preserve">other authorities and </w:t>
      </w:r>
      <w:r w:rsidR="00511B2F" w:rsidRPr="00933771">
        <w:rPr>
          <w:sz w:val="22"/>
          <w:szCs w:val="22"/>
        </w:rPr>
        <w:t xml:space="preserve">against </w:t>
      </w:r>
      <w:r w:rsidR="00A82907" w:rsidRPr="00933771">
        <w:rPr>
          <w:sz w:val="22"/>
          <w:szCs w:val="22"/>
        </w:rPr>
        <w:t>national averages</w:t>
      </w:r>
      <w:r w:rsidR="00511B2F" w:rsidRPr="00933771">
        <w:rPr>
          <w:sz w:val="22"/>
          <w:szCs w:val="22"/>
        </w:rPr>
        <w:t>,</w:t>
      </w:r>
      <w:r w:rsidR="003A0A8C" w:rsidRPr="00933771">
        <w:rPr>
          <w:sz w:val="22"/>
          <w:szCs w:val="22"/>
        </w:rPr>
        <w:t xml:space="preserve"> and the values of over or under </w:t>
      </w:r>
      <w:r w:rsidR="00F12DA4" w:rsidRPr="00933771">
        <w:rPr>
          <w:sz w:val="22"/>
          <w:szCs w:val="22"/>
        </w:rPr>
        <w:t xml:space="preserve">spends of specific </w:t>
      </w:r>
      <w:r w:rsidR="00F12DA4" w:rsidRPr="00933771">
        <w:rPr>
          <w:sz w:val="22"/>
          <w:szCs w:val="22"/>
        </w:rPr>
        <w:lastRenderedPageBreak/>
        <w:t>funds in 2015/16</w:t>
      </w:r>
      <w:r w:rsidR="00A82907" w:rsidRPr="00933771">
        <w:rPr>
          <w:sz w:val="22"/>
          <w:szCs w:val="22"/>
        </w:rPr>
        <w:t>. There continues to be no prescribed ratio between primary and second</w:t>
      </w:r>
      <w:r w:rsidR="00F12DA4" w:rsidRPr="00933771">
        <w:rPr>
          <w:sz w:val="22"/>
          <w:szCs w:val="22"/>
        </w:rPr>
        <w:t>ary levels of funding in 2016/17</w:t>
      </w:r>
      <w:r w:rsidR="00A82907" w:rsidRPr="00933771">
        <w:rPr>
          <w:sz w:val="22"/>
          <w:szCs w:val="22"/>
        </w:rPr>
        <w:t>.</w:t>
      </w:r>
    </w:p>
    <w:p w:rsidR="00A82907" w:rsidRDefault="00A82907" w:rsidP="008D29D4">
      <w:pPr>
        <w:jc w:val="both"/>
        <w:rPr>
          <w:sz w:val="22"/>
          <w:szCs w:val="22"/>
        </w:rPr>
      </w:pPr>
    </w:p>
    <w:p w:rsidR="00A82907" w:rsidRPr="0038384C" w:rsidRDefault="007235B5" w:rsidP="00DA0C74">
      <w:pPr>
        <w:jc w:val="both"/>
        <w:rPr>
          <w:sz w:val="22"/>
          <w:szCs w:val="22"/>
        </w:rPr>
      </w:pPr>
      <w:r w:rsidRPr="008A0F5B">
        <w:rPr>
          <w:sz w:val="22"/>
          <w:szCs w:val="22"/>
        </w:rPr>
        <w:t>1.11</w:t>
      </w:r>
      <w:r w:rsidR="00A82907" w:rsidRPr="008A0F5B">
        <w:rPr>
          <w:sz w:val="22"/>
          <w:szCs w:val="22"/>
        </w:rPr>
        <w:t xml:space="preserve"> The deadline for responses to this consultation is </w:t>
      </w:r>
      <w:r w:rsidR="00A82907" w:rsidRPr="008A0F5B">
        <w:rPr>
          <w:b/>
          <w:bCs/>
          <w:sz w:val="22"/>
          <w:szCs w:val="22"/>
        </w:rPr>
        <w:t>Fr</w:t>
      </w:r>
      <w:r w:rsidR="00F12DA4" w:rsidRPr="008A0F5B">
        <w:rPr>
          <w:b/>
          <w:bCs/>
          <w:sz w:val="22"/>
          <w:szCs w:val="22"/>
        </w:rPr>
        <w:t>iday 16</w:t>
      </w:r>
      <w:r w:rsidR="00A82907" w:rsidRPr="008A0F5B">
        <w:rPr>
          <w:b/>
          <w:bCs/>
          <w:sz w:val="22"/>
          <w:szCs w:val="22"/>
        </w:rPr>
        <w:t xml:space="preserve"> October 201</w:t>
      </w:r>
      <w:r w:rsidR="00F12DA4" w:rsidRPr="008A0F5B">
        <w:rPr>
          <w:b/>
          <w:bCs/>
          <w:sz w:val="22"/>
          <w:szCs w:val="22"/>
        </w:rPr>
        <w:t>5</w:t>
      </w:r>
      <w:r w:rsidR="00A82907" w:rsidRPr="008A0F5B">
        <w:rPr>
          <w:sz w:val="22"/>
          <w:szCs w:val="22"/>
        </w:rPr>
        <w:t xml:space="preserve">. </w:t>
      </w:r>
      <w:r w:rsidR="00266CB2" w:rsidRPr="008A0F5B">
        <w:rPr>
          <w:sz w:val="22"/>
          <w:szCs w:val="22"/>
        </w:rPr>
        <w:t>An</w:t>
      </w:r>
      <w:r w:rsidR="00266CB2">
        <w:rPr>
          <w:sz w:val="22"/>
          <w:szCs w:val="22"/>
        </w:rPr>
        <w:t xml:space="preserve"> analysis of responses </w:t>
      </w:r>
      <w:r w:rsidR="0098142E">
        <w:rPr>
          <w:sz w:val="22"/>
          <w:szCs w:val="22"/>
        </w:rPr>
        <w:t xml:space="preserve">received by the deadline </w:t>
      </w:r>
      <w:r w:rsidR="00266CB2">
        <w:rPr>
          <w:sz w:val="22"/>
          <w:szCs w:val="22"/>
        </w:rPr>
        <w:t xml:space="preserve">will then be discussed at the Schools Forum meeting held on 21 October 2015. </w:t>
      </w:r>
      <w:r w:rsidR="00A82907" w:rsidRPr="005A2827">
        <w:rPr>
          <w:sz w:val="22"/>
          <w:szCs w:val="22"/>
        </w:rPr>
        <w:t>Please</w:t>
      </w:r>
      <w:r w:rsidR="00A82907">
        <w:rPr>
          <w:sz w:val="22"/>
          <w:szCs w:val="22"/>
        </w:rPr>
        <w:t xml:space="preserve"> address all questions and responses to either Sarah North 01274 </w:t>
      </w:r>
      <w:r w:rsidR="00F12DA4">
        <w:rPr>
          <w:sz w:val="22"/>
          <w:szCs w:val="22"/>
        </w:rPr>
        <w:t>434173</w:t>
      </w:r>
      <w:r w:rsidR="00A82907">
        <w:rPr>
          <w:sz w:val="22"/>
          <w:szCs w:val="22"/>
        </w:rPr>
        <w:t xml:space="preserve"> </w:t>
      </w:r>
      <w:hyperlink r:id="rId17" w:history="1">
        <w:r w:rsidR="00A82907" w:rsidRPr="009435DC">
          <w:rPr>
            <w:rStyle w:val="Hyperlink"/>
            <w:sz w:val="22"/>
            <w:szCs w:val="22"/>
          </w:rPr>
          <w:t>sarah.north@bradford.gov.uk</w:t>
        </w:r>
      </w:hyperlink>
      <w:r w:rsidR="00A82907">
        <w:rPr>
          <w:b/>
          <w:bCs/>
          <w:color w:val="FF0000"/>
          <w:sz w:val="22"/>
          <w:szCs w:val="22"/>
        </w:rPr>
        <w:t xml:space="preserve"> </w:t>
      </w:r>
      <w:r w:rsidR="00A82907">
        <w:rPr>
          <w:sz w:val="22"/>
          <w:szCs w:val="22"/>
        </w:rPr>
        <w:t xml:space="preserve">or Andrew Redding 01274 </w:t>
      </w:r>
      <w:r w:rsidR="00F12DA4">
        <w:rPr>
          <w:sz w:val="22"/>
          <w:szCs w:val="22"/>
        </w:rPr>
        <w:t>432678</w:t>
      </w:r>
      <w:r w:rsidR="00A82907">
        <w:rPr>
          <w:sz w:val="22"/>
          <w:szCs w:val="22"/>
        </w:rPr>
        <w:t xml:space="preserve"> </w:t>
      </w:r>
      <w:hyperlink r:id="rId18" w:history="1">
        <w:r w:rsidR="00A82907" w:rsidRPr="009435DC">
          <w:rPr>
            <w:rStyle w:val="Hyperlink"/>
            <w:sz w:val="22"/>
            <w:szCs w:val="22"/>
          </w:rPr>
          <w:t>andrew.redding@bradford.gov.uk</w:t>
        </w:r>
      </w:hyperlink>
      <w:r w:rsidR="00A82907">
        <w:rPr>
          <w:sz w:val="22"/>
          <w:szCs w:val="22"/>
        </w:rPr>
        <w:t xml:space="preserve">. </w:t>
      </w:r>
      <w:r w:rsidR="00933771">
        <w:rPr>
          <w:sz w:val="22"/>
          <w:szCs w:val="22"/>
        </w:rPr>
        <w:t xml:space="preserve">A response </w:t>
      </w:r>
      <w:r w:rsidR="00A82907" w:rsidRPr="00527CFB">
        <w:rPr>
          <w:sz w:val="22"/>
          <w:szCs w:val="22"/>
        </w:rPr>
        <w:t xml:space="preserve">form is included </w:t>
      </w:r>
      <w:r w:rsidR="00A82907" w:rsidRPr="00933771">
        <w:rPr>
          <w:sz w:val="22"/>
          <w:szCs w:val="22"/>
        </w:rPr>
        <w:t>at Appendix 3.</w:t>
      </w:r>
    </w:p>
    <w:p w:rsidR="0098142E" w:rsidRDefault="0098142E" w:rsidP="00DA0C74">
      <w:pPr>
        <w:jc w:val="both"/>
        <w:rPr>
          <w:b/>
          <w:bCs/>
          <w:sz w:val="22"/>
          <w:szCs w:val="22"/>
        </w:rPr>
      </w:pPr>
    </w:p>
    <w:p w:rsidR="003C010F" w:rsidRDefault="003C010F" w:rsidP="00DA0C74">
      <w:pPr>
        <w:jc w:val="both"/>
        <w:rPr>
          <w:b/>
          <w:bCs/>
          <w:sz w:val="22"/>
          <w:szCs w:val="22"/>
        </w:rPr>
      </w:pPr>
    </w:p>
    <w:p w:rsidR="00A82907" w:rsidRPr="00991FC9" w:rsidRDefault="00A82907" w:rsidP="00DA0C74">
      <w:pPr>
        <w:jc w:val="both"/>
        <w:rPr>
          <w:sz w:val="22"/>
          <w:szCs w:val="22"/>
        </w:rPr>
      </w:pPr>
      <w:r>
        <w:rPr>
          <w:b/>
          <w:bCs/>
          <w:sz w:val="22"/>
          <w:szCs w:val="22"/>
        </w:rPr>
        <w:t>2</w:t>
      </w:r>
      <w:r w:rsidRPr="00991FC9">
        <w:rPr>
          <w:b/>
          <w:bCs/>
          <w:sz w:val="22"/>
          <w:szCs w:val="22"/>
        </w:rPr>
        <w:t>.</w:t>
      </w:r>
      <w:r w:rsidRPr="00991FC9">
        <w:rPr>
          <w:b/>
          <w:bCs/>
          <w:sz w:val="22"/>
          <w:szCs w:val="22"/>
        </w:rPr>
        <w:tab/>
        <w:t xml:space="preserve">Schools Block - Formulae Factors </w:t>
      </w:r>
      <w:r>
        <w:rPr>
          <w:b/>
          <w:bCs/>
          <w:sz w:val="22"/>
          <w:szCs w:val="22"/>
        </w:rPr>
        <w:t xml:space="preserve">and other </w:t>
      </w:r>
      <w:r w:rsidR="002827DF">
        <w:rPr>
          <w:b/>
          <w:bCs/>
          <w:sz w:val="22"/>
          <w:szCs w:val="22"/>
        </w:rPr>
        <w:t xml:space="preserve">key </w:t>
      </w:r>
      <w:r>
        <w:rPr>
          <w:b/>
          <w:bCs/>
          <w:sz w:val="22"/>
          <w:szCs w:val="22"/>
        </w:rPr>
        <w:t xml:space="preserve">elements </w:t>
      </w:r>
      <w:r w:rsidR="00F12DA4">
        <w:rPr>
          <w:b/>
          <w:bCs/>
          <w:sz w:val="22"/>
          <w:szCs w:val="22"/>
        </w:rPr>
        <w:t>that remain unchanged in 2016/17</w:t>
      </w:r>
    </w:p>
    <w:p w:rsidR="00A82907" w:rsidRPr="00991FC9" w:rsidRDefault="00A82907" w:rsidP="00DA0C74">
      <w:pPr>
        <w:jc w:val="both"/>
        <w:rPr>
          <w:sz w:val="22"/>
          <w:szCs w:val="22"/>
        </w:rPr>
      </w:pPr>
    </w:p>
    <w:p w:rsidR="00A82907" w:rsidRPr="00C42243" w:rsidRDefault="00A82907" w:rsidP="00001B1E">
      <w:pPr>
        <w:jc w:val="both"/>
        <w:rPr>
          <w:sz w:val="22"/>
          <w:szCs w:val="22"/>
        </w:rPr>
      </w:pPr>
      <w:r>
        <w:rPr>
          <w:sz w:val="22"/>
          <w:szCs w:val="22"/>
        </w:rPr>
        <w:t>2</w:t>
      </w:r>
      <w:r w:rsidRPr="00C42243">
        <w:rPr>
          <w:sz w:val="22"/>
          <w:szCs w:val="22"/>
        </w:rPr>
        <w:t xml:space="preserve">.1 The </w:t>
      </w:r>
      <w:r w:rsidR="002827DF">
        <w:rPr>
          <w:sz w:val="22"/>
          <w:szCs w:val="22"/>
        </w:rPr>
        <w:t xml:space="preserve">key </w:t>
      </w:r>
      <w:r w:rsidRPr="00C42243">
        <w:rPr>
          <w:sz w:val="22"/>
          <w:szCs w:val="22"/>
        </w:rPr>
        <w:t>elements of the Schools Block framework that remain the same in 201</w:t>
      </w:r>
      <w:r w:rsidR="00F12DA4">
        <w:rPr>
          <w:sz w:val="22"/>
          <w:szCs w:val="22"/>
        </w:rPr>
        <w:t>6/17</w:t>
      </w:r>
      <w:r w:rsidRPr="00C42243">
        <w:rPr>
          <w:sz w:val="22"/>
          <w:szCs w:val="22"/>
        </w:rPr>
        <w:t xml:space="preserve"> are as follows:</w:t>
      </w:r>
    </w:p>
    <w:p w:rsidR="00A82907" w:rsidRPr="00001B1E" w:rsidRDefault="00A82907" w:rsidP="008722A8">
      <w:pPr>
        <w:numPr>
          <w:ilvl w:val="0"/>
          <w:numId w:val="3"/>
        </w:numPr>
        <w:spacing w:before="120"/>
        <w:ind w:left="357" w:hanging="357"/>
        <w:jc w:val="both"/>
        <w:rPr>
          <w:sz w:val="22"/>
          <w:szCs w:val="22"/>
        </w:rPr>
      </w:pPr>
      <w:r>
        <w:rPr>
          <w:sz w:val="22"/>
          <w:szCs w:val="22"/>
        </w:rPr>
        <w:t xml:space="preserve">Delegated budgets </w:t>
      </w:r>
      <w:r w:rsidRPr="00E33D78">
        <w:rPr>
          <w:sz w:val="22"/>
          <w:szCs w:val="22"/>
        </w:rPr>
        <w:t>will be</w:t>
      </w:r>
      <w:r w:rsidR="00CE63F5" w:rsidRPr="00E33D78">
        <w:rPr>
          <w:sz w:val="22"/>
          <w:szCs w:val="22"/>
        </w:rPr>
        <w:t xml:space="preserve"> calculated on the October (2015</w:t>
      </w:r>
      <w:r w:rsidRPr="00E33D78">
        <w:rPr>
          <w:sz w:val="22"/>
          <w:szCs w:val="22"/>
        </w:rPr>
        <w:t>) Census.</w:t>
      </w:r>
    </w:p>
    <w:p w:rsidR="00A82907" w:rsidRPr="00001B1E" w:rsidRDefault="00A82907" w:rsidP="008722A8">
      <w:pPr>
        <w:numPr>
          <w:ilvl w:val="0"/>
          <w:numId w:val="3"/>
        </w:numPr>
        <w:spacing w:before="120"/>
        <w:ind w:left="357" w:hanging="357"/>
        <w:jc w:val="both"/>
        <w:rPr>
          <w:sz w:val="22"/>
          <w:szCs w:val="22"/>
        </w:rPr>
      </w:pPr>
      <w:r w:rsidRPr="00E33D78">
        <w:rPr>
          <w:sz w:val="22"/>
          <w:szCs w:val="22"/>
        </w:rPr>
        <w:t xml:space="preserve">The simplified primary and secondary funding formulae arrangements continue, based on 13 allowable factors, plus exceptional premises factors individually approved by the </w:t>
      </w:r>
      <w:r w:rsidR="00E33D78" w:rsidRPr="00E33D78">
        <w:rPr>
          <w:sz w:val="22"/>
          <w:szCs w:val="22"/>
        </w:rPr>
        <w:t>EFA. As was the case for 2015/16</w:t>
      </w:r>
      <w:r w:rsidRPr="00E33D78">
        <w:rPr>
          <w:sz w:val="22"/>
          <w:szCs w:val="22"/>
        </w:rPr>
        <w:t>, two of these factors (the basic amount per pupil and a deprivation factor) are mandatory. The remaining factors are optional. Local authorities continue only to have limited choices in how these factors operate.</w:t>
      </w:r>
    </w:p>
    <w:p w:rsidR="00A82907" w:rsidRPr="00001B1E" w:rsidRDefault="00A82907" w:rsidP="008722A8">
      <w:pPr>
        <w:numPr>
          <w:ilvl w:val="0"/>
          <w:numId w:val="3"/>
        </w:numPr>
        <w:spacing w:before="120"/>
        <w:ind w:left="357" w:hanging="357"/>
        <w:jc w:val="both"/>
        <w:rPr>
          <w:sz w:val="22"/>
          <w:szCs w:val="22"/>
        </w:rPr>
      </w:pPr>
      <w:r w:rsidRPr="00E33D78">
        <w:rPr>
          <w:sz w:val="22"/>
          <w:szCs w:val="22"/>
        </w:rPr>
        <w:t xml:space="preserve">Local authorities must allocate at least 80% of the delegated schools block funding through the pupil-led factors, which include the base amount per pupil, deprivation, prior attainment, English as an additional language, pupil mobility and looked after children factors. We </w:t>
      </w:r>
      <w:r w:rsidR="00A00A48" w:rsidRPr="00E33D78">
        <w:rPr>
          <w:sz w:val="22"/>
          <w:szCs w:val="22"/>
        </w:rPr>
        <w:t xml:space="preserve">allocated </w:t>
      </w:r>
      <w:r w:rsidR="008C1235">
        <w:rPr>
          <w:sz w:val="22"/>
          <w:szCs w:val="22"/>
        </w:rPr>
        <w:t>89.02</w:t>
      </w:r>
      <w:r w:rsidRPr="00E33D78">
        <w:rPr>
          <w:sz w:val="22"/>
          <w:szCs w:val="22"/>
        </w:rPr>
        <w:t>% of the delegated schools block funding v</w:t>
      </w:r>
      <w:r w:rsidR="00E33D78" w:rsidRPr="00E33D78">
        <w:rPr>
          <w:sz w:val="22"/>
          <w:szCs w:val="22"/>
        </w:rPr>
        <w:t>ia the pupil-led factors in 2015/16</w:t>
      </w:r>
      <w:r w:rsidRPr="00E33D78">
        <w:rPr>
          <w:sz w:val="22"/>
          <w:szCs w:val="22"/>
        </w:rPr>
        <w:t xml:space="preserve">, and the modelling included in this consultation indicates that we are currently </w:t>
      </w:r>
      <w:r w:rsidRPr="00BE1E7D">
        <w:rPr>
          <w:sz w:val="22"/>
          <w:szCs w:val="22"/>
        </w:rPr>
        <w:t xml:space="preserve">allocating </w:t>
      </w:r>
      <w:r w:rsidR="00894BC8" w:rsidRPr="00BE1E7D">
        <w:rPr>
          <w:sz w:val="22"/>
          <w:szCs w:val="22"/>
        </w:rPr>
        <w:t>8</w:t>
      </w:r>
      <w:r w:rsidR="00BE1E7D" w:rsidRPr="00BE1E7D">
        <w:rPr>
          <w:sz w:val="22"/>
          <w:szCs w:val="22"/>
        </w:rPr>
        <w:t>9.0</w:t>
      </w:r>
      <w:r w:rsidR="00881FA3">
        <w:rPr>
          <w:sz w:val="22"/>
          <w:szCs w:val="22"/>
        </w:rPr>
        <w:t>9</w:t>
      </w:r>
      <w:r w:rsidR="00E33D78" w:rsidRPr="00E33D78">
        <w:rPr>
          <w:sz w:val="22"/>
          <w:szCs w:val="22"/>
        </w:rPr>
        <w:t>% in 2016/17</w:t>
      </w:r>
      <w:r w:rsidRPr="00E33D78">
        <w:rPr>
          <w:sz w:val="22"/>
          <w:szCs w:val="22"/>
        </w:rPr>
        <w:t>.</w:t>
      </w:r>
    </w:p>
    <w:p w:rsidR="00A82907" w:rsidRPr="00001B1E" w:rsidRDefault="00A82907" w:rsidP="008722A8">
      <w:pPr>
        <w:numPr>
          <w:ilvl w:val="0"/>
          <w:numId w:val="3"/>
        </w:numPr>
        <w:spacing w:before="120"/>
        <w:ind w:left="357" w:hanging="357"/>
        <w:jc w:val="both"/>
        <w:rPr>
          <w:sz w:val="22"/>
          <w:szCs w:val="22"/>
        </w:rPr>
      </w:pPr>
      <w:r w:rsidRPr="00E33D78">
        <w:rPr>
          <w:sz w:val="22"/>
          <w:szCs w:val="22"/>
        </w:rPr>
        <w:t xml:space="preserve">The Minimum Funding Guarantee (MFG) continues to be the only protection mechanism available for individual school and academy allocations </w:t>
      </w:r>
      <w:r w:rsidR="00E33D78" w:rsidRPr="00E33D78">
        <w:rPr>
          <w:sz w:val="22"/>
          <w:szCs w:val="22"/>
        </w:rPr>
        <w:t>and is set at MINUS 1.5% in 2016/17</w:t>
      </w:r>
      <w:r w:rsidRPr="00E33D78">
        <w:rPr>
          <w:sz w:val="22"/>
          <w:szCs w:val="22"/>
        </w:rPr>
        <w:t xml:space="preserve">. We would expect then that, all other elements being the same, the budget of a school or academy on the MFG in this current financial </w:t>
      </w:r>
      <w:r w:rsidR="00E33D78" w:rsidRPr="00E33D78">
        <w:rPr>
          <w:sz w:val="22"/>
          <w:szCs w:val="22"/>
        </w:rPr>
        <w:t>year will reduce by 1.5% in 2016/17</w:t>
      </w:r>
      <w:r w:rsidRPr="00E33D78">
        <w:rPr>
          <w:sz w:val="22"/>
          <w:szCs w:val="22"/>
        </w:rPr>
        <w:t>.</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 applicati</w:t>
      </w:r>
      <w:r w:rsidR="00E33D78" w:rsidRPr="00E33D78">
        <w:rPr>
          <w:sz w:val="22"/>
          <w:szCs w:val="22"/>
        </w:rPr>
        <w:t>on of a ceiling (or cap) in 2016/17</w:t>
      </w:r>
      <w:r w:rsidRPr="00E33D78">
        <w:rPr>
          <w:sz w:val="22"/>
          <w:szCs w:val="22"/>
        </w:rPr>
        <w:t xml:space="preserve"> to pay for the cost of the MFG protection for losing schools and academies will continue; this will cap the gains of the winning schools and academies so that they do not gain more than a specified % of funding per pupil. As the cost of the MFG reduces year on year, we would expect the value of the cap to also reduce.</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There continues to be no prescribed constraint on the primary to secondary funding ratio (the distribution of formula funding between phases).</w:t>
      </w:r>
    </w:p>
    <w:p w:rsidR="00A82907" w:rsidRPr="00001B1E" w:rsidRDefault="00A82907" w:rsidP="008722A8">
      <w:pPr>
        <w:numPr>
          <w:ilvl w:val="0"/>
          <w:numId w:val="3"/>
        </w:numPr>
        <w:spacing w:before="120"/>
        <w:ind w:left="357" w:hanging="357"/>
        <w:jc w:val="both"/>
        <w:rPr>
          <w:sz w:val="22"/>
          <w:szCs w:val="22"/>
        </w:rPr>
      </w:pPr>
      <w:r w:rsidRPr="00E33D78">
        <w:rPr>
          <w:sz w:val="22"/>
          <w:szCs w:val="22"/>
        </w:rPr>
        <w:t>The strict restrictions on centrally managed funds continue and no new central commitments are permitted without Secretary of State approval. This continues to ensure maximum delegation of the DSG to schools and academies at the start of the financial year.</w:t>
      </w:r>
    </w:p>
    <w:p w:rsidR="00AA5E6D" w:rsidRPr="00FE2DDA" w:rsidRDefault="00A82907" w:rsidP="008722A8">
      <w:pPr>
        <w:numPr>
          <w:ilvl w:val="0"/>
          <w:numId w:val="3"/>
        </w:numPr>
        <w:spacing w:before="120"/>
        <w:ind w:left="357" w:hanging="357"/>
        <w:jc w:val="both"/>
        <w:rPr>
          <w:sz w:val="22"/>
          <w:szCs w:val="22"/>
        </w:rPr>
      </w:pPr>
      <w:r w:rsidRPr="00E33D78">
        <w:rPr>
          <w:sz w:val="22"/>
          <w:szCs w:val="22"/>
        </w:rPr>
        <w:t xml:space="preserve">A small number of named ‘de-delegated’ funds are still permitted for maintained schools. The decisions on the holding of ‘de-delegated’ funds will continue to be made by the Schools Forum on a phase by </w:t>
      </w:r>
      <w:r w:rsidRPr="00FE2DDA">
        <w:rPr>
          <w:sz w:val="22"/>
          <w:szCs w:val="22"/>
        </w:rPr>
        <w:t>phase basis. Once these decisions are taken, they apply to all schools within ea</w:t>
      </w:r>
      <w:r w:rsidR="008A06CE">
        <w:rPr>
          <w:sz w:val="22"/>
          <w:szCs w:val="22"/>
        </w:rPr>
        <w:t>ch phase. Please see paragraph 4</w:t>
      </w:r>
      <w:r w:rsidRPr="00FE2DDA">
        <w:rPr>
          <w:sz w:val="22"/>
          <w:szCs w:val="22"/>
        </w:rPr>
        <w:t xml:space="preserve"> for more information. De-delegation is not an option for academies and free schools, but where de-delegation has been agreed for maintained primary and secondary schools, the local authority may offer the service on a buy-back basis to academies and free schools.</w:t>
      </w:r>
    </w:p>
    <w:p w:rsidR="00FE2DDA" w:rsidRDefault="00A82907" w:rsidP="008722A8">
      <w:pPr>
        <w:numPr>
          <w:ilvl w:val="0"/>
          <w:numId w:val="3"/>
        </w:numPr>
        <w:spacing w:before="120"/>
        <w:ind w:left="357" w:hanging="357"/>
        <w:jc w:val="both"/>
        <w:rPr>
          <w:sz w:val="22"/>
          <w:szCs w:val="22"/>
        </w:rPr>
      </w:pPr>
      <w:r w:rsidRPr="00FE2DDA">
        <w:rPr>
          <w:sz w:val="22"/>
          <w:szCs w:val="22"/>
        </w:rPr>
        <w:t xml:space="preserve">A small number of named ‘contingencies’ are also still permitted. Please see </w:t>
      </w:r>
      <w:r w:rsidR="008A06CE">
        <w:rPr>
          <w:sz w:val="22"/>
          <w:szCs w:val="22"/>
        </w:rPr>
        <w:t>paragraph 5</w:t>
      </w:r>
      <w:r w:rsidRPr="00FE2DDA">
        <w:rPr>
          <w:sz w:val="22"/>
          <w:szCs w:val="22"/>
        </w:rPr>
        <w:t>. Funding for expanding schools and academies and bulge classes, as well as safeguarded salaries remaining from previous re-organisations, will continue to be funded as contingency items.</w:t>
      </w:r>
    </w:p>
    <w:p w:rsidR="00A82907" w:rsidRPr="00FE2DDA" w:rsidRDefault="00E33D78" w:rsidP="008722A8">
      <w:pPr>
        <w:numPr>
          <w:ilvl w:val="0"/>
          <w:numId w:val="3"/>
        </w:numPr>
        <w:spacing w:before="120"/>
        <w:ind w:left="357" w:hanging="357"/>
        <w:jc w:val="both"/>
        <w:rPr>
          <w:sz w:val="22"/>
          <w:szCs w:val="22"/>
        </w:rPr>
      </w:pPr>
      <w:r w:rsidRPr="00FE2DDA">
        <w:rPr>
          <w:sz w:val="22"/>
          <w:szCs w:val="22"/>
        </w:rPr>
        <w:t>The 2015/16</w:t>
      </w:r>
      <w:r w:rsidR="00A82907" w:rsidRPr="00FE2DDA">
        <w:rPr>
          <w:sz w:val="22"/>
          <w:szCs w:val="22"/>
        </w:rPr>
        <w:t xml:space="preserve"> framework for the funding of High Needs pupils continues. A High Needs pupil is still defined, for financial purposes, as one whose education costs more than £10,000 per year. The first elements of funding for High Needs pupils continue to be already delegated within budget shares. A top up is then allocated separately, on a monthly basis, for the cost of additional support above the £6,000 threshold. A ‘notional’ SEN budget will still be defined within budget shares. </w:t>
      </w:r>
      <w:r w:rsidR="0038384C" w:rsidRPr="00FE2DDA">
        <w:rPr>
          <w:sz w:val="22"/>
          <w:szCs w:val="22"/>
        </w:rPr>
        <w:t xml:space="preserve">Schools and academies with resourced provisions will continue to have their number of funded places removed from their number of pupils funded under the primary or secondary formula; for 2016/17 the number of 2015/16 academic year funded places will be deducted from the school’s number on roll in October 2015. </w:t>
      </w:r>
      <w:r w:rsidR="00A82907" w:rsidRPr="00FE2DDA">
        <w:rPr>
          <w:sz w:val="22"/>
          <w:szCs w:val="22"/>
        </w:rPr>
        <w:t xml:space="preserve">The Authority can still employ the ‘SEN Funding Floor’, which supports the costs in schools and academies with higher levels of SEN but where the normal funding formulae does not allocate sufficient resources. </w:t>
      </w:r>
      <w:r w:rsidRPr="00FE2DDA">
        <w:rPr>
          <w:sz w:val="22"/>
          <w:szCs w:val="22"/>
        </w:rPr>
        <w:t xml:space="preserve">The </w:t>
      </w:r>
      <w:r w:rsidR="00F70DDF" w:rsidRPr="00FE2DDA">
        <w:rPr>
          <w:sz w:val="22"/>
          <w:szCs w:val="22"/>
        </w:rPr>
        <w:t>lump sum element</w:t>
      </w:r>
      <w:r w:rsidRPr="00FE2DDA">
        <w:rPr>
          <w:sz w:val="22"/>
          <w:szCs w:val="22"/>
        </w:rPr>
        <w:t xml:space="preserve"> of the SEN Funding Floor was increased in 2015/16</w:t>
      </w:r>
      <w:r w:rsidR="00F70DDF" w:rsidRPr="00FE2DDA">
        <w:rPr>
          <w:sz w:val="22"/>
          <w:szCs w:val="22"/>
        </w:rPr>
        <w:t xml:space="preserve"> for both primary and secondary schools and academies. </w:t>
      </w:r>
    </w:p>
    <w:p w:rsidR="00A82907" w:rsidRPr="00001B1E" w:rsidRDefault="00A82907" w:rsidP="008722A8">
      <w:pPr>
        <w:numPr>
          <w:ilvl w:val="0"/>
          <w:numId w:val="3"/>
        </w:numPr>
        <w:spacing w:before="120"/>
        <w:ind w:left="357" w:hanging="357"/>
        <w:jc w:val="both"/>
        <w:rPr>
          <w:sz w:val="22"/>
          <w:szCs w:val="22"/>
        </w:rPr>
      </w:pPr>
      <w:r w:rsidRPr="007B10B8">
        <w:rPr>
          <w:sz w:val="22"/>
          <w:szCs w:val="22"/>
        </w:rPr>
        <w:t>The Pupil Pr</w:t>
      </w:r>
      <w:r w:rsidR="007B10B8" w:rsidRPr="007B10B8">
        <w:rPr>
          <w:sz w:val="22"/>
          <w:szCs w:val="22"/>
        </w:rPr>
        <w:t>emium is set to continue in 2016/17,</w:t>
      </w:r>
      <w:r w:rsidRPr="007B10B8">
        <w:rPr>
          <w:sz w:val="22"/>
          <w:szCs w:val="22"/>
        </w:rPr>
        <w:t xml:space="preserve"> still as a separate grant allocation to schools and acad</w:t>
      </w:r>
      <w:r w:rsidR="00FE2DDA">
        <w:rPr>
          <w:sz w:val="22"/>
          <w:szCs w:val="22"/>
        </w:rPr>
        <w:t>emies. We anticipate that this g</w:t>
      </w:r>
      <w:r w:rsidRPr="007B10B8">
        <w:rPr>
          <w:sz w:val="22"/>
          <w:szCs w:val="22"/>
        </w:rPr>
        <w:t xml:space="preserve">rant will continue to be based on Ever 6 FSM numbers, Ever </w:t>
      </w:r>
      <w:r w:rsidR="00C81598">
        <w:rPr>
          <w:sz w:val="22"/>
          <w:szCs w:val="22"/>
        </w:rPr>
        <w:t>5</w:t>
      </w:r>
      <w:r w:rsidRPr="007B10B8">
        <w:rPr>
          <w:sz w:val="22"/>
          <w:szCs w:val="22"/>
        </w:rPr>
        <w:t xml:space="preserve"> Service Children, Looked After Children and Children Adopted from Care. Unlike formula funding, the Pupil Premium Grant is allocated on January Census pupil numbers. The Pupil Premium is currently set at </w:t>
      </w:r>
      <w:r w:rsidR="008D58A2" w:rsidRPr="008D58A2">
        <w:rPr>
          <w:sz w:val="22"/>
          <w:szCs w:val="22"/>
        </w:rPr>
        <w:t>£1,32</w:t>
      </w:r>
      <w:r w:rsidRPr="008D58A2">
        <w:rPr>
          <w:sz w:val="22"/>
          <w:szCs w:val="22"/>
        </w:rPr>
        <w:t>0 for primary-aged and £935 for secondary-aged pupils</w:t>
      </w:r>
      <w:r w:rsidRPr="007B10B8">
        <w:rPr>
          <w:sz w:val="22"/>
          <w:szCs w:val="22"/>
        </w:rPr>
        <w:t xml:space="preserve"> eligible under the ever-6 FSM criteria. Children who are lo</w:t>
      </w:r>
      <w:r w:rsidR="00C81598">
        <w:rPr>
          <w:sz w:val="22"/>
          <w:szCs w:val="22"/>
        </w:rPr>
        <w:t>oked after or adopted from care</w:t>
      </w:r>
      <w:r w:rsidRPr="007B10B8">
        <w:rPr>
          <w:sz w:val="22"/>
          <w:szCs w:val="22"/>
        </w:rPr>
        <w:t xml:space="preserve"> currently are allocated £1,900, and service children are allocated £300. </w:t>
      </w:r>
      <w:r w:rsidR="007B10B8" w:rsidRPr="007B10B8">
        <w:rPr>
          <w:sz w:val="22"/>
          <w:szCs w:val="22"/>
        </w:rPr>
        <w:t>The Pupil Premium rates for 2016/17</w:t>
      </w:r>
      <w:r w:rsidRPr="007B10B8">
        <w:rPr>
          <w:sz w:val="22"/>
          <w:szCs w:val="22"/>
        </w:rPr>
        <w:t xml:space="preserve"> h</w:t>
      </w:r>
      <w:r w:rsidR="007B10B8">
        <w:rPr>
          <w:sz w:val="22"/>
          <w:szCs w:val="22"/>
        </w:rPr>
        <w:t xml:space="preserve">ave not yet been confirmed, but are expected to be at least equivalent to </w:t>
      </w:r>
      <w:r w:rsidR="00F973BF">
        <w:rPr>
          <w:sz w:val="22"/>
          <w:szCs w:val="22"/>
        </w:rPr>
        <w:t>the rates in 2015/16.</w:t>
      </w:r>
      <w:r w:rsidR="000D2C4E">
        <w:rPr>
          <w:sz w:val="22"/>
          <w:szCs w:val="22"/>
        </w:rPr>
        <w:t xml:space="preserve">       </w:t>
      </w:r>
    </w:p>
    <w:p w:rsidR="00A82907" w:rsidRPr="000D2C4E" w:rsidRDefault="00A82907" w:rsidP="008722A8">
      <w:pPr>
        <w:numPr>
          <w:ilvl w:val="0"/>
          <w:numId w:val="3"/>
        </w:numPr>
        <w:spacing w:before="120"/>
        <w:ind w:left="357" w:hanging="357"/>
        <w:jc w:val="both"/>
        <w:rPr>
          <w:sz w:val="22"/>
          <w:szCs w:val="22"/>
        </w:rPr>
      </w:pPr>
      <w:r w:rsidRPr="000D2C4E">
        <w:rPr>
          <w:sz w:val="22"/>
          <w:szCs w:val="22"/>
        </w:rPr>
        <w:t>Allocations for academies and free schools will continue to be paid directly by the EFA. The EFA will use the pro-forma submitted by the Authority to calculate individual allocations.</w:t>
      </w:r>
    </w:p>
    <w:p w:rsidR="00A82907" w:rsidRDefault="00A82907" w:rsidP="008D29D4">
      <w:pPr>
        <w:jc w:val="both"/>
        <w:rPr>
          <w:b/>
          <w:bCs/>
          <w:sz w:val="22"/>
          <w:szCs w:val="22"/>
          <w:highlight w:val="yellow"/>
        </w:rPr>
      </w:pPr>
    </w:p>
    <w:p w:rsidR="00FF63C7" w:rsidRPr="00CE63F5" w:rsidRDefault="00FF63C7" w:rsidP="00612E39">
      <w:pPr>
        <w:jc w:val="both"/>
        <w:rPr>
          <w:b/>
          <w:bCs/>
          <w:sz w:val="22"/>
          <w:szCs w:val="22"/>
          <w:highlight w:val="yellow"/>
        </w:rPr>
      </w:pPr>
    </w:p>
    <w:p w:rsidR="00A82907" w:rsidRPr="001515BC" w:rsidRDefault="008A06CE" w:rsidP="00612E39">
      <w:pPr>
        <w:jc w:val="both"/>
        <w:rPr>
          <w:sz w:val="22"/>
          <w:szCs w:val="22"/>
        </w:rPr>
      </w:pPr>
      <w:r>
        <w:rPr>
          <w:b/>
          <w:bCs/>
          <w:sz w:val="22"/>
          <w:szCs w:val="22"/>
        </w:rPr>
        <w:t>3</w:t>
      </w:r>
      <w:r w:rsidR="00933FD3" w:rsidRPr="001515BC">
        <w:rPr>
          <w:b/>
          <w:bCs/>
          <w:sz w:val="22"/>
          <w:szCs w:val="22"/>
        </w:rPr>
        <w:t>.</w:t>
      </w:r>
      <w:r w:rsidR="00933FD3" w:rsidRPr="001515BC">
        <w:rPr>
          <w:b/>
          <w:bCs/>
          <w:sz w:val="22"/>
          <w:szCs w:val="22"/>
        </w:rPr>
        <w:tab/>
        <w:t>Summary of 2016/17</w:t>
      </w:r>
      <w:r w:rsidR="00A82907" w:rsidRPr="001515BC">
        <w:rPr>
          <w:b/>
          <w:bCs/>
          <w:sz w:val="22"/>
          <w:szCs w:val="22"/>
        </w:rPr>
        <w:t xml:space="preserve"> Proposed Formulae</w:t>
      </w:r>
    </w:p>
    <w:p w:rsidR="006E413F" w:rsidRPr="001515BC" w:rsidRDefault="006E413F" w:rsidP="00612E39">
      <w:pPr>
        <w:jc w:val="both"/>
        <w:rPr>
          <w:color w:val="FF0000"/>
          <w:sz w:val="22"/>
          <w:szCs w:val="22"/>
        </w:rPr>
      </w:pPr>
    </w:p>
    <w:p w:rsidR="00E724F4" w:rsidRPr="001515BC" w:rsidRDefault="008A06CE" w:rsidP="00612E39">
      <w:pPr>
        <w:jc w:val="both"/>
        <w:rPr>
          <w:sz w:val="22"/>
          <w:szCs w:val="22"/>
        </w:rPr>
      </w:pPr>
      <w:r>
        <w:rPr>
          <w:sz w:val="22"/>
          <w:szCs w:val="22"/>
        </w:rPr>
        <w:t>3</w:t>
      </w:r>
      <w:r w:rsidR="00A82907" w:rsidRPr="001515BC">
        <w:rPr>
          <w:sz w:val="22"/>
          <w:szCs w:val="22"/>
        </w:rPr>
        <w:t>.</w:t>
      </w:r>
      <w:r w:rsidR="0068569E" w:rsidRPr="001515BC">
        <w:rPr>
          <w:sz w:val="22"/>
          <w:szCs w:val="22"/>
        </w:rPr>
        <w:t>1</w:t>
      </w:r>
      <w:r w:rsidR="00A82907" w:rsidRPr="001515BC">
        <w:rPr>
          <w:sz w:val="22"/>
          <w:szCs w:val="22"/>
        </w:rPr>
        <w:t xml:space="preserve"> On </w:t>
      </w:r>
      <w:r w:rsidR="00933FD3" w:rsidRPr="001515BC">
        <w:rPr>
          <w:sz w:val="22"/>
          <w:szCs w:val="22"/>
        </w:rPr>
        <w:t xml:space="preserve">the basis of </w:t>
      </w:r>
      <w:r w:rsidR="006E37FC">
        <w:rPr>
          <w:sz w:val="22"/>
          <w:szCs w:val="22"/>
        </w:rPr>
        <w:t>not making any structural changes to</w:t>
      </w:r>
      <w:r w:rsidR="00933FD3" w:rsidRPr="001515BC">
        <w:rPr>
          <w:sz w:val="22"/>
          <w:szCs w:val="22"/>
        </w:rPr>
        <w:t xml:space="preserve"> the 2015/16</w:t>
      </w:r>
      <w:r w:rsidR="00A82907" w:rsidRPr="001515BC">
        <w:rPr>
          <w:sz w:val="22"/>
          <w:szCs w:val="22"/>
        </w:rPr>
        <w:t xml:space="preserve"> agreed formula, the table below summarises the formulae factors, and the indi</w:t>
      </w:r>
      <w:r w:rsidR="00145FE1" w:rsidRPr="001515BC">
        <w:rPr>
          <w:sz w:val="22"/>
          <w:szCs w:val="22"/>
        </w:rPr>
        <w:t xml:space="preserve">cative values of these factors </w:t>
      </w:r>
      <w:r w:rsidR="00933FD3" w:rsidRPr="001515BC">
        <w:rPr>
          <w:sz w:val="22"/>
          <w:szCs w:val="22"/>
        </w:rPr>
        <w:t>in 2016/17</w:t>
      </w:r>
      <w:r w:rsidR="00145FE1" w:rsidRPr="001515BC">
        <w:rPr>
          <w:sz w:val="22"/>
          <w:szCs w:val="22"/>
        </w:rPr>
        <w:t xml:space="preserve"> as these currently stand</w:t>
      </w:r>
      <w:r w:rsidR="00A82907" w:rsidRPr="001515BC">
        <w:rPr>
          <w:sz w:val="22"/>
          <w:szCs w:val="22"/>
        </w:rPr>
        <w:t xml:space="preserve">. The pro-forma shown in Appendix 2 provides further explanation on the basis of the calculations. Please note that the values of factors </w:t>
      </w:r>
      <w:r w:rsidR="00E431AD" w:rsidRPr="001515BC">
        <w:rPr>
          <w:sz w:val="22"/>
          <w:szCs w:val="22"/>
        </w:rPr>
        <w:t xml:space="preserve">shown </w:t>
      </w:r>
      <w:r w:rsidR="004570DD" w:rsidRPr="001515BC">
        <w:rPr>
          <w:sz w:val="22"/>
          <w:szCs w:val="22"/>
        </w:rPr>
        <w:t xml:space="preserve">below </w:t>
      </w:r>
      <w:r w:rsidR="00A82907" w:rsidRPr="001515BC">
        <w:rPr>
          <w:sz w:val="22"/>
          <w:szCs w:val="22"/>
        </w:rPr>
        <w:t xml:space="preserve">are subject to change, </w:t>
      </w:r>
      <w:r w:rsidR="00E724F4">
        <w:rPr>
          <w:sz w:val="22"/>
          <w:szCs w:val="22"/>
        </w:rPr>
        <w:t>and are very likely to decrease due to cost pressures in the High Needs block and due to an overall growth in pupil data expected</w:t>
      </w:r>
      <w:r>
        <w:rPr>
          <w:sz w:val="22"/>
          <w:szCs w:val="22"/>
        </w:rPr>
        <w:t xml:space="preserve"> to be recorded in the October C</w:t>
      </w:r>
      <w:r w:rsidR="00E724F4">
        <w:rPr>
          <w:sz w:val="22"/>
          <w:szCs w:val="22"/>
        </w:rPr>
        <w:t>ensus</w:t>
      </w:r>
      <w:r w:rsidR="004570DD" w:rsidRPr="001515BC">
        <w:rPr>
          <w:sz w:val="22"/>
          <w:szCs w:val="22"/>
        </w:rPr>
        <w:t>; the Schools Forum will make final recommendations in Jan</w:t>
      </w:r>
      <w:r w:rsidR="001515BC" w:rsidRPr="001515BC">
        <w:rPr>
          <w:sz w:val="22"/>
          <w:szCs w:val="22"/>
        </w:rPr>
        <w:t>uary 2016, once the October 2015</w:t>
      </w:r>
      <w:r w:rsidR="004570DD" w:rsidRPr="001515BC">
        <w:rPr>
          <w:sz w:val="22"/>
          <w:szCs w:val="22"/>
        </w:rPr>
        <w:t xml:space="preserve"> Dataset is available and the DSG is confirmed</w:t>
      </w:r>
      <w:r w:rsidR="00F42D41" w:rsidRPr="001515BC">
        <w:rPr>
          <w:sz w:val="22"/>
          <w:szCs w:val="22"/>
        </w:rPr>
        <w:t>.</w:t>
      </w:r>
      <w:r w:rsidR="00E724F4">
        <w:rPr>
          <w:sz w:val="22"/>
          <w:szCs w:val="22"/>
        </w:rPr>
        <w:t xml:space="preserve"> </w:t>
      </w:r>
    </w:p>
    <w:p w:rsidR="0098142E" w:rsidRPr="001515BC" w:rsidRDefault="0098142E" w:rsidP="00612E39">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2722"/>
        <w:gridCol w:w="2722"/>
      </w:tblGrid>
      <w:tr w:rsidR="00A82907" w:rsidRPr="001515BC" w:rsidTr="001515BC">
        <w:trPr>
          <w:trHeight w:val="599"/>
          <w:jc w:val="center"/>
        </w:trPr>
        <w:tc>
          <w:tcPr>
            <w:tcW w:w="4223" w:type="dxa"/>
            <w:shd w:val="clear" w:color="auto" w:fill="auto"/>
          </w:tcPr>
          <w:p w:rsidR="00A82907" w:rsidRPr="001515BC" w:rsidRDefault="004570DD" w:rsidP="005B1B64">
            <w:pPr>
              <w:jc w:val="both"/>
              <w:rPr>
                <w:b/>
                <w:bCs/>
                <w:sz w:val="22"/>
                <w:szCs w:val="22"/>
              </w:rPr>
            </w:pPr>
            <w:r w:rsidRPr="001515BC">
              <w:rPr>
                <w:sz w:val="22"/>
                <w:szCs w:val="22"/>
              </w:rPr>
              <w:t xml:space="preserve"> </w:t>
            </w:r>
            <w:r w:rsidR="00A82907" w:rsidRPr="001515BC">
              <w:rPr>
                <w:b/>
                <w:bCs/>
                <w:sz w:val="22"/>
                <w:szCs w:val="22"/>
              </w:rPr>
              <w:t>Formula Factor</w:t>
            </w:r>
          </w:p>
        </w:tc>
        <w:tc>
          <w:tcPr>
            <w:tcW w:w="2722" w:type="dxa"/>
            <w:shd w:val="clear" w:color="auto" w:fill="auto"/>
          </w:tcPr>
          <w:p w:rsidR="00A82907" w:rsidRPr="001515BC" w:rsidRDefault="00A82907" w:rsidP="005B1B64">
            <w:pPr>
              <w:jc w:val="right"/>
              <w:rPr>
                <w:b/>
                <w:bCs/>
                <w:sz w:val="22"/>
                <w:szCs w:val="22"/>
              </w:rPr>
            </w:pPr>
            <w:r w:rsidRPr="001515BC">
              <w:rPr>
                <w:b/>
                <w:bCs/>
                <w:sz w:val="22"/>
                <w:szCs w:val="22"/>
              </w:rPr>
              <w:t>Indic</w:t>
            </w:r>
            <w:r w:rsidR="001515BC" w:rsidRPr="001515BC">
              <w:rPr>
                <w:b/>
                <w:bCs/>
                <w:sz w:val="22"/>
                <w:szCs w:val="22"/>
              </w:rPr>
              <w:t>ative Primary Unit Value £ (2016/17</w:t>
            </w:r>
            <w:r w:rsidRPr="001515BC">
              <w:rPr>
                <w:b/>
                <w:bCs/>
                <w:sz w:val="22"/>
                <w:szCs w:val="22"/>
              </w:rPr>
              <w:t>)</w:t>
            </w:r>
          </w:p>
        </w:tc>
        <w:tc>
          <w:tcPr>
            <w:tcW w:w="2722" w:type="dxa"/>
            <w:shd w:val="clear" w:color="auto" w:fill="auto"/>
          </w:tcPr>
          <w:p w:rsidR="00A82907" w:rsidRPr="001515BC" w:rsidRDefault="00A82907" w:rsidP="005B1B64">
            <w:pPr>
              <w:jc w:val="right"/>
              <w:rPr>
                <w:b/>
                <w:bCs/>
                <w:sz w:val="22"/>
                <w:szCs w:val="22"/>
              </w:rPr>
            </w:pPr>
            <w:r w:rsidRPr="001515BC">
              <w:rPr>
                <w:b/>
                <w:bCs/>
                <w:sz w:val="22"/>
                <w:szCs w:val="22"/>
              </w:rPr>
              <w:t>Indicat</w:t>
            </w:r>
            <w:r w:rsidR="001515BC" w:rsidRPr="001515BC">
              <w:rPr>
                <w:b/>
                <w:bCs/>
                <w:sz w:val="22"/>
                <w:szCs w:val="22"/>
              </w:rPr>
              <w:t>ive Secondary Unit Value £ (2016/17</w:t>
            </w:r>
            <w:r w:rsidRPr="001515BC">
              <w:rPr>
                <w:b/>
                <w:bCs/>
                <w:sz w:val="22"/>
                <w:szCs w:val="22"/>
              </w:rPr>
              <w:t>)</w:t>
            </w:r>
          </w:p>
        </w:tc>
      </w:tr>
      <w:tr w:rsidR="00A82907" w:rsidRPr="001515BC">
        <w:trPr>
          <w:trHeight w:val="168"/>
          <w:jc w:val="center"/>
        </w:trPr>
        <w:tc>
          <w:tcPr>
            <w:tcW w:w="4223" w:type="dxa"/>
          </w:tcPr>
          <w:p w:rsidR="00A82907" w:rsidRPr="001515BC" w:rsidRDefault="00A82907" w:rsidP="005B1B64">
            <w:pPr>
              <w:jc w:val="both"/>
              <w:rPr>
                <w:sz w:val="22"/>
                <w:szCs w:val="22"/>
              </w:rPr>
            </w:pPr>
            <w:r w:rsidRPr="001515BC">
              <w:rPr>
                <w:sz w:val="22"/>
                <w:szCs w:val="22"/>
              </w:rPr>
              <w:t>Base Amount per Pupil – Primary</w:t>
            </w:r>
          </w:p>
        </w:tc>
        <w:tc>
          <w:tcPr>
            <w:tcW w:w="2722" w:type="dxa"/>
          </w:tcPr>
          <w:p w:rsidR="00A82907" w:rsidRPr="001515BC" w:rsidRDefault="009B07F5" w:rsidP="005B1B64">
            <w:pPr>
              <w:jc w:val="right"/>
              <w:rPr>
                <w:sz w:val="22"/>
                <w:szCs w:val="22"/>
              </w:rPr>
            </w:pPr>
            <w:r w:rsidRPr="001515BC">
              <w:rPr>
                <w:sz w:val="22"/>
                <w:szCs w:val="22"/>
              </w:rPr>
              <w:t>2,87</w:t>
            </w:r>
            <w:r w:rsidR="001515BC">
              <w:rPr>
                <w:sz w:val="22"/>
                <w:szCs w:val="22"/>
              </w:rPr>
              <w:t>9.17</w:t>
            </w:r>
          </w:p>
        </w:tc>
        <w:tc>
          <w:tcPr>
            <w:tcW w:w="2722" w:type="dxa"/>
          </w:tcPr>
          <w:p w:rsidR="00A82907" w:rsidRPr="001515BC" w:rsidRDefault="00A82907" w:rsidP="005B1B64">
            <w:pPr>
              <w:jc w:val="right"/>
              <w:rPr>
                <w:sz w:val="22"/>
                <w:szCs w:val="22"/>
              </w:rPr>
            </w:pPr>
            <w:r w:rsidRPr="001515BC">
              <w:rPr>
                <w:sz w:val="22"/>
                <w:szCs w:val="22"/>
              </w:rPr>
              <w:t>N/A</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Base Amount per Pupil - Key Stage 3</w:t>
            </w:r>
          </w:p>
        </w:tc>
        <w:tc>
          <w:tcPr>
            <w:tcW w:w="2722" w:type="dxa"/>
          </w:tcPr>
          <w:p w:rsidR="00A82907" w:rsidRPr="001515BC" w:rsidRDefault="00A82907" w:rsidP="005B1B64">
            <w:pPr>
              <w:jc w:val="right"/>
              <w:rPr>
                <w:sz w:val="22"/>
                <w:szCs w:val="22"/>
              </w:rPr>
            </w:pPr>
            <w:r w:rsidRPr="001515BC">
              <w:rPr>
                <w:sz w:val="22"/>
                <w:szCs w:val="22"/>
              </w:rPr>
              <w:t>N/A</w:t>
            </w:r>
          </w:p>
        </w:tc>
        <w:tc>
          <w:tcPr>
            <w:tcW w:w="2722" w:type="dxa"/>
          </w:tcPr>
          <w:p w:rsidR="00A82907" w:rsidRPr="001515BC" w:rsidRDefault="009B07F5" w:rsidP="009B07F5">
            <w:pPr>
              <w:jc w:val="right"/>
              <w:rPr>
                <w:sz w:val="22"/>
                <w:szCs w:val="22"/>
              </w:rPr>
            </w:pPr>
            <w:r w:rsidRPr="001515BC">
              <w:rPr>
                <w:sz w:val="22"/>
                <w:szCs w:val="22"/>
              </w:rPr>
              <w:t>4,15</w:t>
            </w:r>
            <w:r w:rsidR="001515BC">
              <w:rPr>
                <w:sz w:val="22"/>
                <w:szCs w:val="22"/>
              </w:rPr>
              <w:t>7.97</w:t>
            </w:r>
          </w:p>
        </w:tc>
      </w:tr>
      <w:tr w:rsidR="00A82907" w:rsidRPr="001515BC">
        <w:trPr>
          <w:jc w:val="center"/>
        </w:trPr>
        <w:tc>
          <w:tcPr>
            <w:tcW w:w="4223" w:type="dxa"/>
          </w:tcPr>
          <w:p w:rsidR="00A82907" w:rsidRPr="001515BC" w:rsidRDefault="00A82907" w:rsidP="005B1B64">
            <w:pPr>
              <w:jc w:val="both"/>
              <w:rPr>
                <w:b/>
                <w:bCs/>
                <w:sz w:val="22"/>
                <w:szCs w:val="22"/>
              </w:rPr>
            </w:pPr>
            <w:r w:rsidRPr="001515BC">
              <w:rPr>
                <w:sz w:val="22"/>
                <w:szCs w:val="22"/>
              </w:rPr>
              <w:t>Base Amount per Pupil - Key Stage 4</w:t>
            </w:r>
          </w:p>
        </w:tc>
        <w:tc>
          <w:tcPr>
            <w:tcW w:w="2722" w:type="dxa"/>
          </w:tcPr>
          <w:p w:rsidR="00A82907" w:rsidRPr="001515BC" w:rsidRDefault="00A82907" w:rsidP="005B1B64">
            <w:pPr>
              <w:jc w:val="right"/>
              <w:rPr>
                <w:sz w:val="22"/>
                <w:szCs w:val="22"/>
              </w:rPr>
            </w:pPr>
            <w:r w:rsidRPr="001515BC">
              <w:rPr>
                <w:sz w:val="22"/>
                <w:szCs w:val="22"/>
              </w:rPr>
              <w:t>N/A</w:t>
            </w:r>
          </w:p>
        </w:tc>
        <w:tc>
          <w:tcPr>
            <w:tcW w:w="2722" w:type="dxa"/>
          </w:tcPr>
          <w:p w:rsidR="00A82907" w:rsidRPr="001515BC" w:rsidRDefault="009B07F5" w:rsidP="005B1B64">
            <w:pPr>
              <w:jc w:val="right"/>
              <w:rPr>
                <w:sz w:val="22"/>
                <w:szCs w:val="22"/>
              </w:rPr>
            </w:pPr>
            <w:r w:rsidRPr="001515BC">
              <w:rPr>
                <w:sz w:val="22"/>
                <w:szCs w:val="22"/>
              </w:rPr>
              <w:t>4,27</w:t>
            </w:r>
            <w:r w:rsidR="001515BC">
              <w:rPr>
                <w:sz w:val="22"/>
                <w:szCs w:val="22"/>
              </w:rPr>
              <w:t>6.57</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Deprivation - Ever 6 FSM</w:t>
            </w:r>
          </w:p>
        </w:tc>
        <w:tc>
          <w:tcPr>
            <w:tcW w:w="2722" w:type="dxa"/>
          </w:tcPr>
          <w:p w:rsidR="00A82907" w:rsidRPr="001515BC" w:rsidRDefault="00A82907" w:rsidP="005B1B64">
            <w:pPr>
              <w:jc w:val="right"/>
              <w:rPr>
                <w:sz w:val="22"/>
                <w:szCs w:val="22"/>
              </w:rPr>
            </w:pPr>
            <w:r w:rsidRPr="001515BC">
              <w:rPr>
                <w:sz w:val="22"/>
                <w:szCs w:val="22"/>
              </w:rPr>
              <w:t>1,030.06</w:t>
            </w:r>
          </w:p>
        </w:tc>
        <w:tc>
          <w:tcPr>
            <w:tcW w:w="2722" w:type="dxa"/>
          </w:tcPr>
          <w:p w:rsidR="00A82907" w:rsidRPr="001515BC" w:rsidRDefault="001515BC" w:rsidP="005B1B64">
            <w:pPr>
              <w:jc w:val="right"/>
              <w:rPr>
                <w:sz w:val="22"/>
                <w:szCs w:val="22"/>
              </w:rPr>
            </w:pPr>
            <w:r>
              <w:rPr>
                <w:sz w:val="22"/>
                <w:szCs w:val="22"/>
              </w:rPr>
              <w:t>961.26</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Deprivation IDACI - Band 1</w:t>
            </w:r>
          </w:p>
        </w:tc>
        <w:tc>
          <w:tcPr>
            <w:tcW w:w="2722" w:type="dxa"/>
          </w:tcPr>
          <w:p w:rsidR="00A82907" w:rsidRPr="001515BC" w:rsidRDefault="001515BC" w:rsidP="005B1B64">
            <w:pPr>
              <w:jc w:val="right"/>
              <w:rPr>
                <w:sz w:val="22"/>
                <w:szCs w:val="22"/>
              </w:rPr>
            </w:pPr>
            <w:r>
              <w:rPr>
                <w:sz w:val="22"/>
                <w:szCs w:val="22"/>
              </w:rPr>
              <w:t>305.12</w:t>
            </w:r>
          </w:p>
        </w:tc>
        <w:tc>
          <w:tcPr>
            <w:tcW w:w="2722" w:type="dxa"/>
          </w:tcPr>
          <w:p w:rsidR="00A82907" w:rsidRPr="001515BC" w:rsidRDefault="001515BC" w:rsidP="005B1B64">
            <w:pPr>
              <w:jc w:val="right"/>
              <w:rPr>
                <w:sz w:val="22"/>
                <w:szCs w:val="22"/>
              </w:rPr>
            </w:pPr>
            <w:r>
              <w:rPr>
                <w:sz w:val="22"/>
                <w:szCs w:val="22"/>
              </w:rPr>
              <w:t>394.01</w:t>
            </w:r>
          </w:p>
        </w:tc>
      </w:tr>
      <w:tr w:rsidR="00A82907" w:rsidRPr="001515BC">
        <w:trPr>
          <w:jc w:val="center"/>
        </w:trPr>
        <w:tc>
          <w:tcPr>
            <w:tcW w:w="4223" w:type="dxa"/>
          </w:tcPr>
          <w:p w:rsidR="00A82907" w:rsidRPr="001515BC" w:rsidRDefault="00A82907" w:rsidP="005B1B64">
            <w:pPr>
              <w:jc w:val="both"/>
              <w:rPr>
                <w:b/>
                <w:bCs/>
                <w:sz w:val="22"/>
                <w:szCs w:val="22"/>
              </w:rPr>
            </w:pPr>
            <w:r w:rsidRPr="001515BC">
              <w:rPr>
                <w:sz w:val="22"/>
                <w:szCs w:val="22"/>
              </w:rPr>
              <w:t>Deprivation IDACI - Band 2</w:t>
            </w:r>
          </w:p>
        </w:tc>
        <w:tc>
          <w:tcPr>
            <w:tcW w:w="2722" w:type="dxa"/>
          </w:tcPr>
          <w:p w:rsidR="00A82907" w:rsidRPr="00581D01" w:rsidRDefault="00581D01" w:rsidP="005B1B64">
            <w:pPr>
              <w:jc w:val="right"/>
              <w:rPr>
                <w:sz w:val="22"/>
                <w:szCs w:val="22"/>
              </w:rPr>
            </w:pPr>
            <w:r w:rsidRPr="00581D01">
              <w:rPr>
                <w:sz w:val="22"/>
                <w:szCs w:val="22"/>
              </w:rPr>
              <w:t>381.40</w:t>
            </w:r>
          </w:p>
        </w:tc>
        <w:tc>
          <w:tcPr>
            <w:tcW w:w="2722" w:type="dxa"/>
          </w:tcPr>
          <w:p w:rsidR="00A82907" w:rsidRPr="0078759B" w:rsidRDefault="00581D01" w:rsidP="005B1B64">
            <w:pPr>
              <w:jc w:val="right"/>
              <w:rPr>
                <w:sz w:val="22"/>
                <w:szCs w:val="22"/>
              </w:rPr>
            </w:pPr>
            <w:r w:rsidRPr="0078759B">
              <w:rPr>
                <w:sz w:val="22"/>
                <w:szCs w:val="22"/>
              </w:rPr>
              <w:t>492.51</w:t>
            </w:r>
          </w:p>
        </w:tc>
      </w:tr>
      <w:tr w:rsidR="00A82907" w:rsidRPr="001515BC">
        <w:trPr>
          <w:jc w:val="center"/>
        </w:trPr>
        <w:tc>
          <w:tcPr>
            <w:tcW w:w="4223" w:type="dxa"/>
          </w:tcPr>
          <w:p w:rsidR="00A82907" w:rsidRPr="001515BC" w:rsidRDefault="00A82907" w:rsidP="005B1B64">
            <w:pPr>
              <w:jc w:val="both"/>
              <w:rPr>
                <w:b/>
                <w:bCs/>
                <w:sz w:val="22"/>
                <w:szCs w:val="22"/>
              </w:rPr>
            </w:pPr>
            <w:r w:rsidRPr="001515BC">
              <w:rPr>
                <w:sz w:val="22"/>
                <w:szCs w:val="22"/>
              </w:rPr>
              <w:t>Deprivation IDACI - Band 3</w:t>
            </w:r>
          </w:p>
        </w:tc>
        <w:tc>
          <w:tcPr>
            <w:tcW w:w="2722" w:type="dxa"/>
          </w:tcPr>
          <w:p w:rsidR="00A82907" w:rsidRPr="00581D01" w:rsidRDefault="00581D01" w:rsidP="005B1B64">
            <w:pPr>
              <w:jc w:val="right"/>
              <w:rPr>
                <w:sz w:val="22"/>
                <w:szCs w:val="22"/>
              </w:rPr>
            </w:pPr>
            <w:r w:rsidRPr="00581D01">
              <w:rPr>
                <w:sz w:val="22"/>
                <w:szCs w:val="22"/>
              </w:rPr>
              <w:t>457.68</w:t>
            </w:r>
          </w:p>
        </w:tc>
        <w:tc>
          <w:tcPr>
            <w:tcW w:w="2722" w:type="dxa"/>
          </w:tcPr>
          <w:p w:rsidR="00A82907" w:rsidRPr="0078759B" w:rsidRDefault="00581D01" w:rsidP="005B1B64">
            <w:pPr>
              <w:jc w:val="right"/>
              <w:rPr>
                <w:sz w:val="22"/>
                <w:szCs w:val="22"/>
              </w:rPr>
            </w:pPr>
            <w:r w:rsidRPr="0078759B">
              <w:rPr>
                <w:sz w:val="22"/>
                <w:szCs w:val="22"/>
              </w:rPr>
              <w:t>591.01</w:t>
            </w:r>
          </w:p>
        </w:tc>
      </w:tr>
      <w:tr w:rsidR="00A82907" w:rsidRPr="001515BC">
        <w:trPr>
          <w:jc w:val="center"/>
        </w:trPr>
        <w:tc>
          <w:tcPr>
            <w:tcW w:w="4223" w:type="dxa"/>
          </w:tcPr>
          <w:p w:rsidR="00A82907" w:rsidRPr="001515BC" w:rsidRDefault="00A82907" w:rsidP="005B1B64">
            <w:pPr>
              <w:tabs>
                <w:tab w:val="left" w:pos="3452"/>
              </w:tabs>
              <w:jc w:val="both"/>
              <w:rPr>
                <w:b/>
                <w:bCs/>
                <w:sz w:val="22"/>
                <w:szCs w:val="22"/>
              </w:rPr>
            </w:pPr>
            <w:r w:rsidRPr="001515BC">
              <w:rPr>
                <w:sz w:val="22"/>
                <w:szCs w:val="22"/>
              </w:rPr>
              <w:t>Deprivation IDACI - Band 4</w:t>
            </w:r>
          </w:p>
        </w:tc>
        <w:tc>
          <w:tcPr>
            <w:tcW w:w="2722" w:type="dxa"/>
          </w:tcPr>
          <w:p w:rsidR="00A82907" w:rsidRPr="00581D01" w:rsidRDefault="00581D01" w:rsidP="005B1B64">
            <w:pPr>
              <w:jc w:val="right"/>
              <w:rPr>
                <w:sz w:val="22"/>
                <w:szCs w:val="22"/>
              </w:rPr>
            </w:pPr>
            <w:r w:rsidRPr="00581D01">
              <w:rPr>
                <w:sz w:val="22"/>
                <w:szCs w:val="22"/>
              </w:rPr>
              <w:t>533.96</w:t>
            </w:r>
          </w:p>
        </w:tc>
        <w:tc>
          <w:tcPr>
            <w:tcW w:w="2722" w:type="dxa"/>
          </w:tcPr>
          <w:p w:rsidR="00A82907" w:rsidRPr="0078759B" w:rsidRDefault="00581D01" w:rsidP="005B1B64">
            <w:pPr>
              <w:jc w:val="right"/>
              <w:rPr>
                <w:sz w:val="22"/>
                <w:szCs w:val="22"/>
              </w:rPr>
            </w:pPr>
            <w:r w:rsidRPr="0078759B">
              <w:rPr>
                <w:sz w:val="22"/>
                <w:szCs w:val="22"/>
              </w:rPr>
              <w:t>689.51</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Deprivation IDACI - Band 5</w:t>
            </w:r>
          </w:p>
        </w:tc>
        <w:tc>
          <w:tcPr>
            <w:tcW w:w="2722" w:type="dxa"/>
          </w:tcPr>
          <w:p w:rsidR="00A82907" w:rsidRPr="00581D01" w:rsidRDefault="00581D01" w:rsidP="005B1B64">
            <w:pPr>
              <w:jc w:val="right"/>
              <w:rPr>
                <w:sz w:val="22"/>
                <w:szCs w:val="22"/>
              </w:rPr>
            </w:pPr>
            <w:r w:rsidRPr="00581D01">
              <w:rPr>
                <w:sz w:val="22"/>
                <w:szCs w:val="22"/>
              </w:rPr>
              <w:t>686.52</w:t>
            </w:r>
          </w:p>
        </w:tc>
        <w:tc>
          <w:tcPr>
            <w:tcW w:w="2722" w:type="dxa"/>
          </w:tcPr>
          <w:p w:rsidR="00A82907" w:rsidRPr="0078759B" w:rsidRDefault="00581D01" w:rsidP="005B1B64">
            <w:pPr>
              <w:jc w:val="right"/>
              <w:rPr>
                <w:sz w:val="22"/>
                <w:szCs w:val="22"/>
              </w:rPr>
            </w:pPr>
            <w:r w:rsidRPr="0078759B">
              <w:rPr>
                <w:sz w:val="22"/>
                <w:szCs w:val="22"/>
              </w:rPr>
              <w:t>886.51</w:t>
            </w:r>
          </w:p>
        </w:tc>
      </w:tr>
      <w:tr w:rsidR="00A82907" w:rsidRPr="001515BC">
        <w:trPr>
          <w:jc w:val="center"/>
        </w:trPr>
        <w:tc>
          <w:tcPr>
            <w:tcW w:w="4223" w:type="dxa"/>
          </w:tcPr>
          <w:p w:rsidR="00A82907" w:rsidRPr="001515BC" w:rsidRDefault="00A82907" w:rsidP="005B1B64">
            <w:pPr>
              <w:jc w:val="both"/>
              <w:rPr>
                <w:b/>
                <w:bCs/>
                <w:sz w:val="22"/>
                <w:szCs w:val="22"/>
              </w:rPr>
            </w:pPr>
            <w:r w:rsidRPr="001515BC">
              <w:rPr>
                <w:sz w:val="22"/>
                <w:szCs w:val="22"/>
              </w:rPr>
              <w:t>Deprivation IDACI - Band 6</w:t>
            </w:r>
          </w:p>
        </w:tc>
        <w:tc>
          <w:tcPr>
            <w:tcW w:w="2722" w:type="dxa"/>
          </w:tcPr>
          <w:p w:rsidR="00A82907" w:rsidRPr="00581D01" w:rsidRDefault="00581D01" w:rsidP="005B1B64">
            <w:pPr>
              <w:jc w:val="right"/>
              <w:rPr>
                <w:sz w:val="22"/>
                <w:szCs w:val="22"/>
              </w:rPr>
            </w:pPr>
            <w:r w:rsidRPr="00581D01">
              <w:rPr>
                <w:sz w:val="22"/>
                <w:szCs w:val="22"/>
              </w:rPr>
              <w:t>839.08</w:t>
            </w:r>
          </w:p>
        </w:tc>
        <w:tc>
          <w:tcPr>
            <w:tcW w:w="2722" w:type="dxa"/>
          </w:tcPr>
          <w:p w:rsidR="00A82907" w:rsidRPr="0078759B" w:rsidRDefault="00581D01" w:rsidP="005B1B64">
            <w:pPr>
              <w:jc w:val="right"/>
              <w:rPr>
                <w:sz w:val="22"/>
                <w:szCs w:val="22"/>
              </w:rPr>
            </w:pPr>
            <w:r w:rsidRPr="0078759B">
              <w:rPr>
                <w:sz w:val="22"/>
                <w:szCs w:val="22"/>
              </w:rPr>
              <w:t>1,083.52</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SEN Low Prior Attainment</w:t>
            </w:r>
          </w:p>
        </w:tc>
        <w:tc>
          <w:tcPr>
            <w:tcW w:w="2722" w:type="dxa"/>
          </w:tcPr>
          <w:p w:rsidR="00A82907" w:rsidRPr="00581D01" w:rsidRDefault="00A82907" w:rsidP="005B1B64">
            <w:pPr>
              <w:jc w:val="right"/>
              <w:rPr>
                <w:sz w:val="22"/>
                <w:szCs w:val="22"/>
              </w:rPr>
            </w:pPr>
            <w:r w:rsidRPr="00581D01">
              <w:rPr>
                <w:sz w:val="22"/>
                <w:szCs w:val="22"/>
              </w:rPr>
              <w:t>242.46</w:t>
            </w:r>
          </w:p>
        </w:tc>
        <w:tc>
          <w:tcPr>
            <w:tcW w:w="2722" w:type="dxa"/>
          </w:tcPr>
          <w:p w:rsidR="00A82907" w:rsidRPr="001515BC" w:rsidRDefault="001515BC" w:rsidP="005B1B64">
            <w:pPr>
              <w:jc w:val="right"/>
              <w:rPr>
                <w:sz w:val="22"/>
                <w:szCs w:val="22"/>
              </w:rPr>
            </w:pPr>
            <w:r>
              <w:rPr>
                <w:sz w:val="22"/>
                <w:szCs w:val="22"/>
              </w:rPr>
              <w:t>496.91</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English as an Additional Language</w:t>
            </w:r>
          </w:p>
        </w:tc>
        <w:tc>
          <w:tcPr>
            <w:tcW w:w="2722" w:type="dxa"/>
          </w:tcPr>
          <w:p w:rsidR="00A82907" w:rsidRPr="001515BC" w:rsidRDefault="001515BC" w:rsidP="005B1B64">
            <w:pPr>
              <w:jc w:val="right"/>
              <w:rPr>
                <w:sz w:val="22"/>
                <w:szCs w:val="22"/>
              </w:rPr>
            </w:pPr>
            <w:r>
              <w:rPr>
                <w:sz w:val="22"/>
                <w:szCs w:val="22"/>
              </w:rPr>
              <w:t>164.86</w:t>
            </w:r>
          </w:p>
        </w:tc>
        <w:tc>
          <w:tcPr>
            <w:tcW w:w="2722" w:type="dxa"/>
          </w:tcPr>
          <w:p w:rsidR="00A82907" w:rsidRPr="001515BC" w:rsidRDefault="001515BC" w:rsidP="005B1B64">
            <w:pPr>
              <w:jc w:val="right"/>
              <w:rPr>
                <w:sz w:val="22"/>
                <w:szCs w:val="22"/>
              </w:rPr>
            </w:pPr>
            <w:r>
              <w:rPr>
                <w:sz w:val="22"/>
                <w:szCs w:val="22"/>
              </w:rPr>
              <w:t>1,170.03</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Pupil Mobility</w:t>
            </w:r>
          </w:p>
        </w:tc>
        <w:tc>
          <w:tcPr>
            <w:tcW w:w="2722" w:type="dxa"/>
          </w:tcPr>
          <w:p w:rsidR="00A82907" w:rsidRPr="001515BC" w:rsidRDefault="001515BC" w:rsidP="005B1B64">
            <w:pPr>
              <w:jc w:val="right"/>
              <w:rPr>
                <w:sz w:val="22"/>
                <w:szCs w:val="22"/>
              </w:rPr>
            </w:pPr>
            <w:r>
              <w:rPr>
                <w:sz w:val="22"/>
                <w:szCs w:val="22"/>
              </w:rPr>
              <w:t>1,615.88</w:t>
            </w:r>
          </w:p>
        </w:tc>
        <w:tc>
          <w:tcPr>
            <w:tcW w:w="2722" w:type="dxa"/>
          </w:tcPr>
          <w:p w:rsidR="00A82907" w:rsidRPr="001515BC" w:rsidRDefault="00A82907" w:rsidP="005B1B64">
            <w:pPr>
              <w:jc w:val="right"/>
              <w:rPr>
                <w:sz w:val="22"/>
                <w:szCs w:val="22"/>
              </w:rPr>
            </w:pPr>
            <w:r w:rsidRPr="001515BC">
              <w:rPr>
                <w:sz w:val="22"/>
                <w:szCs w:val="22"/>
              </w:rPr>
              <w:t>1,925.59</w:t>
            </w:r>
          </w:p>
        </w:tc>
      </w:tr>
      <w:tr w:rsidR="00A82907" w:rsidRPr="001515BC">
        <w:trPr>
          <w:jc w:val="center"/>
        </w:trPr>
        <w:tc>
          <w:tcPr>
            <w:tcW w:w="4223" w:type="dxa"/>
          </w:tcPr>
          <w:p w:rsidR="00A82907" w:rsidRPr="001515BC" w:rsidRDefault="00A82907" w:rsidP="005B1B64">
            <w:pPr>
              <w:jc w:val="both"/>
              <w:rPr>
                <w:sz w:val="22"/>
                <w:szCs w:val="22"/>
              </w:rPr>
            </w:pPr>
            <w:r w:rsidRPr="001515BC">
              <w:rPr>
                <w:sz w:val="22"/>
                <w:szCs w:val="22"/>
              </w:rPr>
              <w:t>Lump Sum per school / academy</w:t>
            </w:r>
          </w:p>
        </w:tc>
        <w:tc>
          <w:tcPr>
            <w:tcW w:w="2722" w:type="dxa"/>
          </w:tcPr>
          <w:p w:rsidR="00A82907" w:rsidRPr="001515BC" w:rsidRDefault="00A82907" w:rsidP="005B1B64">
            <w:pPr>
              <w:jc w:val="right"/>
              <w:rPr>
                <w:sz w:val="22"/>
                <w:szCs w:val="22"/>
              </w:rPr>
            </w:pPr>
            <w:r w:rsidRPr="001515BC">
              <w:rPr>
                <w:sz w:val="22"/>
                <w:szCs w:val="22"/>
              </w:rPr>
              <w:t>175,000.00</w:t>
            </w:r>
          </w:p>
        </w:tc>
        <w:tc>
          <w:tcPr>
            <w:tcW w:w="2722" w:type="dxa"/>
          </w:tcPr>
          <w:p w:rsidR="00A82907" w:rsidRPr="001515BC" w:rsidRDefault="00A82907" w:rsidP="005B1B64">
            <w:pPr>
              <w:jc w:val="right"/>
              <w:rPr>
                <w:sz w:val="22"/>
                <w:szCs w:val="22"/>
              </w:rPr>
            </w:pPr>
            <w:r w:rsidRPr="001515BC">
              <w:rPr>
                <w:sz w:val="22"/>
                <w:szCs w:val="22"/>
              </w:rPr>
              <w:t>175,000.00</w:t>
            </w:r>
          </w:p>
        </w:tc>
      </w:tr>
      <w:tr w:rsidR="00A82907" w:rsidRPr="00933771">
        <w:trPr>
          <w:jc w:val="center"/>
        </w:trPr>
        <w:tc>
          <w:tcPr>
            <w:tcW w:w="4223" w:type="dxa"/>
          </w:tcPr>
          <w:p w:rsidR="00A82907" w:rsidRPr="00933771" w:rsidRDefault="00A82907" w:rsidP="005B1B64">
            <w:pPr>
              <w:jc w:val="both"/>
              <w:rPr>
                <w:sz w:val="22"/>
                <w:szCs w:val="22"/>
              </w:rPr>
            </w:pPr>
            <w:r w:rsidRPr="00933771">
              <w:rPr>
                <w:sz w:val="22"/>
                <w:szCs w:val="22"/>
              </w:rPr>
              <w:t>Split Sites</w:t>
            </w:r>
          </w:p>
        </w:tc>
        <w:tc>
          <w:tcPr>
            <w:tcW w:w="2722" w:type="dxa"/>
          </w:tcPr>
          <w:p w:rsidR="00A82907" w:rsidRPr="00933771" w:rsidRDefault="00A82907" w:rsidP="005B1B64">
            <w:pPr>
              <w:jc w:val="right"/>
              <w:rPr>
                <w:sz w:val="22"/>
                <w:szCs w:val="22"/>
              </w:rPr>
            </w:pPr>
            <w:r w:rsidRPr="00933771">
              <w:rPr>
                <w:sz w:val="22"/>
                <w:szCs w:val="22"/>
              </w:rPr>
              <w:t>Funded on LA formula</w:t>
            </w:r>
          </w:p>
          <w:p w:rsidR="00A82907" w:rsidRPr="00933771" w:rsidRDefault="008A06CE" w:rsidP="00B05E15">
            <w:pPr>
              <w:jc w:val="right"/>
              <w:rPr>
                <w:sz w:val="22"/>
                <w:szCs w:val="22"/>
              </w:rPr>
            </w:pPr>
            <w:r>
              <w:rPr>
                <w:i/>
                <w:iCs/>
                <w:sz w:val="22"/>
                <w:szCs w:val="22"/>
              </w:rPr>
              <w:t>(see paragraph 3</w:t>
            </w:r>
            <w:r w:rsidR="00A82907" w:rsidRPr="00933771">
              <w:rPr>
                <w:i/>
                <w:iCs/>
                <w:sz w:val="22"/>
                <w:szCs w:val="22"/>
              </w:rPr>
              <w:t>.</w:t>
            </w:r>
            <w:r w:rsidR="00145FE1" w:rsidRPr="00933771">
              <w:rPr>
                <w:i/>
                <w:iCs/>
                <w:sz w:val="22"/>
                <w:szCs w:val="22"/>
              </w:rPr>
              <w:t>5</w:t>
            </w:r>
            <w:r w:rsidR="00A82907" w:rsidRPr="00933771">
              <w:rPr>
                <w:i/>
                <w:iCs/>
                <w:sz w:val="22"/>
                <w:szCs w:val="22"/>
              </w:rPr>
              <w:t>)</w:t>
            </w:r>
          </w:p>
        </w:tc>
        <w:tc>
          <w:tcPr>
            <w:tcW w:w="2722" w:type="dxa"/>
          </w:tcPr>
          <w:p w:rsidR="00A82907" w:rsidRPr="00933771" w:rsidRDefault="00A82907" w:rsidP="005B1B64">
            <w:pPr>
              <w:jc w:val="right"/>
              <w:rPr>
                <w:sz w:val="22"/>
                <w:szCs w:val="22"/>
              </w:rPr>
            </w:pPr>
            <w:r w:rsidRPr="00933771">
              <w:rPr>
                <w:sz w:val="22"/>
                <w:szCs w:val="22"/>
              </w:rPr>
              <w:t>Funded on LA formula</w:t>
            </w:r>
          </w:p>
          <w:p w:rsidR="00A82907" w:rsidRPr="00933771" w:rsidRDefault="008A06CE" w:rsidP="00B05E15">
            <w:pPr>
              <w:jc w:val="right"/>
              <w:rPr>
                <w:sz w:val="22"/>
                <w:szCs w:val="22"/>
              </w:rPr>
            </w:pPr>
            <w:r>
              <w:rPr>
                <w:i/>
                <w:iCs/>
                <w:sz w:val="22"/>
                <w:szCs w:val="22"/>
              </w:rPr>
              <w:t>(see paragraph 3</w:t>
            </w:r>
            <w:r w:rsidR="00A82907" w:rsidRPr="00933771">
              <w:rPr>
                <w:i/>
                <w:iCs/>
                <w:sz w:val="22"/>
                <w:szCs w:val="22"/>
              </w:rPr>
              <w:t>.</w:t>
            </w:r>
            <w:r w:rsidR="00145FE1" w:rsidRPr="00933771">
              <w:rPr>
                <w:i/>
                <w:iCs/>
                <w:sz w:val="22"/>
                <w:szCs w:val="22"/>
              </w:rPr>
              <w:t>5</w:t>
            </w:r>
            <w:r w:rsidR="00A82907" w:rsidRPr="00933771">
              <w:rPr>
                <w:i/>
                <w:iCs/>
                <w:sz w:val="22"/>
                <w:szCs w:val="22"/>
              </w:rPr>
              <w:t>)</w:t>
            </w:r>
          </w:p>
        </w:tc>
      </w:tr>
      <w:tr w:rsidR="00A82907" w:rsidRPr="00933771">
        <w:trPr>
          <w:jc w:val="center"/>
        </w:trPr>
        <w:tc>
          <w:tcPr>
            <w:tcW w:w="4223" w:type="dxa"/>
          </w:tcPr>
          <w:p w:rsidR="00A82907" w:rsidRPr="00933771" w:rsidRDefault="00A82907" w:rsidP="005B1B64">
            <w:pPr>
              <w:jc w:val="both"/>
              <w:rPr>
                <w:sz w:val="22"/>
                <w:szCs w:val="22"/>
              </w:rPr>
            </w:pPr>
            <w:r w:rsidRPr="00933771">
              <w:rPr>
                <w:sz w:val="22"/>
                <w:szCs w:val="22"/>
              </w:rPr>
              <w:t>Rates</w:t>
            </w:r>
          </w:p>
        </w:tc>
        <w:tc>
          <w:tcPr>
            <w:tcW w:w="2722" w:type="dxa"/>
          </w:tcPr>
          <w:p w:rsidR="00A82907" w:rsidRPr="00933771" w:rsidRDefault="00A82907" w:rsidP="005B1B64">
            <w:pPr>
              <w:jc w:val="right"/>
              <w:rPr>
                <w:sz w:val="22"/>
                <w:szCs w:val="22"/>
              </w:rPr>
            </w:pPr>
            <w:r w:rsidRPr="00933771">
              <w:rPr>
                <w:sz w:val="22"/>
                <w:szCs w:val="22"/>
              </w:rPr>
              <w:t>Funded at actual cost</w:t>
            </w:r>
          </w:p>
        </w:tc>
        <w:tc>
          <w:tcPr>
            <w:tcW w:w="2722" w:type="dxa"/>
          </w:tcPr>
          <w:p w:rsidR="00A82907" w:rsidRPr="00933771" w:rsidRDefault="00A82907" w:rsidP="005B1B64">
            <w:pPr>
              <w:jc w:val="right"/>
              <w:rPr>
                <w:sz w:val="22"/>
                <w:szCs w:val="22"/>
              </w:rPr>
            </w:pPr>
            <w:r w:rsidRPr="00933771">
              <w:rPr>
                <w:sz w:val="22"/>
                <w:szCs w:val="22"/>
              </w:rPr>
              <w:t>Funded at actual cost</w:t>
            </w:r>
          </w:p>
        </w:tc>
      </w:tr>
      <w:tr w:rsidR="00A82907" w:rsidRPr="00933771">
        <w:trPr>
          <w:jc w:val="center"/>
        </w:trPr>
        <w:tc>
          <w:tcPr>
            <w:tcW w:w="4223" w:type="dxa"/>
          </w:tcPr>
          <w:p w:rsidR="00A82907" w:rsidRPr="00933771" w:rsidRDefault="00A82907" w:rsidP="005B1B64">
            <w:pPr>
              <w:jc w:val="both"/>
              <w:rPr>
                <w:sz w:val="22"/>
                <w:szCs w:val="22"/>
              </w:rPr>
            </w:pPr>
            <w:r w:rsidRPr="00933771">
              <w:rPr>
                <w:sz w:val="22"/>
                <w:szCs w:val="22"/>
              </w:rPr>
              <w:t>Private Finance Initiative (PFI) contracts</w:t>
            </w:r>
          </w:p>
        </w:tc>
        <w:tc>
          <w:tcPr>
            <w:tcW w:w="2722" w:type="dxa"/>
          </w:tcPr>
          <w:p w:rsidR="00A82907" w:rsidRPr="00933771" w:rsidRDefault="00A82907" w:rsidP="005B1B64">
            <w:pPr>
              <w:jc w:val="right"/>
              <w:rPr>
                <w:sz w:val="22"/>
                <w:szCs w:val="22"/>
              </w:rPr>
            </w:pPr>
            <w:r w:rsidRPr="00933771">
              <w:rPr>
                <w:sz w:val="22"/>
                <w:szCs w:val="22"/>
              </w:rPr>
              <w:t xml:space="preserve">Funded on LA formula </w:t>
            </w:r>
            <w:r w:rsidR="008A06CE">
              <w:rPr>
                <w:i/>
                <w:iCs/>
                <w:sz w:val="22"/>
                <w:szCs w:val="22"/>
              </w:rPr>
              <w:t>(see paragraph 3</w:t>
            </w:r>
            <w:r w:rsidR="00145FE1" w:rsidRPr="00933771">
              <w:rPr>
                <w:i/>
                <w:iCs/>
                <w:sz w:val="22"/>
                <w:szCs w:val="22"/>
              </w:rPr>
              <w:t>.6</w:t>
            </w:r>
            <w:r w:rsidRPr="00933771">
              <w:rPr>
                <w:i/>
                <w:iCs/>
                <w:sz w:val="22"/>
                <w:szCs w:val="22"/>
              </w:rPr>
              <w:t>)</w:t>
            </w:r>
          </w:p>
        </w:tc>
        <w:tc>
          <w:tcPr>
            <w:tcW w:w="2722" w:type="dxa"/>
          </w:tcPr>
          <w:p w:rsidR="00A82907" w:rsidRPr="00933771" w:rsidRDefault="00A82907" w:rsidP="005B1B64">
            <w:pPr>
              <w:jc w:val="right"/>
              <w:rPr>
                <w:sz w:val="22"/>
                <w:szCs w:val="22"/>
              </w:rPr>
            </w:pPr>
            <w:r w:rsidRPr="00933771">
              <w:rPr>
                <w:sz w:val="22"/>
                <w:szCs w:val="22"/>
              </w:rPr>
              <w:t>Funded on LA formula</w:t>
            </w:r>
          </w:p>
          <w:p w:rsidR="00A82907" w:rsidRPr="00933771" w:rsidRDefault="00A82907" w:rsidP="00FF63C7">
            <w:pPr>
              <w:jc w:val="right"/>
              <w:rPr>
                <w:i/>
                <w:iCs/>
                <w:sz w:val="22"/>
                <w:szCs w:val="22"/>
              </w:rPr>
            </w:pPr>
            <w:r w:rsidRPr="00933771">
              <w:rPr>
                <w:i/>
                <w:iCs/>
                <w:sz w:val="22"/>
                <w:szCs w:val="22"/>
              </w:rPr>
              <w:t xml:space="preserve">(see paragraph </w:t>
            </w:r>
            <w:r w:rsidR="008A06CE">
              <w:rPr>
                <w:i/>
                <w:iCs/>
                <w:sz w:val="22"/>
                <w:szCs w:val="22"/>
              </w:rPr>
              <w:t>3</w:t>
            </w:r>
            <w:r w:rsidRPr="00933771">
              <w:rPr>
                <w:i/>
                <w:iCs/>
                <w:sz w:val="22"/>
                <w:szCs w:val="22"/>
              </w:rPr>
              <w:t>.</w:t>
            </w:r>
            <w:r w:rsidR="00145FE1" w:rsidRPr="00933771">
              <w:rPr>
                <w:i/>
                <w:iCs/>
                <w:sz w:val="22"/>
                <w:szCs w:val="22"/>
              </w:rPr>
              <w:t>6</w:t>
            </w:r>
            <w:r w:rsidRPr="00933771">
              <w:rPr>
                <w:i/>
                <w:iCs/>
                <w:sz w:val="22"/>
                <w:szCs w:val="22"/>
              </w:rPr>
              <w:t>)</w:t>
            </w:r>
          </w:p>
        </w:tc>
      </w:tr>
    </w:tbl>
    <w:p w:rsidR="00A82907" w:rsidRPr="00933771" w:rsidRDefault="00A82907" w:rsidP="007D6C6B">
      <w:pPr>
        <w:jc w:val="both"/>
        <w:rPr>
          <w:color w:val="FF0000"/>
          <w:sz w:val="22"/>
          <w:szCs w:val="22"/>
        </w:rPr>
      </w:pPr>
    </w:p>
    <w:p w:rsidR="00A82907" w:rsidRPr="0098142E" w:rsidRDefault="008A06CE" w:rsidP="007D6C6B">
      <w:pPr>
        <w:jc w:val="both"/>
        <w:rPr>
          <w:color w:val="FF0000"/>
          <w:sz w:val="22"/>
          <w:szCs w:val="22"/>
        </w:rPr>
      </w:pPr>
      <w:r>
        <w:rPr>
          <w:sz w:val="22"/>
          <w:szCs w:val="22"/>
        </w:rPr>
        <w:t>3</w:t>
      </w:r>
      <w:r w:rsidR="0068569E" w:rsidRPr="00E90CA2">
        <w:rPr>
          <w:sz w:val="22"/>
          <w:szCs w:val="22"/>
        </w:rPr>
        <w:t>.2</w:t>
      </w:r>
      <w:r w:rsidR="00A82907" w:rsidRPr="00E90CA2">
        <w:rPr>
          <w:sz w:val="22"/>
          <w:szCs w:val="22"/>
        </w:rPr>
        <w:t xml:space="preserve"> </w:t>
      </w:r>
      <w:r w:rsidR="0078759B" w:rsidRPr="00E90CA2">
        <w:rPr>
          <w:sz w:val="22"/>
          <w:szCs w:val="22"/>
        </w:rPr>
        <w:t>The indicative values for all factors are currently set at the same values as in 2015/16, with the exception of the Base Amount Per Pupil factor unit value, which has increased by £5.14 in 2016/17</w:t>
      </w:r>
      <w:r>
        <w:rPr>
          <w:sz w:val="22"/>
          <w:szCs w:val="22"/>
        </w:rPr>
        <w:t xml:space="preserve"> due to anticipated technical adjustments in the values of DSG funds</w:t>
      </w:r>
      <w:r w:rsidR="0078759B" w:rsidRPr="00E90CA2">
        <w:rPr>
          <w:sz w:val="22"/>
          <w:szCs w:val="22"/>
        </w:rPr>
        <w:t xml:space="preserve">. </w:t>
      </w:r>
    </w:p>
    <w:p w:rsidR="00A82907" w:rsidRPr="0098142E" w:rsidRDefault="00A82907" w:rsidP="007D6C6B">
      <w:pPr>
        <w:jc w:val="both"/>
        <w:rPr>
          <w:color w:val="FF0000"/>
          <w:sz w:val="22"/>
          <w:szCs w:val="22"/>
        </w:rPr>
      </w:pPr>
    </w:p>
    <w:p w:rsidR="000F7BF2" w:rsidRDefault="008A06CE" w:rsidP="00612E39">
      <w:pPr>
        <w:jc w:val="both"/>
        <w:rPr>
          <w:sz w:val="22"/>
          <w:szCs w:val="22"/>
        </w:rPr>
      </w:pPr>
      <w:r>
        <w:rPr>
          <w:sz w:val="22"/>
          <w:szCs w:val="22"/>
        </w:rPr>
        <w:t>3</w:t>
      </w:r>
      <w:r w:rsidR="0068569E" w:rsidRPr="008478C4">
        <w:rPr>
          <w:sz w:val="22"/>
          <w:szCs w:val="22"/>
        </w:rPr>
        <w:t>.3</w:t>
      </w:r>
      <w:r w:rsidR="00A82907" w:rsidRPr="008478C4">
        <w:rPr>
          <w:sz w:val="22"/>
          <w:szCs w:val="22"/>
        </w:rPr>
        <w:t xml:space="preserve"> </w:t>
      </w:r>
      <w:r w:rsidR="000374B7">
        <w:rPr>
          <w:sz w:val="22"/>
          <w:szCs w:val="22"/>
        </w:rPr>
        <w:t>W</w:t>
      </w:r>
      <w:r w:rsidR="00A82907" w:rsidRPr="008478C4">
        <w:rPr>
          <w:sz w:val="22"/>
          <w:szCs w:val="22"/>
        </w:rPr>
        <w:t xml:space="preserve">e will continue to use the factors, where we have some choice about how these are used, in the </w:t>
      </w:r>
      <w:r w:rsidR="008478C4" w:rsidRPr="008478C4">
        <w:rPr>
          <w:sz w:val="22"/>
          <w:szCs w:val="22"/>
        </w:rPr>
        <w:t>same way as in 2015/16, as follows</w:t>
      </w:r>
      <w:r w:rsidR="00A82907" w:rsidRPr="008478C4">
        <w:rPr>
          <w:sz w:val="22"/>
          <w:szCs w:val="22"/>
        </w:rPr>
        <w:t>:</w:t>
      </w:r>
    </w:p>
    <w:p w:rsidR="000F7BF2" w:rsidRPr="000F7BF2" w:rsidRDefault="000F7BF2" w:rsidP="00612E39">
      <w:pPr>
        <w:jc w:val="both"/>
        <w:rPr>
          <w:sz w:val="12"/>
          <w:szCs w:val="12"/>
        </w:rPr>
      </w:pPr>
    </w:p>
    <w:p w:rsidR="004903C2" w:rsidRPr="008C1235" w:rsidRDefault="00A82907" w:rsidP="008722A8">
      <w:pPr>
        <w:numPr>
          <w:ilvl w:val="0"/>
          <w:numId w:val="17"/>
        </w:numPr>
        <w:spacing w:after="120"/>
        <w:jc w:val="both"/>
        <w:rPr>
          <w:sz w:val="22"/>
          <w:szCs w:val="22"/>
        </w:rPr>
      </w:pPr>
      <w:r w:rsidRPr="008478C4">
        <w:rPr>
          <w:b/>
          <w:bCs/>
          <w:sz w:val="22"/>
          <w:szCs w:val="22"/>
        </w:rPr>
        <w:t>Base Amount per Pupil – Primary</w:t>
      </w:r>
      <w:r w:rsidRPr="008478C4">
        <w:rPr>
          <w:sz w:val="22"/>
          <w:szCs w:val="22"/>
        </w:rPr>
        <w:t xml:space="preserve">: including the Reception Uplift factor to support schools and academies taking in Reception pupils between the October and January Censuses; this also supports schools with higher levels of mobility. </w:t>
      </w:r>
    </w:p>
    <w:p w:rsidR="00A82907" w:rsidRPr="008C1235" w:rsidRDefault="00A82907" w:rsidP="008722A8">
      <w:pPr>
        <w:numPr>
          <w:ilvl w:val="0"/>
          <w:numId w:val="17"/>
        </w:numPr>
        <w:spacing w:after="120"/>
        <w:jc w:val="both"/>
        <w:rPr>
          <w:sz w:val="22"/>
          <w:szCs w:val="22"/>
        </w:rPr>
      </w:pPr>
      <w:r w:rsidRPr="008478C4">
        <w:rPr>
          <w:b/>
          <w:bCs/>
          <w:sz w:val="22"/>
          <w:szCs w:val="22"/>
        </w:rPr>
        <w:t>Deprivation - Ever 6 FSM</w:t>
      </w:r>
      <w:r w:rsidRPr="008478C4">
        <w:rPr>
          <w:sz w:val="22"/>
          <w:szCs w:val="22"/>
        </w:rPr>
        <w:t>: the % of pupils on roll where the FSM indicator is TRUE in any of the censuses in the last 6 years</w:t>
      </w:r>
    </w:p>
    <w:p w:rsidR="00A82907" w:rsidRPr="008478C4" w:rsidRDefault="00A82907" w:rsidP="008722A8">
      <w:pPr>
        <w:numPr>
          <w:ilvl w:val="0"/>
          <w:numId w:val="17"/>
        </w:numPr>
        <w:spacing w:after="120"/>
        <w:jc w:val="both"/>
        <w:rPr>
          <w:sz w:val="22"/>
          <w:szCs w:val="22"/>
        </w:rPr>
      </w:pPr>
      <w:r w:rsidRPr="008478C4">
        <w:rPr>
          <w:b/>
          <w:bCs/>
          <w:sz w:val="22"/>
          <w:szCs w:val="22"/>
        </w:rPr>
        <w:t>Deprivation IDACI Bands 0 - 6</w:t>
      </w:r>
      <w:r w:rsidRPr="008478C4">
        <w:rPr>
          <w:sz w:val="22"/>
          <w:szCs w:val="22"/>
        </w:rPr>
        <w:t>: the % of pupils with an IDACI score in each band 0 – 6. IDACI is calculated based on the postcodes of pupils recorded in the October Census. The proposed we</w:t>
      </w:r>
      <w:r w:rsidR="008478C4" w:rsidRPr="008478C4">
        <w:rPr>
          <w:sz w:val="22"/>
          <w:szCs w:val="22"/>
        </w:rPr>
        <w:t>ightings are unchanged from 2015/16</w:t>
      </w:r>
      <w:r w:rsidRPr="008478C4">
        <w:rPr>
          <w:sz w:val="22"/>
          <w:szCs w:val="22"/>
        </w:rPr>
        <w:t xml:space="preserve"> and are as follows:</w:t>
      </w:r>
    </w:p>
    <w:tbl>
      <w:tblPr>
        <w:tblW w:w="0" w:type="auto"/>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084"/>
        <w:gridCol w:w="1900"/>
        <w:gridCol w:w="1900"/>
      </w:tblGrid>
      <w:tr w:rsidR="00A82907" w:rsidRPr="008478C4">
        <w:tc>
          <w:tcPr>
            <w:tcW w:w="1816" w:type="dxa"/>
          </w:tcPr>
          <w:p w:rsidR="00A82907" w:rsidRPr="008478C4" w:rsidRDefault="00A82907" w:rsidP="007B1969">
            <w:pPr>
              <w:jc w:val="both"/>
              <w:rPr>
                <w:b/>
                <w:bCs/>
                <w:sz w:val="22"/>
                <w:szCs w:val="22"/>
              </w:rPr>
            </w:pPr>
            <w:r w:rsidRPr="008478C4">
              <w:rPr>
                <w:b/>
                <w:bCs/>
                <w:sz w:val="22"/>
                <w:szCs w:val="22"/>
              </w:rPr>
              <w:t>IDACI Band</w:t>
            </w:r>
          </w:p>
        </w:tc>
        <w:tc>
          <w:tcPr>
            <w:tcW w:w="2084" w:type="dxa"/>
          </w:tcPr>
          <w:p w:rsidR="00A82907" w:rsidRPr="008478C4" w:rsidRDefault="00A82907" w:rsidP="007B1969">
            <w:pPr>
              <w:jc w:val="center"/>
              <w:rPr>
                <w:b/>
                <w:bCs/>
                <w:sz w:val="22"/>
                <w:szCs w:val="22"/>
              </w:rPr>
            </w:pPr>
            <w:r w:rsidRPr="008478C4">
              <w:rPr>
                <w:b/>
                <w:bCs/>
                <w:sz w:val="22"/>
                <w:szCs w:val="22"/>
              </w:rPr>
              <w:t>IDACI Score - Lowest</w:t>
            </w:r>
          </w:p>
        </w:tc>
        <w:tc>
          <w:tcPr>
            <w:tcW w:w="1900" w:type="dxa"/>
          </w:tcPr>
          <w:p w:rsidR="00A82907" w:rsidRPr="008478C4" w:rsidRDefault="00A82907" w:rsidP="007B1969">
            <w:pPr>
              <w:jc w:val="center"/>
              <w:rPr>
                <w:b/>
                <w:bCs/>
                <w:sz w:val="22"/>
                <w:szCs w:val="22"/>
              </w:rPr>
            </w:pPr>
            <w:r w:rsidRPr="008478C4">
              <w:rPr>
                <w:b/>
                <w:bCs/>
                <w:sz w:val="22"/>
                <w:szCs w:val="22"/>
              </w:rPr>
              <w:t>IDACI Score - Highest</w:t>
            </w:r>
          </w:p>
        </w:tc>
        <w:tc>
          <w:tcPr>
            <w:tcW w:w="1900" w:type="dxa"/>
          </w:tcPr>
          <w:p w:rsidR="00A82907" w:rsidRPr="008478C4" w:rsidRDefault="00A82907" w:rsidP="007B1969">
            <w:pPr>
              <w:jc w:val="center"/>
              <w:rPr>
                <w:b/>
                <w:bCs/>
                <w:sz w:val="22"/>
                <w:szCs w:val="22"/>
              </w:rPr>
            </w:pPr>
            <w:r w:rsidRPr="008478C4">
              <w:rPr>
                <w:b/>
                <w:bCs/>
                <w:sz w:val="22"/>
                <w:szCs w:val="22"/>
              </w:rPr>
              <w:t>Proposed Weighting</w:t>
            </w:r>
          </w:p>
        </w:tc>
      </w:tr>
      <w:tr w:rsidR="00A82907" w:rsidRPr="008478C4">
        <w:tc>
          <w:tcPr>
            <w:tcW w:w="1816" w:type="dxa"/>
          </w:tcPr>
          <w:p w:rsidR="00A82907" w:rsidRPr="008478C4" w:rsidRDefault="00A82907" w:rsidP="007B1969">
            <w:pPr>
              <w:jc w:val="both"/>
              <w:rPr>
                <w:sz w:val="22"/>
                <w:szCs w:val="22"/>
              </w:rPr>
            </w:pPr>
            <w:r w:rsidRPr="008478C4">
              <w:rPr>
                <w:sz w:val="22"/>
                <w:szCs w:val="22"/>
              </w:rPr>
              <w:t>Band 1</w:t>
            </w:r>
          </w:p>
        </w:tc>
        <w:tc>
          <w:tcPr>
            <w:tcW w:w="2084" w:type="dxa"/>
          </w:tcPr>
          <w:p w:rsidR="00A82907" w:rsidRPr="008478C4" w:rsidRDefault="00A82907" w:rsidP="007B1969">
            <w:pPr>
              <w:jc w:val="center"/>
              <w:rPr>
                <w:sz w:val="22"/>
                <w:szCs w:val="22"/>
              </w:rPr>
            </w:pPr>
            <w:r w:rsidRPr="008478C4">
              <w:rPr>
                <w:sz w:val="22"/>
                <w:szCs w:val="22"/>
              </w:rPr>
              <w:t>0.20</w:t>
            </w:r>
          </w:p>
        </w:tc>
        <w:tc>
          <w:tcPr>
            <w:tcW w:w="1900" w:type="dxa"/>
          </w:tcPr>
          <w:p w:rsidR="00A82907" w:rsidRPr="008478C4" w:rsidRDefault="00A82907" w:rsidP="007B1969">
            <w:pPr>
              <w:jc w:val="center"/>
              <w:rPr>
                <w:sz w:val="22"/>
                <w:szCs w:val="22"/>
              </w:rPr>
            </w:pPr>
            <w:r w:rsidRPr="008478C4">
              <w:rPr>
                <w:sz w:val="22"/>
                <w:szCs w:val="22"/>
              </w:rPr>
              <w:t>0.25</w:t>
            </w:r>
          </w:p>
        </w:tc>
        <w:tc>
          <w:tcPr>
            <w:tcW w:w="1900" w:type="dxa"/>
          </w:tcPr>
          <w:p w:rsidR="00A82907" w:rsidRPr="008478C4" w:rsidRDefault="00A82907" w:rsidP="007B1969">
            <w:pPr>
              <w:jc w:val="center"/>
              <w:rPr>
                <w:sz w:val="22"/>
                <w:szCs w:val="22"/>
              </w:rPr>
            </w:pPr>
            <w:r w:rsidRPr="008478C4">
              <w:rPr>
                <w:sz w:val="22"/>
                <w:szCs w:val="22"/>
              </w:rPr>
              <w:t>1.00</w:t>
            </w:r>
          </w:p>
        </w:tc>
      </w:tr>
      <w:tr w:rsidR="00A82907" w:rsidRPr="008478C4">
        <w:tc>
          <w:tcPr>
            <w:tcW w:w="1816" w:type="dxa"/>
          </w:tcPr>
          <w:p w:rsidR="00A82907" w:rsidRPr="008478C4" w:rsidRDefault="00A82907" w:rsidP="007B1969">
            <w:pPr>
              <w:jc w:val="both"/>
              <w:rPr>
                <w:sz w:val="22"/>
                <w:szCs w:val="22"/>
              </w:rPr>
            </w:pPr>
            <w:r w:rsidRPr="008478C4">
              <w:rPr>
                <w:sz w:val="22"/>
                <w:szCs w:val="22"/>
              </w:rPr>
              <w:t>Band 2</w:t>
            </w:r>
          </w:p>
        </w:tc>
        <w:tc>
          <w:tcPr>
            <w:tcW w:w="2084" w:type="dxa"/>
          </w:tcPr>
          <w:p w:rsidR="00A82907" w:rsidRPr="008478C4" w:rsidRDefault="00A82907" w:rsidP="007B1969">
            <w:pPr>
              <w:jc w:val="center"/>
              <w:rPr>
                <w:sz w:val="22"/>
                <w:szCs w:val="22"/>
              </w:rPr>
            </w:pPr>
            <w:r w:rsidRPr="008478C4">
              <w:rPr>
                <w:sz w:val="22"/>
                <w:szCs w:val="22"/>
              </w:rPr>
              <w:t>0.25</w:t>
            </w:r>
          </w:p>
        </w:tc>
        <w:tc>
          <w:tcPr>
            <w:tcW w:w="1900" w:type="dxa"/>
          </w:tcPr>
          <w:p w:rsidR="00A82907" w:rsidRPr="008478C4" w:rsidRDefault="00A82907" w:rsidP="007B1969">
            <w:pPr>
              <w:jc w:val="center"/>
              <w:rPr>
                <w:sz w:val="22"/>
                <w:szCs w:val="22"/>
              </w:rPr>
            </w:pPr>
            <w:r w:rsidRPr="008478C4">
              <w:rPr>
                <w:sz w:val="22"/>
                <w:szCs w:val="22"/>
              </w:rPr>
              <w:t>0.30</w:t>
            </w:r>
          </w:p>
        </w:tc>
        <w:tc>
          <w:tcPr>
            <w:tcW w:w="1900" w:type="dxa"/>
          </w:tcPr>
          <w:p w:rsidR="00A82907" w:rsidRPr="008478C4" w:rsidRDefault="00A82907" w:rsidP="007B1969">
            <w:pPr>
              <w:jc w:val="center"/>
              <w:rPr>
                <w:sz w:val="22"/>
                <w:szCs w:val="22"/>
              </w:rPr>
            </w:pPr>
            <w:r w:rsidRPr="008478C4">
              <w:rPr>
                <w:sz w:val="22"/>
                <w:szCs w:val="22"/>
              </w:rPr>
              <w:t>1.25</w:t>
            </w:r>
          </w:p>
        </w:tc>
      </w:tr>
      <w:tr w:rsidR="00A82907" w:rsidRPr="008478C4">
        <w:tc>
          <w:tcPr>
            <w:tcW w:w="1816" w:type="dxa"/>
          </w:tcPr>
          <w:p w:rsidR="00A82907" w:rsidRPr="008478C4" w:rsidRDefault="00A82907" w:rsidP="007B1969">
            <w:pPr>
              <w:jc w:val="both"/>
              <w:rPr>
                <w:sz w:val="22"/>
                <w:szCs w:val="22"/>
              </w:rPr>
            </w:pPr>
            <w:r w:rsidRPr="008478C4">
              <w:rPr>
                <w:sz w:val="22"/>
                <w:szCs w:val="22"/>
              </w:rPr>
              <w:t>Band 3</w:t>
            </w:r>
          </w:p>
        </w:tc>
        <w:tc>
          <w:tcPr>
            <w:tcW w:w="2084" w:type="dxa"/>
          </w:tcPr>
          <w:p w:rsidR="00A82907" w:rsidRPr="008478C4" w:rsidRDefault="00A82907" w:rsidP="007B1969">
            <w:pPr>
              <w:jc w:val="center"/>
              <w:rPr>
                <w:sz w:val="22"/>
                <w:szCs w:val="22"/>
              </w:rPr>
            </w:pPr>
            <w:r w:rsidRPr="008478C4">
              <w:rPr>
                <w:sz w:val="22"/>
                <w:szCs w:val="22"/>
              </w:rPr>
              <w:t>0.30</w:t>
            </w:r>
          </w:p>
        </w:tc>
        <w:tc>
          <w:tcPr>
            <w:tcW w:w="1900" w:type="dxa"/>
          </w:tcPr>
          <w:p w:rsidR="00A82907" w:rsidRPr="008478C4" w:rsidRDefault="00A82907" w:rsidP="007B1969">
            <w:pPr>
              <w:jc w:val="center"/>
              <w:rPr>
                <w:sz w:val="22"/>
                <w:szCs w:val="22"/>
              </w:rPr>
            </w:pPr>
            <w:r w:rsidRPr="008478C4">
              <w:rPr>
                <w:sz w:val="22"/>
                <w:szCs w:val="22"/>
              </w:rPr>
              <w:t>0.40</w:t>
            </w:r>
          </w:p>
        </w:tc>
        <w:tc>
          <w:tcPr>
            <w:tcW w:w="1900" w:type="dxa"/>
          </w:tcPr>
          <w:p w:rsidR="00A82907" w:rsidRPr="008478C4" w:rsidRDefault="00A82907" w:rsidP="007B1969">
            <w:pPr>
              <w:jc w:val="center"/>
              <w:rPr>
                <w:sz w:val="22"/>
                <w:szCs w:val="22"/>
              </w:rPr>
            </w:pPr>
            <w:r w:rsidRPr="008478C4">
              <w:rPr>
                <w:sz w:val="22"/>
                <w:szCs w:val="22"/>
              </w:rPr>
              <w:t>1.50</w:t>
            </w:r>
          </w:p>
        </w:tc>
      </w:tr>
      <w:tr w:rsidR="00A82907" w:rsidRPr="008478C4">
        <w:tc>
          <w:tcPr>
            <w:tcW w:w="1816" w:type="dxa"/>
          </w:tcPr>
          <w:p w:rsidR="00A82907" w:rsidRPr="008478C4" w:rsidRDefault="00A82907" w:rsidP="007B1969">
            <w:pPr>
              <w:jc w:val="both"/>
              <w:rPr>
                <w:sz w:val="22"/>
                <w:szCs w:val="22"/>
              </w:rPr>
            </w:pPr>
            <w:r w:rsidRPr="008478C4">
              <w:rPr>
                <w:sz w:val="22"/>
                <w:szCs w:val="22"/>
              </w:rPr>
              <w:t>Band 4</w:t>
            </w:r>
          </w:p>
        </w:tc>
        <w:tc>
          <w:tcPr>
            <w:tcW w:w="2084" w:type="dxa"/>
          </w:tcPr>
          <w:p w:rsidR="00A82907" w:rsidRPr="008478C4" w:rsidRDefault="00A82907" w:rsidP="007B1969">
            <w:pPr>
              <w:jc w:val="center"/>
              <w:rPr>
                <w:sz w:val="22"/>
                <w:szCs w:val="22"/>
              </w:rPr>
            </w:pPr>
            <w:r w:rsidRPr="008478C4">
              <w:rPr>
                <w:sz w:val="22"/>
                <w:szCs w:val="22"/>
              </w:rPr>
              <w:t>0.40</w:t>
            </w:r>
          </w:p>
        </w:tc>
        <w:tc>
          <w:tcPr>
            <w:tcW w:w="1900" w:type="dxa"/>
          </w:tcPr>
          <w:p w:rsidR="00A82907" w:rsidRPr="008478C4" w:rsidRDefault="00A82907" w:rsidP="007B1969">
            <w:pPr>
              <w:jc w:val="center"/>
              <w:rPr>
                <w:sz w:val="22"/>
                <w:szCs w:val="22"/>
              </w:rPr>
            </w:pPr>
            <w:r w:rsidRPr="008478C4">
              <w:rPr>
                <w:sz w:val="22"/>
                <w:szCs w:val="22"/>
              </w:rPr>
              <w:t>0.50</w:t>
            </w:r>
          </w:p>
        </w:tc>
        <w:tc>
          <w:tcPr>
            <w:tcW w:w="1900" w:type="dxa"/>
          </w:tcPr>
          <w:p w:rsidR="00A82907" w:rsidRPr="008478C4" w:rsidRDefault="00A82907" w:rsidP="007B1969">
            <w:pPr>
              <w:jc w:val="center"/>
              <w:rPr>
                <w:sz w:val="22"/>
                <w:szCs w:val="22"/>
              </w:rPr>
            </w:pPr>
            <w:r w:rsidRPr="008478C4">
              <w:rPr>
                <w:sz w:val="22"/>
                <w:szCs w:val="22"/>
              </w:rPr>
              <w:t>1.75</w:t>
            </w:r>
          </w:p>
        </w:tc>
      </w:tr>
      <w:tr w:rsidR="00A82907" w:rsidRPr="008478C4">
        <w:tc>
          <w:tcPr>
            <w:tcW w:w="1816" w:type="dxa"/>
          </w:tcPr>
          <w:p w:rsidR="00A82907" w:rsidRPr="008478C4" w:rsidRDefault="00A82907" w:rsidP="007B1969">
            <w:pPr>
              <w:jc w:val="both"/>
              <w:rPr>
                <w:sz w:val="22"/>
                <w:szCs w:val="22"/>
              </w:rPr>
            </w:pPr>
            <w:r w:rsidRPr="008478C4">
              <w:rPr>
                <w:sz w:val="22"/>
                <w:szCs w:val="22"/>
              </w:rPr>
              <w:t>Band 5</w:t>
            </w:r>
          </w:p>
        </w:tc>
        <w:tc>
          <w:tcPr>
            <w:tcW w:w="2084" w:type="dxa"/>
          </w:tcPr>
          <w:p w:rsidR="00A82907" w:rsidRPr="008478C4" w:rsidRDefault="00A82907" w:rsidP="007B1969">
            <w:pPr>
              <w:jc w:val="center"/>
              <w:rPr>
                <w:sz w:val="22"/>
                <w:szCs w:val="22"/>
              </w:rPr>
            </w:pPr>
            <w:r w:rsidRPr="008478C4">
              <w:rPr>
                <w:sz w:val="22"/>
                <w:szCs w:val="22"/>
              </w:rPr>
              <w:t>0.50</w:t>
            </w:r>
          </w:p>
        </w:tc>
        <w:tc>
          <w:tcPr>
            <w:tcW w:w="1900" w:type="dxa"/>
          </w:tcPr>
          <w:p w:rsidR="00A82907" w:rsidRPr="008478C4" w:rsidRDefault="00A82907" w:rsidP="007B1969">
            <w:pPr>
              <w:jc w:val="center"/>
              <w:rPr>
                <w:sz w:val="22"/>
                <w:szCs w:val="22"/>
              </w:rPr>
            </w:pPr>
            <w:r w:rsidRPr="008478C4">
              <w:rPr>
                <w:sz w:val="22"/>
                <w:szCs w:val="22"/>
              </w:rPr>
              <w:t>0.60</w:t>
            </w:r>
          </w:p>
        </w:tc>
        <w:tc>
          <w:tcPr>
            <w:tcW w:w="1900" w:type="dxa"/>
          </w:tcPr>
          <w:p w:rsidR="00A82907" w:rsidRPr="008478C4" w:rsidRDefault="00A82907" w:rsidP="007B1969">
            <w:pPr>
              <w:jc w:val="center"/>
              <w:rPr>
                <w:sz w:val="22"/>
                <w:szCs w:val="22"/>
              </w:rPr>
            </w:pPr>
            <w:r w:rsidRPr="008478C4">
              <w:rPr>
                <w:sz w:val="22"/>
                <w:szCs w:val="22"/>
              </w:rPr>
              <w:t>2.25</w:t>
            </w:r>
          </w:p>
        </w:tc>
      </w:tr>
      <w:tr w:rsidR="00A82907" w:rsidRPr="00CE63F5">
        <w:tc>
          <w:tcPr>
            <w:tcW w:w="1816" w:type="dxa"/>
          </w:tcPr>
          <w:p w:rsidR="00A82907" w:rsidRPr="008478C4" w:rsidRDefault="00A82907" w:rsidP="007B1969">
            <w:pPr>
              <w:jc w:val="both"/>
              <w:rPr>
                <w:sz w:val="22"/>
                <w:szCs w:val="22"/>
              </w:rPr>
            </w:pPr>
            <w:r w:rsidRPr="008478C4">
              <w:rPr>
                <w:sz w:val="22"/>
                <w:szCs w:val="22"/>
              </w:rPr>
              <w:t>Band 6</w:t>
            </w:r>
          </w:p>
        </w:tc>
        <w:tc>
          <w:tcPr>
            <w:tcW w:w="2084" w:type="dxa"/>
          </w:tcPr>
          <w:p w:rsidR="00A82907" w:rsidRPr="008478C4" w:rsidRDefault="00A82907" w:rsidP="007B1969">
            <w:pPr>
              <w:jc w:val="center"/>
              <w:rPr>
                <w:sz w:val="22"/>
                <w:szCs w:val="22"/>
              </w:rPr>
            </w:pPr>
            <w:r w:rsidRPr="008478C4">
              <w:rPr>
                <w:sz w:val="22"/>
                <w:szCs w:val="22"/>
              </w:rPr>
              <w:t>0.60</w:t>
            </w:r>
          </w:p>
        </w:tc>
        <w:tc>
          <w:tcPr>
            <w:tcW w:w="1900" w:type="dxa"/>
          </w:tcPr>
          <w:p w:rsidR="00A82907" w:rsidRPr="008478C4" w:rsidRDefault="00A82907" w:rsidP="007B1969">
            <w:pPr>
              <w:jc w:val="center"/>
              <w:rPr>
                <w:sz w:val="22"/>
                <w:szCs w:val="22"/>
              </w:rPr>
            </w:pPr>
            <w:r w:rsidRPr="008478C4">
              <w:rPr>
                <w:sz w:val="22"/>
                <w:szCs w:val="22"/>
              </w:rPr>
              <w:t>1.00</w:t>
            </w:r>
          </w:p>
        </w:tc>
        <w:tc>
          <w:tcPr>
            <w:tcW w:w="1900" w:type="dxa"/>
          </w:tcPr>
          <w:p w:rsidR="00A82907" w:rsidRPr="008478C4" w:rsidRDefault="00A82907" w:rsidP="007B1969">
            <w:pPr>
              <w:jc w:val="center"/>
              <w:rPr>
                <w:sz w:val="22"/>
                <w:szCs w:val="22"/>
              </w:rPr>
            </w:pPr>
            <w:r w:rsidRPr="008478C4">
              <w:rPr>
                <w:sz w:val="22"/>
                <w:szCs w:val="22"/>
              </w:rPr>
              <w:t>2.75</w:t>
            </w:r>
          </w:p>
        </w:tc>
      </w:tr>
    </w:tbl>
    <w:p w:rsidR="008722A8" w:rsidRPr="008722A8" w:rsidRDefault="008722A8" w:rsidP="008722A8">
      <w:pPr>
        <w:jc w:val="both"/>
        <w:rPr>
          <w:sz w:val="12"/>
          <w:szCs w:val="12"/>
        </w:rPr>
      </w:pPr>
    </w:p>
    <w:p w:rsidR="00A82907" w:rsidRPr="008722A8" w:rsidRDefault="00A82907" w:rsidP="008722A8">
      <w:pPr>
        <w:pStyle w:val="ListParagraph"/>
        <w:numPr>
          <w:ilvl w:val="0"/>
          <w:numId w:val="22"/>
        </w:numPr>
        <w:spacing w:after="120"/>
        <w:jc w:val="both"/>
        <w:rPr>
          <w:sz w:val="22"/>
          <w:szCs w:val="22"/>
        </w:rPr>
      </w:pPr>
      <w:r w:rsidRPr="008722A8">
        <w:rPr>
          <w:b/>
          <w:bCs/>
          <w:sz w:val="22"/>
          <w:szCs w:val="22"/>
        </w:rPr>
        <w:t>SEN Low Prior Attainment Primary</w:t>
      </w:r>
      <w:r w:rsidRPr="008722A8">
        <w:rPr>
          <w:sz w:val="22"/>
          <w:szCs w:val="22"/>
        </w:rPr>
        <w:t xml:space="preserve">: the % of </w:t>
      </w:r>
      <w:r w:rsidR="00695603" w:rsidRPr="008722A8">
        <w:rPr>
          <w:sz w:val="22"/>
          <w:szCs w:val="22"/>
        </w:rPr>
        <w:t>pupils in years 4, 5 and 6</w:t>
      </w:r>
      <w:r w:rsidRPr="008722A8">
        <w:rPr>
          <w:sz w:val="22"/>
          <w:szCs w:val="22"/>
        </w:rPr>
        <w:t xml:space="preserve"> that received less than 73 points on their Early Years Foundation Stage Profile (EYFSP) plus the </w:t>
      </w:r>
      <w:r w:rsidR="00695603" w:rsidRPr="008722A8">
        <w:rPr>
          <w:sz w:val="22"/>
          <w:szCs w:val="22"/>
        </w:rPr>
        <w:t>% of pupils in years 1,</w:t>
      </w:r>
      <w:r w:rsidRPr="008722A8">
        <w:rPr>
          <w:sz w:val="22"/>
          <w:szCs w:val="22"/>
        </w:rPr>
        <w:t xml:space="preserve"> 2</w:t>
      </w:r>
      <w:r w:rsidR="00695603" w:rsidRPr="008722A8">
        <w:rPr>
          <w:sz w:val="22"/>
          <w:szCs w:val="22"/>
        </w:rPr>
        <w:t xml:space="preserve"> and 3</w:t>
      </w:r>
      <w:r w:rsidRPr="008722A8">
        <w:rPr>
          <w:sz w:val="22"/>
          <w:szCs w:val="22"/>
        </w:rPr>
        <w:t xml:space="preserve"> who did not achieve “a good level of development” under the new EYFSP</w:t>
      </w:r>
      <w:r w:rsidR="00695603" w:rsidRPr="008722A8">
        <w:rPr>
          <w:sz w:val="22"/>
          <w:szCs w:val="22"/>
        </w:rPr>
        <w:t>. A weighting is applied to ensure that funding delivered through this factor is not disproportionately affected by the year groups assessed under the new framework.</w:t>
      </w:r>
    </w:p>
    <w:p w:rsidR="0098142E" w:rsidRPr="008722A8" w:rsidRDefault="00A82907" w:rsidP="008722A8">
      <w:pPr>
        <w:numPr>
          <w:ilvl w:val="0"/>
          <w:numId w:val="16"/>
        </w:numPr>
        <w:jc w:val="both"/>
        <w:rPr>
          <w:b/>
          <w:bCs/>
          <w:sz w:val="22"/>
          <w:szCs w:val="22"/>
        </w:rPr>
      </w:pPr>
      <w:r w:rsidRPr="008478C4">
        <w:rPr>
          <w:b/>
          <w:bCs/>
          <w:sz w:val="22"/>
          <w:szCs w:val="22"/>
        </w:rPr>
        <w:t>English as an Additional Language (EAL) 3</w:t>
      </w:r>
      <w:r w:rsidRPr="008478C4">
        <w:rPr>
          <w:sz w:val="22"/>
          <w:szCs w:val="22"/>
        </w:rPr>
        <w:t>: the % of pupils whose first language is not English and who are appearing on the school census for the first, second or third year.</w:t>
      </w:r>
    </w:p>
    <w:p w:rsidR="008722A8" w:rsidRPr="008722A8" w:rsidRDefault="008722A8" w:rsidP="008722A8">
      <w:pPr>
        <w:jc w:val="both"/>
        <w:rPr>
          <w:b/>
          <w:bCs/>
          <w:sz w:val="22"/>
          <w:szCs w:val="22"/>
        </w:rPr>
      </w:pPr>
    </w:p>
    <w:p w:rsidR="00A82907" w:rsidRPr="008478C4" w:rsidRDefault="000374B7" w:rsidP="00612E39">
      <w:pPr>
        <w:jc w:val="both"/>
        <w:rPr>
          <w:sz w:val="22"/>
          <w:szCs w:val="22"/>
        </w:rPr>
      </w:pPr>
      <w:r>
        <w:rPr>
          <w:sz w:val="22"/>
          <w:szCs w:val="22"/>
        </w:rPr>
        <w:t>3</w:t>
      </w:r>
      <w:r w:rsidR="0068569E" w:rsidRPr="008478C4">
        <w:rPr>
          <w:sz w:val="22"/>
          <w:szCs w:val="22"/>
        </w:rPr>
        <w:t>.4</w:t>
      </w:r>
      <w:r w:rsidR="00A82907" w:rsidRPr="008478C4">
        <w:rPr>
          <w:sz w:val="22"/>
          <w:szCs w:val="22"/>
        </w:rPr>
        <w:t xml:space="preserve"> </w:t>
      </w:r>
      <w:r>
        <w:rPr>
          <w:sz w:val="22"/>
          <w:szCs w:val="22"/>
        </w:rPr>
        <w:t>W</w:t>
      </w:r>
      <w:r w:rsidR="00A82907" w:rsidRPr="008478C4">
        <w:rPr>
          <w:sz w:val="22"/>
          <w:szCs w:val="22"/>
        </w:rPr>
        <w:t xml:space="preserve">e will </w:t>
      </w:r>
      <w:r>
        <w:rPr>
          <w:sz w:val="22"/>
          <w:szCs w:val="22"/>
        </w:rPr>
        <w:t xml:space="preserve">continue </w:t>
      </w:r>
      <w:r w:rsidR="007475C5">
        <w:rPr>
          <w:sz w:val="22"/>
          <w:szCs w:val="22"/>
        </w:rPr>
        <w:t xml:space="preserve">to </w:t>
      </w:r>
      <w:r w:rsidR="00A82907" w:rsidRPr="008478C4">
        <w:rPr>
          <w:sz w:val="22"/>
          <w:szCs w:val="22"/>
        </w:rPr>
        <w:t>not employ the following optional factors in 201</w:t>
      </w:r>
      <w:r w:rsidR="008478C4">
        <w:rPr>
          <w:sz w:val="22"/>
          <w:szCs w:val="22"/>
        </w:rPr>
        <w:t>6/17</w:t>
      </w:r>
      <w:r w:rsidR="00A82907" w:rsidRPr="008478C4">
        <w:rPr>
          <w:sz w:val="22"/>
          <w:szCs w:val="22"/>
        </w:rPr>
        <w:t>:</w:t>
      </w:r>
    </w:p>
    <w:p w:rsidR="00A82907" w:rsidRPr="008722A8" w:rsidRDefault="00A82907" w:rsidP="00080DF0">
      <w:pPr>
        <w:ind w:left="357"/>
        <w:jc w:val="both"/>
        <w:rPr>
          <w:sz w:val="12"/>
          <w:szCs w:val="12"/>
        </w:rPr>
      </w:pPr>
    </w:p>
    <w:p w:rsidR="00A82907" w:rsidRPr="008722A8" w:rsidRDefault="00A82907" w:rsidP="008722A8">
      <w:pPr>
        <w:numPr>
          <w:ilvl w:val="0"/>
          <w:numId w:val="14"/>
        </w:numPr>
        <w:spacing w:after="120"/>
        <w:jc w:val="both"/>
        <w:rPr>
          <w:sz w:val="22"/>
          <w:szCs w:val="22"/>
        </w:rPr>
      </w:pPr>
      <w:r w:rsidRPr="00933771">
        <w:rPr>
          <w:sz w:val="22"/>
          <w:szCs w:val="22"/>
        </w:rPr>
        <w:t>Sparsity Factor - the sparsity factor is not applicable to any school / academy in the Bradford District</w:t>
      </w:r>
    </w:p>
    <w:p w:rsidR="00A82907" w:rsidRPr="008722A8" w:rsidRDefault="00A82907" w:rsidP="008722A8">
      <w:pPr>
        <w:numPr>
          <w:ilvl w:val="0"/>
          <w:numId w:val="14"/>
        </w:numPr>
        <w:spacing w:after="120"/>
        <w:jc w:val="both"/>
        <w:rPr>
          <w:sz w:val="22"/>
          <w:szCs w:val="22"/>
        </w:rPr>
      </w:pPr>
      <w:r w:rsidRPr="00933771">
        <w:rPr>
          <w:sz w:val="22"/>
          <w:szCs w:val="22"/>
        </w:rPr>
        <w:t xml:space="preserve">Looked After Children - it </w:t>
      </w:r>
      <w:r w:rsidR="00933771">
        <w:rPr>
          <w:sz w:val="22"/>
          <w:szCs w:val="22"/>
        </w:rPr>
        <w:t>continues to be</w:t>
      </w:r>
      <w:r w:rsidRPr="00933771">
        <w:rPr>
          <w:sz w:val="22"/>
          <w:szCs w:val="22"/>
        </w:rPr>
        <w:t xml:space="preserve"> our view that the </w:t>
      </w:r>
      <w:r w:rsidR="00933771">
        <w:rPr>
          <w:sz w:val="22"/>
          <w:szCs w:val="22"/>
        </w:rPr>
        <w:t>Pupil Premium should</w:t>
      </w:r>
      <w:r w:rsidRPr="00933771">
        <w:rPr>
          <w:sz w:val="22"/>
          <w:szCs w:val="22"/>
        </w:rPr>
        <w:t xml:space="preserve"> be the source of funding for Looked After Ch</w:t>
      </w:r>
      <w:r w:rsidR="008478C4" w:rsidRPr="00933771">
        <w:rPr>
          <w:sz w:val="22"/>
          <w:szCs w:val="22"/>
        </w:rPr>
        <w:t>ildren, as has been the case since 2013/14</w:t>
      </w:r>
      <w:r w:rsidRPr="00933771">
        <w:rPr>
          <w:sz w:val="22"/>
          <w:szCs w:val="22"/>
        </w:rPr>
        <w:t>. The Pupil Premium is currently set at £1,900 for child</w:t>
      </w:r>
      <w:r w:rsidR="008478C4" w:rsidRPr="00933771">
        <w:rPr>
          <w:sz w:val="22"/>
          <w:szCs w:val="22"/>
        </w:rPr>
        <w:t>ren who are looked after in 2015/16</w:t>
      </w:r>
      <w:r w:rsidRPr="00933771">
        <w:rPr>
          <w:sz w:val="22"/>
          <w:szCs w:val="22"/>
        </w:rPr>
        <w:t xml:space="preserve">, which is above our previous value of £1,000. </w:t>
      </w:r>
      <w:r w:rsidR="008478C4" w:rsidRPr="00933771">
        <w:rPr>
          <w:sz w:val="22"/>
          <w:szCs w:val="22"/>
        </w:rPr>
        <w:t>The Pupil Premium rates for 2016/17</w:t>
      </w:r>
      <w:r w:rsidRPr="00933771">
        <w:rPr>
          <w:sz w:val="22"/>
          <w:szCs w:val="22"/>
        </w:rPr>
        <w:t xml:space="preserve"> have not yet been confirmed, but </w:t>
      </w:r>
      <w:r w:rsidR="008478C4" w:rsidRPr="00933771">
        <w:rPr>
          <w:sz w:val="22"/>
          <w:szCs w:val="22"/>
        </w:rPr>
        <w:t>rates are not expected to decrease in 2016/17.</w:t>
      </w:r>
    </w:p>
    <w:p w:rsidR="00A82907" w:rsidRPr="008478C4" w:rsidRDefault="00A82907" w:rsidP="008722A8">
      <w:pPr>
        <w:numPr>
          <w:ilvl w:val="0"/>
          <w:numId w:val="14"/>
        </w:numPr>
        <w:jc w:val="both"/>
        <w:rPr>
          <w:sz w:val="22"/>
          <w:szCs w:val="22"/>
        </w:rPr>
      </w:pPr>
      <w:r w:rsidRPr="008478C4">
        <w:rPr>
          <w:sz w:val="22"/>
          <w:szCs w:val="22"/>
        </w:rPr>
        <w:t>Post-16 Factor - we took the opportunity to remove post-16 funding factors from the secondary funding formula in 2013/14</w:t>
      </w:r>
    </w:p>
    <w:p w:rsidR="00A82907" w:rsidRPr="008478C4" w:rsidRDefault="00A82907" w:rsidP="00E11B51">
      <w:pPr>
        <w:pStyle w:val="ListParagraph"/>
        <w:rPr>
          <w:sz w:val="22"/>
          <w:szCs w:val="22"/>
        </w:rPr>
      </w:pPr>
    </w:p>
    <w:p w:rsidR="00A82907" w:rsidRDefault="00E867D1" w:rsidP="00E11B51">
      <w:pPr>
        <w:jc w:val="both"/>
        <w:rPr>
          <w:sz w:val="22"/>
          <w:szCs w:val="22"/>
        </w:rPr>
      </w:pPr>
      <w:r>
        <w:rPr>
          <w:sz w:val="22"/>
          <w:szCs w:val="22"/>
        </w:rPr>
        <w:t>3</w:t>
      </w:r>
      <w:r w:rsidR="0068569E" w:rsidRPr="008478C4">
        <w:rPr>
          <w:sz w:val="22"/>
          <w:szCs w:val="22"/>
        </w:rPr>
        <w:t>.5</w:t>
      </w:r>
      <w:r w:rsidR="00A82907" w:rsidRPr="008478C4">
        <w:rPr>
          <w:sz w:val="22"/>
          <w:szCs w:val="22"/>
        </w:rPr>
        <w:t xml:space="preserve"> There is no change to the operation o</w:t>
      </w:r>
      <w:r w:rsidR="008478C4">
        <w:rPr>
          <w:sz w:val="22"/>
          <w:szCs w:val="22"/>
        </w:rPr>
        <w:t>f the split sites factor in 2016/17</w:t>
      </w:r>
      <w:r>
        <w:rPr>
          <w:sz w:val="22"/>
          <w:szCs w:val="22"/>
        </w:rPr>
        <w:t>.</w:t>
      </w:r>
    </w:p>
    <w:p w:rsidR="00E867D1" w:rsidRPr="008478C4" w:rsidRDefault="00E867D1" w:rsidP="00E11B51">
      <w:pPr>
        <w:jc w:val="both"/>
        <w:rPr>
          <w:sz w:val="22"/>
          <w:szCs w:val="22"/>
        </w:rPr>
      </w:pPr>
    </w:p>
    <w:p w:rsidR="00A82907" w:rsidRPr="008478C4" w:rsidRDefault="00A82907" w:rsidP="00E11B51">
      <w:pPr>
        <w:jc w:val="both"/>
        <w:rPr>
          <w:sz w:val="22"/>
          <w:szCs w:val="22"/>
        </w:rPr>
      </w:pPr>
      <w:r w:rsidRPr="008478C4">
        <w:rPr>
          <w:sz w:val="22"/>
          <w:szCs w:val="22"/>
        </w:rPr>
        <w:t>a) The criteria used to define a split site are unch</w:t>
      </w:r>
      <w:r w:rsidR="008478C4">
        <w:rPr>
          <w:sz w:val="22"/>
          <w:szCs w:val="22"/>
        </w:rPr>
        <w:t>anged for 2016/17</w:t>
      </w:r>
      <w:r w:rsidRPr="008478C4">
        <w:rPr>
          <w:sz w:val="22"/>
          <w:szCs w:val="22"/>
        </w:rPr>
        <w:t xml:space="preserve"> and are as follows:</w:t>
      </w:r>
    </w:p>
    <w:p w:rsidR="00A82907" w:rsidRPr="008722A8" w:rsidRDefault="00A82907" w:rsidP="00E11B51">
      <w:pPr>
        <w:ind w:firstLine="720"/>
        <w:jc w:val="both"/>
        <w:rPr>
          <w:sz w:val="12"/>
          <w:szCs w:val="12"/>
        </w:rPr>
      </w:pPr>
    </w:p>
    <w:p w:rsidR="00A82907" w:rsidRPr="008478C4" w:rsidRDefault="00A82907" w:rsidP="008722A8">
      <w:pPr>
        <w:numPr>
          <w:ilvl w:val="0"/>
          <w:numId w:val="15"/>
        </w:numPr>
        <w:jc w:val="both"/>
        <w:rPr>
          <w:sz w:val="22"/>
          <w:szCs w:val="22"/>
        </w:rPr>
      </w:pPr>
      <w:r w:rsidRPr="008478C4">
        <w:rPr>
          <w:i/>
          <w:iCs/>
          <w:sz w:val="22"/>
          <w:szCs w:val="22"/>
        </w:rPr>
        <w:t>Essential</w:t>
      </w:r>
      <w:r w:rsidRPr="008478C4">
        <w:rPr>
          <w:sz w:val="22"/>
          <w:szCs w:val="22"/>
        </w:rPr>
        <w:t xml:space="preserve"> - two or more distinctly separate campuses where there is no single continuous boundary and where the campuses are split by a through road.</w:t>
      </w:r>
    </w:p>
    <w:p w:rsidR="00A82907" w:rsidRPr="008478C4" w:rsidRDefault="00A82907" w:rsidP="008722A8">
      <w:pPr>
        <w:numPr>
          <w:ilvl w:val="0"/>
          <w:numId w:val="15"/>
        </w:numPr>
        <w:jc w:val="both"/>
        <w:rPr>
          <w:sz w:val="22"/>
          <w:szCs w:val="22"/>
        </w:rPr>
      </w:pPr>
      <w:r w:rsidRPr="008478C4">
        <w:rPr>
          <w:sz w:val="22"/>
          <w:szCs w:val="22"/>
        </w:rPr>
        <w:t>Additional criteria (for weighting of funding):</w:t>
      </w:r>
    </w:p>
    <w:p w:rsidR="00A82907" w:rsidRPr="008478C4" w:rsidRDefault="00A82907" w:rsidP="00E11B51">
      <w:pPr>
        <w:ind w:left="1080"/>
        <w:jc w:val="both"/>
        <w:rPr>
          <w:sz w:val="22"/>
          <w:szCs w:val="22"/>
        </w:rPr>
      </w:pPr>
      <w:r w:rsidRPr="008478C4">
        <w:rPr>
          <w:i/>
          <w:iCs/>
          <w:sz w:val="22"/>
          <w:szCs w:val="22"/>
        </w:rPr>
        <w:t>Category A</w:t>
      </w:r>
      <w:r w:rsidRPr="008478C4">
        <w:rPr>
          <w:sz w:val="22"/>
          <w:szCs w:val="22"/>
        </w:rPr>
        <w:t xml:space="preserve"> - where it is impossible not to move a proportion (either 25% or 50%) of total school / academy pupils between the campuses within the school day</w:t>
      </w:r>
    </w:p>
    <w:p w:rsidR="00A82907" w:rsidRPr="008478C4" w:rsidRDefault="00A82907" w:rsidP="00E11B51">
      <w:pPr>
        <w:ind w:left="1080"/>
        <w:jc w:val="both"/>
        <w:rPr>
          <w:sz w:val="22"/>
          <w:szCs w:val="22"/>
        </w:rPr>
      </w:pPr>
      <w:r w:rsidRPr="008478C4">
        <w:rPr>
          <w:i/>
          <w:iCs/>
          <w:sz w:val="22"/>
          <w:szCs w:val="22"/>
        </w:rPr>
        <w:t>Category B</w:t>
      </w:r>
      <w:r w:rsidRPr="008478C4">
        <w:rPr>
          <w:sz w:val="22"/>
          <w:szCs w:val="22"/>
        </w:rPr>
        <w:t xml:space="preserve"> - where the campuses are more than 400 metres apart </w:t>
      </w:r>
    </w:p>
    <w:p w:rsidR="00A82907" w:rsidRPr="008478C4" w:rsidRDefault="00A82907" w:rsidP="00E11B51">
      <w:pPr>
        <w:jc w:val="both"/>
        <w:rPr>
          <w:sz w:val="22"/>
          <w:szCs w:val="22"/>
        </w:rPr>
      </w:pPr>
    </w:p>
    <w:p w:rsidR="00A82907" w:rsidRPr="008478C4" w:rsidRDefault="00A82907" w:rsidP="00E11B51">
      <w:pPr>
        <w:jc w:val="both"/>
        <w:rPr>
          <w:sz w:val="22"/>
          <w:szCs w:val="22"/>
        </w:rPr>
      </w:pPr>
      <w:r w:rsidRPr="008478C4">
        <w:rPr>
          <w:sz w:val="22"/>
          <w:szCs w:val="22"/>
        </w:rPr>
        <w:t>b) The criteria used to allocate funding to a school / academy operating across a split site based on the categories defined above, are as follows:</w:t>
      </w:r>
    </w:p>
    <w:p w:rsidR="00A82907" w:rsidRPr="008722A8" w:rsidRDefault="00A82907" w:rsidP="00E11B51">
      <w:pPr>
        <w:ind w:left="720"/>
        <w:jc w:val="both"/>
        <w:rPr>
          <w:sz w:val="12"/>
          <w:szCs w:val="12"/>
        </w:rPr>
      </w:pPr>
    </w:p>
    <w:tbl>
      <w:tblPr>
        <w:tblW w:w="8872" w:type="dxa"/>
        <w:jc w:val="center"/>
        <w:tblLook w:val="0000" w:firstRow="0" w:lastRow="0" w:firstColumn="0" w:lastColumn="0" w:noHBand="0" w:noVBand="0"/>
      </w:tblPr>
      <w:tblGrid>
        <w:gridCol w:w="2680"/>
        <w:gridCol w:w="1548"/>
        <w:gridCol w:w="1548"/>
        <w:gridCol w:w="1548"/>
        <w:gridCol w:w="1548"/>
      </w:tblGrid>
      <w:tr w:rsidR="00A82907" w:rsidRPr="008478C4">
        <w:trPr>
          <w:trHeight w:val="225"/>
          <w:jc w:val="center"/>
        </w:trPr>
        <w:tc>
          <w:tcPr>
            <w:tcW w:w="268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82907" w:rsidRPr="008478C4" w:rsidRDefault="00A82907" w:rsidP="00E11B51">
            <w:pPr>
              <w:rPr>
                <w:b/>
                <w:bCs/>
                <w:sz w:val="22"/>
                <w:szCs w:val="22"/>
              </w:rPr>
            </w:pPr>
            <w:r w:rsidRPr="008478C4">
              <w:rPr>
                <w:b/>
                <w:bCs/>
                <w:sz w:val="22"/>
                <w:szCs w:val="22"/>
              </w:rPr>
              <w:t>Category</w:t>
            </w:r>
          </w:p>
        </w:tc>
        <w:tc>
          <w:tcPr>
            <w:tcW w:w="1548" w:type="dxa"/>
            <w:tcBorders>
              <w:top w:val="single" w:sz="4" w:space="0" w:color="auto"/>
              <w:left w:val="nil"/>
              <w:bottom w:val="single" w:sz="4" w:space="0" w:color="auto"/>
              <w:right w:val="nil"/>
            </w:tcBorders>
            <w:shd w:val="clear" w:color="auto" w:fill="FFFFFF"/>
            <w:noWrap/>
            <w:vAlign w:val="bottom"/>
          </w:tcPr>
          <w:p w:rsidR="00A82907" w:rsidRPr="008478C4" w:rsidRDefault="00A82907" w:rsidP="00E11B51">
            <w:pPr>
              <w:jc w:val="right"/>
              <w:rPr>
                <w:b/>
                <w:bCs/>
                <w:sz w:val="22"/>
                <w:szCs w:val="22"/>
              </w:rPr>
            </w:pPr>
            <w:r w:rsidRPr="008478C4">
              <w:rPr>
                <w:b/>
                <w:bCs/>
                <w:sz w:val="22"/>
                <w:szCs w:val="22"/>
              </w:rPr>
              <w:t>Primary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8478C4" w:rsidRDefault="00A82907" w:rsidP="00E11B51">
            <w:pPr>
              <w:jc w:val="right"/>
              <w:rPr>
                <w:b/>
                <w:bCs/>
                <w:sz w:val="22"/>
                <w:szCs w:val="22"/>
              </w:rPr>
            </w:pPr>
            <w:r w:rsidRPr="008478C4">
              <w:rPr>
                <w:b/>
                <w:bCs/>
                <w:sz w:val="22"/>
                <w:szCs w:val="22"/>
              </w:rPr>
              <w:t>Primary APP</w:t>
            </w:r>
          </w:p>
        </w:tc>
        <w:tc>
          <w:tcPr>
            <w:tcW w:w="1548" w:type="dxa"/>
            <w:tcBorders>
              <w:top w:val="single" w:sz="4" w:space="0" w:color="auto"/>
              <w:left w:val="nil"/>
              <w:bottom w:val="single" w:sz="4" w:space="0" w:color="auto"/>
              <w:right w:val="nil"/>
            </w:tcBorders>
            <w:shd w:val="clear" w:color="auto" w:fill="FFFFFF"/>
            <w:noWrap/>
            <w:vAlign w:val="bottom"/>
          </w:tcPr>
          <w:p w:rsidR="00A82907" w:rsidRPr="008478C4" w:rsidRDefault="00A82907" w:rsidP="00E11B51">
            <w:pPr>
              <w:jc w:val="right"/>
              <w:rPr>
                <w:b/>
                <w:bCs/>
                <w:sz w:val="22"/>
                <w:szCs w:val="22"/>
              </w:rPr>
            </w:pPr>
            <w:r w:rsidRPr="008478C4">
              <w:rPr>
                <w:b/>
                <w:bCs/>
                <w:sz w:val="22"/>
                <w:szCs w:val="22"/>
              </w:rPr>
              <w:t>Secondary Lump</w:t>
            </w:r>
          </w:p>
        </w:tc>
        <w:tc>
          <w:tcPr>
            <w:tcW w:w="1548" w:type="dxa"/>
            <w:tcBorders>
              <w:top w:val="single" w:sz="4" w:space="0" w:color="auto"/>
              <w:left w:val="nil"/>
              <w:bottom w:val="single" w:sz="4" w:space="0" w:color="auto"/>
              <w:right w:val="single" w:sz="4" w:space="0" w:color="auto"/>
            </w:tcBorders>
            <w:shd w:val="clear" w:color="auto" w:fill="FFFFFF"/>
            <w:noWrap/>
            <w:vAlign w:val="bottom"/>
          </w:tcPr>
          <w:p w:rsidR="00A82907" w:rsidRPr="008478C4" w:rsidRDefault="00A82907" w:rsidP="00E11B51">
            <w:pPr>
              <w:jc w:val="right"/>
              <w:rPr>
                <w:b/>
                <w:bCs/>
                <w:sz w:val="22"/>
                <w:szCs w:val="22"/>
              </w:rPr>
            </w:pPr>
            <w:r w:rsidRPr="008478C4">
              <w:rPr>
                <w:b/>
                <w:bCs/>
                <w:sz w:val="22"/>
                <w:szCs w:val="22"/>
              </w:rPr>
              <w:t>Secondary APP</w:t>
            </w:r>
          </w:p>
        </w:tc>
      </w:tr>
      <w:tr w:rsidR="00A82907" w:rsidRPr="008478C4">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8478C4" w:rsidRDefault="00A82907" w:rsidP="00E11B51">
            <w:pPr>
              <w:rPr>
                <w:i/>
                <w:iCs/>
                <w:sz w:val="22"/>
                <w:szCs w:val="22"/>
              </w:rPr>
            </w:pPr>
            <w:r w:rsidRPr="008478C4">
              <w:rPr>
                <w:i/>
                <w:iCs/>
                <w:sz w:val="22"/>
                <w:szCs w:val="22"/>
              </w:rPr>
              <w:t>Essential</w:t>
            </w:r>
          </w:p>
        </w:tc>
        <w:tc>
          <w:tcPr>
            <w:tcW w:w="1548" w:type="dxa"/>
            <w:tcBorders>
              <w:top w:val="nil"/>
              <w:left w:val="nil"/>
              <w:bottom w:val="nil"/>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8,514.75</w:t>
            </w:r>
          </w:p>
        </w:tc>
        <w:tc>
          <w:tcPr>
            <w:tcW w:w="1548" w:type="dxa"/>
            <w:tcBorders>
              <w:top w:val="nil"/>
              <w:left w:val="nil"/>
              <w:bottom w:val="nil"/>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0.00</w:t>
            </w:r>
          </w:p>
        </w:tc>
        <w:tc>
          <w:tcPr>
            <w:tcW w:w="1548" w:type="dxa"/>
            <w:tcBorders>
              <w:top w:val="nil"/>
              <w:left w:val="nil"/>
              <w:bottom w:val="nil"/>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9,782.62</w:t>
            </w:r>
          </w:p>
        </w:tc>
        <w:tc>
          <w:tcPr>
            <w:tcW w:w="1548" w:type="dxa"/>
            <w:tcBorders>
              <w:top w:val="nil"/>
              <w:left w:val="nil"/>
              <w:bottom w:val="nil"/>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0</w:t>
            </w:r>
          </w:p>
        </w:tc>
      </w:tr>
      <w:tr w:rsidR="00A82907" w:rsidRPr="008478C4">
        <w:trPr>
          <w:trHeight w:val="225"/>
          <w:jc w:val="center"/>
        </w:trPr>
        <w:tc>
          <w:tcPr>
            <w:tcW w:w="2680" w:type="dxa"/>
            <w:tcBorders>
              <w:top w:val="nil"/>
              <w:left w:val="single" w:sz="4" w:space="0" w:color="auto"/>
              <w:bottom w:val="nil"/>
              <w:right w:val="single" w:sz="4" w:space="0" w:color="auto"/>
            </w:tcBorders>
            <w:shd w:val="clear" w:color="auto" w:fill="FFFFFF"/>
            <w:noWrap/>
            <w:vAlign w:val="bottom"/>
          </w:tcPr>
          <w:p w:rsidR="00A82907" w:rsidRPr="008478C4" w:rsidRDefault="00A82907" w:rsidP="00E11B51">
            <w:pPr>
              <w:rPr>
                <w:i/>
                <w:iCs/>
                <w:sz w:val="22"/>
                <w:szCs w:val="22"/>
              </w:rPr>
            </w:pPr>
            <w:r w:rsidRPr="008478C4">
              <w:rPr>
                <w:i/>
                <w:iCs/>
                <w:sz w:val="22"/>
                <w:szCs w:val="22"/>
              </w:rPr>
              <w:t>A</w:t>
            </w:r>
          </w:p>
        </w:tc>
        <w:tc>
          <w:tcPr>
            <w:tcW w:w="1548" w:type="dxa"/>
            <w:tcBorders>
              <w:top w:val="nil"/>
              <w:left w:val="nil"/>
              <w:bottom w:val="nil"/>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107.73</w:t>
            </w:r>
          </w:p>
        </w:tc>
        <w:tc>
          <w:tcPr>
            <w:tcW w:w="1548" w:type="dxa"/>
            <w:tcBorders>
              <w:top w:val="nil"/>
              <w:left w:val="nil"/>
              <w:bottom w:val="nil"/>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0</w:t>
            </w:r>
          </w:p>
        </w:tc>
        <w:tc>
          <w:tcPr>
            <w:tcW w:w="1548" w:type="dxa"/>
            <w:tcBorders>
              <w:top w:val="nil"/>
              <w:left w:val="nil"/>
              <w:bottom w:val="nil"/>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113.67</w:t>
            </w:r>
          </w:p>
        </w:tc>
      </w:tr>
      <w:tr w:rsidR="00A82907" w:rsidRPr="008478C4">
        <w:trPr>
          <w:trHeight w:val="225"/>
          <w:jc w:val="center"/>
        </w:trPr>
        <w:tc>
          <w:tcPr>
            <w:tcW w:w="2680" w:type="dxa"/>
            <w:tcBorders>
              <w:top w:val="nil"/>
              <w:left w:val="single" w:sz="4" w:space="0" w:color="auto"/>
              <w:bottom w:val="single" w:sz="4" w:space="0" w:color="auto"/>
              <w:right w:val="single" w:sz="4" w:space="0" w:color="auto"/>
            </w:tcBorders>
            <w:shd w:val="clear" w:color="auto" w:fill="FFFFFF"/>
            <w:noWrap/>
            <w:vAlign w:val="bottom"/>
          </w:tcPr>
          <w:p w:rsidR="00A82907" w:rsidRPr="008478C4" w:rsidRDefault="00A82907" w:rsidP="00E11B51">
            <w:pPr>
              <w:rPr>
                <w:i/>
                <w:iCs/>
                <w:sz w:val="22"/>
                <w:szCs w:val="22"/>
              </w:rPr>
            </w:pPr>
            <w:r w:rsidRPr="008478C4">
              <w:rPr>
                <w:i/>
                <w:iCs/>
                <w:sz w:val="22"/>
                <w:szCs w:val="22"/>
              </w:rPr>
              <w:t>B</w:t>
            </w:r>
          </w:p>
        </w:tc>
        <w:tc>
          <w:tcPr>
            <w:tcW w:w="1548" w:type="dxa"/>
            <w:tcBorders>
              <w:top w:val="nil"/>
              <w:left w:val="nil"/>
              <w:bottom w:val="single" w:sz="4" w:space="0" w:color="auto"/>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18,426.01</w:t>
            </w:r>
          </w:p>
        </w:tc>
        <w:tc>
          <w:tcPr>
            <w:tcW w:w="1548" w:type="dxa"/>
            <w:tcBorders>
              <w:top w:val="nil"/>
              <w:left w:val="nil"/>
              <w:bottom w:val="single" w:sz="4" w:space="0" w:color="auto"/>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9.15</w:t>
            </w:r>
          </w:p>
        </w:tc>
        <w:tc>
          <w:tcPr>
            <w:tcW w:w="1548" w:type="dxa"/>
            <w:tcBorders>
              <w:top w:val="nil"/>
              <w:left w:val="nil"/>
              <w:bottom w:val="single" w:sz="4" w:space="0" w:color="auto"/>
              <w:right w:val="nil"/>
            </w:tcBorders>
            <w:shd w:val="clear" w:color="auto" w:fill="FFFFFF"/>
            <w:noWrap/>
            <w:vAlign w:val="bottom"/>
          </w:tcPr>
          <w:p w:rsidR="00A82907" w:rsidRPr="008478C4" w:rsidRDefault="00A82907" w:rsidP="00E11B51">
            <w:pPr>
              <w:jc w:val="right"/>
              <w:rPr>
                <w:sz w:val="22"/>
                <w:szCs w:val="22"/>
              </w:rPr>
            </w:pPr>
            <w:r w:rsidRPr="008478C4">
              <w:rPr>
                <w:sz w:val="22"/>
                <w:szCs w:val="22"/>
              </w:rPr>
              <w:t>20,558.87</w:t>
            </w:r>
          </w:p>
        </w:tc>
        <w:tc>
          <w:tcPr>
            <w:tcW w:w="1548" w:type="dxa"/>
            <w:tcBorders>
              <w:top w:val="nil"/>
              <w:left w:val="nil"/>
              <w:bottom w:val="single" w:sz="4" w:space="0" w:color="auto"/>
              <w:right w:val="single" w:sz="4" w:space="0" w:color="auto"/>
            </w:tcBorders>
            <w:shd w:val="clear" w:color="auto" w:fill="FFFFFF"/>
            <w:noWrap/>
            <w:vAlign w:val="bottom"/>
          </w:tcPr>
          <w:p w:rsidR="00A82907" w:rsidRPr="008478C4" w:rsidRDefault="00A82907" w:rsidP="00E11B51">
            <w:pPr>
              <w:jc w:val="right"/>
              <w:rPr>
                <w:sz w:val="22"/>
                <w:szCs w:val="22"/>
              </w:rPr>
            </w:pPr>
            <w:r w:rsidRPr="008478C4">
              <w:rPr>
                <w:sz w:val="22"/>
                <w:szCs w:val="22"/>
              </w:rPr>
              <w:t>12.78</w:t>
            </w:r>
          </w:p>
        </w:tc>
      </w:tr>
    </w:tbl>
    <w:p w:rsidR="007475C5" w:rsidRPr="008722A8" w:rsidRDefault="007475C5" w:rsidP="00E11B51">
      <w:pPr>
        <w:ind w:left="720"/>
        <w:jc w:val="both"/>
        <w:rPr>
          <w:sz w:val="12"/>
          <w:szCs w:val="12"/>
        </w:rPr>
      </w:pPr>
    </w:p>
    <w:p w:rsidR="00A82907" w:rsidRPr="008478C4" w:rsidRDefault="00A82907" w:rsidP="00E11B51">
      <w:pPr>
        <w:jc w:val="both"/>
        <w:rPr>
          <w:sz w:val="22"/>
          <w:szCs w:val="22"/>
          <w:u w:val="single"/>
        </w:rPr>
      </w:pPr>
      <w:r w:rsidRPr="008478C4">
        <w:rPr>
          <w:sz w:val="22"/>
          <w:szCs w:val="22"/>
          <w:u w:val="single"/>
        </w:rPr>
        <w:t>Additional Notes:</w:t>
      </w:r>
    </w:p>
    <w:p w:rsidR="00A82907" w:rsidRPr="008478C4" w:rsidRDefault="00A82907" w:rsidP="008722A8">
      <w:pPr>
        <w:numPr>
          <w:ilvl w:val="0"/>
          <w:numId w:val="19"/>
        </w:numPr>
        <w:jc w:val="both"/>
        <w:rPr>
          <w:sz w:val="22"/>
          <w:szCs w:val="22"/>
        </w:rPr>
      </w:pPr>
      <w:r w:rsidRPr="008478C4">
        <w:rPr>
          <w:sz w:val="22"/>
          <w:szCs w:val="22"/>
        </w:rPr>
        <w:t>Split sites funding is paid to all schools and academies that meet the above criteria.</w:t>
      </w:r>
    </w:p>
    <w:p w:rsidR="00A82907" w:rsidRPr="008478C4" w:rsidRDefault="00A82907" w:rsidP="008722A8">
      <w:pPr>
        <w:numPr>
          <w:ilvl w:val="0"/>
          <w:numId w:val="19"/>
        </w:numPr>
        <w:jc w:val="both"/>
        <w:rPr>
          <w:sz w:val="22"/>
          <w:szCs w:val="22"/>
        </w:rPr>
      </w:pPr>
      <w:r w:rsidRPr="008478C4">
        <w:rPr>
          <w:sz w:val="22"/>
          <w:szCs w:val="22"/>
        </w:rPr>
        <w:t xml:space="preserve">Federated schools are </w:t>
      </w:r>
      <w:r w:rsidRPr="008478C4">
        <w:rPr>
          <w:sz w:val="22"/>
          <w:szCs w:val="22"/>
          <w:u w:val="single"/>
        </w:rPr>
        <w:t>not</w:t>
      </w:r>
      <w:r w:rsidRPr="008478C4">
        <w:rPr>
          <w:sz w:val="22"/>
          <w:szCs w:val="22"/>
        </w:rPr>
        <w:t xml:space="preserve"> eligible for split sites funding.</w:t>
      </w:r>
    </w:p>
    <w:p w:rsidR="00A82907" w:rsidRPr="008478C4" w:rsidRDefault="00A82907" w:rsidP="008722A8">
      <w:pPr>
        <w:numPr>
          <w:ilvl w:val="0"/>
          <w:numId w:val="19"/>
        </w:numPr>
        <w:jc w:val="both"/>
        <w:rPr>
          <w:sz w:val="22"/>
          <w:szCs w:val="22"/>
        </w:rPr>
      </w:pPr>
      <w:r w:rsidRPr="008478C4">
        <w:rPr>
          <w:sz w:val="22"/>
          <w:szCs w:val="22"/>
        </w:rPr>
        <w:t xml:space="preserve">Where 2 schools have amalgamated and the new school is operating across a split site, the school will </w:t>
      </w:r>
      <w:r w:rsidRPr="008478C4">
        <w:rPr>
          <w:sz w:val="22"/>
          <w:szCs w:val="22"/>
          <w:u w:val="single"/>
        </w:rPr>
        <w:t>not</w:t>
      </w:r>
      <w:r w:rsidRPr="008478C4">
        <w:rPr>
          <w:sz w:val="22"/>
          <w:szCs w:val="22"/>
        </w:rPr>
        <w:t xml:space="preserve"> be eligible for split sites funding whilst it is in receipt of the additional lump sum (in the year immediately after amalgamation). </w:t>
      </w:r>
    </w:p>
    <w:p w:rsidR="00A82907" w:rsidRPr="008478C4" w:rsidRDefault="00A82907" w:rsidP="008722A8">
      <w:pPr>
        <w:numPr>
          <w:ilvl w:val="0"/>
          <w:numId w:val="19"/>
        </w:numPr>
        <w:jc w:val="both"/>
        <w:rPr>
          <w:sz w:val="22"/>
          <w:szCs w:val="22"/>
        </w:rPr>
      </w:pPr>
      <w:r w:rsidRPr="008478C4">
        <w:rPr>
          <w:sz w:val="22"/>
          <w:szCs w:val="22"/>
        </w:rPr>
        <w:t>Funding is only applicable for Reception to Year 11 mainstream provision.</w:t>
      </w:r>
    </w:p>
    <w:p w:rsidR="00A82907" w:rsidRPr="008478C4" w:rsidRDefault="00A82907" w:rsidP="008722A8">
      <w:pPr>
        <w:numPr>
          <w:ilvl w:val="0"/>
          <w:numId w:val="19"/>
        </w:numPr>
        <w:jc w:val="both"/>
        <w:rPr>
          <w:sz w:val="22"/>
          <w:szCs w:val="22"/>
        </w:rPr>
      </w:pPr>
      <w:r w:rsidRPr="008478C4">
        <w:rPr>
          <w:sz w:val="22"/>
          <w:szCs w:val="22"/>
        </w:rPr>
        <w:t>We would not expect split sites funding to apply to co-located or offsite behaviour centres.</w:t>
      </w:r>
    </w:p>
    <w:p w:rsidR="00A82907" w:rsidRPr="008478C4" w:rsidRDefault="00A82907" w:rsidP="00E11B51">
      <w:pPr>
        <w:jc w:val="both"/>
        <w:rPr>
          <w:sz w:val="22"/>
          <w:szCs w:val="22"/>
        </w:rPr>
      </w:pPr>
    </w:p>
    <w:p w:rsidR="00A82907" w:rsidRPr="008478C4" w:rsidRDefault="00E867D1" w:rsidP="00E11B51">
      <w:pPr>
        <w:jc w:val="both"/>
        <w:rPr>
          <w:sz w:val="22"/>
          <w:szCs w:val="22"/>
        </w:rPr>
      </w:pPr>
      <w:r>
        <w:rPr>
          <w:sz w:val="22"/>
          <w:szCs w:val="22"/>
        </w:rPr>
        <w:t>3</w:t>
      </w:r>
      <w:r w:rsidR="0068569E" w:rsidRPr="008478C4">
        <w:rPr>
          <w:sz w:val="22"/>
          <w:szCs w:val="22"/>
        </w:rPr>
        <w:t>.6</w:t>
      </w:r>
      <w:r w:rsidR="00A82907" w:rsidRPr="008478C4">
        <w:rPr>
          <w:sz w:val="22"/>
          <w:szCs w:val="22"/>
        </w:rPr>
        <w:t xml:space="preserve"> The factor in our secondary funding formula for Private Finance Initiative (PFI) contracts allocates the DSG’s contribution to the affordability gap of the Building Schools for the Future (BSF) programme for applicable s</w:t>
      </w:r>
      <w:r w:rsidR="0098142E">
        <w:rPr>
          <w:sz w:val="22"/>
          <w:szCs w:val="22"/>
        </w:rPr>
        <w:t xml:space="preserve">chools / academies. The formula </w:t>
      </w:r>
      <w:r w:rsidR="00A82907" w:rsidRPr="008478C4">
        <w:rPr>
          <w:sz w:val="22"/>
          <w:szCs w:val="22"/>
        </w:rPr>
        <w:t>for splitting the total contribution between BSF schools / academies is as follows:</w:t>
      </w:r>
    </w:p>
    <w:p w:rsidR="0098142E" w:rsidRPr="008722A8" w:rsidRDefault="0098142E" w:rsidP="00CB659A">
      <w:pPr>
        <w:jc w:val="both"/>
        <w:rPr>
          <w:i/>
          <w:iCs/>
          <w:sz w:val="12"/>
          <w:szCs w:val="12"/>
        </w:rPr>
      </w:pPr>
    </w:p>
    <w:p w:rsidR="00A82907" w:rsidRPr="008478C4" w:rsidRDefault="00A82907" w:rsidP="00CB659A">
      <w:pPr>
        <w:jc w:val="both"/>
        <w:rPr>
          <w:i/>
          <w:iCs/>
          <w:sz w:val="22"/>
          <w:szCs w:val="22"/>
        </w:rPr>
      </w:pPr>
      <w:r w:rsidRPr="008478C4">
        <w:rPr>
          <w:i/>
          <w:iCs/>
          <w:sz w:val="22"/>
          <w:szCs w:val="22"/>
        </w:rPr>
        <w:t>(Total affordability gap to be funded by the DSG / Total cost of school unitary charges) x Individual school’s unitary charge as a % of the total unitary charge</w:t>
      </w:r>
    </w:p>
    <w:p w:rsidR="00001B1E" w:rsidRPr="00CE63F5" w:rsidRDefault="00001B1E" w:rsidP="00E11B51">
      <w:pPr>
        <w:jc w:val="both"/>
        <w:rPr>
          <w:i/>
          <w:iCs/>
          <w:sz w:val="22"/>
          <w:szCs w:val="22"/>
          <w:highlight w:val="yellow"/>
        </w:rPr>
      </w:pPr>
    </w:p>
    <w:p w:rsidR="006E37FC" w:rsidRPr="006E37FC" w:rsidRDefault="006E37FC" w:rsidP="006E37FC">
      <w:pPr>
        <w:jc w:val="both"/>
        <w:rPr>
          <w:b/>
          <w:bCs/>
          <w:color w:val="0000FF"/>
          <w:sz w:val="22"/>
          <w:szCs w:val="22"/>
        </w:rPr>
      </w:pPr>
      <w:r w:rsidRPr="006E37FC">
        <w:rPr>
          <w:b/>
          <w:bCs/>
          <w:color w:val="0000FF"/>
          <w:sz w:val="22"/>
          <w:szCs w:val="22"/>
        </w:rPr>
        <w:t xml:space="preserve">Question 1 – Do you agree with continuing to use the 2015/16 existing </w:t>
      </w:r>
      <w:r w:rsidRPr="006E37FC">
        <w:rPr>
          <w:b/>
          <w:bCs/>
          <w:color w:val="0000FF"/>
          <w:sz w:val="22"/>
          <w:szCs w:val="22"/>
          <w:u w:val="single"/>
        </w:rPr>
        <w:t>formula structure</w:t>
      </w:r>
      <w:r w:rsidRPr="006E37FC">
        <w:rPr>
          <w:b/>
          <w:bCs/>
          <w:color w:val="0000FF"/>
          <w:sz w:val="22"/>
          <w:szCs w:val="22"/>
        </w:rPr>
        <w:t xml:space="preserve"> to calculate delegated budgets for schools and academies for the 2016/17 financial year? If not, please </w:t>
      </w:r>
      <w:r w:rsidR="00E867D1">
        <w:rPr>
          <w:b/>
          <w:bCs/>
          <w:color w:val="0000FF"/>
          <w:sz w:val="22"/>
          <w:szCs w:val="22"/>
        </w:rPr>
        <w:t>explain</w:t>
      </w:r>
      <w:r w:rsidRPr="006E37FC">
        <w:rPr>
          <w:b/>
          <w:bCs/>
          <w:color w:val="0000FF"/>
          <w:sz w:val="22"/>
          <w:szCs w:val="22"/>
        </w:rPr>
        <w:t xml:space="preserve"> the reasons why not. </w:t>
      </w:r>
      <w:r w:rsidRPr="006E37FC">
        <w:rPr>
          <w:bCs/>
          <w:i/>
          <w:color w:val="0000FF"/>
          <w:sz w:val="22"/>
          <w:szCs w:val="22"/>
        </w:rPr>
        <w:t>The values of each formula factor will not be confirmed until January 2016 and will depend on the outcomes of the discussions that take place at the Schools Forum during the autumn term.</w:t>
      </w:r>
    </w:p>
    <w:p w:rsidR="00A82907" w:rsidRPr="006E37FC" w:rsidRDefault="00A82907" w:rsidP="00612E39">
      <w:pPr>
        <w:jc w:val="both"/>
        <w:rPr>
          <w:sz w:val="22"/>
          <w:szCs w:val="22"/>
        </w:rPr>
      </w:pPr>
    </w:p>
    <w:p w:rsidR="00A82907" w:rsidRDefault="006E37FC" w:rsidP="008503B8">
      <w:pPr>
        <w:jc w:val="both"/>
        <w:rPr>
          <w:b/>
          <w:bCs/>
          <w:color w:val="0000FF"/>
          <w:sz w:val="22"/>
          <w:szCs w:val="22"/>
        </w:rPr>
      </w:pPr>
      <w:r w:rsidRPr="006E37FC">
        <w:rPr>
          <w:b/>
          <w:bCs/>
          <w:color w:val="0000FF"/>
          <w:sz w:val="22"/>
          <w:szCs w:val="22"/>
        </w:rPr>
        <w:t>Question 2</w:t>
      </w:r>
      <w:r w:rsidR="00A82907" w:rsidRPr="006E37FC">
        <w:rPr>
          <w:b/>
          <w:bCs/>
          <w:color w:val="0000FF"/>
          <w:sz w:val="22"/>
          <w:szCs w:val="22"/>
        </w:rPr>
        <w:t xml:space="preserve"> - Do you have any comments on the way the factors are used, as described </w:t>
      </w:r>
      <w:r w:rsidR="00E867D1">
        <w:rPr>
          <w:b/>
          <w:bCs/>
          <w:color w:val="0000FF"/>
          <w:sz w:val="22"/>
          <w:szCs w:val="22"/>
        </w:rPr>
        <w:t>in the pro-forma and paragraph 3</w:t>
      </w:r>
      <w:r w:rsidRPr="006E37FC">
        <w:rPr>
          <w:b/>
          <w:bCs/>
          <w:color w:val="0000FF"/>
          <w:sz w:val="22"/>
          <w:szCs w:val="22"/>
        </w:rPr>
        <w:t>.3</w:t>
      </w:r>
      <w:r w:rsidR="00A82907" w:rsidRPr="006E37FC">
        <w:rPr>
          <w:b/>
          <w:bCs/>
          <w:color w:val="0000FF"/>
          <w:sz w:val="22"/>
          <w:szCs w:val="22"/>
        </w:rPr>
        <w:t>?</w:t>
      </w:r>
    </w:p>
    <w:p w:rsidR="00001B1E" w:rsidRPr="006E37FC" w:rsidRDefault="00001B1E" w:rsidP="008503B8">
      <w:pPr>
        <w:jc w:val="both"/>
        <w:rPr>
          <w:b/>
          <w:bCs/>
          <w:color w:val="0000FF"/>
          <w:sz w:val="22"/>
          <w:szCs w:val="22"/>
        </w:rPr>
      </w:pPr>
    </w:p>
    <w:p w:rsidR="00A748F3" w:rsidRDefault="006E37FC" w:rsidP="004574FB">
      <w:pPr>
        <w:jc w:val="both"/>
        <w:rPr>
          <w:b/>
          <w:bCs/>
          <w:color w:val="0000FF"/>
          <w:sz w:val="22"/>
          <w:szCs w:val="22"/>
        </w:rPr>
      </w:pPr>
      <w:r w:rsidRPr="006E37FC">
        <w:rPr>
          <w:b/>
          <w:bCs/>
          <w:color w:val="0000FF"/>
          <w:sz w:val="22"/>
          <w:szCs w:val="22"/>
        </w:rPr>
        <w:t>Question 3</w:t>
      </w:r>
      <w:r w:rsidR="00A82907" w:rsidRPr="006E37FC">
        <w:rPr>
          <w:b/>
          <w:bCs/>
          <w:color w:val="0000FF"/>
          <w:sz w:val="22"/>
          <w:szCs w:val="22"/>
        </w:rPr>
        <w:t xml:space="preserve"> - Do you have any additional comments o</w:t>
      </w:r>
      <w:r w:rsidR="006936AC" w:rsidRPr="006E37FC">
        <w:rPr>
          <w:b/>
          <w:bCs/>
          <w:color w:val="0000FF"/>
          <w:sz w:val="22"/>
          <w:szCs w:val="22"/>
        </w:rPr>
        <w:t>n the proposed approach for 2016/17</w:t>
      </w:r>
      <w:r w:rsidR="00A82907" w:rsidRPr="006E37FC">
        <w:rPr>
          <w:b/>
          <w:bCs/>
          <w:color w:val="0000FF"/>
          <w:sz w:val="22"/>
          <w:szCs w:val="22"/>
        </w:rPr>
        <w:t xml:space="preserve"> that you wish the Schools F</w:t>
      </w:r>
      <w:r w:rsidR="00E867D1">
        <w:rPr>
          <w:b/>
          <w:bCs/>
          <w:color w:val="0000FF"/>
          <w:sz w:val="22"/>
          <w:szCs w:val="22"/>
        </w:rPr>
        <w:t>orum to take into consideration?</w:t>
      </w:r>
    </w:p>
    <w:p w:rsidR="008B381E" w:rsidRDefault="008B381E" w:rsidP="004574FB">
      <w:pPr>
        <w:jc w:val="both"/>
        <w:rPr>
          <w:b/>
          <w:bCs/>
          <w:color w:val="0000FF"/>
          <w:sz w:val="22"/>
          <w:szCs w:val="22"/>
        </w:rPr>
      </w:pPr>
    </w:p>
    <w:p w:rsidR="007475C5" w:rsidRPr="00921B26" w:rsidRDefault="007475C5" w:rsidP="004574FB">
      <w:pPr>
        <w:jc w:val="both"/>
        <w:rPr>
          <w:b/>
          <w:bCs/>
          <w:color w:val="0000FF"/>
          <w:sz w:val="22"/>
          <w:szCs w:val="22"/>
        </w:rPr>
      </w:pPr>
    </w:p>
    <w:p w:rsidR="00A82907" w:rsidRPr="00594A69" w:rsidRDefault="008B381E" w:rsidP="004574FB">
      <w:pPr>
        <w:jc w:val="both"/>
        <w:rPr>
          <w:sz w:val="22"/>
          <w:szCs w:val="22"/>
        </w:rPr>
      </w:pPr>
      <w:r>
        <w:rPr>
          <w:b/>
          <w:bCs/>
          <w:sz w:val="22"/>
          <w:szCs w:val="22"/>
        </w:rPr>
        <w:t>4</w:t>
      </w:r>
      <w:r w:rsidR="00A82907" w:rsidRPr="00594A69">
        <w:rPr>
          <w:b/>
          <w:bCs/>
          <w:sz w:val="22"/>
          <w:szCs w:val="22"/>
        </w:rPr>
        <w:t>.</w:t>
      </w:r>
      <w:r w:rsidR="00A82907" w:rsidRPr="00594A69">
        <w:rPr>
          <w:b/>
          <w:bCs/>
          <w:sz w:val="22"/>
          <w:szCs w:val="22"/>
        </w:rPr>
        <w:tab/>
        <w:t>Maintained Scho</w:t>
      </w:r>
      <w:r w:rsidR="006E37FC" w:rsidRPr="00594A69">
        <w:rPr>
          <w:b/>
          <w:bCs/>
          <w:sz w:val="22"/>
          <w:szCs w:val="22"/>
        </w:rPr>
        <w:t>ols - De-Delegated Funds in 2016</w:t>
      </w:r>
      <w:r w:rsidR="00A82907" w:rsidRPr="00594A69">
        <w:rPr>
          <w:b/>
          <w:bCs/>
          <w:sz w:val="22"/>
          <w:szCs w:val="22"/>
        </w:rPr>
        <w:t>/1</w:t>
      </w:r>
      <w:r w:rsidR="006E37FC" w:rsidRPr="00594A69">
        <w:rPr>
          <w:b/>
          <w:bCs/>
          <w:sz w:val="22"/>
          <w:szCs w:val="22"/>
        </w:rPr>
        <w:t>7</w:t>
      </w:r>
    </w:p>
    <w:p w:rsidR="00BE60FB" w:rsidRPr="00594A69" w:rsidRDefault="00BE60FB" w:rsidP="004574FB">
      <w:pPr>
        <w:jc w:val="both"/>
        <w:rPr>
          <w:sz w:val="22"/>
          <w:szCs w:val="22"/>
        </w:rPr>
      </w:pPr>
    </w:p>
    <w:p w:rsidR="00A82907" w:rsidRPr="00594A69" w:rsidRDefault="008B381E" w:rsidP="004574FB">
      <w:pPr>
        <w:jc w:val="both"/>
        <w:rPr>
          <w:sz w:val="22"/>
          <w:szCs w:val="22"/>
        </w:rPr>
      </w:pPr>
      <w:r>
        <w:rPr>
          <w:sz w:val="22"/>
          <w:szCs w:val="22"/>
        </w:rPr>
        <w:t>4</w:t>
      </w:r>
      <w:r w:rsidR="00A82907" w:rsidRPr="00594A69">
        <w:rPr>
          <w:sz w:val="22"/>
          <w:szCs w:val="22"/>
        </w:rPr>
        <w:t xml:space="preserve">.1 The Finance Regulations </w:t>
      </w:r>
      <w:r>
        <w:rPr>
          <w:sz w:val="22"/>
          <w:szCs w:val="22"/>
        </w:rPr>
        <w:t xml:space="preserve">continue to </w:t>
      </w:r>
      <w:r w:rsidR="00A82907" w:rsidRPr="00594A69">
        <w:rPr>
          <w:sz w:val="22"/>
          <w:szCs w:val="22"/>
        </w:rPr>
        <w:t>significantly restrict the extent to which the DSG can be held and managed centrally in support of schools. The Government’s intention, in preparation for a national formula, is to ensure maximum delegation of the DSG to schools and academies at the start of each financial year. The Regulations do allow funding for certain types of expenditure to be ‘de-delegated’ from maintained school budgets to be managed centrally. This only applies to maintained schools (not academies or free schools) and the Schools Forum must agree to de-delegate on a phase specific basis, so Forum members representing primary and secondary maintained schools must decide separately for each phase whether the service should be provided centrally.</w:t>
      </w:r>
    </w:p>
    <w:p w:rsidR="00A82907" w:rsidRPr="00594A69" w:rsidRDefault="00A82907" w:rsidP="004574FB">
      <w:pPr>
        <w:jc w:val="both"/>
        <w:rPr>
          <w:sz w:val="22"/>
          <w:szCs w:val="22"/>
        </w:rPr>
      </w:pPr>
    </w:p>
    <w:p w:rsidR="00A82907" w:rsidRPr="00594A69" w:rsidRDefault="008B381E" w:rsidP="004E6484">
      <w:pPr>
        <w:rPr>
          <w:sz w:val="22"/>
          <w:szCs w:val="22"/>
        </w:rPr>
      </w:pPr>
      <w:r>
        <w:rPr>
          <w:sz w:val="22"/>
          <w:szCs w:val="22"/>
        </w:rPr>
        <w:t>4</w:t>
      </w:r>
      <w:r w:rsidR="00A82907" w:rsidRPr="00594A69">
        <w:rPr>
          <w:sz w:val="22"/>
          <w:szCs w:val="22"/>
        </w:rPr>
        <w:t>.2 Previously, the Schools Forum has established de-delegated funds so as to:</w:t>
      </w:r>
    </w:p>
    <w:p w:rsidR="00A82907" w:rsidRPr="00594A69" w:rsidRDefault="00A82907" w:rsidP="008722A8">
      <w:pPr>
        <w:numPr>
          <w:ilvl w:val="0"/>
          <w:numId w:val="4"/>
        </w:numPr>
        <w:jc w:val="both"/>
        <w:rPr>
          <w:sz w:val="22"/>
          <w:szCs w:val="22"/>
        </w:rPr>
      </w:pPr>
      <w:r w:rsidRPr="00594A69">
        <w:rPr>
          <w:sz w:val="22"/>
          <w:szCs w:val="22"/>
        </w:rPr>
        <w:t>take advantage of the economies of scale brought about by central management and bulk purchase e.g. Fischer Family Trust subscriptions</w:t>
      </w:r>
    </w:p>
    <w:p w:rsidR="00A82907" w:rsidRPr="00594A69" w:rsidRDefault="00A82907" w:rsidP="008722A8">
      <w:pPr>
        <w:numPr>
          <w:ilvl w:val="0"/>
          <w:numId w:val="4"/>
        </w:numPr>
        <w:jc w:val="both"/>
        <w:rPr>
          <w:sz w:val="22"/>
          <w:szCs w:val="22"/>
        </w:rPr>
      </w:pPr>
      <w:r w:rsidRPr="00594A69">
        <w:rPr>
          <w:sz w:val="22"/>
          <w:szCs w:val="22"/>
        </w:rPr>
        <w:t>provide services that schools would find difficult or less cost effective to replace on an individual basis e.g.</w:t>
      </w:r>
      <w:r w:rsidR="006E37FC" w:rsidRPr="00594A69">
        <w:rPr>
          <w:sz w:val="22"/>
          <w:szCs w:val="22"/>
        </w:rPr>
        <w:t xml:space="preserve"> trade union facilities time</w:t>
      </w:r>
    </w:p>
    <w:p w:rsidR="00A82907" w:rsidRPr="00594A69" w:rsidRDefault="00A82907" w:rsidP="008722A8">
      <w:pPr>
        <w:numPr>
          <w:ilvl w:val="0"/>
          <w:numId w:val="4"/>
        </w:numPr>
        <w:jc w:val="both"/>
        <w:rPr>
          <w:sz w:val="22"/>
          <w:szCs w:val="22"/>
        </w:rPr>
      </w:pPr>
      <w:r w:rsidRPr="00594A69">
        <w:rPr>
          <w:sz w:val="22"/>
          <w:szCs w:val="22"/>
        </w:rPr>
        <w:t>protect schools, especially smaller schools, against unpredictable expenditure e.g. maternity and paternity costs</w:t>
      </w:r>
    </w:p>
    <w:p w:rsidR="006110AD" w:rsidRPr="00800BED" w:rsidRDefault="006110AD" w:rsidP="002F7A8C">
      <w:pPr>
        <w:jc w:val="both"/>
        <w:rPr>
          <w:sz w:val="22"/>
          <w:szCs w:val="22"/>
        </w:rPr>
      </w:pPr>
    </w:p>
    <w:p w:rsidR="00A82907" w:rsidRPr="00594A69" w:rsidRDefault="002F7A8C" w:rsidP="004574FB">
      <w:pPr>
        <w:jc w:val="both"/>
        <w:rPr>
          <w:sz w:val="22"/>
          <w:szCs w:val="22"/>
        </w:rPr>
      </w:pPr>
      <w:r>
        <w:rPr>
          <w:sz w:val="22"/>
          <w:szCs w:val="22"/>
        </w:rPr>
        <w:t>4.3 T</w:t>
      </w:r>
      <w:r w:rsidR="00A82907" w:rsidRPr="00594A69">
        <w:rPr>
          <w:sz w:val="22"/>
          <w:szCs w:val="22"/>
        </w:rPr>
        <w:t xml:space="preserve">his consultation asks for views only on whether funds should </w:t>
      </w:r>
      <w:r w:rsidR="00227854">
        <w:rPr>
          <w:sz w:val="22"/>
          <w:szCs w:val="22"/>
        </w:rPr>
        <w:t xml:space="preserve">continue to </w:t>
      </w:r>
      <w:r w:rsidR="00A82907" w:rsidRPr="00594A69">
        <w:rPr>
          <w:sz w:val="22"/>
          <w:szCs w:val="22"/>
        </w:rPr>
        <w:t>be de-delegated</w:t>
      </w:r>
      <w:r w:rsidR="00800BED">
        <w:rPr>
          <w:sz w:val="22"/>
          <w:szCs w:val="22"/>
        </w:rPr>
        <w:t xml:space="preserve"> for the purposes listed below</w:t>
      </w:r>
      <w:r w:rsidR="00A82907" w:rsidRPr="00594A69">
        <w:rPr>
          <w:sz w:val="22"/>
          <w:szCs w:val="22"/>
        </w:rPr>
        <w:t>.</w:t>
      </w:r>
      <w:r w:rsidR="00227854">
        <w:rPr>
          <w:sz w:val="22"/>
          <w:szCs w:val="22"/>
        </w:rPr>
        <w:t xml:space="preserve"> Please be aware that t</w:t>
      </w:r>
      <w:r w:rsidR="00A82907" w:rsidRPr="00594A69">
        <w:rPr>
          <w:sz w:val="22"/>
          <w:szCs w:val="22"/>
        </w:rPr>
        <w:t>he values</w:t>
      </w:r>
      <w:r w:rsidR="00227854">
        <w:rPr>
          <w:sz w:val="22"/>
          <w:szCs w:val="22"/>
        </w:rPr>
        <w:t xml:space="preserve"> of these funds, where de-delegation continues,</w:t>
      </w:r>
      <w:r w:rsidR="00A82907" w:rsidRPr="00594A69">
        <w:rPr>
          <w:sz w:val="22"/>
          <w:szCs w:val="22"/>
        </w:rPr>
        <w:t xml:space="preserve"> will be considered further by the Schools Forum in the autumn term. We would expect the values of funds to match anticipated cost pressures and to reduce </w:t>
      </w:r>
      <w:r w:rsidR="00800BED">
        <w:rPr>
          <w:sz w:val="22"/>
          <w:szCs w:val="22"/>
        </w:rPr>
        <w:t xml:space="preserve">from 2015/16 </w:t>
      </w:r>
      <w:r w:rsidR="00A82907" w:rsidRPr="00594A69">
        <w:rPr>
          <w:sz w:val="22"/>
          <w:szCs w:val="22"/>
        </w:rPr>
        <w:t>for the impact of maintained schools converting to academy status.</w:t>
      </w:r>
    </w:p>
    <w:p w:rsidR="00A82907" w:rsidRPr="00594A69" w:rsidRDefault="00A82907" w:rsidP="004574FB">
      <w:pPr>
        <w:jc w:val="both"/>
        <w:rPr>
          <w:color w:val="FF0000"/>
          <w:sz w:val="22"/>
          <w:szCs w:val="22"/>
        </w:rPr>
      </w:pPr>
    </w:p>
    <w:p w:rsidR="00A82907" w:rsidRDefault="00A82907" w:rsidP="008722A8">
      <w:pPr>
        <w:pStyle w:val="ListParagraph"/>
        <w:numPr>
          <w:ilvl w:val="1"/>
          <w:numId w:val="21"/>
        </w:numPr>
        <w:jc w:val="both"/>
        <w:rPr>
          <w:sz w:val="22"/>
          <w:szCs w:val="22"/>
        </w:rPr>
      </w:pPr>
      <w:r w:rsidRPr="00227854">
        <w:rPr>
          <w:sz w:val="22"/>
          <w:szCs w:val="22"/>
        </w:rPr>
        <w:t xml:space="preserve">The following ‘de-delegated’ funds </w:t>
      </w:r>
      <w:r w:rsidR="00800BED" w:rsidRPr="00227854">
        <w:rPr>
          <w:sz w:val="22"/>
          <w:szCs w:val="22"/>
        </w:rPr>
        <w:t xml:space="preserve">are </w:t>
      </w:r>
      <w:r w:rsidR="006E37FC" w:rsidRPr="00227854">
        <w:rPr>
          <w:sz w:val="22"/>
          <w:szCs w:val="22"/>
        </w:rPr>
        <w:t>held</w:t>
      </w:r>
      <w:r w:rsidR="00227854" w:rsidRPr="00227854">
        <w:rPr>
          <w:sz w:val="22"/>
          <w:szCs w:val="22"/>
        </w:rPr>
        <w:t xml:space="preserve"> in this financial year</w:t>
      </w:r>
      <w:r w:rsidRPr="00227854">
        <w:rPr>
          <w:sz w:val="22"/>
          <w:szCs w:val="22"/>
        </w:rPr>
        <w:t>:</w:t>
      </w:r>
    </w:p>
    <w:p w:rsidR="008722A8" w:rsidRPr="008722A8" w:rsidRDefault="008722A8" w:rsidP="008722A8">
      <w:pPr>
        <w:jc w:val="both"/>
        <w:rPr>
          <w:sz w:val="12"/>
          <w:szCs w:val="12"/>
        </w:rPr>
      </w:pPr>
    </w:p>
    <w:p w:rsidR="00800BED" w:rsidRDefault="00800BED" w:rsidP="008722A8">
      <w:pPr>
        <w:pStyle w:val="ListParagraph"/>
        <w:numPr>
          <w:ilvl w:val="0"/>
          <w:numId w:val="20"/>
        </w:numPr>
        <w:spacing w:after="120"/>
        <w:ind w:left="714" w:hanging="357"/>
        <w:jc w:val="both"/>
        <w:rPr>
          <w:sz w:val="22"/>
          <w:szCs w:val="22"/>
        </w:rPr>
      </w:pPr>
      <w:r>
        <w:rPr>
          <w:sz w:val="22"/>
          <w:szCs w:val="22"/>
        </w:rPr>
        <w:t>ESBD School Support Team</w:t>
      </w:r>
    </w:p>
    <w:p w:rsidR="00800BED" w:rsidRDefault="00800BED" w:rsidP="008722A8">
      <w:pPr>
        <w:pStyle w:val="ListParagraph"/>
        <w:numPr>
          <w:ilvl w:val="0"/>
          <w:numId w:val="20"/>
        </w:numPr>
        <w:spacing w:after="120"/>
        <w:ind w:left="714" w:hanging="357"/>
        <w:jc w:val="both"/>
        <w:rPr>
          <w:sz w:val="22"/>
          <w:szCs w:val="22"/>
        </w:rPr>
      </w:pPr>
      <w:r>
        <w:rPr>
          <w:sz w:val="22"/>
          <w:szCs w:val="22"/>
        </w:rPr>
        <w:t>Minority Ethnic School Support Team</w:t>
      </w:r>
    </w:p>
    <w:p w:rsidR="00800BED" w:rsidRDefault="00800BED" w:rsidP="008722A8">
      <w:pPr>
        <w:pStyle w:val="ListParagraph"/>
        <w:numPr>
          <w:ilvl w:val="0"/>
          <w:numId w:val="20"/>
        </w:numPr>
        <w:spacing w:after="120"/>
        <w:ind w:left="714" w:hanging="357"/>
        <w:jc w:val="both"/>
        <w:rPr>
          <w:sz w:val="22"/>
          <w:szCs w:val="22"/>
        </w:rPr>
      </w:pPr>
      <w:r>
        <w:rPr>
          <w:sz w:val="22"/>
          <w:szCs w:val="22"/>
        </w:rPr>
        <w:t>FSM Eligibility Assessments</w:t>
      </w:r>
    </w:p>
    <w:p w:rsidR="00800BED" w:rsidRDefault="00800BED" w:rsidP="008722A8">
      <w:pPr>
        <w:pStyle w:val="ListParagraph"/>
        <w:numPr>
          <w:ilvl w:val="0"/>
          <w:numId w:val="20"/>
        </w:numPr>
        <w:spacing w:after="120"/>
        <w:ind w:left="714" w:hanging="357"/>
        <w:jc w:val="both"/>
        <w:rPr>
          <w:sz w:val="22"/>
          <w:szCs w:val="22"/>
        </w:rPr>
      </w:pPr>
      <w:r>
        <w:rPr>
          <w:sz w:val="22"/>
          <w:szCs w:val="22"/>
        </w:rPr>
        <w:t>Fischer Family Trust – School Licences</w:t>
      </w:r>
    </w:p>
    <w:p w:rsidR="00800BED" w:rsidRDefault="00800BED" w:rsidP="008722A8">
      <w:pPr>
        <w:pStyle w:val="ListParagraph"/>
        <w:numPr>
          <w:ilvl w:val="0"/>
          <w:numId w:val="20"/>
        </w:numPr>
        <w:spacing w:after="120"/>
        <w:ind w:left="714" w:hanging="357"/>
        <w:jc w:val="both"/>
        <w:rPr>
          <w:sz w:val="22"/>
          <w:szCs w:val="22"/>
        </w:rPr>
      </w:pPr>
      <w:r>
        <w:rPr>
          <w:sz w:val="22"/>
          <w:szCs w:val="22"/>
        </w:rPr>
        <w:t>School Maternity / Paternity ‘insurance’</w:t>
      </w:r>
    </w:p>
    <w:p w:rsidR="00800BED" w:rsidRDefault="00800BED" w:rsidP="008722A8">
      <w:pPr>
        <w:pStyle w:val="ListParagraph"/>
        <w:numPr>
          <w:ilvl w:val="0"/>
          <w:numId w:val="20"/>
        </w:numPr>
        <w:spacing w:after="120"/>
        <w:ind w:left="714" w:hanging="357"/>
        <w:jc w:val="both"/>
        <w:rPr>
          <w:sz w:val="22"/>
          <w:szCs w:val="22"/>
        </w:rPr>
      </w:pPr>
      <w:r>
        <w:rPr>
          <w:sz w:val="22"/>
          <w:szCs w:val="22"/>
        </w:rPr>
        <w:t>Trade Union Facilities Time</w:t>
      </w:r>
    </w:p>
    <w:p w:rsidR="000941F4" w:rsidRDefault="000941F4" w:rsidP="008722A8">
      <w:pPr>
        <w:pStyle w:val="ListParagraph"/>
        <w:numPr>
          <w:ilvl w:val="0"/>
          <w:numId w:val="20"/>
        </w:numPr>
        <w:spacing w:after="120"/>
        <w:ind w:left="714" w:hanging="357"/>
        <w:jc w:val="both"/>
        <w:rPr>
          <w:sz w:val="22"/>
          <w:szCs w:val="22"/>
        </w:rPr>
      </w:pPr>
      <w:r>
        <w:rPr>
          <w:sz w:val="22"/>
          <w:szCs w:val="22"/>
        </w:rPr>
        <w:t>Trade Union Health and Safety Representative Time</w:t>
      </w:r>
    </w:p>
    <w:p w:rsidR="000941F4" w:rsidRPr="00800BED" w:rsidRDefault="000941F4" w:rsidP="008722A8">
      <w:pPr>
        <w:pStyle w:val="ListParagraph"/>
        <w:numPr>
          <w:ilvl w:val="0"/>
          <w:numId w:val="20"/>
        </w:numPr>
        <w:jc w:val="both"/>
        <w:rPr>
          <w:sz w:val="22"/>
          <w:szCs w:val="22"/>
        </w:rPr>
      </w:pPr>
      <w:r>
        <w:rPr>
          <w:sz w:val="22"/>
          <w:szCs w:val="22"/>
        </w:rPr>
        <w:t>School Staff Public Duties and Suspensions Fund</w:t>
      </w:r>
    </w:p>
    <w:p w:rsidR="00A82907" w:rsidRPr="00CE63F5" w:rsidRDefault="00A82907" w:rsidP="004574FB">
      <w:pPr>
        <w:jc w:val="both"/>
        <w:rPr>
          <w:sz w:val="22"/>
          <w:szCs w:val="22"/>
          <w:highlight w:val="yellow"/>
          <w:u w:val="single"/>
        </w:rPr>
      </w:pPr>
    </w:p>
    <w:p w:rsidR="00A82907" w:rsidRPr="00DB4344" w:rsidRDefault="000941F4" w:rsidP="00DB4344">
      <w:pPr>
        <w:jc w:val="both"/>
        <w:rPr>
          <w:sz w:val="22"/>
          <w:szCs w:val="22"/>
        </w:rPr>
      </w:pPr>
      <w:r w:rsidRPr="00DB4344">
        <w:rPr>
          <w:sz w:val="22"/>
          <w:szCs w:val="22"/>
        </w:rPr>
        <w:t>Further information on</w:t>
      </w:r>
      <w:r w:rsidR="00594A69" w:rsidRPr="00DB4344">
        <w:rPr>
          <w:sz w:val="22"/>
          <w:szCs w:val="22"/>
        </w:rPr>
        <w:t xml:space="preserve"> </w:t>
      </w:r>
      <w:r w:rsidR="00305B67">
        <w:rPr>
          <w:sz w:val="22"/>
          <w:szCs w:val="22"/>
        </w:rPr>
        <w:t xml:space="preserve">these funds </w:t>
      </w:r>
      <w:r w:rsidR="0021521E" w:rsidRPr="00DB4344">
        <w:rPr>
          <w:sz w:val="22"/>
          <w:szCs w:val="22"/>
        </w:rPr>
        <w:t>is</w:t>
      </w:r>
      <w:r w:rsidR="0010102A" w:rsidRPr="00DB4344">
        <w:rPr>
          <w:sz w:val="22"/>
          <w:szCs w:val="22"/>
        </w:rPr>
        <w:t xml:space="preserve"> </w:t>
      </w:r>
      <w:r w:rsidR="00305B67">
        <w:rPr>
          <w:sz w:val="22"/>
          <w:szCs w:val="22"/>
        </w:rPr>
        <w:t xml:space="preserve">given </w:t>
      </w:r>
      <w:r w:rsidR="0010102A" w:rsidRPr="00DB4344">
        <w:rPr>
          <w:sz w:val="22"/>
          <w:szCs w:val="22"/>
        </w:rPr>
        <w:t>in Appendix 4.</w:t>
      </w:r>
    </w:p>
    <w:p w:rsidR="0021521E" w:rsidRPr="00594A69" w:rsidRDefault="00227854" w:rsidP="0021521E">
      <w:pPr>
        <w:jc w:val="both"/>
        <w:rPr>
          <w:sz w:val="22"/>
          <w:szCs w:val="22"/>
        </w:rPr>
      </w:pPr>
      <w:r>
        <w:rPr>
          <w:sz w:val="22"/>
          <w:szCs w:val="22"/>
        </w:rPr>
        <w:t>4</w:t>
      </w:r>
      <w:r w:rsidR="00305B67">
        <w:rPr>
          <w:sz w:val="22"/>
          <w:szCs w:val="22"/>
        </w:rPr>
        <w:t>.</w:t>
      </w:r>
      <w:r w:rsidR="00881FA3">
        <w:rPr>
          <w:sz w:val="22"/>
          <w:szCs w:val="22"/>
        </w:rPr>
        <w:t>5</w:t>
      </w:r>
      <w:r w:rsidR="0021521E" w:rsidRPr="00001B1E">
        <w:rPr>
          <w:sz w:val="22"/>
          <w:szCs w:val="22"/>
        </w:rPr>
        <w:t xml:space="preserve"> </w:t>
      </w:r>
      <w:r w:rsidR="000E0DDF" w:rsidRPr="00001B1E">
        <w:rPr>
          <w:sz w:val="22"/>
          <w:szCs w:val="22"/>
        </w:rPr>
        <w:t>If funding is not de-delegated for the purposes listed above, then the</w:t>
      </w:r>
      <w:r w:rsidR="0021521E" w:rsidRPr="00001B1E">
        <w:rPr>
          <w:sz w:val="22"/>
          <w:szCs w:val="22"/>
        </w:rPr>
        <w:t xml:space="preserve"> funding </w:t>
      </w:r>
      <w:r w:rsidR="000E0DDF" w:rsidRPr="00001B1E">
        <w:rPr>
          <w:sz w:val="22"/>
          <w:szCs w:val="22"/>
        </w:rPr>
        <w:t>will</w:t>
      </w:r>
      <w:r w:rsidR="0021521E" w:rsidRPr="00001B1E">
        <w:rPr>
          <w:sz w:val="22"/>
          <w:szCs w:val="22"/>
        </w:rPr>
        <w:t xml:space="preserve"> remain within </w:t>
      </w:r>
      <w:r w:rsidR="000E0DDF" w:rsidRPr="00001B1E">
        <w:rPr>
          <w:sz w:val="22"/>
          <w:szCs w:val="22"/>
        </w:rPr>
        <w:t>2016/17</w:t>
      </w:r>
      <w:r w:rsidR="000E0DDF">
        <w:rPr>
          <w:sz w:val="22"/>
          <w:szCs w:val="22"/>
        </w:rPr>
        <w:t xml:space="preserve"> </w:t>
      </w:r>
      <w:r w:rsidR="0021521E" w:rsidRPr="00594A69">
        <w:rPr>
          <w:sz w:val="22"/>
          <w:szCs w:val="22"/>
        </w:rPr>
        <w:t>school budgets for schools to provide for the cost of services from their own resources. The Authority is aware that the views of individual schools may be influenced by the extent of value they feel they receive from accessing these funds currently. In making final recommendations, the Schools Forum will consider specific responses to this consultation along with the overall most effective approach for maintained schools across the Distric</w:t>
      </w:r>
      <w:r w:rsidR="00001B1E">
        <w:rPr>
          <w:sz w:val="22"/>
          <w:szCs w:val="22"/>
        </w:rPr>
        <w:t>t. Please contact</w:t>
      </w:r>
      <w:r w:rsidR="0021521E" w:rsidRPr="00594A69">
        <w:rPr>
          <w:sz w:val="22"/>
          <w:szCs w:val="22"/>
        </w:rPr>
        <w:t xml:space="preserve"> your Schools Forum representatives if you have any specific comments on these funds.</w:t>
      </w:r>
    </w:p>
    <w:p w:rsidR="00001B1E" w:rsidRDefault="00001B1E" w:rsidP="004574FB">
      <w:pPr>
        <w:jc w:val="both"/>
        <w:rPr>
          <w:color w:val="FF0000"/>
          <w:sz w:val="22"/>
          <w:szCs w:val="22"/>
          <w:highlight w:val="yellow"/>
          <w:u w:val="single"/>
        </w:rPr>
      </w:pPr>
    </w:p>
    <w:p w:rsidR="00305B67" w:rsidRPr="00227854" w:rsidRDefault="00305B67" w:rsidP="00305B67">
      <w:pPr>
        <w:jc w:val="both"/>
        <w:rPr>
          <w:sz w:val="22"/>
          <w:szCs w:val="22"/>
        </w:rPr>
      </w:pPr>
      <w:r w:rsidRPr="00227854">
        <w:rPr>
          <w:sz w:val="22"/>
          <w:szCs w:val="22"/>
        </w:rPr>
        <w:t>4</w:t>
      </w:r>
      <w:r w:rsidR="00881FA3">
        <w:rPr>
          <w:sz w:val="22"/>
          <w:szCs w:val="22"/>
        </w:rPr>
        <w:t>.6</w:t>
      </w:r>
      <w:r w:rsidRPr="00227854">
        <w:rPr>
          <w:sz w:val="22"/>
          <w:szCs w:val="22"/>
        </w:rPr>
        <w:t xml:space="preserve"> </w:t>
      </w:r>
      <w:bookmarkStart w:id="0" w:name="_GoBack"/>
      <w:bookmarkEnd w:id="0"/>
      <w:r w:rsidRPr="00227854">
        <w:rPr>
          <w:sz w:val="22"/>
          <w:szCs w:val="22"/>
        </w:rPr>
        <w:t>Primary and secondary schools will be aware that the Minority Ethnic School Support Team is currently under review; the outcomes of this review will determine whether funds will continue to be de-delegated in 2016/17.</w:t>
      </w:r>
    </w:p>
    <w:p w:rsidR="00305B67" w:rsidRPr="00CE63F5" w:rsidRDefault="00305B67" w:rsidP="004574FB">
      <w:pPr>
        <w:jc w:val="both"/>
        <w:rPr>
          <w:color w:val="FF0000"/>
          <w:sz w:val="22"/>
          <w:szCs w:val="22"/>
          <w:highlight w:val="yellow"/>
          <w:u w:val="single"/>
        </w:rPr>
      </w:pPr>
    </w:p>
    <w:p w:rsidR="00A82907" w:rsidRDefault="00933771" w:rsidP="004574FB">
      <w:pPr>
        <w:jc w:val="both"/>
        <w:rPr>
          <w:b/>
          <w:bCs/>
          <w:color w:val="0000FF"/>
          <w:sz w:val="22"/>
          <w:szCs w:val="22"/>
        </w:rPr>
      </w:pPr>
      <w:r>
        <w:rPr>
          <w:b/>
          <w:bCs/>
          <w:color w:val="0000FF"/>
          <w:sz w:val="22"/>
          <w:szCs w:val="22"/>
        </w:rPr>
        <w:t>Question 4</w:t>
      </w:r>
      <w:r w:rsidR="00A82907" w:rsidRPr="008C4241">
        <w:rPr>
          <w:b/>
          <w:bCs/>
          <w:color w:val="0000FF"/>
          <w:sz w:val="22"/>
          <w:szCs w:val="22"/>
        </w:rPr>
        <w:t xml:space="preserve"> </w:t>
      </w:r>
      <w:r w:rsidR="00A43B77" w:rsidRPr="008C4241">
        <w:rPr>
          <w:b/>
          <w:bCs/>
          <w:color w:val="0000FF"/>
          <w:sz w:val="22"/>
          <w:szCs w:val="22"/>
        </w:rPr>
        <w:t>–</w:t>
      </w:r>
      <w:r w:rsidR="00A82907" w:rsidRPr="008C4241">
        <w:rPr>
          <w:b/>
          <w:bCs/>
          <w:color w:val="0000FF"/>
          <w:sz w:val="22"/>
          <w:szCs w:val="22"/>
        </w:rPr>
        <w:t xml:space="preserve"> </w:t>
      </w:r>
      <w:r w:rsidR="00A43B77" w:rsidRPr="008C4241">
        <w:rPr>
          <w:b/>
          <w:bCs/>
          <w:color w:val="0000FF"/>
          <w:sz w:val="22"/>
          <w:szCs w:val="22"/>
        </w:rPr>
        <w:t>Should sums</w:t>
      </w:r>
      <w:r w:rsidR="00A82907" w:rsidRPr="008C4241">
        <w:rPr>
          <w:b/>
          <w:bCs/>
          <w:color w:val="0000FF"/>
          <w:sz w:val="22"/>
          <w:szCs w:val="22"/>
        </w:rPr>
        <w:t xml:space="preserve"> continue </w:t>
      </w:r>
      <w:r w:rsidR="004E24FC">
        <w:rPr>
          <w:b/>
          <w:bCs/>
          <w:color w:val="0000FF"/>
          <w:sz w:val="22"/>
          <w:szCs w:val="22"/>
        </w:rPr>
        <w:t xml:space="preserve">or cease </w:t>
      </w:r>
      <w:r w:rsidR="00A82907" w:rsidRPr="008C4241">
        <w:rPr>
          <w:b/>
          <w:bCs/>
          <w:color w:val="0000FF"/>
          <w:sz w:val="22"/>
          <w:szCs w:val="22"/>
        </w:rPr>
        <w:t>to be de-delegated from maintained school budgets</w:t>
      </w:r>
      <w:r w:rsidR="00A43B77" w:rsidRPr="008C4241">
        <w:rPr>
          <w:b/>
          <w:bCs/>
          <w:color w:val="0000FF"/>
          <w:sz w:val="22"/>
          <w:szCs w:val="22"/>
        </w:rPr>
        <w:t xml:space="preserve"> in 20</w:t>
      </w:r>
      <w:r w:rsidR="008C4241" w:rsidRPr="008C4241">
        <w:rPr>
          <w:b/>
          <w:bCs/>
          <w:color w:val="0000FF"/>
          <w:sz w:val="22"/>
          <w:szCs w:val="22"/>
        </w:rPr>
        <w:t>16/17</w:t>
      </w:r>
      <w:r w:rsidR="008C4241">
        <w:rPr>
          <w:b/>
          <w:bCs/>
          <w:color w:val="0000FF"/>
          <w:sz w:val="22"/>
          <w:szCs w:val="22"/>
        </w:rPr>
        <w:t xml:space="preserve"> for the purposes listed</w:t>
      </w:r>
      <w:r w:rsidR="00A43B77" w:rsidRPr="008C4241">
        <w:rPr>
          <w:b/>
          <w:bCs/>
          <w:color w:val="0000FF"/>
          <w:sz w:val="22"/>
          <w:szCs w:val="22"/>
        </w:rPr>
        <w:t xml:space="preserve"> above?</w:t>
      </w:r>
      <w:r w:rsidR="004E24FC">
        <w:rPr>
          <w:b/>
          <w:bCs/>
          <w:color w:val="0000FF"/>
          <w:sz w:val="22"/>
          <w:szCs w:val="22"/>
        </w:rPr>
        <w:t xml:space="preserve"> P</w:t>
      </w:r>
      <w:r w:rsidR="00A82907" w:rsidRPr="008C4241">
        <w:rPr>
          <w:b/>
          <w:bCs/>
          <w:color w:val="0000FF"/>
          <w:sz w:val="22"/>
          <w:szCs w:val="22"/>
        </w:rPr>
        <w:t>le</w:t>
      </w:r>
      <w:r w:rsidR="004E24FC">
        <w:rPr>
          <w:b/>
          <w:bCs/>
          <w:color w:val="0000FF"/>
          <w:sz w:val="22"/>
          <w:szCs w:val="22"/>
        </w:rPr>
        <w:t xml:space="preserve">ase </w:t>
      </w:r>
      <w:r w:rsidR="00305B67">
        <w:rPr>
          <w:b/>
          <w:bCs/>
          <w:color w:val="0000FF"/>
          <w:sz w:val="22"/>
          <w:szCs w:val="22"/>
        </w:rPr>
        <w:t>explain</w:t>
      </w:r>
      <w:r w:rsidR="004E24FC">
        <w:rPr>
          <w:b/>
          <w:bCs/>
          <w:color w:val="0000FF"/>
          <w:sz w:val="22"/>
          <w:szCs w:val="22"/>
        </w:rPr>
        <w:t xml:space="preserve"> the reasons why.</w:t>
      </w:r>
    </w:p>
    <w:p w:rsidR="004E24FC" w:rsidRPr="008C4241" w:rsidRDefault="004E24FC" w:rsidP="004574FB">
      <w:pPr>
        <w:jc w:val="both"/>
        <w:rPr>
          <w:b/>
          <w:bCs/>
          <w:color w:val="0000FF"/>
          <w:sz w:val="22"/>
          <w:szCs w:val="22"/>
        </w:rPr>
      </w:pPr>
    </w:p>
    <w:p w:rsidR="00305B67" w:rsidRPr="00CE63F5" w:rsidRDefault="00305B67" w:rsidP="006F3AB5">
      <w:pPr>
        <w:jc w:val="both"/>
        <w:rPr>
          <w:b/>
          <w:bCs/>
          <w:color w:val="FF0000"/>
          <w:sz w:val="22"/>
          <w:szCs w:val="22"/>
          <w:highlight w:val="yellow"/>
        </w:rPr>
      </w:pPr>
    </w:p>
    <w:p w:rsidR="00A82907" w:rsidRPr="00082F7B" w:rsidRDefault="008B381E" w:rsidP="006F3AB5">
      <w:pPr>
        <w:jc w:val="both"/>
        <w:rPr>
          <w:b/>
          <w:bCs/>
          <w:sz w:val="22"/>
          <w:szCs w:val="22"/>
        </w:rPr>
      </w:pPr>
      <w:r>
        <w:rPr>
          <w:b/>
          <w:bCs/>
          <w:sz w:val="22"/>
          <w:szCs w:val="22"/>
        </w:rPr>
        <w:t>5</w:t>
      </w:r>
      <w:r w:rsidR="00A82907" w:rsidRPr="00082F7B">
        <w:rPr>
          <w:b/>
          <w:bCs/>
          <w:sz w:val="22"/>
          <w:szCs w:val="22"/>
        </w:rPr>
        <w:t>.</w:t>
      </w:r>
      <w:r w:rsidR="00A82907" w:rsidRPr="00082F7B">
        <w:rPr>
          <w:b/>
          <w:bCs/>
          <w:sz w:val="22"/>
          <w:szCs w:val="22"/>
        </w:rPr>
        <w:tab/>
        <w:t>DSG Schools Block Contingencies</w:t>
      </w:r>
    </w:p>
    <w:p w:rsidR="00A82907" w:rsidRPr="00082F7B" w:rsidRDefault="00A82907" w:rsidP="006F3AB5">
      <w:pPr>
        <w:jc w:val="both"/>
        <w:rPr>
          <w:b/>
          <w:bCs/>
          <w:sz w:val="22"/>
          <w:szCs w:val="22"/>
        </w:rPr>
      </w:pPr>
    </w:p>
    <w:p w:rsidR="00A82907" w:rsidRPr="00082F7B" w:rsidRDefault="00305B67" w:rsidP="0040340B">
      <w:pPr>
        <w:jc w:val="both"/>
        <w:rPr>
          <w:sz w:val="22"/>
          <w:szCs w:val="22"/>
        </w:rPr>
      </w:pPr>
      <w:r>
        <w:rPr>
          <w:sz w:val="22"/>
          <w:szCs w:val="22"/>
        </w:rPr>
        <w:t>5</w:t>
      </w:r>
      <w:r w:rsidR="00A82907" w:rsidRPr="00082F7B">
        <w:rPr>
          <w:sz w:val="22"/>
          <w:szCs w:val="22"/>
        </w:rPr>
        <w:t>.1 The Finance Regulations significantly restrict the types of funds that can be held centrally within the DSG. Where contingency funds are held, the Regulations require that the criteria for accessing these are clear and have been agreed with the Schools Forum.</w:t>
      </w:r>
    </w:p>
    <w:p w:rsidR="00A82907" w:rsidRPr="00082F7B" w:rsidRDefault="00A82907" w:rsidP="00754C20">
      <w:pPr>
        <w:jc w:val="both"/>
        <w:rPr>
          <w:sz w:val="22"/>
          <w:szCs w:val="22"/>
        </w:rPr>
      </w:pPr>
    </w:p>
    <w:p w:rsidR="00A82907" w:rsidRDefault="00305B67" w:rsidP="008722A8">
      <w:pPr>
        <w:jc w:val="both"/>
        <w:rPr>
          <w:sz w:val="22"/>
          <w:szCs w:val="22"/>
        </w:rPr>
      </w:pPr>
      <w:r>
        <w:rPr>
          <w:sz w:val="22"/>
          <w:szCs w:val="22"/>
        </w:rPr>
        <w:t>5</w:t>
      </w:r>
      <w:r w:rsidR="00082F7B" w:rsidRPr="00082F7B">
        <w:rPr>
          <w:sz w:val="22"/>
          <w:szCs w:val="22"/>
        </w:rPr>
        <w:t>.2 In 2015/16</w:t>
      </w:r>
      <w:r w:rsidR="00A82907" w:rsidRPr="00082F7B">
        <w:rPr>
          <w:sz w:val="22"/>
          <w:szCs w:val="22"/>
        </w:rPr>
        <w:t>, the Schools Forum agreed to hold the following permitted funds:</w:t>
      </w:r>
    </w:p>
    <w:p w:rsidR="008722A8" w:rsidRPr="008722A8" w:rsidRDefault="008722A8" w:rsidP="008722A8">
      <w:pPr>
        <w:jc w:val="both"/>
        <w:rPr>
          <w:sz w:val="12"/>
          <w:szCs w:val="12"/>
        </w:rPr>
      </w:pPr>
    </w:p>
    <w:p w:rsidR="00A82907" w:rsidRPr="008722A8" w:rsidRDefault="00A82907" w:rsidP="008722A8">
      <w:pPr>
        <w:numPr>
          <w:ilvl w:val="0"/>
          <w:numId w:val="5"/>
        </w:numPr>
        <w:spacing w:after="120"/>
        <w:jc w:val="both"/>
        <w:rPr>
          <w:sz w:val="22"/>
          <w:szCs w:val="22"/>
        </w:rPr>
      </w:pPr>
      <w:r w:rsidRPr="00082F7B">
        <w:rPr>
          <w:sz w:val="22"/>
          <w:szCs w:val="22"/>
        </w:rPr>
        <w:t>A Growth Fund, to support expanding schools and academies</w:t>
      </w:r>
    </w:p>
    <w:p w:rsidR="00A82907" w:rsidRPr="008722A8" w:rsidRDefault="00A82907" w:rsidP="008722A8">
      <w:pPr>
        <w:numPr>
          <w:ilvl w:val="0"/>
          <w:numId w:val="5"/>
        </w:numPr>
        <w:spacing w:after="120"/>
        <w:jc w:val="both"/>
        <w:rPr>
          <w:sz w:val="22"/>
          <w:szCs w:val="22"/>
        </w:rPr>
      </w:pPr>
      <w:r w:rsidRPr="00082F7B">
        <w:rPr>
          <w:sz w:val="22"/>
          <w:szCs w:val="22"/>
        </w:rPr>
        <w:t>A ‘Costs of Re-Organisation’ Fund, which allocates funding to match the cost of safeguarded salaries in maintained schools, where it has been previously agreed that the Local Authority will support the cost. This Fund also will meet the cost of deficits of closing schools or maintained schools converting to academy status under a sponsored arrangement.</w:t>
      </w:r>
    </w:p>
    <w:p w:rsidR="00A82907" w:rsidRPr="00082F7B" w:rsidRDefault="00A82907" w:rsidP="008722A8">
      <w:pPr>
        <w:numPr>
          <w:ilvl w:val="0"/>
          <w:numId w:val="5"/>
        </w:numPr>
        <w:jc w:val="both"/>
        <w:rPr>
          <w:sz w:val="22"/>
          <w:szCs w:val="22"/>
        </w:rPr>
      </w:pPr>
      <w:r w:rsidRPr="00082F7B">
        <w:rPr>
          <w:sz w:val="22"/>
          <w:szCs w:val="22"/>
        </w:rPr>
        <w:t>An Exceptional Costs / Schools in Financial Difficult Fund for maintained schools.</w:t>
      </w:r>
    </w:p>
    <w:p w:rsidR="00A82907" w:rsidRPr="00082F7B" w:rsidRDefault="00A82907" w:rsidP="00C7109B">
      <w:pPr>
        <w:jc w:val="both"/>
        <w:rPr>
          <w:sz w:val="22"/>
          <w:szCs w:val="22"/>
        </w:rPr>
      </w:pPr>
    </w:p>
    <w:p w:rsidR="00A82907" w:rsidRPr="00082F7B" w:rsidRDefault="00305B67" w:rsidP="00C7109B">
      <w:pPr>
        <w:jc w:val="both"/>
        <w:rPr>
          <w:sz w:val="22"/>
          <w:szCs w:val="22"/>
        </w:rPr>
      </w:pPr>
      <w:r>
        <w:rPr>
          <w:sz w:val="22"/>
          <w:szCs w:val="22"/>
        </w:rPr>
        <w:t>5</w:t>
      </w:r>
      <w:r w:rsidR="00A82907" w:rsidRPr="00082F7B">
        <w:rPr>
          <w:sz w:val="22"/>
          <w:szCs w:val="22"/>
        </w:rPr>
        <w:t>.3 These funds support the achievement of the Bradford District’s educational priorities as follows:</w:t>
      </w:r>
    </w:p>
    <w:p w:rsidR="00A82907" w:rsidRPr="008722A8" w:rsidRDefault="00A82907" w:rsidP="00C7109B">
      <w:pPr>
        <w:jc w:val="both"/>
        <w:rPr>
          <w:sz w:val="12"/>
          <w:szCs w:val="12"/>
        </w:rPr>
      </w:pPr>
    </w:p>
    <w:p w:rsidR="00A82907" w:rsidRPr="008722A8" w:rsidRDefault="00A82907" w:rsidP="008722A8">
      <w:pPr>
        <w:numPr>
          <w:ilvl w:val="0"/>
          <w:numId w:val="6"/>
        </w:numPr>
        <w:spacing w:after="120"/>
        <w:jc w:val="both"/>
        <w:rPr>
          <w:sz w:val="22"/>
          <w:szCs w:val="22"/>
        </w:rPr>
      </w:pPr>
      <w:r w:rsidRPr="00082F7B">
        <w:rPr>
          <w:sz w:val="22"/>
          <w:szCs w:val="22"/>
        </w:rPr>
        <w:t xml:space="preserve">Enable additional financial support to be provided, in a transparent and controlled way, to specific schools that may face difficult circumstances and unreasonable cost pressures. </w:t>
      </w:r>
    </w:p>
    <w:p w:rsidR="00A82907" w:rsidRPr="008722A8" w:rsidRDefault="00A82907" w:rsidP="008722A8">
      <w:pPr>
        <w:numPr>
          <w:ilvl w:val="0"/>
          <w:numId w:val="6"/>
        </w:numPr>
        <w:spacing w:after="120"/>
        <w:jc w:val="both"/>
        <w:rPr>
          <w:sz w:val="22"/>
          <w:szCs w:val="22"/>
        </w:rPr>
      </w:pPr>
      <w:r w:rsidRPr="00082F7B">
        <w:rPr>
          <w:sz w:val="22"/>
          <w:szCs w:val="22"/>
        </w:rPr>
        <w:t>Support schools that require immediate intervention around standards that may not be able to identify funds from their own budgets.</w:t>
      </w:r>
    </w:p>
    <w:p w:rsidR="00A82907" w:rsidRPr="008722A8" w:rsidRDefault="00A82907" w:rsidP="008722A8">
      <w:pPr>
        <w:numPr>
          <w:ilvl w:val="0"/>
          <w:numId w:val="6"/>
        </w:numPr>
        <w:spacing w:after="120"/>
        <w:jc w:val="both"/>
        <w:rPr>
          <w:sz w:val="22"/>
          <w:szCs w:val="22"/>
        </w:rPr>
      </w:pPr>
      <w:r w:rsidRPr="00082F7B">
        <w:rPr>
          <w:sz w:val="22"/>
          <w:szCs w:val="22"/>
        </w:rPr>
        <w:t xml:space="preserve">Support schools, academies and the Local Authority to manage more effectively the financial pressures brought by places expansion. </w:t>
      </w:r>
    </w:p>
    <w:p w:rsidR="00A82907" w:rsidRPr="00082F7B" w:rsidRDefault="00A82907" w:rsidP="008722A8">
      <w:pPr>
        <w:numPr>
          <w:ilvl w:val="0"/>
          <w:numId w:val="6"/>
        </w:numPr>
        <w:ind w:left="714" w:hanging="357"/>
        <w:jc w:val="both"/>
        <w:rPr>
          <w:sz w:val="22"/>
          <w:szCs w:val="22"/>
        </w:rPr>
      </w:pPr>
      <w:r w:rsidRPr="00082F7B">
        <w:rPr>
          <w:sz w:val="22"/>
          <w:szCs w:val="22"/>
        </w:rPr>
        <w:t>Collectively, help to maintain a stable financial platform for schools and academies across the District, in support of raising standards.</w:t>
      </w:r>
    </w:p>
    <w:p w:rsidR="00A82907" w:rsidRPr="00082F7B" w:rsidRDefault="00A82907" w:rsidP="00245270">
      <w:pPr>
        <w:jc w:val="both"/>
        <w:rPr>
          <w:sz w:val="22"/>
          <w:szCs w:val="22"/>
        </w:rPr>
      </w:pPr>
    </w:p>
    <w:p w:rsidR="00A82907" w:rsidRPr="00082F7B" w:rsidRDefault="00305B67" w:rsidP="00FF65F9">
      <w:pPr>
        <w:jc w:val="both"/>
        <w:rPr>
          <w:sz w:val="22"/>
          <w:szCs w:val="22"/>
        </w:rPr>
      </w:pPr>
      <w:r>
        <w:rPr>
          <w:sz w:val="22"/>
          <w:szCs w:val="22"/>
        </w:rPr>
        <w:t>5</w:t>
      </w:r>
      <w:r w:rsidR="002E2847" w:rsidRPr="00082F7B">
        <w:rPr>
          <w:sz w:val="22"/>
          <w:szCs w:val="22"/>
        </w:rPr>
        <w:t xml:space="preserve">.4 </w:t>
      </w:r>
      <w:r w:rsidR="00082F7B" w:rsidRPr="00082F7B">
        <w:rPr>
          <w:sz w:val="22"/>
          <w:szCs w:val="22"/>
        </w:rPr>
        <w:t>The propos</w:t>
      </w:r>
      <w:r w:rsidR="00A75659">
        <w:rPr>
          <w:sz w:val="22"/>
          <w:szCs w:val="22"/>
        </w:rPr>
        <w:t xml:space="preserve">ed arrangements </w:t>
      </w:r>
      <w:r w:rsidR="00A748F3">
        <w:rPr>
          <w:sz w:val="22"/>
          <w:szCs w:val="22"/>
        </w:rPr>
        <w:t xml:space="preserve">for 2016/17 are shown below and </w:t>
      </w:r>
      <w:r w:rsidR="00A75659">
        <w:rPr>
          <w:sz w:val="22"/>
          <w:szCs w:val="22"/>
        </w:rPr>
        <w:t>are unchanged f</w:t>
      </w:r>
      <w:r w:rsidR="00082F7B" w:rsidRPr="00082F7B">
        <w:rPr>
          <w:sz w:val="22"/>
          <w:szCs w:val="22"/>
        </w:rPr>
        <w:t>r</w:t>
      </w:r>
      <w:r w:rsidR="00A75659">
        <w:rPr>
          <w:sz w:val="22"/>
          <w:szCs w:val="22"/>
        </w:rPr>
        <w:t>om</w:t>
      </w:r>
      <w:r w:rsidR="00A748F3">
        <w:rPr>
          <w:sz w:val="22"/>
          <w:szCs w:val="22"/>
        </w:rPr>
        <w:t xml:space="preserve"> this </w:t>
      </w:r>
      <w:r w:rsidR="00082F7B" w:rsidRPr="00082F7B">
        <w:rPr>
          <w:sz w:val="22"/>
          <w:szCs w:val="22"/>
        </w:rPr>
        <w:t>financial year.</w:t>
      </w:r>
    </w:p>
    <w:p w:rsidR="000164DF" w:rsidRPr="00082F7B" w:rsidRDefault="000164DF" w:rsidP="00FF65F9">
      <w:pPr>
        <w:jc w:val="both"/>
        <w:rPr>
          <w:color w:val="FF0000"/>
          <w:sz w:val="22"/>
          <w:szCs w:val="22"/>
          <w:u w:val="single"/>
        </w:rPr>
      </w:pPr>
    </w:p>
    <w:p w:rsidR="00A82907" w:rsidRPr="00082F7B" w:rsidRDefault="00082F7B" w:rsidP="00FF65F9">
      <w:pPr>
        <w:jc w:val="both"/>
        <w:rPr>
          <w:sz w:val="22"/>
          <w:szCs w:val="22"/>
          <w:u w:val="single"/>
        </w:rPr>
      </w:pPr>
      <w:r w:rsidRPr="00082F7B">
        <w:rPr>
          <w:sz w:val="22"/>
          <w:szCs w:val="22"/>
          <w:u w:val="single"/>
        </w:rPr>
        <w:t>Details of these funds in 2015/16</w:t>
      </w:r>
      <w:r w:rsidR="00A82907" w:rsidRPr="00082F7B">
        <w:rPr>
          <w:sz w:val="22"/>
          <w:szCs w:val="22"/>
          <w:u w:val="single"/>
        </w:rPr>
        <w:t xml:space="preserve"> and proposals for 201</w:t>
      </w:r>
      <w:r w:rsidRPr="00082F7B">
        <w:rPr>
          <w:sz w:val="22"/>
          <w:szCs w:val="22"/>
          <w:u w:val="single"/>
        </w:rPr>
        <w:t>6/17</w:t>
      </w:r>
    </w:p>
    <w:p w:rsidR="000164DF" w:rsidRPr="00082F7B" w:rsidRDefault="000164DF" w:rsidP="00FF65F9">
      <w:pPr>
        <w:jc w:val="both"/>
        <w:rPr>
          <w:sz w:val="22"/>
          <w:szCs w:val="22"/>
          <w:u w:val="single"/>
        </w:rPr>
      </w:pPr>
    </w:p>
    <w:p w:rsidR="00A82907" w:rsidRPr="00082F7B" w:rsidRDefault="00305B67" w:rsidP="00FF65F9">
      <w:pPr>
        <w:jc w:val="both"/>
        <w:rPr>
          <w:b/>
          <w:bCs/>
          <w:sz w:val="22"/>
          <w:szCs w:val="22"/>
        </w:rPr>
      </w:pPr>
      <w:r>
        <w:rPr>
          <w:sz w:val="22"/>
          <w:szCs w:val="22"/>
        </w:rPr>
        <w:t>5</w:t>
      </w:r>
      <w:r w:rsidR="00A82907" w:rsidRPr="00082F7B">
        <w:rPr>
          <w:sz w:val="22"/>
          <w:szCs w:val="22"/>
        </w:rPr>
        <w:t>.5 The Ringfenced Growth Fund</w:t>
      </w:r>
    </w:p>
    <w:p w:rsidR="00A82907" w:rsidRPr="00082F7B" w:rsidRDefault="00A82907" w:rsidP="00FF65F9">
      <w:pPr>
        <w:jc w:val="both"/>
        <w:rPr>
          <w:sz w:val="22"/>
          <w:szCs w:val="22"/>
        </w:rPr>
      </w:pPr>
    </w:p>
    <w:p w:rsidR="00A82907" w:rsidRPr="00082F7B" w:rsidRDefault="00A82907" w:rsidP="00FF65F9">
      <w:pPr>
        <w:jc w:val="both"/>
        <w:rPr>
          <w:sz w:val="22"/>
          <w:szCs w:val="22"/>
        </w:rPr>
      </w:pPr>
      <w:r w:rsidRPr="00082F7B">
        <w:rPr>
          <w:sz w:val="22"/>
          <w:szCs w:val="22"/>
        </w:rPr>
        <w:t xml:space="preserve">The </w:t>
      </w:r>
      <w:r w:rsidR="00082F7B">
        <w:rPr>
          <w:sz w:val="22"/>
          <w:szCs w:val="22"/>
        </w:rPr>
        <w:t>value of the Growth Fund in 2015/16</w:t>
      </w:r>
      <w:r w:rsidRPr="00082F7B">
        <w:rPr>
          <w:sz w:val="22"/>
          <w:szCs w:val="22"/>
        </w:rPr>
        <w:t xml:space="preserve"> </w:t>
      </w:r>
      <w:r w:rsidRPr="008C1235">
        <w:rPr>
          <w:sz w:val="22"/>
          <w:szCs w:val="22"/>
        </w:rPr>
        <w:t>was £</w:t>
      </w:r>
      <w:r w:rsidR="008C1235" w:rsidRPr="008C1235">
        <w:rPr>
          <w:sz w:val="22"/>
          <w:szCs w:val="22"/>
        </w:rPr>
        <w:t>2.7</w:t>
      </w:r>
      <w:r w:rsidRPr="008C1235">
        <w:rPr>
          <w:sz w:val="22"/>
          <w:szCs w:val="22"/>
        </w:rPr>
        <w:t>m, broken</w:t>
      </w:r>
      <w:r w:rsidRPr="00082F7B">
        <w:rPr>
          <w:sz w:val="22"/>
          <w:szCs w:val="22"/>
        </w:rPr>
        <w:t xml:space="preserve"> d</w:t>
      </w:r>
      <w:r w:rsidR="00A748F3">
        <w:rPr>
          <w:sz w:val="22"/>
          <w:szCs w:val="22"/>
        </w:rPr>
        <w:t>own between phases and types</w:t>
      </w:r>
      <w:r w:rsidRPr="00082F7B">
        <w:rPr>
          <w:sz w:val="22"/>
          <w:szCs w:val="22"/>
        </w:rPr>
        <w:t xml:space="preserve">, as follows: </w:t>
      </w:r>
    </w:p>
    <w:p w:rsidR="00A82907" w:rsidRPr="00CE63F5" w:rsidRDefault="00A82907" w:rsidP="00FF65F9">
      <w:pPr>
        <w:jc w:val="both"/>
        <w:rPr>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8C1235">
        <w:trPr>
          <w:jc w:val="center"/>
        </w:trPr>
        <w:tc>
          <w:tcPr>
            <w:tcW w:w="4517" w:type="dxa"/>
          </w:tcPr>
          <w:p w:rsidR="00A82907" w:rsidRPr="00A75659" w:rsidRDefault="00A82907" w:rsidP="000A29A0">
            <w:pPr>
              <w:jc w:val="both"/>
              <w:rPr>
                <w:sz w:val="22"/>
                <w:szCs w:val="22"/>
              </w:rPr>
            </w:pPr>
          </w:p>
        </w:tc>
        <w:tc>
          <w:tcPr>
            <w:tcW w:w="1701" w:type="dxa"/>
            <w:shd w:val="clear" w:color="auto" w:fill="C0C0C0"/>
          </w:tcPr>
          <w:p w:rsidR="00A82907" w:rsidRPr="00A75659" w:rsidRDefault="00A82907" w:rsidP="000A29A0">
            <w:pPr>
              <w:jc w:val="right"/>
              <w:rPr>
                <w:b/>
                <w:bCs/>
                <w:sz w:val="22"/>
                <w:szCs w:val="22"/>
              </w:rPr>
            </w:pPr>
            <w:r w:rsidRPr="00A75659">
              <w:rPr>
                <w:b/>
                <w:bCs/>
                <w:sz w:val="22"/>
                <w:szCs w:val="22"/>
              </w:rPr>
              <w:t>Primary</w:t>
            </w:r>
          </w:p>
        </w:tc>
        <w:tc>
          <w:tcPr>
            <w:tcW w:w="1668" w:type="dxa"/>
            <w:shd w:val="clear" w:color="auto" w:fill="C0C0C0"/>
          </w:tcPr>
          <w:p w:rsidR="00A82907" w:rsidRPr="008C1235" w:rsidRDefault="00A82907" w:rsidP="000A29A0">
            <w:pPr>
              <w:jc w:val="right"/>
              <w:rPr>
                <w:b/>
                <w:bCs/>
                <w:sz w:val="22"/>
                <w:szCs w:val="22"/>
              </w:rPr>
            </w:pPr>
            <w:r w:rsidRPr="008C1235">
              <w:rPr>
                <w:b/>
                <w:bCs/>
                <w:sz w:val="22"/>
                <w:szCs w:val="22"/>
              </w:rPr>
              <w:t>Secondary</w:t>
            </w:r>
          </w:p>
        </w:tc>
        <w:tc>
          <w:tcPr>
            <w:tcW w:w="1414" w:type="dxa"/>
            <w:shd w:val="clear" w:color="auto" w:fill="C0C0C0"/>
          </w:tcPr>
          <w:p w:rsidR="00A82907" w:rsidRPr="008C1235" w:rsidRDefault="00A82907" w:rsidP="000A29A0">
            <w:pPr>
              <w:jc w:val="right"/>
              <w:rPr>
                <w:b/>
                <w:bCs/>
                <w:sz w:val="22"/>
                <w:szCs w:val="22"/>
              </w:rPr>
            </w:pPr>
            <w:r w:rsidRPr="008C1235">
              <w:rPr>
                <w:b/>
                <w:bCs/>
                <w:sz w:val="22"/>
                <w:szCs w:val="22"/>
              </w:rPr>
              <w:t>Total</w:t>
            </w:r>
          </w:p>
        </w:tc>
      </w:tr>
      <w:tr w:rsidR="00A82907" w:rsidRPr="00CE63F5">
        <w:trPr>
          <w:jc w:val="center"/>
        </w:trPr>
        <w:tc>
          <w:tcPr>
            <w:tcW w:w="4517" w:type="dxa"/>
          </w:tcPr>
          <w:p w:rsidR="00A82907" w:rsidRPr="00A75659" w:rsidRDefault="00A82907" w:rsidP="000A29A0">
            <w:pPr>
              <w:jc w:val="both"/>
              <w:rPr>
                <w:sz w:val="22"/>
                <w:szCs w:val="22"/>
              </w:rPr>
            </w:pPr>
            <w:r w:rsidRPr="00A75659">
              <w:rPr>
                <w:sz w:val="22"/>
                <w:szCs w:val="22"/>
              </w:rPr>
              <w:t xml:space="preserve">Existing Known Expansions </w:t>
            </w:r>
          </w:p>
        </w:tc>
        <w:tc>
          <w:tcPr>
            <w:tcW w:w="1701" w:type="dxa"/>
          </w:tcPr>
          <w:p w:rsidR="00A82907" w:rsidRPr="00A75659" w:rsidRDefault="0038384C" w:rsidP="001E7C15">
            <w:pPr>
              <w:jc w:val="right"/>
              <w:rPr>
                <w:sz w:val="22"/>
                <w:szCs w:val="22"/>
              </w:rPr>
            </w:pPr>
            <w:r w:rsidRPr="00A75659">
              <w:rPr>
                <w:sz w:val="22"/>
                <w:szCs w:val="22"/>
              </w:rPr>
              <w:t>£1,059,583</w:t>
            </w:r>
          </w:p>
        </w:tc>
        <w:tc>
          <w:tcPr>
            <w:tcW w:w="1668" w:type="dxa"/>
          </w:tcPr>
          <w:p w:rsidR="00A82907" w:rsidRPr="008C1235" w:rsidRDefault="00A82907" w:rsidP="000A29A0">
            <w:pPr>
              <w:jc w:val="right"/>
              <w:rPr>
                <w:sz w:val="22"/>
                <w:szCs w:val="22"/>
              </w:rPr>
            </w:pPr>
            <w:r w:rsidRPr="008C1235">
              <w:rPr>
                <w:sz w:val="22"/>
                <w:szCs w:val="22"/>
              </w:rPr>
              <w:t>£0</w:t>
            </w:r>
          </w:p>
        </w:tc>
        <w:tc>
          <w:tcPr>
            <w:tcW w:w="1414" w:type="dxa"/>
          </w:tcPr>
          <w:p w:rsidR="00A82907" w:rsidRPr="008C1235" w:rsidRDefault="0038384C" w:rsidP="001E7C15">
            <w:pPr>
              <w:jc w:val="right"/>
              <w:rPr>
                <w:sz w:val="22"/>
                <w:szCs w:val="22"/>
              </w:rPr>
            </w:pPr>
            <w:r w:rsidRPr="008C1235">
              <w:rPr>
                <w:sz w:val="22"/>
                <w:szCs w:val="22"/>
              </w:rPr>
              <w:t>£1,059,583</w:t>
            </w:r>
          </w:p>
        </w:tc>
      </w:tr>
      <w:tr w:rsidR="00A82907" w:rsidRPr="00CE63F5">
        <w:trPr>
          <w:jc w:val="center"/>
        </w:trPr>
        <w:tc>
          <w:tcPr>
            <w:tcW w:w="4517" w:type="dxa"/>
          </w:tcPr>
          <w:p w:rsidR="00A82907" w:rsidRPr="00A75659" w:rsidRDefault="00A82907" w:rsidP="000A29A0">
            <w:pPr>
              <w:jc w:val="both"/>
              <w:rPr>
                <w:sz w:val="22"/>
                <w:szCs w:val="22"/>
              </w:rPr>
            </w:pPr>
            <w:r w:rsidRPr="00A75659">
              <w:rPr>
                <w:sz w:val="22"/>
                <w:szCs w:val="22"/>
              </w:rPr>
              <w:t xml:space="preserve">Existing Bulge Classes </w:t>
            </w:r>
          </w:p>
        </w:tc>
        <w:tc>
          <w:tcPr>
            <w:tcW w:w="1701" w:type="dxa"/>
          </w:tcPr>
          <w:p w:rsidR="00A82907" w:rsidRPr="00A75659" w:rsidRDefault="0038384C" w:rsidP="001E7C15">
            <w:pPr>
              <w:jc w:val="right"/>
              <w:rPr>
                <w:sz w:val="22"/>
                <w:szCs w:val="22"/>
              </w:rPr>
            </w:pPr>
            <w:r w:rsidRPr="00A75659">
              <w:rPr>
                <w:sz w:val="22"/>
                <w:szCs w:val="22"/>
              </w:rPr>
              <w:t>£515,802</w:t>
            </w:r>
          </w:p>
        </w:tc>
        <w:tc>
          <w:tcPr>
            <w:tcW w:w="1668" w:type="dxa"/>
          </w:tcPr>
          <w:p w:rsidR="00A82907" w:rsidRPr="008C1235" w:rsidRDefault="00A82907" w:rsidP="000A29A0">
            <w:pPr>
              <w:jc w:val="right"/>
              <w:rPr>
                <w:sz w:val="22"/>
                <w:szCs w:val="22"/>
              </w:rPr>
            </w:pPr>
            <w:r w:rsidRPr="008C1235">
              <w:rPr>
                <w:sz w:val="22"/>
                <w:szCs w:val="22"/>
              </w:rPr>
              <w:t>£0</w:t>
            </w:r>
          </w:p>
        </w:tc>
        <w:tc>
          <w:tcPr>
            <w:tcW w:w="1414" w:type="dxa"/>
          </w:tcPr>
          <w:p w:rsidR="00A82907" w:rsidRPr="008C1235" w:rsidRDefault="0038384C" w:rsidP="001E7C15">
            <w:pPr>
              <w:jc w:val="right"/>
              <w:rPr>
                <w:sz w:val="22"/>
                <w:szCs w:val="22"/>
              </w:rPr>
            </w:pPr>
            <w:r w:rsidRPr="008C1235">
              <w:rPr>
                <w:sz w:val="22"/>
                <w:szCs w:val="22"/>
              </w:rPr>
              <w:t>£515,802</w:t>
            </w:r>
          </w:p>
        </w:tc>
      </w:tr>
      <w:tr w:rsidR="00A82907" w:rsidRPr="00CE63F5">
        <w:trPr>
          <w:jc w:val="center"/>
        </w:trPr>
        <w:tc>
          <w:tcPr>
            <w:tcW w:w="4517" w:type="dxa"/>
          </w:tcPr>
          <w:p w:rsidR="00A82907" w:rsidRPr="00A75659" w:rsidRDefault="00A82907" w:rsidP="000A29A0">
            <w:pPr>
              <w:jc w:val="both"/>
              <w:rPr>
                <w:sz w:val="22"/>
                <w:szCs w:val="22"/>
              </w:rPr>
            </w:pPr>
            <w:r w:rsidRPr="00A75659">
              <w:rPr>
                <w:sz w:val="22"/>
                <w:szCs w:val="22"/>
              </w:rPr>
              <w:t>New Expansions</w:t>
            </w:r>
          </w:p>
        </w:tc>
        <w:tc>
          <w:tcPr>
            <w:tcW w:w="1701" w:type="dxa"/>
          </w:tcPr>
          <w:p w:rsidR="00A82907" w:rsidRPr="00A75659" w:rsidRDefault="0038384C" w:rsidP="001E7C15">
            <w:pPr>
              <w:jc w:val="right"/>
              <w:rPr>
                <w:sz w:val="22"/>
                <w:szCs w:val="22"/>
              </w:rPr>
            </w:pPr>
            <w:r w:rsidRPr="00A75659">
              <w:rPr>
                <w:sz w:val="22"/>
                <w:szCs w:val="22"/>
              </w:rPr>
              <w:t>£3</w:t>
            </w:r>
            <w:r w:rsidR="00A82907" w:rsidRPr="00A75659">
              <w:rPr>
                <w:sz w:val="22"/>
                <w:szCs w:val="22"/>
              </w:rPr>
              <w:t>50,000</w:t>
            </w:r>
          </w:p>
        </w:tc>
        <w:tc>
          <w:tcPr>
            <w:tcW w:w="1668" w:type="dxa"/>
          </w:tcPr>
          <w:p w:rsidR="00A82907" w:rsidRPr="008C1235" w:rsidRDefault="008C1235" w:rsidP="00BC3612">
            <w:pPr>
              <w:jc w:val="right"/>
              <w:rPr>
                <w:sz w:val="22"/>
                <w:szCs w:val="22"/>
              </w:rPr>
            </w:pPr>
            <w:r>
              <w:rPr>
                <w:sz w:val="22"/>
                <w:szCs w:val="22"/>
              </w:rPr>
              <w:t>£806,603</w:t>
            </w:r>
          </w:p>
        </w:tc>
        <w:tc>
          <w:tcPr>
            <w:tcW w:w="1414" w:type="dxa"/>
          </w:tcPr>
          <w:p w:rsidR="00A82907" w:rsidRPr="008C1235" w:rsidRDefault="008C1235" w:rsidP="001E7C15">
            <w:pPr>
              <w:jc w:val="right"/>
              <w:rPr>
                <w:sz w:val="22"/>
                <w:szCs w:val="22"/>
              </w:rPr>
            </w:pPr>
            <w:r>
              <w:rPr>
                <w:sz w:val="22"/>
                <w:szCs w:val="22"/>
              </w:rPr>
              <w:t>£1,156,603</w:t>
            </w:r>
          </w:p>
        </w:tc>
      </w:tr>
      <w:tr w:rsidR="00A82907" w:rsidRPr="00CE63F5">
        <w:trPr>
          <w:jc w:val="center"/>
        </w:trPr>
        <w:tc>
          <w:tcPr>
            <w:tcW w:w="4517" w:type="dxa"/>
          </w:tcPr>
          <w:p w:rsidR="00A82907" w:rsidRPr="00A75659" w:rsidRDefault="00A82907" w:rsidP="000A29A0">
            <w:pPr>
              <w:jc w:val="both"/>
              <w:rPr>
                <w:sz w:val="22"/>
                <w:szCs w:val="22"/>
              </w:rPr>
            </w:pPr>
            <w:r w:rsidRPr="00A75659">
              <w:rPr>
                <w:sz w:val="22"/>
                <w:szCs w:val="22"/>
              </w:rPr>
              <w:t>Pre-Opening Costs</w:t>
            </w:r>
          </w:p>
        </w:tc>
        <w:tc>
          <w:tcPr>
            <w:tcW w:w="1701" w:type="dxa"/>
          </w:tcPr>
          <w:p w:rsidR="00A82907" w:rsidRPr="00A75659" w:rsidRDefault="00A82907" w:rsidP="001E7C15">
            <w:pPr>
              <w:jc w:val="right"/>
              <w:rPr>
                <w:sz w:val="22"/>
                <w:szCs w:val="22"/>
              </w:rPr>
            </w:pPr>
            <w:r w:rsidRPr="00A75659">
              <w:rPr>
                <w:sz w:val="22"/>
                <w:szCs w:val="22"/>
              </w:rPr>
              <w:t>£0</w:t>
            </w:r>
          </w:p>
        </w:tc>
        <w:tc>
          <w:tcPr>
            <w:tcW w:w="1668" w:type="dxa"/>
          </w:tcPr>
          <w:p w:rsidR="00A82907" w:rsidRPr="008C1235" w:rsidRDefault="00A82907" w:rsidP="00BC3612">
            <w:pPr>
              <w:jc w:val="right"/>
              <w:rPr>
                <w:sz w:val="22"/>
                <w:szCs w:val="22"/>
              </w:rPr>
            </w:pPr>
            <w:r w:rsidRPr="008C1235">
              <w:rPr>
                <w:sz w:val="22"/>
                <w:szCs w:val="22"/>
              </w:rPr>
              <w:t>£0</w:t>
            </w:r>
          </w:p>
        </w:tc>
        <w:tc>
          <w:tcPr>
            <w:tcW w:w="1414" w:type="dxa"/>
          </w:tcPr>
          <w:p w:rsidR="00A82907" w:rsidRPr="008C1235" w:rsidRDefault="00A82907" w:rsidP="001E7C15">
            <w:pPr>
              <w:jc w:val="right"/>
              <w:rPr>
                <w:sz w:val="22"/>
                <w:szCs w:val="22"/>
              </w:rPr>
            </w:pPr>
            <w:r w:rsidRPr="008C1235">
              <w:rPr>
                <w:sz w:val="22"/>
                <w:szCs w:val="22"/>
              </w:rPr>
              <w:t>£0</w:t>
            </w:r>
          </w:p>
        </w:tc>
      </w:tr>
      <w:tr w:rsidR="00A82907" w:rsidRPr="00CE63F5">
        <w:trPr>
          <w:jc w:val="center"/>
        </w:trPr>
        <w:tc>
          <w:tcPr>
            <w:tcW w:w="4517" w:type="dxa"/>
          </w:tcPr>
          <w:p w:rsidR="00A82907" w:rsidRPr="00A75659" w:rsidRDefault="00A82907" w:rsidP="000A29A0">
            <w:pPr>
              <w:jc w:val="both"/>
              <w:rPr>
                <w:sz w:val="22"/>
                <w:szCs w:val="22"/>
              </w:rPr>
            </w:pPr>
            <w:r w:rsidRPr="00A75659">
              <w:rPr>
                <w:sz w:val="22"/>
                <w:szCs w:val="22"/>
              </w:rPr>
              <w:t>Diseconomies of Scale</w:t>
            </w:r>
          </w:p>
        </w:tc>
        <w:tc>
          <w:tcPr>
            <w:tcW w:w="1701" w:type="dxa"/>
          </w:tcPr>
          <w:p w:rsidR="00A82907" w:rsidRPr="00A75659" w:rsidRDefault="00A82907" w:rsidP="001E7C15">
            <w:pPr>
              <w:jc w:val="right"/>
              <w:rPr>
                <w:sz w:val="22"/>
                <w:szCs w:val="22"/>
              </w:rPr>
            </w:pPr>
            <w:r w:rsidRPr="00A75659">
              <w:rPr>
                <w:sz w:val="22"/>
                <w:szCs w:val="22"/>
              </w:rPr>
              <w:t>£0</w:t>
            </w:r>
          </w:p>
        </w:tc>
        <w:tc>
          <w:tcPr>
            <w:tcW w:w="1668" w:type="dxa"/>
          </w:tcPr>
          <w:p w:rsidR="00A82907" w:rsidRPr="008C1235" w:rsidRDefault="00A82907" w:rsidP="00BC3612">
            <w:pPr>
              <w:jc w:val="right"/>
              <w:rPr>
                <w:sz w:val="22"/>
                <w:szCs w:val="22"/>
              </w:rPr>
            </w:pPr>
            <w:r w:rsidRPr="008C1235">
              <w:rPr>
                <w:sz w:val="22"/>
                <w:szCs w:val="22"/>
              </w:rPr>
              <w:t>£0</w:t>
            </w:r>
          </w:p>
        </w:tc>
        <w:tc>
          <w:tcPr>
            <w:tcW w:w="1414" w:type="dxa"/>
          </w:tcPr>
          <w:p w:rsidR="00A82907" w:rsidRPr="008C1235" w:rsidRDefault="00A82907" w:rsidP="001E7C15">
            <w:pPr>
              <w:jc w:val="right"/>
              <w:rPr>
                <w:sz w:val="22"/>
                <w:szCs w:val="22"/>
              </w:rPr>
            </w:pPr>
            <w:r w:rsidRPr="008C1235">
              <w:rPr>
                <w:sz w:val="22"/>
                <w:szCs w:val="22"/>
              </w:rPr>
              <w:t>£0</w:t>
            </w:r>
          </w:p>
        </w:tc>
      </w:tr>
      <w:tr w:rsidR="00A82907" w:rsidRPr="00CE63F5">
        <w:trPr>
          <w:jc w:val="center"/>
        </w:trPr>
        <w:tc>
          <w:tcPr>
            <w:tcW w:w="4517" w:type="dxa"/>
          </w:tcPr>
          <w:p w:rsidR="00A82907" w:rsidRPr="00A75659" w:rsidRDefault="00082F7B" w:rsidP="000A29A0">
            <w:pPr>
              <w:jc w:val="both"/>
              <w:rPr>
                <w:b/>
                <w:bCs/>
                <w:sz w:val="22"/>
                <w:szCs w:val="22"/>
              </w:rPr>
            </w:pPr>
            <w:r w:rsidRPr="00A75659">
              <w:rPr>
                <w:b/>
                <w:bCs/>
                <w:sz w:val="22"/>
                <w:szCs w:val="22"/>
              </w:rPr>
              <w:t>Total Value 2015</w:t>
            </w:r>
            <w:r w:rsidR="00A82907" w:rsidRPr="00A75659">
              <w:rPr>
                <w:b/>
                <w:bCs/>
                <w:sz w:val="22"/>
                <w:szCs w:val="22"/>
              </w:rPr>
              <w:t>/1</w:t>
            </w:r>
            <w:r w:rsidRPr="00A75659">
              <w:rPr>
                <w:b/>
                <w:bCs/>
                <w:sz w:val="22"/>
                <w:szCs w:val="22"/>
              </w:rPr>
              <w:t>6</w:t>
            </w:r>
          </w:p>
        </w:tc>
        <w:tc>
          <w:tcPr>
            <w:tcW w:w="1701" w:type="dxa"/>
          </w:tcPr>
          <w:p w:rsidR="00A82907" w:rsidRPr="00A75659" w:rsidRDefault="00A75659" w:rsidP="00BC3612">
            <w:pPr>
              <w:jc w:val="right"/>
              <w:rPr>
                <w:b/>
                <w:bCs/>
                <w:sz w:val="22"/>
                <w:szCs w:val="22"/>
              </w:rPr>
            </w:pPr>
            <w:r w:rsidRPr="00A75659">
              <w:rPr>
                <w:b/>
                <w:bCs/>
                <w:sz w:val="22"/>
                <w:szCs w:val="22"/>
              </w:rPr>
              <w:t>£1,925,385</w:t>
            </w:r>
          </w:p>
        </w:tc>
        <w:tc>
          <w:tcPr>
            <w:tcW w:w="1668" w:type="dxa"/>
          </w:tcPr>
          <w:p w:rsidR="00A82907" w:rsidRPr="008C1235" w:rsidRDefault="00A82907" w:rsidP="008C1235">
            <w:pPr>
              <w:jc w:val="right"/>
              <w:rPr>
                <w:b/>
                <w:bCs/>
                <w:sz w:val="22"/>
                <w:szCs w:val="22"/>
              </w:rPr>
            </w:pPr>
            <w:r w:rsidRPr="008C1235">
              <w:rPr>
                <w:b/>
                <w:bCs/>
                <w:sz w:val="22"/>
                <w:szCs w:val="22"/>
              </w:rPr>
              <w:t>£</w:t>
            </w:r>
            <w:r w:rsidR="008C1235">
              <w:rPr>
                <w:b/>
                <w:bCs/>
                <w:sz w:val="22"/>
                <w:szCs w:val="22"/>
              </w:rPr>
              <w:t>806,603</w:t>
            </w:r>
          </w:p>
        </w:tc>
        <w:tc>
          <w:tcPr>
            <w:tcW w:w="1414" w:type="dxa"/>
          </w:tcPr>
          <w:p w:rsidR="00A82907" w:rsidRPr="008C1235" w:rsidRDefault="00A75659" w:rsidP="00BC3612">
            <w:pPr>
              <w:jc w:val="right"/>
              <w:rPr>
                <w:b/>
                <w:bCs/>
                <w:sz w:val="22"/>
                <w:szCs w:val="22"/>
              </w:rPr>
            </w:pPr>
            <w:r w:rsidRPr="008C1235">
              <w:rPr>
                <w:b/>
                <w:bCs/>
                <w:sz w:val="22"/>
                <w:szCs w:val="22"/>
              </w:rPr>
              <w:t>£</w:t>
            </w:r>
            <w:r w:rsidR="008C1235">
              <w:rPr>
                <w:b/>
                <w:bCs/>
                <w:sz w:val="22"/>
                <w:szCs w:val="22"/>
              </w:rPr>
              <w:t>2,731,988</w:t>
            </w:r>
          </w:p>
        </w:tc>
      </w:tr>
    </w:tbl>
    <w:p w:rsidR="0038384C" w:rsidRPr="00CE63F5" w:rsidRDefault="0038384C" w:rsidP="00FF65F9">
      <w:pPr>
        <w:jc w:val="both"/>
        <w:rPr>
          <w:color w:val="FF0000"/>
          <w:sz w:val="22"/>
          <w:szCs w:val="22"/>
          <w:highlight w:val="yellow"/>
        </w:rPr>
      </w:pPr>
    </w:p>
    <w:p w:rsidR="00A82907" w:rsidRPr="00082F7B" w:rsidRDefault="00A82907" w:rsidP="00A97DDB">
      <w:pPr>
        <w:jc w:val="both"/>
        <w:rPr>
          <w:sz w:val="22"/>
          <w:szCs w:val="22"/>
        </w:rPr>
      </w:pPr>
      <w:r w:rsidRPr="00082F7B">
        <w:rPr>
          <w:sz w:val="22"/>
          <w:szCs w:val="22"/>
        </w:rPr>
        <w:t>The p</w:t>
      </w:r>
      <w:r w:rsidR="00082F7B" w:rsidRPr="00082F7B">
        <w:rPr>
          <w:sz w:val="22"/>
          <w:szCs w:val="22"/>
        </w:rPr>
        <w:t>roposed criteria for allocating funding from this contingency fund in 2016/17</w:t>
      </w:r>
      <w:r w:rsidRPr="00082F7B">
        <w:rPr>
          <w:sz w:val="22"/>
          <w:szCs w:val="22"/>
        </w:rPr>
        <w:t xml:space="preserve"> are </w:t>
      </w:r>
      <w:r w:rsidR="00082F7B" w:rsidRPr="00082F7B">
        <w:rPr>
          <w:sz w:val="22"/>
          <w:szCs w:val="22"/>
        </w:rPr>
        <w:t>the same as in 2015/16</w:t>
      </w:r>
      <w:r w:rsidR="00A748F3">
        <w:rPr>
          <w:sz w:val="22"/>
          <w:szCs w:val="22"/>
        </w:rPr>
        <w:t>:</w:t>
      </w:r>
    </w:p>
    <w:p w:rsidR="00A82907" w:rsidRPr="00A748F3" w:rsidRDefault="00A82907" w:rsidP="00A97DDB">
      <w:pPr>
        <w:jc w:val="both"/>
        <w:rPr>
          <w:b/>
          <w:bCs/>
          <w:color w:val="FF0000"/>
          <w:sz w:val="12"/>
          <w:szCs w:val="12"/>
        </w:rPr>
      </w:pPr>
    </w:p>
    <w:p w:rsidR="00A82907" w:rsidRPr="00082F7B" w:rsidRDefault="00A82907" w:rsidP="008722A8">
      <w:pPr>
        <w:numPr>
          <w:ilvl w:val="0"/>
          <w:numId w:val="8"/>
        </w:numPr>
        <w:tabs>
          <w:tab w:val="clear" w:pos="0"/>
          <w:tab w:val="num" w:pos="-360"/>
        </w:tabs>
        <w:ind w:left="360"/>
        <w:jc w:val="both"/>
        <w:rPr>
          <w:b/>
          <w:bCs/>
          <w:sz w:val="22"/>
          <w:szCs w:val="22"/>
        </w:rPr>
      </w:pPr>
      <w:r w:rsidRPr="00082F7B">
        <w:rPr>
          <w:b/>
          <w:bCs/>
          <w:sz w:val="22"/>
          <w:szCs w:val="22"/>
        </w:rPr>
        <w:t>Schools / academies permanently expanding by increasing the size of existing year groups</w:t>
      </w:r>
      <w:r w:rsidRPr="00082F7B">
        <w:rPr>
          <w:sz w:val="22"/>
          <w:szCs w:val="22"/>
        </w:rPr>
        <w:t>:</w:t>
      </w:r>
    </w:p>
    <w:p w:rsidR="00A82907" w:rsidRPr="00082F7B" w:rsidRDefault="00A82907" w:rsidP="008722A8">
      <w:pPr>
        <w:numPr>
          <w:ilvl w:val="1"/>
          <w:numId w:val="8"/>
        </w:numPr>
        <w:ind w:left="1100"/>
        <w:jc w:val="both"/>
        <w:rPr>
          <w:sz w:val="22"/>
          <w:szCs w:val="22"/>
        </w:rPr>
      </w:pPr>
      <w:r w:rsidRPr="00082F7B">
        <w:rPr>
          <w:sz w:val="22"/>
          <w:szCs w:val="22"/>
        </w:rPr>
        <w:t>For basic need purposes, where an established school or academy is permanently expanding by increasing the size of existing year groups, and has already begun to expand before the start of the financial year, the additional allocation will be included within the school’s / academy’s initial budget. Funding is calculated on the dif</w:t>
      </w:r>
      <w:r w:rsidR="00082F7B">
        <w:rPr>
          <w:sz w:val="22"/>
          <w:szCs w:val="22"/>
        </w:rPr>
        <w:t>ference between the October 2015</w:t>
      </w:r>
      <w:r w:rsidRPr="00082F7B">
        <w:rPr>
          <w:sz w:val="22"/>
          <w:szCs w:val="22"/>
        </w:rPr>
        <w:t xml:space="preserve"> census pupil numbers and a calculation of the composite 5/12 + 7/12 numbers, based on an estimate of the school’s October 201</w:t>
      </w:r>
      <w:r w:rsidR="00082F7B">
        <w:rPr>
          <w:sz w:val="22"/>
          <w:szCs w:val="22"/>
        </w:rPr>
        <w:t>6</w:t>
      </w:r>
      <w:r w:rsidRPr="00082F7B">
        <w:rPr>
          <w:sz w:val="22"/>
          <w:szCs w:val="22"/>
        </w:rPr>
        <w:t xml:space="preserve"> Census. The school will then be allocated 80% of the value of the additional base amount per pupil, for the difference between the actual and th</w:t>
      </w:r>
      <w:r w:rsidR="00082F7B">
        <w:rPr>
          <w:sz w:val="22"/>
          <w:szCs w:val="22"/>
        </w:rPr>
        <w:t>e composite calculation. On 2015/16 values this would give £2,299 per pupil Primary, £3,322 Key Stage 3 and £3,417</w:t>
      </w:r>
      <w:r w:rsidRPr="00082F7B">
        <w:rPr>
          <w:sz w:val="22"/>
          <w:szCs w:val="22"/>
        </w:rPr>
        <w:t xml:space="preserve"> Key Stage 4. </w:t>
      </w:r>
    </w:p>
    <w:p w:rsidR="00A82907" w:rsidRDefault="00A82907" w:rsidP="008722A8">
      <w:pPr>
        <w:numPr>
          <w:ilvl w:val="1"/>
          <w:numId w:val="8"/>
        </w:numPr>
        <w:ind w:left="1100"/>
        <w:jc w:val="both"/>
        <w:rPr>
          <w:sz w:val="22"/>
          <w:szCs w:val="22"/>
        </w:rPr>
      </w:pPr>
      <w:r w:rsidRPr="00082F7B">
        <w:rPr>
          <w:sz w:val="22"/>
          <w:szCs w:val="22"/>
        </w:rPr>
        <w:t xml:space="preserve">For basic need purposes, where a school / academy is permanently expanding by increasing the size of existing year groups for </w:t>
      </w:r>
      <w:r w:rsidR="00082F7B">
        <w:rPr>
          <w:sz w:val="22"/>
          <w:szCs w:val="22"/>
        </w:rPr>
        <w:t>the first time in September 2016</w:t>
      </w:r>
      <w:r w:rsidRPr="00082F7B">
        <w:rPr>
          <w:sz w:val="22"/>
          <w:szCs w:val="22"/>
        </w:rPr>
        <w:t xml:space="preserve">, the school / academy is allocated 80% of the value of the base amount per pupil for the additional planned intake number, for the remaining proportion of the year (7/12ths). In </w:t>
      </w:r>
      <w:r w:rsidR="00082F7B">
        <w:rPr>
          <w:sz w:val="22"/>
          <w:szCs w:val="22"/>
        </w:rPr>
        <w:t>the following full year, in 2017/18</w:t>
      </w:r>
      <w:r w:rsidRPr="00082F7B">
        <w:rPr>
          <w:sz w:val="22"/>
          <w:szCs w:val="22"/>
        </w:rPr>
        <w:t>, the school / academy would then be funded as above.</w:t>
      </w:r>
    </w:p>
    <w:p w:rsidR="00A748F3" w:rsidRPr="00A748F3" w:rsidRDefault="00A748F3" w:rsidP="00A748F3">
      <w:pPr>
        <w:jc w:val="both"/>
        <w:rPr>
          <w:sz w:val="12"/>
          <w:szCs w:val="12"/>
        </w:rPr>
      </w:pPr>
    </w:p>
    <w:p w:rsidR="00A82907" w:rsidRPr="00082F7B" w:rsidRDefault="00A82907" w:rsidP="008722A8">
      <w:pPr>
        <w:numPr>
          <w:ilvl w:val="0"/>
          <w:numId w:val="9"/>
        </w:numPr>
        <w:tabs>
          <w:tab w:val="clear" w:pos="0"/>
          <w:tab w:val="num" w:pos="-360"/>
        </w:tabs>
        <w:ind w:left="360"/>
        <w:jc w:val="both"/>
        <w:rPr>
          <w:b/>
          <w:bCs/>
          <w:sz w:val="22"/>
          <w:szCs w:val="22"/>
        </w:rPr>
      </w:pPr>
      <w:r w:rsidRPr="00082F7B">
        <w:rPr>
          <w:b/>
          <w:bCs/>
          <w:sz w:val="22"/>
          <w:szCs w:val="22"/>
        </w:rPr>
        <w:t>Bulge Classes added to existing year groups</w:t>
      </w:r>
      <w:r w:rsidRPr="00082F7B">
        <w:rPr>
          <w:sz w:val="22"/>
          <w:szCs w:val="22"/>
        </w:rPr>
        <w:t>:</w:t>
      </w:r>
    </w:p>
    <w:p w:rsidR="00A82907" w:rsidRPr="00082F7B" w:rsidRDefault="00A82907" w:rsidP="008722A8">
      <w:pPr>
        <w:numPr>
          <w:ilvl w:val="1"/>
          <w:numId w:val="8"/>
        </w:numPr>
        <w:ind w:left="1100"/>
        <w:jc w:val="both"/>
        <w:rPr>
          <w:sz w:val="22"/>
          <w:szCs w:val="22"/>
        </w:rPr>
      </w:pPr>
      <w:r w:rsidRPr="00082F7B">
        <w:rPr>
          <w:b/>
          <w:bCs/>
          <w:sz w:val="22"/>
          <w:szCs w:val="22"/>
        </w:rPr>
        <w:t>Full classes</w:t>
      </w:r>
      <w:r w:rsidRPr="00082F7B">
        <w:rPr>
          <w:sz w:val="22"/>
          <w:szCs w:val="22"/>
        </w:rPr>
        <w:t>: For basic need purposes, where a school / academy is asked in year to admit a full class or Form of Entry (30) into / on top of an existing year group, funding is allocated on the same basis as a new permanently expanding schools above, at 80% of the base per pupil value for the planned additional admission number for the relevant proportion of the financial year. In the following financial year, no additional funding is necessary or allocated; this additional class is automatically funded within the school’s / academy’s normal revenue budget.</w:t>
      </w:r>
    </w:p>
    <w:p w:rsidR="00A82907" w:rsidRPr="00082F7B" w:rsidRDefault="00A82907" w:rsidP="008722A8">
      <w:pPr>
        <w:numPr>
          <w:ilvl w:val="1"/>
          <w:numId w:val="8"/>
        </w:numPr>
        <w:ind w:left="1100"/>
        <w:jc w:val="both"/>
        <w:rPr>
          <w:sz w:val="22"/>
          <w:szCs w:val="22"/>
        </w:rPr>
      </w:pPr>
      <w:r w:rsidRPr="00082F7B">
        <w:rPr>
          <w:b/>
          <w:bCs/>
          <w:sz w:val="22"/>
          <w:szCs w:val="22"/>
        </w:rPr>
        <w:t>Half classes:</w:t>
      </w:r>
      <w:r w:rsidRPr="00082F7B">
        <w:rPr>
          <w:sz w:val="22"/>
          <w:szCs w:val="22"/>
        </w:rPr>
        <w:t xml:space="preserve"> For basic need purposes, where a school / academy is asked in year to admit an additional number of children that do not add up to a full class or Form of Entry into / on top of an existing year group, the additional sum for the current financial year is allocated as for a full class above, based on the actual planned additional intake number. In the following year, and in each year for the lifetime the half class is at the school / academy, an additional sum is allocated based on 80% of the value of the base per pupil amount for the difference between 30 and the actual number of children in the half class. So if the class had 15 pupils the funding would be 30 – 15 x £base app x 80%. The value of this funding is reviewed each year, for actual numbers.</w:t>
      </w:r>
    </w:p>
    <w:p w:rsidR="00A82907" w:rsidRPr="00A748F3" w:rsidRDefault="00A82907" w:rsidP="00A97DDB">
      <w:pPr>
        <w:jc w:val="both"/>
        <w:rPr>
          <w:sz w:val="12"/>
          <w:szCs w:val="12"/>
        </w:rPr>
      </w:pPr>
    </w:p>
    <w:p w:rsidR="00A82907" w:rsidRPr="00082F7B" w:rsidRDefault="00A82907" w:rsidP="008722A8">
      <w:pPr>
        <w:numPr>
          <w:ilvl w:val="0"/>
          <w:numId w:val="7"/>
        </w:numPr>
        <w:jc w:val="both"/>
        <w:rPr>
          <w:b/>
          <w:bCs/>
          <w:sz w:val="22"/>
          <w:szCs w:val="22"/>
        </w:rPr>
      </w:pPr>
      <w:r w:rsidRPr="00082F7B">
        <w:rPr>
          <w:b/>
          <w:bCs/>
          <w:sz w:val="22"/>
          <w:szCs w:val="22"/>
        </w:rPr>
        <w:t xml:space="preserve">Newly established School / Academy Provision additional support: </w:t>
      </w:r>
      <w:r w:rsidRPr="00082F7B">
        <w:rPr>
          <w:sz w:val="22"/>
          <w:szCs w:val="22"/>
        </w:rPr>
        <w:t>For basic need purposes, where a new school / academy is established by the Local Authority, or where an existing school / academy extends its provision into a new phase i.e. a Secondary school / academy establishes Primary-aged provision and vice versa, at the request of the Local Authority, and where the new school / academy does not yet have pupils in all planned year groups, the funding approach will be:</w:t>
      </w:r>
    </w:p>
    <w:p w:rsidR="00A82907" w:rsidRPr="00082F7B" w:rsidRDefault="00A82907" w:rsidP="008722A8">
      <w:pPr>
        <w:numPr>
          <w:ilvl w:val="1"/>
          <w:numId w:val="7"/>
        </w:numPr>
        <w:jc w:val="both"/>
        <w:rPr>
          <w:b/>
          <w:bCs/>
          <w:sz w:val="22"/>
          <w:szCs w:val="22"/>
        </w:rPr>
      </w:pPr>
      <w:r w:rsidRPr="00082F7B">
        <w:rPr>
          <w:sz w:val="22"/>
          <w:szCs w:val="22"/>
        </w:rPr>
        <w:t xml:space="preserve">Pre-Opening support </w:t>
      </w:r>
      <w:r w:rsidRPr="00082F7B">
        <w:rPr>
          <w:i/>
          <w:iCs/>
          <w:sz w:val="22"/>
          <w:szCs w:val="22"/>
        </w:rPr>
        <w:t>(this</w:t>
      </w:r>
      <w:r w:rsidR="00802520" w:rsidRPr="00082F7B">
        <w:rPr>
          <w:i/>
          <w:iCs/>
          <w:sz w:val="22"/>
          <w:szCs w:val="22"/>
        </w:rPr>
        <w:t xml:space="preserve"> is</w:t>
      </w:r>
      <w:r w:rsidRPr="00082F7B">
        <w:rPr>
          <w:i/>
          <w:iCs/>
          <w:sz w:val="22"/>
          <w:szCs w:val="22"/>
        </w:rPr>
        <w:t xml:space="preserve"> not applicable to non basic need Free Schools):</w:t>
      </w:r>
      <w:r w:rsidRPr="00082F7B">
        <w:rPr>
          <w:sz w:val="22"/>
          <w:szCs w:val="22"/>
        </w:rPr>
        <w:t xml:space="preserve"> the Schools Forum will consider the allocation of a pre-opening budget based on previous methodologies but also taking account of the specific circumstances of the school / academy.</w:t>
      </w:r>
    </w:p>
    <w:p w:rsidR="00A82907" w:rsidRPr="00082F7B" w:rsidRDefault="00A82907" w:rsidP="008722A8">
      <w:pPr>
        <w:numPr>
          <w:ilvl w:val="1"/>
          <w:numId w:val="7"/>
        </w:numPr>
        <w:jc w:val="both"/>
        <w:rPr>
          <w:b/>
          <w:bCs/>
          <w:sz w:val="22"/>
          <w:szCs w:val="22"/>
        </w:rPr>
      </w:pPr>
      <w:r w:rsidRPr="00082F7B">
        <w:rPr>
          <w:sz w:val="22"/>
          <w:szCs w:val="22"/>
        </w:rPr>
        <w:t xml:space="preserve">Post-Opening support for diseconomies of scale </w:t>
      </w:r>
      <w:r w:rsidRPr="00082F7B">
        <w:rPr>
          <w:i/>
          <w:iCs/>
          <w:sz w:val="22"/>
          <w:szCs w:val="22"/>
        </w:rPr>
        <w:t xml:space="preserve">(this </w:t>
      </w:r>
      <w:r w:rsidR="00802520" w:rsidRPr="00082F7B">
        <w:rPr>
          <w:i/>
          <w:iCs/>
          <w:sz w:val="22"/>
          <w:szCs w:val="22"/>
        </w:rPr>
        <w:t xml:space="preserve">is </w:t>
      </w:r>
      <w:r w:rsidRPr="00082F7B">
        <w:rPr>
          <w:i/>
          <w:iCs/>
          <w:sz w:val="22"/>
          <w:szCs w:val="22"/>
        </w:rPr>
        <w:t>not applicable to non basic need Free Schools</w:t>
      </w:r>
      <w:r w:rsidRPr="00082F7B">
        <w:rPr>
          <w:sz w:val="22"/>
          <w:szCs w:val="22"/>
        </w:rPr>
        <w:t>): the Schools Forum will consider the allocation of a budget based on previous methodologies but also taking account the specific circumstances of the school / academy.</w:t>
      </w:r>
    </w:p>
    <w:p w:rsidR="00A82907" w:rsidRPr="00A748F3" w:rsidRDefault="00A82907" w:rsidP="00A05E94">
      <w:pPr>
        <w:ind w:left="1080"/>
        <w:jc w:val="both"/>
        <w:rPr>
          <w:b/>
          <w:bCs/>
          <w:sz w:val="12"/>
          <w:szCs w:val="12"/>
        </w:rPr>
      </w:pPr>
    </w:p>
    <w:p w:rsidR="00A748F3" w:rsidRPr="002A12CC" w:rsidRDefault="00A82907" w:rsidP="008722A8">
      <w:pPr>
        <w:numPr>
          <w:ilvl w:val="0"/>
          <w:numId w:val="8"/>
        </w:numPr>
        <w:ind w:left="400"/>
        <w:jc w:val="both"/>
        <w:rPr>
          <w:b/>
          <w:bCs/>
          <w:sz w:val="22"/>
          <w:szCs w:val="22"/>
        </w:rPr>
      </w:pPr>
      <w:r w:rsidRPr="00082F7B">
        <w:rPr>
          <w:b/>
          <w:bCs/>
          <w:sz w:val="22"/>
          <w:szCs w:val="22"/>
        </w:rPr>
        <w:t>Newly established School / Academy Provision revenue formula funding</w:t>
      </w:r>
      <w:r w:rsidRPr="00082F7B">
        <w:rPr>
          <w:sz w:val="22"/>
          <w:szCs w:val="22"/>
        </w:rPr>
        <w:t xml:space="preserve"> </w:t>
      </w:r>
      <w:r w:rsidRPr="00082F7B">
        <w:rPr>
          <w:i/>
          <w:iCs/>
          <w:sz w:val="22"/>
          <w:szCs w:val="22"/>
        </w:rPr>
        <w:t>(this does apply to non basic need Free Schools but only from the 2</w:t>
      </w:r>
      <w:r w:rsidRPr="00082F7B">
        <w:rPr>
          <w:i/>
          <w:iCs/>
          <w:sz w:val="22"/>
          <w:szCs w:val="22"/>
          <w:vertAlign w:val="superscript"/>
        </w:rPr>
        <w:t>nd</w:t>
      </w:r>
      <w:r w:rsidRPr="00082F7B">
        <w:rPr>
          <w:i/>
          <w:iCs/>
          <w:sz w:val="22"/>
          <w:szCs w:val="22"/>
        </w:rPr>
        <w:t xml:space="preserve"> year of establishment)</w:t>
      </w:r>
      <w:r w:rsidRPr="00082F7B">
        <w:rPr>
          <w:sz w:val="22"/>
          <w:szCs w:val="22"/>
        </w:rPr>
        <w:t xml:space="preserve">: in the first financial year the school / academy will receive a full calculation of formula funding for the number of children planned to be admitted in September, based on estimated data, for the proportion of the year that the school / academy is established (e.g. 7/12ths for a September opening). For technical purposes, this will not be an allocation from the Growth Fund, but a formula funding allocation via the agreed formula – the Local Authority will submit an application to the EFA to vary pupil numbers on the basis of planned numbers. Any significant difference between estimated and actual intake numbers </w:t>
      </w:r>
      <w:r w:rsidR="00082F7B">
        <w:rPr>
          <w:sz w:val="22"/>
          <w:szCs w:val="22"/>
        </w:rPr>
        <w:t>will</w:t>
      </w:r>
      <w:r w:rsidRPr="00082F7B">
        <w:rPr>
          <w:sz w:val="22"/>
          <w:szCs w:val="22"/>
        </w:rPr>
        <w:t xml:space="preserve"> be adjusted for retrospectively in the following financial year. In subsequent years, until all year groups are established, the school / academy will be funded on the basis outlined above, providing a full calculation of additional formula funding for the planned additional intake for the following September, with a retrospective adjustment where there are significant differences between estimated and actual intake numbers. </w:t>
      </w:r>
      <w:r w:rsidRPr="00082F7B">
        <w:rPr>
          <w:i/>
          <w:iCs/>
          <w:sz w:val="22"/>
          <w:szCs w:val="22"/>
        </w:rPr>
        <w:t>Please note that academy / free school will receive their allocations directly from the EFA, although these are still funded from the DSG.</w:t>
      </w:r>
    </w:p>
    <w:p w:rsidR="00C2328E" w:rsidRDefault="00C2328E" w:rsidP="00754C20">
      <w:pPr>
        <w:jc w:val="both"/>
        <w:rPr>
          <w:color w:val="FF0000"/>
          <w:sz w:val="22"/>
          <w:szCs w:val="22"/>
          <w:highlight w:val="yellow"/>
        </w:rPr>
      </w:pPr>
    </w:p>
    <w:p w:rsidR="008722A8" w:rsidRDefault="008722A8" w:rsidP="00754C20">
      <w:pPr>
        <w:jc w:val="both"/>
        <w:rPr>
          <w:color w:val="FF0000"/>
          <w:sz w:val="22"/>
          <w:szCs w:val="22"/>
          <w:highlight w:val="yellow"/>
        </w:rPr>
      </w:pPr>
    </w:p>
    <w:p w:rsidR="008722A8" w:rsidRPr="00CE63F5" w:rsidRDefault="008722A8" w:rsidP="00754C20">
      <w:pPr>
        <w:jc w:val="both"/>
        <w:rPr>
          <w:color w:val="FF0000"/>
          <w:sz w:val="22"/>
          <w:szCs w:val="22"/>
          <w:highlight w:val="yellow"/>
        </w:rPr>
      </w:pPr>
    </w:p>
    <w:p w:rsidR="00A82907" w:rsidRPr="004D74CA" w:rsidRDefault="00305B67" w:rsidP="00754C20">
      <w:pPr>
        <w:jc w:val="both"/>
        <w:rPr>
          <w:sz w:val="22"/>
          <w:szCs w:val="22"/>
        </w:rPr>
      </w:pPr>
      <w:r>
        <w:rPr>
          <w:sz w:val="22"/>
          <w:szCs w:val="22"/>
        </w:rPr>
        <w:t>5</w:t>
      </w:r>
      <w:r w:rsidR="00A82907" w:rsidRPr="004D74CA">
        <w:rPr>
          <w:sz w:val="22"/>
          <w:szCs w:val="22"/>
        </w:rPr>
        <w:t>.6 School Re-Organisation Costs - maintained primary and secondary schools</w:t>
      </w:r>
    </w:p>
    <w:p w:rsidR="00A82907" w:rsidRPr="004D74CA" w:rsidRDefault="00A82907" w:rsidP="00754C20">
      <w:pPr>
        <w:jc w:val="both"/>
        <w:rPr>
          <w:b/>
          <w:bCs/>
          <w:color w:val="FF0000"/>
          <w:sz w:val="22"/>
          <w:szCs w:val="22"/>
        </w:rPr>
      </w:pPr>
    </w:p>
    <w:p w:rsidR="00A82907" w:rsidRPr="00A75659" w:rsidRDefault="00A82907" w:rsidP="004276B8">
      <w:pPr>
        <w:jc w:val="both"/>
        <w:rPr>
          <w:sz w:val="22"/>
          <w:szCs w:val="22"/>
        </w:rPr>
      </w:pPr>
      <w:r w:rsidRPr="00A75659">
        <w:rPr>
          <w:sz w:val="22"/>
          <w:szCs w:val="22"/>
        </w:rPr>
        <w:t>The va</w:t>
      </w:r>
      <w:r w:rsidR="004D74CA" w:rsidRPr="00A75659">
        <w:rPr>
          <w:sz w:val="22"/>
          <w:szCs w:val="22"/>
        </w:rPr>
        <w:t>lue of this fund in 2015/16</w:t>
      </w:r>
      <w:r w:rsidRPr="00A75659">
        <w:rPr>
          <w:sz w:val="22"/>
          <w:szCs w:val="22"/>
        </w:rPr>
        <w:t xml:space="preserve"> was £</w:t>
      </w:r>
      <w:r w:rsidR="00A75659" w:rsidRPr="00A75659">
        <w:rPr>
          <w:sz w:val="22"/>
          <w:szCs w:val="22"/>
        </w:rPr>
        <w:t>0.13</w:t>
      </w:r>
      <w:r w:rsidR="00A748F3">
        <w:rPr>
          <w:sz w:val="22"/>
          <w:szCs w:val="22"/>
        </w:rPr>
        <w:t>m, broken down between phases</w:t>
      </w:r>
      <w:r w:rsidRPr="00A75659">
        <w:rPr>
          <w:sz w:val="22"/>
          <w:szCs w:val="22"/>
        </w:rPr>
        <w:t xml:space="preserve"> and types of re-organisation costs, as follows: </w:t>
      </w:r>
    </w:p>
    <w:p w:rsidR="00A82907" w:rsidRPr="00A75659" w:rsidRDefault="00A82907" w:rsidP="004276B8">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A75659">
        <w:trPr>
          <w:jc w:val="center"/>
        </w:trPr>
        <w:tc>
          <w:tcPr>
            <w:tcW w:w="4517" w:type="dxa"/>
          </w:tcPr>
          <w:p w:rsidR="00A82907" w:rsidRPr="00A75659" w:rsidRDefault="00A82907" w:rsidP="00DF1118">
            <w:pPr>
              <w:jc w:val="both"/>
              <w:rPr>
                <w:sz w:val="22"/>
                <w:szCs w:val="22"/>
              </w:rPr>
            </w:pPr>
          </w:p>
        </w:tc>
        <w:tc>
          <w:tcPr>
            <w:tcW w:w="1701" w:type="dxa"/>
            <w:shd w:val="clear" w:color="auto" w:fill="C0C0C0"/>
          </w:tcPr>
          <w:p w:rsidR="00A82907" w:rsidRPr="00A75659" w:rsidRDefault="00A82907" w:rsidP="00DF1118">
            <w:pPr>
              <w:jc w:val="right"/>
              <w:rPr>
                <w:b/>
                <w:bCs/>
                <w:sz w:val="22"/>
                <w:szCs w:val="22"/>
              </w:rPr>
            </w:pPr>
            <w:r w:rsidRPr="00A75659">
              <w:rPr>
                <w:b/>
                <w:bCs/>
                <w:sz w:val="22"/>
                <w:szCs w:val="22"/>
              </w:rPr>
              <w:t>Primary</w:t>
            </w:r>
          </w:p>
        </w:tc>
        <w:tc>
          <w:tcPr>
            <w:tcW w:w="1668" w:type="dxa"/>
            <w:shd w:val="clear" w:color="auto" w:fill="C0C0C0"/>
          </w:tcPr>
          <w:p w:rsidR="00A82907" w:rsidRPr="00A75659" w:rsidRDefault="00A82907" w:rsidP="00DF1118">
            <w:pPr>
              <w:jc w:val="right"/>
              <w:rPr>
                <w:b/>
                <w:bCs/>
                <w:sz w:val="22"/>
                <w:szCs w:val="22"/>
              </w:rPr>
            </w:pPr>
            <w:r w:rsidRPr="00A75659">
              <w:rPr>
                <w:b/>
                <w:bCs/>
                <w:sz w:val="22"/>
                <w:szCs w:val="22"/>
              </w:rPr>
              <w:t>Secondary</w:t>
            </w:r>
          </w:p>
        </w:tc>
        <w:tc>
          <w:tcPr>
            <w:tcW w:w="1414" w:type="dxa"/>
            <w:shd w:val="clear" w:color="auto" w:fill="C0C0C0"/>
          </w:tcPr>
          <w:p w:rsidR="00A82907" w:rsidRPr="00A75659" w:rsidRDefault="00A82907" w:rsidP="00DF1118">
            <w:pPr>
              <w:jc w:val="right"/>
              <w:rPr>
                <w:b/>
                <w:bCs/>
                <w:sz w:val="22"/>
                <w:szCs w:val="22"/>
              </w:rPr>
            </w:pPr>
            <w:r w:rsidRPr="00A75659">
              <w:rPr>
                <w:b/>
                <w:bCs/>
                <w:sz w:val="22"/>
                <w:szCs w:val="22"/>
              </w:rPr>
              <w:t>Total</w:t>
            </w:r>
          </w:p>
        </w:tc>
      </w:tr>
      <w:tr w:rsidR="00A82907" w:rsidRPr="00A75659">
        <w:trPr>
          <w:jc w:val="center"/>
        </w:trPr>
        <w:tc>
          <w:tcPr>
            <w:tcW w:w="4517" w:type="dxa"/>
          </w:tcPr>
          <w:p w:rsidR="00A82907" w:rsidRPr="00A75659" w:rsidRDefault="00A82907" w:rsidP="00DF1118">
            <w:pPr>
              <w:jc w:val="both"/>
              <w:rPr>
                <w:sz w:val="22"/>
                <w:szCs w:val="22"/>
              </w:rPr>
            </w:pPr>
            <w:r w:rsidRPr="00A75659">
              <w:rPr>
                <w:sz w:val="22"/>
                <w:szCs w:val="22"/>
              </w:rPr>
              <w:t xml:space="preserve">School Staff Safeguarded Salaries </w:t>
            </w:r>
          </w:p>
        </w:tc>
        <w:tc>
          <w:tcPr>
            <w:tcW w:w="1701" w:type="dxa"/>
          </w:tcPr>
          <w:p w:rsidR="00A82907" w:rsidRPr="00A75659" w:rsidRDefault="00A75659" w:rsidP="00A5492A">
            <w:pPr>
              <w:jc w:val="right"/>
              <w:rPr>
                <w:sz w:val="22"/>
                <w:szCs w:val="22"/>
              </w:rPr>
            </w:pPr>
            <w:r w:rsidRPr="00A75659">
              <w:rPr>
                <w:sz w:val="22"/>
                <w:szCs w:val="22"/>
              </w:rPr>
              <w:t>£129,705</w:t>
            </w:r>
          </w:p>
        </w:tc>
        <w:tc>
          <w:tcPr>
            <w:tcW w:w="1668" w:type="dxa"/>
          </w:tcPr>
          <w:p w:rsidR="00A82907" w:rsidRPr="00A75659" w:rsidRDefault="00A75659" w:rsidP="00A5492A">
            <w:pPr>
              <w:jc w:val="right"/>
              <w:rPr>
                <w:sz w:val="22"/>
                <w:szCs w:val="22"/>
              </w:rPr>
            </w:pPr>
            <w:r w:rsidRPr="00A75659">
              <w:rPr>
                <w:sz w:val="22"/>
                <w:szCs w:val="22"/>
              </w:rPr>
              <w:t>£2,016</w:t>
            </w:r>
          </w:p>
        </w:tc>
        <w:tc>
          <w:tcPr>
            <w:tcW w:w="1414" w:type="dxa"/>
          </w:tcPr>
          <w:p w:rsidR="00A82907" w:rsidRPr="00A75659" w:rsidRDefault="00A75659" w:rsidP="00A5492A">
            <w:pPr>
              <w:jc w:val="right"/>
              <w:rPr>
                <w:sz w:val="22"/>
                <w:szCs w:val="22"/>
              </w:rPr>
            </w:pPr>
            <w:r w:rsidRPr="00A75659">
              <w:rPr>
                <w:sz w:val="22"/>
                <w:szCs w:val="22"/>
              </w:rPr>
              <w:t>£131,721</w:t>
            </w:r>
          </w:p>
        </w:tc>
      </w:tr>
      <w:tr w:rsidR="00A82907" w:rsidRPr="00A75659">
        <w:trPr>
          <w:jc w:val="center"/>
        </w:trPr>
        <w:tc>
          <w:tcPr>
            <w:tcW w:w="4517" w:type="dxa"/>
          </w:tcPr>
          <w:p w:rsidR="00A82907" w:rsidRPr="00A75659" w:rsidRDefault="00A82907" w:rsidP="00DF1118">
            <w:pPr>
              <w:jc w:val="both"/>
              <w:rPr>
                <w:sz w:val="22"/>
                <w:szCs w:val="22"/>
              </w:rPr>
            </w:pPr>
            <w:r w:rsidRPr="00A75659">
              <w:rPr>
                <w:sz w:val="22"/>
                <w:szCs w:val="22"/>
              </w:rPr>
              <w:t>Deficits of Closing Schools</w:t>
            </w:r>
          </w:p>
        </w:tc>
        <w:tc>
          <w:tcPr>
            <w:tcW w:w="1701" w:type="dxa"/>
          </w:tcPr>
          <w:p w:rsidR="00A82907" w:rsidRPr="00A75659" w:rsidRDefault="00A82907" w:rsidP="00DF1118">
            <w:pPr>
              <w:jc w:val="right"/>
              <w:rPr>
                <w:sz w:val="22"/>
                <w:szCs w:val="22"/>
              </w:rPr>
            </w:pPr>
            <w:r w:rsidRPr="00A75659">
              <w:rPr>
                <w:sz w:val="22"/>
                <w:szCs w:val="22"/>
              </w:rPr>
              <w:t>£0</w:t>
            </w:r>
          </w:p>
        </w:tc>
        <w:tc>
          <w:tcPr>
            <w:tcW w:w="1668" w:type="dxa"/>
          </w:tcPr>
          <w:p w:rsidR="00A82907" w:rsidRPr="00A75659" w:rsidRDefault="00A82907" w:rsidP="00A5492A">
            <w:pPr>
              <w:jc w:val="right"/>
              <w:rPr>
                <w:sz w:val="22"/>
                <w:szCs w:val="22"/>
              </w:rPr>
            </w:pPr>
            <w:r w:rsidRPr="00A75659">
              <w:rPr>
                <w:sz w:val="22"/>
                <w:szCs w:val="22"/>
              </w:rPr>
              <w:t xml:space="preserve">£0 </w:t>
            </w:r>
          </w:p>
        </w:tc>
        <w:tc>
          <w:tcPr>
            <w:tcW w:w="1414" w:type="dxa"/>
          </w:tcPr>
          <w:p w:rsidR="00A82907" w:rsidRPr="00A75659" w:rsidRDefault="00A82907" w:rsidP="00A5492A">
            <w:pPr>
              <w:jc w:val="right"/>
              <w:rPr>
                <w:sz w:val="22"/>
                <w:szCs w:val="22"/>
              </w:rPr>
            </w:pPr>
            <w:r w:rsidRPr="00A75659">
              <w:rPr>
                <w:sz w:val="22"/>
                <w:szCs w:val="22"/>
              </w:rPr>
              <w:t>£0</w:t>
            </w:r>
          </w:p>
        </w:tc>
      </w:tr>
      <w:tr w:rsidR="00A82907" w:rsidRPr="00CE63F5">
        <w:trPr>
          <w:jc w:val="center"/>
        </w:trPr>
        <w:tc>
          <w:tcPr>
            <w:tcW w:w="4517" w:type="dxa"/>
          </w:tcPr>
          <w:p w:rsidR="00A82907" w:rsidRPr="00A75659" w:rsidRDefault="00A82907" w:rsidP="00DF1118">
            <w:pPr>
              <w:jc w:val="both"/>
              <w:rPr>
                <w:b/>
                <w:bCs/>
                <w:sz w:val="22"/>
                <w:szCs w:val="22"/>
              </w:rPr>
            </w:pPr>
            <w:r w:rsidRPr="00A75659">
              <w:rPr>
                <w:b/>
                <w:bCs/>
                <w:sz w:val="22"/>
                <w:szCs w:val="22"/>
              </w:rPr>
              <w:t xml:space="preserve">Total Value </w:t>
            </w:r>
            <w:r w:rsidR="004D74CA" w:rsidRPr="00A75659">
              <w:rPr>
                <w:b/>
                <w:bCs/>
                <w:sz w:val="22"/>
                <w:szCs w:val="22"/>
              </w:rPr>
              <w:t>2015/16</w:t>
            </w:r>
          </w:p>
        </w:tc>
        <w:tc>
          <w:tcPr>
            <w:tcW w:w="1701" w:type="dxa"/>
          </w:tcPr>
          <w:p w:rsidR="00A82907" w:rsidRPr="00A75659" w:rsidRDefault="00A75659" w:rsidP="00A5492A">
            <w:pPr>
              <w:jc w:val="right"/>
              <w:rPr>
                <w:b/>
                <w:bCs/>
                <w:sz w:val="22"/>
                <w:szCs w:val="22"/>
              </w:rPr>
            </w:pPr>
            <w:r w:rsidRPr="00A75659">
              <w:rPr>
                <w:b/>
                <w:bCs/>
                <w:sz w:val="22"/>
                <w:szCs w:val="22"/>
              </w:rPr>
              <w:t>£129,705</w:t>
            </w:r>
          </w:p>
        </w:tc>
        <w:tc>
          <w:tcPr>
            <w:tcW w:w="1668" w:type="dxa"/>
          </w:tcPr>
          <w:p w:rsidR="00A82907" w:rsidRPr="00A75659" w:rsidRDefault="00A75659" w:rsidP="00A5492A">
            <w:pPr>
              <w:jc w:val="right"/>
              <w:rPr>
                <w:b/>
                <w:bCs/>
                <w:sz w:val="22"/>
                <w:szCs w:val="22"/>
              </w:rPr>
            </w:pPr>
            <w:r w:rsidRPr="00A75659">
              <w:rPr>
                <w:b/>
                <w:bCs/>
                <w:sz w:val="22"/>
                <w:szCs w:val="22"/>
              </w:rPr>
              <w:t>£2,016</w:t>
            </w:r>
          </w:p>
        </w:tc>
        <w:tc>
          <w:tcPr>
            <w:tcW w:w="1414" w:type="dxa"/>
          </w:tcPr>
          <w:p w:rsidR="00A82907" w:rsidRPr="00A75659" w:rsidRDefault="00A75659" w:rsidP="00A5492A">
            <w:pPr>
              <w:jc w:val="right"/>
              <w:rPr>
                <w:b/>
                <w:bCs/>
                <w:sz w:val="22"/>
                <w:szCs w:val="22"/>
              </w:rPr>
            </w:pPr>
            <w:r w:rsidRPr="00A75659">
              <w:rPr>
                <w:b/>
                <w:bCs/>
                <w:sz w:val="22"/>
                <w:szCs w:val="22"/>
              </w:rPr>
              <w:t>£131,721</w:t>
            </w:r>
          </w:p>
        </w:tc>
      </w:tr>
    </w:tbl>
    <w:p w:rsidR="00695603" w:rsidRDefault="00695603" w:rsidP="006F664D">
      <w:pPr>
        <w:jc w:val="both"/>
        <w:rPr>
          <w:sz w:val="22"/>
          <w:szCs w:val="22"/>
        </w:rPr>
      </w:pPr>
    </w:p>
    <w:p w:rsidR="00A82907" w:rsidRDefault="00A82907" w:rsidP="006F664D">
      <w:pPr>
        <w:jc w:val="both"/>
        <w:rPr>
          <w:sz w:val="22"/>
          <w:szCs w:val="22"/>
        </w:rPr>
      </w:pPr>
      <w:r w:rsidRPr="004D74CA">
        <w:rPr>
          <w:sz w:val="22"/>
          <w:szCs w:val="22"/>
        </w:rPr>
        <w:t>The proposed criteria for allocating funding fr</w:t>
      </w:r>
      <w:r w:rsidR="004D74CA" w:rsidRPr="004D74CA">
        <w:rPr>
          <w:sz w:val="22"/>
          <w:szCs w:val="22"/>
        </w:rPr>
        <w:t>om this contingency fund in 2016/17 are unchanged from 2015/16</w:t>
      </w:r>
      <w:r w:rsidRPr="004D74CA">
        <w:rPr>
          <w:sz w:val="22"/>
          <w:szCs w:val="22"/>
        </w:rPr>
        <w:t>:</w:t>
      </w:r>
    </w:p>
    <w:p w:rsidR="00A748F3" w:rsidRPr="00A748F3" w:rsidRDefault="00A748F3" w:rsidP="006F664D">
      <w:pPr>
        <w:jc w:val="both"/>
        <w:rPr>
          <w:sz w:val="12"/>
          <w:szCs w:val="12"/>
        </w:rPr>
      </w:pPr>
    </w:p>
    <w:p w:rsidR="00A82907" w:rsidRPr="008722A8" w:rsidRDefault="00A82907" w:rsidP="008722A8">
      <w:pPr>
        <w:numPr>
          <w:ilvl w:val="0"/>
          <w:numId w:val="10"/>
        </w:numPr>
        <w:spacing w:after="120"/>
        <w:jc w:val="both"/>
        <w:rPr>
          <w:sz w:val="22"/>
          <w:szCs w:val="22"/>
        </w:rPr>
      </w:pPr>
      <w:r w:rsidRPr="004D74CA">
        <w:rPr>
          <w:sz w:val="22"/>
          <w:szCs w:val="22"/>
        </w:rPr>
        <w:t>School staff safeguarded salaries: funding is allocated, based on the actual cost of agreed safeguards for individual staff in schools. Only safeguards that have been previously agreed are funded from the DSG. So there is no ‘eligibility’ criteria as such, other than these safeguards must have been already established and agreed with the Authority following re-organisations. Every year, schools are asked to confirm whether or not safeguards for individual staff are still applicable e.g. where a member of staff has left, the safeguard ceases to be paid. The total cost of safeguards reduces year on year.</w:t>
      </w:r>
    </w:p>
    <w:p w:rsidR="00A82907" w:rsidRPr="004D74CA" w:rsidRDefault="00A82907" w:rsidP="008722A8">
      <w:pPr>
        <w:numPr>
          <w:ilvl w:val="0"/>
          <w:numId w:val="10"/>
        </w:numPr>
        <w:jc w:val="both"/>
        <w:rPr>
          <w:sz w:val="22"/>
          <w:szCs w:val="22"/>
        </w:rPr>
      </w:pPr>
      <w:r w:rsidRPr="004D74CA">
        <w:rPr>
          <w:sz w:val="22"/>
          <w:szCs w:val="22"/>
        </w:rPr>
        <w:t>Deficit of Closing Schools: where a maintained school closes with a deficit budget, or where a maintained school with a deficit budget converts to academy status under a sponsored agreement, the deficit returns to the DSG. The Forum has established the principle that provision for such costs are best met from one off available funds and / or retrospectively from the DSG in the following year</w:t>
      </w:r>
    </w:p>
    <w:p w:rsidR="00A82907" w:rsidRPr="00CE63F5" w:rsidRDefault="00A82907" w:rsidP="00754C20">
      <w:pPr>
        <w:jc w:val="both"/>
        <w:rPr>
          <w:color w:val="FF0000"/>
          <w:sz w:val="22"/>
          <w:szCs w:val="22"/>
          <w:highlight w:val="yellow"/>
        </w:rPr>
      </w:pPr>
    </w:p>
    <w:p w:rsidR="00A82907" w:rsidRPr="004D74CA" w:rsidRDefault="00305B67" w:rsidP="00754C20">
      <w:pPr>
        <w:jc w:val="both"/>
        <w:rPr>
          <w:b/>
          <w:bCs/>
          <w:sz w:val="22"/>
          <w:szCs w:val="22"/>
        </w:rPr>
      </w:pPr>
      <w:r>
        <w:rPr>
          <w:sz w:val="22"/>
          <w:szCs w:val="22"/>
        </w:rPr>
        <w:t>5</w:t>
      </w:r>
      <w:r w:rsidR="00E124DC" w:rsidRPr="004D74CA">
        <w:rPr>
          <w:sz w:val="22"/>
          <w:szCs w:val="22"/>
        </w:rPr>
        <w:t>.</w:t>
      </w:r>
      <w:r w:rsidR="00A82907" w:rsidRPr="004D74CA">
        <w:rPr>
          <w:sz w:val="22"/>
          <w:szCs w:val="22"/>
        </w:rPr>
        <w:t>7 Exceptional Costs &amp; Schools in Financial Difficulty - maintained primary and secondary schools</w:t>
      </w:r>
    </w:p>
    <w:p w:rsidR="00A82907" w:rsidRPr="004D74CA" w:rsidRDefault="00A82907" w:rsidP="00754C20">
      <w:pPr>
        <w:jc w:val="both"/>
        <w:rPr>
          <w:b/>
          <w:bCs/>
          <w:sz w:val="22"/>
          <w:szCs w:val="22"/>
        </w:rPr>
      </w:pPr>
    </w:p>
    <w:p w:rsidR="00A82907" w:rsidRPr="004D74CA" w:rsidRDefault="00A82907" w:rsidP="000020FC">
      <w:pPr>
        <w:jc w:val="both"/>
        <w:rPr>
          <w:sz w:val="22"/>
          <w:szCs w:val="22"/>
        </w:rPr>
      </w:pPr>
      <w:r w:rsidRPr="004D74CA">
        <w:rPr>
          <w:sz w:val="22"/>
          <w:szCs w:val="22"/>
        </w:rPr>
        <w:t>The purpose of this fund is to provide support for the budgets of maintained schools in the following circumstances:</w:t>
      </w:r>
    </w:p>
    <w:p w:rsidR="00A82907" w:rsidRPr="00A748F3" w:rsidRDefault="00A82907" w:rsidP="000020FC">
      <w:pPr>
        <w:jc w:val="both"/>
        <w:rPr>
          <w:sz w:val="12"/>
          <w:szCs w:val="12"/>
        </w:rPr>
      </w:pPr>
    </w:p>
    <w:p w:rsidR="00A82907" w:rsidRPr="00A748F3" w:rsidRDefault="00A82907" w:rsidP="008722A8">
      <w:pPr>
        <w:numPr>
          <w:ilvl w:val="0"/>
          <w:numId w:val="11"/>
        </w:numPr>
        <w:spacing w:after="120"/>
        <w:ind w:left="714" w:hanging="357"/>
        <w:jc w:val="both"/>
        <w:rPr>
          <w:sz w:val="22"/>
          <w:szCs w:val="22"/>
        </w:rPr>
      </w:pPr>
      <w:r w:rsidRPr="004D74CA">
        <w:rPr>
          <w:sz w:val="22"/>
          <w:szCs w:val="22"/>
        </w:rPr>
        <w:t>Exceptional growth in pupil numbers, not picked up within the terms of the ‘Growth Fund’</w:t>
      </w:r>
    </w:p>
    <w:p w:rsidR="00A82907" w:rsidRPr="00A748F3" w:rsidRDefault="00A82907" w:rsidP="008722A8">
      <w:pPr>
        <w:numPr>
          <w:ilvl w:val="0"/>
          <w:numId w:val="11"/>
        </w:numPr>
        <w:spacing w:after="120"/>
        <w:ind w:left="714" w:hanging="357"/>
        <w:jc w:val="both"/>
        <w:rPr>
          <w:sz w:val="22"/>
          <w:szCs w:val="22"/>
        </w:rPr>
      </w:pPr>
      <w:r w:rsidRPr="004D74CA">
        <w:rPr>
          <w:sz w:val="22"/>
          <w:szCs w:val="22"/>
        </w:rPr>
        <w:t>1 Form of Entry (or smaller) primary schools, where the cost of external HR investigations places the school in financial difficulty i.e. would reduce the forecasted carry forward balance below £20,000 *</w:t>
      </w:r>
    </w:p>
    <w:p w:rsidR="00A82907" w:rsidRPr="00A748F3" w:rsidRDefault="00A82907" w:rsidP="008722A8">
      <w:pPr>
        <w:numPr>
          <w:ilvl w:val="0"/>
          <w:numId w:val="11"/>
        </w:numPr>
        <w:spacing w:after="120"/>
        <w:ind w:left="714" w:hanging="357"/>
        <w:jc w:val="both"/>
        <w:rPr>
          <w:sz w:val="22"/>
          <w:szCs w:val="22"/>
        </w:rPr>
      </w:pPr>
      <w:r w:rsidRPr="004D74CA">
        <w:rPr>
          <w:sz w:val="22"/>
          <w:szCs w:val="22"/>
        </w:rPr>
        <w:t>Priority 1 schools, where additional intervention / support is required as recommended by SIG / SSMG and where the school’s budget cannot meet the costs without placing the school in financial difficulty i.e. would reduce the forecasted carry forward balance below £20,000 *</w:t>
      </w:r>
    </w:p>
    <w:p w:rsidR="00A82907" w:rsidRPr="00A748F3" w:rsidRDefault="00A82907" w:rsidP="008722A8">
      <w:pPr>
        <w:numPr>
          <w:ilvl w:val="0"/>
          <w:numId w:val="11"/>
        </w:numPr>
        <w:spacing w:after="120"/>
        <w:ind w:left="714" w:hanging="357"/>
        <w:jc w:val="both"/>
        <w:rPr>
          <w:sz w:val="22"/>
          <w:szCs w:val="22"/>
        </w:rPr>
      </w:pPr>
      <w:r w:rsidRPr="004D74CA">
        <w:rPr>
          <w:sz w:val="22"/>
          <w:szCs w:val="22"/>
        </w:rPr>
        <w:t>Local Authority Statutory interventions in schools e.g. costs of an IEB</w:t>
      </w:r>
    </w:p>
    <w:p w:rsidR="00A82907" w:rsidRPr="00A748F3" w:rsidRDefault="00A82907" w:rsidP="008722A8">
      <w:pPr>
        <w:numPr>
          <w:ilvl w:val="0"/>
          <w:numId w:val="11"/>
        </w:numPr>
        <w:spacing w:after="120"/>
        <w:ind w:left="714" w:hanging="357"/>
        <w:jc w:val="both"/>
        <w:rPr>
          <w:sz w:val="22"/>
          <w:szCs w:val="22"/>
        </w:rPr>
      </w:pPr>
      <w:r w:rsidRPr="004D74CA">
        <w:rPr>
          <w:sz w:val="22"/>
          <w:szCs w:val="22"/>
        </w:rPr>
        <w:t>Any other circumstance, where the exceptional nature of this is agreed by the Schools Forum and where to not provide financial support would place the school in a financially difficult position that it is likely to have a detr</w:t>
      </w:r>
      <w:r w:rsidR="009910B2" w:rsidRPr="004D74CA">
        <w:rPr>
          <w:sz w:val="22"/>
          <w:szCs w:val="22"/>
        </w:rPr>
        <w:t>imental impact on</w:t>
      </w:r>
      <w:r w:rsidRPr="004D74CA">
        <w:rPr>
          <w:sz w:val="22"/>
          <w:szCs w:val="22"/>
        </w:rPr>
        <w:t xml:space="preserve"> outcomes</w:t>
      </w:r>
      <w:r w:rsidR="009910B2" w:rsidRPr="004D74CA">
        <w:rPr>
          <w:sz w:val="22"/>
          <w:szCs w:val="22"/>
        </w:rPr>
        <w:t xml:space="preserve"> for children</w:t>
      </w:r>
      <w:r w:rsidRPr="004D74CA">
        <w:rPr>
          <w:sz w:val="22"/>
          <w:szCs w:val="22"/>
        </w:rPr>
        <w:t xml:space="preserve"> *</w:t>
      </w:r>
    </w:p>
    <w:p w:rsidR="00A82907" w:rsidRPr="004D74CA" w:rsidRDefault="00A82907" w:rsidP="000020FC">
      <w:pPr>
        <w:jc w:val="both"/>
        <w:rPr>
          <w:sz w:val="22"/>
          <w:szCs w:val="22"/>
        </w:rPr>
      </w:pPr>
      <w:r w:rsidRPr="004D74CA">
        <w:rPr>
          <w:sz w:val="22"/>
          <w:szCs w:val="22"/>
        </w:rPr>
        <w:t>* £20,000 is a reasonable safety net to apply for all schools i.e. a school with £20,000 holds adequate reserve to meet additional unexpected costs</w:t>
      </w:r>
    </w:p>
    <w:p w:rsidR="00A82907" w:rsidRPr="004D74CA" w:rsidRDefault="00A82907" w:rsidP="000020FC">
      <w:pPr>
        <w:jc w:val="both"/>
        <w:rPr>
          <w:sz w:val="22"/>
          <w:szCs w:val="22"/>
        </w:rPr>
      </w:pPr>
    </w:p>
    <w:p w:rsidR="00A82907" w:rsidRPr="00A75659" w:rsidRDefault="004D74CA" w:rsidP="000020FC">
      <w:pPr>
        <w:jc w:val="both"/>
        <w:rPr>
          <w:sz w:val="22"/>
          <w:szCs w:val="22"/>
        </w:rPr>
      </w:pPr>
      <w:r w:rsidRPr="00A75659">
        <w:rPr>
          <w:sz w:val="22"/>
          <w:szCs w:val="22"/>
        </w:rPr>
        <w:t>The value of this fund in 2015/16</w:t>
      </w:r>
      <w:r w:rsidR="00A82907" w:rsidRPr="00A75659">
        <w:rPr>
          <w:sz w:val="22"/>
          <w:szCs w:val="22"/>
        </w:rPr>
        <w:t xml:space="preserve"> was </w:t>
      </w:r>
      <w:r w:rsidR="00A75659" w:rsidRPr="00A75659">
        <w:rPr>
          <w:sz w:val="22"/>
          <w:szCs w:val="22"/>
        </w:rPr>
        <w:t>£0.2</w:t>
      </w:r>
      <w:r w:rsidR="00A82907" w:rsidRPr="00A75659">
        <w:rPr>
          <w:sz w:val="22"/>
          <w:szCs w:val="22"/>
        </w:rPr>
        <w:t xml:space="preserve">m, broken down between phases, as follows: </w:t>
      </w:r>
    </w:p>
    <w:p w:rsidR="00A82907" w:rsidRPr="00A75659" w:rsidRDefault="00A82907" w:rsidP="000020FC">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1701"/>
        <w:gridCol w:w="1668"/>
        <w:gridCol w:w="1414"/>
      </w:tblGrid>
      <w:tr w:rsidR="00A82907" w:rsidRPr="00A75659">
        <w:trPr>
          <w:jc w:val="center"/>
        </w:trPr>
        <w:tc>
          <w:tcPr>
            <w:tcW w:w="4517" w:type="dxa"/>
          </w:tcPr>
          <w:p w:rsidR="00A82907" w:rsidRPr="00A75659" w:rsidRDefault="00A82907" w:rsidP="00DF1118">
            <w:pPr>
              <w:jc w:val="both"/>
              <w:rPr>
                <w:sz w:val="22"/>
                <w:szCs w:val="22"/>
              </w:rPr>
            </w:pPr>
          </w:p>
        </w:tc>
        <w:tc>
          <w:tcPr>
            <w:tcW w:w="1701" w:type="dxa"/>
            <w:shd w:val="clear" w:color="auto" w:fill="C0C0C0"/>
          </w:tcPr>
          <w:p w:rsidR="00A82907" w:rsidRPr="00A75659" w:rsidRDefault="00A82907" w:rsidP="00DF1118">
            <w:pPr>
              <w:jc w:val="right"/>
              <w:rPr>
                <w:b/>
                <w:bCs/>
                <w:sz w:val="22"/>
                <w:szCs w:val="22"/>
              </w:rPr>
            </w:pPr>
            <w:r w:rsidRPr="00A75659">
              <w:rPr>
                <w:b/>
                <w:bCs/>
                <w:sz w:val="22"/>
                <w:szCs w:val="22"/>
              </w:rPr>
              <w:t>Primary</w:t>
            </w:r>
          </w:p>
        </w:tc>
        <w:tc>
          <w:tcPr>
            <w:tcW w:w="1668" w:type="dxa"/>
            <w:shd w:val="clear" w:color="auto" w:fill="C0C0C0"/>
          </w:tcPr>
          <w:p w:rsidR="00A82907" w:rsidRPr="00A75659" w:rsidRDefault="00A82907" w:rsidP="00DF1118">
            <w:pPr>
              <w:jc w:val="right"/>
              <w:rPr>
                <w:b/>
                <w:bCs/>
                <w:sz w:val="22"/>
                <w:szCs w:val="22"/>
              </w:rPr>
            </w:pPr>
            <w:r w:rsidRPr="00A75659">
              <w:rPr>
                <w:b/>
                <w:bCs/>
                <w:sz w:val="22"/>
                <w:szCs w:val="22"/>
              </w:rPr>
              <w:t>Secondary</w:t>
            </w:r>
          </w:p>
        </w:tc>
        <w:tc>
          <w:tcPr>
            <w:tcW w:w="1414" w:type="dxa"/>
            <w:shd w:val="clear" w:color="auto" w:fill="C0C0C0"/>
          </w:tcPr>
          <w:p w:rsidR="00A82907" w:rsidRPr="00A75659" w:rsidRDefault="00A82907" w:rsidP="00DF1118">
            <w:pPr>
              <w:jc w:val="right"/>
              <w:rPr>
                <w:b/>
                <w:bCs/>
                <w:sz w:val="22"/>
                <w:szCs w:val="22"/>
              </w:rPr>
            </w:pPr>
            <w:r w:rsidRPr="00A75659">
              <w:rPr>
                <w:b/>
                <w:bCs/>
                <w:sz w:val="22"/>
                <w:szCs w:val="22"/>
              </w:rPr>
              <w:t>Total</w:t>
            </w:r>
          </w:p>
        </w:tc>
      </w:tr>
      <w:tr w:rsidR="00A82907" w:rsidRPr="00A75659">
        <w:trPr>
          <w:jc w:val="center"/>
        </w:trPr>
        <w:tc>
          <w:tcPr>
            <w:tcW w:w="4517" w:type="dxa"/>
          </w:tcPr>
          <w:p w:rsidR="00A82907" w:rsidRPr="00A75659" w:rsidRDefault="00A82907" w:rsidP="00A5492A">
            <w:pPr>
              <w:jc w:val="both"/>
              <w:rPr>
                <w:b/>
                <w:bCs/>
                <w:sz w:val="22"/>
                <w:szCs w:val="22"/>
              </w:rPr>
            </w:pPr>
            <w:r w:rsidRPr="00A75659">
              <w:rPr>
                <w:b/>
                <w:bCs/>
                <w:sz w:val="22"/>
                <w:szCs w:val="22"/>
              </w:rPr>
              <w:t>Total Value 2</w:t>
            </w:r>
            <w:r w:rsidR="004D74CA" w:rsidRPr="00A75659">
              <w:rPr>
                <w:b/>
                <w:bCs/>
                <w:sz w:val="22"/>
                <w:szCs w:val="22"/>
              </w:rPr>
              <w:t>015/16</w:t>
            </w:r>
          </w:p>
        </w:tc>
        <w:tc>
          <w:tcPr>
            <w:tcW w:w="1701" w:type="dxa"/>
          </w:tcPr>
          <w:p w:rsidR="00A82907" w:rsidRPr="00A75659" w:rsidRDefault="00A82907" w:rsidP="00A75659">
            <w:pPr>
              <w:jc w:val="right"/>
              <w:rPr>
                <w:b/>
                <w:bCs/>
                <w:sz w:val="22"/>
                <w:szCs w:val="22"/>
              </w:rPr>
            </w:pPr>
            <w:r w:rsidRPr="00A75659">
              <w:rPr>
                <w:b/>
                <w:bCs/>
                <w:sz w:val="22"/>
                <w:szCs w:val="22"/>
              </w:rPr>
              <w:t>£15</w:t>
            </w:r>
            <w:r w:rsidR="00A75659" w:rsidRPr="00A75659">
              <w:rPr>
                <w:b/>
                <w:bCs/>
                <w:sz w:val="22"/>
                <w:szCs w:val="22"/>
              </w:rPr>
              <w:t>0</w:t>
            </w:r>
            <w:r w:rsidRPr="00A75659">
              <w:rPr>
                <w:b/>
                <w:bCs/>
                <w:sz w:val="22"/>
                <w:szCs w:val="22"/>
              </w:rPr>
              <w:t>,000</w:t>
            </w:r>
          </w:p>
        </w:tc>
        <w:tc>
          <w:tcPr>
            <w:tcW w:w="1668" w:type="dxa"/>
          </w:tcPr>
          <w:p w:rsidR="00A82907" w:rsidRPr="00A75659" w:rsidRDefault="00A82907" w:rsidP="00740594">
            <w:pPr>
              <w:jc w:val="right"/>
              <w:rPr>
                <w:b/>
                <w:bCs/>
                <w:sz w:val="22"/>
                <w:szCs w:val="22"/>
              </w:rPr>
            </w:pPr>
            <w:r w:rsidRPr="00A75659">
              <w:rPr>
                <w:b/>
                <w:bCs/>
                <w:sz w:val="22"/>
                <w:szCs w:val="22"/>
              </w:rPr>
              <w:t>£</w:t>
            </w:r>
            <w:r w:rsidR="00A75659" w:rsidRPr="00A75659">
              <w:rPr>
                <w:b/>
                <w:bCs/>
                <w:sz w:val="22"/>
                <w:szCs w:val="22"/>
              </w:rPr>
              <w:t>5</w:t>
            </w:r>
            <w:r w:rsidRPr="00A75659">
              <w:rPr>
                <w:b/>
                <w:bCs/>
                <w:sz w:val="22"/>
                <w:szCs w:val="22"/>
              </w:rPr>
              <w:t>0</w:t>
            </w:r>
            <w:r w:rsidR="00A75659" w:rsidRPr="00A75659">
              <w:rPr>
                <w:b/>
                <w:bCs/>
                <w:sz w:val="22"/>
                <w:szCs w:val="22"/>
              </w:rPr>
              <w:t>,000</w:t>
            </w:r>
          </w:p>
        </w:tc>
        <w:tc>
          <w:tcPr>
            <w:tcW w:w="1414" w:type="dxa"/>
          </w:tcPr>
          <w:p w:rsidR="00A82907" w:rsidRPr="00A75659" w:rsidRDefault="00A75659" w:rsidP="00740594">
            <w:pPr>
              <w:jc w:val="right"/>
              <w:rPr>
                <w:b/>
                <w:bCs/>
                <w:sz w:val="22"/>
                <w:szCs w:val="22"/>
              </w:rPr>
            </w:pPr>
            <w:r w:rsidRPr="00A75659">
              <w:rPr>
                <w:b/>
                <w:bCs/>
                <w:sz w:val="22"/>
                <w:szCs w:val="22"/>
              </w:rPr>
              <w:t>£200</w:t>
            </w:r>
            <w:r w:rsidR="00A82907" w:rsidRPr="00A75659">
              <w:rPr>
                <w:b/>
                <w:bCs/>
                <w:sz w:val="22"/>
                <w:szCs w:val="22"/>
              </w:rPr>
              <w:t>,000</w:t>
            </w:r>
          </w:p>
        </w:tc>
      </w:tr>
    </w:tbl>
    <w:p w:rsidR="004D74CA" w:rsidRPr="00A75659" w:rsidRDefault="004D74CA" w:rsidP="000020FC">
      <w:pPr>
        <w:jc w:val="both"/>
        <w:rPr>
          <w:sz w:val="22"/>
          <w:szCs w:val="22"/>
        </w:rPr>
      </w:pPr>
    </w:p>
    <w:p w:rsidR="00A82907" w:rsidRPr="004D74CA" w:rsidRDefault="00A82907" w:rsidP="000020FC">
      <w:pPr>
        <w:jc w:val="both"/>
        <w:rPr>
          <w:sz w:val="22"/>
          <w:szCs w:val="22"/>
        </w:rPr>
      </w:pPr>
      <w:r w:rsidRPr="00A75659">
        <w:rPr>
          <w:sz w:val="22"/>
          <w:szCs w:val="22"/>
        </w:rPr>
        <w:t>The proposed criteria for allocating funding for exceptional pupil numbers growth (the most c</w:t>
      </w:r>
      <w:r w:rsidR="004D74CA" w:rsidRPr="00A75659">
        <w:rPr>
          <w:sz w:val="22"/>
          <w:szCs w:val="22"/>
        </w:rPr>
        <w:t>ommon call on this fund) in 2016/17 are unchanged from 2015/16</w:t>
      </w:r>
      <w:r w:rsidRPr="00A75659">
        <w:rPr>
          <w:sz w:val="22"/>
          <w:szCs w:val="22"/>
        </w:rPr>
        <w:t xml:space="preserve"> and are as follows:</w:t>
      </w:r>
    </w:p>
    <w:p w:rsidR="004D74CA" w:rsidRPr="004D74CA" w:rsidRDefault="004D74CA" w:rsidP="000020FC">
      <w:pPr>
        <w:jc w:val="both"/>
        <w:rPr>
          <w:sz w:val="22"/>
          <w:szCs w:val="22"/>
        </w:rPr>
      </w:pPr>
    </w:p>
    <w:p w:rsidR="00A82907" w:rsidRPr="004D74CA" w:rsidRDefault="00A82907" w:rsidP="008722A8">
      <w:pPr>
        <w:numPr>
          <w:ilvl w:val="0"/>
          <w:numId w:val="12"/>
        </w:numPr>
        <w:jc w:val="both"/>
        <w:rPr>
          <w:sz w:val="22"/>
          <w:szCs w:val="22"/>
        </w:rPr>
      </w:pPr>
      <w:r w:rsidRPr="004D74CA">
        <w:rPr>
          <w:sz w:val="22"/>
          <w:szCs w:val="22"/>
        </w:rPr>
        <w:t>The main factor taken into account is the extent of additional cost pressure faced by a school. This is assessed on the information provided by the school on what action has been needed to meet the growth in pupil numbers</w:t>
      </w:r>
    </w:p>
    <w:p w:rsidR="00A82907" w:rsidRPr="004D74CA" w:rsidRDefault="00A82907" w:rsidP="008722A8">
      <w:pPr>
        <w:numPr>
          <w:ilvl w:val="0"/>
          <w:numId w:val="12"/>
        </w:numPr>
        <w:jc w:val="both"/>
        <w:rPr>
          <w:sz w:val="22"/>
          <w:szCs w:val="22"/>
        </w:rPr>
      </w:pPr>
      <w:r w:rsidRPr="004D74CA">
        <w:rPr>
          <w:sz w:val="22"/>
          <w:szCs w:val="22"/>
        </w:rPr>
        <w:t>The extent of increase in numbers: actual numbers and % of roll (vs. the phase average)</w:t>
      </w:r>
    </w:p>
    <w:p w:rsidR="00A82907" w:rsidRPr="004D74CA" w:rsidRDefault="00A82907" w:rsidP="008722A8">
      <w:pPr>
        <w:numPr>
          <w:ilvl w:val="0"/>
          <w:numId w:val="12"/>
        </w:numPr>
        <w:jc w:val="both"/>
        <w:rPr>
          <w:sz w:val="22"/>
          <w:szCs w:val="22"/>
        </w:rPr>
      </w:pPr>
      <w:r w:rsidRPr="004D74CA">
        <w:rPr>
          <w:sz w:val="22"/>
          <w:szCs w:val="22"/>
        </w:rPr>
        <w:t>Whether the Local Authority has directed the additional pupils to the school</w:t>
      </w:r>
    </w:p>
    <w:p w:rsidR="00A82907" w:rsidRPr="004D74CA" w:rsidRDefault="00A82907" w:rsidP="008722A8">
      <w:pPr>
        <w:numPr>
          <w:ilvl w:val="0"/>
          <w:numId w:val="12"/>
        </w:numPr>
        <w:jc w:val="both"/>
        <w:rPr>
          <w:sz w:val="22"/>
          <w:szCs w:val="22"/>
        </w:rPr>
      </w:pPr>
      <w:r w:rsidRPr="004D74CA">
        <w:rPr>
          <w:sz w:val="22"/>
          <w:szCs w:val="22"/>
        </w:rPr>
        <w:t>How the additional pupils are distributed across the school</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Whether this is a one off issue i.e. the potential extent for exceptional growth and further cost pressure in future years?</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In judging exceptional funding for children admitted on appeal, what the specific circumstances are at the school which require the school to make additional provision in the first year</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The school’s carry forward balances position</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The change in the school’s expenditure shown in the Start Budget vs. Q1 vs. Q2 vs. Q3 monitoring reports</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The Priority category of the School (is the school in Priority 1?)</w:t>
      </w:r>
    </w:p>
    <w:p w:rsidR="00A82907" w:rsidRPr="004D74CA" w:rsidRDefault="00A82907" w:rsidP="008722A8">
      <w:pPr>
        <w:numPr>
          <w:ilvl w:val="0"/>
          <w:numId w:val="12"/>
        </w:numPr>
        <w:tabs>
          <w:tab w:val="clear" w:pos="720"/>
          <w:tab w:val="num" w:pos="360"/>
        </w:tabs>
        <w:jc w:val="both"/>
        <w:rPr>
          <w:sz w:val="22"/>
          <w:szCs w:val="22"/>
        </w:rPr>
      </w:pPr>
      <w:r w:rsidRPr="004D74CA">
        <w:rPr>
          <w:sz w:val="22"/>
          <w:szCs w:val="22"/>
        </w:rPr>
        <w:t>Whether the school has received financial support or funding from elsewhere</w:t>
      </w:r>
    </w:p>
    <w:p w:rsidR="00A748F3" w:rsidRPr="004D74CA" w:rsidRDefault="00A748F3" w:rsidP="000020FC">
      <w:pPr>
        <w:jc w:val="both"/>
        <w:rPr>
          <w:color w:val="FF0000"/>
          <w:sz w:val="22"/>
          <w:szCs w:val="22"/>
        </w:rPr>
      </w:pPr>
    </w:p>
    <w:p w:rsidR="00A82907" w:rsidRDefault="00933771" w:rsidP="006F3AB5">
      <w:pPr>
        <w:jc w:val="both"/>
        <w:rPr>
          <w:b/>
          <w:bCs/>
          <w:color w:val="0000FF"/>
          <w:sz w:val="22"/>
          <w:szCs w:val="22"/>
        </w:rPr>
      </w:pPr>
      <w:r>
        <w:rPr>
          <w:b/>
          <w:bCs/>
          <w:color w:val="0000FF"/>
          <w:sz w:val="22"/>
          <w:szCs w:val="22"/>
        </w:rPr>
        <w:t>Question 5</w:t>
      </w:r>
      <w:r w:rsidR="00A82907" w:rsidRPr="004D74CA">
        <w:rPr>
          <w:b/>
          <w:bCs/>
          <w:color w:val="0000FF"/>
          <w:sz w:val="22"/>
          <w:szCs w:val="22"/>
        </w:rPr>
        <w:t xml:space="preserve"> - Do you agree with the contingency funds, and their criteria, that are propos</w:t>
      </w:r>
      <w:r w:rsidR="004D74CA" w:rsidRPr="004D74CA">
        <w:rPr>
          <w:b/>
          <w:bCs/>
          <w:color w:val="0000FF"/>
          <w:sz w:val="22"/>
          <w:szCs w:val="22"/>
        </w:rPr>
        <w:t>ed to be held in the DSG in 2016/17</w:t>
      </w:r>
      <w:r w:rsidR="00A82907" w:rsidRPr="004D74CA">
        <w:rPr>
          <w:b/>
          <w:bCs/>
          <w:color w:val="0000FF"/>
          <w:sz w:val="22"/>
          <w:szCs w:val="22"/>
        </w:rPr>
        <w:t xml:space="preserve">? If not, please </w:t>
      </w:r>
      <w:r w:rsidR="00305B67">
        <w:rPr>
          <w:b/>
          <w:bCs/>
          <w:color w:val="0000FF"/>
          <w:sz w:val="22"/>
          <w:szCs w:val="22"/>
        </w:rPr>
        <w:t>explain</w:t>
      </w:r>
      <w:r w:rsidR="00A82907" w:rsidRPr="004D74CA">
        <w:rPr>
          <w:b/>
          <w:bCs/>
          <w:color w:val="0000FF"/>
          <w:sz w:val="22"/>
          <w:szCs w:val="22"/>
        </w:rPr>
        <w:t xml:space="preserve"> the reasons why not</w:t>
      </w:r>
    </w:p>
    <w:p w:rsidR="005F779A" w:rsidRDefault="005F779A" w:rsidP="006F3AB5">
      <w:pPr>
        <w:jc w:val="both"/>
        <w:rPr>
          <w:b/>
          <w:bCs/>
          <w:color w:val="0000FF"/>
          <w:sz w:val="22"/>
          <w:szCs w:val="22"/>
          <w:highlight w:val="yellow"/>
        </w:rPr>
      </w:pPr>
    </w:p>
    <w:p w:rsidR="007475C5" w:rsidRPr="00CE63F5" w:rsidRDefault="007475C5" w:rsidP="006F3AB5">
      <w:pPr>
        <w:jc w:val="both"/>
        <w:rPr>
          <w:b/>
          <w:bCs/>
          <w:color w:val="0000FF"/>
          <w:sz w:val="22"/>
          <w:szCs w:val="22"/>
          <w:highlight w:val="yellow"/>
        </w:rPr>
      </w:pPr>
    </w:p>
    <w:p w:rsidR="00A82907" w:rsidRPr="00183B6B" w:rsidRDefault="008B381E" w:rsidP="006F3AB5">
      <w:pPr>
        <w:jc w:val="both"/>
        <w:rPr>
          <w:b/>
          <w:bCs/>
          <w:color w:val="0000FF"/>
          <w:sz w:val="22"/>
          <w:szCs w:val="22"/>
        </w:rPr>
      </w:pPr>
      <w:r>
        <w:rPr>
          <w:b/>
          <w:bCs/>
          <w:sz w:val="22"/>
          <w:szCs w:val="22"/>
        </w:rPr>
        <w:t>6</w:t>
      </w:r>
      <w:r w:rsidR="00A82907" w:rsidRPr="00183B6B">
        <w:rPr>
          <w:b/>
          <w:bCs/>
          <w:sz w:val="22"/>
          <w:szCs w:val="22"/>
        </w:rPr>
        <w:t>.</w:t>
      </w:r>
      <w:r w:rsidR="00A82907" w:rsidRPr="00183B6B">
        <w:rPr>
          <w:b/>
          <w:bCs/>
          <w:sz w:val="22"/>
          <w:szCs w:val="22"/>
        </w:rPr>
        <w:tab/>
        <w:t>The MFG and the Ceiling</w:t>
      </w:r>
    </w:p>
    <w:p w:rsidR="00A82907" w:rsidRPr="00183B6B" w:rsidRDefault="00A82907" w:rsidP="006F3AB5">
      <w:pPr>
        <w:jc w:val="both"/>
        <w:rPr>
          <w:b/>
          <w:bCs/>
          <w:sz w:val="22"/>
          <w:szCs w:val="22"/>
        </w:rPr>
      </w:pPr>
    </w:p>
    <w:p w:rsidR="00A82907" w:rsidRPr="00183B6B" w:rsidRDefault="00305B67" w:rsidP="00EF057C">
      <w:pPr>
        <w:jc w:val="both"/>
        <w:rPr>
          <w:sz w:val="22"/>
          <w:szCs w:val="22"/>
        </w:rPr>
      </w:pPr>
      <w:r>
        <w:rPr>
          <w:sz w:val="22"/>
          <w:szCs w:val="22"/>
        </w:rPr>
        <w:t>6</w:t>
      </w:r>
      <w:r w:rsidR="00A82907" w:rsidRPr="00183B6B">
        <w:rPr>
          <w:sz w:val="22"/>
          <w:szCs w:val="22"/>
        </w:rPr>
        <w:t>.1 The Minimum Funding Guara</w:t>
      </w:r>
      <w:r w:rsidR="00A60A91" w:rsidRPr="00183B6B">
        <w:rPr>
          <w:sz w:val="22"/>
          <w:szCs w:val="22"/>
        </w:rPr>
        <w:t>ntee (MFG) will continue in 2016/17</w:t>
      </w:r>
      <w:r w:rsidR="00A82907" w:rsidRPr="00183B6B">
        <w:rPr>
          <w:sz w:val="22"/>
          <w:szCs w:val="22"/>
        </w:rPr>
        <w:t xml:space="preserve"> at MINUS 1.5% i.e. the maximum reduction in funding for a school / academy will be limit</w:t>
      </w:r>
      <w:r w:rsidR="00A60A91" w:rsidRPr="00183B6B">
        <w:rPr>
          <w:sz w:val="22"/>
          <w:szCs w:val="22"/>
        </w:rPr>
        <w:t>ed to 1.5% of that school’s 2015/16</w:t>
      </w:r>
      <w:r w:rsidR="00A82907" w:rsidRPr="00183B6B">
        <w:rPr>
          <w:sz w:val="22"/>
          <w:szCs w:val="22"/>
        </w:rPr>
        <w:t xml:space="preserve"> funding per pupil. </w:t>
      </w:r>
    </w:p>
    <w:p w:rsidR="00A82907" w:rsidRPr="00183B6B" w:rsidRDefault="00A82907" w:rsidP="00690B3D">
      <w:pPr>
        <w:jc w:val="both"/>
        <w:rPr>
          <w:sz w:val="22"/>
          <w:szCs w:val="22"/>
        </w:rPr>
      </w:pPr>
    </w:p>
    <w:p w:rsidR="00A82907" w:rsidRPr="00183B6B" w:rsidRDefault="00305B67" w:rsidP="00690B3D">
      <w:pPr>
        <w:jc w:val="both"/>
        <w:rPr>
          <w:sz w:val="22"/>
          <w:szCs w:val="22"/>
        </w:rPr>
      </w:pPr>
      <w:r>
        <w:rPr>
          <w:sz w:val="22"/>
          <w:szCs w:val="22"/>
        </w:rPr>
        <w:t>6</w:t>
      </w:r>
      <w:r w:rsidR="00A82907" w:rsidRPr="00183B6B">
        <w:rPr>
          <w:sz w:val="22"/>
          <w:szCs w:val="22"/>
        </w:rPr>
        <w:t>.2 The main reasons for schools or academies being on t</w:t>
      </w:r>
      <w:r w:rsidR="00A60A91" w:rsidRPr="00183B6B">
        <w:rPr>
          <w:sz w:val="22"/>
          <w:szCs w:val="22"/>
        </w:rPr>
        <w:t>he MFG in 2016/17</w:t>
      </w:r>
      <w:r w:rsidR="00A82907" w:rsidRPr="00183B6B">
        <w:rPr>
          <w:sz w:val="22"/>
          <w:szCs w:val="22"/>
        </w:rPr>
        <w:t xml:space="preserve"> are as follows:</w:t>
      </w:r>
    </w:p>
    <w:p w:rsidR="00A82907" w:rsidRPr="008722A8" w:rsidRDefault="00A82907" w:rsidP="00690B3D">
      <w:pPr>
        <w:jc w:val="both"/>
        <w:rPr>
          <w:sz w:val="12"/>
          <w:szCs w:val="12"/>
        </w:rPr>
      </w:pPr>
    </w:p>
    <w:p w:rsidR="00A82907" w:rsidRPr="008722A8" w:rsidRDefault="00A82907" w:rsidP="008722A8">
      <w:pPr>
        <w:numPr>
          <w:ilvl w:val="0"/>
          <w:numId w:val="2"/>
        </w:numPr>
        <w:tabs>
          <w:tab w:val="clear" w:pos="720"/>
          <w:tab w:val="num" w:pos="-720"/>
        </w:tabs>
        <w:spacing w:after="120"/>
        <w:ind w:left="360"/>
        <w:jc w:val="both"/>
        <w:rPr>
          <w:sz w:val="22"/>
          <w:szCs w:val="22"/>
        </w:rPr>
      </w:pPr>
      <w:r w:rsidRPr="00183B6B">
        <w:rPr>
          <w:sz w:val="22"/>
          <w:szCs w:val="22"/>
        </w:rPr>
        <w:t>The MFG is protecting the school / academy against the impact of changes made in formula funding since April 2013 i.e. the school / academy was losing more than 1.5% per pupil due to the funding reforms in 2013/14 or the additional changes made in 2014/15, and this protection still has to fully work through.</w:t>
      </w:r>
    </w:p>
    <w:p w:rsidR="00A82907" w:rsidRPr="008722A8" w:rsidRDefault="00A82907" w:rsidP="008722A8">
      <w:pPr>
        <w:numPr>
          <w:ilvl w:val="0"/>
          <w:numId w:val="2"/>
        </w:numPr>
        <w:tabs>
          <w:tab w:val="clear" w:pos="720"/>
          <w:tab w:val="num" w:pos="-360"/>
        </w:tabs>
        <w:spacing w:after="120"/>
        <w:ind w:left="360"/>
        <w:jc w:val="both"/>
        <w:rPr>
          <w:sz w:val="22"/>
          <w:szCs w:val="22"/>
        </w:rPr>
      </w:pPr>
      <w:r w:rsidRPr="00183B6B">
        <w:rPr>
          <w:sz w:val="22"/>
          <w:szCs w:val="22"/>
        </w:rPr>
        <w:t xml:space="preserve">The MFG is continuing to protect a school / academy against the impact </w:t>
      </w:r>
      <w:r w:rsidR="00A60A91" w:rsidRPr="00183B6B">
        <w:rPr>
          <w:sz w:val="22"/>
          <w:szCs w:val="22"/>
        </w:rPr>
        <w:t xml:space="preserve">of </w:t>
      </w:r>
      <w:r w:rsidRPr="00183B6B">
        <w:rPr>
          <w:sz w:val="22"/>
          <w:szCs w:val="22"/>
        </w:rPr>
        <w:t>formula change prior to April 2013, for instance following the mainstreaming of grants in 2011/12, where a school / academy was protected by the M</w:t>
      </w:r>
      <w:r w:rsidR="00A60A91" w:rsidRPr="00183B6B">
        <w:rPr>
          <w:sz w:val="22"/>
          <w:szCs w:val="22"/>
        </w:rPr>
        <w:t xml:space="preserve">FG in 2011/12, 2012/13, 2013/14, </w:t>
      </w:r>
      <w:r w:rsidRPr="00183B6B">
        <w:rPr>
          <w:sz w:val="22"/>
          <w:szCs w:val="22"/>
        </w:rPr>
        <w:t>2014/15</w:t>
      </w:r>
      <w:r w:rsidR="00A60A91" w:rsidRPr="00183B6B">
        <w:rPr>
          <w:sz w:val="22"/>
          <w:szCs w:val="22"/>
        </w:rPr>
        <w:t xml:space="preserve"> and 2015/16</w:t>
      </w:r>
      <w:r w:rsidRPr="00183B6B">
        <w:rPr>
          <w:sz w:val="22"/>
          <w:szCs w:val="22"/>
        </w:rPr>
        <w:t xml:space="preserve"> on a sliding scale which has still to fully work through.</w:t>
      </w:r>
    </w:p>
    <w:p w:rsidR="00A82907" w:rsidRPr="00183B6B" w:rsidRDefault="00A82907" w:rsidP="008722A8">
      <w:pPr>
        <w:numPr>
          <w:ilvl w:val="0"/>
          <w:numId w:val="2"/>
        </w:numPr>
        <w:tabs>
          <w:tab w:val="clear" w:pos="720"/>
          <w:tab w:val="num" w:pos="0"/>
        </w:tabs>
        <w:ind w:left="360"/>
        <w:jc w:val="both"/>
        <w:rPr>
          <w:sz w:val="22"/>
          <w:szCs w:val="22"/>
        </w:rPr>
      </w:pPr>
      <w:r w:rsidRPr="00183B6B">
        <w:rPr>
          <w:sz w:val="22"/>
          <w:szCs w:val="22"/>
        </w:rPr>
        <w:t>The school / academy d</w:t>
      </w:r>
      <w:r w:rsidR="00A60A91" w:rsidRPr="00183B6B">
        <w:rPr>
          <w:sz w:val="22"/>
          <w:szCs w:val="22"/>
        </w:rPr>
        <w:t>ata recorded in the October 2015</w:t>
      </w:r>
      <w:r w:rsidRPr="00183B6B">
        <w:rPr>
          <w:sz w:val="22"/>
          <w:szCs w:val="22"/>
        </w:rPr>
        <w:t xml:space="preserve"> Census e.g. FSM%, is significantly different (lower) from that recorded in previous censuses. This will result in a reduced total amount per pupil funding for the school, and the MFG would then protect against the drop.</w:t>
      </w:r>
    </w:p>
    <w:p w:rsidR="00A82907" w:rsidRPr="00183B6B" w:rsidRDefault="00A82907" w:rsidP="00BD2B40">
      <w:pPr>
        <w:jc w:val="both"/>
        <w:rPr>
          <w:sz w:val="22"/>
          <w:szCs w:val="22"/>
        </w:rPr>
      </w:pPr>
    </w:p>
    <w:p w:rsidR="00A82907" w:rsidRPr="00183B6B" w:rsidRDefault="00305B67" w:rsidP="00BD2B40">
      <w:pPr>
        <w:jc w:val="both"/>
        <w:rPr>
          <w:sz w:val="22"/>
          <w:szCs w:val="22"/>
        </w:rPr>
      </w:pPr>
      <w:r>
        <w:rPr>
          <w:sz w:val="22"/>
          <w:szCs w:val="22"/>
        </w:rPr>
        <w:t>6</w:t>
      </w:r>
      <w:r w:rsidR="00A82907" w:rsidRPr="00183B6B">
        <w:rPr>
          <w:sz w:val="22"/>
          <w:szCs w:val="22"/>
        </w:rPr>
        <w:t>.3 As we have established in our previous funding reviews, the MFG must be afforded by the application of a ceiling. This ceiling caps the winners under the funding formulae at a % per pupil, which releases the value needed to cover the cost of the MFG. This is the only way that change can be afforded. The effect of the MFG, combined with the ceiling, is to pull the distribution of funding between schools and academies back towards how this stands now and it means that it will take longer for the budgets of the schools and academies that gain to realise these increases.</w:t>
      </w:r>
    </w:p>
    <w:p w:rsidR="00A82907" w:rsidRPr="00183B6B" w:rsidRDefault="00A82907" w:rsidP="00BD2B40">
      <w:pPr>
        <w:jc w:val="both"/>
        <w:rPr>
          <w:sz w:val="22"/>
          <w:szCs w:val="22"/>
        </w:rPr>
      </w:pPr>
    </w:p>
    <w:p w:rsidR="00A82907" w:rsidRPr="00183B6B" w:rsidRDefault="00305B67" w:rsidP="006F3AB5">
      <w:pPr>
        <w:jc w:val="both"/>
        <w:rPr>
          <w:sz w:val="22"/>
          <w:szCs w:val="22"/>
        </w:rPr>
      </w:pPr>
      <w:r>
        <w:rPr>
          <w:sz w:val="22"/>
          <w:szCs w:val="22"/>
        </w:rPr>
        <w:t>6</w:t>
      </w:r>
      <w:r w:rsidR="00A82907" w:rsidRPr="00183B6B">
        <w:rPr>
          <w:sz w:val="22"/>
          <w:szCs w:val="22"/>
        </w:rPr>
        <w:t xml:space="preserve">.4 As was the </w:t>
      </w:r>
      <w:r w:rsidR="00183B6B" w:rsidRPr="00183B6B">
        <w:rPr>
          <w:sz w:val="22"/>
          <w:szCs w:val="22"/>
        </w:rPr>
        <w:t>case in 2015/16</w:t>
      </w:r>
      <w:r w:rsidR="00A82907" w:rsidRPr="00183B6B">
        <w:rPr>
          <w:sz w:val="22"/>
          <w:szCs w:val="22"/>
        </w:rPr>
        <w:t>, the ceiling must be calculated on the same basis as the MFG and the % cap must be the same for primary and secondary schools / academies. We can choose whether to implement the ceiling by capping all growth over a certain % per pupil or by scaling back gains of winning schools / academies by a set amount proportion to the school’s gain. It continues to be our view that the capping approach is much fairer and also follows the same approach that we have used previously. We are therefore, not proposing any change in the operation of the ceiling, but the value of the % cap cannot be set until the final cost of the MFG is known. Please note that the ceiling must not be applied to new and growing schools and academies (those with some empty year groups) which have opened in the last 7 years, so these schools and academies will not c</w:t>
      </w:r>
      <w:r w:rsidR="00183B6B" w:rsidRPr="00183B6B">
        <w:rPr>
          <w:sz w:val="22"/>
          <w:szCs w:val="22"/>
        </w:rPr>
        <w:t>ontribute to the ceiling in 2016/17</w:t>
      </w:r>
      <w:r w:rsidR="00A82907" w:rsidRPr="00183B6B">
        <w:rPr>
          <w:sz w:val="22"/>
          <w:szCs w:val="22"/>
        </w:rPr>
        <w:t>.</w:t>
      </w:r>
    </w:p>
    <w:p w:rsidR="00A82907" w:rsidRPr="00CE63F5" w:rsidRDefault="00A82907" w:rsidP="006F3AB5">
      <w:pPr>
        <w:jc w:val="both"/>
        <w:rPr>
          <w:sz w:val="22"/>
          <w:szCs w:val="22"/>
          <w:highlight w:val="yellow"/>
        </w:rPr>
      </w:pPr>
    </w:p>
    <w:p w:rsidR="009D1756" w:rsidRPr="00CE63F5" w:rsidRDefault="009D1756" w:rsidP="006F3AB5">
      <w:pPr>
        <w:jc w:val="both"/>
        <w:rPr>
          <w:b/>
          <w:bCs/>
          <w:sz w:val="22"/>
          <w:szCs w:val="22"/>
          <w:highlight w:val="yellow"/>
        </w:rPr>
      </w:pPr>
    </w:p>
    <w:p w:rsidR="00A82907" w:rsidRPr="00183B6B" w:rsidRDefault="008B381E" w:rsidP="006F3AB5">
      <w:pPr>
        <w:jc w:val="both"/>
        <w:rPr>
          <w:b/>
          <w:bCs/>
          <w:sz w:val="22"/>
          <w:szCs w:val="22"/>
        </w:rPr>
      </w:pPr>
      <w:r>
        <w:rPr>
          <w:b/>
          <w:bCs/>
          <w:sz w:val="22"/>
          <w:szCs w:val="22"/>
        </w:rPr>
        <w:t>7</w:t>
      </w:r>
      <w:r w:rsidR="00A82907" w:rsidRPr="00183B6B">
        <w:rPr>
          <w:b/>
          <w:bCs/>
          <w:sz w:val="22"/>
          <w:szCs w:val="22"/>
        </w:rPr>
        <w:t>.</w:t>
      </w:r>
      <w:r w:rsidR="00A82907" w:rsidRPr="00183B6B">
        <w:rPr>
          <w:b/>
          <w:bCs/>
          <w:sz w:val="22"/>
          <w:szCs w:val="22"/>
        </w:rPr>
        <w:tab/>
        <w:t>Further Explanation of the Indicative Modelling</w:t>
      </w:r>
    </w:p>
    <w:p w:rsidR="00A82907" w:rsidRPr="00183B6B" w:rsidRDefault="00A82907" w:rsidP="006F3AB5">
      <w:pPr>
        <w:jc w:val="both"/>
        <w:rPr>
          <w:b/>
          <w:bCs/>
          <w:sz w:val="22"/>
          <w:szCs w:val="22"/>
        </w:rPr>
      </w:pPr>
    </w:p>
    <w:p w:rsidR="00A82907" w:rsidRPr="00183B6B" w:rsidRDefault="00305B67" w:rsidP="006F3AB5">
      <w:pPr>
        <w:jc w:val="both"/>
        <w:rPr>
          <w:color w:val="000000"/>
          <w:sz w:val="22"/>
          <w:szCs w:val="22"/>
        </w:rPr>
      </w:pPr>
      <w:r>
        <w:rPr>
          <w:sz w:val="22"/>
          <w:szCs w:val="22"/>
        </w:rPr>
        <w:t>7</w:t>
      </w:r>
      <w:r w:rsidR="00A82907" w:rsidRPr="00183B6B">
        <w:rPr>
          <w:sz w:val="22"/>
          <w:szCs w:val="22"/>
        </w:rPr>
        <w:t xml:space="preserve">.1 The modelling </w:t>
      </w:r>
      <w:r w:rsidR="00A82907" w:rsidRPr="00183B6B">
        <w:rPr>
          <w:color w:val="000000"/>
          <w:sz w:val="22"/>
          <w:szCs w:val="22"/>
        </w:rPr>
        <w:t xml:space="preserve">in Appendix 1 shows the impact of the proposals outlined in this consultation on primary and secondary schools and academies, based on maintaining a ‘cash flat’ position overall </w:t>
      </w:r>
      <w:r w:rsidR="00183B6B" w:rsidRPr="00183B6B">
        <w:rPr>
          <w:color w:val="000000"/>
          <w:sz w:val="22"/>
          <w:szCs w:val="22"/>
        </w:rPr>
        <w:t>and using estimated October 2015</w:t>
      </w:r>
      <w:r w:rsidR="00A82907" w:rsidRPr="00183B6B">
        <w:rPr>
          <w:color w:val="000000"/>
          <w:sz w:val="22"/>
          <w:szCs w:val="22"/>
        </w:rPr>
        <w:t xml:space="preserve"> pupil numb</w:t>
      </w:r>
      <w:r w:rsidR="00183B6B" w:rsidRPr="00183B6B">
        <w:rPr>
          <w:color w:val="000000"/>
          <w:sz w:val="22"/>
          <w:szCs w:val="22"/>
        </w:rPr>
        <w:t>ers on roll and the October 2014</w:t>
      </w:r>
      <w:r w:rsidR="00A82907" w:rsidRPr="00183B6B">
        <w:rPr>
          <w:color w:val="000000"/>
          <w:sz w:val="22"/>
          <w:szCs w:val="22"/>
        </w:rPr>
        <w:t xml:space="preserve"> dataset from the EFA. The modelling is intended only to give an early estimate of</w:t>
      </w:r>
      <w:r w:rsidR="00183B6B" w:rsidRPr="00183B6B">
        <w:rPr>
          <w:color w:val="000000"/>
          <w:sz w:val="22"/>
          <w:szCs w:val="22"/>
        </w:rPr>
        <w:t xml:space="preserve"> individual allocations for 2016/17 </w:t>
      </w:r>
      <w:r w:rsidR="00A82907" w:rsidRPr="00183B6B">
        <w:rPr>
          <w:color w:val="000000"/>
          <w:sz w:val="22"/>
          <w:szCs w:val="22"/>
        </w:rPr>
        <w:t>from the Schools Block.</w:t>
      </w:r>
    </w:p>
    <w:p w:rsidR="00A82907" w:rsidRPr="00183B6B" w:rsidRDefault="00A82907" w:rsidP="006F3AB5">
      <w:pPr>
        <w:jc w:val="both"/>
        <w:rPr>
          <w:color w:val="000000"/>
          <w:sz w:val="22"/>
          <w:szCs w:val="22"/>
        </w:rPr>
      </w:pPr>
    </w:p>
    <w:p w:rsidR="00A82907" w:rsidRPr="00183B6B" w:rsidRDefault="00305B67" w:rsidP="0066232A">
      <w:pPr>
        <w:jc w:val="both"/>
        <w:rPr>
          <w:color w:val="000000"/>
          <w:sz w:val="22"/>
          <w:szCs w:val="22"/>
        </w:rPr>
      </w:pPr>
      <w:r>
        <w:rPr>
          <w:color w:val="000000"/>
          <w:sz w:val="22"/>
          <w:szCs w:val="22"/>
        </w:rPr>
        <w:t>7</w:t>
      </w:r>
      <w:r w:rsidR="00A82907" w:rsidRPr="00183B6B">
        <w:rPr>
          <w:color w:val="000000"/>
          <w:sz w:val="22"/>
          <w:szCs w:val="22"/>
        </w:rPr>
        <w:t>.2 Please note that Appendix 1 focuses on the Schools Block and does not, at this stage, give a complete picture of individual delegated budgets. The modelling does not include Early Years Funding, Post 16 funding or funding from the High Needs Block. These are being / will be covered in separate consultations / communications.</w:t>
      </w:r>
    </w:p>
    <w:p w:rsidR="00A82907" w:rsidRPr="00183B6B" w:rsidRDefault="00A82907" w:rsidP="006F3AB5">
      <w:pPr>
        <w:jc w:val="both"/>
        <w:rPr>
          <w:color w:val="000000"/>
          <w:sz w:val="22"/>
          <w:szCs w:val="22"/>
        </w:rPr>
      </w:pPr>
    </w:p>
    <w:p w:rsidR="00A82907" w:rsidRPr="004D74CA" w:rsidRDefault="00305B67" w:rsidP="006F3AB5">
      <w:pPr>
        <w:jc w:val="both"/>
        <w:rPr>
          <w:color w:val="000000"/>
          <w:sz w:val="22"/>
          <w:szCs w:val="22"/>
        </w:rPr>
      </w:pPr>
      <w:r>
        <w:rPr>
          <w:color w:val="000000"/>
          <w:sz w:val="22"/>
          <w:szCs w:val="22"/>
        </w:rPr>
        <w:t>7</w:t>
      </w:r>
      <w:r w:rsidR="00A82907" w:rsidRPr="004D74CA">
        <w:rPr>
          <w:color w:val="000000"/>
          <w:sz w:val="22"/>
          <w:szCs w:val="22"/>
        </w:rPr>
        <w:t>.3 The modelling sh</w:t>
      </w:r>
      <w:r w:rsidR="004D74CA" w:rsidRPr="004D74CA">
        <w:rPr>
          <w:color w:val="000000"/>
          <w:sz w:val="22"/>
          <w:szCs w:val="22"/>
        </w:rPr>
        <w:t>ows the total ‘variance’ of 2016/17 estimated funding against 2015/16</w:t>
      </w:r>
      <w:r w:rsidR="00A82907" w:rsidRPr="004D74CA">
        <w:rPr>
          <w:color w:val="000000"/>
          <w:sz w:val="22"/>
          <w:szCs w:val="22"/>
        </w:rPr>
        <w:t xml:space="preserve"> actual funding. This total is also separated into formula funding, contingencies and Pupil Premium allocations so that the cause of variances can be better understood. The main factors behind these ‘variances’ are:</w:t>
      </w:r>
    </w:p>
    <w:p w:rsidR="00A82907" w:rsidRPr="004D74CA" w:rsidRDefault="00A82907" w:rsidP="006F3AB5">
      <w:pPr>
        <w:jc w:val="both"/>
        <w:rPr>
          <w:color w:val="000000"/>
          <w:sz w:val="22"/>
          <w:szCs w:val="22"/>
        </w:rPr>
      </w:pPr>
    </w:p>
    <w:p w:rsidR="00A82907" w:rsidRPr="004D74CA" w:rsidRDefault="00A82907" w:rsidP="008722A8">
      <w:pPr>
        <w:numPr>
          <w:ilvl w:val="0"/>
          <w:numId w:val="18"/>
        </w:numPr>
        <w:jc w:val="both"/>
        <w:rPr>
          <w:color w:val="000000"/>
          <w:sz w:val="22"/>
          <w:szCs w:val="22"/>
        </w:rPr>
      </w:pPr>
      <w:r w:rsidRPr="004D74CA">
        <w:rPr>
          <w:color w:val="000000"/>
          <w:sz w:val="22"/>
          <w:szCs w:val="22"/>
        </w:rPr>
        <w:t>A change in pupil numbers on roll (shown in the far right column)</w:t>
      </w:r>
    </w:p>
    <w:p w:rsidR="00A82907" w:rsidRPr="004D74CA" w:rsidRDefault="00A82907" w:rsidP="008722A8">
      <w:pPr>
        <w:numPr>
          <w:ilvl w:val="0"/>
          <w:numId w:val="18"/>
        </w:numPr>
        <w:jc w:val="both"/>
        <w:rPr>
          <w:color w:val="000000"/>
          <w:sz w:val="22"/>
          <w:szCs w:val="22"/>
        </w:rPr>
      </w:pPr>
      <w:r w:rsidRPr="004D74CA">
        <w:rPr>
          <w:color w:val="000000"/>
          <w:sz w:val="22"/>
          <w:szCs w:val="22"/>
        </w:rPr>
        <w:t>A reduction in (or ending of) the MFG for those schools that have previously been protected</w:t>
      </w:r>
    </w:p>
    <w:p w:rsidR="00A82907" w:rsidRPr="004D74CA" w:rsidRDefault="00A82907" w:rsidP="008722A8">
      <w:pPr>
        <w:numPr>
          <w:ilvl w:val="0"/>
          <w:numId w:val="18"/>
        </w:numPr>
        <w:jc w:val="both"/>
        <w:rPr>
          <w:color w:val="000000"/>
          <w:sz w:val="22"/>
          <w:szCs w:val="22"/>
        </w:rPr>
      </w:pPr>
      <w:r w:rsidRPr="004D74CA">
        <w:rPr>
          <w:color w:val="000000"/>
          <w:sz w:val="22"/>
          <w:szCs w:val="22"/>
        </w:rPr>
        <w:t>Changes in contingency allocations, in particular relating to the pupil numbers on roll at expanding schools / academies</w:t>
      </w:r>
    </w:p>
    <w:p w:rsidR="00A82907" w:rsidRPr="00CE63F5" w:rsidRDefault="00A82907" w:rsidP="0066232A">
      <w:pPr>
        <w:ind w:left="360"/>
        <w:jc w:val="both"/>
        <w:rPr>
          <w:color w:val="000000"/>
          <w:sz w:val="22"/>
          <w:szCs w:val="22"/>
          <w:highlight w:val="yellow"/>
        </w:rPr>
      </w:pPr>
    </w:p>
    <w:p w:rsidR="00A82907" w:rsidRPr="004D74CA" w:rsidRDefault="00305B67" w:rsidP="006F3AB5">
      <w:pPr>
        <w:jc w:val="both"/>
        <w:rPr>
          <w:color w:val="000000"/>
          <w:sz w:val="22"/>
          <w:szCs w:val="22"/>
        </w:rPr>
      </w:pPr>
      <w:r>
        <w:rPr>
          <w:color w:val="000000"/>
          <w:sz w:val="22"/>
          <w:szCs w:val="22"/>
        </w:rPr>
        <w:t>7</w:t>
      </w:r>
      <w:r w:rsidR="00A82907" w:rsidRPr="004D74CA">
        <w:rPr>
          <w:color w:val="000000"/>
          <w:sz w:val="22"/>
          <w:szCs w:val="22"/>
        </w:rPr>
        <w:t xml:space="preserve">.4 Whether a school / academy is protected by the MFG, or is capped by the ceiling, is shown in the modelling. Schools and academies on the MFG should plan for this protection to reduce over time. Schools and academies on the ceiling may expect to receive the sum by which their budgets have been reduced eventually in future years. However, any future projections will be significantly influenced by the introduction of the National Fair Funding Formula, which will override any previous arrangements. </w:t>
      </w:r>
    </w:p>
    <w:p w:rsidR="00A82907" w:rsidRPr="004D74CA" w:rsidRDefault="00A82907" w:rsidP="006F3AB5">
      <w:pPr>
        <w:jc w:val="both"/>
        <w:rPr>
          <w:color w:val="000000"/>
          <w:sz w:val="22"/>
          <w:szCs w:val="22"/>
        </w:rPr>
      </w:pPr>
    </w:p>
    <w:p w:rsidR="00A82907" w:rsidRPr="004D74CA" w:rsidRDefault="00305B67" w:rsidP="006F3AB5">
      <w:pPr>
        <w:jc w:val="both"/>
        <w:rPr>
          <w:color w:val="000000"/>
          <w:sz w:val="22"/>
          <w:szCs w:val="22"/>
        </w:rPr>
      </w:pPr>
      <w:r>
        <w:rPr>
          <w:color w:val="000000"/>
          <w:sz w:val="22"/>
          <w:szCs w:val="22"/>
        </w:rPr>
        <w:t>7</w:t>
      </w:r>
      <w:r w:rsidR="00A82907" w:rsidRPr="004D74CA">
        <w:rPr>
          <w:color w:val="000000"/>
          <w:sz w:val="22"/>
          <w:szCs w:val="22"/>
        </w:rPr>
        <w:t>.5 If you would like to discuss the modelling in more detail, or discuss the data on which allocations are calculated, please contact Sarah North.</w:t>
      </w:r>
    </w:p>
    <w:p w:rsidR="00A82907" w:rsidRPr="00CE63F5" w:rsidRDefault="00A82907" w:rsidP="00791103">
      <w:pPr>
        <w:jc w:val="both"/>
        <w:rPr>
          <w:b/>
          <w:bCs/>
          <w:color w:val="0000FF"/>
          <w:sz w:val="22"/>
          <w:szCs w:val="22"/>
          <w:highlight w:val="yellow"/>
        </w:rPr>
      </w:pPr>
    </w:p>
    <w:p w:rsidR="00A82907" w:rsidRPr="004D74CA" w:rsidRDefault="00A82907" w:rsidP="00791103">
      <w:pPr>
        <w:jc w:val="both"/>
        <w:rPr>
          <w:b/>
          <w:bCs/>
          <w:color w:val="0000FF"/>
          <w:sz w:val="22"/>
          <w:szCs w:val="22"/>
        </w:rPr>
      </w:pPr>
      <w:r w:rsidRPr="004D74CA">
        <w:rPr>
          <w:b/>
          <w:bCs/>
          <w:color w:val="0000FF"/>
          <w:sz w:val="22"/>
          <w:szCs w:val="22"/>
        </w:rPr>
        <w:t xml:space="preserve">Question </w:t>
      </w:r>
      <w:r w:rsidR="00933771">
        <w:rPr>
          <w:b/>
          <w:bCs/>
          <w:color w:val="0000FF"/>
          <w:sz w:val="22"/>
          <w:szCs w:val="22"/>
        </w:rPr>
        <w:t>6</w:t>
      </w:r>
      <w:r w:rsidRPr="004D74CA">
        <w:rPr>
          <w:b/>
          <w:bCs/>
          <w:color w:val="0000FF"/>
          <w:sz w:val="22"/>
          <w:szCs w:val="22"/>
        </w:rPr>
        <w:t xml:space="preserve"> - Do you have any comments on the modelling?</w:t>
      </w:r>
    </w:p>
    <w:p w:rsidR="00A82907" w:rsidRPr="00CE63F5" w:rsidRDefault="00A82907" w:rsidP="00791103">
      <w:pPr>
        <w:jc w:val="both"/>
        <w:rPr>
          <w:b/>
          <w:bCs/>
          <w:color w:val="0000FF"/>
          <w:sz w:val="22"/>
          <w:szCs w:val="22"/>
          <w:highlight w:val="yellow"/>
        </w:rPr>
      </w:pPr>
    </w:p>
    <w:p w:rsidR="00A82907" w:rsidRPr="00CE63F5" w:rsidRDefault="00A82907" w:rsidP="00791103">
      <w:pPr>
        <w:jc w:val="both"/>
        <w:rPr>
          <w:b/>
          <w:bCs/>
          <w:sz w:val="22"/>
          <w:szCs w:val="22"/>
          <w:highlight w:val="yellow"/>
        </w:rPr>
      </w:pPr>
    </w:p>
    <w:p w:rsidR="00A82907" w:rsidRPr="004D74CA" w:rsidRDefault="008B381E" w:rsidP="006F3AB5">
      <w:pPr>
        <w:jc w:val="both"/>
        <w:rPr>
          <w:b/>
          <w:bCs/>
          <w:sz w:val="22"/>
          <w:szCs w:val="22"/>
        </w:rPr>
      </w:pPr>
      <w:r>
        <w:rPr>
          <w:b/>
          <w:bCs/>
          <w:sz w:val="22"/>
          <w:szCs w:val="22"/>
        </w:rPr>
        <w:t>8</w:t>
      </w:r>
      <w:r w:rsidR="00A82907" w:rsidRPr="004D74CA">
        <w:rPr>
          <w:b/>
          <w:bCs/>
          <w:sz w:val="22"/>
          <w:szCs w:val="22"/>
        </w:rPr>
        <w:t>.</w:t>
      </w:r>
      <w:r w:rsidR="00A82907" w:rsidRPr="004D74CA">
        <w:rPr>
          <w:b/>
          <w:bCs/>
          <w:sz w:val="22"/>
          <w:szCs w:val="22"/>
        </w:rPr>
        <w:tab/>
        <w:t>Consultation Responses</w:t>
      </w:r>
    </w:p>
    <w:p w:rsidR="00A82907" w:rsidRPr="004D74CA" w:rsidRDefault="00A82907" w:rsidP="006F3AB5">
      <w:pPr>
        <w:jc w:val="both"/>
        <w:rPr>
          <w:b/>
          <w:bCs/>
          <w:sz w:val="22"/>
          <w:szCs w:val="22"/>
        </w:rPr>
      </w:pPr>
    </w:p>
    <w:p w:rsidR="00A82907" w:rsidRPr="004D74CA" w:rsidRDefault="00305B67" w:rsidP="006F3AB5">
      <w:pPr>
        <w:jc w:val="both"/>
        <w:rPr>
          <w:sz w:val="22"/>
          <w:szCs w:val="22"/>
        </w:rPr>
      </w:pPr>
      <w:r>
        <w:rPr>
          <w:sz w:val="22"/>
          <w:szCs w:val="22"/>
        </w:rPr>
        <w:t>8</w:t>
      </w:r>
      <w:r w:rsidR="00A82907" w:rsidRPr="004D74CA">
        <w:rPr>
          <w:sz w:val="22"/>
          <w:szCs w:val="22"/>
        </w:rPr>
        <w:t xml:space="preserve">.1 Please use the responses form </w:t>
      </w:r>
      <w:r w:rsidR="004D74CA" w:rsidRPr="004D74CA">
        <w:rPr>
          <w:sz w:val="22"/>
          <w:szCs w:val="22"/>
        </w:rPr>
        <w:t xml:space="preserve">in </w:t>
      </w:r>
      <w:r w:rsidR="00A82907" w:rsidRPr="004D74CA">
        <w:rPr>
          <w:color w:val="000000"/>
          <w:sz w:val="22"/>
          <w:szCs w:val="22"/>
        </w:rPr>
        <w:t>Appendix 3 to submit</w:t>
      </w:r>
      <w:r w:rsidR="00A82907" w:rsidRPr="004D74CA">
        <w:rPr>
          <w:sz w:val="22"/>
          <w:szCs w:val="22"/>
        </w:rPr>
        <w:t xml:space="preserve"> your views on the proposals outlined in the consultation. There is space </w:t>
      </w:r>
      <w:r w:rsidR="004D74CA" w:rsidRPr="004D74CA">
        <w:rPr>
          <w:sz w:val="22"/>
          <w:szCs w:val="22"/>
        </w:rPr>
        <w:t>on</w:t>
      </w:r>
      <w:r w:rsidR="00A82907" w:rsidRPr="004D74CA">
        <w:rPr>
          <w:sz w:val="22"/>
          <w:szCs w:val="22"/>
        </w:rPr>
        <w:t xml:space="preserve"> this form for you to comment on any aspect of the proposals. If you wish to discuss these proposals in more detail, or have any specific questions, please contact either Sarah North, or Andrew Redding, using the contact details shown in paragraph 1.</w:t>
      </w:r>
    </w:p>
    <w:p w:rsidR="00A82907" w:rsidRPr="004D74CA" w:rsidRDefault="00A82907" w:rsidP="006F3AB5">
      <w:pPr>
        <w:jc w:val="both"/>
        <w:rPr>
          <w:sz w:val="22"/>
          <w:szCs w:val="22"/>
        </w:rPr>
      </w:pPr>
    </w:p>
    <w:p w:rsidR="00A82907" w:rsidRPr="004D74CA" w:rsidRDefault="00305B67" w:rsidP="006F3AB5">
      <w:pPr>
        <w:jc w:val="both"/>
        <w:rPr>
          <w:sz w:val="22"/>
          <w:szCs w:val="22"/>
        </w:rPr>
      </w:pPr>
      <w:r>
        <w:rPr>
          <w:sz w:val="22"/>
          <w:szCs w:val="22"/>
        </w:rPr>
        <w:t>8</w:t>
      </w:r>
      <w:r w:rsidR="00A82907" w:rsidRPr="004D74CA">
        <w:rPr>
          <w:sz w:val="22"/>
          <w:szCs w:val="22"/>
        </w:rPr>
        <w:t xml:space="preserve">.2 Please ensure that your response is submitted by the deadline of </w:t>
      </w:r>
      <w:r w:rsidR="00A82907" w:rsidRPr="004D74CA">
        <w:rPr>
          <w:b/>
          <w:bCs/>
          <w:sz w:val="22"/>
          <w:szCs w:val="22"/>
        </w:rPr>
        <w:t>Friday 1</w:t>
      </w:r>
      <w:r w:rsidR="004D74CA">
        <w:rPr>
          <w:b/>
          <w:bCs/>
          <w:sz w:val="22"/>
          <w:szCs w:val="22"/>
        </w:rPr>
        <w:t>6</w:t>
      </w:r>
      <w:r w:rsidR="004D74CA" w:rsidRPr="004D74CA">
        <w:rPr>
          <w:b/>
          <w:bCs/>
          <w:sz w:val="22"/>
          <w:szCs w:val="22"/>
        </w:rPr>
        <w:t xml:space="preserve"> October 2015</w:t>
      </w:r>
      <w:r w:rsidR="00A82907" w:rsidRPr="004D74CA">
        <w:rPr>
          <w:b/>
          <w:bCs/>
          <w:sz w:val="22"/>
          <w:szCs w:val="22"/>
        </w:rPr>
        <w:t>.</w:t>
      </w:r>
      <w:r w:rsidR="004D74CA">
        <w:rPr>
          <w:b/>
          <w:bCs/>
          <w:sz w:val="22"/>
          <w:szCs w:val="22"/>
        </w:rPr>
        <w:t xml:space="preserve"> </w:t>
      </w:r>
      <w:r w:rsidR="004D74CA" w:rsidRPr="004D74CA">
        <w:rPr>
          <w:bCs/>
          <w:sz w:val="22"/>
          <w:szCs w:val="22"/>
        </w:rPr>
        <w:t>Any responses received after this deadline date may not be included</w:t>
      </w:r>
      <w:r w:rsidR="004D74CA">
        <w:rPr>
          <w:bCs/>
          <w:sz w:val="22"/>
          <w:szCs w:val="22"/>
        </w:rPr>
        <w:t xml:space="preserve"> in the overall analysis presented to the Schools Forum.</w:t>
      </w:r>
    </w:p>
    <w:p w:rsidR="00A82907" w:rsidRPr="00CE63F5" w:rsidRDefault="00A82907" w:rsidP="006F3AB5">
      <w:pPr>
        <w:jc w:val="both"/>
        <w:rPr>
          <w:b/>
          <w:bCs/>
          <w:sz w:val="22"/>
          <w:szCs w:val="22"/>
          <w:highlight w:val="yellow"/>
        </w:rPr>
      </w:pPr>
    </w:p>
    <w:p w:rsidR="00A82907" w:rsidRPr="00CE63F5" w:rsidRDefault="00A82907" w:rsidP="006F3AB5">
      <w:pPr>
        <w:jc w:val="both"/>
        <w:rPr>
          <w:b/>
          <w:bCs/>
          <w:sz w:val="22"/>
          <w:szCs w:val="22"/>
          <w:highlight w:val="yellow"/>
        </w:rPr>
      </w:pPr>
    </w:p>
    <w:p w:rsidR="00A82907" w:rsidRPr="00496D5B" w:rsidRDefault="008B381E" w:rsidP="006F3AB5">
      <w:pPr>
        <w:jc w:val="both"/>
        <w:rPr>
          <w:b/>
          <w:bCs/>
          <w:sz w:val="22"/>
          <w:szCs w:val="22"/>
        </w:rPr>
      </w:pPr>
      <w:r>
        <w:rPr>
          <w:b/>
          <w:bCs/>
          <w:sz w:val="22"/>
          <w:szCs w:val="22"/>
        </w:rPr>
        <w:t>9</w:t>
      </w:r>
      <w:r w:rsidR="00A82907" w:rsidRPr="00496D5B">
        <w:rPr>
          <w:b/>
          <w:bCs/>
          <w:sz w:val="22"/>
          <w:szCs w:val="22"/>
        </w:rPr>
        <w:t>.</w:t>
      </w:r>
      <w:r w:rsidR="00A82907" w:rsidRPr="00496D5B">
        <w:rPr>
          <w:b/>
          <w:bCs/>
          <w:sz w:val="22"/>
          <w:szCs w:val="22"/>
        </w:rPr>
        <w:tab/>
        <w:t>Next Steps</w:t>
      </w:r>
    </w:p>
    <w:p w:rsidR="00A82907" w:rsidRPr="00496D5B" w:rsidRDefault="00A82907" w:rsidP="006F3AB5">
      <w:pPr>
        <w:jc w:val="both"/>
        <w:rPr>
          <w:sz w:val="22"/>
          <w:szCs w:val="22"/>
        </w:rPr>
      </w:pPr>
    </w:p>
    <w:p w:rsidR="00A82907" w:rsidRPr="00496D5B" w:rsidRDefault="00305B67" w:rsidP="006F3AB5">
      <w:pPr>
        <w:jc w:val="both"/>
        <w:rPr>
          <w:sz w:val="22"/>
          <w:szCs w:val="22"/>
        </w:rPr>
      </w:pPr>
      <w:r>
        <w:rPr>
          <w:sz w:val="22"/>
          <w:szCs w:val="22"/>
        </w:rPr>
        <w:t>9</w:t>
      </w:r>
      <w:r w:rsidR="00A82907" w:rsidRPr="00496D5B">
        <w:rPr>
          <w:sz w:val="22"/>
          <w:szCs w:val="22"/>
        </w:rPr>
        <w:t>.1 Following consideration of the responses to this consultation and the agreement of the Schools Forum, the pro-forma, which will outline the structure of the funding formulae for primary and secondary schools and academies to be u</w:t>
      </w:r>
      <w:r w:rsidR="004D74CA" w:rsidRPr="00496D5B">
        <w:rPr>
          <w:sz w:val="22"/>
          <w:szCs w:val="22"/>
        </w:rPr>
        <w:t>sed to calculate budgets in 2016/17</w:t>
      </w:r>
      <w:r w:rsidR="00A82907" w:rsidRPr="00496D5B">
        <w:rPr>
          <w:sz w:val="22"/>
          <w:szCs w:val="22"/>
        </w:rPr>
        <w:t>, wi</w:t>
      </w:r>
      <w:r w:rsidR="004D74CA" w:rsidRPr="00496D5B">
        <w:rPr>
          <w:sz w:val="22"/>
          <w:szCs w:val="22"/>
        </w:rPr>
        <w:t>ll be submitted to the EFA by 30 October 2015.</w:t>
      </w:r>
      <w:r w:rsidR="00A82907" w:rsidRPr="00496D5B">
        <w:rPr>
          <w:sz w:val="22"/>
          <w:szCs w:val="22"/>
        </w:rPr>
        <w:t xml:space="preserve"> This pro-forma will then be checked for any areas of non-compliance by the EFA.</w:t>
      </w:r>
    </w:p>
    <w:p w:rsidR="00A82907" w:rsidRPr="00496D5B" w:rsidRDefault="00A82907" w:rsidP="006F3AB5">
      <w:pPr>
        <w:jc w:val="both"/>
        <w:rPr>
          <w:sz w:val="22"/>
          <w:szCs w:val="22"/>
        </w:rPr>
      </w:pPr>
    </w:p>
    <w:p w:rsidR="00A82907" w:rsidRPr="00496D5B" w:rsidRDefault="00305B67" w:rsidP="006F3AB5">
      <w:pPr>
        <w:jc w:val="both"/>
        <w:rPr>
          <w:sz w:val="22"/>
          <w:szCs w:val="22"/>
        </w:rPr>
      </w:pPr>
      <w:r>
        <w:rPr>
          <w:sz w:val="22"/>
          <w:szCs w:val="22"/>
        </w:rPr>
        <w:t>9</w:t>
      </w:r>
      <w:r w:rsidR="00A82907" w:rsidRPr="00496D5B">
        <w:rPr>
          <w:sz w:val="22"/>
          <w:szCs w:val="22"/>
        </w:rPr>
        <w:t xml:space="preserve">.2 Schools and academies will complete the October Census on Thursday </w:t>
      </w:r>
      <w:r w:rsidR="004D74CA" w:rsidRPr="00496D5B">
        <w:rPr>
          <w:sz w:val="22"/>
          <w:szCs w:val="22"/>
        </w:rPr>
        <w:t>1 October 2015</w:t>
      </w:r>
      <w:r w:rsidR="00A82907" w:rsidRPr="00496D5B">
        <w:rPr>
          <w:sz w:val="22"/>
          <w:szCs w:val="22"/>
        </w:rPr>
        <w:t>. The dataset from this census will be available for us to analyse mid-December.</w:t>
      </w:r>
    </w:p>
    <w:p w:rsidR="00A82907" w:rsidRPr="00496D5B" w:rsidRDefault="00A82907" w:rsidP="006F3AB5">
      <w:pPr>
        <w:jc w:val="both"/>
        <w:rPr>
          <w:sz w:val="22"/>
          <w:szCs w:val="22"/>
        </w:rPr>
      </w:pPr>
    </w:p>
    <w:p w:rsidR="00A82907" w:rsidRDefault="00305B67" w:rsidP="006F3AB5">
      <w:pPr>
        <w:jc w:val="both"/>
        <w:rPr>
          <w:sz w:val="22"/>
          <w:szCs w:val="22"/>
        </w:rPr>
      </w:pPr>
      <w:r>
        <w:rPr>
          <w:sz w:val="22"/>
          <w:szCs w:val="22"/>
        </w:rPr>
        <w:t>9</w:t>
      </w:r>
      <w:r w:rsidR="00A82907" w:rsidRPr="00496D5B">
        <w:rPr>
          <w:sz w:val="22"/>
          <w:szCs w:val="22"/>
        </w:rPr>
        <w:t>.3 Discussions on the overa</w:t>
      </w:r>
      <w:r w:rsidR="004D74CA" w:rsidRPr="00496D5B">
        <w:rPr>
          <w:sz w:val="22"/>
          <w:szCs w:val="22"/>
        </w:rPr>
        <w:t>ll DSG funding position for 2016</w:t>
      </w:r>
      <w:r w:rsidR="00A82907" w:rsidRPr="00496D5B">
        <w:rPr>
          <w:sz w:val="22"/>
          <w:szCs w:val="22"/>
        </w:rPr>
        <w:t>/1</w:t>
      </w:r>
      <w:r w:rsidR="004D74CA" w:rsidRPr="00496D5B">
        <w:rPr>
          <w:sz w:val="22"/>
          <w:szCs w:val="22"/>
        </w:rPr>
        <w:t>7</w:t>
      </w:r>
      <w:r w:rsidR="00A82907" w:rsidRPr="00496D5B">
        <w:rPr>
          <w:sz w:val="22"/>
          <w:szCs w:val="22"/>
        </w:rPr>
        <w:t>, the holding of de-delegated and contingency funds, the balance of funding between primary and s</w:t>
      </w:r>
      <w:r w:rsidR="004D74CA" w:rsidRPr="00496D5B">
        <w:rPr>
          <w:sz w:val="22"/>
          <w:szCs w:val="22"/>
        </w:rPr>
        <w:t>econdary, whether to reduce factor values to offset cost pressures in the High Needs block,</w:t>
      </w:r>
      <w:r w:rsidR="00A82907" w:rsidRPr="00496D5B">
        <w:rPr>
          <w:sz w:val="22"/>
          <w:szCs w:val="22"/>
        </w:rPr>
        <w:t xml:space="preserve"> and the impact on schools of using the October 201</w:t>
      </w:r>
      <w:r w:rsidR="004D74CA" w:rsidRPr="00496D5B">
        <w:rPr>
          <w:sz w:val="22"/>
          <w:szCs w:val="22"/>
        </w:rPr>
        <w:t>5</w:t>
      </w:r>
      <w:r w:rsidR="00A82907" w:rsidRPr="00496D5B">
        <w:rPr>
          <w:sz w:val="22"/>
          <w:szCs w:val="22"/>
        </w:rPr>
        <w:t xml:space="preserve"> Census dataset, will take place in the Schools Forum over the coming term. You are recommended to keep in touch with these discussions by visiting the Schools Forum webpage on the Council’s Minute’s site. It is anticipated that the Schools Forum will make its final recommendations on 201</w:t>
      </w:r>
      <w:r w:rsidR="004D74CA" w:rsidRPr="00496D5B">
        <w:rPr>
          <w:sz w:val="22"/>
          <w:szCs w:val="22"/>
        </w:rPr>
        <w:t>6/17</w:t>
      </w:r>
      <w:r w:rsidR="00496D5B">
        <w:rPr>
          <w:sz w:val="22"/>
          <w:szCs w:val="22"/>
        </w:rPr>
        <w:t xml:space="preserve"> arrangements on Wednesday </w:t>
      </w:r>
      <w:r w:rsidR="00496D5B" w:rsidRPr="00496D5B">
        <w:rPr>
          <w:sz w:val="22"/>
          <w:szCs w:val="22"/>
        </w:rPr>
        <w:t>6 January 2016</w:t>
      </w:r>
      <w:r w:rsidR="00A82907" w:rsidRPr="00496D5B">
        <w:rPr>
          <w:sz w:val="22"/>
          <w:szCs w:val="22"/>
        </w:rPr>
        <w:t>.</w:t>
      </w:r>
    </w:p>
    <w:p w:rsidR="00A75659" w:rsidRPr="00496D5B" w:rsidRDefault="00A75659" w:rsidP="006F3AB5">
      <w:pPr>
        <w:jc w:val="both"/>
        <w:rPr>
          <w:sz w:val="22"/>
          <w:szCs w:val="22"/>
        </w:rPr>
      </w:pPr>
    </w:p>
    <w:p w:rsidR="00A82907" w:rsidRPr="00496D5B" w:rsidRDefault="00A82907" w:rsidP="006F3AB5">
      <w:pPr>
        <w:jc w:val="both"/>
        <w:rPr>
          <w:sz w:val="22"/>
          <w:szCs w:val="22"/>
        </w:rPr>
      </w:pPr>
    </w:p>
    <w:p w:rsidR="00A82907" w:rsidRPr="00496D5B" w:rsidRDefault="008B381E" w:rsidP="006F3AB5">
      <w:pPr>
        <w:jc w:val="both"/>
        <w:rPr>
          <w:b/>
          <w:bCs/>
          <w:sz w:val="22"/>
          <w:szCs w:val="22"/>
        </w:rPr>
      </w:pPr>
      <w:r>
        <w:rPr>
          <w:b/>
          <w:bCs/>
          <w:sz w:val="22"/>
          <w:szCs w:val="22"/>
        </w:rPr>
        <w:t>10</w:t>
      </w:r>
      <w:r w:rsidR="00A82907" w:rsidRPr="00496D5B">
        <w:rPr>
          <w:b/>
          <w:bCs/>
          <w:sz w:val="22"/>
          <w:szCs w:val="22"/>
        </w:rPr>
        <w:t>.</w:t>
      </w:r>
      <w:r w:rsidR="00A82907" w:rsidRPr="00496D5B">
        <w:rPr>
          <w:b/>
          <w:bCs/>
          <w:sz w:val="22"/>
          <w:szCs w:val="22"/>
        </w:rPr>
        <w:tab/>
        <w:t>Appendices</w:t>
      </w:r>
    </w:p>
    <w:p w:rsidR="00A82907" w:rsidRPr="00496D5B" w:rsidRDefault="00A82907" w:rsidP="006E6AEC">
      <w:pPr>
        <w:ind w:left="360"/>
        <w:jc w:val="both"/>
        <w:rPr>
          <w:sz w:val="22"/>
          <w:szCs w:val="22"/>
        </w:rPr>
      </w:pPr>
    </w:p>
    <w:p w:rsidR="00A82907" w:rsidRPr="00496D5B" w:rsidRDefault="00A82907" w:rsidP="006E6AEC">
      <w:pPr>
        <w:numPr>
          <w:ilvl w:val="0"/>
          <w:numId w:val="1"/>
        </w:numPr>
        <w:jc w:val="both"/>
        <w:rPr>
          <w:sz w:val="22"/>
          <w:szCs w:val="22"/>
        </w:rPr>
      </w:pPr>
      <w:r w:rsidRPr="00496D5B">
        <w:rPr>
          <w:sz w:val="22"/>
          <w:szCs w:val="22"/>
        </w:rPr>
        <w:t>Appendix 1 – Illustrative Formula Modelling</w:t>
      </w:r>
    </w:p>
    <w:p w:rsidR="00A82907" w:rsidRPr="00496D5B" w:rsidRDefault="00A82907" w:rsidP="00CB0E5D">
      <w:pPr>
        <w:numPr>
          <w:ilvl w:val="0"/>
          <w:numId w:val="1"/>
        </w:numPr>
        <w:jc w:val="both"/>
        <w:rPr>
          <w:sz w:val="22"/>
          <w:szCs w:val="22"/>
        </w:rPr>
      </w:pPr>
      <w:r w:rsidRPr="00496D5B">
        <w:rPr>
          <w:sz w:val="22"/>
          <w:szCs w:val="22"/>
        </w:rPr>
        <w:t>Appendix 2 – I</w:t>
      </w:r>
      <w:r w:rsidR="00496D5B" w:rsidRPr="00496D5B">
        <w:rPr>
          <w:sz w:val="22"/>
          <w:szCs w:val="22"/>
        </w:rPr>
        <w:t>ndicative EFA Pro-forma for 2016/17</w:t>
      </w:r>
    </w:p>
    <w:p w:rsidR="00A82907" w:rsidRPr="00496D5B" w:rsidRDefault="00A82907" w:rsidP="00FA0081">
      <w:pPr>
        <w:numPr>
          <w:ilvl w:val="0"/>
          <w:numId w:val="1"/>
        </w:numPr>
        <w:jc w:val="both"/>
        <w:rPr>
          <w:sz w:val="22"/>
          <w:szCs w:val="22"/>
        </w:rPr>
      </w:pPr>
      <w:r w:rsidRPr="00496D5B">
        <w:rPr>
          <w:sz w:val="22"/>
          <w:szCs w:val="22"/>
        </w:rPr>
        <w:t>Appendix 3 – Consultation Responses Form</w:t>
      </w:r>
    </w:p>
    <w:p w:rsidR="00496D5B" w:rsidRPr="00496D5B" w:rsidRDefault="00496D5B" w:rsidP="00FA0081">
      <w:pPr>
        <w:numPr>
          <w:ilvl w:val="0"/>
          <w:numId w:val="1"/>
        </w:numPr>
        <w:jc w:val="both"/>
        <w:rPr>
          <w:sz w:val="22"/>
          <w:szCs w:val="22"/>
        </w:rPr>
      </w:pPr>
      <w:r w:rsidRPr="00496D5B">
        <w:rPr>
          <w:sz w:val="22"/>
          <w:szCs w:val="22"/>
        </w:rPr>
        <w:t>Appendix 4 – Information on De-Delegated Funds</w:t>
      </w:r>
    </w:p>
    <w:sectPr w:rsidR="00496D5B" w:rsidRPr="00496D5B" w:rsidSect="00834FF4">
      <w:headerReference w:type="default" r:id="rId19"/>
      <w:footerReference w:type="even" r:id="rId20"/>
      <w:footerReference w:type="default" r:id="rId21"/>
      <w:headerReference w:type="first" r:id="rId22"/>
      <w:pgSz w:w="11906" w:h="16838" w:code="9"/>
      <w:pgMar w:top="612" w:right="612" w:bottom="612" w:left="612"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235" w:rsidRDefault="008C1235">
      <w:r>
        <w:separator/>
      </w:r>
    </w:p>
  </w:endnote>
  <w:endnote w:type="continuationSeparator" w:id="0">
    <w:p w:rsidR="008C1235" w:rsidRDefault="008C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rsidP="006021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1235" w:rsidRDefault="008C1235" w:rsidP="006021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Pr="005A16CD" w:rsidRDefault="008C1235" w:rsidP="005A16CD">
    <w:pPr>
      <w:pStyle w:val="Footer"/>
      <w:ind w:right="360"/>
      <w:jc w:val="right"/>
      <w:rPr>
        <w:sz w:val="16"/>
        <w:szCs w:val="16"/>
      </w:rPr>
    </w:pPr>
    <w:r w:rsidRPr="005A16CD">
      <w:rPr>
        <w:sz w:val="16"/>
        <w:szCs w:val="16"/>
      </w:rPr>
      <w:t xml:space="preserve">Page </w:t>
    </w:r>
    <w:r w:rsidRPr="005A16CD">
      <w:rPr>
        <w:sz w:val="16"/>
        <w:szCs w:val="16"/>
      </w:rPr>
      <w:fldChar w:fldCharType="begin"/>
    </w:r>
    <w:r w:rsidRPr="005A16CD">
      <w:rPr>
        <w:sz w:val="16"/>
        <w:szCs w:val="16"/>
      </w:rPr>
      <w:instrText xml:space="preserve"> PAGE </w:instrText>
    </w:r>
    <w:r w:rsidRPr="005A16CD">
      <w:rPr>
        <w:sz w:val="16"/>
        <w:szCs w:val="16"/>
      </w:rPr>
      <w:fldChar w:fldCharType="separate"/>
    </w:r>
    <w:r w:rsidR="00782A6D">
      <w:rPr>
        <w:noProof/>
        <w:sz w:val="16"/>
        <w:szCs w:val="16"/>
      </w:rPr>
      <w:t>7</w:t>
    </w:r>
    <w:r w:rsidRPr="005A16CD">
      <w:rPr>
        <w:sz w:val="16"/>
        <w:szCs w:val="16"/>
      </w:rPr>
      <w:fldChar w:fldCharType="end"/>
    </w:r>
    <w:r w:rsidRPr="005A16CD">
      <w:rPr>
        <w:sz w:val="16"/>
        <w:szCs w:val="16"/>
      </w:rPr>
      <w:t xml:space="preserve"> of </w:t>
    </w:r>
    <w:r w:rsidRPr="005A16CD">
      <w:rPr>
        <w:sz w:val="16"/>
        <w:szCs w:val="16"/>
      </w:rPr>
      <w:fldChar w:fldCharType="begin"/>
    </w:r>
    <w:r w:rsidRPr="005A16CD">
      <w:rPr>
        <w:sz w:val="16"/>
        <w:szCs w:val="16"/>
      </w:rPr>
      <w:instrText xml:space="preserve"> NUMPAGES </w:instrText>
    </w:r>
    <w:r w:rsidRPr="005A16CD">
      <w:rPr>
        <w:sz w:val="16"/>
        <w:szCs w:val="16"/>
      </w:rPr>
      <w:fldChar w:fldCharType="separate"/>
    </w:r>
    <w:r w:rsidR="00782A6D">
      <w:rPr>
        <w:noProof/>
        <w:sz w:val="16"/>
        <w:szCs w:val="16"/>
      </w:rPr>
      <w:t>11</w:t>
    </w:r>
    <w:r w:rsidRPr="005A16C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235" w:rsidRDefault="008C1235">
      <w:r>
        <w:separator/>
      </w:r>
    </w:p>
  </w:footnote>
  <w:footnote w:type="continuationSeparator" w:id="0">
    <w:p w:rsidR="008C1235" w:rsidRDefault="008C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Default="008C1235">
    <w:pPr>
      <w:pStyle w:val="Header"/>
    </w:pPr>
  </w:p>
  <w:p w:rsidR="008C1235" w:rsidRDefault="008C1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5" w:rsidRPr="0051492D" w:rsidRDefault="008C1235" w:rsidP="00182655">
    <w:pPr>
      <w:pStyle w:val="Header"/>
      <w:jc w:val="center"/>
      <w:rPr>
        <w:b/>
        <w:sz w:val="18"/>
        <w:szCs w:val="18"/>
      </w:rPr>
    </w:pPr>
    <w:r w:rsidRPr="00182655">
      <w:rPr>
        <w:b/>
        <w:noProof/>
        <w:sz w:val="18"/>
        <w:szCs w:val="18"/>
        <w:highlight w:val="yellow"/>
      </w:rPr>
      <w:drawing>
        <wp:anchor distT="0" distB="0" distL="114300" distR="114300" simplePos="0" relativeHeight="251660288" behindDoc="0" locked="0" layoutInCell="1" allowOverlap="1" wp14:anchorId="37DA618F" wp14:editId="4FDD8649">
          <wp:simplePos x="0" y="0"/>
          <wp:positionH relativeFrom="column">
            <wp:posOffset>583565</wp:posOffset>
          </wp:positionH>
          <wp:positionV relativeFrom="paragraph">
            <wp:posOffset>-33366</wp:posOffset>
          </wp:positionV>
          <wp:extent cx="6664494" cy="565266"/>
          <wp:effectExtent l="0" t="0" r="3175" b="6350"/>
          <wp:wrapNone/>
          <wp:docPr id="1" name="Picture 1" descr="C:\bmdclogos\banner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logos\bannerbw.jpg"/>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6664494" cy="56526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336C"/>
    <w:multiLevelType w:val="hybridMultilevel"/>
    <w:tmpl w:val="0C14AE42"/>
    <w:lvl w:ilvl="0" w:tplc="271CAD9C">
      <w:start w:val="1"/>
      <w:numFmt w:val="bullet"/>
      <w:lvlText w:val=""/>
      <w:lvlJc w:val="left"/>
      <w:pPr>
        <w:tabs>
          <w:tab w:val="num" w:pos="363"/>
        </w:tabs>
        <w:ind w:left="363" w:hanging="363"/>
      </w:pPr>
      <w:rPr>
        <w:rFonts w:ascii="Symbol" w:hAnsi="Symbol" w:cs="Symbol" w:hint="default"/>
      </w:rPr>
    </w:lvl>
    <w:lvl w:ilvl="1" w:tplc="08090003">
      <w:start w:val="1"/>
      <w:numFmt w:val="bullet"/>
      <w:lvlText w:val="o"/>
      <w:lvlJc w:val="left"/>
      <w:pPr>
        <w:tabs>
          <w:tab w:val="num" w:pos="723"/>
        </w:tabs>
        <w:ind w:left="723" w:hanging="360"/>
      </w:pPr>
      <w:rPr>
        <w:rFonts w:ascii="Courier New" w:hAnsi="Courier New" w:cs="Courier New" w:hint="default"/>
      </w:rPr>
    </w:lvl>
    <w:lvl w:ilvl="2" w:tplc="08090001">
      <w:start w:val="1"/>
      <w:numFmt w:val="bullet"/>
      <w:lvlText w:val=""/>
      <w:lvlJc w:val="left"/>
      <w:pPr>
        <w:tabs>
          <w:tab w:val="num" w:pos="1443"/>
        </w:tabs>
        <w:ind w:left="1443" w:hanging="360"/>
      </w:pPr>
      <w:rPr>
        <w:rFonts w:ascii="Symbol" w:hAnsi="Symbol" w:cs="Symbol" w:hint="default"/>
      </w:rPr>
    </w:lvl>
    <w:lvl w:ilvl="3" w:tplc="08090001" w:tentative="1">
      <w:start w:val="1"/>
      <w:numFmt w:val="bullet"/>
      <w:lvlText w:val=""/>
      <w:lvlJc w:val="left"/>
      <w:pPr>
        <w:tabs>
          <w:tab w:val="num" w:pos="2163"/>
        </w:tabs>
        <w:ind w:left="2163" w:hanging="360"/>
      </w:pPr>
      <w:rPr>
        <w:rFonts w:ascii="Symbol" w:hAnsi="Symbol" w:cs="Symbol" w:hint="default"/>
      </w:rPr>
    </w:lvl>
    <w:lvl w:ilvl="4" w:tplc="08090003" w:tentative="1">
      <w:start w:val="1"/>
      <w:numFmt w:val="bullet"/>
      <w:lvlText w:val="o"/>
      <w:lvlJc w:val="left"/>
      <w:pPr>
        <w:tabs>
          <w:tab w:val="num" w:pos="2883"/>
        </w:tabs>
        <w:ind w:left="2883" w:hanging="360"/>
      </w:pPr>
      <w:rPr>
        <w:rFonts w:ascii="Courier New" w:hAnsi="Courier New" w:cs="Courier New" w:hint="default"/>
      </w:rPr>
    </w:lvl>
    <w:lvl w:ilvl="5" w:tplc="08090005" w:tentative="1">
      <w:start w:val="1"/>
      <w:numFmt w:val="bullet"/>
      <w:lvlText w:val=""/>
      <w:lvlJc w:val="left"/>
      <w:pPr>
        <w:tabs>
          <w:tab w:val="num" w:pos="3603"/>
        </w:tabs>
        <w:ind w:left="3603" w:hanging="360"/>
      </w:pPr>
      <w:rPr>
        <w:rFonts w:ascii="Wingdings" w:hAnsi="Wingdings" w:cs="Wingdings" w:hint="default"/>
      </w:rPr>
    </w:lvl>
    <w:lvl w:ilvl="6" w:tplc="08090001" w:tentative="1">
      <w:start w:val="1"/>
      <w:numFmt w:val="bullet"/>
      <w:lvlText w:val=""/>
      <w:lvlJc w:val="left"/>
      <w:pPr>
        <w:tabs>
          <w:tab w:val="num" w:pos="4323"/>
        </w:tabs>
        <w:ind w:left="4323" w:hanging="360"/>
      </w:pPr>
      <w:rPr>
        <w:rFonts w:ascii="Symbol" w:hAnsi="Symbol" w:cs="Symbol" w:hint="default"/>
      </w:rPr>
    </w:lvl>
    <w:lvl w:ilvl="7" w:tplc="08090003" w:tentative="1">
      <w:start w:val="1"/>
      <w:numFmt w:val="bullet"/>
      <w:lvlText w:val="o"/>
      <w:lvlJc w:val="left"/>
      <w:pPr>
        <w:tabs>
          <w:tab w:val="num" w:pos="5043"/>
        </w:tabs>
        <w:ind w:left="5043" w:hanging="360"/>
      </w:pPr>
      <w:rPr>
        <w:rFonts w:ascii="Courier New" w:hAnsi="Courier New" w:cs="Courier New" w:hint="default"/>
      </w:rPr>
    </w:lvl>
    <w:lvl w:ilvl="8" w:tplc="08090005" w:tentative="1">
      <w:start w:val="1"/>
      <w:numFmt w:val="bullet"/>
      <w:lvlText w:val=""/>
      <w:lvlJc w:val="left"/>
      <w:pPr>
        <w:tabs>
          <w:tab w:val="num" w:pos="5763"/>
        </w:tabs>
        <w:ind w:left="5763" w:hanging="360"/>
      </w:pPr>
      <w:rPr>
        <w:rFonts w:ascii="Wingdings" w:hAnsi="Wingdings" w:cs="Wingdings" w:hint="default"/>
      </w:rPr>
    </w:lvl>
  </w:abstractNum>
  <w:abstractNum w:abstractNumId="1">
    <w:nsid w:val="0AEA5334"/>
    <w:multiLevelType w:val="hybridMultilevel"/>
    <w:tmpl w:val="603095D2"/>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DB16925"/>
    <w:multiLevelType w:val="hybridMultilevel"/>
    <w:tmpl w:val="9234602A"/>
    <w:lvl w:ilvl="0" w:tplc="6DE0AB14">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09C74CA"/>
    <w:multiLevelType w:val="hybridMultilevel"/>
    <w:tmpl w:val="2AA8E1F2"/>
    <w:lvl w:ilvl="0" w:tplc="05642A88">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080"/>
        </w:tabs>
        <w:ind w:left="1080" w:hanging="360"/>
      </w:pPr>
      <w:rPr>
        <w:rFonts w:ascii="Symbol" w:hAnsi="Symbol" w:cs="Symbol"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176A70A5"/>
    <w:multiLevelType w:val="hybridMultilevel"/>
    <w:tmpl w:val="677C8E2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B636716"/>
    <w:multiLevelType w:val="hybridMultilevel"/>
    <w:tmpl w:val="0990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95DDF"/>
    <w:multiLevelType w:val="hybridMultilevel"/>
    <w:tmpl w:val="0AEC7FC2"/>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4C606E9"/>
    <w:multiLevelType w:val="hybridMultilevel"/>
    <w:tmpl w:val="8F68FBD0"/>
    <w:lvl w:ilvl="0" w:tplc="08090003">
      <w:start w:val="1"/>
      <w:numFmt w:val="bullet"/>
      <w:lvlText w:val="o"/>
      <w:lvlJc w:val="left"/>
      <w:pPr>
        <w:tabs>
          <w:tab w:val="num" w:pos="1077"/>
        </w:tabs>
        <w:ind w:left="1077" w:hanging="360"/>
      </w:pPr>
      <w:rPr>
        <w:rFonts w:ascii="Courier New" w:hAnsi="Courier New" w:cs="Courier New"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cs="Wingdings" w:hint="default"/>
      </w:rPr>
    </w:lvl>
    <w:lvl w:ilvl="3" w:tplc="08090001" w:tentative="1">
      <w:start w:val="1"/>
      <w:numFmt w:val="bullet"/>
      <w:lvlText w:val=""/>
      <w:lvlJc w:val="left"/>
      <w:pPr>
        <w:tabs>
          <w:tab w:val="num" w:pos="3237"/>
        </w:tabs>
        <w:ind w:left="3237" w:hanging="360"/>
      </w:pPr>
      <w:rPr>
        <w:rFonts w:ascii="Symbol" w:hAnsi="Symbol" w:cs="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cs="Wingdings" w:hint="default"/>
      </w:rPr>
    </w:lvl>
    <w:lvl w:ilvl="6" w:tplc="08090001" w:tentative="1">
      <w:start w:val="1"/>
      <w:numFmt w:val="bullet"/>
      <w:lvlText w:val=""/>
      <w:lvlJc w:val="left"/>
      <w:pPr>
        <w:tabs>
          <w:tab w:val="num" w:pos="5397"/>
        </w:tabs>
        <w:ind w:left="5397" w:hanging="360"/>
      </w:pPr>
      <w:rPr>
        <w:rFonts w:ascii="Symbol" w:hAnsi="Symbol" w:cs="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cs="Wingdings" w:hint="default"/>
      </w:rPr>
    </w:lvl>
  </w:abstractNum>
  <w:abstractNum w:abstractNumId="8">
    <w:nsid w:val="258931C0"/>
    <w:multiLevelType w:val="hybridMultilevel"/>
    <w:tmpl w:val="B920B07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cs="Symbol"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9">
    <w:nsid w:val="262A5352"/>
    <w:multiLevelType w:val="hybridMultilevel"/>
    <w:tmpl w:val="8056C5F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28660DF6"/>
    <w:multiLevelType w:val="hybridMultilevel"/>
    <w:tmpl w:val="A78E87D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1042BDD"/>
    <w:multiLevelType w:val="hybridMultilevel"/>
    <w:tmpl w:val="E0DE2E04"/>
    <w:lvl w:ilvl="0" w:tplc="15D876A2">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1482691"/>
    <w:multiLevelType w:val="hybridMultilevel"/>
    <w:tmpl w:val="97809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47A53811"/>
    <w:multiLevelType w:val="hybridMultilevel"/>
    <w:tmpl w:val="260E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BF11D54"/>
    <w:multiLevelType w:val="hybridMultilevel"/>
    <w:tmpl w:val="A2D67228"/>
    <w:lvl w:ilvl="0" w:tplc="89564A26">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EBD3B3D"/>
    <w:multiLevelType w:val="multilevel"/>
    <w:tmpl w:val="020C03F4"/>
    <w:lvl w:ilvl="0">
      <w:start w:val="1"/>
      <w:numFmt w:val="bullet"/>
      <w:lvlText w:val=""/>
      <w:lvlJc w:val="left"/>
      <w:pPr>
        <w:tabs>
          <w:tab w:val="num" w:pos="720"/>
        </w:tabs>
        <w:ind w:left="720" w:hanging="36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611A6419"/>
    <w:multiLevelType w:val="hybridMultilevel"/>
    <w:tmpl w:val="D216432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B154460"/>
    <w:multiLevelType w:val="multilevel"/>
    <w:tmpl w:val="A4283ED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CAB2A98"/>
    <w:multiLevelType w:val="hybridMultilevel"/>
    <w:tmpl w:val="9902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BF2825"/>
    <w:multiLevelType w:val="hybridMultilevel"/>
    <w:tmpl w:val="7C3ED8E4"/>
    <w:lvl w:ilvl="0" w:tplc="56E065EE">
      <w:start w:val="1"/>
      <w:numFmt w:val="bullet"/>
      <w:lvlText w:val=""/>
      <w:lvlJc w:val="left"/>
      <w:pPr>
        <w:tabs>
          <w:tab w:val="num" w:pos="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nsid w:val="6F316DF8"/>
    <w:multiLevelType w:val="hybridMultilevel"/>
    <w:tmpl w:val="2F0433E6"/>
    <w:lvl w:ilvl="0" w:tplc="FBC2FE58">
      <w:start w:val="1"/>
      <w:numFmt w:val="bullet"/>
      <w:lvlText w:val=""/>
      <w:lvlJc w:val="left"/>
      <w:pPr>
        <w:tabs>
          <w:tab w:val="num" w:pos="720"/>
        </w:tabs>
        <w:ind w:left="720" w:hanging="363"/>
      </w:pPr>
      <w:rPr>
        <w:rFonts w:ascii="Symbol" w:hAnsi="Symbol" w:cs="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cs="Wingdings" w:hint="default"/>
      </w:rPr>
    </w:lvl>
    <w:lvl w:ilvl="3" w:tplc="08090001" w:tentative="1">
      <w:start w:val="1"/>
      <w:numFmt w:val="bullet"/>
      <w:lvlText w:val=""/>
      <w:lvlJc w:val="left"/>
      <w:pPr>
        <w:tabs>
          <w:tab w:val="num" w:pos="3060"/>
        </w:tabs>
        <w:ind w:left="3060" w:hanging="360"/>
      </w:pPr>
      <w:rPr>
        <w:rFonts w:ascii="Symbol" w:hAnsi="Symbol" w:cs="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cs="Wingdings" w:hint="default"/>
      </w:rPr>
    </w:lvl>
    <w:lvl w:ilvl="6" w:tplc="08090001" w:tentative="1">
      <w:start w:val="1"/>
      <w:numFmt w:val="bullet"/>
      <w:lvlText w:val=""/>
      <w:lvlJc w:val="left"/>
      <w:pPr>
        <w:tabs>
          <w:tab w:val="num" w:pos="5220"/>
        </w:tabs>
        <w:ind w:left="5220" w:hanging="360"/>
      </w:pPr>
      <w:rPr>
        <w:rFonts w:ascii="Symbol" w:hAnsi="Symbol" w:cs="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cs="Wingdings" w:hint="default"/>
      </w:rPr>
    </w:lvl>
  </w:abstractNum>
  <w:abstractNum w:abstractNumId="21">
    <w:nsid w:val="77EB3B23"/>
    <w:multiLevelType w:val="hybridMultilevel"/>
    <w:tmpl w:val="C90EA4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6"/>
  </w:num>
  <w:num w:numId="3">
    <w:abstractNumId w:val="3"/>
  </w:num>
  <w:num w:numId="4">
    <w:abstractNumId w:val="11"/>
  </w:num>
  <w:num w:numId="5">
    <w:abstractNumId w:val="6"/>
  </w:num>
  <w:num w:numId="6">
    <w:abstractNumId w:val="14"/>
  </w:num>
  <w:num w:numId="7">
    <w:abstractNumId w:val="8"/>
  </w:num>
  <w:num w:numId="8">
    <w:abstractNumId w:val="2"/>
  </w:num>
  <w:num w:numId="9">
    <w:abstractNumId w:val="19"/>
  </w:num>
  <w:num w:numId="10">
    <w:abstractNumId w:val="0"/>
  </w:num>
  <w:num w:numId="11">
    <w:abstractNumId w:val="4"/>
  </w:num>
  <w:num w:numId="12">
    <w:abstractNumId w:val="15"/>
  </w:num>
  <w:num w:numId="13">
    <w:abstractNumId w:val="12"/>
  </w:num>
  <w:num w:numId="14">
    <w:abstractNumId w:val="20"/>
  </w:num>
  <w:num w:numId="15">
    <w:abstractNumId w:val="10"/>
  </w:num>
  <w:num w:numId="16">
    <w:abstractNumId w:val="21"/>
  </w:num>
  <w:num w:numId="17">
    <w:abstractNumId w:val="1"/>
  </w:num>
  <w:num w:numId="18">
    <w:abstractNumId w:val="9"/>
  </w:num>
  <w:num w:numId="19">
    <w:abstractNumId w:val="7"/>
  </w:num>
  <w:num w:numId="20">
    <w:abstractNumId w:val="5"/>
  </w:num>
  <w:num w:numId="21">
    <w:abstractNumId w:val="17"/>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60"/>
    <w:rsid w:val="00001B1E"/>
    <w:rsid w:val="000020FC"/>
    <w:rsid w:val="00004A0B"/>
    <w:rsid w:val="00004C3D"/>
    <w:rsid w:val="00004F06"/>
    <w:rsid w:val="0000743C"/>
    <w:rsid w:val="00007D12"/>
    <w:rsid w:val="000100AE"/>
    <w:rsid w:val="00010136"/>
    <w:rsid w:val="00011151"/>
    <w:rsid w:val="000113B8"/>
    <w:rsid w:val="00011454"/>
    <w:rsid w:val="00012B9E"/>
    <w:rsid w:val="0001443F"/>
    <w:rsid w:val="000154FF"/>
    <w:rsid w:val="00015A65"/>
    <w:rsid w:val="00015FCF"/>
    <w:rsid w:val="000164DF"/>
    <w:rsid w:val="00017993"/>
    <w:rsid w:val="00021CED"/>
    <w:rsid w:val="00022408"/>
    <w:rsid w:val="00023626"/>
    <w:rsid w:val="00026FF6"/>
    <w:rsid w:val="00027004"/>
    <w:rsid w:val="00027228"/>
    <w:rsid w:val="00027781"/>
    <w:rsid w:val="00031A34"/>
    <w:rsid w:val="00031A60"/>
    <w:rsid w:val="00035209"/>
    <w:rsid w:val="000374B7"/>
    <w:rsid w:val="000377FB"/>
    <w:rsid w:val="0004049F"/>
    <w:rsid w:val="00040868"/>
    <w:rsid w:val="00042F0A"/>
    <w:rsid w:val="0004335B"/>
    <w:rsid w:val="00044B54"/>
    <w:rsid w:val="00046BDA"/>
    <w:rsid w:val="00047FAF"/>
    <w:rsid w:val="00050D0C"/>
    <w:rsid w:val="000523BF"/>
    <w:rsid w:val="00052E58"/>
    <w:rsid w:val="00054C47"/>
    <w:rsid w:val="00055A0A"/>
    <w:rsid w:val="000613ED"/>
    <w:rsid w:val="00062054"/>
    <w:rsid w:val="00062685"/>
    <w:rsid w:val="00064448"/>
    <w:rsid w:val="00064766"/>
    <w:rsid w:val="00070857"/>
    <w:rsid w:val="000716B7"/>
    <w:rsid w:val="00071E71"/>
    <w:rsid w:val="00072359"/>
    <w:rsid w:val="00074956"/>
    <w:rsid w:val="000751DD"/>
    <w:rsid w:val="000758DA"/>
    <w:rsid w:val="0007644E"/>
    <w:rsid w:val="00076F40"/>
    <w:rsid w:val="0007743F"/>
    <w:rsid w:val="00077692"/>
    <w:rsid w:val="000779A2"/>
    <w:rsid w:val="00077A3E"/>
    <w:rsid w:val="00077FCD"/>
    <w:rsid w:val="0008066D"/>
    <w:rsid w:val="00080DF0"/>
    <w:rsid w:val="000812FE"/>
    <w:rsid w:val="0008253F"/>
    <w:rsid w:val="00082F7B"/>
    <w:rsid w:val="00083EBA"/>
    <w:rsid w:val="000844B7"/>
    <w:rsid w:val="00084D8D"/>
    <w:rsid w:val="0009127F"/>
    <w:rsid w:val="00092007"/>
    <w:rsid w:val="00092859"/>
    <w:rsid w:val="000933C4"/>
    <w:rsid w:val="0009393C"/>
    <w:rsid w:val="00094007"/>
    <w:rsid w:val="000941F4"/>
    <w:rsid w:val="0009431F"/>
    <w:rsid w:val="000960B3"/>
    <w:rsid w:val="0009764F"/>
    <w:rsid w:val="000A0973"/>
    <w:rsid w:val="000A29A0"/>
    <w:rsid w:val="000A3021"/>
    <w:rsid w:val="000A575D"/>
    <w:rsid w:val="000A7A67"/>
    <w:rsid w:val="000B00E0"/>
    <w:rsid w:val="000B261A"/>
    <w:rsid w:val="000B335A"/>
    <w:rsid w:val="000B49CD"/>
    <w:rsid w:val="000B5831"/>
    <w:rsid w:val="000B5879"/>
    <w:rsid w:val="000B5C86"/>
    <w:rsid w:val="000B666C"/>
    <w:rsid w:val="000B71CF"/>
    <w:rsid w:val="000C5082"/>
    <w:rsid w:val="000C5B61"/>
    <w:rsid w:val="000C6786"/>
    <w:rsid w:val="000D0BB4"/>
    <w:rsid w:val="000D1F4F"/>
    <w:rsid w:val="000D2C4E"/>
    <w:rsid w:val="000D2EB5"/>
    <w:rsid w:val="000D35AA"/>
    <w:rsid w:val="000D3D15"/>
    <w:rsid w:val="000D3F1E"/>
    <w:rsid w:val="000D4FAA"/>
    <w:rsid w:val="000E0DDF"/>
    <w:rsid w:val="000E53AB"/>
    <w:rsid w:val="000E5FFA"/>
    <w:rsid w:val="000E66AB"/>
    <w:rsid w:val="000E7BB8"/>
    <w:rsid w:val="000F00EF"/>
    <w:rsid w:val="000F069A"/>
    <w:rsid w:val="000F29CA"/>
    <w:rsid w:val="000F2B1C"/>
    <w:rsid w:val="000F2EE2"/>
    <w:rsid w:val="000F47F0"/>
    <w:rsid w:val="000F5C8B"/>
    <w:rsid w:val="000F7BF2"/>
    <w:rsid w:val="00100B06"/>
    <w:rsid w:val="0010102A"/>
    <w:rsid w:val="0010144C"/>
    <w:rsid w:val="00101FAD"/>
    <w:rsid w:val="00103A4E"/>
    <w:rsid w:val="00103FBD"/>
    <w:rsid w:val="0010474D"/>
    <w:rsid w:val="001050AF"/>
    <w:rsid w:val="00105FDD"/>
    <w:rsid w:val="00106007"/>
    <w:rsid w:val="001060A4"/>
    <w:rsid w:val="0010656E"/>
    <w:rsid w:val="001067BE"/>
    <w:rsid w:val="00110248"/>
    <w:rsid w:val="00111279"/>
    <w:rsid w:val="0011373D"/>
    <w:rsid w:val="00114A65"/>
    <w:rsid w:val="00115FD6"/>
    <w:rsid w:val="001166B7"/>
    <w:rsid w:val="00116D53"/>
    <w:rsid w:val="00117497"/>
    <w:rsid w:val="00121302"/>
    <w:rsid w:val="001218F9"/>
    <w:rsid w:val="001227DE"/>
    <w:rsid w:val="001229F0"/>
    <w:rsid w:val="00122CFB"/>
    <w:rsid w:val="00123036"/>
    <w:rsid w:val="00123245"/>
    <w:rsid w:val="00123BC8"/>
    <w:rsid w:val="00124183"/>
    <w:rsid w:val="0012642A"/>
    <w:rsid w:val="001268F4"/>
    <w:rsid w:val="00127997"/>
    <w:rsid w:val="00127C54"/>
    <w:rsid w:val="00132419"/>
    <w:rsid w:val="00132C22"/>
    <w:rsid w:val="0013381F"/>
    <w:rsid w:val="00134905"/>
    <w:rsid w:val="001349C0"/>
    <w:rsid w:val="0013558B"/>
    <w:rsid w:val="00140573"/>
    <w:rsid w:val="00142275"/>
    <w:rsid w:val="00142618"/>
    <w:rsid w:val="00142D4E"/>
    <w:rsid w:val="00143D7F"/>
    <w:rsid w:val="001445DE"/>
    <w:rsid w:val="001457EC"/>
    <w:rsid w:val="00145FE1"/>
    <w:rsid w:val="00147819"/>
    <w:rsid w:val="00147CA9"/>
    <w:rsid w:val="001515BC"/>
    <w:rsid w:val="00152423"/>
    <w:rsid w:val="0015260E"/>
    <w:rsid w:val="00152633"/>
    <w:rsid w:val="00153192"/>
    <w:rsid w:val="00153F57"/>
    <w:rsid w:val="001554CC"/>
    <w:rsid w:val="00155557"/>
    <w:rsid w:val="00155ACA"/>
    <w:rsid w:val="0015659B"/>
    <w:rsid w:val="0015775B"/>
    <w:rsid w:val="00157A23"/>
    <w:rsid w:val="00157A6F"/>
    <w:rsid w:val="00157E8E"/>
    <w:rsid w:val="001601AB"/>
    <w:rsid w:val="001604F1"/>
    <w:rsid w:val="00160811"/>
    <w:rsid w:val="0016083A"/>
    <w:rsid w:val="001610B9"/>
    <w:rsid w:val="00164A0D"/>
    <w:rsid w:val="00165AE9"/>
    <w:rsid w:val="00166EB0"/>
    <w:rsid w:val="00167385"/>
    <w:rsid w:val="00167D05"/>
    <w:rsid w:val="0017058A"/>
    <w:rsid w:val="00171C76"/>
    <w:rsid w:val="00172102"/>
    <w:rsid w:val="0017248A"/>
    <w:rsid w:val="00172E20"/>
    <w:rsid w:val="00173E2D"/>
    <w:rsid w:val="0018172B"/>
    <w:rsid w:val="00181F5C"/>
    <w:rsid w:val="00182655"/>
    <w:rsid w:val="00183B6B"/>
    <w:rsid w:val="00185006"/>
    <w:rsid w:val="001855CD"/>
    <w:rsid w:val="001857BD"/>
    <w:rsid w:val="0018590F"/>
    <w:rsid w:val="001916D9"/>
    <w:rsid w:val="0019224A"/>
    <w:rsid w:val="00192945"/>
    <w:rsid w:val="001945BA"/>
    <w:rsid w:val="0019502A"/>
    <w:rsid w:val="00195135"/>
    <w:rsid w:val="00195381"/>
    <w:rsid w:val="001969E4"/>
    <w:rsid w:val="00197BF6"/>
    <w:rsid w:val="001A2540"/>
    <w:rsid w:val="001A310E"/>
    <w:rsid w:val="001A482A"/>
    <w:rsid w:val="001A55D5"/>
    <w:rsid w:val="001A6729"/>
    <w:rsid w:val="001B0B70"/>
    <w:rsid w:val="001B0F2B"/>
    <w:rsid w:val="001B105F"/>
    <w:rsid w:val="001B28CB"/>
    <w:rsid w:val="001B5029"/>
    <w:rsid w:val="001B58D8"/>
    <w:rsid w:val="001B6BE7"/>
    <w:rsid w:val="001B6C65"/>
    <w:rsid w:val="001B7035"/>
    <w:rsid w:val="001B7964"/>
    <w:rsid w:val="001C0909"/>
    <w:rsid w:val="001C1330"/>
    <w:rsid w:val="001C1414"/>
    <w:rsid w:val="001C2D62"/>
    <w:rsid w:val="001C3834"/>
    <w:rsid w:val="001C3AAC"/>
    <w:rsid w:val="001C3B3A"/>
    <w:rsid w:val="001C3FF2"/>
    <w:rsid w:val="001C51DB"/>
    <w:rsid w:val="001C597E"/>
    <w:rsid w:val="001C5C36"/>
    <w:rsid w:val="001C7AC3"/>
    <w:rsid w:val="001D0040"/>
    <w:rsid w:val="001D1FA6"/>
    <w:rsid w:val="001D2BBE"/>
    <w:rsid w:val="001D3E2D"/>
    <w:rsid w:val="001D3F54"/>
    <w:rsid w:val="001D4F30"/>
    <w:rsid w:val="001D5B40"/>
    <w:rsid w:val="001D5F42"/>
    <w:rsid w:val="001D6702"/>
    <w:rsid w:val="001D6C96"/>
    <w:rsid w:val="001E0972"/>
    <w:rsid w:val="001E20EE"/>
    <w:rsid w:val="001E22F1"/>
    <w:rsid w:val="001E24E2"/>
    <w:rsid w:val="001E2AA7"/>
    <w:rsid w:val="001E3114"/>
    <w:rsid w:val="001E4002"/>
    <w:rsid w:val="001E49A5"/>
    <w:rsid w:val="001E49AF"/>
    <w:rsid w:val="001E748E"/>
    <w:rsid w:val="001E7C15"/>
    <w:rsid w:val="001F0198"/>
    <w:rsid w:val="001F1767"/>
    <w:rsid w:val="001F18E1"/>
    <w:rsid w:val="001F3BCC"/>
    <w:rsid w:val="001F4F7C"/>
    <w:rsid w:val="001F63E2"/>
    <w:rsid w:val="001F6BFE"/>
    <w:rsid w:val="001F6C0A"/>
    <w:rsid w:val="002005D9"/>
    <w:rsid w:val="00201131"/>
    <w:rsid w:val="002023C4"/>
    <w:rsid w:val="00204672"/>
    <w:rsid w:val="00204B5D"/>
    <w:rsid w:val="0020506B"/>
    <w:rsid w:val="002072E4"/>
    <w:rsid w:val="00207BA5"/>
    <w:rsid w:val="00210BFF"/>
    <w:rsid w:val="00213231"/>
    <w:rsid w:val="00213651"/>
    <w:rsid w:val="0021521E"/>
    <w:rsid w:val="00216282"/>
    <w:rsid w:val="00220803"/>
    <w:rsid w:val="00220E9B"/>
    <w:rsid w:val="00221F37"/>
    <w:rsid w:val="00223BB6"/>
    <w:rsid w:val="00225393"/>
    <w:rsid w:val="0022594D"/>
    <w:rsid w:val="00226D3F"/>
    <w:rsid w:val="0022754B"/>
    <w:rsid w:val="00227854"/>
    <w:rsid w:val="00227C4C"/>
    <w:rsid w:val="002301C7"/>
    <w:rsid w:val="00230ED7"/>
    <w:rsid w:val="0023364B"/>
    <w:rsid w:val="00234337"/>
    <w:rsid w:val="0023591E"/>
    <w:rsid w:val="00235DDD"/>
    <w:rsid w:val="002404A5"/>
    <w:rsid w:val="002411F4"/>
    <w:rsid w:val="0024246E"/>
    <w:rsid w:val="0024400E"/>
    <w:rsid w:val="00245270"/>
    <w:rsid w:val="002455E7"/>
    <w:rsid w:val="00246DB4"/>
    <w:rsid w:val="00246EE9"/>
    <w:rsid w:val="00247744"/>
    <w:rsid w:val="0025021A"/>
    <w:rsid w:val="00250898"/>
    <w:rsid w:val="00250C21"/>
    <w:rsid w:val="00251536"/>
    <w:rsid w:val="0025354F"/>
    <w:rsid w:val="00255264"/>
    <w:rsid w:val="00257355"/>
    <w:rsid w:val="00260509"/>
    <w:rsid w:val="00260A64"/>
    <w:rsid w:val="00261B5F"/>
    <w:rsid w:val="0026264C"/>
    <w:rsid w:val="002634A9"/>
    <w:rsid w:val="00263E1A"/>
    <w:rsid w:val="00266CB2"/>
    <w:rsid w:val="00267A4D"/>
    <w:rsid w:val="00270E91"/>
    <w:rsid w:val="00271C8B"/>
    <w:rsid w:val="002736F6"/>
    <w:rsid w:val="00274DF1"/>
    <w:rsid w:val="00275968"/>
    <w:rsid w:val="0027665B"/>
    <w:rsid w:val="00280694"/>
    <w:rsid w:val="002807D2"/>
    <w:rsid w:val="00280C6D"/>
    <w:rsid w:val="00281155"/>
    <w:rsid w:val="002819EF"/>
    <w:rsid w:val="0028240A"/>
    <w:rsid w:val="002827DF"/>
    <w:rsid w:val="00290D00"/>
    <w:rsid w:val="00291AFE"/>
    <w:rsid w:val="00291B4C"/>
    <w:rsid w:val="00291C8E"/>
    <w:rsid w:val="002923BD"/>
    <w:rsid w:val="00292876"/>
    <w:rsid w:val="00293650"/>
    <w:rsid w:val="00293B0C"/>
    <w:rsid w:val="0029567E"/>
    <w:rsid w:val="0029698C"/>
    <w:rsid w:val="00296C94"/>
    <w:rsid w:val="002A12CC"/>
    <w:rsid w:val="002A1D06"/>
    <w:rsid w:val="002A2406"/>
    <w:rsid w:val="002A35E6"/>
    <w:rsid w:val="002A3A74"/>
    <w:rsid w:val="002A3A92"/>
    <w:rsid w:val="002A410E"/>
    <w:rsid w:val="002A462C"/>
    <w:rsid w:val="002A4BBB"/>
    <w:rsid w:val="002A5819"/>
    <w:rsid w:val="002A5A7C"/>
    <w:rsid w:val="002A68D3"/>
    <w:rsid w:val="002A7382"/>
    <w:rsid w:val="002A751E"/>
    <w:rsid w:val="002A7D9E"/>
    <w:rsid w:val="002B0BE8"/>
    <w:rsid w:val="002B0FC7"/>
    <w:rsid w:val="002B107F"/>
    <w:rsid w:val="002B156A"/>
    <w:rsid w:val="002B185F"/>
    <w:rsid w:val="002B1DD5"/>
    <w:rsid w:val="002B2E9E"/>
    <w:rsid w:val="002B37C2"/>
    <w:rsid w:val="002B772E"/>
    <w:rsid w:val="002C0E85"/>
    <w:rsid w:val="002C4764"/>
    <w:rsid w:val="002C507F"/>
    <w:rsid w:val="002C6296"/>
    <w:rsid w:val="002C70BD"/>
    <w:rsid w:val="002D0053"/>
    <w:rsid w:val="002D063D"/>
    <w:rsid w:val="002D4BB5"/>
    <w:rsid w:val="002D6848"/>
    <w:rsid w:val="002E104E"/>
    <w:rsid w:val="002E1071"/>
    <w:rsid w:val="002E1439"/>
    <w:rsid w:val="002E14F2"/>
    <w:rsid w:val="002E2847"/>
    <w:rsid w:val="002E43C1"/>
    <w:rsid w:val="002E4A7A"/>
    <w:rsid w:val="002E5ED3"/>
    <w:rsid w:val="002E603E"/>
    <w:rsid w:val="002E642A"/>
    <w:rsid w:val="002E7FE4"/>
    <w:rsid w:val="002F0E82"/>
    <w:rsid w:val="002F162F"/>
    <w:rsid w:val="002F3018"/>
    <w:rsid w:val="002F5063"/>
    <w:rsid w:val="002F5D68"/>
    <w:rsid w:val="002F6A73"/>
    <w:rsid w:val="002F7A8C"/>
    <w:rsid w:val="002F7E9C"/>
    <w:rsid w:val="002F7FA9"/>
    <w:rsid w:val="00300437"/>
    <w:rsid w:val="00300F65"/>
    <w:rsid w:val="003029D2"/>
    <w:rsid w:val="00305456"/>
    <w:rsid w:val="00305B67"/>
    <w:rsid w:val="00316111"/>
    <w:rsid w:val="00322EDE"/>
    <w:rsid w:val="00323970"/>
    <w:rsid w:val="0032430C"/>
    <w:rsid w:val="003268EF"/>
    <w:rsid w:val="003269A1"/>
    <w:rsid w:val="00327A23"/>
    <w:rsid w:val="00330755"/>
    <w:rsid w:val="0033398A"/>
    <w:rsid w:val="00333E61"/>
    <w:rsid w:val="003342CE"/>
    <w:rsid w:val="00334D57"/>
    <w:rsid w:val="00335FB3"/>
    <w:rsid w:val="00337DAB"/>
    <w:rsid w:val="0034031B"/>
    <w:rsid w:val="003417E3"/>
    <w:rsid w:val="00341E69"/>
    <w:rsid w:val="003421B9"/>
    <w:rsid w:val="00343EE3"/>
    <w:rsid w:val="0034439D"/>
    <w:rsid w:val="003452D0"/>
    <w:rsid w:val="003476B9"/>
    <w:rsid w:val="00347BED"/>
    <w:rsid w:val="00353167"/>
    <w:rsid w:val="003532E4"/>
    <w:rsid w:val="00354CA2"/>
    <w:rsid w:val="0035569E"/>
    <w:rsid w:val="003629CA"/>
    <w:rsid w:val="0036346D"/>
    <w:rsid w:val="00363644"/>
    <w:rsid w:val="00363E33"/>
    <w:rsid w:val="00363E8C"/>
    <w:rsid w:val="003665F3"/>
    <w:rsid w:val="003709B7"/>
    <w:rsid w:val="00371117"/>
    <w:rsid w:val="003711C2"/>
    <w:rsid w:val="003720D9"/>
    <w:rsid w:val="00372EB7"/>
    <w:rsid w:val="00373A59"/>
    <w:rsid w:val="00374519"/>
    <w:rsid w:val="0037731F"/>
    <w:rsid w:val="00377493"/>
    <w:rsid w:val="003809C5"/>
    <w:rsid w:val="0038131A"/>
    <w:rsid w:val="003816A8"/>
    <w:rsid w:val="00381CFE"/>
    <w:rsid w:val="003837CD"/>
    <w:rsid w:val="0038384C"/>
    <w:rsid w:val="0038413F"/>
    <w:rsid w:val="00385110"/>
    <w:rsid w:val="00385703"/>
    <w:rsid w:val="0038570C"/>
    <w:rsid w:val="00385F3D"/>
    <w:rsid w:val="003860C6"/>
    <w:rsid w:val="0039011D"/>
    <w:rsid w:val="00390981"/>
    <w:rsid w:val="003909A9"/>
    <w:rsid w:val="00390AF7"/>
    <w:rsid w:val="00391423"/>
    <w:rsid w:val="00391AB2"/>
    <w:rsid w:val="0039321B"/>
    <w:rsid w:val="0039363D"/>
    <w:rsid w:val="0039396F"/>
    <w:rsid w:val="00395298"/>
    <w:rsid w:val="00395A69"/>
    <w:rsid w:val="00396EA2"/>
    <w:rsid w:val="00397FF0"/>
    <w:rsid w:val="003A0110"/>
    <w:rsid w:val="003A0A8C"/>
    <w:rsid w:val="003A36BC"/>
    <w:rsid w:val="003A376B"/>
    <w:rsid w:val="003A3925"/>
    <w:rsid w:val="003A7DD5"/>
    <w:rsid w:val="003B2527"/>
    <w:rsid w:val="003B2DB1"/>
    <w:rsid w:val="003C010F"/>
    <w:rsid w:val="003C2AEC"/>
    <w:rsid w:val="003C5A05"/>
    <w:rsid w:val="003C6B60"/>
    <w:rsid w:val="003C71C9"/>
    <w:rsid w:val="003D0B57"/>
    <w:rsid w:val="003D0D64"/>
    <w:rsid w:val="003D10C9"/>
    <w:rsid w:val="003D1379"/>
    <w:rsid w:val="003D30F8"/>
    <w:rsid w:val="003D53D3"/>
    <w:rsid w:val="003D601C"/>
    <w:rsid w:val="003D685F"/>
    <w:rsid w:val="003E18B5"/>
    <w:rsid w:val="003E1F3C"/>
    <w:rsid w:val="003E33B5"/>
    <w:rsid w:val="003E379F"/>
    <w:rsid w:val="003E3889"/>
    <w:rsid w:val="003E4BF4"/>
    <w:rsid w:val="003E5CEF"/>
    <w:rsid w:val="003E6377"/>
    <w:rsid w:val="003E6381"/>
    <w:rsid w:val="003E6B2E"/>
    <w:rsid w:val="003F29DB"/>
    <w:rsid w:val="003F31E3"/>
    <w:rsid w:val="003F3CDE"/>
    <w:rsid w:val="003F608E"/>
    <w:rsid w:val="003F6C31"/>
    <w:rsid w:val="003F75E9"/>
    <w:rsid w:val="003F7B7E"/>
    <w:rsid w:val="003F7DEB"/>
    <w:rsid w:val="003F7F19"/>
    <w:rsid w:val="0040291B"/>
    <w:rsid w:val="00402B05"/>
    <w:rsid w:val="00402CFF"/>
    <w:rsid w:val="0040340B"/>
    <w:rsid w:val="0040360C"/>
    <w:rsid w:val="00406F80"/>
    <w:rsid w:val="00412471"/>
    <w:rsid w:val="004129E2"/>
    <w:rsid w:val="0041627C"/>
    <w:rsid w:val="004163A3"/>
    <w:rsid w:val="00421275"/>
    <w:rsid w:val="00422281"/>
    <w:rsid w:val="00422A39"/>
    <w:rsid w:val="00422B7B"/>
    <w:rsid w:val="00423218"/>
    <w:rsid w:val="00425CA9"/>
    <w:rsid w:val="004276B8"/>
    <w:rsid w:val="00430BDD"/>
    <w:rsid w:val="00430D3B"/>
    <w:rsid w:val="00431582"/>
    <w:rsid w:val="004324F7"/>
    <w:rsid w:val="004357FA"/>
    <w:rsid w:val="00436D33"/>
    <w:rsid w:val="00440811"/>
    <w:rsid w:val="00443544"/>
    <w:rsid w:val="0044733F"/>
    <w:rsid w:val="00451A21"/>
    <w:rsid w:val="00452F78"/>
    <w:rsid w:val="00453FC2"/>
    <w:rsid w:val="00455169"/>
    <w:rsid w:val="004554F5"/>
    <w:rsid w:val="004570DD"/>
    <w:rsid w:val="004574FB"/>
    <w:rsid w:val="00460508"/>
    <w:rsid w:val="00460850"/>
    <w:rsid w:val="004622C4"/>
    <w:rsid w:val="0046259B"/>
    <w:rsid w:val="00462B96"/>
    <w:rsid w:val="0046307C"/>
    <w:rsid w:val="00465830"/>
    <w:rsid w:val="00466CD6"/>
    <w:rsid w:val="00466FFF"/>
    <w:rsid w:val="0046795E"/>
    <w:rsid w:val="00470FC1"/>
    <w:rsid w:val="004718CA"/>
    <w:rsid w:val="00471C61"/>
    <w:rsid w:val="0047295B"/>
    <w:rsid w:val="004744A5"/>
    <w:rsid w:val="004757E3"/>
    <w:rsid w:val="00475845"/>
    <w:rsid w:val="00475DB7"/>
    <w:rsid w:val="0047661C"/>
    <w:rsid w:val="00476835"/>
    <w:rsid w:val="00480A9C"/>
    <w:rsid w:val="00481896"/>
    <w:rsid w:val="004823E6"/>
    <w:rsid w:val="00483ECA"/>
    <w:rsid w:val="0048495E"/>
    <w:rsid w:val="00485262"/>
    <w:rsid w:val="00485363"/>
    <w:rsid w:val="004869F3"/>
    <w:rsid w:val="00486D52"/>
    <w:rsid w:val="004870FC"/>
    <w:rsid w:val="00487419"/>
    <w:rsid w:val="004903C2"/>
    <w:rsid w:val="0049693A"/>
    <w:rsid w:val="00496D5B"/>
    <w:rsid w:val="004A0858"/>
    <w:rsid w:val="004A2D2D"/>
    <w:rsid w:val="004A2D8D"/>
    <w:rsid w:val="004A3B6F"/>
    <w:rsid w:val="004A47A5"/>
    <w:rsid w:val="004A53A8"/>
    <w:rsid w:val="004A59A8"/>
    <w:rsid w:val="004A5A48"/>
    <w:rsid w:val="004B175A"/>
    <w:rsid w:val="004B2133"/>
    <w:rsid w:val="004B27C9"/>
    <w:rsid w:val="004B41D8"/>
    <w:rsid w:val="004B49DA"/>
    <w:rsid w:val="004B5044"/>
    <w:rsid w:val="004B5E1E"/>
    <w:rsid w:val="004B5FBD"/>
    <w:rsid w:val="004B798D"/>
    <w:rsid w:val="004B7BCF"/>
    <w:rsid w:val="004B7F93"/>
    <w:rsid w:val="004C19B8"/>
    <w:rsid w:val="004C1A14"/>
    <w:rsid w:val="004C2A46"/>
    <w:rsid w:val="004C3342"/>
    <w:rsid w:val="004C6E70"/>
    <w:rsid w:val="004D03FF"/>
    <w:rsid w:val="004D226E"/>
    <w:rsid w:val="004D22E6"/>
    <w:rsid w:val="004D2D0D"/>
    <w:rsid w:val="004D3B51"/>
    <w:rsid w:val="004D53E1"/>
    <w:rsid w:val="004D669A"/>
    <w:rsid w:val="004D715F"/>
    <w:rsid w:val="004D72C7"/>
    <w:rsid w:val="004D74CA"/>
    <w:rsid w:val="004E017A"/>
    <w:rsid w:val="004E1494"/>
    <w:rsid w:val="004E24FC"/>
    <w:rsid w:val="004E2B9D"/>
    <w:rsid w:val="004E36B7"/>
    <w:rsid w:val="004E4C3B"/>
    <w:rsid w:val="004E583B"/>
    <w:rsid w:val="004E6484"/>
    <w:rsid w:val="004E6DE5"/>
    <w:rsid w:val="004E72C6"/>
    <w:rsid w:val="004E7403"/>
    <w:rsid w:val="004F0D42"/>
    <w:rsid w:val="004F14E1"/>
    <w:rsid w:val="004F1DEF"/>
    <w:rsid w:val="004F29CF"/>
    <w:rsid w:val="004F2D70"/>
    <w:rsid w:val="004F4978"/>
    <w:rsid w:val="004F5DB7"/>
    <w:rsid w:val="004F7C1A"/>
    <w:rsid w:val="00500190"/>
    <w:rsid w:val="0050019E"/>
    <w:rsid w:val="0050452E"/>
    <w:rsid w:val="00504732"/>
    <w:rsid w:val="00506AEB"/>
    <w:rsid w:val="00507C4F"/>
    <w:rsid w:val="00511167"/>
    <w:rsid w:val="00511B2F"/>
    <w:rsid w:val="00512F5A"/>
    <w:rsid w:val="00513526"/>
    <w:rsid w:val="00513612"/>
    <w:rsid w:val="005146B2"/>
    <w:rsid w:val="0051492D"/>
    <w:rsid w:val="00520BDE"/>
    <w:rsid w:val="005211C3"/>
    <w:rsid w:val="00522F33"/>
    <w:rsid w:val="005230F8"/>
    <w:rsid w:val="005232A2"/>
    <w:rsid w:val="0052431B"/>
    <w:rsid w:val="00524F9C"/>
    <w:rsid w:val="00525DBB"/>
    <w:rsid w:val="00526236"/>
    <w:rsid w:val="005276A8"/>
    <w:rsid w:val="00527CFB"/>
    <w:rsid w:val="005309CF"/>
    <w:rsid w:val="00531C1F"/>
    <w:rsid w:val="00531DB7"/>
    <w:rsid w:val="005327FB"/>
    <w:rsid w:val="00536219"/>
    <w:rsid w:val="00536922"/>
    <w:rsid w:val="00536EEE"/>
    <w:rsid w:val="0053732D"/>
    <w:rsid w:val="00537942"/>
    <w:rsid w:val="0054150A"/>
    <w:rsid w:val="005418CE"/>
    <w:rsid w:val="0054287E"/>
    <w:rsid w:val="0054368B"/>
    <w:rsid w:val="00546FF3"/>
    <w:rsid w:val="00550AC8"/>
    <w:rsid w:val="0055132E"/>
    <w:rsid w:val="00552A12"/>
    <w:rsid w:val="005535FE"/>
    <w:rsid w:val="00553C67"/>
    <w:rsid w:val="0055420E"/>
    <w:rsid w:val="00556D2F"/>
    <w:rsid w:val="00560474"/>
    <w:rsid w:val="005623F5"/>
    <w:rsid w:val="00562A17"/>
    <w:rsid w:val="00563251"/>
    <w:rsid w:val="00565B94"/>
    <w:rsid w:val="00566CC5"/>
    <w:rsid w:val="00567C27"/>
    <w:rsid w:val="00571871"/>
    <w:rsid w:val="00573886"/>
    <w:rsid w:val="00576467"/>
    <w:rsid w:val="005767D3"/>
    <w:rsid w:val="0058052D"/>
    <w:rsid w:val="00580D88"/>
    <w:rsid w:val="00581D01"/>
    <w:rsid w:val="0058331A"/>
    <w:rsid w:val="00583F83"/>
    <w:rsid w:val="0058636C"/>
    <w:rsid w:val="00591099"/>
    <w:rsid w:val="00591317"/>
    <w:rsid w:val="005919D6"/>
    <w:rsid w:val="00592124"/>
    <w:rsid w:val="00592226"/>
    <w:rsid w:val="00592711"/>
    <w:rsid w:val="005928E2"/>
    <w:rsid w:val="005937C2"/>
    <w:rsid w:val="005940D5"/>
    <w:rsid w:val="00594A69"/>
    <w:rsid w:val="00597E74"/>
    <w:rsid w:val="005A16CD"/>
    <w:rsid w:val="005A1F8D"/>
    <w:rsid w:val="005A2827"/>
    <w:rsid w:val="005A3714"/>
    <w:rsid w:val="005A4462"/>
    <w:rsid w:val="005A56CA"/>
    <w:rsid w:val="005A7B23"/>
    <w:rsid w:val="005B058D"/>
    <w:rsid w:val="005B1228"/>
    <w:rsid w:val="005B1B64"/>
    <w:rsid w:val="005B2842"/>
    <w:rsid w:val="005B473F"/>
    <w:rsid w:val="005B5A35"/>
    <w:rsid w:val="005B7192"/>
    <w:rsid w:val="005C2D2C"/>
    <w:rsid w:val="005C3D0C"/>
    <w:rsid w:val="005C43A0"/>
    <w:rsid w:val="005C5506"/>
    <w:rsid w:val="005C57B9"/>
    <w:rsid w:val="005C5A92"/>
    <w:rsid w:val="005C7E49"/>
    <w:rsid w:val="005D019D"/>
    <w:rsid w:val="005D0F7C"/>
    <w:rsid w:val="005D156B"/>
    <w:rsid w:val="005D562C"/>
    <w:rsid w:val="005D5951"/>
    <w:rsid w:val="005D595F"/>
    <w:rsid w:val="005D59E3"/>
    <w:rsid w:val="005E2390"/>
    <w:rsid w:val="005E25F7"/>
    <w:rsid w:val="005E2ED6"/>
    <w:rsid w:val="005E3007"/>
    <w:rsid w:val="005E4549"/>
    <w:rsid w:val="005E46BD"/>
    <w:rsid w:val="005E629D"/>
    <w:rsid w:val="005E6909"/>
    <w:rsid w:val="005F08D8"/>
    <w:rsid w:val="005F2735"/>
    <w:rsid w:val="005F442F"/>
    <w:rsid w:val="005F46C9"/>
    <w:rsid w:val="005F4C12"/>
    <w:rsid w:val="005F571D"/>
    <w:rsid w:val="005F65F2"/>
    <w:rsid w:val="005F6B9B"/>
    <w:rsid w:val="005F779A"/>
    <w:rsid w:val="0060176A"/>
    <w:rsid w:val="006021EE"/>
    <w:rsid w:val="0060289A"/>
    <w:rsid w:val="00602BCB"/>
    <w:rsid w:val="006035B6"/>
    <w:rsid w:val="00603BBC"/>
    <w:rsid w:val="00605203"/>
    <w:rsid w:val="00605FFA"/>
    <w:rsid w:val="006072E9"/>
    <w:rsid w:val="006110AD"/>
    <w:rsid w:val="0061111A"/>
    <w:rsid w:val="00612E39"/>
    <w:rsid w:val="00612F69"/>
    <w:rsid w:val="006147B6"/>
    <w:rsid w:val="00615ED0"/>
    <w:rsid w:val="00617922"/>
    <w:rsid w:val="0062087A"/>
    <w:rsid w:val="00621B2F"/>
    <w:rsid w:val="00622224"/>
    <w:rsid w:val="00622502"/>
    <w:rsid w:val="00624934"/>
    <w:rsid w:val="00625C9C"/>
    <w:rsid w:val="00626512"/>
    <w:rsid w:val="00627A12"/>
    <w:rsid w:val="0063342D"/>
    <w:rsid w:val="00633E2E"/>
    <w:rsid w:val="00635589"/>
    <w:rsid w:val="00635AC9"/>
    <w:rsid w:val="00635D41"/>
    <w:rsid w:val="00640732"/>
    <w:rsid w:val="00640E62"/>
    <w:rsid w:val="00641978"/>
    <w:rsid w:val="0064372F"/>
    <w:rsid w:val="00645F69"/>
    <w:rsid w:val="0064608E"/>
    <w:rsid w:val="006464F5"/>
    <w:rsid w:val="00646D7B"/>
    <w:rsid w:val="00647CA2"/>
    <w:rsid w:val="00651CFC"/>
    <w:rsid w:val="00652066"/>
    <w:rsid w:val="0065342F"/>
    <w:rsid w:val="00653724"/>
    <w:rsid w:val="00653BB4"/>
    <w:rsid w:val="00654538"/>
    <w:rsid w:val="00654B35"/>
    <w:rsid w:val="006555EA"/>
    <w:rsid w:val="006556E8"/>
    <w:rsid w:val="00655DF7"/>
    <w:rsid w:val="006560D5"/>
    <w:rsid w:val="00656D09"/>
    <w:rsid w:val="006579E1"/>
    <w:rsid w:val="006607CA"/>
    <w:rsid w:val="00660BC8"/>
    <w:rsid w:val="00660F10"/>
    <w:rsid w:val="006612F9"/>
    <w:rsid w:val="0066155C"/>
    <w:rsid w:val="0066232A"/>
    <w:rsid w:val="00662697"/>
    <w:rsid w:val="0066696B"/>
    <w:rsid w:val="006707DC"/>
    <w:rsid w:val="00670A8B"/>
    <w:rsid w:val="0067144F"/>
    <w:rsid w:val="00672558"/>
    <w:rsid w:val="006727F1"/>
    <w:rsid w:val="00672D1E"/>
    <w:rsid w:val="00673965"/>
    <w:rsid w:val="00673C66"/>
    <w:rsid w:val="00674C2B"/>
    <w:rsid w:val="0067552F"/>
    <w:rsid w:val="00675711"/>
    <w:rsid w:val="006774B0"/>
    <w:rsid w:val="00677EC3"/>
    <w:rsid w:val="00680347"/>
    <w:rsid w:val="0068123C"/>
    <w:rsid w:val="00684A82"/>
    <w:rsid w:val="00685317"/>
    <w:rsid w:val="0068569E"/>
    <w:rsid w:val="00685EB0"/>
    <w:rsid w:val="00686FEC"/>
    <w:rsid w:val="00687E32"/>
    <w:rsid w:val="00690B3D"/>
    <w:rsid w:val="006911FB"/>
    <w:rsid w:val="00692D8D"/>
    <w:rsid w:val="006936AC"/>
    <w:rsid w:val="0069375B"/>
    <w:rsid w:val="006938A4"/>
    <w:rsid w:val="00693CAB"/>
    <w:rsid w:val="00693FFC"/>
    <w:rsid w:val="0069458D"/>
    <w:rsid w:val="00695603"/>
    <w:rsid w:val="00695B46"/>
    <w:rsid w:val="0069745E"/>
    <w:rsid w:val="006A3058"/>
    <w:rsid w:val="006A44FF"/>
    <w:rsid w:val="006A4D63"/>
    <w:rsid w:val="006A5B76"/>
    <w:rsid w:val="006A5C4A"/>
    <w:rsid w:val="006A616A"/>
    <w:rsid w:val="006A6218"/>
    <w:rsid w:val="006B014E"/>
    <w:rsid w:val="006B10BD"/>
    <w:rsid w:val="006B1296"/>
    <w:rsid w:val="006B3025"/>
    <w:rsid w:val="006B42C7"/>
    <w:rsid w:val="006B5610"/>
    <w:rsid w:val="006B6A08"/>
    <w:rsid w:val="006B6A2B"/>
    <w:rsid w:val="006B7323"/>
    <w:rsid w:val="006C1D1A"/>
    <w:rsid w:val="006C1E78"/>
    <w:rsid w:val="006C207D"/>
    <w:rsid w:val="006C3431"/>
    <w:rsid w:val="006C4B7B"/>
    <w:rsid w:val="006C4C66"/>
    <w:rsid w:val="006C51A5"/>
    <w:rsid w:val="006D2283"/>
    <w:rsid w:val="006D275E"/>
    <w:rsid w:val="006D2867"/>
    <w:rsid w:val="006D7B7C"/>
    <w:rsid w:val="006E024A"/>
    <w:rsid w:val="006E199D"/>
    <w:rsid w:val="006E28E6"/>
    <w:rsid w:val="006E2FB0"/>
    <w:rsid w:val="006E37FC"/>
    <w:rsid w:val="006E40F5"/>
    <w:rsid w:val="006E413F"/>
    <w:rsid w:val="006E439D"/>
    <w:rsid w:val="006E6AEC"/>
    <w:rsid w:val="006E6AF5"/>
    <w:rsid w:val="006E76E1"/>
    <w:rsid w:val="006F2250"/>
    <w:rsid w:val="006F35E8"/>
    <w:rsid w:val="006F3AB5"/>
    <w:rsid w:val="006F4113"/>
    <w:rsid w:val="006F452E"/>
    <w:rsid w:val="006F4691"/>
    <w:rsid w:val="006F5F2F"/>
    <w:rsid w:val="006F664D"/>
    <w:rsid w:val="006F70CA"/>
    <w:rsid w:val="00701D77"/>
    <w:rsid w:val="007025CC"/>
    <w:rsid w:val="007029B4"/>
    <w:rsid w:val="0070388A"/>
    <w:rsid w:val="00703898"/>
    <w:rsid w:val="00703CEC"/>
    <w:rsid w:val="00703E91"/>
    <w:rsid w:val="0070427E"/>
    <w:rsid w:val="00704795"/>
    <w:rsid w:val="00704C43"/>
    <w:rsid w:val="00705FF0"/>
    <w:rsid w:val="00707FC5"/>
    <w:rsid w:val="0071100E"/>
    <w:rsid w:val="00711713"/>
    <w:rsid w:val="00712810"/>
    <w:rsid w:val="00712CA5"/>
    <w:rsid w:val="00713A5B"/>
    <w:rsid w:val="00713F12"/>
    <w:rsid w:val="0071488E"/>
    <w:rsid w:val="0071499A"/>
    <w:rsid w:val="00714B94"/>
    <w:rsid w:val="00715DD4"/>
    <w:rsid w:val="00717C0B"/>
    <w:rsid w:val="0072046D"/>
    <w:rsid w:val="00721163"/>
    <w:rsid w:val="00722E8F"/>
    <w:rsid w:val="00722F97"/>
    <w:rsid w:val="007235B5"/>
    <w:rsid w:val="007244B7"/>
    <w:rsid w:val="007260B9"/>
    <w:rsid w:val="00726D62"/>
    <w:rsid w:val="007276EE"/>
    <w:rsid w:val="00730585"/>
    <w:rsid w:val="007313F3"/>
    <w:rsid w:val="00732B25"/>
    <w:rsid w:val="00733AB7"/>
    <w:rsid w:val="0073542B"/>
    <w:rsid w:val="00736FD9"/>
    <w:rsid w:val="00737269"/>
    <w:rsid w:val="00740390"/>
    <w:rsid w:val="00740594"/>
    <w:rsid w:val="00740E01"/>
    <w:rsid w:val="00741DDF"/>
    <w:rsid w:val="00745534"/>
    <w:rsid w:val="007463A3"/>
    <w:rsid w:val="007475C5"/>
    <w:rsid w:val="007506DD"/>
    <w:rsid w:val="00752937"/>
    <w:rsid w:val="007536BE"/>
    <w:rsid w:val="0075470F"/>
    <w:rsid w:val="00754780"/>
    <w:rsid w:val="00754C20"/>
    <w:rsid w:val="00756AD0"/>
    <w:rsid w:val="00756E2D"/>
    <w:rsid w:val="00760A6F"/>
    <w:rsid w:val="00761AC2"/>
    <w:rsid w:val="00761CC2"/>
    <w:rsid w:val="00763B68"/>
    <w:rsid w:val="00763E6B"/>
    <w:rsid w:val="007640BF"/>
    <w:rsid w:val="007656ED"/>
    <w:rsid w:val="00765714"/>
    <w:rsid w:val="0076770F"/>
    <w:rsid w:val="007702BD"/>
    <w:rsid w:val="00771054"/>
    <w:rsid w:val="00771374"/>
    <w:rsid w:val="00773D95"/>
    <w:rsid w:val="0078085D"/>
    <w:rsid w:val="007813DA"/>
    <w:rsid w:val="00782A6D"/>
    <w:rsid w:val="00782AE8"/>
    <w:rsid w:val="00782BD6"/>
    <w:rsid w:val="007853E1"/>
    <w:rsid w:val="007853FD"/>
    <w:rsid w:val="00785AFA"/>
    <w:rsid w:val="0078642F"/>
    <w:rsid w:val="0078759B"/>
    <w:rsid w:val="00791103"/>
    <w:rsid w:val="007913D1"/>
    <w:rsid w:val="00791927"/>
    <w:rsid w:val="007929FA"/>
    <w:rsid w:val="007944E5"/>
    <w:rsid w:val="00794889"/>
    <w:rsid w:val="00796E51"/>
    <w:rsid w:val="007A11CD"/>
    <w:rsid w:val="007A2D01"/>
    <w:rsid w:val="007A32B6"/>
    <w:rsid w:val="007A38B7"/>
    <w:rsid w:val="007A3A14"/>
    <w:rsid w:val="007A3E43"/>
    <w:rsid w:val="007A779A"/>
    <w:rsid w:val="007B06DF"/>
    <w:rsid w:val="007B10B8"/>
    <w:rsid w:val="007B16F8"/>
    <w:rsid w:val="007B1969"/>
    <w:rsid w:val="007B3088"/>
    <w:rsid w:val="007B36AF"/>
    <w:rsid w:val="007B42A1"/>
    <w:rsid w:val="007B695A"/>
    <w:rsid w:val="007B70BE"/>
    <w:rsid w:val="007B7165"/>
    <w:rsid w:val="007B7628"/>
    <w:rsid w:val="007C1E97"/>
    <w:rsid w:val="007C3D9D"/>
    <w:rsid w:val="007C42E2"/>
    <w:rsid w:val="007C5E62"/>
    <w:rsid w:val="007C6564"/>
    <w:rsid w:val="007C68F6"/>
    <w:rsid w:val="007C6BDF"/>
    <w:rsid w:val="007D0998"/>
    <w:rsid w:val="007D0F05"/>
    <w:rsid w:val="007D1A98"/>
    <w:rsid w:val="007D3E88"/>
    <w:rsid w:val="007D58DF"/>
    <w:rsid w:val="007D6C6B"/>
    <w:rsid w:val="007D78EF"/>
    <w:rsid w:val="007D7B01"/>
    <w:rsid w:val="007E1082"/>
    <w:rsid w:val="007E1F51"/>
    <w:rsid w:val="007E2BF6"/>
    <w:rsid w:val="007E4611"/>
    <w:rsid w:val="007E750B"/>
    <w:rsid w:val="007F04F6"/>
    <w:rsid w:val="007F07AE"/>
    <w:rsid w:val="007F19D0"/>
    <w:rsid w:val="007F24B9"/>
    <w:rsid w:val="007F359F"/>
    <w:rsid w:val="007F3703"/>
    <w:rsid w:val="007F48B2"/>
    <w:rsid w:val="007F4A1E"/>
    <w:rsid w:val="007F4B2D"/>
    <w:rsid w:val="007F6710"/>
    <w:rsid w:val="007F7E39"/>
    <w:rsid w:val="00800BED"/>
    <w:rsid w:val="00801154"/>
    <w:rsid w:val="00801736"/>
    <w:rsid w:val="00802520"/>
    <w:rsid w:val="00803164"/>
    <w:rsid w:val="0080343F"/>
    <w:rsid w:val="00803F35"/>
    <w:rsid w:val="0080437D"/>
    <w:rsid w:val="00804411"/>
    <w:rsid w:val="00805C14"/>
    <w:rsid w:val="00805EBC"/>
    <w:rsid w:val="00806439"/>
    <w:rsid w:val="00806886"/>
    <w:rsid w:val="0081035C"/>
    <w:rsid w:val="008125A4"/>
    <w:rsid w:val="00812F14"/>
    <w:rsid w:val="008151C2"/>
    <w:rsid w:val="00816935"/>
    <w:rsid w:val="0082061B"/>
    <w:rsid w:val="00821A31"/>
    <w:rsid w:val="008234AF"/>
    <w:rsid w:val="008258E4"/>
    <w:rsid w:val="00825C91"/>
    <w:rsid w:val="00826176"/>
    <w:rsid w:val="0082633D"/>
    <w:rsid w:val="00826A69"/>
    <w:rsid w:val="008277C2"/>
    <w:rsid w:val="00827F84"/>
    <w:rsid w:val="00830500"/>
    <w:rsid w:val="00831D96"/>
    <w:rsid w:val="008343F3"/>
    <w:rsid w:val="0083441F"/>
    <w:rsid w:val="00834FF4"/>
    <w:rsid w:val="008358A1"/>
    <w:rsid w:val="00835A3C"/>
    <w:rsid w:val="0084176A"/>
    <w:rsid w:val="0084442B"/>
    <w:rsid w:val="00846617"/>
    <w:rsid w:val="00846A73"/>
    <w:rsid w:val="0084735A"/>
    <w:rsid w:val="008478C4"/>
    <w:rsid w:val="008503B8"/>
    <w:rsid w:val="00850C9A"/>
    <w:rsid w:val="00851054"/>
    <w:rsid w:val="008515FE"/>
    <w:rsid w:val="00852B0D"/>
    <w:rsid w:val="008537D8"/>
    <w:rsid w:val="0085479E"/>
    <w:rsid w:val="008559C7"/>
    <w:rsid w:val="00856634"/>
    <w:rsid w:val="008576C4"/>
    <w:rsid w:val="00860D07"/>
    <w:rsid w:val="008628EA"/>
    <w:rsid w:val="00862F6C"/>
    <w:rsid w:val="00863BAE"/>
    <w:rsid w:val="00865292"/>
    <w:rsid w:val="00865F0E"/>
    <w:rsid w:val="00866026"/>
    <w:rsid w:val="0086676E"/>
    <w:rsid w:val="00871E39"/>
    <w:rsid w:val="008722A8"/>
    <w:rsid w:val="00874209"/>
    <w:rsid w:val="00874FEF"/>
    <w:rsid w:val="008752F3"/>
    <w:rsid w:val="00875A27"/>
    <w:rsid w:val="00876DBF"/>
    <w:rsid w:val="00877382"/>
    <w:rsid w:val="00880618"/>
    <w:rsid w:val="0088074A"/>
    <w:rsid w:val="008807C8"/>
    <w:rsid w:val="0088086A"/>
    <w:rsid w:val="00880B67"/>
    <w:rsid w:val="0088138A"/>
    <w:rsid w:val="00881FA3"/>
    <w:rsid w:val="00885AA6"/>
    <w:rsid w:val="0088655F"/>
    <w:rsid w:val="00887321"/>
    <w:rsid w:val="00887E76"/>
    <w:rsid w:val="00892971"/>
    <w:rsid w:val="00893426"/>
    <w:rsid w:val="00893F6F"/>
    <w:rsid w:val="008949B3"/>
    <w:rsid w:val="00894BC8"/>
    <w:rsid w:val="00894EBD"/>
    <w:rsid w:val="00896A65"/>
    <w:rsid w:val="008A06A7"/>
    <w:rsid w:val="008A06CE"/>
    <w:rsid w:val="008A0E91"/>
    <w:rsid w:val="008A0F5B"/>
    <w:rsid w:val="008A1EC8"/>
    <w:rsid w:val="008A3D54"/>
    <w:rsid w:val="008A4D03"/>
    <w:rsid w:val="008A4DBE"/>
    <w:rsid w:val="008A522D"/>
    <w:rsid w:val="008A560A"/>
    <w:rsid w:val="008A5CD4"/>
    <w:rsid w:val="008A6358"/>
    <w:rsid w:val="008A6923"/>
    <w:rsid w:val="008B002E"/>
    <w:rsid w:val="008B2EBB"/>
    <w:rsid w:val="008B381E"/>
    <w:rsid w:val="008B6AA5"/>
    <w:rsid w:val="008C1235"/>
    <w:rsid w:val="008C35D4"/>
    <w:rsid w:val="008C4040"/>
    <w:rsid w:val="008C4241"/>
    <w:rsid w:val="008C43D1"/>
    <w:rsid w:val="008C5A15"/>
    <w:rsid w:val="008C6133"/>
    <w:rsid w:val="008C73A4"/>
    <w:rsid w:val="008D0EC7"/>
    <w:rsid w:val="008D1485"/>
    <w:rsid w:val="008D2414"/>
    <w:rsid w:val="008D26B9"/>
    <w:rsid w:val="008D29D4"/>
    <w:rsid w:val="008D3A2D"/>
    <w:rsid w:val="008D431A"/>
    <w:rsid w:val="008D54CF"/>
    <w:rsid w:val="008D58A2"/>
    <w:rsid w:val="008D638C"/>
    <w:rsid w:val="008D6657"/>
    <w:rsid w:val="008D708B"/>
    <w:rsid w:val="008E258F"/>
    <w:rsid w:val="008E2FA8"/>
    <w:rsid w:val="008E345D"/>
    <w:rsid w:val="008E3C55"/>
    <w:rsid w:val="008E4698"/>
    <w:rsid w:val="008E53FA"/>
    <w:rsid w:val="008E5D1E"/>
    <w:rsid w:val="008E6CA7"/>
    <w:rsid w:val="008F04A3"/>
    <w:rsid w:val="008F0B92"/>
    <w:rsid w:val="008F15A9"/>
    <w:rsid w:val="008F1E08"/>
    <w:rsid w:val="008F1F01"/>
    <w:rsid w:val="008F212A"/>
    <w:rsid w:val="008F2EA9"/>
    <w:rsid w:val="008F3602"/>
    <w:rsid w:val="008F36F2"/>
    <w:rsid w:val="008F42B5"/>
    <w:rsid w:val="008F7319"/>
    <w:rsid w:val="008F7D29"/>
    <w:rsid w:val="0090052D"/>
    <w:rsid w:val="00900F2E"/>
    <w:rsid w:val="00901112"/>
    <w:rsid w:val="00904CE8"/>
    <w:rsid w:val="00905525"/>
    <w:rsid w:val="009101FA"/>
    <w:rsid w:val="0091048B"/>
    <w:rsid w:val="00910836"/>
    <w:rsid w:val="009109F3"/>
    <w:rsid w:val="00910BE0"/>
    <w:rsid w:val="00911291"/>
    <w:rsid w:val="00912448"/>
    <w:rsid w:val="00913712"/>
    <w:rsid w:val="00914E5F"/>
    <w:rsid w:val="0091537A"/>
    <w:rsid w:val="00915D78"/>
    <w:rsid w:val="00916647"/>
    <w:rsid w:val="00917299"/>
    <w:rsid w:val="00920240"/>
    <w:rsid w:val="00921B26"/>
    <w:rsid w:val="00922FC7"/>
    <w:rsid w:val="009254C0"/>
    <w:rsid w:val="00927270"/>
    <w:rsid w:val="00930503"/>
    <w:rsid w:val="009306FE"/>
    <w:rsid w:val="00931826"/>
    <w:rsid w:val="009325FB"/>
    <w:rsid w:val="00932F9E"/>
    <w:rsid w:val="00933771"/>
    <w:rsid w:val="00933A36"/>
    <w:rsid w:val="00933FD3"/>
    <w:rsid w:val="00934B60"/>
    <w:rsid w:val="00935BF5"/>
    <w:rsid w:val="00935D8C"/>
    <w:rsid w:val="009367CD"/>
    <w:rsid w:val="00936838"/>
    <w:rsid w:val="0094053E"/>
    <w:rsid w:val="009406DF"/>
    <w:rsid w:val="009415D1"/>
    <w:rsid w:val="00942592"/>
    <w:rsid w:val="00942A5C"/>
    <w:rsid w:val="009435DC"/>
    <w:rsid w:val="00943FC2"/>
    <w:rsid w:val="00950425"/>
    <w:rsid w:val="0095073F"/>
    <w:rsid w:val="00951671"/>
    <w:rsid w:val="00951F00"/>
    <w:rsid w:val="009540F7"/>
    <w:rsid w:val="0095442C"/>
    <w:rsid w:val="00960CB1"/>
    <w:rsid w:val="009626FF"/>
    <w:rsid w:val="00962FC6"/>
    <w:rsid w:val="009635F5"/>
    <w:rsid w:val="00964BD5"/>
    <w:rsid w:val="00965105"/>
    <w:rsid w:val="0096618B"/>
    <w:rsid w:val="00966B57"/>
    <w:rsid w:val="00967E25"/>
    <w:rsid w:val="0097092C"/>
    <w:rsid w:val="00971056"/>
    <w:rsid w:val="00971808"/>
    <w:rsid w:val="0097618E"/>
    <w:rsid w:val="009761AB"/>
    <w:rsid w:val="0097698B"/>
    <w:rsid w:val="00976F6D"/>
    <w:rsid w:val="00977617"/>
    <w:rsid w:val="00980583"/>
    <w:rsid w:val="0098142E"/>
    <w:rsid w:val="00982665"/>
    <w:rsid w:val="00985A1F"/>
    <w:rsid w:val="0098670F"/>
    <w:rsid w:val="00987FB1"/>
    <w:rsid w:val="009910B2"/>
    <w:rsid w:val="009917DA"/>
    <w:rsid w:val="00991FC9"/>
    <w:rsid w:val="0099259E"/>
    <w:rsid w:val="00993B62"/>
    <w:rsid w:val="00994902"/>
    <w:rsid w:val="00995232"/>
    <w:rsid w:val="009A0465"/>
    <w:rsid w:val="009A0EE5"/>
    <w:rsid w:val="009A1A22"/>
    <w:rsid w:val="009A514A"/>
    <w:rsid w:val="009A52F8"/>
    <w:rsid w:val="009A6EAA"/>
    <w:rsid w:val="009A700E"/>
    <w:rsid w:val="009A75B1"/>
    <w:rsid w:val="009B0561"/>
    <w:rsid w:val="009B07F5"/>
    <w:rsid w:val="009B1A41"/>
    <w:rsid w:val="009B3CFC"/>
    <w:rsid w:val="009B4FA7"/>
    <w:rsid w:val="009B7B02"/>
    <w:rsid w:val="009C0B9D"/>
    <w:rsid w:val="009C11D6"/>
    <w:rsid w:val="009C1CD2"/>
    <w:rsid w:val="009C2013"/>
    <w:rsid w:val="009C432E"/>
    <w:rsid w:val="009C476A"/>
    <w:rsid w:val="009C5295"/>
    <w:rsid w:val="009C5548"/>
    <w:rsid w:val="009C60E4"/>
    <w:rsid w:val="009C6B41"/>
    <w:rsid w:val="009C753C"/>
    <w:rsid w:val="009C78EF"/>
    <w:rsid w:val="009D0044"/>
    <w:rsid w:val="009D1526"/>
    <w:rsid w:val="009D1756"/>
    <w:rsid w:val="009D2A2D"/>
    <w:rsid w:val="009D4C12"/>
    <w:rsid w:val="009D5424"/>
    <w:rsid w:val="009D60A1"/>
    <w:rsid w:val="009D6217"/>
    <w:rsid w:val="009D7064"/>
    <w:rsid w:val="009D73DE"/>
    <w:rsid w:val="009E1ADE"/>
    <w:rsid w:val="009E2760"/>
    <w:rsid w:val="009E3594"/>
    <w:rsid w:val="009E3F53"/>
    <w:rsid w:val="009E4A34"/>
    <w:rsid w:val="009E616E"/>
    <w:rsid w:val="009E6268"/>
    <w:rsid w:val="009E75B9"/>
    <w:rsid w:val="009F1FC4"/>
    <w:rsid w:val="009F291E"/>
    <w:rsid w:val="009F4DFD"/>
    <w:rsid w:val="009F5312"/>
    <w:rsid w:val="009F56F8"/>
    <w:rsid w:val="009F648B"/>
    <w:rsid w:val="009F693B"/>
    <w:rsid w:val="009F72AB"/>
    <w:rsid w:val="009F78A3"/>
    <w:rsid w:val="00A00A48"/>
    <w:rsid w:val="00A018FB"/>
    <w:rsid w:val="00A01BEA"/>
    <w:rsid w:val="00A035AD"/>
    <w:rsid w:val="00A03DAB"/>
    <w:rsid w:val="00A04A02"/>
    <w:rsid w:val="00A05E94"/>
    <w:rsid w:val="00A06094"/>
    <w:rsid w:val="00A10186"/>
    <w:rsid w:val="00A10B25"/>
    <w:rsid w:val="00A1363A"/>
    <w:rsid w:val="00A13F0C"/>
    <w:rsid w:val="00A15D01"/>
    <w:rsid w:val="00A20DAE"/>
    <w:rsid w:val="00A2239B"/>
    <w:rsid w:val="00A22EEA"/>
    <w:rsid w:val="00A23B92"/>
    <w:rsid w:val="00A2458B"/>
    <w:rsid w:val="00A24619"/>
    <w:rsid w:val="00A309CB"/>
    <w:rsid w:val="00A30A4C"/>
    <w:rsid w:val="00A32864"/>
    <w:rsid w:val="00A3298B"/>
    <w:rsid w:val="00A32A69"/>
    <w:rsid w:val="00A336D3"/>
    <w:rsid w:val="00A34F0D"/>
    <w:rsid w:val="00A35967"/>
    <w:rsid w:val="00A36489"/>
    <w:rsid w:val="00A371F2"/>
    <w:rsid w:val="00A37F6F"/>
    <w:rsid w:val="00A40285"/>
    <w:rsid w:val="00A4198C"/>
    <w:rsid w:val="00A41B05"/>
    <w:rsid w:val="00A43B77"/>
    <w:rsid w:val="00A45B24"/>
    <w:rsid w:val="00A46A8D"/>
    <w:rsid w:val="00A46DA9"/>
    <w:rsid w:val="00A51407"/>
    <w:rsid w:val="00A53B8B"/>
    <w:rsid w:val="00A5492A"/>
    <w:rsid w:val="00A60811"/>
    <w:rsid w:val="00A60A91"/>
    <w:rsid w:val="00A61857"/>
    <w:rsid w:val="00A638AB"/>
    <w:rsid w:val="00A64E25"/>
    <w:rsid w:val="00A65ACF"/>
    <w:rsid w:val="00A6632A"/>
    <w:rsid w:val="00A66417"/>
    <w:rsid w:val="00A66B77"/>
    <w:rsid w:val="00A67830"/>
    <w:rsid w:val="00A71396"/>
    <w:rsid w:val="00A71C77"/>
    <w:rsid w:val="00A729D3"/>
    <w:rsid w:val="00A72C5E"/>
    <w:rsid w:val="00A72EEA"/>
    <w:rsid w:val="00A73146"/>
    <w:rsid w:val="00A7348F"/>
    <w:rsid w:val="00A73492"/>
    <w:rsid w:val="00A735B0"/>
    <w:rsid w:val="00A73A9C"/>
    <w:rsid w:val="00A74587"/>
    <w:rsid w:val="00A748ED"/>
    <w:rsid w:val="00A748F3"/>
    <w:rsid w:val="00A75659"/>
    <w:rsid w:val="00A776C2"/>
    <w:rsid w:val="00A80BF3"/>
    <w:rsid w:val="00A80CF9"/>
    <w:rsid w:val="00A81456"/>
    <w:rsid w:val="00A81D09"/>
    <w:rsid w:val="00A82907"/>
    <w:rsid w:val="00A8301F"/>
    <w:rsid w:val="00A83083"/>
    <w:rsid w:val="00A84677"/>
    <w:rsid w:val="00A86E5B"/>
    <w:rsid w:val="00A87CD6"/>
    <w:rsid w:val="00A91B58"/>
    <w:rsid w:val="00A94A94"/>
    <w:rsid w:val="00A962BD"/>
    <w:rsid w:val="00A97DDB"/>
    <w:rsid w:val="00AA00BE"/>
    <w:rsid w:val="00AA079B"/>
    <w:rsid w:val="00AA2F3D"/>
    <w:rsid w:val="00AA3176"/>
    <w:rsid w:val="00AA3B4E"/>
    <w:rsid w:val="00AA5E3B"/>
    <w:rsid w:val="00AA5E6D"/>
    <w:rsid w:val="00AB2523"/>
    <w:rsid w:val="00AB2C10"/>
    <w:rsid w:val="00AB31F6"/>
    <w:rsid w:val="00AB4D23"/>
    <w:rsid w:val="00AB6625"/>
    <w:rsid w:val="00AB69EF"/>
    <w:rsid w:val="00AB7F86"/>
    <w:rsid w:val="00AC0482"/>
    <w:rsid w:val="00AC1578"/>
    <w:rsid w:val="00AC19F4"/>
    <w:rsid w:val="00AC2313"/>
    <w:rsid w:val="00AC3B2B"/>
    <w:rsid w:val="00AC564F"/>
    <w:rsid w:val="00AC567E"/>
    <w:rsid w:val="00AC6148"/>
    <w:rsid w:val="00AD1B67"/>
    <w:rsid w:val="00AD1CF2"/>
    <w:rsid w:val="00AD370C"/>
    <w:rsid w:val="00AD3897"/>
    <w:rsid w:val="00AD6559"/>
    <w:rsid w:val="00AD6864"/>
    <w:rsid w:val="00AD716C"/>
    <w:rsid w:val="00AE02FE"/>
    <w:rsid w:val="00AE0941"/>
    <w:rsid w:val="00AE0EDA"/>
    <w:rsid w:val="00AE28F7"/>
    <w:rsid w:val="00AE4531"/>
    <w:rsid w:val="00AE52BD"/>
    <w:rsid w:val="00AE72B9"/>
    <w:rsid w:val="00AE7F88"/>
    <w:rsid w:val="00AF14D6"/>
    <w:rsid w:val="00AF1CCD"/>
    <w:rsid w:val="00AF2136"/>
    <w:rsid w:val="00AF3F2A"/>
    <w:rsid w:val="00AF410B"/>
    <w:rsid w:val="00AF5137"/>
    <w:rsid w:val="00B00039"/>
    <w:rsid w:val="00B01039"/>
    <w:rsid w:val="00B038C3"/>
    <w:rsid w:val="00B05E15"/>
    <w:rsid w:val="00B073FB"/>
    <w:rsid w:val="00B07E14"/>
    <w:rsid w:val="00B11FC4"/>
    <w:rsid w:val="00B126A1"/>
    <w:rsid w:val="00B13492"/>
    <w:rsid w:val="00B138AF"/>
    <w:rsid w:val="00B13B81"/>
    <w:rsid w:val="00B14177"/>
    <w:rsid w:val="00B15A53"/>
    <w:rsid w:val="00B2028E"/>
    <w:rsid w:val="00B204AC"/>
    <w:rsid w:val="00B2145E"/>
    <w:rsid w:val="00B22468"/>
    <w:rsid w:val="00B23141"/>
    <w:rsid w:val="00B25575"/>
    <w:rsid w:val="00B26B25"/>
    <w:rsid w:val="00B276BB"/>
    <w:rsid w:val="00B3052D"/>
    <w:rsid w:val="00B31F24"/>
    <w:rsid w:val="00B33A8F"/>
    <w:rsid w:val="00B35C7A"/>
    <w:rsid w:val="00B371C7"/>
    <w:rsid w:val="00B40D94"/>
    <w:rsid w:val="00B40E01"/>
    <w:rsid w:val="00B40E15"/>
    <w:rsid w:val="00B41385"/>
    <w:rsid w:val="00B44A8F"/>
    <w:rsid w:val="00B45273"/>
    <w:rsid w:val="00B50631"/>
    <w:rsid w:val="00B51583"/>
    <w:rsid w:val="00B51797"/>
    <w:rsid w:val="00B523C8"/>
    <w:rsid w:val="00B5270A"/>
    <w:rsid w:val="00B52944"/>
    <w:rsid w:val="00B52FE5"/>
    <w:rsid w:val="00B5305F"/>
    <w:rsid w:val="00B54366"/>
    <w:rsid w:val="00B54B54"/>
    <w:rsid w:val="00B55318"/>
    <w:rsid w:val="00B5545B"/>
    <w:rsid w:val="00B55740"/>
    <w:rsid w:val="00B563DD"/>
    <w:rsid w:val="00B603B5"/>
    <w:rsid w:val="00B60664"/>
    <w:rsid w:val="00B60978"/>
    <w:rsid w:val="00B61E62"/>
    <w:rsid w:val="00B62756"/>
    <w:rsid w:val="00B631BE"/>
    <w:rsid w:val="00B64AD1"/>
    <w:rsid w:val="00B64F93"/>
    <w:rsid w:val="00B6759A"/>
    <w:rsid w:val="00B713A4"/>
    <w:rsid w:val="00B72057"/>
    <w:rsid w:val="00B72D4B"/>
    <w:rsid w:val="00B74EDD"/>
    <w:rsid w:val="00B77165"/>
    <w:rsid w:val="00B77C50"/>
    <w:rsid w:val="00B8143E"/>
    <w:rsid w:val="00B817FF"/>
    <w:rsid w:val="00B8294D"/>
    <w:rsid w:val="00B849EB"/>
    <w:rsid w:val="00B84A91"/>
    <w:rsid w:val="00B85BC7"/>
    <w:rsid w:val="00B863A5"/>
    <w:rsid w:val="00B86843"/>
    <w:rsid w:val="00B90438"/>
    <w:rsid w:val="00B9098B"/>
    <w:rsid w:val="00B918F0"/>
    <w:rsid w:val="00B91FC3"/>
    <w:rsid w:val="00B92F31"/>
    <w:rsid w:val="00B9306C"/>
    <w:rsid w:val="00B93174"/>
    <w:rsid w:val="00B948D6"/>
    <w:rsid w:val="00B957A0"/>
    <w:rsid w:val="00B96019"/>
    <w:rsid w:val="00B9751D"/>
    <w:rsid w:val="00BA00EC"/>
    <w:rsid w:val="00BA09CB"/>
    <w:rsid w:val="00BA29CC"/>
    <w:rsid w:val="00BA452E"/>
    <w:rsid w:val="00BA559B"/>
    <w:rsid w:val="00BA619A"/>
    <w:rsid w:val="00BA7665"/>
    <w:rsid w:val="00BB0B86"/>
    <w:rsid w:val="00BB2064"/>
    <w:rsid w:val="00BB2CED"/>
    <w:rsid w:val="00BB30A6"/>
    <w:rsid w:val="00BB52E5"/>
    <w:rsid w:val="00BB6F15"/>
    <w:rsid w:val="00BB7581"/>
    <w:rsid w:val="00BC1383"/>
    <w:rsid w:val="00BC2C6D"/>
    <w:rsid w:val="00BC3612"/>
    <w:rsid w:val="00BC6102"/>
    <w:rsid w:val="00BC6210"/>
    <w:rsid w:val="00BC6BA5"/>
    <w:rsid w:val="00BD0DFB"/>
    <w:rsid w:val="00BD0FCE"/>
    <w:rsid w:val="00BD2488"/>
    <w:rsid w:val="00BD253C"/>
    <w:rsid w:val="00BD2B40"/>
    <w:rsid w:val="00BD4EDC"/>
    <w:rsid w:val="00BD5DEB"/>
    <w:rsid w:val="00BD7454"/>
    <w:rsid w:val="00BE0198"/>
    <w:rsid w:val="00BE14F4"/>
    <w:rsid w:val="00BE1E7D"/>
    <w:rsid w:val="00BE21B1"/>
    <w:rsid w:val="00BE2293"/>
    <w:rsid w:val="00BE2554"/>
    <w:rsid w:val="00BE2DE2"/>
    <w:rsid w:val="00BE306A"/>
    <w:rsid w:val="00BE60FB"/>
    <w:rsid w:val="00BE78A0"/>
    <w:rsid w:val="00BF022A"/>
    <w:rsid w:val="00BF02EA"/>
    <w:rsid w:val="00BF1930"/>
    <w:rsid w:val="00BF4305"/>
    <w:rsid w:val="00BF56F3"/>
    <w:rsid w:val="00BF64B3"/>
    <w:rsid w:val="00BF6954"/>
    <w:rsid w:val="00BF77AF"/>
    <w:rsid w:val="00C0028E"/>
    <w:rsid w:val="00C00477"/>
    <w:rsid w:val="00C00DB5"/>
    <w:rsid w:val="00C0627C"/>
    <w:rsid w:val="00C06703"/>
    <w:rsid w:val="00C07A95"/>
    <w:rsid w:val="00C10042"/>
    <w:rsid w:val="00C11C89"/>
    <w:rsid w:val="00C126AF"/>
    <w:rsid w:val="00C13A89"/>
    <w:rsid w:val="00C1640C"/>
    <w:rsid w:val="00C164BB"/>
    <w:rsid w:val="00C176FA"/>
    <w:rsid w:val="00C21504"/>
    <w:rsid w:val="00C21D35"/>
    <w:rsid w:val="00C228AC"/>
    <w:rsid w:val="00C2311E"/>
    <w:rsid w:val="00C2323A"/>
    <w:rsid w:val="00C2328E"/>
    <w:rsid w:val="00C258C2"/>
    <w:rsid w:val="00C25B99"/>
    <w:rsid w:val="00C26D84"/>
    <w:rsid w:val="00C27DF1"/>
    <w:rsid w:val="00C30796"/>
    <w:rsid w:val="00C30C7C"/>
    <w:rsid w:val="00C31F22"/>
    <w:rsid w:val="00C32B68"/>
    <w:rsid w:val="00C32DAA"/>
    <w:rsid w:val="00C3328E"/>
    <w:rsid w:val="00C3475B"/>
    <w:rsid w:val="00C35DF5"/>
    <w:rsid w:val="00C36209"/>
    <w:rsid w:val="00C362F9"/>
    <w:rsid w:val="00C400AF"/>
    <w:rsid w:val="00C409DE"/>
    <w:rsid w:val="00C41388"/>
    <w:rsid w:val="00C41B65"/>
    <w:rsid w:val="00C42243"/>
    <w:rsid w:val="00C43B60"/>
    <w:rsid w:val="00C43CD2"/>
    <w:rsid w:val="00C46015"/>
    <w:rsid w:val="00C46B91"/>
    <w:rsid w:val="00C47FAF"/>
    <w:rsid w:val="00C51C21"/>
    <w:rsid w:val="00C52FD6"/>
    <w:rsid w:val="00C533B1"/>
    <w:rsid w:val="00C53F68"/>
    <w:rsid w:val="00C54A02"/>
    <w:rsid w:val="00C55FCB"/>
    <w:rsid w:val="00C566E0"/>
    <w:rsid w:val="00C63539"/>
    <w:rsid w:val="00C64439"/>
    <w:rsid w:val="00C7087C"/>
    <w:rsid w:val="00C7109B"/>
    <w:rsid w:val="00C71670"/>
    <w:rsid w:val="00C72B5A"/>
    <w:rsid w:val="00C73BCD"/>
    <w:rsid w:val="00C751F9"/>
    <w:rsid w:val="00C766B3"/>
    <w:rsid w:val="00C77D8C"/>
    <w:rsid w:val="00C80FFC"/>
    <w:rsid w:val="00C81598"/>
    <w:rsid w:val="00C81A26"/>
    <w:rsid w:val="00C83013"/>
    <w:rsid w:val="00C832DF"/>
    <w:rsid w:val="00C8394F"/>
    <w:rsid w:val="00C84891"/>
    <w:rsid w:val="00C84A05"/>
    <w:rsid w:val="00C84C93"/>
    <w:rsid w:val="00C855A6"/>
    <w:rsid w:val="00C85C46"/>
    <w:rsid w:val="00C86155"/>
    <w:rsid w:val="00C87E54"/>
    <w:rsid w:val="00C87EA2"/>
    <w:rsid w:val="00C90720"/>
    <w:rsid w:val="00C90C1D"/>
    <w:rsid w:val="00C90FDD"/>
    <w:rsid w:val="00C9205E"/>
    <w:rsid w:val="00C968D3"/>
    <w:rsid w:val="00CA0C95"/>
    <w:rsid w:val="00CA0E3E"/>
    <w:rsid w:val="00CA39C3"/>
    <w:rsid w:val="00CA401B"/>
    <w:rsid w:val="00CA41F0"/>
    <w:rsid w:val="00CA5314"/>
    <w:rsid w:val="00CA5B94"/>
    <w:rsid w:val="00CA5F5C"/>
    <w:rsid w:val="00CA6C13"/>
    <w:rsid w:val="00CA6EE5"/>
    <w:rsid w:val="00CB02E2"/>
    <w:rsid w:val="00CB04BD"/>
    <w:rsid w:val="00CB0741"/>
    <w:rsid w:val="00CB0B14"/>
    <w:rsid w:val="00CB0C60"/>
    <w:rsid w:val="00CB0E5D"/>
    <w:rsid w:val="00CB1AB0"/>
    <w:rsid w:val="00CB24BC"/>
    <w:rsid w:val="00CB659A"/>
    <w:rsid w:val="00CB68FF"/>
    <w:rsid w:val="00CB744B"/>
    <w:rsid w:val="00CB7DF1"/>
    <w:rsid w:val="00CC0E65"/>
    <w:rsid w:val="00CC18B0"/>
    <w:rsid w:val="00CC42C8"/>
    <w:rsid w:val="00CC6027"/>
    <w:rsid w:val="00CC7603"/>
    <w:rsid w:val="00CC7DF3"/>
    <w:rsid w:val="00CD0467"/>
    <w:rsid w:val="00CD3214"/>
    <w:rsid w:val="00CD6448"/>
    <w:rsid w:val="00CE0463"/>
    <w:rsid w:val="00CE0983"/>
    <w:rsid w:val="00CE0DCE"/>
    <w:rsid w:val="00CE1375"/>
    <w:rsid w:val="00CE219C"/>
    <w:rsid w:val="00CE2C47"/>
    <w:rsid w:val="00CE2E45"/>
    <w:rsid w:val="00CE3120"/>
    <w:rsid w:val="00CE3319"/>
    <w:rsid w:val="00CE3A22"/>
    <w:rsid w:val="00CE3FC8"/>
    <w:rsid w:val="00CE4A52"/>
    <w:rsid w:val="00CE4D33"/>
    <w:rsid w:val="00CE528F"/>
    <w:rsid w:val="00CE5CA2"/>
    <w:rsid w:val="00CE5F82"/>
    <w:rsid w:val="00CE63F5"/>
    <w:rsid w:val="00CE7467"/>
    <w:rsid w:val="00CF3220"/>
    <w:rsid w:val="00CF36EF"/>
    <w:rsid w:val="00CF3C8F"/>
    <w:rsid w:val="00CF42F6"/>
    <w:rsid w:val="00CF71E5"/>
    <w:rsid w:val="00CF7DEB"/>
    <w:rsid w:val="00CF7FCD"/>
    <w:rsid w:val="00D00F4F"/>
    <w:rsid w:val="00D03486"/>
    <w:rsid w:val="00D04FBC"/>
    <w:rsid w:val="00D05138"/>
    <w:rsid w:val="00D07038"/>
    <w:rsid w:val="00D100D8"/>
    <w:rsid w:val="00D101B5"/>
    <w:rsid w:val="00D10291"/>
    <w:rsid w:val="00D10526"/>
    <w:rsid w:val="00D11527"/>
    <w:rsid w:val="00D1191A"/>
    <w:rsid w:val="00D11AE2"/>
    <w:rsid w:val="00D14336"/>
    <w:rsid w:val="00D14721"/>
    <w:rsid w:val="00D1496E"/>
    <w:rsid w:val="00D15651"/>
    <w:rsid w:val="00D16636"/>
    <w:rsid w:val="00D177C5"/>
    <w:rsid w:val="00D200B9"/>
    <w:rsid w:val="00D224E9"/>
    <w:rsid w:val="00D22641"/>
    <w:rsid w:val="00D24447"/>
    <w:rsid w:val="00D27AA8"/>
    <w:rsid w:val="00D30F4C"/>
    <w:rsid w:val="00D31401"/>
    <w:rsid w:val="00D316A5"/>
    <w:rsid w:val="00D3191E"/>
    <w:rsid w:val="00D332D1"/>
    <w:rsid w:val="00D3383B"/>
    <w:rsid w:val="00D34D69"/>
    <w:rsid w:val="00D358AD"/>
    <w:rsid w:val="00D35E3F"/>
    <w:rsid w:val="00D36986"/>
    <w:rsid w:val="00D379AA"/>
    <w:rsid w:val="00D400C8"/>
    <w:rsid w:val="00D41023"/>
    <w:rsid w:val="00D41087"/>
    <w:rsid w:val="00D41861"/>
    <w:rsid w:val="00D419B0"/>
    <w:rsid w:val="00D41B6E"/>
    <w:rsid w:val="00D41CD2"/>
    <w:rsid w:val="00D43E72"/>
    <w:rsid w:val="00D454E8"/>
    <w:rsid w:val="00D463CA"/>
    <w:rsid w:val="00D46CA5"/>
    <w:rsid w:val="00D5008D"/>
    <w:rsid w:val="00D51221"/>
    <w:rsid w:val="00D53E10"/>
    <w:rsid w:val="00D55963"/>
    <w:rsid w:val="00D56D10"/>
    <w:rsid w:val="00D63A95"/>
    <w:rsid w:val="00D64938"/>
    <w:rsid w:val="00D65963"/>
    <w:rsid w:val="00D65C4F"/>
    <w:rsid w:val="00D66734"/>
    <w:rsid w:val="00D67F52"/>
    <w:rsid w:val="00D718A3"/>
    <w:rsid w:val="00D71A44"/>
    <w:rsid w:val="00D73023"/>
    <w:rsid w:val="00D731AC"/>
    <w:rsid w:val="00D74648"/>
    <w:rsid w:val="00D7515C"/>
    <w:rsid w:val="00D752DB"/>
    <w:rsid w:val="00D755F1"/>
    <w:rsid w:val="00D756E7"/>
    <w:rsid w:val="00D75A3B"/>
    <w:rsid w:val="00D77240"/>
    <w:rsid w:val="00D77597"/>
    <w:rsid w:val="00D8369B"/>
    <w:rsid w:val="00D84385"/>
    <w:rsid w:val="00D90D86"/>
    <w:rsid w:val="00D92C27"/>
    <w:rsid w:val="00D92D6C"/>
    <w:rsid w:val="00D961D7"/>
    <w:rsid w:val="00D96C1B"/>
    <w:rsid w:val="00D972D0"/>
    <w:rsid w:val="00DA0C74"/>
    <w:rsid w:val="00DA0D35"/>
    <w:rsid w:val="00DA1D43"/>
    <w:rsid w:val="00DA33B7"/>
    <w:rsid w:val="00DA3B8C"/>
    <w:rsid w:val="00DA65B0"/>
    <w:rsid w:val="00DA6DE7"/>
    <w:rsid w:val="00DB0429"/>
    <w:rsid w:val="00DB1867"/>
    <w:rsid w:val="00DB4344"/>
    <w:rsid w:val="00DB4C69"/>
    <w:rsid w:val="00DB6DE6"/>
    <w:rsid w:val="00DC3DA6"/>
    <w:rsid w:val="00DC470B"/>
    <w:rsid w:val="00DC521F"/>
    <w:rsid w:val="00DC7002"/>
    <w:rsid w:val="00DC727E"/>
    <w:rsid w:val="00DD0F03"/>
    <w:rsid w:val="00DD1A2C"/>
    <w:rsid w:val="00DD1E4B"/>
    <w:rsid w:val="00DD254B"/>
    <w:rsid w:val="00DD3197"/>
    <w:rsid w:val="00DD362B"/>
    <w:rsid w:val="00DD4F30"/>
    <w:rsid w:val="00DD544F"/>
    <w:rsid w:val="00DE02E2"/>
    <w:rsid w:val="00DE0E88"/>
    <w:rsid w:val="00DE2536"/>
    <w:rsid w:val="00DE26EE"/>
    <w:rsid w:val="00DE541E"/>
    <w:rsid w:val="00DE7160"/>
    <w:rsid w:val="00DE740F"/>
    <w:rsid w:val="00DF029E"/>
    <w:rsid w:val="00DF0FEB"/>
    <w:rsid w:val="00DF1118"/>
    <w:rsid w:val="00DF18BE"/>
    <w:rsid w:val="00DF1B78"/>
    <w:rsid w:val="00DF1BF3"/>
    <w:rsid w:val="00DF1E7F"/>
    <w:rsid w:val="00DF23F0"/>
    <w:rsid w:val="00DF39FB"/>
    <w:rsid w:val="00DF4D66"/>
    <w:rsid w:val="00E029D9"/>
    <w:rsid w:val="00E02C53"/>
    <w:rsid w:val="00E03145"/>
    <w:rsid w:val="00E04E9E"/>
    <w:rsid w:val="00E051A4"/>
    <w:rsid w:val="00E07D62"/>
    <w:rsid w:val="00E1152C"/>
    <w:rsid w:val="00E11B51"/>
    <w:rsid w:val="00E124DC"/>
    <w:rsid w:val="00E12B37"/>
    <w:rsid w:val="00E133BF"/>
    <w:rsid w:val="00E13EF9"/>
    <w:rsid w:val="00E15525"/>
    <w:rsid w:val="00E158CD"/>
    <w:rsid w:val="00E16577"/>
    <w:rsid w:val="00E16BC4"/>
    <w:rsid w:val="00E20819"/>
    <w:rsid w:val="00E20E88"/>
    <w:rsid w:val="00E21812"/>
    <w:rsid w:val="00E23B1C"/>
    <w:rsid w:val="00E24144"/>
    <w:rsid w:val="00E24E14"/>
    <w:rsid w:val="00E263B6"/>
    <w:rsid w:val="00E265D7"/>
    <w:rsid w:val="00E27480"/>
    <w:rsid w:val="00E27F2A"/>
    <w:rsid w:val="00E32854"/>
    <w:rsid w:val="00E33D78"/>
    <w:rsid w:val="00E35CDD"/>
    <w:rsid w:val="00E40DF8"/>
    <w:rsid w:val="00E414BA"/>
    <w:rsid w:val="00E417D5"/>
    <w:rsid w:val="00E418DA"/>
    <w:rsid w:val="00E42234"/>
    <w:rsid w:val="00E431AD"/>
    <w:rsid w:val="00E43491"/>
    <w:rsid w:val="00E438D2"/>
    <w:rsid w:val="00E43CE8"/>
    <w:rsid w:val="00E44222"/>
    <w:rsid w:val="00E453CF"/>
    <w:rsid w:val="00E45A0E"/>
    <w:rsid w:val="00E50596"/>
    <w:rsid w:val="00E50B45"/>
    <w:rsid w:val="00E52502"/>
    <w:rsid w:val="00E528F4"/>
    <w:rsid w:val="00E53109"/>
    <w:rsid w:val="00E54702"/>
    <w:rsid w:val="00E54D89"/>
    <w:rsid w:val="00E55119"/>
    <w:rsid w:val="00E57BE0"/>
    <w:rsid w:val="00E61084"/>
    <w:rsid w:val="00E621B3"/>
    <w:rsid w:val="00E62E7F"/>
    <w:rsid w:val="00E63464"/>
    <w:rsid w:val="00E63563"/>
    <w:rsid w:val="00E63877"/>
    <w:rsid w:val="00E650A7"/>
    <w:rsid w:val="00E651A2"/>
    <w:rsid w:val="00E65D0F"/>
    <w:rsid w:val="00E6651B"/>
    <w:rsid w:val="00E667AF"/>
    <w:rsid w:val="00E718F1"/>
    <w:rsid w:val="00E724F4"/>
    <w:rsid w:val="00E7311A"/>
    <w:rsid w:val="00E7328B"/>
    <w:rsid w:val="00E73CE6"/>
    <w:rsid w:val="00E75075"/>
    <w:rsid w:val="00E75911"/>
    <w:rsid w:val="00E759F0"/>
    <w:rsid w:val="00E75CE9"/>
    <w:rsid w:val="00E75EAF"/>
    <w:rsid w:val="00E76CB1"/>
    <w:rsid w:val="00E80A4F"/>
    <w:rsid w:val="00E81483"/>
    <w:rsid w:val="00E81A02"/>
    <w:rsid w:val="00E81E9D"/>
    <w:rsid w:val="00E8211E"/>
    <w:rsid w:val="00E83948"/>
    <w:rsid w:val="00E83E8D"/>
    <w:rsid w:val="00E84E5C"/>
    <w:rsid w:val="00E856D9"/>
    <w:rsid w:val="00E85A25"/>
    <w:rsid w:val="00E85D56"/>
    <w:rsid w:val="00E867D1"/>
    <w:rsid w:val="00E90190"/>
    <w:rsid w:val="00E909E7"/>
    <w:rsid w:val="00E90CA2"/>
    <w:rsid w:val="00E9190B"/>
    <w:rsid w:val="00E91961"/>
    <w:rsid w:val="00EA09C9"/>
    <w:rsid w:val="00EA1A8A"/>
    <w:rsid w:val="00EA3026"/>
    <w:rsid w:val="00EA3ED7"/>
    <w:rsid w:val="00EA4AEC"/>
    <w:rsid w:val="00EA5B50"/>
    <w:rsid w:val="00EB0E6C"/>
    <w:rsid w:val="00EB17B1"/>
    <w:rsid w:val="00EB2591"/>
    <w:rsid w:val="00EB268C"/>
    <w:rsid w:val="00EB4F04"/>
    <w:rsid w:val="00EB6AED"/>
    <w:rsid w:val="00EB6B7C"/>
    <w:rsid w:val="00EB739E"/>
    <w:rsid w:val="00EB744A"/>
    <w:rsid w:val="00EC0912"/>
    <w:rsid w:val="00EC0D19"/>
    <w:rsid w:val="00EC108D"/>
    <w:rsid w:val="00EC1399"/>
    <w:rsid w:val="00EC2149"/>
    <w:rsid w:val="00EC673A"/>
    <w:rsid w:val="00EC7E9B"/>
    <w:rsid w:val="00ED12C6"/>
    <w:rsid w:val="00ED1334"/>
    <w:rsid w:val="00ED1CC7"/>
    <w:rsid w:val="00ED27AF"/>
    <w:rsid w:val="00ED31E3"/>
    <w:rsid w:val="00ED3678"/>
    <w:rsid w:val="00EE02CF"/>
    <w:rsid w:val="00EE1113"/>
    <w:rsid w:val="00EE187F"/>
    <w:rsid w:val="00EE3DAC"/>
    <w:rsid w:val="00EE46A4"/>
    <w:rsid w:val="00EE4E3A"/>
    <w:rsid w:val="00EE511A"/>
    <w:rsid w:val="00EE53C2"/>
    <w:rsid w:val="00EF057C"/>
    <w:rsid w:val="00EF4660"/>
    <w:rsid w:val="00EF5DD0"/>
    <w:rsid w:val="00EF5F7D"/>
    <w:rsid w:val="00EF6B49"/>
    <w:rsid w:val="00F005E8"/>
    <w:rsid w:val="00F009DD"/>
    <w:rsid w:val="00F01BED"/>
    <w:rsid w:val="00F0241F"/>
    <w:rsid w:val="00F03EE0"/>
    <w:rsid w:val="00F0425D"/>
    <w:rsid w:val="00F04B4C"/>
    <w:rsid w:val="00F063E0"/>
    <w:rsid w:val="00F064D4"/>
    <w:rsid w:val="00F108C8"/>
    <w:rsid w:val="00F12000"/>
    <w:rsid w:val="00F122C5"/>
    <w:rsid w:val="00F12DA4"/>
    <w:rsid w:val="00F13002"/>
    <w:rsid w:val="00F13C45"/>
    <w:rsid w:val="00F15CE4"/>
    <w:rsid w:val="00F15EC6"/>
    <w:rsid w:val="00F17D09"/>
    <w:rsid w:val="00F21933"/>
    <w:rsid w:val="00F24392"/>
    <w:rsid w:val="00F2442C"/>
    <w:rsid w:val="00F25960"/>
    <w:rsid w:val="00F26966"/>
    <w:rsid w:val="00F2752D"/>
    <w:rsid w:val="00F32571"/>
    <w:rsid w:val="00F33462"/>
    <w:rsid w:val="00F3429C"/>
    <w:rsid w:val="00F36246"/>
    <w:rsid w:val="00F36C02"/>
    <w:rsid w:val="00F371D8"/>
    <w:rsid w:val="00F37DDC"/>
    <w:rsid w:val="00F4046F"/>
    <w:rsid w:val="00F42D41"/>
    <w:rsid w:val="00F43EA8"/>
    <w:rsid w:val="00F45F19"/>
    <w:rsid w:val="00F50B17"/>
    <w:rsid w:val="00F50C44"/>
    <w:rsid w:val="00F51052"/>
    <w:rsid w:val="00F51502"/>
    <w:rsid w:val="00F525AE"/>
    <w:rsid w:val="00F52BC7"/>
    <w:rsid w:val="00F53437"/>
    <w:rsid w:val="00F536BE"/>
    <w:rsid w:val="00F54C6E"/>
    <w:rsid w:val="00F551B7"/>
    <w:rsid w:val="00F55935"/>
    <w:rsid w:val="00F56B22"/>
    <w:rsid w:val="00F5726E"/>
    <w:rsid w:val="00F577D0"/>
    <w:rsid w:val="00F60647"/>
    <w:rsid w:val="00F607F4"/>
    <w:rsid w:val="00F623EC"/>
    <w:rsid w:val="00F62DEC"/>
    <w:rsid w:val="00F6512E"/>
    <w:rsid w:val="00F6575D"/>
    <w:rsid w:val="00F66AD8"/>
    <w:rsid w:val="00F66DF1"/>
    <w:rsid w:val="00F67999"/>
    <w:rsid w:val="00F70DDF"/>
    <w:rsid w:val="00F7171D"/>
    <w:rsid w:val="00F7466D"/>
    <w:rsid w:val="00F7495B"/>
    <w:rsid w:val="00F77A19"/>
    <w:rsid w:val="00F84E9C"/>
    <w:rsid w:val="00F85CD7"/>
    <w:rsid w:val="00F86EBA"/>
    <w:rsid w:val="00F92C43"/>
    <w:rsid w:val="00F94667"/>
    <w:rsid w:val="00F96B10"/>
    <w:rsid w:val="00F973BF"/>
    <w:rsid w:val="00FA0081"/>
    <w:rsid w:val="00FA0ED8"/>
    <w:rsid w:val="00FA14F8"/>
    <w:rsid w:val="00FA1D22"/>
    <w:rsid w:val="00FA234C"/>
    <w:rsid w:val="00FA3242"/>
    <w:rsid w:val="00FA32C0"/>
    <w:rsid w:val="00FA3BCE"/>
    <w:rsid w:val="00FA63B6"/>
    <w:rsid w:val="00FA7F1B"/>
    <w:rsid w:val="00FB03A7"/>
    <w:rsid w:val="00FB5A1A"/>
    <w:rsid w:val="00FB5B94"/>
    <w:rsid w:val="00FB5FC2"/>
    <w:rsid w:val="00FB602D"/>
    <w:rsid w:val="00FB70F8"/>
    <w:rsid w:val="00FB7B7F"/>
    <w:rsid w:val="00FC0FC8"/>
    <w:rsid w:val="00FC21F6"/>
    <w:rsid w:val="00FC2FB0"/>
    <w:rsid w:val="00FC4D12"/>
    <w:rsid w:val="00FC4F32"/>
    <w:rsid w:val="00FC5A03"/>
    <w:rsid w:val="00FD0AC2"/>
    <w:rsid w:val="00FD10D9"/>
    <w:rsid w:val="00FD18DA"/>
    <w:rsid w:val="00FD2358"/>
    <w:rsid w:val="00FD2551"/>
    <w:rsid w:val="00FD4BAD"/>
    <w:rsid w:val="00FD4C6C"/>
    <w:rsid w:val="00FD5424"/>
    <w:rsid w:val="00FD74F1"/>
    <w:rsid w:val="00FE11EF"/>
    <w:rsid w:val="00FE1AA1"/>
    <w:rsid w:val="00FE2447"/>
    <w:rsid w:val="00FE2DDA"/>
    <w:rsid w:val="00FE3CD8"/>
    <w:rsid w:val="00FE4190"/>
    <w:rsid w:val="00FE4F45"/>
    <w:rsid w:val="00FE609E"/>
    <w:rsid w:val="00FE7455"/>
    <w:rsid w:val="00FE7537"/>
    <w:rsid w:val="00FF29B9"/>
    <w:rsid w:val="00FF2DC0"/>
    <w:rsid w:val="00FF3E88"/>
    <w:rsid w:val="00FF4324"/>
    <w:rsid w:val="00FF4496"/>
    <w:rsid w:val="00FF4D72"/>
    <w:rsid w:val="00FF5AA2"/>
    <w:rsid w:val="00FF63C7"/>
    <w:rsid w:val="00FF65F9"/>
    <w:rsid w:val="00FF7674"/>
    <w:rsid w:val="00F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uiPriority w:val="99"/>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33"/>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21EE"/>
    <w:pPr>
      <w:tabs>
        <w:tab w:val="center" w:pos="4153"/>
        <w:tab w:val="right" w:pos="8306"/>
      </w:tabs>
    </w:pPr>
  </w:style>
  <w:style w:type="character" w:customStyle="1" w:styleId="FooterChar">
    <w:name w:val="Footer Char"/>
    <w:basedOn w:val="DefaultParagraphFont"/>
    <w:link w:val="Footer"/>
    <w:uiPriority w:val="99"/>
    <w:semiHidden/>
    <w:rsid w:val="003A0D32"/>
    <w:rPr>
      <w:rFonts w:ascii="Arial" w:hAnsi="Arial" w:cs="Arial"/>
      <w:sz w:val="20"/>
      <w:szCs w:val="20"/>
    </w:rPr>
  </w:style>
  <w:style w:type="character" w:styleId="PageNumber">
    <w:name w:val="page number"/>
    <w:basedOn w:val="DefaultParagraphFont"/>
    <w:uiPriority w:val="99"/>
    <w:rsid w:val="006021EE"/>
  </w:style>
  <w:style w:type="character" w:styleId="Hyperlink">
    <w:name w:val="Hyperlink"/>
    <w:basedOn w:val="DefaultParagraphFont"/>
    <w:uiPriority w:val="99"/>
    <w:rsid w:val="00A86E5B"/>
    <w:rPr>
      <w:color w:val="0000FF"/>
      <w:u w:val="single"/>
    </w:rPr>
  </w:style>
  <w:style w:type="character" w:styleId="FollowedHyperlink">
    <w:name w:val="FollowedHyperlink"/>
    <w:basedOn w:val="DefaultParagraphFont"/>
    <w:uiPriority w:val="99"/>
    <w:rsid w:val="00A86E5B"/>
    <w:rPr>
      <w:color w:val="800080"/>
      <w:u w:val="single"/>
    </w:rPr>
  </w:style>
  <w:style w:type="table" w:styleId="TableGrid">
    <w:name w:val="Table Grid"/>
    <w:basedOn w:val="TableNormal"/>
    <w:uiPriority w:val="99"/>
    <w:rsid w:val="00F536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1A21"/>
    <w:pPr>
      <w:ind w:left="720"/>
    </w:pPr>
  </w:style>
  <w:style w:type="paragraph" w:customStyle="1" w:styleId="Default">
    <w:name w:val="Default"/>
    <w:uiPriority w:val="99"/>
    <w:rsid w:val="005F08D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5A16CD"/>
    <w:pPr>
      <w:tabs>
        <w:tab w:val="center" w:pos="4153"/>
        <w:tab w:val="right" w:pos="8306"/>
      </w:tabs>
    </w:pPr>
  </w:style>
  <w:style w:type="character" w:customStyle="1" w:styleId="HeaderChar">
    <w:name w:val="Header Char"/>
    <w:basedOn w:val="DefaultParagraphFont"/>
    <w:link w:val="Header"/>
    <w:uiPriority w:val="99"/>
    <w:rsid w:val="003C71C9"/>
    <w:rPr>
      <w:rFonts w:ascii="Arial" w:hAnsi="Arial" w:cs="Arial"/>
    </w:rPr>
  </w:style>
  <w:style w:type="paragraph" w:styleId="BalloonText">
    <w:name w:val="Balloon Text"/>
    <w:basedOn w:val="Normal"/>
    <w:link w:val="BalloonTextChar"/>
    <w:uiPriority w:val="99"/>
    <w:semiHidden/>
    <w:rsid w:val="003C71C9"/>
    <w:rPr>
      <w:rFonts w:ascii="Tahoma" w:hAnsi="Tahoma" w:cs="Tahoma"/>
      <w:sz w:val="16"/>
      <w:szCs w:val="16"/>
    </w:rPr>
  </w:style>
  <w:style w:type="character" w:customStyle="1" w:styleId="BalloonTextChar">
    <w:name w:val="Balloon Text Char"/>
    <w:basedOn w:val="DefaultParagraphFont"/>
    <w:link w:val="BalloonText"/>
    <w:uiPriority w:val="99"/>
    <w:semiHidden/>
    <w:rsid w:val="003C71C9"/>
    <w:rPr>
      <w:rFonts w:ascii="Tahoma" w:hAnsi="Tahoma" w:cs="Tahoma"/>
      <w:sz w:val="16"/>
      <w:szCs w:val="16"/>
    </w:rPr>
  </w:style>
  <w:style w:type="paragraph" w:customStyle="1" w:styleId="Char1CharChar">
    <w:name w:val="Char1 Char Char"/>
    <w:basedOn w:val="Normal"/>
    <w:uiPriority w:val="99"/>
    <w:rsid w:val="003C71C9"/>
    <w:pPr>
      <w:keepLines/>
      <w:spacing w:after="160" w:line="240" w:lineRule="exact"/>
      <w:ind w:left="2977"/>
    </w:pPr>
    <w:rPr>
      <w:rFonts w:ascii="Tahoma" w:hAnsi="Tahoma" w:cs="Tahoma"/>
      <w:lang w:val="en-US" w:eastAsia="en-US"/>
    </w:rPr>
  </w:style>
  <w:style w:type="paragraph" w:customStyle="1" w:styleId="Char1CharChar0">
    <w:name w:val="Char1 Char Char"/>
    <w:basedOn w:val="Normal"/>
    <w:rsid w:val="00A81D09"/>
    <w:pPr>
      <w:keepLines/>
      <w:spacing w:after="160" w:line="240" w:lineRule="exact"/>
      <w:ind w:left="2977"/>
    </w:pPr>
    <w:rPr>
      <w:rFonts w:ascii="Tahoma" w:hAnsi="Tahoma"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664">
      <w:bodyDiv w:val="1"/>
      <w:marLeft w:val="0"/>
      <w:marRight w:val="0"/>
      <w:marTop w:val="0"/>
      <w:marBottom w:val="0"/>
      <w:divBdr>
        <w:top w:val="none" w:sz="0" w:space="0" w:color="auto"/>
        <w:left w:val="none" w:sz="0" w:space="0" w:color="auto"/>
        <w:bottom w:val="none" w:sz="0" w:space="0" w:color="auto"/>
        <w:right w:val="none" w:sz="0" w:space="0" w:color="auto"/>
      </w:divBdr>
    </w:div>
    <w:div w:id="1901135708">
      <w:marLeft w:val="0"/>
      <w:marRight w:val="0"/>
      <w:marTop w:val="0"/>
      <w:marBottom w:val="0"/>
      <w:divBdr>
        <w:top w:val="none" w:sz="0" w:space="0" w:color="auto"/>
        <w:left w:val="none" w:sz="0" w:space="0" w:color="auto"/>
        <w:bottom w:val="none" w:sz="0" w:space="0" w:color="auto"/>
        <w:right w:val="none" w:sz="0" w:space="0" w:color="auto"/>
      </w:divBdr>
    </w:div>
    <w:div w:id="1901135709">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01135711">
      <w:marLeft w:val="0"/>
      <w:marRight w:val="0"/>
      <w:marTop w:val="0"/>
      <w:marBottom w:val="0"/>
      <w:divBdr>
        <w:top w:val="none" w:sz="0" w:space="0" w:color="auto"/>
        <w:left w:val="none" w:sz="0" w:space="0" w:color="auto"/>
        <w:bottom w:val="none" w:sz="0" w:space="0" w:color="auto"/>
        <w:right w:val="none" w:sz="0" w:space="0" w:color="auto"/>
      </w:divBdr>
    </w:div>
    <w:div w:id="1901135712">
      <w:marLeft w:val="0"/>
      <w:marRight w:val="0"/>
      <w:marTop w:val="0"/>
      <w:marBottom w:val="0"/>
      <w:divBdr>
        <w:top w:val="none" w:sz="0" w:space="0" w:color="auto"/>
        <w:left w:val="none" w:sz="0" w:space="0" w:color="auto"/>
        <w:bottom w:val="none" w:sz="0" w:space="0" w:color="auto"/>
        <w:right w:val="none" w:sz="0" w:space="0" w:color="auto"/>
      </w:divBdr>
    </w:div>
    <w:div w:id="1901135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cracy.bradford.gov.uk/ieListMeetings.aspx?CId=160&amp;Year=0" TargetMode="External"/><Relationship Id="rId18" Type="http://schemas.openxmlformats.org/officeDocument/2006/relationships/hyperlink" Target="mailto:andrew.redding@bradford.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so.bradford.gov.uk/Schools/CMSPage.aspx?mid=212" TargetMode="External"/><Relationship Id="rId17" Type="http://schemas.openxmlformats.org/officeDocument/2006/relationships/hyperlink" Target="mailto:sarah.north@bradford.gov.uk" TargetMode="External"/><Relationship Id="rId2" Type="http://schemas.openxmlformats.org/officeDocument/2006/relationships/numbering" Target="numbering.xml"/><Relationship Id="rId16" Type="http://schemas.openxmlformats.org/officeDocument/2006/relationships/hyperlink" Target="http://democracy.bradford.gov.uk/ieListMeetings.aspx?CId=160&amp;Year=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45686/Schools_revenue_funding_2016_to_2017_operational_guide_publication_version_final.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rah.north@bradford.gov.uk" TargetMode="External"/><Relationship Id="rId23" Type="http://schemas.openxmlformats.org/officeDocument/2006/relationships/fontTable" Target="fontTable.xml"/><Relationship Id="rId10" Type="http://schemas.openxmlformats.org/officeDocument/2006/relationships/hyperlink" Target="https://www.gov.uk/government/uploads/system/uploads/attachment_data/file/414929/Schools_revenue_funding_2015_to_2016_operational_guide_March_2015.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uploads/system/uploads/attachment_data/file/207611/2014-15_Operational_guidance.pdf" TargetMode="External"/><Relationship Id="rId14" Type="http://schemas.openxmlformats.org/officeDocument/2006/relationships/hyperlink" Target="mailto:andrew.redding@bradford.gov.uk"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file:///C:\bmdclogos\bannerbw.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133BB-DA67-409B-90C1-4B6DE79E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Formula Funding Consultation</vt:lpstr>
    </vt:vector>
  </TitlesOfParts>
  <Company>Serco-EB</Company>
  <LinksUpToDate>false</LinksUpToDate>
  <CharactersWithSpaces>45153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Funding Consultation</dc:title>
  <dc:subject/>
  <dc:creator>andrew.redding</dc:creator>
  <cp:keywords/>
  <dc:description/>
  <cp:lastModifiedBy>Sarah North</cp:lastModifiedBy>
  <cp:revision>2</cp:revision>
  <cp:lastPrinted>2015-09-14T15:35:00Z</cp:lastPrinted>
  <dcterms:created xsi:type="dcterms:W3CDTF">2015-09-23T11:41:00Z</dcterms:created>
  <dcterms:modified xsi:type="dcterms:W3CDTF">2015-09-23T11:41:00Z</dcterms:modified>
</cp:coreProperties>
</file>