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FAF" w:rsidRDefault="00F13FAF"/>
    <w:p w:rsidR="00543232" w:rsidRDefault="00543232"/>
    <w:tbl>
      <w:tblPr>
        <w:tblW w:w="9648" w:type="dxa"/>
        <w:tblLayout w:type="fixed"/>
        <w:tblLook w:val="0000" w:firstRow="0" w:lastRow="0" w:firstColumn="0" w:lastColumn="0" w:noHBand="0" w:noVBand="0"/>
      </w:tblPr>
      <w:tblGrid>
        <w:gridCol w:w="6318"/>
        <w:gridCol w:w="3330"/>
      </w:tblGrid>
      <w:tr w:rsidR="008A4C69">
        <w:tblPrEx>
          <w:tblCellMar>
            <w:top w:w="0" w:type="dxa"/>
            <w:bottom w:w="0" w:type="dxa"/>
          </w:tblCellMar>
        </w:tblPrEx>
        <w:trPr>
          <w:cantSplit/>
        </w:trPr>
        <w:tc>
          <w:tcPr>
            <w:tcW w:w="6318" w:type="dxa"/>
          </w:tcPr>
          <w:p w:rsidR="008A4C69" w:rsidRPr="00CC0937" w:rsidRDefault="008A4C69">
            <w:r w:rsidRPr="00CC0937">
              <w:t>Our ref:</w:t>
            </w:r>
            <w:r w:rsidRPr="00CC0937">
              <w:fldChar w:fldCharType="begin"/>
            </w:r>
            <w:r w:rsidRPr="00CC0937">
              <w:instrText xml:space="preserve"> fillin "Type Our Reference, then click OK" </w:instrText>
            </w:r>
            <w:r w:rsidR="00F6728C" w:rsidRPr="00CC0937">
              <w:fldChar w:fldCharType="separate"/>
            </w:r>
            <w:r w:rsidRPr="00CC0937">
              <w:fldChar w:fldCharType="end"/>
            </w:r>
          </w:p>
          <w:p w:rsidR="008A4C69" w:rsidRPr="001C0FA1" w:rsidRDefault="008A4C69">
            <w:pPr>
              <w:rPr>
                <w:sz w:val="22"/>
                <w:szCs w:val="22"/>
              </w:rPr>
            </w:pPr>
          </w:p>
        </w:tc>
        <w:tc>
          <w:tcPr>
            <w:tcW w:w="3330" w:type="dxa"/>
            <w:vMerge w:val="restart"/>
          </w:tcPr>
          <w:p w:rsidR="003C724F" w:rsidRDefault="003C724F">
            <w:pPr>
              <w:rPr>
                <w:b/>
                <w:sz w:val="16"/>
              </w:rPr>
            </w:pPr>
            <w:r>
              <w:rPr>
                <w:b/>
                <w:sz w:val="16"/>
              </w:rPr>
              <w:t>Department of Financial Services</w:t>
            </w:r>
          </w:p>
          <w:p w:rsidR="00A50B41" w:rsidRDefault="00773D16">
            <w:pPr>
              <w:rPr>
                <w:b/>
                <w:sz w:val="16"/>
              </w:rPr>
            </w:pPr>
            <w:smartTag w:uri="urn:schemas-microsoft-com:office:smarttags" w:element="PersonName">
              <w:r>
                <w:rPr>
                  <w:b/>
                  <w:sz w:val="16"/>
                </w:rPr>
                <w:t>School Funding</w:t>
              </w:r>
            </w:smartTag>
            <w:r>
              <w:rPr>
                <w:b/>
                <w:sz w:val="16"/>
              </w:rPr>
              <w:t xml:space="preserve"> Team</w:t>
            </w:r>
          </w:p>
          <w:p w:rsidR="00362591" w:rsidRDefault="00FF0A9C">
            <w:pPr>
              <w:rPr>
                <w:sz w:val="16"/>
              </w:rPr>
            </w:pPr>
            <w:r>
              <w:rPr>
                <w:sz w:val="16"/>
              </w:rPr>
              <w:t>1st</w:t>
            </w:r>
            <w:r w:rsidR="0036399D">
              <w:rPr>
                <w:sz w:val="16"/>
              </w:rPr>
              <w:t xml:space="preserve"> Floor Britannia House, Hall </w:t>
            </w:r>
            <w:proofErr w:type="spellStart"/>
            <w:r w:rsidR="0036399D">
              <w:rPr>
                <w:sz w:val="16"/>
              </w:rPr>
              <w:t>Ings</w:t>
            </w:r>
            <w:proofErr w:type="spellEnd"/>
          </w:p>
          <w:p w:rsidR="008A4C69" w:rsidRDefault="008A4C69">
            <w:pPr>
              <w:rPr>
                <w:sz w:val="16"/>
              </w:rPr>
            </w:pPr>
            <w:r>
              <w:rPr>
                <w:sz w:val="16"/>
              </w:rPr>
              <w:t>Bradford</w:t>
            </w:r>
            <w:r w:rsidR="0036399D">
              <w:rPr>
                <w:sz w:val="16"/>
              </w:rPr>
              <w:t xml:space="preserve">  BD1 1HX</w:t>
            </w:r>
          </w:p>
          <w:p w:rsidR="008A4C69" w:rsidRDefault="008A4C69">
            <w:pPr>
              <w:rPr>
                <w:sz w:val="16"/>
              </w:rPr>
            </w:pPr>
          </w:p>
          <w:p w:rsidR="008A4C69" w:rsidRDefault="001A0833">
            <w:pPr>
              <w:tabs>
                <w:tab w:val="left" w:pos="905"/>
              </w:tabs>
              <w:rPr>
                <w:sz w:val="16"/>
              </w:rPr>
            </w:pPr>
            <w:r w:rsidRPr="001A0833">
              <w:rPr>
                <w:b/>
                <w:sz w:val="16"/>
              </w:rPr>
              <w:t>Telephone</w:t>
            </w:r>
            <w:r w:rsidR="00832D28">
              <w:rPr>
                <w:b/>
                <w:sz w:val="16"/>
              </w:rPr>
              <w:tab/>
            </w:r>
            <w:r w:rsidR="008A4C69">
              <w:rPr>
                <w:sz w:val="16"/>
              </w:rPr>
              <w:t xml:space="preserve">01274 </w:t>
            </w:r>
            <w:r w:rsidR="0036399D">
              <w:rPr>
                <w:sz w:val="16"/>
              </w:rPr>
              <w:t>432678</w:t>
            </w:r>
            <w:r w:rsidR="008A4C69">
              <w:rPr>
                <w:sz w:val="16"/>
              </w:rPr>
              <w:fldChar w:fldCharType="begin"/>
            </w:r>
            <w:r w:rsidR="008A4C69">
              <w:rPr>
                <w:sz w:val="16"/>
              </w:rPr>
              <w:instrText xml:space="preserve"> fillin "Type Your Tel Ext, then click OK" </w:instrText>
            </w:r>
            <w:r w:rsidR="00F6728C">
              <w:rPr>
                <w:sz w:val="16"/>
              </w:rPr>
              <w:fldChar w:fldCharType="separate"/>
            </w:r>
            <w:r w:rsidR="008A4C69">
              <w:rPr>
                <w:sz w:val="16"/>
              </w:rPr>
              <w:fldChar w:fldCharType="end"/>
            </w:r>
          </w:p>
          <w:p w:rsidR="008A4C69" w:rsidRDefault="001A0833">
            <w:pPr>
              <w:tabs>
                <w:tab w:val="left" w:pos="905"/>
              </w:tabs>
              <w:rPr>
                <w:sz w:val="16"/>
              </w:rPr>
            </w:pPr>
            <w:r>
              <w:rPr>
                <w:b/>
                <w:sz w:val="16"/>
              </w:rPr>
              <w:t xml:space="preserve">Fax    </w:t>
            </w:r>
            <w:r w:rsidR="00832D28">
              <w:rPr>
                <w:b/>
                <w:sz w:val="16"/>
              </w:rPr>
              <w:tab/>
            </w:r>
            <w:r w:rsidR="008A4C69">
              <w:rPr>
                <w:sz w:val="16"/>
              </w:rPr>
              <w:t xml:space="preserve">01274 </w:t>
            </w:r>
            <w:r w:rsidR="0036399D">
              <w:rPr>
                <w:sz w:val="16"/>
              </w:rPr>
              <w:t>435054</w:t>
            </w:r>
          </w:p>
          <w:p w:rsidR="00904F60" w:rsidRDefault="00904F60">
            <w:pPr>
              <w:tabs>
                <w:tab w:val="left" w:pos="905"/>
              </w:tabs>
              <w:rPr>
                <w:sz w:val="16"/>
              </w:rPr>
            </w:pPr>
            <w:r w:rsidRPr="00904F60">
              <w:rPr>
                <w:b/>
                <w:sz w:val="16"/>
              </w:rPr>
              <w:t>Website</w:t>
            </w:r>
            <w:r>
              <w:rPr>
                <w:sz w:val="16"/>
              </w:rPr>
              <w:t xml:space="preserve">:     </w:t>
            </w:r>
            <w:hyperlink r:id="rId8" w:history="1">
              <w:r w:rsidRPr="001855BA">
                <w:rPr>
                  <w:rStyle w:val="Hyperlink"/>
                  <w:sz w:val="16"/>
                </w:rPr>
                <w:t>www.bradford.gov.uk</w:t>
              </w:r>
            </w:hyperlink>
          </w:p>
          <w:p w:rsidR="00773D16" w:rsidRDefault="00904F60">
            <w:pPr>
              <w:tabs>
                <w:tab w:val="left" w:pos="905"/>
              </w:tabs>
              <w:rPr>
                <w:b/>
                <w:sz w:val="16"/>
              </w:rPr>
            </w:pPr>
            <w:r w:rsidRPr="00904F60">
              <w:rPr>
                <w:b/>
                <w:sz w:val="16"/>
              </w:rPr>
              <w:t>Email:</w:t>
            </w:r>
            <w:r w:rsidR="00F6728C">
              <w:rPr>
                <w:b/>
                <w:sz w:val="16"/>
              </w:rPr>
              <w:t xml:space="preserve"> </w:t>
            </w:r>
            <w:hyperlink r:id="rId9" w:history="1">
              <w:r w:rsidR="00201CD7">
                <w:rPr>
                  <w:rStyle w:val="Hyperlink"/>
                  <w:b/>
                  <w:sz w:val="16"/>
                </w:rPr>
                <w:t>andrew.redding</w:t>
              </w:r>
              <w:r w:rsidR="00773D16" w:rsidRPr="002F0EAB">
                <w:rPr>
                  <w:rStyle w:val="Hyperlink"/>
                  <w:b/>
                  <w:sz w:val="16"/>
                </w:rPr>
                <w:t>@bradford.gov.uk</w:t>
              </w:r>
            </w:hyperlink>
          </w:p>
          <w:p w:rsidR="00904F60" w:rsidRDefault="00904F60">
            <w:pPr>
              <w:tabs>
                <w:tab w:val="left" w:pos="905"/>
              </w:tabs>
              <w:rPr>
                <w:b/>
                <w:sz w:val="16"/>
              </w:rPr>
            </w:pPr>
          </w:p>
          <w:p w:rsidR="008A4C69" w:rsidRDefault="008A4C69">
            <w:pPr>
              <w:rPr>
                <w:sz w:val="16"/>
              </w:rPr>
            </w:pPr>
          </w:p>
          <w:p w:rsidR="008A4C69" w:rsidRDefault="008A4C69">
            <w:pPr>
              <w:rPr>
                <w:b/>
                <w:sz w:val="16"/>
              </w:rPr>
            </w:pPr>
          </w:p>
        </w:tc>
      </w:tr>
      <w:tr w:rsidR="008A4C69">
        <w:tblPrEx>
          <w:tblCellMar>
            <w:top w:w="0" w:type="dxa"/>
            <w:bottom w:w="0" w:type="dxa"/>
          </w:tblCellMar>
        </w:tblPrEx>
        <w:trPr>
          <w:cantSplit/>
        </w:trPr>
        <w:tc>
          <w:tcPr>
            <w:tcW w:w="6318" w:type="dxa"/>
          </w:tcPr>
          <w:p w:rsidR="008A4C69" w:rsidRDefault="008A4C69"/>
          <w:p w:rsidR="004C5C3D" w:rsidRDefault="004C5C3D" w:rsidP="00005BD6">
            <w:pPr>
              <w:rPr>
                <w:sz w:val="22"/>
                <w:szCs w:val="22"/>
              </w:rPr>
            </w:pPr>
          </w:p>
          <w:p w:rsidR="008374B9" w:rsidRPr="00CC0937" w:rsidRDefault="004C5C3D" w:rsidP="00005BD6">
            <w:r w:rsidRPr="00CC0937">
              <w:t xml:space="preserve">To the </w:t>
            </w:r>
            <w:proofErr w:type="spellStart"/>
            <w:r w:rsidRPr="00CC0937">
              <w:t>Headteacher</w:t>
            </w:r>
            <w:proofErr w:type="spellEnd"/>
            <w:r w:rsidRPr="00CC0937">
              <w:t xml:space="preserve"> – all </w:t>
            </w:r>
            <w:r w:rsidR="00FF0A9C">
              <w:t xml:space="preserve">maintained </w:t>
            </w:r>
            <w:r w:rsidRPr="00CC0937">
              <w:t>schools</w:t>
            </w:r>
            <w:r w:rsidR="00DF564C" w:rsidRPr="00CC0937">
              <w:fldChar w:fldCharType="begin"/>
            </w:r>
            <w:r w:rsidR="00DF564C" w:rsidRPr="00CC0937">
              <w:instrText xml:space="preserve">  fillin "Type Name</w:instrText>
            </w:r>
            <w:r w:rsidR="001C4912" w:rsidRPr="00CC0937">
              <w:instrText>, address of Recipient</w:instrText>
            </w:r>
            <w:r w:rsidR="00DF564C" w:rsidRPr="00CC0937">
              <w:instrText xml:space="preserve">, then click OK" </w:instrText>
            </w:r>
            <w:r w:rsidR="00F6728C" w:rsidRPr="00CC0937">
              <w:fldChar w:fldCharType="separate"/>
            </w:r>
            <w:r w:rsidR="00DF564C" w:rsidRPr="00CC0937">
              <w:fldChar w:fldCharType="end"/>
            </w:r>
          </w:p>
        </w:tc>
        <w:tc>
          <w:tcPr>
            <w:tcW w:w="3330" w:type="dxa"/>
            <w:vMerge/>
          </w:tcPr>
          <w:p w:rsidR="008A4C69" w:rsidRDefault="008A4C69"/>
        </w:tc>
      </w:tr>
    </w:tbl>
    <w:p w:rsidR="00F6728C" w:rsidRDefault="00F6728C">
      <w:pPr>
        <w:rPr>
          <w:sz w:val="22"/>
          <w:szCs w:val="22"/>
        </w:rPr>
      </w:pPr>
    </w:p>
    <w:p w:rsidR="00652354" w:rsidRDefault="00FE5888" w:rsidP="00652354">
      <w:r>
        <w:t>1 August</w:t>
      </w:r>
      <w:r w:rsidR="00FF0A9C">
        <w:t xml:space="preserve"> 2016</w:t>
      </w:r>
    </w:p>
    <w:p w:rsidR="004C5C3D" w:rsidRDefault="004C5C3D" w:rsidP="004C5C3D">
      <w:pPr>
        <w:ind w:right="-999"/>
        <w:rPr>
          <w:rFonts w:cs="Arial"/>
        </w:rPr>
      </w:pPr>
      <w:bookmarkStart w:id="0" w:name="_GoBack"/>
      <w:bookmarkEnd w:id="0"/>
    </w:p>
    <w:p w:rsidR="004C5C3D" w:rsidRPr="002942E9" w:rsidRDefault="004C5C3D" w:rsidP="004C5C3D">
      <w:pPr>
        <w:ind w:right="-999"/>
        <w:rPr>
          <w:rFonts w:cs="Arial"/>
        </w:rPr>
      </w:pPr>
      <w:r w:rsidRPr="00152A6E">
        <w:rPr>
          <w:rFonts w:cs="Arial"/>
        </w:rPr>
        <w:t xml:space="preserve">Dear </w:t>
      </w:r>
      <w:r>
        <w:rPr>
          <w:rFonts w:cs="Arial"/>
        </w:rPr>
        <w:t>Colleague,</w:t>
      </w:r>
    </w:p>
    <w:p w:rsidR="004C5C3D" w:rsidRDefault="004C5C3D" w:rsidP="004C5C3D">
      <w:pPr>
        <w:jc w:val="both"/>
      </w:pPr>
    </w:p>
    <w:p w:rsidR="004C5C3D" w:rsidRDefault="004C5C3D" w:rsidP="004C5C3D">
      <w:pPr>
        <w:jc w:val="both"/>
        <w:rPr>
          <w:b/>
        </w:rPr>
      </w:pPr>
      <w:r w:rsidRPr="00BE5E6F">
        <w:rPr>
          <w:b/>
        </w:rPr>
        <w:t>SCHOOL BANK ACCOUNTS</w:t>
      </w:r>
      <w:r>
        <w:rPr>
          <w:b/>
        </w:rPr>
        <w:t xml:space="preserve"> – “</w:t>
      </w:r>
      <w:smartTag w:uri="urn:schemas-microsoft-com:office:smarttags" w:element="stockticker">
        <w:r>
          <w:rPr>
            <w:b/>
          </w:rPr>
          <w:t>FULL</w:t>
        </w:r>
      </w:smartTag>
      <w:r>
        <w:rPr>
          <w:b/>
        </w:rPr>
        <w:t xml:space="preserve"> BUDGET SHARE”</w:t>
      </w:r>
    </w:p>
    <w:p w:rsidR="004C5C3D" w:rsidRDefault="004C5C3D" w:rsidP="004C5C3D">
      <w:pPr>
        <w:spacing w:line="220" w:lineRule="exact"/>
        <w:jc w:val="both"/>
        <w:rPr>
          <w:b/>
        </w:rPr>
      </w:pPr>
    </w:p>
    <w:p w:rsidR="004C5C3D" w:rsidRDefault="004C5C3D" w:rsidP="004C5C3D">
      <w:pPr>
        <w:spacing w:line="220" w:lineRule="exact"/>
        <w:jc w:val="both"/>
      </w:pPr>
      <w:r>
        <w:t>The Scheme for Financing Schools provides s</w:t>
      </w:r>
      <w:r w:rsidRPr="00BC0A6D">
        <w:t xml:space="preserve">chools </w:t>
      </w:r>
      <w:r>
        <w:t>with</w:t>
      </w:r>
      <w:r w:rsidRPr="00BC0A6D">
        <w:t xml:space="preserve"> the option to have their </w:t>
      </w:r>
      <w:r>
        <w:rPr>
          <w:b/>
        </w:rPr>
        <w:t xml:space="preserve">full budget share </w:t>
      </w:r>
      <w:r>
        <w:t xml:space="preserve">(the full formula funding allocation) </w:t>
      </w:r>
      <w:r w:rsidRPr="00BC0A6D">
        <w:t xml:space="preserve">paid direct into their bank account </w:t>
      </w:r>
      <w:r>
        <w:t xml:space="preserve">by monthly instalments, </w:t>
      </w:r>
      <w:r w:rsidRPr="00BC0A6D">
        <w:t>rather than the part budget allocation (</w:t>
      </w:r>
      <w:r>
        <w:t xml:space="preserve">which covers only non-staffing costs </w:t>
      </w:r>
      <w:r w:rsidRPr="00BC0A6D">
        <w:t xml:space="preserve">after </w:t>
      </w:r>
      <w:r>
        <w:t>making</w:t>
      </w:r>
      <w:r w:rsidRPr="00BC0A6D">
        <w:t xml:space="preserve"> deductions for staff, rates and catering).</w:t>
      </w:r>
    </w:p>
    <w:p w:rsidR="004C5C3D" w:rsidRDefault="004C5C3D" w:rsidP="004C5C3D">
      <w:pPr>
        <w:spacing w:line="220" w:lineRule="exact"/>
        <w:jc w:val="both"/>
      </w:pPr>
    </w:p>
    <w:p w:rsidR="004C5C3D" w:rsidRDefault="004C5C3D" w:rsidP="004C5C3D">
      <w:pPr>
        <w:spacing w:line="220" w:lineRule="exact"/>
        <w:jc w:val="both"/>
      </w:pPr>
      <w:r>
        <w:t xml:space="preserve">The Scheme states that where a school wishes to change their option of payment of budget share, it may only do so from the beginning of the financial year and must notify the Local Authority by </w:t>
      </w:r>
      <w:r w:rsidRPr="00D37FB4">
        <w:rPr>
          <w:b/>
        </w:rPr>
        <w:t>1 January</w:t>
      </w:r>
      <w:r>
        <w:t xml:space="preserve">.  </w:t>
      </w:r>
    </w:p>
    <w:p w:rsidR="004C5C3D" w:rsidRDefault="004C5C3D" w:rsidP="004C5C3D">
      <w:pPr>
        <w:spacing w:line="220" w:lineRule="exact"/>
        <w:jc w:val="both"/>
      </w:pPr>
    </w:p>
    <w:p w:rsidR="004C5C3D" w:rsidRDefault="004C5C3D" w:rsidP="004C5C3D">
      <w:pPr>
        <w:spacing w:line="220" w:lineRule="exact"/>
        <w:jc w:val="both"/>
      </w:pPr>
      <w:r>
        <w:t>There are a limited number of places available each year for schools to convert to Full Budget Share status, due to the additional workload involved for the Council’s Central Payroll team. In addition to this, the Financial Classification of Schools gives priority to those schools in Category D. Applications will therefore be dealt with on a “first come, first served” basis, taking into account these criteria. If you wish to tak</w:t>
      </w:r>
      <w:r w:rsidR="00FF0A9C">
        <w:t>e up this option from April 2017, for the 2017-2018</w:t>
      </w:r>
      <w:r>
        <w:t xml:space="preserve"> financial year, you must submit your request in writing by </w:t>
      </w:r>
      <w:r w:rsidRPr="00827FB7">
        <w:rPr>
          <w:b/>
        </w:rPr>
        <w:t>1 January 201</w:t>
      </w:r>
      <w:r w:rsidR="00FF0A9C">
        <w:rPr>
          <w:b/>
        </w:rPr>
        <w:t>7</w:t>
      </w:r>
      <w:r>
        <w:t xml:space="preserve">. Full Governing Body Approval must be obtained in order for your school to change to Full Budget Share status.  If your application has not been acknowledged by email within 14 days please contact the </w:t>
      </w:r>
      <w:smartTag w:uri="urn:schemas-microsoft-com:office:smarttags" w:element="PersonName">
        <w:r>
          <w:t>School Funding</w:t>
        </w:r>
      </w:smartTag>
      <w:r>
        <w:t xml:space="preserve"> Team to ensure that it has been received.  Please also include in your letter whether or not you intend to continue using Bradford Council Payroll Services.</w:t>
      </w:r>
    </w:p>
    <w:p w:rsidR="004C5C3D" w:rsidRDefault="004C5C3D" w:rsidP="004C5C3D">
      <w:pPr>
        <w:spacing w:line="220" w:lineRule="exact"/>
        <w:jc w:val="both"/>
      </w:pPr>
    </w:p>
    <w:p w:rsidR="004C5C3D" w:rsidRDefault="004C5C3D" w:rsidP="004C5C3D">
      <w:pPr>
        <w:spacing w:line="220" w:lineRule="exact"/>
        <w:jc w:val="both"/>
      </w:pPr>
      <w:r>
        <w:t xml:space="preserve">Please call your </w:t>
      </w:r>
      <w:smartTag w:uri="urn:schemas-microsoft-com:office:smarttags" w:element="PersonName">
        <w:r>
          <w:t>School Funding</w:t>
        </w:r>
      </w:smartTag>
      <w:r>
        <w:t xml:space="preserve"> Team contact </w:t>
      </w:r>
      <w:smartTag w:uri="urn:schemas-microsoft-com:office:smarttags" w:element="PersonName">
        <w:r>
          <w:t>office</w:t>
        </w:r>
      </w:smartTag>
      <w:r>
        <w:t>r if you wish to discuss this further.</w:t>
      </w:r>
    </w:p>
    <w:p w:rsidR="004C5C3D" w:rsidRDefault="004C5C3D" w:rsidP="004C5C3D">
      <w:pPr>
        <w:spacing w:line="220" w:lineRule="exact"/>
        <w:jc w:val="both"/>
      </w:pPr>
    </w:p>
    <w:p w:rsidR="004C5C3D" w:rsidRDefault="004C5C3D" w:rsidP="004C5C3D">
      <w:pPr>
        <w:spacing w:line="220" w:lineRule="exact"/>
        <w:jc w:val="both"/>
      </w:pPr>
      <w:r>
        <w:t xml:space="preserve">A document ‘Full Bank Account – Things to Consider’ is available </w:t>
      </w:r>
      <w:r w:rsidR="00C50201">
        <w:t>below</w:t>
      </w:r>
      <w:r>
        <w:t xml:space="preserve"> to help with </w:t>
      </w:r>
      <w:r w:rsidR="00C31D17">
        <w:t>decision-making</w:t>
      </w:r>
      <w:r>
        <w:t>.</w:t>
      </w:r>
    </w:p>
    <w:p w:rsidR="004C5C3D" w:rsidRDefault="004C5C3D" w:rsidP="004C5C3D">
      <w:pPr>
        <w:jc w:val="both"/>
      </w:pPr>
    </w:p>
    <w:p w:rsidR="004C5C3D" w:rsidRDefault="004C5C3D" w:rsidP="004C5C3D">
      <w:pPr>
        <w:jc w:val="both"/>
      </w:pPr>
      <w:r>
        <w:t>Yours faithfully,</w:t>
      </w:r>
    </w:p>
    <w:p w:rsidR="004C5C3D" w:rsidRDefault="004C5C3D" w:rsidP="004C5C3D">
      <w:pPr>
        <w:jc w:val="both"/>
      </w:pPr>
    </w:p>
    <w:p w:rsidR="004C5C3D" w:rsidRDefault="004C5C3D" w:rsidP="004C5C3D">
      <w:pPr>
        <w:jc w:val="both"/>
      </w:pPr>
    </w:p>
    <w:p w:rsidR="0096343B" w:rsidRDefault="004C5C3D" w:rsidP="00CC0937">
      <w:pPr>
        <w:ind w:right="-998"/>
      </w:pPr>
      <w:smartTag w:uri="urn:schemas-microsoft-com:office:smarttags" w:element="PersonName">
        <w:r>
          <w:t>School Funding</w:t>
        </w:r>
      </w:smartTag>
      <w:r>
        <w:t xml:space="preserve"> Team</w:t>
      </w:r>
    </w:p>
    <w:p w:rsidR="001543D3" w:rsidRDefault="001543D3" w:rsidP="00CC0937">
      <w:pPr>
        <w:ind w:right="-998"/>
      </w:pPr>
    </w:p>
    <w:p w:rsidR="001543D3" w:rsidRDefault="001543D3" w:rsidP="00CC0937">
      <w:pPr>
        <w:ind w:right="-998"/>
      </w:pPr>
    </w:p>
    <w:p w:rsidR="001543D3" w:rsidRDefault="001543D3" w:rsidP="00CC0937">
      <w:pPr>
        <w:ind w:right="-998"/>
      </w:pPr>
    </w:p>
    <w:p w:rsidR="001543D3" w:rsidRDefault="001543D3" w:rsidP="00CC0937">
      <w:pPr>
        <w:ind w:right="-998"/>
      </w:pPr>
    </w:p>
    <w:p w:rsidR="001543D3" w:rsidRDefault="001543D3" w:rsidP="00CC0937">
      <w:pPr>
        <w:ind w:right="-998"/>
      </w:pPr>
    </w:p>
    <w:p w:rsidR="001543D3" w:rsidRDefault="001543D3" w:rsidP="00CC0937">
      <w:pPr>
        <w:ind w:right="-998"/>
      </w:pPr>
    </w:p>
    <w:p w:rsidR="001543D3" w:rsidRDefault="001543D3" w:rsidP="00CC0937">
      <w:pPr>
        <w:ind w:right="-998"/>
      </w:pPr>
    </w:p>
    <w:p w:rsidR="001543D3" w:rsidRDefault="001543D3" w:rsidP="00CC0937">
      <w:pPr>
        <w:ind w:right="-998"/>
      </w:pPr>
    </w:p>
    <w:p w:rsidR="001543D3" w:rsidRDefault="001543D3" w:rsidP="00CC0937">
      <w:pPr>
        <w:ind w:right="-998"/>
      </w:pPr>
    </w:p>
    <w:p w:rsidR="001543D3" w:rsidRDefault="001543D3" w:rsidP="00CC0937">
      <w:pPr>
        <w:ind w:right="-998"/>
      </w:pPr>
    </w:p>
    <w:p w:rsidR="001543D3" w:rsidRDefault="001543D3" w:rsidP="00CC0937">
      <w:pPr>
        <w:ind w:right="-998"/>
      </w:pPr>
    </w:p>
    <w:p w:rsidR="001543D3" w:rsidRDefault="001543D3" w:rsidP="00CC0937">
      <w:pPr>
        <w:ind w:right="-998"/>
      </w:pPr>
    </w:p>
    <w:p w:rsidR="001543D3" w:rsidRDefault="001543D3" w:rsidP="001543D3">
      <w:pPr>
        <w:rPr>
          <w:b/>
          <w:sz w:val="28"/>
          <w:szCs w:val="28"/>
        </w:rPr>
      </w:pPr>
      <w:r>
        <w:rPr>
          <w:b/>
          <w:sz w:val="28"/>
          <w:szCs w:val="28"/>
        </w:rPr>
        <w:lastRenderedPageBreak/>
        <w:t>Changing to Full Budget Share</w:t>
      </w:r>
    </w:p>
    <w:p w:rsidR="001543D3" w:rsidRDefault="001543D3" w:rsidP="001543D3">
      <w:pPr>
        <w:jc w:val="both"/>
        <w:rPr>
          <w:rFonts w:cs="Arial"/>
          <w:b/>
        </w:rPr>
      </w:pPr>
    </w:p>
    <w:p w:rsidR="001543D3" w:rsidRDefault="001543D3" w:rsidP="001543D3">
      <w:pPr>
        <w:jc w:val="both"/>
        <w:rPr>
          <w:rFonts w:cs="Arial"/>
          <w:b/>
        </w:rPr>
      </w:pPr>
      <w:r>
        <w:rPr>
          <w:rFonts w:cs="Arial"/>
          <w:b/>
        </w:rPr>
        <w:t>Full Bank Account – things to consider</w:t>
      </w:r>
    </w:p>
    <w:p w:rsidR="001543D3" w:rsidRDefault="001543D3" w:rsidP="001543D3">
      <w:pPr>
        <w:jc w:val="both"/>
        <w:rPr>
          <w:rFonts w:cs="Arial"/>
          <w:b/>
        </w:rPr>
      </w:pPr>
    </w:p>
    <w:p w:rsidR="001543D3" w:rsidRDefault="001543D3" w:rsidP="001543D3">
      <w:pPr>
        <w:jc w:val="both"/>
        <w:rPr>
          <w:rFonts w:cs="Arial"/>
        </w:rPr>
      </w:pPr>
      <w:r>
        <w:rPr>
          <w:rFonts w:cs="Arial"/>
        </w:rPr>
        <w:t xml:space="preserve">Under the Scheme for Financing Schools (“The Scheme”), a school has the option to have the full value of their Local Authority funding paid, by monthly instalments, directly into their bank account. All schools in </w:t>
      </w:r>
      <w:smartTag w:uri="urn:schemas-microsoft-com:office:smarttags" w:element="place">
        <w:r>
          <w:rPr>
            <w:rFonts w:cs="Arial"/>
          </w:rPr>
          <w:t>Bradford</w:t>
        </w:r>
      </w:smartTag>
      <w:r>
        <w:rPr>
          <w:rFonts w:cs="Arial"/>
        </w:rPr>
        <w:t xml:space="preserve"> have their own bank accounts and schools have the option to receive either a full or a part budget share.</w:t>
      </w:r>
    </w:p>
    <w:p w:rsidR="001543D3" w:rsidRDefault="001543D3" w:rsidP="001543D3">
      <w:pPr>
        <w:jc w:val="both"/>
        <w:rPr>
          <w:rFonts w:cs="Arial"/>
          <w:b/>
        </w:rPr>
      </w:pPr>
    </w:p>
    <w:p w:rsidR="001543D3" w:rsidRDefault="001543D3" w:rsidP="001543D3">
      <w:pPr>
        <w:jc w:val="both"/>
        <w:rPr>
          <w:rFonts w:cs="Arial"/>
        </w:rPr>
      </w:pPr>
      <w:r>
        <w:rPr>
          <w:rFonts w:cs="Arial"/>
          <w:b/>
          <w:i/>
        </w:rPr>
        <w:t>Part Budget Share</w:t>
      </w:r>
      <w:r>
        <w:rPr>
          <w:rFonts w:cs="Arial"/>
        </w:rPr>
        <w:t xml:space="preserve"> – a school has the cost of their salaries, catering fees and rates paid on their behalf by the Council using the Council’s bank account. The costs of salaries, catering and rates identified in the school’s annual approved budget submitted in May, are withheld by the Council. The remaining budget for all other non staffing costs is paid into the school’s bank account on a monthly basis for the school to manage.</w:t>
      </w:r>
    </w:p>
    <w:p w:rsidR="001543D3" w:rsidRDefault="001543D3" w:rsidP="001543D3">
      <w:pPr>
        <w:jc w:val="both"/>
        <w:rPr>
          <w:rFonts w:cs="Arial"/>
        </w:rPr>
      </w:pPr>
    </w:p>
    <w:p w:rsidR="001543D3" w:rsidRDefault="001543D3" w:rsidP="001543D3">
      <w:pPr>
        <w:jc w:val="both"/>
        <w:rPr>
          <w:rFonts w:cs="Arial"/>
        </w:rPr>
      </w:pPr>
      <w:r>
        <w:rPr>
          <w:rFonts w:cs="Arial"/>
          <w:b/>
          <w:i/>
        </w:rPr>
        <w:t>Full Budget Share</w:t>
      </w:r>
      <w:r>
        <w:rPr>
          <w:rFonts w:cs="Arial"/>
        </w:rPr>
        <w:t xml:space="preserve"> - a school has chosen to pay all of their costs including staff salaries and catering costs via their own bank account. The Council may still pay rates – details have yet to be confirmed.  This means that the full value of the school’s Local Authority funding is paid to the school in monthly instalments. Payroll, catering (and rates) costs are then charged direct to the school’s bank account. There are </w:t>
      </w:r>
      <w:r w:rsidRPr="00F54CEF">
        <w:rPr>
          <w:rFonts w:cs="Arial"/>
        </w:rPr>
        <w:t xml:space="preserve">currently 99 </w:t>
      </w:r>
      <w:r>
        <w:rPr>
          <w:rFonts w:cs="Arial"/>
        </w:rPr>
        <w:t xml:space="preserve">maintained </w:t>
      </w:r>
      <w:r w:rsidRPr="00F54CEF">
        <w:rPr>
          <w:rFonts w:cs="Arial"/>
        </w:rPr>
        <w:t>schools</w:t>
      </w:r>
      <w:r>
        <w:rPr>
          <w:rFonts w:cs="Arial"/>
        </w:rPr>
        <w:t xml:space="preserve"> in </w:t>
      </w:r>
      <w:smartTag w:uri="urn:schemas-microsoft-com:office:smarttags" w:element="place">
        <w:r>
          <w:rPr>
            <w:rFonts w:cs="Arial"/>
          </w:rPr>
          <w:t>Bradford</w:t>
        </w:r>
      </w:smartTag>
      <w:r>
        <w:rPr>
          <w:rFonts w:cs="Arial"/>
        </w:rPr>
        <w:t xml:space="preserve"> that receive a full budget share</w:t>
      </w:r>
    </w:p>
    <w:p w:rsidR="001543D3" w:rsidRDefault="001543D3" w:rsidP="001543D3">
      <w:pPr>
        <w:jc w:val="both"/>
        <w:rPr>
          <w:rFonts w:cs="Arial"/>
        </w:rPr>
      </w:pPr>
    </w:p>
    <w:p w:rsidR="001543D3" w:rsidRDefault="001543D3" w:rsidP="001543D3">
      <w:pPr>
        <w:jc w:val="both"/>
        <w:rPr>
          <w:rFonts w:cs="Arial"/>
        </w:rPr>
      </w:pPr>
      <w:r>
        <w:rPr>
          <w:rFonts w:cs="Arial"/>
        </w:rPr>
        <w:t xml:space="preserve">The Full Budget Share option does require more involvement from the school in managing payments and cash flow, and the </w:t>
      </w:r>
      <w:smartTag w:uri="urn:schemas-microsoft-com:office:smarttags" w:element="PersonName">
        <w:r>
          <w:rPr>
            <w:rFonts w:cs="Arial"/>
          </w:rPr>
          <w:t>School Funding</w:t>
        </w:r>
      </w:smartTag>
      <w:r>
        <w:rPr>
          <w:rFonts w:cs="Arial"/>
        </w:rPr>
        <w:t xml:space="preserve"> Team provides initial support and training. However, it offers significant advantages, including more control over the cash budget of the school and the potential for increased interest, as more money is held in the school’s bank account. If you would like to discuss the advantages of the Full Budget Share option, please contact your </w:t>
      </w:r>
      <w:smartTag w:uri="urn:schemas-microsoft-com:office:smarttags" w:element="PersonName">
        <w:r>
          <w:rPr>
            <w:rFonts w:cs="Arial"/>
          </w:rPr>
          <w:t>School Funding</w:t>
        </w:r>
      </w:smartTag>
      <w:r>
        <w:rPr>
          <w:rFonts w:cs="Arial"/>
        </w:rPr>
        <w:t xml:space="preserve"> Team Officer.</w:t>
      </w:r>
    </w:p>
    <w:p w:rsidR="001543D3" w:rsidRDefault="001543D3" w:rsidP="001543D3">
      <w:pPr>
        <w:jc w:val="both"/>
        <w:rPr>
          <w:rFonts w:cs="Arial"/>
        </w:rPr>
      </w:pPr>
    </w:p>
    <w:p w:rsidR="001543D3" w:rsidRDefault="001543D3" w:rsidP="001543D3">
      <w:pPr>
        <w:jc w:val="both"/>
        <w:rPr>
          <w:rFonts w:cs="Arial"/>
        </w:rPr>
      </w:pPr>
      <w:r>
        <w:rPr>
          <w:rFonts w:cs="Arial"/>
        </w:rPr>
        <w:t>The differences between having a full bank account as opposed to a part-bank account are as follows:</w:t>
      </w:r>
    </w:p>
    <w:p w:rsidR="001543D3" w:rsidRDefault="001543D3" w:rsidP="001543D3">
      <w:pPr>
        <w:jc w:val="both"/>
        <w:rPr>
          <w:rFonts w:cs="Arial"/>
        </w:rPr>
      </w:pPr>
    </w:p>
    <w:p w:rsidR="001543D3" w:rsidRDefault="001543D3" w:rsidP="001543D3">
      <w:pPr>
        <w:numPr>
          <w:ilvl w:val="0"/>
          <w:numId w:val="10"/>
        </w:numPr>
        <w:jc w:val="both"/>
        <w:rPr>
          <w:rFonts w:cs="Arial"/>
        </w:rPr>
      </w:pPr>
      <w:r>
        <w:rPr>
          <w:rFonts w:cs="Arial"/>
        </w:rPr>
        <w:t>All advances are paid to the school over 13 payments.</w:t>
      </w:r>
    </w:p>
    <w:p w:rsidR="001543D3" w:rsidRDefault="001543D3" w:rsidP="001543D3">
      <w:pPr>
        <w:jc w:val="both"/>
        <w:rPr>
          <w:rFonts w:cs="Arial"/>
        </w:rPr>
      </w:pPr>
    </w:p>
    <w:p w:rsidR="001543D3" w:rsidRDefault="001543D3" w:rsidP="001543D3">
      <w:pPr>
        <w:numPr>
          <w:ilvl w:val="0"/>
          <w:numId w:val="10"/>
        </w:numPr>
        <w:jc w:val="both"/>
        <w:rPr>
          <w:rFonts w:cs="Arial"/>
        </w:rPr>
      </w:pPr>
      <w:r>
        <w:rPr>
          <w:rFonts w:cs="Arial"/>
        </w:rPr>
        <w:t>Any increase/decrease in funding will be accounted for in these payments and paid over to the school as advances.</w:t>
      </w:r>
    </w:p>
    <w:p w:rsidR="001543D3" w:rsidRDefault="001543D3" w:rsidP="001543D3">
      <w:pPr>
        <w:jc w:val="both"/>
        <w:rPr>
          <w:rFonts w:cs="Arial"/>
        </w:rPr>
      </w:pPr>
    </w:p>
    <w:p w:rsidR="001543D3" w:rsidRDefault="001543D3" w:rsidP="001543D3">
      <w:pPr>
        <w:numPr>
          <w:ilvl w:val="0"/>
          <w:numId w:val="10"/>
        </w:numPr>
        <w:jc w:val="both"/>
        <w:rPr>
          <w:rFonts w:cs="Arial"/>
        </w:rPr>
      </w:pPr>
      <w:r>
        <w:rPr>
          <w:rFonts w:cs="Arial"/>
        </w:rPr>
        <w:t xml:space="preserve">The school is responsible for paying all invoices, including catering, and </w:t>
      </w:r>
      <w:r>
        <w:rPr>
          <w:rFonts w:cs="Arial"/>
          <w:b/>
        </w:rPr>
        <w:t>no</w:t>
      </w:r>
      <w:r>
        <w:rPr>
          <w:rFonts w:cs="Arial"/>
        </w:rPr>
        <w:t xml:space="preserve"> central journals must be posted, </w:t>
      </w:r>
      <w:r w:rsidRPr="00F54CEF">
        <w:rPr>
          <w:rFonts w:cs="Arial"/>
          <w:b/>
        </w:rPr>
        <w:t>with the exception</w:t>
      </w:r>
      <w:r>
        <w:rPr>
          <w:rFonts w:cs="Arial"/>
        </w:rPr>
        <w:t xml:space="preserve"> of rates and contributions to de-delegated funds agreed by the Schools Forum, which are managed centrally and </w:t>
      </w:r>
      <w:proofErr w:type="spellStart"/>
      <w:r>
        <w:rPr>
          <w:rFonts w:cs="Arial"/>
        </w:rPr>
        <w:t>journalled</w:t>
      </w:r>
      <w:proofErr w:type="spellEnd"/>
      <w:r>
        <w:rPr>
          <w:rFonts w:cs="Arial"/>
        </w:rPr>
        <w:t xml:space="preserve"> to the school’s cost centre </w:t>
      </w:r>
    </w:p>
    <w:p w:rsidR="001543D3" w:rsidRDefault="001543D3" w:rsidP="001543D3">
      <w:pPr>
        <w:jc w:val="both"/>
        <w:rPr>
          <w:rFonts w:cs="Arial"/>
        </w:rPr>
      </w:pPr>
    </w:p>
    <w:p w:rsidR="001543D3" w:rsidRDefault="001543D3" w:rsidP="001543D3">
      <w:pPr>
        <w:numPr>
          <w:ilvl w:val="0"/>
          <w:numId w:val="10"/>
        </w:numPr>
        <w:jc w:val="both"/>
        <w:rPr>
          <w:rFonts w:cs="Arial"/>
        </w:rPr>
      </w:pPr>
      <w:r>
        <w:rPr>
          <w:rFonts w:cs="Arial"/>
        </w:rPr>
        <w:t>Catering is charged via three invoices as follows:</w:t>
      </w:r>
    </w:p>
    <w:p w:rsidR="001543D3" w:rsidRDefault="001543D3" w:rsidP="001543D3">
      <w:pPr>
        <w:jc w:val="both"/>
        <w:rPr>
          <w:rFonts w:cs="Arial"/>
        </w:rPr>
      </w:pPr>
    </w:p>
    <w:p w:rsidR="001543D3" w:rsidRDefault="001543D3" w:rsidP="001543D3">
      <w:pPr>
        <w:numPr>
          <w:ilvl w:val="1"/>
          <w:numId w:val="10"/>
        </w:numPr>
        <w:jc w:val="both"/>
        <w:rPr>
          <w:rFonts w:cs="Arial"/>
        </w:rPr>
      </w:pPr>
      <w:r>
        <w:rPr>
          <w:rFonts w:cs="Arial"/>
        </w:rPr>
        <w:t>45% in June</w:t>
      </w:r>
    </w:p>
    <w:p w:rsidR="001543D3" w:rsidRDefault="001543D3" w:rsidP="001543D3">
      <w:pPr>
        <w:numPr>
          <w:ilvl w:val="1"/>
          <w:numId w:val="10"/>
        </w:numPr>
        <w:jc w:val="both"/>
        <w:rPr>
          <w:rFonts w:cs="Arial"/>
        </w:rPr>
      </w:pPr>
      <w:r>
        <w:rPr>
          <w:rFonts w:cs="Arial"/>
        </w:rPr>
        <w:t>30% in October</w:t>
      </w:r>
    </w:p>
    <w:p w:rsidR="001543D3" w:rsidRDefault="001543D3" w:rsidP="001543D3">
      <w:pPr>
        <w:numPr>
          <w:ilvl w:val="1"/>
          <w:numId w:val="10"/>
        </w:numPr>
        <w:jc w:val="both"/>
        <w:rPr>
          <w:rFonts w:cs="Arial"/>
        </w:rPr>
      </w:pPr>
      <w:r>
        <w:rPr>
          <w:rFonts w:cs="Arial"/>
        </w:rPr>
        <w:t>25% in January</w:t>
      </w:r>
    </w:p>
    <w:p w:rsidR="001543D3" w:rsidRDefault="001543D3" w:rsidP="001543D3">
      <w:pPr>
        <w:jc w:val="both"/>
        <w:rPr>
          <w:rFonts w:cs="Arial"/>
        </w:rPr>
      </w:pPr>
    </w:p>
    <w:p w:rsidR="001543D3" w:rsidRDefault="001543D3" w:rsidP="001543D3">
      <w:pPr>
        <w:numPr>
          <w:ilvl w:val="0"/>
          <w:numId w:val="10"/>
        </w:numPr>
        <w:jc w:val="both"/>
        <w:rPr>
          <w:rFonts w:cs="Arial"/>
        </w:rPr>
      </w:pPr>
      <w:r>
        <w:rPr>
          <w:rFonts w:cs="Arial"/>
        </w:rPr>
        <w:t xml:space="preserve">Payroll costs are charged direct to the school’s bank account i.e. the school is responsible for paying their own payroll (managed either by Bradford Council payroll or another provider).  </w:t>
      </w:r>
    </w:p>
    <w:p w:rsidR="001543D3" w:rsidRDefault="001543D3" w:rsidP="001543D3">
      <w:pPr>
        <w:jc w:val="both"/>
        <w:rPr>
          <w:rFonts w:cs="Arial"/>
        </w:rPr>
      </w:pPr>
    </w:p>
    <w:p w:rsidR="001543D3" w:rsidRDefault="001543D3" w:rsidP="001543D3">
      <w:pPr>
        <w:numPr>
          <w:ilvl w:val="0"/>
          <w:numId w:val="10"/>
        </w:numPr>
        <w:jc w:val="both"/>
        <w:rPr>
          <w:rFonts w:cs="Arial"/>
        </w:rPr>
      </w:pPr>
      <w:r>
        <w:rPr>
          <w:rFonts w:cs="Arial"/>
        </w:rPr>
        <w:t>Any interest earned from bank account balances is to the benefit of the school.</w:t>
      </w:r>
    </w:p>
    <w:p w:rsidR="001543D3" w:rsidRDefault="001543D3" w:rsidP="001543D3">
      <w:pPr>
        <w:jc w:val="both"/>
        <w:rPr>
          <w:rFonts w:cs="Arial"/>
        </w:rPr>
      </w:pPr>
    </w:p>
    <w:p w:rsidR="001543D3" w:rsidRDefault="001543D3" w:rsidP="001543D3">
      <w:pPr>
        <w:numPr>
          <w:ilvl w:val="0"/>
          <w:numId w:val="10"/>
        </w:numPr>
        <w:jc w:val="both"/>
        <w:rPr>
          <w:rFonts w:cs="Arial"/>
        </w:rPr>
      </w:pPr>
      <w:r>
        <w:rPr>
          <w:rFonts w:cs="Arial"/>
        </w:rPr>
        <w:t xml:space="preserve">The school must monitor cash flow more vigorously as the bank account is not allowed to go into an overdraft position.  </w:t>
      </w:r>
    </w:p>
    <w:p w:rsidR="001543D3" w:rsidRDefault="001543D3" w:rsidP="001543D3">
      <w:pPr>
        <w:jc w:val="both"/>
        <w:rPr>
          <w:rFonts w:cs="Arial"/>
        </w:rPr>
      </w:pPr>
    </w:p>
    <w:p w:rsidR="001543D3" w:rsidRDefault="001543D3" w:rsidP="001543D3">
      <w:pPr>
        <w:numPr>
          <w:ilvl w:val="0"/>
          <w:numId w:val="10"/>
        </w:numPr>
        <w:jc w:val="both"/>
        <w:rPr>
          <w:rFonts w:cs="Arial"/>
        </w:rPr>
      </w:pPr>
      <w:r>
        <w:rPr>
          <w:rFonts w:cs="Arial"/>
        </w:rPr>
        <w:t>On the bank reconciliation return the payroll costs must be shown whereas on a part budget share returns E01 – E07 are excluded.</w:t>
      </w:r>
    </w:p>
    <w:p w:rsidR="001543D3" w:rsidRDefault="001543D3" w:rsidP="001543D3">
      <w:pPr>
        <w:jc w:val="both"/>
        <w:rPr>
          <w:rFonts w:cs="Arial"/>
        </w:rPr>
      </w:pPr>
    </w:p>
    <w:p w:rsidR="001543D3" w:rsidRDefault="001543D3" w:rsidP="001543D3">
      <w:pPr>
        <w:ind w:left="360"/>
        <w:jc w:val="both"/>
        <w:rPr>
          <w:rFonts w:cs="Arial"/>
        </w:rPr>
      </w:pPr>
    </w:p>
    <w:p w:rsidR="001543D3" w:rsidRDefault="001543D3" w:rsidP="001543D3">
      <w:pPr>
        <w:numPr>
          <w:ilvl w:val="0"/>
          <w:numId w:val="10"/>
        </w:numPr>
        <w:jc w:val="both"/>
        <w:rPr>
          <w:rFonts w:cs="Arial"/>
        </w:rPr>
      </w:pPr>
      <w:r>
        <w:rPr>
          <w:rFonts w:cs="Arial"/>
        </w:rPr>
        <w:lastRenderedPageBreak/>
        <w:t>For schools using CBMDC payroll direct deductions are made from the bank account for payroll on the 6</w:t>
      </w:r>
      <w:r>
        <w:rPr>
          <w:rFonts w:cs="Arial"/>
          <w:vertAlign w:val="superscript"/>
        </w:rPr>
        <w:t>th</w:t>
      </w:r>
      <w:r>
        <w:rPr>
          <w:rFonts w:cs="Arial"/>
        </w:rPr>
        <w:t xml:space="preserve"> or 7</w:t>
      </w:r>
      <w:r>
        <w:rPr>
          <w:rFonts w:cs="Arial"/>
          <w:vertAlign w:val="superscript"/>
        </w:rPr>
        <w:t>th</w:t>
      </w:r>
      <w:r>
        <w:rPr>
          <w:rFonts w:cs="Arial"/>
        </w:rPr>
        <w:t xml:space="preserve"> of each month.  The school must ensure that the bank account has sufficient funds to cover these amounts.</w:t>
      </w:r>
    </w:p>
    <w:p w:rsidR="001543D3" w:rsidRDefault="001543D3" w:rsidP="001543D3">
      <w:pPr>
        <w:jc w:val="both"/>
        <w:rPr>
          <w:rFonts w:cs="Arial"/>
        </w:rPr>
      </w:pPr>
    </w:p>
    <w:p w:rsidR="001543D3" w:rsidRDefault="001543D3" w:rsidP="001543D3">
      <w:pPr>
        <w:numPr>
          <w:ilvl w:val="0"/>
          <w:numId w:val="10"/>
        </w:numPr>
        <w:jc w:val="both"/>
        <w:rPr>
          <w:rFonts w:cs="Arial"/>
        </w:rPr>
      </w:pPr>
      <w:r>
        <w:rPr>
          <w:rFonts w:cs="Arial"/>
          <w:u w:val="single"/>
        </w:rPr>
        <w:t>All staff</w:t>
      </w:r>
      <w:r>
        <w:rPr>
          <w:rFonts w:cs="Arial"/>
        </w:rPr>
        <w:t xml:space="preserve"> must move </w:t>
      </w:r>
      <w:r w:rsidR="00FF0A9C">
        <w:rPr>
          <w:rFonts w:cs="Arial"/>
        </w:rPr>
        <w:t>to monthly pay before April 2017</w:t>
      </w:r>
      <w:r>
        <w:rPr>
          <w:rFonts w:cs="Arial"/>
        </w:rPr>
        <w:t xml:space="preserve"> to minimize the number of payroll calculations and payments through bank account.</w:t>
      </w:r>
    </w:p>
    <w:p w:rsidR="001543D3" w:rsidRDefault="001543D3" w:rsidP="001543D3">
      <w:pPr>
        <w:jc w:val="both"/>
        <w:rPr>
          <w:rFonts w:cs="Arial"/>
        </w:rPr>
      </w:pPr>
    </w:p>
    <w:p w:rsidR="001543D3" w:rsidRPr="00F54CEF" w:rsidRDefault="001543D3" w:rsidP="001543D3">
      <w:pPr>
        <w:jc w:val="both"/>
        <w:rPr>
          <w:rFonts w:cs="Arial"/>
        </w:rPr>
      </w:pPr>
      <w:r>
        <w:rPr>
          <w:rFonts w:cs="Arial"/>
        </w:rPr>
        <w:t xml:space="preserve">We advise that schools obtain internet banking facilities (‘View Only’ function is sufficient) for timely completion of bank reconciliation.  A paragraph in the </w:t>
      </w:r>
      <w:r w:rsidRPr="00F54CEF">
        <w:rPr>
          <w:rFonts w:cs="Arial"/>
        </w:rPr>
        <w:t xml:space="preserve">Guide to </w:t>
      </w:r>
      <w:r w:rsidRPr="00F54CEF">
        <w:rPr>
          <w:rFonts w:cs="Arial"/>
        </w:rPr>
        <w:t>F</w:t>
      </w:r>
      <w:r w:rsidRPr="00F54CEF">
        <w:rPr>
          <w:rFonts w:cs="Arial"/>
        </w:rPr>
        <w:t>inancial Procedures</w:t>
      </w:r>
      <w:r>
        <w:rPr>
          <w:rFonts w:cs="Arial"/>
        </w:rPr>
        <w:t xml:space="preserve"> gives further guidance on the security of internet banking.</w:t>
      </w:r>
    </w:p>
    <w:p w:rsidR="001543D3" w:rsidRDefault="001543D3" w:rsidP="00CC0937">
      <w:pPr>
        <w:ind w:right="-998"/>
      </w:pPr>
    </w:p>
    <w:sectPr w:rsidR="001543D3" w:rsidSect="00904F60">
      <w:headerReference w:type="default" r:id="rId10"/>
      <w:footerReference w:type="default" r:id="rId11"/>
      <w:pgSz w:w="11906" w:h="16838"/>
      <w:pgMar w:top="1191" w:right="1418" w:bottom="119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628" w:rsidRDefault="00B06628">
      <w:r>
        <w:separator/>
      </w:r>
    </w:p>
  </w:endnote>
  <w:endnote w:type="continuationSeparator" w:id="0">
    <w:p w:rsidR="00B06628" w:rsidRDefault="00B0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600" w:rsidRDefault="00F04311">
    <w:pPr>
      <w:pStyle w:val="Footer"/>
    </w:pPr>
    <w:r>
      <w:rPr>
        <w:noProof/>
        <w:color w:val="FFFFFF"/>
        <w:lang w:eastAsia="en-GB"/>
      </w:rPr>
      <w:drawing>
        <wp:inline distT="0" distB="0" distL="0" distR="0">
          <wp:extent cx="5753100" cy="628650"/>
          <wp:effectExtent l="0" t="0" r="0" b="0"/>
          <wp:docPr id="2" name="Picture 2" descr="newfooter-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footer-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628" w:rsidRDefault="00B06628">
      <w:r>
        <w:separator/>
      </w:r>
    </w:p>
  </w:footnote>
  <w:footnote w:type="continuationSeparator" w:id="0">
    <w:p w:rsidR="00B06628" w:rsidRDefault="00B06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FAF" w:rsidRDefault="00F04311">
    <w:pPr>
      <w:pStyle w:val="Header"/>
    </w:pPr>
    <w:r>
      <w:rPr>
        <w:noProof/>
        <w:lang w:eastAsia="en-GB"/>
      </w:rPr>
      <w:drawing>
        <wp:inline distT="0" distB="0" distL="0" distR="0">
          <wp:extent cx="6677025" cy="647700"/>
          <wp:effectExtent l="0" t="0" r="0" b="0"/>
          <wp:docPr id="1" name="Picture 1" descr="banne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7025"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5B0E"/>
    <w:multiLevelType w:val="hybridMultilevel"/>
    <w:tmpl w:val="C9F41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BF15813"/>
    <w:multiLevelType w:val="hybridMultilevel"/>
    <w:tmpl w:val="6DC23F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04E2C9C"/>
    <w:multiLevelType w:val="hybridMultilevel"/>
    <w:tmpl w:val="113C7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746C8E"/>
    <w:multiLevelType w:val="hybridMultilevel"/>
    <w:tmpl w:val="6526E6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361219"/>
    <w:multiLevelType w:val="hybridMultilevel"/>
    <w:tmpl w:val="FC6A3C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4AB7425"/>
    <w:multiLevelType w:val="hybridMultilevel"/>
    <w:tmpl w:val="1C78A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417017"/>
    <w:multiLevelType w:val="hybridMultilevel"/>
    <w:tmpl w:val="084A7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171177A"/>
    <w:multiLevelType w:val="hybridMultilevel"/>
    <w:tmpl w:val="93B64D44"/>
    <w:lvl w:ilvl="0" w:tplc="08090001">
      <w:start w:val="1"/>
      <w:numFmt w:val="bullet"/>
      <w:lvlText w:val=""/>
      <w:lvlJc w:val="left"/>
      <w:pPr>
        <w:tabs>
          <w:tab w:val="num" w:pos="720"/>
        </w:tabs>
        <w:ind w:left="720" w:hanging="360"/>
      </w:pPr>
      <w:rPr>
        <w:rFonts w:ascii="Symbol" w:hAnsi="Symbol" w:hint="default"/>
      </w:rPr>
    </w:lvl>
    <w:lvl w:ilvl="1" w:tplc="262823EC">
      <w:start w:val="5"/>
      <w:numFmt w:val="decimal"/>
      <w:lvlText w:val="%2."/>
      <w:lvlJc w:val="left"/>
      <w:pPr>
        <w:tabs>
          <w:tab w:val="num" w:pos="357"/>
        </w:tabs>
        <w:ind w:left="357" w:hanging="357"/>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52F1607"/>
    <w:multiLevelType w:val="hybridMultilevel"/>
    <w:tmpl w:val="85209E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D482A9F"/>
    <w:multiLevelType w:val="hybridMultilevel"/>
    <w:tmpl w:val="97A40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5"/>
  </w:num>
  <w:num w:numId="4">
    <w:abstractNumId w:val="4"/>
  </w:num>
  <w:num w:numId="5">
    <w:abstractNumId w:val="8"/>
  </w:num>
  <w:num w:numId="6">
    <w:abstractNumId w:val="1"/>
  </w:num>
  <w:num w:numId="7">
    <w:abstractNumId w:val="0"/>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28C"/>
    <w:rsid w:val="000025F7"/>
    <w:rsid w:val="0000333B"/>
    <w:rsid w:val="0000408C"/>
    <w:rsid w:val="00005BD6"/>
    <w:rsid w:val="000132B5"/>
    <w:rsid w:val="00021B21"/>
    <w:rsid w:val="00034979"/>
    <w:rsid w:val="00037B32"/>
    <w:rsid w:val="000729DB"/>
    <w:rsid w:val="000756A5"/>
    <w:rsid w:val="000D6A5F"/>
    <w:rsid w:val="000D7B6B"/>
    <w:rsid w:val="001265D9"/>
    <w:rsid w:val="00151600"/>
    <w:rsid w:val="001543D3"/>
    <w:rsid w:val="00167F0B"/>
    <w:rsid w:val="0017262A"/>
    <w:rsid w:val="00185450"/>
    <w:rsid w:val="001A0713"/>
    <w:rsid w:val="001A0833"/>
    <w:rsid w:val="001A7FFC"/>
    <w:rsid w:val="001C0FA1"/>
    <w:rsid w:val="001C4912"/>
    <w:rsid w:val="00200473"/>
    <w:rsid w:val="0020178C"/>
    <w:rsid w:val="00201CD7"/>
    <w:rsid w:val="0020691F"/>
    <w:rsid w:val="0022177B"/>
    <w:rsid w:val="00233BC6"/>
    <w:rsid w:val="002410E0"/>
    <w:rsid w:val="00251863"/>
    <w:rsid w:val="00260EA3"/>
    <w:rsid w:val="00266834"/>
    <w:rsid w:val="00275DEE"/>
    <w:rsid w:val="00282AFE"/>
    <w:rsid w:val="002939E4"/>
    <w:rsid w:val="0029717A"/>
    <w:rsid w:val="002C3EDF"/>
    <w:rsid w:val="002F58DD"/>
    <w:rsid w:val="003160E6"/>
    <w:rsid w:val="00334921"/>
    <w:rsid w:val="00337F7A"/>
    <w:rsid w:val="00362591"/>
    <w:rsid w:val="0036399D"/>
    <w:rsid w:val="003A5789"/>
    <w:rsid w:val="003B6C65"/>
    <w:rsid w:val="003C0A4D"/>
    <w:rsid w:val="003C339F"/>
    <w:rsid w:val="003C724F"/>
    <w:rsid w:val="00423D27"/>
    <w:rsid w:val="00432A28"/>
    <w:rsid w:val="004336AB"/>
    <w:rsid w:val="00473208"/>
    <w:rsid w:val="00481E0B"/>
    <w:rsid w:val="00493582"/>
    <w:rsid w:val="004C5C3D"/>
    <w:rsid w:val="004E7191"/>
    <w:rsid w:val="0051528E"/>
    <w:rsid w:val="005330B0"/>
    <w:rsid w:val="00535CA8"/>
    <w:rsid w:val="00537B40"/>
    <w:rsid w:val="00543232"/>
    <w:rsid w:val="00543786"/>
    <w:rsid w:val="00543B89"/>
    <w:rsid w:val="00556157"/>
    <w:rsid w:val="005754A5"/>
    <w:rsid w:val="005842DF"/>
    <w:rsid w:val="0059011F"/>
    <w:rsid w:val="0059507B"/>
    <w:rsid w:val="005A08C3"/>
    <w:rsid w:val="005B4213"/>
    <w:rsid w:val="005B5D61"/>
    <w:rsid w:val="005C194B"/>
    <w:rsid w:val="005C652D"/>
    <w:rsid w:val="005E497A"/>
    <w:rsid w:val="005F5E1C"/>
    <w:rsid w:val="00604B81"/>
    <w:rsid w:val="006308D3"/>
    <w:rsid w:val="00637B7A"/>
    <w:rsid w:val="00652354"/>
    <w:rsid w:val="00660C02"/>
    <w:rsid w:val="006A7DAC"/>
    <w:rsid w:val="006C60C3"/>
    <w:rsid w:val="006F5307"/>
    <w:rsid w:val="007013F3"/>
    <w:rsid w:val="00740B51"/>
    <w:rsid w:val="007502F3"/>
    <w:rsid w:val="00753E1C"/>
    <w:rsid w:val="007634C4"/>
    <w:rsid w:val="00773D16"/>
    <w:rsid w:val="00774462"/>
    <w:rsid w:val="00775051"/>
    <w:rsid w:val="007E579C"/>
    <w:rsid w:val="007F6E90"/>
    <w:rsid w:val="00807C5B"/>
    <w:rsid w:val="00832D28"/>
    <w:rsid w:val="008374B9"/>
    <w:rsid w:val="008568D3"/>
    <w:rsid w:val="0087345A"/>
    <w:rsid w:val="00876595"/>
    <w:rsid w:val="00890A6D"/>
    <w:rsid w:val="008A4C69"/>
    <w:rsid w:val="008C1DB7"/>
    <w:rsid w:val="008D0D83"/>
    <w:rsid w:val="008D7190"/>
    <w:rsid w:val="008F6C25"/>
    <w:rsid w:val="00901863"/>
    <w:rsid w:val="00904F60"/>
    <w:rsid w:val="009136A9"/>
    <w:rsid w:val="00953ABD"/>
    <w:rsid w:val="0096343B"/>
    <w:rsid w:val="009746CC"/>
    <w:rsid w:val="00997C81"/>
    <w:rsid w:val="009C2BDF"/>
    <w:rsid w:val="009E03CE"/>
    <w:rsid w:val="00A33BB9"/>
    <w:rsid w:val="00A34CF1"/>
    <w:rsid w:val="00A50B41"/>
    <w:rsid w:val="00A637A6"/>
    <w:rsid w:val="00A66416"/>
    <w:rsid w:val="00A73381"/>
    <w:rsid w:val="00A7422C"/>
    <w:rsid w:val="00A75C48"/>
    <w:rsid w:val="00A84E87"/>
    <w:rsid w:val="00AB1175"/>
    <w:rsid w:val="00AC6071"/>
    <w:rsid w:val="00B05EAF"/>
    <w:rsid w:val="00B06628"/>
    <w:rsid w:val="00B20DA5"/>
    <w:rsid w:val="00B261B5"/>
    <w:rsid w:val="00B27604"/>
    <w:rsid w:val="00B401B0"/>
    <w:rsid w:val="00B51A2D"/>
    <w:rsid w:val="00B60245"/>
    <w:rsid w:val="00B70130"/>
    <w:rsid w:val="00B91222"/>
    <w:rsid w:val="00B91C0F"/>
    <w:rsid w:val="00BA77B7"/>
    <w:rsid w:val="00BB2467"/>
    <w:rsid w:val="00BB4AC9"/>
    <w:rsid w:val="00BC225D"/>
    <w:rsid w:val="00BC39D3"/>
    <w:rsid w:val="00C062B1"/>
    <w:rsid w:val="00C25611"/>
    <w:rsid w:val="00C31D17"/>
    <w:rsid w:val="00C37AE3"/>
    <w:rsid w:val="00C50201"/>
    <w:rsid w:val="00C81D29"/>
    <w:rsid w:val="00C9167D"/>
    <w:rsid w:val="00C92A24"/>
    <w:rsid w:val="00CA66FB"/>
    <w:rsid w:val="00CC0937"/>
    <w:rsid w:val="00CC2B88"/>
    <w:rsid w:val="00D241F9"/>
    <w:rsid w:val="00D25135"/>
    <w:rsid w:val="00D44373"/>
    <w:rsid w:val="00D87284"/>
    <w:rsid w:val="00DC23A2"/>
    <w:rsid w:val="00DD12B3"/>
    <w:rsid w:val="00DE6CE3"/>
    <w:rsid w:val="00DF564C"/>
    <w:rsid w:val="00E10F40"/>
    <w:rsid w:val="00E15C5D"/>
    <w:rsid w:val="00E23946"/>
    <w:rsid w:val="00E34D83"/>
    <w:rsid w:val="00E56B37"/>
    <w:rsid w:val="00E738A1"/>
    <w:rsid w:val="00E84B3A"/>
    <w:rsid w:val="00E866C3"/>
    <w:rsid w:val="00EA04DB"/>
    <w:rsid w:val="00EA53CE"/>
    <w:rsid w:val="00EB15F8"/>
    <w:rsid w:val="00EC0539"/>
    <w:rsid w:val="00F04311"/>
    <w:rsid w:val="00F13FAF"/>
    <w:rsid w:val="00F21FEC"/>
    <w:rsid w:val="00F33A7D"/>
    <w:rsid w:val="00F509F3"/>
    <w:rsid w:val="00F6728C"/>
    <w:rsid w:val="00F728DE"/>
    <w:rsid w:val="00F86864"/>
    <w:rsid w:val="00F93643"/>
    <w:rsid w:val="00FB361C"/>
    <w:rsid w:val="00FE0ABA"/>
    <w:rsid w:val="00FE5888"/>
    <w:rsid w:val="00FF061E"/>
    <w:rsid w:val="00FF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paragraph" w:styleId="BalloonText">
    <w:name w:val="Balloon Text"/>
    <w:basedOn w:val="Normal"/>
    <w:semiHidden/>
    <w:rsid w:val="00740B51"/>
    <w:rPr>
      <w:rFonts w:ascii="Tahoma" w:hAnsi="Tahoma" w:cs="Tahoma"/>
      <w:sz w:val="16"/>
      <w:szCs w:val="16"/>
    </w:rPr>
  </w:style>
  <w:style w:type="character" w:styleId="FollowedHyperlink">
    <w:name w:val="FollowedHyperlink"/>
    <w:rsid w:val="00B51A2D"/>
    <w:rPr>
      <w:color w:val="800080"/>
      <w:u w:val="single"/>
    </w:rPr>
  </w:style>
  <w:style w:type="table" w:styleId="TableGrid">
    <w:name w:val="Table Grid"/>
    <w:basedOn w:val="TableNormal"/>
    <w:rsid w:val="000D6A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paragraph" w:styleId="BalloonText">
    <w:name w:val="Balloon Text"/>
    <w:basedOn w:val="Normal"/>
    <w:semiHidden/>
    <w:rsid w:val="00740B51"/>
    <w:rPr>
      <w:rFonts w:ascii="Tahoma" w:hAnsi="Tahoma" w:cs="Tahoma"/>
      <w:sz w:val="16"/>
      <w:szCs w:val="16"/>
    </w:rPr>
  </w:style>
  <w:style w:type="character" w:styleId="FollowedHyperlink">
    <w:name w:val="FollowedHyperlink"/>
    <w:rsid w:val="00B51A2D"/>
    <w:rPr>
      <w:color w:val="800080"/>
      <w:u w:val="single"/>
    </w:rPr>
  </w:style>
  <w:style w:type="table" w:styleId="TableGrid">
    <w:name w:val="Table Grid"/>
    <w:basedOn w:val="TableNormal"/>
    <w:rsid w:val="000D6A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35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radford.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ew.redding@bradford.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yson.hardaker\Local%20Settings\Temporary%20Internet%20Files\OLK115\ESWS%20Le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ESWS Let (2)</Template>
  <TotalTime>0</TotalTime>
  <Pages>3</Pages>
  <Words>919</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5937</CharactersWithSpaces>
  <SharedDoc>false</SharedDoc>
  <HLinks>
    <vt:vector size="12" baseType="variant">
      <vt:variant>
        <vt:i4>7995457</vt:i4>
      </vt:variant>
      <vt:variant>
        <vt:i4>9</vt:i4>
      </vt:variant>
      <vt:variant>
        <vt:i4>0</vt:i4>
      </vt:variant>
      <vt:variant>
        <vt:i4>5</vt:i4>
      </vt:variant>
      <vt:variant>
        <vt:lpwstr>mailto:andrew.redding@bradford.gov.uk</vt:lpwstr>
      </vt:variant>
      <vt:variant>
        <vt:lpwstr/>
      </vt: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alyson.hardaker</dc:creator>
  <cp:lastModifiedBy>Sarah North</cp:lastModifiedBy>
  <cp:revision>2</cp:revision>
  <cp:lastPrinted>2012-05-15T11:52:00Z</cp:lastPrinted>
  <dcterms:created xsi:type="dcterms:W3CDTF">2016-07-25T08:17:00Z</dcterms:created>
  <dcterms:modified xsi:type="dcterms:W3CDTF">2016-07-25T08:17:00Z</dcterms:modified>
</cp:coreProperties>
</file>