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69" w:rsidRDefault="00504D69" w:rsidP="001D0D29">
      <w:pPr>
        <w:jc w:val="both"/>
        <w:rPr>
          <w:b/>
          <w:sz w:val="22"/>
          <w:szCs w:val="22"/>
          <w:u w:val="single"/>
        </w:rPr>
      </w:pPr>
    </w:p>
    <w:p w:rsidR="007A60D5" w:rsidRPr="00396CC9" w:rsidRDefault="00E23DB4" w:rsidP="001D0D29">
      <w:pPr>
        <w:jc w:val="both"/>
        <w:rPr>
          <w:b/>
          <w:sz w:val="22"/>
          <w:szCs w:val="22"/>
          <w:u w:val="single"/>
        </w:rPr>
      </w:pPr>
      <w:r>
        <w:rPr>
          <w:b/>
          <w:sz w:val="22"/>
          <w:szCs w:val="22"/>
          <w:u w:val="single"/>
        </w:rPr>
        <w:t>Appendix 4: Purpose of E</w:t>
      </w:r>
      <w:r w:rsidR="007A60D5" w:rsidRPr="00396CC9">
        <w:rPr>
          <w:b/>
          <w:sz w:val="22"/>
          <w:szCs w:val="22"/>
          <w:u w:val="single"/>
        </w:rPr>
        <w:t>ach De-De</w:t>
      </w:r>
      <w:r w:rsidR="003A42AD">
        <w:rPr>
          <w:b/>
          <w:sz w:val="22"/>
          <w:szCs w:val="22"/>
          <w:u w:val="single"/>
        </w:rPr>
        <w:t>legated Fund</w:t>
      </w:r>
    </w:p>
    <w:p w:rsidR="007A60D5" w:rsidRPr="00396CC9" w:rsidRDefault="007A60D5" w:rsidP="001D0D29">
      <w:pPr>
        <w:jc w:val="both"/>
        <w:rPr>
          <w:sz w:val="22"/>
          <w:szCs w:val="22"/>
        </w:rPr>
      </w:pPr>
    </w:p>
    <w:p w:rsidR="003A42AD" w:rsidRDefault="003A42AD" w:rsidP="003A42AD">
      <w:pPr>
        <w:pStyle w:val="ListParagraph"/>
        <w:ind w:left="360"/>
        <w:jc w:val="both"/>
        <w:rPr>
          <w:b/>
          <w:sz w:val="22"/>
          <w:szCs w:val="22"/>
        </w:rPr>
      </w:pPr>
    </w:p>
    <w:p w:rsidR="007A60D5" w:rsidRPr="00396CC9" w:rsidRDefault="007A60D5" w:rsidP="001D0D29">
      <w:pPr>
        <w:pStyle w:val="ListParagraph"/>
        <w:numPr>
          <w:ilvl w:val="0"/>
          <w:numId w:val="7"/>
        </w:numPr>
        <w:jc w:val="both"/>
        <w:rPr>
          <w:b/>
          <w:sz w:val="22"/>
          <w:szCs w:val="22"/>
        </w:rPr>
      </w:pPr>
      <w:r w:rsidRPr="00396CC9">
        <w:rPr>
          <w:b/>
          <w:sz w:val="22"/>
          <w:szCs w:val="22"/>
        </w:rPr>
        <w:t xml:space="preserve">ESBD School Support Team: </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As a specialist teaching support service, the ESBD Service provides:</w:t>
      </w:r>
    </w:p>
    <w:p w:rsidR="007A60D5" w:rsidRPr="00396CC9" w:rsidRDefault="007A60D5" w:rsidP="001D0D29">
      <w:pPr>
        <w:numPr>
          <w:ilvl w:val="0"/>
          <w:numId w:val="2"/>
        </w:numPr>
        <w:jc w:val="both"/>
        <w:rPr>
          <w:sz w:val="22"/>
          <w:szCs w:val="22"/>
        </w:rPr>
      </w:pPr>
      <w:r w:rsidRPr="00396CC9">
        <w:rPr>
          <w:sz w:val="22"/>
          <w:szCs w:val="22"/>
        </w:rPr>
        <w:t>Experienced teaching and Inclusion Mentor staff, who offer practical support, advice and strategies to Primary school colleagues, in meeting the needs of pupils presenting with the most challenging behaviours</w:t>
      </w:r>
    </w:p>
    <w:p w:rsidR="007A60D5" w:rsidRPr="00396CC9" w:rsidRDefault="007A60D5" w:rsidP="001D0D29">
      <w:pPr>
        <w:numPr>
          <w:ilvl w:val="0"/>
          <w:numId w:val="2"/>
        </w:numPr>
        <w:jc w:val="both"/>
        <w:rPr>
          <w:sz w:val="22"/>
          <w:szCs w:val="22"/>
        </w:rPr>
      </w:pPr>
      <w:r w:rsidRPr="00396CC9">
        <w:rPr>
          <w:sz w:val="22"/>
          <w:szCs w:val="22"/>
        </w:rPr>
        <w:t>Support to schools to develop their understanding of social and emotional behaviour, and the management of pupils experiencing difficulties. Wherever possible advice is given on the development of systems and skills that increase the capacity of the school to respond to issues in the future</w:t>
      </w:r>
    </w:p>
    <w:p w:rsidR="007A60D5" w:rsidRPr="00396CC9" w:rsidRDefault="007A60D5" w:rsidP="001D0D29">
      <w:pPr>
        <w:numPr>
          <w:ilvl w:val="0"/>
          <w:numId w:val="2"/>
        </w:numPr>
        <w:jc w:val="both"/>
        <w:rPr>
          <w:sz w:val="22"/>
          <w:szCs w:val="22"/>
        </w:rPr>
      </w:pPr>
      <w:r w:rsidRPr="00396CC9">
        <w:rPr>
          <w:sz w:val="22"/>
          <w:szCs w:val="22"/>
        </w:rPr>
        <w:t>Peripatetic Inclusion Mentors, who work under the direction of specialist teachers to offer intensive, time-limited, focused support and training for staff dealing with ESBD</w:t>
      </w:r>
    </w:p>
    <w:p w:rsidR="007A60D5" w:rsidRPr="00396CC9" w:rsidRDefault="007A60D5" w:rsidP="001D0D29">
      <w:pPr>
        <w:numPr>
          <w:ilvl w:val="0"/>
          <w:numId w:val="2"/>
        </w:numPr>
        <w:jc w:val="both"/>
        <w:rPr>
          <w:sz w:val="22"/>
          <w:szCs w:val="22"/>
        </w:rPr>
      </w:pPr>
      <w:r w:rsidRPr="00396CC9">
        <w:rPr>
          <w:sz w:val="22"/>
          <w:szCs w:val="22"/>
        </w:rPr>
        <w:t>A range of bespoke training</w:t>
      </w:r>
    </w:p>
    <w:p w:rsidR="007A60D5" w:rsidRPr="00396CC9" w:rsidRDefault="007A60D5" w:rsidP="001D0D29">
      <w:pPr>
        <w:jc w:val="both"/>
        <w:rPr>
          <w:sz w:val="22"/>
          <w:szCs w:val="22"/>
        </w:rPr>
      </w:pPr>
    </w:p>
    <w:p w:rsidR="007A60D5" w:rsidRPr="00396CC9" w:rsidRDefault="007A60D5" w:rsidP="001D0D29">
      <w:pPr>
        <w:jc w:val="both"/>
        <w:rPr>
          <w:color w:val="FF0000"/>
          <w:sz w:val="22"/>
          <w:szCs w:val="22"/>
        </w:rPr>
      </w:pPr>
      <w:r w:rsidRPr="00396CC9">
        <w:rPr>
          <w:sz w:val="22"/>
          <w:szCs w:val="22"/>
        </w:rPr>
        <w:t>If this de-de</w:t>
      </w:r>
      <w:r w:rsidR="003A42AD">
        <w:rPr>
          <w:sz w:val="22"/>
          <w:szCs w:val="22"/>
        </w:rPr>
        <w:t>legated fund is not held in 2017/18</w:t>
      </w:r>
      <w:r w:rsidRPr="00396CC9">
        <w:rPr>
          <w:sz w:val="22"/>
          <w:szCs w:val="22"/>
        </w:rPr>
        <w:t>, primary schools will need to replace these services from their own resources, for example, by directly employing specialist staff, or by purchasing services, on an individual basis or as a cluster of schools</w:t>
      </w:r>
      <w:r w:rsidR="007636F7">
        <w:rPr>
          <w:sz w:val="22"/>
          <w:szCs w:val="22"/>
        </w:rPr>
        <w:t>. The Local Authority offers a traded service.</w:t>
      </w:r>
    </w:p>
    <w:p w:rsidR="007A60D5" w:rsidRDefault="007A60D5" w:rsidP="001D0D29">
      <w:pPr>
        <w:jc w:val="both"/>
        <w:rPr>
          <w:color w:val="FF0000"/>
          <w:sz w:val="22"/>
          <w:szCs w:val="22"/>
        </w:rPr>
      </w:pPr>
    </w:p>
    <w:p w:rsidR="007636F7" w:rsidRPr="00396CC9" w:rsidRDefault="007636F7" w:rsidP="001D0D29">
      <w:pPr>
        <w:jc w:val="both"/>
        <w:rPr>
          <w:color w:val="FF0000"/>
          <w:sz w:val="22"/>
          <w:szCs w:val="22"/>
        </w:rPr>
      </w:pPr>
    </w:p>
    <w:p w:rsidR="007A60D5" w:rsidRPr="00396CC9" w:rsidRDefault="007A60D5" w:rsidP="001D0D29">
      <w:pPr>
        <w:pStyle w:val="ListParagraph"/>
        <w:numPr>
          <w:ilvl w:val="0"/>
          <w:numId w:val="7"/>
        </w:numPr>
        <w:jc w:val="both"/>
        <w:rPr>
          <w:b/>
          <w:sz w:val="22"/>
          <w:szCs w:val="22"/>
        </w:rPr>
      </w:pPr>
      <w:r w:rsidRPr="00396CC9">
        <w:rPr>
          <w:b/>
          <w:sz w:val="22"/>
          <w:szCs w:val="22"/>
        </w:rPr>
        <w:t xml:space="preserve">FSM Eligibility Assessments: </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This fund covers the work the Local Authority’s Benefits Team does in relation to Free School Meals eligibility for pupils in schools. It covers staffing and ICT costs associated with:</w:t>
      </w:r>
    </w:p>
    <w:p w:rsidR="007A60D5" w:rsidRPr="00396CC9" w:rsidRDefault="007A60D5" w:rsidP="001D0D29">
      <w:pPr>
        <w:numPr>
          <w:ilvl w:val="0"/>
          <w:numId w:val="4"/>
        </w:numPr>
        <w:jc w:val="both"/>
        <w:rPr>
          <w:sz w:val="22"/>
          <w:szCs w:val="22"/>
        </w:rPr>
      </w:pPr>
      <w:r w:rsidRPr="00396CC9">
        <w:rPr>
          <w:sz w:val="22"/>
          <w:szCs w:val="22"/>
        </w:rPr>
        <w:t>The processing of all applications for FSM  for all maintained schools</w:t>
      </w:r>
    </w:p>
    <w:p w:rsidR="007A60D5" w:rsidRPr="00396CC9" w:rsidRDefault="007A60D5" w:rsidP="001D0D29">
      <w:pPr>
        <w:numPr>
          <w:ilvl w:val="0"/>
          <w:numId w:val="4"/>
        </w:numPr>
        <w:jc w:val="both"/>
        <w:rPr>
          <w:sz w:val="22"/>
          <w:szCs w:val="22"/>
        </w:rPr>
      </w:pPr>
      <w:r w:rsidRPr="00396CC9">
        <w:rPr>
          <w:sz w:val="22"/>
          <w:szCs w:val="22"/>
        </w:rPr>
        <w:t>Checking &amp; verifying claims, notifying parents of successful and unsuccessful claims</w:t>
      </w:r>
    </w:p>
    <w:p w:rsidR="007A60D5" w:rsidRPr="00396CC9" w:rsidRDefault="007A60D5" w:rsidP="001D0D29">
      <w:pPr>
        <w:numPr>
          <w:ilvl w:val="0"/>
          <w:numId w:val="4"/>
        </w:numPr>
        <w:jc w:val="both"/>
        <w:rPr>
          <w:sz w:val="22"/>
          <w:szCs w:val="22"/>
        </w:rPr>
      </w:pPr>
      <w:r w:rsidRPr="00396CC9">
        <w:rPr>
          <w:sz w:val="22"/>
          <w:szCs w:val="22"/>
        </w:rPr>
        <w:t>Notifying schools of successful claims and changes to existing claims</w:t>
      </w:r>
    </w:p>
    <w:p w:rsidR="007A60D5" w:rsidRPr="00396CC9" w:rsidRDefault="007A60D5" w:rsidP="001D0D29">
      <w:pPr>
        <w:numPr>
          <w:ilvl w:val="0"/>
          <w:numId w:val="4"/>
        </w:numPr>
        <w:jc w:val="both"/>
        <w:rPr>
          <w:sz w:val="22"/>
          <w:szCs w:val="22"/>
        </w:rPr>
      </w:pPr>
      <w:r w:rsidRPr="00396CC9">
        <w:rPr>
          <w:sz w:val="22"/>
          <w:szCs w:val="22"/>
        </w:rPr>
        <w:t>Assisting schools with eligibility, take up and administrative issues &amp; providing guidance</w:t>
      </w:r>
    </w:p>
    <w:p w:rsidR="007A60D5" w:rsidRPr="00396CC9" w:rsidRDefault="007A60D5" w:rsidP="001D0D29">
      <w:pPr>
        <w:numPr>
          <w:ilvl w:val="0"/>
          <w:numId w:val="4"/>
        </w:numPr>
        <w:jc w:val="both"/>
        <w:rPr>
          <w:sz w:val="22"/>
          <w:szCs w:val="22"/>
        </w:rPr>
      </w:pPr>
      <w:r w:rsidRPr="00396CC9">
        <w:rPr>
          <w:sz w:val="22"/>
          <w:szCs w:val="22"/>
        </w:rPr>
        <w:t>Promoting maximum take up of FSM eligibility, including cross checking pupil FSM data with other Authority benefits systems</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The Local Authority makes use of a nationwide FSM checking system, which means that paper evidence does not have to be supplied by parents. Applications for all children who attend Bradford schools can be processed quickly via the Council’s website, telephone, personal visit or in writing. Currently, schools do not have direct access to this checking system.</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If this de-de</w:t>
      </w:r>
      <w:r w:rsidR="003A42AD">
        <w:rPr>
          <w:sz w:val="22"/>
          <w:szCs w:val="22"/>
        </w:rPr>
        <w:t>legated fund is not held in 2017/18</w:t>
      </w:r>
      <w:r w:rsidRPr="00396CC9">
        <w:rPr>
          <w:sz w:val="22"/>
          <w:szCs w:val="22"/>
        </w:rPr>
        <w:t>, schools will either need to undertake FSM assessment themselves or purchase services</w:t>
      </w:r>
      <w:r w:rsidR="007636F7">
        <w:rPr>
          <w:sz w:val="22"/>
          <w:szCs w:val="22"/>
        </w:rPr>
        <w:t>. The Local Authority offers a traded service.</w:t>
      </w:r>
    </w:p>
    <w:p w:rsidR="007A60D5" w:rsidRDefault="007A60D5" w:rsidP="001D0D29">
      <w:pPr>
        <w:jc w:val="both"/>
        <w:rPr>
          <w:sz w:val="22"/>
          <w:szCs w:val="22"/>
        </w:rPr>
      </w:pPr>
    </w:p>
    <w:p w:rsidR="003A42AD" w:rsidRPr="00396CC9" w:rsidRDefault="003A42AD" w:rsidP="001D0D29">
      <w:pPr>
        <w:jc w:val="both"/>
        <w:rPr>
          <w:sz w:val="22"/>
          <w:szCs w:val="22"/>
        </w:rPr>
      </w:pPr>
    </w:p>
    <w:p w:rsidR="007A60D5" w:rsidRPr="00396CC9" w:rsidRDefault="007A60D5" w:rsidP="001D0D29">
      <w:pPr>
        <w:pStyle w:val="ListParagraph"/>
        <w:numPr>
          <w:ilvl w:val="0"/>
          <w:numId w:val="7"/>
        </w:numPr>
        <w:jc w:val="both"/>
        <w:rPr>
          <w:b/>
          <w:sz w:val="22"/>
          <w:szCs w:val="22"/>
        </w:rPr>
      </w:pPr>
      <w:r w:rsidRPr="00396CC9">
        <w:rPr>
          <w:b/>
          <w:sz w:val="22"/>
          <w:szCs w:val="22"/>
        </w:rPr>
        <w:t xml:space="preserve"> Fischer Family Trust – School Licences: </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This fund pays for schools’ subscriptions to Fischer Family Trust (FFT). FFT provides a unique service to schools and the local authorities. This services analyses previous national end of key stage data and the contextual data of schools and uses this to provide estimates of outcomes at pupil level for the next key stage result. These pupil level results are aggregated at school and at local authority level.  Over time these estimates have come to be held in high regard and the work of the FFT is valued by schools and local authorities. Government funding for the FFT was withdrawn at March 2012. As a consequence, the FFT restructured their pricing and data access policies. The purchasing of the data through the Local Authority offers significant savings.</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If this de-de</w:t>
      </w:r>
      <w:r w:rsidR="00966C3E">
        <w:rPr>
          <w:sz w:val="22"/>
          <w:szCs w:val="22"/>
        </w:rPr>
        <w:t>legated fund is not held in 2017/18</w:t>
      </w:r>
      <w:r w:rsidRPr="00396CC9">
        <w:rPr>
          <w:sz w:val="22"/>
          <w:szCs w:val="22"/>
        </w:rPr>
        <w:t xml:space="preserve">, maintained schools will need to purchase their own licences to access FFT data, on an individual basis or as a cluster of schools. </w:t>
      </w:r>
    </w:p>
    <w:p w:rsidR="003A42AD" w:rsidRDefault="003A42AD" w:rsidP="001D0D29">
      <w:pPr>
        <w:jc w:val="both"/>
        <w:rPr>
          <w:sz w:val="22"/>
          <w:szCs w:val="22"/>
        </w:rPr>
      </w:pPr>
    </w:p>
    <w:p w:rsidR="003A42AD" w:rsidRDefault="003A42AD" w:rsidP="001D0D29">
      <w:pPr>
        <w:jc w:val="both"/>
        <w:rPr>
          <w:sz w:val="22"/>
          <w:szCs w:val="22"/>
        </w:rPr>
      </w:pPr>
    </w:p>
    <w:p w:rsidR="007636F7" w:rsidRPr="00396CC9" w:rsidRDefault="007636F7" w:rsidP="001D0D29">
      <w:pPr>
        <w:jc w:val="both"/>
        <w:rPr>
          <w:sz w:val="22"/>
          <w:szCs w:val="22"/>
        </w:rPr>
      </w:pPr>
    </w:p>
    <w:p w:rsidR="007A60D5" w:rsidRPr="00396CC9" w:rsidRDefault="007A60D5" w:rsidP="001D0D29">
      <w:pPr>
        <w:pStyle w:val="ListParagraph"/>
        <w:numPr>
          <w:ilvl w:val="0"/>
          <w:numId w:val="7"/>
        </w:numPr>
        <w:jc w:val="both"/>
        <w:rPr>
          <w:b/>
          <w:sz w:val="22"/>
          <w:szCs w:val="22"/>
        </w:rPr>
      </w:pPr>
      <w:r w:rsidRPr="00396CC9">
        <w:rPr>
          <w:b/>
          <w:sz w:val="22"/>
          <w:szCs w:val="22"/>
        </w:rPr>
        <w:t>School Maternity / Paternity ‘insurance’:</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This fund has historically acted as an ‘insurance’ pot, where schools are reimbursed for the costs of the salaries of staff on maternity / paternity leave, so that the cost of cover / supply arrangements can be afforded from the school’s budget. The Schools Forum has discussed the delegation of this pot to schools on a number of occasions over the last ten years or so, and has always concluded that the protection this centrally managed fund offers, especially to smaller schools, against the disproportionate and unpredictable nature of maternity / costs is vital.</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If this de-delegated fund is not held in 201</w:t>
      </w:r>
      <w:r w:rsidR="007636F7">
        <w:rPr>
          <w:sz w:val="22"/>
          <w:szCs w:val="22"/>
        </w:rPr>
        <w:t>7/18</w:t>
      </w:r>
      <w:r w:rsidRPr="00396CC9">
        <w:rPr>
          <w:sz w:val="22"/>
          <w:szCs w:val="22"/>
        </w:rPr>
        <w:t xml:space="preserve">, maintained schools will not be reimbursed for the salary cost of staff on maternity / paternity leave and would have to make alternative arrangements to manage this cost, for example, by including maternity cover within the school’s supply insurance arrangements or by working in clusters to share the cost of staffing cover. </w:t>
      </w:r>
    </w:p>
    <w:p w:rsidR="007A60D5" w:rsidRDefault="007A60D5" w:rsidP="001D0D29">
      <w:pPr>
        <w:jc w:val="both"/>
        <w:rPr>
          <w:sz w:val="22"/>
          <w:szCs w:val="22"/>
        </w:rPr>
      </w:pPr>
    </w:p>
    <w:p w:rsidR="00966C3E" w:rsidRPr="00396CC9" w:rsidRDefault="00966C3E" w:rsidP="001D0D29">
      <w:pPr>
        <w:jc w:val="both"/>
        <w:rPr>
          <w:sz w:val="22"/>
          <w:szCs w:val="22"/>
        </w:rPr>
      </w:pPr>
    </w:p>
    <w:p w:rsidR="007A60D5" w:rsidRPr="00396CC9" w:rsidRDefault="007A60D5" w:rsidP="001D0D29">
      <w:pPr>
        <w:pStyle w:val="ListParagraph"/>
        <w:numPr>
          <w:ilvl w:val="0"/>
          <w:numId w:val="7"/>
        </w:numPr>
        <w:jc w:val="both"/>
        <w:rPr>
          <w:b/>
          <w:sz w:val="22"/>
          <w:szCs w:val="22"/>
        </w:rPr>
      </w:pPr>
      <w:r w:rsidRPr="00396CC9">
        <w:rPr>
          <w:b/>
          <w:sz w:val="22"/>
          <w:szCs w:val="22"/>
        </w:rPr>
        <w:t>Trade Union Facilities Time:</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There is a legal obligation (under The Trade Union and Labour Relations (Consolidation) Act 1992) for an employer to provide facilities for recognised trade unions to function within the workplace, including an obligation to grant time off with pay.  The recognised unions in schools are:</w:t>
      </w:r>
    </w:p>
    <w:p w:rsidR="007A60D5" w:rsidRPr="00396CC9" w:rsidRDefault="007A60D5" w:rsidP="001D0D29">
      <w:pPr>
        <w:numPr>
          <w:ilvl w:val="0"/>
          <w:numId w:val="5"/>
        </w:numPr>
        <w:jc w:val="both"/>
        <w:rPr>
          <w:sz w:val="22"/>
          <w:szCs w:val="22"/>
        </w:rPr>
      </w:pPr>
      <w:r w:rsidRPr="00396CC9">
        <w:rPr>
          <w:sz w:val="22"/>
          <w:szCs w:val="22"/>
        </w:rPr>
        <w:t xml:space="preserve">Teacher Trade Unions - NUT, NASUWT, ATL, ASCL, NAHT, VOICE, and </w:t>
      </w:r>
    </w:p>
    <w:p w:rsidR="007A60D5" w:rsidRPr="00396CC9" w:rsidRDefault="007A60D5" w:rsidP="001D0D29">
      <w:pPr>
        <w:numPr>
          <w:ilvl w:val="0"/>
          <w:numId w:val="5"/>
        </w:numPr>
        <w:jc w:val="both"/>
        <w:rPr>
          <w:sz w:val="22"/>
          <w:szCs w:val="22"/>
        </w:rPr>
      </w:pPr>
      <w:r w:rsidRPr="00396CC9">
        <w:rPr>
          <w:sz w:val="22"/>
          <w:szCs w:val="22"/>
        </w:rPr>
        <w:t>The Trade Unions representing support and other professional school staff – UNISON, GMB and UNITE</w:t>
      </w:r>
    </w:p>
    <w:p w:rsidR="007A60D5" w:rsidRPr="00396CC9" w:rsidRDefault="007A60D5" w:rsidP="001D0D29">
      <w:pPr>
        <w:jc w:val="both"/>
        <w:rPr>
          <w:sz w:val="22"/>
          <w:szCs w:val="22"/>
        </w:rPr>
      </w:pPr>
    </w:p>
    <w:p w:rsidR="007A60D5" w:rsidRPr="0077345B" w:rsidRDefault="007A60D5" w:rsidP="001D0D29">
      <w:pPr>
        <w:jc w:val="both"/>
        <w:rPr>
          <w:sz w:val="22"/>
          <w:szCs w:val="22"/>
        </w:rPr>
      </w:pPr>
      <w:r w:rsidRPr="00396CC9">
        <w:rPr>
          <w:sz w:val="22"/>
          <w:szCs w:val="22"/>
        </w:rPr>
        <w:t xml:space="preserve">To meet this obligation, the Council has agreed to release a number of staff for part or all of their time from their school duties to carry out their duties as elected lay officials. This applies to the recognised trade unions in schools with significant membership. Historically the agreed ratio for facility time has </w:t>
      </w:r>
      <w:r w:rsidRPr="0077345B">
        <w:rPr>
          <w:sz w:val="22"/>
          <w:szCs w:val="22"/>
        </w:rPr>
        <w:t>been 1 day per 400 members, which has been used as a mutually acceptable, in principle, starting point for the joint management and trade union discussions. Current Facility Time arrangements wi</w:t>
      </w:r>
      <w:r w:rsidR="00930F14" w:rsidRPr="0077345B">
        <w:rPr>
          <w:sz w:val="22"/>
          <w:szCs w:val="22"/>
        </w:rPr>
        <w:t xml:space="preserve">th respect to School Employees </w:t>
      </w:r>
      <w:r w:rsidRPr="0077345B">
        <w:rPr>
          <w:sz w:val="22"/>
          <w:szCs w:val="22"/>
        </w:rPr>
        <w:t>are:</w:t>
      </w:r>
    </w:p>
    <w:p w:rsidR="007A60D5" w:rsidRPr="0077345B" w:rsidRDefault="007A60D5" w:rsidP="001D0D29">
      <w:pPr>
        <w:numPr>
          <w:ilvl w:val="0"/>
          <w:numId w:val="6"/>
        </w:numPr>
        <w:jc w:val="both"/>
        <w:rPr>
          <w:sz w:val="22"/>
          <w:szCs w:val="22"/>
        </w:rPr>
      </w:pPr>
      <w:r w:rsidRPr="0077345B">
        <w:rPr>
          <w:sz w:val="22"/>
          <w:szCs w:val="22"/>
        </w:rPr>
        <w:t>NUT has 2.1 FTE lay officials (10.5 days per week)</w:t>
      </w:r>
    </w:p>
    <w:p w:rsidR="007A60D5" w:rsidRPr="0077345B" w:rsidRDefault="0077345B" w:rsidP="001D0D29">
      <w:pPr>
        <w:numPr>
          <w:ilvl w:val="0"/>
          <w:numId w:val="6"/>
        </w:numPr>
        <w:jc w:val="both"/>
        <w:rPr>
          <w:sz w:val="22"/>
          <w:szCs w:val="22"/>
        </w:rPr>
      </w:pPr>
      <w:r w:rsidRPr="0077345B">
        <w:rPr>
          <w:sz w:val="22"/>
          <w:szCs w:val="22"/>
        </w:rPr>
        <w:t>NASUWT has 1.8 FTE lay officials (9</w:t>
      </w:r>
      <w:r w:rsidR="007A60D5" w:rsidRPr="0077345B">
        <w:rPr>
          <w:sz w:val="22"/>
          <w:szCs w:val="22"/>
        </w:rPr>
        <w:t xml:space="preserve"> days per week)</w:t>
      </w:r>
    </w:p>
    <w:p w:rsidR="007A60D5" w:rsidRPr="0077345B" w:rsidRDefault="007A60D5" w:rsidP="001D0D29">
      <w:pPr>
        <w:numPr>
          <w:ilvl w:val="0"/>
          <w:numId w:val="6"/>
        </w:numPr>
        <w:jc w:val="both"/>
        <w:rPr>
          <w:sz w:val="22"/>
          <w:szCs w:val="22"/>
        </w:rPr>
      </w:pPr>
      <w:r w:rsidRPr="0077345B">
        <w:rPr>
          <w:sz w:val="22"/>
          <w:szCs w:val="22"/>
        </w:rPr>
        <w:t>ATL has 1 FTE lay official (5 days per week)</w:t>
      </w:r>
    </w:p>
    <w:p w:rsidR="007A60D5" w:rsidRPr="0077345B" w:rsidRDefault="007A60D5" w:rsidP="001D0D29">
      <w:pPr>
        <w:numPr>
          <w:ilvl w:val="0"/>
          <w:numId w:val="6"/>
        </w:numPr>
        <w:jc w:val="both"/>
        <w:rPr>
          <w:sz w:val="22"/>
          <w:szCs w:val="22"/>
        </w:rPr>
      </w:pPr>
      <w:r w:rsidRPr="0077345B">
        <w:rPr>
          <w:sz w:val="22"/>
          <w:szCs w:val="22"/>
        </w:rPr>
        <w:t>NAHT has 0.4 FTE lay official (2 days per week)</w:t>
      </w:r>
    </w:p>
    <w:p w:rsidR="007A60D5" w:rsidRPr="0077345B" w:rsidRDefault="007A60D5" w:rsidP="001D0D29">
      <w:pPr>
        <w:numPr>
          <w:ilvl w:val="0"/>
          <w:numId w:val="6"/>
        </w:numPr>
        <w:jc w:val="both"/>
        <w:rPr>
          <w:sz w:val="22"/>
          <w:szCs w:val="22"/>
        </w:rPr>
      </w:pPr>
      <w:r w:rsidRPr="0077345B">
        <w:rPr>
          <w:sz w:val="22"/>
          <w:szCs w:val="22"/>
        </w:rPr>
        <w:t>UNISON has 1.3 FTE lay officials (6.5 days per week)</w:t>
      </w:r>
    </w:p>
    <w:p w:rsidR="007A60D5" w:rsidRPr="0077345B" w:rsidRDefault="007A60D5" w:rsidP="001D0D29">
      <w:pPr>
        <w:numPr>
          <w:ilvl w:val="0"/>
          <w:numId w:val="6"/>
        </w:numPr>
        <w:jc w:val="both"/>
        <w:rPr>
          <w:sz w:val="22"/>
          <w:szCs w:val="22"/>
        </w:rPr>
      </w:pPr>
      <w:r w:rsidRPr="0077345B">
        <w:rPr>
          <w:sz w:val="22"/>
          <w:szCs w:val="22"/>
        </w:rPr>
        <w:t>GMB has 0.6 FTE lay officials (3 days per week)</w:t>
      </w:r>
    </w:p>
    <w:p w:rsidR="007A60D5" w:rsidRPr="0077345B" w:rsidRDefault="007A60D5" w:rsidP="001D0D29">
      <w:pPr>
        <w:numPr>
          <w:ilvl w:val="0"/>
          <w:numId w:val="6"/>
        </w:numPr>
        <w:jc w:val="both"/>
        <w:rPr>
          <w:sz w:val="22"/>
          <w:szCs w:val="22"/>
        </w:rPr>
      </w:pPr>
      <w:r w:rsidRPr="0077345B">
        <w:rPr>
          <w:sz w:val="22"/>
          <w:szCs w:val="22"/>
        </w:rPr>
        <w:t>ASCL has 0.1 FTE lay official (1 day a fortnight)</w:t>
      </w:r>
    </w:p>
    <w:p w:rsidR="007A60D5" w:rsidRPr="00396CC9" w:rsidRDefault="007A60D5" w:rsidP="001D0D29">
      <w:pPr>
        <w:jc w:val="both"/>
        <w:rPr>
          <w:sz w:val="22"/>
          <w:szCs w:val="22"/>
        </w:rPr>
      </w:pPr>
    </w:p>
    <w:p w:rsidR="007A60D5" w:rsidRPr="00396CC9" w:rsidRDefault="007A60D5" w:rsidP="001D0D29">
      <w:pPr>
        <w:jc w:val="both"/>
        <w:rPr>
          <w:sz w:val="22"/>
          <w:szCs w:val="22"/>
        </w:rPr>
      </w:pPr>
      <w:r w:rsidRPr="00396CC9">
        <w:rPr>
          <w:sz w:val="22"/>
          <w:szCs w:val="22"/>
        </w:rPr>
        <w:t>If this de-de</w:t>
      </w:r>
      <w:r w:rsidR="007636F7">
        <w:rPr>
          <w:sz w:val="22"/>
          <w:szCs w:val="22"/>
        </w:rPr>
        <w:t>legated fund is not held in 2017/18</w:t>
      </w:r>
      <w:r w:rsidRPr="00396CC9">
        <w:rPr>
          <w:sz w:val="22"/>
          <w:szCs w:val="22"/>
        </w:rPr>
        <w:t>, individual schools will need to consider how they will meet their statutory obligations to allow trade unions to represent and consult with their members and with the school as the employer, as local branch trade union representatives would no longer be available without cost. For example, each trade union has the right to appoint a trade union representative within a school to carry out statutory functions, and seek time off for these representatives to be trained to carry out these duties.</w:t>
      </w:r>
    </w:p>
    <w:p w:rsidR="007A60D5" w:rsidRDefault="007A60D5" w:rsidP="001D0D29">
      <w:pPr>
        <w:jc w:val="both"/>
        <w:rPr>
          <w:sz w:val="22"/>
          <w:szCs w:val="22"/>
        </w:rPr>
      </w:pPr>
    </w:p>
    <w:p w:rsidR="007636F7" w:rsidRPr="00396CC9" w:rsidRDefault="007636F7" w:rsidP="001D0D29">
      <w:pPr>
        <w:jc w:val="both"/>
        <w:rPr>
          <w:sz w:val="22"/>
          <w:szCs w:val="22"/>
        </w:rPr>
      </w:pPr>
    </w:p>
    <w:p w:rsidR="007A60D5" w:rsidRPr="00396CC9" w:rsidRDefault="007A60D5" w:rsidP="001D0D29">
      <w:pPr>
        <w:pStyle w:val="ListParagraph"/>
        <w:numPr>
          <w:ilvl w:val="0"/>
          <w:numId w:val="7"/>
        </w:numPr>
        <w:jc w:val="both"/>
        <w:rPr>
          <w:b/>
          <w:sz w:val="22"/>
          <w:szCs w:val="22"/>
        </w:rPr>
      </w:pPr>
      <w:r w:rsidRPr="00396CC9">
        <w:rPr>
          <w:b/>
          <w:sz w:val="22"/>
          <w:szCs w:val="22"/>
        </w:rPr>
        <w:t>T</w:t>
      </w:r>
      <w:r w:rsidR="00EB6C79">
        <w:rPr>
          <w:b/>
          <w:sz w:val="22"/>
          <w:szCs w:val="22"/>
        </w:rPr>
        <w:t>rade Union Health and Safety Facilities</w:t>
      </w:r>
      <w:r w:rsidRPr="00396CC9">
        <w:rPr>
          <w:b/>
          <w:sz w:val="22"/>
          <w:szCs w:val="22"/>
        </w:rPr>
        <w:t xml:space="preserve"> Time</w:t>
      </w:r>
    </w:p>
    <w:p w:rsidR="007A60D5" w:rsidRPr="00396CC9" w:rsidRDefault="007A60D5" w:rsidP="001D0D29">
      <w:pPr>
        <w:jc w:val="both"/>
        <w:rPr>
          <w:sz w:val="22"/>
          <w:szCs w:val="22"/>
        </w:rPr>
      </w:pPr>
    </w:p>
    <w:p w:rsidR="007A60D5" w:rsidRPr="00EB6C79" w:rsidRDefault="007A60D5" w:rsidP="00EB6C79">
      <w:pPr>
        <w:jc w:val="both"/>
        <w:rPr>
          <w:sz w:val="22"/>
          <w:szCs w:val="22"/>
        </w:rPr>
      </w:pPr>
      <w:r w:rsidRPr="00396CC9">
        <w:rPr>
          <w:sz w:val="22"/>
          <w:szCs w:val="22"/>
        </w:rPr>
        <w:t>In order to comply with the letter and the spirit of the Health and Safety Regulati</w:t>
      </w:r>
      <w:r w:rsidR="001B74A4">
        <w:rPr>
          <w:sz w:val="22"/>
          <w:szCs w:val="22"/>
        </w:rPr>
        <w:t>ons, the Council and the</w:t>
      </w:r>
      <w:r w:rsidRPr="00396CC9">
        <w:rPr>
          <w:sz w:val="22"/>
          <w:szCs w:val="22"/>
        </w:rPr>
        <w:t xml:space="preserve"> Trade Union Health and Safety Lay Representatives in Bradford made a Health and Safety Agreement in 1989. </w:t>
      </w:r>
      <w:r w:rsidR="0077345B">
        <w:rPr>
          <w:sz w:val="22"/>
          <w:szCs w:val="22"/>
        </w:rPr>
        <w:t>The amount of time funded by the DSG</w:t>
      </w:r>
      <w:r w:rsidR="00EB6C79">
        <w:rPr>
          <w:sz w:val="22"/>
          <w:szCs w:val="22"/>
        </w:rPr>
        <w:t xml:space="preserve"> based</w:t>
      </w:r>
      <w:r w:rsidR="0077345B">
        <w:rPr>
          <w:sz w:val="22"/>
          <w:szCs w:val="22"/>
        </w:rPr>
        <w:t xml:space="preserve"> was significantly reduced by the Schools Forum at April 2015, following review</w:t>
      </w:r>
      <w:r w:rsidR="00EB6C79">
        <w:rPr>
          <w:sz w:val="22"/>
          <w:szCs w:val="22"/>
        </w:rPr>
        <w:t xml:space="preserve"> with the Unions</w:t>
      </w:r>
      <w:r w:rsidR="0077345B">
        <w:rPr>
          <w:sz w:val="22"/>
          <w:szCs w:val="22"/>
        </w:rPr>
        <w:t>. N</w:t>
      </w:r>
      <w:r w:rsidR="001B74A4">
        <w:rPr>
          <w:sz w:val="22"/>
          <w:szCs w:val="22"/>
        </w:rPr>
        <w:t>ominated accredited Trade Union and</w:t>
      </w:r>
      <w:r w:rsidRPr="00396CC9">
        <w:rPr>
          <w:sz w:val="22"/>
          <w:szCs w:val="22"/>
        </w:rPr>
        <w:t xml:space="preserve"> lay He</w:t>
      </w:r>
      <w:r w:rsidR="001B74A4">
        <w:rPr>
          <w:sz w:val="22"/>
          <w:szCs w:val="22"/>
        </w:rPr>
        <w:t>alth and Safety representatives</w:t>
      </w:r>
      <w:r w:rsidRPr="00396CC9">
        <w:rPr>
          <w:sz w:val="22"/>
          <w:szCs w:val="22"/>
        </w:rPr>
        <w:t xml:space="preserve"> </w:t>
      </w:r>
      <w:r w:rsidR="00EB6C79">
        <w:rPr>
          <w:sz w:val="22"/>
          <w:szCs w:val="22"/>
        </w:rPr>
        <w:t xml:space="preserve">continue to </w:t>
      </w:r>
      <w:r w:rsidRPr="00396CC9">
        <w:rPr>
          <w:sz w:val="22"/>
          <w:szCs w:val="22"/>
        </w:rPr>
        <w:t xml:space="preserve">carry out Health and Safety inspections in schools and are released for all or part of their time from their school responsibilities to carry out these duties. A </w:t>
      </w:r>
      <w:r w:rsidR="0077345B">
        <w:rPr>
          <w:sz w:val="22"/>
          <w:szCs w:val="22"/>
        </w:rPr>
        <w:t xml:space="preserve">number of </w:t>
      </w:r>
      <w:r w:rsidR="001B74A4">
        <w:rPr>
          <w:sz w:val="22"/>
          <w:szCs w:val="22"/>
        </w:rPr>
        <w:t>days per year are allocated for</w:t>
      </w:r>
      <w:r w:rsidRPr="00396CC9">
        <w:rPr>
          <w:sz w:val="22"/>
          <w:szCs w:val="22"/>
        </w:rPr>
        <w:t xml:space="preserve"> the </w:t>
      </w:r>
      <w:r w:rsidR="001B74A4">
        <w:rPr>
          <w:sz w:val="22"/>
          <w:szCs w:val="22"/>
        </w:rPr>
        <w:t>Safety R</w:t>
      </w:r>
      <w:r w:rsidRPr="00396CC9">
        <w:rPr>
          <w:sz w:val="22"/>
          <w:szCs w:val="22"/>
        </w:rPr>
        <w:t xml:space="preserve">epresentatives to carry out inspections and this </w:t>
      </w:r>
      <w:r w:rsidR="0077345B">
        <w:rPr>
          <w:sz w:val="22"/>
          <w:szCs w:val="22"/>
        </w:rPr>
        <w:t xml:space="preserve">includes appropriate training. </w:t>
      </w:r>
      <w:r w:rsidR="001B74A4">
        <w:rPr>
          <w:sz w:val="22"/>
          <w:szCs w:val="22"/>
        </w:rPr>
        <w:t>In addition, the</w:t>
      </w:r>
      <w:r w:rsidRPr="00396CC9">
        <w:rPr>
          <w:sz w:val="22"/>
          <w:szCs w:val="22"/>
        </w:rPr>
        <w:t xml:space="preserve"> Safety Representatives carry out site management visits in relation to building work and work with the Council’s Health and Well Being </w:t>
      </w:r>
      <w:r w:rsidRPr="00396CC9">
        <w:rPr>
          <w:sz w:val="22"/>
          <w:szCs w:val="22"/>
        </w:rPr>
        <w:lastRenderedPageBreak/>
        <w:t>Team on occupational matters, such as stress and undertake the role of investigating accidents, disease and other medical matters.  There is a trade union Health and Safety web-site, which is password protected but shared with the relevant Council Safety Officers.</w:t>
      </w:r>
      <w:r w:rsidR="007636F7">
        <w:rPr>
          <w:sz w:val="22"/>
          <w:szCs w:val="22"/>
        </w:rPr>
        <w:t xml:space="preserve"> </w:t>
      </w:r>
      <w:r w:rsidR="00EB6C79" w:rsidRPr="00EB6C79">
        <w:rPr>
          <w:sz w:val="22"/>
          <w:szCs w:val="22"/>
        </w:rPr>
        <w:t>A total of 7 days per week (1.4 FTE) of facilities time is currently funded by the DSG</w:t>
      </w:r>
      <w:r w:rsidR="00EB6C79">
        <w:rPr>
          <w:sz w:val="22"/>
          <w:szCs w:val="22"/>
        </w:rPr>
        <w:t>.</w:t>
      </w:r>
    </w:p>
    <w:p w:rsidR="007A60D5" w:rsidRPr="00EB6C79" w:rsidRDefault="001D0D29" w:rsidP="00373151">
      <w:pPr>
        <w:tabs>
          <w:tab w:val="left" w:pos="2980"/>
        </w:tabs>
        <w:jc w:val="both"/>
        <w:rPr>
          <w:sz w:val="16"/>
          <w:szCs w:val="16"/>
        </w:rPr>
      </w:pPr>
      <w:r w:rsidRPr="00EB6C79">
        <w:rPr>
          <w:sz w:val="22"/>
          <w:szCs w:val="22"/>
        </w:rPr>
        <w:tab/>
      </w:r>
    </w:p>
    <w:p w:rsidR="007A60D5" w:rsidRPr="00396CC9" w:rsidRDefault="007A60D5" w:rsidP="00373151">
      <w:pPr>
        <w:jc w:val="both"/>
        <w:rPr>
          <w:sz w:val="22"/>
          <w:szCs w:val="22"/>
        </w:rPr>
      </w:pPr>
      <w:r w:rsidRPr="00396CC9">
        <w:rPr>
          <w:sz w:val="22"/>
          <w:szCs w:val="22"/>
        </w:rPr>
        <w:t>If this de-delegated fund is not held in 201</w:t>
      </w:r>
      <w:r w:rsidR="007636F7">
        <w:rPr>
          <w:sz w:val="22"/>
          <w:szCs w:val="22"/>
        </w:rPr>
        <w:t>7/18</w:t>
      </w:r>
      <w:r w:rsidRPr="00396CC9">
        <w:rPr>
          <w:sz w:val="22"/>
          <w:szCs w:val="22"/>
        </w:rPr>
        <w:t>, individual schools will need to consider how they will meet their employer statutory obligations around health and safety.</w:t>
      </w:r>
    </w:p>
    <w:p w:rsidR="007636F7" w:rsidRDefault="007636F7" w:rsidP="00373151">
      <w:pPr>
        <w:jc w:val="both"/>
        <w:rPr>
          <w:sz w:val="22"/>
          <w:szCs w:val="22"/>
        </w:rPr>
      </w:pPr>
    </w:p>
    <w:p w:rsidR="007636F7" w:rsidRPr="00396CC9" w:rsidRDefault="007636F7" w:rsidP="00373151">
      <w:pPr>
        <w:jc w:val="both"/>
        <w:rPr>
          <w:sz w:val="22"/>
          <w:szCs w:val="22"/>
        </w:rPr>
      </w:pPr>
    </w:p>
    <w:p w:rsidR="007A60D5" w:rsidRPr="00396CC9" w:rsidRDefault="007A60D5" w:rsidP="00373151">
      <w:pPr>
        <w:pStyle w:val="ListParagraph"/>
        <w:numPr>
          <w:ilvl w:val="0"/>
          <w:numId w:val="7"/>
        </w:numPr>
        <w:jc w:val="both"/>
        <w:rPr>
          <w:b/>
          <w:sz w:val="22"/>
          <w:szCs w:val="22"/>
        </w:rPr>
      </w:pPr>
      <w:r w:rsidRPr="00396CC9">
        <w:rPr>
          <w:b/>
          <w:sz w:val="22"/>
          <w:szCs w:val="22"/>
        </w:rPr>
        <w:t>School Staff Public Duties and Suspensions Fund</w:t>
      </w:r>
    </w:p>
    <w:p w:rsidR="007A60D5" w:rsidRPr="00396CC9" w:rsidRDefault="007A60D5" w:rsidP="00373151">
      <w:pPr>
        <w:jc w:val="both"/>
        <w:rPr>
          <w:sz w:val="22"/>
          <w:szCs w:val="22"/>
        </w:rPr>
      </w:pPr>
    </w:p>
    <w:p w:rsidR="007A60D5" w:rsidRPr="00396CC9" w:rsidRDefault="007A60D5" w:rsidP="00373151">
      <w:pPr>
        <w:jc w:val="both"/>
        <w:rPr>
          <w:sz w:val="22"/>
          <w:szCs w:val="22"/>
        </w:rPr>
      </w:pPr>
      <w:r w:rsidRPr="00396CC9">
        <w:rPr>
          <w:sz w:val="22"/>
          <w:szCs w:val="22"/>
        </w:rPr>
        <w:t>This fund has historically acted, on a similar basis to maternity / paternity payments, as an ‘insurance’ type pot for schools to be reimbursed for staffing costs associated with public duties (magistrates / court duties) and, more significantly, where an employee is suspended from duty following a Child Protection allegation and where the Police are undertaking an investigation. In the case of suspensions, schools are reimbursed for 50% of the cost of the salary of the member of staff suspended. Payments are authorised by the Strategic Director, Children’s Services.</w:t>
      </w:r>
    </w:p>
    <w:p w:rsidR="001D0D29" w:rsidRPr="001D0D29" w:rsidRDefault="001D0D29" w:rsidP="00373151">
      <w:pPr>
        <w:jc w:val="both"/>
        <w:rPr>
          <w:sz w:val="16"/>
          <w:szCs w:val="16"/>
        </w:rPr>
      </w:pPr>
    </w:p>
    <w:p w:rsidR="007A60D5" w:rsidRPr="00396CC9" w:rsidRDefault="007A60D5" w:rsidP="00373151">
      <w:pPr>
        <w:jc w:val="both"/>
        <w:rPr>
          <w:sz w:val="22"/>
          <w:szCs w:val="22"/>
        </w:rPr>
      </w:pPr>
      <w:r w:rsidRPr="00396CC9">
        <w:rPr>
          <w:sz w:val="22"/>
          <w:szCs w:val="22"/>
        </w:rPr>
        <w:t xml:space="preserve">If this de-delegated fund </w:t>
      </w:r>
      <w:r w:rsidR="00396CC9" w:rsidRPr="00396CC9">
        <w:rPr>
          <w:sz w:val="22"/>
          <w:szCs w:val="22"/>
        </w:rPr>
        <w:t>is</w:t>
      </w:r>
      <w:r w:rsidRPr="00396CC9">
        <w:rPr>
          <w:sz w:val="22"/>
          <w:szCs w:val="22"/>
        </w:rPr>
        <w:t xml:space="preserve"> not held in 201</w:t>
      </w:r>
      <w:r w:rsidR="007636F7">
        <w:rPr>
          <w:sz w:val="22"/>
          <w:szCs w:val="22"/>
        </w:rPr>
        <w:t>7/18</w:t>
      </w:r>
      <w:r w:rsidRPr="00396CC9">
        <w:rPr>
          <w:sz w:val="22"/>
          <w:szCs w:val="22"/>
        </w:rPr>
        <w:t xml:space="preserve">, maintained schools </w:t>
      </w:r>
      <w:r w:rsidR="00396CC9" w:rsidRPr="00396CC9">
        <w:rPr>
          <w:sz w:val="22"/>
          <w:szCs w:val="22"/>
        </w:rPr>
        <w:t>will</w:t>
      </w:r>
      <w:r w:rsidRPr="00396CC9">
        <w:rPr>
          <w:sz w:val="22"/>
          <w:szCs w:val="22"/>
        </w:rPr>
        <w:t xml:space="preserve"> not be reimbursed for the salary cost of staff and would have to make alternative arrangements to manage this cost.</w:t>
      </w:r>
    </w:p>
    <w:p w:rsidR="004C747B" w:rsidRDefault="004C747B" w:rsidP="00373151">
      <w:pPr>
        <w:jc w:val="both"/>
      </w:pPr>
    </w:p>
    <w:p w:rsidR="007636F7" w:rsidRDefault="007636F7" w:rsidP="00373151">
      <w:pPr>
        <w:jc w:val="both"/>
        <w:rPr>
          <w:b/>
          <w:sz w:val="22"/>
          <w:szCs w:val="22"/>
          <w:u w:val="single"/>
        </w:rPr>
      </w:pPr>
    </w:p>
    <w:p w:rsidR="001D0D29" w:rsidRPr="001D0D29" w:rsidRDefault="007636F7" w:rsidP="00373151">
      <w:pPr>
        <w:jc w:val="both"/>
        <w:rPr>
          <w:b/>
          <w:sz w:val="22"/>
          <w:szCs w:val="22"/>
          <w:u w:val="single"/>
        </w:rPr>
      </w:pPr>
      <w:r>
        <w:rPr>
          <w:b/>
          <w:sz w:val="22"/>
          <w:szCs w:val="22"/>
          <w:u w:val="single"/>
        </w:rPr>
        <w:t>2016/17</w:t>
      </w:r>
      <w:r w:rsidR="001D0D29">
        <w:rPr>
          <w:b/>
          <w:sz w:val="22"/>
          <w:szCs w:val="22"/>
          <w:u w:val="single"/>
        </w:rPr>
        <w:t xml:space="preserve"> De-D</w:t>
      </w:r>
      <w:r w:rsidR="001D0D29" w:rsidRPr="001D0D29">
        <w:rPr>
          <w:b/>
          <w:sz w:val="22"/>
          <w:szCs w:val="22"/>
          <w:u w:val="single"/>
        </w:rPr>
        <w:t>elegated Funds</w:t>
      </w:r>
      <w:r w:rsidR="001D0D29">
        <w:rPr>
          <w:b/>
          <w:sz w:val="22"/>
          <w:szCs w:val="22"/>
          <w:u w:val="single"/>
        </w:rPr>
        <w:t>: Values</w:t>
      </w:r>
    </w:p>
    <w:p w:rsidR="001D0D29" w:rsidRDefault="001D0D29" w:rsidP="00373151">
      <w:pPr>
        <w:jc w:val="both"/>
      </w:pPr>
    </w:p>
    <w:p w:rsidR="001D0D29" w:rsidRPr="007636F7" w:rsidRDefault="001D0D29" w:rsidP="00373151">
      <w:pPr>
        <w:jc w:val="both"/>
        <w:rPr>
          <w:sz w:val="22"/>
          <w:szCs w:val="22"/>
        </w:rPr>
      </w:pPr>
      <w:r w:rsidRPr="007636F7">
        <w:rPr>
          <w:sz w:val="22"/>
          <w:szCs w:val="22"/>
        </w:rPr>
        <w:t>The table below shows the total values that were de-delegated from individual school budgets in the current financial year. If these funds con</w:t>
      </w:r>
      <w:r w:rsidR="007636F7" w:rsidRPr="007636F7">
        <w:rPr>
          <w:sz w:val="22"/>
          <w:szCs w:val="22"/>
        </w:rPr>
        <w:t>tinue to be de-delegated in 2017/18</w:t>
      </w:r>
      <w:r w:rsidRPr="007636F7">
        <w:rPr>
          <w:sz w:val="22"/>
          <w:szCs w:val="22"/>
        </w:rPr>
        <w:t>, we would expect</w:t>
      </w:r>
      <w:r w:rsidRPr="00594A69">
        <w:rPr>
          <w:sz w:val="22"/>
          <w:szCs w:val="22"/>
        </w:rPr>
        <w:t xml:space="preserve"> the values of funds to match anticipated cost pressures</w:t>
      </w:r>
      <w:r>
        <w:rPr>
          <w:sz w:val="22"/>
          <w:szCs w:val="22"/>
        </w:rPr>
        <w:t>,</w:t>
      </w:r>
      <w:r w:rsidRPr="00594A69">
        <w:rPr>
          <w:sz w:val="22"/>
          <w:szCs w:val="22"/>
        </w:rPr>
        <w:t xml:space="preserve"> and to reduce </w:t>
      </w:r>
      <w:r w:rsidR="007636F7">
        <w:rPr>
          <w:sz w:val="22"/>
          <w:szCs w:val="22"/>
        </w:rPr>
        <w:t>from the 2016/17</w:t>
      </w:r>
      <w:r>
        <w:rPr>
          <w:sz w:val="22"/>
          <w:szCs w:val="22"/>
        </w:rPr>
        <w:t xml:space="preserve"> values shown below </w:t>
      </w:r>
      <w:r w:rsidRPr="00594A69">
        <w:rPr>
          <w:sz w:val="22"/>
          <w:szCs w:val="22"/>
        </w:rPr>
        <w:t>for the impact of maintained schools converting to academy status.</w:t>
      </w:r>
    </w:p>
    <w:p w:rsidR="001D0D29" w:rsidRDefault="001D0D29" w:rsidP="0037315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1418"/>
        <w:gridCol w:w="1386"/>
        <w:gridCol w:w="1473"/>
        <w:gridCol w:w="1441"/>
      </w:tblGrid>
      <w:tr w:rsidR="001D0D29" w:rsidRPr="00CE63F5" w:rsidTr="007636F7">
        <w:trPr>
          <w:jc w:val="center"/>
        </w:trPr>
        <w:tc>
          <w:tcPr>
            <w:tcW w:w="4420" w:type="dxa"/>
          </w:tcPr>
          <w:p w:rsidR="001D0D29" w:rsidRPr="001D0D29" w:rsidRDefault="001D0D29" w:rsidP="00373151">
            <w:pPr>
              <w:jc w:val="both"/>
              <w:rPr>
                <w:b/>
                <w:bCs/>
                <w:sz w:val="22"/>
                <w:szCs w:val="22"/>
              </w:rPr>
            </w:pPr>
            <w:r w:rsidRPr="001D0D29">
              <w:rPr>
                <w:b/>
                <w:bCs/>
                <w:sz w:val="22"/>
                <w:szCs w:val="22"/>
              </w:rPr>
              <w:t>Fund</w:t>
            </w:r>
          </w:p>
        </w:tc>
        <w:tc>
          <w:tcPr>
            <w:tcW w:w="1418" w:type="dxa"/>
          </w:tcPr>
          <w:p w:rsidR="001D0D29" w:rsidRPr="001D0D29" w:rsidRDefault="001D0D29" w:rsidP="00373151">
            <w:pPr>
              <w:jc w:val="both"/>
              <w:rPr>
                <w:b/>
                <w:bCs/>
                <w:sz w:val="22"/>
                <w:szCs w:val="22"/>
              </w:rPr>
            </w:pPr>
            <w:r w:rsidRPr="001D0D29">
              <w:rPr>
                <w:b/>
                <w:bCs/>
                <w:sz w:val="22"/>
                <w:szCs w:val="22"/>
              </w:rPr>
              <w:t>Early Years £</w:t>
            </w:r>
          </w:p>
        </w:tc>
        <w:tc>
          <w:tcPr>
            <w:tcW w:w="1386" w:type="dxa"/>
          </w:tcPr>
          <w:p w:rsidR="001D0D29" w:rsidRPr="001D0D29" w:rsidRDefault="001D0D29" w:rsidP="00373151">
            <w:pPr>
              <w:jc w:val="both"/>
              <w:rPr>
                <w:b/>
                <w:bCs/>
                <w:sz w:val="22"/>
                <w:szCs w:val="22"/>
              </w:rPr>
            </w:pPr>
            <w:r w:rsidRPr="001D0D29">
              <w:rPr>
                <w:b/>
                <w:bCs/>
                <w:sz w:val="22"/>
                <w:szCs w:val="22"/>
              </w:rPr>
              <w:t xml:space="preserve">Primary </w:t>
            </w:r>
          </w:p>
          <w:p w:rsidR="001D0D29" w:rsidRPr="001D0D29" w:rsidRDefault="001D0D29" w:rsidP="00373151">
            <w:pPr>
              <w:jc w:val="both"/>
              <w:rPr>
                <w:b/>
                <w:bCs/>
                <w:sz w:val="22"/>
                <w:szCs w:val="22"/>
              </w:rPr>
            </w:pPr>
            <w:r w:rsidRPr="001D0D29">
              <w:rPr>
                <w:b/>
                <w:bCs/>
                <w:sz w:val="22"/>
                <w:szCs w:val="22"/>
              </w:rPr>
              <w:t>£</w:t>
            </w:r>
          </w:p>
        </w:tc>
        <w:tc>
          <w:tcPr>
            <w:tcW w:w="1473" w:type="dxa"/>
          </w:tcPr>
          <w:p w:rsidR="001D0D29" w:rsidRPr="001D0D29" w:rsidRDefault="001D0D29" w:rsidP="00373151">
            <w:pPr>
              <w:jc w:val="both"/>
              <w:rPr>
                <w:b/>
                <w:bCs/>
                <w:sz w:val="22"/>
                <w:szCs w:val="22"/>
              </w:rPr>
            </w:pPr>
            <w:r w:rsidRPr="001D0D29">
              <w:rPr>
                <w:b/>
                <w:bCs/>
                <w:sz w:val="22"/>
                <w:szCs w:val="22"/>
              </w:rPr>
              <w:t>Secondary £</w:t>
            </w:r>
          </w:p>
        </w:tc>
        <w:tc>
          <w:tcPr>
            <w:tcW w:w="1441" w:type="dxa"/>
          </w:tcPr>
          <w:p w:rsidR="001D0D29" w:rsidRPr="001D0D29" w:rsidRDefault="001D0D29" w:rsidP="00373151">
            <w:pPr>
              <w:jc w:val="both"/>
              <w:rPr>
                <w:b/>
                <w:bCs/>
                <w:sz w:val="22"/>
                <w:szCs w:val="22"/>
              </w:rPr>
            </w:pPr>
            <w:r w:rsidRPr="001D0D29">
              <w:rPr>
                <w:b/>
                <w:bCs/>
                <w:sz w:val="22"/>
                <w:szCs w:val="22"/>
              </w:rPr>
              <w:t>Total Value £</w:t>
            </w:r>
          </w:p>
        </w:tc>
      </w:tr>
      <w:tr w:rsidR="001D0D29" w:rsidRPr="00CE63F5" w:rsidTr="007636F7">
        <w:trPr>
          <w:jc w:val="center"/>
        </w:trPr>
        <w:tc>
          <w:tcPr>
            <w:tcW w:w="4420" w:type="dxa"/>
          </w:tcPr>
          <w:p w:rsidR="001D0D29" w:rsidRPr="001D0D29" w:rsidRDefault="001D0D29" w:rsidP="00373151">
            <w:pPr>
              <w:jc w:val="both"/>
              <w:rPr>
                <w:sz w:val="22"/>
                <w:szCs w:val="22"/>
              </w:rPr>
            </w:pPr>
            <w:r w:rsidRPr="001D0D29">
              <w:rPr>
                <w:sz w:val="22"/>
                <w:szCs w:val="22"/>
              </w:rPr>
              <w:t>ESBD School Support Team</w:t>
            </w:r>
          </w:p>
        </w:tc>
        <w:tc>
          <w:tcPr>
            <w:tcW w:w="1418" w:type="dxa"/>
          </w:tcPr>
          <w:p w:rsidR="001D0D29" w:rsidRPr="00046EBC" w:rsidRDefault="001D0D29" w:rsidP="007636F7">
            <w:pPr>
              <w:jc w:val="right"/>
              <w:rPr>
                <w:sz w:val="22"/>
                <w:szCs w:val="22"/>
              </w:rPr>
            </w:pPr>
            <w:r w:rsidRPr="00046EBC">
              <w:rPr>
                <w:sz w:val="22"/>
                <w:szCs w:val="22"/>
              </w:rPr>
              <w:t>£0</w:t>
            </w:r>
          </w:p>
        </w:tc>
        <w:tc>
          <w:tcPr>
            <w:tcW w:w="1386" w:type="dxa"/>
          </w:tcPr>
          <w:p w:rsidR="001D0D29" w:rsidRPr="00046EBC" w:rsidRDefault="00046EBC" w:rsidP="007636F7">
            <w:pPr>
              <w:jc w:val="right"/>
              <w:rPr>
                <w:sz w:val="22"/>
                <w:szCs w:val="22"/>
              </w:rPr>
            </w:pPr>
            <w:r w:rsidRPr="00046EBC">
              <w:rPr>
                <w:sz w:val="22"/>
                <w:szCs w:val="22"/>
              </w:rPr>
              <w:t>£426,361</w:t>
            </w:r>
          </w:p>
        </w:tc>
        <w:tc>
          <w:tcPr>
            <w:tcW w:w="1473" w:type="dxa"/>
          </w:tcPr>
          <w:p w:rsidR="001D0D29" w:rsidRPr="00046EBC" w:rsidRDefault="001D0D29" w:rsidP="007636F7">
            <w:pPr>
              <w:jc w:val="right"/>
              <w:rPr>
                <w:sz w:val="22"/>
                <w:szCs w:val="22"/>
              </w:rPr>
            </w:pPr>
            <w:r w:rsidRPr="00046EBC">
              <w:rPr>
                <w:sz w:val="22"/>
                <w:szCs w:val="22"/>
              </w:rPr>
              <w:t>£0</w:t>
            </w:r>
          </w:p>
        </w:tc>
        <w:tc>
          <w:tcPr>
            <w:tcW w:w="1441" w:type="dxa"/>
          </w:tcPr>
          <w:p w:rsidR="001D0D29" w:rsidRPr="00046EBC" w:rsidRDefault="00046EBC" w:rsidP="007636F7">
            <w:pPr>
              <w:jc w:val="right"/>
              <w:rPr>
                <w:b/>
                <w:bCs/>
                <w:sz w:val="22"/>
                <w:szCs w:val="22"/>
              </w:rPr>
            </w:pPr>
            <w:r w:rsidRPr="00046EBC">
              <w:rPr>
                <w:b/>
                <w:bCs/>
                <w:sz w:val="22"/>
                <w:szCs w:val="22"/>
              </w:rPr>
              <w:t>£426,361</w:t>
            </w:r>
          </w:p>
        </w:tc>
      </w:tr>
      <w:tr w:rsidR="001D0D29" w:rsidRPr="00CE63F5" w:rsidTr="007636F7">
        <w:trPr>
          <w:jc w:val="center"/>
        </w:trPr>
        <w:tc>
          <w:tcPr>
            <w:tcW w:w="4420" w:type="dxa"/>
          </w:tcPr>
          <w:p w:rsidR="001D0D29" w:rsidRPr="001D0D29" w:rsidRDefault="001D0D29" w:rsidP="00373151">
            <w:pPr>
              <w:jc w:val="both"/>
              <w:rPr>
                <w:sz w:val="22"/>
                <w:szCs w:val="22"/>
              </w:rPr>
            </w:pPr>
            <w:r w:rsidRPr="001D0D29">
              <w:rPr>
                <w:sz w:val="22"/>
                <w:szCs w:val="22"/>
              </w:rPr>
              <w:t>FSM Eligibility Assessments</w:t>
            </w:r>
          </w:p>
        </w:tc>
        <w:tc>
          <w:tcPr>
            <w:tcW w:w="1418" w:type="dxa"/>
          </w:tcPr>
          <w:p w:rsidR="001D0D29" w:rsidRPr="00046EBC" w:rsidRDefault="001D0D29" w:rsidP="007636F7">
            <w:pPr>
              <w:jc w:val="right"/>
              <w:rPr>
                <w:sz w:val="22"/>
                <w:szCs w:val="22"/>
              </w:rPr>
            </w:pPr>
            <w:r w:rsidRPr="00046EBC">
              <w:rPr>
                <w:sz w:val="22"/>
                <w:szCs w:val="22"/>
              </w:rPr>
              <w:t>£0</w:t>
            </w:r>
          </w:p>
        </w:tc>
        <w:tc>
          <w:tcPr>
            <w:tcW w:w="1386" w:type="dxa"/>
          </w:tcPr>
          <w:p w:rsidR="001D0D29" w:rsidRPr="00046EBC" w:rsidRDefault="008A058A" w:rsidP="007636F7">
            <w:pPr>
              <w:jc w:val="right"/>
              <w:rPr>
                <w:sz w:val="22"/>
                <w:szCs w:val="22"/>
              </w:rPr>
            </w:pPr>
            <w:r>
              <w:rPr>
                <w:sz w:val="22"/>
                <w:szCs w:val="22"/>
              </w:rPr>
              <w:t>£86,968</w:t>
            </w:r>
          </w:p>
        </w:tc>
        <w:tc>
          <w:tcPr>
            <w:tcW w:w="1473" w:type="dxa"/>
          </w:tcPr>
          <w:p w:rsidR="001D0D29" w:rsidRPr="00046EBC" w:rsidRDefault="008A058A" w:rsidP="007636F7">
            <w:pPr>
              <w:jc w:val="right"/>
              <w:rPr>
                <w:sz w:val="22"/>
                <w:szCs w:val="22"/>
              </w:rPr>
            </w:pPr>
            <w:r>
              <w:rPr>
                <w:sz w:val="22"/>
                <w:szCs w:val="22"/>
              </w:rPr>
              <w:t>£32,100</w:t>
            </w:r>
          </w:p>
        </w:tc>
        <w:tc>
          <w:tcPr>
            <w:tcW w:w="1441" w:type="dxa"/>
          </w:tcPr>
          <w:p w:rsidR="001D0D29" w:rsidRPr="00046EBC" w:rsidRDefault="008A058A" w:rsidP="007636F7">
            <w:pPr>
              <w:jc w:val="right"/>
              <w:rPr>
                <w:b/>
                <w:bCs/>
                <w:sz w:val="22"/>
                <w:szCs w:val="22"/>
              </w:rPr>
            </w:pPr>
            <w:r>
              <w:rPr>
                <w:b/>
                <w:bCs/>
                <w:sz w:val="22"/>
                <w:szCs w:val="22"/>
              </w:rPr>
              <w:t>£119,068</w:t>
            </w:r>
          </w:p>
        </w:tc>
      </w:tr>
      <w:tr w:rsidR="001D0D29" w:rsidRPr="00CE63F5" w:rsidTr="007636F7">
        <w:trPr>
          <w:jc w:val="center"/>
        </w:trPr>
        <w:tc>
          <w:tcPr>
            <w:tcW w:w="4420" w:type="dxa"/>
          </w:tcPr>
          <w:p w:rsidR="001D0D29" w:rsidRPr="001D0D29" w:rsidRDefault="001D0D29" w:rsidP="00373151">
            <w:pPr>
              <w:jc w:val="both"/>
              <w:rPr>
                <w:sz w:val="22"/>
                <w:szCs w:val="22"/>
              </w:rPr>
            </w:pPr>
            <w:r w:rsidRPr="001D0D29">
              <w:rPr>
                <w:sz w:val="22"/>
                <w:szCs w:val="22"/>
              </w:rPr>
              <w:t>Fischer Family Trust – School Licences</w:t>
            </w:r>
          </w:p>
        </w:tc>
        <w:tc>
          <w:tcPr>
            <w:tcW w:w="1418" w:type="dxa"/>
          </w:tcPr>
          <w:p w:rsidR="001D0D29" w:rsidRPr="00046EBC" w:rsidRDefault="001D0D29" w:rsidP="007636F7">
            <w:pPr>
              <w:jc w:val="right"/>
              <w:rPr>
                <w:sz w:val="22"/>
                <w:szCs w:val="22"/>
              </w:rPr>
            </w:pPr>
            <w:r w:rsidRPr="00046EBC">
              <w:rPr>
                <w:sz w:val="22"/>
                <w:szCs w:val="22"/>
              </w:rPr>
              <w:t>£0</w:t>
            </w:r>
          </w:p>
        </w:tc>
        <w:tc>
          <w:tcPr>
            <w:tcW w:w="1386" w:type="dxa"/>
          </w:tcPr>
          <w:p w:rsidR="001D0D29" w:rsidRPr="00046EBC" w:rsidRDefault="00F477A4" w:rsidP="007636F7">
            <w:pPr>
              <w:jc w:val="right"/>
              <w:rPr>
                <w:sz w:val="22"/>
                <w:szCs w:val="22"/>
              </w:rPr>
            </w:pPr>
            <w:r>
              <w:rPr>
                <w:sz w:val="22"/>
                <w:szCs w:val="22"/>
              </w:rPr>
              <w:t>£24,836</w:t>
            </w:r>
          </w:p>
        </w:tc>
        <w:tc>
          <w:tcPr>
            <w:tcW w:w="1473" w:type="dxa"/>
          </w:tcPr>
          <w:p w:rsidR="001D0D29" w:rsidRPr="00046EBC" w:rsidRDefault="00F477A4" w:rsidP="007636F7">
            <w:pPr>
              <w:jc w:val="right"/>
              <w:rPr>
                <w:sz w:val="22"/>
                <w:szCs w:val="22"/>
              </w:rPr>
            </w:pPr>
            <w:r>
              <w:rPr>
                <w:sz w:val="22"/>
                <w:szCs w:val="22"/>
              </w:rPr>
              <w:t>£8,724</w:t>
            </w:r>
          </w:p>
        </w:tc>
        <w:tc>
          <w:tcPr>
            <w:tcW w:w="1441" w:type="dxa"/>
          </w:tcPr>
          <w:p w:rsidR="001D0D29" w:rsidRPr="00046EBC" w:rsidRDefault="001D0D29" w:rsidP="007636F7">
            <w:pPr>
              <w:jc w:val="right"/>
              <w:rPr>
                <w:b/>
                <w:bCs/>
                <w:sz w:val="22"/>
                <w:szCs w:val="22"/>
              </w:rPr>
            </w:pPr>
            <w:r w:rsidRPr="00046EBC">
              <w:rPr>
                <w:b/>
                <w:bCs/>
                <w:sz w:val="22"/>
                <w:szCs w:val="22"/>
              </w:rPr>
              <w:t>£33,560</w:t>
            </w:r>
          </w:p>
        </w:tc>
      </w:tr>
      <w:tr w:rsidR="001D0D29" w:rsidRPr="00CE63F5" w:rsidTr="007636F7">
        <w:trPr>
          <w:jc w:val="center"/>
        </w:trPr>
        <w:tc>
          <w:tcPr>
            <w:tcW w:w="4420" w:type="dxa"/>
          </w:tcPr>
          <w:p w:rsidR="001D0D29" w:rsidRPr="001D0D29" w:rsidRDefault="001D0D29" w:rsidP="00373151">
            <w:pPr>
              <w:jc w:val="both"/>
              <w:rPr>
                <w:sz w:val="22"/>
                <w:szCs w:val="22"/>
              </w:rPr>
            </w:pPr>
            <w:r w:rsidRPr="001D0D29">
              <w:rPr>
                <w:sz w:val="22"/>
                <w:szCs w:val="22"/>
              </w:rPr>
              <w:t>School Maternity / Paternity ‘insurance’</w:t>
            </w:r>
          </w:p>
        </w:tc>
        <w:tc>
          <w:tcPr>
            <w:tcW w:w="1418" w:type="dxa"/>
          </w:tcPr>
          <w:p w:rsidR="001D0D29" w:rsidRPr="00D25DC2" w:rsidRDefault="00FB388B" w:rsidP="007636F7">
            <w:pPr>
              <w:jc w:val="right"/>
              <w:rPr>
                <w:sz w:val="22"/>
                <w:szCs w:val="22"/>
              </w:rPr>
            </w:pPr>
            <w:r>
              <w:rPr>
                <w:sz w:val="22"/>
                <w:szCs w:val="22"/>
              </w:rPr>
              <w:t>£70,400</w:t>
            </w:r>
          </w:p>
        </w:tc>
        <w:tc>
          <w:tcPr>
            <w:tcW w:w="1386" w:type="dxa"/>
          </w:tcPr>
          <w:p w:rsidR="001D0D29" w:rsidRPr="00D25DC2" w:rsidRDefault="00FB388B" w:rsidP="007636F7">
            <w:pPr>
              <w:jc w:val="right"/>
              <w:rPr>
                <w:sz w:val="22"/>
                <w:szCs w:val="22"/>
              </w:rPr>
            </w:pPr>
            <w:r>
              <w:rPr>
                <w:sz w:val="22"/>
                <w:szCs w:val="22"/>
              </w:rPr>
              <w:t>£1,200,000</w:t>
            </w:r>
          </w:p>
        </w:tc>
        <w:tc>
          <w:tcPr>
            <w:tcW w:w="1473" w:type="dxa"/>
          </w:tcPr>
          <w:p w:rsidR="001D0D29" w:rsidRPr="00D25DC2" w:rsidRDefault="00FB388B" w:rsidP="007636F7">
            <w:pPr>
              <w:jc w:val="right"/>
              <w:rPr>
                <w:sz w:val="22"/>
                <w:szCs w:val="22"/>
              </w:rPr>
            </w:pPr>
            <w:r>
              <w:rPr>
                <w:sz w:val="22"/>
                <w:szCs w:val="22"/>
              </w:rPr>
              <w:t>£295,000</w:t>
            </w:r>
          </w:p>
        </w:tc>
        <w:tc>
          <w:tcPr>
            <w:tcW w:w="1441" w:type="dxa"/>
          </w:tcPr>
          <w:p w:rsidR="001D0D29" w:rsidRPr="00D25DC2" w:rsidRDefault="00FB388B" w:rsidP="007636F7">
            <w:pPr>
              <w:jc w:val="right"/>
              <w:rPr>
                <w:b/>
                <w:bCs/>
                <w:sz w:val="22"/>
                <w:szCs w:val="22"/>
              </w:rPr>
            </w:pPr>
            <w:r>
              <w:rPr>
                <w:b/>
                <w:bCs/>
                <w:sz w:val="22"/>
                <w:szCs w:val="22"/>
              </w:rPr>
              <w:t>£1,565,400</w:t>
            </w:r>
          </w:p>
        </w:tc>
      </w:tr>
      <w:tr w:rsidR="001D0D29" w:rsidRPr="00CE63F5" w:rsidTr="007636F7">
        <w:trPr>
          <w:jc w:val="center"/>
        </w:trPr>
        <w:tc>
          <w:tcPr>
            <w:tcW w:w="4420" w:type="dxa"/>
          </w:tcPr>
          <w:p w:rsidR="001D0D29" w:rsidRPr="001D0D29" w:rsidRDefault="001D0D29" w:rsidP="00373151">
            <w:pPr>
              <w:jc w:val="both"/>
              <w:rPr>
                <w:sz w:val="22"/>
                <w:szCs w:val="22"/>
              </w:rPr>
            </w:pPr>
            <w:r w:rsidRPr="001D0D29">
              <w:rPr>
                <w:sz w:val="22"/>
                <w:szCs w:val="22"/>
              </w:rPr>
              <w:t>Trade Union Facilities Time</w:t>
            </w:r>
          </w:p>
        </w:tc>
        <w:tc>
          <w:tcPr>
            <w:tcW w:w="1418" w:type="dxa"/>
          </w:tcPr>
          <w:p w:rsidR="001D0D29" w:rsidRPr="0064049F" w:rsidRDefault="00FB388B" w:rsidP="007636F7">
            <w:pPr>
              <w:jc w:val="right"/>
              <w:rPr>
                <w:sz w:val="22"/>
                <w:szCs w:val="22"/>
              </w:rPr>
            </w:pPr>
            <w:r>
              <w:rPr>
                <w:sz w:val="22"/>
                <w:szCs w:val="22"/>
              </w:rPr>
              <w:t>£17,240</w:t>
            </w:r>
          </w:p>
        </w:tc>
        <w:tc>
          <w:tcPr>
            <w:tcW w:w="1386" w:type="dxa"/>
          </w:tcPr>
          <w:p w:rsidR="001D0D29" w:rsidRPr="0064049F" w:rsidRDefault="00FB388B" w:rsidP="007636F7">
            <w:pPr>
              <w:jc w:val="right"/>
              <w:rPr>
                <w:sz w:val="22"/>
                <w:szCs w:val="22"/>
              </w:rPr>
            </w:pPr>
            <w:r>
              <w:rPr>
                <w:sz w:val="22"/>
                <w:szCs w:val="22"/>
              </w:rPr>
              <w:t>£213,721</w:t>
            </w:r>
          </w:p>
        </w:tc>
        <w:tc>
          <w:tcPr>
            <w:tcW w:w="1473" w:type="dxa"/>
          </w:tcPr>
          <w:p w:rsidR="001D0D29" w:rsidRPr="0064049F" w:rsidRDefault="00FB388B" w:rsidP="007636F7">
            <w:pPr>
              <w:jc w:val="right"/>
              <w:rPr>
                <w:sz w:val="22"/>
                <w:szCs w:val="22"/>
              </w:rPr>
            </w:pPr>
            <w:r>
              <w:rPr>
                <w:sz w:val="22"/>
                <w:szCs w:val="22"/>
              </w:rPr>
              <w:t>£75,071</w:t>
            </w:r>
          </w:p>
        </w:tc>
        <w:tc>
          <w:tcPr>
            <w:tcW w:w="1441" w:type="dxa"/>
          </w:tcPr>
          <w:p w:rsidR="001D0D29" w:rsidRPr="0064049F" w:rsidRDefault="00FB388B" w:rsidP="007636F7">
            <w:pPr>
              <w:jc w:val="right"/>
              <w:rPr>
                <w:b/>
                <w:bCs/>
                <w:sz w:val="22"/>
                <w:szCs w:val="22"/>
              </w:rPr>
            </w:pPr>
            <w:r>
              <w:rPr>
                <w:b/>
                <w:bCs/>
                <w:sz w:val="22"/>
                <w:szCs w:val="22"/>
              </w:rPr>
              <w:t>£306,032</w:t>
            </w:r>
          </w:p>
        </w:tc>
      </w:tr>
      <w:tr w:rsidR="001D0D29" w:rsidRPr="00CE63F5" w:rsidTr="007636F7">
        <w:trPr>
          <w:jc w:val="center"/>
        </w:trPr>
        <w:tc>
          <w:tcPr>
            <w:tcW w:w="4420" w:type="dxa"/>
          </w:tcPr>
          <w:p w:rsidR="001D0D29" w:rsidRPr="001D0D29" w:rsidRDefault="001D0D29" w:rsidP="00373151">
            <w:pPr>
              <w:jc w:val="both"/>
              <w:rPr>
                <w:sz w:val="22"/>
                <w:szCs w:val="22"/>
              </w:rPr>
            </w:pPr>
            <w:r w:rsidRPr="001D0D29">
              <w:rPr>
                <w:sz w:val="22"/>
                <w:szCs w:val="22"/>
              </w:rPr>
              <w:t>Trade Union Health and Safety Rep Time</w:t>
            </w:r>
          </w:p>
        </w:tc>
        <w:tc>
          <w:tcPr>
            <w:tcW w:w="1418" w:type="dxa"/>
          </w:tcPr>
          <w:p w:rsidR="001D0D29" w:rsidRPr="00AA469D" w:rsidRDefault="001D0D29" w:rsidP="007636F7">
            <w:pPr>
              <w:jc w:val="right"/>
              <w:rPr>
                <w:sz w:val="22"/>
                <w:szCs w:val="22"/>
              </w:rPr>
            </w:pPr>
            <w:r w:rsidRPr="00AA469D">
              <w:rPr>
                <w:sz w:val="22"/>
                <w:szCs w:val="22"/>
              </w:rPr>
              <w:t>£</w:t>
            </w:r>
            <w:r w:rsidR="00DC1EDE">
              <w:rPr>
                <w:sz w:val="22"/>
                <w:szCs w:val="22"/>
              </w:rPr>
              <w:t>2,634</w:t>
            </w:r>
          </w:p>
        </w:tc>
        <w:tc>
          <w:tcPr>
            <w:tcW w:w="1386" w:type="dxa"/>
          </w:tcPr>
          <w:p w:rsidR="001D0D29" w:rsidRPr="00AA469D" w:rsidRDefault="00DC1EDE" w:rsidP="007636F7">
            <w:pPr>
              <w:jc w:val="right"/>
              <w:rPr>
                <w:sz w:val="22"/>
                <w:szCs w:val="22"/>
              </w:rPr>
            </w:pPr>
            <w:r>
              <w:rPr>
                <w:sz w:val="22"/>
                <w:szCs w:val="22"/>
              </w:rPr>
              <w:t>£32,659</w:t>
            </w:r>
          </w:p>
        </w:tc>
        <w:tc>
          <w:tcPr>
            <w:tcW w:w="1473" w:type="dxa"/>
          </w:tcPr>
          <w:p w:rsidR="001D0D29" w:rsidRPr="00AA469D" w:rsidRDefault="00DC1EDE" w:rsidP="007636F7">
            <w:pPr>
              <w:jc w:val="right"/>
              <w:rPr>
                <w:sz w:val="22"/>
                <w:szCs w:val="22"/>
              </w:rPr>
            </w:pPr>
            <w:r>
              <w:rPr>
                <w:sz w:val="22"/>
                <w:szCs w:val="22"/>
              </w:rPr>
              <w:t>£11,472</w:t>
            </w:r>
          </w:p>
        </w:tc>
        <w:tc>
          <w:tcPr>
            <w:tcW w:w="1441" w:type="dxa"/>
          </w:tcPr>
          <w:p w:rsidR="001D0D29" w:rsidRPr="00AA469D" w:rsidRDefault="00DC1EDE" w:rsidP="007636F7">
            <w:pPr>
              <w:jc w:val="right"/>
              <w:rPr>
                <w:b/>
                <w:bCs/>
                <w:sz w:val="22"/>
                <w:szCs w:val="22"/>
              </w:rPr>
            </w:pPr>
            <w:r>
              <w:rPr>
                <w:b/>
                <w:bCs/>
                <w:sz w:val="22"/>
                <w:szCs w:val="22"/>
              </w:rPr>
              <w:t>£46,765</w:t>
            </w:r>
          </w:p>
        </w:tc>
      </w:tr>
      <w:tr w:rsidR="001D0D29" w:rsidRPr="00CE63F5" w:rsidTr="007636F7">
        <w:trPr>
          <w:jc w:val="center"/>
        </w:trPr>
        <w:tc>
          <w:tcPr>
            <w:tcW w:w="4420" w:type="dxa"/>
          </w:tcPr>
          <w:p w:rsidR="001D0D29" w:rsidRPr="001D0D29" w:rsidRDefault="001D0D29" w:rsidP="00373151">
            <w:pPr>
              <w:jc w:val="both"/>
              <w:rPr>
                <w:sz w:val="22"/>
                <w:szCs w:val="22"/>
              </w:rPr>
            </w:pPr>
            <w:r w:rsidRPr="001D0D29">
              <w:rPr>
                <w:sz w:val="22"/>
                <w:szCs w:val="22"/>
              </w:rPr>
              <w:t>School Staff Public Duties &amp; Suspensions Fund</w:t>
            </w:r>
          </w:p>
        </w:tc>
        <w:tc>
          <w:tcPr>
            <w:tcW w:w="1418" w:type="dxa"/>
          </w:tcPr>
          <w:p w:rsidR="001D0D29" w:rsidRPr="00AD0E62" w:rsidRDefault="00F15465" w:rsidP="007636F7">
            <w:pPr>
              <w:jc w:val="right"/>
              <w:rPr>
                <w:sz w:val="22"/>
                <w:szCs w:val="22"/>
              </w:rPr>
            </w:pPr>
            <w:r>
              <w:rPr>
                <w:sz w:val="22"/>
                <w:szCs w:val="22"/>
              </w:rPr>
              <w:t>£3,545</w:t>
            </w:r>
          </w:p>
        </w:tc>
        <w:tc>
          <w:tcPr>
            <w:tcW w:w="1386" w:type="dxa"/>
          </w:tcPr>
          <w:p w:rsidR="001D0D29" w:rsidRPr="00AD0E62" w:rsidRDefault="00F15465" w:rsidP="007636F7">
            <w:pPr>
              <w:jc w:val="right"/>
              <w:rPr>
                <w:sz w:val="22"/>
                <w:szCs w:val="22"/>
              </w:rPr>
            </w:pPr>
            <w:r>
              <w:rPr>
                <w:sz w:val="22"/>
                <w:szCs w:val="22"/>
              </w:rPr>
              <w:t>£43,941</w:t>
            </w:r>
          </w:p>
        </w:tc>
        <w:tc>
          <w:tcPr>
            <w:tcW w:w="1473" w:type="dxa"/>
          </w:tcPr>
          <w:p w:rsidR="001D0D29" w:rsidRPr="00AD0E62" w:rsidRDefault="00F15465" w:rsidP="007636F7">
            <w:pPr>
              <w:jc w:val="right"/>
              <w:rPr>
                <w:sz w:val="22"/>
                <w:szCs w:val="22"/>
              </w:rPr>
            </w:pPr>
            <w:r>
              <w:rPr>
                <w:sz w:val="22"/>
                <w:szCs w:val="22"/>
              </w:rPr>
              <w:t>£15,435</w:t>
            </w:r>
          </w:p>
        </w:tc>
        <w:tc>
          <w:tcPr>
            <w:tcW w:w="1441" w:type="dxa"/>
          </w:tcPr>
          <w:p w:rsidR="001D0D29" w:rsidRPr="00AD0E62" w:rsidRDefault="00F15465" w:rsidP="007636F7">
            <w:pPr>
              <w:jc w:val="right"/>
              <w:rPr>
                <w:b/>
                <w:bCs/>
                <w:sz w:val="22"/>
                <w:szCs w:val="22"/>
              </w:rPr>
            </w:pPr>
            <w:r>
              <w:rPr>
                <w:b/>
                <w:bCs/>
                <w:sz w:val="22"/>
                <w:szCs w:val="22"/>
              </w:rPr>
              <w:t>£62,921</w:t>
            </w:r>
          </w:p>
        </w:tc>
      </w:tr>
      <w:tr w:rsidR="001D0D29" w:rsidRPr="00CE63F5" w:rsidTr="007636F7">
        <w:trPr>
          <w:jc w:val="center"/>
        </w:trPr>
        <w:tc>
          <w:tcPr>
            <w:tcW w:w="4420" w:type="dxa"/>
          </w:tcPr>
          <w:p w:rsidR="001D0D29" w:rsidRPr="001D0D29" w:rsidRDefault="001D0D29" w:rsidP="00373151">
            <w:pPr>
              <w:jc w:val="both"/>
              <w:rPr>
                <w:b/>
                <w:bCs/>
                <w:sz w:val="22"/>
                <w:szCs w:val="22"/>
              </w:rPr>
            </w:pPr>
            <w:r w:rsidRPr="001D0D29">
              <w:rPr>
                <w:b/>
                <w:bCs/>
                <w:sz w:val="22"/>
                <w:szCs w:val="22"/>
              </w:rPr>
              <w:t>Total</w:t>
            </w:r>
          </w:p>
        </w:tc>
        <w:tc>
          <w:tcPr>
            <w:tcW w:w="1418" w:type="dxa"/>
          </w:tcPr>
          <w:p w:rsidR="001D0D29" w:rsidRPr="00AD0E62" w:rsidRDefault="003B6C13" w:rsidP="007636F7">
            <w:pPr>
              <w:jc w:val="right"/>
              <w:rPr>
                <w:b/>
                <w:bCs/>
                <w:sz w:val="22"/>
                <w:szCs w:val="22"/>
              </w:rPr>
            </w:pPr>
            <w:r>
              <w:rPr>
                <w:b/>
                <w:bCs/>
                <w:sz w:val="22"/>
                <w:szCs w:val="22"/>
              </w:rPr>
              <w:t>£93,819</w:t>
            </w:r>
          </w:p>
        </w:tc>
        <w:tc>
          <w:tcPr>
            <w:tcW w:w="1386" w:type="dxa"/>
          </w:tcPr>
          <w:p w:rsidR="001D0D29" w:rsidRPr="00AD0E62" w:rsidRDefault="003B6C13" w:rsidP="007636F7">
            <w:pPr>
              <w:jc w:val="right"/>
              <w:rPr>
                <w:b/>
                <w:bCs/>
                <w:sz w:val="22"/>
                <w:szCs w:val="22"/>
              </w:rPr>
            </w:pPr>
            <w:r>
              <w:rPr>
                <w:b/>
                <w:bCs/>
                <w:sz w:val="22"/>
                <w:szCs w:val="22"/>
              </w:rPr>
              <w:t>£2,028,486</w:t>
            </w:r>
          </w:p>
        </w:tc>
        <w:tc>
          <w:tcPr>
            <w:tcW w:w="1473" w:type="dxa"/>
          </w:tcPr>
          <w:p w:rsidR="001D0D29" w:rsidRPr="00AD0E62" w:rsidRDefault="003B6C13" w:rsidP="007636F7">
            <w:pPr>
              <w:jc w:val="right"/>
              <w:rPr>
                <w:b/>
                <w:bCs/>
                <w:sz w:val="22"/>
                <w:szCs w:val="22"/>
              </w:rPr>
            </w:pPr>
            <w:r>
              <w:rPr>
                <w:b/>
                <w:bCs/>
                <w:sz w:val="22"/>
                <w:szCs w:val="22"/>
              </w:rPr>
              <w:t>£437,801</w:t>
            </w:r>
          </w:p>
        </w:tc>
        <w:tc>
          <w:tcPr>
            <w:tcW w:w="1441" w:type="dxa"/>
          </w:tcPr>
          <w:p w:rsidR="001D0D29" w:rsidRPr="00AD0E62" w:rsidRDefault="003B6C13" w:rsidP="007636F7">
            <w:pPr>
              <w:jc w:val="right"/>
              <w:rPr>
                <w:b/>
                <w:bCs/>
                <w:sz w:val="22"/>
                <w:szCs w:val="22"/>
              </w:rPr>
            </w:pPr>
            <w:r>
              <w:rPr>
                <w:b/>
                <w:bCs/>
                <w:sz w:val="22"/>
                <w:szCs w:val="22"/>
              </w:rPr>
              <w:t>£2,560,107</w:t>
            </w:r>
          </w:p>
        </w:tc>
      </w:tr>
    </w:tbl>
    <w:p w:rsidR="001D0D29" w:rsidRDefault="001D0D29" w:rsidP="00373151">
      <w:pPr>
        <w:jc w:val="both"/>
      </w:pPr>
    </w:p>
    <w:p w:rsidR="001D0D29" w:rsidRPr="007636F7" w:rsidRDefault="001D0D29" w:rsidP="00373151">
      <w:pPr>
        <w:jc w:val="both"/>
        <w:rPr>
          <w:sz w:val="22"/>
          <w:szCs w:val="22"/>
        </w:rPr>
      </w:pPr>
      <w:r w:rsidRPr="009F0F52">
        <w:rPr>
          <w:sz w:val="22"/>
          <w:szCs w:val="22"/>
        </w:rPr>
        <w:t>These total va</w:t>
      </w:r>
      <w:r w:rsidR="007636F7">
        <w:rPr>
          <w:sz w:val="22"/>
          <w:szCs w:val="22"/>
        </w:rPr>
        <w:t>lues were de-delegated from 2017/18</w:t>
      </w:r>
      <w:r w:rsidRPr="009F0F52">
        <w:rPr>
          <w:sz w:val="22"/>
          <w:szCs w:val="22"/>
        </w:rPr>
        <w:t xml:space="preserve"> individual </w:t>
      </w:r>
      <w:r w:rsidR="009F0F52">
        <w:rPr>
          <w:sz w:val="22"/>
          <w:szCs w:val="22"/>
        </w:rPr>
        <w:t xml:space="preserve">maintained </w:t>
      </w:r>
      <w:r w:rsidRPr="009F0F52">
        <w:rPr>
          <w:sz w:val="22"/>
          <w:szCs w:val="22"/>
        </w:rPr>
        <w:t>school budgets on a flat amount per pupil basis, with the exception of FSM Eligibility Assessments, which has been de-delegated on an amount per Ever 6 FSM formula pupil, as follows:</w:t>
      </w:r>
    </w:p>
    <w:p w:rsidR="001D0D29" w:rsidRPr="00CE63F5" w:rsidRDefault="001D0D29" w:rsidP="00373151">
      <w:pPr>
        <w:jc w:val="both"/>
        <w:rPr>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1500"/>
        <w:gridCol w:w="1400"/>
        <w:gridCol w:w="1500"/>
      </w:tblGrid>
      <w:tr w:rsidR="001D0D29" w:rsidRPr="00CE63F5" w:rsidTr="001D0D29">
        <w:trPr>
          <w:jc w:val="center"/>
        </w:trPr>
        <w:tc>
          <w:tcPr>
            <w:tcW w:w="5008" w:type="dxa"/>
            <w:shd w:val="clear" w:color="auto" w:fill="auto"/>
          </w:tcPr>
          <w:p w:rsidR="001D0D29" w:rsidRPr="001D0D29" w:rsidRDefault="001D0D29" w:rsidP="00373151">
            <w:pPr>
              <w:jc w:val="both"/>
              <w:rPr>
                <w:b/>
                <w:bCs/>
                <w:sz w:val="22"/>
                <w:szCs w:val="22"/>
              </w:rPr>
            </w:pPr>
            <w:r w:rsidRPr="001D0D29">
              <w:rPr>
                <w:b/>
                <w:bCs/>
                <w:sz w:val="22"/>
                <w:szCs w:val="22"/>
              </w:rPr>
              <w:t>Fund</w:t>
            </w:r>
          </w:p>
        </w:tc>
        <w:tc>
          <w:tcPr>
            <w:tcW w:w="1500" w:type="dxa"/>
          </w:tcPr>
          <w:p w:rsidR="001D0D29" w:rsidRPr="001D0D29" w:rsidRDefault="001D0D29" w:rsidP="007636F7">
            <w:pPr>
              <w:jc w:val="center"/>
              <w:rPr>
                <w:b/>
                <w:bCs/>
                <w:sz w:val="22"/>
                <w:szCs w:val="22"/>
              </w:rPr>
            </w:pPr>
            <w:r w:rsidRPr="001D0D29">
              <w:rPr>
                <w:b/>
                <w:bCs/>
                <w:sz w:val="22"/>
                <w:szCs w:val="22"/>
              </w:rPr>
              <w:t>Early Years £app</w:t>
            </w:r>
          </w:p>
        </w:tc>
        <w:tc>
          <w:tcPr>
            <w:tcW w:w="1400" w:type="dxa"/>
          </w:tcPr>
          <w:p w:rsidR="001D0D29" w:rsidRPr="001D0D29" w:rsidRDefault="001D0D29" w:rsidP="007636F7">
            <w:pPr>
              <w:jc w:val="center"/>
              <w:rPr>
                <w:b/>
                <w:bCs/>
                <w:sz w:val="22"/>
                <w:szCs w:val="22"/>
              </w:rPr>
            </w:pPr>
            <w:r w:rsidRPr="001D0D29">
              <w:rPr>
                <w:b/>
                <w:bCs/>
                <w:sz w:val="22"/>
                <w:szCs w:val="22"/>
              </w:rPr>
              <w:t>Primary £app</w:t>
            </w:r>
          </w:p>
        </w:tc>
        <w:tc>
          <w:tcPr>
            <w:tcW w:w="1500" w:type="dxa"/>
          </w:tcPr>
          <w:p w:rsidR="001D0D29" w:rsidRPr="001D0D29" w:rsidRDefault="001D0D29" w:rsidP="007636F7">
            <w:pPr>
              <w:jc w:val="center"/>
              <w:rPr>
                <w:b/>
                <w:bCs/>
                <w:sz w:val="22"/>
                <w:szCs w:val="22"/>
              </w:rPr>
            </w:pPr>
            <w:r w:rsidRPr="001D0D29">
              <w:rPr>
                <w:b/>
                <w:bCs/>
                <w:sz w:val="22"/>
                <w:szCs w:val="22"/>
              </w:rPr>
              <w:t>Secondary £app</w:t>
            </w:r>
          </w:p>
        </w:tc>
      </w:tr>
      <w:tr w:rsidR="001D0D29" w:rsidRPr="00CE63F5" w:rsidTr="001D0D29">
        <w:trPr>
          <w:jc w:val="center"/>
        </w:trPr>
        <w:tc>
          <w:tcPr>
            <w:tcW w:w="5008" w:type="dxa"/>
            <w:shd w:val="clear" w:color="auto" w:fill="auto"/>
          </w:tcPr>
          <w:p w:rsidR="001D0D29" w:rsidRPr="001D0D29" w:rsidRDefault="001D0D29" w:rsidP="00373151">
            <w:pPr>
              <w:jc w:val="both"/>
              <w:rPr>
                <w:sz w:val="22"/>
                <w:szCs w:val="22"/>
              </w:rPr>
            </w:pPr>
            <w:r w:rsidRPr="001D0D29">
              <w:rPr>
                <w:sz w:val="22"/>
                <w:szCs w:val="22"/>
              </w:rPr>
              <w:t>ESBD School Support Team</w:t>
            </w:r>
          </w:p>
        </w:tc>
        <w:tc>
          <w:tcPr>
            <w:tcW w:w="1500" w:type="dxa"/>
          </w:tcPr>
          <w:p w:rsidR="001D0D29" w:rsidRPr="00825038" w:rsidRDefault="001D0D29" w:rsidP="007636F7">
            <w:pPr>
              <w:jc w:val="center"/>
              <w:rPr>
                <w:sz w:val="22"/>
                <w:szCs w:val="22"/>
              </w:rPr>
            </w:pPr>
            <w:r w:rsidRPr="00825038">
              <w:rPr>
                <w:sz w:val="22"/>
                <w:szCs w:val="22"/>
              </w:rPr>
              <w:t>£0</w:t>
            </w:r>
          </w:p>
        </w:tc>
        <w:tc>
          <w:tcPr>
            <w:tcW w:w="1400" w:type="dxa"/>
          </w:tcPr>
          <w:p w:rsidR="001D0D29" w:rsidRPr="00825038" w:rsidRDefault="007A36BF" w:rsidP="007636F7">
            <w:pPr>
              <w:jc w:val="center"/>
              <w:rPr>
                <w:sz w:val="22"/>
                <w:szCs w:val="22"/>
              </w:rPr>
            </w:pPr>
            <w:r>
              <w:rPr>
                <w:sz w:val="22"/>
                <w:szCs w:val="22"/>
              </w:rPr>
              <w:t>£9.1</w:t>
            </w:r>
            <w:r w:rsidR="001D0D29" w:rsidRPr="00825038">
              <w:rPr>
                <w:sz w:val="22"/>
                <w:szCs w:val="22"/>
              </w:rPr>
              <w:t>0</w:t>
            </w:r>
          </w:p>
        </w:tc>
        <w:tc>
          <w:tcPr>
            <w:tcW w:w="1500" w:type="dxa"/>
          </w:tcPr>
          <w:p w:rsidR="001D0D29" w:rsidRPr="00825038" w:rsidRDefault="001D0D29" w:rsidP="007636F7">
            <w:pPr>
              <w:jc w:val="center"/>
              <w:rPr>
                <w:sz w:val="22"/>
                <w:szCs w:val="22"/>
              </w:rPr>
            </w:pPr>
            <w:r w:rsidRPr="00825038">
              <w:rPr>
                <w:sz w:val="22"/>
                <w:szCs w:val="22"/>
              </w:rPr>
              <w:t>£0</w:t>
            </w:r>
          </w:p>
        </w:tc>
      </w:tr>
      <w:tr w:rsidR="001D0D29" w:rsidRPr="00CE63F5" w:rsidTr="001D0D29">
        <w:trPr>
          <w:jc w:val="center"/>
        </w:trPr>
        <w:tc>
          <w:tcPr>
            <w:tcW w:w="5008" w:type="dxa"/>
            <w:shd w:val="clear" w:color="auto" w:fill="auto"/>
          </w:tcPr>
          <w:p w:rsidR="001D0D29" w:rsidRPr="001D0D29" w:rsidRDefault="001D0D29" w:rsidP="00373151">
            <w:pPr>
              <w:jc w:val="both"/>
              <w:rPr>
                <w:sz w:val="22"/>
                <w:szCs w:val="22"/>
              </w:rPr>
            </w:pPr>
            <w:r w:rsidRPr="001D0D29">
              <w:rPr>
                <w:sz w:val="22"/>
                <w:szCs w:val="22"/>
              </w:rPr>
              <w:t>FSM Eligibility Assessments</w:t>
            </w:r>
            <w:r w:rsidR="00405E08">
              <w:rPr>
                <w:sz w:val="22"/>
                <w:szCs w:val="22"/>
              </w:rPr>
              <w:t xml:space="preserve"> (per FSM)</w:t>
            </w:r>
          </w:p>
        </w:tc>
        <w:tc>
          <w:tcPr>
            <w:tcW w:w="1500" w:type="dxa"/>
          </w:tcPr>
          <w:p w:rsidR="001D0D29" w:rsidRPr="00825038" w:rsidRDefault="001D0D29" w:rsidP="007636F7">
            <w:pPr>
              <w:jc w:val="center"/>
              <w:rPr>
                <w:sz w:val="22"/>
                <w:szCs w:val="22"/>
              </w:rPr>
            </w:pPr>
            <w:r w:rsidRPr="00825038">
              <w:rPr>
                <w:sz w:val="22"/>
                <w:szCs w:val="22"/>
              </w:rPr>
              <w:t>£0</w:t>
            </w:r>
          </w:p>
        </w:tc>
        <w:tc>
          <w:tcPr>
            <w:tcW w:w="1400" w:type="dxa"/>
          </w:tcPr>
          <w:p w:rsidR="001D0D29" w:rsidRPr="00825038" w:rsidRDefault="001D0D29" w:rsidP="007636F7">
            <w:pPr>
              <w:jc w:val="center"/>
              <w:rPr>
                <w:sz w:val="22"/>
                <w:szCs w:val="22"/>
              </w:rPr>
            </w:pPr>
            <w:r w:rsidRPr="00825038">
              <w:rPr>
                <w:sz w:val="22"/>
                <w:szCs w:val="22"/>
              </w:rPr>
              <w:t>£5.80</w:t>
            </w:r>
          </w:p>
        </w:tc>
        <w:tc>
          <w:tcPr>
            <w:tcW w:w="1500" w:type="dxa"/>
          </w:tcPr>
          <w:p w:rsidR="001D0D29" w:rsidRPr="00825038" w:rsidRDefault="001D0D29" w:rsidP="007636F7">
            <w:pPr>
              <w:jc w:val="center"/>
              <w:rPr>
                <w:sz w:val="22"/>
                <w:szCs w:val="22"/>
              </w:rPr>
            </w:pPr>
            <w:r w:rsidRPr="00825038">
              <w:rPr>
                <w:sz w:val="22"/>
                <w:szCs w:val="22"/>
              </w:rPr>
              <w:t>£5.14</w:t>
            </w:r>
          </w:p>
        </w:tc>
      </w:tr>
      <w:tr w:rsidR="001D0D29" w:rsidRPr="00CE63F5" w:rsidTr="001D0D29">
        <w:trPr>
          <w:jc w:val="center"/>
        </w:trPr>
        <w:tc>
          <w:tcPr>
            <w:tcW w:w="5008" w:type="dxa"/>
            <w:shd w:val="clear" w:color="auto" w:fill="auto"/>
          </w:tcPr>
          <w:p w:rsidR="001D0D29" w:rsidRPr="001D0D29" w:rsidRDefault="001D0D29" w:rsidP="00373151">
            <w:pPr>
              <w:jc w:val="both"/>
              <w:rPr>
                <w:sz w:val="22"/>
                <w:szCs w:val="22"/>
              </w:rPr>
            </w:pPr>
            <w:r w:rsidRPr="001D0D29">
              <w:rPr>
                <w:sz w:val="22"/>
                <w:szCs w:val="22"/>
              </w:rPr>
              <w:t>Fischer Family Trust – School Licences</w:t>
            </w:r>
          </w:p>
        </w:tc>
        <w:tc>
          <w:tcPr>
            <w:tcW w:w="1500" w:type="dxa"/>
          </w:tcPr>
          <w:p w:rsidR="001D0D29" w:rsidRPr="00825038" w:rsidRDefault="001D0D29" w:rsidP="007636F7">
            <w:pPr>
              <w:jc w:val="center"/>
              <w:rPr>
                <w:sz w:val="22"/>
                <w:szCs w:val="22"/>
              </w:rPr>
            </w:pPr>
            <w:r w:rsidRPr="00825038">
              <w:rPr>
                <w:sz w:val="22"/>
                <w:szCs w:val="22"/>
              </w:rPr>
              <w:t>£0</w:t>
            </w:r>
          </w:p>
        </w:tc>
        <w:tc>
          <w:tcPr>
            <w:tcW w:w="1400" w:type="dxa"/>
          </w:tcPr>
          <w:p w:rsidR="001D0D29" w:rsidRPr="00825038" w:rsidRDefault="00825038" w:rsidP="007636F7">
            <w:pPr>
              <w:jc w:val="center"/>
              <w:rPr>
                <w:sz w:val="22"/>
                <w:szCs w:val="22"/>
              </w:rPr>
            </w:pPr>
            <w:r w:rsidRPr="00825038">
              <w:rPr>
                <w:sz w:val="22"/>
                <w:szCs w:val="22"/>
              </w:rPr>
              <w:t>£0.53</w:t>
            </w:r>
          </w:p>
        </w:tc>
        <w:tc>
          <w:tcPr>
            <w:tcW w:w="1500" w:type="dxa"/>
          </w:tcPr>
          <w:p w:rsidR="001D0D29" w:rsidRPr="00825038" w:rsidRDefault="00825038" w:rsidP="007636F7">
            <w:pPr>
              <w:jc w:val="center"/>
              <w:rPr>
                <w:sz w:val="22"/>
                <w:szCs w:val="22"/>
              </w:rPr>
            </w:pPr>
            <w:r w:rsidRPr="00825038">
              <w:rPr>
                <w:sz w:val="22"/>
                <w:szCs w:val="22"/>
              </w:rPr>
              <w:t>£0.53</w:t>
            </w:r>
          </w:p>
        </w:tc>
      </w:tr>
      <w:tr w:rsidR="001D0D29" w:rsidRPr="00CE63F5" w:rsidTr="001D0D29">
        <w:trPr>
          <w:jc w:val="center"/>
        </w:trPr>
        <w:tc>
          <w:tcPr>
            <w:tcW w:w="5008" w:type="dxa"/>
            <w:shd w:val="clear" w:color="auto" w:fill="auto"/>
          </w:tcPr>
          <w:p w:rsidR="001D0D29" w:rsidRPr="001D0D29" w:rsidRDefault="001D0D29" w:rsidP="00373151">
            <w:pPr>
              <w:jc w:val="both"/>
              <w:rPr>
                <w:sz w:val="22"/>
                <w:szCs w:val="22"/>
              </w:rPr>
            </w:pPr>
            <w:r w:rsidRPr="001D0D29">
              <w:rPr>
                <w:sz w:val="22"/>
                <w:szCs w:val="22"/>
              </w:rPr>
              <w:t>School Maternity / Paternity ‘insurance’</w:t>
            </w:r>
          </w:p>
        </w:tc>
        <w:tc>
          <w:tcPr>
            <w:tcW w:w="1500" w:type="dxa"/>
          </w:tcPr>
          <w:p w:rsidR="001D0D29" w:rsidRPr="00825038" w:rsidRDefault="00962242" w:rsidP="007636F7">
            <w:pPr>
              <w:jc w:val="center"/>
              <w:rPr>
                <w:sz w:val="22"/>
                <w:szCs w:val="22"/>
              </w:rPr>
            </w:pPr>
            <w:r>
              <w:rPr>
                <w:sz w:val="22"/>
                <w:szCs w:val="22"/>
              </w:rPr>
              <w:t>£18.63</w:t>
            </w:r>
          </w:p>
        </w:tc>
        <w:tc>
          <w:tcPr>
            <w:tcW w:w="1400" w:type="dxa"/>
          </w:tcPr>
          <w:p w:rsidR="001D0D29" w:rsidRPr="00825038" w:rsidRDefault="007A36BF" w:rsidP="007636F7">
            <w:pPr>
              <w:jc w:val="center"/>
              <w:rPr>
                <w:sz w:val="22"/>
                <w:szCs w:val="22"/>
              </w:rPr>
            </w:pPr>
            <w:r>
              <w:rPr>
                <w:sz w:val="22"/>
                <w:szCs w:val="22"/>
              </w:rPr>
              <w:t>£25.62</w:t>
            </w:r>
          </w:p>
        </w:tc>
        <w:tc>
          <w:tcPr>
            <w:tcW w:w="1500" w:type="dxa"/>
          </w:tcPr>
          <w:p w:rsidR="001D0D29" w:rsidRPr="00825038" w:rsidRDefault="00405E08" w:rsidP="007636F7">
            <w:pPr>
              <w:jc w:val="center"/>
              <w:rPr>
                <w:sz w:val="22"/>
                <w:szCs w:val="22"/>
              </w:rPr>
            </w:pPr>
            <w:r>
              <w:rPr>
                <w:sz w:val="22"/>
                <w:szCs w:val="22"/>
              </w:rPr>
              <w:t>£17.93</w:t>
            </w:r>
          </w:p>
        </w:tc>
      </w:tr>
      <w:tr w:rsidR="001D0D29" w:rsidRPr="00CE63F5" w:rsidTr="001D0D29">
        <w:trPr>
          <w:jc w:val="center"/>
        </w:trPr>
        <w:tc>
          <w:tcPr>
            <w:tcW w:w="5008" w:type="dxa"/>
            <w:shd w:val="clear" w:color="auto" w:fill="auto"/>
          </w:tcPr>
          <w:p w:rsidR="001D0D29" w:rsidRPr="001D0D29" w:rsidRDefault="001D0D29" w:rsidP="00373151">
            <w:pPr>
              <w:jc w:val="both"/>
              <w:rPr>
                <w:sz w:val="22"/>
                <w:szCs w:val="22"/>
              </w:rPr>
            </w:pPr>
            <w:r w:rsidRPr="001D0D29">
              <w:rPr>
                <w:sz w:val="22"/>
                <w:szCs w:val="22"/>
              </w:rPr>
              <w:t>Trade Union Facilities Time</w:t>
            </w:r>
          </w:p>
        </w:tc>
        <w:tc>
          <w:tcPr>
            <w:tcW w:w="1500" w:type="dxa"/>
          </w:tcPr>
          <w:p w:rsidR="001D0D29" w:rsidRPr="00825038" w:rsidRDefault="001D0D29" w:rsidP="007636F7">
            <w:pPr>
              <w:jc w:val="center"/>
              <w:rPr>
                <w:sz w:val="22"/>
                <w:szCs w:val="22"/>
              </w:rPr>
            </w:pPr>
            <w:r w:rsidRPr="00825038">
              <w:rPr>
                <w:sz w:val="22"/>
                <w:szCs w:val="22"/>
              </w:rPr>
              <w:t>£4.56</w:t>
            </w:r>
          </w:p>
        </w:tc>
        <w:tc>
          <w:tcPr>
            <w:tcW w:w="1400" w:type="dxa"/>
          </w:tcPr>
          <w:p w:rsidR="001D0D29" w:rsidRPr="00825038" w:rsidRDefault="001D0D29" w:rsidP="007636F7">
            <w:pPr>
              <w:jc w:val="center"/>
              <w:rPr>
                <w:sz w:val="22"/>
                <w:szCs w:val="22"/>
              </w:rPr>
            </w:pPr>
            <w:r w:rsidRPr="00825038">
              <w:rPr>
                <w:sz w:val="22"/>
                <w:szCs w:val="22"/>
              </w:rPr>
              <w:t>£4.56</w:t>
            </w:r>
          </w:p>
        </w:tc>
        <w:tc>
          <w:tcPr>
            <w:tcW w:w="1500" w:type="dxa"/>
          </w:tcPr>
          <w:p w:rsidR="001D0D29" w:rsidRPr="00825038" w:rsidRDefault="001D0D29" w:rsidP="007636F7">
            <w:pPr>
              <w:jc w:val="center"/>
              <w:rPr>
                <w:sz w:val="22"/>
                <w:szCs w:val="22"/>
              </w:rPr>
            </w:pPr>
            <w:r w:rsidRPr="00825038">
              <w:rPr>
                <w:sz w:val="22"/>
                <w:szCs w:val="22"/>
              </w:rPr>
              <w:t>£4.56</w:t>
            </w:r>
          </w:p>
        </w:tc>
      </w:tr>
      <w:tr w:rsidR="001D0D29" w:rsidRPr="00CE63F5" w:rsidTr="001D0D29">
        <w:trPr>
          <w:jc w:val="center"/>
        </w:trPr>
        <w:tc>
          <w:tcPr>
            <w:tcW w:w="5008" w:type="dxa"/>
            <w:shd w:val="clear" w:color="auto" w:fill="auto"/>
          </w:tcPr>
          <w:p w:rsidR="001D0D29" w:rsidRPr="001D0D29" w:rsidRDefault="001D0D29" w:rsidP="00373151">
            <w:pPr>
              <w:jc w:val="both"/>
              <w:rPr>
                <w:sz w:val="22"/>
                <w:szCs w:val="22"/>
              </w:rPr>
            </w:pPr>
            <w:r w:rsidRPr="001D0D29">
              <w:rPr>
                <w:sz w:val="22"/>
                <w:szCs w:val="22"/>
              </w:rPr>
              <w:t>Trade Union Health and Safety Rep Time</w:t>
            </w:r>
          </w:p>
        </w:tc>
        <w:tc>
          <w:tcPr>
            <w:tcW w:w="1500" w:type="dxa"/>
          </w:tcPr>
          <w:p w:rsidR="001D0D29" w:rsidRPr="00825038" w:rsidRDefault="00825038" w:rsidP="007636F7">
            <w:pPr>
              <w:jc w:val="center"/>
              <w:rPr>
                <w:sz w:val="22"/>
                <w:szCs w:val="22"/>
              </w:rPr>
            </w:pPr>
            <w:r w:rsidRPr="00825038">
              <w:rPr>
                <w:sz w:val="22"/>
                <w:szCs w:val="22"/>
              </w:rPr>
              <w:t>£0.70</w:t>
            </w:r>
          </w:p>
        </w:tc>
        <w:tc>
          <w:tcPr>
            <w:tcW w:w="1400" w:type="dxa"/>
          </w:tcPr>
          <w:p w:rsidR="001D0D29" w:rsidRPr="00825038" w:rsidRDefault="00825038" w:rsidP="007636F7">
            <w:pPr>
              <w:jc w:val="center"/>
              <w:rPr>
                <w:sz w:val="22"/>
                <w:szCs w:val="22"/>
              </w:rPr>
            </w:pPr>
            <w:r w:rsidRPr="00825038">
              <w:rPr>
                <w:sz w:val="22"/>
                <w:szCs w:val="22"/>
              </w:rPr>
              <w:t>£0.70</w:t>
            </w:r>
          </w:p>
        </w:tc>
        <w:tc>
          <w:tcPr>
            <w:tcW w:w="1500" w:type="dxa"/>
          </w:tcPr>
          <w:p w:rsidR="001D0D29" w:rsidRPr="00825038" w:rsidRDefault="00825038" w:rsidP="007636F7">
            <w:pPr>
              <w:jc w:val="center"/>
              <w:rPr>
                <w:sz w:val="22"/>
                <w:szCs w:val="22"/>
              </w:rPr>
            </w:pPr>
            <w:r w:rsidRPr="00825038">
              <w:rPr>
                <w:sz w:val="22"/>
                <w:szCs w:val="22"/>
              </w:rPr>
              <w:t>£0.70</w:t>
            </w:r>
          </w:p>
        </w:tc>
      </w:tr>
      <w:tr w:rsidR="001D0D29" w:rsidRPr="00CE63F5" w:rsidTr="001D0D29">
        <w:trPr>
          <w:jc w:val="center"/>
        </w:trPr>
        <w:tc>
          <w:tcPr>
            <w:tcW w:w="5008" w:type="dxa"/>
            <w:shd w:val="clear" w:color="auto" w:fill="auto"/>
          </w:tcPr>
          <w:p w:rsidR="001D0D29" w:rsidRPr="001D0D29" w:rsidRDefault="001D0D29" w:rsidP="00373151">
            <w:pPr>
              <w:jc w:val="both"/>
              <w:rPr>
                <w:sz w:val="22"/>
                <w:szCs w:val="22"/>
              </w:rPr>
            </w:pPr>
            <w:r w:rsidRPr="001D0D29">
              <w:rPr>
                <w:sz w:val="22"/>
                <w:szCs w:val="22"/>
              </w:rPr>
              <w:t>School Staff Public Duties &amp; Suspensions Fund</w:t>
            </w:r>
          </w:p>
        </w:tc>
        <w:tc>
          <w:tcPr>
            <w:tcW w:w="1500" w:type="dxa"/>
          </w:tcPr>
          <w:p w:rsidR="001D0D29" w:rsidRPr="00825038" w:rsidRDefault="001D0D29" w:rsidP="007636F7">
            <w:pPr>
              <w:jc w:val="center"/>
              <w:rPr>
                <w:sz w:val="22"/>
                <w:szCs w:val="22"/>
              </w:rPr>
            </w:pPr>
            <w:r w:rsidRPr="00825038">
              <w:rPr>
                <w:sz w:val="22"/>
                <w:szCs w:val="22"/>
              </w:rPr>
              <w:t>£0.94</w:t>
            </w:r>
          </w:p>
        </w:tc>
        <w:tc>
          <w:tcPr>
            <w:tcW w:w="1400" w:type="dxa"/>
          </w:tcPr>
          <w:p w:rsidR="001D0D29" w:rsidRPr="00825038" w:rsidRDefault="001D0D29" w:rsidP="007636F7">
            <w:pPr>
              <w:jc w:val="center"/>
              <w:rPr>
                <w:sz w:val="22"/>
                <w:szCs w:val="22"/>
              </w:rPr>
            </w:pPr>
            <w:r w:rsidRPr="00825038">
              <w:rPr>
                <w:sz w:val="22"/>
                <w:szCs w:val="22"/>
              </w:rPr>
              <w:t>£0.94</w:t>
            </w:r>
          </w:p>
        </w:tc>
        <w:tc>
          <w:tcPr>
            <w:tcW w:w="1500" w:type="dxa"/>
          </w:tcPr>
          <w:p w:rsidR="001D0D29" w:rsidRPr="00825038" w:rsidRDefault="001D0D29" w:rsidP="007636F7">
            <w:pPr>
              <w:jc w:val="center"/>
              <w:rPr>
                <w:sz w:val="22"/>
                <w:szCs w:val="22"/>
              </w:rPr>
            </w:pPr>
            <w:r w:rsidRPr="00825038">
              <w:rPr>
                <w:sz w:val="22"/>
                <w:szCs w:val="22"/>
              </w:rPr>
              <w:t>£0.94</w:t>
            </w:r>
          </w:p>
        </w:tc>
      </w:tr>
      <w:tr w:rsidR="001D0D29" w:rsidRPr="00CE63F5" w:rsidTr="001D0D29">
        <w:trPr>
          <w:jc w:val="center"/>
        </w:trPr>
        <w:tc>
          <w:tcPr>
            <w:tcW w:w="5008" w:type="dxa"/>
            <w:shd w:val="clear" w:color="auto" w:fill="auto"/>
          </w:tcPr>
          <w:p w:rsidR="001D0D29" w:rsidRPr="001D0D29" w:rsidRDefault="001D0D29" w:rsidP="00373151">
            <w:pPr>
              <w:jc w:val="both"/>
              <w:rPr>
                <w:b/>
                <w:bCs/>
                <w:sz w:val="22"/>
                <w:szCs w:val="22"/>
              </w:rPr>
            </w:pPr>
            <w:r w:rsidRPr="001D0D29">
              <w:rPr>
                <w:b/>
                <w:bCs/>
                <w:sz w:val="22"/>
                <w:szCs w:val="22"/>
              </w:rPr>
              <w:t>Total</w:t>
            </w:r>
          </w:p>
        </w:tc>
        <w:tc>
          <w:tcPr>
            <w:tcW w:w="1500" w:type="dxa"/>
          </w:tcPr>
          <w:p w:rsidR="001D0D29" w:rsidRPr="00825038" w:rsidRDefault="00962242" w:rsidP="007636F7">
            <w:pPr>
              <w:jc w:val="center"/>
              <w:rPr>
                <w:b/>
                <w:bCs/>
                <w:sz w:val="22"/>
                <w:szCs w:val="22"/>
              </w:rPr>
            </w:pPr>
            <w:r>
              <w:rPr>
                <w:b/>
                <w:bCs/>
                <w:sz w:val="22"/>
                <w:szCs w:val="22"/>
              </w:rPr>
              <w:t>£24.83</w:t>
            </w:r>
          </w:p>
        </w:tc>
        <w:tc>
          <w:tcPr>
            <w:tcW w:w="1400" w:type="dxa"/>
          </w:tcPr>
          <w:p w:rsidR="001D0D29" w:rsidRPr="00825038" w:rsidRDefault="00B1392B" w:rsidP="007636F7">
            <w:pPr>
              <w:jc w:val="center"/>
              <w:rPr>
                <w:b/>
                <w:bCs/>
                <w:sz w:val="22"/>
                <w:szCs w:val="22"/>
              </w:rPr>
            </w:pPr>
            <w:r>
              <w:rPr>
                <w:b/>
                <w:bCs/>
                <w:sz w:val="22"/>
                <w:szCs w:val="22"/>
              </w:rPr>
              <w:t>£47.25</w:t>
            </w:r>
          </w:p>
        </w:tc>
        <w:tc>
          <w:tcPr>
            <w:tcW w:w="1500" w:type="dxa"/>
          </w:tcPr>
          <w:p w:rsidR="001D0D29" w:rsidRPr="00825038" w:rsidRDefault="00405E08" w:rsidP="007636F7">
            <w:pPr>
              <w:jc w:val="center"/>
              <w:rPr>
                <w:b/>
                <w:bCs/>
                <w:sz w:val="22"/>
                <w:szCs w:val="22"/>
              </w:rPr>
            </w:pPr>
            <w:r>
              <w:rPr>
                <w:b/>
                <w:bCs/>
                <w:sz w:val="22"/>
                <w:szCs w:val="22"/>
              </w:rPr>
              <w:t>£29.80</w:t>
            </w:r>
          </w:p>
        </w:tc>
      </w:tr>
    </w:tbl>
    <w:p w:rsidR="006A5890" w:rsidRDefault="006A5890" w:rsidP="00373151">
      <w:pPr>
        <w:jc w:val="both"/>
      </w:pPr>
    </w:p>
    <w:p w:rsidR="006A5890" w:rsidRDefault="006A5890" w:rsidP="001D0D29">
      <w:pPr>
        <w:jc w:val="both"/>
      </w:pPr>
      <w:r w:rsidRPr="00594A69">
        <w:rPr>
          <w:sz w:val="22"/>
          <w:szCs w:val="22"/>
        </w:rPr>
        <w:t xml:space="preserve">Each maintained school has contributed from its </w:t>
      </w:r>
      <w:r w:rsidR="007636F7">
        <w:rPr>
          <w:sz w:val="22"/>
          <w:szCs w:val="22"/>
        </w:rPr>
        <w:t>2016/17</w:t>
      </w:r>
      <w:r>
        <w:rPr>
          <w:sz w:val="22"/>
          <w:szCs w:val="22"/>
        </w:rPr>
        <w:t xml:space="preserve"> </w:t>
      </w:r>
      <w:r w:rsidRPr="00594A69">
        <w:rPr>
          <w:sz w:val="22"/>
          <w:szCs w:val="22"/>
        </w:rPr>
        <w:t>delegated budget share the amount per pupil (£app) shown above multiplied by its number of reception to year 11  pupils, or by its number of Ever 6 FSM formula pupils fo</w:t>
      </w:r>
      <w:r w:rsidR="007636F7">
        <w:rPr>
          <w:sz w:val="22"/>
          <w:szCs w:val="22"/>
        </w:rPr>
        <w:t>r FSM Eligibility Assessments.</w:t>
      </w:r>
      <w:bookmarkStart w:id="0" w:name="_GoBack"/>
      <w:bookmarkEnd w:id="0"/>
    </w:p>
    <w:sectPr w:rsidR="006A5890" w:rsidSect="00504D69">
      <w:headerReference w:type="default" r:id="rId8"/>
      <w:pgSz w:w="11906" w:h="16838" w:code="9"/>
      <w:pgMar w:top="964" w:right="992" w:bottom="851" w:left="992"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69" w:rsidRDefault="00504D69" w:rsidP="00504D69">
      <w:r>
        <w:separator/>
      </w:r>
    </w:p>
  </w:endnote>
  <w:endnote w:type="continuationSeparator" w:id="0">
    <w:p w:rsidR="00504D69" w:rsidRDefault="00504D69" w:rsidP="0050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69" w:rsidRDefault="00504D69" w:rsidP="00504D69">
      <w:r>
        <w:separator/>
      </w:r>
    </w:p>
  </w:footnote>
  <w:footnote w:type="continuationSeparator" w:id="0">
    <w:p w:rsidR="00504D69" w:rsidRDefault="00504D69" w:rsidP="0050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69" w:rsidRPr="00504D69" w:rsidRDefault="00504D69" w:rsidP="00504D69">
    <w:pPr>
      <w:pStyle w:val="Header"/>
      <w:jc w:val="right"/>
      <w:rPr>
        <w:b/>
        <w:sz w:val="18"/>
        <w:szCs w:val="18"/>
      </w:rPr>
    </w:pPr>
    <w:r w:rsidRPr="00504D69">
      <w:rPr>
        <w:b/>
        <w:sz w:val="18"/>
        <w:szCs w:val="18"/>
      </w:rPr>
      <w:t>Consultation &amp; Information on Primary &amp; Secondary Funding Formulae 2017/18 Appendix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6B12"/>
    <w:multiLevelType w:val="hybridMultilevel"/>
    <w:tmpl w:val="B2341C6E"/>
    <w:lvl w:ilvl="0" w:tplc="23467BAE">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865477D"/>
    <w:multiLevelType w:val="hybridMultilevel"/>
    <w:tmpl w:val="B48C1616"/>
    <w:lvl w:ilvl="0" w:tplc="130C2DD4">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8D629EB"/>
    <w:multiLevelType w:val="hybridMultilevel"/>
    <w:tmpl w:val="CEDC6578"/>
    <w:lvl w:ilvl="0" w:tplc="B1382E78">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304451CE"/>
    <w:multiLevelType w:val="hybridMultilevel"/>
    <w:tmpl w:val="A7E0D9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4DF738A"/>
    <w:multiLevelType w:val="hybridMultilevel"/>
    <w:tmpl w:val="97CAA3AE"/>
    <w:lvl w:ilvl="0" w:tplc="5FE067C6">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47820C3A"/>
    <w:multiLevelType w:val="hybridMultilevel"/>
    <w:tmpl w:val="920E8E08"/>
    <w:lvl w:ilvl="0" w:tplc="89564A26">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7A3223E0"/>
    <w:multiLevelType w:val="hybridMultilevel"/>
    <w:tmpl w:val="ECA64B4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D5"/>
    <w:rsid w:val="00046EBC"/>
    <w:rsid w:val="001B74A4"/>
    <w:rsid w:val="001D0D29"/>
    <w:rsid w:val="00346BAB"/>
    <w:rsid w:val="00373151"/>
    <w:rsid w:val="00396CC9"/>
    <w:rsid w:val="003A42AD"/>
    <w:rsid w:val="003B6C13"/>
    <w:rsid w:val="00405E08"/>
    <w:rsid w:val="004B328F"/>
    <w:rsid w:val="004C747B"/>
    <w:rsid w:val="00504D69"/>
    <w:rsid w:val="0064049F"/>
    <w:rsid w:val="006810EE"/>
    <w:rsid w:val="006A5890"/>
    <w:rsid w:val="007636F7"/>
    <w:rsid w:val="0077345B"/>
    <w:rsid w:val="007A36BF"/>
    <w:rsid w:val="007A60D5"/>
    <w:rsid w:val="007B43D5"/>
    <w:rsid w:val="0082199B"/>
    <w:rsid w:val="00825038"/>
    <w:rsid w:val="008A058A"/>
    <w:rsid w:val="00930F14"/>
    <w:rsid w:val="00962242"/>
    <w:rsid w:val="00966C3E"/>
    <w:rsid w:val="009F0F52"/>
    <w:rsid w:val="00AA469D"/>
    <w:rsid w:val="00AD0E62"/>
    <w:rsid w:val="00B1392B"/>
    <w:rsid w:val="00CD1865"/>
    <w:rsid w:val="00CD2BBA"/>
    <w:rsid w:val="00D25DC2"/>
    <w:rsid w:val="00DC1EDE"/>
    <w:rsid w:val="00DC7E55"/>
    <w:rsid w:val="00E23DB4"/>
    <w:rsid w:val="00EB6C79"/>
    <w:rsid w:val="00F15465"/>
    <w:rsid w:val="00F477A4"/>
    <w:rsid w:val="00FB388B"/>
    <w:rsid w:val="00FD2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D5"/>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D5"/>
    <w:pPr>
      <w:ind w:left="720"/>
      <w:contextualSpacing/>
    </w:pPr>
  </w:style>
  <w:style w:type="paragraph" w:styleId="Header">
    <w:name w:val="header"/>
    <w:basedOn w:val="Normal"/>
    <w:link w:val="HeaderChar"/>
    <w:uiPriority w:val="99"/>
    <w:unhideWhenUsed/>
    <w:rsid w:val="00504D69"/>
    <w:pPr>
      <w:tabs>
        <w:tab w:val="center" w:pos="4513"/>
        <w:tab w:val="right" w:pos="9026"/>
      </w:tabs>
    </w:pPr>
  </w:style>
  <w:style w:type="character" w:customStyle="1" w:styleId="HeaderChar">
    <w:name w:val="Header Char"/>
    <w:basedOn w:val="DefaultParagraphFont"/>
    <w:link w:val="Header"/>
    <w:uiPriority w:val="99"/>
    <w:rsid w:val="00504D69"/>
    <w:rPr>
      <w:rFonts w:ascii="Arial" w:eastAsia="Times New Roman" w:hAnsi="Arial" w:cs="Arial"/>
      <w:sz w:val="20"/>
      <w:szCs w:val="20"/>
      <w:lang w:eastAsia="en-GB"/>
    </w:rPr>
  </w:style>
  <w:style w:type="paragraph" w:styleId="Footer">
    <w:name w:val="footer"/>
    <w:basedOn w:val="Normal"/>
    <w:link w:val="FooterChar"/>
    <w:uiPriority w:val="99"/>
    <w:unhideWhenUsed/>
    <w:rsid w:val="00504D69"/>
    <w:pPr>
      <w:tabs>
        <w:tab w:val="center" w:pos="4513"/>
        <w:tab w:val="right" w:pos="9026"/>
      </w:tabs>
    </w:pPr>
  </w:style>
  <w:style w:type="character" w:customStyle="1" w:styleId="FooterChar">
    <w:name w:val="Footer Char"/>
    <w:basedOn w:val="DefaultParagraphFont"/>
    <w:link w:val="Footer"/>
    <w:uiPriority w:val="99"/>
    <w:rsid w:val="00504D69"/>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04D69"/>
    <w:rPr>
      <w:rFonts w:ascii="Tahoma" w:hAnsi="Tahoma" w:cs="Tahoma"/>
      <w:sz w:val="16"/>
      <w:szCs w:val="16"/>
    </w:rPr>
  </w:style>
  <w:style w:type="character" w:customStyle="1" w:styleId="BalloonTextChar">
    <w:name w:val="Balloon Text Char"/>
    <w:basedOn w:val="DefaultParagraphFont"/>
    <w:link w:val="BalloonText"/>
    <w:uiPriority w:val="99"/>
    <w:semiHidden/>
    <w:rsid w:val="00504D6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D5"/>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D5"/>
    <w:pPr>
      <w:ind w:left="720"/>
      <w:contextualSpacing/>
    </w:pPr>
  </w:style>
  <w:style w:type="paragraph" w:styleId="Header">
    <w:name w:val="header"/>
    <w:basedOn w:val="Normal"/>
    <w:link w:val="HeaderChar"/>
    <w:uiPriority w:val="99"/>
    <w:unhideWhenUsed/>
    <w:rsid w:val="00504D69"/>
    <w:pPr>
      <w:tabs>
        <w:tab w:val="center" w:pos="4513"/>
        <w:tab w:val="right" w:pos="9026"/>
      </w:tabs>
    </w:pPr>
  </w:style>
  <w:style w:type="character" w:customStyle="1" w:styleId="HeaderChar">
    <w:name w:val="Header Char"/>
    <w:basedOn w:val="DefaultParagraphFont"/>
    <w:link w:val="Header"/>
    <w:uiPriority w:val="99"/>
    <w:rsid w:val="00504D69"/>
    <w:rPr>
      <w:rFonts w:ascii="Arial" w:eastAsia="Times New Roman" w:hAnsi="Arial" w:cs="Arial"/>
      <w:sz w:val="20"/>
      <w:szCs w:val="20"/>
      <w:lang w:eastAsia="en-GB"/>
    </w:rPr>
  </w:style>
  <w:style w:type="paragraph" w:styleId="Footer">
    <w:name w:val="footer"/>
    <w:basedOn w:val="Normal"/>
    <w:link w:val="FooterChar"/>
    <w:uiPriority w:val="99"/>
    <w:unhideWhenUsed/>
    <w:rsid w:val="00504D69"/>
    <w:pPr>
      <w:tabs>
        <w:tab w:val="center" w:pos="4513"/>
        <w:tab w:val="right" w:pos="9026"/>
      </w:tabs>
    </w:pPr>
  </w:style>
  <w:style w:type="character" w:customStyle="1" w:styleId="FooterChar">
    <w:name w:val="Footer Char"/>
    <w:basedOn w:val="DefaultParagraphFont"/>
    <w:link w:val="Footer"/>
    <w:uiPriority w:val="99"/>
    <w:rsid w:val="00504D69"/>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04D69"/>
    <w:rPr>
      <w:rFonts w:ascii="Tahoma" w:hAnsi="Tahoma" w:cs="Tahoma"/>
      <w:sz w:val="16"/>
      <w:szCs w:val="16"/>
    </w:rPr>
  </w:style>
  <w:style w:type="character" w:customStyle="1" w:styleId="BalloonTextChar">
    <w:name w:val="Balloon Text Char"/>
    <w:basedOn w:val="DefaultParagraphFont"/>
    <w:link w:val="BalloonText"/>
    <w:uiPriority w:val="99"/>
    <w:semiHidden/>
    <w:rsid w:val="00504D6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North</dc:creator>
  <cp:keywords/>
  <dc:description/>
  <cp:lastModifiedBy>Sarah North</cp:lastModifiedBy>
  <cp:revision>38</cp:revision>
  <dcterms:created xsi:type="dcterms:W3CDTF">2015-09-09T11:47:00Z</dcterms:created>
  <dcterms:modified xsi:type="dcterms:W3CDTF">2016-09-08T09:42:00Z</dcterms:modified>
</cp:coreProperties>
</file>