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07" w:rsidRDefault="00A82907" w:rsidP="008D29D4">
      <w:pPr>
        <w:jc w:val="center"/>
        <w:rPr>
          <w:b/>
          <w:bCs/>
          <w:sz w:val="28"/>
          <w:szCs w:val="28"/>
          <w:u w:val="single"/>
        </w:rPr>
      </w:pPr>
    </w:p>
    <w:p w:rsidR="00A82907" w:rsidRDefault="00A82907" w:rsidP="008D29D4">
      <w:pPr>
        <w:jc w:val="center"/>
        <w:rPr>
          <w:b/>
          <w:bCs/>
          <w:sz w:val="28"/>
          <w:szCs w:val="28"/>
          <w:u w:val="single"/>
        </w:rPr>
      </w:pPr>
    </w:p>
    <w:p w:rsidR="00A82907" w:rsidRPr="00FF7674" w:rsidRDefault="00A82907" w:rsidP="008D29D4">
      <w:pPr>
        <w:jc w:val="center"/>
        <w:rPr>
          <w:b/>
          <w:bCs/>
          <w:sz w:val="16"/>
          <w:szCs w:val="16"/>
          <w:u w:val="single"/>
        </w:rPr>
      </w:pPr>
    </w:p>
    <w:p w:rsidR="00A82907" w:rsidRPr="0065342F" w:rsidRDefault="00A82907" w:rsidP="0065342F">
      <w:pPr>
        <w:jc w:val="center"/>
        <w:rPr>
          <w:sz w:val="28"/>
          <w:szCs w:val="28"/>
        </w:rPr>
      </w:pPr>
      <w:r>
        <w:rPr>
          <w:b/>
          <w:bCs/>
          <w:sz w:val="28"/>
          <w:szCs w:val="28"/>
          <w:u w:val="single"/>
        </w:rPr>
        <w:t>CONSULTATION &amp; INFORMATION ON PRIMARY &amp; SECONDARY FUNDING FORMULAE 2015/16 FINANCIAL YEAR</w:t>
      </w:r>
    </w:p>
    <w:p w:rsidR="00AA5E6D" w:rsidRDefault="00AA5E6D" w:rsidP="00834FF4">
      <w:pPr>
        <w:tabs>
          <w:tab w:val="left" w:pos="4035"/>
        </w:tabs>
        <w:jc w:val="both"/>
        <w:rPr>
          <w:sz w:val="22"/>
          <w:szCs w:val="22"/>
        </w:rPr>
      </w:pPr>
    </w:p>
    <w:p w:rsidR="00A82907" w:rsidRPr="00531C1F" w:rsidRDefault="00A82907" w:rsidP="00834FF4">
      <w:pPr>
        <w:tabs>
          <w:tab w:val="left" w:pos="4035"/>
        </w:tabs>
        <w:jc w:val="both"/>
        <w:rPr>
          <w:sz w:val="22"/>
          <w:szCs w:val="22"/>
        </w:rPr>
      </w:pPr>
      <w:r w:rsidRPr="00531C1F">
        <w:rPr>
          <w:sz w:val="22"/>
          <w:szCs w:val="22"/>
        </w:rPr>
        <w:tab/>
      </w:r>
    </w:p>
    <w:p w:rsidR="00A82907" w:rsidRDefault="00A82907" w:rsidP="000F069A">
      <w:pPr>
        <w:jc w:val="both"/>
        <w:rPr>
          <w:sz w:val="22"/>
          <w:szCs w:val="22"/>
        </w:rPr>
      </w:pPr>
      <w:r w:rsidRPr="000F069A">
        <w:rPr>
          <w:b/>
          <w:bCs/>
          <w:sz w:val="22"/>
          <w:szCs w:val="22"/>
        </w:rPr>
        <w:t>1.</w:t>
      </w:r>
      <w:r w:rsidRPr="000F069A">
        <w:rPr>
          <w:b/>
          <w:bCs/>
          <w:sz w:val="22"/>
          <w:szCs w:val="22"/>
        </w:rPr>
        <w:tab/>
        <w:t>Introduction</w:t>
      </w:r>
    </w:p>
    <w:p w:rsidR="00A82907" w:rsidRDefault="00A82907" w:rsidP="000F069A">
      <w:pPr>
        <w:jc w:val="both"/>
        <w:rPr>
          <w:sz w:val="22"/>
          <w:szCs w:val="22"/>
        </w:rPr>
      </w:pPr>
    </w:p>
    <w:p w:rsidR="00A82907" w:rsidRPr="00F84E9C" w:rsidRDefault="00A82907" w:rsidP="00F84E9C">
      <w:pPr>
        <w:jc w:val="both"/>
        <w:rPr>
          <w:b/>
          <w:bCs/>
          <w:sz w:val="22"/>
          <w:szCs w:val="22"/>
        </w:rPr>
      </w:pPr>
      <w:r w:rsidRPr="00F84E9C">
        <w:rPr>
          <w:b/>
          <w:bCs/>
          <w:sz w:val="22"/>
          <w:szCs w:val="22"/>
        </w:rPr>
        <w:t>1.</w:t>
      </w:r>
      <w:r>
        <w:rPr>
          <w:b/>
          <w:bCs/>
          <w:sz w:val="22"/>
          <w:szCs w:val="22"/>
        </w:rPr>
        <w:t>1</w:t>
      </w:r>
      <w:r>
        <w:rPr>
          <w:sz w:val="22"/>
          <w:szCs w:val="22"/>
        </w:rPr>
        <w:t xml:space="preserve"> </w:t>
      </w:r>
      <w:r>
        <w:rPr>
          <w:b/>
          <w:bCs/>
          <w:sz w:val="22"/>
          <w:szCs w:val="22"/>
        </w:rPr>
        <w:t xml:space="preserve">The key message “DO NOT PANIC” has been communicated for the past two years and remains important in this </w:t>
      </w:r>
      <w:r w:rsidRPr="00023626">
        <w:rPr>
          <w:b/>
          <w:bCs/>
          <w:sz w:val="22"/>
          <w:szCs w:val="22"/>
        </w:rPr>
        <w:t>year’s</w:t>
      </w:r>
      <w:r>
        <w:rPr>
          <w:b/>
          <w:bCs/>
          <w:sz w:val="22"/>
          <w:szCs w:val="22"/>
        </w:rPr>
        <w:t xml:space="preserve"> consultation, as the Minimum Funding Guarantee (MFG) will continue to protect schools and academies against sharp reductions in funding in 2015/16.</w:t>
      </w:r>
    </w:p>
    <w:p w:rsidR="00A82907" w:rsidRDefault="00A82907" w:rsidP="000F069A">
      <w:pPr>
        <w:jc w:val="both"/>
        <w:rPr>
          <w:sz w:val="22"/>
          <w:szCs w:val="22"/>
        </w:rPr>
      </w:pPr>
    </w:p>
    <w:p w:rsidR="00A82907" w:rsidRDefault="00A82907" w:rsidP="009F648B">
      <w:pPr>
        <w:jc w:val="both"/>
        <w:rPr>
          <w:sz w:val="22"/>
          <w:szCs w:val="22"/>
        </w:rPr>
      </w:pPr>
      <w:r>
        <w:rPr>
          <w:sz w:val="22"/>
          <w:szCs w:val="22"/>
        </w:rPr>
        <w:t>1.2 However, please be aware that, all other elements being the same, schools and academies that were on the MFG in this current financial year will see a 1.5% reduction in formula funding per pupil in 2015/16. The expected introduction of a National Funding Formula in the future will, ultimately, result in a larger redistribution of funding between schools and academies. The Minimum Funding Guarantee is only a sliding scale protection that will be removed at some point. As we move towards a National Funding F</w:t>
      </w:r>
      <w:r w:rsidRPr="00BF6954">
        <w:rPr>
          <w:sz w:val="22"/>
          <w:szCs w:val="22"/>
        </w:rPr>
        <w:t>ormula</w:t>
      </w:r>
      <w:r>
        <w:rPr>
          <w:sz w:val="22"/>
          <w:szCs w:val="22"/>
        </w:rPr>
        <w:t xml:space="preserve"> it continues to be important to consider</w:t>
      </w:r>
      <w:r w:rsidRPr="00BF6954">
        <w:rPr>
          <w:sz w:val="22"/>
          <w:szCs w:val="22"/>
        </w:rPr>
        <w:t xml:space="preserve"> our DSG funding position, a</w:t>
      </w:r>
      <w:r>
        <w:rPr>
          <w:sz w:val="22"/>
          <w:szCs w:val="22"/>
        </w:rPr>
        <w:t>s well as the funding p</w:t>
      </w:r>
      <w:r w:rsidRPr="00BF6954">
        <w:rPr>
          <w:sz w:val="22"/>
          <w:szCs w:val="22"/>
        </w:rPr>
        <w:t>ositions of individual schools</w:t>
      </w:r>
      <w:r>
        <w:rPr>
          <w:sz w:val="22"/>
          <w:szCs w:val="22"/>
        </w:rPr>
        <w:t xml:space="preserve"> and academies</w:t>
      </w:r>
      <w:r w:rsidRPr="00BF6954">
        <w:rPr>
          <w:sz w:val="22"/>
          <w:szCs w:val="22"/>
        </w:rPr>
        <w:t xml:space="preserve">, against the national mean and median </w:t>
      </w:r>
      <w:r>
        <w:rPr>
          <w:sz w:val="22"/>
          <w:szCs w:val="22"/>
        </w:rPr>
        <w:t>values</w:t>
      </w:r>
      <w:r w:rsidRPr="00BF6954">
        <w:rPr>
          <w:sz w:val="22"/>
          <w:szCs w:val="22"/>
        </w:rPr>
        <w:t>.</w:t>
      </w:r>
      <w:r>
        <w:rPr>
          <w:sz w:val="22"/>
          <w:szCs w:val="22"/>
        </w:rPr>
        <w:t xml:space="preserve"> We might expect a national formula in the future to be constructed around these averages. Further work considering the possible impact on individual schools and academies will progress with the Forum as soon as more information is made available by the Department for Education (</w:t>
      </w:r>
      <w:proofErr w:type="spellStart"/>
      <w:r>
        <w:rPr>
          <w:sz w:val="22"/>
          <w:szCs w:val="22"/>
        </w:rPr>
        <w:t>DfE</w:t>
      </w:r>
      <w:proofErr w:type="spellEnd"/>
      <w:r>
        <w:rPr>
          <w:sz w:val="22"/>
          <w:szCs w:val="22"/>
        </w:rPr>
        <w:t>).</w:t>
      </w:r>
    </w:p>
    <w:p w:rsidR="00A82907" w:rsidRDefault="00A82907" w:rsidP="00F15CE4">
      <w:pPr>
        <w:jc w:val="both"/>
        <w:rPr>
          <w:sz w:val="22"/>
          <w:szCs w:val="22"/>
        </w:rPr>
      </w:pPr>
    </w:p>
    <w:p w:rsidR="00A82907" w:rsidRDefault="00A82907" w:rsidP="00CE0983">
      <w:pPr>
        <w:jc w:val="both"/>
        <w:rPr>
          <w:sz w:val="22"/>
          <w:szCs w:val="22"/>
        </w:rPr>
      </w:pPr>
      <w:r>
        <w:rPr>
          <w:sz w:val="22"/>
          <w:szCs w:val="22"/>
        </w:rPr>
        <w:t>1.3 To recap where we are in the transition to a National Funding Formula for primary and secondary:</w:t>
      </w:r>
    </w:p>
    <w:p w:rsidR="00A82907" w:rsidRDefault="00A82907" w:rsidP="00CE0983">
      <w:pPr>
        <w:jc w:val="both"/>
        <w:rPr>
          <w:sz w:val="22"/>
          <w:szCs w:val="22"/>
        </w:rPr>
      </w:pPr>
    </w:p>
    <w:p w:rsidR="00A82907" w:rsidRDefault="00A82907" w:rsidP="0065342F">
      <w:pPr>
        <w:numPr>
          <w:ilvl w:val="0"/>
          <w:numId w:val="26"/>
        </w:numPr>
        <w:tabs>
          <w:tab w:val="clear" w:pos="720"/>
          <w:tab w:val="num" w:pos="0"/>
        </w:tabs>
        <w:ind w:left="360"/>
        <w:jc w:val="both"/>
        <w:rPr>
          <w:sz w:val="22"/>
          <w:szCs w:val="22"/>
        </w:rPr>
      </w:pPr>
      <w:r w:rsidRPr="00CC18B0">
        <w:rPr>
          <w:sz w:val="22"/>
          <w:szCs w:val="22"/>
        </w:rPr>
        <w:t>In March 2012, the Government announced s</w:t>
      </w:r>
      <w:r>
        <w:rPr>
          <w:sz w:val="22"/>
          <w:szCs w:val="22"/>
        </w:rPr>
        <w:t>ignificant changes to the education</w:t>
      </w:r>
      <w:r w:rsidRPr="00CC18B0">
        <w:rPr>
          <w:sz w:val="22"/>
          <w:szCs w:val="22"/>
        </w:rPr>
        <w:t xml:space="preserve"> funding s</w:t>
      </w:r>
      <w:r>
        <w:rPr>
          <w:sz w:val="22"/>
          <w:szCs w:val="22"/>
        </w:rPr>
        <w:t xml:space="preserve">ystem. These changes </w:t>
      </w:r>
      <w:r w:rsidRPr="00CC18B0">
        <w:rPr>
          <w:sz w:val="22"/>
          <w:szCs w:val="22"/>
        </w:rPr>
        <w:t>were implement</w:t>
      </w:r>
      <w:r>
        <w:rPr>
          <w:sz w:val="22"/>
          <w:szCs w:val="22"/>
        </w:rPr>
        <w:t>ed by all local authorities at</w:t>
      </w:r>
      <w:r w:rsidRPr="00CC18B0">
        <w:rPr>
          <w:sz w:val="22"/>
          <w:szCs w:val="22"/>
        </w:rPr>
        <w:t xml:space="preserve"> </w:t>
      </w:r>
      <w:smartTag w:uri="urn:schemas-microsoft-com:office:smarttags" w:element="date">
        <w:smartTagPr>
          <w:attr w:name="Month" w:val="4"/>
          <w:attr w:name="Day" w:val="1"/>
          <w:attr w:name="Year" w:val="2013"/>
        </w:smartTagPr>
        <w:r>
          <w:rPr>
            <w:sz w:val="22"/>
            <w:szCs w:val="22"/>
          </w:rPr>
          <w:t xml:space="preserve">1 </w:t>
        </w:r>
        <w:r w:rsidRPr="00CC18B0">
          <w:rPr>
            <w:sz w:val="22"/>
            <w:szCs w:val="22"/>
          </w:rPr>
          <w:t>April 2013</w:t>
        </w:r>
      </w:smartTag>
      <w:r>
        <w:rPr>
          <w:sz w:val="22"/>
          <w:szCs w:val="22"/>
        </w:rPr>
        <w:t xml:space="preserve"> and included simplified formula arrangements for the calculation of delegated budgets and significant new restrictions on the central management of funds within the Dedicated Schools Grant (DSG).</w:t>
      </w:r>
    </w:p>
    <w:p w:rsidR="00A82907" w:rsidRDefault="00A82907" w:rsidP="00CE0983">
      <w:pPr>
        <w:jc w:val="both"/>
        <w:rPr>
          <w:sz w:val="22"/>
          <w:szCs w:val="22"/>
        </w:rPr>
      </w:pPr>
    </w:p>
    <w:p w:rsidR="00A82907" w:rsidRDefault="00A82907" w:rsidP="00CE0983">
      <w:pPr>
        <w:numPr>
          <w:ilvl w:val="0"/>
          <w:numId w:val="26"/>
        </w:numPr>
        <w:tabs>
          <w:tab w:val="clear" w:pos="720"/>
          <w:tab w:val="num" w:pos="360"/>
        </w:tabs>
        <w:ind w:left="360"/>
        <w:jc w:val="both"/>
        <w:rPr>
          <w:sz w:val="22"/>
          <w:szCs w:val="22"/>
        </w:rPr>
      </w:pPr>
      <w:r>
        <w:rPr>
          <w:sz w:val="22"/>
          <w:szCs w:val="22"/>
        </w:rPr>
        <w:t>O</w:t>
      </w:r>
      <w:r w:rsidRPr="00CC18B0">
        <w:rPr>
          <w:sz w:val="22"/>
          <w:szCs w:val="22"/>
        </w:rPr>
        <w:t>n 4 June 2013</w:t>
      </w:r>
      <w:r>
        <w:rPr>
          <w:sz w:val="22"/>
          <w:szCs w:val="22"/>
        </w:rPr>
        <w:t>,</w:t>
      </w:r>
      <w:r w:rsidRPr="00CC18B0">
        <w:rPr>
          <w:sz w:val="22"/>
          <w:szCs w:val="22"/>
        </w:rPr>
        <w:t xml:space="preserve"> </w:t>
      </w:r>
      <w:r>
        <w:rPr>
          <w:sz w:val="22"/>
          <w:szCs w:val="22"/>
        </w:rPr>
        <w:t>t</w:t>
      </w:r>
      <w:r w:rsidRPr="00CC18B0">
        <w:rPr>
          <w:sz w:val="22"/>
          <w:szCs w:val="22"/>
        </w:rPr>
        <w:t xml:space="preserve">he Government published a document </w:t>
      </w:r>
      <w:r>
        <w:rPr>
          <w:sz w:val="22"/>
          <w:szCs w:val="22"/>
        </w:rPr>
        <w:t>entitled</w:t>
      </w:r>
      <w:r w:rsidRPr="00CC18B0">
        <w:rPr>
          <w:sz w:val="22"/>
          <w:szCs w:val="22"/>
        </w:rPr>
        <w:t xml:space="preserve"> “</w:t>
      </w:r>
      <w:hyperlink r:id="rId9" w:history="1">
        <w:r w:rsidRPr="00CC18B0">
          <w:rPr>
            <w:rStyle w:val="Hyperlink"/>
            <w:sz w:val="22"/>
            <w:szCs w:val="22"/>
          </w:rPr>
          <w:t>2014-15 Revenue Funding Arrangements: Operational Information for local authorities</w:t>
        </w:r>
      </w:hyperlink>
      <w:r>
        <w:rPr>
          <w:sz w:val="22"/>
          <w:szCs w:val="22"/>
        </w:rPr>
        <w:t>”, which set out further changes to</w:t>
      </w:r>
      <w:r w:rsidRPr="00CC18B0">
        <w:rPr>
          <w:sz w:val="22"/>
          <w:szCs w:val="22"/>
        </w:rPr>
        <w:t xml:space="preserve"> funding arrangements </w:t>
      </w:r>
      <w:r>
        <w:rPr>
          <w:sz w:val="22"/>
          <w:szCs w:val="22"/>
        </w:rPr>
        <w:t>for the 2014/15 financial year, which were designed to continue progress</w:t>
      </w:r>
      <w:r w:rsidRPr="00CC18B0">
        <w:rPr>
          <w:sz w:val="22"/>
          <w:szCs w:val="22"/>
        </w:rPr>
        <w:t xml:space="preserve"> towards a nat</w:t>
      </w:r>
      <w:r>
        <w:rPr>
          <w:sz w:val="22"/>
          <w:szCs w:val="22"/>
        </w:rPr>
        <w:t xml:space="preserve">ional fair funding formula. </w:t>
      </w:r>
    </w:p>
    <w:p w:rsidR="00A82907" w:rsidRDefault="00A82907" w:rsidP="00CE0983">
      <w:pPr>
        <w:jc w:val="both"/>
        <w:rPr>
          <w:sz w:val="22"/>
          <w:szCs w:val="22"/>
        </w:rPr>
      </w:pPr>
    </w:p>
    <w:p w:rsidR="00A82907" w:rsidRDefault="00A82907" w:rsidP="00971808">
      <w:pPr>
        <w:numPr>
          <w:ilvl w:val="0"/>
          <w:numId w:val="26"/>
        </w:numPr>
        <w:tabs>
          <w:tab w:val="clear" w:pos="720"/>
          <w:tab w:val="num" w:pos="360"/>
        </w:tabs>
        <w:ind w:left="360"/>
        <w:jc w:val="both"/>
        <w:rPr>
          <w:sz w:val="22"/>
          <w:szCs w:val="22"/>
        </w:rPr>
      </w:pPr>
      <w:r w:rsidRPr="00FE7455">
        <w:rPr>
          <w:b/>
          <w:bCs/>
          <w:sz w:val="22"/>
          <w:szCs w:val="22"/>
        </w:rPr>
        <w:t xml:space="preserve">On 17 July 2014, the Government </w:t>
      </w:r>
      <w:r>
        <w:rPr>
          <w:b/>
          <w:bCs/>
          <w:sz w:val="22"/>
          <w:szCs w:val="22"/>
        </w:rPr>
        <w:t>confirmed</w:t>
      </w:r>
      <w:r w:rsidRPr="00FE7455">
        <w:rPr>
          <w:b/>
          <w:bCs/>
          <w:sz w:val="22"/>
          <w:szCs w:val="22"/>
        </w:rPr>
        <w:t xml:space="preserve"> that a Nat</w:t>
      </w:r>
      <w:r>
        <w:rPr>
          <w:b/>
          <w:bCs/>
          <w:sz w:val="22"/>
          <w:szCs w:val="22"/>
        </w:rPr>
        <w:t>ional Funding Formula</w:t>
      </w:r>
      <w:r w:rsidRPr="00FE7455">
        <w:rPr>
          <w:b/>
          <w:bCs/>
          <w:sz w:val="22"/>
          <w:szCs w:val="22"/>
        </w:rPr>
        <w:t xml:space="preserve"> would </w:t>
      </w:r>
      <w:r w:rsidRPr="00971808">
        <w:rPr>
          <w:b/>
          <w:bCs/>
          <w:sz w:val="22"/>
          <w:szCs w:val="22"/>
          <w:u w:val="single"/>
        </w:rPr>
        <w:t>not be implemented</w:t>
      </w:r>
      <w:r w:rsidRPr="00FE7455">
        <w:rPr>
          <w:b/>
          <w:bCs/>
          <w:sz w:val="22"/>
          <w:szCs w:val="22"/>
        </w:rPr>
        <w:t xml:space="preserve"> at April 2015 as previously indicated</w:t>
      </w:r>
      <w:r>
        <w:rPr>
          <w:sz w:val="22"/>
          <w:szCs w:val="22"/>
        </w:rPr>
        <w:t>, and that authorities</w:t>
      </w:r>
      <w:r w:rsidRPr="00752937">
        <w:rPr>
          <w:sz w:val="22"/>
          <w:szCs w:val="22"/>
        </w:rPr>
        <w:t>, with the</w:t>
      </w:r>
      <w:r>
        <w:rPr>
          <w:sz w:val="22"/>
          <w:szCs w:val="22"/>
        </w:rPr>
        <w:t>ir</w:t>
      </w:r>
      <w:r w:rsidRPr="00752937">
        <w:rPr>
          <w:sz w:val="22"/>
          <w:szCs w:val="22"/>
        </w:rPr>
        <w:t xml:space="preserve"> Schools Forum</w:t>
      </w:r>
      <w:r>
        <w:rPr>
          <w:sz w:val="22"/>
          <w:szCs w:val="22"/>
        </w:rPr>
        <w:t>s</w:t>
      </w:r>
      <w:r w:rsidRPr="00752937">
        <w:rPr>
          <w:sz w:val="22"/>
          <w:szCs w:val="22"/>
        </w:rPr>
        <w:t>, would still be required to set local</w:t>
      </w:r>
      <w:r>
        <w:rPr>
          <w:sz w:val="22"/>
          <w:szCs w:val="22"/>
        </w:rPr>
        <w:t xml:space="preserve"> formula arrangements</w:t>
      </w:r>
      <w:r w:rsidRPr="00752937">
        <w:rPr>
          <w:sz w:val="22"/>
          <w:szCs w:val="22"/>
        </w:rPr>
        <w:t xml:space="preserve"> within the regulatory constraints.</w:t>
      </w:r>
      <w:r>
        <w:rPr>
          <w:sz w:val="22"/>
          <w:szCs w:val="22"/>
        </w:rPr>
        <w:t xml:space="preserve"> </w:t>
      </w:r>
      <w:r w:rsidRPr="00153F57">
        <w:rPr>
          <w:sz w:val="22"/>
          <w:szCs w:val="22"/>
        </w:rPr>
        <w:t>The vast majority of the elements of the new D</w:t>
      </w:r>
      <w:r>
        <w:rPr>
          <w:sz w:val="22"/>
          <w:szCs w:val="22"/>
        </w:rPr>
        <w:t xml:space="preserve">edicated Schools Grant (DSG) funding system, implemented at </w:t>
      </w:r>
      <w:smartTag w:uri="urn:schemas-microsoft-com:office:smarttags" w:element="date">
        <w:smartTagPr>
          <w:attr w:name="Month" w:val="4"/>
          <w:attr w:name="Day" w:val="1"/>
          <w:attr w:name="Year" w:val="2013"/>
        </w:smartTagPr>
        <w:r>
          <w:rPr>
            <w:sz w:val="22"/>
            <w:szCs w:val="22"/>
          </w:rPr>
          <w:t>1</w:t>
        </w:r>
        <w:r w:rsidRPr="00153F57">
          <w:rPr>
            <w:sz w:val="22"/>
            <w:szCs w:val="22"/>
          </w:rPr>
          <w:t xml:space="preserve"> April 2013</w:t>
        </w:r>
      </w:smartTag>
      <w:r>
        <w:rPr>
          <w:sz w:val="22"/>
          <w:szCs w:val="22"/>
        </w:rPr>
        <w:t>, and updated for 2014/15, remain unchanged for 2015/16</w:t>
      </w:r>
      <w:r w:rsidRPr="00153F57">
        <w:rPr>
          <w:sz w:val="22"/>
          <w:szCs w:val="22"/>
        </w:rPr>
        <w:t>.</w:t>
      </w:r>
      <w:r>
        <w:rPr>
          <w:sz w:val="22"/>
          <w:szCs w:val="22"/>
        </w:rPr>
        <w:t xml:space="preserve"> </w:t>
      </w:r>
      <w:r w:rsidRPr="002F5D68">
        <w:rPr>
          <w:sz w:val="22"/>
          <w:szCs w:val="22"/>
        </w:rPr>
        <w:t xml:space="preserve">The </w:t>
      </w:r>
      <w:hyperlink r:id="rId10" w:history="1">
        <w:r w:rsidRPr="002F5D68">
          <w:rPr>
            <w:rStyle w:val="Hyperlink"/>
            <w:sz w:val="22"/>
            <w:szCs w:val="22"/>
          </w:rPr>
          <w:t>Schools Revenue Funding 2015 to 2016: Operational Guide</w:t>
        </w:r>
      </w:hyperlink>
      <w:r w:rsidRPr="002F5D68">
        <w:rPr>
          <w:sz w:val="22"/>
          <w:szCs w:val="22"/>
        </w:rPr>
        <w:t xml:space="preserve"> provides detailed information and guidance explaining the</w:t>
      </w:r>
      <w:r>
        <w:rPr>
          <w:sz w:val="22"/>
          <w:szCs w:val="22"/>
        </w:rPr>
        <w:t xml:space="preserve"> small number of</w:t>
      </w:r>
      <w:r w:rsidRPr="002F5D68">
        <w:rPr>
          <w:sz w:val="22"/>
          <w:szCs w:val="22"/>
        </w:rPr>
        <w:t xml:space="preserve"> changes that </w:t>
      </w:r>
      <w:r>
        <w:rPr>
          <w:sz w:val="22"/>
          <w:szCs w:val="22"/>
        </w:rPr>
        <w:t>are being made</w:t>
      </w:r>
      <w:r w:rsidRPr="002F5D68">
        <w:rPr>
          <w:sz w:val="22"/>
          <w:szCs w:val="22"/>
        </w:rPr>
        <w:t xml:space="preserve"> to </w:t>
      </w:r>
      <w:r>
        <w:rPr>
          <w:sz w:val="22"/>
          <w:szCs w:val="22"/>
        </w:rPr>
        <w:t>funding arrangements for 2015/2016, including:</w:t>
      </w:r>
    </w:p>
    <w:p w:rsidR="00AA5E6D" w:rsidRPr="00AA5E6D" w:rsidRDefault="00AA5E6D" w:rsidP="00AA5E6D">
      <w:pPr>
        <w:jc w:val="both"/>
        <w:rPr>
          <w:sz w:val="12"/>
          <w:szCs w:val="12"/>
        </w:rPr>
      </w:pPr>
    </w:p>
    <w:p w:rsidR="00A82907" w:rsidRDefault="00A82907" w:rsidP="00AA5E6D">
      <w:pPr>
        <w:numPr>
          <w:ilvl w:val="1"/>
          <w:numId w:val="26"/>
        </w:numPr>
        <w:ind w:left="1094" w:hanging="357"/>
        <w:jc w:val="both"/>
        <w:rPr>
          <w:sz w:val="22"/>
          <w:szCs w:val="22"/>
        </w:rPr>
      </w:pPr>
      <w:r>
        <w:rPr>
          <w:sz w:val="22"/>
          <w:szCs w:val="22"/>
        </w:rPr>
        <w:t>The Authority must now calculate funding for all academies (including former non-recoupment academies) and free schools through our local formulae, including funding for in year growth. These funding calculations will be used by the EFA for the purposes of recouping sums from the DSG as the EFA will continue to fund academies and free schools directly on the basis of our local funding formulae.</w:t>
      </w:r>
    </w:p>
    <w:p w:rsidR="00A82907" w:rsidRDefault="00A82907" w:rsidP="00AA5E6D">
      <w:pPr>
        <w:numPr>
          <w:ilvl w:val="1"/>
          <w:numId w:val="26"/>
        </w:numPr>
        <w:ind w:left="1094" w:hanging="357"/>
        <w:jc w:val="both"/>
        <w:rPr>
          <w:sz w:val="22"/>
          <w:szCs w:val="22"/>
        </w:rPr>
      </w:pPr>
      <w:r w:rsidRPr="00E20819">
        <w:rPr>
          <w:sz w:val="22"/>
          <w:szCs w:val="22"/>
        </w:rPr>
        <w:t xml:space="preserve">The Government has confirmed that £390 million will be allocated to the least fairly </w:t>
      </w:r>
      <w:r>
        <w:rPr>
          <w:sz w:val="22"/>
          <w:szCs w:val="22"/>
        </w:rPr>
        <w:t>funded authorities in England to ensure</w:t>
      </w:r>
      <w:r w:rsidRPr="00E20819">
        <w:rPr>
          <w:sz w:val="22"/>
          <w:szCs w:val="22"/>
        </w:rPr>
        <w:t xml:space="preserve"> that every local authority attracts a minimum funding level for the pupils and schools in its area. The minimum funding level calculation </w:t>
      </w:r>
      <w:r>
        <w:rPr>
          <w:sz w:val="22"/>
          <w:szCs w:val="22"/>
        </w:rPr>
        <w:t>is</w:t>
      </w:r>
      <w:r w:rsidRPr="00E20819">
        <w:rPr>
          <w:sz w:val="22"/>
          <w:szCs w:val="22"/>
        </w:rPr>
        <w:t xml:space="preserve"> based on seven key formula characteristics (pupil numbers, deprivation, EAL, prior attainment, lump sum, looked after children and</w:t>
      </w:r>
      <w:r>
        <w:rPr>
          <w:sz w:val="22"/>
          <w:szCs w:val="22"/>
        </w:rPr>
        <w:t xml:space="preserve"> sparsity). This, unfortunately,</w:t>
      </w:r>
      <w:r w:rsidRPr="00E20819">
        <w:rPr>
          <w:sz w:val="22"/>
          <w:szCs w:val="22"/>
        </w:rPr>
        <w:t xml:space="preserve"> does not affect the Dedic</w:t>
      </w:r>
      <w:r>
        <w:rPr>
          <w:sz w:val="22"/>
          <w:szCs w:val="22"/>
        </w:rPr>
        <w:t>ated Schools Grant (DSG)</w:t>
      </w:r>
      <w:r w:rsidRPr="00E20819">
        <w:rPr>
          <w:sz w:val="22"/>
          <w:szCs w:val="22"/>
        </w:rPr>
        <w:t xml:space="preserve"> allocated to the Bradford District</w:t>
      </w:r>
      <w:r>
        <w:rPr>
          <w:sz w:val="22"/>
          <w:szCs w:val="22"/>
        </w:rPr>
        <w:t>,</w:t>
      </w:r>
      <w:r w:rsidRPr="00E20819">
        <w:rPr>
          <w:sz w:val="22"/>
          <w:szCs w:val="22"/>
        </w:rPr>
        <w:t xml:space="preserve"> as ou</w:t>
      </w:r>
      <w:r>
        <w:rPr>
          <w:sz w:val="22"/>
          <w:szCs w:val="22"/>
        </w:rPr>
        <w:t>r funding is already above the minimum funding level</w:t>
      </w:r>
      <w:r w:rsidRPr="00E20819">
        <w:rPr>
          <w:sz w:val="22"/>
          <w:szCs w:val="22"/>
        </w:rPr>
        <w:t xml:space="preserve">. </w:t>
      </w:r>
    </w:p>
    <w:p w:rsidR="0065342F" w:rsidRDefault="0065342F" w:rsidP="0065342F">
      <w:pPr>
        <w:jc w:val="both"/>
        <w:rPr>
          <w:sz w:val="22"/>
          <w:szCs w:val="22"/>
        </w:rPr>
      </w:pPr>
    </w:p>
    <w:p w:rsidR="00A82907" w:rsidRDefault="00A82907" w:rsidP="00F15CE4">
      <w:pPr>
        <w:numPr>
          <w:ilvl w:val="0"/>
          <w:numId w:val="26"/>
        </w:numPr>
        <w:jc w:val="both"/>
        <w:rPr>
          <w:sz w:val="22"/>
          <w:szCs w:val="22"/>
        </w:rPr>
      </w:pPr>
      <w:r>
        <w:rPr>
          <w:sz w:val="22"/>
          <w:szCs w:val="22"/>
        </w:rPr>
        <w:t>A National</w:t>
      </w:r>
      <w:r w:rsidRPr="00B9751D">
        <w:rPr>
          <w:sz w:val="22"/>
          <w:szCs w:val="22"/>
        </w:rPr>
        <w:t xml:space="preserve"> Funding Formula for primary and secondary schools and academies is now expected to be introduced sometime after the next Spending Review. </w:t>
      </w:r>
      <w:r>
        <w:rPr>
          <w:sz w:val="22"/>
          <w:szCs w:val="22"/>
        </w:rPr>
        <w:t xml:space="preserve">2016/17 is the first year that this </w:t>
      </w:r>
      <w:r w:rsidRPr="00B9751D">
        <w:rPr>
          <w:sz w:val="22"/>
          <w:szCs w:val="22"/>
        </w:rPr>
        <w:t>could be implemented</w:t>
      </w:r>
      <w:r>
        <w:rPr>
          <w:sz w:val="22"/>
          <w:szCs w:val="22"/>
        </w:rPr>
        <w:t>.</w:t>
      </w:r>
    </w:p>
    <w:p w:rsidR="00182655" w:rsidRPr="006707DC" w:rsidRDefault="00182655" w:rsidP="00182655">
      <w:pPr>
        <w:ind w:left="360"/>
        <w:jc w:val="both"/>
        <w:rPr>
          <w:sz w:val="22"/>
          <w:szCs w:val="22"/>
        </w:rPr>
      </w:pPr>
    </w:p>
    <w:p w:rsidR="00A82907" w:rsidRDefault="00A82907" w:rsidP="00072359">
      <w:pPr>
        <w:jc w:val="both"/>
        <w:rPr>
          <w:sz w:val="22"/>
          <w:szCs w:val="22"/>
        </w:rPr>
      </w:pPr>
      <w:r>
        <w:rPr>
          <w:sz w:val="22"/>
          <w:szCs w:val="22"/>
        </w:rPr>
        <w:lastRenderedPageBreak/>
        <w:t xml:space="preserve">1.4 The proposals discussed in this document have been developed by the Local Authority in conjunction with the Formula Funding Working Group (FFWG) and the Schools Forum. Our proposals have been developed using the October 2013 Census dataset, updated for our estimate of October 2014 numbers on roll for individual schools and academies. The dataset taken from the actual October 2014 Census will be used to calculate school and academy budgets for 2015/16. Schools and academies are reminded therefore, that it is vitally important that their October 2014 Census submissions are accurate. The Authority will not be able to intervene to adjust census data once this has been submitted and confirmed with the </w:t>
      </w:r>
      <w:proofErr w:type="spellStart"/>
      <w:r>
        <w:rPr>
          <w:sz w:val="22"/>
          <w:szCs w:val="22"/>
        </w:rPr>
        <w:t>DfE</w:t>
      </w:r>
      <w:proofErr w:type="spellEnd"/>
      <w:r>
        <w:rPr>
          <w:sz w:val="22"/>
          <w:szCs w:val="22"/>
        </w:rPr>
        <w:t>. Inaccuracies may lead to an under funding in 2015/16 that cannot be rectified.</w:t>
      </w:r>
    </w:p>
    <w:p w:rsidR="00A82907" w:rsidRDefault="00A82907" w:rsidP="00F15CE4">
      <w:pPr>
        <w:jc w:val="both"/>
        <w:rPr>
          <w:sz w:val="22"/>
          <w:szCs w:val="22"/>
        </w:rPr>
      </w:pPr>
    </w:p>
    <w:p w:rsidR="00A82907" w:rsidRPr="00782BD6" w:rsidRDefault="00A82907" w:rsidP="00F15CE4">
      <w:pPr>
        <w:jc w:val="both"/>
        <w:rPr>
          <w:color w:val="FF0000"/>
          <w:sz w:val="22"/>
          <w:szCs w:val="22"/>
        </w:rPr>
      </w:pPr>
      <w:r>
        <w:rPr>
          <w:sz w:val="22"/>
          <w:szCs w:val="22"/>
        </w:rPr>
        <w:t xml:space="preserve">1.5 The Local Authority must submit to the Education Funding Agency (EFA), by </w:t>
      </w:r>
      <w:smartTag w:uri="urn:schemas-microsoft-com:office:smarttags" w:element="date">
        <w:smartTagPr>
          <w:attr w:name="Month" w:val="10"/>
          <w:attr w:name="Day" w:val="31"/>
          <w:attr w:name="Year" w:val="2014"/>
        </w:smartTagPr>
        <w:r>
          <w:rPr>
            <w:sz w:val="22"/>
            <w:szCs w:val="22"/>
          </w:rPr>
          <w:t>31 October 2014</w:t>
        </w:r>
      </w:smartTag>
      <w:r>
        <w:rPr>
          <w:sz w:val="22"/>
          <w:szCs w:val="22"/>
        </w:rPr>
        <w:t>, a pro-forma, which shows the structure of the formulae that will be used to calculate primary and secondary delegated budget shares for the 2015/16 financial year</w:t>
      </w:r>
      <w:r w:rsidRPr="00AC2313">
        <w:rPr>
          <w:sz w:val="22"/>
          <w:szCs w:val="22"/>
        </w:rPr>
        <w:t>. To comply with this deadline, this consultation</w:t>
      </w:r>
      <w:r>
        <w:rPr>
          <w:sz w:val="22"/>
          <w:szCs w:val="22"/>
        </w:rPr>
        <w:t xml:space="preserve"> is concerned with</w:t>
      </w:r>
      <w:r w:rsidRPr="00AC2313">
        <w:rPr>
          <w:sz w:val="22"/>
          <w:szCs w:val="22"/>
        </w:rPr>
        <w:t xml:space="preserve"> </w:t>
      </w:r>
      <w:r>
        <w:rPr>
          <w:sz w:val="22"/>
          <w:szCs w:val="22"/>
        </w:rPr>
        <w:t>setting the</w:t>
      </w:r>
      <w:r w:rsidRPr="00AC2313">
        <w:rPr>
          <w:sz w:val="22"/>
          <w:szCs w:val="22"/>
        </w:rPr>
        <w:t xml:space="preserve"> </w:t>
      </w:r>
      <w:r w:rsidRPr="00077692">
        <w:rPr>
          <w:sz w:val="22"/>
          <w:szCs w:val="22"/>
          <w:u w:val="single"/>
        </w:rPr>
        <w:t>structure of the formula</w:t>
      </w:r>
      <w:r>
        <w:rPr>
          <w:sz w:val="22"/>
          <w:szCs w:val="22"/>
        </w:rPr>
        <w:t xml:space="preserve"> for 2015/16. The Schools Forum will then set the values of formula factors in it meetings in January 2015.</w:t>
      </w:r>
    </w:p>
    <w:p w:rsidR="00A82907" w:rsidRDefault="00A82907" w:rsidP="000F069A">
      <w:pPr>
        <w:jc w:val="both"/>
        <w:rPr>
          <w:sz w:val="22"/>
          <w:szCs w:val="22"/>
        </w:rPr>
      </w:pPr>
    </w:p>
    <w:p w:rsidR="00A82907" w:rsidRDefault="00A82907" w:rsidP="009C5548">
      <w:pPr>
        <w:jc w:val="both"/>
        <w:rPr>
          <w:sz w:val="22"/>
          <w:szCs w:val="22"/>
        </w:rPr>
      </w:pPr>
      <w:r>
        <w:rPr>
          <w:sz w:val="22"/>
          <w:szCs w:val="22"/>
        </w:rPr>
        <w:t>1.6 This consultation document focuses solely on the Schools Block funding of primary (Reception – Year 6) and secondary (Year 7 – Year 11) maintained schools, academies and free schools across the Bradford District. A separate</w:t>
      </w:r>
      <w:r w:rsidRPr="00023626">
        <w:rPr>
          <w:sz w:val="22"/>
          <w:szCs w:val="22"/>
        </w:rPr>
        <w:t xml:space="preserve"> consultation, concerning the funding of Early Years provision, </w:t>
      </w:r>
      <w:r w:rsidRPr="005A2827">
        <w:rPr>
          <w:sz w:val="22"/>
          <w:szCs w:val="22"/>
        </w:rPr>
        <w:t>is currently live</w:t>
      </w:r>
      <w:r>
        <w:rPr>
          <w:sz w:val="22"/>
          <w:szCs w:val="22"/>
        </w:rPr>
        <w:t xml:space="preserve"> and closes on </w:t>
      </w:r>
      <w:r w:rsidRPr="005A2827">
        <w:rPr>
          <w:sz w:val="22"/>
          <w:szCs w:val="22"/>
        </w:rPr>
        <w:t>Friday 10 October 2014;</w:t>
      </w:r>
      <w:r>
        <w:rPr>
          <w:sz w:val="22"/>
          <w:szCs w:val="22"/>
        </w:rPr>
        <w:t xml:space="preserve"> we do not anticipate any major changes in the Early Years Single Funding Formula (EYSFF) in 2015/16, subject to the outcome of the consultation. A further consultation, concerning the funding of High Needs in 2015/</w:t>
      </w:r>
      <w:r w:rsidRPr="00300437">
        <w:rPr>
          <w:sz w:val="22"/>
          <w:szCs w:val="22"/>
        </w:rPr>
        <w:t>16, will be published at the end of October 2014.</w:t>
      </w:r>
      <w:r>
        <w:rPr>
          <w:sz w:val="22"/>
          <w:szCs w:val="22"/>
        </w:rPr>
        <w:t xml:space="preserve"> These consultation papers are, or will be, available from the </w:t>
      </w:r>
      <w:hyperlink r:id="rId11" w:history="1">
        <w:r w:rsidRPr="00023626">
          <w:rPr>
            <w:rStyle w:val="Hyperlink"/>
            <w:sz w:val="22"/>
            <w:szCs w:val="22"/>
          </w:rPr>
          <w:t>Bradford Schools Forum Consultation Papers</w:t>
        </w:r>
      </w:hyperlink>
      <w:r>
        <w:rPr>
          <w:sz w:val="22"/>
          <w:szCs w:val="22"/>
        </w:rPr>
        <w:t xml:space="preserve"> webpage on Bradford Schools Online (BSO).</w:t>
      </w:r>
    </w:p>
    <w:p w:rsidR="00A82907" w:rsidRDefault="00A82907" w:rsidP="009C5548">
      <w:pPr>
        <w:jc w:val="both"/>
        <w:rPr>
          <w:sz w:val="22"/>
          <w:szCs w:val="22"/>
        </w:rPr>
      </w:pPr>
    </w:p>
    <w:p w:rsidR="00A82907" w:rsidRPr="00062685" w:rsidRDefault="00A82907" w:rsidP="009C5548">
      <w:pPr>
        <w:jc w:val="both"/>
        <w:rPr>
          <w:sz w:val="22"/>
          <w:szCs w:val="22"/>
        </w:rPr>
      </w:pPr>
      <w:r w:rsidRPr="00062685">
        <w:rPr>
          <w:sz w:val="22"/>
          <w:szCs w:val="22"/>
        </w:rPr>
        <w:t>1.7 In addition to these consultations, there are a number of significant discussions taking place within the Schools Forum that school and academy colleagues should keep track of</w:t>
      </w:r>
      <w:r w:rsidR="00062685" w:rsidRPr="00062685">
        <w:rPr>
          <w:sz w:val="22"/>
          <w:szCs w:val="22"/>
        </w:rPr>
        <w:t xml:space="preserve"> (</w:t>
      </w:r>
      <w:hyperlink r:id="rId12" w:history="1">
        <w:r w:rsidR="00C533B1" w:rsidRPr="00B631BE">
          <w:rPr>
            <w:rStyle w:val="Hyperlink"/>
            <w:sz w:val="22"/>
            <w:szCs w:val="22"/>
          </w:rPr>
          <w:t>Bradford Council Minutes website</w:t>
        </w:r>
      </w:hyperlink>
      <w:r w:rsidR="00C533B1">
        <w:rPr>
          <w:rStyle w:val="Hyperlink"/>
          <w:sz w:val="22"/>
          <w:szCs w:val="22"/>
        </w:rPr>
        <w:t>)</w:t>
      </w:r>
      <w:r w:rsidR="00C533B1">
        <w:rPr>
          <w:sz w:val="22"/>
          <w:szCs w:val="22"/>
        </w:rPr>
        <w:t>.</w:t>
      </w:r>
      <w:r w:rsidRPr="00062685">
        <w:rPr>
          <w:sz w:val="22"/>
          <w:szCs w:val="22"/>
        </w:rPr>
        <w:t xml:space="preserve">as these are likely to have implications for delegated budgets in the </w:t>
      </w:r>
      <w:r w:rsidR="00062685" w:rsidRPr="00062685">
        <w:rPr>
          <w:sz w:val="22"/>
          <w:szCs w:val="22"/>
        </w:rPr>
        <w:t>future. If you are interested to understand more about these discussions</w:t>
      </w:r>
      <w:r w:rsidRPr="00062685">
        <w:rPr>
          <w:sz w:val="22"/>
          <w:szCs w:val="22"/>
        </w:rPr>
        <w:t>, or would like to input into these, please contact Andrew Redding</w:t>
      </w:r>
      <w:r w:rsidR="00062685" w:rsidRPr="00062685">
        <w:rPr>
          <w:sz w:val="22"/>
          <w:szCs w:val="22"/>
        </w:rPr>
        <w:t xml:space="preserve"> 01274 385702 </w:t>
      </w:r>
      <w:hyperlink r:id="rId13" w:history="1">
        <w:r w:rsidR="00062685" w:rsidRPr="00062685">
          <w:rPr>
            <w:rStyle w:val="Hyperlink"/>
            <w:sz w:val="22"/>
            <w:szCs w:val="22"/>
          </w:rPr>
          <w:t>andrew.redding@bradford.gov.uk</w:t>
        </w:r>
      </w:hyperlink>
      <w:r w:rsidRPr="00062685">
        <w:rPr>
          <w:sz w:val="22"/>
          <w:szCs w:val="22"/>
        </w:rPr>
        <w:t>:</w:t>
      </w:r>
    </w:p>
    <w:p w:rsidR="00B05E15" w:rsidRPr="00062685" w:rsidRDefault="00B05E15" w:rsidP="009C5548">
      <w:pPr>
        <w:jc w:val="both"/>
        <w:rPr>
          <w:sz w:val="22"/>
          <w:szCs w:val="22"/>
        </w:rPr>
      </w:pPr>
    </w:p>
    <w:p w:rsidR="00A82907" w:rsidRPr="00062685" w:rsidRDefault="00A82907" w:rsidP="00F064D4">
      <w:pPr>
        <w:numPr>
          <w:ilvl w:val="0"/>
          <w:numId w:val="42"/>
        </w:numPr>
        <w:jc w:val="both"/>
        <w:rPr>
          <w:sz w:val="22"/>
          <w:szCs w:val="22"/>
        </w:rPr>
      </w:pPr>
      <w:r w:rsidRPr="00062685">
        <w:rPr>
          <w:sz w:val="22"/>
          <w:szCs w:val="22"/>
        </w:rPr>
        <w:t xml:space="preserve">Value for money and </w:t>
      </w:r>
      <w:r w:rsidR="00062685" w:rsidRPr="00062685">
        <w:rPr>
          <w:sz w:val="22"/>
          <w:szCs w:val="22"/>
        </w:rPr>
        <w:t xml:space="preserve">more robust </w:t>
      </w:r>
      <w:r w:rsidRPr="00062685">
        <w:rPr>
          <w:sz w:val="22"/>
          <w:szCs w:val="22"/>
        </w:rPr>
        <w:t>evaluation of</w:t>
      </w:r>
      <w:r w:rsidR="00062685" w:rsidRPr="00062685">
        <w:rPr>
          <w:sz w:val="22"/>
          <w:szCs w:val="22"/>
        </w:rPr>
        <w:t xml:space="preserve"> the</w:t>
      </w:r>
      <w:r w:rsidRPr="00062685">
        <w:rPr>
          <w:sz w:val="22"/>
          <w:szCs w:val="22"/>
        </w:rPr>
        <w:t xml:space="preserve"> impact </w:t>
      </w:r>
      <w:r w:rsidR="00062685" w:rsidRPr="00062685">
        <w:rPr>
          <w:sz w:val="22"/>
          <w:szCs w:val="22"/>
        </w:rPr>
        <w:t>of funding</w:t>
      </w:r>
      <w:r w:rsidR="00A81D09" w:rsidRPr="00062685">
        <w:rPr>
          <w:sz w:val="22"/>
          <w:szCs w:val="22"/>
        </w:rPr>
        <w:t xml:space="preserve"> decisions </w:t>
      </w:r>
      <w:r w:rsidRPr="00062685">
        <w:rPr>
          <w:sz w:val="22"/>
          <w:szCs w:val="22"/>
        </w:rPr>
        <w:t>on pupil outcomes</w:t>
      </w:r>
    </w:p>
    <w:p w:rsidR="00A81D09" w:rsidRPr="00062685" w:rsidRDefault="00A81D09" w:rsidP="00A81D09">
      <w:pPr>
        <w:pStyle w:val="ListParagraph"/>
        <w:numPr>
          <w:ilvl w:val="0"/>
          <w:numId w:val="42"/>
        </w:numPr>
        <w:jc w:val="both"/>
        <w:rPr>
          <w:sz w:val="22"/>
          <w:szCs w:val="22"/>
        </w:rPr>
      </w:pPr>
      <w:r w:rsidRPr="00062685">
        <w:rPr>
          <w:sz w:val="22"/>
          <w:szCs w:val="22"/>
        </w:rPr>
        <w:t>Analysis of schools spending of the Pupil Premium and how this impacts on educational outcomes</w:t>
      </w:r>
      <w:r w:rsidR="00062685" w:rsidRPr="00062685">
        <w:rPr>
          <w:sz w:val="22"/>
          <w:szCs w:val="22"/>
        </w:rPr>
        <w:t xml:space="preserve"> (</w:t>
      </w:r>
      <w:r w:rsidR="00912448">
        <w:rPr>
          <w:sz w:val="22"/>
          <w:szCs w:val="22"/>
        </w:rPr>
        <w:t xml:space="preserve">see </w:t>
      </w:r>
      <w:r w:rsidR="00062685" w:rsidRPr="00062685">
        <w:rPr>
          <w:sz w:val="22"/>
          <w:szCs w:val="22"/>
        </w:rPr>
        <w:t>September Schools Forum paper)</w:t>
      </w:r>
    </w:p>
    <w:p w:rsidR="00527CFB" w:rsidRPr="00062685" w:rsidRDefault="00527CFB" w:rsidP="00527CFB">
      <w:pPr>
        <w:numPr>
          <w:ilvl w:val="0"/>
          <w:numId w:val="42"/>
        </w:numPr>
        <w:jc w:val="both"/>
        <w:rPr>
          <w:sz w:val="22"/>
          <w:szCs w:val="22"/>
        </w:rPr>
      </w:pPr>
      <w:r w:rsidRPr="00062685">
        <w:rPr>
          <w:sz w:val="22"/>
          <w:szCs w:val="22"/>
        </w:rPr>
        <w:t xml:space="preserve">Distribution of Additional Educational Need (AEN) funding and </w:t>
      </w:r>
      <w:r w:rsidR="00B40E01" w:rsidRPr="00062685">
        <w:rPr>
          <w:sz w:val="22"/>
          <w:szCs w:val="22"/>
        </w:rPr>
        <w:t xml:space="preserve">how this impacts on </w:t>
      </w:r>
      <w:r w:rsidRPr="00062685">
        <w:rPr>
          <w:sz w:val="22"/>
          <w:szCs w:val="22"/>
        </w:rPr>
        <w:t>pupil outcomes</w:t>
      </w:r>
    </w:p>
    <w:p w:rsidR="00A82907" w:rsidRPr="00062685" w:rsidRDefault="00A4198C" w:rsidP="00905525">
      <w:pPr>
        <w:numPr>
          <w:ilvl w:val="0"/>
          <w:numId w:val="42"/>
        </w:numPr>
        <w:jc w:val="both"/>
        <w:rPr>
          <w:sz w:val="22"/>
          <w:szCs w:val="22"/>
        </w:rPr>
      </w:pPr>
      <w:r w:rsidRPr="00062685">
        <w:rPr>
          <w:sz w:val="22"/>
          <w:szCs w:val="22"/>
        </w:rPr>
        <w:t>The funding ratio between p</w:t>
      </w:r>
      <w:r w:rsidR="00802520" w:rsidRPr="00062685">
        <w:rPr>
          <w:sz w:val="22"/>
          <w:szCs w:val="22"/>
        </w:rPr>
        <w:t>rimary</w:t>
      </w:r>
      <w:r w:rsidRPr="00062685">
        <w:rPr>
          <w:sz w:val="22"/>
          <w:szCs w:val="22"/>
        </w:rPr>
        <w:t xml:space="preserve"> and s</w:t>
      </w:r>
      <w:r w:rsidR="00802520" w:rsidRPr="00062685">
        <w:rPr>
          <w:sz w:val="22"/>
          <w:szCs w:val="22"/>
        </w:rPr>
        <w:t>econdary funding</w:t>
      </w:r>
      <w:r w:rsidR="00A82907" w:rsidRPr="00062685">
        <w:rPr>
          <w:sz w:val="22"/>
          <w:szCs w:val="22"/>
        </w:rPr>
        <w:t xml:space="preserve"> </w:t>
      </w:r>
      <w:r w:rsidRPr="00062685">
        <w:rPr>
          <w:sz w:val="22"/>
          <w:szCs w:val="22"/>
        </w:rPr>
        <w:t>and the</w:t>
      </w:r>
      <w:r w:rsidR="00A82907" w:rsidRPr="00062685">
        <w:rPr>
          <w:sz w:val="22"/>
          <w:szCs w:val="22"/>
        </w:rPr>
        <w:t xml:space="preserve"> distribution of the DSG</w:t>
      </w:r>
      <w:r w:rsidR="00A81D09" w:rsidRPr="00062685">
        <w:rPr>
          <w:sz w:val="22"/>
          <w:szCs w:val="22"/>
        </w:rPr>
        <w:t xml:space="preserve"> across phases</w:t>
      </w:r>
    </w:p>
    <w:p w:rsidR="00A82907" w:rsidRPr="00062685" w:rsidRDefault="00A81D09" w:rsidP="00905525">
      <w:pPr>
        <w:numPr>
          <w:ilvl w:val="0"/>
          <w:numId w:val="42"/>
        </w:numPr>
        <w:jc w:val="both"/>
        <w:rPr>
          <w:sz w:val="22"/>
          <w:szCs w:val="22"/>
        </w:rPr>
      </w:pPr>
      <w:r w:rsidRPr="00062685">
        <w:rPr>
          <w:sz w:val="22"/>
          <w:szCs w:val="22"/>
        </w:rPr>
        <w:t>Review of v</w:t>
      </w:r>
      <w:r w:rsidR="00A82907" w:rsidRPr="00062685">
        <w:rPr>
          <w:sz w:val="22"/>
          <w:szCs w:val="22"/>
        </w:rPr>
        <w:t xml:space="preserve">alues of </w:t>
      </w:r>
      <w:r w:rsidRPr="00062685">
        <w:rPr>
          <w:sz w:val="22"/>
          <w:szCs w:val="22"/>
        </w:rPr>
        <w:t xml:space="preserve">our </w:t>
      </w:r>
      <w:r w:rsidR="00A82907" w:rsidRPr="00062685">
        <w:rPr>
          <w:sz w:val="22"/>
          <w:szCs w:val="22"/>
        </w:rPr>
        <w:t>funding</w:t>
      </w:r>
      <w:r w:rsidRPr="00062685">
        <w:rPr>
          <w:sz w:val="22"/>
          <w:szCs w:val="22"/>
        </w:rPr>
        <w:t xml:space="preserve"> factors</w:t>
      </w:r>
      <w:r w:rsidR="00527CFB" w:rsidRPr="00062685">
        <w:rPr>
          <w:sz w:val="22"/>
          <w:szCs w:val="22"/>
        </w:rPr>
        <w:t xml:space="preserve"> in preparation for the expected implementation of a national fair funding formula</w:t>
      </w:r>
      <w:r w:rsidR="00A82907" w:rsidRPr="00062685">
        <w:rPr>
          <w:sz w:val="22"/>
          <w:szCs w:val="22"/>
        </w:rPr>
        <w:t xml:space="preserve"> </w:t>
      </w:r>
      <w:r w:rsidR="00A4198C" w:rsidRPr="00062685">
        <w:rPr>
          <w:sz w:val="22"/>
          <w:szCs w:val="22"/>
        </w:rPr>
        <w:t>against</w:t>
      </w:r>
      <w:r w:rsidR="00A82907" w:rsidRPr="00062685">
        <w:rPr>
          <w:sz w:val="22"/>
          <w:szCs w:val="22"/>
        </w:rPr>
        <w:t xml:space="preserve"> </w:t>
      </w:r>
      <w:proofErr w:type="spellStart"/>
      <w:r w:rsidRPr="00062685">
        <w:rPr>
          <w:sz w:val="22"/>
          <w:szCs w:val="22"/>
        </w:rPr>
        <w:t>DfE</w:t>
      </w:r>
      <w:proofErr w:type="spellEnd"/>
      <w:r w:rsidRPr="00062685">
        <w:rPr>
          <w:sz w:val="22"/>
          <w:szCs w:val="22"/>
        </w:rPr>
        <w:t xml:space="preserve"> </w:t>
      </w:r>
      <w:r w:rsidR="00A82907" w:rsidRPr="00062685">
        <w:rPr>
          <w:sz w:val="22"/>
          <w:szCs w:val="22"/>
        </w:rPr>
        <w:t>M</w:t>
      </w:r>
      <w:r w:rsidR="00802520" w:rsidRPr="00062685">
        <w:rPr>
          <w:sz w:val="22"/>
          <w:szCs w:val="22"/>
        </w:rPr>
        <w:t>inimum Funding Levels (M</w:t>
      </w:r>
      <w:r w:rsidR="00A82907" w:rsidRPr="00062685">
        <w:rPr>
          <w:sz w:val="22"/>
          <w:szCs w:val="22"/>
        </w:rPr>
        <w:t>FL</w:t>
      </w:r>
      <w:r w:rsidR="00802520" w:rsidRPr="00062685">
        <w:rPr>
          <w:sz w:val="22"/>
          <w:szCs w:val="22"/>
        </w:rPr>
        <w:t>)</w:t>
      </w:r>
      <w:r w:rsidRPr="00062685">
        <w:rPr>
          <w:sz w:val="22"/>
          <w:szCs w:val="22"/>
        </w:rPr>
        <w:t xml:space="preserve"> factors, national averages, and statistical neighbour averages</w:t>
      </w:r>
    </w:p>
    <w:p w:rsidR="004570DD" w:rsidRPr="00062685" w:rsidRDefault="004570DD" w:rsidP="00905525">
      <w:pPr>
        <w:numPr>
          <w:ilvl w:val="0"/>
          <w:numId w:val="42"/>
        </w:numPr>
        <w:jc w:val="both"/>
        <w:rPr>
          <w:sz w:val="22"/>
          <w:szCs w:val="22"/>
        </w:rPr>
      </w:pPr>
      <w:r w:rsidRPr="00062685">
        <w:rPr>
          <w:sz w:val="22"/>
          <w:szCs w:val="22"/>
        </w:rPr>
        <w:t>How the Schools Forum and Local Authority can better support schools and academies with high numbers of children from new to English migrant families</w:t>
      </w:r>
      <w:r w:rsidR="00062685" w:rsidRPr="00062685">
        <w:rPr>
          <w:sz w:val="22"/>
          <w:szCs w:val="22"/>
        </w:rPr>
        <w:t xml:space="preserve"> (</w:t>
      </w:r>
      <w:r w:rsidR="00912448">
        <w:rPr>
          <w:sz w:val="22"/>
          <w:szCs w:val="22"/>
        </w:rPr>
        <w:t xml:space="preserve">see </w:t>
      </w:r>
      <w:r w:rsidR="00062685" w:rsidRPr="00062685">
        <w:rPr>
          <w:sz w:val="22"/>
          <w:szCs w:val="22"/>
        </w:rPr>
        <w:t>September Schools Forum paper).V</w:t>
      </w:r>
      <w:r w:rsidR="00E431AD" w:rsidRPr="00062685">
        <w:rPr>
          <w:sz w:val="22"/>
          <w:szCs w:val="22"/>
        </w:rPr>
        <w:t>alues of funding allocated via the Pupil Mobility factor, which does generally support schools and academies with higher levels of new to English pupils, may be increased if this is an affordable option</w:t>
      </w:r>
    </w:p>
    <w:p w:rsidR="00E431AD" w:rsidRPr="00062685" w:rsidRDefault="00E431AD" w:rsidP="00C32DAA">
      <w:pPr>
        <w:numPr>
          <w:ilvl w:val="0"/>
          <w:numId w:val="42"/>
        </w:numPr>
        <w:jc w:val="both"/>
        <w:rPr>
          <w:sz w:val="22"/>
          <w:szCs w:val="22"/>
        </w:rPr>
      </w:pPr>
      <w:r w:rsidRPr="00062685">
        <w:rPr>
          <w:sz w:val="22"/>
          <w:szCs w:val="22"/>
        </w:rPr>
        <w:t xml:space="preserve">Review of the BSF Affordability Gap (PFI) factor – specifically whether to consider increasing the support allocated for BSF Phase 1 and 2 schools and academies to recognise </w:t>
      </w:r>
      <w:r w:rsidR="00C32DAA" w:rsidRPr="00062685">
        <w:rPr>
          <w:sz w:val="22"/>
          <w:szCs w:val="22"/>
        </w:rPr>
        <w:t>annual inflationary increases on unitary charges.</w:t>
      </w:r>
    </w:p>
    <w:p w:rsidR="00E431AD" w:rsidRPr="00062685" w:rsidRDefault="00E431AD" w:rsidP="00E431AD">
      <w:pPr>
        <w:numPr>
          <w:ilvl w:val="0"/>
          <w:numId w:val="42"/>
        </w:numPr>
        <w:jc w:val="both"/>
        <w:rPr>
          <w:sz w:val="22"/>
          <w:szCs w:val="22"/>
        </w:rPr>
      </w:pPr>
      <w:r w:rsidRPr="00062685">
        <w:rPr>
          <w:sz w:val="22"/>
          <w:szCs w:val="22"/>
        </w:rPr>
        <w:t>Review of the role of the DSG in financing services available for schools / organisation of services for schools, including such services as school improvement and trade union facilities time</w:t>
      </w:r>
    </w:p>
    <w:p w:rsidR="00A82907" w:rsidRPr="00062685" w:rsidRDefault="00A82907" w:rsidP="00905525">
      <w:pPr>
        <w:numPr>
          <w:ilvl w:val="0"/>
          <w:numId w:val="42"/>
        </w:numPr>
        <w:jc w:val="both"/>
        <w:rPr>
          <w:sz w:val="22"/>
          <w:szCs w:val="22"/>
        </w:rPr>
      </w:pPr>
      <w:r w:rsidRPr="00062685">
        <w:rPr>
          <w:sz w:val="22"/>
          <w:szCs w:val="22"/>
        </w:rPr>
        <w:t>The impact of our higher level of funding of the 3 / 4 year old early years free entitlement</w:t>
      </w:r>
      <w:r w:rsidR="00C32DAA" w:rsidRPr="00062685">
        <w:rPr>
          <w:sz w:val="22"/>
          <w:szCs w:val="22"/>
        </w:rPr>
        <w:t>, in comparison to national and statistical neighbour averages, and whether funding rates should be adjusted in preparation of the expected implementation of a national fair funding formula (see the Early Years consultation document for further information</w:t>
      </w:r>
      <w:r w:rsidR="005F779A" w:rsidRPr="00062685">
        <w:rPr>
          <w:sz w:val="22"/>
          <w:szCs w:val="22"/>
        </w:rPr>
        <w:t xml:space="preserve"> at this stage</w:t>
      </w:r>
      <w:r w:rsidR="00C32DAA" w:rsidRPr="00062685">
        <w:rPr>
          <w:sz w:val="22"/>
          <w:szCs w:val="22"/>
        </w:rPr>
        <w:t>)</w:t>
      </w:r>
    </w:p>
    <w:p w:rsidR="00A82907" w:rsidRPr="00062685" w:rsidRDefault="00E431AD" w:rsidP="00F064D4">
      <w:pPr>
        <w:numPr>
          <w:ilvl w:val="0"/>
          <w:numId w:val="42"/>
        </w:numPr>
        <w:jc w:val="both"/>
        <w:rPr>
          <w:sz w:val="22"/>
          <w:szCs w:val="22"/>
        </w:rPr>
      </w:pPr>
      <w:r w:rsidRPr="00062685">
        <w:rPr>
          <w:sz w:val="22"/>
          <w:szCs w:val="22"/>
        </w:rPr>
        <w:t xml:space="preserve">Review of the </w:t>
      </w:r>
      <w:r w:rsidR="00A82907" w:rsidRPr="00062685">
        <w:rPr>
          <w:sz w:val="22"/>
          <w:szCs w:val="22"/>
        </w:rPr>
        <w:t>Behaviour Strategy</w:t>
      </w:r>
      <w:r w:rsidR="00C32DAA" w:rsidRPr="00062685">
        <w:rPr>
          <w:sz w:val="22"/>
          <w:szCs w:val="22"/>
        </w:rPr>
        <w:t xml:space="preserve"> for the District</w:t>
      </w:r>
    </w:p>
    <w:p w:rsidR="00A82907" w:rsidRPr="00062685" w:rsidRDefault="00C32DAA" w:rsidP="000F069A">
      <w:pPr>
        <w:numPr>
          <w:ilvl w:val="0"/>
          <w:numId w:val="42"/>
        </w:numPr>
        <w:jc w:val="both"/>
        <w:rPr>
          <w:sz w:val="22"/>
          <w:szCs w:val="22"/>
        </w:rPr>
      </w:pPr>
      <w:r w:rsidRPr="00062685">
        <w:rPr>
          <w:sz w:val="22"/>
          <w:szCs w:val="22"/>
        </w:rPr>
        <w:t>Review of h</w:t>
      </w:r>
      <w:r w:rsidR="00A82907" w:rsidRPr="00062685">
        <w:rPr>
          <w:sz w:val="22"/>
          <w:szCs w:val="22"/>
        </w:rPr>
        <w:t xml:space="preserve">igh needs provision </w:t>
      </w:r>
      <w:r w:rsidR="005F779A" w:rsidRPr="00062685">
        <w:rPr>
          <w:sz w:val="22"/>
          <w:szCs w:val="22"/>
        </w:rPr>
        <w:t xml:space="preserve">across the District </w:t>
      </w:r>
      <w:r w:rsidR="00A82907" w:rsidRPr="00062685">
        <w:rPr>
          <w:sz w:val="22"/>
          <w:szCs w:val="22"/>
        </w:rPr>
        <w:t xml:space="preserve">and </w:t>
      </w:r>
      <w:r w:rsidR="005F779A" w:rsidRPr="00062685">
        <w:rPr>
          <w:sz w:val="22"/>
          <w:szCs w:val="22"/>
        </w:rPr>
        <w:t xml:space="preserve">the </w:t>
      </w:r>
      <w:r w:rsidR="00A82907" w:rsidRPr="00062685">
        <w:rPr>
          <w:sz w:val="22"/>
          <w:szCs w:val="22"/>
        </w:rPr>
        <w:t>pressures</w:t>
      </w:r>
      <w:r w:rsidR="005F779A" w:rsidRPr="00062685">
        <w:rPr>
          <w:sz w:val="22"/>
          <w:szCs w:val="22"/>
        </w:rPr>
        <w:t xml:space="preserve"> on the DSG</w:t>
      </w:r>
    </w:p>
    <w:p w:rsidR="00A82907" w:rsidRDefault="00A82907" w:rsidP="000F069A">
      <w:pPr>
        <w:jc w:val="both"/>
        <w:rPr>
          <w:sz w:val="22"/>
          <w:szCs w:val="22"/>
        </w:rPr>
      </w:pPr>
    </w:p>
    <w:p w:rsidR="00A82907" w:rsidRDefault="00A82907" w:rsidP="000F069A">
      <w:pPr>
        <w:jc w:val="both"/>
        <w:rPr>
          <w:sz w:val="22"/>
          <w:szCs w:val="22"/>
        </w:rPr>
      </w:pPr>
      <w:r>
        <w:rPr>
          <w:sz w:val="22"/>
          <w:szCs w:val="22"/>
        </w:rPr>
        <w:t xml:space="preserve">1.8 In order to manage all cost pressures within the DSG in 2014/15, the values of certain formula variables were reduced. The Local Authority is currently working on the basis of seeking to maintain an overall ‘cash flat’ position for the funding of primary and secondary schools and academies in 2015/16, once the one off funding  that was allocated in 2014/15 has been removed. However, it is highly possible that further reductions in formula variables may be needed to balance the overall DSG allocation. Recommendations concerning this will be made by the Schools Forum in January 2015. School and academy colleagues should </w:t>
      </w:r>
      <w:r>
        <w:rPr>
          <w:sz w:val="22"/>
          <w:szCs w:val="22"/>
        </w:rPr>
        <w:lastRenderedPageBreak/>
        <w:t>keep track of discussions by monitoring Schools Forum papers a</w:t>
      </w:r>
      <w:r w:rsidR="00C32DAA">
        <w:rPr>
          <w:sz w:val="22"/>
          <w:szCs w:val="22"/>
        </w:rPr>
        <w:t>nd minutes</w:t>
      </w:r>
      <w:r w:rsidR="00B631BE">
        <w:rPr>
          <w:sz w:val="22"/>
          <w:szCs w:val="22"/>
        </w:rPr>
        <w:t xml:space="preserve"> </w:t>
      </w:r>
      <w:r w:rsidR="00C32DAA">
        <w:rPr>
          <w:sz w:val="22"/>
          <w:szCs w:val="22"/>
        </w:rPr>
        <w:t xml:space="preserve">available on the </w:t>
      </w:r>
      <w:hyperlink r:id="rId14" w:history="1">
        <w:r w:rsidR="00C32DAA" w:rsidRPr="00B631BE">
          <w:rPr>
            <w:rStyle w:val="Hyperlink"/>
            <w:sz w:val="22"/>
            <w:szCs w:val="22"/>
          </w:rPr>
          <w:t>Bradford Council Minutes website</w:t>
        </w:r>
      </w:hyperlink>
      <w:r w:rsidR="00C32DAA">
        <w:rPr>
          <w:sz w:val="22"/>
          <w:szCs w:val="22"/>
        </w:rPr>
        <w:t>.</w:t>
      </w:r>
    </w:p>
    <w:p w:rsidR="00A82907" w:rsidRDefault="00A82907" w:rsidP="000F069A">
      <w:pPr>
        <w:jc w:val="both"/>
        <w:rPr>
          <w:sz w:val="22"/>
          <w:szCs w:val="22"/>
        </w:rPr>
      </w:pPr>
      <w:r>
        <w:rPr>
          <w:sz w:val="22"/>
          <w:szCs w:val="22"/>
        </w:rPr>
        <w:t xml:space="preserve"> </w:t>
      </w:r>
    </w:p>
    <w:p w:rsidR="00A82907" w:rsidRDefault="00A82907" w:rsidP="00C968D3">
      <w:pPr>
        <w:jc w:val="both"/>
        <w:rPr>
          <w:sz w:val="22"/>
          <w:szCs w:val="22"/>
        </w:rPr>
      </w:pPr>
      <w:r>
        <w:rPr>
          <w:sz w:val="22"/>
          <w:szCs w:val="22"/>
        </w:rPr>
        <w:t xml:space="preserve">1.9 Please note that the </w:t>
      </w:r>
      <w:r w:rsidRPr="00527CFB">
        <w:rPr>
          <w:sz w:val="22"/>
          <w:szCs w:val="22"/>
        </w:rPr>
        <w:t>modelling shown in Appendix 1</w:t>
      </w:r>
      <w:r w:rsidRPr="00527CFB">
        <w:rPr>
          <w:b/>
          <w:bCs/>
          <w:sz w:val="22"/>
          <w:szCs w:val="22"/>
        </w:rPr>
        <w:t xml:space="preserve"> </w:t>
      </w:r>
      <w:r w:rsidRPr="00527CFB">
        <w:rPr>
          <w:sz w:val="22"/>
          <w:szCs w:val="22"/>
        </w:rPr>
        <w:t>is illustrative</w:t>
      </w:r>
      <w:r w:rsidRPr="00D10526">
        <w:rPr>
          <w:sz w:val="22"/>
          <w:szCs w:val="22"/>
        </w:rPr>
        <w:t xml:space="preserve"> only and does not </w:t>
      </w:r>
      <w:r>
        <w:rPr>
          <w:sz w:val="22"/>
          <w:szCs w:val="22"/>
        </w:rPr>
        <w:t>represent a final view of 2015/16</w:t>
      </w:r>
      <w:r w:rsidRPr="00D10526">
        <w:rPr>
          <w:sz w:val="22"/>
          <w:szCs w:val="22"/>
        </w:rPr>
        <w:t xml:space="preserve"> allocation</w:t>
      </w:r>
      <w:r>
        <w:rPr>
          <w:sz w:val="22"/>
          <w:szCs w:val="22"/>
        </w:rPr>
        <w:t>s</w:t>
      </w:r>
      <w:r w:rsidRPr="00D10526">
        <w:rPr>
          <w:sz w:val="22"/>
          <w:szCs w:val="22"/>
        </w:rPr>
        <w:t xml:space="preserve"> for each school</w:t>
      </w:r>
      <w:r>
        <w:rPr>
          <w:sz w:val="22"/>
          <w:szCs w:val="22"/>
        </w:rPr>
        <w:t xml:space="preserve"> or academy</w:t>
      </w:r>
      <w:r w:rsidRPr="00D10526">
        <w:rPr>
          <w:sz w:val="22"/>
          <w:szCs w:val="22"/>
        </w:rPr>
        <w:t xml:space="preserve">. Please </w:t>
      </w:r>
      <w:r w:rsidRPr="00FF7674">
        <w:rPr>
          <w:sz w:val="22"/>
          <w:szCs w:val="22"/>
        </w:rPr>
        <w:t xml:space="preserve">see paragraph </w:t>
      </w:r>
      <w:r w:rsidR="005F779A">
        <w:rPr>
          <w:sz w:val="22"/>
          <w:szCs w:val="22"/>
        </w:rPr>
        <w:t>8</w:t>
      </w:r>
      <w:r w:rsidRPr="00FF7674">
        <w:rPr>
          <w:sz w:val="22"/>
          <w:szCs w:val="22"/>
        </w:rPr>
        <w:t xml:space="preserve"> for</w:t>
      </w:r>
      <w:r w:rsidRPr="00D10526">
        <w:rPr>
          <w:sz w:val="22"/>
          <w:szCs w:val="22"/>
        </w:rPr>
        <w:t xml:space="preserve"> further</w:t>
      </w:r>
      <w:r w:rsidRPr="00896A65">
        <w:rPr>
          <w:sz w:val="22"/>
          <w:szCs w:val="22"/>
        </w:rPr>
        <w:t xml:space="preserve"> explanation</w:t>
      </w:r>
      <w:r>
        <w:rPr>
          <w:sz w:val="22"/>
          <w:szCs w:val="22"/>
        </w:rPr>
        <w:t xml:space="preserve"> of what this modelling shows</w:t>
      </w:r>
      <w:r w:rsidRPr="00896A65">
        <w:rPr>
          <w:sz w:val="22"/>
          <w:szCs w:val="22"/>
        </w:rPr>
        <w:t>.</w:t>
      </w:r>
      <w:r>
        <w:rPr>
          <w:sz w:val="22"/>
          <w:szCs w:val="22"/>
        </w:rPr>
        <w:t xml:space="preserve"> 2015/16 delegated budgets are subject to October 2014 pupil numbers on roll and pupil data, and to overall affordability within the 2015/16 DSG, taking into account all cost pressures. The actual funding position for schools and academies may also be affected by further discussions within the Schools Forum on the relationship between primary and secondary levels of funding, our comparisons against minimum funding levels, the positions in other authorities and the national averages</w:t>
      </w:r>
      <w:r w:rsidR="003A0A8C">
        <w:rPr>
          <w:sz w:val="22"/>
          <w:szCs w:val="22"/>
        </w:rPr>
        <w:t xml:space="preserve"> and the values of over or under spends of specific funds in 2014/15</w:t>
      </w:r>
      <w:r>
        <w:rPr>
          <w:sz w:val="22"/>
          <w:szCs w:val="22"/>
        </w:rPr>
        <w:t xml:space="preserve">. </w:t>
      </w:r>
      <w:r w:rsidRPr="00580D88">
        <w:rPr>
          <w:sz w:val="22"/>
          <w:szCs w:val="22"/>
        </w:rPr>
        <w:t>There continues to be no prescribed ratio between primary and second</w:t>
      </w:r>
      <w:r>
        <w:rPr>
          <w:sz w:val="22"/>
          <w:szCs w:val="22"/>
        </w:rPr>
        <w:t>ary levels of funding in 2015/16</w:t>
      </w:r>
      <w:r w:rsidRPr="00580D88">
        <w:rPr>
          <w:sz w:val="22"/>
          <w:szCs w:val="22"/>
        </w:rPr>
        <w:t>.</w:t>
      </w:r>
    </w:p>
    <w:p w:rsidR="00A82907" w:rsidRDefault="00A82907" w:rsidP="008D29D4">
      <w:pPr>
        <w:jc w:val="both"/>
        <w:rPr>
          <w:sz w:val="22"/>
          <w:szCs w:val="22"/>
        </w:rPr>
      </w:pPr>
    </w:p>
    <w:p w:rsidR="00A82907" w:rsidRDefault="00A82907" w:rsidP="008D29D4">
      <w:pPr>
        <w:jc w:val="both"/>
        <w:rPr>
          <w:sz w:val="22"/>
          <w:szCs w:val="22"/>
        </w:rPr>
      </w:pPr>
      <w:r>
        <w:rPr>
          <w:sz w:val="22"/>
          <w:szCs w:val="22"/>
        </w:rPr>
        <w:t xml:space="preserve">1.10 The deadline for responses to this </w:t>
      </w:r>
      <w:r w:rsidRPr="005A2827">
        <w:rPr>
          <w:sz w:val="22"/>
          <w:szCs w:val="22"/>
        </w:rPr>
        <w:t xml:space="preserve">consultation is </w:t>
      </w:r>
      <w:r w:rsidRPr="005A2827">
        <w:rPr>
          <w:b/>
          <w:bCs/>
          <w:sz w:val="22"/>
          <w:szCs w:val="22"/>
        </w:rPr>
        <w:t>Friday 17 October 2014</w:t>
      </w:r>
      <w:r w:rsidRPr="005A2827">
        <w:rPr>
          <w:sz w:val="22"/>
          <w:szCs w:val="22"/>
        </w:rPr>
        <w:t>. Please</w:t>
      </w:r>
      <w:r>
        <w:rPr>
          <w:sz w:val="22"/>
          <w:szCs w:val="22"/>
        </w:rPr>
        <w:t xml:space="preserve"> address all questions and responses to either Sarah North 01274 385701 </w:t>
      </w:r>
      <w:hyperlink r:id="rId15" w:history="1">
        <w:r w:rsidRPr="009435DC">
          <w:rPr>
            <w:rStyle w:val="Hyperlink"/>
            <w:sz w:val="22"/>
            <w:szCs w:val="22"/>
          </w:rPr>
          <w:t>sarah.north@bradford.gov.uk</w:t>
        </w:r>
      </w:hyperlink>
      <w:r>
        <w:rPr>
          <w:b/>
          <w:bCs/>
          <w:color w:val="FF0000"/>
          <w:sz w:val="22"/>
          <w:szCs w:val="22"/>
        </w:rPr>
        <w:t xml:space="preserve"> </w:t>
      </w:r>
      <w:r>
        <w:rPr>
          <w:sz w:val="22"/>
          <w:szCs w:val="22"/>
        </w:rPr>
        <w:t xml:space="preserve">or Andrew Redding 01274 385702 </w:t>
      </w:r>
      <w:hyperlink r:id="rId16" w:history="1">
        <w:r w:rsidRPr="009435DC">
          <w:rPr>
            <w:rStyle w:val="Hyperlink"/>
            <w:sz w:val="22"/>
            <w:szCs w:val="22"/>
          </w:rPr>
          <w:t>andrew.redding@bradford.gov.uk</w:t>
        </w:r>
      </w:hyperlink>
      <w:r>
        <w:rPr>
          <w:sz w:val="22"/>
          <w:szCs w:val="22"/>
        </w:rPr>
        <w:t xml:space="preserve">. </w:t>
      </w:r>
      <w:r w:rsidRPr="00896A65">
        <w:rPr>
          <w:sz w:val="22"/>
          <w:szCs w:val="22"/>
        </w:rPr>
        <w:t xml:space="preserve">A response </w:t>
      </w:r>
      <w:r w:rsidRPr="00527CFB">
        <w:rPr>
          <w:sz w:val="22"/>
          <w:szCs w:val="22"/>
        </w:rPr>
        <w:t>form is included at Appendix 3.</w:t>
      </w:r>
    </w:p>
    <w:p w:rsidR="00A82907" w:rsidRDefault="00A82907" w:rsidP="008D29D4">
      <w:pPr>
        <w:jc w:val="both"/>
        <w:rPr>
          <w:b/>
          <w:bCs/>
          <w:sz w:val="22"/>
          <w:szCs w:val="22"/>
        </w:rPr>
      </w:pPr>
    </w:p>
    <w:p w:rsidR="00A82907" w:rsidRDefault="00A82907" w:rsidP="00DA0C74">
      <w:pPr>
        <w:jc w:val="both"/>
        <w:rPr>
          <w:b/>
          <w:bCs/>
          <w:sz w:val="22"/>
          <w:szCs w:val="22"/>
        </w:rPr>
      </w:pPr>
    </w:p>
    <w:p w:rsidR="00A82907" w:rsidRPr="00991FC9" w:rsidRDefault="00A82907" w:rsidP="00DA0C74">
      <w:pPr>
        <w:jc w:val="both"/>
        <w:rPr>
          <w:sz w:val="22"/>
          <w:szCs w:val="22"/>
        </w:rPr>
      </w:pPr>
      <w:r>
        <w:rPr>
          <w:b/>
          <w:bCs/>
          <w:sz w:val="22"/>
          <w:szCs w:val="22"/>
        </w:rPr>
        <w:t>2</w:t>
      </w:r>
      <w:r w:rsidRPr="00991FC9">
        <w:rPr>
          <w:b/>
          <w:bCs/>
          <w:sz w:val="22"/>
          <w:szCs w:val="22"/>
        </w:rPr>
        <w:t>.</w:t>
      </w:r>
      <w:r w:rsidRPr="00991FC9">
        <w:rPr>
          <w:b/>
          <w:bCs/>
          <w:sz w:val="22"/>
          <w:szCs w:val="22"/>
        </w:rPr>
        <w:tab/>
        <w:t xml:space="preserve">Schools Block - Formulae Factors </w:t>
      </w:r>
      <w:r>
        <w:rPr>
          <w:b/>
          <w:bCs/>
          <w:sz w:val="22"/>
          <w:szCs w:val="22"/>
        </w:rPr>
        <w:t xml:space="preserve">and other elements </w:t>
      </w:r>
      <w:r w:rsidRPr="00991FC9">
        <w:rPr>
          <w:b/>
          <w:bCs/>
          <w:sz w:val="22"/>
          <w:szCs w:val="22"/>
        </w:rPr>
        <w:t>that remain unchanged in 2015/16</w:t>
      </w:r>
    </w:p>
    <w:p w:rsidR="00A82907" w:rsidRPr="00991FC9" w:rsidRDefault="00A82907" w:rsidP="00DA0C74">
      <w:pPr>
        <w:jc w:val="both"/>
        <w:rPr>
          <w:sz w:val="22"/>
          <w:szCs w:val="22"/>
        </w:rPr>
      </w:pPr>
    </w:p>
    <w:p w:rsidR="00A82907" w:rsidRPr="00C42243" w:rsidRDefault="00A82907" w:rsidP="00DA0C74">
      <w:pPr>
        <w:jc w:val="both"/>
        <w:rPr>
          <w:sz w:val="22"/>
          <w:szCs w:val="22"/>
        </w:rPr>
      </w:pPr>
      <w:r>
        <w:rPr>
          <w:sz w:val="22"/>
          <w:szCs w:val="22"/>
        </w:rPr>
        <w:t>2</w:t>
      </w:r>
      <w:r w:rsidRPr="00C42243">
        <w:rPr>
          <w:sz w:val="22"/>
          <w:szCs w:val="22"/>
        </w:rPr>
        <w:t>.1 The elements of the Schools Block framework that remain the same in 2015/16 are as follows:</w:t>
      </w:r>
    </w:p>
    <w:p w:rsidR="00A82907" w:rsidRPr="00C42243" w:rsidRDefault="00A82907" w:rsidP="00DA0C74">
      <w:pPr>
        <w:jc w:val="both"/>
        <w:rPr>
          <w:sz w:val="22"/>
          <w:szCs w:val="22"/>
        </w:rPr>
      </w:pPr>
    </w:p>
    <w:p w:rsidR="00A82907" w:rsidRDefault="00A82907" w:rsidP="00DA0C74">
      <w:pPr>
        <w:numPr>
          <w:ilvl w:val="0"/>
          <w:numId w:val="5"/>
        </w:numPr>
        <w:jc w:val="both"/>
        <w:rPr>
          <w:sz w:val="22"/>
          <w:szCs w:val="22"/>
        </w:rPr>
      </w:pPr>
      <w:r>
        <w:rPr>
          <w:sz w:val="22"/>
          <w:szCs w:val="22"/>
        </w:rPr>
        <w:t>Delegated budgets will be calculated on the October (2014) Census.</w:t>
      </w:r>
    </w:p>
    <w:p w:rsidR="00A82907" w:rsidRDefault="00A82907" w:rsidP="00DA0C74">
      <w:pPr>
        <w:jc w:val="both"/>
        <w:rPr>
          <w:sz w:val="22"/>
          <w:szCs w:val="22"/>
        </w:rPr>
      </w:pPr>
    </w:p>
    <w:p w:rsidR="00A82907" w:rsidRDefault="00A82907" w:rsidP="00DA0C74">
      <w:pPr>
        <w:numPr>
          <w:ilvl w:val="0"/>
          <w:numId w:val="5"/>
        </w:numPr>
        <w:jc w:val="both"/>
        <w:rPr>
          <w:sz w:val="22"/>
          <w:szCs w:val="22"/>
        </w:rPr>
      </w:pPr>
      <w:r>
        <w:rPr>
          <w:sz w:val="22"/>
          <w:szCs w:val="22"/>
        </w:rPr>
        <w:t xml:space="preserve">The </w:t>
      </w:r>
      <w:r w:rsidRPr="00C42243">
        <w:rPr>
          <w:sz w:val="22"/>
          <w:szCs w:val="22"/>
        </w:rPr>
        <w:t>simplified primary and secondary funding formulae</w:t>
      </w:r>
      <w:r>
        <w:rPr>
          <w:sz w:val="22"/>
          <w:szCs w:val="22"/>
        </w:rPr>
        <w:t xml:space="preserve"> arrangements continue</w:t>
      </w:r>
      <w:r w:rsidRPr="00C42243">
        <w:rPr>
          <w:sz w:val="22"/>
          <w:szCs w:val="22"/>
        </w:rPr>
        <w:t>, based on 13 allowable factors, plus exceptional premises factors individually approved by the EFA. As was the case for 2014/15, two of these factors (the basic amount per pupil and a deprivation factor) are mandatory. The remaining factors are optiona</w:t>
      </w:r>
      <w:r>
        <w:rPr>
          <w:sz w:val="22"/>
          <w:szCs w:val="22"/>
        </w:rPr>
        <w:t>l. Local authorities continue</w:t>
      </w:r>
      <w:r w:rsidRPr="00C42243">
        <w:rPr>
          <w:sz w:val="22"/>
          <w:szCs w:val="22"/>
        </w:rPr>
        <w:t xml:space="preserve"> only</w:t>
      </w:r>
      <w:r>
        <w:rPr>
          <w:sz w:val="22"/>
          <w:szCs w:val="22"/>
        </w:rPr>
        <w:t xml:space="preserve"> to</w:t>
      </w:r>
      <w:r w:rsidRPr="00C42243">
        <w:rPr>
          <w:sz w:val="22"/>
          <w:szCs w:val="22"/>
        </w:rPr>
        <w:t xml:space="preserve"> have limited choices in how these factors operate.</w:t>
      </w:r>
    </w:p>
    <w:p w:rsidR="00A82907" w:rsidRDefault="00A82907" w:rsidP="00DA0C74">
      <w:pPr>
        <w:jc w:val="both"/>
        <w:rPr>
          <w:sz w:val="22"/>
          <w:szCs w:val="22"/>
        </w:rPr>
      </w:pPr>
    </w:p>
    <w:p w:rsidR="00A82907" w:rsidRPr="009B07F5" w:rsidRDefault="00A82907" w:rsidP="00DA0C74">
      <w:pPr>
        <w:numPr>
          <w:ilvl w:val="0"/>
          <w:numId w:val="5"/>
        </w:numPr>
        <w:jc w:val="both"/>
        <w:rPr>
          <w:sz w:val="22"/>
          <w:szCs w:val="22"/>
        </w:rPr>
      </w:pPr>
      <w:r>
        <w:rPr>
          <w:sz w:val="22"/>
          <w:szCs w:val="22"/>
        </w:rPr>
        <w:t xml:space="preserve">Local authorities must allocate at least 80% of the delegated schools block funding through the pupil-led factors, which include the base amount per pupil, deprivation, prior attainment, English as an additional language, pupil mobility and looked after children factors. We </w:t>
      </w:r>
      <w:r w:rsidR="00A00A48">
        <w:rPr>
          <w:sz w:val="22"/>
          <w:szCs w:val="22"/>
        </w:rPr>
        <w:t>allocated 88.86</w:t>
      </w:r>
      <w:r>
        <w:rPr>
          <w:sz w:val="22"/>
          <w:szCs w:val="22"/>
        </w:rPr>
        <w:t xml:space="preserve">% of the delegated schools block funding via the pupil-led </w:t>
      </w:r>
      <w:r w:rsidRPr="009B07F5">
        <w:rPr>
          <w:sz w:val="22"/>
          <w:szCs w:val="22"/>
        </w:rPr>
        <w:t xml:space="preserve">factors in 2014/15, and the modelling included in this consultation indicates that we are currently allocating </w:t>
      </w:r>
      <w:r w:rsidR="00894BC8">
        <w:rPr>
          <w:sz w:val="22"/>
          <w:szCs w:val="22"/>
        </w:rPr>
        <w:t>88.97</w:t>
      </w:r>
      <w:r w:rsidRPr="009B07F5">
        <w:rPr>
          <w:sz w:val="22"/>
          <w:szCs w:val="22"/>
        </w:rPr>
        <w:t>% in 2015/16.</w:t>
      </w:r>
    </w:p>
    <w:p w:rsidR="00A82907" w:rsidRPr="00C42243" w:rsidRDefault="00A82907" w:rsidP="00DA0C74">
      <w:pPr>
        <w:jc w:val="both"/>
        <w:rPr>
          <w:sz w:val="22"/>
          <w:szCs w:val="22"/>
        </w:rPr>
      </w:pPr>
    </w:p>
    <w:p w:rsidR="00A82907" w:rsidRPr="00C42243" w:rsidRDefault="00A82907" w:rsidP="00DA0C74">
      <w:pPr>
        <w:numPr>
          <w:ilvl w:val="0"/>
          <w:numId w:val="5"/>
        </w:numPr>
        <w:jc w:val="both"/>
        <w:rPr>
          <w:sz w:val="22"/>
          <w:szCs w:val="22"/>
        </w:rPr>
      </w:pPr>
      <w:r w:rsidRPr="00C42243">
        <w:rPr>
          <w:sz w:val="22"/>
          <w:szCs w:val="22"/>
        </w:rPr>
        <w:t>The Minimum Funding Guarantee (MFG) continues to be the only protection mechanism a</w:t>
      </w:r>
      <w:r>
        <w:rPr>
          <w:sz w:val="22"/>
          <w:szCs w:val="22"/>
        </w:rPr>
        <w:t>vailable for individual school and</w:t>
      </w:r>
      <w:r w:rsidRPr="00C42243">
        <w:rPr>
          <w:sz w:val="22"/>
          <w:szCs w:val="22"/>
        </w:rPr>
        <w:t xml:space="preserve"> aca</w:t>
      </w:r>
      <w:r>
        <w:rPr>
          <w:sz w:val="22"/>
          <w:szCs w:val="22"/>
        </w:rPr>
        <w:t xml:space="preserve">demy allocations and is set at MINUS </w:t>
      </w:r>
      <w:r w:rsidRPr="00C42243">
        <w:rPr>
          <w:sz w:val="22"/>
          <w:szCs w:val="22"/>
        </w:rPr>
        <w:t xml:space="preserve">1.5% in 2015/16. We would expect then that, all other elements being the same, the budget of a school or academy on the MFG in this current financial year </w:t>
      </w:r>
      <w:r>
        <w:rPr>
          <w:sz w:val="22"/>
          <w:szCs w:val="22"/>
        </w:rPr>
        <w:t>will reduce by 1.5% in 2015/16.</w:t>
      </w:r>
    </w:p>
    <w:p w:rsidR="00A82907" w:rsidRPr="00D224E9" w:rsidRDefault="00A82907" w:rsidP="00DA0C74">
      <w:pPr>
        <w:jc w:val="both"/>
        <w:rPr>
          <w:sz w:val="22"/>
          <w:szCs w:val="22"/>
        </w:rPr>
      </w:pPr>
    </w:p>
    <w:p w:rsidR="00A82907" w:rsidRDefault="00A82907" w:rsidP="00DA0C74">
      <w:pPr>
        <w:numPr>
          <w:ilvl w:val="0"/>
          <w:numId w:val="5"/>
        </w:numPr>
        <w:jc w:val="both"/>
        <w:rPr>
          <w:sz w:val="22"/>
          <w:szCs w:val="22"/>
        </w:rPr>
      </w:pPr>
      <w:r w:rsidRPr="00D224E9">
        <w:rPr>
          <w:sz w:val="22"/>
          <w:szCs w:val="22"/>
        </w:rPr>
        <w:t>The application of a ceiling (or cap) in 2015/16 to pay for the cost of the MFG protection for losing schools and academies</w:t>
      </w:r>
      <w:r>
        <w:rPr>
          <w:sz w:val="22"/>
          <w:szCs w:val="22"/>
        </w:rPr>
        <w:t xml:space="preserve"> will continue</w:t>
      </w:r>
      <w:r w:rsidRPr="00D224E9">
        <w:rPr>
          <w:sz w:val="22"/>
          <w:szCs w:val="22"/>
        </w:rPr>
        <w:t>; this will cap the gains of the winning schools and academies so that they do not gain more than a specified % of funding per pupil. As the cost of the MFG reduces year on year, we would expect the value of the cap to also reduce.</w:t>
      </w:r>
    </w:p>
    <w:p w:rsidR="00A82907" w:rsidRDefault="00A82907" w:rsidP="00DA0C74">
      <w:pPr>
        <w:pStyle w:val="ListParagraph"/>
        <w:rPr>
          <w:sz w:val="22"/>
          <w:szCs w:val="22"/>
        </w:rPr>
      </w:pPr>
    </w:p>
    <w:p w:rsidR="00A82907" w:rsidRPr="00D224E9" w:rsidRDefault="00A82907" w:rsidP="00DA0C74">
      <w:pPr>
        <w:numPr>
          <w:ilvl w:val="0"/>
          <w:numId w:val="5"/>
        </w:numPr>
        <w:jc w:val="both"/>
        <w:rPr>
          <w:sz w:val="22"/>
          <w:szCs w:val="22"/>
        </w:rPr>
      </w:pPr>
      <w:r>
        <w:rPr>
          <w:sz w:val="22"/>
          <w:szCs w:val="22"/>
        </w:rPr>
        <w:t>There continues to be no prescribed constraint on the primary to secondary funding ratio (the distribution of formula funding between phases).</w:t>
      </w:r>
    </w:p>
    <w:p w:rsidR="00A82907" w:rsidRPr="008A06A7" w:rsidRDefault="00A82907" w:rsidP="00DA0C74">
      <w:pPr>
        <w:ind w:left="360"/>
        <w:jc w:val="both"/>
        <w:rPr>
          <w:sz w:val="22"/>
          <w:szCs w:val="22"/>
        </w:rPr>
      </w:pPr>
    </w:p>
    <w:p w:rsidR="00A82907" w:rsidRPr="008A06A7" w:rsidRDefault="00A82907" w:rsidP="00DA0C74">
      <w:pPr>
        <w:numPr>
          <w:ilvl w:val="0"/>
          <w:numId w:val="5"/>
        </w:numPr>
        <w:jc w:val="both"/>
        <w:rPr>
          <w:sz w:val="22"/>
          <w:szCs w:val="22"/>
        </w:rPr>
      </w:pPr>
      <w:r w:rsidRPr="008A06A7">
        <w:rPr>
          <w:sz w:val="22"/>
          <w:szCs w:val="22"/>
        </w:rPr>
        <w:t xml:space="preserve">The strict restrictions on centrally managed funds continue and no new central commitments are permitted without Secretary of State </w:t>
      </w:r>
      <w:r>
        <w:rPr>
          <w:sz w:val="22"/>
          <w:szCs w:val="22"/>
        </w:rPr>
        <w:t>a</w:t>
      </w:r>
      <w:r w:rsidRPr="008A06A7">
        <w:rPr>
          <w:sz w:val="22"/>
          <w:szCs w:val="22"/>
        </w:rPr>
        <w:t>pproval. This continues to ensure maximum delegation of the DSG to schools and academies at the start of the financial year.</w:t>
      </w:r>
    </w:p>
    <w:p w:rsidR="00A82907" w:rsidRPr="008A06A7" w:rsidRDefault="00A82907" w:rsidP="00DA0C74">
      <w:pPr>
        <w:jc w:val="both"/>
        <w:rPr>
          <w:sz w:val="22"/>
          <w:szCs w:val="22"/>
        </w:rPr>
      </w:pPr>
    </w:p>
    <w:p w:rsidR="00AA5E6D" w:rsidRDefault="00A82907" w:rsidP="00DA0C74">
      <w:pPr>
        <w:numPr>
          <w:ilvl w:val="0"/>
          <w:numId w:val="5"/>
        </w:numPr>
        <w:jc w:val="both"/>
        <w:rPr>
          <w:sz w:val="22"/>
          <w:szCs w:val="22"/>
        </w:rPr>
      </w:pPr>
      <w:r w:rsidRPr="00AA5E6D">
        <w:rPr>
          <w:sz w:val="22"/>
          <w:szCs w:val="22"/>
        </w:rPr>
        <w:t>A small number of named ‘de-delegated’ funds are still permitted for maintained schools. The decisions on the holding of ‘de-delegated’ funds will continue to be made by the Schools Forum on a phase by phase basis. Once these decisions are taken, they apply to all schools within each phase. Please see paragraph 6 for more information. De-delegation is not an option for academies and free schools, but where de-delegation has been agreed for maintained primary and secondary schools, the local authority may offer the service on a buy-back basis to academies and free schools.</w:t>
      </w:r>
    </w:p>
    <w:p w:rsidR="00AA5E6D" w:rsidRDefault="00AA5E6D" w:rsidP="00AA5E6D">
      <w:pPr>
        <w:pStyle w:val="ListParagraph"/>
        <w:rPr>
          <w:sz w:val="22"/>
          <w:szCs w:val="22"/>
        </w:rPr>
      </w:pPr>
    </w:p>
    <w:p w:rsidR="00A82907" w:rsidRPr="00AA5E6D" w:rsidRDefault="00A82907" w:rsidP="00DA0C74">
      <w:pPr>
        <w:numPr>
          <w:ilvl w:val="0"/>
          <w:numId w:val="5"/>
        </w:numPr>
        <w:jc w:val="both"/>
        <w:rPr>
          <w:sz w:val="22"/>
          <w:szCs w:val="22"/>
        </w:rPr>
      </w:pPr>
      <w:r w:rsidRPr="00AA5E6D">
        <w:rPr>
          <w:sz w:val="22"/>
          <w:szCs w:val="22"/>
        </w:rPr>
        <w:t>A small number of named ‘contingencies’ are also still permitted. Please see paragraph 7. Funding for expanding schools and academies and bulge classes, as well as safeguarded salaries remaining from previous re-organisations, will continue to be funded as contingency items.</w:t>
      </w:r>
    </w:p>
    <w:p w:rsidR="00A43B77" w:rsidRPr="00912448" w:rsidRDefault="00A43B77" w:rsidP="00A43B77">
      <w:pPr>
        <w:ind w:left="360"/>
        <w:jc w:val="both"/>
        <w:rPr>
          <w:sz w:val="22"/>
          <w:szCs w:val="22"/>
        </w:rPr>
      </w:pPr>
    </w:p>
    <w:p w:rsidR="00A82907" w:rsidRPr="007B42A1" w:rsidRDefault="00A82907" w:rsidP="00DA0C74">
      <w:pPr>
        <w:numPr>
          <w:ilvl w:val="0"/>
          <w:numId w:val="5"/>
        </w:numPr>
        <w:jc w:val="both"/>
        <w:rPr>
          <w:sz w:val="22"/>
          <w:szCs w:val="22"/>
        </w:rPr>
      </w:pPr>
      <w:r w:rsidRPr="00E52502">
        <w:rPr>
          <w:sz w:val="22"/>
          <w:szCs w:val="22"/>
        </w:rPr>
        <w:t>The 2014/15 framework for the funding of High Needs pupils continues. A High Needs pupil is still defined, for financial purposes, as one whose education costs more than £10,000 per year. The first elements of funding for High Needs pupils continue to be already delegated within budget shares. A top up is then allocated separately, on a monthly basis, for the cost of additional support above the £6,000 threshold. A ‘notional’ SEN budget will still be defined within budget shares. The Authority can still employ the ‘SEN Funding Floor’, which supports the costs in schools and academies with higher levels of SEN but where the normal funding formulae does not allocate sufficient resources. Schools and academies with resourced provisions will continue to have their number of funded places removed from their number of pupils funded under the primary or secondary formula;</w:t>
      </w:r>
      <w:r>
        <w:rPr>
          <w:sz w:val="22"/>
          <w:szCs w:val="22"/>
        </w:rPr>
        <w:t xml:space="preserve"> for 2015/16 the number of 2014/</w:t>
      </w:r>
      <w:r w:rsidRPr="00E52502">
        <w:rPr>
          <w:sz w:val="22"/>
          <w:szCs w:val="22"/>
        </w:rPr>
        <w:t xml:space="preserve">15 academic </w:t>
      </w:r>
      <w:r w:rsidRPr="007B42A1">
        <w:rPr>
          <w:sz w:val="22"/>
          <w:szCs w:val="22"/>
        </w:rPr>
        <w:t xml:space="preserve">year funded places will be deducted from the school’s number on roll in October 2014. The SEN Reference Group is currently considering proposals for increasing the value of the SEN Funding Floor in 2015/16. Consultation on this, and possibly other smaller changes, will be included in the separate High Needs Block consultation document, which will be published </w:t>
      </w:r>
      <w:r>
        <w:rPr>
          <w:sz w:val="22"/>
          <w:szCs w:val="22"/>
        </w:rPr>
        <w:t>at the end of October</w:t>
      </w:r>
      <w:r w:rsidRPr="007B42A1">
        <w:rPr>
          <w:sz w:val="22"/>
          <w:szCs w:val="22"/>
        </w:rPr>
        <w:t>.</w:t>
      </w:r>
    </w:p>
    <w:p w:rsidR="00A82907" w:rsidRPr="007B42A1" w:rsidRDefault="00A82907" w:rsidP="00DA0C74">
      <w:pPr>
        <w:jc w:val="both"/>
        <w:rPr>
          <w:sz w:val="22"/>
          <w:szCs w:val="22"/>
        </w:rPr>
      </w:pPr>
    </w:p>
    <w:p w:rsidR="00A82907" w:rsidRPr="005D019D" w:rsidRDefault="00A82907" w:rsidP="00DA0C74">
      <w:pPr>
        <w:numPr>
          <w:ilvl w:val="0"/>
          <w:numId w:val="5"/>
        </w:numPr>
        <w:jc w:val="both"/>
        <w:rPr>
          <w:sz w:val="22"/>
          <w:szCs w:val="22"/>
        </w:rPr>
      </w:pPr>
      <w:r w:rsidRPr="007B42A1">
        <w:rPr>
          <w:sz w:val="22"/>
          <w:szCs w:val="22"/>
        </w:rPr>
        <w:t xml:space="preserve">The Pupil Premium is set to continue in 2015/16 </w:t>
      </w:r>
      <w:r>
        <w:rPr>
          <w:sz w:val="22"/>
          <w:szCs w:val="22"/>
        </w:rPr>
        <w:t xml:space="preserve">still </w:t>
      </w:r>
      <w:r w:rsidRPr="007B42A1">
        <w:rPr>
          <w:sz w:val="22"/>
          <w:szCs w:val="22"/>
        </w:rPr>
        <w:t>as a separate grant allocation to schools and academies. We anticipate that this grant will continue to be based on Ever 6 FSM numbers, Ever 4 Service Children, Looked After Children and Children Adopted from Care. Unlike form</w:t>
      </w:r>
      <w:r>
        <w:rPr>
          <w:sz w:val="22"/>
          <w:szCs w:val="22"/>
        </w:rPr>
        <w:t>ula funding, the Pupil Premium G</w:t>
      </w:r>
      <w:r w:rsidRPr="007B42A1">
        <w:rPr>
          <w:sz w:val="22"/>
          <w:szCs w:val="22"/>
        </w:rPr>
        <w:t xml:space="preserve">rant is allocated on January </w:t>
      </w:r>
      <w:r>
        <w:rPr>
          <w:sz w:val="22"/>
          <w:szCs w:val="22"/>
        </w:rPr>
        <w:t xml:space="preserve">Census </w:t>
      </w:r>
      <w:r w:rsidRPr="007B42A1">
        <w:rPr>
          <w:sz w:val="22"/>
          <w:szCs w:val="22"/>
        </w:rPr>
        <w:t xml:space="preserve">pupil numbers. The Pupil Premium is currently set at £1,300 for primary-aged and £935 for secondary-aged pupils eligible under the ever-6 FSM criteria. Children who are looked after or </w:t>
      </w:r>
      <w:r w:rsidRPr="005D019D">
        <w:rPr>
          <w:sz w:val="22"/>
          <w:szCs w:val="22"/>
        </w:rPr>
        <w:t xml:space="preserve">adopted from care (since 2005) currently are allocated £1,900, and service children are allocated £300. The Pupil Premium rates for 2015/16 have not yet been confirmed, but the </w:t>
      </w:r>
      <w:proofErr w:type="spellStart"/>
      <w:r w:rsidRPr="005D019D">
        <w:rPr>
          <w:sz w:val="22"/>
          <w:szCs w:val="22"/>
        </w:rPr>
        <w:t>DfE</w:t>
      </w:r>
      <w:proofErr w:type="spellEnd"/>
      <w:r w:rsidRPr="005D019D">
        <w:rPr>
          <w:sz w:val="22"/>
          <w:szCs w:val="22"/>
        </w:rPr>
        <w:t xml:space="preserve"> has previously advised that the Pupil Premium will grow in real terms in 2015/16.</w:t>
      </w:r>
    </w:p>
    <w:p w:rsidR="00A82907" w:rsidRPr="005D019D" w:rsidRDefault="00A82907" w:rsidP="00DA0C74">
      <w:pPr>
        <w:jc w:val="both"/>
        <w:rPr>
          <w:sz w:val="22"/>
          <w:szCs w:val="22"/>
        </w:rPr>
      </w:pPr>
    </w:p>
    <w:p w:rsidR="00A82907" w:rsidRPr="005D019D" w:rsidRDefault="00A82907" w:rsidP="00DA0C74">
      <w:pPr>
        <w:numPr>
          <w:ilvl w:val="0"/>
          <w:numId w:val="5"/>
        </w:numPr>
        <w:jc w:val="both"/>
        <w:rPr>
          <w:sz w:val="22"/>
          <w:szCs w:val="22"/>
        </w:rPr>
      </w:pPr>
      <w:r w:rsidRPr="005D019D">
        <w:rPr>
          <w:sz w:val="22"/>
          <w:szCs w:val="22"/>
        </w:rPr>
        <w:t>Allocations for academies and free school</w:t>
      </w:r>
      <w:r>
        <w:rPr>
          <w:sz w:val="22"/>
          <w:szCs w:val="22"/>
        </w:rPr>
        <w:t>s will continue to be paid directly</w:t>
      </w:r>
      <w:r w:rsidRPr="005D019D">
        <w:rPr>
          <w:sz w:val="22"/>
          <w:szCs w:val="22"/>
        </w:rPr>
        <w:t xml:space="preserve"> by the EFA. The EFA will use the pro-forma submitted by the Authority to ca</w:t>
      </w:r>
      <w:r>
        <w:rPr>
          <w:sz w:val="22"/>
          <w:szCs w:val="22"/>
        </w:rPr>
        <w:t>lculate individual allocations.</w:t>
      </w:r>
    </w:p>
    <w:p w:rsidR="00A82907" w:rsidRDefault="00A82907" w:rsidP="008D29D4">
      <w:pPr>
        <w:jc w:val="both"/>
        <w:rPr>
          <w:b/>
          <w:bCs/>
          <w:sz w:val="22"/>
          <w:szCs w:val="22"/>
        </w:rPr>
      </w:pPr>
    </w:p>
    <w:p w:rsidR="00A82907" w:rsidRDefault="00A82907" w:rsidP="008D29D4">
      <w:pPr>
        <w:jc w:val="both"/>
        <w:rPr>
          <w:b/>
          <w:bCs/>
          <w:sz w:val="22"/>
          <w:szCs w:val="22"/>
        </w:rPr>
      </w:pPr>
    </w:p>
    <w:p w:rsidR="00A82907" w:rsidRPr="009C476A" w:rsidRDefault="00A82907" w:rsidP="008D29D4">
      <w:pPr>
        <w:jc w:val="both"/>
        <w:rPr>
          <w:sz w:val="22"/>
          <w:szCs w:val="22"/>
        </w:rPr>
      </w:pPr>
      <w:r>
        <w:rPr>
          <w:b/>
          <w:bCs/>
          <w:sz w:val="22"/>
          <w:szCs w:val="22"/>
        </w:rPr>
        <w:t>3</w:t>
      </w:r>
      <w:r w:rsidRPr="00B35C7A">
        <w:rPr>
          <w:b/>
          <w:bCs/>
          <w:sz w:val="22"/>
          <w:szCs w:val="22"/>
        </w:rPr>
        <w:t xml:space="preserve">. </w:t>
      </w:r>
      <w:r w:rsidRPr="00B35C7A">
        <w:rPr>
          <w:b/>
          <w:bCs/>
          <w:sz w:val="22"/>
          <w:szCs w:val="22"/>
        </w:rPr>
        <w:tab/>
      </w:r>
      <w:r>
        <w:rPr>
          <w:b/>
          <w:bCs/>
          <w:sz w:val="22"/>
          <w:szCs w:val="22"/>
        </w:rPr>
        <w:t>Summary of our 2014/15</w:t>
      </w:r>
      <w:r w:rsidRPr="00B35C7A">
        <w:rPr>
          <w:b/>
          <w:bCs/>
          <w:sz w:val="22"/>
          <w:szCs w:val="22"/>
        </w:rPr>
        <w:t xml:space="preserve"> Primary &amp; Secondary Funding Formulae</w:t>
      </w:r>
    </w:p>
    <w:p w:rsidR="00A82907" w:rsidRDefault="00A82907" w:rsidP="008D29D4">
      <w:pPr>
        <w:jc w:val="both"/>
        <w:rPr>
          <w:b/>
          <w:bCs/>
          <w:sz w:val="22"/>
          <w:szCs w:val="22"/>
        </w:rPr>
      </w:pPr>
    </w:p>
    <w:p w:rsidR="00A82907" w:rsidRDefault="00A82907" w:rsidP="008D29D4">
      <w:pPr>
        <w:jc w:val="both"/>
        <w:rPr>
          <w:sz w:val="22"/>
          <w:szCs w:val="22"/>
        </w:rPr>
      </w:pPr>
      <w:r>
        <w:rPr>
          <w:sz w:val="22"/>
          <w:szCs w:val="22"/>
        </w:rPr>
        <w:t xml:space="preserve">3.1 The table below summarises the formula factors that have been used in 2014/15 to calculate primary and secondary delegated budgets and the values of these factors. Individual budget statements, published in March 2014, give more details of the calculation (and qualifying criteria) of each factor. The pro-forma shown in </w:t>
      </w:r>
      <w:r w:rsidRPr="00802520">
        <w:rPr>
          <w:sz w:val="22"/>
          <w:szCs w:val="22"/>
        </w:rPr>
        <w:t>Appendix 2 also</w:t>
      </w:r>
      <w:r>
        <w:rPr>
          <w:sz w:val="22"/>
          <w:szCs w:val="22"/>
        </w:rPr>
        <w:t xml:space="preserve"> provides further information.</w:t>
      </w:r>
    </w:p>
    <w:p w:rsidR="00A82907" w:rsidRDefault="00A82907" w:rsidP="008D29D4">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2722"/>
        <w:gridCol w:w="2722"/>
      </w:tblGrid>
      <w:tr w:rsidR="00A82907" w:rsidRPr="00771054">
        <w:trPr>
          <w:trHeight w:val="599"/>
          <w:jc w:val="center"/>
        </w:trPr>
        <w:tc>
          <w:tcPr>
            <w:tcW w:w="4223" w:type="dxa"/>
          </w:tcPr>
          <w:p w:rsidR="00A82907" w:rsidRPr="005B1B64" w:rsidRDefault="00A82907" w:rsidP="005B1B64">
            <w:pPr>
              <w:jc w:val="both"/>
              <w:rPr>
                <w:b/>
                <w:bCs/>
                <w:sz w:val="22"/>
                <w:szCs w:val="22"/>
              </w:rPr>
            </w:pPr>
            <w:r w:rsidRPr="005B1B64">
              <w:rPr>
                <w:b/>
                <w:bCs/>
                <w:sz w:val="22"/>
                <w:szCs w:val="22"/>
              </w:rPr>
              <w:t>Formula Factor</w:t>
            </w:r>
          </w:p>
        </w:tc>
        <w:tc>
          <w:tcPr>
            <w:tcW w:w="2722" w:type="dxa"/>
          </w:tcPr>
          <w:p w:rsidR="00A82907" w:rsidRPr="005B1B64" w:rsidRDefault="00A82907" w:rsidP="005B1B64">
            <w:pPr>
              <w:jc w:val="right"/>
              <w:rPr>
                <w:b/>
                <w:bCs/>
                <w:sz w:val="22"/>
                <w:szCs w:val="22"/>
              </w:rPr>
            </w:pPr>
            <w:r w:rsidRPr="005B1B64">
              <w:rPr>
                <w:b/>
                <w:bCs/>
                <w:sz w:val="22"/>
                <w:szCs w:val="22"/>
              </w:rPr>
              <w:t>Primary Unit Value £</w:t>
            </w:r>
          </w:p>
          <w:p w:rsidR="00A82907" w:rsidRPr="005B1B64" w:rsidRDefault="00A82907" w:rsidP="005B1B64">
            <w:pPr>
              <w:jc w:val="right"/>
              <w:rPr>
                <w:b/>
                <w:bCs/>
                <w:sz w:val="22"/>
                <w:szCs w:val="22"/>
              </w:rPr>
            </w:pPr>
            <w:r w:rsidRPr="005B1B64">
              <w:rPr>
                <w:b/>
                <w:bCs/>
                <w:sz w:val="22"/>
                <w:szCs w:val="22"/>
              </w:rPr>
              <w:t>(2014/15)</w:t>
            </w:r>
          </w:p>
        </w:tc>
        <w:tc>
          <w:tcPr>
            <w:tcW w:w="2722" w:type="dxa"/>
          </w:tcPr>
          <w:p w:rsidR="00A82907" w:rsidRPr="005B1B64" w:rsidRDefault="00A82907" w:rsidP="005B1B64">
            <w:pPr>
              <w:jc w:val="right"/>
              <w:rPr>
                <w:b/>
                <w:bCs/>
                <w:sz w:val="22"/>
                <w:szCs w:val="22"/>
              </w:rPr>
            </w:pPr>
            <w:r w:rsidRPr="005B1B64">
              <w:rPr>
                <w:b/>
                <w:bCs/>
                <w:sz w:val="22"/>
                <w:szCs w:val="22"/>
              </w:rPr>
              <w:t>Secondary Unit Value £</w:t>
            </w:r>
          </w:p>
          <w:p w:rsidR="00A82907" w:rsidRPr="005B1B64" w:rsidRDefault="00A82907" w:rsidP="005B1B64">
            <w:pPr>
              <w:jc w:val="right"/>
              <w:rPr>
                <w:b/>
                <w:bCs/>
                <w:sz w:val="22"/>
                <w:szCs w:val="22"/>
              </w:rPr>
            </w:pPr>
            <w:r w:rsidRPr="005B1B64">
              <w:rPr>
                <w:b/>
                <w:bCs/>
                <w:sz w:val="22"/>
                <w:szCs w:val="22"/>
              </w:rPr>
              <w:t>(2014/15)</w:t>
            </w:r>
          </w:p>
        </w:tc>
      </w:tr>
      <w:tr w:rsidR="00A82907" w:rsidRPr="00771054">
        <w:trPr>
          <w:trHeight w:val="168"/>
          <w:jc w:val="center"/>
        </w:trPr>
        <w:tc>
          <w:tcPr>
            <w:tcW w:w="4223" w:type="dxa"/>
          </w:tcPr>
          <w:p w:rsidR="00A82907" w:rsidRPr="005B1B64" w:rsidRDefault="00A82907" w:rsidP="005B1B64">
            <w:pPr>
              <w:jc w:val="both"/>
              <w:rPr>
                <w:sz w:val="22"/>
                <w:szCs w:val="22"/>
              </w:rPr>
            </w:pPr>
            <w:r w:rsidRPr="005B1B64">
              <w:rPr>
                <w:sz w:val="22"/>
                <w:szCs w:val="22"/>
              </w:rPr>
              <w:t>Base Amount per Pupil – Primary</w:t>
            </w:r>
          </w:p>
          <w:p w:rsidR="00A82907" w:rsidRPr="00AA5E6D" w:rsidRDefault="00A82907" w:rsidP="005B1B64">
            <w:pPr>
              <w:jc w:val="both"/>
              <w:rPr>
                <w:i/>
                <w:iCs/>
              </w:rPr>
            </w:pPr>
            <w:r w:rsidRPr="00AA5E6D">
              <w:rPr>
                <w:i/>
                <w:iCs/>
              </w:rPr>
              <w:t>(* includes £67.11 one-off funding)</w:t>
            </w:r>
          </w:p>
        </w:tc>
        <w:tc>
          <w:tcPr>
            <w:tcW w:w="2722" w:type="dxa"/>
          </w:tcPr>
          <w:p w:rsidR="00A82907" w:rsidRPr="005B1B64" w:rsidRDefault="00A82907" w:rsidP="005B1B64">
            <w:pPr>
              <w:jc w:val="right"/>
              <w:rPr>
                <w:sz w:val="22"/>
                <w:szCs w:val="22"/>
              </w:rPr>
            </w:pPr>
            <w:r w:rsidRPr="005B1B64">
              <w:rPr>
                <w:sz w:val="22"/>
                <w:szCs w:val="22"/>
              </w:rPr>
              <w:t>2,945.04*</w:t>
            </w:r>
          </w:p>
        </w:tc>
        <w:tc>
          <w:tcPr>
            <w:tcW w:w="2722" w:type="dxa"/>
          </w:tcPr>
          <w:p w:rsidR="00A82907" w:rsidRPr="005B1B64" w:rsidRDefault="00A82907" w:rsidP="005B1B64">
            <w:pPr>
              <w:jc w:val="right"/>
              <w:rPr>
                <w:sz w:val="22"/>
                <w:szCs w:val="22"/>
              </w:rPr>
            </w:pPr>
            <w:r w:rsidRPr="005B1B64">
              <w:rPr>
                <w:sz w:val="22"/>
                <w:szCs w:val="22"/>
              </w:rPr>
              <w:t>N/A</w:t>
            </w:r>
          </w:p>
        </w:tc>
      </w:tr>
      <w:tr w:rsidR="00A82907" w:rsidRPr="00771054">
        <w:trPr>
          <w:jc w:val="center"/>
        </w:trPr>
        <w:tc>
          <w:tcPr>
            <w:tcW w:w="4223" w:type="dxa"/>
          </w:tcPr>
          <w:p w:rsidR="00A82907" w:rsidRPr="005B1B64" w:rsidRDefault="00A82907" w:rsidP="005B1B64">
            <w:pPr>
              <w:jc w:val="both"/>
              <w:rPr>
                <w:sz w:val="22"/>
                <w:szCs w:val="22"/>
              </w:rPr>
            </w:pPr>
            <w:r w:rsidRPr="005B1B64">
              <w:rPr>
                <w:sz w:val="22"/>
                <w:szCs w:val="22"/>
              </w:rPr>
              <w:t>Base Amount per Pupil - Key Stage 3</w:t>
            </w:r>
          </w:p>
        </w:tc>
        <w:tc>
          <w:tcPr>
            <w:tcW w:w="2722" w:type="dxa"/>
          </w:tcPr>
          <w:p w:rsidR="00A82907" w:rsidRPr="005B1B64" w:rsidRDefault="00A82907" w:rsidP="005B1B64">
            <w:pPr>
              <w:jc w:val="right"/>
              <w:rPr>
                <w:sz w:val="22"/>
                <w:szCs w:val="22"/>
              </w:rPr>
            </w:pPr>
            <w:r w:rsidRPr="005B1B64">
              <w:rPr>
                <w:sz w:val="22"/>
                <w:szCs w:val="22"/>
              </w:rPr>
              <w:t>N/A</w:t>
            </w:r>
          </w:p>
        </w:tc>
        <w:tc>
          <w:tcPr>
            <w:tcW w:w="2722" w:type="dxa"/>
          </w:tcPr>
          <w:p w:rsidR="00A82907" w:rsidRPr="005B1B64" w:rsidRDefault="00A82907" w:rsidP="005B1B64">
            <w:pPr>
              <w:jc w:val="right"/>
              <w:rPr>
                <w:sz w:val="22"/>
                <w:szCs w:val="22"/>
              </w:rPr>
            </w:pPr>
            <w:r w:rsidRPr="005B1B64">
              <w:rPr>
                <w:sz w:val="22"/>
                <w:szCs w:val="22"/>
              </w:rPr>
              <w:t>4,161.90</w:t>
            </w:r>
          </w:p>
        </w:tc>
      </w:tr>
      <w:tr w:rsidR="00A82907" w:rsidRPr="00771054">
        <w:trPr>
          <w:jc w:val="center"/>
        </w:trPr>
        <w:tc>
          <w:tcPr>
            <w:tcW w:w="4223" w:type="dxa"/>
          </w:tcPr>
          <w:p w:rsidR="00A82907" w:rsidRPr="005B1B64" w:rsidRDefault="00A82907" w:rsidP="005B1B64">
            <w:pPr>
              <w:jc w:val="both"/>
              <w:rPr>
                <w:b/>
                <w:bCs/>
                <w:sz w:val="22"/>
                <w:szCs w:val="22"/>
              </w:rPr>
            </w:pPr>
            <w:r w:rsidRPr="005B1B64">
              <w:rPr>
                <w:sz w:val="22"/>
                <w:szCs w:val="22"/>
              </w:rPr>
              <w:t>Base Amount per Pupil - Key Stage 4</w:t>
            </w:r>
          </w:p>
        </w:tc>
        <w:tc>
          <w:tcPr>
            <w:tcW w:w="2722" w:type="dxa"/>
          </w:tcPr>
          <w:p w:rsidR="00A82907" w:rsidRPr="005B1B64" w:rsidRDefault="00A82907" w:rsidP="005B1B64">
            <w:pPr>
              <w:jc w:val="right"/>
              <w:rPr>
                <w:sz w:val="22"/>
                <w:szCs w:val="22"/>
              </w:rPr>
            </w:pPr>
            <w:r w:rsidRPr="005B1B64">
              <w:rPr>
                <w:sz w:val="22"/>
                <w:szCs w:val="22"/>
              </w:rPr>
              <w:t>N/A</w:t>
            </w:r>
          </w:p>
        </w:tc>
        <w:tc>
          <w:tcPr>
            <w:tcW w:w="2722" w:type="dxa"/>
          </w:tcPr>
          <w:p w:rsidR="00A82907" w:rsidRPr="005B1B64" w:rsidRDefault="00A82907" w:rsidP="005B1B64">
            <w:pPr>
              <w:jc w:val="right"/>
              <w:rPr>
                <w:sz w:val="22"/>
                <w:szCs w:val="22"/>
              </w:rPr>
            </w:pPr>
            <w:r w:rsidRPr="005B1B64">
              <w:rPr>
                <w:sz w:val="22"/>
                <w:szCs w:val="22"/>
              </w:rPr>
              <w:t>4,280.50</w:t>
            </w:r>
          </w:p>
        </w:tc>
      </w:tr>
      <w:tr w:rsidR="00A82907" w:rsidRPr="00771054">
        <w:trPr>
          <w:jc w:val="center"/>
        </w:trPr>
        <w:tc>
          <w:tcPr>
            <w:tcW w:w="4223" w:type="dxa"/>
          </w:tcPr>
          <w:p w:rsidR="00A82907" w:rsidRPr="005B1B64" w:rsidRDefault="00A82907" w:rsidP="005B1B64">
            <w:pPr>
              <w:jc w:val="both"/>
              <w:rPr>
                <w:sz w:val="22"/>
                <w:szCs w:val="22"/>
              </w:rPr>
            </w:pPr>
            <w:r w:rsidRPr="005B1B64">
              <w:rPr>
                <w:sz w:val="22"/>
                <w:szCs w:val="22"/>
              </w:rPr>
              <w:t>Deprivation - Ever 6 FSM</w:t>
            </w:r>
          </w:p>
        </w:tc>
        <w:tc>
          <w:tcPr>
            <w:tcW w:w="2722" w:type="dxa"/>
          </w:tcPr>
          <w:p w:rsidR="00A82907" w:rsidRPr="005B1B64" w:rsidRDefault="00A82907" w:rsidP="005B1B64">
            <w:pPr>
              <w:jc w:val="right"/>
              <w:rPr>
                <w:sz w:val="22"/>
                <w:szCs w:val="22"/>
              </w:rPr>
            </w:pPr>
            <w:r w:rsidRPr="005B1B64">
              <w:rPr>
                <w:sz w:val="22"/>
                <w:szCs w:val="22"/>
              </w:rPr>
              <w:t>1,030.06</w:t>
            </w:r>
          </w:p>
        </w:tc>
        <w:tc>
          <w:tcPr>
            <w:tcW w:w="2722" w:type="dxa"/>
          </w:tcPr>
          <w:p w:rsidR="00A82907" w:rsidRPr="005B1B64" w:rsidRDefault="00A82907" w:rsidP="005B1B64">
            <w:pPr>
              <w:jc w:val="right"/>
              <w:rPr>
                <w:sz w:val="22"/>
                <w:szCs w:val="22"/>
              </w:rPr>
            </w:pPr>
            <w:r w:rsidRPr="005B1B64">
              <w:rPr>
                <w:sz w:val="22"/>
                <w:szCs w:val="22"/>
              </w:rPr>
              <w:t>968.03</w:t>
            </w:r>
          </w:p>
        </w:tc>
      </w:tr>
      <w:tr w:rsidR="00A82907" w:rsidRPr="00771054">
        <w:trPr>
          <w:jc w:val="center"/>
        </w:trPr>
        <w:tc>
          <w:tcPr>
            <w:tcW w:w="4223" w:type="dxa"/>
          </w:tcPr>
          <w:p w:rsidR="00A82907" w:rsidRPr="005B1B64" w:rsidRDefault="00A82907" w:rsidP="005B1B64">
            <w:pPr>
              <w:jc w:val="both"/>
              <w:rPr>
                <w:sz w:val="22"/>
                <w:szCs w:val="22"/>
              </w:rPr>
            </w:pPr>
            <w:r w:rsidRPr="005B1B64">
              <w:rPr>
                <w:sz w:val="22"/>
                <w:szCs w:val="22"/>
              </w:rPr>
              <w:t>Deprivation IDACI - Band 1</w:t>
            </w:r>
          </w:p>
        </w:tc>
        <w:tc>
          <w:tcPr>
            <w:tcW w:w="2722" w:type="dxa"/>
          </w:tcPr>
          <w:p w:rsidR="00A82907" w:rsidRPr="005B1B64" w:rsidRDefault="00A82907" w:rsidP="005B1B64">
            <w:pPr>
              <w:jc w:val="right"/>
              <w:rPr>
                <w:sz w:val="22"/>
                <w:szCs w:val="22"/>
              </w:rPr>
            </w:pPr>
            <w:r w:rsidRPr="005B1B64">
              <w:rPr>
                <w:sz w:val="22"/>
                <w:szCs w:val="22"/>
              </w:rPr>
              <w:t>305.69</w:t>
            </w:r>
          </w:p>
        </w:tc>
        <w:tc>
          <w:tcPr>
            <w:tcW w:w="2722" w:type="dxa"/>
          </w:tcPr>
          <w:p w:rsidR="00A82907" w:rsidRPr="005B1B64" w:rsidRDefault="00A82907" w:rsidP="005B1B64">
            <w:pPr>
              <w:jc w:val="right"/>
              <w:rPr>
                <w:sz w:val="22"/>
                <w:szCs w:val="22"/>
              </w:rPr>
            </w:pPr>
            <w:r w:rsidRPr="005B1B64">
              <w:rPr>
                <w:sz w:val="22"/>
                <w:szCs w:val="22"/>
              </w:rPr>
              <w:t>395.85</w:t>
            </w:r>
          </w:p>
        </w:tc>
      </w:tr>
      <w:tr w:rsidR="00A82907" w:rsidRPr="00771054">
        <w:trPr>
          <w:jc w:val="center"/>
        </w:trPr>
        <w:tc>
          <w:tcPr>
            <w:tcW w:w="4223" w:type="dxa"/>
          </w:tcPr>
          <w:p w:rsidR="00A82907" w:rsidRPr="005B1B64" w:rsidRDefault="00A82907" w:rsidP="005B1B64">
            <w:pPr>
              <w:jc w:val="both"/>
              <w:rPr>
                <w:b/>
                <w:bCs/>
                <w:sz w:val="22"/>
                <w:szCs w:val="22"/>
              </w:rPr>
            </w:pPr>
            <w:r w:rsidRPr="005B1B64">
              <w:rPr>
                <w:sz w:val="22"/>
                <w:szCs w:val="22"/>
              </w:rPr>
              <w:t>Deprivation IDACI - Band 2</w:t>
            </w:r>
          </w:p>
        </w:tc>
        <w:tc>
          <w:tcPr>
            <w:tcW w:w="2722" w:type="dxa"/>
          </w:tcPr>
          <w:p w:rsidR="00A82907" w:rsidRPr="005B1B64" w:rsidRDefault="00A82907" w:rsidP="005B1B64">
            <w:pPr>
              <w:jc w:val="right"/>
              <w:rPr>
                <w:sz w:val="22"/>
                <w:szCs w:val="22"/>
              </w:rPr>
            </w:pPr>
            <w:r w:rsidRPr="005B1B64">
              <w:rPr>
                <w:sz w:val="22"/>
                <w:szCs w:val="22"/>
              </w:rPr>
              <w:t>382.11</w:t>
            </w:r>
          </w:p>
        </w:tc>
        <w:tc>
          <w:tcPr>
            <w:tcW w:w="2722" w:type="dxa"/>
          </w:tcPr>
          <w:p w:rsidR="00A82907" w:rsidRPr="005B1B64" w:rsidRDefault="00A82907" w:rsidP="005B1B64">
            <w:pPr>
              <w:jc w:val="right"/>
              <w:rPr>
                <w:sz w:val="22"/>
                <w:szCs w:val="22"/>
              </w:rPr>
            </w:pPr>
            <w:r w:rsidRPr="005B1B64">
              <w:rPr>
                <w:sz w:val="22"/>
                <w:szCs w:val="22"/>
              </w:rPr>
              <w:t>494.81</w:t>
            </w:r>
          </w:p>
        </w:tc>
      </w:tr>
      <w:tr w:rsidR="00A82907" w:rsidRPr="00771054">
        <w:trPr>
          <w:jc w:val="center"/>
        </w:trPr>
        <w:tc>
          <w:tcPr>
            <w:tcW w:w="4223" w:type="dxa"/>
          </w:tcPr>
          <w:p w:rsidR="00A82907" w:rsidRPr="005B1B64" w:rsidRDefault="00A82907" w:rsidP="005B1B64">
            <w:pPr>
              <w:jc w:val="both"/>
              <w:rPr>
                <w:b/>
                <w:bCs/>
                <w:sz w:val="22"/>
                <w:szCs w:val="22"/>
              </w:rPr>
            </w:pPr>
            <w:r w:rsidRPr="005B1B64">
              <w:rPr>
                <w:sz w:val="22"/>
                <w:szCs w:val="22"/>
              </w:rPr>
              <w:t>Deprivation IDACI - Band 3</w:t>
            </w:r>
          </w:p>
        </w:tc>
        <w:tc>
          <w:tcPr>
            <w:tcW w:w="2722" w:type="dxa"/>
          </w:tcPr>
          <w:p w:rsidR="00A82907" w:rsidRPr="005B1B64" w:rsidRDefault="00A82907" w:rsidP="005B1B64">
            <w:pPr>
              <w:jc w:val="right"/>
              <w:rPr>
                <w:sz w:val="22"/>
                <w:szCs w:val="22"/>
              </w:rPr>
            </w:pPr>
            <w:r w:rsidRPr="005B1B64">
              <w:rPr>
                <w:sz w:val="22"/>
                <w:szCs w:val="22"/>
              </w:rPr>
              <w:t>458.53</w:t>
            </w:r>
          </w:p>
        </w:tc>
        <w:tc>
          <w:tcPr>
            <w:tcW w:w="2722" w:type="dxa"/>
          </w:tcPr>
          <w:p w:rsidR="00A82907" w:rsidRPr="005B1B64" w:rsidRDefault="00A82907" w:rsidP="005B1B64">
            <w:pPr>
              <w:jc w:val="right"/>
              <w:rPr>
                <w:sz w:val="22"/>
                <w:szCs w:val="22"/>
              </w:rPr>
            </w:pPr>
            <w:r w:rsidRPr="005B1B64">
              <w:rPr>
                <w:sz w:val="22"/>
                <w:szCs w:val="22"/>
              </w:rPr>
              <w:t>593.77</w:t>
            </w:r>
          </w:p>
        </w:tc>
      </w:tr>
      <w:tr w:rsidR="00A82907" w:rsidRPr="00771054">
        <w:trPr>
          <w:jc w:val="center"/>
        </w:trPr>
        <w:tc>
          <w:tcPr>
            <w:tcW w:w="4223" w:type="dxa"/>
          </w:tcPr>
          <w:p w:rsidR="00A82907" w:rsidRPr="005B1B64" w:rsidRDefault="00A82907" w:rsidP="005B1B64">
            <w:pPr>
              <w:jc w:val="both"/>
              <w:rPr>
                <w:b/>
                <w:bCs/>
                <w:sz w:val="22"/>
                <w:szCs w:val="22"/>
              </w:rPr>
            </w:pPr>
            <w:r w:rsidRPr="005B1B64">
              <w:rPr>
                <w:sz w:val="22"/>
                <w:szCs w:val="22"/>
              </w:rPr>
              <w:t>Deprivation IDACI - Band 4</w:t>
            </w:r>
          </w:p>
        </w:tc>
        <w:tc>
          <w:tcPr>
            <w:tcW w:w="2722" w:type="dxa"/>
          </w:tcPr>
          <w:p w:rsidR="00A82907" w:rsidRPr="005B1B64" w:rsidRDefault="00A82907" w:rsidP="005B1B64">
            <w:pPr>
              <w:jc w:val="right"/>
              <w:rPr>
                <w:sz w:val="22"/>
                <w:szCs w:val="22"/>
              </w:rPr>
            </w:pPr>
            <w:r w:rsidRPr="005B1B64">
              <w:rPr>
                <w:sz w:val="22"/>
                <w:szCs w:val="22"/>
              </w:rPr>
              <w:t>534.95</w:t>
            </w:r>
          </w:p>
        </w:tc>
        <w:tc>
          <w:tcPr>
            <w:tcW w:w="2722" w:type="dxa"/>
          </w:tcPr>
          <w:p w:rsidR="00A82907" w:rsidRPr="005B1B64" w:rsidRDefault="00A82907" w:rsidP="005B1B64">
            <w:pPr>
              <w:jc w:val="right"/>
              <w:rPr>
                <w:sz w:val="22"/>
                <w:szCs w:val="22"/>
              </w:rPr>
            </w:pPr>
            <w:r w:rsidRPr="005B1B64">
              <w:rPr>
                <w:sz w:val="22"/>
                <w:szCs w:val="22"/>
              </w:rPr>
              <w:t>692.74</w:t>
            </w:r>
          </w:p>
        </w:tc>
      </w:tr>
      <w:tr w:rsidR="00A82907" w:rsidRPr="00771054">
        <w:trPr>
          <w:jc w:val="center"/>
        </w:trPr>
        <w:tc>
          <w:tcPr>
            <w:tcW w:w="4223" w:type="dxa"/>
          </w:tcPr>
          <w:p w:rsidR="00A82907" w:rsidRPr="005B1B64" w:rsidRDefault="00A82907" w:rsidP="005B1B64">
            <w:pPr>
              <w:jc w:val="both"/>
              <w:rPr>
                <w:sz w:val="22"/>
                <w:szCs w:val="22"/>
              </w:rPr>
            </w:pPr>
            <w:r w:rsidRPr="005B1B64">
              <w:rPr>
                <w:sz w:val="22"/>
                <w:szCs w:val="22"/>
              </w:rPr>
              <w:t>Deprivation IDACI - Band 5</w:t>
            </w:r>
          </w:p>
        </w:tc>
        <w:tc>
          <w:tcPr>
            <w:tcW w:w="2722" w:type="dxa"/>
          </w:tcPr>
          <w:p w:rsidR="00A82907" w:rsidRPr="005B1B64" w:rsidRDefault="00A82907" w:rsidP="005B1B64">
            <w:pPr>
              <w:jc w:val="right"/>
              <w:rPr>
                <w:sz w:val="22"/>
                <w:szCs w:val="22"/>
              </w:rPr>
            </w:pPr>
            <w:r w:rsidRPr="005B1B64">
              <w:rPr>
                <w:sz w:val="22"/>
                <w:szCs w:val="22"/>
              </w:rPr>
              <w:t>687.80</w:t>
            </w:r>
          </w:p>
        </w:tc>
        <w:tc>
          <w:tcPr>
            <w:tcW w:w="2722" w:type="dxa"/>
          </w:tcPr>
          <w:p w:rsidR="00A82907" w:rsidRPr="005B1B64" w:rsidRDefault="00A82907" w:rsidP="005B1B64">
            <w:pPr>
              <w:jc w:val="right"/>
              <w:rPr>
                <w:sz w:val="22"/>
                <w:szCs w:val="22"/>
              </w:rPr>
            </w:pPr>
            <w:r w:rsidRPr="005B1B64">
              <w:rPr>
                <w:sz w:val="22"/>
                <w:szCs w:val="22"/>
              </w:rPr>
              <w:t>890.66</w:t>
            </w:r>
          </w:p>
        </w:tc>
      </w:tr>
      <w:tr w:rsidR="00A82907" w:rsidRPr="00771054">
        <w:trPr>
          <w:jc w:val="center"/>
        </w:trPr>
        <w:tc>
          <w:tcPr>
            <w:tcW w:w="4223" w:type="dxa"/>
          </w:tcPr>
          <w:p w:rsidR="00A82907" w:rsidRPr="005B1B64" w:rsidRDefault="00A82907" w:rsidP="005B1B64">
            <w:pPr>
              <w:jc w:val="both"/>
              <w:rPr>
                <w:b/>
                <w:bCs/>
                <w:sz w:val="22"/>
                <w:szCs w:val="22"/>
              </w:rPr>
            </w:pPr>
            <w:r w:rsidRPr="005B1B64">
              <w:rPr>
                <w:sz w:val="22"/>
                <w:szCs w:val="22"/>
              </w:rPr>
              <w:t>Deprivation IDACI - Band 6</w:t>
            </w:r>
          </w:p>
        </w:tc>
        <w:tc>
          <w:tcPr>
            <w:tcW w:w="2722" w:type="dxa"/>
          </w:tcPr>
          <w:p w:rsidR="00A82907" w:rsidRPr="005B1B64" w:rsidRDefault="00A82907" w:rsidP="005B1B64">
            <w:pPr>
              <w:jc w:val="right"/>
              <w:rPr>
                <w:sz w:val="22"/>
                <w:szCs w:val="22"/>
              </w:rPr>
            </w:pPr>
            <w:r w:rsidRPr="005B1B64">
              <w:rPr>
                <w:sz w:val="22"/>
                <w:szCs w:val="22"/>
              </w:rPr>
              <w:t>840.64</w:t>
            </w:r>
          </w:p>
        </w:tc>
        <w:tc>
          <w:tcPr>
            <w:tcW w:w="2722" w:type="dxa"/>
          </w:tcPr>
          <w:p w:rsidR="00A82907" w:rsidRPr="005B1B64" w:rsidRDefault="00A82907" w:rsidP="005B1B64">
            <w:pPr>
              <w:jc w:val="right"/>
              <w:rPr>
                <w:sz w:val="22"/>
                <w:szCs w:val="22"/>
              </w:rPr>
            </w:pPr>
            <w:r w:rsidRPr="005B1B64">
              <w:rPr>
                <w:sz w:val="22"/>
                <w:szCs w:val="22"/>
              </w:rPr>
              <w:t>1,088.58</w:t>
            </w:r>
          </w:p>
        </w:tc>
      </w:tr>
      <w:tr w:rsidR="00A82907" w:rsidRPr="00771054">
        <w:trPr>
          <w:jc w:val="center"/>
        </w:trPr>
        <w:tc>
          <w:tcPr>
            <w:tcW w:w="4223" w:type="dxa"/>
          </w:tcPr>
          <w:p w:rsidR="00A82907" w:rsidRPr="005B1B64" w:rsidRDefault="00A82907" w:rsidP="005B1B64">
            <w:pPr>
              <w:jc w:val="both"/>
              <w:rPr>
                <w:sz w:val="22"/>
                <w:szCs w:val="22"/>
              </w:rPr>
            </w:pPr>
            <w:r w:rsidRPr="005B1B64">
              <w:rPr>
                <w:sz w:val="22"/>
                <w:szCs w:val="22"/>
              </w:rPr>
              <w:t>SEN Low Prior Attainment</w:t>
            </w:r>
          </w:p>
        </w:tc>
        <w:tc>
          <w:tcPr>
            <w:tcW w:w="2722" w:type="dxa"/>
          </w:tcPr>
          <w:p w:rsidR="00A82907" w:rsidRPr="005B1B64" w:rsidRDefault="00A82907" w:rsidP="005B1B64">
            <w:pPr>
              <w:jc w:val="right"/>
              <w:rPr>
                <w:sz w:val="22"/>
                <w:szCs w:val="22"/>
              </w:rPr>
            </w:pPr>
            <w:r w:rsidRPr="005B1B64">
              <w:rPr>
                <w:sz w:val="22"/>
                <w:szCs w:val="22"/>
              </w:rPr>
              <w:t>242.46</w:t>
            </w:r>
          </w:p>
        </w:tc>
        <w:tc>
          <w:tcPr>
            <w:tcW w:w="2722" w:type="dxa"/>
          </w:tcPr>
          <w:p w:rsidR="00A82907" w:rsidRPr="005B1B64" w:rsidRDefault="00A82907" w:rsidP="005B1B64">
            <w:pPr>
              <w:jc w:val="right"/>
              <w:rPr>
                <w:sz w:val="22"/>
                <w:szCs w:val="22"/>
              </w:rPr>
            </w:pPr>
            <w:r w:rsidRPr="005B1B64">
              <w:rPr>
                <w:sz w:val="22"/>
                <w:szCs w:val="22"/>
              </w:rPr>
              <w:t>509.65</w:t>
            </w:r>
          </w:p>
        </w:tc>
      </w:tr>
      <w:tr w:rsidR="00A82907" w:rsidRPr="00771054">
        <w:trPr>
          <w:jc w:val="center"/>
        </w:trPr>
        <w:tc>
          <w:tcPr>
            <w:tcW w:w="4223" w:type="dxa"/>
          </w:tcPr>
          <w:p w:rsidR="00A82907" w:rsidRPr="005B1B64" w:rsidRDefault="00A82907" w:rsidP="005B1B64">
            <w:pPr>
              <w:jc w:val="both"/>
              <w:rPr>
                <w:sz w:val="22"/>
                <w:szCs w:val="22"/>
              </w:rPr>
            </w:pPr>
            <w:r w:rsidRPr="005B1B64">
              <w:rPr>
                <w:sz w:val="22"/>
                <w:szCs w:val="22"/>
              </w:rPr>
              <w:t>English as an Additional Language</w:t>
            </w:r>
          </w:p>
        </w:tc>
        <w:tc>
          <w:tcPr>
            <w:tcW w:w="2722" w:type="dxa"/>
          </w:tcPr>
          <w:p w:rsidR="00A82907" w:rsidRPr="005B1B64" w:rsidRDefault="00A82907" w:rsidP="005B1B64">
            <w:pPr>
              <w:jc w:val="right"/>
              <w:rPr>
                <w:sz w:val="22"/>
                <w:szCs w:val="22"/>
              </w:rPr>
            </w:pPr>
            <w:r w:rsidRPr="005B1B64">
              <w:rPr>
                <w:sz w:val="22"/>
                <w:szCs w:val="22"/>
              </w:rPr>
              <w:t>165.49</w:t>
            </w:r>
          </w:p>
        </w:tc>
        <w:tc>
          <w:tcPr>
            <w:tcW w:w="2722" w:type="dxa"/>
          </w:tcPr>
          <w:p w:rsidR="00A82907" w:rsidRPr="005B1B64" w:rsidRDefault="00A82907" w:rsidP="005B1B64">
            <w:pPr>
              <w:jc w:val="right"/>
              <w:rPr>
                <w:sz w:val="22"/>
                <w:szCs w:val="22"/>
              </w:rPr>
            </w:pPr>
            <w:r w:rsidRPr="005B1B64">
              <w:rPr>
                <w:sz w:val="22"/>
                <w:szCs w:val="22"/>
              </w:rPr>
              <w:t>1,273.02</w:t>
            </w:r>
          </w:p>
        </w:tc>
      </w:tr>
      <w:tr w:rsidR="00A82907" w:rsidRPr="00771054">
        <w:trPr>
          <w:jc w:val="center"/>
        </w:trPr>
        <w:tc>
          <w:tcPr>
            <w:tcW w:w="4223" w:type="dxa"/>
          </w:tcPr>
          <w:p w:rsidR="00A82907" w:rsidRPr="005B1B64" w:rsidRDefault="00A82907" w:rsidP="005B1B64">
            <w:pPr>
              <w:jc w:val="both"/>
              <w:rPr>
                <w:sz w:val="22"/>
                <w:szCs w:val="22"/>
              </w:rPr>
            </w:pPr>
            <w:r w:rsidRPr="005B1B64">
              <w:rPr>
                <w:sz w:val="22"/>
                <w:szCs w:val="22"/>
              </w:rPr>
              <w:t>Pupil Mobility</w:t>
            </w:r>
          </w:p>
        </w:tc>
        <w:tc>
          <w:tcPr>
            <w:tcW w:w="2722" w:type="dxa"/>
          </w:tcPr>
          <w:p w:rsidR="00A82907" w:rsidRPr="005B1B64" w:rsidRDefault="00A82907" w:rsidP="005B1B64">
            <w:pPr>
              <w:jc w:val="right"/>
              <w:rPr>
                <w:sz w:val="22"/>
                <w:szCs w:val="22"/>
              </w:rPr>
            </w:pPr>
            <w:r w:rsidRPr="005B1B64">
              <w:rPr>
                <w:sz w:val="22"/>
                <w:szCs w:val="22"/>
              </w:rPr>
              <w:t>1,313.08</w:t>
            </w:r>
          </w:p>
        </w:tc>
        <w:tc>
          <w:tcPr>
            <w:tcW w:w="2722" w:type="dxa"/>
          </w:tcPr>
          <w:p w:rsidR="00A82907" w:rsidRPr="005B1B64" w:rsidRDefault="00A82907" w:rsidP="005B1B64">
            <w:pPr>
              <w:jc w:val="right"/>
              <w:rPr>
                <w:sz w:val="22"/>
                <w:szCs w:val="22"/>
              </w:rPr>
            </w:pPr>
            <w:r w:rsidRPr="005B1B64">
              <w:rPr>
                <w:sz w:val="22"/>
                <w:szCs w:val="22"/>
              </w:rPr>
              <w:t>1,925.59</w:t>
            </w:r>
          </w:p>
        </w:tc>
      </w:tr>
      <w:tr w:rsidR="00A82907" w:rsidRPr="00771054">
        <w:trPr>
          <w:jc w:val="center"/>
        </w:trPr>
        <w:tc>
          <w:tcPr>
            <w:tcW w:w="4223" w:type="dxa"/>
          </w:tcPr>
          <w:p w:rsidR="00A82907" w:rsidRPr="005B1B64" w:rsidRDefault="00A82907" w:rsidP="005B1B64">
            <w:pPr>
              <w:jc w:val="both"/>
              <w:rPr>
                <w:sz w:val="22"/>
                <w:szCs w:val="22"/>
              </w:rPr>
            </w:pPr>
            <w:r w:rsidRPr="005B1B64">
              <w:rPr>
                <w:sz w:val="22"/>
                <w:szCs w:val="22"/>
              </w:rPr>
              <w:t>Lump Sum per school / academy</w:t>
            </w:r>
          </w:p>
        </w:tc>
        <w:tc>
          <w:tcPr>
            <w:tcW w:w="2722" w:type="dxa"/>
          </w:tcPr>
          <w:p w:rsidR="00A82907" w:rsidRPr="005B1B64" w:rsidRDefault="00A82907" w:rsidP="005B1B64">
            <w:pPr>
              <w:jc w:val="right"/>
              <w:rPr>
                <w:sz w:val="22"/>
                <w:szCs w:val="22"/>
              </w:rPr>
            </w:pPr>
            <w:r w:rsidRPr="005B1B64">
              <w:rPr>
                <w:sz w:val="22"/>
                <w:szCs w:val="22"/>
              </w:rPr>
              <w:t>175,000.00</w:t>
            </w:r>
          </w:p>
        </w:tc>
        <w:tc>
          <w:tcPr>
            <w:tcW w:w="2722" w:type="dxa"/>
          </w:tcPr>
          <w:p w:rsidR="00A82907" w:rsidRPr="005B1B64" w:rsidRDefault="00A82907" w:rsidP="005B1B64">
            <w:pPr>
              <w:jc w:val="right"/>
              <w:rPr>
                <w:sz w:val="22"/>
                <w:szCs w:val="22"/>
              </w:rPr>
            </w:pPr>
            <w:r w:rsidRPr="005B1B64">
              <w:rPr>
                <w:sz w:val="22"/>
                <w:szCs w:val="22"/>
              </w:rPr>
              <w:t>175,000.00</w:t>
            </w:r>
          </w:p>
        </w:tc>
      </w:tr>
      <w:tr w:rsidR="00A82907" w:rsidRPr="00771054">
        <w:trPr>
          <w:jc w:val="center"/>
        </w:trPr>
        <w:tc>
          <w:tcPr>
            <w:tcW w:w="4223" w:type="dxa"/>
          </w:tcPr>
          <w:p w:rsidR="00A82907" w:rsidRPr="005B1B64" w:rsidRDefault="00A82907" w:rsidP="005B1B64">
            <w:pPr>
              <w:jc w:val="both"/>
              <w:rPr>
                <w:sz w:val="22"/>
                <w:szCs w:val="22"/>
              </w:rPr>
            </w:pPr>
            <w:r w:rsidRPr="005B1B64">
              <w:rPr>
                <w:sz w:val="22"/>
                <w:szCs w:val="22"/>
              </w:rPr>
              <w:t>Split Sites</w:t>
            </w:r>
          </w:p>
        </w:tc>
        <w:tc>
          <w:tcPr>
            <w:tcW w:w="2722" w:type="dxa"/>
          </w:tcPr>
          <w:p w:rsidR="00A82907" w:rsidRPr="005B1B64" w:rsidRDefault="00A82907" w:rsidP="005F779A">
            <w:pPr>
              <w:jc w:val="right"/>
              <w:rPr>
                <w:sz w:val="22"/>
                <w:szCs w:val="22"/>
              </w:rPr>
            </w:pPr>
            <w:r w:rsidRPr="005B1B64">
              <w:rPr>
                <w:sz w:val="22"/>
                <w:szCs w:val="22"/>
              </w:rPr>
              <w:t xml:space="preserve">Funded on LA formula </w:t>
            </w:r>
            <w:r w:rsidR="00B05E15" w:rsidRPr="00AA5E6D">
              <w:rPr>
                <w:i/>
                <w:iCs/>
                <w:sz w:val="18"/>
                <w:szCs w:val="18"/>
              </w:rPr>
              <w:t xml:space="preserve">(see paragraph </w:t>
            </w:r>
            <w:r w:rsidR="005F779A" w:rsidRPr="00AA5E6D">
              <w:rPr>
                <w:i/>
                <w:iCs/>
                <w:sz w:val="18"/>
                <w:szCs w:val="18"/>
              </w:rPr>
              <w:t>4</w:t>
            </w:r>
            <w:r w:rsidR="00145FE1" w:rsidRPr="00AA5E6D">
              <w:rPr>
                <w:i/>
                <w:iCs/>
                <w:sz w:val="18"/>
                <w:szCs w:val="18"/>
              </w:rPr>
              <w:t>.5</w:t>
            </w:r>
            <w:r w:rsidRPr="00AA5E6D">
              <w:rPr>
                <w:i/>
                <w:iCs/>
                <w:sz w:val="18"/>
                <w:szCs w:val="18"/>
              </w:rPr>
              <w:t>)</w:t>
            </w:r>
          </w:p>
        </w:tc>
        <w:tc>
          <w:tcPr>
            <w:tcW w:w="2722" w:type="dxa"/>
          </w:tcPr>
          <w:p w:rsidR="00A82907" w:rsidRPr="005B1B64" w:rsidRDefault="00A82907" w:rsidP="005B1B64">
            <w:pPr>
              <w:jc w:val="right"/>
              <w:rPr>
                <w:sz w:val="22"/>
                <w:szCs w:val="22"/>
              </w:rPr>
            </w:pPr>
            <w:r w:rsidRPr="005B1B64">
              <w:rPr>
                <w:sz w:val="22"/>
                <w:szCs w:val="22"/>
              </w:rPr>
              <w:t>Funded on LA formula</w:t>
            </w:r>
          </w:p>
          <w:p w:rsidR="00A82907" w:rsidRPr="00AA5E6D" w:rsidRDefault="005F779A" w:rsidP="00B05E15">
            <w:pPr>
              <w:jc w:val="right"/>
              <w:rPr>
                <w:i/>
                <w:iCs/>
                <w:sz w:val="18"/>
                <w:szCs w:val="18"/>
              </w:rPr>
            </w:pPr>
            <w:r w:rsidRPr="00AA5E6D">
              <w:rPr>
                <w:i/>
                <w:iCs/>
                <w:sz w:val="18"/>
                <w:szCs w:val="18"/>
              </w:rPr>
              <w:t>(see paragraph 4</w:t>
            </w:r>
            <w:r w:rsidR="00A82907" w:rsidRPr="00AA5E6D">
              <w:rPr>
                <w:i/>
                <w:iCs/>
                <w:sz w:val="18"/>
                <w:szCs w:val="18"/>
              </w:rPr>
              <w:t>.</w:t>
            </w:r>
            <w:r w:rsidR="00145FE1" w:rsidRPr="00AA5E6D">
              <w:rPr>
                <w:i/>
                <w:iCs/>
                <w:sz w:val="18"/>
                <w:szCs w:val="18"/>
              </w:rPr>
              <w:t>5</w:t>
            </w:r>
            <w:r w:rsidR="00A82907" w:rsidRPr="00AA5E6D">
              <w:rPr>
                <w:i/>
                <w:iCs/>
                <w:sz w:val="18"/>
                <w:szCs w:val="18"/>
              </w:rPr>
              <w:t>)</w:t>
            </w:r>
          </w:p>
        </w:tc>
      </w:tr>
      <w:tr w:rsidR="00A82907" w:rsidRPr="00771054">
        <w:trPr>
          <w:jc w:val="center"/>
        </w:trPr>
        <w:tc>
          <w:tcPr>
            <w:tcW w:w="4223" w:type="dxa"/>
          </w:tcPr>
          <w:p w:rsidR="00A82907" w:rsidRPr="005B1B64" w:rsidRDefault="00A82907" w:rsidP="005B1B64">
            <w:pPr>
              <w:jc w:val="both"/>
              <w:rPr>
                <w:sz w:val="22"/>
                <w:szCs w:val="22"/>
              </w:rPr>
            </w:pPr>
            <w:r w:rsidRPr="005B1B64">
              <w:rPr>
                <w:sz w:val="22"/>
                <w:szCs w:val="22"/>
              </w:rPr>
              <w:t>Rates</w:t>
            </w:r>
          </w:p>
        </w:tc>
        <w:tc>
          <w:tcPr>
            <w:tcW w:w="2722" w:type="dxa"/>
          </w:tcPr>
          <w:p w:rsidR="00A82907" w:rsidRPr="005B1B64" w:rsidRDefault="00A82907" w:rsidP="005B1B64">
            <w:pPr>
              <w:jc w:val="right"/>
              <w:rPr>
                <w:sz w:val="22"/>
                <w:szCs w:val="22"/>
              </w:rPr>
            </w:pPr>
            <w:r w:rsidRPr="005B1B64">
              <w:rPr>
                <w:sz w:val="22"/>
                <w:szCs w:val="22"/>
              </w:rPr>
              <w:t>Funded at actual cost</w:t>
            </w:r>
          </w:p>
        </w:tc>
        <w:tc>
          <w:tcPr>
            <w:tcW w:w="2722" w:type="dxa"/>
          </w:tcPr>
          <w:p w:rsidR="00A82907" w:rsidRPr="005B1B64" w:rsidRDefault="00A82907" w:rsidP="005B1B64">
            <w:pPr>
              <w:jc w:val="right"/>
              <w:rPr>
                <w:sz w:val="22"/>
                <w:szCs w:val="22"/>
              </w:rPr>
            </w:pPr>
            <w:r w:rsidRPr="005B1B64">
              <w:rPr>
                <w:sz w:val="22"/>
                <w:szCs w:val="22"/>
              </w:rPr>
              <w:t>Funded at actual cost</w:t>
            </w:r>
          </w:p>
        </w:tc>
      </w:tr>
      <w:tr w:rsidR="00A82907" w:rsidRPr="00771054">
        <w:trPr>
          <w:jc w:val="center"/>
        </w:trPr>
        <w:tc>
          <w:tcPr>
            <w:tcW w:w="4223" w:type="dxa"/>
          </w:tcPr>
          <w:p w:rsidR="00A82907" w:rsidRPr="005B1B64" w:rsidRDefault="00A82907" w:rsidP="005B1B64">
            <w:pPr>
              <w:jc w:val="both"/>
              <w:rPr>
                <w:sz w:val="22"/>
                <w:szCs w:val="22"/>
              </w:rPr>
            </w:pPr>
            <w:r w:rsidRPr="005B1B64">
              <w:rPr>
                <w:sz w:val="22"/>
                <w:szCs w:val="22"/>
              </w:rPr>
              <w:t>Private Finance Initiative (PFI) contracts</w:t>
            </w:r>
          </w:p>
        </w:tc>
        <w:tc>
          <w:tcPr>
            <w:tcW w:w="2722" w:type="dxa"/>
          </w:tcPr>
          <w:p w:rsidR="00A82907" w:rsidRPr="005B1B64" w:rsidRDefault="00A82907" w:rsidP="005B1B64">
            <w:pPr>
              <w:jc w:val="right"/>
              <w:rPr>
                <w:sz w:val="22"/>
                <w:szCs w:val="22"/>
              </w:rPr>
            </w:pPr>
            <w:r w:rsidRPr="005B1B64">
              <w:rPr>
                <w:sz w:val="22"/>
                <w:szCs w:val="22"/>
              </w:rPr>
              <w:t>Funded on LA formula</w:t>
            </w:r>
          </w:p>
          <w:p w:rsidR="00A82907" w:rsidRPr="00AA5E6D" w:rsidRDefault="00A82907" w:rsidP="005F779A">
            <w:pPr>
              <w:jc w:val="right"/>
              <w:rPr>
                <w:i/>
                <w:iCs/>
                <w:sz w:val="18"/>
                <w:szCs w:val="18"/>
              </w:rPr>
            </w:pPr>
            <w:r w:rsidRPr="00AA5E6D">
              <w:rPr>
                <w:i/>
                <w:iCs/>
                <w:sz w:val="18"/>
                <w:szCs w:val="18"/>
              </w:rPr>
              <w:t xml:space="preserve">(see paragraph </w:t>
            </w:r>
            <w:r w:rsidR="005F779A" w:rsidRPr="00AA5E6D">
              <w:rPr>
                <w:i/>
                <w:iCs/>
                <w:sz w:val="18"/>
                <w:szCs w:val="18"/>
              </w:rPr>
              <w:t>4</w:t>
            </w:r>
            <w:r w:rsidRPr="00AA5E6D">
              <w:rPr>
                <w:i/>
                <w:iCs/>
                <w:sz w:val="18"/>
                <w:szCs w:val="18"/>
              </w:rPr>
              <w:t>.</w:t>
            </w:r>
            <w:r w:rsidR="00145FE1" w:rsidRPr="00AA5E6D">
              <w:rPr>
                <w:i/>
                <w:iCs/>
                <w:sz w:val="18"/>
                <w:szCs w:val="18"/>
              </w:rPr>
              <w:t>6</w:t>
            </w:r>
            <w:r w:rsidRPr="00AA5E6D">
              <w:rPr>
                <w:i/>
                <w:iCs/>
                <w:sz w:val="18"/>
                <w:szCs w:val="18"/>
              </w:rPr>
              <w:t>)</w:t>
            </w:r>
          </w:p>
        </w:tc>
        <w:tc>
          <w:tcPr>
            <w:tcW w:w="2722" w:type="dxa"/>
          </w:tcPr>
          <w:p w:rsidR="00A82907" w:rsidRPr="005B1B64" w:rsidRDefault="00A82907" w:rsidP="005B1B64">
            <w:pPr>
              <w:jc w:val="right"/>
              <w:rPr>
                <w:sz w:val="22"/>
                <w:szCs w:val="22"/>
              </w:rPr>
            </w:pPr>
            <w:r w:rsidRPr="005B1B64">
              <w:rPr>
                <w:sz w:val="22"/>
                <w:szCs w:val="22"/>
              </w:rPr>
              <w:t>Funded on LA formula</w:t>
            </w:r>
          </w:p>
          <w:p w:rsidR="00A82907" w:rsidRPr="00AA5E6D" w:rsidRDefault="00A82907" w:rsidP="005F779A">
            <w:pPr>
              <w:jc w:val="right"/>
              <w:rPr>
                <w:i/>
                <w:iCs/>
                <w:sz w:val="18"/>
                <w:szCs w:val="18"/>
              </w:rPr>
            </w:pPr>
            <w:r w:rsidRPr="00AA5E6D">
              <w:rPr>
                <w:i/>
                <w:iCs/>
                <w:sz w:val="18"/>
                <w:szCs w:val="18"/>
              </w:rPr>
              <w:t xml:space="preserve">(see paragraph </w:t>
            </w:r>
            <w:r w:rsidR="005F779A" w:rsidRPr="00AA5E6D">
              <w:rPr>
                <w:i/>
                <w:iCs/>
                <w:sz w:val="18"/>
                <w:szCs w:val="18"/>
              </w:rPr>
              <w:t>4</w:t>
            </w:r>
            <w:r w:rsidRPr="00AA5E6D">
              <w:rPr>
                <w:i/>
                <w:iCs/>
                <w:sz w:val="18"/>
                <w:szCs w:val="18"/>
              </w:rPr>
              <w:t>.</w:t>
            </w:r>
            <w:r w:rsidR="00145FE1" w:rsidRPr="00AA5E6D">
              <w:rPr>
                <w:i/>
                <w:iCs/>
                <w:sz w:val="18"/>
                <w:szCs w:val="18"/>
              </w:rPr>
              <w:t>6</w:t>
            </w:r>
            <w:r w:rsidRPr="00AA5E6D">
              <w:rPr>
                <w:i/>
                <w:iCs/>
                <w:sz w:val="18"/>
                <w:szCs w:val="18"/>
              </w:rPr>
              <w:t>)</w:t>
            </w:r>
          </w:p>
        </w:tc>
      </w:tr>
    </w:tbl>
    <w:p w:rsidR="00A82907" w:rsidRPr="00894BC8" w:rsidRDefault="00A82907" w:rsidP="008D29D4">
      <w:pPr>
        <w:jc w:val="both"/>
        <w:rPr>
          <w:i/>
          <w:sz w:val="22"/>
          <w:szCs w:val="22"/>
        </w:rPr>
      </w:pPr>
      <w:r>
        <w:rPr>
          <w:sz w:val="22"/>
          <w:szCs w:val="22"/>
        </w:rPr>
        <w:t>3.2 Colleagues are reminded that, in managing the changes that were required in formula funding arrangements at 1 April 2013, our agreed aim w</w:t>
      </w:r>
      <w:r w:rsidRPr="00F94667">
        <w:rPr>
          <w:sz w:val="22"/>
          <w:szCs w:val="22"/>
        </w:rPr>
        <w:t>as to replicate our pre-April 2013 formula approach as closely as possible. This was in recognition of the robustness of our formula as it was then currently</w:t>
      </w:r>
      <w:r>
        <w:rPr>
          <w:sz w:val="22"/>
          <w:szCs w:val="22"/>
        </w:rPr>
        <w:t xml:space="preserve"> applied. The Schools Forum</w:t>
      </w:r>
      <w:r w:rsidRPr="00F94667">
        <w:rPr>
          <w:sz w:val="22"/>
          <w:szCs w:val="22"/>
        </w:rPr>
        <w:t xml:space="preserve"> adopted the principle of ‘ringfencing’ of phase’s budgets i.e. not to increase or decrease the total amount of per pupil DSG spend on each phase at the expense of the other. </w:t>
      </w:r>
      <w:r>
        <w:rPr>
          <w:sz w:val="22"/>
          <w:szCs w:val="22"/>
        </w:rPr>
        <w:t>This is the main reason</w:t>
      </w:r>
      <w:r w:rsidRPr="00F94667">
        <w:rPr>
          <w:sz w:val="22"/>
          <w:szCs w:val="22"/>
        </w:rPr>
        <w:t xml:space="preserve"> for the differences in values of factors between the phases shown in the table above</w:t>
      </w:r>
      <w:r w:rsidR="00951F00">
        <w:rPr>
          <w:sz w:val="22"/>
          <w:szCs w:val="22"/>
        </w:rPr>
        <w:t xml:space="preserve">. </w:t>
      </w:r>
      <w:r w:rsidR="00951F00" w:rsidRPr="00894BC8">
        <w:rPr>
          <w:i/>
          <w:sz w:val="22"/>
          <w:szCs w:val="22"/>
        </w:rPr>
        <w:t xml:space="preserve">As mentioned in the introduction, the FFWG and Schools Forum </w:t>
      </w:r>
      <w:r w:rsidR="00894BC8" w:rsidRPr="00894BC8">
        <w:rPr>
          <w:i/>
          <w:sz w:val="22"/>
          <w:szCs w:val="22"/>
        </w:rPr>
        <w:t>plan</w:t>
      </w:r>
      <w:r w:rsidR="00951F00" w:rsidRPr="00894BC8">
        <w:rPr>
          <w:i/>
          <w:sz w:val="22"/>
          <w:szCs w:val="22"/>
        </w:rPr>
        <w:t xml:space="preserve"> to review the funding ratio between the primary and secondary phases during the autumn term and so the distribution of funding between phases may change for the 2015/16 financial year.</w:t>
      </w:r>
    </w:p>
    <w:p w:rsidR="00A82907" w:rsidRDefault="00A82907" w:rsidP="008D29D4">
      <w:pPr>
        <w:jc w:val="both"/>
        <w:rPr>
          <w:sz w:val="22"/>
          <w:szCs w:val="22"/>
        </w:rPr>
      </w:pPr>
    </w:p>
    <w:p w:rsidR="00A82907" w:rsidRDefault="00A82907" w:rsidP="008D29D4">
      <w:pPr>
        <w:jc w:val="both"/>
        <w:rPr>
          <w:sz w:val="22"/>
          <w:szCs w:val="22"/>
        </w:rPr>
      </w:pPr>
      <w:r>
        <w:rPr>
          <w:sz w:val="22"/>
          <w:szCs w:val="22"/>
        </w:rPr>
        <w:t>3.3</w:t>
      </w:r>
      <w:r w:rsidRPr="007F3703">
        <w:rPr>
          <w:sz w:val="22"/>
          <w:szCs w:val="22"/>
        </w:rPr>
        <w:t xml:space="preserve"> </w:t>
      </w:r>
      <w:r>
        <w:rPr>
          <w:sz w:val="22"/>
          <w:szCs w:val="22"/>
        </w:rPr>
        <w:t>In continuing arrangements for 2014/</w:t>
      </w:r>
      <w:r w:rsidRPr="00A60811">
        <w:rPr>
          <w:sz w:val="22"/>
          <w:szCs w:val="22"/>
        </w:rPr>
        <w:t>15</w:t>
      </w:r>
      <w:r>
        <w:rPr>
          <w:sz w:val="22"/>
          <w:szCs w:val="22"/>
        </w:rPr>
        <w:t>, the aim of the Schools Forum</w:t>
      </w:r>
      <w:r w:rsidRPr="00A60811">
        <w:rPr>
          <w:sz w:val="22"/>
          <w:szCs w:val="22"/>
        </w:rPr>
        <w:t xml:space="preserve"> was to seek</w:t>
      </w:r>
      <w:r>
        <w:rPr>
          <w:sz w:val="22"/>
          <w:szCs w:val="22"/>
        </w:rPr>
        <w:t xml:space="preserve"> to achieve as much continuity on 2013/14 as possible, recognising that </w:t>
      </w:r>
      <w:r w:rsidRPr="00F94667">
        <w:rPr>
          <w:sz w:val="22"/>
          <w:szCs w:val="22"/>
        </w:rPr>
        <w:t>significant changes</w:t>
      </w:r>
      <w:r>
        <w:rPr>
          <w:sz w:val="22"/>
          <w:szCs w:val="22"/>
        </w:rPr>
        <w:t xml:space="preserve"> had been implemented in </w:t>
      </w:r>
      <w:r w:rsidRPr="00F94667">
        <w:rPr>
          <w:sz w:val="22"/>
          <w:szCs w:val="22"/>
        </w:rPr>
        <w:t>2013/14</w:t>
      </w:r>
      <w:r>
        <w:rPr>
          <w:sz w:val="22"/>
          <w:szCs w:val="22"/>
        </w:rPr>
        <w:t xml:space="preserve"> and should be allowed to bed in, but also being aware that further wholesale change was expected with the introduction of the national formula at 1 April 2015; a formula that we are not able to predict. A national formula will not now be implemented in 2015/16, but may be in 2016/17, and we still do not have sound information on which to predict its direction of travel. As a result, we find ourselves in the same position as we were in last year, in seeking to determine a funding formula that may (or may not) be overridden in a year’s time by a new approach, where we cannot sensibly predict what this new approach will be and how this might affect the distribution of formula funding between schools and academies.</w:t>
      </w:r>
    </w:p>
    <w:p w:rsidR="00A82907" w:rsidRDefault="00A82907" w:rsidP="003D685F">
      <w:pPr>
        <w:jc w:val="both"/>
        <w:rPr>
          <w:sz w:val="22"/>
          <w:szCs w:val="22"/>
        </w:rPr>
      </w:pPr>
    </w:p>
    <w:p w:rsidR="00A82907" w:rsidRPr="009367CD" w:rsidRDefault="00A82907" w:rsidP="003D685F">
      <w:pPr>
        <w:jc w:val="both"/>
        <w:rPr>
          <w:sz w:val="22"/>
          <w:szCs w:val="22"/>
        </w:rPr>
      </w:pPr>
      <w:r>
        <w:rPr>
          <w:sz w:val="22"/>
          <w:szCs w:val="22"/>
        </w:rPr>
        <w:t>3.4 The Government does not require local authorities to make changes to</w:t>
      </w:r>
      <w:r w:rsidRPr="009367CD">
        <w:rPr>
          <w:sz w:val="22"/>
          <w:szCs w:val="22"/>
        </w:rPr>
        <w:t xml:space="preserve"> </w:t>
      </w:r>
      <w:r>
        <w:rPr>
          <w:sz w:val="22"/>
          <w:szCs w:val="22"/>
        </w:rPr>
        <w:t>their formulae factors</w:t>
      </w:r>
      <w:r w:rsidRPr="009367CD">
        <w:rPr>
          <w:sz w:val="22"/>
          <w:szCs w:val="22"/>
        </w:rPr>
        <w:t xml:space="preserve"> or th</w:t>
      </w:r>
      <w:r>
        <w:rPr>
          <w:sz w:val="22"/>
          <w:szCs w:val="22"/>
        </w:rPr>
        <w:t>e operation of these factors in</w:t>
      </w:r>
      <w:r w:rsidRPr="009367CD">
        <w:rPr>
          <w:sz w:val="22"/>
          <w:szCs w:val="22"/>
        </w:rPr>
        <w:t xml:space="preserve"> 2015/16</w:t>
      </w:r>
      <w:r>
        <w:rPr>
          <w:sz w:val="22"/>
          <w:szCs w:val="22"/>
        </w:rPr>
        <w:t xml:space="preserve"> other than to the sparsity factor</w:t>
      </w:r>
      <w:r w:rsidRPr="009367CD">
        <w:rPr>
          <w:sz w:val="22"/>
          <w:szCs w:val="22"/>
        </w:rPr>
        <w:t xml:space="preserve">. </w:t>
      </w:r>
      <w:r>
        <w:rPr>
          <w:sz w:val="22"/>
          <w:szCs w:val="22"/>
        </w:rPr>
        <w:t>However this</w:t>
      </w:r>
      <w:r w:rsidRPr="009367CD">
        <w:rPr>
          <w:sz w:val="22"/>
          <w:szCs w:val="22"/>
        </w:rPr>
        <w:t xml:space="preserve"> factor is not relevant to the Bradford District as no </w:t>
      </w:r>
      <w:r>
        <w:rPr>
          <w:sz w:val="22"/>
          <w:szCs w:val="22"/>
        </w:rPr>
        <w:t>school or academy is eligible for it</w:t>
      </w:r>
      <w:r w:rsidRPr="009367CD">
        <w:rPr>
          <w:sz w:val="22"/>
          <w:szCs w:val="22"/>
        </w:rPr>
        <w:t xml:space="preserve">. </w:t>
      </w:r>
    </w:p>
    <w:p w:rsidR="00A82907" w:rsidRDefault="00A82907" w:rsidP="008D29D4">
      <w:pPr>
        <w:jc w:val="both"/>
        <w:rPr>
          <w:sz w:val="22"/>
          <w:szCs w:val="22"/>
        </w:rPr>
      </w:pPr>
    </w:p>
    <w:p w:rsidR="00A82907" w:rsidRPr="00B05E15" w:rsidRDefault="00A82907" w:rsidP="008D29D4">
      <w:pPr>
        <w:jc w:val="both"/>
        <w:rPr>
          <w:sz w:val="22"/>
          <w:szCs w:val="22"/>
        </w:rPr>
      </w:pPr>
      <w:r>
        <w:rPr>
          <w:sz w:val="22"/>
          <w:szCs w:val="22"/>
        </w:rPr>
        <w:t xml:space="preserve">3.5 Although the Schools Forum will consider further the values of formula factors, and this may alter the distribution of funding, in setting the structure of the funding formula itself (the types of factors and how these are used), it does not make much sense to make significant changes at this stage, </w:t>
      </w:r>
      <w:r w:rsidRPr="00DA65B0">
        <w:rPr>
          <w:sz w:val="22"/>
          <w:szCs w:val="22"/>
        </w:rPr>
        <w:t xml:space="preserve">especially when our assessment is that this structure continues to calculate delegated budgets in a sound and transparent </w:t>
      </w:r>
      <w:r>
        <w:rPr>
          <w:sz w:val="22"/>
          <w:szCs w:val="22"/>
        </w:rPr>
        <w:t>way.</w:t>
      </w:r>
      <w:r w:rsidRPr="00DA65B0">
        <w:rPr>
          <w:sz w:val="22"/>
          <w:szCs w:val="22"/>
        </w:rPr>
        <w:t xml:space="preserve"> The overriding view of the Schools Forum is to deliver as much structural continuity in 2015/16 as can be provided</w:t>
      </w:r>
      <w:r>
        <w:rPr>
          <w:sz w:val="22"/>
          <w:szCs w:val="22"/>
        </w:rPr>
        <w:t xml:space="preserve">, by continuing to use the existing formula factors outlined in the table above and in Appendix 2 in the </w:t>
      </w:r>
      <w:r w:rsidRPr="00B05E15">
        <w:rPr>
          <w:sz w:val="22"/>
          <w:szCs w:val="22"/>
        </w:rPr>
        <w:t>same way as used this year.</w:t>
      </w:r>
    </w:p>
    <w:p w:rsidR="00A82907" w:rsidRDefault="00A82907" w:rsidP="008D29D4">
      <w:pPr>
        <w:jc w:val="both"/>
        <w:rPr>
          <w:b/>
          <w:bCs/>
          <w:color w:val="0000FF"/>
          <w:sz w:val="22"/>
          <w:szCs w:val="22"/>
        </w:rPr>
      </w:pPr>
    </w:p>
    <w:p w:rsidR="0068569E" w:rsidRDefault="0068569E" w:rsidP="0068569E">
      <w:pPr>
        <w:jc w:val="both"/>
        <w:rPr>
          <w:sz w:val="22"/>
          <w:szCs w:val="22"/>
        </w:rPr>
      </w:pPr>
      <w:r w:rsidRPr="00145FE1">
        <w:rPr>
          <w:sz w:val="22"/>
          <w:szCs w:val="22"/>
        </w:rPr>
        <w:t>3.6 The FFWG has considered whether to adjust formulae factors in 2015/16, specifically whether to include a factor for Looked After Children, and whether the factors can be adjusted to better support schools and academies with high numbers of children from new to English migrant families (who are often not eligible for the Pupil Premium). After careful consideration, it is our view that the Pupil Premium should continue at this time to be the source of funding for Looked After Children in 2015/16, but that this should be reviewed as the framework for monitoring and evaluating spending of resources by schools on Looked After Children is developed, to ensure that any allocation of additional funding would have a specific clear impact on the educational outcomes of these children. We have also found that there is no simple way to adjust the factors so that schools and academies with higher numbers of new to English pupils receive a higher level of formula funding. An increase in the value of mobility funding, without a corresponding decrease in funding via another factor, would potentially have some additional benefit for primary, though this as an option will be significantly limited by overall DSG affordability. The Local Authority is therefore not proposing any changes to the formulae factors used to fund primary and secondary schools and academies in 2015/16.</w:t>
      </w:r>
    </w:p>
    <w:p w:rsidR="0068569E" w:rsidRDefault="0068569E" w:rsidP="008D29D4">
      <w:pPr>
        <w:jc w:val="both"/>
        <w:rPr>
          <w:b/>
          <w:bCs/>
          <w:color w:val="0000FF"/>
          <w:sz w:val="22"/>
          <w:szCs w:val="22"/>
        </w:rPr>
      </w:pPr>
    </w:p>
    <w:p w:rsidR="00A82907" w:rsidRDefault="00A82907" w:rsidP="008D29D4">
      <w:pPr>
        <w:jc w:val="both"/>
        <w:rPr>
          <w:b/>
          <w:bCs/>
          <w:color w:val="0000FF"/>
          <w:sz w:val="22"/>
          <w:szCs w:val="22"/>
        </w:rPr>
      </w:pPr>
      <w:r w:rsidRPr="00B05E15">
        <w:rPr>
          <w:b/>
          <w:bCs/>
          <w:color w:val="0000FF"/>
          <w:sz w:val="22"/>
          <w:szCs w:val="22"/>
        </w:rPr>
        <w:t xml:space="preserve">Question 1 – Do you agree with continuing to use the 2014/15 existing </w:t>
      </w:r>
      <w:r w:rsidRPr="00077692">
        <w:rPr>
          <w:b/>
          <w:bCs/>
          <w:color w:val="0000FF"/>
          <w:sz w:val="22"/>
          <w:szCs w:val="22"/>
          <w:u w:val="single"/>
        </w:rPr>
        <w:t>formula structure</w:t>
      </w:r>
      <w:r w:rsidRPr="00B05E15">
        <w:rPr>
          <w:b/>
          <w:bCs/>
          <w:color w:val="0000FF"/>
          <w:sz w:val="22"/>
          <w:szCs w:val="22"/>
        </w:rPr>
        <w:t xml:space="preserve"> to calculate delegated budgets for schools and academies for the 2015/16 financial year? If not, please specify the reasons why not.</w:t>
      </w:r>
      <w:r w:rsidR="00AA2F3D">
        <w:rPr>
          <w:b/>
          <w:bCs/>
          <w:color w:val="0000FF"/>
          <w:sz w:val="22"/>
          <w:szCs w:val="22"/>
        </w:rPr>
        <w:t xml:space="preserve"> </w:t>
      </w:r>
      <w:r w:rsidR="00AA2F3D" w:rsidRPr="00894BC8">
        <w:rPr>
          <w:bCs/>
          <w:i/>
          <w:color w:val="0000FF"/>
          <w:sz w:val="22"/>
          <w:szCs w:val="22"/>
        </w:rPr>
        <w:t>The values of each formula factor will not be confirmed until January 2015 and will depend on the outcomes of the discussions that take place at the Schools Forum during the autumn term.</w:t>
      </w:r>
    </w:p>
    <w:p w:rsidR="00A82907" w:rsidRDefault="00A82907" w:rsidP="008D29D4">
      <w:pPr>
        <w:jc w:val="both"/>
        <w:rPr>
          <w:b/>
          <w:bCs/>
          <w:sz w:val="22"/>
          <w:szCs w:val="22"/>
        </w:rPr>
      </w:pPr>
    </w:p>
    <w:p w:rsidR="00FF63C7" w:rsidRDefault="00FF63C7" w:rsidP="00612E39">
      <w:pPr>
        <w:jc w:val="both"/>
        <w:rPr>
          <w:b/>
          <w:bCs/>
          <w:sz w:val="22"/>
          <w:szCs w:val="22"/>
        </w:rPr>
      </w:pPr>
    </w:p>
    <w:p w:rsidR="00A82907" w:rsidRPr="00026FF6" w:rsidRDefault="00FF63C7" w:rsidP="00612E39">
      <w:pPr>
        <w:jc w:val="both"/>
        <w:rPr>
          <w:sz w:val="22"/>
          <w:szCs w:val="22"/>
        </w:rPr>
      </w:pPr>
      <w:r>
        <w:rPr>
          <w:b/>
          <w:bCs/>
          <w:sz w:val="22"/>
          <w:szCs w:val="22"/>
        </w:rPr>
        <w:t>4</w:t>
      </w:r>
      <w:r w:rsidR="00A82907" w:rsidRPr="00026FF6">
        <w:rPr>
          <w:b/>
          <w:bCs/>
          <w:sz w:val="22"/>
          <w:szCs w:val="22"/>
        </w:rPr>
        <w:t>.</w:t>
      </w:r>
      <w:r w:rsidR="00A82907" w:rsidRPr="00026FF6">
        <w:rPr>
          <w:b/>
          <w:bCs/>
          <w:sz w:val="22"/>
          <w:szCs w:val="22"/>
        </w:rPr>
        <w:tab/>
        <w:t>Summary of 201</w:t>
      </w:r>
      <w:r w:rsidR="00A82907">
        <w:rPr>
          <w:b/>
          <w:bCs/>
          <w:sz w:val="22"/>
          <w:szCs w:val="22"/>
        </w:rPr>
        <w:t>5/16</w:t>
      </w:r>
      <w:r w:rsidR="00A82907" w:rsidRPr="00026FF6">
        <w:rPr>
          <w:b/>
          <w:bCs/>
          <w:sz w:val="22"/>
          <w:szCs w:val="22"/>
        </w:rPr>
        <w:t xml:space="preserve"> Proposed Formulae</w:t>
      </w:r>
    </w:p>
    <w:p w:rsidR="00A82907" w:rsidRDefault="00A82907" w:rsidP="00612E39">
      <w:pPr>
        <w:jc w:val="both"/>
        <w:rPr>
          <w:color w:val="FF0000"/>
          <w:sz w:val="22"/>
          <w:szCs w:val="22"/>
        </w:rPr>
      </w:pPr>
    </w:p>
    <w:p w:rsidR="00F42D41" w:rsidRDefault="00FF63C7" w:rsidP="00612E39">
      <w:pPr>
        <w:jc w:val="both"/>
        <w:rPr>
          <w:sz w:val="22"/>
          <w:szCs w:val="22"/>
        </w:rPr>
      </w:pPr>
      <w:r>
        <w:rPr>
          <w:sz w:val="22"/>
          <w:szCs w:val="22"/>
        </w:rPr>
        <w:t>4</w:t>
      </w:r>
      <w:r w:rsidR="00A82907" w:rsidRPr="00A35967">
        <w:rPr>
          <w:sz w:val="22"/>
          <w:szCs w:val="22"/>
        </w:rPr>
        <w:t>.</w:t>
      </w:r>
      <w:r w:rsidR="0068569E">
        <w:rPr>
          <w:sz w:val="22"/>
          <w:szCs w:val="22"/>
        </w:rPr>
        <w:t>1</w:t>
      </w:r>
      <w:r w:rsidR="00A82907" w:rsidRPr="00B05E15">
        <w:rPr>
          <w:sz w:val="22"/>
          <w:szCs w:val="22"/>
        </w:rPr>
        <w:t xml:space="preserve"> On the basis of continuing the 2014/15 agreed formula, the</w:t>
      </w:r>
      <w:r w:rsidR="00A82907" w:rsidRPr="00A35967">
        <w:rPr>
          <w:sz w:val="22"/>
          <w:szCs w:val="22"/>
        </w:rPr>
        <w:t xml:space="preserve"> table below summarises the formulae factors</w:t>
      </w:r>
      <w:r w:rsidR="00A82907">
        <w:rPr>
          <w:sz w:val="22"/>
          <w:szCs w:val="22"/>
        </w:rPr>
        <w:t>,</w:t>
      </w:r>
      <w:r w:rsidR="00A82907" w:rsidRPr="00A35967">
        <w:rPr>
          <w:sz w:val="22"/>
          <w:szCs w:val="22"/>
        </w:rPr>
        <w:t xml:space="preserve"> and the indi</w:t>
      </w:r>
      <w:r w:rsidR="00145FE1">
        <w:rPr>
          <w:sz w:val="22"/>
          <w:szCs w:val="22"/>
        </w:rPr>
        <w:t xml:space="preserve">cative values of these factors </w:t>
      </w:r>
      <w:r w:rsidR="00A82907">
        <w:rPr>
          <w:sz w:val="22"/>
          <w:szCs w:val="22"/>
        </w:rPr>
        <w:t>in 2015/16</w:t>
      </w:r>
      <w:r w:rsidR="00145FE1">
        <w:rPr>
          <w:sz w:val="22"/>
          <w:szCs w:val="22"/>
        </w:rPr>
        <w:t xml:space="preserve"> as these currently stand</w:t>
      </w:r>
      <w:r w:rsidR="00A82907" w:rsidRPr="00A35967">
        <w:rPr>
          <w:sz w:val="22"/>
          <w:szCs w:val="22"/>
        </w:rPr>
        <w:t xml:space="preserve">. The pro-forma </w:t>
      </w:r>
      <w:r w:rsidR="00A82907" w:rsidRPr="00527CFB">
        <w:rPr>
          <w:sz w:val="22"/>
          <w:szCs w:val="22"/>
        </w:rPr>
        <w:t xml:space="preserve">shown in </w:t>
      </w:r>
      <w:r w:rsidR="00A82907" w:rsidRPr="00145FE1">
        <w:rPr>
          <w:sz w:val="22"/>
          <w:szCs w:val="22"/>
        </w:rPr>
        <w:t xml:space="preserve">Appendix 2 provides further explanation on the basis of the calculations. Please note that the values of factors </w:t>
      </w:r>
      <w:r w:rsidR="00E431AD" w:rsidRPr="00145FE1">
        <w:rPr>
          <w:sz w:val="22"/>
          <w:szCs w:val="22"/>
        </w:rPr>
        <w:t xml:space="preserve">shown </w:t>
      </w:r>
      <w:r w:rsidR="004570DD" w:rsidRPr="00145FE1">
        <w:rPr>
          <w:sz w:val="22"/>
          <w:szCs w:val="22"/>
        </w:rPr>
        <w:t xml:space="preserve">below </w:t>
      </w:r>
      <w:r w:rsidR="00A82907" w:rsidRPr="00145FE1">
        <w:rPr>
          <w:sz w:val="22"/>
          <w:szCs w:val="22"/>
        </w:rPr>
        <w:t>are subject to change, for the reasons explained in t</w:t>
      </w:r>
      <w:r w:rsidR="004570DD" w:rsidRPr="00145FE1">
        <w:rPr>
          <w:sz w:val="22"/>
          <w:szCs w:val="22"/>
        </w:rPr>
        <w:t>he introduction; the Schools Forum will make final recommendations in January 2015, once the October 2014 Dataset is available and the DSG is confirmed</w:t>
      </w:r>
      <w:r w:rsidR="00F42D41" w:rsidRPr="00145FE1">
        <w:rPr>
          <w:sz w:val="22"/>
          <w:szCs w:val="22"/>
        </w:rPr>
        <w:t>.</w:t>
      </w:r>
    </w:p>
    <w:p w:rsidR="00AA5E6D" w:rsidRDefault="00AA5E6D" w:rsidP="00612E39">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2722"/>
        <w:gridCol w:w="2722"/>
      </w:tblGrid>
      <w:tr w:rsidR="00A82907" w:rsidRPr="009B07F5">
        <w:trPr>
          <w:trHeight w:val="599"/>
          <w:jc w:val="center"/>
        </w:trPr>
        <w:tc>
          <w:tcPr>
            <w:tcW w:w="4223" w:type="dxa"/>
          </w:tcPr>
          <w:p w:rsidR="00A82907" w:rsidRPr="009B07F5" w:rsidRDefault="004570DD" w:rsidP="005B1B64">
            <w:pPr>
              <w:jc w:val="both"/>
              <w:rPr>
                <w:b/>
                <w:bCs/>
                <w:sz w:val="22"/>
                <w:szCs w:val="22"/>
              </w:rPr>
            </w:pPr>
            <w:r>
              <w:rPr>
                <w:sz w:val="22"/>
                <w:szCs w:val="22"/>
              </w:rPr>
              <w:t xml:space="preserve"> </w:t>
            </w:r>
            <w:r w:rsidR="00A82907" w:rsidRPr="009B07F5">
              <w:rPr>
                <w:b/>
                <w:bCs/>
                <w:sz w:val="22"/>
                <w:szCs w:val="22"/>
              </w:rPr>
              <w:t>Formula Factor</w:t>
            </w:r>
          </w:p>
        </w:tc>
        <w:tc>
          <w:tcPr>
            <w:tcW w:w="2722" w:type="dxa"/>
          </w:tcPr>
          <w:p w:rsidR="00A82907" w:rsidRPr="009B07F5" w:rsidRDefault="00A82907" w:rsidP="005B1B64">
            <w:pPr>
              <w:jc w:val="right"/>
              <w:rPr>
                <w:b/>
                <w:bCs/>
                <w:sz w:val="22"/>
                <w:szCs w:val="22"/>
              </w:rPr>
            </w:pPr>
            <w:r w:rsidRPr="009B07F5">
              <w:rPr>
                <w:b/>
                <w:bCs/>
                <w:sz w:val="22"/>
                <w:szCs w:val="22"/>
              </w:rPr>
              <w:t>Indicative Primary Unit Value £ (2015/16)</w:t>
            </w:r>
          </w:p>
        </w:tc>
        <w:tc>
          <w:tcPr>
            <w:tcW w:w="2722" w:type="dxa"/>
          </w:tcPr>
          <w:p w:rsidR="00A82907" w:rsidRPr="009B07F5" w:rsidRDefault="00A82907" w:rsidP="005B1B64">
            <w:pPr>
              <w:jc w:val="right"/>
              <w:rPr>
                <w:b/>
                <w:bCs/>
                <w:sz w:val="22"/>
                <w:szCs w:val="22"/>
              </w:rPr>
            </w:pPr>
            <w:r w:rsidRPr="009B07F5">
              <w:rPr>
                <w:b/>
                <w:bCs/>
                <w:sz w:val="22"/>
                <w:szCs w:val="22"/>
              </w:rPr>
              <w:t>Indicative Secondary Unit Value £ (2015/16)</w:t>
            </w:r>
          </w:p>
        </w:tc>
      </w:tr>
      <w:tr w:rsidR="00A82907" w:rsidRPr="009B07F5">
        <w:trPr>
          <w:trHeight w:val="168"/>
          <w:jc w:val="center"/>
        </w:trPr>
        <w:tc>
          <w:tcPr>
            <w:tcW w:w="4223" w:type="dxa"/>
          </w:tcPr>
          <w:p w:rsidR="00A82907" w:rsidRPr="009B07F5" w:rsidRDefault="00A82907" w:rsidP="005B1B64">
            <w:pPr>
              <w:jc w:val="both"/>
              <w:rPr>
                <w:sz w:val="22"/>
                <w:szCs w:val="22"/>
              </w:rPr>
            </w:pPr>
            <w:r w:rsidRPr="009B07F5">
              <w:rPr>
                <w:sz w:val="22"/>
                <w:szCs w:val="22"/>
              </w:rPr>
              <w:t>Base Amount per Pupil – Primary</w:t>
            </w:r>
          </w:p>
        </w:tc>
        <w:tc>
          <w:tcPr>
            <w:tcW w:w="2722" w:type="dxa"/>
          </w:tcPr>
          <w:p w:rsidR="00A82907" w:rsidRPr="009B07F5" w:rsidRDefault="009B07F5" w:rsidP="005B1B64">
            <w:pPr>
              <w:jc w:val="right"/>
              <w:rPr>
                <w:sz w:val="22"/>
                <w:szCs w:val="22"/>
              </w:rPr>
            </w:pPr>
            <w:r w:rsidRPr="009B07F5">
              <w:rPr>
                <w:sz w:val="22"/>
                <w:szCs w:val="22"/>
              </w:rPr>
              <w:t>2,873</w:t>
            </w:r>
            <w:r w:rsidR="00A82907" w:rsidRPr="009B07F5">
              <w:rPr>
                <w:sz w:val="22"/>
                <w:szCs w:val="22"/>
              </w:rPr>
              <w:t>.</w:t>
            </w:r>
            <w:r w:rsidRPr="009B07F5">
              <w:rPr>
                <w:sz w:val="22"/>
                <w:szCs w:val="22"/>
              </w:rPr>
              <w:t>75</w:t>
            </w:r>
          </w:p>
        </w:tc>
        <w:tc>
          <w:tcPr>
            <w:tcW w:w="2722" w:type="dxa"/>
          </w:tcPr>
          <w:p w:rsidR="00A82907" w:rsidRPr="009B07F5" w:rsidRDefault="00A82907" w:rsidP="005B1B64">
            <w:pPr>
              <w:jc w:val="right"/>
              <w:rPr>
                <w:sz w:val="22"/>
                <w:szCs w:val="22"/>
              </w:rPr>
            </w:pPr>
            <w:r w:rsidRPr="009B07F5">
              <w:rPr>
                <w:sz w:val="22"/>
                <w:szCs w:val="22"/>
              </w:rPr>
              <w:t>N/A</w:t>
            </w:r>
          </w:p>
        </w:tc>
      </w:tr>
      <w:tr w:rsidR="00A82907" w:rsidRPr="009B07F5">
        <w:trPr>
          <w:jc w:val="center"/>
        </w:trPr>
        <w:tc>
          <w:tcPr>
            <w:tcW w:w="4223" w:type="dxa"/>
          </w:tcPr>
          <w:p w:rsidR="00A82907" w:rsidRPr="009B07F5" w:rsidRDefault="00A82907" w:rsidP="005B1B64">
            <w:pPr>
              <w:jc w:val="both"/>
              <w:rPr>
                <w:sz w:val="22"/>
                <w:szCs w:val="22"/>
              </w:rPr>
            </w:pPr>
            <w:r w:rsidRPr="009B07F5">
              <w:rPr>
                <w:sz w:val="22"/>
                <w:szCs w:val="22"/>
              </w:rPr>
              <w:t>Base Amount per Pupil - Key Stage 3</w:t>
            </w:r>
          </w:p>
        </w:tc>
        <w:tc>
          <w:tcPr>
            <w:tcW w:w="2722" w:type="dxa"/>
          </w:tcPr>
          <w:p w:rsidR="00A82907" w:rsidRPr="009B07F5" w:rsidRDefault="00A82907" w:rsidP="005B1B64">
            <w:pPr>
              <w:jc w:val="right"/>
              <w:rPr>
                <w:sz w:val="22"/>
                <w:szCs w:val="22"/>
              </w:rPr>
            </w:pPr>
            <w:r w:rsidRPr="009B07F5">
              <w:rPr>
                <w:sz w:val="22"/>
                <w:szCs w:val="22"/>
              </w:rPr>
              <w:t>N/A</w:t>
            </w:r>
          </w:p>
        </w:tc>
        <w:tc>
          <w:tcPr>
            <w:tcW w:w="2722" w:type="dxa"/>
          </w:tcPr>
          <w:p w:rsidR="00A82907" w:rsidRPr="009B07F5" w:rsidRDefault="009B07F5" w:rsidP="009B07F5">
            <w:pPr>
              <w:jc w:val="right"/>
              <w:rPr>
                <w:sz w:val="22"/>
                <w:szCs w:val="22"/>
              </w:rPr>
            </w:pPr>
            <w:r w:rsidRPr="009B07F5">
              <w:rPr>
                <w:sz w:val="22"/>
                <w:szCs w:val="22"/>
              </w:rPr>
              <w:t>4,158.43</w:t>
            </w:r>
          </w:p>
        </w:tc>
      </w:tr>
      <w:tr w:rsidR="00A82907" w:rsidRPr="009B07F5">
        <w:trPr>
          <w:jc w:val="center"/>
        </w:trPr>
        <w:tc>
          <w:tcPr>
            <w:tcW w:w="4223" w:type="dxa"/>
          </w:tcPr>
          <w:p w:rsidR="00A82907" w:rsidRPr="009B07F5" w:rsidRDefault="00A82907" w:rsidP="005B1B64">
            <w:pPr>
              <w:jc w:val="both"/>
              <w:rPr>
                <w:b/>
                <w:bCs/>
                <w:sz w:val="22"/>
                <w:szCs w:val="22"/>
              </w:rPr>
            </w:pPr>
            <w:r w:rsidRPr="009B07F5">
              <w:rPr>
                <w:sz w:val="22"/>
                <w:szCs w:val="22"/>
              </w:rPr>
              <w:t>Base Amount per Pupil - Key Stage 4</w:t>
            </w:r>
          </w:p>
        </w:tc>
        <w:tc>
          <w:tcPr>
            <w:tcW w:w="2722" w:type="dxa"/>
          </w:tcPr>
          <w:p w:rsidR="00A82907" w:rsidRPr="009B07F5" w:rsidRDefault="00A82907" w:rsidP="005B1B64">
            <w:pPr>
              <w:jc w:val="right"/>
              <w:rPr>
                <w:sz w:val="22"/>
                <w:szCs w:val="22"/>
              </w:rPr>
            </w:pPr>
            <w:r w:rsidRPr="009B07F5">
              <w:rPr>
                <w:sz w:val="22"/>
                <w:szCs w:val="22"/>
              </w:rPr>
              <w:t>N/A</w:t>
            </w:r>
          </w:p>
        </w:tc>
        <w:tc>
          <w:tcPr>
            <w:tcW w:w="2722" w:type="dxa"/>
          </w:tcPr>
          <w:p w:rsidR="00A82907" w:rsidRPr="009B07F5" w:rsidRDefault="009B07F5" w:rsidP="005B1B64">
            <w:pPr>
              <w:jc w:val="right"/>
              <w:rPr>
                <w:sz w:val="22"/>
                <w:szCs w:val="22"/>
              </w:rPr>
            </w:pPr>
            <w:r w:rsidRPr="009B07F5">
              <w:rPr>
                <w:sz w:val="22"/>
                <w:szCs w:val="22"/>
              </w:rPr>
              <w:t>4,277.04</w:t>
            </w:r>
          </w:p>
        </w:tc>
      </w:tr>
      <w:tr w:rsidR="00A82907" w:rsidRPr="009B07F5">
        <w:trPr>
          <w:jc w:val="center"/>
        </w:trPr>
        <w:tc>
          <w:tcPr>
            <w:tcW w:w="4223" w:type="dxa"/>
          </w:tcPr>
          <w:p w:rsidR="00A82907" w:rsidRPr="009B07F5" w:rsidRDefault="00A82907" w:rsidP="005B1B64">
            <w:pPr>
              <w:jc w:val="both"/>
              <w:rPr>
                <w:sz w:val="22"/>
                <w:szCs w:val="22"/>
              </w:rPr>
            </w:pPr>
            <w:r w:rsidRPr="009B07F5">
              <w:rPr>
                <w:sz w:val="22"/>
                <w:szCs w:val="22"/>
              </w:rPr>
              <w:t>Deprivation - Ever 6 FSM</w:t>
            </w:r>
          </w:p>
        </w:tc>
        <w:tc>
          <w:tcPr>
            <w:tcW w:w="2722" w:type="dxa"/>
          </w:tcPr>
          <w:p w:rsidR="00A82907" w:rsidRPr="009B07F5" w:rsidRDefault="00A82907" w:rsidP="005B1B64">
            <w:pPr>
              <w:jc w:val="right"/>
              <w:rPr>
                <w:sz w:val="22"/>
                <w:szCs w:val="22"/>
              </w:rPr>
            </w:pPr>
            <w:r w:rsidRPr="009B07F5">
              <w:rPr>
                <w:sz w:val="22"/>
                <w:szCs w:val="22"/>
              </w:rPr>
              <w:t>1,030.06</w:t>
            </w:r>
          </w:p>
        </w:tc>
        <w:tc>
          <w:tcPr>
            <w:tcW w:w="2722" w:type="dxa"/>
          </w:tcPr>
          <w:p w:rsidR="00A82907" w:rsidRPr="009B07F5" w:rsidRDefault="00A82907" w:rsidP="005B1B64">
            <w:pPr>
              <w:jc w:val="right"/>
              <w:rPr>
                <w:sz w:val="22"/>
                <w:szCs w:val="22"/>
              </w:rPr>
            </w:pPr>
            <w:r w:rsidRPr="009B07F5">
              <w:rPr>
                <w:sz w:val="22"/>
                <w:szCs w:val="22"/>
              </w:rPr>
              <w:t>968.03</w:t>
            </w:r>
          </w:p>
        </w:tc>
      </w:tr>
      <w:tr w:rsidR="00A82907" w:rsidRPr="009B07F5">
        <w:trPr>
          <w:jc w:val="center"/>
        </w:trPr>
        <w:tc>
          <w:tcPr>
            <w:tcW w:w="4223" w:type="dxa"/>
          </w:tcPr>
          <w:p w:rsidR="00A82907" w:rsidRPr="009B07F5" w:rsidRDefault="00A82907" w:rsidP="005B1B64">
            <w:pPr>
              <w:jc w:val="both"/>
              <w:rPr>
                <w:sz w:val="22"/>
                <w:szCs w:val="22"/>
              </w:rPr>
            </w:pPr>
            <w:r w:rsidRPr="009B07F5">
              <w:rPr>
                <w:sz w:val="22"/>
                <w:szCs w:val="22"/>
              </w:rPr>
              <w:t>Deprivation IDACI - Band 1</w:t>
            </w:r>
          </w:p>
        </w:tc>
        <w:tc>
          <w:tcPr>
            <w:tcW w:w="2722" w:type="dxa"/>
          </w:tcPr>
          <w:p w:rsidR="00A82907" w:rsidRPr="009B07F5" w:rsidRDefault="00A82907" w:rsidP="005B1B64">
            <w:pPr>
              <w:jc w:val="right"/>
              <w:rPr>
                <w:sz w:val="22"/>
                <w:szCs w:val="22"/>
              </w:rPr>
            </w:pPr>
            <w:r w:rsidRPr="009B07F5">
              <w:rPr>
                <w:sz w:val="22"/>
                <w:szCs w:val="22"/>
              </w:rPr>
              <w:t>305.69</w:t>
            </w:r>
          </w:p>
        </w:tc>
        <w:tc>
          <w:tcPr>
            <w:tcW w:w="2722" w:type="dxa"/>
          </w:tcPr>
          <w:p w:rsidR="00A82907" w:rsidRPr="009B07F5" w:rsidRDefault="00A82907" w:rsidP="005B1B64">
            <w:pPr>
              <w:jc w:val="right"/>
              <w:rPr>
                <w:sz w:val="22"/>
                <w:szCs w:val="22"/>
              </w:rPr>
            </w:pPr>
            <w:r w:rsidRPr="009B07F5">
              <w:rPr>
                <w:sz w:val="22"/>
                <w:szCs w:val="22"/>
              </w:rPr>
              <w:t>395.85</w:t>
            </w:r>
          </w:p>
        </w:tc>
      </w:tr>
      <w:tr w:rsidR="00A82907" w:rsidRPr="009B07F5">
        <w:trPr>
          <w:jc w:val="center"/>
        </w:trPr>
        <w:tc>
          <w:tcPr>
            <w:tcW w:w="4223" w:type="dxa"/>
          </w:tcPr>
          <w:p w:rsidR="00A82907" w:rsidRPr="009B07F5" w:rsidRDefault="00A82907" w:rsidP="005B1B64">
            <w:pPr>
              <w:jc w:val="both"/>
              <w:rPr>
                <w:b/>
                <w:bCs/>
                <w:sz w:val="22"/>
                <w:szCs w:val="22"/>
              </w:rPr>
            </w:pPr>
            <w:r w:rsidRPr="009B07F5">
              <w:rPr>
                <w:sz w:val="22"/>
                <w:szCs w:val="22"/>
              </w:rPr>
              <w:t>Deprivation IDACI - Band 2</w:t>
            </w:r>
          </w:p>
        </w:tc>
        <w:tc>
          <w:tcPr>
            <w:tcW w:w="2722" w:type="dxa"/>
          </w:tcPr>
          <w:p w:rsidR="00A82907" w:rsidRPr="009B07F5" w:rsidRDefault="00A82907" w:rsidP="005B1B64">
            <w:pPr>
              <w:jc w:val="right"/>
              <w:rPr>
                <w:sz w:val="22"/>
                <w:szCs w:val="22"/>
              </w:rPr>
            </w:pPr>
            <w:r w:rsidRPr="009B07F5">
              <w:rPr>
                <w:sz w:val="22"/>
                <w:szCs w:val="22"/>
              </w:rPr>
              <w:t>382.11</w:t>
            </w:r>
          </w:p>
        </w:tc>
        <w:tc>
          <w:tcPr>
            <w:tcW w:w="2722" w:type="dxa"/>
          </w:tcPr>
          <w:p w:rsidR="00A82907" w:rsidRPr="009B07F5" w:rsidRDefault="00A82907" w:rsidP="005B1B64">
            <w:pPr>
              <w:jc w:val="right"/>
              <w:rPr>
                <w:sz w:val="22"/>
                <w:szCs w:val="22"/>
              </w:rPr>
            </w:pPr>
            <w:r w:rsidRPr="009B07F5">
              <w:rPr>
                <w:sz w:val="22"/>
                <w:szCs w:val="22"/>
              </w:rPr>
              <w:t>494.81</w:t>
            </w:r>
          </w:p>
        </w:tc>
      </w:tr>
      <w:tr w:rsidR="00A82907" w:rsidRPr="009B07F5">
        <w:trPr>
          <w:jc w:val="center"/>
        </w:trPr>
        <w:tc>
          <w:tcPr>
            <w:tcW w:w="4223" w:type="dxa"/>
          </w:tcPr>
          <w:p w:rsidR="00A82907" w:rsidRPr="009B07F5" w:rsidRDefault="00A82907" w:rsidP="005B1B64">
            <w:pPr>
              <w:jc w:val="both"/>
              <w:rPr>
                <w:b/>
                <w:bCs/>
                <w:sz w:val="22"/>
                <w:szCs w:val="22"/>
              </w:rPr>
            </w:pPr>
            <w:r w:rsidRPr="009B07F5">
              <w:rPr>
                <w:sz w:val="22"/>
                <w:szCs w:val="22"/>
              </w:rPr>
              <w:t>Deprivation IDACI - Band 3</w:t>
            </w:r>
          </w:p>
        </w:tc>
        <w:tc>
          <w:tcPr>
            <w:tcW w:w="2722" w:type="dxa"/>
          </w:tcPr>
          <w:p w:rsidR="00A82907" w:rsidRPr="009B07F5" w:rsidRDefault="00A82907" w:rsidP="005B1B64">
            <w:pPr>
              <w:jc w:val="right"/>
              <w:rPr>
                <w:sz w:val="22"/>
                <w:szCs w:val="22"/>
              </w:rPr>
            </w:pPr>
            <w:r w:rsidRPr="009B07F5">
              <w:rPr>
                <w:sz w:val="22"/>
                <w:szCs w:val="22"/>
              </w:rPr>
              <w:t>458.53</w:t>
            </w:r>
          </w:p>
        </w:tc>
        <w:tc>
          <w:tcPr>
            <w:tcW w:w="2722" w:type="dxa"/>
          </w:tcPr>
          <w:p w:rsidR="00A82907" w:rsidRPr="009B07F5" w:rsidRDefault="00A82907" w:rsidP="005B1B64">
            <w:pPr>
              <w:jc w:val="right"/>
              <w:rPr>
                <w:sz w:val="22"/>
                <w:szCs w:val="22"/>
              </w:rPr>
            </w:pPr>
            <w:r w:rsidRPr="009B07F5">
              <w:rPr>
                <w:sz w:val="22"/>
                <w:szCs w:val="22"/>
              </w:rPr>
              <w:t>593.77</w:t>
            </w:r>
          </w:p>
        </w:tc>
      </w:tr>
      <w:tr w:rsidR="00A82907" w:rsidRPr="009B07F5">
        <w:trPr>
          <w:jc w:val="center"/>
        </w:trPr>
        <w:tc>
          <w:tcPr>
            <w:tcW w:w="4223" w:type="dxa"/>
          </w:tcPr>
          <w:p w:rsidR="00A82907" w:rsidRPr="009B07F5" w:rsidRDefault="00A82907" w:rsidP="005B1B64">
            <w:pPr>
              <w:tabs>
                <w:tab w:val="left" w:pos="3452"/>
              </w:tabs>
              <w:jc w:val="both"/>
              <w:rPr>
                <w:b/>
                <w:bCs/>
                <w:sz w:val="22"/>
                <w:szCs w:val="22"/>
              </w:rPr>
            </w:pPr>
            <w:r w:rsidRPr="009B07F5">
              <w:rPr>
                <w:sz w:val="22"/>
                <w:szCs w:val="22"/>
              </w:rPr>
              <w:t>Deprivation IDACI - Band 4</w:t>
            </w:r>
          </w:p>
        </w:tc>
        <w:tc>
          <w:tcPr>
            <w:tcW w:w="2722" w:type="dxa"/>
          </w:tcPr>
          <w:p w:rsidR="00A82907" w:rsidRPr="009B07F5" w:rsidRDefault="00A82907" w:rsidP="005B1B64">
            <w:pPr>
              <w:jc w:val="right"/>
              <w:rPr>
                <w:sz w:val="22"/>
                <w:szCs w:val="22"/>
              </w:rPr>
            </w:pPr>
            <w:r w:rsidRPr="009B07F5">
              <w:rPr>
                <w:sz w:val="22"/>
                <w:szCs w:val="22"/>
              </w:rPr>
              <w:t>534.95</w:t>
            </w:r>
          </w:p>
        </w:tc>
        <w:tc>
          <w:tcPr>
            <w:tcW w:w="2722" w:type="dxa"/>
          </w:tcPr>
          <w:p w:rsidR="00A82907" w:rsidRPr="009B07F5" w:rsidRDefault="00A82907" w:rsidP="005B1B64">
            <w:pPr>
              <w:jc w:val="right"/>
              <w:rPr>
                <w:sz w:val="22"/>
                <w:szCs w:val="22"/>
              </w:rPr>
            </w:pPr>
            <w:r w:rsidRPr="009B07F5">
              <w:rPr>
                <w:sz w:val="22"/>
                <w:szCs w:val="22"/>
              </w:rPr>
              <w:t>692.74</w:t>
            </w:r>
          </w:p>
        </w:tc>
      </w:tr>
      <w:tr w:rsidR="00A82907" w:rsidRPr="009B07F5">
        <w:trPr>
          <w:jc w:val="center"/>
        </w:trPr>
        <w:tc>
          <w:tcPr>
            <w:tcW w:w="4223" w:type="dxa"/>
          </w:tcPr>
          <w:p w:rsidR="00A82907" w:rsidRPr="009B07F5" w:rsidRDefault="00A82907" w:rsidP="005B1B64">
            <w:pPr>
              <w:jc w:val="both"/>
              <w:rPr>
                <w:sz w:val="22"/>
                <w:szCs w:val="22"/>
              </w:rPr>
            </w:pPr>
            <w:r w:rsidRPr="009B07F5">
              <w:rPr>
                <w:sz w:val="22"/>
                <w:szCs w:val="22"/>
              </w:rPr>
              <w:t>Deprivation IDACI - Band 5</w:t>
            </w:r>
          </w:p>
        </w:tc>
        <w:tc>
          <w:tcPr>
            <w:tcW w:w="2722" w:type="dxa"/>
          </w:tcPr>
          <w:p w:rsidR="00A82907" w:rsidRPr="009B07F5" w:rsidRDefault="00A82907" w:rsidP="005B1B64">
            <w:pPr>
              <w:jc w:val="right"/>
              <w:rPr>
                <w:sz w:val="22"/>
                <w:szCs w:val="22"/>
              </w:rPr>
            </w:pPr>
            <w:r w:rsidRPr="009B07F5">
              <w:rPr>
                <w:sz w:val="22"/>
                <w:szCs w:val="22"/>
              </w:rPr>
              <w:t>687.80</w:t>
            </w:r>
          </w:p>
        </w:tc>
        <w:tc>
          <w:tcPr>
            <w:tcW w:w="2722" w:type="dxa"/>
          </w:tcPr>
          <w:p w:rsidR="00A82907" w:rsidRPr="009B07F5" w:rsidRDefault="00A82907" w:rsidP="005B1B64">
            <w:pPr>
              <w:jc w:val="right"/>
              <w:rPr>
                <w:sz w:val="22"/>
                <w:szCs w:val="22"/>
              </w:rPr>
            </w:pPr>
            <w:r w:rsidRPr="009B07F5">
              <w:rPr>
                <w:sz w:val="22"/>
                <w:szCs w:val="22"/>
              </w:rPr>
              <w:t>890.66</w:t>
            </w:r>
          </w:p>
        </w:tc>
      </w:tr>
      <w:tr w:rsidR="00A82907" w:rsidRPr="009B07F5">
        <w:trPr>
          <w:jc w:val="center"/>
        </w:trPr>
        <w:tc>
          <w:tcPr>
            <w:tcW w:w="4223" w:type="dxa"/>
          </w:tcPr>
          <w:p w:rsidR="00A82907" w:rsidRPr="009B07F5" w:rsidRDefault="00A82907" w:rsidP="005B1B64">
            <w:pPr>
              <w:jc w:val="both"/>
              <w:rPr>
                <w:b/>
                <w:bCs/>
                <w:sz w:val="22"/>
                <w:szCs w:val="22"/>
              </w:rPr>
            </w:pPr>
            <w:r w:rsidRPr="009B07F5">
              <w:rPr>
                <w:sz w:val="22"/>
                <w:szCs w:val="22"/>
              </w:rPr>
              <w:t>Deprivation IDACI - Band 6</w:t>
            </w:r>
          </w:p>
        </w:tc>
        <w:tc>
          <w:tcPr>
            <w:tcW w:w="2722" w:type="dxa"/>
          </w:tcPr>
          <w:p w:rsidR="00A82907" w:rsidRPr="009B07F5" w:rsidRDefault="00A82907" w:rsidP="005B1B64">
            <w:pPr>
              <w:jc w:val="right"/>
              <w:rPr>
                <w:sz w:val="22"/>
                <w:szCs w:val="22"/>
              </w:rPr>
            </w:pPr>
            <w:r w:rsidRPr="009B07F5">
              <w:rPr>
                <w:sz w:val="22"/>
                <w:szCs w:val="22"/>
              </w:rPr>
              <w:t>840.64</w:t>
            </w:r>
          </w:p>
        </w:tc>
        <w:tc>
          <w:tcPr>
            <w:tcW w:w="2722" w:type="dxa"/>
          </w:tcPr>
          <w:p w:rsidR="00A82907" w:rsidRPr="009B07F5" w:rsidRDefault="00A82907" w:rsidP="005B1B64">
            <w:pPr>
              <w:jc w:val="right"/>
              <w:rPr>
                <w:sz w:val="22"/>
                <w:szCs w:val="22"/>
              </w:rPr>
            </w:pPr>
            <w:r w:rsidRPr="009B07F5">
              <w:rPr>
                <w:sz w:val="22"/>
                <w:szCs w:val="22"/>
              </w:rPr>
              <w:t>1,088.58</w:t>
            </w:r>
          </w:p>
        </w:tc>
      </w:tr>
      <w:tr w:rsidR="00A82907" w:rsidRPr="009B07F5">
        <w:trPr>
          <w:jc w:val="center"/>
        </w:trPr>
        <w:tc>
          <w:tcPr>
            <w:tcW w:w="4223" w:type="dxa"/>
          </w:tcPr>
          <w:p w:rsidR="00A82907" w:rsidRPr="009B07F5" w:rsidRDefault="00A82907" w:rsidP="005B1B64">
            <w:pPr>
              <w:jc w:val="both"/>
              <w:rPr>
                <w:sz w:val="22"/>
                <w:szCs w:val="22"/>
              </w:rPr>
            </w:pPr>
            <w:r w:rsidRPr="009B07F5">
              <w:rPr>
                <w:sz w:val="22"/>
                <w:szCs w:val="22"/>
              </w:rPr>
              <w:t>SEN Low Prior Attainment</w:t>
            </w:r>
          </w:p>
        </w:tc>
        <w:tc>
          <w:tcPr>
            <w:tcW w:w="2722" w:type="dxa"/>
          </w:tcPr>
          <w:p w:rsidR="00A82907" w:rsidRPr="009B07F5" w:rsidRDefault="00A82907" w:rsidP="005B1B64">
            <w:pPr>
              <w:jc w:val="right"/>
              <w:rPr>
                <w:sz w:val="22"/>
                <w:szCs w:val="22"/>
              </w:rPr>
            </w:pPr>
            <w:r w:rsidRPr="009B07F5">
              <w:rPr>
                <w:sz w:val="22"/>
                <w:szCs w:val="22"/>
              </w:rPr>
              <w:t>242.46</w:t>
            </w:r>
          </w:p>
        </w:tc>
        <w:tc>
          <w:tcPr>
            <w:tcW w:w="2722" w:type="dxa"/>
          </w:tcPr>
          <w:p w:rsidR="00A82907" w:rsidRPr="009B07F5" w:rsidRDefault="00A82907" w:rsidP="005B1B64">
            <w:pPr>
              <w:jc w:val="right"/>
              <w:rPr>
                <w:sz w:val="22"/>
                <w:szCs w:val="22"/>
              </w:rPr>
            </w:pPr>
            <w:r w:rsidRPr="009B07F5">
              <w:rPr>
                <w:sz w:val="22"/>
                <w:szCs w:val="22"/>
              </w:rPr>
              <w:t>509.65</w:t>
            </w:r>
          </w:p>
        </w:tc>
      </w:tr>
      <w:tr w:rsidR="00A82907" w:rsidRPr="009B07F5">
        <w:trPr>
          <w:jc w:val="center"/>
        </w:trPr>
        <w:tc>
          <w:tcPr>
            <w:tcW w:w="4223" w:type="dxa"/>
          </w:tcPr>
          <w:p w:rsidR="00A82907" w:rsidRPr="009B07F5" w:rsidRDefault="00A82907" w:rsidP="005B1B64">
            <w:pPr>
              <w:jc w:val="both"/>
              <w:rPr>
                <w:sz w:val="22"/>
                <w:szCs w:val="22"/>
              </w:rPr>
            </w:pPr>
            <w:r w:rsidRPr="009B07F5">
              <w:rPr>
                <w:sz w:val="22"/>
                <w:szCs w:val="22"/>
              </w:rPr>
              <w:t>English as an Additional Language</w:t>
            </w:r>
          </w:p>
        </w:tc>
        <w:tc>
          <w:tcPr>
            <w:tcW w:w="2722" w:type="dxa"/>
          </w:tcPr>
          <w:p w:rsidR="00A82907" w:rsidRPr="009B07F5" w:rsidRDefault="00A82907" w:rsidP="005B1B64">
            <w:pPr>
              <w:jc w:val="right"/>
              <w:rPr>
                <w:sz w:val="22"/>
                <w:szCs w:val="22"/>
              </w:rPr>
            </w:pPr>
            <w:r w:rsidRPr="009B07F5">
              <w:rPr>
                <w:sz w:val="22"/>
                <w:szCs w:val="22"/>
              </w:rPr>
              <w:t>165.49</w:t>
            </w:r>
          </w:p>
        </w:tc>
        <w:tc>
          <w:tcPr>
            <w:tcW w:w="2722" w:type="dxa"/>
          </w:tcPr>
          <w:p w:rsidR="00A82907" w:rsidRPr="009B07F5" w:rsidRDefault="00A82907" w:rsidP="005B1B64">
            <w:pPr>
              <w:jc w:val="right"/>
              <w:rPr>
                <w:sz w:val="22"/>
                <w:szCs w:val="22"/>
              </w:rPr>
            </w:pPr>
            <w:r w:rsidRPr="009B07F5">
              <w:rPr>
                <w:sz w:val="22"/>
                <w:szCs w:val="22"/>
              </w:rPr>
              <w:t>1,273.02</w:t>
            </w:r>
          </w:p>
        </w:tc>
      </w:tr>
      <w:tr w:rsidR="00A82907" w:rsidRPr="009B07F5">
        <w:trPr>
          <w:jc w:val="center"/>
        </w:trPr>
        <w:tc>
          <w:tcPr>
            <w:tcW w:w="4223" w:type="dxa"/>
          </w:tcPr>
          <w:p w:rsidR="00A82907" w:rsidRPr="009B07F5" w:rsidRDefault="00A82907" w:rsidP="005B1B64">
            <w:pPr>
              <w:jc w:val="both"/>
              <w:rPr>
                <w:sz w:val="22"/>
                <w:szCs w:val="22"/>
              </w:rPr>
            </w:pPr>
            <w:r w:rsidRPr="009B07F5">
              <w:rPr>
                <w:sz w:val="22"/>
                <w:szCs w:val="22"/>
              </w:rPr>
              <w:t>Pupil Mobility</w:t>
            </w:r>
          </w:p>
        </w:tc>
        <w:tc>
          <w:tcPr>
            <w:tcW w:w="2722" w:type="dxa"/>
          </w:tcPr>
          <w:p w:rsidR="00A82907" w:rsidRPr="009B07F5" w:rsidRDefault="00A82907" w:rsidP="005B1B64">
            <w:pPr>
              <w:jc w:val="right"/>
              <w:rPr>
                <w:sz w:val="22"/>
                <w:szCs w:val="22"/>
              </w:rPr>
            </w:pPr>
            <w:r w:rsidRPr="009B07F5">
              <w:rPr>
                <w:sz w:val="22"/>
                <w:szCs w:val="22"/>
              </w:rPr>
              <w:t>1,313.08</w:t>
            </w:r>
          </w:p>
        </w:tc>
        <w:tc>
          <w:tcPr>
            <w:tcW w:w="2722" w:type="dxa"/>
          </w:tcPr>
          <w:p w:rsidR="00A82907" w:rsidRPr="009B07F5" w:rsidRDefault="00A82907" w:rsidP="005B1B64">
            <w:pPr>
              <w:jc w:val="right"/>
              <w:rPr>
                <w:sz w:val="22"/>
                <w:szCs w:val="22"/>
              </w:rPr>
            </w:pPr>
            <w:r w:rsidRPr="009B07F5">
              <w:rPr>
                <w:sz w:val="22"/>
                <w:szCs w:val="22"/>
              </w:rPr>
              <w:t>1,925.59</w:t>
            </w:r>
          </w:p>
        </w:tc>
      </w:tr>
      <w:tr w:rsidR="00A82907" w:rsidRPr="009B07F5">
        <w:trPr>
          <w:jc w:val="center"/>
        </w:trPr>
        <w:tc>
          <w:tcPr>
            <w:tcW w:w="4223" w:type="dxa"/>
          </w:tcPr>
          <w:p w:rsidR="00A82907" w:rsidRPr="009B07F5" w:rsidRDefault="00A82907" w:rsidP="005B1B64">
            <w:pPr>
              <w:jc w:val="both"/>
              <w:rPr>
                <w:sz w:val="22"/>
                <w:szCs w:val="22"/>
              </w:rPr>
            </w:pPr>
            <w:r w:rsidRPr="009B07F5">
              <w:rPr>
                <w:sz w:val="22"/>
                <w:szCs w:val="22"/>
              </w:rPr>
              <w:t>Lump Sum per school / academy</w:t>
            </w:r>
          </w:p>
        </w:tc>
        <w:tc>
          <w:tcPr>
            <w:tcW w:w="2722" w:type="dxa"/>
          </w:tcPr>
          <w:p w:rsidR="00A82907" w:rsidRPr="009B07F5" w:rsidRDefault="00A82907" w:rsidP="005B1B64">
            <w:pPr>
              <w:jc w:val="right"/>
              <w:rPr>
                <w:sz w:val="22"/>
                <w:szCs w:val="22"/>
              </w:rPr>
            </w:pPr>
            <w:r w:rsidRPr="009B07F5">
              <w:rPr>
                <w:sz w:val="22"/>
                <w:szCs w:val="22"/>
              </w:rPr>
              <w:t>175,000.00</w:t>
            </w:r>
          </w:p>
        </w:tc>
        <w:tc>
          <w:tcPr>
            <w:tcW w:w="2722" w:type="dxa"/>
          </w:tcPr>
          <w:p w:rsidR="00A82907" w:rsidRPr="009B07F5" w:rsidRDefault="00A82907" w:rsidP="005B1B64">
            <w:pPr>
              <w:jc w:val="right"/>
              <w:rPr>
                <w:sz w:val="22"/>
                <w:szCs w:val="22"/>
              </w:rPr>
            </w:pPr>
            <w:r w:rsidRPr="009B07F5">
              <w:rPr>
                <w:sz w:val="22"/>
                <w:szCs w:val="22"/>
              </w:rPr>
              <w:t>175,000.00</w:t>
            </w:r>
          </w:p>
        </w:tc>
      </w:tr>
      <w:tr w:rsidR="00A82907" w:rsidRPr="009B07F5">
        <w:trPr>
          <w:jc w:val="center"/>
        </w:trPr>
        <w:tc>
          <w:tcPr>
            <w:tcW w:w="4223" w:type="dxa"/>
          </w:tcPr>
          <w:p w:rsidR="00A82907" w:rsidRPr="009B07F5" w:rsidRDefault="00A82907" w:rsidP="005B1B64">
            <w:pPr>
              <w:jc w:val="both"/>
              <w:rPr>
                <w:sz w:val="22"/>
                <w:szCs w:val="22"/>
              </w:rPr>
            </w:pPr>
            <w:r w:rsidRPr="009B07F5">
              <w:rPr>
                <w:sz w:val="22"/>
                <w:szCs w:val="22"/>
              </w:rPr>
              <w:t>Split Sites</w:t>
            </w:r>
          </w:p>
        </w:tc>
        <w:tc>
          <w:tcPr>
            <w:tcW w:w="2722" w:type="dxa"/>
          </w:tcPr>
          <w:p w:rsidR="00A82907" w:rsidRPr="009B07F5" w:rsidRDefault="00A82907" w:rsidP="005B1B64">
            <w:pPr>
              <w:jc w:val="right"/>
              <w:rPr>
                <w:sz w:val="22"/>
                <w:szCs w:val="22"/>
              </w:rPr>
            </w:pPr>
            <w:r w:rsidRPr="009B07F5">
              <w:rPr>
                <w:sz w:val="22"/>
                <w:szCs w:val="22"/>
              </w:rPr>
              <w:t>Funded on LA formula</w:t>
            </w:r>
          </w:p>
          <w:p w:rsidR="00A82907" w:rsidRPr="009B07F5" w:rsidRDefault="00FF63C7" w:rsidP="00B05E15">
            <w:pPr>
              <w:jc w:val="right"/>
              <w:rPr>
                <w:sz w:val="22"/>
                <w:szCs w:val="22"/>
              </w:rPr>
            </w:pPr>
            <w:r w:rsidRPr="009B07F5">
              <w:rPr>
                <w:i/>
                <w:iCs/>
                <w:sz w:val="22"/>
                <w:szCs w:val="22"/>
              </w:rPr>
              <w:t>(see paragraph 4</w:t>
            </w:r>
            <w:r w:rsidR="00A82907" w:rsidRPr="009B07F5">
              <w:rPr>
                <w:i/>
                <w:iCs/>
                <w:sz w:val="22"/>
                <w:szCs w:val="22"/>
              </w:rPr>
              <w:t>.</w:t>
            </w:r>
            <w:r w:rsidR="00145FE1">
              <w:rPr>
                <w:i/>
                <w:iCs/>
                <w:sz w:val="22"/>
                <w:szCs w:val="22"/>
              </w:rPr>
              <w:t>5</w:t>
            </w:r>
            <w:r w:rsidR="00A82907" w:rsidRPr="009B07F5">
              <w:rPr>
                <w:i/>
                <w:iCs/>
                <w:sz w:val="22"/>
                <w:szCs w:val="22"/>
              </w:rPr>
              <w:t>)</w:t>
            </w:r>
          </w:p>
        </w:tc>
        <w:tc>
          <w:tcPr>
            <w:tcW w:w="2722" w:type="dxa"/>
          </w:tcPr>
          <w:p w:rsidR="00A82907" w:rsidRPr="009B07F5" w:rsidRDefault="00A82907" w:rsidP="005B1B64">
            <w:pPr>
              <w:jc w:val="right"/>
              <w:rPr>
                <w:sz w:val="22"/>
                <w:szCs w:val="22"/>
              </w:rPr>
            </w:pPr>
            <w:r w:rsidRPr="009B07F5">
              <w:rPr>
                <w:sz w:val="22"/>
                <w:szCs w:val="22"/>
              </w:rPr>
              <w:t>Funded on LA formula</w:t>
            </w:r>
          </w:p>
          <w:p w:rsidR="00A82907" w:rsidRPr="009B07F5" w:rsidRDefault="00FF63C7" w:rsidP="00B05E15">
            <w:pPr>
              <w:jc w:val="right"/>
              <w:rPr>
                <w:sz w:val="22"/>
                <w:szCs w:val="22"/>
              </w:rPr>
            </w:pPr>
            <w:r w:rsidRPr="009B07F5">
              <w:rPr>
                <w:i/>
                <w:iCs/>
                <w:sz w:val="22"/>
                <w:szCs w:val="22"/>
              </w:rPr>
              <w:t>(see paragraph 4</w:t>
            </w:r>
            <w:r w:rsidR="00A82907" w:rsidRPr="009B07F5">
              <w:rPr>
                <w:i/>
                <w:iCs/>
                <w:sz w:val="22"/>
                <w:szCs w:val="22"/>
              </w:rPr>
              <w:t>.</w:t>
            </w:r>
            <w:r w:rsidR="00145FE1">
              <w:rPr>
                <w:i/>
                <w:iCs/>
                <w:sz w:val="22"/>
                <w:szCs w:val="22"/>
              </w:rPr>
              <w:t>5</w:t>
            </w:r>
            <w:r w:rsidR="00A82907" w:rsidRPr="009B07F5">
              <w:rPr>
                <w:i/>
                <w:iCs/>
                <w:sz w:val="22"/>
                <w:szCs w:val="22"/>
              </w:rPr>
              <w:t>)</w:t>
            </w:r>
          </w:p>
        </w:tc>
      </w:tr>
      <w:tr w:rsidR="00A82907" w:rsidRPr="009B07F5">
        <w:trPr>
          <w:jc w:val="center"/>
        </w:trPr>
        <w:tc>
          <w:tcPr>
            <w:tcW w:w="4223" w:type="dxa"/>
          </w:tcPr>
          <w:p w:rsidR="00A82907" w:rsidRPr="009B07F5" w:rsidRDefault="00A82907" w:rsidP="005B1B64">
            <w:pPr>
              <w:jc w:val="both"/>
              <w:rPr>
                <w:sz w:val="22"/>
                <w:szCs w:val="22"/>
              </w:rPr>
            </w:pPr>
            <w:r w:rsidRPr="009B07F5">
              <w:rPr>
                <w:sz w:val="22"/>
                <w:szCs w:val="22"/>
              </w:rPr>
              <w:t>Rates</w:t>
            </w:r>
          </w:p>
        </w:tc>
        <w:tc>
          <w:tcPr>
            <w:tcW w:w="2722" w:type="dxa"/>
          </w:tcPr>
          <w:p w:rsidR="00A82907" w:rsidRPr="009B07F5" w:rsidRDefault="00A82907" w:rsidP="005B1B64">
            <w:pPr>
              <w:jc w:val="right"/>
              <w:rPr>
                <w:sz w:val="22"/>
                <w:szCs w:val="22"/>
              </w:rPr>
            </w:pPr>
            <w:r w:rsidRPr="009B07F5">
              <w:rPr>
                <w:sz w:val="22"/>
                <w:szCs w:val="22"/>
              </w:rPr>
              <w:t>Funded at actual cost</w:t>
            </w:r>
          </w:p>
        </w:tc>
        <w:tc>
          <w:tcPr>
            <w:tcW w:w="2722" w:type="dxa"/>
          </w:tcPr>
          <w:p w:rsidR="00A82907" w:rsidRPr="009B07F5" w:rsidRDefault="00A82907" w:rsidP="005B1B64">
            <w:pPr>
              <w:jc w:val="right"/>
              <w:rPr>
                <w:sz w:val="22"/>
                <w:szCs w:val="22"/>
              </w:rPr>
            </w:pPr>
            <w:r w:rsidRPr="009B07F5">
              <w:rPr>
                <w:sz w:val="22"/>
                <w:szCs w:val="22"/>
              </w:rPr>
              <w:t>Funded at actual cost</w:t>
            </w:r>
          </w:p>
        </w:tc>
      </w:tr>
      <w:tr w:rsidR="00A82907" w:rsidRPr="009B07F5">
        <w:trPr>
          <w:jc w:val="center"/>
        </w:trPr>
        <w:tc>
          <w:tcPr>
            <w:tcW w:w="4223" w:type="dxa"/>
          </w:tcPr>
          <w:p w:rsidR="00A82907" w:rsidRPr="009B07F5" w:rsidRDefault="00A82907" w:rsidP="005B1B64">
            <w:pPr>
              <w:jc w:val="both"/>
              <w:rPr>
                <w:sz w:val="22"/>
                <w:szCs w:val="22"/>
              </w:rPr>
            </w:pPr>
            <w:r w:rsidRPr="009B07F5">
              <w:rPr>
                <w:sz w:val="22"/>
                <w:szCs w:val="22"/>
              </w:rPr>
              <w:t>Private Finance Initiative (PFI) contracts</w:t>
            </w:r>
          </w:p>
        </w:tc>
        <w:tc>
          <w:tcPr>
            <w:tcW w:w="2722" w:type="dxa"/>
          </w:tcPr>
          <w:p w:rsidR="00A82907" w:rsidRPr="009B07F5" w:rsidRDefault="00A82907" w:rsidP="005B1B64">
            <w:pPr>
              <w:jc w:val="right"/>
              <w:rPr>
                <w:sz w:val="22"/>
                <w:szCs w:val="22"/>
              </w:rPr>
            </w:pPr>
            <w:r w:rsidRPr="009B07F5">
              <w:rPr>
                <w:sz w:val="22"/>
                <w:szCs w:val="22"/>
              </w:rPr>
              <w:t xml:space="preserve">Funded on LA formula </w:t>
            </w:r>
            <w:r w:rsidR="00FF63C7" w:rsidRPr="009B07F5">
              <w:rPr>
                <w:i/>
                <w:iCs/>
                <w:sz w:val="22"/>
                <w:szCs w:val="22"/>
              </w:rPr>
              <w:t>(see paragraph 4</w:t>
            </w:r>
            <w:r w:rsidR="00145FE1">
              <w:rPr>
                <w:i/>
                <w:iCs/>
                <w:sz w:val="22"/>
                <w:szCs w:val="22"/>
              </w:rPr>
              <w:t>.6</w:t>
            </w:r>
            <w:r w:rsidRPr="009B07F5">
              <w:rPr>
                <w:i/>
                <w:iCs/>
                <w:sz w:val="22"/>
                <w:szCs w:val="22"/>
              </w:rPr>
              <w:t>)</w:t>
            </w:r>
          </w:p>
        </w:tc>
        <w:tc>
          <w:tcPr>
            <w:tcW w:w="2722" w:type="dxa"/>
          </w:tcPr>
          <w:p w:rsidR="00A82907" w:rsidRPr="009B07F5" w:rsidRDefault="00A82907" w:rsidP="005B1B64">
            <w:pPr>
              <w:jc w:val="right"/>
              <w:rPr>
                <w:sz w:val="22"/>
                <w:szCs w:val="22"/>
              </w:rPr>
            </w:pPr>
            <w:r w:rsidRPr="009B07F5">
              <w:rPr>
                <w:sz w:val="22"/>
                <w:szCs w:val="22"/>
              </w:rPr>
              <w:t>Funded on LA formula</w:t>
            </w:r>
          </w:p>
          <w:p w:rsidR="00A82907" w:rsidRPr="009B07F5" w:rsidRDefault="00A82907" w:rsidP="00FF63C7">
            <w:pPr>
              <w:jc w:val="right"/>
              <w:rPr>
                <w:i/>
                <w:iCs/>
                <w:sz w:val="22"/>
                <w:szCs w:val="22"/>
              </w:rPr>
            </w:pPr>
            <w:r w:rsidRPr="009B07F5">
              <w:rPr>
                <w:i/>
                <w:iCs/>
                <w:sz w:val="22"/>
                <w:szCs w:val="22"/>
              </w:rPr>
              <w:t xml:space="preserve">(see paragraph </w:t>
            </w:r>
            <w:r w:rsidR="00FF63C7" w:rsidRPr="009B07F5">
              <w:rPr>
                <w:i/>
                <w:iCs/>
                <w:sz w:val="22"/>
                <w:szCs w:val="22"/>
              </w:rPr>
              <w:t>4</w:t>
            </w:r>
            <w:r w:rsidRPr="009B07F5">
              <w:rPr>
                <w:i/>
                <w:iCs/>
                <w:sz w:val="22"/>
                <w:szCs w:val="22"/>
              </w:rPr>
              <w:t>.</w:t>
            </w:r>
            <w:r w:rsidR="00145FE1">
              <w:rPr>
                <w:i/>
                <w:iCs/>
                <w:sz w:val="22"/>
                <w:szCs w:val="22"/>
              </w:rPr>
              <w:t>6</w:t>
            </w:r>
            <w:r w:rsidRPr="009B07F5">
              <w:rPr>
                <w:i/>
                <w:iCs/>
                <w:sz w:val="22"/>
                <w:szCs w:val="22"/>
              </w:rPr>
              <w:t>)</w:t>
            </w:r>
          </w:p>
        </w:tc>
      </w:tr>
    </w:tbl>
    <w:p w:rsidR="00A82907" w:rsidRPr="009B07F5" w:rsidRDefault="00A82907" w:rsidP="007D6C6B">
      <w:pPr>
        <w:jc w:val="both"/>
        <w:rPr>
          <w:color w:val="FF0000"/>
          <w:sz w:val="22"/>
          <w:szCs w:val="22"/>
        </w:rPr>
      </w:pPr>
    </w:p>
    <w:p w:rsidR="00A82907" w:rsidRPr="009B07F5" w:rsidRDefault="0068569E" w:rsidP="007D6C6B">
      <w:pPr>
        <w:jc w:val="both"/>
        <w:rPr>
          <w:color w:val="FF0000"/>
          <w:sz w:val="22"/>
          <w:szCs w:val="22"/>
        </w:rPr>
      </w:pPr>
      <w:r>
        <w:rPr>
          <w:sz w:val="22"/>
          <w:szCs w:val="22"/>
        </w:rPr>
        <w:t>4.2</w:t>
      </w:r>
      <w:r w:rsidR="00A82907" w:rsidRPr="009B07F5">
        <w:rPr>
          <w:sz w:val="22"/>
          <w:szCs w:val="22"/>
        </w:rPr>
        <w:t xml:space="preserve"> In 2014/15 the Base Amount per Pupil for primary schools and academies included a one-off allocation of £67.11, which was clearly identified in budget statements as being an additional sum that would not be repeated in future years. Budget guidance for 2014/15 advised schools and academies to remove this one-off allocation from any forecasts of funding for 2015/16 onwards. This is the main reason why the Base Amount per Pupil for 2015/16 is quite considerably less than in 2014/15.</w:t>
      </w:r>
    </w:p>
    <w:p w:rsidR="00A82907" w:rsidRPr="009B07F5" w:rsidRDefault="00A82907" w:rsidP="007D6C6B">
      <w:pPr>
        <w:jc w:val="both"/>
        <w:rPr>
          <w:color w:val="FF0000"/>
          <w:sz w:val="22"/>
          <w:szCs w:val="22"/>
        </w:rPr>
      </w:pPr>
    </w:p>
    <w:p w:rsidR="00A82907" w:rsidRPr="00DA6DE7" w:rsidRDefault="0068569E" w:rsidP="00612E39">
      <w:pPr>
        <w:jc w:val="both"/>
        <w:rPr>
          <w:sz w:val="22"/>
          <w:szCs w:val="22"/>
        </w:rPr>
      </w:pPr>
      <w:r>
        <w:rPr>
          <w:sz w:val="22"/>
          <w:szCs w:val="22"/>
        </w:rPr>
        <w:t>4.3</w:t>
      </w:r>
      <w:r w:rsidR="00A82907" w:rsidRPr="009B07F5">
        <w:rPr>
          <w:sz w:val="22"/>
          <w:szCs w:val="22"/>
        </w:rPr>
        <w:t xml:space="preserve"> The proposed approach means that we will continue to use the factors, where we have some choice about how these are used, in the following way:</w:t>
      </w:r>
    </w:p>
    <w:p w:rsidR="00A82907" w:rsidRPr="00DA6DE7" w:rsidRDefault="00A82907" w:rsidP="00612E39">
      <w:pPr>
        <w:jc w:val="both"/>
        <w:rPr>
          <w:sz w:val="22"/>
          <w:szCs w:val="22"/>
          <w:highlight w:val="yellow"/>
        </w:rPr>
      </w:pPr>
    </w:p>
    <w:p w:rsidR="00A82907" w:rsidRDefault="00A82907" w:rsidP="008F7D29">
      <w:pPr>
        <w:numPr>
          <w:ilvl w:val="0"/>
          <w:numId w:val="38"/>
        </w:numPr>
        <w:jc w:val="both"/>
        <w:rPr>
          <w:sz w:val="22"/>
          <w:szCs w:val="22"/>
        </w:rPr>
      </w:pPr>
      <w:r>
        <w:rPr>
          <w:b/>
          <w:bCs/>
          <w:sz w:val="22"/>
          <w:szCs w:val="22"/>
        </w:rPr>
        <w:t>Base Amount per Pupil – Primary</w:t>
      </w:r>
      <w:r>
        <w:rPr>
          <w:sz w:val="22"/>
          <w:szCs w:val="22"/>
        </w:rPr>
        <w:t xml:space="preserve">: including the Reception Uplift factor to support </w:t>
      </w:r>
      <w:r w:rsidRPr="008F7D29">
        <w:rPr>
          <w:sz w:val="22"/>
          <w:szCs w:val="22"/>
        </w:rPr>
        <w:t>schools</w:t>
      </w:r>
      <w:r>
        <w:rPr>
          <w:sz w:val="22"/>
          <w:szCs w:val="22"/>
        </w:rPr>
        <w:t xml:space="preserve"> and academies taking in Reception pupils between the October and January Censuses; this also supports schools with higher levels of mobility. </w:t>
      </w:r>
    </w:p>
    <w:p w:rsidR="00A82907" w:rsidRPr="008F7D29" w:rsidRDefault="00A82907" w:rsidP="001218F9">
      <w:pPr>
        <w:ind w:left="720"/>
        <w:jc w:val="both"/>
        <w:rPr>
          <w:sz w:val="22"/>
          <w:szCs w:val="22"/>
        </w:rPr>
      </w:pPr>
    </w:p>
    <w:p w:rsidR="00A82907" w:rsidRDefault="00A82907" w:rsidP="00DA6DE7">
      <w:pPr>
        <w:numPr>
          <w:ilvl w:val="0"/>
          <w:numId w:val="38"/>
        </w:numPr>
        <w:jc w:val="both"/>
        <w:rPr>
          <w:sz w:val="22"/>
          <w:szCs w:val="22"/>
        </w:rPr>
      </w:pPr>
      <w:r w:rsidRPr="00DA6DE7">
        <w:rPr>
          <w:b/>
          <w:bCs/>
          <w:sz w:val="22"/>
          <w:szCs w:val="22"/>
        </w:rPr>
        <w:t>Deprivation - Ever 6 FSM</w:t>
      </w:r>
      <w:r w:rsidRPr="00DA6DE7">
        <w:rPr>
          <w:sz w:val="22"/>
          <w:szCs w:val="22"/>
        </w:rPr>
        <w:t>: the % of pupils on roll where the FSM indicator is TRUE in any of the censuses in the last 6 years</w:t>
      </w:r>
    </w:p>
    <w:p w:rsidR="00A82907" w:rsidRPr="00DA6DE7" w:rsidRDefault="00A82907" w:rsidP="0000743C">
      <w:pPr>
        <w:ind w:left="357"/>
        <w:jc w:val="both"/>
        <w:rPr>
          <w:sz w:val="22"/>
          <w:szCs w:val="22"/>
        </w:rPr>
      </w:pPr>
    </w:p>
    <w:p w:rsidR="00A82907" w:rsidRPr="00DA6DE7" w:rsidRDefault="00A82907" w:rsidP="00DA6DE7">
      <w:pPr>
        <w:numPr>
          <w:ilvl w:val="0"/>
          <w:numId w:val="38"/>
        </w:numPr>
        <w:jc w:val="both"/>
        <w:rPr>
          <w:sz w:val="22"/>
          <w:szCs w:val="22"/>
        </w:rPr>
      </w:pPr>
      <w:r w:rsidRPr="00DA6DE7">
        <w:rPr>
          <w:b/>
          <w:bCs/>
          <w:sz w:val="22"/>
          <w:szCs w:val="22"/>
        </w:rPr>
        <w:t>Deprivation IDACI Bands 0 - 6</w:t>
      </w:r>
      <w:r w:rsidRPr="00DA6DE7">
        <w:rPr>
          <w:sz w:val="22"/>
          <w:szCs w:val="22"/>
        </w:rPr>
        <w:t>: the % of pupils with an IDACI score in each band 0 – 6. IDACI is calculated based on the postcodes of pupils recorded in the October Census. The proposed we</w:t>
      </w:r>
      <w:r>
        <w:rPr>
          <w:sz w:val="22"/>
          <w:szCs w:val="22"/>
        </w:rPr>
        <w:t>ightings are unchanged from 2014/15</w:t>
      </w:r>
      <w:r w:rsidRPr="00DA6DE7">
        <w:rPr>
          <w:sz w:val="22"/>
          <w:szCs w:val="22"/>
        </w:rPr>
        <w:t xml:space="preserve"> and are as follows:</w:t>
      </w:r>
    </w:p>
    <w:p w:rsidR="00A82907" w:rsidRPr="00DA6DE7" w:rsidRDefault="00A82907" w:rsidP="00DA6DE7">
      <w:pPr>
        <w:ind w:left="357"/>
        <w:jc w:val="both"/>
        <w:rPr>
          <w:b/>
          <w:bCs/>
          <w:sz w:val="22"/>
          <w:szCs w:val="22"/>
        </w:rPr>
      </w:pPr>
    </w:p>
    <w:tbl>
      <w:tblPr>
        <w:tblW w:w="0" w:type="auto"/>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2084"/>
        <w:gridCol w:w="1900"/>
        <w:gridCol w:w="1900"/>
      </w:tblGrid>
      <w:tr w:rsidR="00A82907" w:rsidRPr="00DA6DE7">
        <w:tc>
          <w:tcPr>
            <w:tcW w:w="1816" w:type="dxa"/>
          </w:tcPr>
          <w:p w:rsidR="00A82907" w:rsidRPr="00DA6DE7" w:rsidRDefault="00A82907" w:rsidP="007B1969">
            <w:pPr>
              <w:jc w:val="both"/>
              <w:rPr>
                <w:b/>
                <w:bCs/>
                <w:sz w:val="22"/>
                <w:szCs w:val="22"/>
              </w:rPr>
            </w:pPr>
            <w:r w:rsidRPr="00DA6DE7">
              <w:rPr>
                <w:b/>
                <w:bCs/>
                <w:sz w:val="22"/>
                <w:szCs w:val="22"/>
              </w:rPr>
              <w:t>IDACI Band</w:t>
            </w:r>
          </w:p>
        </w:tc>
        <w:tc>
          <w:tcPr>
            <w:tcW w:w="2084" w:type="dxa"/>
          </w:tcPr>
          <w:p w:rsidR="00A82907" w:rsidRPr="00DA6DE7" w:rsidRDefault="00A82907" w:rsidP="007B1969">
            <w:pPr>
              <w:jc w:val="center"/>
              <w:rPr>
                <w:b/>
                <w:bCs/>
                <w:sz w:val="22"/>
                <w:szCs w:val="22"/>
              </w:rPr>
            </w:pPr>
            <w:r w:rsidRPr="00DA6DE7">
              <w:rPr>
                <w:b/>
                <w:bCs/>
                <w:sz w:val="22"/>
                <w:szCs w:val="22"/>
              </w:rPr>
              <w:t>IDACI Score - Lowest</w:t>
            </w:r>
          </w:p>
        </w:tc>
        <w:tc>
          <w:tcPr>
            <w:tcW w:w="1900" w:type="dxa"/>
          </w:tcPr>
          <w:p w:rsidR="00A82907" w:rsidRPr="00DA6DE7" w:rsidRDefault="00A82907" w:rsidP="007B1969">
            <w:pPr>
              <w:jc w:val="center"/>
              <w:rPr>
                <w:b/>
                <w:bCs/>
                <w:sz w:val="22"/>
                <w:szCs w:val="22"/>
              </w:rPr>
            </w:pPr>
            <w:r w:rsidRPr="00DA6DE7">
              <w:rPr>
                <w:b/>
                <w:bCs/>
                <w:sz w:val="22"/>
                <w:szCs w:val="22"/>
              </w:rPr>
              <w:t>IDACI Score - Highest</w:t>
            </w:r>
          </w:p>
        </w:tc>
        <w:tc>
          <w:tcPr>
            <w:tcW w:w="1900" w:type="dxa"/>
          </w:tcPr>
          <w:p w:rsidR="00A82907" w:rsidRPr="00DA6DE7" w:rsidRDefault="00A82907" w:rsidP="007B1969">
            <w:pPr>
              <w:jc w:val="center"/>
              <w:rPr>
                <w:b/>
                <w:bCs/>
                <w:sz w:val="22"/>
                <w:szCs w:val="22"/>
              </w:rPr>
            </w:pPr>
            <w:r w:rsidRPr="00DA6DE7">
              <w:rPr>
                <w:b/>
                <w:bCs/>
                <w:sz w:val="22"/>
                <w:szCs w:val="22"/>
              </w:rPr>
              <w:t>Proposed Weighting</w:t>
            </w:r>
          </w:p>
        </w:tc>
      </w:tr>
      <w:tr w:rsidR="00A82907" w:rsidRPr="00DA6DE7">
        <w:tc>
          <w:tcPr>
            <w:tcW w:w="1816" w:type="dxa"/>
          </w:tcPr>
          <w:p w:rsidR="00A82907" w:rsidRPr="00DA6DE7" w:rsidRDefault="00A82907" w:rsidP="007B1969">
            <w:pPr>
              <w:jc w:val="both"/>
              <w:rPr>
                <w:sz w:val="22"/>
                <w:szCs w:val="22"/>
              </w:rPr>
            </w:pPr>
            <w:r w:rsidRPr="00DA6DE7">
              <w:rPr>
                <w:sz w:val="22"/>
                <w:szCs w:val="22"/>
              </w:rPr>
              <w:t>Band 1</w:t>
            </w:r>
          </w:p>
        </w:tc>
        <w:tc>
          <w:tcPr>
            <w:tcW w:w="2084" w:type="dxa"/>
          </w:tcPr>
          <w:p w:rsidR="00A82907" w:rsidRPr="00DA6DE7" w:rsidRDefault="00A82907" w:rsidP="007B1969">
            <w:pPr>
              <w:jc w:val="center"/>
              <w:rPr>
                <w:sz w:val="22"/>
                <w:szCs w:val="22"/>
              </w:rPr>
            </w:pPr>
            <w:r w:rsidRPr="00DA6DE7">
              <w:rPr>
                <w:sz w:val="22"/>
                <w:szCs w:val="22"/>
              </w:rPr>
              <w:t>0.20</w:t>
            </w:r>
          </w:p>
        </w:tc>
        <w:tc>
          <w:tcPr>
            <w:tcW w:w="1900" w:type="dxa"/>
          </w:tcPr>
          <w:p w:rsidR="00A82907" w:rsidRPr="00DA6DE7" w:rsidRDefault="00A82907" w:rsidP="007B1969">
            <w:pPr>
              <w:jc w:val="center"/>
              <w:rPr>
                <w:sz w:val="22"/>
                <w:szCs w:val="22"/>
              </w:rPr>
            </w:pPr>
            <w:r w:rsidRPr="00DA6DE7">
              <w:rPr>
                <w:sz w:val="22"/>
                <w:szCs w:val="22"/>
              </w:rPr>
              <w:t>0.25</w:t>
            </w:r>
          </w:p>
        </w:tc>
        <w:tc>
          <w:tcPr>
            <w:tcW w:w="1900" w:type="dxa"/>
          </w:tcPr>
          <w:p w:rsidR="00A82907" w:rsidRPr="00DA6DE7" w:rsidRDefault="00A82907" w:rsidP="007B1969">
            <w:pPr>
              <w:jc w:val="center"/>
              <w:rPr>
                <w:sz w:val="22"/>
                <w:szCs w:val="22"/>
              </w:rPr>
            </w:pPr>
            <w:r w:rsidRPr="00DA6DE7">
              <w:rPr>
                <w:sz w:val="22"/>
                <w:szCs w:val="22"/>
              </w:rPr>
              <w:t>1.00</w:t>
            </w:r>
          </w:p>
        </w:tc>
      </w:tr>
      <w:tr w:rsidR="00A82907" w:rsidRPr="00DA6DE7">
        <w:tc>
          <w:tcPr>
            <w:tcW w:w="1816" w:type="dxa"/>
          </w:tcPr>
          <w:p w:rsidR="00A82907" w:rsidRPr="00DA6DE7" w:rsidRDefault="00A82907" w:rsidP="007B1969">
            <w:pPr>
              <w:jc w:val="both"/>
              <w:rPr>
                <w:sz w:val="22"/>
                <w:szCs w:val="22"/>
              </w:rPr>
            </w:pPr>
            <w:r w:rsidRPr="00DA6DE7">
              <w:rPr>
                <w:sz w:val="22"/>
                <w:szCs w:val="22"/>
              </w:rPr>
              <w:t>Band 2</w:t>
            </w:r>
          </w:p>
        </w:tc>
        <w:tc>
          <w:tcPr>
            <w:tcW w:w="2084" w:type="dxa"/>
          </w:tcPr>
          <w:p w:rsidR="00A82907" w:rsidRPr="00DA6DE7" w:rsidRDefault="00A82907" w:rsidP="007B1969">
            <w:pPr>
              <w:jc w:val="center"/>
              <w:rPr>
                <w:sz w:val="22"/>
                <w:szCs w:val="22"/>
              </w:rPr>
            </w:pPr>
            <w:r w:rsidRPr="00DA6DE7">
              <w:rPr>
                <w:sz w:val="22"/>
                <w:szCs w:val="22"/>
              </w:rPr>
              <w:t>0.25</w:t>
            </w:r>
          </w:p>
        </w:tc>
        <w:tc>
          <w:tcPr>
            <w:tcW w:w="1900" w:type="dxa"/>
          </w:tcPr>
          <w:p w:rsidR="00A82907" w:rsidRPr="00DA6DE7" w:rsidRDefault="00A82907" w:rsidP="007B1969">
            <w:pPr>
              <w:jc w:val="center"/>
              <w:rPr>
                <w:sz w:val="22"/>
                <w:szCs w:val="22"/>
              </w:rPr>
            </w:pPr>
            <w:r w:rsidRPr="00DA6DE7">
              <w:rPr>
                <w:sz w:val="22"/>
                <w:szCs w:val="22"/>
              </w:rPr>
              <w:t>0.30</w:t>
            </w:r>
          </w:p>
        </w:tc>
        <w:tc>
          <w:tcPr>
            <w:tcW w:w="1900" w:type="dxa"/>
          </w:tcPr>
          <w:p w:rsidR="00A82907" w:rsidRPr="00DA6DE7" w:rsidRDefault="00A82907" w:rsidP="007B1969">
            <w:pPr>
              <w:jc w:val="center"/>
              <w:rPr>
                <w:sz w:val="22"/>
                <w:szCs w:val="22"/>
              </w:rPr>
            </w:pPr>
            <w:r w:rsidRPr="00DA6DE7">
              <w:rPr>
                <w:sz w:val="22"/>
                <w:szCs w:val="22"/>
              </w:rPr>
              <w:t>1.25</w:t>
            </w:r>
          </w:p>
        </w:tc>
      </w:tr>
      <w:tr w:rsidR="00A82907" w:rsidRPr="00DA6DE7">
        <w:tc>
          <w:tcPr>
            <w:tcW w:w="1816" w:type="dxa"/>
          </w:tcPr>
          <w:p w:rsidR="00A82907" w:rsidRPr="00DA6DE7" w:rsidRDefault="00A82907" w:rsidP="007B1969">
            <w:pPr>
              <w:jc w:val="both"/>
              <w:rPr>
                <w:sz w:val="22"/>
                <w:szCs w:val="22"/>
              </w:rPr>
            </w:pPr>
            <w:r w:rsidRPr="00DA6DE7">
              <w:rPr>
                <w:sz w:val="22"/>
                <w:szCs w:val="22"/>
              </w:rPr>
              <w:t>Band 3</w:t>
            </w:r>
          </w:p>
        </w:tc>
        <w:tc>
          <w:tcPr>
            <w:tcW w:w="2084" w:type="dxa"/>
          </w:tcPr>
          <w:p w:rsidR="00A82907" w:rsidRPr="00DA6DE7" w:rsidRDefault="00A82907" w:rsidP="007B1969">
            <w:pPr>
              <w:jc w:val="center"/>
              <w:rPr>
                <w:sz w:val="22"/>
                <w:szCs w:val="22"/>
              </w:rPr>
            </w:pPr>
            <w:r w:rsidRPr="00DA6DE7">
              <w:rPr>
                <w:sz w:val="22"/>
                <w:szCs w:val="22"/>
              </w:rPr>
              <w:t>0.30</w:t>
            </w:r>
          </w:p>
        </w:tc>
        <w:tc>
          <w:tcPr>
            <w:tcW w:w="1900" w:type="dxa"/>
          </w:tcPr>
          <w:p w:rsidR="00A82907" w:rsidRPr="00DA6DE7" w:rsidRDefault="00A82907" w:rsidP="007B1969">
            <w:pPr>
              <w:jc w:val="center"/>
              <w:rPr>
                <w:sz w:val="22"/>
                <w:szCs w:val="22"/>
              </w:rPr>
            </w:pPr>
            <w:r w:rsidRPr="00DA6DE7">
              <w:rPr>
                <w:sz w:val="22"/>
                <w:szCs w:val="22"/>
              </w:rPr>
              <w:t>0.40</w:t>
            </w:r>
          </w:p>
        </w:tc>
        <w:tc>
          <w:tcPr>
            <w:tcW w:w="1900" w:type="dxa"/>
          </w:tcPr>
          <w:p w:rsidR="00A82907" w:rsidRPr="00DA6DE7" w:rsidRDefault="00A82907" w:rsidP="007B1969">
            <w:pPr>
              <w:jc w:val="center"/>
              <w:rPr>
                <w:sz w:val="22"/>
                <w:szCs w:val="22"/>
              </w:rPr>
            </w:pPr>
            <w:r w:rsidRPr="00DA6DE7">
              <w:rPr>
                <w:sz w:val="22"/>
                <w:szCs w:val="22"/>
              </w:rPr>
              <w:t>1.50</w:t>
            </w:r>
          </w:p>
        </w:tc>
      </w:tr>
      <w:tr w:rsidR="00A82907" w:rsidRPr="00DA6DE7">
        <w:tc>
          <w:tcPr>
            <w:tcW w:w="1816" w:type="dxa"/>
          </w:tcPr>
          <w:p w:rsidR="00A82907" w:rsidRPr="00DA6DE7" w:rsidRDefault="00A82907" w:rsidP="007B1969">
            <w:pPr>
              <w:jc w:val="both"/>
              <w:rPr>
                <w:sz w:val="22"/>
                <w:szCs w:val="22"/>
              </w:rPr>
            </w:pPr>
            <w:r w:rsidRPr="00DA6DE7">
              <w:rPr>
                <w:sz w:val="22"/>
                <w:szCs w:val="22"/>
              </w:rPr>
              <w:t>Band 4</w:t>
            </w:r>
          </w:p>
        </w:tc>
        <w:tc>
          <w:tcPr>
            <w:tcW w:w="2084" w:type="dxa"/>
          </w:tcPr>
          <w:p w:rsidR="00A82907" w:rsidRPr="00DA6DE7" w:rsidRDefault="00A82907" w:rsidP="007B1969">
            <w:pPr>
              <w:jc w:val="center"/>
              <w:rPr>
                <w:sz w:val="22"/>
                <w:szCs w:val="22"/>
              </w:rPr>
            </w:pPr>
            <w:r w:rsidRPr="00DA6DE7">
              <w:rPr>
                <w:sz w:val="22"/>
                <w:szCs w:val="22"/>
              </w:rPr>
              <w:t>0.40</w:t>
            </w:r>
          </w:p>
        </w:tc>
        <w:tc>
          <w:tcPr>
            <w:tcW w:w="1900" w:type="dxa"/>
          </w:tcPr>
          <w:p w:rsidR="00A82907" w:rsidRPr="00DA6DE7" w:rsidRDefault="00A82907" w:rsidP="007B1969">
            <w:pPr>
              <w:jc w:val="center"/>
              <w:rPr>
                <w:sz w:val="22"/>
                <w:szCs w:val="22"/>
              </w:rPr>
            </w:pPr>
            <w:r w:rsidRPr="00DA6DE7">
              <w:rPr>
                <w:sz w:val="22"/>
                <w:szCs w:val="22"/>
              </w:rPr>
              <w:t>0.50</w:t>
            </w:r>
          </w:p>
        </w:tc>
        <w:tc>
          <w:tcPr>
            <w:tcW w:w="1900" w:type="dxa"/>
          </w:tcPr>
          <w:p w:rsidR="00A82907" w:rsidRPr="00DA6DE7" w:rsidRDefault="00A82907" w:rsidP="007B1969">
            <w:pPr>
              <w:jc w:val="center"/>
              <w:rPr>
                <w:sz w:val="22"/>
                <w:szCs w:val="22"/>
              </w:rPr>
            </w:pPr>
            <w:r w:rsidRPr="00DA6DE7">
              <w:rPr>
                <w:sz w:val="22"/>
                <w:szCs w:val="22"/>
              </w:rPr>
              <w:t>1.75</w:t>
            </w:r>
          </w:p>
        </w:tc>
      </w:tr>
      <w:tr w:rsidR="00A82907" w:rsidRPr="00DA6DE7">
        <w:tc>
          <w:tcPr>
            <w:tcW w:w="1816" w:type="dxa"/>
          </w:tcPr>
          <w:p w:rsidR="00A82907" w:rsidRPr="00DA6DE7" w:rsidRDefault="00A82907" w:rsidP="007B1969">
            <w:pPr>
              <w:jc w:val="both"/>
              <w:rPr>
                <w:sz w:val="22"/>
                <w:szCs w:val="22"/>
              </w:rPr>
            </w:pPr>
            <w:r w:rsidRPr="00DA6DE7">
              <w:rPr>
                <w:sz w:val="22"/>
                <w:szCs w:val="22"/>
              </w:rPr>
              <w:t>Band 5</w:t>
            </w:r>
          </w:p>
        </w:tc>
        <w:tc>
          <w:tcPr>
            <w:tcW w:w="2084" w:type="dxa"/>
          </w:tcPr>
          <w:p w:rsidR="00A82907" w:rsidRPr="00DA6DE7" w:rsidRDefault="00A82907" w:rsidP="007B1969">
            <w:pPr>
              <w:jc w:val="center"/>
              <w:rPr>
                <w:sz w:val="22"/>
                <w:szCs w:val="22"/>
              </w:rPr>
            </w:pPr>
            <w:r w:rsidRPr="00DA6DE7">
              <w:rPr>
                <w:sz w:val="22"/>
                <w:szCs w:val="22"/>
              </w:rPr>
              <w:t>0.50</w:t>
            </w:r>
          </w:p>
        </w:tc>
        <w:tc>
          <w:tcPr>
            <w:tcW w:w="1900" w:type="dxa"/>
          </w:tcPr>
          <w:p w:rsidR="00A82907" w:rsidRPr="00DA6DE7" w:rsidRDefault="00A82907" w:rsidP="007B1969">
            <w:pPr>
              <w:jc w:val="center"/>
              <w:rPr>
                <w:sz w:val="22"/>
                <w:szCs w:val="22"/>
              </w:rPr>
            </w:pPr>
            <w:r w:rsidRPr="00DA6DE7">
              <w:rPr>
                <w:sz w:val="22"/>
                <w:szCs w:val="22"/>
              </w:rPr>
              <w:t>0.60</w:t>
            </w:r>
          </w:p>
        </w:tc>
        <w:tc>
          <w:tcPr>
            <w:tcW w:w="1900" w:type="dxa"/>
          </w:tcPr>
          <w:p w:rsidR="00A82907" w:rsidRPr="00DA6DE7" w:rsidRDefault="00A82907" w:rsidP="007B1969">
            <w:pPr>
              <w:jc w:val="center"/>
              <w:rPr>
                <w:sz w:val="22"/>
                <w:szCs w:val="22"/>
              </w:rPr>
            </w:pPr>
            <w:r w:rsidRPr="00DA6DE7">
              <w:rPr>
                <w:sz w:val="22"/>
                <w:szCs w:val="22"/>
              </w:rPr>
              <w:t>2.25</w:t>
            </w:r>
          </w:p>
        </w:tc>
      </w:tr>
      <w:tr w:rsidR="00A82907" w:rsidRPr="00DA6DE7">
        <w:tc>
          <w:tcPr>
            <w:tcW w:w="1816" w:type="dxa"/>
          </w:tcPr>
          <w:p w:rsidR="00A82907" w:rsidRPr="00DA6DE7" w:rsidRDefault="00A82907" w:rsidP="007B1969">
            <w:pPr>
              <w:jc w:val="both"/>
              <w:rPr>
                <w:sz w:val="22"/>
                <w:szCs w:val="22"/>
              </w:rPr>
            </w:pPr>
            <w:r w:rsidRPr="00DA6DE7">
              <w:rPr>
                <w:sz w:val="22"/>
                <w:szCs w:val="22"/>
              </w:rPr>
              <w:t>Band 6</w:t>
            </w:r>
          </w:p>
        </w:tc>
        <w:tc>
          <w:tcPr>
            <w:tcW w:w="2084" w:type="dxa"/>
          </w:tcPr>
          <w:p w:rsidR="00A82907" w:rsidRPr="00DA6DE7" w:rsidRDefault="00A82907" w:rsidP="007B1969">
            <w:pPr>
              <w:jc w:val="center"/>
              <w:rPr>
                <w:sz w:val="22"/>
                <w:szCs w:val="22"/>
              </w:rPr>
            </w:pPr>
            <w:r w:rsidRPr="00DA6DE7">
              <w:rPr>
                <w:sz w:val="22"/>
                <w:szCs w:val="22"/>
              </w:rPr>
              <w:t>0.60</w:t>
            </w:r>
          </w:p>
        </w:tc>
        <w:tc>
          <w:tcPr>
            <w:tcW w:w="1900" w:type="dxa"/>
          </w:tcPr>
          <w:p w:rsidR="00A82907" w:rsidRPr="00DA6DE7" w:rsidRDefault="00A82907" w:rsidP="007B1969">
            <w:pPr>
              <w:jc w:val="center"/>
              <w:rPr>
                <w:sz w:val="22"/>
                <w:szCs w:val="22"/>
              </w:rPr>
            </w:pPr>
            <w:r w:rsidRPr="00DA6DE7">
              <w:rPr>
                <w:sz w:val="22"/>
                <w:szCs w:val="22"/>
              </w:rPr>
              <w:t>1.00</w:t>
            </w:r>
          </w:p>
        </w:tc>
        <w:tc>
          <w:tcPr>
            <w:tcW w:w="1900" w:type="dxa"/>
          </w:tcPr>
          <w:p w:rsidR="00A82907" w:rsidRPr="00DA6DE7" w:rsidRDefault="00A82907" w:rsidP="007B1969">
            <w:pPr>
              <w:jc w:val="center"/>
              <w:rPr>
                <w:sz w:val="22"/>
                <w:szCs w:val="22"/>
              </w:rPr>
            </w:pPr>
            <w:r w:rsidRPr="00DA6DE7">
              <w:rPr>
                <w:sz w:val="22"/>
                <w:szCs w:val="22"/>
              </w:rPr>
              <w:t>2.75</w:t>
            </w:r>
          </w:p>
        </w:tc>
      </w:tr>
    </w:tbl>
    <w:p w:rsidR="00A82907" w:rsidRPr="00DA6DE7" w:rsidRDefault="00A82907" w:rsidP="00DA6DE7">
      <w:pPr>
        <w:ind w:left="357"/>
        <w:jc w:val="both"/>
        <w:rPr>
          <w:sz w:val="22"/>
          <w:szCs w:val="22"/>
        </w:rPr>
      </w:pPr>
    </w:p>
    <w:p w:rsidR="00A82907" w:rsidRPr="00FF63C7" w:rsidRDefault="00A82907" w:rsidP="00DA6DE7">
      <w:pPr>
        <w:numPr>
          <w:ilvl w:val="0"/>
          <w:numId w:val="36"/>
        </w:numPr>
        <w:jc w:val="both"/>
        <w:rPr>
          <w:b/>
          <w:bCs/>
          <w:sz w:val="22"/>
          <w:szCs w:val="22"/>
        </w:rPr>
      </w:pPr>
      <w:r w:rsidRPr="00FF63C7">
        <w:rPr>
          <w:b/>
          <w:bCs/>
          <w:sz w:val="22"/>
          <w:szCs w:val="22"/>
        </w:rPr>
        <w:t>SEN Low Prior Attainment Primary</w:t>
      </w:r>
      <w:r w:rsidRPr="00FF63C7">
        <w:rPr>
          <w:sz w:val="22"/>
          <w:szCs w:val="22"/>
        </w:rPr>
        <w:t>: the % of youngest appropriate year group that received less than 73 points on their Early Years Foundation Stage Profile (EYFSP) plus the number of pupils in year 1 and year 2 who did not achieve “a good level of development” under the new EYFSP</w:t>
      </w:r>
    </w:p>
    <w:p w:rsidR="00A82907" w:rsidRPr="00DA6DE7" w:rsidRDefault="00A82907" w:rsidP="0000743C">
      <w:pPr>
        <w:ind w:left="360"/>
        <w:jc w:val="both"/>
        <w:rPr>
          <w:b/>
          <w:bCs/>
          <w:sz w:val="22"/>
          <w:szCs w:val="22"/>
        </w:rPr>
      </w:pPr>
    </w:p>
    <w:p w:rsidR="00A82907" w:rsidRPr="002A462C" w:rsidRDefault="00A82907" w:rsidP="00DA6DE7">
      <w:pPr>
        <w:numPr>
          <w:ilvl w:val="0"/>
          <w:numId w:val="36"/>
        </w:numPr>
        <w:jc w:val="both"/>
        <w:rPr>
          <w:b/>
          <w:bCs/>
          <w:sz w:val="22"/>
          <w:szCs w:val="22"/>
        </w:rPr>
      </w:pPr>
      <w:r w:rsidRPr="00DA6DE7">
        <w:rPr>
          <w:b/>
          <w:bCs/>
          <w:sz w:val="22"/>
          <w:szCs w:val="22"/>
        </w:rPr>
        <w:t>English as an Additional Language (EAL) 3</w:t>
      </w:r>
      <w:r>
        <w:rPr>
          <w:sz w:val="22"/>
          <w:szCs w:val="22"/>
        </w:rPr>
        <w:t>: t</w:t>
      </w:r>
      <w:r w:rsidRPr="0000743C">
        <w:rPr>
          <w:sz w:val="22"/>
          <w:szCs w:val="22"/>
        </w:rPr>
        <w:t>he % of pupils whose first language is not English and who are appearing on the school census for the first, second or third year</w:t>
      </w:r>
      <w:r>
        <w:rPr>
          <w:sz w:val="22"/>
          <w:szCs w:val="22"/>
        </w:rPr>
        <w:t>.</w:t>
      </w:r>
    </w:p>
    <w:p w:rsidR="00AA5E6D" w:rsidRPr="00DA6DE7" w:rsidRDefault="00AA5E6D" w:rsidP="00612E39">
      <w:pPr>
        <w:jc w:val="both"/>
        <w:rPr>
          <w:sz w:val="22"/>
          <w:szCs w:val="22"/>
          <w:highlight w:val="green"/>
        </w:rPr>
      </w:pPr>
    </w:p>
    <w:p w:rsidR="00A82907" w:rsidRPr="00DA6DE7" w:rsidRDefault="0068569E" w:rsidP="00612E39">
      <w:pPr>
        <w:jc w:val="both"/>
        <w:rPr>
          <w:sz w:val="22"/>
          <w:szCs w:val="22"/>
        </w:rPr>
      </w:pPr>
      <w:r>
        <w:rPr>
          <w:sz w:val="22"/>
          <w:szCs w:val="22"/>
        </w:rPr>
        <w:t>4.4</w:t>
      </w:r>
      <w:r w:rsidR="00A82907" w:rsidRPr="00DA6DE7">
        <w:rPr>
          <w:sz w:val="22"/>
          <w:szCs w:val="22"/>
        </w:rPr>
        <w:t xml:space="preserve"> This proposed approach also means that we will not employ the fo</w:t>
      </w:r>
      <w:r w:rsidR="00A82907">
        <w:rPr>
          <w:sz w:val="22"/>
          <w:szCs w:val="22"/>
        </w:rPr>
        <w:t>llowing optional factors in 2015/16</w:t>
      </w:r>
      <w:r w:rsidR="00A82907" w:rsidRPr="00DA6DE7">
        <w:rPr>
          <w:sz w:val="22"/>
          <w:szCs w:val="22"/>
        </w:rPr>
        <w:t>:</w:t>
      </w:r>
    </w:p>
    <w:p w:rsidR="00A82907" w:rsidRPr="007944E5" w:rsidRDefault="00A82907" w:rsidP="00080DF0">
      <w:pPr>
        <w:ind w:left="357"/>
        <w:jc w:val="both"/>
        <w:rPr>
          <w:sz w:val="22"/>
          <w:szCs w:val="22"/>
        </w:rPr>
      </w:pPr>
    </w:p>
    <w:p w:rsidR="00A82907" w:rsidRPr="007944E5" w:rsidRDefault="00A82907" w:rsidP="00080DF0">
      <w:pPr>
        <w:numPr>
          <w:ilvl w:val="0"/>
          <w:numId w:val="32"/>
        </w:numPr>
        <w:jc w:val="both"/>
        <w:rPr>
          <w:sz w:val="22"/>
          <w:szCs w:val="22"/>
        </w:rPr>
      </w:pPr>
      <w:proofErr w:type="spellStart"/>
      <w:r w:rsidRPr="007944E5">
        <w:rPr>
          <w:sz w:val="22"/>
          <w:szCs w:val="22"/>
        </w:rPr>
        <w:t>Sparsity</w:t>
      </w:r>
      <w:proofErr w:type="spellEnd"/>
      <w:r w:rsidRPr="007944E5">
        <w:rPr>
          <w:sz w:val="22"/>
          <w:szCs w:val="22"/>
        </w:rPr>
        <w:t xml:space="preserve"> Factor - the </w:t>
      </w:r>
      <w:proofErr w:type="spellStart"/>
      <w:r w:rsidRPr="007944E5">
        <w:rPr>
          <w:sz w:val="22"/>
          <w:szCs w:val="22"/>
        </w:rPr>
        <w:t>sparsity</w:t>
      </w:r>
      <w:proofErr w:type="spellEnd"/>
      <w:r w:rsidRPr="007944E5">
        <w:rPr>
          <w:sz w:val="22"/>
          <w:szCs w:val="22"/>
        </w:rPr>
        <w:t xml:space="preserve"> factor </w:t>
      </w:r>
      <w:r>
        <w:rPr>
          <w:sz w:val="22"/>
          <w:szCs w:val="22"/>
        </w:rPr>
        <w:t>is not applicable to any school</w:t>
      </w:r>
      <w:r w:rsidRPr="007944E5">
        <w:rPr>
          <w:sz w:val="22"/>
          <w:szCs w:val="22"/>
        </w:rPr>
        <w:t xml:space="preserve"> / academ</w:t>
      </w:r>
      <w:r>
        <w:rPr>
          <w:sz w:val="22"/>
          <w:szCs w:val="22"/>
        </w:rPr>
        <w:t>y</w:t>
      </w:r>
      <w:r w:rsidRPr="007944E5">
        <w:rPr>
          <w:sz w:val="22"/>
          <w:szCs w:val="22"/>
        </w:rPr>
        <w:t xml:space="preserve"> in the Bradford District</w:t>
      </w:r>
    </w:p>
    <w:p w:rsidR="00A82907" w:rsidRPr="00FF63C7" w:rsidRDefault="00A82907" w:rsidP="00080DF0">
      <w:pPr>
        <w:ind w:left="540"/>
        <w:jc w:val="both"/>
        <w:rPr>
          <w:sz w:val="22"/>
          <w:szCs w:val="22"/>
        </w:rPr>
      </w:pPr>
    </w:p>
    <w:p w:rsidR="00A82907" w:rsidRPr="00FF63C7" w:rsidRDefault="00A82907" w:rsidP="00DF0FEB">
      <w:pPr>
        <w:numPr>
          <w:ilvl w:val="0"/>
          <w:numId w:val="32"/>
        </w:numPr>
        <w:jc w:val="both"/>
        <w:rPr>
          <w:sz w:val="22"/>
          <w:szCs w:val="22"/>
        </w:rPr>
      </w:pPr>
      <w:r w:rsidRPr="00FF63C7">
        <w:rPr>
          <w:sz w:val="22"/>
          <w:szCs w:val="22"/>
        </w:rPr>
        <w:t xml:space="preserve">Looked After Children - it is our view that the Pupil Premium should continue to be the source of funding for Looked After Children, as was the case in 2013/14 and 2014/15. The Pupil Premium is currently set at £1,900 for children who are looked after in 2014/15, which is above our previous value of £1,000. The Pupil Premium rates for 2015/16 have not yet been confirmed, but the </w:t>
      </w:r>
      <w:proofErr w:type="spellStart"/>
      <w:r w:rsidRPr="00FF63C7">
        <w:rPr>
          <w:sz w:val="22"/>
          <w:szCs w:val="22"/>
        </w:rPr>
        <w:t>DfE</w:t>
      </w:r>
      <w:proofErr w:type="spellEnd"/>
      <w:r w:rsidRPr="00FF63C7">
        <w:rPr>
          <w:sz w:val="22"/>
          <w:szCs w:val="22"/>
        </w:rPr>
        <w:t xml:space="preserve"> has previously advised that the Pupil Premium will grow in real terms in 2015/16.</w:t>
      </w:r>
    </w:p>
    <w:p w:rsidR="00A82907" w:rsidRPr="007944E5" w:rsidRDefault="00A82907" w:rsidP="00080DF0">
      <w:pPr>
        <w:jc w:val="both"/>
        <w:rPr>
          <w:sz w:val="22"/>
          <w:szCs w:val="22"/>
        </w:rPr>
      </w:pPr>
    </w:p>
    <w:p w:rsidR="00A82907" w:rsidRDefault="00A82907" w:rsidP="00080DF0">
      <w:pPr>
        <w:numPr>
          <w:ilvl w:val="0"/>
          <w:numId w:val="32"/>
        </w:numPr>
        <w:jc w:val="both"/>
        <w:rPr>
          <w:sz w:val="22"/>
          <w:szCs w:val="22"/>
        </w:rPr>
      </w:pPr>
      <w:r w:rsidRPr="007944E5">
        <w:rPr>
          <w:sz w:val="22"/>
          <w:szCs w:val="22"/>
        </w:rPr>
        <w:t>Post-16 Factor - we took the opportunity to remove post-16 funding factors from the secondary funding formula in 2013/14</w:t>
      </w:r>
    </w:p>
    <w:p w:rsidR="00A82907" w:rsidRPr="00FF4496" w:rsidRDefault="00A82907" w:rsidP="00E11B51">
      <w:pPr>
        <w:pStyle w:val="ListParagraph"/>
        <w:rPr>
          <w:sz w:val="22"/>
          <w:szCs w:val="22"/>
        </w:rPr>
      </w:pPr>
    </w:p>
    <w:p w:rsidR="00A82907" w:rsidRPr="00FF4496" w:rsidRDefault="0068569E" w:rsidP="00E11B51">
      <w:pPr>
        <w:jc w:val="both"/>
        <w:rPr>
          <w:sz w:val="22"/>
          <w:szCs w:val="22"/>
        </w:rPr>
      </w:pPr>
      <w:r>
        <w:rPr>
          <w:sz w:val="22"/>
          <w:szCs w:val="22"/>
        </w:rPr>
        <w:t>4.5</w:t>
      </w:r>
      <w:r w:rsidR="00A82907" w:rsidRPr="00FF4496">
        <w:rPr>
          <w:sz w:val="22"/>
          <w:szCs w:val="22"/>
        </w:rPr>
        <w:t xml:space="preserve"> There is no required change to the operation of the split sites factor in 2015/16; allocations of split sites funding in 2015/16 must continue to be based on objective criteria, both for the definition of a split site and for how much is paid. </w:t>
      </w:r>
    </w:p>
    <w:p w:rsidR="00A82907" w:rsidRPr="00FF4496" w:rsidRDefault="00A82907" w:rsidP="00E11B51">
      <w:pPr>
        <w:jc w:val="both"/>
        <w:rPr>
          <w:sz w:val="22"/>
          <w:szCs w:val="22"/>
        </w:rPr>
      </w:pPr>
    </w:p>
    <w:p w:rsidR="00A82907" w:rsidRPr="00FF4496" w:rsidRDefault="00A82907" w:rsidP="00E11B51">
      <w:pPr>
        <w:jc w:val="both"/>
        <w:rPr>
          <w:sz w:val="22"/>
          <w:szCs w:val="22"/>
        </w:rPr>
      </w:pPr>
      <w:r w:rsidRPr="00FF4496">
        <w:rPr>
          <w:sz w:val="22"/>
          <w:szCs w:val="22"/>
        </w:rPr>
        <w:t>a) The criteria used to define a split site are unchanged for 2015/16 and are as follows:</w:t>
      </w:r>
    </w:p>
    <w:p w:rsidR="00A82907" w:rsidRPr="00FF4496" w:rsidRDefault="00A82907" w:rsidP="00E11B51">
      <w:pPr>
        <w:ind w:firstLine="720"/>
        <w:jc w:val="both"/>
        <w:rPr>
          <w:sz w:val="22"/>
          <w:szCs w:val="22"/>
        </w:rPr>
      </w:pPr>
    </w:p>
    <w:p w:rsidR="00A82907" w:rsidRPr="00FF4496" w:rsidRDefault="00A82907" w:rsidP="00E11B51">
      <w:pPr>
        <w:numPr>
          <w:ilvl w:val="0"/>
          <w:numId w:val="35"/>
        </w:numPr>
        <w:jc w:val="both"/>
        <w:rPr>
          <w:sz w:val="22"/>
          <w:szCs w:val="22"/>
        </w:rPr>
      </w:pPr>
      <w:r w:rsidRPr="00FF4496">
        <w:rPr>
          <w:i/>
          <w:iCs/>
          <w:sz w:val="22"/>
          <w:szCs w:val="22"/>
        </w:rPr>
        <w:t>Essential</w:t>
      </w:r>
      <w:r w:rsidRPr="00FF4496">
        <w:rPr>
          <w:sz w:val="22"/>
          <w:szCs w:val="22"/>
        </w:rPr>
        <w:t xml:space="preserve"> - two or more distinctly separate campuses where there is no single continuous boundary and where the campuses are split by a through road.</w:t>
      </w:r>
    </w:p>
    <w:p w:rsidR="00A82907" w:rsidRPr="00FF4496" w:rsidRDefault="00A82907" w:rsidP="00E11B51">
      <w:pPr>
        <w:numPr>
          <w:ilvl w:val="0"/>
          <w:numId w:val="35"/>
        </w:numPr>
        <w:jc w:val="both"/>
        <w:rPr>
          <w:sz w:val="22"/>
          <w:szCs w:val="22"/>
        </w:rPr>
      </w:pPr>
      <w:r w:rsidRPr="00FF4496">
        <w:rPr>
          <w:sz w:val="22"/>
          <w:szCs w:val="22"/>
        </w:rPr>
        <w:t>Additional criteria (for weighting of funding):</w:t>
      </w:r>
    </w:p>
    <w:p w:rsidR="00A82907" w:rsidRPr="00FF4496" w:rsidRDefault="00A82907" w:rsidP="00E11B51">
      <w:pPr>
        <w:ind w:left="1080"/>
        <w:jc w:val="both"/>
        <w:rPr>
          <w:sz w:val="22"/>
          <w:szCs w:val="22"/>
        </w:rPr>
      </w:pPr>
      <w:r w:rsidRPr="00FF4496">
        <w:rPr>
          <w:i/>
          <w:iCs/>
          <w:sz w:val="22"/>
          <w:szCs w:val="22"/>
        </w:rPr>
        <w:t>Category A</w:t>
      </w:r>
      <w:r w:rsidRPr="00FF4496">
        <w:rPr>
          <w:sz w:val="22"/>
          <w:szCs w:val="22"/>
        </w:rPr>
        <w:t xml:space="preserve"> - where it is impossible not to move a proportion (either 25% or 50%) of total school / academy pupils between the campuses within the school day</w:t>
      </w:r>
    </w:p>
    <w:p w:rsidR="00A82907" w:rsidRPr="00FF4496" w:rsidRDefault="00A82907" w:rsidP="00E11B51">
      <w:pPr>
        <w:ind w:left="1080"/>
        <w:jc w:val="both"/>
        <w:rPr>
          <w:sz w:val="22"/>
          <w:szCs w:val="22"/>
        </w:rPr>
      </w:pPr>
      <w:r w:rsidRPr="00FF4496">
        <w:rPr>
          <w:i/>
          <w:iCs/>
          <w:sz w:val="22"/>
          <w:szCs w:val="22"/>
        </w:rPr>
        <w:t>Category B</w:t>
      </w:r>
      <w:r w:rsidRPr="00FF4496">
        <w:rPr>
          <w:sz w:val="22"/>
          <w:szCs w:val="22"/>
        </w:rPr>
        <w:t xml:space="preserve"> - where the campuses are more than 400 metres apart </w:t>
      </w:r>
    </w:p>
    <w:p w:rsidR="00A82907" w:rsidRDefault="00A82907" w:rsidP="00E11B51">
      <w:pPr>
        <w:jc w:val="both"/>
        <w:rPr>
          <w:sz w:val="22"/>
          <w:szCs w:val="22"/>
        </w:rPr>
      </w:pPr>
    </w:p>
    <w:p w:rsidR="00A82907" w:rsidRPr="00FF4496" w:rsidRDefault="00A82907" w:rsidP="00E11B51">
      <w:pPr>
        <w:jc w:val="both"/>
        <w:rPr>
          <w:sz w:val="22"/>
          <w:szCs w:val="22"/>
        </w:rPr>
      </w:pPr>
      <w:r w:rsidRPr="00FF4496">
        <w:rPr>
          <w:sz w:val="22"/>
          <w:szCs w:val="22"/>
        </w:rPr>
        <w:t>b) The criteria used to allocate funding to a school / academy operating across a split site based on the categories defined above, are as follows:</w:t>
      </w:r>
    </w:p>
    <w:p w:rsidR="00A82907" w:rsidRPr="00FF4496" w:rsidRDefault="00A82907" w:rsidP="00E11B51">
      <w:pPr>
        <w:ind w:left="720"/>
        <w:jc w:val="both"/>
        <w:rPr>
          <w:sz w:val="22"/>
          <w:szCs w:val="22"/>
        </w:rPr>
      </w:pPr>
    </w:p>
    <w:tbl>
      <w:tblPr>
        <w:tblW w:w="8872" w:type="dxa"/>
        <w:jc w:val="center"/>
        <w:tblLook w:val="0000" w:firstRow="0" w:lastRow="0" w:firstColumn="0" w:lastColumn="0" w:noHBand="0" w:noVBand="0"/>
      </w:tblPr>
      <w:tblGrid>
        <w:gridCol w:w="2680"/>
        <w:gridCol w:w="1548"/>
        <w:gridCol w:w="1548"/>
        <w:gridCol w:w="1548"/>
        <w:gridCol w:w="1548"/>
      </w:tblGrid>
      <w:tr w:rsidR="00A82907" w:rsidRPr="00FF4496">
        <w:trPr>
          <w:trHeight w:val="225"/>
          <w:jc w:val="center"/>
        </w:trPr>
        <w:tc>
          <w:tcPr>
            <w:tcW w:w="2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82907" w:rsidRPr="00FF4496" w:rsidRDefault="00A82907" w:rsidP="00E11B51">
            <w:pPr>
              <w:rPr>
                <w:b/>
                <w:bCs/>
                <w:sz w:val="22"/>
                <w:szCs w:val="22"/>
              </w:rPr>
            </w:pPr>
            <w:r w:rsidRPr="00FF4496">
              <w:rPr>
                <w:b/>
                <w:bCs/>
                <w:sz w:val="22"/>
                <w:szCs w:val="22"/>
              </w:rPr>
              <w:t>Category</w:t>
            </w:r>
          </w:p>
        </w:tc>
        <w:tc>
          <w:tcPr>
            <w:tcW w:w="1548" w:type="dxa"/>
            <w:tcBorders>
              <w:top w:val="single" w:sz="4" w:space="0" w:color="auto"/>
              <w:left w:val="nil"/>
              <w:bottom w:val="single" w:sz="4" w:space="0" w:color="auto"/>
              <w:right w:val="nil"/>
            </w:tcBorders>
            <w:shd w:val="clear" w:color="auto" w:fill="FFFFFF"/>
            <w:noWrap/>
            <w:vAlign w:val="bottom"/>
          </w:tcPr>
          <w:p w:rsidR="00A82907" w:rsidRPr="00FF4496" w:rsidRDefault="00A82907" w:rsidP="00E11B51">
            <w:pPr>
              <w:jc w:val="right"/>
              <w:rPr>
                <w:b/>
                <w:bCs/>
                <w:sz w:val="22"/>
                <w:szCs w:val="22"/>
              </w:rPr>
            </w:pPr>
            <w:r w:rsidRPr="00FF4496">
              <w:rPr>
                <w:b/>
                <w:bCs/>
                <w:sz w:val="22"/>
                <w:szCs w:val="22"/>
              </w:rPr>
              <w:t>Primary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A82907" w:rsidRPr="00FF4496" w:rsidRDefault="00A82907" w:rsidP="00E11B51">
            <w:pPr>
              <w:jc w:val="right"/>
              <w:rPr>
                <w:b/>
                <w:bCs/>
                <w:sz w:val="22"/>
                <w:szCs w:val="22"/>
              </w:rPr>
            </w:pPr>
            <w:r w:rsidRPr="00FF4496">
              <w:rPr>
                <w:b/>
                <w:bCs/>
                <w:sz w:val="22"/>
                <w:szCs w:val="22"/>
              </w:rPr>
              <w:t>Primary APP</w:t>
            </w:r>
          </w:p>
        </w:tc>
        <w:tc>
          <w:tcPr>
            <w:tcW w:w="1548" w:type="dxa"/>
            <w:tcBorders>
              <w:top w:val="single" w:sz="4" w:space="0" w:color="auto"/>
              <w:left w:val="nil"/>
              <w:bottom w:val="single" w:sz="4" w:space="0" w:color="auto"/>
              <w:right w:val="nil"/>
            </w:tcBorders>
            <w:shd w:val="clear" w:color="auto" w:fill="FFFFFF"/>
            <w:noWrap/>
            <w:vAlign w:val="bottom"/>
          </w:tcPr>
          <w:p w:rsidR="00A82907" w:rsidRPr="00FF4496" w:rsidRDefault="00A82907" w:rsidP="00E11B51">
            <w:pPr>
              <w:jc w:val="right"/>
              <w:rPr>
                <w:b/>
                <w:bCs/>
                <w:sz w:val="22"/>
                <w:szCs w:val="22"/>
              </w:rPr>
            </w:pPr>
            <w:r w:rsidRPr="00FF4496">
              <w:rPr>
                <w:b/>
                <w:bCs/>
                <w:sz w:val="22"/>
                <w:szCs w:val="22"/>
              </w:rPr>
              <w:t>Secondary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A82907" w:rsidRPr="00FF4496" w:rsidRDefault="00A82907" w:rsidP="00E11B51">
            <w:pPr>
              <w:jc w:val="right"/>
              <w:rPr>
                <w:b/>
                <w:bCs/>
                <w:sz w:val="22"/>
                <w:szCs w:val="22"/>
              </w:rPr>
            </w:pPr>
            <w:r w:rsidRPr="00FF4496">
              <w:rPr>
                <w:b/>
                <w:bCs/>
                <w:sz w:val="22"/>
                <w:szCs w:val="22"/>
              </w:rPr>
              <w:t>Secondary APP</w:t>
            </w:r>
          </w:p>
        </w:tc>
      </w:tr>
      <w:tr w:rsidR="00A82907" w:rsidRPr="00FF4496">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A82907" w:rsidRPr="00FF4496" w:rsidRDefault="00A82907" w:rsidP="00E11B51">
            <w:pPr>
              <w:rPr>
                <w:i/>
                <w:iCs/>
                <w:sz w:val="22"/>
                <w:szCs w:val="22"/>
              </w:rPr>
            </w:pPr>
            <w:r w:rsidRPr="00FF4496">
              <w:rPr>
                <w:i/>
                <w:iCs/>
                <w:sz w:val="22"/>
                <w:szCs w:val="22"/>
              </w:rPr>
              <w:t>Essential</w:t>
            </w:r>
          </w:p>
        </w:tc>
        <w:tc>
          <w:tcPr>
            <w:tcW w:w="1548" w:type="dxa"/>
            <w:tcBorders>
              <w:top w:val="nil"/>
              <w:left w:val="nil"/>
              <w:bottom w:val="nil"/>
              <w:right w:val="nil"/>
            </w:tcBorders>
            <w:shd w:val="clear" w:color="auto" w:fill="FFFFFF"/>
            <w:noWrap/>
            <w:vAlign w:val="bottom"/>
          </w:tcPr>
          <w:p w:rsidR="00A82907" w:rsidRPr="00FF4496" w:rsidRDefault="00A82907" w:rsidP="00E11B51">
            <w:pPr>
              <w:jc w:val="right"/>
              <w:rPr>
                <w:sz w:val="22"/>
                <w:szCs w:val="22"/>
              </w:rPr>
            </w:pPr>
            <w:r w:rsidRPr="00FF4496">
              <w:rPr>
                <w:sz w:val="22"/>
                <w:szCs w:val="22"/>
              </w:rPr>
              <w:t>8,514.75</w:t>
            </w:r>
          </w:p>
        </w:tc>
        <w:tc>
          <w:tcPr>
            <w:tcW w:w="1548" w:type="dxa"/>
            <w:tcBorders>
              <w:top w:val="nil"/>
              <w:left w:val="nil"/>
              <w:bottom w:val="nil"/>
              <w:right w:val="single" w:sz="4" w:space="0" w:color="auto"/>
            </w:tcBorders>
            <w:shd w:val="clear" w:color="auto" w:fill="FFFFFF"/>
            <w:noWrap/>
            <w:vAlign w:val="bottom"/>
          </w:tcPr>
          <w:p w:rsidR="00A82907" w:rsidRPr="00FF4496" w:rsidRDefault="00A82907" w:rsidP="00E11B51">
            <w:pPr>
              <w:jc w:val="right"/>
              <w:rPr>
                <w:sz w:val="22"/>
                <w:szCs w:val="22"/>
              </w:rPr>
            </w:pPr>
            <w:r w:rsidRPr="00FF4496">
              <w:rPr>
                <w:sz w:val="22"/>
                <w:szCs w:val="22"/>
              </w:rPr>
              <w:t>0.00</w:t>
            </w:r>
          </w:p>
        </w:tc>
        <w:tc>
          <w:tcPr>
            <w:tcW w:w="1548" w:type="dxa"/>
            <w:tcBorders>
              <w:top w:val="nil"/>
              <w:left w:val="nil"/>
              <w:bottom w:val="nil"/>
              <w:right w:val="nil"/>
            </w:tcBorders>
            <w:shd w:val="clear" w:color="auto" w:fill="FFFFFF"/>
            <w:noWrap/>
            <w:vAlign w:val="bottom"/>
          </w:tcPr>
          <w:p w:rsidR="00A82907" w:rsidRPr="00FF4496" w:rsidRDefault="00A82907" w:rsidP="00E11B51">
            <w:pPr>
              <w:jc w:val="right"/>
              <w:rPr>
                <w:sz w:val="22"/>
                <w:szCs w:val="22"/>
              </w:rPr>
            </w:pPr>
            <w:r w:rsidRPr="00FF4496">
              <w:rPr>
                <w:sz w:val="22"/>
                <w:szCs w:val="22"/>
              </w:rPr>
              <w:t>9,782.62</w:t>
            </w:r>
          </w:p>
        </w:tc>
        <w:tc>
          <w:tcPr>
            <w:tcW w:w="1548" w:type="dxa"/>
            <w:tcBorders>
              <w:top w:val="nil"/>
              <w:left w:val="nil"/>
              <w:bottom w:val="nil"/>
              <w:right w:val="single" w:sz="4" w:space="0" w:color="auto"/>
            </w:tcBorders>
            <w:shd w:val="clear" w:color="auto" w:fill="FFFFFF"/>
            <w:noWrap/>
            <w:vAlign w:val="bottom"/>
          </w:tcPr>
          <w:p w:rsidR="00A82907" w:rsidRPr="00FF4496" w:rsidRDefault="00A82907" w:rsidP="00E11B51">
            <w:pPr>
              <w:jc w:val="right"/>
              <w:rPr>
                <w:sz w:val="22"/>
                <w:szCs w:val="22"/>
              </w:rPr>
            </w:pPr>
            <w:r w:rsidRPr="00FF4496">
              <w:rPr>
                <w:sz w:val="22"/>
                <w:szCs w:val="22"/>
              </w:rPr>
              <w:t>0</w:t>
            </w:r>
          </w:p>
        </w:tc>
      </w:tr>
      <w:tr w:rsidR="00A82907" w:rsidRPr="00FF4496">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A82907" w:rsidRPr="00FF4496" w:rsidRDefault="00A82907" w:rsidP="00E11B51">
            <w:pPr>
              <w:rPr>
                <w:i/>
                <w:iCs/>
                <w:sz w:val="22"/>
                <w:szCs w:val="22"/>
              </w:rPr>
            </w:pPr>
            <w:r w:rsidRPr="00FF4496">
              <w:rPr>
                <w:i/>
                <w:iCs/>
                <w:sz w:val="22"/>
                <w:szCs w:val="22"/>
              </w:rPr>
              <w:t>A</w:t>
            </w:r>
          </w:p>
        </w:tc>
        <w:tc>
          <w:tcPr>
            <w:tcW w:w="1548" w:type="dxa"/>
            <w:tcBorders>
              <w:top w:val="nil"/>
              <w:left w:val="nil"/>
              <w:bottom w:val="nil"/>
              <w:right w:val="nil"/>
            </w:tcBorders>
            <w:shd w:val="clear" w:color="auto" w:fill="FFFFFF"/>
            <w:noWrap/>
            <w:vAlign w:val="bottom"/>
          </w:tcPr>
          <w:p w:rsidR="00A82907" w:rsidRPr="00FF4496" w:rsidRDefault="00A82907" w:rsidP="00E11B51">
            <w:pPr>
              <w:jc w:val="right"/>
              <w:rPr>
                <w:sz w:val="22"/>
                <w:szCs w:val="22"/>
              </w:rPr>
            </w:pPr>
            <w:r w:rsidRPr="00FF4496">
              <w:rPr>
                <w:sz w:val="22"/>
                <w:szCs w:val="22"/>
              </w:rPr>
              <w:t>0</w:t>
            </w:r>
          </w:p>
        </w:tc>
        <w:tc>
          <w:tcPr>
            <w:tcW w:w="1548" w:type="dxa"/>
            <w:tcBorders>
              <w:top w:val="nil"/>
              <w:left w:val="nil"/>
              <w:bottom w:val="nil"/>
              <w:right w:val="single" w:sz="4" w:space="0" w:color="auto"/>
            </w:tcBorders>
            <w:shd w:val="clear" w:color="auto" w:fill="FFFFFF"/>
            <w:noWrap/>
            <w:vAlign w:val="bottom"/>
          </w:tcPr>
          <w:p w:rsidR="00A82907" w:rsidRPr="00FF4496" w:rsidRDefault="00A82907" w:rsidP="00E11B51">
            <w:pPr>
              <w:jc w:val="right"/>
              <w:rPr>
                <w:sz w:val="22"/>
                <w:szCs w:val="22"/>
              </w:rPr>
            </w:pPr>
            <w:r w:rsidRPr="00FF4496">
              <w:rPr>
                <w:sz w:val="22"/>
                <w:szCs w:val="22"/>
              </w:rPr>
              <w:t>107.73</w:t>
            </w:r>
          </w:p>
        </w:tc>
        <w:tc>
          <w:tcPr>
            <w:tcW w:w="1548" w:type="dxa"/>
            <w:tcBorders>
              <w:top w:val="nil"/>
              <w:left w:val="nil"/>
              <w:bottom w:val="nil"/>
              <w:right w:val="nil"/>
            </w:tcBorders>
            <w:shd w:val="clear" w:color="auto" w:fill="FFFFFF"/>
            <w:noWrap/>
            <w:vAlign w:val="bottom"/>
          </w:tcPr>
          <w:p w:rsidR="00A82907" w:rsidRPr="00FF4496" w:rsidRDefault="00A82907" w:rsidP="00E11B51">
            <w:pPr>
              <w:jc w:val="right"/>
              <w:rPr>
                <w:sz w:val="22"/>
                <w:szCs w:val="22"/>
              </w:rPr>
            </w:pPr>
            <w:r w:rsidRPr="00FF4496">
              <w:rPr>
                <w:sz w:val="22"/>
                <w:szCs w:val="22"/>
              </w:rPr>
              <w:t>0</w:t>
            </w:r>
          </w:p>
        </w:tc>
        <w:tc>
          <w:tcPr>
            <w:tcW w:w="1548" w:type="dxa"/>
            <w:tcBorders>
              <w:top w:val="nil"/>
              <w:left w:val="nil"/>
              <w:bottom w:val="nil"/>
              <w:right w:val="single" w:sz="4" w:space="0" w:color="auto"/>
            </w:tcBorders>
            <w:shd w:val="clear" w:color="auto" w:fill="FFFFFF"/>
            <w:noWrap/>
            <w:vAlign w:val="bottom"/>
          </w:tcPr>
          <w:p w:rsidR="00A82907" w:rsidRPr="00FF4496" w:rsidRDefault="00A82907" w:rsidP="00E11B51">
            <w:pPr>
              <w:jc w:val="right"/>
              <w:rPr>
                <w:sz w:val="22"/>
                <w:szCs w:val="22"/>
              </w:rPr>
            </w:pPr>
            <w:r w:rsidRPr="00FF4496">
              <w:rPr>
                <w:sz w:val="22"/>
                <w:szCs w:val="22"/>
              </w:rPr>
              <w:t>113.67</w:t>
            </w:r>
          </w:p>
        </w:tc>
      </w:tr>
      <w:tr w:rsidR="00A82907" w:rsidRPr="00FF4496">
        <w:trPr>
          <w:trHeight w:val="225"/>
          <w:jc w:val="center"/>
        </w:trPr>
        <w:tc>
          <w:tcPr>
            <w:tcW w:w="2680" w:type="dxa"/>
            <w:tcBorders>
              <w:top w:val="nil"/>
              <w:left w:val="single" w:sz="4" w:space="0" w:color="auto"/>
              <w:bottom w:val="single" w:sz="4" w:space="0" w:color="auto"/>
              <w:right w:val="single" w:sz="4" w:space="0" w:color="auto"/>
            </w:tcBorders>
            <w:shd w:val="clear" w:color="auto" w:fill="FFFFFF"/>
            <w:noWrap/>
            <w:vAlign w:val="bottom"/>
          </w:tcPr>
          <w:p w:rsidR="00A82907" w:rsidRPr="00FF4496" w:rsidRDefault="00A82907" w:rsidP="00E11B51">
            <w:pPr>
              <w:rPr>
                <w:i/>
                <w:iCs/>
                <w:sz w:val="22"/>
                <w:szCs w:val="22"/>
              </w:rPr>
            </w:pPr>
            <w:r w:rsidRPr="00FF4496">
              <w:rPr>
                <w:i/>
                <w:iCs/>
                <w:sz w:val="22"/>
                <w:szCs w:val="22"/>
              </w:rPr>
              <w:t>B</w:t>
            </w:r>
          </w:p>
        </w:tc>
        <w:tc>
          <w:tcPr>
            <w:tcW w:w="1548" w:type="dxa"/>
            <w:tcBorders>
              <w:top w:val="nil"/>
              <w:left w:val="nil"/>
              <w:bottom w:val="single" w:sz="4" w:space="0" w:color="auto"/>
              <w:right w:val="nil"/>
            </w:tcBorders>
            <w:shd w:val="clear" w:color="auto" w:fill="FFFFFF"/>
            <w:noWrap/>
            <w:vAlign w:val="bottom"/>
          </w:tcPr>
          <w:p w:rsidR="00A82907" w:rsidRPr="00FF4496" w:rsidRDefault="00A82907" w:rsidP="00E11B51">
            <w:pPr>
              <w:jc w:val="right"/>
              <w:rPr>
                <w:sz w:val="22"/>
                <w:szCs w:val="22"/>
              </w:rPr>
            </w:pPr>
            <w:r w:rsidRPr="00FF4496">
              <w:rPr>
                <w:sz w:val="22"/>
                <w:szCs w:val="22"/>
              </w:rPr>
              <w:t>18,426.01</w:t>
            </w:r>
          </w:p>
        </w:tc>
        <w:tc>
          <w:tcPr>
            <w:tcW w:w="1548" w:type="dxa"/>
            <w:tcBorders>
              <w:top w:val="nil"/>
              <w:left w:val="nil"/>
              <w:bottom w:val="single" w:sz="4" w:space="0" w:color="auto"/>
              <w:right w:val="single" w:sz="4" w:space="0" w:color="auto"/>
            </w:tcBorders>
            <w:shd w:val="clear" w:color="auto" w:fill="FFFFFF"/>
            <w:noWrap/>
            <w:vAlign w:val="bottom"/>
          </w:tcPr>
          <w:p w:rsidR="00A82907" w:rsidRPr="00FF4496" w:rsidRDefault="00A82907" w:rsidP="00E11B51">
            <w:pPr>
              <w:jc w:val="right"/>
              <w:rPr>
                <w:sz w:val="22"/>
                <w:szCs w:val="22"/>
              </w:rPr>
            </w:pPr>
            <w:r w:rsidRPr="00FF4496">
              <w:rPr>
                <w:sz w:val="22"/>
                <w:szCs w:val="22"/>
              </w:rPr>
              <w:t>9.15</w:t>
            </w:r>
          </w:p>
        </w:tc>
        <w:tc>
          <w:tcPr>
            <w:tcW w:w="1548" w:type="dxa"/>
            <w:tcBorders>
              <w:top w:val="nil"/>
              <w:left w:val="nil"/>
              <w:bottom w:val="single" w:sz="4" w:space="0" w:color="auto"/>
              <w:right w:val="nil"/>
            </w:tcBorders>
            <w:shd w:val="clear" w:color="auto" w:fill="FFFFFF"/>
            <w:noWrap/>
            <w:vAlign w:val="bottom"/>
          </w:tcPr>
          <w:p w:rsidR="00A82907" w:rsidRPr="00FF4496" w:rsidRDefault="00A82907" w:rsidP="00E11B51">
            <w:pPr>
              <w:jc w:val="right"/>
              <w:rPr>
                <w:sz w:val="22"/>
                <w:szCs w:val="22"/>
              </w:rPr>
            </w:pPr>
            <w:r w:rsidRPr="00FF4496">
              <w:rPr>
                <w:sz w:val="22"/>
                <w:szCs w:val="22"/>
              </w:rPr>
              <w:t>20,558.87</w:t>
            </w:r>
          </w:p>
        </w:tc>
        <w:tc>
          <w:tcPr>
            <w:tcW w:w="1548" w:type="dxa"/>
            <w:tcBorders>
              <w:top w:val="nil"/>
              <w:left w:val="nil"/>
              <w:bottom w:val="single" w:sz="4" w:space="0" w:color="auto"/>
              <w:right w:val="single" w:sz="4" w:space="0" w:color="auto"/>
            </w:tcBorders>
            <w:shd w:val="clear" w:color="auto" w:fill="FFFFFF"/>
            <w:noWrap/>
            <w:vAlign w:val="bottom"/>
          </w:tcPr>
          <w:p w:rsidR="00A82907" w:rsidRPr="00FF4496" w:rsidRDefault="00A82907" w:rsidP="00E11B51">
            <w:pPr>
              <w:jc w:val="right"/>
              <w:rPr>
                <w:sz w:val="22"/>
                <w:szCs w:val="22"/>
              </w:rPr>
            </w:pPr>
            <w:r w:rsidRPr="00FF4496">
              <w:rPr>
                <w:sz w:val="22"/>
                <w:szCs w:val="22"/>
              </w:rPr>
              <w:t>12.78</w:t>
            </w:r>
          </w:p>
        </w:tc>
      </w:tr>
    </w:tbl>
    <w:p w:rsidR="00A82907" w:rsidRPr="00FF4496" w:rsidRDefault="00A82907" w:rsidP="00E11B51">
      <w:pPr>
        <w:ind w:left="720"/>
        <w:jc w:val="both"/>
        <w:rPr>
          <w:sz w:val="22"/>
          <w:szCs w:val="22"/>
        </w:rPr>
      </w:pPr>
    </w:p>
    <w:p w:rsidR="00A82907" w:rsidRPr="00FF4496" w:rsidRDefault="00A82907" w:rsidP="00E11B51">
      <w:pPr>
        <w:jc w:val="both"/>
        <w:rPr>
          <w:sz w:val="22"/>
          <w:szCs w:val="22"/>
          <w:u w:val="single"/>
        </w:rPr>
      </w:pPr>
      <w:r w:rsidRPr="00FF4496">
        <w:rPr>
          <w:sz w:val="22"/>
          <w:szCs w:val="22"/>
          <w:u w:val="single"/>
        </w:rPr>
        <w:t>Additional Notes:</w:t>
      </w:r>
    </w:p>
    <w:p w:rsidR="00A82907" w:rsidRDefault="00A82907" w:rsidP="00E75CE9">
      <w:pPr>
        <w:numPr>
          <w:ilvl w:val="0"/>
          <w:numId w:val="43"/>
        </w:numPr>
        <w:jc w:val="both"/>
        <w:rPr>
          <w:sz w:val="22"/>
          <w:szCs w:val="22"/>
        </w:rPr>
      </w:pPr>
      <w:r w:rsidRPr="00FF4496">
        <w:rPr>
          <w:sz w:val="22"/>
          <w:szCs w:val="22"/>
        </w:rPr>
        <w:t>Split sites funding is paid to</w:t>
      </w:r>
      <w:r>
        <w:rPr>
          <w:sz w:val="22"/>
          <w:szCs w:val="22"/>
        </w:rPr>
        <w:t xml:space="preserve"> all schools and academies that</w:t>
      </w:r>
      <w:r w:rsidRPr="00FF4496">
        <w:rPr>
          <w:sz w:val="22"/>
          <w:szCs w:val="22"/>
        </w:rPr>
        <w:t xml:space="preserve"> meet the above criteria.</w:t>
      </w:r>
    </w:p>
    <w:p w:rsidR="00A82907" w:rsidRDefault="00A82907" w:rsidP="00E75CE9">
      <w:pPr>
        <w:numPr>
          <w:ilvl w:val="0"/>
          <w:numId w:val="43"/>
        </w:numPr>
        <w:jc w:val="both"/>
        <w:rPr>
          <w:sz w:val="22"/>
          <w:szCs w:val="22"/>
        </w:rPr>
      </w:pPr>
      <w:r w:rsidRPr="00FF4496">
        <w:rPr>
          <w:sz w:val="22"/>
          <w:szCs w:val="22"/>
        </w:rPr>
        <w:t xml:space="preserve">Federated schools are </w:t>
      </w:r>
      <w:r w:rsidRPr="00FF4496">
        <w:rPr>
          <w:sz w:val="22"/>
          <w:szCs w:val="22"/>
          <w:u w:val="single"/>
        </w:rPr>
        <w:t>not</w:t>
      </w:r>
      <w:r w:rsidRPr="00FF4496">
        <w:rPr>
          <w:sz w:val="22"/>
          <w:szCs w:val="22"/>
        </w:rPr>
        <w:t xml:space="preserve"> eligible for split sites funding.</w:t>
      </w:r>
    </w:p>
    <w:p w:rsidR="00A82907" w:rsidRPr="00E75CE9" w:rsidRDefault="00A82907" w:rsidP="00E75CE9">
      <w:pPr>
        <w:numPr>
          <w:ilvl w:val="0"/>
          <w:numId w:val="43"/>
        </w:numPr>
        <w:jc w:val="both"/>
        <w:rPr>
          <w:sz w:val="22"/>
          <w:szCs w:val="22"/>
        </w:rPr>
      </w:pPr>
      <w:r w:rsidRPr="00E75CE9">
        <w:rPr>
          <w:sz w:val="22"/>
          <w:szCs w:val="22"/>
        </w:rPr>
        <w:t xml:space="preserve">Where 2 schools have amalgamated and the new school is operating across a split site, the school will </w:t>
      </w:r>
      <w:r w:rsidRPr="00E75CE9">
        <w:rPr>
          <w:sz w:val="22"/>
          <w:szCs w:val="22"/>
          <w:u w:val="single"/>
        </w:rPr>
        <w:t>not</w:t>
      </w:r>
      <w:r w:rsidRPr="00E75CE9">
        <w:rPr>
          <w:sz w:val="22"/>
          <w:szCs w:val="22"/>
        </w:rPr>
        <w:t xml:space="preserve"> be eligible for split sites funding whilst it is in receipt of the additional lump sum (in the year</w:t>
      </w:r>
      <w:r>
        <w:rPr>
          <w:sz w:val="22"/>
          <w:szCs w:val="22"/>
        </w:rPr>
        <w:t xml:space="preserve"> immediately</w:t>
      </w:r>
      <w:r w:rsidRPr="00E75CE9">
        <w:rPr>
          <w:sz w:val="22"/>
          <w:szCs w:val="22"/>
        </w:rPr>
        <w:t xml:space="preserve"> after amalgamation). </w:t>
      </w:r>
    </w:p>
    <w:p w:rsidR="00A82907" w:rsidRDefault="00A82907" w:rsidP="00E75CE9">
      <w:pPr>
        <w:numPr>
          <w:ilvl w:val="0"/>
          <w:numId w:val="43"/>
        </w:numPr>
        <w:jc w:val="both"/>
        <w:rPr>
          <w:sz w:val="22"/>
          <w:szCs w:val="22"/>
        </w:rPr>
      </w:pPr>
      <w:r w:rsidRPr="00FF4496">
        <w:rPr>
          <w:sz w:val="22"/>
          <w:szCs w:val="22"/>
        </w:rPr>
        <w:t>Funding is only applicable for Reception to Year 11 mainstream provision.</w:t>
      </w:r>
    </w:p>
    <w:p w:rsidR="00A82907" w:rsidRPr="00FF4496" w:rsidRDefault="00A82907" w:rsidP="00E75CE9">
      <w:pPr>
        <w:numPr>
          <w:ilvl w:val="0"/>
          <w:numId w:val="43"/>
        </w:numPr>
        <w:jc w:val="both"/>
        <w:rPr>
          <w:sz w:val="22"/>
          <w:szCs w:val="22"/>
        </w:rPr>
      </w:pPr>
      <w:r w:rsidRPr="00FF4496">
        <w:rPr>
          <w:sz w:val="22"/>
          <w:szCs w:val="22"/>
        </w:rPr>
        <w:t>We would not expect split s</w:t>
      </w:r>
      <w:r>
        <w:rPr>
          <w:sz w:val="22"/>
          <w:szCs w:val="22"/>
        </w:rPr>
        <w:t>ites funding to apply to co-located</w:t>
      </w:r>
      <w:r w:rsidRPr="00FF4496">
        <w:rPr>
          <w:sz w:val="22"/>
          <w:szCs w:val="22"/>
        </w:rPr>
        <w:t xml:space="preserve"> </w:t>
      </w:r>
      <w:r>
        <w:rPr>
          <w:sz w:val="22"/>
          <w:szCs w:val="22"/>
        </w:rPr>
        <w:t xml:space="preserve">or offsite </w:t>
      </w:r>
      <w:r w:rsidRPr="00FF4496">
        <w:rPr>
          <w:sz w:val="22"/>
          <w:szCs w:val="22"/>
        </w:rPr>
        <w:t>behaviour centres.</w:t>
      </w:r>
    </w:p>
    <w:p w:rsidR="00A82907" w:rsidRPr="00FF4496" w:rsidRDefault="00A82907" w:rsidP="00E11B51">
      <w:pPr>
        <w:jc w:val="both"/>
        <w:rPr>
          <w:sz w:val="22"/>
          <w:szCs w:val="22"/>
          <w:highlight w:val="yellow"/>
        </w:rPr>
      </w:pPr>
    </w:p>
    <w:p w:rsidR="00A82907" w:rsidRPr="00FF4496" w:rsidRDefault="0068569E" w:rsidP="00E11B51">
      <w:pPr>
        <w:jc w:val="both"/>
        <w:rPr>
          <w:sz w:val="22"/>
          <w:szCs w:val="22"/>
        </w:rPr>
      </w:pPr>
      <w:r>
        <w:rPr>
          <w:sz w:val="22"/>
          <w:szCs w:val="22"/>
        </w:rPr>
        <w:t>4.6</w:t>
      </w:r>
      <w:r w:rsidR="00A82907" w:rsidRPr="00FF4496">
        <w:rPr>
          <w:sz w:val="22"/>
          <w:szCs w:val="22"/>
        </w:rPr>
        <w:t xml:space="preserve"> The factor in our secondary funding formula for Private Finance Initiative (PFI) contracts allocates the DSG’s contribution to the total affordability gap of the Building Schools for the Future (BSF) programme for applicable schools / academies. The formula basis for splitting the total contribution between BSF schools / academies is as follows:</w:t>
      </w:r>
    </w:p>
    <w:p w:rsidR="00A82907" w:rsidRPr="00FF4496" w:rsidRDefault="00A82907" w:rsidP="00E11B51">
      <w:pPr>
        <w:jc w:val="both"/>
        <w:rPr>
          <w:i/>
          <w:iCs/>
          <w:sz w:val="22"/>
          <w:szCs w:val="22"/>
        </w:rPr>
      </w:pPr>
    </w:p>
    <w:p w:rsidR="00A82907" w:rsidRPr="00FF4496" w:rsidRDefault="00A82907" w:rsidP="00CB659A">
      <w:pPr>
        <w:jc w:val="both"/>
        <w:rPr>
          <w:i/>
          <w:iCs/>
          <w:sz w:val="22"/>
          <w:szCs w:val="22"/>
        </w:rPr>
      </w:pPr>
      <w:r w:rsidRPr="00FF4496">
        <w:rPr>
          <w:i/>
          <w:iCs/>
          <w:sz w:val="22"/>
          <w:szCs w:val="22"/>
        </w:rPr>
        <w:t>(Total affordability gap to be funded by the DSG / Total cost of school unitary charges) x Individual school’s unitary charge as a % of the total unitary charge</w:t>
      </w:r>
    </w:p>
    <w:p w:rsidR="00A82907" w:rsidRPr="00FF4496" w:rsidRDefault="00A82907" w:rsidP="00E11B51">
      <w:pPr>
        <w:jc w:val="both"/>
        <w:rPr>
          <w:i/>
          <w:iCs/>
          <w:sz w:val="22"/>
          <w:szCs w:val="22"/>
        </w:rPr>
      </w:pPr>
    </w:p>
    <w:p w:rsidR="00A82907" w:rsidRPr="00FF4496" w:rsidRDefault="00A82907" w:rsidP="00FF4496">
      <w:pPr>
        <w:jc w:val="both"/>
        <w:rPr>
          <w:sz w:val="22"/>
          <w:szCs w:val="22"/>
        </w:rPr>
      </w:pPr>
      <w:r w:rsidRPr="00FF4496">
        <w:rPr>
          <w:sz w:val="22"/>
          <w:szCs w:val="22"/>
        </w:rPr>
        <w:t>The FFWG and Schools Forum are considering whether to increase the support allocated to BSF Phase 1 and 2 schools and academies via this factor in 2015/16, in recognition of the increasing costs of unitary charges. The Schools Forum will make a recommendation on this during the 2015/16 DSG budget setting in January.</w:t>
      </w:r>
    </w:p>
    <w:p w:rsidR="00A82907" w:rsidRPr="00BA559B" w:rsidRDefault="00A82907" w:rsidP="00612E39">
      <w:pPr>
        <w:jc w:val="both"/>
        <w:rPr>
          <w:sz w:val="22"/>
          <w:szCs w:val="22"/>
        </w:rPr>
      </w:pPr>
    </w:p>
    <w:p w:rsidR="00A82907" w:rsidRPr="00B05E15" w:rsidRDefault="00F77A19" w:rsidP="008503B8">
      <w:pPr>
        <w:jc w:val="both"/>
        <w:rPr>
          <w:b/>
          <w:bCs/>
          <w:color w:val="0000FF"/>
          <w:sz w:val="22"/>
          <w:szCs w:val="22"/>
        </w:rPr>
      </w:pPr>
      <w:r>
        <w:rPr>
          <w:b/>
          <w:bCs/>
          <w:color w:val="0000FF"/>
          <w:sz w:val="22"/>
          <w:szCs w:val="22"/>
        </w:rPr>
        <w:t>Question 2</w:t>
      </w:r>
      <w:r w:rsidR="00A82907" w:rsidRPr="00B05E15">
        <w:rPr>
          <w:b/>
          <w:bCs/>
          <w:color w:val="0000FF"/>
          <w:sz w:val="22"/>
          <w:szCs w:val="22"/>
        </w:rPr>
        <w:t xml:space="preserve"> - Do you agree with the propos</w:t>
      </w:r>
      <w:r w:rsidR="005F779A">
        <w:rPr>
          <w:b/>
          <w:bCs/>
          <w:color w:val="0000FF"/>
          <w:sz w:val="22"/>
          <w:szCs w:val="22"/>
        </w:rPr>
        <w:t>ed factors outlined in section 4</w:t>
      </w:r>
      <w:r w:rsidR="00A82907" w:rsidRPr="00B05E15">
        <w:rPr>
          <w:b/>
          <w:bCs/>
          <w:color w:val="0000FF"/>
          <w:sz w:val="22"/>
          <w:szCs w:val="22"/>
        </w:rPr>
        <w:t xml:space="preserve"> to be used / not used in 2015/16? If not, please specify the reasons why not.</w:t>
      </w:r>
    </w:p>
    <w:p w:rsidR="00A43B77" w:rsidRDefault="00A43B77" w:rsidP="008503B8">
      <w:pPr>
        <w:jc w:val="both"/>
        <w:rPr>
          <w:sz w:val="22"/>
          <w:szCs w:val="22"/>
        </w:rPr>
      </w:pPr>
    </w:p>
    <w:p w:rsidR="00A82907" w:rsidRPr="00B05E15" w:rsidRDefault="00F77A19" w:rsidP="008503B8">
      <w:pPr>
        <w:jc w:val="both"/>
        <w:rPr>
          <w:b/>
          <w:bCs/>
          <w:color w:val="0000FF"/>
          <w:sz w:val="22"/>
          <w:szCs w:val="22"/>
        </w:rPr>
      </w:pPr>
      <w:r>
        <w:rPr>
          <w:b/>
          <w:bCs/>
          <w:color w:val="0000FF"/>
          <w:sz w:val="22"/>
          <w:szCs w:val="22"/>
        </w:rPr>
        <w:t>Question 3</w:t>
      </w:r>
      <w:r w:rsidR="00A82907" w:rsidRPr="00B05E15">
        <w:rPr>
          <w:b/>
          <w:bCs/>
          <w:color w:val="0000FF"/>
          <w:sz w:val="22"/>
          <w:szCs w:val="22"/>
        </w:rPr>
        <w:t xml:space="preserve"> - Do you have any comments on the way the factors are used, as described </w:t>
      </w:r>
      <w:r w:rsidR="00FF63C7">
        <w:rPr>
          <w:b/>
          <w:bCs/>
          <w:color w:val="0000FF"/>
          <w:sz w:val="22"/>
          <w:szCs w:val="22"/>
        </w:rPr>
        <w:t>in the pro-forma and paragraph 4</w:t>
      </w:r>
      <w:r w:rsidR="00A82907" w:rsidRPr="00B05E15">
        <w:rPr>
          <w:b/>
          <w:bCs/>
          <w:color w:val="0000FF"/>
          <w:sz w:val="22"/>
          <w:szCs w:val="22"/>
        </w:rPr>
        <w:t>.4?</w:t>
      </w:r>
    </w:p>
    <w:p w:rsidR="00A82907" w:rsidRPr="00B05E15" w:rsidRDefault="00A82907" w:rsidP="008503B8">
      <w:pPr>
        <w:jc w:val="both"/>
        <w:rPr>
          <w:sz w:val="22"/>
          <w:szCs w:val="22"/>
        </w:rPr>
      </w:pPr>
    </w:p>
    <w:p w:rsidR="00A82907" w:rsidRPr="007944E5" w:rsidRDefault="00F77A19" w:rsidP="00612E39">
      <w:pPr>
        <w:jc w:val="both"/>
        <w:rPr>
          <w:b/>
          <w:bCs/>
          <w:color w:val="0000FF"/>
          <w:sz w:val="22"/>
          <w:szCs w:val="22"/>
        </w:rPr>
      </w:pPr>
      <w:r>
        <w:rPr>
          <w:b/>
          <w:bCs/>
          <w:color w:val="0000FF"/>
          <w:sz w:val="22"/>
          <w:szCs w:val="22"/>
        </w:rPr>
        <w:t>Question 4</w:t>
      </w:r>
      <w:r w:rsidR="00A82907" w:rsidRPr="00B05E15">
        <w:rPr>
          <w:b/>
          <w:bCs/>
          <w:color w:val="0000FF"/>
          <w:sz w:val="22"/>
          <w:szCs w:val="22"/>
        </w:rPr>
        <w:t xml:space="preserve"> - Do you have any additional comments on the proposed approach for 2015/16 that you wish the Schools Forum to take into consideration?</w:t>
      </w:r>
    </w:p>
    <w:p w:rsidR="00A82907" w:rsidRDefault="00A82907" w:rsidP="00612E39">
      <w:pPr>
        <w:jc w:val="both"/>
        <w:rPr>
          <w:sz w:val="22"/>
          <w:szCs w:val="22"/>
          <w:highlight w:val="magenta"/>
        </w:rPr>
      </w:pPr>
    </w:p>
    <w:p w:rsidR="00A82907" w:rsidRDefault="00A82907" w:rsidP="004574FB">
      <w:pPr>
        <w:jc w:val="both"/>
        <w:rPr>
          <w:b/>
          <w:bCs/>
          <w:sz w:val="22"/>
          <w:szCs w:val="22"/>
        </w:rPr>
      </w:pPr>
    </w:p>
    <w:p w:rsidR="00A82907" w:rsidRDefault="00E124DC" w:rsidP="004574FB">
      <w:pPr>
        <w:jc w:val="both"/>
        <w:rPr>
          <w:sz w:val="22"/>
          <w:szCs w:val="22"/>
        </w:rPr>
      </w:pPr>
      <w:r>
        <w:rPr>
          <w:b/>
          <w:bCs/>
          <w:sz w:val="22"/>
          <w:szCs w:val="22"/>
        </w:rPr>
        <w:t>5</w:t>
      </w:r>
      <w:r w:rsidR="00A82907">
        <w:rPr>
          <w:b/>
          <w:bCs/>
          <w:sz w:val="22"/>
          <w:szCs w:val="22"/>
        </w:rPr>
        <w:t>.</w:t>
      </w:r>
      <w:r w:rsidR="00A82907">
        <w:rPr>
          <w:b/>
          <w:bCs/>
          <w:sz w:val="22"/>
          <w:szCs w:val="22"/>
        </w:rPr>
        <w:tab/>
        <w:t xml:space="preserve">Maintained Schools - </w:t>
      </w:r>
      <w:r w:rsidR="00A82907" w:rsidRPr="00F50C44">
        <w:rPr>
          <w:b/>
          <w:bCs/>
          <w:sz w:val="22"/>
          <w:szCs w:val="22"/>
        </w:rPr>
        <w:t xml:space="preserve">De-Delegated Funds </w:t>
      </w:r>
      <w:r w:rsidR="00A82907">
        <w:rPr>
          <w:b/>
          <w:bCs/>
          <w:sz w:val="22"/>
          <w:szCs w:val="22"/>
        </w:rPr>
        <w:t>in 2015</w:t>
      </w:r>
      <w:r w:rsidR="00A82907" w:rsidRPr="00F50C44">
        <w:rPr>
          <w:b/>
          <w:bCs/>
          <w:sz w:val="22"/>
          <w:szCs w:val="22"/>
        </w:rPr>
        <w:t>/1</w:t>
      </w:r>
      <w:r w:rsidR="00A82907">
        <w:rPr>
          <w:b/>
          <w:bCs/>
          <w:sz w:val="22"/>
          <w:szCs w:val="22"/>
        </w:rPr>
        <w:t>6</w:t>
      </w:r>
    </w:p>
    <w:p w:rsidR="00A82907" w:rsidRPr="0023364B" w:rsidRDefault="00A82907" w:rsidP="004574FB">
      <w:pPr>
        <w:jc w:val="both"/>
        <w:rPr>
          <w:sz w:val="22"/>
          <w:szCs w:val="22"/>
        </w:rPr>
      </w:pPr>
    </w:p>
    <w:p w:rsidR="00A82907" w:rsidRPr="00E759F0" w:rsidRDefault="00E124DC" w:rsidP="004574FB">
      <w:pPr>
        <w:jc w:val="both"/>
        <w:rPr>
          <w:sz w:val="22"/>
          <w:szCs w:val="22"/>
        </w:rPr>
      </w:pPr>
      <w:r>
        <w:rPr>
          <w:sz w:val="22"/>
          <w:szCs w:val="22"/>
        </w:rPr>
        <w:t>5</w:t>
      </w:r>
      <w:r w:rsidR="00A82907">
        <w:rPr>
          <w:sz w:val="22"/>
          <w:szCs w:val="22"/>
        </w:rPr>
        <w:t>.1 The Finance</w:t>
      </w:r>
      <w:r w:rsidR="00A82907" w:rsidRPr="0023364B">
        <w:rPr>
          <w:sz w:val="22"/>
          <w:szCs w:val="22"/>
        </w:rPr>
        <w:t xml:space="preserve"> Regu</w:t>
      </w:r>
      <w:r w:rsidR="00A82907">
        <w:rPr>
          <w:sz w:val="22"/>
          <w:szCs w:val="22"/>
        </w:rPr>
        <w:t>lations significantly restrict</w:t>
      </w:r>
      <w:r w:rsidR="00A82907" w:rsidRPr="0023364B">
        <w:rPr>
          <w:sz w:val="22"/>
          <w:szCs w:val="22"/>
        </w:rPr>
        <w:t xml:space="preserve"> the extent to which the DSG can be held and managed centrally in support of schools. The Government’s intention, in preparation for a national formula, is to ensure maximum delegation of the DSG to schools and academies at the start of each financial year.</w:t>
      </w:r>
      <w:r w:rsidR="00A82907">
        <w:rPr>
          <w:sz w:val="22"/>
          <w:szCs w:val="22"/>
        </w:rPr>
        <w:t xml:space="preserve"> T</w:t>
      </w:r>
      <w:r w:rsidR="00A82907" w:rsidRPr="0023364B">
        <w:rPr>
          <w:sz w:val="22"/>
          <w:szCs w:val="22"/>
        </w:rPr>
        <w:t xml:space="preserve">he Regulations </w:t>
      </w:r>
      <w:r w:rsidR="00A82907">
        <w:rPr>
          <w:sz w:val="22"/>
          <w:szCs w:val="22"/>
        </w:rPr>
        <w:t xml:space="preserve">do </w:t>
      </w:r>
      <w:r w:rsidR="00A82907" w:rsidRPr="0023364B">
        <w:rPr>
          <w:sz w:val="22"/>
          <w:szCs w:val="22"/>
        </w:rPr>
        <w:t>allow funding for certain types of expenditure to be ‘de-delegated’ from maintained school budgets to be managed centrally. This only applies to maintained schools (not academies or free schools) and the Schools Forum must agree to de-del</w:t>
      </w:r>
      <w:r w:rsidR="00A82907">
        <w:rPr>
          <w:sz w:val="22"/>
          <w:szCs w:val="22"/>
        </w:rPr>
        <w:t xml:space="preserve">egate on a phase </w:t>
      </w:r>
      <w:r w:rsidR="00A82907" w:rsidRPr="00E759F0">
        <w:rPr>
          <w:sz w:val="22"/>
          <w:szCs w:val="22"/>
        </w:rPr>
        <w:t>specific basis, so Forum members representing primary and secondary maintained schools must decide separately for each phase whether the service should be provided centrally.</w:t>
      </w:r>
    </w:p>
    <w:p w:rsidR="00A82907" w:rsidRPr="00E759F0" w:rsidRDefault="00A82907" w:rsidP="004574FB">
      <w:pPr>
        <w:jc w:val="both"/>
        <w:rPr>
          <w:sz w:val="22"/>
          <w:szCs w:val="22"/>
        </w:rPr>
      </w:pPr>
    </w:p>
    <w:p w:rsidR="00A82907" w:rsidRPr="00E759F0" w:rsidRDefault="00E124DC" w:rsidP="004E6484">
      <w:pPr>
        <w:rPr>
          <w:sz w:val="22"/>
          <w:szCs w:val="22"/>
        </w:rPr>
      </w:pPr>
      <w:r>
        <w:rPr>
          <w:sz w:val="22"/>
          <w:szCs w:val="22"/>
        </w:rPr>
        <w:t>5</w:t>
      </w:r>
      <w:r w:rsidR="00A82907">
        <w:rPr>
          <w:sz w:val="22"/>
          <w:szCs w:val="22"/>
        </w:rPr>
        <w:t>.2</w:t>
      </w:r>
      <w:r w:rsidR="00A82907" w:rsidRPr="00E759F0">
        <w:rPr>
          <w:sz w:val="22"/>
          <w:szCs w:val="22"/>
        </w:rPr>
        <w:t xml:space="preserve"> Previously, the Schools Forum has established de-delegated funds so as to:</w:t>
      </w:r>
    </w:p>
    <w:p w:rsidR="00A82907" w:rsidRPr="00E759F0" w:rsidRDefault="00A82907" w:rsidP="004E6484">
      <w:pPr>
        <w:numPr>
          <w:ilvl w:val="0"/>
          <w:numId w:val="8"/>
        </w:numPr>
        <w:jc w:val="both"/>
        <w:rPr>
          <w:sz w:val="22"/>
          <w:szCs w:val="22"/>
        </w:rPr>
      </w:pPr>
      <w:r w:rsidRPr="00E759F0">
        <w:rPr>
          <w:sz w:val="22"/>
          <w:szCs w:val="22"/>
        </w:rPr>
        <w:t>take advantage of the economies of scale brought about by central management and bulk purchase e.g. Fischer Family Trust subscriptions</w:t>
      </w:r>
    </w:p>
    <w:p w:rsidR="00A82907" w:rsidRPr="00E759F0" w:rsidRDefault="00A82907" w:rsidP="004E6484">
      <w:pPr>
        <w:numPr>
          <w:ilvl w:val="0"/>
          <w:numId w:val="8"/>
        </w:numPr>
        <w:jc w:val="both"/>
        <w:rPr>
          <w:sz w:val="22"/>
          <w:szCs w:val="22"/>
        </w:rPr>
      </w:pPr>
      <w:r w:rsidRPr="00E759F0">
        <w:rPr>
          <w:sz w:val="22"/>
          <w:szCs w:val="22"/>
        </w:rPr>
        <w:t>provide services that schools would find difficult or less cost effective to replace on an individual basis e.g. trade union facilities time, support for Minority Ethnic pupils</w:t>
      </w:r>
    </w:p>
    <w:p w:rsidR="00A82907" w:rsidRDefault="00A82907" w:rsidP="004574FB">
      <w:pPr>
        <w:numPr>
          <w:ilvl w:val="0"/>
          <w:numId w:val="8"/>
        </w:numPr>
        <w:jc w:val="both"/>
        <w:rPr>
          <w:sz w:val="22"/>
          <w:szCs w:val="22"/>
        </w:rPr>
      </w:pPr>
      <w:r w:rsidRPr="00E759F0">
        <w:rPr>
          <w:sz w:val="22"/>
          <w:szCs w:val="22"/>
        </w:rPr>
        <w:t>protect schools, especially smaller schools, against unpredictable expenditure e.g. maternity and paternity costs</w:t>
      </w:r>
    </w:p>
    <w:p w:rsidR="00B05E15" w:rsidRDefault="00B05E15" w:rsidP="00B05E15">
      <w:pPr>
        <w:ind w:left="720"/>
        <w:jc w:val="both"/>
        <w:rPr>
          <w:sz w:val="22"/>
          <w:szCs w:val="22"/>
        </w:rPr>
      </w:pPr>
    </w:p>
    <w:p w:rsidR="00A82907" w:rsidRPr="00E759F0" w:rsidRDefault="00E124DC" w:rsidP="00396EA2">
      <w:pPr>
        <w:jc w:val="both"/>
        <w:rPr>
          <w:sz w:val="22"/>
          <w:szCs w:val="22"/>
        </w:rPr>
      </w:pPr>
      <w:r>
        <w:rPr>
          <w:sz w:val="22"/>
          <w:szCs w:val="22"/>
        </w:rPr>
        <w:t>5</w:t>
      </w:r>
      <w:r w:rsidR="00A82907">
        <w:rPr>
          <w:sz w:val="22"/>
          <w:szCs w:val="22"/>
        </w:rPr>
        <w:t>.3 The</w:t>
      </w:r>
      <w:r w:rsidR="00A82907" w:rsidRPr="00E759F0">
        <w:rPr>
          <w:sz w:val="22"/>
          <w:szCs w:val="22"/>
        </w:rPr>
        <w:t xml:space="preserve"> paragraphs</w:t>
      </w:r>
      <w:r w:rsidR="00A82907">
        <w:rPr>
          <w:sz w:val="22"/>
          <w:szCs w:val="22"/>
        </w:rPr>
        <w:t xml:space="preserve"> below provide</w:t>
      </w:r>
      <w:r w:rsidR="00A82907" w:rsidRPr="00E759F0">
        <w:rPr>
          <w:sz w:val="22"/>
          <w:szCs w:val="22"/>
        </w:rPr>
        <w:t xml:space="preserve"> information on the de-delegated funds that have been held in this current financial year. This consultation then asks for views on whether funding for these purposes should continue </w:t>
      </w:r>
      <w:r w:rsidR="00A82907">
        <w:rPr>
          <w:sz w:val="22"/>
          <w:szCs w:val="22"/>
        </w:rPr>
        <w:t>to be de-delegated in</w:t>
      </w:r>
      <w:r w:rsidR="00A82907" w:rsidRPr="00E759F0">
        <w:rPr>
          <w:sz w:val="22"/>
          <w:szCs w:val="22"/>
        </w:rPr>
        <w:t xml:space="preserve"> 2015/16 or whether funding should remain within school budgets for schools to provide for the cost of services from their own resources.</w:t>
      </w:r>
      <w:r w:rsidR="00A82907">
        <w:rPr>
          <w:sz w:val="22"/>
          <w:szCs w:val="22"/>
        </w:rPr>
        <w:t xml:space="preserve"> </w:t>
      </w:r>
      <w:r w:rsidR="00A82907" w:rsidRPr="00E759F0">
        <w:rPr>
          <w:sz w:val="22"/>
          <w:szCs w:val="22"/>
        </w:rPr>
        <w:t xml:space="preserve">The Authority is aware that the views of individual schools may be influenced by the extent of value they feel they receive from accessing these funds currently. In making final recommendations, the Schools Forum will consider </w:t>
      </w:r>
      <w:r w:rsidR="00A82907">
        <w:rPr>
          <w:sz w:val="22"/>
          <w:szCs w:val="22"/>
        </w:rPr>
        <w:t xml:space="preserve">specific responses to this consultation along with </w:t>
      </w:r>
      <w:r w:rsidR="00A82907" w:rsidRPr="00E759F0">
        <w:rPr>
          <w:sz w:val="22"/>
          <w:szCs w:val="22"/>
        </w:rPr>
        <w:t xml:space="preserve">the </w:t>
      </w:r>
      <w:r w:rsidR="00A82907">
        <w:rPr>
          <w:sz w:val="22"/>
          <w:szCs w:val="22"/>
        </w:rPr>
        <w:t xml:space="preserve">overall </w:t>
      </w:r>
      <w:r w:rsidR="00A82907" w:rsidRPr="00E759F0">
        <w:rPr>
          <w:sz w:val="22"/>
          <w:szCs w:val="22"/>
        </w:rPr>
        <w:t>most effective approach for maintained schools across the District.</w:t>
      </w:r>
      <w:r w:rsidR="00A82907">
        <w:rPr>
          <w:sz w:val="22"/>
          <w:szCs w:val="22"/>
        </w:rPr>
        <w:t xml:space="preserve"> </w:t>
      </w:r>
      <w:r w:rsidR="00A82907" w:rsidRPr="005230F8">
        <w:rPr>
          <w:sz w:val="22"/>
          <w:szCs w:val="22"/>
        </w:rPr>
        <w:t>You are advised to speak with your Schools Forum representatives if you have any specific comments on these funds.</w:t>
      </w:r>
    </w:p>
    <w:p w:rsidR="00A82907" w:rsidRPr="00E759F0" w:rsidRDefault="00A82907" w:rsidP="004574FB">
      <w:pPr>
        <w:jc w:val="both"/>
        <w:rPr>
          <w:sz w:val="22"/>
          <w:szCs w:val="22"/>
        </w:rPr>
      </w:pPr>
    </w:p>
    <w:p w:rsidR="00A82907" w:rsidRPr="00E759F0" w:rsidRDefault="00E124DC" w:rsidP="004574FB">
      <w:pPr>
        <w:jc w:val="both"/>
        <w:rPr>
          <w:sz w:val="22"/>
          <w:szCs w:val="22"/>
        </w:rPr>
      </w:pPr>
      <w:r>
        <w:rPr>
          <w:sz w:val="22"/>
          <w:szCs w:val="22"/>
        </w:rPr>
        <w:t>5</w:t>
      </w:r>
      <w:r w:rsidR="00A82907">
        <w:rPr>
          <w:sz w:val="22"/>
          <w:szCs w:val="22"/>
        </w:rPr>
        <w:t>.4</w:t>
      </w:r>
      <w:r w:rsidR="00A82907" w:rsidRPr="00E759F0">
        <w:rPr>
          <w:sz w:val="22"/>
          <w:szCs w:val="22"/>
        </w:rPr>
        <w:t xml:space="preserve"> </w:t>
      </w:r>
      <w:r w:rsidR="00A82907">
        <w:rPr>
          <w:sz w:val="22"/>
          <w:szCs w:val="22"/>
        </w:rPr>
        <w:t>Please note that t</w:t>
      </w:r>
      <w:r w:rsidR="00A82907" w:rsidRPr="00E759F0">
        <w:rPr>
          <w:sz w:val="22"/>
          <w:szCs w:val="22"/>
        </w:rPr>
        <w:t xml:space="preserve">his consultation asks for views </w:t>
      </w:r>
      <w:r w:rsidR="00A82907">
        <w:rPr>
          <w:sz w:val="22"/>
          <w:szCs w:val="22"/>
        </w:rPr>
        <w:t xml:space="preserve">only </w:t>
      </w:r>
      <w:r w:rsidR="00A82907" w:rsidRPr="00E759F0">
        <w:rPr>
          <w:sz w:val="22"/>
          <w:szCs w:val="22"/>
        </w:rPr>
        <w:t xml:space="preserve">on whether funds should be de-delegated, rather than the specific values of these funds. The values will be considered further by the Schools Forum in the autumn term. We would expect the values of funds to match anticipated cost pressures and to reduce </w:t>
      </w:r>
      <w:r w:rsidR="00A82907">
        <w:rPr>
          <w:sz w:val="22"/>
          <w:szCs w:val="22"/>
        </w:rPr>
        <w:t>for the impact of</w:t>
      </w:r>
      <w:r w:rsidR="00A82907" w:rsidRPr="00E759F0">
        <w:rPr>
          <w:sz w:val="22"/>
          <w:szCs w:val="22"/>
        </w:rPr>
        <w:t xml:space="preserve"> maintained sch</w:t>
      </w:r>
      <w:r w:rsidR="00A82907">
        <w:rPr>
          <w:sz w:val="22"/>
          <w:szCs w:val="22"/>
        </w:rPr>
        <w:t>ools converting to academy status.</w:t>
      </w:r>
    </w:p>
    <w:p w:rsidR="00A82907" w:rsidRPr="00F85CD7" w:rsidRDefault="00A82907" w:rsidP="004574FB">
      <w:pPr>
        <w:jc w:val="both"/>
        <w:rPr>
          <w:color w:val="FF0000"/>
          <w:sz w:val="22"/>
          <w:szCs w:val="22"/>
        </w:rPr>
      </w:pPr>
    </w:p>
    <w:p w:rsidR="00A82907" w:rsidRPr="005230F8" w:rsidRDefault="00E124DC" w:rsidP="004574FB">
      <w:pPr>
        <w:jc w:val="both"/>
        <w:rPr>
          <w:sz w:val="22"/>
          <w:szCs w:val="22"/>
        </w:rPr>
      </w:pPr>
      <w:r>
        <w:rPr>
          <w:sz w:val="22"/>
          <w:szCs w:val="22"/>
        </w:rPr>
        <w:t>5</w:t>
      </w:r>
      <w:r w:rsidR="00A82907">
        <w:rPr>
          <w:sz w:val="22"/>
          <w:szCs w:val="22"/>
        </w:rPr>
        <w:t>.5</w:t>
      </w:r>
      <w:r w:rsidR="00A82907" w:rsidRPr="005230F8">
        <w:rPr>
          <w:sz w:val="22"/>
          <w:szCs w:val="22"/>
        </w:rPr>
        <w:t xml:space="preserve"> The following ‘de-del</w:t>
      </w:r>
      <w:r w:rsidR="00A82907">
        <w:rPr>
          <w:sz w:val="22"/>
          <w:szCs w:val="22"/>
        </w:rPr>
        <w:t>egated’ funds have been held in</w:t>
      </w:r>
      <w:r w:rsidR="00A82907" w:rsidRPr="005230F8">
        <w:rPr>
          <w:sz w:val="22"/>
          <w:szCs w:val="22"/>
        </w:rPr>
        <w:t xml:space="preserve"> the current 2014/15 financial year:</w:t>
      </w:r>
    </w:p>
    <w:p w:rsidR="00A82907" w:rsidRPr="00F85CD7" w:rsidRDefault="00A82907" w:rsidP="004574FB">
      <w:pPr>
        <w:jc w:val="both"/>
        <w:rPr>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1500"/>
        <w:gridCol w:w="1400"/>
        <w:gridCol w:w="1500"/>
        <w:gridCol w:w="1466"/>
      </w:tblGrid>
      <w:tr w:rsidR="00A82907" w:rsidRPr="008B2EBB">
        <w:trPr>
          <w:jc w:val="center"/>
        </w:trPr>
        <w:tc>
          <w:tcPr>
            <w:tcW w:w="5008" w:type="dxa"/>
          </w:tcPr>
          <w:p w:rsidR="00A82907" w:rsidRPr="005B1B64" w:rsidRDefault="00A82907" w:rsidP="005B1B64">
            <w:pPr>
              <w:jc w:val="both"/>
              <w:rPr>
                <w:b/>
                <w:bCs/>
                <w:sz w:val="22"/>
                <w:szCs w:val="22"/>
              </w:rPr>
            </w:pPr>
            <w:r w:rsidRPr="005B1B64">
              <w:rPr>
                <w:b/>
                <w:bCs/>
                <w:sz w:val="22"/>
                <w:szCs w:val="22"/>
              </w:rPr>
              <w:t>Fund</w:t>
            </w:r>
          </w:p>
        </w:tc>
        <w:tc>
          <w:tcPr>
            <w:tcW w:w="1500" w:type="dxa"/>
          </w:tcPr>
          <w:p w:rsidR="00A82907" w:rsidRPr="005B1B64" w:rsidRDefault="00A82907" w:rsidP="005B1B64">
            <w:pPr>
              <w:jc w:val="right"/>
              <w:rPr>
                <w:b/>
                <w:bCs/>
                <w:sz w:val="22"/>
                <w:szCs w:val="22"/>
              </w:rPr>
            </w:pPr>
            <w:r w:rsidRPr="005B1B64">
              <w:rPr>
                <w:b/>
                <w:bCs/>
                <w:sz w:val="22"/>
                <w:szCs w:val="22"/>
              </w:rPr>
              <w:t>Early Years £</w:t>
            </w:r>
          </w:p>
        </w:tc>
        <w:tc>
          <w:tcPr>
            <w:tcW w:w="1400" w:type="dxa"/>
          </w:tcPr>
          <w:p w:rsidR="00A82907" w:rsidRPr="005B1B64" w:rsidRDefault="00A82907" w:rsidP="005B1B64">
            <w:pPr>
              <w:jc w:val="right"/>
              <w:rPr>
                <w:b/>
                <w:bCs/>
                <w:sz w:val="22"/>
                <w:szCs w:val="22"/>
              </w:rPr>
            </w:pPr>
            <w:r w:rsidRPr="005B1B64">
              <w:rPr>
                <w:b/>
                <w:bCs/>
                <w:sz w:val="22"/>
                <w:szCs w:val="22"/>
              </w:rPr>
              <w:t xml:space="preserve">Primary </w:t>
            </w:r>
          </w:p>
          <w:p w:rsidR="00A82907" w:rsidRPr="005B1B64" w:rsidRDefault="00A82907" w:rsidP="005B1B64">
            <w:pPr>
              <w:jc w:val="right"/>
              <w:rPr>
                <w:b/>
                <w:bCs/>
                <w:sz w:val="22"/>
                <w:szCs w:val="22"/>
              </w:rPr>
            </w:pPr>
            <w:r w:rsidRPr="005B1B64">
              <w:rPr>
                <w:b/>
                <w:bCs/>
                <w:sz w:val="22"/>
                <w:szCs w:val="22"/>
              </w:rPr>
              <w:t>£</w:t>
            </w:r>
          </w:p>
        </w:tc>
        <w:tc>
          <w:tcPr>
            <w:tcW w:w="1500" w:type="dxa"/>
          </w:tcPr>
          <w:p w:rsidR="00A82907" w:rsidRPr="005B1B64" w:rsidRDefault="00A82907" w:rsidP="005B1B64">
            <w:pPr>
              <w:jc w:val="right"/>
              <w:rPr>
                <w:b/>
                <w:bCs/>
                <w:sz w:val="22"/>
                <w:szCs w:val="22"/>
              </w:rPr>
            </w:pPr>
            <w:r w:rsidRPr="005B1B64">
              <w:rPr>
                <w:b/>
                <w:bCs/>
                <w:sz w:val="22"/>
                <w:szCs w:val="22"/>
              </w:rPr>
              <w:t>Secondary £</w:t>
            </w:r>
          </w:p>
        </w:tc>
        <w:tc>
          <w:tcPr>
            <w:tcW w:w="1466" w:type="dxa"/>
          </w:tcPr>
          <w:p w:rsidR="00A82907" w:rsidRPr="005B1B64" w:rsidRDefault="00A82907" w:rsidP="005B1B64">
            <w:pPr>
              <w:jc w:val="right"/>
              <w:rPr>
                <w:b/>
                <w:bCs/>
                <w:sz w:val="22"/>
                <w:szCs w:val="22"/>
              </w:rPr>
            </w:pPr>
            <w:r w:rsidRPr="005B1B64">
              <w:rPr>
                <w:b/>
                <w:bCs/>
                <w:sz w:val="22"/>
                <w:szCs w:val="22"/>
              </w:rPr>
              <w:t>Total Value £</w:t>
            </w:r>
          </w:p>
        </w:tc>
      </w:tr>
      <w:tr w:rsidR="00A82907" w:rsidRPr="008B2EBB">
        <w:trPr>
          <w:jc w:val="center"/>
        </w:trPr>
        <w:tc>
          <w:tcPr>
            <w:tcW w:w="5008" w:type="dxa"/>
          </w:tcPr>
          <w:p w:rsidR="00A82907" w:rsidRPr="005B1B64" w:rsidRDefault="00A82907" w:rsidP="005B1B64">
            <w:pPr>
              <w:jc w:val="both"/>
              <w:rPr>
                <w:sz w:val="22"/>
                <w:szCs w:val="22"/>
              </w:rPr>
            </w:pPr>
            <w:r w:rsidRPr="005B1B64">
              <w:rPr>
                <w:sz w:val="22"/>
                <w:szCs w:val="22"/>
              </w:rPr>
              <w:t>ESBD School Support Team</w:t>
            </w:r>
          </w:p>
        </w:tc>
        <w:tc>
          <w:tcPr>
            <w:tcW w:w="1500" w:type="dxa"/>
          </w:tcPr>
          <w:p w:rsidR="00A82907" w:rsidRPr="005B1B64" w:rsidRDefault="00A82907" w:rsidP="005B1B64">
            <w:pPr>
              <w:jc w:val="right"/>
              <w:rPr>
                <w:sz w:val="22"/>
                <w:szCs w:val="22"/>
              </w:rPr>
            </w:pPr>
            <w:r w:rsidRPr="005B1B64">
              <w:rPr>
                <w:sz w:val="22"/>
                <w:szCs w:val="22"/>
              </w:rPr>
              <w:t>£0</w:t>
            </w:r>
          </w:p>
        </w:tc>
        <w:tc>
          <w:tcPr>
            <w:tcW w:w="1400" w:type="dxa"/>
          </w:tcPr>
          <w:p w:rsidR="00A82907" w:rsidRPr="005B1B64" w:rsidRDefault="00A82907" w:rsidP="005B1B64">
            <w:pPr>
              <w:jc w:val="right"/>
              <w:rPr>
                <w:sz w:val="22"/>
                <w:szCs w:val="22"/>
              </w:rPr>
            </w:pPr>
            <w:r w:rsidRPr="005B1B64">
              <w:rPr>
                <w:sz w:val="22"/>
                <w:szCs w:val="22"/>
              </w:rPr>
              <w:t>£432,727</w:t>
            </w:r>
          </w:p>
        </w:tc>
        <w:tc>
          <w:tcPr>
            <w:tcW w:w="1500" w:type="dxa"/>
          </w:tcPr>
          <w:p w:rsidR="00A82907" w:rsidRPr="005B1B64" w:rsidRDefault="00A82907" w:rsidP="005B1B64">
            <w:pPr>
              <w:jc w:val="right"/>
              <w:rPr>
                <w:sz w:val="22"/>
                <w:szCs w:val="22"/>
              </w:rPr>
            </w:pPr>
            <w:r w:rsidRPr="005B1B64">
              <w:rPr>
                <w:sz w:val="22"/>
                <w:szCs w:val="22"/>
              </w:rPr>
              <w:t>£0</w:t>
            </w:r>
          </w:p>
        </w:tc>
        <w:tc>
          <w:tcPr>
            <w:tcW w:w="1466" w:type="dxa"/>
          </w:tcPr>
          <w:p w:rsidR="00A82907" w:rsidRPr="005B1B64" w:rsidRDefault="00A82907" w:rsidP="005B1B64">
            <w:pPr>
              <w:jc w:val="right"/>
              <w:rPr>
                <w:b/>
                <w:bCs/>
                <w:sz w:val="22"/>
                <w:szCs w:val="22"/>
              </w:rPr>
            </w:pPr>
            <w:r w:rsidRPr="005B1B64">
              <w:rPr>
                <w:b/>
                <w:bCs/>
                <w:sz w:val="22"/>
                <w:szCs w:val="22"/>
              </w:rPr>
              <w:t>£432,727</w:t>
            </w:r>
          </w:p>
        </w:tc>
      </w:tr>
      <w:tr w:rsidR="00A82907" w:rsidRPr="008B2EBB">
        <w:trPr>
          <w:jc w:val="center"/>
        </w:trPr>
        <w:tc>
          <w:tcPr>
            <w:tcW w:w="5008" w:type="dxa"/>
          </w:tcPr>
          <w:p w:rsidR="00A82907" w:rsidRPr="005B1B64" w:rsidRDefault="00A82907" w:rsidP="005B1B64">
            <w:pPr>
              <w:jc w:val="both"/>
              <w:rPr>
                <w:sz w:val="22"/>
                <w:szCs w:val="22"/>
              </w:rPr>
            </w:pPr>
            <w:r w:rsidRPr="005B1B64">
              <w:rPr>
                <w:sz w:val="22"/>
                <w:szCs w:val="22"/>
              </w:rPr>
              <w:t>Minority Ethnic School Support Team</w:t>
            </w:r>
          </w:p>
        </w:tc>
        <w:tc>
          <w:tcPr>
            <w:tcW w:w="1500" w:type="dxa"/>
          </w:tcPr>
          <w:p w:rsidR="00A82907" w:rsidRPr="005B1B64" w:rsidRDefault="00A82907" w:rsidP="005B1B64">
            <w:pPr>
              <w:jc w:val="right"/>
              <w:rPr>
                <w:sz w:val="22"/>
                <w:szCs w:val="22"/>
              </w:rPr>
            </w:pPr>
            <w:r w:rsidRPr="005B1B64">
              <w:rPr>
                <w:sz w:val="22"/>
                <w:szCs w:val="22"/>
              </w:rPr>
              <w:t>£0</w:t>
            </w:r>
          </w:p>
        </w:tc>
        <w:tc>
          <w:tcPr>
            <w:tcW w:w="1400" w:type="dxa"/>
          </w:tcPr>
          <w:p w:rsidR="00A82907" w:rsidRPr="005B1B64" w:rsidRDefault="00A82907" w:rsidP="005B1B64">
            <w:pPr>
              <w:jc w:val="right"/>
              <w:rPr>
                <w:sz w:val="22"/>
                <w:szCs w:val="22"/>
              </w:rPr>
            </w:pPr>
            <w:r w:rsidRPr="005B1B64">
              <w:rPr>
                <w:sz w:val="22"/>
                <w:szCs w:val="22"/>
              </w:rPr>
              <w:t>£203,790</w:t>
            </w:r>
          </w:p>
        </w:tc>
        <w:tc>
          <w:tcPr>
            <w:tcW w:w="1500" w:type="dxa"/>
          </w:tcPr>
          <w:p w:rsidR="00A82907" w:rsidRPr="005B1B64" w:rsidRDefault="00A82907" w:rsidP="005B1B64">
            <w:pPr>
              <w:jc w:val="right"/>
              <w:rPr>
                <w:sz w:val="22"/>
                <w:szCs w:val="22"/>
              </w:rPr>
            </w:pPr>
            <w:r w:rsidRPr="005B1B64">
              <w:rPr>
                <w:sz w:val="22"/>
                <w:szCs w:val="22"/>
              </w:rPr>
              <w:t>£75,234</w:t>
            </w:r>
          </w:p>
        </w:tc>
        <w:tc>
          <w:tcPr>
            <w:tcW w:w="1466" w:type="dxa"/>
          </w:tcPr>
          <w:p w:rsidR="00A82907" w:rsidRPr="005B1B64" w:rsidRDefault="00A82907" w:rsidP="005B1B64">
            <w:pPr>
              <w:jc w:val="right"/>
              <w:rPr>
                <w:b/>
                <w:bCs/>
                <w:sz w:val="22"/>
                <w:szCs w:val="22"/>
              </w:rPr>
            </w:pPr>
            <w:r w:rsidRPr="005B1B64">
              <w:rPr>
                <w:b/>
                <w:bCs/>
                <w:sz w:val="22"/>
                <w:szCs w:val="22"/>
              </w:rPr>
              <w:t>£279,024</w:t>
            </w:r>
          </w:p>
        </w:tc>
      </w:tr>
      <w:tr w:rsidR="00A82907" w:rsidRPr="008B2EBB">
        <w:trPr>
          <w:jc w:val="center"/>
        </w:trPr>
        <w:tc>
          <w:tcPr>
            <w:tcW w:w="5008" w:type="dxa"/>
          </w:tcPr>
          <w:p w:rsidR="00A82907" w:rsidRPr="005B1B64" w:rsidRDefault="00A82907" w:rsidP="005B1B64">
            <w:pPr>
              <w:jc w:val="both"/>
              <w:rPr>
                <w:sz w:val="22"/>
                <w:szCs w:val="22"/>
              </w:rPr>
            </w:pPr>
            <w:r w:rsidRPr="005B1B64">
              <w:rPr>
                <w:sz w:val="22"/>
                <w:szCs w:val="22"/>
              </w:rPr>
              <w:t>FSM Eligibility Assessments</w:t>
            </w:r>
          </w:p>
        </w:tc>
        <w:tc>
          <w:tcPr>
            <w:tcW w:w="1500" w:type="dxa"/>
          </w:tcPr>
          <w:p w:rsidR="00A82907" w:rsidRPr="005B1B64" w:rsidRDefault="00A82907" w:rsidP="005B1B64">
            <w:pPr>
              <w:jc w:val="right"/>
              <w:rPr>
                <w:sz w:val="22"/>
                <w:szCs w:val="22"/>
              </w:rPr>
            </w:pPr>
            <w:r w:rsidRPr="005B1B64">
              <w:rPr>
                <w:sz w:val="22"/>
                <w:szCs w:val="22"/>
              </w:rPr>
              <w:t>£0</w:t>
            </w:r>
          </w:p>
        </w:tc>
        <w:tc>
          <w:tcPr>
            <w:tcW w:w="1400" w:type="dxa"/>
          </w:tcPr>
          <w:p w:rsidR="00A82907" w:rsidRPr="005B1B64" w:rsidRDefault="00A82907" w:rsidP="005B1B64">
            <w:pPr>
              <w:jc w:val="right"/>
              <w:rPr>
                <w:sz w:val="22"/>
                <w:szCs w:val="22"/>
              </w:rPr>
            </w:pPr>
            <w:r w:rsidRPr="005B1B64">
              <w:rPr>
                <w:sz w:val="22"/>
                <w:szCs w:val="22"/>
              </w:rPr>
              <w:t>£90,079</w:t>
            </w:r>
          </w:p>
        </w:tc>
        <w:tc>
          <w:tcPr>
            <w:tcW w:w="1500" w:type="dxa"/>
          </w:tcPr>
          <w:p w:rsidR="00A82907" w:rsidRPr="005B1B64" w:rsidRDefault="00A82907" w:rsidP="005B1B64">
            <w:pPr>
              <w:jc w:val="right"/>
              <w:rPr>
                <w:sz w:val="22"/>
                <w:szCs w:val="22"/>
              </w:rPr>
            </w:pPr>
            <w:r w:rsidRPr="005B1B64">
              <w:rPr>
                <w:sz w:val="22"/>
                <w:szCs w:val="22"/>
              </w:rPr>
              <w:t>£33,255</w:t>
            </w:r>
          </w:p>
        </w:tc>
        <w:tc>
          <w:tcPr>
            <w:tcW w:w="1466" w:type="dxa"/>
          </w:tcPr>
          <w:p w:rsidR="00A82907" w:rsidRPr="005B1B64" w:rsidRDefault="00A82907" w:rsidP="005B1B64">
            <w:pPr>
              <w:jc w:val="right"/>
              <w:rPr>
                <w:b/>
                <w:bCs/>
                <w:sz w:val="22"/>
                <w:szCs w:val="22"/>
              </w:rPr>
            </w:pPr>
            <w:r w:rsidRPr="005B1B64">
              <w:rPr>
                <w:b/>
                <w:bCs/>
                <w:sz w:val="22"/>
                <w:szCs w:val="22"/>
              </w:rPr>
              <w:t>£123,333</w:t>
            </w:r>
          </w:p>
        </w:tc>
      </w:tr>
      <w:tr w:rsidR="00A82907" w:rsidRPr="008B2EBB">
        <w:trPr>
          <w:jc w:val="center"/>
        </w:trPr>
        <w:tc>
          <w:tcPr>
            <w:tcW w:w="5008" w:type="dxa"/>
          </w:tcPr>
          <w:p w:rsidR="00A82907" w:rsidRPr="005B1B64" w:rsidRDefault="00A82907" w:rsidP="005B1B64">
            <w:pPr>
              <w:jc w:val="both"/>
              <w:rPr>
                <w:sz w:val="22"/>
                <w:szCs w:val="22"/>
              </w:rPr>
            </w:pPr>
            <w:r w:rsidRPr="005B1B64">
              <w:rPr>
                <w:sz w:val="22"/>
                <w:szCs w:val="22"/>
              </w:rPr>
              <w:t>Fischer Family Trust – School Licences</w:t>
            </w:r>
          </w:p>
        </w:tc>
        <w:tc>
          <w:tcPr>
            <w:tcW w:w="1500" w:type="dxa"/>
          </w:tcPr>
          <w:p w:rsidR="00A82907" w:rsidRPr="005B1B64" w:rsidRDefault="00A82907" w:rsidP="005B1B64">
            <w:pPr>
              <w:jc w:val="right"/>
              <w:rPr>
                <w:sz w:val="22"/>
                <w:szCs w:val="22"/>
              </w:rPr>
            </w:pPr>
            <w:r w:rsidRPr="005B1B64">
              <w:rPr>
                <w:sz w:val="22"/>
                <w:szCs w:val="22"/>
              </w:rPr>
              <w:t>£0</w:t>
            </w:r>
          </w:p>
        </w:tc>
        <w:tc>
          <w:tcPr>
            <w:tcW w:w="1400" w:type="dxa"/>
          </w:tcPr>
          <w:p w:rsidR="00A82907" w:rsidRPr="005B1B64" w:rsidRDefault="00A82907" w:rsidP="005B1B64">
            <w:pPr>
              <w:jc w:val="right"/>
              <w:rPr>
                <w:sz w:val="22"/>
                <w:szCs w:val="22"/>
              </w:rPr>
            </w:pPr>
            <w:r w:rsidRPr="005B1B64">
              <w:rPr>
                <w:sz w:val="22"/>
                <w:szCs w:val="22"/>
              </w:rPr>
              <w:t>£24,511</w:t>
            </w:r>
          </w:p>
        </w:tc>
        <w:tc>
          <w:tcPr>
            <w:tcW w:w="1500" w:type="dxa"/>
          </w:tcPr>
          <w:p w:rsidR="00A82907" w:rsidRPr="005B1B64" w:rsidRDefault="00A82907" w:rsidP="005B1B64">
            <w:pPr>
              <w:jc w:val="right"/>
              <w:rPr>
                <w:sz w:val="22"/>
                <w:szCs w:val="22"/>
              </w:rPr>
            </w:pPr>
            <w:r w:rsidRPr="005B1B64">
              <w:rPr>
                <w:sz w:val="22"/>
                <w:szCs w:val="22"/>
              </w:rPr>
              <w:t>£9,049</w:t>
            </w:r>
          </w:p>
        </w:tc>
        <w:tc>
          <w:tcPr>
            <w:tcW w:w="1466" w:type="dxa"/>
          </w:tcPr>
          <w:p w:rsidR="00A82907" w:rsidRPr="005B1B64" w:rsidRDefault="00A82907" w:rsidP="005B1B64">
            <w:pPr>
              <w:jc w:val="right"/>
              <w:rPr>
                <w:b/>
                <w:bCs/>
                <w:sz w:val="22"/>
                <w:szCs w:val="22"/>
              </w:rPr>
            </w:pPr>
            <w:r w:rsidRPr="005B1B64">
              <w:rPr>
                <w:b/>
                <w:bCs/>
                <w:sz w:val="22"/>
                <w:szCs w:val="22"/>
              </w:rPr>
              <w:t>£33,560</w:t>
            </w:r>
          </w:p>
        </w:tc>
      </w:tr>
      <w:tr w:rsidR="00A82907" w:rsidRPr="008B2EBB">
        <w:trPr>
          <w:jc w:val="center"/>
        </w:trPr>
        <w:tc>
          <w:tcPr>
            <w:tcW w:w="5008" w:type="dxa"/>
          </w:tcPr>
          <w:p w:rsidR="00A82907" w:rsidRPr="005B1B64" w:rsidRDefault="00A82907" w:rsidP="005B1B64">
            <w:pPr>
              <w:jc w:val="both"/>
              <w:rPr>
                <w:sz w:val="22"/>
                <w:szCs w:val="22"/>
              </w:rPr>
            </w:pPr>
            <w:r w:rsidRPr="005B1B64">
              <w:rPr>
                <w:sz w:val="22"/>
                <w:szCs w:val="22"/>
              </w:rPr>
              <w:t>School Maternity / Paternity ‘insurance’</w:t>
            </w:r>
          </w:p>
        </w:tc>
        <w:tc>
          <w:tcPr>
            <w:tcW w:w="1500" w:type="dxa"/>
          </w:tcPr>
          <w:p w:rsidR="00A82907" w:rsidRPr="005B1B64" w:rsidRDefault="00A82907" w:rsidP="005B1B64">
            <w:pPr>
              <w:jc w:val="right"/>
              <w:rPr>
                <w:sz w:val="22"/>
                <w:szCs w:val="22"/>
              </w:rPr>
            </w:pPr>
            <w:r w:rsidRPr="005B1B64">
              <w:rPr>
                <w:sz w:val="22"/>
                <w:szCs w:val="22"/>
              </w:rPr>
              <w:t>£61,881</w:t>
            </w:r>
          </w:p>
        </w:tc>
        <w:tc>
          <w:tcPr>
            <w:tcW w:w="1400" w:type="dxa"/>
          </w:tcPr>
          <w:p w:rsidR="00A82907" w:rsidRPr="005B1B64" w:rsidRDefault="00A82907" w:rsidP="005B1B64">
            <w:pPr>
              <w:jc w:val="right"/>
              <w:rPr>
                <w:sz w:val="22"/>
                <w:szCs w:val="22"/>
              </w:rPr>
            </w:pPr>
            <w:r w:rsidRPr="005B1B64">
              <w:rPr>
                <w:sz w:val="22"/>
                <w:szCs w:val="22"/>
              </w:rPr>
              <w:t>£1,054,793</w:t>
            </w:r>
          </w:p>
        </w:tc>
        <w:tc>
          <w:tcPr>
            <w:tcW w:w="1500" w:type="dxa"/>
          </w:tcPr>
          <w:p w:rsidR="00A82907" w:rsidRPr="005B1B64" w:rsidRDefault="00A82907" w:rsidP="005B1B64">
            <w:pPr>
              <w:jc w:val="right"/>
              <w:rPr>
                <w:sz w:val="22"/>
                <w:szCs w:val="22"/>
              </w:rPr>
            </w:pPr>
            <w:r w:rsidRPr="005B1B64">
              <w:rPr>
                <w:sz w:val="22"/>
                <w:szCs w:val="22"/>
              </w:rPr>
              <w:t>£255,898</w:t>
            </w:r>
          </w:p>
        </w:tc>
        <w:tc>
          <w:tcPr>
            <w:tcW w:w="1466" w:type="dxa"/>
          </w:tcPr>
          <w:p w:rsidR="00A82907" w:rsidRPr="005B1B64" w:rsidRDefault="00A82907" w:rsidP="005B1B64">
            <w:pPr>
              <w:jc w:val="right"/>
              <w:rPr>
                <w:b/>
                <w:bCs/>
                <w:sz w:val="22"/>
                <w:szCs w:val="22"/>
              </w:rPr>
            </w:pPr>
            <w:r w:rsidRPr="005B1B64">
              <w:rPr>
                <w:b/>
                <w:bCs/>
                <w:sz w:val="22"/>
                <w:szCs w:val="22"/>
              </w:rPr>
              <w:t>£1,372,572</w:t>
            </w:r>
          </w:p>
        </w:tc>
      </w:tr>
      <w:tr w:rsidR="00A82907" w:rsidRPr="008B2EBB">
        <w:trPr>
          <w:jc w:val="center"/>
        </w:trPr>
        <w:tc>
          <w:tcPr>
            <w:tcW w:w="5008" w:type="dxa"/>
          </w:tcPr>
          <w:p w:rsidR="00A82907" w:rsidRPr="005B1B64" w:rsidRDefault="00A82907" w:rsidP="005B1B64">
            <w:pPr>
              <w:jc w:val="both"/>
              <w:rPr>
                <w:sz w:val="22"/>
                <w:szCs w:val="22"/>
              </w:rPr>
            </w:pPr>
            <w:r w:rsidRPr="005B1B64">
              <w:rPr>
                <w:sz w:val="22"/>
                <w:szCs w:val="22"/>
              </w:rPr>
              <w:t>Trade Union Facilities Time</w:t>
            </w:r>
          </w:p>
        </w:tc>
        <w:tc>
          <w:tcPr>
            <w:tcW w:w="1500" w:type="dxa"/>
          </w:tcPr>
          <w:p w:rsidR="00A82907" w:rsidRPr="005B1B64" w:rsidRDefault="00A82907" w:rsidP="005B1B64">
            <w:pPr>
              <w:jc w:val="right"/>
              <w:rPr>
                <w:sz w:val="22"/>
                <w:szCs w:val="22"/>
              </w:rPr>
            </w:pPr>
            <w:r w:rsidRPr="005B1B64">
              <w:rPr>
                <w:sz w:val="22"/>
                <w:szCs w:val="22"/>
              </w:rPr>
              <w:t>£18,283</w:t>
            </w:r>
          </w:p>
        </w:tc>
        <w:tc>
          <w:tcPr>
            <w:tcW w:w="1400" w:type="dxa"/>
          </w:tcPr>
          <w:p w:rsidR="00A82907" w:rsidRPr="005B1B64" w:rsidRDefault="00A82907" w:rsidP="005B1B64">
            <w:pPr>
              <w:jc w:val="right"/>
              <w:rPr>
                <w:sz w:val="22"/>
                <w:szCs w:val="22"/>
              </w:rPr>
            </w:pPr>
            <w:r w:rsidRPr="005B1B64">
              <w:rPr>
                <w:sz w:val="22"/>
                <w:szCs w:val="22"/>
              </w:rPr>
              <w:t>£214,620</w:t>
            </w:r>
          </w:p>
        </w:tc>
        <w:tc>
          <w:tcPr>
            <w:tcW w:w="1500" w:type="dxa"/>
          </w:tcPr>
          <w:p w:rsidR="00A82907" w:rsidRPr="005B1B64" w:rsidRDefault="00A82907" w:rsidP="005B1B64">
            <w:pPr>
              <w:jc w:val="right"/>
              <w:rPr>
                <w:sz w:val="22"/>
                <w:szCs w:val="22"/>
              </w:rPr>
            </w:pPr>
            <w:r w:rsidRPr="005B1B64">
              <w:rPr>
                <w:sz w:val="22"/>
                <w:szCs w:val="22"/>
              </w:rPr>
              <w:t>£79,232</w:t>
            </w:r>
          </w:p>
        </w:tc>
        <w:tc>
          <w:tcPr>
            <w:tcW w:w="1466" w:type="dxa"/>
          </w:tcPr>
          <w:p w:rsidR="00A82907" w:rsidRPr="005B1B64" w:rsidRDefault="00A82907" w:rsidP="005B1B64">
            <w:pPr>
              <w:jc w:val="right"/>
              <w:rPr>
                <w:b/>
                <w:bCs/>
                <w:sz w:val="22"/>
                <w:szCs w:val="22"/>
              </w:rPr>
            </w:pPr>
            <w:r w:rsidRPr="005B1B64">
              <w:rPr>
                <w:b/>
                <w:bCs/>
                <w:sz w:val="22"/>
                <w:szCs w:val="22"/>
              </w:rPr>
              <w:t>£312,135</w:t>
            </w:r>
          </w:p>
        </w:tc>
      </w:tr>
      <w:tr w:rsidR="00A82907" w:rsidRPr="008B2EBB">
        <w:trPr>
          <w:jc w:val="center"/>
        </w:trPr>
        <w:tc>
          <w:tcPr>
            <w:tcW w:w="5008" w:type="dxa"/>
          </w:tcPr>
          <w:p w:rsidR="00A82907" w:rsidRPr="005B1B64" w:rsidRDefault="00A82907" w:rsidP="005B1B64">
            <w:pPr>
              <w:jc w:val="both"/>
              <w:rPr>
                <w:sz w:val="22"/>
                <w:szCs w:val="22"/>
              </w:rPr>
            </w:pPr>
            <w:r w:rsidRPr="005B1B64">
              <w:rPr>
                <w:sz w:val="22"/>
                <w:szCs w:val="22"/>
              </w:rPr>
              <w:t>Trade Union Health and Safety Rep Time</w:t>
            </w:r>
          </w:p>
        </w:tc>
        <w:tc>
          <w:tcPr>
            <w:tcW w:w="1500" w:type="dxa"/>
          </w:tcPr>
          <w:p w:rsidR="00A82907" w:rsidRPr="005B1B64" w:rsidRDefault="00A82907" w:rsidP="005B1B64">
            <w:pPr>
              <w:jc w:val="right"/>
              <w:rPr>
                <w:sz w:val="22"/>
                <w:szCs w:val="22"/>
              </w:rPr>
            </w:pPr>
            <w:r w:rsidRPr="005B1B64">
              <w:rPr>
                <w:sz w:val="22"/>
                <w:szCs w:val="22"/>
              </w:rPr>
              <w:t>£10,896</w:t>
            </w:r>
          </w:p>
        </w:tc>
        <w:tc>
          <w:tcPr>
            <w:tcW w:w="1400" w:type="dxa"/>
          </w:tcPr>
          <w:p w:rsidR="00A82907" w:rsidRPr="005B1B64" w:rsidRDefault="00A82907" w:rsidP="005B1B64">
            <w:pPr>
              <w:jc w:val="right"/>
              <w:rPr>
                <w:sz w:val="22"/>
                <w:szCs w:val="22"/>
              </w:rPr>
            </w:pPr>
            <w:r w:rsidRPr="005B1B64">
              <w:rPr>
                <w:sz w:val="22"/>
                <w:szCs w:val="22"/>
              </w:rPr>
              <w:t>£127,902</w:t>
            </w:r>
          </w:p>
        </w:tc>
        <w:tc>
          <w:tcPr>
            <w:tcW w:w="1500" w:type="dxa"/>
          </w:tcPr>
          <w:p w:rsidR="00A82907" w:rsidRPr="005B1B64" w:rsidRDefault="00A82907" w:rsidP="005B1B64">
            <w:pPr>
              <w:jc w:val="right"/>
              <w:rPr>
                <w:sz w:val="22"/>
                <w:szCs w:val="22"/>
              </w:rPr>
            </w:pPr>
            <w:r w:rsidRPr="005B1B64">
              <w:rPr>
                <w:sz w:val="22"/>
                <w:szCs w:val="22"/>
              </w:rPr>
              <w:t>£47,218</w:t>
            </w:r>
          </w:p>
        </w:tc>
        <w:tc>
          <w:tcPr>
            <w:tcW w:w="1466" w:type="dxa"/>
          </w:tcPr>
          <w:p w:rsidR="00A82907" w:rsidRPr="005B1B64" w:rsidRDefault="00A82907" w:rsidP="005B1B64">
            <w:pPr>
              <w:jc w:val="right"/>
              <w:rPr>
                <w:b/>
                <w:bCs/>
                <w:sz w:val="22"/>
                <w:szCs w:val="22"/>
              </w:rPr>
            </w:pPr>
            <w:r w:rsidRPr="005B1B64">
              <w:rPr>
                <w:b/>
                <w:bCs/>
                <w:sz w:val="22"/>
                <w:szCs w:val="22"/>
              </w:rPr>
              <w:t>£186,016</w:t>
            </w:r>
          </w:p>
        </w:tc>
      </w:tr>
      <w:tr w:rsidR="00A82907" w:rsidRPr="008B2EBB">
        <w:trPr>
          <w:jc w:val="center"/>
        </w:trPr>
        <w:tc>
          <w:tcPr>
            <w:tcW w:w="5008" w:type="dxa"/>
          </w:tcPr>
          <w:p w:rsidR="00A82907" w:rsidRPr="005B1B64" w:rsidRDefault="00A82907" w:rsidP="005B1B64">
            <w:pPr>
              <w:jc w:val="both"/>
              <w:rPr>
                <w:sz w:val="22"/>
                <w:szCs w:val="22"/>
              </w:rPr>
            </w:pPr>
            <w:r w:rsidRPr="005B1B64">
              <w:rPr>
                <w:sz w:val="22"/>
                <w:szCs w:val="22"/>
              </w:rPr>
              <w:t>School Staff Public Duties &amp; Suspensions Fund</w:t>
            </w:r>
          </w:p>
        </w:tc>
        <w:tc>
          <w:tcPr>
            <w:tcW w:w="1500" w:type="dxa"/>
          </w:tcPr>
          <w:p w:rsidR="00A82907" w:rsidRPr="005B1B64" w:rsidRDefault="00A82907" w:rsidP="005B1B64">
            <w:pPr>
              <w:jc w:val="right"/>
              <w:rPr>
                <w:sz w:val="22"/>
                <w:szCs w:val="22"/>
              </w:rPr>
            </w:pPr>
            <w:r w:rsidRPr="005B1B64">
              <w:rPr>
                <w:sz w:val="22"/>
                <w:szCs w:val="22"/>
              </w:rPr>
              <w:t>£3,759</w:t>
            </w:r>
          </w:p>
        </w:tc>
        <w:tc>
          <w:tcPr>
            <w:tcW w:w="1400" w:type="dxa"/>
          </w:tcPr>
          <w:p w:rsidR="00A82907" w:rsidRPr="005B1B64" w:rsidRDefault="00A82907" w:rsidP="005B1B64">
            <w:pPr>
              <w:jc w:val="right"/>
              <w:rPr>
                <w:sz w:val="22"/>
                <w:szCs w:val="22"/>
              </w:rPr>
            </w:pPr>
            <w:r w:rsidRPr="005B1B64">
              <w:rPr>
                <w:sz w:val="22"/>
                <w:szCs w:val="22"/>
              </w:rPr>
              <w:t>£44,126</w:t>
            </w:r>
          </w:p>
        </w:tc>
        <w:tc>
          <w:tcPr>
            <w:tcW w:w="1500" w:type="dxa"/>
          </w:tcPr>
          <w:p w:rsidR="00A82907" w:rsidRPr="005B1B64" w:rsidRDefault="00A82907" w:rsidP="005B1B64">
            <w:pPr>
              <w:jc w:val="right"/>
              <w:rPr>
                <w:sz w:val="22"/>
                <w:szCs w:val="22"/>
              </w:rPr>
            </w:pPr>
            <w:r w:rsidRPr="005B1B64">
              <w:rPr>
                <w:sz w:val="22"/>
                <w:szCs w:val="22"/>
              </w:rPr>
              <w:t>£16,290</w:t>
            </w:r>
          </w:p>
        </w:tc>
        <w:tc>
          <w:tcPr>
            <w:tcW w:w="1466" w:type="dxa"/>
          </w:tcPr>
          <w:p w:rsidR="00A82907" w:rsidRPr="005B1B64" w:rsidRDefault="00A82907" w:rsidP="005B1B64">
            <w:pPr>
              <w:jc w:val="right"/>
              <w:rPr>
                <w:b/>
                <w:bCs/>
                <w:sz w:val="22"/>
                <w:szCs w:val="22"/>
              </w:rPr>
            </w:pPr>
            <w:r w:rsidRPr="005B1B64">
              <w:rPr>
                <w:b/>
                <w:bCs/>
                <w:sz w:val="22"/>
                <w:szCs w:val="22"/>
              </w:rPr>
              <w:t>£64,175</w:t>
            </w:r>
          </w:p>
        </w:tc>
      </w:tr>
      <w:tr w:rsidR="00A82907" w:rsidRPr="008B2EBB">
        <w:trPr>
          <w:jc w:val="center"/>
        </w:trPr>
        <w:tc>
          <w:tcPr>
            <w:tcW w:w="5008" w:type="dxa"/>
          </w:tcPr>
          <w:p w:rsidR="00A82907" w:rsidRPr="005B1B64" w:rsidRDefault="00A82907" w:rsidP="005B1B64">
            <w:pPr>
              <w:jc w:val="both"/>
              <w:rPr>
                <w:b/>
                <w:bCs/>
                <w:sz w:val="22"/>
                <w:szCs w:val="22"/>
              </w:rPr>
            </w:pPr>
            <w:r w:rsidRPr="005B1B64">
              <w:rPr>
                <w:b/>
                <w:bCs/>
                <w:sz w:val="22"/>
                <w:szCs w:val="22"/>
              </w:rPr>
              <w:t>Total</w:t>
            </w:r>
          </w:p>
        </w:tc>
        <w:tc>
          <w:tcPr>
            <w:tcW w:w="1500" w:type="dxa"/>
          </w:tcPr>
          <w:p w:rsidR="00A82907" w:rsidRPr="005B1B64" w:rsidRDefault="00A82907" w:rsidP="005B1B64">
            <w:pPr>
              <w:jc w:val="right"/>
              <w:rPr>
                <w:b/>
                <w:bCs/>
                <w:sz w:val="22"/>
                <w:szCs w:val="22"/>
              </w:rPr>
            </w:pPr>
            <w:r w:rsidRPr="005B1B64">
              <w:rPr>
                <w:b/>
                <w:bCs/>
                <w:sz w:val="22"/>
                <w:szCs w:val="22"/>
              </w:rPr>
              <w:t>£94,819</w:t>
            </w:r>
          </w:p>
        </w:tc>
        <w:tc>
          <w:tcPr>
            <w:tcW w:w="1400" w:type="dxa"/>
          </w:tcPr>
          <w:p w:rsidR="00A82907" w:rsidRPr="005B1B64" w:rsidRDefault="00A82907" w:rsidP="005B1B64">
            <w:pPr>
              <w:jc w:val="right"/>
              <w:rPr>
                <w:b/>
                <w:bCs/>
                <w:sz w:val="22"/>
                <w:szCs w:val="22"/>
              </w:rPr>
            </w:pPr>
            <w:r w:rsidRPr="005B1B64">
              <w:rPr>
                <w:b/>
                <w:bCs/>
                <w:sz w:val="22"/>
                <w:szCs w:val="22"/>
              </w:rPr>
              <w:t>£2,192,547</w:t>
            </w:r>
          </w:p>
        </w:tc>
        <w:tc>
          <w:tcPr>
            <w:tcW w:w="1500" w:type="dxa"/>
          </w:tcPr>
          <w:p w:rsidR="00A82907" w:rsidRPr="005B1B64" w:rsidRDefault="00A82907" w:rsidP="005B1B64">
            <w:pPr>
              <w:jc w:val="right"/>
              <w:rPr>
                <w:b/>
                <w:bCs/>
                <w:sz w:val="22"/>
                <w:szCs w:val="22"/>
              </w:rPr>
            </w:pPr>
            <w:r w:rsidRPr="005B1B64">
              <w:rPr>
                <w:b/>
                <w:bCs/>
                <w:sz w:val="22"/>
                <w:szCs w:val="22"/>
              </w:rPr>
              <w:t>£516,175</w:t>
            </w:r>
          </w:p>
        </w:tc>
        <w:tc>
          <w:tcPr>
            <w:tcW w:w="1466" w:type="dxa"/>
          </w:tcPr>
          <w:p w:rsidR="00A82907" w:rsidRPr="005B1B64" w:rsidRDefault="00A82907" w:rsidP="005B1B64">
            <w:pPr>
              <w:jc w:val="right"/>
              <w:rPr>
                <w:b/>
                <w:bCs/>
                <w:sz w:val="22"/>
                <w:szCs w:val="22"/>
              </w:rPr>
            </w:pPr>
            <w:r w:rsidRPr="005B1B64">
              <w:rPr>
                <w:b/>
                <w:bCs/>
                <w:sz w:val="22"/>
                <w:szCs w:val="22"/>
              </w:rPr>
              <w:t>£2,803,541</w:t>
            </w:r>
          </w:p>
        </w:tc>
      </w:tr>
    </w:tbl>
    <w:p w:rsidR="00A82907" w:rsidRPr="00F85CD7" w:rsidRDefault="00A82907" w:rsidP="004574FB">
      <w:pPr>
        <w:jc w:val="both"/>
        <w:rPr>
          <w:color w:val="FF0000"/>
          <w:sz w:val="22"/>
          <w:szCs w:val="22"/>
        </w:rPr>
      </w:pPr>
    </w:p>
    <w:p w:rsidR="00A82907" w:rsidRDefault="00E124DC" w:rsidP="004574FB">
      <w:pPr>
        <w:jc w:val="both"/>
        <w:rPr>
          <w:sz w:val="22"/>
          <w:szCs w:val="22"/>
        </w:rPr>
      </w:pPr>
      <w:r>
        <w:rPr>
          <w:sz w:val="22"/>
          <w:szCs w:val="22"/>
        </w:rPr>
        <w:t>5</w:t>
      </w:r>
      <w:r w:rsidR="00A82907">
        <w:rPr>
          <w:sz w:val="22"/>
          <w:szCs w:val="22"/>
        </w:rPr>
        <w:t>.6</w:t>
      </w:r>
      <w:r w:rsidR="00A82907" w:rsidRPr="008B2EBB">
        <w:rPr>
          <w:sz w:val="22"/>
          <w:szCs w:val="22"/>
        </w:rPr>
        <w:t xml:space="preserve"> These total values have been ‘de-delegated’ from individual school budgets on a flat amount per pupil basis, with the exception of FSM Eligibility Assessments, which has been ‘de-delegated’ on an amount per Ever 6 FSM formula pupil, as follows:</w:t>
      </w:r>
    </w:p>
    <w:p w:rsidR="00A43B77" w:rsidRDefault="00A43B77" w:rsidP="004574FB">
      <w:pPr>
        <w:jc w:val="both"/>
        <w:rPr>
          <w:sz w:val="22"/>
          <w:szCs w:val="22"/>
        </w:rPr>
      </w:pPr>
    </w:p>
    <w:p w:rsidR="00A43B77" w:rsidRPr="008B2EBB" w:rsidRDefault="00A43B77" w:rsidP="004574FB">
      <w:pPr>
        <w:jc w:val="both"/>
        <w:rPr>
          <w:sz w:val="22"/>
          <w:szCs w:val="22"/>
        </w:rPr>
      </w:pPr>
    </w:p>
    <w:p w:rsidR="00A82907" w:rsidRPr="008B2EBB" w:rsidRDefault="00A82907" w:rsidP="004574FB">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1500"/>
        <w:gridCol w:w="1400"/>
        <w:gridCol w:w="1500"/>
      </w:tblGrid>
      <w:tr w:rsidR="00A82907" w:rsidRPr="008B2EBB">
        <w:trPr>
          <w:jc w:val="center"/>
        </w:trPr>
        <w:tc>
          <w:tcPr>
            <w:tcW w:w="5008" w:type="dxa"/>
          </w:tcPr>
          <w:p w:rsidR="00A82907" w:rsidRPr="005B1B64" w:rsidRDefault="00A82907" w:rsidP="005B1B64">
            <w:pPr>
              <w:jc w:val="both"/>
              <w:rPr>
                <w:b/>
                <w:bCs/>
                <w:sz w:val="22"/>
                <w:szCs w:val="22"/>
              </w:rPr>
            </w:pPr>
            <w:r w:rsidRPr="005B1B64">
              <w:rPr>
                <w:b/>
                <w:bCs/>
                <w:sz w:val="22"/>
                <w:szCs w:val="22"/>
              </w:rPr>
              <w:t>Fund</w:t>
            </w:r>
          </w:p>
        </w:tc>
        <w:tc>
          <w:tcPr>
            <w:tcW w:w="1500" w:type="dxa"/>
          </w:tcPr>
          <w:p w:rsidR="00A82907" w:rsidRPr="005B1B64" w:rsidRDefault="00A82907" w:rsidP="005B1B64">
            <w:pPr>
              <w:jc w:val="right"/>
              <w:rPr>
                <w:b/>
                <w:bCs/>
                <w:sz w:val="22"/>
                <w:szCs w:val="22"/>
              </w:rPr>
            </w:pPr>
            <w:r w:rsidRPr="005B1B64">
              <w:rPr>
                <w:b/>
                <w:bCs/>
                <w:sz w:val="22"/>
                <w:szCs w:val="22"/>
              </w:rPr>
              <w:t>Early Years £app</w:t>
            </w:r>
          </w:p>
        </w:tc>
        <w:tc>
          <w:tcPr>
            <w:tcW w:w="1400" w:type="dxa"/>
          </w:tcPr>
          <w:p w:rsidR="00A82907" w:rsidRPr="005B1B64" w:rsidRDefault="00A82907" w:rsidP="005B1B64">
            <w:pPr>
              <w:jc w:val="right"/>
              <w:rPr>
                <w:b/>
                <w:bCs/>
                <w:sz w:val="22"/>
                <w:szCs w:val="22"/>
              </w:rPr>
            </w:pPr>
            <w:r w:rsidRPr="005B1B64">
              <w:rPr>
                <w:b/>
                <w:bCs/>
                <w:sz w:val="22"/>
                <w:szCs w:val="22"/>
              </w:rPr>
              <w:t>Primary £app</w:t>
            </w:r>
          </w:p>
        </w:tc>
        <w:tc>
          <w:tcPr>
            <w:tcW w:w="1500" w:type="dxa"/>
          </w:tcPr>
          <w:p w:rsidR="00A82907" w:rsidRPr="005B1B64" w:rsidRDefault="00A82907" w:rsidP="005B1B64">
            <w:pPr>
              <w:jc w:val="right"/>
              <w:rPr>
                <w:b/>
                <w:bCs/>
                <w:sz w:val="22"/>
                <w:szCs w:val="22"/>
              </w:rPr>
            </w:pPr>
            <w:r w:rsidRPr="005B1B64">
              <w:rPr>
                <w:b/>
                <w:bCs/>
                <w:sz w:val="22"/>
                <w:szCs w:val="22"/>
              </w:rPr>
              <w:t>Secondary £app</w:t>
            </w:r>
          </w:p>
        </w:tc>
      </w:tr>
      <w:tr w:rsidR="00A82907" w:rsidRPr="008B2EBB">
        <w:trPr>
          <w:jc w:val="center"/>
        </w:trPr>
        <w:tc>
          <w:tcPr>
            <w:tcW w:w="5008" w:type="dxa"/>
          </w:tcPr>
          <w:p w:rsidR="00A82907" w:rsidRPr="005B1B64" w:rsidRDefault="00A82907" w:rsidP="005B1B64">
            <w:pPr>
              <w:jc w:val="both"/>
              <w:rPr>
                <w:sz w:val="22"/>
                <w:szCs w:val="22"/>
              </w:rPr>
            </w:pPr>
            <w:r w:rsidRPr="005B1B64">
              <w:rPr>
                <w:sz w:val="22"/>
                <w:szCs w:val="22"/>
              </w:rPr>
              <w:t>ESBD School Support Team</w:t>
            </w:r>
          </w:p>
        </w:tc>
        <w:tc>
          <w:tcPr>
            <w:tcW w:w="1500" w:type="dxa"/>
          </w:tcPr>
          <w:p w:rsidR="00A82907" w:rsidRPr="005B1B64" w:rsidRDefault="00A82907" w:rsidP="005B1B64">
            <w:pPr>
              <w:jc w:val="right"/>
              <w:rPr>
                <w:sz w:val="22"/>
                <w:szCs w:val="22"/>
              </w:rPr>
            </w:pPr>
            <w:r w:rsidRPr="005B1B64">
              <w:rPr>
                <w:sz w:val="22"/>
                <w:szCs w:val="22"/>
              </w:rPr>
              <w:t>£0</w:t>
            </w:r>
          </w:p>
        </w:tc>
        <w:tc>
          <w:tcPr>
            <w:tcW w:w="1400" w:type="dxa"/>
          </w:tcPr>
          <w:p w:rsidR="00A82907" w:rsidRPr="005B1B64" w:rsidRDefault="00A82907" w:rsidP="005B1B64">
            <w:pPr>
              <w:jc w:val="right"/>
              <w:rPr>
                <w:sz w:val="22"/>
                <w:szCs w:val="22"/>
              </w:rPr>
            </w:pPr>
            <w:r w:rsidRPr="005B1B64">
              <w:rPr>
                <w:sz w:val="22"/>
                <w:szCs w:val="22"/>
              </w:rPr>
              <w:t>£9.20</w:t>
            </w:r>
          </w:p>
        </w:tc>
        <w:tc>
          <w:tcPr>
            <w:tcW w:w="1500" w:type="dxa"/>
          </w:tcPr>
          <w:p w:rsidR="00A82907" w:rsidRPr="005B1B64" w:rsidRDefault="00A82907" w:rsidP="005B1B64">
            <w:pPr>
              <w:jc w:val="right"/>
              <w:rPr>
                <w:sz w:val="22"/>
                <w:szCs w:val="22"/>
              </w:rPr>
            </w:pPr>
            <w:r w:rsidRPr="005B1B64">
              <w:rPr>
                <w:sz w:val="22"/>
                <w:szCs w:val="22"/>
              </w:rPr>
              <w:t>£0</w:t>
            </w:r>
          </w:p>
        </w:tc>
      </w:tr>
      <w:tr w:rsidR="00A82907" w:rsidRPr="002C0E85">
        <w:trPr>
          <w:jc w:val="center"/>
        </w:trPr>
        <w:tc>
          <w:tcPr>
            <w:tcW w:w="5008" w:type="dxa"/>
          </w:tcPr>
          <w:p w:rsidR="00A82907" w:rsidRPr="005B1B64" w:rsidRDefault="00A82907" w:rsidP="005B1B64">
            <w:pPr>
              <w:jc w:val="both"/>
              <w:rPr>
                <w:sz w:val="22"/>
                <w:szCs w:val="22"/>
              </w:rPr>
            </w:pPr>
            <w:r w:rsidRPr="005B1B64">
              <w:rPr>
                <w:sz w:val="22"/>
                <w:szCs w:val="22"/>
              </w:rPr>
              <w:t>Minority Ethnic School Support Team</w:t>
            </w:r>
          </w:p>
        </w:tc>
        <w:tc>
          <w:tcPr>
            <w:tcW w:w="1500" w:type="dxa"/>
          </w:tcPr>
          <w:p w:rsidR="00A82907" w:rsidRPr="005B1B64" w:rsidRDefault="00A82907" w:rsidP="005B1B64">
            <w:pPr>
              <w:jc w:val="right"/>
              <w:rPr>
                <w:sz w:val="22"/>
                <w:szCs w:val="22"/>
              </w:rPr>
            </w:pPr>
            <w:r w:rsidRPr="005B1B64">
              <w:rPr>
                <w:sz w:val="22"/>
                <w:szCs w:val="22"/>
              </w:rPr>
              <w:t>£0</w:t>
            </w:r>
          </w:p>
        </w:tc>
        <w:tc>
          <w:tcPr>
            <w:tcW w:w="1400" w:type="dxa"/>
          </w:tcPr>
          <w:p w:rsidR="00A82907" w:rsidRPr="005B1B64" w:rsidRDefault="00A82907" w:rsidP="005B1B64">
            <w:pPr>
              <w:jc w:val="right"/>
              <w:rPr>
                <w:sz w:val="22"/>
                <w:szCs w:val="22"/>
              </w:rPr>
            </w:pPr>
            <w:r w:rsidRPr="005B1B64">
              <w:rPr>
                <w:sz w:val="22"/>
                <w:szCs w:val="22"/>
              </w:rPr>
              <w:t>£4.33</w:t>
            </w:r>
          </w:p>
        </w:tc>
        <w:tc>
          <w:tcPr>
            <w:tcW w:w="1500" w:type="dxa"/>
          </w:tcPr>
          <w:p w:rsidR="00A82907" w:rsidRPr="005B1B64" w:rsidRDefault="00A82907" w:rsidP="005B1B64">
            <w:pPr>
              <w:jc w:val="right"/>
              <w:rPr>
                <w:sz w:val="22"/>
                <w:szCs w:val="22"/>
              </w:rPr>
            </w:pPr>
            <w:r w:rsidRPr="005B1B64">
              <w:rPr>
                <w:sz w:val="22"/>
                <w:szCs w:val="22"/>
              </w:rPr>
              <w:t>£4.33</w:t>
            </w:r>
          </w:p>
        </w:tc>
      </w:tr>
      <w:tr w:rsidR="00A82907" w:rsidRPr="008B2EBB">
        <w:trPr>
          <w:jc w:val="center"/>
        </w:trPr>
        <w:tc>
          <w:tcPr>
            <w:tcW w:w="5008" w:type="dxa"/>
          </w:tcPr>
          <w:p w:rsidR="00A82907" w:rsidRPr="005B1B64" w:rsidRDefault="00A82907" w:rsidP="005B1B64">
            <w:pPr>
              <w:jc w:val="both"/>
              <w:rPr>
                <w:sz w:val="22"/>
                <w:szCs w:val="22"/>
              </w:rPr>
            </w:pPr>
            <w:r w:rsidRPr="005B1B64">
              <w:rPr>
                <w:sz w:val="22"/>
                <w:szCs w:val="22"/>
              </w:rPr>
              <w:t>FSM Eligibility Assessments</w:t>
            </w:r>
          </w:p>
        </w:tc>
        <w:tc>
          <w:tcPr>
            <w:tcW w:w="1500" w:type="dxa"/>
          </w:tcPr>
          <w:p w:rsidR="00A82907" w:rsidRPr="005B1B64" w:rsidRDefault="00A82907" w:rsidP="005B1B64">
            <w:pPr>
              <w:jc w:val="right"/>
              <w:rPr>
                <w:sz w:val="22"/>
                <w:szCs w:val="22"/>
              </w:rPr>
            </w:pPr>
            <w:r w:rsidRPr="005B1B64">
              <w:rPr>
                <w:sz w:val="22"/>
                <w:szCs w:val="22"/>
              </w:rPr>
              <w:t>£0</w:t>
            </w:r>
          </w:p>
        </w:tc>
        <w:tc>
          <w:tcPr>
            <w:tcW w:w="1400" w:type="dxa"/>
          </w:tcPr>
          <w:p w:rsidR="00A82907" w:rsidRPr="005B1B64" w:rsidRDefault="00A82907" w:rsidP="005B1B64">
            <w:pPr>
              <w:jc w:val="right"/>
              <w:rPr>
                <w:sz w:val="22"/>
                <w:szCs w:val="22"/>
              </w:rPr>
            </w:pPr>
            <w:r w:rsidRPr="005B1B64">
              <w:rPr>
                <w:sz w:val="22"/>
                <w:szCs w:val="22"/>
              </w:rPr>
              <w:t>£5.80</w:t>
            </w:r>
          </w:p>
        </w:tc>
        <w:tc>
          <w:tcPr>
            <w:tcW w:w="1500" w:type="dxa"/>
          </w:tcPr>
          <w:p w:rsidR="00A82907" w:rsidRPr="005B1B64" w:rsidRDefault="00A82907" w:rsidP="005B1B64">
            <w:pPr>
              <w:jc w:val="right"/>
              <w:rPr>
                <w:sz w:val="22"/>
                <w:szCs w:val="22"/>
              </w:rPr>
            </w:pPr>
            <w:r w:rsidRPr="005B1B64">
              <w:rPr>
                <w:sz w:val="22"/>
                <w:szCs w:val="22"/>
              </w:rPr>
              <w:t>£5.14</w:t>
            </w:r>
          </w:p>
        </w:tc>
      </w:tr>
      <w:tr w:rsidR="00A82907" w:rsidRPr="008B2EBB">
        <w:trPr>
          <w:jc w:val="center"/>
        </w:trPr>
        <w:tc>
          <w:tcPr>
            <w:tcW w:w="5008" w:type="dxa"/>
          </w:tcPr>
          <w:p w:rsidR="00A82907" w:rsidRPr="005B1B64" w:rsidRDefault="00A82907" w:rsidP="005B1B64">
            <w:pPr>
              <w:jc w:val="both"/>
              <w:rPr>
                <w:sz w:val="22"/>
                <w:szCs w:val="22"/>
              </w:rPr>
            </w:pPr>
            <w:r w:rsidRPr="005B1B64">
              <w:rPr>
                <w:sz w:val="22"/>
                <w:szCs w:val="22"/>
              </w:rPr>
              <w:t>Fischer Family Trust – School Licences</w:t>
            </w:r>
          </w:p>
        </w:tc>
        <w:tc>
          <w:tcPr>
            <w:tcW w:w="1500" w:type="dxa"/>
          </w:tcPr>
          <w:p w:rsidR="00A82907" w:rsidRPr="005B1B64" w:rsidRDefault="00A82907" w:rsidP="005B1B64">
            <w:pPr>
              <w:jc w:val="right"/>
              <w:rPr>
                <w:sz w:val="22"/>
                <w:szCs w:val="22"/>
              </w:rPr>
            </w:pPr>
            <w:r w:rsidRPr="005B1B64">
              <w:rPr>
                <w:sz w:val="22"/>
                <w:szCs w:val="22"/>
              </w:rPr>
              <w:t>£0</w:t>
            </w:r>
          </w:p>
        </w:tc>
        <w:tc>
          <w:tcPr>
            <w:tcW w:w="1400" w:type="dxa"/>
          </w:tcPr>
          <w:p w:rsidR="00A82907" w:rsidRPr="005B1B64" w:rsidRDefault="00A82907" w:rsidP="005B1B64">
            <w:pPr>
              <w:jc w:val="right"/>
              <w:rPr>
                <w:sz w:val="22"/>
                <w:szCs w:val="22"/>
              </w:rPr>
            </w:pPr>
            <w:r w:rsidRPr="005B1B64">
              <w:rPr>
                <w:sz w:val="22"/>
                <w:szCs w:val="22"/>
              </w:rPr>
              <w:t>£0.52</w:t>
            </w:r>
          </w:p>
        </w:tc>
        <w:tc>
          <w:tcPr>
            <w:tcW w:w="1500" w:type="dxa"/>
          </w:tcPr>
          <w:p w:rsidR="00A82907" w:rsidRPr="005B1B64" w:rsidRDefault="00A82907" w:rsidP="005B1B64">
            <w:pPr>
              <w:jc w:val="right"/>
              <w:rPr>
                <w:sz w:val="22"/>
                <w:szCs w:val="22"/>
              </w:rPr>
            </w:pPr>
            <w:r w:rsidRPr="005B1B64">
              <w:rPr>
                <w:sz w:val="22"/>
                <w:szCs w:val="22"/>
              </w:rPr>
              <w:t>£0.52</w:t>
            </w:r>
          </w:p>
        </w:tc>
      </w:tr>
      <w:tr w:rsidR="00A82907" w:rsidRPr="002C0E85">
        <w:trPr>
          <w:jc w:val="center"/>
        </w:trPr>
        <w:tc>
          <w:tcPr>
            <w:tcW w:w="5008" w:type="dxa"/>
          </w:tcPr>
          <w:p w:rsidR="00A82907" w:rsidRPr="005B1B64" w:rsidRDefault="00A82907" w:rsidP="005B1B64">
            <w:pPr>
              <w:jc w:val="both"/>
              <w:rPr>
                <w:sz w:val="22"/>
                <w:szCs w:val="22"/>
              </w:rPr>
            </w:pPr>
            <w:r w:rsidRPr="005B1B64">
              <w:rPr>
                <w:sz w:val="22"/>
                <w:szCs w:val="22"/>
              </w:rPr>
              <w:t>School Maternity / Paternity ‘insurance’</w:t>
            </w:r>
          </w:p>
        </w:tc>
        <w:tc>
          <w:tcPr>
            <w:tcW w:w="1500" w:type="dxa"/>
          </w:tcPr>
          <w:p w:rsidR="00A82907" w:rsidRPr="005B1B64" w:rsidRDefault="00A82907" w:rsidP="005B1B64">
            <w:pPr>
              <w:jc w:val="right"/>
              <w:rPr>
                <w:sz w:val="22"/>
                <w:szCs w:val="22"/>
              </w:rPr>
            </w:pPr>
            <w:r w:rsidRPr="005B1B64">
              <w:rPr>
                <w:sz w:val="22"/>
                <w:szCs w:val="22"/>
              </w:rPr>
              <w:t>£15.44</w:t>
            </w:r>
          </w:p>
        </w:tc>
        <w:tc>
          <w:tcPr>
            <w:tcW w:w="1400" w:type="dxa"/>
          </w:tcPr>
          <w:p w:rsidR="00A82907" w:rsidRPr="005B1B64" w:rsidRDefault="00A82907" w:rsidP="005B1B64">
            <w:pPr>
              <w:jc w:val="right"/>
              <w:rPr>
                <w:sz w:val="22"/>
                <w:szCs w:val="22"/>
              </w:rPr>
            </w:pPr>
            <w:r w:rsidRPr="005B1B64">
              <w:rPr>
                <w:sz w:val="22"/>
                <w:szCs w:val="22"/>
              </w:rPr>
              <w:t>£22.42</w:t>
            </w:r>
          </w:p>
        </w:tc>
        <w:tc>
          <w:tcPr>
            <w:tcW w:w="1500" w:type="dxa"/>
          </w:tcPr>
          <w:p w:rsidR="00A82907" w:rsidRPr="005B1B64" w:rsidRDefault="00A82907" w:rsidP="005B1B64">
            <w:pPr>
              <w:jc w:val="right"/>
              <w:rPr>
                <w:sz w:val="22"/>
                <w:szCs w:val="22"/>
              </w:rPr>
            </w:pPr>
            <w:r w:rsidRPr="005B1B64">
              <w:rPr>
                <w:sz w:val="22"/>
                <w:szCs w:val="22"/>
              </w:rPr>
              <w:t>£14.73</w:t>
            </w:r>
          </w:p>
        </w:tc>
      </w:tr>
      <w:tr w:rsidR="00A82907" w:rsidRPr="005230F8">
        <w:trPr>
          <w:jc w:val="center"/>
        </w:trPr>
        <w:tc>
          <w:tcPr>
            <w:tcW w:w="5008" w:type="dxa"/>
          </w:tcPr>
          <w:p w:rsidR="00A82907" w:rsidRPr="005B1B64" w:rsidRDefault="00A82907" w:rsidP="005B1B64">
            <w:pPr>
              <w:jc w:val="both"/>
              <w:rPr>
                <w:sz w:val="22"/>
                <w:szCs w:val="22"/>
              </w:rPr>
            </w:pPr>
            <w:r w:rsidRPr="005B1B64">
              <w:rPr>
                <w:sz w:val="22"/>
                <w:szCs w:val="22"/>
              </w:rPr>
              <w:t>Trade Union Facilities Time</w:t>
            </w:r>
          </w:p>
        </w:tc>
        <w:tc>
          <w:tcPr>
            <w:tcW w:w="1500" w:type="dxa"/>
          </w:tcPr>
          <w:p w:rsidR="00A82907" w:rsidRPr="005B1B64" w:rsidRDefault="00A82907" w:rsidP="005B1B64">
            <w:pPr>
              <w:jc w:val="right"/>
              <w:rPr>
                <w:sz w:val="22"/>
                <w:szCs w:val="22"/>
              </w:rPr>
            </w:pPr>
            <w:r w:rsidRPr="005B1B64">
              <w:rPr>
                <w:sz w:val="22"/>
                <w:szCs w:val="22"/>
              </w:rPr>
              <w:t>£4.56</w:t>
            </w:r>
          </w:p>
        </w:tc>
        <w:tc>
          <w:tcPr>
            <w:tcW w:w="1400" w:type="dxa"/>
          </w:tcPr>
          <w:p w:rsidR="00A82907" w:rsidRPr="005B1B64" w:rsidRDefault="00A82907" w:rsidP="005B1B64">
            <w:pPr>
              <w:jc w:val="right"/>
              <w:rPr>
                <w:sz w:val="22"/>
                <w:szCs w:val="22"/>
              </w:rPr>
            </w:pPr>
            <w:r w:rsidRPr="005B1B64">
              <w:rPr>
                <w:sz w:val="22"/>
                <w:szCs w:val="22"/>
              </w:rPr>
              <w:t>£4.56</w:t>
            </w:r>
          </w:p>
        </w:tc>
        <w:tc>
          <w:tcPr>
            <w:tcW w:w="1500" w:type="dxa"/>
          </w:tcPr>
          <w:p w:rsidR="00A82907" w:rsidRPr="005B1B64" w:rsidRDefault="00A82907" w:rsidP="005B1B64">
            <w:pPr>
              <w:jc w:val="right"/>
              <w:rPr>
                <w:sz w:val="22"/>
                <w:szCs w:val="22"/>
              </w:rPr>
            </w:pPr>
            <w:r w:rsidRPr="005B1B64">
              <w:rPr>
                <w:sz w:val="22"/>
                <w:szCs w:val="22"/>
              </w:rPr>
              <w:t>£4.56</w:t>
            </w:r>
          </w:p>
        </w:tc>
      </w:tr>
      <w:tr w:rsidR="00A82907" w:rsidRPr="005230F8">
        <w:trPr>
          <w:jc w:val="center"/>
        </w:trPr>
        <w:tc>
          <w:tcPr>
            <w:tcW w:w="5008" w:type="dxa"/>
          </w:tcPr>
          <w:p w:rsidR="00A82907" w:rsidRPr="005B1B64" w:rsidRDefault="00A82907" w:rsidP="005B1B64">
            <w:pPr>
              <w:jc w:val="both"/>
              <w:rPr>
                <w:sz w:val="22"/>
                <w:szCs w:val="22"/>
              </w:rPr>
            </w:pPr>
            <w:r w:rsidRPr="005B1B64">
              <w:rPr>
                <w:sz w:val="22"/>
                <w:szCs w:val="22"/>
              </w:rPr>
              <w:t>Trade Union Health and Safety Rep Time</w:t>
            </w:r>
          </w:p>
        </w:tc>
        <w:tc>
          <w:tcPr>
            <w:tcW w:w="1500" w:type="dxa"/>
          </w:tcPr>
          <w:p w:rsidR="00A82907" w:rsidRPr="005B1B64" w:rsidRDefault="00A82907" w:rsidP="005B1B64">
            <w:pPr>
              <w:jc w:val="right"/>
              <w:rPr>
                <w:sz w:val="22"/>
                <w:szCs w:val="22"/>
              </w:rPr>
            </w:pPr>
            <w:r w:rsidRPr="005B1B64">
              <w:rPr>
                <w:sz w:val="22"/>
                <w:szCs w:val="22"/>
              </w:rPr>
              <w:t>£2.72</w:t>
            </w:r>
          </w:p>
        </w:tc>
        <w:tc>
          <w:tcPr>
            <w:tcW w:w="1400" w:type="dxa"/>
          </w:tcPr>
          <w:p w:rsidR="00A82907" w:rsidRPr="005B1B64" w:rsidRDefault="00A82907" w:rsidP="005B1B64">
            <w:pPr>
              <w:jc w:val="right"/>
              <w:rPr>
                <w:sz w:val="22"/>
                <w:szCs w:val="22"/>
              </w:rPr>
            </w:pPr>
            <w:r w:rsidRPr="005B1B64">
              <w:rPr>
                <w:sz w:val="22"/>
                <w:szCs w:val="22"/>
              </w:rPr>
              <w:t>£2.72</w:t>
            </w:r>
          </w:p>
        </w:tc>
        <w:tc>
          <w:tcPr>
            <w:tcW w:w="1500" w:type="dxa"/>
          </w:tcPr>
          <w:p w:rsidR="00A82907" w:rsidRPr="005B1B64" w:rsidRDefault="00A82907" w:rsidP="005B1B64">
            <w:pPr>
              <w:jc w:val="right"/>
              <w:rPr>
                <w:sz w:val="22"/>
                <w:szCs w:val="22"/>
              </w:rPr>
            </w:pPr>
            <w:r w:rsidRPr="005B1B64">
              <w:rPr>
                <w:sz w:val="22"/>
                <w:szCs w:val="22"/>
              </w:rPr>
              <w:t>£2.72</w:t>
            </w:r>
          </w:p>
        </w:tc>
      </w:tr>
      <w:tr w:rsidR="00A82907" w:rsidRPr="005230F8">
        <w:trPr>
          <w:jc w:val="center"/>
        </w:trPr>
        <w:tc>
          <w:tcPr>
            <w:tcW w:w="5008" w:type="dxa"/>
          </w:tcPr>
          <w:p w:rsidR="00A82907" w:rsidRPr="005B1B64" w:rsidRDefault="00A82907" w:rsidP="005B1B64">
            <w:pPr>
              <w:jc w:val="both"/>
              <w:rPr>
                <w:sz w:val="22"/>
                <w:szCs w:val="22"/>
              </w:rPr>
            </w:pPr>
            <w:r w:rsidRPr="005B1B64">
              <w:rPr>
                <w:sz w:val="22"/>
                <w:szCs w:val="22"/>
              </w:rPr>
              <w:t>School Staff Public Duties &amp; Suspensions Fund</w:t>
            </w:r>
          </w:p>
        </w:tc>
        <w:tc>
          <w:tcPr>
            <w:tcW w:w="1500" w:type="dxa"/>
          </w:tcPr>
          <w:p w:rsidR="00A82907" w:rsidRPr="005B1B64" w:rsidRDefault="00A82907" w:rsidP="005B1B64">
            <w:pPr>
              <w:jc w:val="right"/>
              <w:rPr>
                <w:sz w:val="22"/>
                <w:szCs w:val="22"/>
              </w:rPr>
            </w:pPr>
            <w:r w:rsidRPr="005B1B64">
              <w:rPr>
                <w:sz w:val="22"/>
                <w:szCs w:val="22"/>
              </w:rPr>
              <w:t>£0.94</w:t>
            </w:r>
          </w:p>
        </w:tc>
        <w:tc>
          <w:tcPr>
            <w:tcW w:w="1400" w:type="dxa"/>
          </w:tcPr>
          <w:p w:rsidR="00A82907" w:rsidRPr="005B1B64" w:rsidRDefault="00A82907" w:rsidP="005B1B64">
            <w:pPr>
              <w:jc w:val="right"/>
              <w:rPr>
                <w:sz w:val="22"/>
                <w:szCs w:val="22"/>
              </w:rPr>
            </w:pPr>
            <w:r w:rsidRPr="005B1B64">
              <w:rPr>
                <w:sz w:val="22"/>
                <w:szCs w:val="22"/>
              </w:rPr>
              <w:t>£0.94</w:t>
            </w:r>
          </w:p>
        </w:tc>
        <w:tc>
          <w:tcPr>
            <w:tcW w:w="1500" w:type="dxa"/>
          </w:tcPr>
          <w:p w:rsidR="00A82907" w:rsidRPr="005B1B64" w:rsidRDefault="00A82907" w:rsidP="005B1B64">
            <w:pPr>
              <w:jc w:val="right"/>
              <w:rPr>
                <w:sz w:val="22"/>
                <w:szCs w:val="22"/>
              </w:rPr>
            </w:pPr>
            <w:r w:rsidRPr="005B1B64">
              <w:rPr>
                <w:sz w:val="22"/>
                <w:szCs w:val="22"/>
              </w:rPr>
              <w:t>£0.94</w:t>
            </w:r>
          </w:p>
        </w:tc>
      </w:tr>
      <w:tr w:rsidR="00A82907" w:rsidRPr="002C0E85">
        <w:trPr>
          <w:jc w:val="center"/>
        </w:trPr>
        <w:tc>
          <w:tcPr>
            <w:tcW w:w="5008" w:type="dxa"/>
          </w:tcPr>
          <w:p w:rsidR="00A82907" w:rsidRPr="005B1B64" w:rsidRDefault="00A82907" w:rsidP="005B1B64">
            <w:pPr>
              <w:jc w:val="both"/>
              <w:rPr>
                <w:b/>
                <w:bCs/>
                <w:sz w:val="22"/>
                <w:szCs w:val="22"/>
              </w:rPr>
            </w:pPr>
            <w:r w:rsidRPr="005B1B64">
              <w:rPr>
                <w:b/>
                <w:bCs/>
                <w:sz w:val="22"/>
                <w:szCs w:val="22"/>
              </w:rPr>
              <w:t>Total</w:t>
            </w:r>
          </w:p>
        </w:tc>
        <w:tc>
          <w:tcPr>
            <w:tcW w:w="1500" w:type="dxa"/>
          </w:tcPr>
          <w:p w:rsidR="00A82907" w:rsidRPr="005B1B64" w:rsidRDefault="00A82907" w:rsidP="005B1B64">
            <w:pPr>
              <w:jc w:val="right"/>
              <w:rPr>
                <w:b/>
                <w:bCs/>
                <w:sz w:val="22"/>
                <w:szCs w:val="22"/>
              </w:rPr>
            </w:pPr>
            <w:r w:rsidRPr="005B1B64">
              <w:rPr>
                <w:b/>
                <w:bCs/>
                <w:sz w:val="22"/>
                <w:szCs w:val="22"/>
              </w:rPr>
              <w:t>£23.66</w:t>
            </w:r>
          </w:p>
        </w:tc>
        <w:tc>
          <w:tcPr>
            <w:tcW w:w="1400" w:type="dxa"/>
          </w:tcPr>
          <w:p w:rsidR="00A82907" w:rsidRPr="005B1B64" w:rsidRDefault="00A82907" w:rsidP="005B1B64">
            <w:pPr>
              <w:jc w:val="right"/>
              <w:rPr>
                <w:b/>
                <w:bCs/>
                <w:sz w:val="22"/>
                <w:szCs w:val="22"/>
              </w:rPr>
            </w:pPr>
            <w:r w:rsidRPr="005B1B64">
              <w:rPr>
                <w:b/>
                <w:bCs/>
                <w:sz w:val="22"/>
                <w:szCs w:val="22"/>
              </w:rPr>
              <w:t>£50.49</w:t>
            </w:r>
          </w:p>
        </w:tc>
        <w:tc>
          <w:tcPr>
            <w:tcW w:w="1500" w:type="dxa"/>
          </w:tcPr>
          <w:p w:rsidR="00A82907" w:rsidRPr="005B1B64" w:rsidRDefault="00A82907" w:rsidP="005B1B64">
            <w:pPr>
              <w:jc w:val="right"/>
              <w:rPr>
                <w:b/>
                <w:bCs/>
                <w:sz w:val="22"/>
                <w:szCs w:val="22"/>
              </w:rPr>
            </w:pPr>
            <w:r w:rsidRPr="005B1B64">
              <w:rPr>
                <w:b/>
                <w:bCs/>
                <w:sz w:val="22"/>
                <w:szCs w:val="22"/>
              </w:rPr>
              <w:t>£32.94</w:t>
            </w:r>
          </w:p>
        </w:tc>
      </w:tr>
    </w:tbl>
    <w:p w:rsidR="00A82907" w:rsidRPr="00F85CD7" w:rsidRDefault="00A82907" w:rsidP="004574FB">
      <w:pPr>
        <w:jc w:val="both"/>
        <w:rPr>
          <w:color w:val="FF0000"/>
          <w:sz w:val="22"/>
          <w:szCs w:val="22"/>
        </w:rPr>
      </w:pPr>
    </w:p>
    <w:p w:rsidR="00A82907" w:rsidRPr="002C0E85" w:rsidRDefault="00A82907" w:rsidP="004574FB">
      <w:pPr>
        <w:jc w:val="both"/>
        <w:rPr>
          <w:sz w:val="22"/>
          <w:szCs w:val="22"/>
        </w:rPr>
      </w:pPr>
      <w:r w:rsidRPr="002C0E85">
        <w:rPr>
          <w:sz w:val="22"/>
          <w:szCs w:val="22"/>
        </w:rPr>
        <w:t>Each maintained school therefore, has contributed from its delegated budget share the amount per pupil (</w:t>
      </w:r>
      <w:r>
        <w:rPr>
          <w:sz w:val="22"/>
          <w:szCs w:val="22"/>
        </w:rPr>
        <w:t>£</w:t>
      </w:r>
      <w:r w:rsidRPr="002C0E85">
        <w:rPr>
          <w:sz w:val="22"/>
          <w:szCs w:val="22"/>
        </w:rPr>
        <w:t>app) shown above multiplied by its number of pre-16 pupils, or by its number of Ever 6 FSM formula pupils for FSM Eligibility Assessments. If these amounts were not de-delegated, a school’s budget would increase, though the cost of replacing services would also fall to the school’s budget.</w:t>
      </w:r>
    </w:p>
    <w:p w:rsidR="00A82907" w:rsidRDefault="00A82907" w:rsidP="004574FB">
      <w:pPr>
        <w:jc w:val="both"/>
        <w:rPr>
          <w:sz w:val="22"/>
          <w:szCs w:val="22"/>
          <w:u w:val="single"/>
        </w:rPr>
      </w:pPr>
    </w:p>
    <w:p w:rsidR="00A82907" w:rsidRPr="002C0E85" w:rsidRDefault="00A82907" w:rsidP="004574FB">
      <w:pPr>
        <w:jc w:val="both"/>
        <w:rPr>
          <w:sz w:val="22"/>
          <w:szCs w:val="22"/>
        </w:rPr>
      </w:pPr>
      <w:r w:rsidRPr="002C0E85">
        <w:rPr>
          <w:sz w:val="22"/>
          <w:szCs w:val="22"/>
          <w:u w:val="single"/>
        </w:rPr>
        <w:t>Purposes of these Funds</w:t>
      </w:r>
    </w:p>
    <w:p w:rsidR="00A82907" w:rsidRPr="002C0E85" w:rsidRDefault="00A82907" w:rsidP="004574FB">
      <w:pPr>
        <w:jc w:val="both"/>
        <w:rPr>
          <w:sz w:val="22"/>
          <w:szCs w:val="22"/>
        </w:rPr>
      </w:pPr>
    </w:p>
    <w:p w:rsidR="00A82907" w:rsidRPr="002C0E85" w:rsidRDefault="00E124DC" w:rsidP="004574FB">
      <w:pPr>
        <w:jc w:val="both"/>
        <w:rPr>
          <w:sz w:val="22"/>
          <w:szCs w:val="22"/>
        </w:rPr>
      </w:pPr>
      <w:r>
        <w:rPr>
          <w:sz w:val="22"/>
          <w:szCs w:val="22"/>
        </w:rPr>
        <w:t>5</w:t>
      </w:r>
      <w:r w:rsidR="00A82907">
        <w:rPr>
          <w:sz w:val="22"/>
          <w:szCs w:val="22"/>
        </w:rPr>
        <w:t>.7</w:t>
      </w:r>
      <w:r w:rsidR="00A82907" w:rsidRPr="002C0E85">
        <w:rPr>
          <w:sz w:val="22"/>
          <w:szCs w:val="22"/>
        </w:rPr>
        <w:t xml:space="preserve"> ESBD School Support Team: </w:t>
      </w:r>
    </w:p>
    <w:p w:rsidR="00A82907" w:rsidRPr="002C0E85" w:rsidRDefault="00A82907" w:rsidP="004574FB">
      <w:pPr>
        <w:jc w:val="both"/>
        <w:rPr>
          <w:sz w:val="22"/>
          <w:szCs w:val="22"/>
        </w:rPr>
      </w:pPr>
    </w:p>
    <w:p w:rsidR="00A82907" w:rsidRPr="002C0E85" w:rsidRDefault="00A82907" w:rsidP="004574FB">
      <w:pPr>
        <w:jc w:val="both"/>
        <w:rPr>
          <w:sz w:val="22"/>
          <w:szCs w:val="22"/>
        </w:rPr>
      </w:pPr>
      <w:r w:rsidRPr="002C0E85">
        <w:rPr>
          <w:sz w:val="22"/>
          <w:szCs w:val="22"/>
        </w:rPr>
        <w:t>As a specialist teaching support service, the ESBD Service provides:</w:t>
      </w:r>
    </w:p>
    <w:p w:rsidR="00A82907" w:rsidRPr="002C0E85" w:rsidRDefault="00A82907" w:rsidP="0086676E">
      <w:pPr>
        <w:numPr>
          <w:ilvl w:val="0"/>
          <w:numId w:val="7"/>
        </w:numPr>
        <w:jc w:val="both"/>
        <w:rPr>
          <w:sz w:val="22"/>
          <w:szCs w:val="22"/>
        </w:rPr>
      </w:pPr>
      <w:r w:rsidRPr="002C0E85">
        <w:rPr>
          <w:sz w:val="22"/>
          <w:szCs w:val="22"/>
        </w:rPr>
        <w:t>Experienced teaching and Inclusion Mentor staff, who offer practical support, advice and strategies to Primary school colleagues, in meeting the needs of pupils presenting with the most challenging behaviours</w:t>
      </w:r>
    </w:p>
    <w:p w:rsidR="00A82907" w:rsidRPr="002C0E85" w:rsidRDefault="00A82907" w:rsidP="0086676E">
      <w:pPr>
        <w:numPr>
          <w:ilvl w:val="0"/>
          <w:numId w:val="7"/>
        </w:numPr>
        <w:jc w:val="both"/>
        <w:rPr>
          <w:sz w:val="22"/>
          <w:szCs w:val="22"/>
        </w:rPr>
      </w:pPr>
      <w:r w:rsidRPr="002C0E85">
        <w:rPr>
          <w:sz w:val="22"/>
          <w:szCs w:val="22"/>
        </w:rPr>
        <w:t>Support to schools to develop their understanding of social and emotional behaviour, and the management of pupils experiencing difficulties. Wherever possible advice is given on the development of systems and skills that increase the capacity of the school to respond to issues in the future</w:t>
      </w:r>
    </w:p>
    <w:p w:rsidR="00A82907" w:rsidRPr="002C0E85" w:rsidRDefault="00A82907" w:rsidP="0086676E">
      <w:pPr>
        <w:numPr>
          <w:ilvl w:val="0"/>
          <w:numId w:val="7"/>
        </w:numPr>
        <w:jc w:val="both"/>
        <w:rPr>
          <w:sz w:val="22"/>
          <w:szCs w:val="22"/>
        </w:rPr>
      </w:pPr>
      <w:r w:rsidRPr="002C0E85">
        <w:rPr>
          <w:sz w:val="22"/>
          <w:szCs w:val="22"/>
        </w:rPr>
        <w:t>Peripatetic Inclusion Mentors, who work under the direction of specialist teachers to offer intensive, time-limited, focused support and training for staff dealing with ESBD</w:t>
      </w:r>
    </w:p>
    <w:p w:rsidR="00A82907" w:rsidRPr="002C0E85" w:rsidRDefault="00A82907" w:rsidP="004574FB">
      <w:pPr>
        <w:numPr>
          <w:ilvl w:val="0"/>
          <w:numId w:val="7"/>
        </w:numPr>
        <w:jc w:val="both"/>
        <w:rPr>
          <w:sz w:val="22"/>
          <w:szCs w:val="22"/>
        </w:rPr>
      </w:pPr>
      <w:r w:rsidRPr="002C0E85">
        <w:rPr>
          <w:sz w:val="22"/>
          <w:szCs w:val="22"/>
        </w:rPr>
        <w:t>A range of bespoke training</w:t>
      </w:r>
    </w:p>
    <w:p w:rsidR="00A82907" w:rsidRPr="002C0E85" w:rsidRDefault="00A82907" w:rsidP="008D0EC7">
      <w:pPr>
        <w:jc w:val="both"/>
        <w:rPr>
          <w:sz w:val="22"/>
          <w:szCs w:val="22"/>
        </w:rPr>
      </w:pPr>
    </w:p>
    <w:p w:rsidR="00A82907" w:rsidRPr="002C0E85" w:rsidRDefault="00A82907" w:rsidP="008D0EC7">
      <w:pPr>
        <w:jc w:val="both"/>
        <w:rPr>
          <w:sz w:val="22"/>
          <w:szCs w:val="22"/>
        </w:rPr>
      </w:pPr>
      <w:r w:rsidRPr="002C0E85">
        <w:rPr>
          <w:sz w:val="22"/>
          <w:szCs w:val="22"/>
        </w:rPr>
        <w:t>If this de-delegated fund is not held in 2015/16, primary schools will need to replace these services from their own resources, for example, by directly employing specialist staff, or by purchasing services, on an individual basis or as a cluster of schools.</w:t>
      </w:r>
    </w:p>
    <w:p w:rsidR="00A82907" w:rsidRPr="00F85CD7" w:rsidRDefault="00A82907" w:rsidP="004574FB">
      <w:pPr>
        <w:jc w:val="both"/>
        <w:rPr>
          <w:color w:val="FF0000"/>
          <w:sz w:val="22"/>
          <w:szCs w:val="22"/>
        </w:rPr>
      </w:pPr>
    </w:p>
    <w:p w:rsidR="00A82907" w:rsidRPr="002C0E85" w:rsidRDefault="00E124DC" w:rsidP="004574FB">
      <w:pPr>
        <w:jc w:val="both"/>
        <w:rPr>
          <w:sz w:val="22"/>
          <w:szCs w:val="22"/>
        </w:rPr>
      </w:pPr>
      <w:r>
        <w:rPr>
          <w:sz w:val="22"/>
          <w:szCs w:val="22"/>
        </w:rPr>
        <w:t>5</w:t>
      </w:r>
      <w:r w:rsidR="00A82907">
        <w:rPr>
          <w:sz w:val="22"/>
          <w:szCs w:val="22"/>
        </w:rPr>
        <w:t>.8</w:t>
      </w:r>
      <w:r w:rsidR="00A82907" w:rsidRPr="002C0E85">
        <w:rPr>
          <w:sz w:val="22"/>
          <w:szCs w:val="22"/>
        </w:rPr>
        <w:t xml:space="preserve"> Minority Ethnic School Support Team: </w:t>
      </w:r>
    </w:p>
    <w:p w:rsidR="00A82907" w:rsidRPr="002C0E85" w:rsidRDefault="00A82907" w:rsidP="004574FB">
      <w:pPr>
        <w:jc w:val="both"/>
        <w:rPr>
          <w:sz w:val="22"/>
          <w:szCs w:val="22"/>
        </w:rPr>
      </w:pPr>
    </w:p>
    <w:p w:rsidR="00A82907" w:rsidRPr="002C0E85" w:rsidRDefault="00A82907" w:rsidP="004574FB">
      <w:pPr>
        <w:jc w:val="both"/>
        <w:rPr>
          <w:sz w:val="22"/>
          <w:szCs w:val="22"/>
        </w:rPr>
      </w:pPr>
      <w:r w:rsidRPr="002C0E85">
        <w:rPr>
          <w:sz w:val="22"/>
          <w:szCs w:val="22"/>
        </w:rPr>
        <w:t>This fund supports the staffing costs of the Authority’s Ethnic Minority Achievement Team. Working in partnership with schools, this Team provides expertise and support at school level focused on advising and training school staff to meet the needs of minority ethnic pupils, including new to English pupils, and supporting schools in delivering strategies to close the achievement gap of EAL pupils. Examples of the types of support that schools access are:</w:t>
      </w:r>
    </w:p>
    <w:p w:rsidR="00A82907" w:rsidRPr="002C0E85" w:rsidRDefault="00A82907" w:rsidP="0086676E">
      <w:pPr>
        <w:numPr>
          <w:ilvl w:val="0"/>
          <w:numId w:val="9"/>
        </w:numPr>
        <w:jc w:val="both"/>
        <w:rPr>
          <w:sz w:val="22"/>
          <w:szCs w:val="22"/>
        </w:rPr>
      </w:pPr>
      <w:r w:rsidRPr="002C0E85">
        <w:rPr>
          <w:sz w:val="22"/>
          <w:szCs w:val="22"/>
        </w:rPr>
        <w:t>Personalised audit of  school's provision for EAL learners with recommendations which will meet both the needs of the school and the requirements of OFSTED</w:t>
      </w:r>
    </w:p>
    <w:p w:rsidR="00A82907" w:rsidRPr="002C0E85" w:rsidRDefault="00A82907" w:rsidP="0086676E">
      <w:pPr>
        <w:numPr>
          <w:ilvl w:val="0"/>
          <w:numId w:val="9"/>
        </w:numPr>
        <w:jc w:val="both"/>
        <w:rPr>
          <w:sz w:val="22"/>
          <w:szCs w:val="22"/>
        </w:rPr>
      </w:pPr>
      <w:r w:rsidRPr="002C0E85">
        <w:rPr>
          <w:sz w:val="22"/>
          <w:szCs w:val="22"/>
        </w:rPr>
        <w:t>Developing  whole school language development programme focusing on EAL but benefiting all learners</w:t>
      </w:r>
    </w:p>
    <w:p w:rsidR="00A82907" w:rsidRPr="002C0E85" w:rsidRDefault="00A82907" w:rsidP="0086676E">
      <w:pPr>
        <w:numPr>
          <w:ilvl w:val="0"/>
          <w:numId w:val="9"/>
        </w:numPr>
        <w:jc w:val="both"/>
        <w:rPr>
          <w:sz w:val="22"/>
          <w:szCs w:val="22"/>
        </w:rPr>
      </w:pPr>
      <w:r w:rsidRPr="002C0E85">
        <w:rPr>
          <w:sz w:val="22"/>
          <w:szCs w:val="22"/>
        </w:rPr>
        <w:t xml:space="preserve">Training for teaching and </w:t>
      </w:r>
      <w:proofErr w:type="spellStart"/>
      <w:r w:rsidRPr="002C0E85">
        <w:rPr>
          <w:sz w:val="22"/>
          <w:szCs w:val="22"/>
        </w:rPr>
        <w:t>non teaching</w:t>
      </w:r>
      <w:proofErr w:type="spellEnd"/>
      <w:r w:rsidRPr="002C0E85">
        <w:rPr>
          <w:sz w:val="22"/>
          <w:szCs w:val="22"/>
        </w:rPr>
        <w:t xml:space="preserve"> staff on working with EAL learners both in workshops and in the classroom</w:t>
      </w:r>
    </w:p>
    <w:p w:rsidR="00A82907" w:rsidRPr="002C0E85" w:rsidRDefault="00A82907" w:rsidP="0086676E">
      <w:pPr>
        <w:numPr>
          <w:ilvl w:val="0"/>
          <w:numId w:val="9"/>
        </w:numPr>
        <w:jc w:val="both"/>
        <w:rPr>
          <w:sz w:val="22"/>
          <w:szCs w:val="22"/>
        </w:rPr>
      </w:pPr>
      <w:r w:rsidRPr="002C0E85">
        <w:rPr>
          <w:sz w:val="22"/>
          <w:szCs w:val="22"/>
        </w:rPr>
        <w:t>Demonstration of resources and strategies which meet the needs of EAL learners and accelerate their achievement</w:t>
      </w:r>
    </w:p>
    <w:p w:rsidR="00A82907" w:rsidRPr="002C0E85" w:rsidRDefault="00A82907" w:rsidP="0086676E">
      <w:pPr>
        <w:numPr>
          <w:ilvl w:val="0"/>
          <w:numId w:val="9"/>
        </w:numPr>
        <w:jc w:val="both"/>
        <w:rPr>
          <w:sz w:val="22"/>
          <w:szCs w:val="22"/>
        </w:rPr>
      </w:pPr>
      <w:r w:rsidRPr="002C0E85">
        <w:rPr>
          <w:sz w:val="22"/>
          <w:szCs w:val="22"/>
        </w:rPr>
        <w:t>Assessing, targeting and tracking systems for EAL learners</w:t>
      </w:r>
    </w:p>
    <w:p w:rsidR="00A82907" w:rsidRPr="002C0E85" w:rsidRDefault="00A82907" w:rsidP="0086676E">
      <w:pPr>
        <w:numPr>
          <w:ilvl w:val="0"/>
          <w:numId w:val="9"/>
        </w:numPr>
        <w:jc w:val="both"/>
        <w:rPr>
          <w:sz w:val="22"/>
          <w:szCs w:val="22"/>
        </w:rPr>
      </w:pPr>
      <w:r w:rsidRPr="002C0E85">
        <w:rPr>
          <w:sz w:val="22"/>
          <w:szCs w:val="22"/>
        </w:rPr>
        <w:t>Developing effective school and community relationships</w:t>
      </w:r>
    </w:p>
    <w:p w:rsidR="00A82907" w:rsidRPr="002C0E85" w:rsidRDefault="00A82907" w:rsidP="0086676E">
      <w:pPr>
        <w:numPr>
          <w:ilvl w:val="0"/>
          <w:numId w:val="9"/>
        </w:numPr>
        <w:jc w:val="both"/>
        <w:rPr>
          <w:sz w:val="22"/>
          <w:szCs w:val="22"/>
        </w:rPr>
      </w:pPr>
      <w:r w:rsidRPr="002C0E85">
        <w:rPr>
          <w:sz w:val="22"/>
          <w:szCs w:val="22"/>
        </w:rPr>
        <w:t>Support to put systems &amp; training in place for New Arrivals including; Induction; Assessment; Early Days Withdrawal &amp; In-class Language Support</w:t>
      </w:r>
    </w:p>
    <w:p w:rsidR="00A82907" w:rsidRPr="002C0E85" w:rsidRDefault="00A82907" w:rsidP="0086676E">
      <w:pPr>
        <w:numPr>
          <w:ilvl w:val="0"/>
          <w:numId w:val="9"/>
        </w:numPr>
        <w:jc w:val="both"/>
        <w:rPr>
          <w:sz w:val="22"/>
          <w:szCs w:val="22"/>
        </w:rPr>
      </w:pPr>
      <w:r w:rsidRPr="002C0E85">
        <w:rPr>
          <w:sz w:val="22"/>
          <w:szCs w:val="22"/>
        </w:rPr>
        <w:t>Innovative speaking and listening strategies using new and emerging technologies</w:t>
      </w:r>
    </w:p>
    <w:p w:rsidR="00A82907" w:rsidRPr="002C0E85" w:rsidRDefault="00A82907" w:rsidP="0086676E">
      <w:pPr>
        <w:numPr>
          <w:ilvl w:val="0"/>
          <w:numId w:val="9"/>
        </w:numPr>
        <w:jc w:val="both"/>
        <w:rPr>
          <w:sz w:val="22"/>
          <w:szCs w:val="22"/>
        </w:rPr>
      </w:pPr>
      <w:r w:rsidRPr="002C0E85">
        <w:rPr>
          <w:sz w:val="22"/>
          <w:szCs w:val="22"/>
        </w:rPr>
        <w:t>Bespoke residency packages to work alongside Senior Leadership Teams</w:t>
      </w:r>
    </w:p>
    <w:p w:rsidR="00A82907" w:rsidRPr="002C0E85" w:rsidRDefault="00A82907" w:rsidP="0086676E">
      <w:pPr>
        <w:numPr>
          <w:ilvl w:val="0"/>
          <w:numId w:val="9"/>
        </w:numPr>
        <w:jc w:val="both"/>
        <w:rPr>
          <w:sz w:val="22"/>
          <w:szCs w:val="22"/>
        </w:rPr>
      </w:pPr>
      <w:r w:rsidRPr="002C0E85">
        <w:rPr>
          <w:sz w:val="22"/>
          <w:szCs w:val="22"/>
        </w:rPr>
        <w:t>Development of language across the curriculum for advanced bilingual learners</w:t>
      </w:r>
    </w:p>
    <w:p w:rsidR="00182655" w:rsidRPr="00C2328E" w:rsidRDefault="00A82907" w:rsidP="00C2328E">
      <w:pPr>
        <w:numPr>
          <w:ilvl w:val="0"/>
          <w:numId w:val="9"/>
        </w:numPr>
        <w:jc w:val="both"/>
        <w:rPr>
          <w:sz w:val="22"/>
          <w:szCs w:val="22"/>
        </w:rPr>
      </w:pPr>
      <w:r w:rsidRPr="002C0E85">
        <w:rPr>
          <w:sz w:val="22"/>
          <w:szCs w:val="22"/>
        </w:rPr>
        <w:t>Provision of  parental engagement in school</w:t>
      </w:r>
    </w:p>
    <w:p w:rsidR="00A82907" w:rsidRPr="002C0E85" w:rsidRDefault="00A82907" w:rsidP="00FE2447">
      <w:pPr>
        <w:jc w:val="both"/>
        <w:rPr>
          <w:sz w:val="22"/>
          <w:szCs w:val="22"/>
        </w:rPr>
      </w:pPr>
      <w:r w:rsidRPr="002C0E85">
        <w:rPr>
          <w:sz w:val="22"/>
          <w:szCs w:val="22"/>
        </w:rPr>
        <w:t>As above, if this de-delegated fund is not held in 201</w:t>
      </w:r>
      <w:r>
        <w:rPr>
          <w:sz w:val="22"/>
          <w:szCs w:val="22"/>
        </w:rPr>
        <w:t>5/16</w:t>
      </w:r>
      <w:r w:rsidRPr="002C0E85">
        <w:rPr>
          <w:sz w:val="22"/>
          <w:szCs w:val="22"/>
        </w:rPr>
        <w:t>, maintained schools will need to replace these services from their own resources, for example, by directly employing specialist staff, or by purchasing services, on an individual basis or as a cluster of schools.</w:t>
      </w:r>
    </w:p>
    <w:p w:rsidR="00A82907" w:rsidRDefault="00A82907" w:rsidP="004574FB">
      <w:pPr>
        <w:jc w:val="both"/>
        <w:rPr>
          <w:color w:val="FF0000"/>
          <w:sz w:val="22"/>
          <w:szCs w:val="22"/>
        </w:rPr>
      </w:pPr>
    </w:p>
    <w:p w:rsidR="00A82907" w:rsidRPr="002C0E85" w:rsidRDefault="00E124DC" w:rsidP="004574FB">
      <w:pPr>
        <w:jc w:val="both"/>
        <w:rPr>
          <w:sz w:val="22"/>
          <w:szCs w:val="22"/>
        </w:rPr>
      </w:pPr>
      <w:r>
        <w:rPr>
          <w:sz w:val="22"/>
          <w:szCs w:val="22"/>
        </w:rPr>
        <w:t>5</w:t>
      </w:r>
      <w:r w:rsidR="00A82907">
        <w:rPr>
          <w:sz w:val="22"/>
          <w:szCs w:val="22"/>
        </w:rPr>
        <w:t>.9</w:t>
      </w:r>
      <w:r w:rsidR="00A82907" w:rsidRPr="002C0E85">
        <w:rPr>
          <w:sz w:val="22"/>
          <w:szCs w:val="22"/>
        </w:rPr>
        <w:t xml:space="preserve"> FSM Eligibility Assessments: </w:t>
      </w:r>
    </w:p>
    <w:p w:rsidR="00A82907" w:rsidRPr="002C0E85" w:rsidRDefault="00A82907" w:rsidP="004574FB">
      <w:pPr>
        <w:jc w:val="both"/>
        <w:rPr>
          <w:sz w:val="22"/>
          <w:szCs w:val="22"/>
        </w:rPr>
      </w:pPr>
    </w:p>
    <w:p w:rsidR="00A82907" w:rsidRPr="002C0E85" w:rsidRDefault="00A82907" w:rsidP="004574FB">
      <w:pPr>
        <w:jc w:val="both"/>
        <w:rPr>
          <w:sz w:val="22"/>
          <w:szCs w:val="22"/>
        </w:rPr>
      </w:pPr>
      <w:r w:rsidRPr="002C0E85">
        <w:rPr>
          <w:sz w:val="22"/>
          <w:szCs w:val="22"/>
        </w:rPr>
        <w:t>This fund covers the work the Local Authority’s Benefits Team does in relation to Free School Meals eligibility for pupils in schools. It covers staffing and ICT costs associated with:</w:t>
      </w:r>
    </w:p>
    <w:p w:rsidR="00A82907" w:rsidRPr="002C0E85" w:rsidRDefault="00A82907" w:rsidP="0086676E">
      <w:pPr>
        <w:numPr>
          <w:ilvl w:val="0"/>
          <w:numId w:val="10"/>
        </w:numPr>
        <w:jc w:val="both"/>
        <w:rPr>
          <w:sz w:val="22"/>
          <w:szCs w:val="22"/>
        </w:rPr>
      </w:pPr>
      <w:r w:rsidRPr="002C0E85">
        <w:rPr>
          <w:sz w:val="22"/>
          <w:szCs w:val="22"/>
        </w:rPr>
        <w:t>The processing of all applications for FSM  for all maintained schools</w:t>
      </w:r>
    </w:p>
    <w:p w:rsidR="00A82907" w:rsidRPr="002C0E85" w:rsidRDefault="00A82907" w:rsidP="0086676E">
      <w:pPr>
        <w:numPr>
          <w:ilvl w:val="0"/>
          <w:numId w:val="10"/>
        </w:numPr>
        <w:jc w:val="both"/>
        <w:rPr>
          <w:sz w:val="22"/>
          <w:szCs w:val="22"/>
        </w:rPr>
      </w:pPr>
      <w:r w:rsidRPr="002C0E85">
        <w:rPr>
          <w:sz w:val="22"/>
          <w:szCs w:val="22"/>
        </w:rPr>
        <w:t>Checking &amp; verifying claims, notifying parents of successful and unsuccessful claims</w:t>
      </w:r>
    </w:p>
    <w:p w:rsidR="00A82907" w:rsidRPr="002C0E85" w:rsidRDefault="00A82907" w:rsidP="0086676E">
      <w:pPr>
        <w:numPr>
          <w:ilvl w:val="0"/>
          <w:numId w:val="10"/>
        </w:numPr>
        <w:jc w:val="both"/>
        <w:rPr>
          <w:sz w:val="22"/>
          <w:szCs w:val="22"/>
        </w:rPr>
      </w:pPr>
      <w:r w:rsidRPr="002C0E85">
        <w:rPr>
          <w:sz w:val="22"/>
          <w:szCs w:val="22"/>
        </w:rPr>
        <w:t>Notifying schools of successful claims and changes to existing claims</w:t>
      </w:r>
    </w:p>
    <w:p w:rsidR="00A82907" w:rsidRPr="002C0E85" w:rsidRDefault="00A82907" w:rsidP="0086676E">
      <w:pPr>
        <w:numPr>
          <w:ilvl w:val="0"/>
          <w:numId w:val="10"/>
        </w:numPr>
        <w:jc w:val="both"/>
        <w:rPr>
          <w:sz w:val="22"/>
          <w:szCs w:val="22"/>
        </w:rPr>
      </w:pPr>
      <w:r w:rsidRPr="002C0E85">
        <w:rPr>
          <w:sz w:val="22"/>
          <w:szCs w:val="22"/>
        </w:rPr>
        <w:t>Assisting schools with eligibility, take up and administrative issues &amp; providing guidance</w:t>
      </w:r>
    </w:p>
    <w:p w:rsidR="00A82907" w:rsidRPr="002C0E85" w:rsidRDefault="00A82907" w:rsidP="0086676E">
      <w:pPr>
        <w:numPr>
          <w:ilvl w:val="0"/>
          <w:numId w:val="10"/>
        </w:numPr>
        <w:jc w:val="both"/>
        <w:rPr>
          <w:sz w:val="22"/>
          <w:szCs w:val="22"/>
        </w:rPr>
      </w:pPr>
      <w:r w:rsidRPr="002C0E85">
        <w:rPr>
          <w:sz w:val="22"/>
          <w:szCs w:val="22"/>
        </w:rPr>
        <w:t>Promoting maximum take up of FSM eligibility, including cross checking pupil FSM data with other Authority benefits systems</w:t>
      </w:r>
    </w:p>
    <w:p w:rsidR="00A82907" w:rsidRPr="002C0E85" w:rsidRDefault="00A82907" w:rsidP="004574FB">
      <w:pPr>
        <w:jc w:val="both"/>
        <w:rPr>
          <w:sz w:val="22"/>
          <w:szCs w:val="22"/>
        </w:rPr>
      </w:pPr>
    </w:p>
    <w:p w:rsidR="00A82907" w:rsidRPr="002C0E85" w:rsidRDefault="00A82907" w:rsidP="0032430C">
      <w:pPr>
        <w:jc w:val="both"/>
        <w:rPr>
          <w:sz w:val="22"/>
          <w:szCs w:val="22"/>
        </w:rPr>
      </w:pPr>
      <w:r w:rsidRPr="002C0E85">
        <w:rPr>
          <w:sz w:val="22"/>
          <w:szCs w:val="22"/>
        </w:rPr>
        <w:t>The Local Authority makes use of a nationwide FSM checking system, which means that paper evidence does not have to be supplied by parents. Applications for all children who attend Bradford schools can be processed quickly via the Council’s website, telephone, personal visit or in writing. Currently, schools do not have direct access to this checking system.</w:t>
      </w:r>
    </w:p>
    <w:p w:rsidR="00A82907" w:rsidRPr="002C0E85" w:rsidRDefault="00A82907" w:rsidP="004574FB">
      <w:pPr>
        <w:jc w:val="both"/>
        <w:rPr>
          <w:sz w:val="22"/>
          <w:szCs w:val="22"/>
        </w:rPr>
      </w:pPr>
    </w:p>
    <w:p w:rsidR="00A82907" w:rsidRPr="002C0E85" w:rsidRDefault="00A82907" w:rsidP="004574FB">
      <w:pPr>
        <w:jc w:val="both"/>
        <w:rPr>
          <w:sz w:val="22"/>
          <w:szCs w:val="22"/>
        </w:rPr>
      </w:pPr>
      <w:r w:rsidRPr="002C0E85">
        <w:rPr>
          <w:sz w:val="22"/>
          <w:szCs w:val="22"/>
        </w:rPr>
        <w:t>If this de-delegated fund is not held in 201</w:t>
      </w:r>
      <w:r>
        <w:rPr>
          <w:sz w:val="22"/>
          <w:szCs w:val="22"/>
        </w:rPr>
        <w:t>5/16</w:t>
      </w:r>
      <w:r w:rsidRPr="002C0E85">
        <w:rPr>
          <w:sz w:val="22"/>
          <w:szCs w:val="22"/>
        </w:rPr>
        <w:t>, schools will either need to undertake FSM assessment themselves or purchase replacement services.</w:t>
      </w:r>
    </w:p>
    <w:p w:rsidR="00A82907" w:rsidRDefault="00A82907" w:rsidP="004574FB">
      <w:pPr>
        <w:jc w:val="both"/>
        <w:rPr>
          <w:sz w:val="22"/>
          <w:szCs w:val="22"/>
        </w:rPr>
      </w:pPr>
    </w:p>
    <w:p w:rsidR="00A82907" w:rsidRPr="002C0E85" w:rsidRDefault="00E124DC" w:rsidP="004574FB">
      <w:pPr>
        <w:jc w:val="both"/>
        <w:rPr>
          <w:sz w:val="22"/>
          <w:szCs w:val="22"/>
        </w:rPr>
      </w:pPr>
      <w:r>
        <w:rPr>
          <w:sz w:val="22"/>
          <w:szCs w:val="22"/>
        </w:rPr>
        <w:t>5</w:t>
      </w:r>
      <w:r w:rsidR="00A82907">
        <w:rPr>
          <w:sz w:val="22"/>
          <w:szCs w:val="22"/>
        </w:rPr>
        <w:t>.10</w:t>
      </w:r>
      <w:r w:rsidR="00A82907" w:rsidRPr="002C0E85">
        <w:rPr>
          <w:sz w:val="22"/>
          <w:szCs w:val="22"/>
        </w:rPr>
        <w:t xml:space="preserve"> Fischer Family Trust – School Licences: </w:t>
      </w:r>
    </w:p>
    <w:p w:rsidR="00A82907" w:rsidRPr="002C0E85" w:rsidRDefault="00A82907" w:rsidP="004574FB">
      <w:pPr>
        <w:jc w:val="both"/>
        <w:rPr>
          <w:sz w:val="22"/>
          <w:szCs w:val="22"/>
        </w:rPr>
      </w:pPr>
    </w:p>
    <w:p w:rsidR="00A82907" w:rsidRPr="002C0E85" w:rsidRDefault="00A82907" w:rsidP="004574FB">
      <w:pPr>
        <w:jc w:val="both"/>
        <w:rPr>
          <w:sz w:val="22"/>
          <w:szCs w:val="22"/>
        </w:rPr>
      </w:pPr>
      <w:r w:rsidRPr="002C0E85">
        <w:rPr>
          <w:sz w:val="22"/>
          <w:szCs w:val="22"/>
        </w:rPr>
        <w:t>This fund pays for schools’ subscriptions to Fischer Family Trust (FFT). FFT provides a unique service to schools and the local authorities. This services analyses previous national end of key stage data and the contextual data of schools and uses this to provide estimates of outcomes at pupil level for the next key stage result. These pupil level results are aggregated at school and at local authority level.  Over time these estimates have come to be held in high regard and the work of the FFT is valued by schools and local authorities. Government funding for the FFT was withdrawn at March 2012. As a consequence, the FFT restructured their pr</w:t>
      </w:r>
      <w:r>
        <w:rPr>
          <w:sz w:val="22"/>
          <w:szCs w:val="22"/>
        </w:rPr>
        <w:t xml:space="preserve">icing and data access policies. </w:t>
      </w:r>
      <w:r w:rsidRPr="002C0E85">
        <w:rPr>
          <w:sz w:val="22"/>
          <w:szCs w:val="22"/>
        </w:rPr>
        <w:t>The purchasing</w:t>
      </w:r>
      <w:r>
        <w:rPr>
          <w:sz w:val="22"/>
          <w:szCs w:val="22"/>
        </w:rPr>
        <w:t xml:space="preserve"> of the data through the Local A</w:t>
      </w:r>
      <w:r w:rsidRPr="002C0E85">
        <w:rPr>
          <w:sz w:val="22"/>
          <w:szCs w:val="22"/>
        </w:rPr>
        <w:t>uthority offers significant savings.</w:t>
      </w:r>
    </w:p>
    <w:p w:rsidR="00A82907" w:rsidRPr="002C0E85" w:rsidRDefault="00A82907" w:rsidP="004574FB">
      <w:pPr>
        <w:jc w:val="both"/>
        <w:rPr>
          <w:sz w:val="22"/>
          <w:szCs w:val="22"/>
        </w:rPr>
      </w:pPr>
    </w:p>
    <w:p w:rsidR="00A82907" w:rsidRPr="002C0E85" w:rsidRDefault="00A82907" w:rsidP="006D2283">
      <w:pPr>
        <w:jc w:val="both"/>
        <w:rPr>
          <w:sz w:val="22"/>
          <w:szCs w:val="22"/>
        </w:rPr>
      </w:pPr>
      <w:r w:rsidRPr="002C0E85">
        <w:rPr>
          <w:sz w:val="22"/>
          <w:szCs w:val="22"/>
        </w:rPr>
        <w:t xml:space="preserve">If this de-delegated fund is not held in 2015/16, maintained schools will need to purchase their own licences to access FFT data, on an individual basis or as a cluster of schools. </w:t>
      </w:r>
    </w:p>
    <w:p w:rsidR="00A82907" w:rsidRPr="002C0E85" w:rsidRDefault="00A82907" w:rsidP="004574FB">
      <w:pPr>
        <w:jc w:val="both"/>
        <w:rPr>
          <w:sz w:val="22"/>
          <w:szCs w:val="22"/>
        </w:rPr>
      </w:pPr>
    </w:p>
    <w:p w:rsidR="00A82907" w:rsidRPr="002C0E85" w:rsidRDefault="00E124DC" w:rsidP="004574FB">
      <w:pPr>
        <w:jc w:val="both"/>
        <w:rPr>
          <w:sz w:val="22"/>
          <w:szCs w:val="22"/>
        </w:rPr>
      </w:pPr>
      <w:r>
        <w:rPr>
          <w:sz w:val="22"/>
          <w:szCs w:val="22"/>
        </w:rPr>
        <w:t>5</w:t>
      </w:r>
      <w:r w:rsidR="00A82907" w:rsidRPr="002C0E85">
        <w:rPr>
          <w:sz w:val="22"/>
          <w:szCs w:val="22"/>
        </w:rPr>
        <w:t>.1</w:t>
      </w:r>
      <w:r w:rsidR="00A82907">
        <w:rPr>
          <w:sz w:val="22"/>
          <w:szCs w:val="22"/>
        </w:rPr>
        <w:t>1</w:t>
      </w:r>
      <w:r w:rsidR="00A82907" w:rsidRPr="002C0E85">
        <w:rPr>
          <w:sz w:val="22"/>
          <w:szCs w:val="22"/>
        </w:rPr>
        <w:t xml:space="preserve"> School Maternity / Paternity ‘insurance’:</w:t>
      </w:r>
    </w:p>
    <w:p w:rsidR="00A82907" w:rsidRPr="002C0E85" w:rsidRDefault="00A82907" w:rsidP="004574FB">
      <w:pPr>
        <w:jc w:val="both"/>
        <w:rPr>
          <w:sz w:val="22"/>
          <w:szCs w:val="22"/>
        </w:rPr>
      </w:pPr>
    </w:p>
    <w:p w:rsidR="00A82907" w:rsidRPr="002C0E85" w:rsidRDefault="00A82907" w:rsidP="004574FB">
      <w:pPr>
        <w:jc w:val="both"/>
        <w:rPr>
          <w:sz w:val="22"/>
          <w:szCs w:val="22"/>
        </w:rPr>
      </w:pPr>
      <w:r w:rsidRPr="002C0E85">
        <w:rPr>
          <w:sz w:val="22"/>
          <w:szCs w:val="22"/>
        </w:rPr>
        <w:t>This fund has historically acted as an ‘insurance’ pot, where schools are reimbursed for the costs of the salaries of staff on maternity / paternity leave, so that the cost of cover / supply arrangements can be afforded from the school’s budget. The Schools Forum has discussed the delegation of this pot to schools on a number of occasions over the last ten years or so, and has always concluded that the protection this centrally managed fund offers, especially to smaller schools, against the disproportionate and unpredictable nature of maternity / costs is vital.</w:t>
      </w:r>
    </w:p>
    <w:p w:rsidR="00A82907" w:rsidRPr="002C0E85" w:rsidRDefault="00A82907" w:rsidP="004574FB">
      <w:pPr>
        <w:jc w:val="both"/>
        <w:rPr>
          <w:sz w:val="22"/>
          <w:szCs w:val="22"/>
        </w:rPr>
      </w:pPr>
    </w:p>
    <w:p w:rsidR="00A82907" w:rsidRPr="002C0E85" w:rsidRDefault="00A82907" w:rsidP="006D2283">
      <w:pPr>
        <w:jc w:val="both"/>
        <w:rPr>
          <w:sz w:val="22"/>
          <w:szCs w:val="22"/>
        </w:rPr>
      </w:pPr>
      <w:r w:rsidRPr="002C0E85">
        <w:rPr>
          <w:sz w:val="22"/>
          <w:szCs w:val="22"/>
        </w:rPr>
        <w:t xml:space="preserve">If this de-delegated fund is not held in 2015/16, maintained schools will not be reimbursed for the salary cost of staff on maternity / paternity leave and would have to make alternative arrangements to manage this cost, for example, by including maternity cover within the school’s supply insurance arrangements or by working in clusters to share the cost of staffing cover. </w:t>
      </w:r>
    </w:p>
    <w:p w:rsidR="00A82907" w:rsidRPr="002C0E85" w:rsidRDefault="00A82907" w:rsidP="004574FB">
      <w:pPr>
        <w:jc w:val="both"/>
        <w:rPr>
          <w:sz w:val="22"/>
          <w:szCs w:val="22"/>
        </w:rPr>
      </w:pPr>
    </w:p>
    <w:p w:rsidR="00A82907" w:rsidRPr="002C0E85" w:rsidRDefault="00E124DC" w:rsidP="004574FB">
      <w:pPr>
        <w:jc w:val="both"/>
        <w:rPr>
          <w:sz w:val="22"/>
          <w:szCs w:val="22"/>
        </w:rPr>
      </w:pPr>
      <w:r>
        <w:rPr>
          <w:sz w:val="22"/>
          <w:szCs w:val="22"/>
        </w:rPr>
        <w:t>5</w:t>
      </w:r>
      <w:r w:rsidR="00A82907">
        <w:rPr>
          <w:sz w:val="22"/>
          <w:szCs w:val="22"/>
        </w:rPr>
        <w:t>.12</w:t>
      </w:r>
      <w:r w:rsidR="00A82907" w:rsidRPr="002C0E85">
        <w:rPr>
          <w:sz w:val="22"/>
          <w:szCs w:val="22"/>
        </w:rPr>
        <w:t xml:space="preserve"> Trade Union Facilities Time:</w:t>
      </w:r>
    </w:p>
    <w:p w:rsidR="00A82907" w:rsidRPr="002C0E85" w:rsidRDefault="00A82907" w:rsidP="004574FB">
      <w:pPr>
        <w:jc w:val="both"/>
        <w:rPr>
          <w:sz w:val="22"/>
          <w:szCs w:val="22"/>
        </w:rPr>
      </w:pPr>
    </w:p>
    <w:p w:rsidR="00A82907" w:rsidRPr="002C0E85" w:rsidRDefault="00A82907" w:rsidP="004574FB">
      <w:pPr>
        <w:jc w:val="both"/>
        <w:rPr>
          <w:sz w:val="22"/>
          <w:szCs w:val="22"/>
        </w:rPr>
      </w:pPr>
      <w:r w:rsidRPr="002C0E85">
        <w:rPr>
          <w:sz w:val="22"/>
          <w:szCs w:val="22"/>
        </w:rPr>
        <w:t>There is a legal obligation (under The Trade Union and Labour Relations (Consolidation) Act 1992) for an employer to provide facilities for recognised trade unions to function within the workplace, including an obligation to grant time off with pay.  The recognised unions in schools are:</w:t>
      </w:r>
    </w:p>
    <w:p w:rsidR="00A82907" w:rsidRPr="002C0E85" w:rsidRDefault="00A82907" w:rsidP="00BF022A">
      <w:pPr>
        <w:numPr>
          <w:ilvl w:val="0"/>
          <w:numId w:val="11"/>
        </w:numPr>
        <w:jc w:val="both"/>
        <w:rPr>
          <w:sz w:val="22"/>
          <w:szCs w:val="22"/>
        </w:rPr>
      </w:pPr>
      <w:r w:rsidRPr="002C0E85">
        <w:rPr>
          <w:sz w:val="22"/>
          <w:szCs w:val="22"/>
        </w:rPr>
        <w:t xml:space="preserve">Teacher Trade Unions - NUT, NASUWT, ATL, ASCL, NAHT, VOICE, and </w:t>
      </w:r>
    </w:p>
    <w:p w:rsidR="00A82907" w:rsidRPr="002C0E85" w:rsidRDefault="00A82907" w:rsidP="00BF022A">
      <w:pPr>
        <w:numPr>
          <w:ilvl w:val="0"/>
          <w:numId w:val="11"/>
        </w:numPr>
        <w:jc w:val="both"/>
        <w:rPr>
          <w:sz w:val="22"/>
          <w:szCs w:val="22"/>
        </w:rPr>
      </w:pPr>
      <w:r w:rsidRPr="002C0E85">
        <w:rPr>
          <w:sz w:val="22"/>
          <w:szCs w:val="22"/>
        </w:rPr>
        <w:t>The Trade Unions representing support and other professional school staff – UNISON, GMB and UNITE</w:t>
      </w:r>
    </w:p>
    <w:p w:rsidR="00A82907" w:rsidRPr="002C0E85" w:rsidRDefault="00A82907" w:rsidP="004574FB">
      <w:pPr>
        <w:jc w:val="both"/>
        <w:rPr>
          <w:sz w:val="22"/>
          <w:szCs w:val="22"/>
        </w:rPr>
      </w:pPr>
    </w:p>
    <w:p w:rsidR="00A82907" w:rsidRPr="002C0E85" w:rsidRDefault="00A82907" w:rsidP="004574FB">
      <w:pPr>
        <w:jc w:val="both"/>
        <w:rPr>
          <w:sz w:val="22"/>
          <w:szCs w:val="22"/>
        </w:rPr>
      </w:pPr>
      <w:r w:rsidRPr="002C0E85">
        <w:rPr>
          <w:sz w:val="22"/>
          <w:szCs w:val="22"/>
        </w:rPr>
        <w:t xml:space="preserve">To meet this obligation, the Council has agreed to release a number of staff for part or all of their time from their school duties to carry out their duties as elected lay officials. This applies to the recognised trade unions in schools with significant membership. Historically the agreed ratio for facility time has been 1 day per 400 members, which has been used as a mutually acceptable, in principle, starting point for the joint management and trade union discussions. Current Facility Time arrangements with respect to School Employees, agreed </w:t>
      </w:r>
      <w:r w:rsidR="00182655">
        <w:rPr>
          <w:sz w:val="22"/>
          <w:szCs w:val="22"/>
        </w:rPr>
        <w:t xml:space="preserve">until </w:t>
      </w:r>
      <w:r w:rsidR="00536EEE">
        <w:rPr>
          <w:sz w:val="22"/>
          <w:szCs w:val="22"/>
        </w:rPr>
        <w:t>31 March</w:t>
      </w:r>
      <w:r w:rsidR="00182655">
        <w:rPr>
          <w:sz w:val="22"/>
          <w:szCs w:val="22"/>
        </w:rPr>
        <w:t xml:space="preserve"> 2015</w:t>
      </w:r>
      <w:r w:rsidRPr="002C0E85">
        <w:rPr>
          <w:sz w:val="22"/>
          <w:szCs w:val="22"/>
        </w:rPr>
        <w:t>, are:</w:t>
      </w:r>
    </w:p>
    <w:p w:rsidR="00A82907" w:rsidRPr="002C0E85" w:rsidRDefault="00182655" w:rsidP="00BF022A">
      <w:pPr>
        <w:numPr>
          <w:ilvl w:val="0"/>
          <w:numId w:val="12"/>
        </w:numPr>
        <w:jc w:val="both"/>
        <w:rPr>
          <w:sz w:val="22"/>
          <w:szCs w:val="22"/>
        </w:rPr>
      </w:pPr>
      <w:r>
        <w:rPr>
          <w:sz w:val="22"/>
          <w:szCs w:val="22"/>
        </w:rPr>
        <w:t>NUT has 2.1</w:t>
      </w:r>
      <w:r w:rsidR="00A82907" w:rsidRPr="002C0E85">
        <w:rPr>
          <w:sz w:val="22"/>
          <w:szCs w:val="22"/>
        </w:rPr>
        <w:t xml:space="preserve"> FTE lay officials</w:t>
      </w:r>
      <w:r>
        <w:rPr>
          <w:sz w:val="22"/>
          <w:szCs w:val="22"/>
        </w:rPr>
        <w:t xml:space="preserve"> (10.5 days per week)</w:t>
      </w:r>
    </w:p>
    <w:p w:rsidR="00A82907" w:rsidRPr="002C0E85" w:rsidRDefault="00A82907" w:rsidP="00BF022A">
      <w:pPr>
        <w:numPr>
          <w:ilvl w:val="0"/>
          <w:numId w:val="12"/>
        </w:numPr>
        <w:jc w:val="both"/>
        <w:rPr>
          <w:sz w:val="22"/>
          <w:szCs w:val="22"/>
        </w:rPr>
      </w:pPr>
      <w:r w:rsidRPr="002C0E85">
        <w:rPr>
          <w:sz w:val="22"/>
          <w:szCs w:val="22"/>
        </w:rPr>
        <w:t>NASUWT has 2 FTE lay officials</w:t>
      </w:r>
      <w:r w:rsidR="00182655">
        <w:rPr>
          <w:sz w:val="22"/>
          <w:szCs w:val="22"/>
        </w:rPr>
        <w:t xml:space="preserve"> (10 days per week)</w:t>
      </w:r>
    </w:p>
    <w:p w:rsidR="00A82907" w:rsidRPr="002C0E85" w:rsidRDefault="00A82907" w:rsidP="00BF022A">
      <w:pPr>
        <w:numPr>
          <w:ilvl w:val="0"/>
          <w:numId w:val="12"/>
        </w:numPr>
        <w:jc w:val="both"/>
        <w:rPr>
          <w:sz w:val="22"/>
          <w:szCs w:val="22"/>
        </w:rPr>
      </w:pPr>
      <w:r w:rsidRPr="002C0E85">
        <w:rPr>
          <w:sz w:val="22"/>
          <w:szCs w:val="22"/>
        </w:rPr>
        <w:t>ATL has 1 FTE lay official</w:t>
      </w:r>
      <w:r w:rsidR="00182655">
        <w:rPr>
          <w:sz w:val="22"/>
          <w:szCs w:val="22"/>
        </w:rPr>
        <w:t xml:space="preserve"> (5 days per week)</w:t>
      </w:r>
    </w:p>
    <w:p w:rsidR="00A82907" w:rsidRPr="002C0E85" w:rsidRDefault="00A82907" w:rsidP="00BF022A">
      <w:pPr>
        <w:numPr>
          <w:ilvl w:val="0"/>
          <w:numId w:val="12"/>
        </w:numPr>
        <w:jc w:val="both"/>
        <w:rPr>
          <w:sz w:val="22"/>
          <w:szCs w:val="22"/>
        </w:rPr>
      </w:pPr>
      <w:r w:rsidRPr="002C0E85">
        <w:rPr>
          <w:sz w:val="22"/>
          <w:szCs w:val="22"/>
        </w:rPr>
        <w:t>NAHT has 0.4 FTE lay official</w:t>
      </w:r>
      <w:r w:rsidR="00182655">
        <w:rPr>
          <w:sz w:val="22"/>
          <w:szCs w:val="22"/>
        </w:rPr>
        <w:t xml:space="preserve"> (2 days per week)</w:t>
      </w:r>
    </w:p>
    <w:p w:rsidR="00A82907" w:rsidRPr="002C0E85" w:rsidRDefault="00A82907" w:rsidP="00BF022A">
      <w:pPr>
        <w:numPr>
          <w:ilvl w:val="0"/>
          <w:numId w:val="12"/>
        </w:numPr>
        <w:jc w:val="both"/>
        <w:rPr>
          <w:sz w:val="22"/>
          <w:szCs w:val="22"/>
        </w:rPr>
      </w:pPr>
      <w:r w:rsidRPr="002C0E85">
        <w:rPr>
          <w:sz w:val="22"/>
          <w:szCs w:val="22"/>
        </w:rPr>
        <w:t>UNISON has 1.3 FTE lay officials</w:t>
      </w:r>
      <w:r w:rsidR="00182655">
        <w:rPr>
          <w:sz w:val="22"/>
          <w:szCs w:val="22"/>
        </w:rPr>
        <w:t xml:space="preserve"> (6.5 days per week)</w:t>
      </w:r>
    </w:p>
    <w:p w:rsidR="00A82907" w:rsidRDefault="00A82907" w:rsidP="004574FB">
      <w:pPr>
        <w:numPr>
          <w:ilvl w:val="0"/>
          <w:numId w:val="12"/>
        </w:numPr>
        <w:jc w:val="both"/>
        <w:rPr>
          <w:sz w:val="22"/>
          <w:szCs w:val="22"/>
        </w:rPr>
      </w:pPr>
      <w:r w:rsidRPr="002C0E85">
        <w:rPr>
          <w:sz w:val="22"/>
          <w:szCs w:val="22"/>
        </w:rPr>
        <w:t>GMB has 0.6 FTE lay officials</w:t>
      </w:r>
      <w:r w:rsidR="00182655">
        <w:rPr>
          <w:sz w:val="22"/>
          <w:szCs w:val="22"/>
        </w:rPr>
        <w:t xml:space="preserve"> (3 days per week)</w:t>
      </w:r>
    </w:p>
    <w:p w:rsidR="00182655" w:rsidRPr="002C0E85" w:rsidRDefault="00182655" w:rsidP="004574FB">
      <w:pPr>
        <w:numPr>
          <w:ilvl w:val="0"/>
          <w:numId w:val="12"/>
        </w:numPr>
        <w:jc w:val="both"/>
        <w:rPr>
          <w:sz w:val="22"/>
          <w:szCs w:val="22"/>
        </w:rPr>
      </w:pPr>
      <w:r>
        <w:rPr>
          <w:sz w:val="22"/>
          <w:szCs w:val="22"/>
        </w:rPr>
        <w:t>ASCL has 0.1 FTE lay official (1 day a fortnight)</w:t>
      </w:r>
    </w:p>
    <w:p w:rsidR="00A82907" w:rsidRPr="002C0E85" w:rsidRDefault="00A82907" w:rsidP="004574FB">
      <w:pPr>
        <w:jc w:val="both"/>
        <w:rPr>
          <w:sz w:val="22"/>
          <w:szCs w:val="22"/>
        </w:rPr>
      </w:pPr>
    </w:p>
    <w:p w:rsidR="00A82907" w:rsidRPr="002C0E85" w:rsidRDefault="00A82907" w:rsidP="0080437D">
      <w:pPr>
        <w:jc w:val="both"/>
        <w:rPr>
          <w:sz w:val="22"/>
          <w:szCs w:val="22"/>
        </w:rPr>
      </w:pPr>
      <w:r w:rsidRPr="002C0E85">
        <w:rPr>
          <w:sz w:val="22"/>
          <w:szCs w:val="22"/>
        </w:rPr>
        <w:t>If this de-delegated fund is not held in 2015/16, individual schools will need to consider how they will meet their statutory obligations to allow trade unions to represent and consult with their members and with the school as the employer, as local branch trade union representatives would no longer be available without cost. For example, each trade union has the right to appoint a trade union representative within a school to carry out statutory functions, and seek time off for these representatives to be trained to carry out these duties.</w:t>
      </w:r>
    </w:p>
    <w:p w:rsidR="00A82907" w:rsidRDefault="00A82907" w:rsidP="004574FB">
      <w:pPr>
        <w:jc w:val="both"/>
        <w:rPr>
          <w:sz w:val="22"/>
          <w:szCs w:val="22"/>
        </w:rPr>
      </w:pPr>
    </w:p>
    <w:p w:rsidR="00A82907" w:rsidRPr="008A6358" w:rsidRDefault="00E124DC" w:rsidP="004574FB">
      <w:pPr>
        <w:jc w:val="both"/>
        <w:rPr>
          <w:sz w:val="22"/>
          <w:szCs w:val="22"/>
        </w:rPr>
      </w:pPr>
      <w:r>
        <w:rPr>
          <w:sz w:val="22"/>
          <w:szCs w:val="22"/>
        </w:rPr>
        <w:t>5</w:t>
      </w:r>
      <w:r w:rsidR="00A82907" w:rsidRPr="008A6358">
        <w:rPr>
          <w:sz w:val="22"/>
          <w:szCs w:val="22"/>
        </w:rPr>
        <w:t>.13 Trade Union Health and Safety Rep Time</w:t>
      </w:r>
    </w:p>
    <w:p w:rsidR="00A82907" w:rsidRPr="002C0E85" w:rsidRDefault="00A82907" w:rsidP="004574FB">
      <w:pPr>
        <w:jc w:val="both"/>
        <w:rPr>
          <w:sz w:val="22"/>
          <w:szCs w:val="22"/>
          <w:highlight w:val="yellow"/>
        </w:rPr>
      </w:pPr>
    </w:p>
    <w:p w:rsidR="00A82907" w:rsidRPr="008A6358" w:rsidRDefault="00A82907" w:rsidP="004574FB">
      <w:pPr>
        <w:jc w:val="both"/>
        <w:rPr>
          <w:sz w:val="22"/>
          <w:szCs w:val="22"/>
        </w:rPr>
      </w:pPr>
      <w:r w:rsidRPr="008A6358">
        <w:rPr>
          <w:sz w:val="22"/>
          <w:szCs w:val="22"/>
        </w:rPr>
        <w:t>In order to comply with the letter and the spirit of the Health and Safety Regulations, the Council and the Teacher Trade Union Health and Safety Lay Representatives in Bradford made a Health and Safety Agreement in 1989. As part of this agreement still currently in place, nominated accredited Teacher Trade Union, lay Health and Safety representatives, carry out Health and Safety inspections in schools and are released for all or part of their time from their school responsibilities to carry out these duties. A total of up to 1,075 days per year are allocated to the Teacher representatives to carry out inspections and this includes appropriate training.  The agreement states that:</w:t>
      </w:r>
    </w:p>
    <w:p w:rsidR="00A82907" w:rsidRPr="008A6358" w:rsidRDefault="00A82907" w:rsidP="004574FB">
      <w:pPr>
        <w:numPr>
          <w:ilvl w:val="0"/>
          <w:numId w:val="4"/>
        </w:numPr>
        <w:jc w:val="both"/>
        <w:rPr>
          <w:sz w:val="22"/>
          <w:szCs w:val="22"/>
        </w:rPr>
      </w:pPr>
      <w:r w:rsidRPr="008A6358">
        <w:rPr>
          <w:sz w:val="22"/>
          <w:szCs w:val="22"/>
        </w:rPr>
        <w:t xml:space="preserve">A “formal inspection of each workplace or part of it will occur not more frequently than once per term, twice in Upper Schools”.  </w:t>
      </w:r>
    </w:p>
    <w:p w:rsidR="00A82907" w:rsidRPr="008A6358" w:rsidRDefault="00A82907" w:rsidP="004574FB">
      <w:pPr>
        <w:numPr>
          <w:ilvl w:val="0"/>
          <w:numId w:val="4"/>
        </w:numPr>
        <w:jc w:val="both"/>
        <w:rPr>
          <w:sz w:val="22"/>
          <w:szCs w:val="22"/>
        </w:rPr>
      </w:pPr>
      <w:r w:rsidRPr="008A6358">
        <w:rPr>
          <w:sz w:val="22"/>
          <w:szCs w:val="22"/>
        </w:rPr>
        <w:t xml:space="preserve">The trade union representatives draw up and agree with the Council a programme of school health and safety visits.  </w:t>
      </w:r>
    </w:p>
    <w:p w:rsidR="00A82907" w:rsidRPr="008A6358" w:rsidRDefault="00A82907" w:rsidP="004574FB">
      <w:pPr>
        <w:numPr>
          <w:ilvl w:val="0"/>
          <w:numId w:val="4"/>
        </w:numPr>
        <w:jc w:val="both"/>
        <w:rPr>
          <w:sz w:val="22"/>
          <w:szCs w:val="22"/>
        </w:rPr>
      </w:pPr>
      <w:r w:rsidRPr="008A6358">
        <w:rPr>
          <w:sz w:val="22"/>
          <w:szCs w:val="22"/>
        </w:rPr>
        <w:t xml:space="preserve">The Trade Union health and safety inspections are arranged with the Head Teacher in advance and reports are sent to the Head Teacher on completion. </w:t>
      </w:r>
    </w:p>
    <w:p w:rsidR="00A82907" w:rsidRPr="008A6358" w:rsidRDefault="00A82907" w:rsidP="004574FB">
      <w:pPr>
        <w:numPr>
          <w:ilvl w:val="0"/>
          <w:numId w:val="4"/>
        </w:numPr>
        <w:jc w:val="both"/>
        <w:rPr>
          <w:sz w:val="22"/>
          <w:szCs w:val="22"/>
        </w:rPr>
      </w:pPr>
      <w:r w:rsidRPr="008A6358">
        <w:rPr>
          <w:sz w:val="22"/>
          <w:szCs w:val="22"/>
        </w:rPr>
        <w:t>The Teacher Safety representatives are responsible for representing members who are party to this agreement and also for representing UNISON in their schools (except those employed in kitchens).</w:t>
      </w:r>
    </w:p>
    <w:p w:rsidR="00A82907" w:rsidRPr="008A6358" w:rsidRDefault="00A82907" w:rsidP="004574FB">
      <w:pPr>
        <w:numPr>
          <w:ilvl w:val="0"/>
          <w:numId w:val="4"/>
        </w:numPr>
        <w:jc w:val="both"/>
        <w:rPr>
          <w:sz w:val="22"/>
          <w:szCs w:val="22"/>
        </w:rPr>
      </w:pPr>
      <w:r w:rsidRPr="008A6358">
        <w:rPr>
          <w:sz w:val="22"/>
          <w:szCs w:val="22"/>
        </w:rPr>
        <w:t>Wherever possible, where Safety Representatives from unions not party to this agreement (e.g. GMB) are responsible in the same workplace, the arrangement is for a joint inspection.</w:t>
      </w:r>
    </w:p>
    <w:p w:rsidR="00A82907" w:rsidRPr="002C0E85" w:rsidRDefault="00A82907" w:rsidP="004574FB">
      <w:pPr>
        <w:jc w:val="both"/>
        <w:rPr>
          <w:sz w:val="22"/>
          <w:szCs w:val="22"/>
          <w:highlight w:val="yellow"/>
        </w:rPr>
      </w:pPr>
    </w:p>
    <w:p w:rsidR="00A82907" w:rsidRPr="008A6358" w:rsidRDefault="00A82907" w:rsidP="004574FB">
      <w:pPr>
        <w:jc w:val="both"/>
        <w:rPr>
          <w:sz w:val="22"/>
          <w:szCs w:val="22"/>
        </w:rPr>
      </w:pPr>
      <w:r w:rsidRPr="008A6358">
        <w:rPr>
          <w:sz w:val="22"/>
          <w:szCs w:val="22"/>
        </w:rPr>
        <w:t>In addition, the Teacher Safety Representatives carry out site management visits in relation to building work and work with the Council’s Health and Well Being Team on occupational matters, such as stress and undertake the role of investigating accidents, disease and other medical matters.  There is a trade union Health and Safety web-site, which is password protected but shared with the relevant Council Safety Officers.</w:t>
      </w:r>
    </w:p>
    <w:p w:rsidR="00A82907" w:rsidRPr="002C0E85" w:rsidRDefault="00A82907" w:rsidP="004574FB">
      <w:pPr>
        <w:jc w:val="both"/>
        <w:rPr>
          <w:sz w:val="22"/>
          <w:szCs w:val="22"/>
          <w:highlight w:val="yellow"/>
        </w:rPr>
      </w:pPr>
    </w:p>
    <w:p w:rsidR="00A82907" w:rsidRPr="008A6358" w:rsidRDefault="00A82907" w:rsidP="004574FB">
      <w:pPr>
        <w:jc w:val="both"/>
        <w:rPr>
          <w:sz w:val="22"/>
          <w:szCs w:val="22"/>
        </w:rPr>
      </w:pPr>
      <w:r w:rsidRPr="008A6358">
        <w:rPr>
          <w:sz w:val="22"/>
          <w:szCs w:val="22"/>
        </w:rPr>
        <w:t>The current facility time arrangements for these representatives are:</w:t>
      </w:r>
    </w:p>
    <w:p w:rsidR="00A82907" w:rsidRPr="008A6358" w:rsidRDefault="000164DF" w:rsidP="004574FB">
      <w:pPr>
        <w:numPr>
          <w:ilvl w:val="0"/>
          <w:numId w:val="4"/>
        </w:numPr>
        <w:jc w:val="both"/>
        <w:rPr>
          <w:sz w:val="22"/>
          <w:szCs w:val="22"/>
        </w:rPr>
      </w:pPr>
      <w:r>
        <w:rPr>
          <w:sz w:val="22"/>
          <w:szCs w:val="22"/>
        </w:rPr>
        <w:t xml:space="preserve">NUT has 5.4 days per </w:t>
      </w:r>
      <w:r w:rsidRPr="000164DF">
        <w:rPr>
          <w:sz w:val="22"/>
          <w:szCs w:val="22"/>
        </w:rPr>
        <w:t>week (1.08</w:t>
      </w:r>
      <w:r w:rsidR="00A82907" w:rsidRPr="000164DF">
        <w:rPr>
          <w:sz w:val="22"/>
          <w:szCs w:val="22"/>
        </w:rPr>
        <w:t xml:space="preserve"> FTE)</w:t>
      </w:r>
    </w:p>
    <w:p w:rsidR="00A82907" w:rsidRPr="008A6358" w:rsidRDefault="000164DF" w:rsidP="004574FB">
      <w:pPr>
        <w:numPr>
          <w:ilvl w:val="0"/>
          <w:numId w:val="4"/>
        </w:numPr>
        <w:jc w:val="both"/>
        <w:rPr>
          <w:sz w:val="22"/>
          <w:szCs w:val="22"/>
        </w:rPr>
      </w:pPr>
      <w:r>
        <w:rPr>
          <w:sz w:val="22"/>
          <w:szCs w:val="22"/>
        </w:rPr>
        <w:t xml:space="preserve">NASUWT has 5 days per week (1 </w:t>
      </w:r>
      <w:r w:rsidR="00A82907" w:rsidRPr="008A6358">
        <w:rPr>
          <w:sz w:val="22"/>
          <w:szCs w:val="22"/>
        </w:rPr>
        <w:t>FTE)</w:t>
      </w:r>
      <w:bookmarkStart w:id="0" w:name="_GoBack"/>
      <w:bookmarkEnd w:id="0"/>
    </w:p>
    <w:p w:rsidR="00A82907" w:rsidRDefault="000164DF" w:rsidP="004574FB">
      <w:pPr>
        <w:numPr>
          <w:ilvl w:val="0"/>
          <w:numId w:val="4"/>
        </w:numPr>
        <w:jc w:val="both"/>
        <w:rPr>
          <w:sz w:val="22"/>
          <w:szCs w:val="22"/>
        </w:rPr>
      </w:pPr>
      <w:r>
        <w:rPr>
          <w:sz w:val="22"/>
          <w:szCs w:val="22"/>
        </w:rPr>
        <w:t>ATL has 5</w:t>
      </w:r>
      <w:r w:rsidR="00A82907" w:rsidRPr="008A6358">
        <w:rPr>
          <w:sz w:val="22"/>
          <w:szCs w:val="22"/>
        </w:rPr>
        <w:t xml:space="preserve"> days per wee</w:t>
      </w:r>
      <w:r>
        <w:rPr>
          <w:sz w:val="22"/>
          <w:szCs w:val="22"/>
        </w:rPr>
        <w:t>k (1</w:t>
      </w:r>
      <w:r w:rsidR="00A82907" w:rsidRPr="008A6358">
        <w:rPr>
          <w:sz w:val="22"/>
          <w:szCs w:val="22"/>
        </w:rPr>
        <w:t xml:space="preserve"> FTE)</w:t>
      </w:r>
    </w:p>
    <w:p w:rsidR="000164DF" w:rsidRDefault="000164DF" w:rsidP="004574FB">
      <w:pPr>
        <w:numPr>
          <w:ilvl w:val="0"/>
          <w:numId w:val="4"/>
        </w:numPr>
        <w:jc w:val="both"/>
        <w:rPr>
          <w:sz w:val="22"/>
          <w:szCs w:val="22"/>
        </w:rPr>
      </w:pPr>
      <w:r>
        <w:rPr>
          <w:sz w:val="22"/>
          <w:szCs w:val="22"/>
        </w:rPr>
        <w:t>UNISON has 5 days per week (1 FTE)</w:t>
      </w:r>
    </w:p>
    <w:p w:rsidR="000164DF" w:rsidRPr="008A6358" w:rsidRDefault="000164DF" w:rsidP="004574FB">
      <w:pPr>
        <w:numPr>
          <w:ilvl w:val="0"/>
          <w:numId w:val="4"/>
        </w:numPr>
        <w:jc w:val="both"/>
        <w:rPr>
          <w:sz w:val="22"/>
          <w:szCs w:val="22"/>
        </w:rPr>
      </w:pPr>
      <w:r>
        <w:rPr>
          <w:sz w:val="22"/>
          <w:szCs w:val="22"/>
        </w:rPr>
        <w:t>GMB has 3 days per week (0.6 FTE)</w:t>
      </w:r>
    </w:p>
    <w:p w:rsidR="00A82907" w:rsidRPr="002C0E85" w:rsidRDefault="00A82907" w:rsidP="004574FB">
      <w:pPr>
        <w:jc w:val="both"/>
        <w:rPr>
          <w:sz w:val="22"/>
          <w:szCs w:val="22"/>
          <w:highlight w:val="yellow"/>
        </w:rPr>
      </w:pPr>
    </w:p>
    <w:p w:rsidR="00A82907" w:rsidRPr="002C0E85" w:rsidRDefault="00A82907" w:rsidP="004E2B9D">
      <w:pPr>
        <w:jc w:val="both"/>
        <w:rPr>
          <w:sz w:val="22"/>
          <w:szCs w:val="22"/>
        </w:rPr>
      </w:pPr>
      <w:r w:rsidRPr="008A6358">
        <w:rPr>
          <w:sz w:val="22"/>
          <w:szCs w:val="22"/>
        </w:rPr>
        <w:t xml:space="preserve">If this de-delegated fund is not held in 2015/16, individual schools will need to consider how they will meet their </w:t>
      </w:r>
      <w:r>
        <w:rPr>
          <w:sz w:val="22"/>
          <w:szCs w:val="22"/>
        </w:rPr>
        <w:t xml:space="preserve">employer </w:t>
      </w:r>
      <w:r w:rsidRPr="008A6358">
        <w:rPr>
          <w:sz w:val="22"/>
          <w:szCs w:val="22"/>
        </w:rPr>
        <w:t>statutory obligations around health and safety.</w:t>
      </w:r>
    </w:p>
    <w:p w:rsidR="00182655" w:rsidRDefault="00182655" w:rsidP="004574FB">
      <w:pPr>
        <w:jc w:val="both"/>
        <w:rPr>
          <w:sz w:val="22"/>
          <w:szCs w:val="22"/>
        </w:rPr>
      </w:pPr>
    </w:p>
    <w:p w:rsidR="000164DF" w:rsidRDefault="000164DF" w:rsidP="004574FB">
      <w:pPr>
        <w:jc w:val="both"/>
        <w:rPr>
          <w:sz w:val="22"/>
          <w:szCs w:val="22"/>
        </w:rPr>
      </w:pPr>
    </w:p>
    <w:p w:rsidR="000164DF" w:rsidRDefault="000164DF" w:rsidP="004574FB">
      <w:pPr>
        <w:jc w:val="both"/>
        <w:rPr>
          <w:sz w:val="22"/>
          <w:szCs w:val="22"/>
        </w:rPr>
      </w:pPr>
    </w:p>
    <w:p w:rsidR="000164DF" w:rsidRDefault="000164DF" w:rsidP="004574FB">
      <w:pPr>
        <w:jc w:val="both"/>
        <w:rPr>
          <w:sz w:val="22"/>
          <w:szCs w:val="22"/>
        </w:rPr>
      </w:pPr>
    </w:p>
    <w:p w:rsidR="00A82907" w:rsidRPr="002C0E85" w:rsidRDefault="00E124DC" w:rsidP="004574FB">
      <w:pPr>
        <w:jc w:val="both"/>
        <w:rPr>
          <w:sz w:val="22"/>
          <w:szCs w:val="22"/>
        </w:rPr>
      </w:pPr>
      <w:r>
        <w:rPr>
          <w:sz w:val="22"/>
          <w:szCs w:val="22"/>
        </w:rPr>
        <w:t>5</w:t>
      </w:r>
      <w:r w:rsidR="00A82907">
        <w:rPr>
          <w:sz w:val="22"/>
          <w:szCs w:val="22"/>
        </w:rPr>
        <w:t>.14</w:t>
      </w:r>
      <w:r w:rsidR="00A82907" w:rsidRPr="002C0E85">
        <w:rPr>
          <w:sz w:val="22"/>
          <w:szCs w:val="22"/>
        </w:rPr>
        <w:t xml:space="preserve"> School Staff Public Duties and Suspensions Fund</w:t>
      </w:r>
    </w:p>
    <w:p w:rsidR="000164DF" w:rsidRDefault="000164DF" w:rsidP="004574FB">
      <w:pPr>
        <w:jc w:val="both"/>
        <w:rPr>
          <w:sz w:val="22"/>
          <w:szCs w:val="22"/>
        </w:rPr>
      </w:pPr>
    </w:p>
    <w:p w:rsidR="00A82907" w:rsidRPr="002C0E85" w:rsidRDefault="00A82907" w:rsidP="004574FB">
      <w:pPr>
        <w:jc w:val="both"/>
        <w:rPr>
          <w:sz w:val="22"/>
          <w:szCs w:val="22"/>
        </w:rPr>
      </w:pPr>
      <w:r w:rsidRPr="002C0E85">
        <w:rPr>
          <w:sz w:val="22"/>
          <w:szCs w:val="22"/>
        </w:rPr>
        <w:t>This fund has historically acted, on a similar basis to maternity / paternity payments, as an ‘insurance’ type pot for schools to be reimbursed for staffing costs associated with public duties (magistrates / court duties) and, more significantly, where an employee is suspended from duty following a Child Protection allegation and where the Police are undertaking an investigation. In the case of suspensions, schools are reimbursed for 50% of the cost of the salary of the member of staff suspended. Payments are authorised by the Strategic Director, Children’s Services.</w:t>
      </w:r>
    </w:p>
    <w:p w:rsidR="00A82907" w:rsidRPr="002C0E85" w:rsidRDefault="00A82907" w:rsidP="004574FB">
      <w:pPr>
        <w:jc w:val="both"/>
        <w:rPr>
          <w:sz w:val="22"/>
          <w:szCs w:val="22"/>
        </w:rPr>
      </w:pPr>
    </w:p>
    <w:p w:rsidR="00A82907" w:rsidRPr="002C0E85" w:rsidRDefault="00A82907" w:rsidP="004574FB">
      <w:pPr>
        <w:jc w:val="both"/>
        <w:rPr>
          <w:sz w:val="22"/>
          <w:szCs w:val="22"/>
        </w:rPr>
      </w:pPr>
      <w:r w:rsidRPr="002C0E85">
        <w:rPr>
          <w:sz w:val="22"/>
          <w:szCs w:val="22"/>
        </w:rPr>
        <w:t>If this de-delegated fund was not held in 2015/16, maintained schools would not be reimbursed for the salary cost of staff and would have to make alternative arrangements to manage this cost.</w:t>
      </w:r>
    </w:p>
    <w:p w:rsidR="00A82907" w:rsidRPr="00F85CD7" w:rsidRDefault="00A82907" w:rsidP="004574FB">
      <w:pPr>
        <w:jc w:val="both"/>
        <w:rPr>
          <w:color w:val="FF0000"/>
          <w:sz w:val="22"/>
          <w:szCs w:val="22"/>
          <w:u w:val="single"/>
        </w:rPr>
      </w:pPr>
    </w:p>
    <w:p w:rsidR="00A82907" w:rsidRPr="002C0E85" w:rsidRDefault="00F77A19" w:rsidP="004574FB">
      <w:pPr>
        <w:jc w:val="both"/>
        <w:rPr>
          <w:b/>
          <w:bCs/>
          <w:color w:val="0000FF"/>
          <w:sz w:val="22"/>
          <w:szCs w:val="22"/>
        </w:rPr>
      </w:pPr>
      <w:r>
        <w:rPr>
          <w:b/>
          <w:bCs/>
          <w:color w:val="0000FF"/>
          <w:sz w:val="22"/>
          <w:szCs w:val="22"/>
        </w:rPr>
        <w:t>Question 5</w:t>
      </w:r>
      <w:r w:rsidR="00A82907" w:rsidRPr="005F779A">
        <w:rPr>
          <w:b/>
          <w:bCs/>
          <w:color w:val="0000FF"/>
          <w:sz w:val="22"/>
          <w:szCs w:val="22"/>
        </w:rPr>
        <w:t xml:space="preserve"> </w:t>
      </w:r>
      <w:r w:rsidR="00A43B77">
        <w:rPr>
          <w:b/>
          <w:bCs/>
          <w:color w:val="0000FF"/>
          <w:sz w:val="22"/>
          <w:szCs w:val="22"/>
        </w:rPr>
        <w:t>–</w:t>
      </w:r>
      <w:r w:rsidR="00A82907" w:rsidRPr="005F779A">
        <w:rPr>
          <w:b/>
          <w:bCs/>
          <w:color w:val="0000FF"/>
          <w:sz w:val="22"/>
          <w:szCs w:val="22"/>
        </w:rPr>
        <w:t xml:space="preserve"> </w:t>
      </w:r>
      <w:r w:rsidR="00A43B77">
        <w:rPr>
          <w:b/>
          <w:bCs/>
          <w:color w:val="0000FF"/>
          <w:sz w:val="22"/>
          <w:szCs w:val="22"/>
        </w:rPr>
        <w:t>Should sums</w:t>
      </w:r>
      <w:r w:rsidR="00A82907" w:rsidRPr="005F779A">
        <w:rPr>
          <w:b/>
          <w:bCs/>
          <w:color w:val="0000FF"/>
          <w:sz w:val="22"/>
          <w:szCs w:val="22"/>
        </w:rPr>
        <w:t xml:space="preserve"> continue to be de-delegated from maintained</w:t>
      </w:r>
      <w:r w:rsidR="00A82907" w:rsidRPr="002C0E85">
        <w:rPr>
          <w:b/>
          <w:bCs/>
          <w:color w:val="0000FF"/>
          <w:sz w:val="22"/>
          <w:szCs w:val="22"/>
        </w:rPr>
        <w:t xml:space="preserve"> school budgets</w:t>
      </w:r>
      <w:r w:rsidR="00A43B77">
        <w:rPr>
          <w:b/>
          <w:bCs/>
          <w:color w:val="0000FF"/>
          <w:sz w:val="22"/>
          <w:szCs w:val="22"/>
        </w:rPr>
        <w:t xml:space="preserve"> in 2015/16 for the purposes outlined above?</w:t>
      </w:r>
      <w:r w:rsidR="00A82907">
        <w:rPr>
          <w:b/>
          <w:bCs/>
          <w:color w:val="0000FF"/>
          <w:sz w:val="22"/>
          <w:szCs w:val="22"/>
        </w:rPr>
        <w:t xml:space="preserve"> </w:t>
      </w:r>
      <w:r w:rsidR="00A82907" w:rsidRPr="007944E5">
        <w:rPr>
          <w:b/>
          <w:bCs/>
          <w:color w:val="0000FF"/>
          <w:sz w:val="22"/>
          <w:szCs w:val="22"/>
        </w:rPr>
        <w:t>If not, please specify the reasons why not.</w:t>
      </w:r>
    </w:p>
    <w:p w:rsidR="00A82907" w:rsidRDefault="00A82907" w:rsidP="006F3AB5">
      <w:pPr>
        <w:jc w:val="both"/>
        <w:rPr>
          <w:b/>
          <w:bCs/>
          <w:color w:val="FF0000"/>
          <w:sz w:val="22"/>
          <w:szCs w:val="22"/>
        </w:rPr>
      </w:pPr>
    </w:p>
    <w:p w:rsidR="00A43B77" w:rsidRDefault="00A43B77" w:rsidP="006F3AB5">
      <w:pPr>
        <w:jc w:val="both"/>
        <w:rPr>
          <w:b/>
          <w:bCs/>
          <w:color w:val="FF0000"/>
          <w:sz w:val="22"/>
          <w:szCs w:val="22"/>
        </w:rPr>
      </w:pPr>
    </w:p>
    <w:p w:rsidR="00A82907" w:rsidRPr="0040340B" w:rsidRDefault="00E124DC" w:rsidP="006F3AB5">
      <w:pPr>
        <w:jc w:val="both"/>
        <w:rPr>
          <w:b/>
          <w:bCs/>
          <w:sz w:val="22"/>
          <w:szCs w:val="22"/>
        </w:rPr>
      </w:pPr>
      <w:r w:rsidRPr="005F779A">
        <w:rPr>
          <w:b/>
          <w:bCs/>
          <w:sz w:val="22"/>
          <w:szCs w:val="22"/>
        </w:rPr>
        <w:t>6</w:t>
      </w:r>
      <w:r w:rsidR="00A82907" w:rsidRPr="005F779A">
        <w:rPr>
          <w:b/>
          <w:bCs/>
          <w:sz w:val="22"/>
          <w:szCs w:val="22"/>
        </w:rPr>
        <w:t>.</w:t>
      </w:r>
      <w:r w:rsidR="00A82907" w:rsidRPr="0040340B">
        <w:rPr>
          <w:b/>
          <w:bCs/>
          <w:sz w:val="22"/>
          <w:szCs w:val="22"/>
        </w:rPr>
        <w:tab/>
        <w:t>DSG Schools Block Contingencies</w:t>
      </w:r>
    </w:p>
    <w:p w:rsidR="00A82907" w:rsidRPr="0040340B" w:rsidRDefault="00A82907" w:rsidP="006F3AB5">
      <w:pPr>
        <w:jc w:val="both"/>
        <w:rPr>
          <w:b/>
          <w:bCs/>
          <w:sz w:val="22"/>
          <w:szCs w:val="22"/>
        </w:rPr>
      </w:pPr>
    </w:p>
    <w:p w:rsidR="00A82907" w:rsidRPr="0040340B" w:rsidRDefault="00E124DC" w:rsidP="0040340B">
      <w:pPr>
        <w:jc w:val="both"/>
        <w:rPr>
          <w:sz w:val="22"/>
          <w:szCs w:val="22"/>
        </w:rPr>
      </w:pPr>
      <w:r>
        <w:rPr>
          <w:sz w:val="22"/>
          <w:szCs w:val="22"/>
        </w:rPr>
        <w:t>6</w:t>
      </w:r>
      <w:r w:rsidR="00A82907" w:rsidRPr="0040340B">
        <w:rPr>
          <w:sz w:val="22"/>
          <w:szCs w:val="22"/>
        </w:rPr>
        <w:t xml:space="preserve">.1 </w:t>
      </w:r>
      <w:r w:rsidR="00A82907">
        <w:rPr>
          <w:sz w:val="22"/>
          <w:szCs w:val="22"/>
        </w:rPr>
        <w:t>The Finance Regulations significantly restrict</w:t>
      </w:r>
      <w:r w:rsidR="00A82907" w:rsidRPr="0040340B">
        <w:rPr>
          <w:sz w:val="22"/>
          <w:szCs w:val="22"/>
        </w:rPr>
        <w:t xml:space="preserve"> the types of funds that can be held c</w:t>
      </w:r>
      <w:r w:rsidR="00A82907">
        <w:rPr>
          <w:sz w:val="22"/>
          <w:szCs w:val="22"/>
        </w:rPr>
        <w:t>entrally within the DSG</w:t>
      </w:r>
      <w:r w:rsidR="00A82907" w:rsidRPr="0040340B">
        <w:rPr>
          <w:sz w:val="22"/>
          <w:szCs w:val="22"/>
        </w:rPr>
        <w:t>. Where contingency funds are held, the Regulations require that the criteria for accessing these are clear and have been agreed with the Schools Forum.</w:t>
      </w:r>
    </w:p>
    <w:p w:rsidR="00A82907" w:rsidRPr="0040340B" w:rsidRDefault="00A82907" w:rsidP="00754C20">
      <w:pPr>
        <w:jc w:val="both"/>
        <w:rPr>
          <w:sz w:val="22"/>
          <w:szCs w:val="22"/>
        </w:rPr>
      </w:pPr>
    </w:p>
    <w:p w:rsidR="00A82907" w:rsidRDefault="00E124DC" w:rsidP="0040340B">
      <w:pPr>
        <w:jc w:val="both"/>
        <w:rPr>
          <w:sz w:val="22"/>
          <w:szCs w:val="22"/>
        </w:rPr>
      </w:pPr>
      <w:r>
        <w:rPr>
          <w:sz w:val="22"/>
          <w:szCs w:val="22"/>
        </w:rPr>
        <w:t>6</w:t>
      </w:r>
      <w:r w:rsidR="00A82907" w:rsidRPr="0040340B">
        <w:rPr>
          <w:sz w:val="22"/>
          <w:szCs w:val="22"/>
        </w:rPr>
        <w:t>.2 In 201</w:t>
      </w:r>
      <w:r w:rsidR="00A82907">
        <w:rPr>
          <w:sz w:val="22"/>
          <w:szCs w:val="22"/>
        </w:rPr>
        <w:t>4/15</w:t>
      </w:r>
      <w:r w:rsidR="00A82907" w:rsidRPr="0040340B">
        <w:rPr>
          <w:sz w:val="22"/>
          <w:szCs w:val="22"/>
        </w:rPr>
        <w:t>, the Schools Forum agreed to hold the following permitted funds:</w:t>
      </w:r>
    </w:p>
    <w:p w:rsidR="00A82907" w:rsidRPr="00CB659A" w:rsidRDefault="00A82907" w:rsidP="0040340B">
      <w:pPr>
        <w:jc w:val="both"/>
        <w:rPr>
          <w:sz w:val="22"/>
          <w:szCs w:val="22"/>
        </w:rPr>
      </w:pPr>
    </w:p>
    <w:p w:rsidR="00A82907" w:rsidRPr="00CB659A" w:rsidRDefault="00A82907" w:rsidP="00782AE8">
      <w:pPr>
        <w:numPr>
          <w:ilvl w:val="0"/>
          <w:numId w:val="13"/>
        </w:numPr>
        <w:jc w:val="both"/>
        <w:rPr>
          <w:sz w:val="22"/>
          <w:szCs w:val="22"/>
        </w:rPr>
      </w:pPr>
      <w:r w:rsidRPr="00CB659A">
        <w:rPr>
          <w:sz w:val="22"/>
          <w:szCs w:val="22"/>
        </w:rPr>
        <w:t>A Growth Fund, to support expanding schools and academies</w:t>
      </w:r>
    </w:p>
    <w:p w:rsidR="00A82907" w:rsidRPr="00CB659A" w:rsidRDefault="00A82907" w:rsidP="00147CA9">
      <w:pPr>
        <w:ind w:left="360"/>
        <w:jc w:val="both"/>
        <w:rPr>
          <w:sz w:val="22"/>
          <w:szCs w:val="22"/>
        </w:rPr>
      </w:pPr>
    </w:p>
    <w:p w:rsidR="00A82907" w:rsidRPr="00CB659A" w:rsidRDefault="00A82907" w:rsidP="00782AE8">
      <w:pPr>
        <w:numPr>
          <w:ilvl w:val="0"/>
          <w:numId w:val="13"/>
        </w:numPr>
        <w:jc w:val="both"/>
        <w:rPr>
          <w:sz w:val="22"/>
          <w:szCs w:val="22"/>
        </w:rPr>
      </w:pPr>
      <w:r w:rsidRPr="00CB659A">
        <w:rPr>
          <w:sz w:val="22"/>
          <w:szCs w:val="22"/>
        </w:rPr>
        <w:t>A ‘Costs of Re-Organisation’ Fund, which allocates funding to match the cost of safeguarded salaries in maintained schools, where it has been previously agreed that the Local Authority will support the cost. This Fund also will meet the cost of deficits of closing schools or maintained schools converting to academy status under a sponsored arrangement</w:t>
      </w:r>
      <w:r>
        <w:rPr>
          <w:sz w:val="22"/>
          <w:szCs w:val="22"/>
        </w:rPr>
        <w:t>.</w:t>
      </w:r>
    </w:p>
    <w:p w:rsidR="00A82907" w:rsidRPr="00CB659A" w:rsidRDefault="00A82907" w:rsidP="00D41023">
      <w:pPr>
        <w:ind w:left="360"/>
        <w:jc w:val="both"/>
        <w:rPr>
          <w:sz w:val="22"/>
          <w:szCs w:val="22"/>
        </w:rPr>
      </w:pPr>
    </w:p>
    <w:p w:rsidR="00A82907" w:rsidRPr="002C0E85" w:rsidRDefault="00A82907" w:rsidP="00C7109B">
      <w:pPr>
        <w:numPr>
          <w:ilvl w:val="0"/>
          <w:numId w:val="13"/>
        </w:numPr>
        <w:jc w:val="both"/>
        <w:rPr>
          <w:sz w:val="22"/>
          <w:szCs w:val="22"/>
        </w:rPr>
      </w:pPr>
      <w:r w:rsidRPr="002C0E85">
        <w:rPr>
          <w:sz w:val="22"/>
          <w:szCs w:val="22"/>
        </w:rPr>
        <w:t>An Exceptional Costs / Schools in Financial Difficult Fund for maintained schools.</w:t>
      </w:r>
    </w:p>
    <w:p w:rsidR="00A82907" w:rsidRPr="002C0E85" w:rsidRDefault="00A82907" w:rsidP="00C7109B">
      <w:pPr>
        <w:jc w:val="both"/>
        <w:rPr>
          <w:sz w:val="22"/>
          <w:szCs w:val="22"/>
        </w:rPr>
      </w:pPr>
    </w:p>
    <w:p w:rsidR="00A82907" w:rsidRPr="002C0E85" w:rsidRDefault="00E124DC" w:rsidP="00C7109B">
      <w:pPr>
        <w:jc w:val="both"/>
        <w:rPr>
          <w:sz w:val="22"/>
          <w:szCs w:val="22"/>
        </w:rPr>
      </w:pPr>
      <w:r>
        <w:rPr>
          <w:sz w:val="22"/>
          <w:szCs w:val="22"/>
        </w:rPr>
        <w:t>6</w:t>
      </w:r>
      <w:r w:rsidR="00A82907" w:rsidRPr="002C0E85">
        <w:rPr>
          <w:sz w:val="22"/>
          <w:szCs w:val="22"/>
        </w:rPr>
        <w:t>.3 These funds support the achievement of the Bradford District’s educational priorities as follows:</w:t>
      </w:r>
    </w:p>
    <w:p w:rsidR="00A82907" w:rsidRPr="002C0E85" w:rsidRDefault="00A82907" w:rsidP="00C7109B">
      <w:pPr>
        <w:jc w:val="both"/>
        <w:rPr>
          <w:sz w:val="22"/>
          <w:szCs w:val="22"/>
        </w:rPr>
      </w:pPr>
    </w:p>
    <w:p w:rsidR="00A82907" w:rsidRDefault="00A82907" w:rsidP="002C0E85">
      <w:pPr>
        <w:numPr>
          <w:ilvl w:val="0"/>
          <w:numId w:val="14"/>
        </w:numPr>
        <w:jc w:val="both"/>
        <w:rPr>
          <w:sz w:val="22"/>
          <w:szCs w:val="22"/>
        </w:rPr>
      </w:pPr>
      <w:r w:rsidRPr="002C0E85">
        <w:rPr>
          <w:sz w:val="22"/>
          <w:szCs w:val="22"/>
        </w:rPr>
        <w:t xml:space="preserve">Enable additional financial support to be provided, in a transparent and controlled way, to specific schools that may face difficult circumstances and unreasonable cost pressures. </w:t>
      </w:r>
    </w:p>
    <w:p w:rsidR="00A82907" w:rsidRPr="002C0E85" w:rsidRDefault="00A82907" w:rsidP="002C0E85">
      <w:pPr>
        <w:ind w:left="720"/>
        <w:jc w:val="both"/>
        <w:rPr>
          <w:sz w:val="22"/>
          <w:szCs w:val="22"/>
        </w:rPr>
      </w:pPr>
    </w:p>
    <w:p w:rsidR="00A82907" w:rsidRDefault="00A82907" w:rsidP="002C0E85">
      <w:pPr>
        <w:numPr>
          <w:ilvl w:val="0"/>
          <w:numId w:val="14"/>
        </w:numPr>
        <w:jc w:val="both"/>
        <w:rPr>
          <w:sz w:val="22"/>
          <w:szCs w:val="22"/>
        </w:rPr>
      </w:pPr>
      <w:r w:rsidRPr="002C0E85">
        <w:rPr>
          <w:sz w:val="22"/>
          <w:szCs w:val="22"/>
        </w:rPr>
        <w:t>Support schools that require immediate intervention around standards that may not be able to identify funds from their own budgets.</w:t>
      </w:r>
    </w:p>
    <w:p w:rsidR="00A82907" w:rsidRPr="002C0E85" w:rsidRDefault="00A82907" w:rsidP="002C0E85">
      <w:pPr>
        <w:jc w:val="both"/>
        <w:rPr>
          <w:sz w:val="22"/>
          <w:szCs w:val="22"/>
        </w:rPr>
      </w:pPr>
    </w:p>
    <w:p w:rsidR="00A82907" w:rsidRDefault="00A82907" w:rsidP="002C0E85">
      <w:pPr>
        <w:numPr>
          <w:ilvl w:val="0"/>
          <w:numId w:val="14"/>
        </w:numPr>
        <w:jc w:val="both"/>
        <w:rPr>
          <w:sz w:val="22"/>
          <w:szCs w:val="22"/>
        </w:rPr>
      </w:pPr>
      <w:r w:rsidRPr="002C0E85">
        <w:rPr>
          <w:sz w:val="22"/>
          <w:szCs w:val="22"/>
        </w:rPr>
        <w:t xml:space="preserve">Support schools, academies and the Local Authority to manage more effectively the financial pressures brought by places expansion. </w:t>
      </w:r>
    </w:p>
    <w:p w:rsidR="00A82907" w:rsidRPr="002C0E85" w:rsidRDefault="00A82907" w:rsidP="002C0E85">
      <w:pPr>
        <w:jc w:val="both"/>
        <w:rPr>
          <w:sz w:val="22"/>
          <w:szCs w:val="22"/>
        </w:rPr>
      </w:pPr>
    </w:p>
    <w:p w:rsidR="00A82907" w:rsidRPr="002C0E85" w:rsidRDefault="00A82907" w:rsidP="00C7109B">
      <w:pPr>
        <w:numPr>
          <w:ilvl w:val="0"/>
          <w:numId w:val="14"/>
        </w:numPr>
        <w:jc w:val="both"/>
        <w:rPr>
          <w:sz w:val="22"/>
          <w:szCs w:val="22"/>
        </w:rPr>
      </w:pPr>
      <w:r w:rsidRPr="002C0E85">
        <w:rPr>
          <w:sz w:val="22"/>
          <w:szCs w:val="22"/>
        </w:rPr>
        <w:t>Collectively, help to maintain a stable financial platform for schools and academies across the District, in support of raising standards.</w:t>
      </w:r>
    </w:p>
    <w:p w:rsidR="00A82907" w:rsidRPr="002C0E85" w:rsidRDefault="00A82907" w:rsidP="00245270">
      <w:pPr>
        <w:jc w:val="both"/>
        <w:rPr>
          <w:sz w:val="22"/>
          <w:szCs w:val="22"/>
        </w:rPr>
      </w:pPr>
    </w:p>
    <w:p w:rsidR="00A82907" w:rsidRDefault="00E124DC" w:rsidP="00FF65F9">
      <w:pPr>
        <w:jc w:val="both"/>
        <w:rPr>
          <w:sz w:val="22"/>
          <w:szCs w:val="22"/>
        </w:rPr>
      </w:pPr>
      <w:r>
        <w:rPr>
          <w:sz w:val="22"/>
          <w:szCs w:val="22"/>
        </w:rPr>
        <w:t>6</w:t>
      </w:r>
      <w:r w:rsidR="002E2847">
        <w:rPr>
          <w:sz w:val="22"/>
          <w:szCs w:val="22"/>
        </w:rPr>
        <w:t xml:space="preserve">.4 </w:t>
      </w:r>
      <w:r w:rsidR="000164DF">
        <w:rPr>
          <w:sz w:val="22"/>
          <w:szCs w:val="22"/>
        </w:rPr>
        <w:t>Our p</w:t>
      </w:r>
      <w:r w:rsidR="00A82907" w:rsidRPr="002C0E85">
        <w:rPr>
          <w:sz w:val="22"/>
          <w:szCs w:val="22"/>
        </w:rPr>
        <w:t>ropose</w:t>
      </w:r>
      <w:r w:rsidR="002E2847">
        <w:rPr>
          <w:sz w:val="22"/>
          <w:szCs w:val="22"/>
        </w:rPr>
        <w:t xml:space="preserve">d </w:t>
      </w:r>
      <w:r w:rsidR="00A82907">
        <w:rPr>
          <w:sz w:val="22"/>
          <w:szCs w:val="22"/>
        </w:rPr>
        <w:t>Schools Block contingency fu</w:t>
      </w:r>
      <w:r w:rsidR="00027228">
        <w:rPr>
          <w:sz w:val="22"/>
          <w:szCs w:val="22"/>
        </w:rPr>
        <w:t>nd</w:t>
      </w:r>
      <w:r w:rsidR="002E2847">
        <w:rPr>
          <w:sz w:val="22"/>
          <w:szCs w:val="22"/>
        </w:rPr>
        <w:t xml:space="preserve"> arrangements for 2015/16 </w:t>
      </w:r>
      <w:r w:rsidR="000164DF">
        <w:rPr>
          <w:sz w:val="22"/>
          <w:szCs w:val="22"/>
        </w:rPr>
        <w:t xml:space="preserve">are detailed in paragraphs 6.5 - </w:t>
      </w:r>
      <w:r w:rsidR="002E2847">
        <w:rPr>
          <w:sz w:val="22"/>
          <w:szCs w:val="22"/>
        </w:rPr>
        <w:t>6</w:t>
      </w:r>
      <w:r w:rsidR="000164DF">
        <w:rPr>
          <w:sz w:val="22"/>
          <w:szCs w:val="22"/>
        </w:rPr>
        <w:t xml:space="preserve">.7 </w:t>
      </w:r>
      <w:r w:rsidR="00A82907">
        <w:rPr>
          <w:sz w:val="22"/>
          <w:szCs w:val="22"/>
        </w:rPr>
        <w:t>below.</w:t>
      </w:r>
    </w:p>
    <w:p w:rsidR="00A82907" w:rsidRDefault="00A82907" w:rsidP="00FF65F9">
      <w:pPr>
        <w:jc w:val="both"/>
        <w:rPr>
          <w:color w:val="FF0000"/>
          <w:sz w:val="22"/>
          <w:szCs w:val="22"/>
          <w:u w:val="single"/>
        </w:rPr>
      </w:pPr>
    </w:p>
    <w:p w:rsidR="000164DF" w:rsidRPr="00F85CD7" w:rsidRDefault="000164DF" w:rsidP="00FF65F9">
      <w:pPr>
        <w:jc w:val="both"/>
        <w:rPr>
          <w:color w:val="FF0000"/>
          <w:sz w:val="22"/>
          <w:szCs w:val="22"/>
          <w:u w:val="single"/>
        </w:rPr>
      </w:pPr>
    </w:p>
    <w:p w:rsidR="00A82907" w:rsidRPr="00BC3612" w:rsidRDefault="00A82907" w:rsidP="00FF65F9">
      <w:pPr>
        <w:jc w:val="both"/>
        <w:rPr>
          <w:sz w:val="22"/>
          <w:szCs w:val="22"/>
          <w:u w:val="single"/>
        </w:rPr>
      </w:pPr>
      <w:r w:rsidRPr="00BC3612">
        <w:rPr>
          <w:sz w:val="22"/>
          <w:szCs w:val="22"/>
          <w:u w:val="single"/>
        </w:rPr>
        <w:t>Details of these funds in 2014/15 and proposals for 2015/16</w:t>
      </w:r>
    </w:p>
    <w:p w:rsidR="00A82907" w:rsidRDefault="00A82907" w:rsidP="00FF65F9">
      <w:pPr>
        <w:jc w:val="both"/>
        <w:rPr>
          <w:sz w:val="22"/>
          <w:szCs w:val="22"/>
          <w:u w:val="single"/>
        </w:rPr>
      </w:pPr>
    </w:p>
    <w:p w:rsidR="000164DF" w:rsidRPr="00BC3612" w:rsidRDefault="000164DF" w:rsidP="00FF65F9">
      <w:pPr>
        <w:jc w:val="both"/>
        <w:rPr>
          <w:sz w:val="22"/>
          <w:szCs w:val="22"/>
          <w:u w:val="single"/>
        </w:rPr>
      </w:pPr>
    </w:p>
    <w:p w:rsidR="00A82907" w:rsidRPr="00BC3612" w:rsidRDefault="00E124DC" w:rsidP="00FF65F9">
      <w:pPr>
        <w:jc w:val="both"/>
        <w:rPr>
          <w:b/>
          <w:bCs/>
          <w:sz w:val="22"/>
          <w:szCs w:val="22"/>
        </w:rPr>
      </w:pPr>
      <w:r>
        <w:rPr>
          <w:sz w:val="22"/>
          <w:szCs w:val="22"/>
        </w:rPr>
        <w:t>6</w:t>
      </w:r>
      <w:r w:rsidR="00A82907" w:rsidRPr="00BC3612">
        <w:rPr>
          <w:sz w:val="22"/>
          <w:szCs w:val="22"/>
        </w:rPr>
        <w:t>.5 The Ringfenced Growth Fund</w:t>
      </w:r>
    </w:p>
    <w:p w:rsidR="00A82907" w:rsidRPr="00BC3612" w:rsidRDefault="00A82907" w:rsidP="00FF65F9">
      <w:pPr>
        <w:jc w:val="both"/>
        <w:rPr>
          <w:sz w:val="22"/>
          <w:szCs w:val="22"/>
        </w:rPr>
      </w:pPr>
    </w:p>
    <w:p w:rsidR="00A82907" w:rsidRDefault="00A82907" w:rsidP="00FF65F9">
      <w:pPr>
        <w:jc w:val="both"/>
        <w:rPr>
          <w:sz w:val="22"/>
          <w:szCs w:val="22"/>
        </w:rPr>
      </w:pPr>
      <w:r w:rsidRPr="00BC3612">
        <w:rPr>
          <w:sz w:val="22"/>
          <w:szCs w:val="22"/>
        </w:rPr>
        <w:t xml:space="preserve">The value of the Growth Fund in 2014/15 was £1.7m, broken down between phases, and types of growth, as follows: </w:t>
      </w:r>
    </w:p>
    <w:p w:rsidR="000164DF" w:rsidRPr="00BC3612" w:rsidRDefault="000164DF" w:rsidP="00FF65F9">
      <w:pPr>
        <w:jc w:val="both"/>
        <w:rPr>
          <w:sz w:val="22"/>
          <w:szCs w:val="22"/>
        </w:rPr>
      </w:pPr>
    </w:p>
    <w:p w:rsidR="00A82907" w:rsidRPr="00BC3612" w:rsidRDefault="00A82907" w:rsidP="00FF65F9">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BC3612">
        <w:trPr>
          <w:jc w:val="center"/>
        </w:trPr>
        <w:tc>
          <w:tcPr>
            <w:tcW w:w="4517" w:type="dxa"/>
          </w:tcPr>
          <w:p w:rsidR="00A82907" w:rsidRPr="00BC3612" w:rsidRDefault="00A82907" w:rsidP="000A29A0">
            <w:pPr>
              <w:jc w:val="both"/>
              <w:rPr>
                <w:sz w:val="22"/>
                <w:szCs w:val="22"/>
              </w:rPr>
            </w:pPr>
          </w:p>
        </w:tc>
        <w:tc>
          <w:tcPr>
            <w:tcW w:w="1701" w:type="dxa"/>
            <w:shd w:val="clear" w:color="auto" w:fill="C0C0C0"/>
          </w:tcPr>
          <w:p w:rsidR="00A82907" w:rsidRPr="00BC3612" w:rsidRDefault="00A82907" w:rsidP="000A29A0">
            <w:pPr>
              <w:jc w:val="right"/>
              <w:rPr>
                <w:b/>
                <w:bCs/>
                <w:sz w:val="22"/>
                <w:szCs w:val="22"/>
              </w:rPr>
            </w:pPr>
            <w:r w:rsidRPr="00BC3612">
              <w:rPr>
                <w:b/>
                <w:bCs/>
                <w:sz w:val="22"/>
                <w:szCs w:val="22"/>
              </w:rPr>
              <w:t>Primary</w:t>
            </w:r>
          </w:p>
        </w:tc>
        <w:tc>
          <w:tcPr>
            <w:tcW w:w="1668" w:type="dxa"/>
            <w:shd w:val="clear" w:color="auto" w:fill="C0C0C0"/>
          </w:tcPr>
          <w:p w:rsidR="00A82907" w:rsidRPr="00BC3612" w:rsidRDefault="00A82907" w:rsidP="000A29A0">
            <w:pPr>
              <w:jc w:val="right"/>
              <w:rPr>
                <w:b/>
                <w:bCs/>
                <w:sz w:val="22"/>
                <w:szCs w:val="22"/>
              </w:rPr>
            </w:pPr>
            <w:r w:rsidRPr="00BC3612">
              <w:rPr>
                <w:b/>
                <w:bCs/>
                <w:sz w:val="22"/>
                <w:szCs w:val="22"/>
              </w:rPr>
              <w:t>Secondary</w:t>
            </w:r>
          </w:p>
        </w:tc>
        <w:tc>
          <w:tcPr>
            <w:tcW w:w="1414" w:type="dxa"/>
            <w:shd w:val="clear" w:color="auto" w:fill="C0C0C0"/>
          </w:tcPr>
          <w:p w:rsidR="00A82907" w:rsidRPr="00BC3612" w:rsidRDefault="00A82907" w:rsidP="000A29A0">
            <w:pPr>
              <w:jc w:val="right"/>
              <w:rPr>
                <w:b/>
                <w:bCs/>
                <w:sz w:val="22"/>
                <w:szCs w:val="22"/>
              </w:rPr>
            </w:pPr>
            <w:r w:rsidRPr="00BC3612">
              <w:rPr>
                <w:b/>
                <w:bCs/>
                <w:sz w:val="22"/>
                <w:szCs w:val="22"/>
              </w:rPr>
              <w:t>Total</w:t>
            </w:r>
          </w:p>
        </w:tc>
      </w:tr>
      <w:tr w:rsidR="00A82907" w:rsidRPr="001E7C15">
        <w:trPr>
          <w:jc w:val="center"/>
        </w:trPr>
        <w:tc>
          <w:tcPr>
            <w:tcW w:w="4517" w:type="dxa"/>
          </w:tcPr>
          <w:p w:rsidR="00A82907" w:rsidRPr="001E7C15" w:rsidRDefault="00A82907" w:rsidP="000A29A0">
            <w:pPr>
              <w:jc w:val="both"/>
              <w:rPr>
                <w:sz w:val="22"/>
                <w:szCs w:val="22"/>
              </w:rPr>
            </w:pPr>
            <w:r w:rsidRPr="001E7C15">
              <w:rPr>
                <w:sz w:val="22"/>
                <w:szCs w:val="22"/>
              </w:rPr>
              <w:t xml:space="preserve">Existing Known Expansions </w:t>
            </w:r>
          </w:p>
        </w:tc>
        <w:tc>
          <w:tcPr>
            <w:tcW w:w="1701" w:type="dxa"/>
          </w:tcPr>
          <w:p w:rsidR="00A82907" w:rsidRPr="001E7C15" w:rsidRDefault="00A82907" w:rsidP="001E7C15">
            <w:pPr>
              <w:jc w:val="right"/>
              <w:rPr>
                <w:sz w:val="22"/>
                <w:szCs w:val="22"/>
              </w:rPr>
            </w:pPr>
            <w:r w:rsidRPr="001E7C15">
              <w:rPr>
                <w:sz w:val="22"/>
                <w:szCs w:val="22"/>
              </w:rPr>
              <w:t>£1,089,641</w:t>
            </w:r>
          </w:p>
        </w:tc>
        <w:tc>
          <w:tcPr>
            <w:tcW w:w="1668" w:type="dxa"/>
          </w:tcPr>
          <w:p w:rsidR="00A82907" w:rsidRPr="001E7C15" w:rsidRDefault="00A82907" w:rsidP="000A29A0">
            <w:pPr>
              <w:jc w:val="right"/>
              <w:rPr>
                <w:sz w:val="22"/>
                <w:szCs w:val="22"/>
              </w:rPr>
            </w:pPr>
            <w:r w:rsidRPr="001E7C15">
              <w:rPr>
                <w:sz w:val="22"/>
                <w:szCs w:val="22"/>
              </w:rPr>
              <w:t>£0</w:t>
            </w:r>
          </w:p>
        </w:tc>
        <w:tc>
          <w:tcPr>
            <w:tcW w:w="1414" w:type="dxa"/>
          </w:tcPr>
          <w:p w:rsidR="00A82907" w:rsidRPr="001E7C15" w:rsidRDefault="00A82907" w:rsidP="001E7C15">
            <w:pPr>
              <w:jc w:val="right"/>
              <w:rPr>
                <w:sz w:val="22"/>
                <w:szCs w:val="22"/>
              </w:rPr>
            </w:pPr>
            <w:r w:rsidRPr="001E7C15">
              <w:rPr>
                <w:sz w:val="22"/>
                <w:szCs w:val="22"/>
              </w:rPr>
              <w:t>£1,089,641</w:t>
            </w:r>
          </w:p>
        </w:tc>
      </w:tr>
      <w:tr w:rsidR="00A82907" w:rsidRPr="001E7C15">
        <w:trPr>
          <w:jc w:val="center"/>
        </w:trPr>
        <w:tc>
          <w:tcPr>
            <w:tcW w:w="4517" w:type="dxa"/>
          </w:tcPr>
          <w:p w:rsidR="00A82907" w:rsidRPr="001E7C15" w:rsidRDefault="00A82907" w:rsidP="000A29A0">
            <w:pPr>
              <w:jc w:val="both"/>
              <w:rPr>
                <w:sz w:val="22"/>
                <w:szCs w:val="22"/>
              </w:rPr>
            </w:pPr>
            <w:r w:rsidRPr="001E7C15">
              <w:rPr>
                <w:sz w:val="22"/>
                <w:szCs w:val="22"/>
              </w:rPr>
              <w:t xml:space="preserve">Existing Bulge Classes </w:t>
            </w:r>
          </w:p>
        </w:tc>
        <w:tc>
          <w:tcPr>
            <w:tcW w:w="1701" w:type="dxa"/>
          </w:tcPr>
          <w:p w:rsidR="00A82907" w:rsidRPr="001E7C15" w:rsidRDefault="00A82907" w:rsidP="001E7C15">
            <w:pPr>
              <w:jc w:val="right"/>
              <w:rPr>
                <w:sz w:val="22"/>
                <w:szCs w:val="22"/>
              </w:rPr>
            </w:pPr>
            <w:r w:rsidRPr="001E7C15">
              <w:rPr>
                <w:sz w:val="22"/>
                <w:szCs w:val="22"/>
              </w:rPr>
              <w:t>£357,105</w:t>
            </w:r>
          </w:p>
        </w:tc>
        <w:tc>
          <w:tcPr>
            <w:tcW w:w="1668" w:type="dxa"/>
          </w:tcPr>
          <w:p w:rsidR="00A82907" w:rsidRPr="001E7C15" w:rsidRDefault="00A82907" w:rsidP="000A29A0">
            <w:pPr>
              <w:jc w:val="right"/>
              <w:rPr>
                <w:sz w:val="22"/>
                <w:szCs w:val="22"/>
              </w:rPr>
            </w:pPr>
            <w:r w:rsidRPr="001E7C15">
              <w:rPr>
                <w:sz w:val="22"/>
                <w:szCs w:val="22"/>
              </w:rPr>
              <w:t>£0</w:t>
            </w:r>
          </w:p>
        </w:tc>
        <w:tc>
          <w:tcPr>
            <w:tcW w:w="1414" w:type="dxa"/>
          </w:tcPr>
          <w:p w:rsidR="00A82907" w:rsidRPr="001E7C15" w:rsidRDefault="00A82907" w:rsidP="001E7C15">
            <w:pPr>
              <w:jc w:val="right"/>
              <w:rPr>
                <w:sz w:val="22"/>
                <w:szCs w:val="22"/>
              </w:rPr>
            </w:pPr>
            <w:r w:rsidRPr="001E7C15">
              <w:rPr>
                <w:sz w:val="22"/>
                <w:szCs w:val="22"/>
              </w:rPr>
              <w:t>£357,105</w:t>
            </w:r>
          </w:p>
        </w:tc>
      </w:tr>
      <w:tr w:rsidR="00A82907" w:rsidRPr="001E7C15">
        <w:trPr>
          <w:jc w:val="center"/>
        </w:trPr>
        <w:tc>
          <w:tcPr>
            <w:tcW w:w="4517" w:type="dxa"/>
          </w:tcPr>
          <w:p w:rsidR="00A82907" w:rsidRPr="001E7C15" w:rsidRDefault="00A82907" w:rsidP="000A29A0">
            <w:pPr>
              <w:jc w:val="both"/>
              <w:rPr>
                <w:sz w:val="22"/>
                <w:szCs w:val="22"/>
              </w:rPr>
            </w:pPr>
            <w:r w:rsidRPr="001E7C15">
              <w:rPr>
                <w:sz w:val="22"/>
                <w:szCs w:val="22"/>
              </w:rPr>
              <w:t>New Expansions</w:t>
            </w:r>
          </w:p>
        </w:tc>
        <w:tc>
          <w:tcPr>
            <w:tcW w:w="1701" w:type="dxa"/>
          </w:tcPr>
          <w:p w:rsidR="00A82907" w:rsidRPr="001E7C15" w:rsidRDefault="00A82907" w:rsidP="001E7C15">
            <w:pPr>
              <w:jc w:val="right"/>
              <w:rPr>
                <w:sz w:val="22"/>
                <w:szCs w:val="22"/>
              </w:rPr>
            </w:pPr>
            <w:r w:rsidRPr="001E7C15">
              <w:rPr>
                <w:sz w:val="22"/>
                <w:szCs w:val="22"/>
              </w:rPr>
              <w:t>£250,000</w:t>
            </w:r>
          </w:p>
        </w:tc>
        <w:tc>
          <w:tcPr>
            <w:tcW w:w="1668" w:type="dxa"/>
          </w:tcPr>
          <w:p w:rsidR="00A82907" w:rsidRPr="001E7C15" w:rsidRDefault="00A82907" w:rsidP="00BC3612">
            <w:pPr>
              <w:jc w:val="right"/>
              <w:rPr>
                <w:sz w:val="22"/>
                <w:szCs w:val="22"/>
              </w:rPr>
            </w:pPr>
            <w:r w:rsidRPr="001E7C15">
              <w:rPr>
                <w:sz w:val="22"/>
                <w:szCs w:val="22"/>
              </w:rPr>
              <w:t>£0</w:t>
            </w:r>
          </w:p>
        </w:tc>
        <w:tc>
          <w:tcPr>
            <w:tcW w:w="1414" w:type="dxa"/>
          </w:tcPr>
          <w:p w:rsidR="00A82907" w:rsidRPr="001E7C15" w:rsidRDefault="00A82907" w:rsidP="001E7C15">
            <w:pPr>
              <w:jc w:val="right"/>
              <w:rPr>
                <w:sz w:val="22"/>
                <w:szCs w:val="22"/>
              </w:rPr>
            </w:pPr>
            <w:r w:rsidRPr="001E7C15">
              <w:rPr>
                <w:sz w:val="22"/>
                <w:szCs w:val="22"/>
              </w:rPr>
              <w:t>£250,000</w:t>
            </w:r>
          </w:p>
        </w:tc>
      </w:tr>
      <w:tr w:rsidR="00A82907" w:rsidRPr="001E7C15">
        <w:trPr>
          <w:jc w:val="center"/>
        </w:trPr>
        <w:tc>
          <w:tcPr>
            <w:tcW w:w="4517" w:type="dxa"/>
          </w:tcPr>
          <w:p w:rsidR="00A82907" w:rsidRPr="001E7C15" w:rsidRDefault="00A82907" w:rsidP="000A29A0">
            <w:pPr>
              <w:jc w:val="both"/>
              <w:rPr>
                <w:sz w:val="22"/>
                <w:szCs w:val="22"/>
              </w:rPr>
            </w:pPr>
            <w:r>
              <w:rPr>
                <w:sz w:val="22"/>
                <w:szCs w:val="22"/>
              </w:rPr>
              <w:t>Pre-Opening Costs</w:t>
            </w:r>
          </w:p>
        </w:tc>
        <w:tc>
          <w:tcPr>
            <w:tcW w:w="1701" w:type="dxa"/>
          </w:tcPr>
          <w:p w:rsidR="00A82907" w:rsidRPr="001E7C15" w:rsidRDefault="00A82907" w:rsidP="001E7C15">
            <w:pPr>
              <w:jc w:val="right"/>
              <w:rPr>
                <w:sz w:val="22"/>
                <w:szCs w:val="22"/>
              </w:rPr>
            </w:pPr>
            <w:r>
              <w:rPr>
                <w:sz w:val="22"/>
                <w:szCs w:val="22"/>
              </w:rPr>
              <w:t>£0</w:t>
            </w:r>
          </w:p>
        </w:tc>
        <w:tc>
          <w:tcPr>
            <w:tcW w:w="1668" w:type="dxa"/>
          </w:tcPr>
          <w:p w:rsidR="00A82907" w:rsidRPr="001E7C15" w:rsidRDefault="00A82907" w:rsidP="00BC3612">
            <w:pPr>
              <w:jc w:val="right"/>
              <w:rPr>
                <w:sz w:val="22"/>
                <w:szCs w:val="22"/>
              </w:rPr>
            </w:pPr>
            <w:r>
              <w:rPr>
                <w:sz w:val="22"/>
                <w:szCs w:val="22"/>
              </w:rPr>
              <w:t>£0</w:t>
            </w:r>
          </w:p>
        </w:tc>
        <w:tc>
          <w:tcPr>
            <w:tcW w:w="1414" w:type="dxa"/>
          </w:tcPr>
          <w:p w:rsidR="00A82907" w:rsidRPr="001E7C15" w:rsidRDefault="00A82907" w:rsidP="001E7C15">
            <w:pPr>
              <w:jc w:val="right"/>
              <w:rPr>
                <w:sz w:val="22"/>
                <w:szCs w:val="22"/>
              </w:rPr>
            </w:pPr>
            <w:r>
              <w:rPr>
                <w:sz w:val="22"/>
                <w:szCs w:val="22"/>
              </w:rPr>
              <w:t>£0</w:t>
            </w:r>
          </w:p>
        </w:tc>
      </w:tr>
      <w:tr w:rsidR="00A82907" w:rsidRPr="001E7C15">
        <w:trPr>
          <w:jc w:val="center"/>
        </w:trPr>
        <w:tc>
          <w:tcPr>
            <w:tcW w:w="4517" w:type="dxa"/>
          </w:tcPr>
          <w:p w:rsidR="00A82907" w:rsidRPr="001E7C15" w:rsidRDefault="00A82907" w:rsidP="000A29A0">
            <w:pPr>
              <w:jc w:val="both"/>
              <w:rPr>
                <w:sz w:val="22"/>
                <w:szCs w:val="22"/>
              </w:rPr>
            </w:pPr>
            <w:r>
              <w:rPr>
                <w:sz w:val="22"/>
                <w:szCs w:val="22"/>
              </w:rPr>
              <w:t>Diseconomies of Scale</w:t>
            </w:r>
          </w:p>
        </w:tc>
        <w:tc>
          <w:tcPr>
            <w:tcW w:w="1701" w:type="dxa"/>
          </w:tcPr>
          <w:p w:rsidR="00A82907" w:rsidRPr="001E7C15" w:rsidRDefault="00A82907" w:rsidP="001E7C15">
            <w:pPr>
              <w:jc w:val="right"/>
              <w:rPr>
                <w:sz w:val="22"/>
                <w:szCs w:val="22"/>
              </w:rPr>
            </w:pPr>
            <w:r>
              <w:rPr>
                <w:sz w:val="22"/>
                <w:szCs w:val="22"/>
              </w:rPr>
              <w:t>£0</w:t>
            </w:r>
          </w:p>
        </w:tc>
        <w:tc>
          <w:tcPr>
            <w:tcW w:w="1668" w:type="dxa"/>
          </w:tcPr>
          <w:p w:rsidR="00A82907" w:rsidRPr="001E7C15" w:rsidRDefault="00A82907" w:rsidP="00BC3612">
            <w:pPr>
              <w:jc w:val="right"/>
              <w:rPr>
                <w:sz w:val="22"/>
                <w:szCs w:val="22"/>
              </w:rPr>
            </w:pPr>
            <w:r>
              <w:rPr>
                <w:sz w:val="22"/>
                <w:szCs w:val="22"/>
              </w:rPr>
              <w:t>£0</w:t>
            </w:r>
          </w:p>
        </w:tc>
        <w:tc>
          <w:tcPr>
            <w:tcW w:w="1414" w:type="dxa"/>
          </w:tcPr>
          <w:p w:rsidR="00A82907" w:rsidRPr="001E7C15" w:rsidRDefault="00A82907" w:rsidP="001E7C15">
            <w:pPr>
              <w:jc w:val="right"/>
              <w:rPr>
                <w:sz w:val="22"/>
                <w:szCs w:val="22"/>
              </w:rPr>
            </w:pPr>
            <w:r>
              <w:rPr>
                <w:sz w:val="22"/>
                <w:szCs w:val="22"/>
              </w:rPr>
              <w:t>£0</w:t>
            </w:r>
          </w:p>
        </w:tc>
      </w:tr>
      <w:tr w:rsidR="00A82907" w:rsidRPr="00BC3612">
        <w:trPr>
          <w:jc w:val="center"/>
        </w:trPr>
        <w:tc>
          <w:tcPr>
            <w:tcW w:w="4517" w:type="dxa"/>
          </w:tcPr>
          <w:p w:rsidR="00A82907" w:rsidRPr="00BC3612" w:rsidRDefault="00A82907" w:rsidP="000A29A0">
            <w:pPr>
              <w:jc w:val="both"/>
              <w:rPr>
                <w:b/>
                <w:bCs/>
                <w:sz w:val="22"/>
                <w:szCs w:val="22"/>
              </w:rPr>
            </w:pPr>
            <w:r w:rsidRPr="00BC3612">
              <w:rPr>
                <w:b/>
                <w:bCs/>
                <w:sz w:val="22"/>
                <w:szCs w:val="22"/>
              </w:rPr>
              <w:t>Total Value 2014/15</w:t>
            </w:r>
          </w:p>
        </w:tc>
        <w:tc>
          <w:tcPr>
            <w:tcW w:w="1701" w:type="dxa"/>
          </w:tcPr>
          <w:p w:rsidR="00A82907" w:rsidRPr="00BC3612" w:rsidRDefault="00A82907" w:rsidP="00BC3612">
            <w:pPr>
              <w:jc w:val="right"/>
              <w:rPr>
                <w:b/>
                <w:bCs/>
                <w:sz w:val="22"/>
                <w:szCs w:val="22"/>
              </w:rPr>
            </w:pPr>
            <w:r w:rsidRPr="00BC3612">
              <w:rPr>
                <w:b/>
                <w:bCs/>
                <w:sz w:val="22"/>
                <w:szCs w:val="22"/>
              </w:rPr>
              <w:t>£1,696,746</w:t>
            </w:r>
          </w:p>
        </w:tc>
        <w:tc>
          <w:tcPr>
            <w:tcW w:w="1668" w:type="dxa"/>
          </w:tcPr>
          <w:p w:rsidR="00A82907" w:rsidRPr="00BC3612" w:rsidRDefault="00A82907" w:rsidP="00BC3612">
            <w:pPr>
              <w:jc w:val="right"/>
              <w:rPr>
                <w:b/>
                <w:bCs/>
                <w:sz w:val="22"/>
                <w:szCs w:val="22"/>
              </w:rPr>
            </w:pPr>
            <w:r w:rsidRPr="00BC3612">
              <w:rPr>
                <w:b/>
                <w:bCs/>
                <w:sz w:val="22"/>
                <w:szCs w:val="22"/>
              </w:rPr>
              <w:t>£0</w:t>
            </w:r>
          </w:p>
        </w:tc>
        <w:tc>
          <w:tcPr>
            <w:tcW w:w="1414" w:type="dxa"/>
          </w:tcPr>
          <w:p w:rsidR="00A82907" w:rsidRPr="00BC3612" w:rsidRDefault="00A82907" w:rsidP="00BC3612">
            <w:pPr>
              <w:jc w:val="right"/>
              <w:rPr>
                <w:b/>
                <w:bCs/>
                <w:sz w:val="22"/>
                <w:szCs w:val="22"/>
              </w:rPr>
            </w:pPr>
            <w:r w:rsidRPr="00BC3612">
              <w:rPr>
                <w:b/>
                <w:bCs/>
                <w:sz w:val="22"/>
                <w:szCs w:val="22"/>
              </w:rPr>
              <w:t>£1,696,746</w:t>
            </w:r>
          </w:p>
        </w:tc>
      </w:tr>
    </w:tbl>
    <w:p w:rsidR="00A82907" w:rsidRPr="00F85CD7" w:rsidRDefault="00A82907" w:rsidP="00FF65F9">
      <w:pPr>
        <w:jc w:val="both"/>
        <w:rPr>
          <w:color w:val="FF0000"/>
          <w:sz w:val="22"/>
          <w:szCs w:val="22"/>
        </w:rPr>
      </w:pPr>
    </w:p>
    <w:p w:rsidR="00A82907" w:rsidRPr="00BC3612" w:rsidRDefault="00A82907" w:rsidP="00A97DDB">
      <w:pPr>
        <w:jc w:val="both"/>
        <w:rPr>
          <w:sz w:val="22"/>
          <w:szCs w:val="22"/>
        </w:rPr>
      </w:pPr>
      <w:r w:rsidRPr="00BC3612">
        <w:rPr>
          <w:sz w:val="22"/>
          <w:szCs w:val="22"/>
        </w:rPr>
        <w:t xml:space="preserve">The proposed criteria for allocating funding from this contingency fund in 2015/16 </w:t>
      </w:r>
      <w:r>
        <w:rPr>
          <w:sz w:val="22"/>
          <w:szCs w:val="22"/>
        </w:rPr>
        <w:t xml:space="preserve">are </w:t>
      </w:r>
      <w:r w:rsidRPr="00BC3612">
        <w:rPr>
          <w:sz w:val="22"/>
          <w:szCs w:val="22"/>
        </w:rPr>
        <w:t>as follows:</w:t>
      </w:r>
    </w:p>
    <w:p w:rsidR="00A82907" w:rsidRPr="00F85CD7" w:rsidRDefault="00A82907" w:rsidP="00A97DDB">
      <w:pPr>
        <w:jc w:val="both"/>
        <w:rPr>
          <w:b/>
          <w:bCs/>
          <w:color w:val="FF0000"/>
          <w:sz w:val="22"/>
          <w:szCs w:val="22"/>
        </w:rPr>
      </w:pPr>
    </w:p>
    <w:p w:rsidR="00A82907" w:rsidRPr="001E7C15" w:rsidRDefault="00A82907" w:rsidP="001E7C15">
      <w:pPr>
        <w:numPr>
          <w:ilvl w:val="0"/>
          <w:numId w:val="16"/>
        </w:numPr>
        <w:tabs>
          <w:tab w:val="clear" w:pos="0"/>
          <w:tab w:val="num" w:pos="-360"/>
        </w:tabs>
        <w:ind w:left="360"/>
        <w:jc w:val="both"/>
        <w:rPr>
          <w:b/>
          <w:bCs/>
          <w:sz w:val="22"/>
          <w:szCs w:val="22"/>
        </w:rPr>
      </w:pPr>
      <w:r>
        <w:rPr>
          <w:b/>
          <w:bCs/>
          <w:sz w:val="22"/>
          <w:szCs w:val="22"/>
        </w:rPr>
        <w:t>S</w:t>
      </w:r>
      <w:r w:rsidRPr="001E7C15">
        <w:rPr>
          <w:b/>
          <w:bCs/>
          <w:sz w:val="22"/>
          <w:szCs w:val="22"/>
        </w:rPr>
        <w:t>chools / academies</w:t>
      </w:r>
      <w:r>
        <w:rPr>
          <w:b/>
          <w:bCs/>
          <w:sz w:val="22"/>
          <w:szCs w:val="22"/>
        </w:rPr>
        <w:t xml:space="preserve"> permanently expanding by increasing the size of existing year groups</w:t>
      </w:r>
      <w:r w:rsidRPr="001E7C15">
        <w:rPr>
          <w:sz w:val="22"/>
          <w:szCs w:val="22"/>
        </w:rPr>
        <w:t>:</w:t>
      </w:r>
    </w:p>
    <w:p w:rsidR="00A82907" w:rsidRDefault="00A82907" w:rsidP="00A05E94">
      <w:pPr>
        <w:numPr>
          <w:ilvl w:val="1"/>
          <w:numId w:val="16"/>
        </w:numPr>
        <w:ind w:left="1100"/>
        <w:jc w:val="both"/>
        <w:rPr>
          <w:sz w:val="22"/>
          <w:szCs w:val="22"/>
        </w:rPr>
      </w:pPr>
      <w:r>
        <w:rPr>
          <w:sz w:val="22"/>
          <w:szCs w:val="22"/>
        </w:rPr>
        <w:t>For basic need purposes, w</w:t>
      </w:r>
      <w:r w:rsidRPr="001E7C15">
        <w:rPr>
          <w:sz w:val="22"/>
          <w:szCs w:val="22"/>
        </w:rPr>
        <w:t xml:space="preserve">here an established school or academy </w:t>
      </w:r>
      <w:r>
        <w:rPr>
          <w:sz w:val="22"/>
          <w:szCs w:val="22"/>
        </w:rPr>
        <w:t xml:space="preserve">is permanently expanding by increasing the size of existing year groups, and </w:t>
      </w:r>
      <w:r w:rsidRPr="001E7C15">
        <w:rPr>
          <w:sz w:val="22"/>
          <w:szCs w:val="22"/>
        </w:rPr>
        <w:t xml:space="preserve">has already begun to expand before the start of the financial year, the additional allocation will be included within the school’s / academy’s initial budget. Funding is calculated on the difference between the October 2014 census pupil numbers and a calculation of the composite 5/12 + 7/12 numbers, based on an estimate of the school’s October 2015 Census. The school will then be allocated 80% of the value of the additional base amount per pupil, for the difference between the actual and the composite calculation. On 2014/15 values this would give £2,302 per pupil Primary, £3,330 Key Stage 3 and £3,424 Key Stage 4. </w:t>
      </w:r>
    </w:p>
    <w:p w:rsidR="00A82907" w:rsidRPr="00A05E94" w:rsidRDefault="00A82907" w:rsidP="00A05E94">
      <w:pPr>
        <w:numPr>
          <w:ilvl w:val="1"/>
          <w:numId w:val="16"/>
        </w:numPr>
        <w:ind w:left="1100"/>
        <w:jc w:val="both"/>
        <w:rPr>
          <w:sz w:val="22"/>
          <w:szCs w:val="22"/>
        </w:rPr>
      </w:pPr>
      <w:r>
        <w:rPr>
          <w:sz w:val="22"/>
          <w:szCs w:val="22"/>
        </w:rPr>
        <w:t>For basic need purposes, w</w:t>
      </w:r>
      <w:r w:rsidRPr="001E7C15">
        <w:rPr>
          <w:sz w:val="22"/>
          <w:szCs w:val="22"/>
        </w:rPr>
        <w:t>here a school / academy is permanently expanding</w:t>
      </w:r>
      <w:r>
        <w:rPr>
          <w:sz w:val="22"/>
          <w:szCs w:val="22"/>
        </w:rPr>
        <w:t xml:space="preserve"> by increasing the size of existing year groups for the first time</w:t>
      </w:r>
      <w:r w:rsidRPr="001E7C15">
        <w:rPr>
          <w:sz w:val="22"/>
          <w:szCs w:val="22"/>
        </w:rPr>
        <w:t xml:space="preserve"> in September 2015, the school / academy is allocated 80% of the value of the base amount per pupil for the additional planned intake number, for the remaining proportion of the year (7/12ths). In the following full year, in 2016/17, the school / academy would then be funded as above.</w:t>
      </w:r>
    </w:p>
    <w:p w:rsidR="00A82907" w:rsidRPr="00F85CD7" w:rsidRDefault="00A82907" w:rsidP="00A97DDB">
      <w:pPr>
        <w:jc w:val="both"/>
        <w:rPr>
          <w:color w:val="FF0000"/>
          <w:sz w:val="22"/>
          <w:szCs w:val="22"/>
        </w:rPr>
      </w:pPr>
    </w:p>
    <w:p w:rsidR="00A82907" w:rsidRPr="001E7C15" w:rsidRDefault="00A82907" w:rsidP="001E7C15">
      <w:pPr>
        <w:numPr>
          <w:ilvl w:val="0"/>
          <w:numId w:val="17"/>
        </w:numPr>
        <w:tabs>
          <w:tab w:val="clear" w:pos="0"/>
          <w:tab w:val="num" w:pos="-360"/>
        </w:tabs>
        <w:ind w:left="360"/>
        <w:jc w:val="both"/>
        <w:rPr>
          <w:b/>
          <w:bCs/>
          <w:sz w:val="22"/>
          <w:szCs w:val="22"/>
        </w:rPr>
      </w:pPr>
      <w:r w:rsidRPr="001E7C15">
        <w:rPr>
          <w:b/>
          <w:bCs/>
          <w:sz w:val="22"/>
          <w:szCs w:val="22"/>
        </w:rPr>
        <w:t>Bulge Classes</w:t>
      </w:r>
      <w:r>
        <w:rPr>
          <w:b/>
          <w:bCs/>
          <w:sz w:val="22"/>
          <w:szCs w:val="22"/>
        </w:rPr>
        <w:t xml:space="preserve"> added to existing year groups</w:t>
      </w:r>
      <w:r w:rsidRPr="001E7C15">
        <w:rPr>
          <w:sz w:val="22"/>
          <w:szCs w:val="22"/>
        </w:rPr>
        <w:t>:</w:t>
      </w:r>
    </w:p>
    <w:p w:rsidR="00A82907" w:rsidRPr="001E7C15" w:rsidRDefault="00A82907" w:rsidP="00A05E94">
      <w:pPr>
        <w:numPr>
          <w:ilvl w:val="1"/>
          <w:numId w:val="16"/>
        </w:numPr>
        <w:ind w:left="1100"/>
        <w:jc w:val="both"/>
        <w:rPr>
          <w:sz w:val="22"/>
          <w:szCs w:val="22"/>
        </w:rPr>
      </w:pPr>
      <w:r w:rsidRPr="00A05E94">
        <w:rPr>
          <w:b/>
          <w:bCs/>
          <w:sz w:val="22"/>
          <w:szCs w:val="22"/>
        </w:rPr>
        <w:t>Full classes</w:t>
      </w:r>
      <w:r w:rsidRPr="001E7C15">
        <w:rPr>
          <w:sz w:val="22"/>
          <w:szCs w:val="22"/>
        </w:rPr>
        <w:t xml:space="preserve">: </w:t>
      </w:r>
      <w:r>
        <w:rPr>
          <w:sz w:val="22"/>
          <w:szCs w:val="22"/>
        </w:rPr>
        <w:t xml:space="preserve">For basic need purposes, </w:t>
      </w:r>
      <w:r w:rsidRPr="001E7C15">
        <w:rPr>
          <w:sz w:val="22"/>
          <w:szCs w:val="22"/>
        </w:rPr>
        <w:t>where a school / academy is asked in year to admit a full class or Form of Entry (30)</w:t>
      </w:r>
      <w:r>
        <w:rPr>
          <w:sz w:val="22"/>
          <w:szCs w:val="22"/>
        </w:rPr>
        <w:t xml:space="preserve"> into / on top of an existing year group</w:t>
      </w:r>
      <w:r w:rsidRPr="001E7C15">
        <w:rPr>
          <w:sz w:val="22"/>
          <w:szCs w:val="22"/>
        </w:rPr>
        <w:t>, funding is allocated on the same basis as a new permanently expanding school</w:t>
      </w:r>
      <w:r>
        <w:rPr>
          <w:sz w:val="22"/>
          <w:szCs w:val="22"/>
        </w:rPr>
        <w:t>s above</w:t>
      </w:r>
      <w:r w:rsidRPr="001E7C15">
        <w:rPr>
          <w:sz w:val="22"/>
          <w:szCs w:val="22"/>
        </w:rPr>
        <w:t xml:space="preserve">, at 80% of the base per pupil value for the planned additional admission number for the relevant proportion of the financial year. In the following financial year, no additional funding is necessary or allocated; this additional class is automatically funded within the school’s / academy’s normal </w:t>
      </w:r>
      <w:r>
        <w:rPr>
          <w:sz w:val="22"/>
          <w:szCs w:val="22"/>
        </w:rPr>
        <w:t xml:space="preserve">revenue </w:t>
      </w:r>
      <w:r w:rsidRPr="001E7C15">
        <w:rPr>
          <w:sz w:val="22"/>
          <w:szCs w:val="22"/>
        </w:rPr>
        <w:t>budget</w:t>
      </w:r>
      <w:r>
        <w:rPr>
          <w:sz w:val="22"/>
          <w:szCs w:val="22"/>
        </w:rPr>
        <w:t>.</w:t>
      </w:r>
    </w:p>
    <w:p w:rsidR="00A82907" w:rsidRPr="00CE5F82" w:rsidRDefault="00A82907" w:rsidP="00A05E94">
      <w:pPr>
        <w:numPr>
          <w:ilvl w:val="1"/>
          <w:numId w:val="16"/>
        </w:numPr>
        <w:ind w:left="1100"/>
        <w:jc w:val="both"/>
        <w:rPr>
          <w:sz w:val="22"/>
          <w:szCs w:val="22"/>
        </w:rPr>
      </w:pPr>
      <w:r w:rsidRPr="00A05E94">
        <w:rPr>
          <w:b/>
          <w:bCs/>
          <w:sz w:val="22"/>
          <w:szCs w:val="22"/>
        </w:rPr>
        <w:t>Half classes:</w:t>
      </w:r>
      <w:r w:rsidRPr="001E7C15">
        <w:rPr>
          <w:sz w:val="22"/>
          <w:szCs w:val="22"/>
        </w:rPr>
        <w:t xml:space="preserve"> </w:t>
      </w:r>
      <w:r>
        <w:rPr>
          <w:sz w:val="22"/>
          <w:szCs w:val="22"/>
        </w:rPr>
        <w:t xml:space="preserve">For basic need purposes, </w:t>
      </w:r>
      <w:r w:rsidRPr="001E7C15">
        <w:rPr>
          <w:sz w:val="22"/>
          <w:szCs w:val="22"/>
        </w:rPr>
        <w:t>where a school / academy is asked in year to admit an additional number of children that do not add up to a full class or Form of Entry</w:t>
      </w:r>
      <w:r>
        <w:rPr>
          <w:sz w:val="22"/>
          <w:szCs w:val="22"/>
        </w:rPr>
        <w:t xml:space="preserve"> into / on top of an existing year group</w:t>
      </w:r>
      <w:r w:rsidRPr="001E7C15">
        <w:rPr>
          <w:sz w:val="22"/>
          <w:szCs w:val="22"/>
        </w:rPr>
        <w:t xml:space="preserve">, the additional sum for the current financial year is allocated as </w:t>
      </w:r>
      <w:r>
        <w:rPr>
          <w:sz w:val="22"/>
          <w:szCs w:val="22"/>
        </w:rPr>
        <w:t xml:space="preserve">for a full class </w:t>
      </w:r>
      <w:r w:rsidRPr="001E7C15">
        <w:rPr>
          <w:sz w:val="22"/>
          <w:szCs w:val="22"/>
        </w:rPr>
        <w:t xml:space="preserve">above, based on the actual planned additional intake number. In the following year, and in each year for the lifetime the half class is at the school / academy, an additional sum is allocated based on 80% of the value of the base per pupil amount for the difference between 30 and the actual </w:t>
      </w:r>
      <w:r w:rsidRPr="00CE5F82">
        <w:rPr>
          <w:sz w:val="22"/>
          <w:szCs w:val="22"/>
        </w:rPr>
        <w:t>number of children in the half class. So if the class had 15 pupils the funding would be 30 – 15 x £base app x 80</w:t>
      </w:r>
      <w:r w:rsidRPr="005623F5">
        <w:rPr>
          <w:sz w:val="22"/>
          <w:szCs w:val="22"/>
        </w:rPr>
        <w:t>%. The value of this funding is reviewed each year, for actual numbers.</w:t>
      </w:r>
    </w:p>
    <w:p w:rsidR="00A82907" w:rsidRPr="00CE5F82" w:rsidRDefault="00A82907" w:rsidP="00A97DDB">
      <w:pPr>
        <w:jc w:val="both"/>
        <w:rPr>
          <w:sz w:val="22"/>
          <w:szCs w:val="22"/>
        </w:rPr>
      </w:pPr>
    </w:p>
    <w:p w:rsidR="00A82907" w:rsidRDefault="00A82907" w:rsidP="00A05E94">
      <w:pPr>
        <w:numPr>
          <w:ilvl w:val="0"/>
          <w:numId w:val="15"/>
        </w:numPr>
        <w:jc w:val="both"/>
        <w:rPr>
          <w:b/>
          <w:bCs/>
          <w:sz w:val="22"/>
          <w:szCs w:val="22"/>
        </w:rPr>
      </w:pPr>
      <w:r w:rsidRPr="00CE5F82">
        <w:rPr>
          <w:b/>
          <w:bCs/>
          <w:sz w:val="22"/>
          <w:szCs w:val="22"/>
        </w:rPr>
        <w:t>New</w:t>
      </w:r>
      <w:r>
        <w:rPr>
          <w:b/>
          <w:bCs/>
          <w:sz w:val="22"/>
          <w:szCs w:val="22"/>
        </w:rPr>
        <w:t>ly established</w:t>
      </w:r>
      <w:r w:rsidRPr="00CE5F82">
        <w:rPr>
          <w:b/>
          <w:bCs/>
          <w:sz w:val="22"/>
          <w:szCs w:val="22"/>
        </w:rPr>
        <w:t xml:space="preserve"> School / Academy Provision</w:t>
      </w:r>
      <w:r>
        <w:rPr>
          <w:b/>
          <w:bCs/>
          <w:sz w:val="22"/>
          <w:szCs w:val="22"/>
        </w:rPr>
        <w:t xml:space="preserve"> additional support</w:t>
      </w:r>
      <w:r w:rsidRPr="00CE5F82">
        <w:rPr>
          <w:b/>
          <w:bCs/>
          <w:sz w:val="22"/>
          <w:szCs w:val="22"/>
        </w:rPr>
        <w:t xml:space="preserve">: </w:t>
      </w:r>
      <w:r w:rsidRPr="0090052D">
        <w:rPr>
          <w:sz w:val="22"/>
          <w:szCs w:val="22"/>
        </w:rPr>
        <w:t xml:space="preserve">For basic need purposes, </w:t>
      </w:r>
      <w:r w:rsidRPr="00CE5F82">
        <w:rPr>
          <w:sz w:val="22"/>
          <w:szCs w:val="22"/>
        </w:rPr>
        <w:t>where a new school / academy is estab</w:t>
      </w:r>
      <w:r>
        <w:rPr>
          <w:sz w:val="22"/>
          <w:szCs w:val="22"/>
        </w:rPr>
        <w:t>lished by the Local Authority</w:t>
      </w:r>
      <w:r w:rsidRPr="00CE5F82">
        <w:rPr>
          <w:sz w:val="22"/>
          <w:szCs w:val="22"/>
        </w:rPr>
        <w:t xml:space="preserve">, or where an existing school / academy extends its provision </w:t>
      </w:r>
      <w:r>
        <w:rPr>
          <w:sz w:val="22"/>
          <w:szCs w:val="22"/>
        </w:rPr>
        <w:t>in</w:t>
      </w:r>
      <w:r w:rsidRPr="00CE5F82">
        <w:rPr>
          <w:sz w:val="22"/>
          <w:szCs w:val="22"/>
        </w:rPr>
        <w:t xml:space="preserve">to a new phase i.e. a Secondary school / academy establishes Primary-aged provision and vice versa, at the request of the Local Authority, </w:t>
      </w:r>
      <w:r>
        <w:rPr>
          <w:sz w:val="22"/>
          <w:szCs w:val="22"/>
        </w:rPr>
        <w:t xml:space="preserve">and where the new school / academy does not yet have pupils in all planned year groups, </w:t>
      </w:r>
      <w:r w:rsidRPr="00CE5F82">
        <w:rPr>
          <w:sz w:val="22"/>
          <w:szCs w:val="22"/>
        </w:rPr>
        <w:t>the funding approach will be:</w:t>
      </w:r>
    </w:p>
    <w:p w:rsidR="00A82907" w:rsidRDefault="00A82907" w:rsidP="00A05E94">
      <w:pPr>
        <w:numPr>
          <w:ilvl w:val="1"/>
          <w:numId w:val="15"/>
        </w:numPr>
        <w:jc w:val="both"/>
        <w:rPr>
          <w:b/>
          <w:bCs/>
          <w:sz w:val="22"/>
          <w:szCs w:val="22"/>
        </w:rPr>
      </w:pPr>
      <w:r w:rsidRPr="00CE5F82">
        <w:rPr>
          <w:sz w:val="22"/>
          <w:szCs w:val="22"/>
        </w:rPr>
        <w:t>Pre-Opening</w:t>
      </w:r>
      <w:r>
        <w:rPr>
          <w:sz w:val="22"/>
          <w:szCs w:val="22"/>
        </w:rPr>
        <w:t xml:space="preserve"> support </w:t>
      </w:r>
      <w:r w:rsidRPr="0090052D">
        <w:rPr>
          <w:i/>
          <w:iCs/>
          <w:sz w:val="22"/>
          <w:szCs w:val="22"/>
        </w:rPr>
        <w:t>(this</w:t>
      </w:r>
      <w:r w:rsidR="00802520">
        <w:rPr>
          <w:i/>
          <w:iCs/>
          <w:sz w:val="22"/>
          <w:szCs w:val="22"/>
        </w:rPr>
        <w:t xml:space="preserve"> is</w:t>
      </w:r>
      <w:r w:rsidRPr="0090052D">
        <w:rPr>
          <w:i/>
          <w:iCs/>
          <w:sz w:val="22"/>
          <w:szCs w:val="22"/>
        </w:rPr>
        <w:t xml:space="preserve"> not applicable to </w:t>
      </w:r>
      <w:proofErr w:type="spellStart"/>
      <w:r w:rsidRPr="0090052D">
        <w:rPr>
          <w:i/>
          <w:iCs/>
          <w:sz w:val="22"/>
          <w:szCs w:val="22"/>
        </w:rPr>
        <w:t>non basic</w:t>
      </w:r>
      <w:proofErr w:type="spellEnd"/>
      <w:r w:rsidRPr="0090052D">
        <w:rPr>
          <w:i/>
          <w:iCs/>
          <w:sz w:val="22"/>
          <w:szCs w:val="22"/>
        </w:rPr>
        <w:t xml:space="preserve"> need Free Schools):</w:t>
      </w:r>
      <w:r w:rsidRPr="00CE5F82">
        <w:rPr>
          <w:sz w:val="22"/>
          <w:szCs w:val="22"/>
        </w:rPr>
        <w:t xml:space="preserve"> the Schools Forum will consider the allocation of a pre-opening budget based on previous methodologies but also taking account </w:t>
      </w:r>
      <w:r>
        <w:rPr>
          <w:sz w:val="22"/>
          <w:szCs w:val="22"/>
        </w:rPr>
        <w:t xml:space="preserve">of </w:t>
      </w:r>
      <w:r w:rsidRPr="00CE5F82">
        <w:rPr>
          <w:sz w:val="22"/>
          <w:szCs w:val="22"/>
        </w:rPr>
        <w:t>the specific circumstances of the school / academy.</w:t>
      </w:r>
    </w:p>
    <w:p w:rsidR="00A82907" w:rsidRPr="00A05E94" w:rsidRDefault="00A82907" w:rsidP="00A05E94">
      <w:pPr>
        <w:numPr>
          <w:ilvl w:val="1"/>
          <w:numId w:val="15"/>
        </w:numPr>
        <w:jc w:val="both"/>
        <w:rPr>
          <w:b/>
          <w:bCs/>
          <w:sz w:val="22"/>
          <w:szCs w:val="22"/>
        </w:rPr>
      </w:pPr>
      <w:r>
        <w:rPr>
          <w:sz w:val="22"/>
          <w:szCs w:val="22"/>
        </w:rPr>
        <w:t>Post</w:t>
      </w:r>
      <w:r w:rsidRPr="00CE5F82">
        <w:rPr>
          <w:sz w:val="22"/>
          <w:szCs w:val="22"/>
        </w:rPr>
        <w:t>-Opening</w:t>
      </w:r>
      <w:r>
        <w:rPr>
          <w:sz w:val="22"/>
          <w:szCs w:val="22"/>
        </w:rPr>
        <w:t xml:space="preserve"> support for diseconomies of scale </w:t>
      </w:r>
      <w:r w:rsidRPr="0090052D">
        <w:rPr>
          <w:i/>
          <w:iCs/>
          <w:sz w:val="22"/>
          <w:szCs w:val="22"/>
        </w:rPr>
        <w:t xml:space="preserve">(this </w:t>
      </w:r>
      <w:r w:rsidR="00802520">
        <w:rPr>
          <w:i/>
          <w:iCs/>
          <w:sz w:val="22"/>
          <w:szCs w:val="22"/>
        </w:rPr>
        <w:t xml:space="preserve">is </w:t>
      </w:r>
      <w:r w:rsidRPr="0090052D">
        <w:rPr>
          <w:i/>
          <w:iCs/>
          <w:sz w:val="22"/>
          <w:szCs w:val="22"/>
        </w:rPr>
        <w:t xml:space="preserve">not applicable to </w:t>
      </w:r>
      <w:proofErr w:type="spellStart"/>
      <w:r w:rsidRPr="0090052D">
        <w:rPr>
          <w:i/>
          <w:iCs/>
          <w:sz w:val="22"/>
          <w:szCs w:val="22"/>
        </w:rPr>
        <w:t>non basic</w:t>
      </w:r>
      <w:proofErr w:type="spellEnd"/>
      <w:r w:rsidRPr="0090052D">
        <w:rPr>
          <w:i/>
          <w:iCs/>
          <w:sz w:val="22"/>
          <w:szCs w:val="22"/>
        </w:rPr>
        <w:t xml:space="preserve"> need Free Schools</w:t>
      </w:r>
      <w:r w:rsidRPr="0090052D">
        <w:rPr>
          <w:sz w:val="22"/>
          <w:szCs w:val="22"/>
        </w:rPr>
        <w:t>):</w:t>
      </w:r>
      <w:r w:rsidRPr="00CE5F82">
        <w:rPr>
          <w:sz w:val="22"/>
          <w:szCs w:val="22"/>
        </w:rPr>
        <w:t xml:space="preserve"> the Schools Forum will consider</w:t>
      </w:r>
      <w:r>
        <w:rPr>
          <w:sz w:val="22"/>
          <w:szCs w:val="22"/>
        </w:rPr>
        <w:t xml:space="preserve"> the allocation of a</w:t>
      </w:r>
      <w:r w:rsidRPr="00CE5F82">
        <w:rPr>
          <w:sz w:val="22"/>
          <w:szCs w:val="22"/>
        </w:rPr>
        <w:t xml:space="preserve"> budget based on previous methodologies but also taking account the specific circumstances of the school / academy.</w:t>
      </w:r>
    </w:p>
    <w:p w:rsidR="00A82907" w:rsidRDefault="00A82907" w:rsidP="00A05E94">
      <w:pPr>
        <w:ind w:left="1080"/>
        <w:jc w:val="both"/>
        <w:rPr>
          <w:b/>
          <w:bCs/>
          <w:sz w:val="22"/>
          <w:szCs w:val="22"/>
        </w:rPr>
      </w:pPr>
    </w:p>
    <w:p w:rsidR="00A82907" w:rsidRPr="007A3A14" w:rsidRDefault="00A82907" w:rsidP="00A05E94">
      <w:pPr>
        <w:numPr>
          <w:ilvl w:val="0"/>
          <w:numId w:val="16"/>
        </w:numPr>
        <w:ind w:left="400"/>
        <w:jc w:val="both"/>
        <w:rPr>
          <w:b/>
          <w:bCs/>
          <w:sz w:val="22"/>
          <w:szCs w:val="22"/>
        </w:rPr>
      </w:pPr>
      <w:r w:rsidRPr="00CE5F82">
        <w:rPr>
          <w:b/>
          <w:bCs/>
          <w:sz w:val="22"/>
          <w:szCs w:val="22"/>
        </w:rPr>
        <w:t>New</w:t>
      </w:r>
      <w:r>
        <w:rPr>
          <w:b/>
          <w:bCs/>
          <w:sz w:val="22"/>
          <w:szCs w:val="22"/>
        </w:rPr>
        <w:t>ly established</w:t>
      </w:r>
      <w:r w:rsidRPr="00CE5F82">
        <w:rPr>
          <w:b/>
          <w:bCs/>
          <w:sz w:val="22"/>
          <w:szCs w:val="22"/>
        </w:rPr>
        <w:t xml:space="preserve"> School / Academy Provision</w:t>
      </w:r>
      <w:r>
        <w:rPr>
          <w:b/>
          <w:bCs/>
          <w:sz w:val="22"/>
          <w:szCs w:val="22"/>
        </w:rPr>
        <w:t xml:space="preserve"> revenue formula funding</w:t>
      </w:r>
      <w:r>
        <w:rPr>
          <w:sz w:val="22"/>
          <w:szCs w:val="22"/>
        </w:rPr>
        <w:t xml:space="preserve"> </w:t>
      </w:r>
      <w:r>
        <w:rPr>
          <w:i/>
          <w:iCs/>
          <w:sz w:val="22"/>
          <w:szCs w:val="22"/>
        </w:rPr>
        <w:t>(this does apply to non basic need Free Schools but only from the 2</w:t>
      </w:r>
      <w:r w:rsidRPr="001457EC">
        <w:rPr>
          <w:i/>
          <w:iCs/>
          <w:sz w:val="22"/>
          <w:szCs w:val="22"/>
          <w:vertAlign w:val="superscript"/>
        </w:rPr>
        <w:t>nd</w:t>
      </w:r>
      <w:r>
        <w:rPr>
          <w:i/>
          <w:iCs/>
          <w:sz w:val="22"/>
          <w:szCs w:val="22"/>
        </w:rPr>
        <w:t xml:space="preserve"> year of establishment)</w:t>
      </w:r>
      <w:r>
        <w:rPr>
          <w:sz w:val="22"/>
          <w:szCs w:val="22"/>
        </w:rPr>
        <w:t>: i</w:t>
      </w:r>
      <w:r w:rsidRPr="00CE5F82">
        <w:rPr>
          <w:sz w:val="22"/>
          <w:szCs w:val="22"/>
        </w:rPr>
        <w:t>n the first financial year the school / academy will receive a full calculation of formula funding for the number of children planned to be admitted in September,</w:t>
      </w:r>
      <w:r>
        <w:rPr>
          <w:sz w:val="22"/>
          <w:szCs w:val="22"/>
        </w:rPr>
        <w:t xml:space="preserve"> based on estimated data,</w:t>
      </w:r>
      <w:r w:rsidRPr="00CE5F82">
        <w:rPr>
          <w:sz w:val="22"/>
          <w:szCs w:val="22"/>
        </w:rPr>
        <w:t xml:space="preserve"> for the proportion of the year that the school / academy is established (e.g. 7/12ths for a September opening). For technical purposes, this will not be an allocation from the Growth Fund, but a formula funding allocation via the agreed formula – the Local Authority will submit an application to the EFA to vary pupil numbers on the basis of planned </w:t>
      </w:r>
      <w:r>
        <w:rPr>
          <w:sz w:val="22"/>
          <w:szCs w:val="22"/>
        </w:rPr>
        <w:t>numbers</w:t>
      </w:r>
      <w:r w:rsidRPr="00CE5F82">
        <w:rPr>
          <w:sz w:val="22"/>
          <w:szCs w:val="22"/>
        </w:rPr>
        <w:t xml:space="preserve">. </w:t>
      </w:r>
      <w:r>
        <w:rPr>
          <w:sz w:val="22"/>
          <w:szCs w:val="22"/>
        </w:rPr>
        <w:t xml:space="preserve">Any significant difference between estimated and actual intake numbers can be adjusted for retrospectively in the following financial year. </w:t>
      </w:r>
      <w:r w:rsidRPr="007A3A14">
        <w:rPr>
          <w:sz w:val="22"/>
          <w:szCs w:val="22"/>
        </w:rPr>
        <w:t>In subsequent years, until all year groups are established, the school / academy will be funded on the basis outlined above, providing a full calculation of additional formula funding for the planned additional intake for the following September</w:t>
      </w:r>
      <w:r>
        <w:rPr>
          <w:sz w:val="22"/>
          <w:szCs w:val="22"/>
        </w:rPr>
        <w:t xml:space="preserve">, with a retrospective adjustment where there are significant differences between estimated and actual intake numbers. </w:t>
      </w:r>
      <w:r>
        <w:rPr>
          <w:i/>
          <w:iCs/>
          <w:sz w:val="22"/>
          <w:szCs w:val="22"/>
        </w:rPr>
        <w:t>Please note that academy / free school will receive their allocations directly from the EFA, although these are still funded from the DSG.</w:t>
      </w:r>
    </w:p>
    <w:p w:rsidR="00C2328E" w:rsidRPr="00F85CD7" w:rsidRDefault="00C2328E" w:rsidP="00754C20">
      <w:pPr>
        <w:jc w:val="both"/>
        <w:rPr>
          <w:color w:val="FF0000"/>
          <w:sz w:val="22"/>
          <w:szCs w:val="22"/>
        </w:rPr>
      </w:pPr>
    </w:p>
    <w:p w:rsidR="00A82907" w:rsidRPr="00CB744B" w:rsidRDefault="00E124DC" w:rsidP="00754C20">
      <w:pPr>
        <w:jc w:val="both"/>
        <w:rPr>
          <w:sz w:val="22"/>
          <w:szCs w:val="22"/>
        </w:rPr>
      </w:pPr>
      <w:r>
        <w:rPr>
          <w:sz w:val="22"/>
          <w:szCs w:val="22"/>
        </w:rPr>
        <w:t>6</w:t>
      </w:r>
      <w:r w:rsidR="00A82907" w:rsidRPr="00CB744B">
        <w:rPr>
          <w:sz w:val="22"/>
          <w:szCs w:val="22"/>
        </w:rPr>
        <w:t>.6 School Re-Organisation Costs - maintained primary and secondary schools</w:t>
      </w:r>
    </w:p>
    <w:p w:rsidR="00A82907" w:rsidRPr="00F85CD7" w:rsidRDefault="00A82907" w:rsidP="00754C20">
      <w:pPr>
        <w:jc w:val="both"/>
        <w:rPr>
          <w:b/>
          <w:bCs/>
          <w:color w:val="FF0000"/>
          <w:sz w:val="22"/>
          <w:szCs w:val="22"/>
        </w:rPr>
      </w:pPr>
    </w:p>
    <w:p w:rsidR="00A82907" w:rsidRPr="00A5492A" w:rsidRDefault="00A82907" w:rsidP="004276B8">
      <w:pPr>
        <w:jc w:val="both"/>
        <w:rPr>
          <w:sz w:val="22"/>
          <w:szCs w:val="22"/>
        </w:rPr>
      </w:pPr>
      <w:r w:rsidRPr="00A5492A">
        <w:rPr>
          <w:sz w:val="22"/>
          <w:szCs w:val="22"/>
        </w:rPr>
        <w:t xml:space="preserve">The value of this fund in 2014/15 was £0.15m, broken down between phases, and types of re-organisation costs, as follows: </w:t>
      </w:r>
    </w:p>
    <w:p w:rsidR="00A82907" w:rsidRPr="00A5492A" w:rsidRDefault="00A82907" w:rsidP="004276B8">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A5492A">
        <w:trPr>
          <w:jc w:val="center"/>
        </w:trPr>
        <w:tc>
          <w:tcPr>
            <w:tcW w:w="4517" w:type="dxa"/>
          </w:tcPr>
          <w:p w:rsidR="00A82907" w:rsidRPr="00A5492A" w:rsidRDefault="00A82907" w:rsidP="00DF1118">
            <w:pPr>
              <w:jc w:val="both"/>
              <w:rPr>
                <w:sz w:val="22"/>
                <w:szCs w:val="22"/>
              </w:rPr>
            </w:pPr>
          </w:p>
        </w:tc>
        <w:tc>
          <w:tcPr>
            <w:tcW w:w="1701" w:type="dxa"/>
            <w:shd w:val="clear" w:color="auto" w:fill="C0C0C0"/>
          </w:tcPr>
          <w:p w:rsidR="00A82907" w:rsidRPr="00A5492A" w:rsidRDefault="00A82907" w:rsidP="00DF1118">
            <w:pPr>
              <w:jc w:val="right"/>
              <w:rPr>
                <w:b/>
                <w:bCs/>
                <w:sz w:val="22"/>
                <w:szCs w:val="22"/>
              </w:rPr>
            </w:pPr>
            <w:r w:rsidRPr="00A5492A">
              <w:rPr>
                <w:b/>
                <w:bCs/>
                <w:sz w:val="22"/>
                <w:szCs w:val="22"/>
              </w:rPr>
              <w:t>Primary</w:t>
            </w:r>
          </w:p>
        </w:tc>
        <w:tc>
          <w:tcPr>
            <w:tcW w:w="1668" w:type="dxa"/>
            <w:shd w:val="clear" w:color="auto" w:fill="C0C0C0"/>
          </w:tcPr>
          <w:p w:rsidR="00A82907" w:rsidRPr="00A5492A" w:rsidRDefault="00A82907" w:rsidP="00DF1118">
            <w:pPr>
              <w:jc w:val="right"/>
              <w:rPr>
                <w:b/>
                <w:bCs/>
                <w:sz w:val="22"/>
                <w:szCs w:val="22"/>
              </w:rPr>
            </w:pPr>
            <w:r w:rsidRPr="00A5492A">
              <w:rPr>
                <w:b/>
                <w:bCs/>
                <w:sz w:val="22"/>
                <w:szCs w:val="22"/>
              </w:rPr>
              <w:t>Secondary</w:t>
            </w:r>
          </w:p>
        </w:tc>
        <w:tc>
          <w:tcPr>
            <w:tcW w:w="1414" w:type="dxa"/>
            <w:shd w:val="clear" w:color="auto" w:fill="C0C0C0"/>
          </w:tcPr>
          <w:p w:rsidR="00A82907" w:rsidRPr="00A5492A" w:rsidRDefault="00A82907" w:rsidP="00DF1118">
            <w:pPr>
              <w:jc w:val="right"/>
              <w:rPr>
                <w:b/>
                <w:bCs/>
                <w:sz w:val="22"/>
                <w:szCs w:val="22"/>
              </w:rPr>
            </w:pPr>
            <w:r w:rsidRPr="00A5492A">
              <w:rPr>
                <w:b/>
                <w:bCs/>
                <w:sz w:val="22"/>
                <w:szCs w:val="22"/>
              </w:rPr>
              <w:t>Total</w:t>
            </w:r>
          </w:p>
        </w:tc>
      </w:tr>
      <w:tr w:rsidR="00A82907" w:rsidRPr="00A5492A">
        <w:trPr>
          <w:jc w:val="center"/>
        </w:trPr>
        <w:tc>
          <w:tcPr>
            <w:tcW w:w="4517" w:type="dxa"/>
          </w:tcPr>
          <w:p w:rsidR="00A82907" w:rsidRPr="00A5492A" w:rsidRDefault="00A82907" w:rsidP="00DF1118">
            <w:pPr>
              <w:jc w:val="both"/>
              <w:rPr>
                <w:sz w:val="22"/>
                <w:szCs w:val="22"/>
              </w:rPr>
            </w:pPr>
            <w:r w:rsidRPr="00A5492A">
              <w:rPr>
                <w:sz w:val="22"/>
                <w:szCs w:val="22"/>
              </w:rPr>
              <w:t xml:space="preserve">School Staff Safeguarded Salaries </w:t>
            </w:r>
          </w:p>
        </w:tc>
        <w:tc>
          <w:tcPr>
            <w:tcW w:w="1701" w:type="dxa"/>
          </w:tcPr>
          <w:p w:rsidR="00A82907" w:rsidRPr="00A5492A" w:rsidRDefault="00A82907" w:rsidP="00A5492A">
            <w:pPr>
              <w:jc w:val="right"/>
              <w:rPr>
                <w:sz w:val="22"/>
                <w:szCs w:val="22"/>
              </w:rPr>
            </w:pPr>
            <w:r w:rsidRPr="00A5492A">
              <w:rPr>
                <w:sz w:val="22"/>
                <w:szCs w:val="22"/>
              </w:rPr>
              <w:t>£146,637</w:t>
            </w:r>
          </w:p>
        </w:tc>
        <w:tc>
          <w:tcPr>
            <w:tcW w:w="1668" w:type="dxa"/>
          </w:tcPr>
          <w:p w:rsidR="00A82907" w:rsidRPr="00A5492A" w:rsidRDefault="00A82907" w:rsidP="00A5492A">
            <w:pPr>
              <w:jc w:val="right"/>
              <w:rPr>
                <w:sz w:val="22"/>
                <w:szCs w:val="22"/>
              </w:rPr>
            </w:pPr>
            <w:r w:rsidRPr="00A5492A">
              <w:rPr>
                <w:sz w:val="22"/>
                <w:szCs w:val="22"/>
              </w:rPr>
              <w:t>£7,159</w:t>
            </w:r>
          </w:p>
        </w:tc>
        <w:tc>
          <w:tcPr>
            <w:tcW w:w="1414" w:type="dxa"/>
          </w:tcPr>
          <w:p w:rsidR="00A82907" w:rsidRPr="00A5492A" w:rsidRDefault="00A82907" w:rsidP="00A5492A">
            <w:pPr>
              <w:jc w:val="right"/>
              <w:rPr>
                <w:sz w:val="22"/>
                <w:szCs w:val="22"/>
              </w:rPr>
            </w:pPr>
            <w:r w:rsidRPr="00A5492A">
              <w:rPr>
                <w:sz w:val="22"/>
                <w:szCs w:val="22"/>
              </w:rPr>
              <w:t>£153,796</w:t>
            </w:r>
          </w:p>
        </w:tc>
      </w:tr>
      <w:tr w:rsidR="00A82907" w:rsidRPr="00A5492A">
        <w:trPr>
          <w:jc w:val="center"/>
        </w:trPr>
        <w:tc>
          <w:tcPr>
            <w:tcW w:w="4517" w:type="dxa"/>
          </w:tcPr>
          <w:p w:rsidR="00A82907" w:rsidRPr="00A5492A" w:rsidRDefault="00A82907" w:rsidP="00DF1118">
            <w:pPr>
              <w:jc w:val="both"/>
              <w:rPr>
                <w:sz w:val="22"/>
                <w:szCs w:val="22"/>
              </w:rPr>
            </w:pPr>
            <w:r w:rsidRPr="00A5492A">
              <w:rPr>
                <w:sz w:val="22"/>
                <w:szCs w:val="22"/>
              </w:rPr>
              <w:t>Deficits of Closing Schools</w:t>
            </w:r>
          </w:p>
        </w:tc>
        <w:tc>
          <w:tcPr>
            <w:tcW w:w="1701" w:type="dxa"/>
          </w:tcPr>
          <w:p w:rsidR="00A82907" w:rsidRPr="00A5492A" w:rsidRDefault="00A82907" w:rsidP="00DF1118">
            <w:pPr>
              <w:jc w:val="right"/>
              <w:rPr>
                <w:sz w:val="22"/>
                <w:szCs w:val="22"/>
              </w:rPr>
            </w:pPr>
            <w:r w:rsidRPr="00A5492A">
              <w:rPr>
                <w:sz w:val="22"/>
                <w:szCs w:val="22"/>
              </w:rPr>
              <w:t>£0</w:t>
            </w:r>
          </w:p>
        </w:tc>
        <w:tc>
          <w:tcPr>
            <w:tcW w:w="1668" w:type="dxa"/>
          </w:tcPr>
          <w:p w:rsidR="00A82907" w:rsidRPr="00A5492A" w:rsidRDefault="00A82907" w:rsidP="00A5492A">
            <w:pPr>
              <w:jc w:val="right"/>
              <w:rPr>
                <w:sz w:val="22"/>
                <w:szCs w:val="22"/>
              </w:rPr>
            </w:pPr>
            <w:r w:rsidRPr="00A5492A">
              <w:rPr>
                <w:sz w:val="22"/>
                <w:szCs w:val="22"/>
              </w:rPr>
              <w:t xml:space="preserve">£0 </w:t>
            </w:r>
          </w:p>
        </w:tc>
        <w:tc>
          <w:tcPr>
            <w:tcW w:w="1414" w:type="dxa"/>
          </w:tcPr>
          <w:p w:rsidR="00A82907" w:rsidRPr="00A5492A" w:rsidRDefault="00A82907" w:rsidP="00A5492A">
            <w:pPr>
              <w:jc w:val="right"/>
              <w:rPr>
                <w:sz w:val="22"/>
                <w:szCs w:val="22"/>
              </w:rPr>
            </w:pPr>
            <w:r w:rsidRPr="00A5492A">
              <w:rPr>
                <w:sz w:val="22"/>
                <w:szCs w:val="22"/>
              </w:rPr>
              <w:t>£0</w:t>
            </w:r>
          </w:p>
        </w:tc>
      </w:tr>
      <w:tr w:rsidR="00A82907" w:rsidRPr="00A5492A">
        <w:trPr>
          <w:jc w:val="center"/>
        </w:trPr>
        <w:tc>
          <w:tcPr>
            <w:tcW w:w="4517" w:type="dxa"/>
          </w:tcPr>
          <w:p w:rsidR="00A82907" w:rsidRPr="00A5492A" w:rsidRDefault="00A82907" w:rsidP="00DF1118">
            <w:pPr>
              <w:jc w:val="both"/>
              <w:rPr>
                <w:b/>
                <w:bCs/>
                <w:sz w:val="22"/>
                <w:szCs w:val="22"/>
              </w:rPr>
            </w:pPr>
            <w:r w:rsidRPr="00A5492A">
              <w:rPr>
                <w:b/>
                <w:bCs/>
                <w:sz w:val="22"/>
                <w:szCs w:val="22"/>
              </w:rPr>
              <w:t>Total Value 2013/14</w:t>
            </w:r>
          </w:p>
        </w:tc>
        <w:tc>
          <w:tcPr>
            <w:tcW w:w="1701" w:type="dxa"/>
          </w:tcPr>
          <w:p w:rsidR="00A82907" w:rsidRPr="00A5492A" w:rsidRDefault="00A82907" w:rsidP="00A5492A">
            <w:pPr>
              <w:jc w:val="right"/>
              <w:rPr>
                <w:b/>
                <w:bCs/>
                <w:sz w:val="22"/>
                <w:szCs w:val="22"/>
              </w:rPr>
            </w:pPr>
            <w:r w:rsidRPr="00A5492A">
              <w:rPr>
                <w:b/>
                <w:bCs/>
                <w:sz w:val="22"/>
                <w:szCs w:val="22"/>
              </w:rPr>
              <w:t>£146,637</w:t>
            </w:r>
          </w:p>
        </w:tc>
        <w:tc>
          <w:tcPr>
            <w:tcW w:w="1668" w:type="dxa"/>
          </w:tcPr>
          <w:p w:rsidR="00A82907" w:rsidRPr="00A5492A" w:rsidRDefault="00A82907" w:rsidP="00A5492A">
            <w:pPr>
              <w:jc w:val="right"/>
              <w:rPr>
                <w:b/>
                <w:bCs/>
                <w:sz w:val="22"/>
                <w:szCs w:val="22"/>
              </w:rPr>
            </w:pPr>
            <w:r w:rsidRPr="00A5492A">
              <w:rPr>
                <w:b/>
                <w:bCs/>
                <w:sz w:val="22"/>
                <w:szCs w:val="22"/>
              </w:rPr>
              <w:t>£7,159</w:t>
            </w:r>
          </w:p>
        </w:tc>
        <w:tc>
          <w:tcPr>
            <w:tcW w:w="1414" w:type="dxa"/>
          </w:tcPr>
          <w:p w:rsidR="00A82907" w:rsidRPr="00A5492A" w:rsidRDefault="00A82907" w:rsidP="00A5492A">
            <w:pPr>
              <w:jc w:val="right"/>
              <w:rPr>
                <w:b/>
                <w:bCs/>
                <w:sz w:val="22"/>
                <w:szCs w:val="22"/>
              </w:rPr>
            </w:pPr>
            <w:r w:rsidRPr="00A5492A">
              <w:rPr>
                <w:b/>
                <w:bCs/>
                <w:sz w:val="22"/>
                <w:szCs w:val="22"/>
              </w:rPr>
              <w:t>£153,796</w:t>
            </w:r>
          </w:p>
        </w:tc>
      </w:tr>
    </w:tbl>
    <w:p w:rsidR="00A82907" w:rsidRPr="00A5492A" w:rsidRDefault="00A82907" w:rsidP="004276B8">
      <w:pPr>
        <w:jc w:val="both"/>
        <w:rPr>
          <w:sz w:val="22"/>
          <w:szCs w:val="22"/>
        </w:rPr>
      </w:pPr>
    </w:p>
    <w:p w:rsidR="00A82907" w:rsidRPr="00A5492A" w:rsidRDefault="00A82907" w:rsidP="006F664D">
      <w:pPr>
        <w:jc w:val="both"/>
        <w:rPr>
          <w:sz w:val="22"/>
          <w:szCs w:val="22"/>
        </w:rPr>
      </w:pPr>
      <w:r w:rsidRPr="00A5492A">
        <w:rPr>
          <w:sz w:val="22"/>
          <w:szCs w:val="22"/>
        </w:rPr>
        <w:t>The proposed criteria for allocating funding from this contingency fund in 2015/16 are unchanged from 2014/15:</w:t>
      </w:r>
    </w:p>
    <w:p w:rsidR="00A82907" w:rsidRPr="00A5492A" w:rsidRDefault="00A82907" w:rsidP="006F664D">
      <w:pPr>
        <w:jc w:val="both"/>
        <w:rPr>
          <w:sz w:val="22"/>
          <w:szCs w:val="22"/>
        </w:rPr>
      </w:pPr>
    </w:p>
    <w:p w:rsidR="00A82907" w:rsidRPr="00A5492A" w:rsidRDefault="00A82907" w:rsidP="006F664D">
      <w:pPr>
        <w:numPr>
          <w:ilvl w:val="0"/>
          <w:numId w:val="22"/>
        </w:numPr>
        <w:jc w:val="both"/>
        <w:rPr>
          <w:sz w:val="22"/>
          <w:szCs w:val="22"/>
        </w:rPr>
      </w:pPr>
      <w:r w:rsidRPr="00A5492A">
        <w:rPr>
          <w:sz w:val="22"/>
          <w:szCs w:val="22"/>
        </w:rPr>
        <w:t>School staff safeguarded salaries: funding is allocated, based on the actual cost of agreed safeguards for individual staff in schools. Only safeguards that have been previously agreed are funded from the DSG. So there is no ‘eligibility’ criteria as such, other than these safeguards must have been already established and agreed with the Authority following re-organisations. Every year, schools are asked to confirm whether or not safeguards for individual staff are still applicable e.g. where a member of staff has left, the safeguard ceases to be paid. The total cost of safeguards reduces year on year.</w:t>
      </w:r>
    </w:p>
    <w:p w:rsidR="00A82907" w:rsidRPr="00A5492A" w:rsidRDefault="00A82907" w:rsidP="002E5ED3">
      <w:pPr>
        <w:jc w:val="both"/>
        <w:rPr>
          <w:sz w:val="22"/>
          <w:szCs w:val="22"/>
        </w:rPr>
      </w:pPr>
    </w:p>
    <w:p w:rsidR="00A82907" w:rsidRPr="00A5492A" w:rsidRDefault="00A82907" w:rsidP="006F664D">
      <w:pPr>
        <w:numPr>
          <w:ilvl w:val="0"/>
          <w:numId w:val="22"/>
        </w:numPr>
        <w:jc w:val="both"/>
        <w:rPr>
          <w:sz w:val="22"/>
          <w:szCs w:val="22"/>
        </w:rPr>
      </w:pPr>
      <w:r w:rsidRPr="00A5492A">
        <w:rPr>
          <w:sz w:val="22"/>
          <w:szCs w:val="22"/>
        </w:rPr>
        <w:t>Deficit of Closing Schools: where a maintained school closes with a deficit budget, or where a maintained school with a deficit budget converts to academy status under a sponsored agreement, the deficit returns to the DSG. The Forum has established the principle that provision for such costs are best met from one off available funds and / or retrospectively from the DSG in the following year</w:t>
      </w:r>
    </w:p>
    <w:p w:rsidR="00A82907" w:rsidRPr="00F85CD7" w:rsidRDefault="00A82907" w:rsidP="00754C20">
      <w:pPr>
        <w:jc w:val="both"/>
        <w:rPr>
          <w:color w:val="FF0000"/>
          <w:sz w:val="22"/>
          <w:szCs w:val="22"/>
        </w:rPr>
      </w:pPr>
    </w:p>
    <w:p w:rsidR="00A82907" w:rsidRPr="00740594" w:rsidRDefault="00E124DC" w:rsidP="00754C20">
      <w:pPr>
        <w:jc w:val="both"/>
        <w:rPr>
          <w:b/>
          <w:bCs/>
          <w:sz w:val="22"/>
          <w:szCs w:val="22"/>
        </w:rPr>
      </w:pPr>
      <w:r>
        <w:rPr>
          <w:sz w:val="22"/>
          <w:szCs w:val="22"/>
        </w:rPr>
        <w:t>6.</w:t>
      </w:r>
      <w:r w:rsidR="00A82907" w:rsidRPr="00740594">
        <w:rPr>
          <w:sz w:val="22"/>
          <w:szCs w:val="22"/>
        </w:rPr>
        <w:t>7 Exceptional Costs &amp; Schools in Financial Difficulty - maintained primary and secondary schools</w:t>
      </w:r>
    </w:p>
    <w:p w:rsidR="00A82907" w:rsidRPr="00740594" w:rsidRDefault="00A82907" w:rsidP="00754C20">
      <w:pPr>
        <w:jc w:val="both"/>
        <w:rPr>
          <w:b/>
          <w:bCs/>
          <w:sz w:val="22"/>
          <w:szCs w:val="22"/>
        </w:rPr>
      </w:pPr>
    </w:p>
    <w:p w:rsidR="00A82907" w:rsidRPr="00740594" w:rsidRDefault="00A82907" w:rsidP="000020FC">
      <w:pPr>
        <w:jc w:val="both"/>
        <w:rPr>
          <w:sz w:val="22"/>
          <w:szCs w:val="22"/>
        </w:rPr>
      </w:pPr>
      <w:r w:rsidRPr="00740594">
        <w:rPr>
          <w:sz w:val="22"/>
          <w:szCs w:val="22"/>
        </w:rPr>
        <w:t>The purpose of this fund is to provide support for the budgets of maintained schools in the following circumstances:</w:t>
      </w:r>
    </w:p>
    <w:p w:rsidR="00A82907" w:rsidRPr="00740594" w:rsidRDefault="00A82907" w:rsidP="000020FC">
      <w:pPr>
        <w:jc w:val="both"/>
        <w:rPr>
          <w:sz w:val="22"/>
          <w:szCs w:val="22"/>
        </w:rPr>
      </w:pPr>
    </w:p>
    <w:p w:rsidR="00A82907" w:rsidRPr="00740594" w:rsidRDefault="00A82907" w:rsidP="006938A4">
      <w:pPr>
        <w:numPr>
          <w:ilvl w:val="0"/>
          <w:numId w:val="24"/>
        </w:numPr>
        <w:jc w:val="both"/>
        <w:rPr>
          <w:sz w:val="22"/>
          <w:szCs w:val="22"/>
        </w:rPr>
      </w:pPr>
      <w:r w:rsidRPr="00740594">
        <w:rPr>
          <w:sz w:val="22"/>
          <w:szCs w:val="22"/>
        </w:rPr>
        <w:t>Exceptional growth in pupil numbers, not picked up within the terms of the ‘Growth Fund’</w:t>
      </w:r>
    </w:p>
    <w:p w:rsidR="00A82907" w:rsidRPr="00740594" w:rsidRDefault="00A82907" w:rsidP="003E6381">
      <w:pPr>
        <w:ind w:left="360"/>
        <w:jc w:val="both"/>
        <w:rPr>
          <w:sz w:val="22"/>
          <w:szCs w:val="22"/>
        </w:rPr>
      </w:pPr>
    </w:p>
    <w:p w:rsidR="00A82907" w:rsidRPr="00740594" w:rsidRDefault="00A82907" w:rsidP="000020FC">
      <w:pPr>
        <w:numPr>
          <w:ilvl w:val="0"/>
          <w:numId w:val="24"/>
        </w:numPr>
        <w:jc w:val="both"/>
        <w:rPr>
          <w:sz w:val="22"/>
          <w:szCs w:val="22"/>
        </w:rPr>
      </w:pPr>
      <w:r w:rsidRPr="00740594">
        <w:rPr>
          <w:sz w:val="22"/>
          <w:szCs w:val="22"/>
        </w:rPr>
        <w:t>1 Form of Entry (or smaller) primary schools, where the cost of external HR investigations places the school in financial difficulty i.e. would reduce the forecasted carry forward balance below £20,000 *</w:t>
      </w:r>
    </w:p>
    <w:p w:rsidR="00A82907" w:rsidRPr="00740594" w:rsidRDefault="00A82907" w:rsidP="006938A4">
      <w:pPr>
        <w:jc w:val="both"/>
        <w:rPr>
          <w:sz w:val="22"/>
          <w:szCs w:val="22"/>
        </w:rPr>
      </w:pPr>
    </w:p>
    <w:p w:rsidR="00A82907" w:rsidRPr="00740594" w:rsidRDefault="00A82907" w:rsidP="000020FC">
      <w:pPr>
        <w:numPr>
          <w:ilvl w:val="0"/>
          <w:numId w:val="24"/>
        </w:numPr>
        <w:jc w:val="both"/>
        <w:rPr>
          <w:sz w:val="22"/>
          <w:szCs w:val="22"/>
        </w:rPr>
      </w:pPr>
      <w:r w:rsidRPr="00740594">
        <w:rPr>
          <w:sz w:val="22"/>
          <w:szCs w:val="22"/>
        </w:rPr>
        <w:t>Priority 1 schools, where additional intervention / support is required as recommended by SIG / SSMG and where the school’s budget cannot meet the costs without placing the school in financial difficulty i.e. would reduce the forecasted carry forward balance below £20,000 *</w:t>
      </w:r>
    </w:p>
    <w:p w:rsidR="00A82907" w:rsidRPr="00740594" w:rsidRDefault="00A82907" w:rsidP="006938A4">
      <w:pPr>
        <w:jc w:val="both"/>
        <w:rPr>
          <w:sz w:val="22"/>
          <w:szCs w:val="22"/>
        </w:rPr>
      </w:pPr>
    </w:p>
    <w:p w:rsidR="00A82907" w:rsidRDefault="00A82907" w:rsidP="000020FC">
      <w:pPr>
        <w:numPr>
          <w:ilvl w:val="0"/>
          <w:numId w:val="24"/>
        </w:numPr>
        <w:jc w:val="both"/>
        <w:rPr>
          <w:sz w:val="22"/>
          <w:szCs w:val="22"/>
        </w:rPr>
      </w:pPr>
      <w:r w:rsidRPr="00740594">
        <w:rPr>
          <w:sz w:val="22"/>
          <w:szCs w:val="22"/>
        </w:rPr>
        <w:t>Local Authority Statutory interventions in schools e.g. costs of an IEB</w:t>
      </w:r>
    </w:p>
    <w:p w:rsidR="00A82907" w:rsidRDefault="00A82907" w:rsidP="00DA0D35">
      <w:pPr>
        <w:jc w:val="both"/>
        <w:rPr>
          <w:sz w:val="22"/>
          <w:szCs w:val="22"/>
        </w:rPr>
      </w:pPr>
    </w:p>
    <w:p w:rsidR="00A82907" w:rsidRPr="00802520" w:rsidRDefault="00A82907" w:rsidP="000020FC">
      <w:pPr>
        <w:numPr>
          <w:ilvl w:val="0"/>
          <w:numId w:val="24"/>
        </w:numPr>
        <w:jc w:val="both"/>
        <w:rPr>
          <w:sz w:val="22"/>
          <w:szCs w:val="22"/>
        </w:rPr>
      </w:pPr>
      <w:r w:rsidRPr="00802520">
        <w:rPr>
          <w:sz w:val="22"/>
          <w:szCs w:val="22"/>
        </w:rPr>
        <w:t>Any other circumstance, where the exceptional nature of this is agreed by the Schools Forum and where to not provide financial support would place the school in a financially difficult position that it is likely to have a detr</w:t>
      </w:r>
      <w:r w:rsidR="009910B2">
        <w:rPr>
          <w:sz w:val="22"/>
          <w:szCs w:val="22"/>
        </w:rPr>
        <w:t>imental impact on</w:t>
      </w:r>
      <w:r w:rsidRPr="00802520">
        <w:rPr>
          <w:sz w:val="22"/>
          <w:szCs w:val="22"/>
        </w:rPr>
        <w:t xml:space="preserve"> outcomes</w:t>
      </w:r>
      <w:r w:rsidR="009910B2">
        <w:rPr>
          <w:sz w:val="22"/>
          <w:szCs w:val="22"/>
        </w:rPr>
        <w:t xml:space="preserve"> for children</w:t>
      </w:r>
      <w:r w:rsidRPr="00802520">
        <w:rPr>
          <w:sz w:val="22"/>
          <w:szCs w:val="22"/>
        </w:rPr>
        <w:t xml:space="preserve"> *</w:t>
      </w:r>
    </w:p>
    <w:p w:rsidR="00A82907" w:rsidRPr="00740594" w:rsidRDefault="00A82907" w:rsidP="000020FC">
      <w:pPr>
        <w:ind w:left="360"/>
        <w:jc w:val="both"/>
        <w:rPr>
          <w:sz w:val="22"/>
          <w:szCs w:val="22"/>
        </w:rPr>
      </w:pPr>
    </w:p>
    <w:p w:rsidR="00A82907" w:rsidRPr="00740594" w:rsidRDefault="00A82907" w:rsidP="000020FC">
      <w:pPr>
        <w:jc w:val="both"/>
        <w:rPr>
          <w:sz w:val="22"/>
          <w:szCs w:val="22"/>
        </w:rPr>
      </w:pPr>
      <w:r w:rsidRPr="00740594">
        <w:rPr>
          <w:sz w:val="22"/>
          <w:szCs w:val="22"/>
        </w:rPr>
        <w:t>* £20,000 is a reasonable safety net to apply for all schools i.e. a school with £20,000 holds adequate reserve to meet additional unexpected costs</w:t>
      </w:r>
    </w:p>
    <w:p w:rsidR="00A82907" w:rsidRPr="00740594" w:rsidRDefault="00A82907" w:rsidP="000020FC">
      <w:pPr>
        <w:jc w:val="both"/>
        <w:rPr>
          <w:sz w:val="22"/>
          <w:szCs w:val="22"/>
        </w:rPr>
      </w:pPr>
    </w:p>
    <w:p w:rsidR="00A82907" w:rsidRPr="00740594" w:rsidRDefault="00A82907" w:rsidP="000020FC">
      <w:pPr>
        <w:jc w:val="both"/>
        <w:rPr>
          <w:sz w:val="22"/>
          <w:szCs w:val="22"/>
        </w:rPr>
      </w:pPr>
      <w:r w:rsidRPr="00740594">
        <w:rPr>
          <w:sz w:val="22"/>
          <w:szCs w:val="22"/>
        </w:rPr>
        <w:t xml:space="preserve">The value of this fund in 2014/15 was £0.1m, broken down between phases, as follows: </w:t>
      </w:r>
    </w:p>
    <w:p w:rsidR="00A82907" w:rsidRPr="00740594" w:rsidRDefault="00A82907" w:rsidP="000020F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740594">
        <w:trPr>
          <w:jc w:val="center"/>
        </w:trPr>
        <w:tc>
          <w:tcPr>
            <w:tcW w:w="4517" w:type="dxa"/>
          </w:tcPr>
          <w:p w:rsidR="00A82907" w:rsidRPr="00740594" w:rsidRDefault="00A82907" w:rsidP="00DF1118">
            <w:pPr>
              <w:jc w:val="both"/>
              <w:rPr>
                <w:sz w:val="22"/>
                <w:szCs w:val="22"/>
              </w:rPr>
            </w:pPr>
          </w:p>
        </w:tc>
        <w:tc>
          <w:tcPr>
            <w:tcW w:w="1701" w:type="dxa"/>
            <w:shd w:val="clear" w:color="auto" w:fill="C0C0C0"/>
          </w:tcPr>
          <w:p w:rsidR="00A82907" w:rsidRPr="00740594" w:rsidRDefault="00A82907" w:rsidP="00DF1118">
            <w:pPr>
              <w:jc w:val="right"/>
              <w:rPr>
                <w:b/>
                <w:bCs/>
                <w:sz w:val="22"/>
                <w:szCs w:val="22"/>
              </w:rPr>
            </w:pPr>
            <w:r w:rsidRPr="00740594">
              <w:rPr>
                <w:b/>
                <w:bCs/>
                <w:sz w:val="22"/>
                <w:szCs w:val="22"/>
              </w:rPr>
              <w:t>Primary</w:t>
            </w:r>
          </w:p>
        </w:tc>
        <w:tc>
          <w:tcPr>
            <w:tcW w:w="1668" w:type="dxa"/>
            <w:shd w:val="clear" w:color="auto" w:fill="C0C0C0"/>
          </w:tcPr>
          <w:p w:rsidR="00A82907" w:rsidRPr="00740594" w:rsidRDefault="00A82907" w:rsidP="00DF1118">
            <w:pPr>
              <w:jc w:val="right"/>
              <w:rPr>
                <w:b/>
                <w:bCs/>
                <w:sz w:val="22"/>
                <w:szCs w:val="22"/>
              </w:rPr>
            </w:pPr>
            <w:r w:rsidRPr="00740594">
              <w:rPr>
                <w:b/>
                <w:bCs/>
                <w:sz w:val="22"/>
                <w:szCs w:val="22"/>
              </w:rPr>
              <w:t>Secondary</w:t>
            </w:r>
          </w:p>
        </w:tc>
        <w:tc>
          <w:tcPr>
            <w:tcW w:w="1414" w:type="dxa"/>
            <w:shd w:val="clear" w:color="auto" w:fill="C0C0C0"/>
          </w:tcPr>
          <w:p w:rsidR="00A82907" w:rsidRPr="00740594" w:rsidRDefault="00A82907" w:rsidP="00DF1118">
            <w:pPr>
              <w:jc w:val="right"/>
              <w:rPr>
                <w:b/>
                <w:bCs/>
                <w:sz w:val="22"/>
                <w:szCs w:val="22"/>
              </w:rPr>
            </w:pPr>
            <w:r w:rsidRPr="00740594">
              <w:rPr>
                <w:b/>
                <w:bCs/>
                <w:sz w:val="22"/>
                <w:szCs w:val="22"/>
              </w:rPr>
              <w:t>Total</w:t>
            </w:r>
          </w:p>
        </w:tc>
      </w:tr>
      <w:tr w:rsidR="00A82907" w:rsidRPr="00740594">
        <w:trPr>
          <w:jc w:val="center"/>
        </w:trPr>
        <w:tc>
          <w:tcPr>
            <w:tcW w:w="4517" w:type="dxa"/>
          </w:tcPr>
          <w:p w:rsidR="00A82907" w:rsidRPr="00740594" w:rsidRDefault="00A82907" w:rsidP="00A5492A">
            <w:pPr>
              <w:jc w:val="both"/>
              <w:rPr>
                <w:b/>
                <w:bCs/>
                <w:sz w:val="22"/>
                <w:szCs w:val="22"/>
              </w:rPr>
            </w:pPr>
            <w:r w:rsidRPr="00740594">
              <w:rPr>
                <w:b/>
                <w:bCs/>
                <w:sz w:val="22"/>
                <w:szCs w:val="22"/>
              </w:rPr>
              <w:t>Total Value 2014/15</w:t>
            </w:r>
          </w:p>
        </w:tc>
        <w:tc>
          <w:tcPr>
            <w:tcW w:w="1701" w:type="dxa"/>
          </w:tcPr>
          <w:p w:rsidR="00A82907" w:rsidRPr="00740594" w:rsidRDefault="00A82907" w:rsidP="00740594">
            <w:pPr>
              <w:jc w:val="right"/>
              <w:rPr>
                <w:b/>
                <w:bCs/>
                <w:sz w:val="22"/>
                <w:szCs w:val="22"/>
              </w:rPr>
            </w:pPr>
            <w:r w:rsidRPr="00740594">
              <w:rPr>
                <w:b/>
                <w:bCs/>
                <w:sz w:val="22"/>
                <w:szCs w:val="22"/>
              </w:rPr>
              <w:t>£105,000</w:t>
            </w:r>
          </w:p>
        </w:tc>
        <w:tc>
          <w:tcPr>
            <w:tcW w:w="1668" w:type="dxa"/>
          </w:tcPr>
          <w:p w:rsidR="00A82907" w:rsidRPr="00740594" w:rsidRDefault="00A82907" w:rsidP="00740594">
            <w:pPr>
              <w:jc w:val="right"/>
              <w:rPr>
                <w:b/>
                <w:bCs/>
                <w:sz w:val="22"/>
                <w:szCs w:val="22"/>
              </w:rPr>
            </w:pPr>
            <w:r w:rsidRPr="00740594">
              <w:rPr>
                <w:b/>
                <w:bCs/>
                <w:sz w:val="22"/>
                <w:szCs w:val="22"/>
              </w:rPr>
              <w:t>£0</w:t>
            </w:r>
          </w:p>
        </w:tc>
        <w:tc>
          <w:tcPr>
            <w:tcW w:w="1414" w:type="dxa"/>
          </w:tcPr>
          <w:p w:rsidR="00A82907" w:rsidRPr="00740594" w:rsidRDefault="00A82907" w:rsidP="00740594">
            <w:pPr>
              <w:jc w:val="right"/>
              <w:rPr>
                <w:b/>
                <w:bCs/>
                <w:sz w:val="22"/>
                <w:szCs w:val="22"/>
              </w:rPr>
            </w:pPr>
            <w:r w:rsidRPr="00740594">
              <w:rPr>
                <w:b/>
                <w:bCs/>
                <w:sz w:val="22"/>
                <w:szCs w:val="22"/>
              </w:rPr>
              <w:t>£105,000</w:t>
            </w:r>
          </w:p>
        </w:tc>
      </w:tr>
    </w:tbl>
    <w:p w:rsidR="00A82907" w:rsidRPr="00740594" w:rsidRDefault="00A82907" w:rsidP="000020FC">
      <w:pPr>
        <w:jc w:val="both"/>
        <w:rPr>
          <w:sz w:val="22"/>
          <w:szCs w:val="22"/>
        </w:rPr>
      </w:pPr>
      <w:r w:rsidRPr="00740594">
        <w:rPr>
          <w:sz w:val="22"/>
          <w:szCs w:val="22"/>
        </w:rPr>
        <w:t>The proposed criteria for allocating funding</w:t>
      </w:r>
      <w:r>
        <w:rPr>
          <w:sz w:val="22"/>
          <w:szCs w:val="22"/>
        </w:rPr>
        <w:t xml:space="preserve"> for exceptional pupil numbers growth (the most common call on this fund)</w:t>
      </w:r>
      <w:r w:rsidRPr="00740594">
        <w:rPr>
          <w:sz w:val="22"/>
          <w:szCs w:val="22"/>
        </w:rPr>
        <w:t xml:space="preserve"> in 2015/16 are unchanged from 2014/15 and are as follows:</w:t>
      </w:r>
    </w:p>
    <w:p w:rsidR="00A82907" w:rsidRPr="00740594" w:rsidRDefault="00A82907" w:rsidP="00B713A4">
      <w:pPr>
        <w:numPr>
          <w:ilvl w:val="0"/>
          <w:numId w:val="25"/>
        </w:numPr>
        <w:jc w:val="both"/>
        <w:rPr>
          <w:sz w:val="22"/>
          <w:szCs w:val="22"/>
        </w:rPr>
      </w:pPr>
      <w:r w:rsidRPr="00740594">
        <w:rPr>
          <w:sz w:val="22"/>
          <w:szCs w:val="22"/>
        </w:rPr>
        <w:t>The main factor taken into account is the extent of additional cost pressure faced by a school. This is assessed on the information provided by the school on what action has been needed to meet the growth in pupil numbers</w:t>
      </w:r>
    </w:p>
    <w:p w:rsidR="00A82907" w:rsidRPr="00740594" w:rsidRDefault="00A82907" w:rsidP="00B713A4">
      <w:pPr>
        <w:numPr>
          <w:ilvl w:val="0"/>
          <w:numId w:val="25"/>
        </w:numPr>
        <w:jc w:val="both"/>
        <w:rPr>
          <w:sz w:val="22"/>
          <w:szCs w:val="22"/>
        </w:rPr>
      </w:pPr>
      <w:r w:rsidRPr="00740594">
        <w:rPr>
          <w:sz w:val="22"/>
          <w:szCs w:val="22"/>
        </w:rPr>
        <w:t>The extent of increase in numbers: actual numbers and % of roll (vs. the phase average)</w:t>
      </w:r>
    </w:p>
    <w:p w:rsidR="00A82907" w:rsidRPr="00740594" w:rsidRDefault="00A82907" w:rsidP="00B713A4">
      <w:pPr>
        <w:numPr>
          <w:ilvl w:val="0"/>
          <w:numId w:val="25"/>
        </w:numPr>
        <w:jc w:val="both"/>
        <w:rPr>
          <w:sz w:val="22"/>
          <w:szCs w:val="22"/>
        </w:rPr>
      </w:pPr>
      <w:r w:rsidRPr="00740594">
        <w:rPr>
          <w:sz w:val="22"/>
          <w:szCs w:val="22"/>
        </w:rPr>
        <w:t>Whether the Local Authority has directed the additional pupils to the school</w:t>
      </w:r>
    </w:p>
    <w:p w:rsidR="00A82907" w:rsidRPr="00740594" w:rsidRDefault="00A82907" w:rsidP="00B713A4">
      <w:pPr>
        <w:numPr>
          <w:ilvl w:val="0"/>
          <w:numId w:val="25"/>
        </w:numPr>
        <w:jc w:val="both"/>
        <w:rPr>
          <w:sz w:val="22"/>
          <w:szCs w:val="22"/>
        </w:rPr>
      </w:pPr>
      <w:r w:rsidRPr="00740594">
        <w:rPr>
          <w:sz w:val="22"/>
          <w:szCs w:val="22"/>
        </w:rPr>
        <w:t>How the additional pupils are distributed across the school</w:t>
      </w:r>
    </w:p>
    <w:p w:rsidR="00A82907" w:rsidRPr="00740594" w:rsidRDefault="00A82907" w:rsidP="0065342F">
      <w:pPr>
        <w:numPr>
          <w:ilvl w:val="0"/>
          <w:numId w:val="25"/>
        </w:numPr>
        <w:tabs>
          <w:tab w:val="clear" w:pos="720"/>
          <w:tab w:val="num" w:pos="360"/>
        </w:tabs>
        <w:jc w:val="both"/>
        <w:rPr>
          <w:sz w:val="22"/>
          <w:szCs w:val="22"/>
        </w:rPr>
      </w:pPr>
      <w:r w:rsidRPr="00740594">
        <w:rPr>
          <w:sz w:val="22"/>
          <w:szCs w:val="22"/>
        </w:rPr>
        <w:t>Whether this is a one off issue i.e. the potential extent for exceptional growth and further cost pressure in future years?</w:t>
      </w:r>
    </w:p>
    <w:p w:rsidR="00A82907" w:rsidRPr="005F779A" w:rsidRDefault="00A82907" w:rsidP="0065342F">
      <w:pPr>
        <w:numPr>
          <w:ilvl w:val="0"/>
          <w:numId w:val="25"/>
        </w:numPr>
        <w:tabs>
          <w:tab w:val="clear" w:pos="720"/>
          <w:tab w:val="num" w:pos="360"/>
        </w:tabs>
        <w:jc w:val="both"/>
        <w:rPr>
          <w:sz w:val="22"/>
          <w:szCs w:val="22"/>
        </w:rPr>
      </w:pPr>
      <w:r w:rsidRPr="00740594">
        <w:rPr>
          <w:sz w:val="22"/>
          <w:szCs w:val="22"/>
        </w:rPr>
        <w:t xml:space="preserve">In judging exceptional funding for children admitted on appeal, what the specific circumstances are at the school </w:t>
      </w:r>
      <w:r w:rsidRPr="005F779A">
        <w:rPr>
          <w:sz w:val="22"/>
          <w:szCs w:val="22"/>
        </w:rPr>
        <w:t>which require the school to make additional provision in the first year</w:t>
      </w:r>
    </w:p>
    <w:p w:rsidR="00A82907" w:rsidRPr="005F779A" w:rsidRDefault="00A82907" w:rsidP="0065342F">
      <w:pPr>
        <w:numPr>
          <w:ilvl w:val="0"/>
          <w:numId w:val="25"/>
        </w:numPr>
        <w:tabs>
          <w:tab w:val="clear" w:pos="720"/>
          <w:tab w:val="num" w:pos="360"/>
        </w:tabs>
        <w:jc w:val="both"/>
        <w:rPr>
          <w:sz w:val="22"/>
          <w:szCs w:val="22"/>
        </w:rPr>
      </w:pPr>
      <w:r w:rsidRPr="005F779A">
        <w:rPr>
          <w:sz w:val="22"/>
          <w:szCs w:val="22"/>
        </w:rPr>
        <w:t>The school’s carry forward balances position</w:t>
      </w:r>
    </w:p>
    <w:p w:rsidR="00A82907" w:rsidRPr="005F779A" w:rsidRDefault="00A82907" w:rsidP="0065342F">
      <w:pPr>
        <w:numPr>
          <w:ilvl w:val="0"/>
          <w:numId w:val="25"/>
        </w:numPr>
        <w:tabs>
          <w:tab w:val="clear" w:pos="720"/>
          <w:tab w:val="num" w:pos="360"/>
        </w:tabs>
        <w:jc w:val="both"/>
        <w:rPr>
          <w:sz w:val="22"/>
          <w:szCs w:val="22"/>
        </w:rPr>
      </w:pPr>
      <w:r w:rsidRPr="005F779A">
        <w:rPr>
          <w:sz w:val="22"/>
          <w:szCs w:val="22"/>
        </w:rPr>
        <w:t>The change in the school’s expenditure shown in the Start Budget vs. Q1 vs. Q2 vs. Q3 monitoring reports</w:t>
      </w:r>
    </w:p>
    <w:p w:rsidR="00A82907" w:rsidRPr="005F779A" w:rsidRDefault="00A82907" w:rsidP="0065342F">
      <w:pPr>
        <w:numPr>
          <w:ilvl w:val="0"/>
          <w:numId w:val="25"/>
        </w:numPr>
        <w:tabs>
          <w:tab w:val="clear" w:pos="720"/>
          <w:tab w:val="num" w:pos="360"/>
        </w:tabs>
        <w:jc w:val="both"/>
        <w:rPr>
          <w:sz w:val="22"/>
          <w:szCs w:val="22"/>
        </w:rPr>
      </w:pPr>
      <w:r w:rsidRPr="005F779A">
        <w:rPr>
          <w:sz w:val="22"/>
          <w:szCs w:val="22"/>
        </w:rPr>
        <w:t>The Priority category of the School (is the school in Priority 1?)</w:t>
      </w:r>
    </w:p>
    <w:p w:rsidR="00A82907" w:rsidRPr="005F779A" w:rsidRDefault="00A82907" w:rsidP="0065342F">
      <w:pPr>
        <w:numPr>
          <w:ilvl w:val="0"/>
          <w:numId w:val="25"/>
        </w:numPr>
        <w:tabs>
          <w:tab w:val="clear" w:pos="720"/>
          <w:tab w:val="num" w:pos="360"/>
        </w:tabs>
        <w:jc w:val="both"/>
        <w:rPr>
          <w:sz w:val="22"/>
          <w:szCs w:val="22"/>
        </w:rPr>
      </w:pPr>
      <w:r w:rsidRPr="005F779A">
        <w:rPr>
          <w:sz w:val="22"/>
          <w:szCs w:val="22"/>
        </w:rPr>
        <w:t>Whether the school has received financial support or funding from elsewhere</w:t>
      </w:r>
    </w:p>
    <w:p w:rsidR="00A82907" w:rsidRPr="005F779A" w:rsidRDefault="00A82907" w:rsidP="000020FC">
      <w:pPr>
        <w:jc w:val="both"/>
        <w:rPr>
          <w:color w:val="FF0000"/>
          <w:sz w:val="22"/>
          <w:szCs w:val="22"/>
        </w:rPr>
      </w:pPr>
    </w:p>
    <w:p w:rsidR="00A82907" w:rsidRPr="005F779A" w:rsidRDefault="00F77A19" w:rsidP="006F3AB5">
      <w:pPr>
        <w:jc w:val="both"/>
        <w:rPr>
          <w:b/>
          <w:bCs/>
          <w:color w:val="0000FF"/>
          <w:sz w:val="22"/>
          <w:szCs w:val="22"/>
        </w:rPr>
      </w:pPr>
      <w:r>
        <w:rPr>
          <w:b/>
          <w:bCs/>
          <w:color w:val="0000FF"/>
          <w:sz w:val="22"/>
          <w:szCs w:val="22"/>
        </w:rPr>
        <w:t>Question 6</w:t>
      </w:r>
      <w:r w:rsidR="00A82907" w:rsidRPr="005F779A">
        <w:rPr>
          <w:b/>
          <w:bCs/>
          <w:color w:val="0000FF"/>
          <w:sz w:val="22"/>
          <w:szCs w:val="22"/>
        </w:rPr>
        <w:t xml:space="preserve"> - Do you agree with the contingency funds, and their criteria, that are proposed to be held in the DSG in 2015/16? If not, please specify the reasons why not</w:t>
      </w:r>
    </w:p>
    <w:p w:rsidR="009A75B1" w:rsidRDefault="009A75B1" w:rsidP="006F3AB5">
      <w:pPr>
        <w:jc w:val="both"/>
        <w:rPr>
          <w:b/>
          <w:bCs/>
          <w:color w:val="0000FF"/>
          <w:sz w:val="22"/>
          <w:szCs w:val="22"/>
        </w:rPr>
      </w:pPr>
    </w:p>
    <w:p w:rsidR="005F779A" w:rsidRPr="005F779A" w:rsidRDefault="005F779A" w:rsidP="006F3AB5">
      <w:pPr>
        <w:jc w:val="both"/>
        <w:rPr>
          <w:b/>
          <w:bCs/>
          <w:color w:val="0000FF"/>
          <w:sz w:val="22"/>
          <w:szCs w:val="22"/>
        </w:rPr>
      </w:pPr>
    </w:p>
    <w:p w:rsidR="00A82907" w:rsidRPr="0040291B" w:rsidRDefault="00E124DC" w:rsidP="006F3AB5">
      <w:pPr>
        <w:jc w:val="both"/>
        <w:rPr>
          <w:b/>
          <w:bCs/>
          <w:color w:val="0000FF"/>
          <w:sz w:val="22"/>
          <w:szCs w:val="22"/>
        </w:rPr>
      </w:pPr>
      <w:r w:rsidRPr="005F779A">
        <w:rPr>
          <w:b/>
          <w:bCs/>
          <w:sz w:val="22"/>
          <w:szCs w:val="22"/>
        </w:rPr>
        <w:t>7</w:t>
      </w:r>
      <w:r w:rsidR="00A82907" w:rsidRPr="005F779A">
        <w:rPr>
          <w:b/>
          <w:bCs/>
          <w:sz w:val="22"/>
          <w:szCs w:val="22"/>
        </w:rPr>
        <w:t>.</w:t>
      </w:r>
      <w:r w:rsidR="00A82907" w:rsidRPr="005F779A">
        <w:rPr>
          <w:b/>
          <w:bCs/>
          <w:sz w:val="22"/>
          <w:szCs w:val="22"/>
        </w:rPr>
        <w:tab/>
        <w:t>The MFG and the Ceiling</w:t>
      </w:r>
    </w:p>
    <w:p w:rsidR="00A82907" w:rsidRPr="00FF65F9" w:rsidRDefault="00A82907" w:rsidP="006F3AB5">
      <w:pPr>
        <w:jc w:val="both"/>
        <w:rPr>
          <w:b/>
          <w:bCs/>
          <w:sz w:val="22"/>
          <w:szCs w:val="22"/>
        </w:rPr>
      </w:pPr>
    </w:p>
    <w:p w:rsidR="00A82907" w:rsidRPr="00901112" w:rsidRDefault="00E124DC" w:rsidP="00EF057C">
      <w:pPr>
        <w:jc w:val="both"/>
        <w:rPr>
          <w:sz w:val="22"/>
          <w:szCs w:val="22"/>
        </w:rPr>
      </w:pPr>
      <w:r>
        <w:rPr>
          <w:sz w:val="22"/>
          <w:szCs w:val="22"/>
        </w:rPr>
        <w:t>7</w:t>
      </w:r>
      <w:r w:rsidR="00A82907">
        <w:rPr>
          <w:sz w:val="22"/>
          <w:szCs w:val="22"/>
        </w:rPr>
        <w:t>.1 T</w:t>
      </w:r>
      <w:r w:rsidR="00A82907" w:rsidRPr="00FF65F9">
        <w:rPr>
          <w:sz w:val="22"/>
          <w:szCs w:val="22"/>
        </w:rPr>
        <w:t>he Minimum Funding G</w:t>
      </w:r>
      <w:r w:rsidR="00A82907">
        <w:rPr>
          <w:sz w:val="22"/>
          <w:szCs w:val="22"/>
        </w:rPr>
        <w:t>uarantee (MFG) will continue in 2015/16</w:t>
      </w:r>
      <w:r w:rsidR="00A82907" w:rsidRPr="00FF65F9">
        <w:rPr>
          <w:sz w:val="22"/>
          <w:szCs w:val="22"/>
        </w:rPr>
        <w:t xml:space="preserve"> at MINUS 1.5% i.e. the maximum reduction in funding for a school</w:t>
      </w:r>
      <w:r w:rsidR="00A82907">
        <w:rPr>
          <w:sz w:val="22"/>
          <w:szCs w:val="22"/>
        </w:rPr>
        <w:t xml:space="preserve"> / academy</w:t>
      </w:r>
      <w:r w:rsidR="00A82907" w:rsidRPr="00FF65F9">
        <w:rPr>
          <w:sz w:val="22"/>
          <w:szCs w:val="22"/>
        </w:rPr>
        <w:t xml:space="preserve"> will be </w:t>
      </w:r>
      <w:r w:rsidR="00A82907">
        <w:rPr>
          <w:sz w:val="22"/>
          <w:szCs w:val="22"/>
        </w:rPr>
        <w:t xml:space="preserve">limited to </w:t>
      </w:r>
      <w:r w:rsidR="00A82907" w:rsidRPr="00FF65F9">
        <w:rPr>
          <w:sz w:val="22"/>
          <w:szCs w:val="22"/>
        </w:rPr>
        <w:t xml:space="preserve">1.5% </w:t>
      </w:r>
      <w:r w:rsidR="00A82907">
        <w:rPr>
          <w:sz w:val="22"/>
          <w:szCs w:val="22"/>
        </w:rPr>
        <w:t xml:space="preserve">of that school’s 2014/15 funding </w:t>
      </w:r>
      <w:r w:rsidR="00A82907" w:rsidRPr="00FF65F9">
        <w:rPr>
          <w:sz w:val="22"/>
          <w:szCs w:val="22"/>
        </w:rPr>
        <w:t>per pupil.</w:t>
      </w:r>
      <w:r w:rsidR="00A82907">
        <w:rPr>
          <w:sz w:val="22"/>
          <w:szCs w:val="22"/>
        </w:rPr>
        <w:t xml:space="preserve"> The one-off funding allocated to primary schools and academies in 2014/15 will be </w:t>
      </w:r>
      <w:r w:rsidR="00A82907" w:rsidRPr="00901112">
        <w:rPr>
          <w:sz w:val="22"/>
          <w:szCs w:val="22"/>
          <w:u w:val="single"/>
        </w:rPr>
        <w:t>excluded</w:t>
      </w:r>
      <w:r w:rsidR="00A82907">
        <w:rPr>
          <w:sz w:val="22"/>
          <w:szCs w:val="22"/>
        </w:rPr>
        <w:t xml:space="preserve"> from the 2014/15 baseline used in the 2015/16 MFG calculation, so that schools do not receive a higher level of MFG protection in 2015/16 than they should.</w:t>
      </w:r>
      <w:r w:rsidR="00A82907" w:rsidRPr="00FF65F9">
        <w:rPr>
          <w:sz w:val="22"/>
          <w:szCs w:val="22"/>
        </w:rPr>
        <w:t xml:space="preserve"> </w:t>
      </w:r>
    </w:p>
    <w:p w:rsidR="00A82907" w:rsidRPr="0018590F" w:rsidRDefault="00A82907" w:rsidP="00690B3D">
      <w:pPr>
        <w:jc w:val="both"/>
        <w:rPr>
          <w:sz w:val="22"/>
          <w:szCs w:val="22"/>
        </w:rPr>
      </w:pPr>
    </w:p>
    <w:p w:rsidR="00A82907" w:rsidRDefault="00E124DC" w:rsidP="00690B3D">
      <w:pPr>
        <w:jc w:val="both"/>
        <w:rPr>
          <w:sz w:val="22"/>
          <w:szCs w:val="22"/>
        </w:rPr>
      </w:pPr>
      <w:r>
        <w:rPr>
          <w:sz w:val="22"/>
          <w:szCs w:val="22"/>
        </w:rPr>
        <w:t>7</w:t>
      </w:r>
      <w:r w:rsidR="00A82907">
        <w:rPr>
          <w:sz w:val="22"/>
          <w:szCs w:val="22"/>
        </w:rPr>
        <w:t>.2</w:t>
      </w:r>
      <w:r w:rsidR="00A82907" w:rsidRPr="0018590F">
        <w:rPr>
          <w:sz w:val="22"/>
          <w:szCs w:val="22"/>
        </w:rPr>
        <w:t xml:space="preserve"> The main reasons for schools</w:t>
      </w:r>
      <w:r w:rsidR="00A82907">
        <w:rPr>
          <w:sz w:val="22"/>
          <w:szCs w:val="22"/>
        </w:rPr>
        <w:t xml:space="preserve"> or academies</w:t>
      </w:r>
      <w:r w:rsidR="00A82907" w:rsidRPr="0018590F">
        <w:rPr>
          <w:sz w:val="22"/>
          <w:szCs w:val="22"/>
        </w:rPr>
        <w:t xml:space="preserve"> being on the MFG </w:t>
      </w:r>
      <w:r w:rsidR="00A82907">
        <w:rPr>
          <w:sz w:val="22"/>
          <w:szCs w:val="22"/>
        </w:rPr>
        <w:t xml:space="preserve">in 2015/16 </w:t>
      </w:r>
      <w:r w:rsidR="00A82907" w:rsidRPr="0018590F">
        <w:rPr>
          <w:sz w:val="22"/>
          <w:szCs w:val="22"/>
        </w:rPr>
        <w:t>are</w:t>
      </w:r>
      <w:r w:rsidR="00A82907">
        <w:rPr>
          <w:sz w:val="22"/>
          <w:szCs w:val="22"/>
        </w:rPr>
        <w:t xml:space="preserve"> as follows</w:t>
      </w:r>
      <w:r w:rsidR="00A82907" w:rsidRPr="0018590F">
        <w:rPr>
          <w:sz w:val="22"/>
          <w:szCs w:val="22"/>
        </w:rPr>
        <w:t>:</w:t>
      </w:r>
    </w:p>
    <w:p w:rsidR="00A82907" w:rsidRPr="0018590F" w:rsidRDefault="00A82907" w:rsidP="00690B3D">
      <w:pPr>
        <w:jc w:val="both"/>
        <w:rPr>
          <w:sz w:val="22"/>
          <w:szCs w:val="22"/>
        </w:rPr>
      </w:pPr>
    </w:p>
    <w:p w:rsidR="00A82907" w:rsidRDefault="00A82907" w:rsidP="0065342F">
      <w:pPr>
        <w:numPr>
          <w:ilvl w:val="0"/>
          <w:numId w:val="3"/>
        </w:numPr>
        <w:tabs>
          <w:tab w:val="clear" w:pos="720"/>
          <w:tab w:val="num" w:pos="-720"/>
        </w:tabs>
        <w:ind w:left="360"/>
        <w:jc w:val="both"/>
        <w:rPr>
          <w:sz w:val="22"/>
          <w:szCs w:val="22"/>
        </w:rPr>
      </w:pPr>
      <w:r w:rsidRPr="0018590F">
        <w:rPr>
          <w:sz w:val="22"/>
          <w:szCs w:val="22"/>
        </w:rPr>
        <w:t>The MFG is protecting the school</w:t>
      </w:r>
      <w:r>
        <w:rPr>
          <w:sz w:val="22"/>
          <w:szCs w:val="22"/>
        </w:rPr>
        <w:t xml:space="preserve"> / academy against the impact of</w:t>
      </w:r>
      <w:r w:rsidRPr="0018590F">
        <w:rPr>
          <w:sz w:val="22"/>
          <w:szCs w:val="22"/>
        </w:rPr>
        <w:t xml:space="preserve"> ch</w:t>
      </w:r>
      <w:r>
        <w:rPr>
          <w:sz w:val="22"/>
          <w:szCs w:val="22"/>
        </w:rPr>
        <w:t>anges made in formula funding since</w:t>
      </w:r>
      <w:r w:rsidRPr="0018590F">
        <w:rPr>
          <w:sz w:val="22"/>
          <w:szCs w:val="22"/>
        </w:rPr>
        <w:t xml:space="preserve"> </w:t>
      </w:r>
      <w:r>
        <w:rPr>
          <w:sz w:val="22"/>
          <w:szCs w:val="22"/>
        </w:rPr>
        <w:t>April 2013</w:t>
      </w:r>
      <w:r w:rsidRPr="0018590F">
        <w:rPr>
          <w:sz w:val="22"/>
          <w:szCs w:val="22"/>
        </w:rPr>
        <w:t xml:space="preserve"> i.e. the school</w:t>
      </w:r>
      <w:r>
        <w:rPr>
          <w:sz w:val="22"/>
          <w:szCs w:val="22"/>
        </w:rPr>
        <w:t xml:space="preserve"> / academy</w:t>
      </w:r>
      <w:r w:rsidRPr="0018590F">
        <w:rPr>
          <w:sz w:val="22"/>
          <w:szCs w:val="22"/>
        </w:rPr>
        <w:t xml:space="preserve"> was losing more than 1.5% per pupil due to the funding reforms in 2013/14</w:t>
      </w:r>
      <w:r>
        <w:rPr>
          <w:sz w:val="22"/>
          <w:szCs w:val="22"/>
        </w:rPr>
        <w:t xml:space="preserve"> or the additional changes made in 2014/15</w:t>
      </w:r>
      <w:r w:rsidRPr="0018590F">
        <w:rPr>
          <w:sz w:val="22"/>
          <w:szCs w:val="22"/>
        </w:rPr>
        <w:t>, and this protection still has to fully work thro</w:t>
      </w:r>
      <w:r>
        <w:rPr>
          <w:sz w:val="22"/>
          <w:szCs w:val="22"/>
        </w:rPr>
        <w:t>ugh</w:t>
      </w:r>
      <w:r w:rsidRPr="0018590F">
        <w:rPr>
          <w:sz w:val="22"/>
          <w:szCs w:val="22"/>
        </w:rPr>
        <w:t>.</w:t>
      </w:r>
    </w:p>
    <w:p w:rsidR="00A82907" w:rsidRPr="0018590F" w:rsidRDefault="00A82907" w:rsidP="0065342F">
      <w:pPr>
        <w:jc w:val="both"/>
        <w:rPr>
          <w:sz w:val="22"/>
          <w:szCs w:val="22"/>
        </w:rPr>
      </w:pPr>
    </w:p>
    <w:p w:rsidR="00A82907" w:rsidRDefault="00A82907" w:rsidP="0065342F">
      <w:pPr>
        <w:numPr>
          <w:ilvl w:val="0"/>
          <w:numId w:val="3"/>
        </w:numPr>
        <w:tabs>
          <w:tab w:val="clear" w:pos="720"/>
          <w:tab w:val="num" w:pos="-360"/>
        </w:tabs>
        <w:ind w:left="360"/>
        <w:jc w:val="both"/>
        <w:rPr>
          <w:sz w:val="22"/>
          <w:szCs w:val="22"/>
        </w:rPr>
      </w:pPr>
      <w:r w:rsidRPr="0018590F">
        <w:rPr>
          <w:sz w:val="22"/>
          <w:szCs w:val="22"/>
        </w:rPr>
        <w:t>The MFG is continuing to protect a school</w:t>
      </w:r>
      <w:r>
        <w:rPr>
          <w:sz w:val="22"/>
          <w:szCs w:val="22"/>
        </w:rPr>
        <w:t xml:space="preserve"> / academy</w:t>
      </w:r>
      <w:r w:rsidRPr="0018590F">
        <w:rPr>
          <w:sz w:val="22"/>
          <w:szCs w:val="22"/>
        </w:rPr>
        <w:t xml:space="preserve"> against the impact formula change</w:t>
      </w:r>
      <w:r>
        <w:rPr>
          <w:sz w:val="22"/>
          <w:szCs w:val="22"/>
        </w:rPr>
        <w:t xml:space="preserve"> prior to April 2013</w:t>
      </w:r>
      <w:r w:rsidRPr="0018590F">
        <w:rPr>
          <w:sz w:val="22"/>
          <w:szCs w:val="22"/>
        </w:rPr>
        <w:t>, for instance following the mainstreaming of grants in 2011/12, where a school</w:t>
      </w:r>
      <w:r>
        <w:rPr>
          <w:sz w:val="22"/>
          <w:szCs w:val="22"/>
        </w:rPr>
        <w:t xml:space="preserve"> / academy</w:t>
      </w:r>
      <w:r w:rsidRPr="0018590F">
        <w:rPr>
          <w:sz w:val="22"/>
          <w:szCs w:val="22"/>
        </w:rPr>
        <w:t xml:space="preserve"> was protected by the MFG in 2011/12, </w:t>
      </w:r>
      <w:r>
        <w:rPr>
          <w:sz w:val="22"/>
          <w:szCs w:val="22"/>
        </w:rPr>
        <w:t xml:space="preserve">2012/13, </w:t>
      </w:r>
      <w:r w:rsidRPr="0018590F">
        <w:rPr>
          <w:sz w:val="22"/>
          <w:szCs w:val="22"/>
        </w:rPr>
        <w:t>2013/14</w:t>
      </w:r>
      <w:r>
        <w:rPr>
          <w:sz w:val="22"/>
          <w:szCs w:val="22"/>
        </w:rPr>
        <w:t xml:space="preserve"> and 2014/15</w:t>
      </w:r>
      <w:r w:rsidRPr="0018590F">
        <w:rPr>
          <w:sz w:val="22"/>
          <w:szCs w:val="22"/>
        </w:rPr>
        <w:t xml:space="preserve"> on a sliding </w:t>
      </w:r>
      <w:r>
        <w:rPr>
          <w:sz w:val="22"/>
          <w:szCs w:val="22"/>
        </w:rPr>
        <w:t>scale whic</w:t>
      </w:r>
      <w:r w:rsidRPr="0018590F">
        <w:rPr>
          <w:sz w:val="22"/>
          <w:szCs w:val="22"/>
        </w:rPr>
        <w:t>h has still to fully work through.</w:t>
      </w:r>
    </w:p>
    <w:p w:rsidR="00A82907" w:rsidRDefault="00A82907" w:rsidP="0065342F">
      <w:pPr>
        <w:jc w:val="both"/>
        <w:rPr>
          <w:sz w:val="22"/>
          <w:szCs w:val="22"/>
        </w:rPr>
      </w:pPr>
    </w:p>
    <w:p w:rsidR="00A82907" w:rsidRPr="0018590F" w:rsidRDefault="00A82907" w:rsidP="0065342F">
      <w:pPr>
        <w:numPr>
          <w:ilvl w:val="0"/>
          <w:numId w:val="3"/>
        </w:numPr>
        <w:tabs>
          <w:tab w:val="clear" w:pos="720"/>
          <w:tab w:val="num" w:pos="0"/>
        </w:tabs>
        <w:ind w:left="360"/>
        <w:jc w:val="both"/>
        <w:rPr>
          <w:sz w:val="22"/>
          <w:szCs w:val="22"/>
        </w:rPr>
      </w:pPr>
      <w:r>
        <w:rPr>
          <w:sz w:val="22"/>
          <w:szCs w:val="22"/>
        </w:rPr>
        <w:t>The school / academy data recorded in the October 2014 Census e.g. FSM%, is significantly different (lower) from that recorded in previous censuses. This will result in a reduced total amount per pupil funding for the school, and the MFG would then protect against the drop.</w:t>
      </w:r>
    </w:p>
    <w:p w:rsidR="00A82907" w:rsidRPr="0088655F" w:rsidRDefault="00A82907" w:rsidP="00BD2B40">
      <w:pPr>
        <w:jc w:val="both"/>
        <w:rPr>
          <w:sz w:val="22"/>
          <w:szCs w:val="22"/>
          <w:highlight w:val="magenta"/>
        </w:rPr>
      </w:pPr>
    </w:p>
    <w:p w:rsidR="00A82907" w:rsidRDefault="00E124DC" w:rsidP="00BD2B40">
      <w:pPr>
        <w:jc w:val="both"/>
        <w:rPr>
          <w:sz w:val="22"/>
          <w:szCs w:val="22"/>
        </w:rPr>
      </w:pPr>
      <w:r>
        <w:rPr>
          <w:sz w:val="22"/>
          <w:szCs w:val="22"/>
        </w:rPr>
        <w:t>7</w:t>
      </w:r>
      <w:r w:rsidR="00A82907">
        <w:rPr>
          <w:sz w:val="22"/>
          <w:szCs w:val="22"/>
        </w:rPr>
        <w:t>.3</w:t>
      </w:r>
      <w:r w:rsidR="00A82907" w:rsidRPr="006938A4">
        <w:rPr>
          <w:sz w:val="22"/>
          <w:szCs w:val="22"/>
        </w:rPr>
        <w:t xml:space="preserve"> As we </w:t>
      </w:r>
      <w:r w:rsidR="00A82907">
        <w:rPr>
          <w:sz w:val="22"/>
          <w:szCs w:val="22"/>
        </w:rPr>
        <w:t xml:space="preserve">have </w:t>
      </w:r>
      <w:r w:rsidR="00A82907" w:rsidRPr="006938A4">
        <w:rPr>
          <w:sz w:val="22"/>
          <w:szCs w:val="22"/>
        </w:rPr>
        <w:t>established</w:t>
      </w:r>
      <w:r w:rsidR="00A82907">
        <w:rPr>
          <w:sz w:val="22"/>
          <w:szCs w:val="22"/>
        </w:rPr>
        <w:t xml:space="preserve"> in our previous funding reviews</w:t>
      </w:r>
      <w:r w:rsidR="00A82907" w:rsidRPr="006938A4">
        <w:rPr>
          <w:sz w:val="22"/>
          <w:szCs w:val="22"/>
        </w:rPr>
        <w:t xml:space="preserve">, the MFG must be afforded by the application of a ceiling. This ceiling caps the winners </w:t>
      </w:r>
      <w:r w:rsidR="00A82907">
        <w:rPr>
          <w:sz w:val="22"/>
          <w:szCs w:val="22"/>
        </w:rPr>
        <w:t>under the funding formulae</w:t>
      </w:r>
      <w:r w:rsidR="00A82907" w:rsidRPr="006938A4">
        <w:rPr>
          <w:sz w:val="22"/>
          <w:szCs w:val="22"/>
        </w:rPr>
        <w:t xml:space="preserve"> at a % per pupil, which releases the value needed</w:t>
      </w:r>
      <w:r w:rsidR="00A82907">
        <w:rPr>
          <w:sz w:val="22"/>
          <w:szCs w:val="22"/>
        </w:rPr>
        <w:t xml:space="preserve"> to cover the cost of the MFG</w:t>
      </w:r>
      <w:r w:rsidR="00A82907" w:rsidRPr="006938A4">
        <w:rPr>
          <w:sz w:val="22"/>
          <w:szCs w:val="22"/>
        </w:rPr>
        <w:t>. This is the only way that change can be afforded. The effect of the MFG, combined with the ceiling, is to pull the distribution of funding between schools</w:t>
      </w:r>
      <w:r w:rsidR="00A82907">
        <w:rPr>
          <w:sz w:val="22"/>
          <w:szCs w:val="22"/>
        </w:rPr>
        <w:t xml:space="preserve"> and academies</w:t>
      </w:r>
      <w:r w:rsidR="00A82907" w:rsidRPr="006938A4">
        <w:rPr>
          <w:sz w:val="22"/>
          <w:szCs w:val="22"/>
        </w:rPr>
        <w:t xml:space="preserve"> back towards how this stands </w:t>
      </w:r>
      <w:r w:rsidR="00A82907">
        <w:rPr>
          <w:sz w:val="22"/>
          <w:szCs w:val="22"/>
        </w:rPr>
        <w:t>now and it</w:t>
      </w:r>
      <w:r w:rsidR="00A82907" w:rsidRPr="006938A4">
        <w:rPr>
          <w:sz w:val="22"/>
          <w:szCs w:val="22"/>
        </w:rPr>
        <w:t xml:space="preserve"> means that it will take longer for the budgets of the schools</w:t>
      </w:r>
      <w:r w:rsidR="00A82907">
        <w:rPr>
          <w:sz w:val="22"/>
          <w:szCs w:val="22"/>
        </w:rPr>
        <w:t xml:space="preserve"> and academies that gain to realise these increases</w:t>
      </w:r>
      <w:r w:rsidR="00A82907" w:rsidRPr="006938A4">
        <w:rPr>
          <w:sz w:val="22"/>
          <w:szCs w:val="22"/>
        </w:rPr>
        <w:t>.</w:t>
      </w:r>
    </w:p>
    <w:p w:rsidR="00A82907" w:rsidRDefault="00A82907" w:rsidP="00BD2B40">
      <w:pPr>
        <w:jc w:val="both"/>
        <w:rPr>
          <w:sz w:val="22"/>
          <w:szCs w:val="22"/>
        </w:rPr>
      </w:pPr>
    </w:p>
    <w:p w:rsidR="00A82907" w:rsidRDefault="00E124DC" w:rsidP="006F3AB5">
      <w:pPr>
        <w:jc w:val="both"/>
        <w:rPr>
          <w:sz w:val="22"/>
          <w:szCs w:val="22"/>
        </w:rPr>
      </w:pPr>
      <w:r>
        <w:rPr>
          <w:sz w:val="22"/>
          <w:szCs w:val="22"/>
        </w:rPr>
        <w:t>7</w:t>
      </w:r>
      <w:r w:rsidR="00A82907">
        <w:rPr>
          <w:sz w:val="22"/>
          <w:szCs w:val="22"/>
        </w:rPr>
        <w:t xml:space="preserve">.4 As was the case in 2014/15, the ceiling must be calculated on the same basis as the MFG and the % cap </w:t>
      </w:r>
      <w:r w:rsidR="00A82907" w:rsidRPr="004D715F">
        <w:rPr>
          <w:sz w:val="22"/>
          <w:szCs w:val="22"/>
        </w:rPr>
        <w:t>must be the same for primary and secondary schools / academies. We can choose whether to implement the ceiling by capping all growth over a certain % per pupil or by scaling back gains of winning schools</w:t>
      </w:r>
      <w:r w:rsidR="00A82907">
        <w:rPr>
          <w:sz w:val="22"/>
          <w:szCs w:val="22"/>
        </w:rPr>
        <w:t xml:space="preserve"> / academies</w:t>
      </w:r>
      <w:r w:rsidR="00A82907" w:rsidRPr="004D715F">
        <w:rPr>
          <w:sz w:val="22"/>
          <w:szCs w:val="22"/>
        </w:rPr>
        <w:t xml:space="preserve"> by a set amount proportion to the school’s gain. It </w:t>
      </w:r>
      <w:r w:rsidR="00A82907">
        <w:rPr>
          <w:sz w:val="22"/>
          <w:szCs w:val="22"/>
        </w:rPr>
        <w:t>continues</w:t>
      </w:r>
      <w:r w:rsidR="00A82907" w:rsidRPr="004D715F">
        <w:rPr>
          <w:sz w:val="22"/>
          <w:szCs w:val="22"/>
        </w:rPr>
        <w:t xml:space="preserve"> to be our view that the capping approach is much fairer and also follows the same approach that we have used previously. We are therefore</w:t>
      </w:r>
      <w:r w:rsidR="00A82907">
        <w:rPr>
          <w:sz w:val="22"/>
          <w:szCs w:val="22"/>
        </w:rPr>
        <w:t>,</w:t>
      </w:r>
      <w:r w:rsidR="00A82907" w:rsidRPr="004D715F">
        <w:rPr>
          <w:sz w:val="22"/>
          <w:szCs w:val="22"/>
        </w:rPr>
        <w:t xml:space="preserve"> not proposing any change in the operation of the ceiling, but the</w:t>
      </w:r>
      <w:r w:rsidR="00A82907">
        <w:rPr>
          <w:sz w:val="22"/>
          <w:szCs w:val="22"/>
        </w:rPr>
        <w:t xml:space="preserve"> value of the</w:t>
      </w:r>
      <w:r w:rsidR="00A82907" w:rsidRPr="004D715F">
        <w:rPr>
          <w:sz w:val="22"/>
          <w:szCs w:val="22"/>
        </w:rPr>
        <w:t xml:space="preserve"> % cap cannot be set until the final cost of the MFG is known. </w:t>
      </w:r>
      <w:r w:rsidR="00A82907">
        <w:rPr>
          <w:sz w:val="22"/>
          <w:szCs w:val="22"/>
        </w:rPr>
        <w:t>Please note that t</w:t>
      </w:r>
      <w:r w:rsidR="00A82907" w:rsidRPr="00A04A02">
        <w:rPr>
          <w:sz w:val="22"/>
          <w:szCs w:val="22"/>
        </w:rPr>
        <w:t>he ceiling must not be applied to new and growing schools and academies (those with some empty year</w:t>
      </w:r>
      <w:r w:rsidR="00A82907">
        <w:rPr>
          <w:sz w:val="22"/>
          <w:szCs w:val="22"/>
        </w:rPr>
        <w:t xml:space="preserve"> groups) which have opened in the last 7 years, so these schools and academies will not contribute to the ceiling in 2015/16.</w:t>
      </w:r>
    </w:p>
    <w:p w:rsidR="00A82907" w:rsidRDefault="00A82907" w:rsidP="006F3AB5">
      <w:pPr>
        <w:jc w:val="both"/>
        <w:rPr>
          <w:sz w:val="22"/>
          <w:szCs w:val="22"/>
        </w:rPr>
      </w:pPr>
    </w:p>
    <w:p w:rsidR="00A82907" w:rsidRPr="004D715F" w:rsidRDefault="00E124DC" w:rsidP="006F3AB5">
      <w:pPr>
        <w:jc w:val="both"/>
        <w:rPr>
          <w:sz w:val="22"/>
          <w:szCs w:val="22"/>
        </w:rPr>
      </w:pPr>
      <w:r>
        <w:rPr>
          <w:sz w:val="22"/>
          <w:szCs w:val="22"/>
        </w:rPr>
        <w:t>7</w:t>
      </w:r>
      <w:r w:rsidR="00A82907">
        <w:rPr>
          <w:sz w:val="22"/>
          <w:szCs w:val="22"/>
        </w:rPr>
        <w:t>.5</w:t>
      </w:r>
      <w:r w:rsidR="00A82907" w:rsidRPr="00A04A02">
        <w:rPr>
          <w:sz w:val="22"/>
          <w:szCs w:val="22"/>
        </w:rPr>
        <w:t xml:space="preserve"> </w:t>
      </w:r>
      <w:r w:rsidR="00A82907" w:rsidRPr="00C42243">
        <w:rPr>
          <w:sz w:val="22"/>
          <w:szCs w:val="22"/>
        </w:rPr>
        <w:t xml:space="preserve">The Government has </w:t>
      </w:r>
      <w:r w:rsidR="00A82907">
        <w:rPr>
          <w:sz w:val="22"/>
          <w:szCs w:val="22"/>
        </w:rPr>
        <w:t>made a commitment that the MFG will continue beyond 2015/16, but there is no information available to confirm at what level the MFG will be set, as this will be subject to the outcomes of the 2015 Spending Review.</w:t>
      </w:r>
    </w:p>
    <w:p w:rsidR="00A82907" w:rsidRDefault="00A82907" w:rsidP="006F3AB5">
      <w:pPr>
        <w:jc w:val="both"/>
        <w:rPr>
          <w:sz w:val="22"/>
          <w:szCs w:val="22"/>
          <w:highlight w:val="magenta"/>
        </w:rPr>
      </w:pPr>
    </w:p>
    <w:p w:rsidR="009D1756" w:rsidRPr="005F779A" w:rsidRDefault="009D1756" w:rsidP="006F3AB5">
      <w:pPr>
        <w:jc w:val="both"/>
        <w:rPr>
          <w:b/>
          <w:bCs/>
          <w:sz w:val="22"/>
          <w:szCs w:val="22"/>
        </w:rPr>
      </w:pPr>
    </w:p>
    <w:p w:rsidR="00A82907" w:rsidRPr="005F779A" w:rsidRDefault="005F779A" w:rsidP="006F3AB5">
      <w:pPr>
        <w:jc w:val="both"/>
        <w:rPr>
          <w:b/>
          <w:bCs/>
          <w:sz w:val="22"/>
          <w:szCs w:val="22"/>
        </w:rPr>
      </w:pPr>
      <w:r w:rsidRPr="005F779A">
        <w:rPr>
          <w:b/>
          <w:bCs/>
          <w:sz w:val="22"/>
          <w:szCs w:val="22"/>
        </w:rPr>
        <w:t>8</w:t>
      </w:r>
      <w:r w:rsidR="00A82907" w:rsidRPr="005F779A">
        <w:rPr>
          <w:b/>
          <w:bCs/>
          <w:sz w:val="22"/>
          <w:szCs w:val="22"/>
        </w:rPr>
        <w:t>.</w:t>
      </w:r>
      <w:r w:rsidR="00A82907" w:rsidRPr="005F779A">
        <w:rPr>
          <w:b/>
          <w:bCs/>
          <w:sz w:val="22"/>
          <w:szCs w:val="22"/>
        </w:rPr>
        <w:tab/>
        <w:t>Further Explanation of the Indicative Modelling</w:t>
      </w:r>
    </w:p>
    <w:p w:rsidR="00A82907" w:rsidRPr="005F779A" w:rsidRDefault="00A82907" w:rsidP="006F3AB5">
      <w:pPr>
        <w:jc w:val="both"/>
        <w:rPr>
          <w:b/>
          <w:bCs/>
          <w:sz w:val="22"/>
          <w:szCs w:val="22"/>
        </w:rPr>
      </w:pPr>
    </w:p>
    <w:p w:rsidR="00A82907" w:rsidRPr="005F779A" w:rsidRDefault="005F779A" w:rsidP="006F3AB5">
      <w:pPr>
        <w:jc w:val="both"/>
        <w:rPr>
          <w:color w:val="000000"/>
          <w:sz w:val="22"/>
          <w:szCs w:val="22"/>
        </w:rPr>
      </w:pPr>
      <w:r w:rsidRPr="005F779A">
        <w:rPr>
          <w:sz w:val="22"/>
          <w:szCs w:val="22"/>
        </w:rPr>
        <w:t>8</w:t>
      </w:r>
      <w:r w:rsidR="00A82907" w:rsidRPr="005F779A">
        <w:rPr>
          <w:sz w:val="22"/>
          <w:szCs w:val="22"/>
        </w:rPr>
        <w:t xml:space="preserve">.1 The modelling </w:t>
      </w:r>
      <w:r w:rsidR="00A82907" w:rsidRPr="005F779A">
        <w:rPr>
          <w:color w:val="000000"/>
          <w:sz w:val="22"/>
          <w:szCs w:val="22"/>
        </w:rPr>
        <w:t>in Appendix 1 shows the impact of the proposals outlined in this consultation on primary and secondary schools and academies, based on maintaining a ‘cash flat’ position overall and using estimated October 2014 pupil numbers on roll and the October 2013 dataset from the EFA. The modelling is intended only to give an early estimate of individual allocations for 2015/16 from the Schools Block.</w:t>
      </w:r>
    </w:p>
    <w:p w:rsidR="00A82907" w:rsidRPr="005F779A" w:rsidRDefault="00A82907" w:rsidP="006F3AB5">
      <w:pPr>
        <w:jc w:val="both"/>
        <w:rPr>
          <w:color w:val="000000"/>
          <w:sz w:val="22"/>
          <w:szCs w:val="22"/>
        </w:rPr>
      </w:pPr>
    </w:p>
    <w:p w:rsidR="00A82907" w:rsidRDefault="005F779A" w:rsidP="0066232A">
      <w:pPr>
        <w:jc w:val="both"/>
        <w:rPr>
          <w:color w:val="000000"/>
          <w:sz w:val="22"/>
          <w:szCs w:val="22"/>
        </w:rPr>
      </w:pPr>
      <w:r w:rsidRPr="005F779A">
        <w:rPr>
          <w:color w:val="000000"/>
          <w:sz w:val="22"/>
          <w:szCs w:val="22"/>
        </w:rPr>
        <w:t>8</w:t>
      </w:r>
      <w:r w:rsidR="00A82907" w:rsidRPr="005F779A">
        <w:rPr>
          <w:color w:val="000000"/>
          <w:sz w:val="22"/>
          <w:szCs w:val="22"/>
        </w:rPr>
        <w:t>.2 Please note that Appendix 1 focuses on the Schools Block and does not, at this stage, give a complete picture of individual delegated budgets.</w:t>
      </w:r>
      <w:r w:rsidR="00A82907">
        <w:rPr>
          <w:color w:val="000000"/>
          <w:sz w:val="22"/>
          <w:szCs w:val="22"/>
        </w:rPr>
        <w:t xml:space="preserve"> The modelling does not include Early Years Funding, Post 16 funding or funding from the High Needs Block. These are being / will be covered in separate consultations / communications.</w:t>
      </w:r>
    </w:p>
    <w:p w:rsidR="00A82907" w:rsidRDefault="00A82907" w:rsidP="006F3AB5">
      <w:pPr>
        <w:jc w:val="both"/>
        <w:rPr>
          <w:color w:val="000000"/>
          <w:sz w:val="22"/>
          <w:szCs w:val="22"/>
        </w:rPr>
      </w:pPr>
    </w:p>
    <w:p w:rsidR="00A82907" w:rsidRDefault="005F779A" w:rsidP="006F3AB5">
      <w:pPr>
        <w:jc w:val="both"/>
        <w:rPr>
          <w:color w:val="000000"/>
          <w:sz w:val="22"/>
          <w:szCs w:val="22"/>
        </w:rPr>
      </w:pPr>
      <w:r>
        <w:rPr>
          <w:color w:val="000000"/>
          <w:sz w:val="22"/>
          <w:szCs w:val="22"/>
        </w:rPr>
        <w:t>8</w:t>
      </w:r>
      <w:r w:rsidR="00A82907">
        <w:rPr>
          <w:color w:val="000000"/>
          <w:sz w:val="22"/>
          <w:szCs w:val="22"/>
        </w:rPr>
        <w:t>.3 The modelling shows the total ‘variance’ of 2015/16 estimated against 2014/15 actual funding. This total is also separated into formula funding, contingencies and Pupil Premium allocations so that the cause of variances can be better understood. The main factors behind these ‘variances’ are:</w:t>
      </w:r>
    </w:p>
    <w:p w:rsidR="00A82907" w:rsidRDefault="00A82907" w:rsidP="006F3AB5">
      <w:pPr>
        <w:jc w:val="both"/>
        <w:rPr>
          <w:color w:val="000000"/>
          <w:sz w:val="22"/>
          <w:szCs w:val="22"/>
        </w:rPr>
      </w:pPr>
    </w:p>
    <w:p w:rsidR="00A82907" w:rsidRPr="005F779A" w:rsidRDefault="00A82907" w:rsidP="005F779A">
      <w:pPr>
        <w:numPr>
          <w:ilvl w:val="0"/>
          <w:numId w:val="41"/>
        </w:numPr>
        <w:jc w:val="both"/>
        <w:rPr>
          <w:color w:val="000000"/>
          <w:sz w:val="22"/>
          <w:szCs w:val="22"/>
        </w:rPr>
      </w:pPr>
      <w:r>
        <w:rPr>
          <w:color w:val="000000"/>
          <w:sz w:val="22"/>
          <w:szCs w:val="22"/>
        </w:rPr>
        <w:t>A change in pupil numbers on roll (shown in the far right column)</w:t>
      </w:r>
    </w:p>
    <w:p w:rsidR="00A82907" w:rsidRDefault="00A82907" w:rsidP="0066232A">
      <w:pPr>
        <w:numPr>
          <w:ilvl w:val="0"/>
          <w:numId w:val="41"/>
        </w:numPr>
        <w:jc w:val="both"/>
        <w:rPr>
          <w:color w:val="000000"/>
          <w:sz w:val="22"/>
          <w:szCs w:val="22"/>
        </w:rPr>
      </w:pPr>
      <w:r>
        <w:rPr>
          <w:color w:val="000000"/>
          <w:sz w:val="22"/>
          <w:szCs w:val="22"/>
        </w:rPr>
        <w:t>A reduction in (or ending of) the MFG for those schools that have previously been protected</w:t>
      </w:r>
    </w:p>
    <w:p w:rsidR="00A82907" w:rsidRDefault="00A82907" w:rsidP="00BA452E">
      <w:pPr>
        <w:numPr>
          <w:ilvl w:val="0"/>
          <w:numId w:val="41"/>
        </w:numPr>
        <w:jc w:val="both"/>
        <w:rPr>
          <w:color w:val="000000"/>
          <w:sz w:val="22"/>
          <w:szCs w:val="22"/>
        </w:rPr>
      </w:pPr>
      <w:r>
        <w:rPr>
          <w:color w:val="000000"/>
          <w:sz w:val="22"/>
          <w:szCs w:val="22"/>
        </w:rPr>
        <w:t>Changes in contingency allocations, in particular relating to the pupil numbers on roll at expanding schools / academies</w:t>
      </w:r>
    </w:p>
    <w:p w:rsidR="00C2328E" w:rsidRDefault="00C2328E" w:rsidP="00BA452E">
      <w:pPr>
        <w:numPr>
          <w:ilvl w:val="0"/>
          <w:numId w:val="41"/>
        </w:numPr>
        <w:jc w:val="both"/>
        <w:rPr>
          <w:color w:val="000000"/>
          <w:sz w:val="22"/>
          <w:szCs w:val="22"/>
        </w:rPr>
      </w:pPr>
      <w:r>
        <w:rPr>
          <w:color w:val="000000"/>
          <w:sz w:val="22"/>
          <w:szCs w:val="22"/>
        </w:rPr>
        <w:t>The removal of one off funding allocated in 2014/15 only for primary schools and academies</w:t>
      </w:r>
    </w:p>
    <w:p w:rsidR="00A82907" w:rsidRDefault="00A82907" w:rsidP="0066232A">
      <w:pPr>
        <w:ind w:left="360"/>
        <w:jc w:val="both"/>
        <w:rPr>
          <w:color w:val="000000"/>
          <w:sz w:val="22"/>
          <w:szCs w:val="22"/>
        </w:rPr>
      </w:pPr>
    </w:p>
    <w:p w:rsidR="00A82907" w:rsidRDefault="005F779A" w:rsidP="006F3AB5">
      <w:pPr>
        <w:jc w:val="both"/>
        <w:rPr>
          <w:color w:val="000000"/>
          <w:sz w:val="22"/>
          <w:szCs w:val="22"/>
        </w:rPr>
      </w:pPr>
      <w:r>
        <w:rPr>
          <w:color w:val="000000"/>
          <w:sz w:val="22"/>
          <w:szCs w:val="22"/>
        </w:rPr>
        <w:t>8</w:t>
      </w:r>
      <w:r w:rsidR="00A82907">
        <w:rPr>
          <w:color w:val="000000"/>
          <w:sz w:val="22"/>
          <w:szCs w:val="22"/>
        </w:rPr>
        <w:t xml:space="preserve">.4 Whether a school / academy is protected by the MFG, or is capped by the ceiling, is shown in the modelling. Schools and academies on the MFG should plan for this protection to reduce over time. Schools and academies on the ceiling may expect to receive the sum by which their budgets have been reduced eventually in future years. However, any future projections will be significantly influenced by the introduction of the National Fair Funding Formula, which will override any previous arrangements. </w:t>
      </w:r>
    </w:p>
    <w:p w:rsidR="00A82907" w:rsidRPr="00011151" w:rsidRDefault="00A82907" w:rsidP="006F3AB5">
      <w:pPr>
        <w:jc w:val="both"/>
        <w:rPr>
          <w:color w:val="000000"/>
          <w:sz w:val="22"/>
          <w:szCs w:val="22"/>
        </w:rPr>
      </w:pPr>
    </w:p>
    <w:p w:rsidR="00A82907" w:rsidRPr="005F779A" w:rsidRDefault="005F779A" w:rsidP="006F3AB5">
      <w:pPr>
        <w:jc w:val="both"/>
        <w:rPr>
          <w:color w:val="000000"/>
          <w:sz w:val="22"/>
          <w:szCs w:val="22"/>
        </w:rPr>
      </w:pPr>
      <w:r w:rsidRPr="005F779A">
        <w:rPr>
          <w:color w:val="000000"/>
          <w:sz w:val="22"/>
          <w:szCs w:val="22"/>
        </w:rPr>
        <w:t>8</w:t>
      </w:r>
      <w:r w:rsidR="00A82907" w:rsidRPr="005F779A">
        <w:rPr>
          <w:color w:val="000000"/>
          <w:sz w:val="22"/>
          <w:szCs w:val="22"/>
        </w:rPr>
        <w:t>.5 If you would like to discuss the modelling in more detail, or discuss the data on which allocations are calculated, please contact Sarah North.</w:t>
      </w:r>
    </w:p>
    <w:p w:rsidR="00A82907" w:rsidRPr="005F779A" w:rsidRDefault="00A82907" w:rsidP="00791103">
      <w:pPr>
        <w:jc w:val="both"/>
        <w:rPr>
          <w:b/>
          <w:bCs/>
          <w:color w:val="0000FF"/>
          <w:sz w:val="22"/>
          <w:szCs w:val="22"/>
        </w:rPr>
      </w:pPr>
    </w:p>
    <w:p w:rsidR="00A82907" w:rsidRPr="005F779A" w:rsidRDefault="00A82907" w:rsidP="00791103">
      <w:pPr>
        <w:jc w:val="both"/>
        <w:rPr>
          <w:b/>
          <w:bCs/>
          <w:color w:val="0000FF"/>
          <w:sz w:val="22"/>
          <w:szCs w:val="22"/>
        </w:rPr>
      </w:pPr>
      <w:r w:rsidRPr="005F779A">
        <w:rPr>
          <w:b/>
          <w:bCs/>
          <w:color w:val="0000FF"/>
          <w:sz w:val="22"/>
          <w:szCs w:val="22"/>
        </w:rPr>
        <w:t xml:space="preserve">Question </w:t>
      </w:r>
      <w:r w:rsidR="00F77A19">
        <w:rPr>
          <w:b/>
          <w:bCs/>
          <w:color w:val="0000FF"/>
          <w:sz w:val="22"/>
          <w:szCs w:val="22"/>
        </w:rPr>
        <w:t>7</w:t>
      </w:r>
      <w:r w:rsidRPr="005F779A">
        <w:rPr>
          <w:b/>
          <w:bCs/>
          <w:color w:val="0000FF"/>
          <w:sz w:val="22"/>
          <w:szCs w:val="22"/>
        </w:rPr>
        <w:t xml:space="preserve"> - Do you have any comments on the modelling?</w:t>
      </w:r>
    </w:p>
    <w:p w:rsidR="00A82907" w:rsidRPr="005F779A" w:rsidRDefault="00A82907" w:rsidP="00791103">
      <w:pPr>
        <w:jc w:val="both"/>
        <w:rPr>
          <w:b/>
          <w:bCs/>
          <w:color w:val="0000FF"/>
          <w:sz w:val="22"/>
          <w:szCs w:val="22"/>
        </w:rPr>
      </w:pPr>
    </w:p>
    <w:p w:rsidR="00A82907" w:rsidRPr="005F779A" w:rsidRDefault="00A82907" w:rsidP="00791103">
      <w:pPr>
        <w:jc w:val="both"/>
        <w:rPr>
          <w:b/>
          <w:bCs/>
          <w:sz w:val="22"/>
          <w:szCs w:val="22"/>
        </w:rPr>
      </w:pPr>
    </w:p>
    <w:p w:rsidR="00A82907" w:rsidRPr="005F779A" w:rsidRDefault="005F779A" w:rsidP="006F3AB5">
      <w:pPr>
        <w:jc w:val="both"/>
        <w:rPr>
          <w:b/>
          <w:bCs/>
          <w:sz w:val="22"/>
          <w:szCs w:val="22"/>
        </w:rPr>
      </w:pPr>
      <w:r w:rsidRPr="005F779A">
        <w:rPr>
          <w:b/>
          <w:bCs/>
          <w:sz w:val="22"/>
          <w:szCs w:val="22"/>
        </w:rPr>
        <w:t>9</w:t>
      </w:r>
      <w:r w:rsidR="00A82907" w:rsidRPr="005F779A">
        <w:rPr>
          <w:b/>
          <w:bCs/>
          <w:sz w:val="22"/>
          <w:szCs w:val="22"/>
        </w:rPr>
        <w:t>.</w:t>
      </w:r>
      <w:r w:rsidR="00A82907" w:rsidRPr="005F779A">
        <w:rPr>
          <w:b/>
          <w:bCs/>
          <w:sz w:val="22"/>
          <w:szCs w:val="22"/>
        </w:rPr>
        <w:tab/>
        <w:t>Consultation Responses</w:t>
      </w:r>
    </w:p>
    <w:p w:rsidR="00A82907" w:rsidRPr="005F779A" w:rsidRDefault="00A82907" w:rsidP="006F3AB5">
      <w:pPr>
        <w:jc w:val="both"/>
        <w:rPr>
          <w:b/>
          <w:bCs/>
          <w:sz w:val="22"/>
          <w:szCs w:val="22"/>
        </w:rPr>
      </w:pPr>
    </w:p>
    <w:p w:rsidR="00A82907" w:rsidRPr="005F779A" w:rsidRDefault="005F779A" w:rsidP="006F3AB5">
      <w:pPr>
        <w:jc w:val="both"/>
        <w:rPr>
          <w:sz w:val="22"/>
          <w:szCs w:val="22"/>
        </w:rPr>
      </w:pPr>
      <w:r>
        <w:rPr>
          <w:sz w:val="22"/>
          <w:szCs w:val="22"/>
        </w:rPr>
        <w:t>9</w:t>
      </w:r>
      <w:r w:rsidR="00A82907" w:rsidRPr="005F779A">
        <w:rPr>
          <w:sz w:val="22"/>
          <w:szCs w:val="22"/>
        </w:rPr>
        <w:t xml:space="preserve">.1 Please use the responses form </w:t>
      </w:r>
      <w:r w:rsidR="00A82907" w:rsidRPr="005F779A">
        <w:rPr>
          <w:color w:val="000000"/>
          <w:sz w:val="22"/>
          <w:szCs w:val="22"/>
        </w:rPr>
        <w:t>Appendix 3 to submit</w:t>
      </w:r>
      <w:r w:rsidR="00A82907" w:rsidRPr="005F779A">
        <w:rPr>
          <w:sz w:val="22"/>
          <w:szCs w:val="22"/>
        </w:rPr>
        <w:t xml:space="preserve"> your views on the proposals outlined in the consultation. There is space in this form for you to comment on any aspect of the proposals. If you wish to discuss these proposals in more detail, or have any specific questions, please contact either Sarah North, or Andrew Redding, using the contact details shown in paragraph 1.</w:t>
      </w:r>
    </w:p>
    <w:p w:rsidR="00A82907" w:rsidRPr="005F779A" w:rsidRDefault="00A82907" w:rsidP="006F3AB5">
      <w:pPr>
        <w:jc w:val="both"/>
        <w:rPr>
          <w:sz w:val="22"/>
          <w:szCs w:val="22"/>
        </w:rPr>
      </w:pPr>
    </w:p>
    <w:p w:rsidR="00A82907" w:rsidRPr="005F779A" w:rsidRDefault="005F779A" w:rsidP="006F3AB5">
      <w:pPr>
        <w:jc w:val="both"/>
        <w:rPr>
          <w:sz w:val="22"/>
          <w:szCs w:val="22"/>
        </w:rPr>
      </w:pPr>
      <w:r w:rsidRPr="005F779A">
        <w:rPr>
          <w:sz w:val="22"/>
          <w:szCs w:val="22"/>
        </w:rPr>
        <w:t>9</w:t>
      </w:r>
      <w:r w:rsidR="00A82907" w:rsidRPr="005F779A">
        <w:rPr>
          <w:sz w:val="22"/>
          <w:szCs w:val="22"/>
        </w:rPr>
        <w:t xml:space="preserve">.2 Please ensure that your response is submitted by the deadline of </w:t>
      </w:r>
      <w:r w:rsidR="00A82907" w:rsidRPr="005F779A">
        <w:rPr>
          <w:b/>
          <w:bCs/>
          <w:sz w:val="22"/>
          <w:szCs w:val="22"/>
        </w:rPr>
        <w:t>Friday 17 October 2014.</w:t>
      </w:r>
    </w:p>
    <w:p w:rsidR="00A82907" w:rsidRPr="005F779A" w:rsidRDefault="00A82907" w:rsidP="006F3AB5">
      <w:pPr>
        <w:jc w:val="both"/>
        <w:rPr>
          <w:b/>
          <w:bCs/>
          <w:sz w:val="22"/>
          <w:szCs w:val="22"/>
        </w:rPr>
      </w:pPr>
    </w:p>
    <w:p w:rsidR="00A82907" w:rsidRPr="005F779A" w:rsidRDefault="00A82907" w:rsidP="006F3AB5">
      <w:pPr>
        <w:jc w:val="both"/>
        <w:rPr>
          <w:b/>
          <w:bCs/>
          <w:sz w:val="22"/>
          <w:szCs w:val="22"/>
        </w:rPr>
      </w:pPr>
    </w:p>
    <w:p w:rsidR="00A82907" w:rsidRPr="005F779A" w:rsidRDefault="005F779A" w:rsidP="006F3AB5">
      <w:pPr>
        <w:jc w:val="both"/>
        <w:rPr>
          <w:b/>
          <w:bCs/>
          <w:sz w:val="22"/>
          <w:szCs w:val="22"/>
        </w:rPr>
      </w:pPr>
      <w:r w:rsidRPr="005F779A">
        <w:rPr>
          <w:b/>
          <w:bCs/>
          <w:sz w:val="22"/>
          <w:szCs w:val="22"/>
        </w:rPr>
        <w:t>10</w:t>
      </w:r>
      <w:r w:rsidR="00A82907" w:rsidRPr="005F779A">
        <w:rPr>
          <w:b/>
          <w:bCs/>
          <w:sz w:val="22"/>
          <w:szCs w:val="22"/>
        </w:rPr>
        <w:t>.</w:t>
      </w:r>
      <w:r w:rsidR="00A82907" w:rsidRPr="005F779A">
        <w:rPr>
          <w:b/>
          <w:bCs/>
          <w:sz w:val="22"/>
          <w:szCs w:val="22"/>
        </w:rPr>
        <w:tab/>
        <w:t>Next Steps</w:t>
      </w:r>
    </w:p>
    <w:p w:rsidR="00A82907" w:rsidRPr="005F779A" w:rsidRDefault="00A82907" w:rsidP="006F3AB5">
      <w:pPr>
        <w:jc w:val="both"/>
        <w:rPr>
          <w:sz w:val="22"/>
          <w:szCs w:val="22"/>
        </w:rPr>
      </w:pPr>
    </w:p>
    <w:p w:rsidR="00A82907" w:rsidRDefault="005F779A" w:rsidP="006F3AB5">
      <w:pPr>
        <w:jc w:val="both"/>
        <w:rPr>
          <w:sz w:val="22"/>
          <w:szCs w:val="22"/>
        </w:rPr>
      </w:pPr>
      <w:r w:rsidRPr="005F779A">
        <w:rPr>
          <w:sz w:val="22"/>
          <w:szCs w:val="22"/>
        </w:rPr>
        <w:t>10</w:t>
      </w:r>
      <w:r w:rsidR="00A82907" w:rsidRPr="005F779A">
        <w:rPr>
          <w:sz w:val="22"/>
          <w:szCs w:val="22"/>
        </w:rPr>
        <w:t>.1 Following consideration of the responses to this consultation and the agreement of the Schools Forum, the pro-forma, which will outline the structure of the funding formulae for primary and secondary schools and academies to be used to calculate budgets in 2015/16, will be submitted to the EFA by 31 October 2014. This pro-forma will then be checked for any areas of non-compliance by the EFA.</w:t>
      </w:r>
    </w:p>
    <w:p w:rsidR="00A82907" w:rsidRDefault="00A82907" w:rsidP="006F3AB5">
      <w:pPr>
        <w:jc w:val="both"/>
        <w:rPr>
          <w:sz w:val="22"/>
          <w:szCs w:val="22"/>
        </w:rPr>
      </w:pPr>
    </w:p>
    <w:p w:rsidR="00A82907" w:rsidRDefault="005F779A" w:rsidP="006F3AB5">
      <w:pPr>
        <w:jc w:val="both"/>
        <w:rPr>
          <w:sz w:val="22"/>
          <w:szCs w:val="22"/>
        </w:rPr>
      </w:pPr>
      <w:r>
        <w:rPr>
          <w:sz w:val="22"/>
          <w:szCs w:val="22"/>
        </w:rPr>
        <w:t>10</w:t>
      </w:r>
      <w:r w:rsidR="00A82907">
        <w:rPr>
          <w:sz w:val="22"/>
          <w:szCs w:val="22"/>
        </w:rPr>
        <w:t>.2 Schools and academies will complete the October Census on Thursday 2 October 2014. The dataset from this census will be available for us to analyse mid-December.</w:t>
      </w:r>
    </w:p>
    <w:p w:rsidR="00A82907" w:rsidRDefault="00A82907" w:rsidP="006F3AB5">
      <w:pPr>
        <w:jc w:val="both"/>
        <w:rPr>
          <w:sz w:val="22"/>
          <w:szCs w:val="22"/>
        </w:rPr>
      </w:pPr>
    </w:p>
    <w:p w:rsidR="00A82907" w:rsidRDefault="005F779A" w:rsidP="006F3AB5">
      <w:pPr>
        <w:jc w:val="both"/>
        <w:rPr>
          <w:sz w:val="22"/>
          <w:szCs w:val="22"/>
        </w:rPr>
      </w:pPr>
      <w:r>
        <w:rPr>
          <w:sz w:val="22"/>
          <w:szCs w:val="22"/>
        </w:rPr>
        <w:t>10</w:t>
      </w:r>
      <w:r w:rsidR="00A82907">
        <w:rPr>
          <w:sz w:val="22"/>
          <w:szCs w:val="22"/>
        </w:rPr>
        <w:t xml:space="preserve">.3 Discussions on the overall DSG funding position for 2015/16, the holding of de-delegated and contingency funds, the balance of funding between primary and secondary, whether to adjust factor values (e.g. Pupil Mobility), and the impact on schools of using the October 2014 Census dataset, will take place in the Schools Forum over the coming term. You are recommended to keep in touch with these discussions by visiting the Schools Forum webpage on the Council’s Minute’s site. It is anticipated that the Schools Forum will make its final recommendations on 2015/16 arrangements on </w:t>
      </w:r>
      <w:r w:rsidR="00A82907" w:rsidRPr="0013381F">
        <w:rPr>
          <w:sz w:val="22"/>
          <w:szCs w:val="22"/>
        </w:rPr>
        <w:t>Wednesday 7 January 2015.</w:t>
      </w:r>
    </w:p>
    <w:p w:rsidR="00A82907" w:rsidRPr="005F779A" w:rsidRDefault="00A82907" w:rsidP="006F3AB5">
      <w:pPr>
        <w:jc w:val="both"/>
        <w:rPr>
          <w:sz w:val="22"/>
          <w:szCs w:val="22"/>
        </w:rPr>
      </w:pPr>
    </w:p>
    <w:p w:rsidR="00A82907" w:rsidRPr="005F779A" w:rsidRDefault="005F779A" w:rsidP="006F3AB5">
      <w:pPr>
        <w:jc w:val="both"/>
        <w:rPr>
          <w:b/>
          <w:bCs/>
          <w:sz w:val="22"/>
          <w:szCs w:val="22"/>
        </w:rPr>
      </w:pPr>
      <w:r w:rsidRPr="005F779A">
        <w:rPr>
          <w:b/>
          <w:bCs/>
          <w:sz w:val="22"/>
          <w:szCs w:val="22"/>
        </w:rPr>
        <w:t>11</w:t>
      </w:r>
      <w:r w:rsidR="00A82907" w:rsidRPr="005F779A">
        <w:rPr>
          <w:b/>
          <w:bCs/>
          <w:sz w:val="22"/>
          <w:szCs w:val="22"/>
        </w:rPr>
        <w:t>.</w:t>
      </w:r>
      <w:r w:rsidR="00A82907" w:rsidRPr="005F779A">
        <w:rPr>
          <w:b/>
          <w:bCs/>
          <w:sz w:val="22"/>
          <w:szCs w:val="22"/>
        </w:rPr>
        <w:tab/>
        <w:t>Appendices</w:t>
      </w:r>
    </w:p>
    <w:p w:rsidR="00A82907" w:rsidRPr="005F779A" w:rsidRDefault="00A82907" w:rsidP="006E6AEC">
      <w:pPr>
        <w:ind w:left="360"/>
        <w:jc w:val="both"/>
        <w:rPr>
          <w:sz w:val="22"/>
          <w:szCs w:val="22"/>
        </w:rPr>
      </w:pPr>
    </w:p>
    <w:p w:rsidR="00A82907" w:rsidRPr="005F779A" w:rsidRDefault="00A82907" w:rsidP="006E6AEC">
      <w:pPr>
        <w:numPr>
          <w:ilvl w:val="0"/>
          <w:numId w:val="1"/>
        </w:numPr>
        <w:jc w:val="both"/>
        <w:rPr>
          <w:sz w:val="22"/>
          <w:szCs w:val="22"/>
        </w:rPr>
      </w:pPr>
      <w:r w:rsidRPr="005F779A">
        <w:rPr>
          <w:sz w:val="22"/>
          <w:szCs w:val="22"/>
        </w:rPr>
        <w:t>Appendix 1 – Illustrative Formula Modelling</w:t>
      </w:r>
    </w:p>
    <w:p w:rsidR="00A82907" w:rsidRPr="005F779A" w:rsidRDefault="00A82907" w:rsidP="00CB0E5D">
      <w:pPr>
        <w:numPr>
          <w:ilvl w:val="0"/>
          <w:numId w:val="1"/>
        </w:numPr>
        <w:jc w:val="both"/>
        <w:rPr>
          <w:sz w:val="22"/>
          <w:szCs w:val="22"/>
        </w:rPr>
      </w:pPr>
      <w:r w:rsidRPr="005F779A">
        <w:rPr>
          <w:sz w:val="22"/>
          <w:szCs w:val="22"/>
        </w:rPr>
        <w:t>Appendix 2 – Indicative EFA Pro-forma for 2015/16</w:t>
      </w:r>
    </w:p>
    <w:p w:rsidR="00A82907" w:rsidRPr="005F779A" w:rsidRDefault="00A82907" w:rsidP="00FA0081">
      <w:pPr>
        <w:numPr>
          <w:ilvl w:val="0"/>
          <w:numId w:val="1"/>
        </w:numPr>
        <w:jc w:val="both"/>
        <w:rPr>
          <w:sz w:val="22"/>
          <w:szCs w:val="22"/>
        </w:rPr>
      </w:pPr>
      <w:r w:rsidRPr="005F779A">
        <w:rPr>
          <w:sz w:val="22"/>
          <w:szCs w:val="22"/>
        </w:rPr>
        <w:t>Appendix 3 – Consultation Responses Form</w:t>
      </w:r>
    </w:p>
    <w:sectPr w:rsidR="00A82907" w:rsidRPr="005F779A" w:rsidSect="00834FF4">
      <w:headerReference w:type="default" r:id="rId17"/>
      <w:footerReference w:type="even" r:id="rId18"/>
      <w:footerReference w:type="default" r:id="rId19"/>
      <w:headerReference w:type="first" r:id="rId20"/>
      <w:pgSz w:w="11906" w:h="16838" w:code="9"/>
      <w:pgMar w:top="612" w:right="612" w:bottom="612" w:left="612"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55" w:rsidRDefault="00182655">
      <w:r>
        <w:separator/>
      </w:r>
    </w:p>
  </w:endnote>
  <w:endnote w:type="continuationSeparator" w:id="0">
    <w:p w:rsidR="00182655" w:rsidRDefault="0018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55" w:rsidRDefault="00182655" w:rsidP="00602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2655" w:rsidRDefault="00182655" w:rsidP="00602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55" w:rsidRPr="005A16CD" w:rsidRDefault="00182655" w:rsidP="005A16CD">
    <w:pPr>
      <w:pStyle w:val="Footer"/>
      <w:ind w:right="360"/>
      <w:jc w:val="right"/>
      <w:rPr>
        <w:sz w:val="16"/>
        <w:szCs w:val="16"/>
      </w:rPr>
    </w:pPr>
    <w:r w:rsidRPr="005A16CD">
      <w:rPr>
        <w:sz w:val="16"/>
        <w:szCs w:val="16"/>
      </w:rPr>
      <w:t xml:space="preserve">Page </w:t>
    </w:r>
    <w:r w:rsidRPr="005A16CD">
      <w:rPr>
        <w:sz w:val="16"/>
        <w:szCs w:val="16"/>
      </w:rPr>
      <w:fldChar w:fldCharType="begin"/>
    </w:r>
    <w:r w:rsidRPr="005A16CD">
      <w:rPr>
        <w:sz w:val="16"/>
        <w:szCs w:val="16"/>
      </w:rPr>
      <w:instrText xml:space="preserve"> PAGE </w:instrText>
    </w:r>
    <w:r w:rsidRPr="005A16CD">
      <w:rPr>
        <w:sz w:val="16"/>
        <w:szCs w:val="16"/>
      </w:rPr>
      <w:fldChar w:fldCharType="separate"/>
    </w:r>
    <w:r w:rsidR="000164DF">
      <w:rPr>
        <w:noProof/>
        <w:sz w:val="16"/>
        <w:szCs w:val="16"/>
      </w:rPr>
      <w:t>2</w:t>
    </w:r>
    <w:r w:rsidRPr="005A16CD">
      <w:rPr>
        <w:sz w:val="16"/>
        <w:szCs w:val="16"/>
      </w:rPr>
      <w:fldChar w:fldCharType="end"/>
    </w:r>
    <w:r w:rsidRPr="005A16CD">
      <w:rPr>
        <w:sz w:val="16"/>
        <w:szCs w:val="16"/>
      </w:rPr>
      <w:t xml:space="preserve"> of </w:t>
    </w:r>
    <w:r w:rsidRPr="005A16CD">
      <w:rPr>
        <w:sz w:val="16"/>
        <w:szCs w:val="16"/>
      </w:rPr>
      <w:fldChar w:fldCharType="begin"/>
    </w:r>
    <w:r w:rsidRPr="005A16CD">
      <w:rPr>
        <w:sz w:val="16"/>
        <w:szCs w:val="16"/>
      </w:rPr>
      <w:instrText xml:space="preserve"> NUMPAGES </w:instrText>
    </w:r>
    <w:r w:rsidRPr="005A16CD">
      <w:rPr>
        <w:sz w:val="16"/>
        <w:szCs w:val="16"/>
      </w:rPr>
      <w:fldChar w:fldCharType="separate"/>
    </w:r>
    <w:r w:rsidR="000164DF">
      <w:rPr>
        <w:noProof/>
        <w:sz w:val="16"/>
        <w:szCs w:val="16"/>
      </w:rPr>
      <w:t>17</w:t>
    </w:r>
    <w:r w:rsidRPr="005A16C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55" w:rsidRDefault="00182655">
      <w:r>
        <w:separator/>
      </w:r>
    </w:p>
  </w:footnote>
  <w:footnote w:type="continuationSeparator" w:id="0">
    <w:p w:rsidR="00182655" w:rsidRDefault="00182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55" w:rsidRDefault="00182655">
    <w:pPr>
      <w:pStyle w:val="Header"/>
    </w:pPr>
  </w:p>
  <w:p w:rsidR="00182655" w:rsidRDefault="00182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55" w:rsidRPr="0051492D" w:rsidRDefault="00182655" w:rsidP="00182655">
    <w:pPr>
      <w:pStyle w:val="Header"/>
      <w:jc w:val="center"/>
      <w:rPr>
        <w:b/>
        <w:sz w:val="18"/>
        <w:szCs w:val="18"/>
      </w:rPr>
    </w:pPr>
    <w:r w:rsidRPr="00182655">
      <w:rPr>
        <w:b/>
        <w:noProof/>
        <w:sz w:val="18"/>
        <w:szCs w:val="18"/>
        <w:highlight w:val="yellow"/>
      </w:rPr>
      <w:drawing>
        <wp:anchor distT="0" distB="0" distL="114300" distR="114300" simplePos="0" relativeHeight="251660288" behindDoc="0" locked="0" layoutInCell="1" allowOverlap="1" wp14:anchorId="37DA618F" wp14:editId="4FDD8649">
          <wp:simplePos x="0" y="0"/>
          <wp:positionH relativeFrom="column">
            <wp:posOffset>583565</wp:posOffset>
          </wp:positionH>
          <wp:positionV relativeFrom="paragraph">
            <wp:posOffset>-33366</wp:posOffset>
          </wp:positionV>
          <wp:extent cx="6664494" cy="565266"/>
          <wp:effectExtent l="0" t="0" r="3175" b="6350"/>
          <wp:wrapNone/>
          <wp:docPr id="1" name="Picture 1" descr="C:\bmdclogos\banne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logos\bannerbw.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664494" cy="56526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102"/>
    <w:multiLevelType w:val="hybridMultilevel"/>
    <w:tmpl w:val="333025D4"/>
    <w:lvl w:ilvl="0" w:tplc="A2C882D4">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05181C87"/>
    <w:multiLevelType w:val="hybridMultilevel"/>
    <w:tmpl w:val="DCC622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7236B12"/>
    <w:multiLevelType w:val="hybridMultilevel"/>
    <w:tmpl w:val="B2341C6E"/>
    <w:lvl w:ilvl="0" w:tplc="23467BAE">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865477D"/>
    <w:multiLevelType w:val="hybridMultilevel"/>
    <w:tmpl w:val="B48C1616"/>
    <w:lvl w:ilvl="0" w:tplc="130C2DD4">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8D629EB"/>
    <w:multiLevelType w:val="hybridMultilevel"/>
    <w:tmpl w:val="CEDC6578"/>
    <w:lvl w:ilvl="0" w:tplc="B1382E78">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09CF701E"/>
    <w:multiLevelType w:val="hybridMultilevel"/>
    <w:tmpl w:val="1F7ADE7E"/>
    <w:lvl w:ilvl="0" w:tplc="FBC2FE58">
      <w:start w:val="1"/>
      <w:numFmt w:val="bullet"/>
      <w:lvlText w:val=""/>
      <w:lvlJc w:val="left"/>
      <w:pPr>
        <w:tabs>
          <w:tab w:val="num" w:pos="720"/>
        </w:tabs>
        <w:ind w:left="720" w:hanging="363"/>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0A1A336C"/>
    <w:multiLevelType w:val="hybridMultilevel"/>
    <w:tmpl w:val="0C14AE42"/>
    <w:lvl w:ilvl="0" w:tplc="271CAD9C">
      <w:start w:val="1"/>
      <w:numFmt w:val="bullet"/>
      <w:lvlText w:val=""/>
      <w:lvlJc w:val="left"/>
      <w:pPr>
        <w:tabs>
          <w:tab w:val="num" w:pos="363"/>
        </w:tabs>
        <w:ind w:left="363" w:hanging="363"/>
      </w:pPr>
      <w:rPr>
        <w:rFonts w:ascii="Symbol" w:hAnsi="Symbol" w:cs="Symbol" w:hint="default"/>
      </w:rPr>
    </w:lvl>
    <w:lvl w:ilvl="1" w:tplc="08090003">
      <w:start w:val="1"/>
      <w:numFmt w:val="bullet"/>
      <w:lvlText w:val="o"/>
      <w:lvlJc w:val="left"/>
      <w:pPr>
        <w:tabs>
          <w:tab w:val="num" w:pos="723"/>
        </w:tabs>
        <w:ind w:left="723" w:hanging="360"/>
      </w:pPr>
      <w:rPr>
        <w:rFonts w:ascii="Courier New" w:hAnsi="Courier New" w:cs="Courier New" w:hint="default"/>
      </w:rPr>
    </w:lvl>
    <w:lvl w:ilvl="2" w:tplc="08090001">
      <w:start w:val="1"/>
      <w:numFmt w:val="bullet"/>
      <w:lvlText w:val=""/>
      <w:lvlJc w:val="left"/>
      <w:pPr>
        <w:tabs>
          <w:tab w:val="num" w:pos="1443"/>
        </w:tabs>
        <w:ind w:left="1443" w:hanging="360"/>
      </w:pPr>
      <w:rPr>
        <w:rFonts w:ascii="Symbol" w:hAnsi="Symbol" w:cs="Symbol" w:hint="default"/>
      </w:rPr>
    </w:lvl>
    <w:lvl w:ilvl="3" w:tplc="08090001" w:tentative="1">
      <w:start w:val="1"/>
      <w:numFmt w:val="bullet"/>
      <w:lvlText w:val=""/>
      <w:lvlJc w:val="left"/>
      <w:pPr>
        <w:tabs>
          <w:tab w:val="num" w:pos="2163"/>
        </w:tabs>
        <w:ind w:left="2163" w:hanging="360"/>
      </w:pPr>
      <w:rPr>
        <w:rFonts w:ascii="Symbol" w:hAnsi="Symbol" w:cs="Symbol" w:hint="default"/>
      </w:rPr>
    </w:lvl>
    <w:lvl w:ilvl="4" w:tplc="08090003" w:tentative="1">
      <w:start w:val="1"/>
      <w:numFmt w:val="bullet"/>
      <w:lvlText w:val="o"/>
      <w:lvlJc w:val="left"/>
      <w:pPr>
        <w:tabs>
          <w:tab w:val="num" w:pos="2883"/>
        </w:tabs>
        <w:ind w:left="2883" w:hanging="360"/>
      </w:pPr>
      <w:rPr>
        <w:rFonts w:ascii="Courier New" w:hAnsi="Courier New" w:cs="Courier New" w:hint="default"/>
      </w:rPr>
    </w:lvl>
    <w:lvl w:ilvl="5" w:tplc="08090005" w:tentative="1">
      <w:start w:val="1"/>
      <w:numFmt w:val="bullet"/>
      <w:lvlText w:val=""/>
      <w:lvlJc w:val="left"/>
      <w:pPr>
        <w:tabs>
          <w:tab w:val="num" w:pos="3603"/>
        </w:tabs>
        <w:ind w:left="3603" w:hanging="360"/>
      </w:pPr>
      <w:rPr>
        <w:rFonts w:ascii="Wingdings" w:hAnsi="Wingdings" w:cs="Wingdings" w:hint="default"/>
      </w:rPr>
    </w:lvl>
    <w:lvl w:ilvl="6" w:tplc="08090001" w:tentative="1">
      <w:start w:val="1"/>
      <w:numFmt w:val="bullet"/>
      <w:lvlText w:val=""/>
      <w:lvlJc w:val="left"/>
      <w:pPr>
        <w:tabs>
          <w:tab w:val="num" w:pos="4323"/>
        </w:tabs>
        <w:ind w:left="4323" w:hanging="360"/>
      </w:pPr>
      <w:rPr>
        <w:rFonts w:ascii="Symbol" w:hAnsi="Symbol" w:cs="Symbol" w:hint="default"/>
      </w:rPr>
    </w:lvl>
    <w:lvl w:ilvl="7" w:tplc="08090003" w:tentative="1">
      <w:start w:val="1"/>
      <w:numFmt w:val="bullet"/>
      <w:lvlText w:val="o"/>
      <w:lvlJc w:val="left"/>
      <w:pPr>
        <w:tabs>
          <w:tab w:val="num" w:pos="5043"/>
        </w:tabs>
        <w:ind w:left="5043" w:hanging="360"/>
      </w:pPr>
      <w:rPr>
        <w:rFonts w:ascii="Courier New" w:hAnsi="Courier New" w:cs="Courier New" w:hint="default"/>
      </w:rPr>
    </w:lvl>
    <w:lvl w:ilvl="8" w:tplc="08090005" w:tentative="1">
      <w:start w:val="1"/>
      <w:numFmt w:val="bullet"/>
      <w:lvlText w:val=""/>
      <w:lvlJc w:val="left"/>
      <w:pPr>
        <w:tabs>
          <w:tab w:val="num" w:pos="5763"/>
        </w:tabs>
        <w:ind w:left="5763" w:hanging="360"/>
      </w:pPr>
      <w:rPr>
        <w:rFonts w:ascii="Wingdings" w:hAnsi="Wingdings" w:cs="Wingdings" w:hint="default"/>
      </w:rPr>
    </w:lvl>
  </w:abstractNum>
  <w:abstractNum w:abstractNumId="7">
    <w:nsid w:val="0AEA5334"/>
    <w:multiLevelType w:val="hybridMultilevel"/>
    <w:tmpl w:val="603095D2"/>
    <w:lvl w:ilvl="0" w:tplc="FBC2FE58">
      <w:start w:val="1"/>
      <w:numFmt w:val="bullet"/>
      <w:lvlText w:val=""/>
      <w:lvlJc w:val="left"/>
      <w:pPr>
        <w:tabs>
          <w:tab w:val="num" w:pos="720"/>
        </w:tabs>
        <w:ind w:left="720" w:hanging="363"/>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0B2B2383"/>
    <w:multiLevelType w:val="hybridMultilevel"/>
    <w:tmpl w:val="068ECB20"/>
    <w:lvl w:ilvl="0" w:tplc="5E147CD4">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0D995749"/>
    <w:multiLevelType w:val="hybridMultilevel"/>
    <w:tmpl w:val="A6FA797C"/>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0DB16925"/>
    <w:multiLevelType w:val="hybridMultilevel"/>
    <w:tmpl w:val="9234602A"/>
    <w:lvl w:ilvl="0" w:tplc="6DE0AB14">
      <w:start w:val="1"/>
      <w:numFmt w:val="bullet"/>
      <w:lvlText w:val=""/>
      <w:lvlJc w:val="left"/>
      <w:pPr>
        <w:tabs>
          <w:tab w:val="num" w:pos="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104B47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09C74CA"/>
    <w:multiLevelType w:val="hybridMultilevel"/>
    <w:tmpl w:val="2AA8E1F2"/>
    <w:lvl w:ilvl="0" w:tplc="05642A88">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3">
    <w:nsid w:val="17067125"/>
    <w:multiLevelType w:val="hybridMultilevel"/>
    <w:tmpl w:val="EBA840A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4">
    <w:nsid w:val="176A70A5"/>
    <w:multiLevelType w:val="hybridMultilevel"/>
    <w:tmpl w:val="677C8E2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17956ACA"/>
    <w:multiLevelType w:val="hybridMultilevel"/>
    <w:tmpl w:val="3BE2B906"/>
    <w:lvl w:ilvl="0" w:tplc="F1003B2C">
      <w:start w:val="1"/>
      <w:numFmt w:val="bullet"/>
      <w:lvlText w:val="o"/>
      <w:lvlJc w:val="left"/>
      <w:pPr>
        <w:tabs>
          <w:tab w:val="num" w:pos="3600"/>
        </w:tabs>
        <w:ind w:left="3600" w:hanging="360"/>
      </w:pPr>
      <w:rPr>
        <w:rFonts w:ascii="Courier New" w:hAnsi="Courier New" w:cs="Courier New"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cs="Wingdings" w:hint="default"/>
      </w:rPr>
    </w:lvl>
    <w:lvl w:ilvl="3" w:tplc="08090001" w:tentative="1">
      <w:start w:val="1"/>
      <w:numFmt w:val="bullet"/>
      <w:lvlText w:val=""/>
      <w:lvlJc w:val="left"/>
      <w:pPr>
        <w:tabs>
          <w:tab w:val="num" w:pos="6120"/>
        </w:tabs>
        <w:ind w:left="6120" w:hanging="360"/>
      </w:pPr>
      <w:rPr>
        <w:rFonts w:ascii="Symbol" w:hAnsi="Symbol" w:cs="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cs="Wingdings" w:hint="default"/>
      </w:rPr>
    </w:lvl>
    <w:lvl w:ilvl="6" w:tplc="08090001" w:tentative="1">
      <w:start w:val="1"/>
      <w:numFmt w:val="bullet"/>
      <w:lvlText w:val=""/>
      <w:lvlJc w:val="left"/>
      <w:pPr>
        <w:tabs>
          <w:tab w:val="num" w:pos="8280"/>
        </w:tabs>
        <w:ind w:left="8280" w:hanging="360"/>
      </w:pPr>
      <w:rPr>
        <w:rFonts w:ascii="Symbol" w:hAnsi="Symbol" w:cs="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cs="Wingdings" w:hint="default"/>
      </w:rPr>
    </w:lvl>
  </w:abstractNum>
  <w:abstractNum w:abstractNumId="16">
    <w:nsid w:val="1CBF70B8"/>
    <w:multiLevelType w:val="hybridMultilevel"/>
    <w:tmpl w:val="0930B088"/>
    <w:lvl w:ilvl="0" w:tplc="26501AA2">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7">
    <w:nsid w:val="1EA95DDF"/>
    <w:multiLevelType w:val="hybridMultilevel"/>
    <w:tmpl w:val="0AEC7FC2"/>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22E73C25"/>
    <w:multiLevelType w:val="hybridMultilevel"/>
    <w:tmpl w:val="45EA7BD6"/>
    <w:lvl w:ilvl="0" w:tplc="08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9">
    <w:nsid w:val="24C606E9"/>
    <w:multiLevelType w:val="hybridMultilevel"/>
    <w:tmpl w:val="8F68FBD0"/>
    <w:lvl w:ilvl="0" w:tplc="08090003">
      <w:start w:val="1"/>
      <w:numFmt w:val="bullet"/>
      <w:lvlText w:val="o"/>
      <w:lvlJc w:val="left"/>
      <w:pPr>
        <w:tabs>
          <w:tab w:val="num" w:pos="1077"/>
        </w:tabs>
        <w:ind w:left="1077" w:hanging="360"/>
      </w:pPr>
      <w:rPr>
        <w:rFonts w:ascii="Courier New" w:hAnsi="Courier New" w:cs="Courier New"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cs="Wingdings" w:hint="default"/>
      </w:rPr>
    </w:lvl>
    <w:lvl w:ilvl="3" w:tplc="08090001" w:tentative="1">
      <w:start w:val="1"/>
      <w:numFmt w:val="bullet"/>
      <w:lvlText w:val=""/>
      <w:lvlJc w:val="left"/>
      <w:pPr>
        <w:tabs>
          <w:tab w:val="num" w:pos="3237"/>
        </w:tabs>
        <w:ind w:left="3237" w:hanging="360"/>
      </w:pPr>
      <w:rPr>
        <w:rFonts w:ascii="Symbol" w:hAnsi="Symbol" w:cs="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cs="Wingdings" w:hint="default"/>
      </w:rPr>
    </w:lvl>
    <w:lvl w:ilvl="6" w:tplc="08090001" w:tentative="1">
      <w:start w:val="1"/>
      <w:numFmt w:val="bullet"/>
      <w:lvlText w:val=""/>
      <w:lvlJc w:val="left"/>
      <w:pPr>
        <w:tabs>
          <w:tab w:val="num" w:pos="5397"/>
        </w:tabs>
        <w:ind w:left="5397" w:hanging="360"/>
      </w:pPr>
      <w:rPr>
        <w:rFonts w:ascii="Symbol" w:hAnsi="Symbol" w:cs="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cs="Wingdings" w:hint="default"/>
      </w:rPr>
    </w:lvl>
  </w:abstractNum>
  <w:abstractNum w:abstractNumId="20">
    <w:nsid w:val="258931C0"/>
    <w:multiLevelType w:val="hybridMultilevel"/>
    <w:tmpl w:val="B920B07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1">
    <w:nsid w:val="262A5352"/>
    <w:multiLevelType w:val="hybridMultilevel"/>
    <w:tmpl w:val="8056C5F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2776179A"/>
    <w:multiLevelType w:val="hybridMultilevel"/>
    <w:tmpl w:val="358A719E"/>
    <w:lvl w:ilvl="0" w:tplc="F93AE342">
      <w:start w:val="1"/>
      <w:numFmt w:val="bullet"/>
      <w:lvlText w:val=""/>
      <w:lvlJc w:val="left"/>
      <w:pPr>
        <w:tabs>
          <w:tab w:val="num" w:pos="363"/>
        </w:tabs>
        <w:ind w:left="363" w:hanging="363"/>
      </w:pPr>
      <w:rPr>
        <w:rFonts w:ascii="Symbol" w:hAnsi="Symbol" w:cs="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cs="Wingdings" w:hint="default"/>
      </w:rPr>
    </w:lvl>
    <w:lvl w:ilvl="3" w:tplc="08090001" w:tentative="1">
      <w:start w:val="1"/>
      <w:numFmt w:val="bullet"/>
      <w:lvlText w:val=""/>
      <w:lvlJc w:val="left"/>
      <w:pPr>
        <w:tabs>
          <w:tab w:val="num" w:pos="2523"/>
        </w:tabs>
        <w:ind w:left="2523" w:hanging="360"/>
      </w:pPr>
      <w:rPr>
        <w:rFonts w:ascii="Symbol" w:hAnsi="Symbol" w:cs="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cs="Wingdings" w:hint="default"/>
      </w:rPr>
    </w:lvl>
    <w:lvl w:ilvl="6" w:tplc="08090001" w:tentative="1">
      <w:start w:val="1"/>
      <w:numFmt w:val="bullet"/>
      <w:lvlText w:val=""/>
      <w:lvlJc w:val="left"/>
      <w:pPr>
        <w:tabs>
          <w:tab w:val="num" w:pos="4683"/>
        </w:tabs>
        <w:ind w:left="4683" w:hanging="360"/>
      </w:pPr>
      <w:rPr>
        <w:rFonts w:ascii="Symbol" w:hAnsi="Symbol" w:cs="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cs="Wingdings" w:hint="default"/>
      </w:rPr>
    </w:lvl>
  </w:abstractNum>
  <w:abstractNum w:abstractNumId="23">
    <w:nsid w:val="28660DF6"/>
    <w:multiLevelType w:val="hybridMultilevel"/>
    <w:tmpl w:val="A78E87D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1042BDD"/>
    <w:multiLevelType w:val="hybridMultilevel"/>
    <w:tmpl w:val="E0DE2E04"/>
    <w:lvl w:ilvl="0" w:tplc="15D876A2">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1482691"/>
    <w:multiLevelType w:val="hybridMultilevel"/>
    <w:tmpl w:val="EB08408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4DF738A"/>
    <w:multiLevelType w:val="hybridMultilevel"/>
    <w:tmpl w:val="97CAA3AE"/>
    <w:lvl w:ilvl="0" w:tplc="5FE067C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47820C3A"/>
    <w:multiLevelType w:val="hybridMultilevel"/>
    <w:tmpl w:val="920E8E08"/>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47A53811"/>
    <w:multiLevelType w:val="hybridMultilevel"/>
    <w:tmpl w:val="260E59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A864BD7"/>
    <w:multiLevelType w:val="multilevel"/>
    <w:tmpl w:val="B70E2BB4"/>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0">
    <w:nsid w:val="4BF11D54"/>
    <w:multiLevelType w:val="hybridMultilevel"/>
    <w:tmpl w:val="A2D67228"/>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523D2BA7"/>
    <w:multiLevelType w:val="multilevel"/>
    <w:tmpl w:val="398AC5F8"/>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40D2B75"/>
    <w:multiLevelType w:val="hybridMultilevel"/>
    <w:tmpl w:val="A48650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564D1278"/>
    <w:multiLevelType w:val="hybridMultilevel"/>
    <w:tmpl w:val="1BCCDF2C"/>
    <w:lvl w:ilvl="0" w:tplc="23ACFF4E">
      <w:start w:val="1"/>
      <w:numFmt w:val="upperLetter"/>
      <w:lvlText w:val="%1."/>
      <w:lvlJc w:val="left"/>
      <w:pPr>
        <w:tabs>
          <w:tab w:val="num" w:pos="1440"/>
        </w:tabs>
        <w:ind w:left="1440" w:hanging="360"/>
      </w:pPr>
      <w:rPr>
        <w:rFonts w:ascii="Arial" w:eastAsia="Times New Roman" w:hAnsi="Arial"/>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34">
    <w:nsid w:val="5672277B"/>
    <w:multiLevelType w:val="hybridMultilevel"/>
    <w:tmpl w:val="A36CED60"/>
    <w:lvl w:ilvl="0" w:tplc="08090001">
      <w:start w:val="1"/>
      <w:numFmt w:val="bullet"/>
      <w:lvlText w:val=""/>
      <w:lvlJc w:val="left"/>
      <w:pPr>
        <w:tabs>
          <w:tab w:val="num" w:pos="900"/>
        </w:tabs>
        <w:ind w:left="900" w:hanging="360"/>
      </w:pPr>
      <w:rPr>
        <w:rFonts w:ascii="Symbol" w:hAnsi="Symbol" w:cs="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cs="Wingdings" w:hint="default"/>
      </w:rPr>
    </w:lvl>
    <w:lvl w:ilvl="3" w:tplc="08090001" w:tentative="1">
      <w:start w:val="1"/>
      <w:numFmt w:val="bullet"/>
      <w:lvlText w:val=""/>
      <w:lvlJc w:val="left"/>
      <w:pPr>
        <w:tabs>
          <w:tab w:val="num" w:pos="3060"/>
        </w:tabs>
        <w:ind w:left="3060" w:hanging="360"/>
      </w:pPr>
      <w:rPr>
        <w:rFonts w:ascii="Symbol" w:hAnsi="Symbol" w:cs="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cs="Wingdings" w:hint="default"/>
      </w:rPr>
    </w:lvl>
    <w:lvl w:ilvl="6" w:tplc="08090001" w:tentative="1">
      <w:start w:val="1"/>
      <w:numFmt w:val="bullet"/>
      <w:lvlText w:val=""/>
      <w:lvlJc w:val="left"/>
      <w:pPr>
        <w:tabs>
          <w:tab w:val="num" w:pos="5220"/>
        </w:tabs>
        <w:ind w:left="5220" w:hanging="360"/>
      </w:pPr>
      <w:rPr>
        <w:rFonts w:ascii="Symbol" w:hAnsi="Symbol" w:cs="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cs="Wingdings" w:hint="default"/>
      </w:rPr>
    </w:lvl>
  </w:abstractNum>
  <w:abstractNum w:abstractNumId="35">
    <w:nsid w:val="58127517"/>
    <w:multiLevelType w:val="hybridMultilevel"/>
    <w:tmpl w:val="07243FD2"/>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36">
    <w:nsid w:val="5EBD3B3D"/>
    <w:multiLevelType w:val="multilevel"/>
    <w:tmpl w:val="020C03F4"/>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11A6419"/>
    <w:multiLevelType w:val="hybridMultilevel"/>
    <w:tmpl w:val="D216432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6CBF2825"/>
    <w:multiLevelType w:val="hybridMultilevel"/>
    <w:tmpl w:val="7C3ED8E4"/>
    <w:lvl w:ilvl="0" w:tplc="56E065EE">
      <w:start w:val="1"/>
      <w:numFmt w:val="bullet"/>
      <w:lvlText w:val=""/>
      <w:lvlJc w:val="left"/>
      <w:pPr>
        <w:tabs>
          <w:tab w:val="num" w:pos="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nsid w:val="6F316DF8"/>
    <w:multiLevelType w:val="hybridMultilevel"/>
    <w:tmpl w:val="2F0433E6"/>
    <w:lvl w:ilvl="0" w:tplc="FBC2FE58">
      <w:start w:val="1"/>
      <w:numFmt w:val="bullet"/>
      <w:lvlText w:val=""/>
      <w:lvlJc w:val="left"/>
      <w:pPr>
        <w:tabs>
          <w:tab w:val="num" w:pos="720"/>
        </w:tabs>
        <w:ind w:left="720" w:hanging="363"/>
      </w:pPr>
      <w:rPr>
        <w:rFonts w:ascii="Symbol" w:hAnsi="Symbol" w:cs="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cs="Wingdings" w:hint="default"/>
      </w:rPr>
    </w:lvl>
    <w:lvl w:ilvl="3" w:tplc="08090001" w:tentative="1">
      <w:start w:val="1"/>
      <w:numFmt w:val="bullet"/>
      <w:lvlText w:val=""/>
      <w:lvlJc w:val="left"/>
      <w:pPr>
        <w:tabs>
          <w:tab w:val="num" w:pos="3060"/>
        </w:tabs>
        <w:ind w:left="3060" w:hanging="360"/>
      </w:pPr>
      <w:rPr>
        <w:rFonts w:ascii="Symbol" w:hAnsi="Symbol" w:cs="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cs="Wingdings" w:hint="default"/>
      </w:rPr>
    </w:lvl>
    <w:lvl w:ilvl="6" w:tplc="08090001" w:tentative="1">
      <w:start w:val="1"/>
      <w:numFmt w:val="bullet"/>
      <w:lvlText w:val=""/>
      <w:lvlJc w:val="left"/>
      <w:pPr>
        <w:tabs>
          <w:tab w:val="num" w:pos="5220"/>
        </w:tabs>
        <w:ind w:left="5220" w:hanging="360"/>
      </w:pPr>
      <w:rPr>
        <w:rFonts w:ascii="Symbol" w:hAnsi="Symbol" w:cs="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cs="Wingdings" w:hint="default"/>
      </w:rPr>
    </w:lvl>
  </w:abstractNum>
  <w:abstractNum w:abstractNumId="40">
    <w:nsid w:val="6F91573A"/>
    <w:multiLevelType w:val="hybridMultilevel"/>
    <w:tmpl w:val="118EE61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77EB3B23"/>
    <w:multiLevelType w:val="hybridMultilevel"/>
    <w:tmpl w:val="C90EA4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2">
    <w:nsid w:val="7A3223E0"/>
    <w:multiLevelType w:val="hybridMultilevel"/>
    <w:tmpl w:val="ECA64B4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28"/>
  </w:num>
  <w:num w:numId="2">
    <w:abstractNumId w:val="1"/>
  </w:num>
  <w:num w:numId="3">
    <w:abstractNumId w:val="37"/>
  </w:num>
  <w:num w:numId="4">
    <w:abstractNumId w:val="42"/>
  </w:num>
  <w:num w:numId="5">
    <w:abstractNumId w:val="12"/>
  </w:num>
  <w:num w:numId="6">
    <w:abstractNumId w:val="8"/>
  </w:num>
  <w:num w:numId="7">
    <w:abstractNumId w:val="2"/>
  </w:num>
  <w:num w:numId="8">
    <w:abstractNumId w:val="24"/>
  </w:num>
  <w:num w:numId="9">
    <w:abstractNumId w:val="26"/>
  </w:num>
  <w:num w:numId="10">
    <w:abstractNumId w:val="4"/>
  </w:num>
  <w:num w:numId="11">
    <w:abstractNumId w:val="3"/>
  </w:num>
  <w:num w:numId="12">
    <w:abstractNumId w:val="27"/>
  </w:num>
  <w:num w:numId="13">
    <w:abstractNumId w:val="17"/>
  </w:num>
  <w:num w:numId="14">
    <w:abstractNumId w:val="30"/>
  </w:num>
  <w:num w:numId="15">
    <w:abstractNumId w:val="20"/>
  </w:num>
  <w:num w:numId="16">
    <w:abstractNumId w:val="10"/>
  </w:num>
  <w:num w:numId="17">
    <w:abstractNumId w:val="38"/>
  </w:num>
  <w:num w:numId="18">
    <w:abstractNumId w:val="16"/>
  </w:num>
  <w:num w:numId="19">
    <w:abstractNumId w:val="0"/>
  </w:num>
  <w:num w:numId="20">
    <w:abstractNumId w:val="31"/>
  </w:num>
  <w:num w:numId="21">
    <w:abstractNumId w:val="22"/>
  </w:num>
  <w:num w:numId="22">
    <w:abstractNumId w:val="6"/>
  </w:num>
  <w:num w:numId="23">
    <w:abstractNumId w:val="29"/>
  </w:num>
  <w:num w:numId="24">
    <w:abstractNumId w:val="14"/>
  </w:num>
  <w:num w:numId="25">
    <w:abstractNumId w:val="36"/>
  </w:num>
  <w:num w:numId="26">
    <w:abstractNumId w:val="25"/>
  </w:num>
  <w:num w:numId="27">
    <w:abstractNumId w:val="13"/>
  </w:num>
  <w:num w:numId="28">
    <w:abstractNumId w:val="33"/>
  </w:num>
  <w:num w:numId="29">
    <w:abstractNumId w:val="15"/>
  </w:num>
  <w:num w:numId="30">
    <w:abstractNumId w:val="34"/>
  </w:num>
  <w:num w:numId="31">
    <w:abstractNumId w:val="11"/>
  </w:num>
  <w:num w:numId="32">
    <w:abstractNumId w:val="39"/>
  </w:num>
  <w:num w:numId="33">
    <w:abstractNumId w:val="18"/>
  </w:num>
  <w:num w:numId="34">
    <w:abstractNumId w:val="35"/>
  </w:num>
  <w:num w:numId="35">
    <w:abstractNumId w:val="23"/>
  </w:num>
  <w:num w:numId="36">
    <w:abstractNumId w:val="41"/>
  </w:num>
  <w:num w:numId="37">
    <w:abstractNumId w:val="40"/>
  </w:num>
  <w:num w:numId="38">
    <w:abstractNumId w:val="7"/>
  </w:num>
  <w:num w:numId="39">
    <w:abstractNumId w:val="5"/>
  </w:num>
  <w:num w:numId="40">
    <w:abstractNumId w:val="32"/>
  </w:num>
  <w:num w:numId="41">
    <w:abstractNumId w:val="21"/>
  </w:num>
  <w:num w:numId="42">
    <w:abstractNumId w:val="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20FC"/>
    <w:rsid w:val="00004A0B"/>
    <w:rsid w:val="00004C3D"/>
    <w:rsid w:val="00004F06"/>
    <w:rsid w:val="0000743C"/>
    <w:rsid w:val="00007D12"/>
    <w:rsid w:val="000100AE"/>
    <w:rsid w:val="00010136"/>
    <w:rsid w:val="00011151"/>
    <w:rsid w:val="000113B8"/>
    <w:rsid w:val="00011454"/>
    <w:rsid w:val="00012B9E"/>
    <w:rsid w:val="0001443F"/>
    <w:rsid w:val="000154FF"/>
    <w:rsid w:val="00015A65"/>
    <w:rsid w:val="00015FCF"/>
    <w:rsid w:val="000164DF"/>
    <w:rsid w:val="00017993"/>
    <w:rsid w:val="00021CED"/>
    <w:rsid w:val="00022408"/>
    <w:rsid w:val="00023626"/>
    <w:rsid w:val="00026FF6"/>
    <w:rsid w:val="00027228"/>
    <w:rsid w:val="00027781"/>
    <w:rsid w:val="00031A34"/>
    <w:rsid w:val="00031A60"/>
    <w:rsid w:val="00035209"/>
    <w:rsid w:val="000377FB"/>
    <w:rsid w:val="0004049F"/>
    <w:rsid w:val="00040868"/>
    <w:rsid w:val="00042F0A"/>
    <w:rsid w:val="0004335B"/>
    <w:rsid w:val="00044B54"/>
    <w:rsid w:val="00046BDA"/>
    <w:rsid w:val="00047FAF"/>
    <w:rsid w:val="00050D0C"/>
    <w:rsid w:val="000523BF"/>
    <w:rsid w:val="00052E58"/>
    <w:rsid w:val="00054C47"/>
    <w:rsid w:val="00055A0A"/>
    <w:rsid w:val="000613ED"/>
    <w:rsid w:val="00062054"/>
    <w:rsid w:val="00062685"/>
    <w:rsid w:val="00064448"/>
    <w:rsid w:val="00064766"/>
    <w:rsid w:val="00070857"/>
    <w:rsid w:val="000716B7"/>
    <w:rsid w:val="00071E71"/>
    <w:rsid w:val="00072359"/>
    <w:rsid w:val="00074956"/>
    <w:rsid w:val="000751DD"/>
    <w:rsid w:val="0007644E"/>
    <w:rsid w:val="00076F40"/>
    <w:rsid w:val="0007743F"/>
    <w:rsid w:val="00077692"/>
    <w:rsid w:val="000779A2"/>
    <w:rsid w:val="00077A3E"/>
    <w:rsid w:val="00077FCD"/>
    <w:rsid w:val="0008066D"/>
    <w:rsid w:val="00080DF0"/>
    <w:rsid w:val="000812FE"/>
    <w:rsid w:val="00083EBA"/>
    <w:rsid w:val="000844B7"/>
    <w:rsid w:val="00084D8D"/>
    <w:rsid w:val="0009127F"/>
    <w:rsid w:val="00092007"/>
    <w:rsid w:val="00092859"/>
    <w:rsid w:val="000933C4"/>
    <w:rsid w:val="0009393C"/>
    <w:rsid w:val="00094007"/>
    <w:rsid w:val="0009431F"/>
    <w:rsid w:val="000960B3"/>
    <w:rsid w:val="0009764F"/>
    <w:rsid w:val="000A0973"/>
    <w:rsid w:val="000A29A0"/>
    <w:rsid w:val="000A3021"/>
    <w:rsid w:val="000A575D"/>
    <w:rsid w:val="000A7A67"/>
    <w:rsid w:val="000B00E0"/>
    <w:rsid w:val="000B261A"/>
    <w:rsid w:val="000B335A"/>
    <w:rsid w:val="000B5879"/>
    <w:rsid w:val="000B5C86"/>
    <w:rsid w:val="000B666C"/>
    <w:rsid w:val="000B71CF"/>
    <w:rsid w:val="000C5082"/>
    <w:rsid w:val="000C5B61"/>
    <w:rsid w:val="000C6786"/>
    <w:rsid w:val="000D0BB4"/>
    <w:rsid w:val="000D1F4F"/>
    <w:rsid w:val="000D2EB5"/>
    <w:rsid w:val="000D35AA"/>
    <w:rsid w:val="000D3D15"/>
    <w:rsid w:val="000D3F1E"/>
    <w:rsid w:val="000D4FAA"/>
    <w:rsid w:val="000E53AB"/>
    <w:rsid w:val="000E5FFA"/>
    <w:rsid w:val="000E66AB"/>
    <w:rsid w:val="000E7BB8"/>
    <w:rsid w:val="000F00EF"/>
    <w:rsid w:val="000F069A"/>
    <w:rsid w:val="000F29CA"/>
    <w:rsid w:val="000F2B1C"/>
    <w:rsid w:val="000F2EE2"/>
    <w:rsid w:val="000F47F0"/>
    <w:rsid w:val="000F5C8B"/>
    <w:rsid w:val="00100B06"/>
    <w:rsid w:val="0010144C"/>
    <w:rsid w:val="00101FAD"/>
    <w:rsid w:val="00103A4E"/>
    <w:rsid w:val="00103FBD"/>
    <w:rsid w:val="0010474D"/>
    <w:rsid w:val="001050AF"/>
    <w:rsid w:val="00105FDD"/>
    <w:rsid w:val="00106007"/>
    <w:rsid w:val="001060A4"/>
    <w:rsid w:val="0010656E"/>
    <w:rsid w:val="001067BE"/>
    <w:rsid w:val="00110248"/>
    <w:rsid w:val="00111279"/>
    <w:rsid w:val="0011373D"/>
    <w:rsid w:val="00114A65"/>
    <w:rsid w:val="00115FD6"/>
    <w:rsid w:val="001166B7"/>
    <w:rsid w:val="00116D53"/>
    <w:rsid w:val="00117497"/>
    <w:rsid w:val="00121302"/>
    <w:rsid w:val="001218F9"/>
    <w:rsid w:val="001227DE"/>
    <w:rsid w:val="001229F0"/>
    <w:rsid w:val="00122CFB"/>
    <w:rsid w:val="00123036"/>
    <w:rsid w:val="00123245"/>
    <w:rsid w:val="00123BC8"/>
    <w:rsid w:val="00124183"/>
    <w:rsid w:val="0012642A"/>
    <w:rsid w:val="001268F4"/>
    <w:rsid w:val="00127997"/>
    <w:rsid w:val="00127C54"/>
    <w:rsid w:val="00132419"/>
    <w:rsid w:val="00132C22"/>
    <w:rsid w:val="0013381F"/>
    <w:rsid w:val="00134905"/>
    <w:rsid w:val="001349C0"/>
    <w:rsid w:val="0013558B"/>
    <w:rsid w:val="00140573"/>
    <w:rsid w:val="00142275"/>
    <w:rsid w:val="00142618"/>
    <w:rsid w:val="00142D4E"/>
    <w:rsid w:val="00143D7F"/>
    <w:rsid w:val="001445DE"/>
    <w:rsid w:val="001457EC"/>
    <w:rsid w:val="00145FE1"/>
    <w:rsid w:val="00147819"/>
    <w:rsid w:val="00147CA9"/>
    <w:rsid w:val="00152423"/>
    <w:rsid w:val="0015260E"/>
    <w:rsid w:val="00152633"/>
    <w:rsid w:val="00153192"/>
    <w:rsid w:val="00153F57"/>
    <w:rsid w:val="001554CC"/>
    <w:rsid w:val="00155557"/>
    <w:rsid w:val="0015659B"/>
    <w:rsid w:val="0015775B"/>
    <w:rsid w:val="00157A23"/>
    <w:rsid w:val="00157A6F"/>
    <w:rsid w:val="00157E8E"/>
    <w:rsid w:val="001601AB"/>
    <w:rsid w:val="001604F1"/>
    <w:rsid w:val="00160811"/>
    <w:rsid w:val="001610B9"/>
    <w:rsid w:val="00164A0D"/>
    <w:rsid w:val="00165AE9"/>
    <w:rsid w:val="00166EB0"/>
    <w:rsid w:val="00167385"/>
    <w:rsid w:val="00167D05"/>
    <w:rsid w:val="0017058A"/>
    <w:rsid w:val="00171C76"/>
    <w:rsid w:val="00172102"/>
    <w:rsid w:val="0017248A"/>
    <w:rsid w:val="00172E20"/>
    <w:rsid w:val="00173E2D"/>
    <w:rsid w:val="0018172B"/>
    <w:rsid w:val="00181F5C"/>
    <w:rsid w:val="00182655"/>
    <w:rsid w:val="00185006"/>
    <w:rsid w:val="001857BD"/>
    <w:rsid w:val="0018590F"/>
    <w:rsid w:val="001916D9"/>
    <w:rsid w:val="0019224A"/>
    <w:rsid w:val="00192945"/>
    <w:rsid w:val="001945BA"/>
    <w:rsid w:val="0019502A"/>
    <w:rsid w:val="00195135"/>
    <w:rsid w:val="00195381"/>
    <w:rsid w:val="001969E4"/>
    <w:rsid w:val="00197BF6"/>
    <w:rsid w:val="001A2540"/>
    <w:rsid w:val="001A310E"/>
    <w:rsid w:val="001A482A"/>
    <w:rsid w:val="001A55D5"/>
    <w:rsid w:val="001A6729"/>
    <w:rsid w:val="001B0B70"/>
    <w:rsid w:val="001B0F2B"/>
    <w:rsid w:val="001B105F"/>
    <w:rsid w:val="001B28CB"/>
    <w:rsid w:val="001B5029"/>
    <w:rsid w:val="001B58D8"/>
    <w:rsid w:val="001B6BE7"/>
    <w:rsid w:val="001B6C65"/>
    <w:rsid w:val="001B7035"/>
    <w:rsid w:val="001B7964"/>
    <w:rsid w:val="001C0909"/>
    <w:rsid w:val="001C1330"/>
    <w:rsid w:val="001C1414"/>
    <w:rsid w:val="001C2D62"/>
    <w:rsid w:val="001C3834"/>
    <w:rsid w:val="001C3AAC"/>
    <w:rsid w:val="001C3B3A"/>
    <w:rsid w:val="001C3FF2"/>
    <w:rsid w:val="001C51DB"/>
    <w:rsid w:val="001C597E"/>
    <w:rsid w:val="001C5C36"/>
    <w:rsid w:val="001C7AC3"/>
    <w:rsid w:val="001D0040"/>
    <w:rsid w:val="001D1FA6"/>
    <w:rsid w:val="001D2BBE"/>
    <w:rsid w:val="001D3E2D"/>
    <w:rsid w:val="001D3F54"/>
    <w:rsid w:val="001D4F30"/>
    <w:rsid w:val="001D5B40"/>
    <w:rsid w:val="001D5F42"/>
    <w:rsid w:val="001D6702"/>
    <w:rsid w:val="001D6C96"/>
    <w:rsid w:val="001E0972"/>
    <w:rsid w:val="001E20EE"/>
    <w:rsid w:val="001E22F1"/>
    <w:rsid w:val="001E24E2"/>
    <w:rsid w:val="001E2AA7"/>
    <w:rsid w:val="001E3114"/>
    <w:rsid w:val="001E4002"/>
    <w:rsid w:val="001E49A5"/>
    <w:rsid w:val="001E49AF"/>
    <w:rsid w:val="001E748E"/>
    <w:rsid w:val="001E7C15"/>
    <w:rsid w:val="001F0198"/>
    <w:rsid w:val="001F1767"/>
    <w:rsid w:val="001F18E1"/>
    <w:rsid w:val="001F3BCC"/>
    <w:rsid w:val="001F4F7C"/>
    <w:rsid w:val="001F63E2"/>
    <w:rsid w:val="001F6BFE"/>
    <w:rsid w:val="001F6C0A"/>
    <w:rsid w:val="002005D9"/>
    <w:rsid w:val="00201131"/>
    <w:rsid w:val="002023C4"/>
    <w:rsid w:val="00204B5D"/>
    <w:rsid w:val="0020506B"/>
    <w:rsid w:val="002072E4"/>
    <w:rsid w:val="00207BA5"/>
    <w:rsid w:val="00213231"/>
    <w:rsid w:val="00213651"/>
    <w:rsid w:val="00216282"/>
    <w:rsid w:val="00220803"/>
    <w:rsid w:val="00220E9B"/>
    <w:rsid w:val="00223BB6"/>
    <w:rsid w:val="00225393"/>
    <w:rsid w:val="0022594D"/>
    <w:rsid w:val="00226D3F"/>
    <w:rsid w:val="0022754B"/>
    <w:rsid w:val="00227C4C"/>
    <w:rsid w:val="002301C7"/>
    <w:rsid w:val="00230ED7"/>
    <w:rsid w:val="0023364B"/>
    <w:rsid w:val="00234337"/>
    <w:rsid w:val="0023591E"/>
    <w:rsid w:val="00235DDD"/>
    <w:rsid w:val="002404A5"/>
    <w:rsid w:val="002411F4"/>
    <w:rsid w:val="0024246E"/>
    <w:rsid w:val="00245270"/>
    <w:rsid w:val="002455E7"/>
    <w:rsid w:val="00246DB4"/>
    <w:rsid w:val="00246EE9"/>
    <w:rsid w:val="00247744"/>
    <w:rsid w:val="0025021A"/>
    <w:rsid w:val="00250898"/>
    <w:rsid w:val="00250C21"/>
    <w:rsid w:val="00251536"/>
    <w:rsid w:val="0025354F"/>
    <w:rsid w:val="00255264"/>
    <w:rsid w:val="00260509"/>
    <w:rsid w:val="00260A64"/>
    <w:rsid w:val="00261B5F"/>
    <w:rsid w:val="0026264C"/>
    <w:rsid w:val="002634A9"/>
    <w:rsid w:val="00263E1A"/>
    <w:rsid w:val="00267A4D"/>
    <w:rsid w:val="00270E91"/>
    <w:rsid w:val="00271C8B"/>
    <w:rsid w:val="002736F6"/>
    <w:rsid w:val="00274DF1"/>
    <w:rsid w:val="00275968"/>
    <w:rsid w:val="0027665B"/>
    <w:rsid w:val="00280694"/>
    <w:rsid w:val="002807D2"/>
    <w:rsid w:val="00280C6D"/>
    <w:rsid w:val="002819EF"/>
    <w:rsid w:val="00290D00"/>
    <w:rsid w:val="00291AFE"/>
    <w:rsid w:val="00291B4C"/>
    <w:rsid w:val="00291C8E"/>
    <w:rsid w:val="002923BD"/>
    <w:rsid w:val="00292876"/>
    <w:rsid w:val="00293650"/>
    <w:rsid w:val="00293B0C"/>
    <w:rsid w:val="0029567E"/>
    <w:rsid w:val="0029698C"/>
    <w:rsid w:val="00296C94"/>
    <w:rsid w:val="002A1D06"/>
    <w:rsid w:val="002A2406"/>
    <w:rsid w:val="002A35E6"/>
    <w:rsid w:val="002A3A74"/>
    <w:rsid w:val="002A3A92"/>
    <w:rsid w:val="002A410E"/>
    <w:rsid w:val="002A462C"/>
    <w:rsid w:val="002A4BBB"/>
    <w:rsid w:val="002A5819"/>
    <w:rsid w:val="002A5A7C"/>
    <w:rsid w:val="002A68D3"/>
    <w:rsid w:val="002A7382"/>
    <w:rsid w:val="002A751E"/>
    <w:rsid w:val="002A7D9E"/>
    <w:rsid w:val="002B0BE8"/>
    <w:rsid w:val="002B0FC7"/>
    <w:rsid w:val="002B107F"/>
    <w:rsid w:val="002B156A"/>
    <w:rsid w:val="002B185F"/>
    <w:rsid w:val="002B1DD5"/>
    <w:rsid w:val="002B2E9E"/>
    <w:rsid w:val="002B37C2"/>
    <w:rsid w:val="002B772E"/>
    <w:rsid w:val="002C0E85"/>
    <w:rsid w:val="002C4764"/>
    <w:rsid w:val="002C507F"/>
    <w:rsid w:val="002C6296"/>
    <w:rsid w:val="002C70BD"/>
    <w:rsid w:val="002D0053"/>
    <w:rsid w:val="002D063D"/>
    <w:rsid w:val="002D4BB5"/>
    <w:rsid w:val="002D6848"/>
    <w:rsid w:val="002E104E"/>
    <w:rsid w:val="002E1071"/>
    <w:rsid w:val="002E1439"/>
    <w:rsid w:val="002E14F2"/>
    <w:rsid w:val="002E2847"/>
    <w:rsid w:val="002E43C1"/>
    <w:rsid w:val="002E4A7A"/>
    <w:rsid w:val="002E5ED3"/>
    <w:rsid w:val="002E603E"/>
    <w:rsid w:val="002E642A"/>
    <w:rsid w:val="002E7FE4"/>
    <w:rsid w:val="002F0E82"/>
    <w:rsid w:val="002F3018"/>
    <w:rsid w:val="002F5063"/>
    <w:rsid w:val="002F5D68"/>
    <w:rsid w:val="002F6A73"/>
    <w:rsid w:val="002F7E9C"/>
    <w:rsid w:val="002F7FA9"/>
    <w:rsid w:val="00300437"/>
    <w:rsid w:val="00300F65"/>
    <w:rsid w:val="003029D2"/>
    <w:rsid w:val="00305456"/>
    <w:rsid w:val="00316111"/>
    <w:rsid w:val="00322EDE"/>
    <w:rsid w:val="00323970"/>
    <w:rsid w:val="0032430C"/>
    <w:rsid w:val="003268EF"/>
    <w:rsid w:val="003269A1"/>
    <w:rsid w:val="00327A23"/>
    <w:rsid w:val="00330755"/>
    <w:rsid w:val="0033398A"/>
    <w:rsid w:val="00333E61"/>
    <w:rsid w:val="003342CE"/>
    <w:rsid w:val="00335FB3"/>
    <w:rsid w:val="00337DAB"/>
    <w:rsid w:val="0034031B"/>
    <w:rsid w:val="003417E3"/>
    <w:rsid w:val="00341E69"/>
    <w:rsid w:val="003421B9"/>
    <w:rsid w:val="00343EE3"/>
    <w:rsid w:val="0034439D"/>
    <w:rsid w:val="003452D0"/>
    <w:rsid w:val="003476B9"/>
    <w:rsid w:val="00347BED"/>
    <w:rsid w:val="00353167"/>
    <w:rsid w:val="003532E4"/>
    <w:rsid w:val="00354CA2"/>
    <w:rsid w:val="0035569E"/>
    <w:rsid w:val="003629CA"/>
    <w:rsid w:val="0036346D"/>
    <w:rsid w:val="00363644"/>
    <w:rsid w:val="00363E33"/>
    <w:rsid w:val="00363E8C"/>
    <w:rsid w:val="003665F3"/>
    <w:rsid w:val="003709B7"/>
    <w:rsid w:val="00371117"/>
    <w:rsid w:val="003711C2"/>
    <w:rsid w:val="003720D9"/>
    <w:rsid w:val="00372EB7"/>
    <w:rsid w:val="00373A59"/>
    <w:rsid w:val="00374519"/>
    <w:rsid w:val="0037731F"/>
    <w:rsid w:val="00377493"/>
    <w:rsid w:val="003809C5"/>
    <w:rsid w:val="0038131A"/>
    <w:rsid w:val="003816A8"/>
    <w:rsid w:val="00381CFE"/>
    <w:rsid w:val="003837CD"/>
    <w:rsid w:val="0038413F"/>
    <w:rsid w:val="00385110"/>
    <w:rsid w:val="00385703"/>
    <w:rsid w:val="0038570C"/>
    <w:rsid w:val="00385F3D"/>
    <w:rsid w:val="003860C6"/>
    <w:rsid w:val="0039011D"/>
    <w:rsid w:val="00390981"/>
    <w:rsid w:val="003909A9"/>
    <w:rsid w:val="00390AF7"/>
    <w:rsid w:val="00391423"/>
    <w:rsid w:val="00391AB2"/>
    <w:rsid w:val="0039321B"/>
    <w:rsid w:val="0039363D"/>
    <w:rsid w:val="0039396F"/>
    <w:rsid w:val="00395298"/>
    <w:rsid w:val="00395A69"/>
    <w:rsid w:val="00396EA2"/>
    <w:rsid w:val="00397FF0"/>
    <w:rsid w:val="003A0110"/>
    <w:rsid w:val="003A0A8C"/>
    <w:rsid w:val="003A36BC"/>
    <w:rsid w:val="003A376B"/>
    <w:rsid w:val="003A3925"/>
    <w:rsid w:val="003A7DD5"/>
    <w:rsid w:val="003B2527"/>
    <w:rsid w:val="003B2DB1"/>
    <w:rsid w:val="003C2AEC"/>
    <w:rsid w:val="003C5A05"/>
    <w:rsid w:val="003C6B60"/>
    <w:rsid w:val="003C71C9"/>
    <w:rsid w:val="003D0B57"/>
    <w:rsid w:val="003D0D64"/>
    <w:rsid w:val="003D10C9"/>
    <w:rsid w:val="003D1379"/>
    <w:rsid w:val="003D30F8"/>
    <w:rsid w:val="003D53D3"/>
    <w:rsid w:val="003D601C"/>
    <w:rsid w:val="003D685F"/>
    <w:rsid w:val="003E18B5"/>
    <w:rsid w:val="003E1F3C"/>
    <w:rsid w:val="003E33B5"/>
    <w:rsid w:val="003E379F"/>
    <w:rsid w:val="003E3889"/>
    <w:rsid w:val="003E4BF4"/>
    <w:rsid w:val="003E5CEF"/>
    <w:rsid w:val="003E6377"/>
    <w:rsid w:val="003E6381"/>
    <w:rsid w:val="003E6B2E"/>
    <w:rsid w:val="003F29DB"/>
    <w:rsid w:val="003F31E3"/>
    <w:rsid w:val="003F3CDE"/>
    <w:rsid w:val="003F608E"/>
    <w:rsid w:val="003F6C31"/>
    <w:rsid w:val="003F75E9"/>
    <w:rsid w:val="003F7B7E"/>
    <w:rsid w:val="003F7DEB"/>
    <w:rsid w:val="003F7F19"/>
    <w:rsid w:val="0040291B"/>
    <w:rsid w:val="00402B05"/>
    <w:rsid w:val="00402CFF"/>
    <w:rsid w:val="0040340B"/>
    <w:rsid w:val="0040360C"/>
    <w:rsid w:val="00406F80"/>
    <w:rsid w:val="004129E2"/>
    <w:rsid w:val="0041627C"/>
    <w:rsid w:val="004163A3"/>
    <w:rsid w:val="00421275"/>
    <w:rsid w:val="00422281"/>
    <w:rsid w:val="00422A39"/>
    <w:rsid w:val="00422B7B"/>
    <w:rsid w:val="00423218"/>
    <w:rsid w:val="00425CA9"/>
    <w:rsid w:val="004276B8"/>
    <w:rsid w:val="00430BDD"/>
    <w:rsid w:val="00430D3B"/>
    <w:rsid w:val="00431582"/>
    <w:rsid w:val="004324F7"/>
    <w:rsid w:val="004357FA"/>
    <w:rsid w:val="00436D33"/>
    <w:rsid w:val="00440811"/>
    <w:rsid w:val="00443544"/>
    <w:rsid w:val="0044733F"/>
    <w:rsid w:val="00451A21"/>
    <w:rsid w:val="00452F78"/>
    <w:rsid w:val="00453FC2"/>
    <w:rsid w:val="00455169"/>
    <w:rsid w:val="004554F5"/>
    <w:rsid w:val="004570DD"/>
    <w:rsid w:val="004574FB"/>
    <w:rsid w:val="00460508"/>
    <w:rsid w:val="00460850"/>
    <w:rsid w:val="0046259B"/>
    <w:rsid w:val="00462B96"/>
    <w:rsid w:val="0046307C"/>
    <w:rsid w:val="00465830"/>
    <w:rsid w:val="00466CD6"/>
    <w:rsid w:val="00466FFF"/>
    <w:rsid w:val="0046795E"/>
    <w:rsid w:val="00470FC1"/>
    <w:rsid w:val="004718CA"/>
    <w:rsid w:val="00471C61"/>
    <w:rsid w:val="0047295B"/>
    <w:rsid w:val="004744A5"/>
    <w:rsid w:val="004757E3"/>
    <w:rsid w:val="00475845"/>
    <w:rsid w:val="00475DB7"/>
    <w:rsid w:val="0047661C"/>
    <w:rsid w:val="00476835"/>
    <w:rsid w:val="00480A9C"/>
    <w:rsid w:val="00481896"/>
    <w:rsid w:val="004823E6"/>
    <w:rsid w:val="00483ECA"/>
    <w:rsid w:val="0048495E"/>
    <w:rsid w:val="00485262"/>
    <w:rsid w:val="00485363"/>
    <w:rsid w:val="004869F3"/>
    <w:rsid w:val="00486D52"/>
    <w:rsid w:val="004870FC"/>
    <w:rsid w:val="00487419"/>
    <w:rsid w:val="0049693A"/>
    <w:rsid w:val="004A0858"/>
    <w:rsid w:val="004A2D2D"/>
    <w:rsid w:val="004A2D8D"/>
    <w:rsid w:val="004A3B6F"/>
    <w:rsid w:val="004A47A5"/>
    <w:rsid w:val="004A53A8"/>
    <w:rsid w:val="004A59A8"/>
    <w:rsid w:val="004A5A48"/>
    <w:rsid w:val="004B175A"/>
    <w:rsid w:val="004B2133"/>
    <w:rsid w:val="004B27C9"/>
    <w:rsid w:val="004B41D8"/>
    <w:rsid w:val="004B49DA"/>
    <w:rsid w:val="004B5044"/>
    <w:rsid w:val="004B5E1E"/>
    <w:rsid w:val="004B5FBD"/>
    <w:rsid w:val="004B798D"/>
    <w:rsid w:val="004B7BCF"/>
    <w:rsid w:val="004B7F93"/>
    <w:rsid w:val="004C19B8"/>
    <w:rsid w:val="004C1A14"/>
    <w:rsid w:val="004C2A46"/>
    <w:rsid w:val="004C3342"/>
    <w:rsid w:val="004C6E70"/>
    <w:rsid w:val="004D03FF"/>
    <w:rsid w:val="004D226E"/>
    <w:rsid w:val="004D22E6"/>
    <w:rsid w:val="004D2D0D"/>
    <w:rsid w:val="004D3B51"/>
    <w:rsid w:val="004D53E1"/>
    <w:rsid w:val="004D669A"/>
    <w:rsid w:val="004D715F"/>
    <w:rsid w:val="004D72C7"/>
    <w:rsid w:val="004E017A"/>
    <w:rsid w:val="004E1494"/>
    <w:rsid w:val="004E2B9D"/>
    <w:rsid w:val="004E36B7"/>
    <w:rsid w:val="004E4C3B"/>
    <w:rsid w:val="004E583B"/>
    <w:rsid w:val="004E6484"/>
    <w:rsid w:val="004E6DE5"/>
    <w:rsid w:val="004E72C6"/>
    <w:rsid w:val="004E7403"/>
    <w:rsid w:val="004F0D42"/>
    <w:rsid w:val="004F14E1"/>
    <w:rsid w:val="004F1DEF"/>
    <w:rsid w:val="004F29CF"/>
    <w:rsid w:val="004F2D70"/>
    <w:rsid w:val="004F4978"/>
    <w:rsid w:val="004F5DB7"/>
    <w:rsid w:val="004F7C1A"/>
    <w:rsid w:val="00500190"/>
    <w:rsid w:val="0050019E"/>
    <w:rsid w:val="0050452E"/>
    <w:rsid w:val="00504732"/>
    <w:rsid w:val="00506AEB"/>
    <w:rsid w:val="00507C4F"/>
    <w:rsid w:val="00511167"/>
    <w:rsid w:val="00512F5A"/>
    <w:rsid w:val="00513526"/>
    <w:rsid w:val="00513612"/>
    <w:rsid w:val="005146B2"/>
    <w:rsid w:val="0051492D"/>
    <w:rsid w:val="00520BDE"/>
    <w:rsid w:val="005211C3"/>
    <w:rsid w:val="00522F33"/>
    <w:rsid w:val="005230F8"/>
    <w:rsid w:val="005232A2"/>
    <w:rsid w:val="0052431B"/>
    <w:rsid w:val="00524F9C"/>
    <w:rsid w:val="00525DBB"/>
    <w:rsid w:val="00526236"/>
    <w:rsid w:val="00527CFB"/>
    <w:rsid w:val="005309CF"/>
    <w:rsid w:val="00531C1F"/>
    <w:rsid w:val="00531DB7"/>
    <w:rsid w:val="005327FB"/>
    <w:rsid w:val="00536219"/>
    <w:rsid w:val="00536922"/>
    <w:rsid w:val="00536EEE"/>
    <w:rsid w:val="0053732D"/>
    <w:rsid w:val="00537942"/>
    <w:rsid w:val="0054150A"/>
    <w:rsid w:val="005418CE"/>
    <w:rsid w:val="0054287E"/>
    <w:rsid w:val="0054368B"/>
    <w:rsid w:val="00550AC8"/>
    <w:rsid w:val="0055132E"/>
    <w:rsid w:val="00552A12"/>
    <w:rsid w:val="005535FE"/>
    <w:rsid w:val="00553C67"/>
    <w:rsid w:val="0055420E"/>
    <w:rsid w:val="00556D2F"/>
    <w:rsid w:val="00560474"/>
    <w:rsid w:val="005623F5"/>
    <w:rsid w:val="00562A17"/>
    <w:rsid w:val="00563251"/>
    <w:rsid w:val="00565B94"/>
    <w:rsid w:val="00566CC5"/>
    <w:rsid w:val="00567C27"/>
    <w:rsid w:val="00571871"/>
    <w:rsid w:val="00573886"/>
    <w:rsid w:val="00576467"/>
    <w:rsid w:val="005767D3"/>
    <w:rsid w:val="00580D88"/>
    <w:rsid w:val="0058331A"/>
    <w:rsid w:val="00583F83"/>
    <w:rsid w:val="0058636C"/>
    <w:rsid w:val="00591099"/>
    <w:rsid w:val="00591317"/>
    <w:rsid w:val="005919D6"/>
    <w:rsid w:val="00592124"/>
    <w:rsid w:val="00592226"/>
    <w:rsid w:val="00592711"/>
    <w:rsid w:val="005928E2"/>
    <w:rsid w:val="005937C2"/>
    <w:rsid w:val="005940D5"/>
    <w:rsid w:val="00597E74"/>
    <w:rsid w:val="005A16CD"/>
    <w:rsid w:val="005A1F8D"/>
    <w:rsid w:val="005A2827"/>
    <w:rsid w:val="005A3714"/>
    <w:rsid w:val="005A4462"/>
    <w:rsid w:val="005A56CA"/>
    <w:rsid w:val="005B058D"/>
    <w:rsid w:val="005B1228"/>
    <w:rsid w:val="005B1B64"/>
    <w:rsid w:val="005B2842"/>
    <w:rsid w:val="005B473F"/>
    <w:rsid w:val="005B5A35"/>
    <w:rsid w:val="005B7192"/>
    <w:rsid w:val="005C2D2C"/>
    <w:rsid w:val="005C43A0"/>
    <w:rsid w:val="005C5506"/>
    <w:rsid w:val="005C57B9"/>
    <w:rsid w:val="005C5A92"/>
    <w:rsid w:val="005C7E49"/>
    <w:rsid w:val="005D019D"/>
    <w:rsid w:val="005D0F7C"/>
    <w:rsid w:val="005D156B"/>
    <w:rsid w:val="005D562C"/>
    <w:rsid w:val="005D5951"/>
    <w:rsid w:val="005D595F"/>
    <w:rsid w:val="005D59E3"/>
    <w:rsid w:val="005E2390"/>
    <w:rsid w:val="005E25F7"/>
    <w:rsid w:val="005E2ED6"/>
    <w:rsid w:val="005E3007"/>
    <w:rsid w:val="005E4549"/>
    <w:rsid w:val="005E46BD"/>
    <w:rsid w:val="005E629D"/>
    <w:rsid w:val="005E6909"/>
    <w:rsid w:val="005F08D8"/>
    <w:rsid w:val="005F2735"/>
    <w:rsid w:val="005F442F"/>
    <w:rsid w:val="005F46C9"/>
    <w:rsid w:val="005F4C12"/>
    <w:rsid w:val="005F571D"/>
    <w:rsid w:val="005F6B9B"/>
    <w:rsid w:val="005F779A"/>
    <w:rsid w:val="0060176A"/>
    <w:rsid w:val="006021EE"/>
    <w:rsid w:val="0060289A"/>
    <w:rsid w:val="00602BCB"/>
    <w:rsid w:val="006035B6"/>
    <w:rsid w:val="00603BBC"/>
    <w:rsid w:val="00605203"/>
    <w:rsid w:val="00605FFA"/>
    <w:rsid w:val="006072E9"/>
    <w:rsid w:val="0061111A"/>
    <w:rsid w:val="00612E39"/>
    <w:rsid w:val="00612F69"/>
    <w:rsid w:val="006147B6"/>
    <w:rsid w:val="00615ED0"/>
    <w:rsid w:val="00617922"/>
    <w:rsid w:val="0062087A"/>
    <w:rsid w:val="00621B2F"/>
    <w:rsid w:val="00622224"/>
    <w:rsid w:val="00622502"/>
    <w:rsid w:val="00624934"/>
    <w:rsid w:val="00625C9C"/>
    <w:rsid w:val="00626512"/>
    <w:rsid w:val="00627A12"/>
    <w:rsid w:val="0063342D"/>
    <w:rsid w:val="00633E2E"/>
    <w:rsid w:val="00635589"/>
    <w:rsid w:val="00635AC9"/>
    <w:rsid w:val="00635D41"/>
    <w:rsid w:val="00640732"/>
    <w:rsid w:val="00640E62"/>
    <w:rsid w:val="00641978"/>
    <w:rsid w:val="0064372F"/>
    <w:rsid w:val="00645F69"/>
    <w:rsid w:val="0064608E"/>
    <w:rsid w:val="006464F5"/>
    <w:rsid w:val="00647CA2"/>
    <w:rsid w:val="00651CFC"/>
    <w:rsid w:val="00652066"/>
    <w:rsid w:val="0065342F"/>
    <w:rsid w:val="00653724"/>
    <w:rsid w:val="00653BB4"/>
    <w:rsid w:val="00654538"/>
    <w:rsid w:val="00654B35"/>
    <w:rsid w:val="006555EA"/>
    <w:rsid w:val="006556E8"/>
    <w:rsid w:val="00655DF7"/>
    <w:rsid w:val="006560D5"/>
    <w:rsid w:val="00656D09"/>
    <w:rsid w:val="006579E1"/>
    <w:rsid w:val="006607CA"/>
    <w:rsid w:val="00660BC8"/>
    <w:rsid w:val="00660F10"/>
    <w:rsid w:val="006612F9"/>
    <w:rsid w:val="0066155C"/>
    <w:rsid w:val="0066232A"/>
    <w:rsid w:val="00662697"/>
    <w:rsid w:val="0066696B"/>
    <w:rsid w:val="006707DC"/>
    <w:rsid w:val="00670A8B"/>
    <w:rsid w:val="0067144F"/>
    <w:rsid w:val="00672558"/>
    <w:rsid w:val="006727F1"/>
    <w:rsid w:val="00672D1E"/>
    <w:rsid w:val="00673965"/>
    <w:rsid w:val="00673C66"/>
    <w:rsid w:val="00674C2B"/>
    <w:rsid w:val="0067552F"/>
    <w:rsid w:val="00675711"/>
    <w:rsid w:val="006774B0"/>
    <w:rsid w:val="00677EC3"/>
    <w:rsid w:val="00680347"/>
    <w:rsid w:val="0068123C"/>
    <w:rsid w:val="00684A82"/>
    <w:rsid w:val="00685317"/>
    <w:rsid w:val="0068569E"/>
    <w:rsid w:val="00685EB0"/>
    <w:rsid w:val="00686FEC"/>
    <w:rsid w:val="00687E32"/>
    <w:rsid w:val="00690B3D"/>
    <w:rsid w:val="006911FB"/>
    <w:rsid w:val="00692D8D"/>
    <w:rsid w:val="0069375B"/>
    <w:rsid w:val="006938A4"/>
    <w:rsid w:val="00693CAB"/>
    <w:rsid w:val="00693FFC"/>
    <w:rsid w:val="0069458D"/>
    <w:rsid w:val="00695B46"/>
    <w:rsid w:val="0069745E"/>
    <w:rsid w:val="006A3058"/>
    <w:rsid w:val="006A44FF"/>
    <w:rsid w:val="006A4D63"/>
    <w:rsid w:val="006A5B76"/>
    <w:rsid w:val="006A5C4A"/>
    <w:rsid w:val="006A616A"/>
    <w:rsid w:val="006A6218"/>
    <w:rsid w:val="006B014E"/>
    <w:rsid w:val="006B10BD"/>
    <w:rsid w:val="006B1296"/>
    <w:rsid w:val="006B3025"/>
    <w:rsid w:val="006B42C7"/>
    <w:rsid w:val="006B5610"/>
    <w:rsid w:val="006B6A08"/>
    <w:rsid w:val="006B6A2B"/>
    <w:rsid w:val="006B7323"/>
    <w:rsid w:val="006C1D1A"/>
    <w:rsid w:val="006C1E78"/>
    <w:rsid w:val="006C207D"/>
    <w:rsid w:val="006C3431"/>
    <w:rsid w:val="006C4B7B"/>
    <w:rsid w:val="006C4C66"/>
    <w:rsid w:val="006C51A5"/>
    <w:rsid w:val="006D2283"/>
    <w:rsid w:val="006D275E"/>
    <w:rsid w:val="006D2867"/>
    <w:rsid w:val="006D7B7C"/>
    <w:rsid w:val="006E024A"/>
    <w:rsid w:val="006E199D"/>
    <w:rsid w:val="006E28E6"/>
    <w:rsid w:val="006E2FB0"/>
    <w:rsid w:val="006E40F5"/>
    <w:rsid w:val="006E439D"/>
    <w:rsid w:val="006E6AEC"/>
    <w:rsid w:val="006E6AF5"/>
    <w:rsid w:val="006E76E1"/>
    <w:rsid w:val="006F2250"/>
    <w:rsid w:val="006F35E8"/>
    <w:rsid w:val="006F3AB5"/>
    <w:rsid w:val="006F4113"/>
    <w:rsid w:val="006F452E"/>
    <w:rsid w:val="006F4691"/>
    <w:rsid w:val="006F5F2F"/>
    <w:rsid w:val="006F664D"/>
    <w:rsid w:val="006F70CA"/>
    <w:rsid w:val="00701D77"/>
    <w:rsid w:val="007025CC"/>
    <w:rsid w:val="007029B4"/>
    <w:rsid w:val="0070388A"/>
    <w:rsid w:val="00703898"/>
    <w:rsid w:val="00703CEC"/>
    <w:rsid w:val="00703E91"/>
    <w:rsid w:val="0070427E"/>
    <w:rsid w:val="00704795"/>
    <w:rsid w:val="00704C43"/>
    <w:rsid w:val="00705FF0"/>
    <w:rsid w:val="00707FC5"/>
    <w:rsid w:val="0071100E"/>
    <w:rsid w:val="00711713"/>
    <w:rsid w:val="00712810"/>
    <w:rsid w:val="00712CA5"/>
    <w:rsid w:val="00713F12"/>
    <w:rsid w:val="0071488E"/>
    <w:rsid w:val="0071499A"/>
    <w:rsid w:val="00714B94"/>
    <w:rsid w:val="00715DD4"/>
    <w:rsid w:val="00717C0B"/>
    <w:rsid w:val="0072046D"/>
    <w:rsid w:val="00721163"/>
    <w:rsid w:val="00722E8F"/>
    <w:rsid w:val="00722F97"/>
    <w:rsid w:val="007244B7"/>
    <w:rsid w:val="007260B9"/>
    <w:rsid w:val="00726D62"/>
    <w:rsid w:val="007276EE"/>
    <w:rsid w:val="00730585"/>
    <w:rsid w:val="007313F3"/>
    <w:rsid w:val="00732B25"/>
    <w:rsid w:val="00733AB7"/>
    <w:rsid w:val="0073542B"/>
    <w:rsid w:val="00736FD9"/>
    <w:rsid w:val="00737269"/>
    <w:rsid w:val="00740390"/>
    <w:rsid w:val="00740594"/>
    <w:rsid w:val="00740E01"/>
    <w:rsid w:val="00741DDF"/>
    <w:rsid w:val="00745534"/>
    <w:rsid w:val="007463A3"/>
    <w:rsid w:val="007506DD"/>
    <w:rsid w:val="00752937"/>
    <w:rsid w:val="007536BE"/>
    <w:rsid w:val="0075470F"/>
    <w:rsid w:val="00754780"/>
    <w:rsid w:val="00754C20"/>
    <w:rsid w:val="00756AD0"/>
    <w:rsid w:val="00756E2D"/>
    <w:rsid w:val="00760A6F"/>
    <w:rsid w:val="00761AC2"/>
    <w:rsid w:val="00761CC2"/>
    <w:rsid w:val="00763B68"/>
    <w:rsid w:val="00763E6B"/>
    <w:rsid w:val="007656ED"/>
    <w:rsid w:val="00765714"/>
    <w:rsid w:val="0076770F"/>
    <w:rsid w:val="007702BD"/>
    <w:rsid w:val="00771054"/>
    <w:rsid w:val="00771374"/>
    <w:rsid w:val="00773D95"/>
    <w:rsid w:val="0078085D"/>
    <w:rsid w:val="007813DA"/>
    <w:rsid w:val="00782AE8"/>
    <w:rsid w:val="00782BD6"/>
    <w:rsid w:val="007853E1"/>
    <w:rsid w:val="007853FD"/>
    <w:rsid w:val="00785AFA"/>
    <w:rsid w:val="0078642F"/>
    <w:rsid w:val="00791103"/>
    <w:rsid w:val="007913D1"/>
    <w:rsid w:val="00791927"/>
    <w:rsid w:val="007929FA"/>
    <w:rsid w:val="007944E5"/>
    <w:rsid w:val="00794889"/>
    <w:rsid w:val="00796E51"/>
    <w:rsid w:val="007A11CD"/>
    <w:rsid w:val="007A2D01"/>
    <w:rsid w:val="007A32B6"/>
    <w:rsid w:val="007A38B7"/>
    <w:rsid w:val="007A3A14"/>
    <w:rsid w:val="007A3E43"/>
    <w:rsid w:val="007A779A"/>
    <w:rsid w:val="007B06DF"/>
    <w:rsid w:val="007B16F8"/>
    <w:rsid w:val="007B1969"/>
    <w:rsid w:val="007B3088"/>
    <w:rsid w:val="007B36AF"/>
    <w:rsid w:val="007B42A1"/>
    <w:rsid w:val="007B695A"/>
    <w:rsid w:val="007B70BE"/>
    <w:rsid w:val="007B7165"/>
    <w:rsid w:val="007B7628"/>
    <w:rsid w:val="007C1E97"/>
    <w:rsid w:val="007C42E2"/>
    <w:rsid w:val="007C5E62"/>
    <w:rsid w:val="007C6564"/>
    <w:rsid w:val="007C6BDF"/>
    <w:rsid w:val="007D0998"/>
    <w:rsid w:val="007D0F05"/>
    <w:rsid w:val="007D1A98"/>
    <w:rsid w:val="007D3E88"/>
    <w:rsid w:val="007D58DF"/>
    <w:rsid w:val="007D6C6B"/>
    <w:rsid w:val="007D78EF"/>
    <w:rsid w:val="007D7B01"/>
    <w:rsid w:val="007E1082"/>
    <w:rsid w:val="007E1F51"/>
    <w:rsid w:val="007E2BF6"/>
    <w:rsid w:val="007E4611"/>
    <w:rsid w:val="007F04F6"/>
    <w:rsid w:val="007F07AE"/>
    <w:rsid w:val="007F19D0"/>
    <w:rsid w:val="007F24B9"/>
    <w:rsid w:val="007F359F"/>
    <w:rsid w:val="007F3703"/>
    <w:rsid w:val="007F48B2"/>
    <w:rsid w:val="007F4A1E"/>
    <w:rsid w:val="007F4B2D"/>
    <w:rsid w:val="007F6710"/>
    <w:rsid w:val="007F7E39"/>
    <w:rsid w:val="00801736"/>
    <w:rsid w:val="00802520"/>
    <w:rsid w:val="00803164"/>
    <w:rsid w:val="0080343F"/>
    <w:rsid w:val="00803F35"/>
    <w:rsid w:val="0080437D"/>
    <w:rsid w:val="00804411"/>
    <w:rsid w:val="00805C14"/>
    <w:rsid w:val="00805EBC"/>
    <w:rsid w:val="00806439"/>
    <w:rsid w:val="00806886"/>
    <w:rsid w:val="0081035C"/>
    <w:rsid w:val="008125A4"/>
    <w:rsid w:val="00812F14"/>
    <w:rsid w:val="008151C2"/>
    <w:rsid w:val="00816935"/>
    <w:rsid w:val="00821A31"/>
    <w:rsid w:val="008234AF"/>
    <w:rsid w:val="008258E4"/>
    <w:rsid w:val="00825C91"/>
    <w:rsid w:val="00826176"/>
    <w:rsid w:val="0082633D"/>
    <w:rsid w:val="00826A69"/>
    <w:rsid w:val="008277C2"/>
    <w:rsid w:val="00827F84"/>
    <w:rsid w:val="00830500"/>
    <w:rsid w:val="00831D96"/>
    <w:rsid w:val="008343F3"/>
    <w:rsid w:val="0083441F"/>
    <w:rsid w:val="00834FF4"/>
    <w:rsid w:val="008358A1"/>
    <w:rsid w:val="00835A3C"/>
    <w:rsid w:val="0084176A"/>
    <w:rsid w:val="0084442B"/>
    <w:rsid w:val="00846617"/>
    <w:rsid w:val="00846A73"/>
    <w:rsid w:val="0084735A"/>
    <w:rsid w:val="008503B8"/>
    <w:rsid w:val="00850C9A"/>
    <w:rsid w:val="00851054"/>
    <w:rsid w:val="008515FE"/>
    <w:rsid w:val="00852B0D"/>
    <w:rsid w:val="008537D8"/>
    <w:rsid w:val="0085479E"/>
    <w:rsid w:val="008559C7"/>
    <w:rsid w:val="00856634"/>
    <w:rsid w:val="008576C4"/>
    <w:rsid w:val="00860D07"/>
    <w:rsid w:val="008628EA"/>
    <w:rsid w:val="00862F6C"/>
    <w:rsid w:val="00863BAE"/>
    <w:rsid w:val="00865F0E"/>
    <w:rsid w:val="00866026"/>
    <w:rsid w:val="0086676E"/>
    <w:rsid w:val="00871E39"/>
    <w:rsid w:val="00874209"/>
    <w:rsid w:val="00874FEF"/>
    <w:rsid w:val="008752F3"/>
    <w:rsid w:val="00875A27"/>
    <w:rsid w:val="00876DBF"/>
    <w:rsid w:val="00877382"/>
    <w:rsid w:val="00880618"/>
    <w:rsid w:val="008807C8"/>
    <w:rsid w:val="0088086A"/>
    <w:rsid w:val="00880B67"/>
    <w:rsid w:val="0088138A"/>
    <w:rsid w:val="00885AA6"/>
    <w:rsid w:val="0088655F"/>
    <w:rsid w:val="00887321"/>
    <w:rsid w:val="00887E76"/>
    <w:rsid w:val="00892971"/>
    <w:rsid w:val="00893426"/>
    <w:rsid w:val="00893F6F"/>
    <w:rsid w:val="008949B3"/>
    <w:rsid w:val="00894BC8"/>
    <w:rsid w:val="00894EBD"/>
    <w:rsid w:val="00896A65"/>
    <w:rsid w:val="008A06A7"/>
    <w:rsid w:val="008A0E91"/>
    <w:rsid w:val="008A1EC8"/>
    <w:rsid w:val="008A3D54"/>
    <w:rsid w:val="008A4D03"/>
    <w:rsid w:val="008A4DBE"/>
    <w:rsid w:val="008A522D"/>
    <w:rsid w:val="008A560A"/>
    <w:rsid w:val="008A5CD4"/>
    <w:rsid w:val="008A6358"/>
    <w:rsid w:val="008A6923"/>
    <w:rsid w:val="008B002E"/>
    <w:rsid w:val="008B2EBB"/>
    <w:rsid w:val="008B6AA5"/>
    <w:rsid w:val="008C35D4"/>
    <w:rsid w:val="008C4040"/>
    <w:rsid w:val="008C43D1"/>
    <w:rsid w:val="008C6133"/>
    <w:rsid w:val="008C73A4"/>
    <w:rsid w:val="008D0EC7"/>
    <w:rsid w:val="008D1485"/>
    <w:rsid w:val="008D2414"/>
    <w:rsid w:val="008D26B9"/>
    <w:rsid w:val="008D29D4"/>
    <w:rsid w:val="008D3A2D"/>
    <w:rsid w:val="008D431A"/>
    <w:rsid w:val="008D54CF"/>
    <w:rsid w:val="008D638C"/>
    <w:rsid w:val="008D6657"/>
    <w:rsid w:val="008D708B"/>
    <w:rsid w:val="008E258F"/>
    <w:rsid w:val="008E2FA8"/>
    <w:rsid w:val="008E345D"/>
    <w:rsid w:val="008E3C55"/>
    <w:rsid w:val="008E4698"/>
    <w:rsid w:val="008E53FA"/>
    <w:rsid w:val="008E5D1E"/>
    <w:rsid w:val="008E6CA7"/>
    <w:rsid w:val="008F04A3"/>
    <w:rsid w:val="008F0B92"/>
    <w:rsid w:val="008F15A9"/>
    <w:rsid w:val="008F1E08"/>
    <w:rsid w:val="008F1F01"/>
    <w:rsid w:val="008F212A"/>
    <w:rsid w:val="008F2EA9"/>
    <w:rsid w:val="008F3602"/>
    <w:rsid w:val="008F36F2"/>
    <w:rsid w:val="008F42B5"/>
    <w:rsid w:val="008F7319"/>
    <w:rsid w:val="008F7D29"/>
    <w:rsid w:val="0090052D"/>
    <w:rsid w:val="00900F2E"/>
    <w:rsid w:val="00901112"/>
    <w:rsid w:val="00904CE8"/>
    <w:rsid w:val="00905525"/>
    <w:rsid w:val="009101FA"/>
    <w:rsid w:val="0091048B"/>
    <w:rsid w:val="00910836"/>
    <w:rsid w:val="009109F3"/>
    <w:rsid w:val="00910BE0"/>
    <w:rsid w:val="00911291"/>
    <w:rsid w:val="00912448"/>
    <w:rsid w:val="00913712"/>
    <w:rsid w:val="00914E5F"/>
    <w:rsid w:val="0091537A"/>
    <w:rsid w:val="00915D78"/>
    <w:rsid w:val="00916647"/>
    <w:rsid w:val="00917299"/>
    <w:rsid w:val="00920240"/>
    <w:rsid w:val="00922FC7"/>
    <w:rsid w:val="009254C0"/>
    <w:rsid w:val="00927270"/>
    <w:rsid w:val="00930503"/>
    <w:rsid w:val="009306FE"/>
    <w:rsid w:val="00931826"/>
    <w:rsid w:val="009325FB"/>
    <w:rsid w:val="00932F9E"/>
    <w:rsid w:val="00933A36"/>
    <w:rsid w:val="00934B60"/>
    <w:rsid w:val="00935BF5"/>
    <w:rsid w:val="00935D8C"/>
    <w:rsid w:val="009367CD"/>
    <w:rsid w:val="00936838"/>
    <w:rsid w:val="0094053E"/>
    <w:rsid w:val="009406DF"/>
    <w:rsid w:val="009415D1"/>
    <w:rsid w:val="00942592"/>
    <w:rsid w:val="00942A5C"/>
    <w:rsid w:val="009435DC"/>
    <w:rsid w:val="00943FC2"/>
    <w:rsid w:val="00950425"/>
    <w:rsid w:val="0095073F"/>
    <w:rsid w:val="00951671"/>
    <w:rsid w:val="00951F00"/>
    <w:rsid w:val="009540F7"/>
    <w:rsid w:val="0095442C"/>
    <w:rsid w:val="00960CB1"/>
    <w:rsid w:val="009626FF"/>
    <w:rsid w:val="009635F5"/>
    <w:rsid w:val="00964BD5"/>
    <w:rsid w:val="00965105"/>
    <w:rsid w:val="0096618B"/>
    <w:rsid w:val="00966B57"/>
    <w:rsid w:val="00967E25"/>
    <w:rsid w:val="0097092C"/>
    <w:rsid w:val="00971056"/>
    <w:rsid w:val="00971808"/>
    <w:rsid w:val="0097618E"/>
    <w:rsid w:val="009761AB"/>
    <w:rsid w:val="0097698B"/>
    <w:rsid w:val="00976F6D"/>
    <w:rsid w:val="00977617"/>
    <w:rsid w:val="00980583"/>
    <w:rsid w:val="00982665"/>
    <w:rsid w:val="00985A1F"/>
    <w:rsid w:val="0098670F"/>
    <w:rsid w:val="00987FB1"/>
    <w:rsid w:val="009910B2"/>
    <w:rsid w:val="009917DA"/>
    <w:rsid w:val="00991FC9"/>
    <w:rsid w:val="0099259E"/>
    <w:rsid w:val="00993B62"/>
    <w:rsid w:val="00994902"/>
    <w:rsid w:val="00995232"/>
    <w:rsid w:val="009A0465"/>
    <w:rsid w:val="009A0EE5"/>
    <w:rsid w:val="009A1A22"/>
    <w:rsid w:val="009A514A"/>
    <w:rsid w:val="009A52F8"/>
    <w:rsid w:val="009A6EAA"/>
    <w:rsid w:val="009A700E"/>
    <w:rsid w:val="009A75B1"/>
    <w:rsid w:val="009B0561"/>
    <w:rsid w:val="009B07F5"/>
    <w:rsid w:val="009B1A41"/>
    <w:rsid w:val="009B3CFC"/>
    <w:rsid w:val="009B4FA7"/>
    <w:rsid w:val="009B7B02"/>
    <w:rsid w:val="009C0B9D"/>
    <w:rsid w:val="009C11D6"/>
    <w:rsid w:val="009C1CD2"/>
    <w:rsid w:val="009C2013"/>
    <w:rsid w:val="009C432E"/>
    <w:rsid w:val="009C476A"/>
    <w:rsid w:val="009C5295"/>
    <w:rsid w:val="009C5548"/>
    <w:rsid w:val="009C60E4"/>
    <w:rsid w:val="009C6B41"/>
    <w:rsid w:val="009C753C"/>
    <w:rsid w:val="009C78EF"/>
    <w:rsid w:val="009D0044"/>
    <w:rsid w:val="009D1526"/>
    <w:rsid w:val="009D1756"/>
    <w:rsid w:val="009D2A2D"/>
    <w:rsid w:val="009D4C12"/>
    <w:rsid w:val="009D5424"/>
    <w:rsid w:val="009D60A1"/>
    <w:rsid w:val="009D6217"/>
    <w:rsid w:val="009D7064"/>
    <w:rsid w:val="009E1ADE"/>
    <w:rsid w:val="009E2760"/>
    <w:rsid w:val="009E3594"/>
    <w:rsid w:val="009E3F53"/>
    <w:rsid w:val="009E4A34"/>
    <w:rsid w:val="009E616E"/>
    <w:rsid w:val="009E6268"/>
    <w:rsid w:val="009E75B9"/>
    <w:rsid w:val="009F1FC4"/>
    <w:rsid w:val="009F291E"/>
    <w:rsid w:val="009F4DFD"/>
    <w:rsid w:val="009F5312"/>
    <w:rsid w:val="009F56F8"/>
    <w:rsid w:val="009F648B"/>
    <w:rsid w:val="009F693B"/>
    <w:rsid w:val="009F72AB"/>
    <w:rsid w:val="009F78A3"/>
    <w:rsid w:val="00A00A48"/>
    <w:rsid w:val="00A018FB"/>
    <w:rsid w:val="00A01BEA"/>
    <w:rsid w:val="00A035AD"/>
    <w:rsid w:val="00A03DAB"/>
    <w:rsid w:val="00A04A02"/>
    <w:rsid w:val="00A05E94"/>
    <w:rsid w:val="00A06094"/>
    <w:rsid w:val="00A10186"/>
    <w:rsid w:val="00A10B25"/>
    <w:rsid w:val="00A1363A"/>
    <w:rsid w:val="00A13F0C"/>
    <w:rsid w:val="00A15D01"/>
    <w:rsid w:val="00A20DAE"/>
    <w:rsid w:val="00A2239B"/>
    <w:rsid w:val="00A22EEA"/>
    <w:rsid w:val="00A23B92"/>
    <w:rsid w:val="00A2458B"/>
    <w:rsid w:val="00A24619"/>
    <w:rsid w:val="00A309CB"/>
    <w:rsid w:val="00A30A4C"/>
    <w:rsid w:val="00A32864"/>
    <w:rsid w:val="00A3298B"/>
    <w:rsid w:val="00A32A69"/>
    <w:rsid w:val="00A336D3"/>
    <w:rsid w:val="00A34F0D"/>
    <w:rsid w:val="00A35967"/>
    <w:rsid w:val="00A36489"/>
    <w:rsid w:val="00A371F2"/>
    <w:rsid w:val="00A37F6F"/>
    <w:rsid w:val="00A40285"/>
    <w:rsid w:val="00A4198C"/>
    <w:rsid w:val="00A41B05"/>
    <w:rsid w:val="00A43B77"/>
    <w:rsid w:val="00A45B24"/>
    <w:rsid w:val="00A46A8D"/>
    <w:rsid w:val="00A46DA9"/>
    <w:rsid w:val="00A51407"/>
    <w:rsid w:val="00A53B8B"/>
    <w:rsid w:val="00A5492A"/>
    <w:rsid w:val="00A60811"/>
    <w:rsid w:val="00A61857"/>
    <w:rsid w:val="00A638AB"/>
    <w:rsid w:val="00A64E25"/>
    <w:rsid w:val="00A65ACF"/>
    <w:rsid w:val="00A6632A"/>
    <w:rsid w:val="00A66417"/>
    <w:rsid w:val="00A66B77"/>
    <w:rsid w:val="00A67830"/>
    <w:rsid w:val="00A71396"/>
    <w:rsid w:val="00A71C77"/>
    <w:rsid w:val="00A729D3"/>
    <w:rsid w:val="00A72C5E"/>
    <w:rsid w:val="00A72EEA"/>
    <w:rsid w:val="00A73146"/>
    <w:rsid w:val="00A7348F"/>
    <w:rsid w:val="00A73492"/>
    <w:rsid w:val="00A735B0"/>
    <w:rsid w:val="00A73A9C"/>
    <w:rsid w:val="00A74587"/>
    <w:rsid w:val="00A748ED"/>
    <w:rsid w:val="00A776C2"/>
    <w:rsid w:val="00A80BF3"/>
    <w:rsid w:val="00A80CF9"/>
    <w:rsid w:val="00A81456"/>
    <w:rsid w:val="00A81D09"/>
    <w:rsid w:val="00A82907"/>
    <w:rsid w:val="00A8301F"/>
    <w:rsid w:val="00A83083"/>
    <w:rsid w:val="00A84677"/>
    <w:rsid w:val="00A86E5B"/>
    <w:rsid w:val="00A87CD6"/>
    <w:rsid w:val="00A91B58"/>
    <w:rsid w:val="00A94A94"/>
    <w:rsid w:val="00A962BD"/>
    <w:rsid w:val="00A97DDB"/>
    <w:rsid w:val="00AA00BE"/>
    <w:rsid w:val="00AA079B"/>
    <w:rsid w:val="00AA2F3D"/>
    <w:rsid w:val="00AA3176"/>
    <w:rsid w:val="00AA3B4E"/>
    <w:rsid w:val="00AA5E3B"/>
    <w:rsid w:val="00AA5E6D"/>
    <w:rsid w:val="00AB2523"/>
    <w:rsid w:val="00AB2C10"/>
    <w:rsid w:val="00AB31F6"/>
    <w:rsid w:val="00AB4D23"/>
    <w:rsid w:val="00AB69EF"/>
    <w:rsid w:val="00AB7F86"/>
    <w:rsid w:val="00AC0482"/>
    <w:rsid w:val="00AC1578"/>
    <w:rsid w:val="00AC19F4"/>
    <w:rsid w:val="00AC2313"/>
    <w:rsid w:val="00AC3B2B"/>
    <w:rsid w:val="00AC564F"/>
    <w:rsid w:val="00AC567E"/>
    <w:rsid w:val="00AC6148"/>
    <w:rsid w:val="00AD1B67"/>
    <w:rsid w:val="00AD1CF2"/>
    <w:rsid w:val="00AD370C"/>
    <w:rsid w:val="00AD3897"/>
    <w:rsid w:val="00AD6559"/>
    <w:rsid w:val="00AD6864"/>
    <w:rsid w:val="00AD716C"/>
    <w:rsid w:val="00AE02FE"/>
    <w:rsid w:val="00AE0941"/>
    <w:rsid w:val="00AE0EDA"/>
    <w:rsid w:val="00AE28F7"/>
    <w:rsid w:val="00AE4531"/>
    <w:rsid w:val="00AE52BD"/>
    <w:rsid w:val="00AE72B9"/>
    <w:rsid w:val="00AE7F88"/>
    <w:rsid w:val="00AF14D6"/>
    <w:rsid w:val="00AF1CCD"/>
    <w:rsid w:val="00AF2136"/>
    <w:rsid w:val="00AF3F2A"/>
    <w:rsid w:val="00AF410B"/>
    <w:rsid w:val="00AF5137"/>
    <w:rsid w:val="00B00039"/>
    <w:rsid w:val="00B01039"/>
    <w:rsid w:val="00B038C3"/>
    <w:rsid w:val="00B05E15"/>
    <w:rsid w:val="00B073FB"/>
    <w:rsid w:val="00B07E14"/>
    <w:rsid w:val="00B11FC4"/>
    <w:rsid w:val="00B126A1"/>
    <w:rsid w:val="00B13492"/>
    <w:rsid w:val="00B138AF"/>
    <w:rsid w:val="00B13B81"/>
    <w:rsid w:val="00B14177"/>
    <w:rsid w:val="00B15A53"/>
    <w:rsid w:val="00B2028E"/>
    <w:rsid w:val="00B204AC"/>
    <w:rsid w:val="00B2145E"/>
    <w:rsid w:val="00B23141"/>
    <w:rsid w:val="00B25575"/>
    <w:rsid w:val="00B26B25"/>
    <w:rsid w:val="00B276BB"/>
    <w:rsid w:val="00B3052D"/>
    <w:rsid w:val="00B31F24"/>
    <w:rsid w:val="00B33A8F"/>
    <w:rsid w:val="00B35C7A"/>
    <w:rsid w:val="00B371C7"/>
    <w:rsid w:val="00B40D94"/>
    <w:rsid w:val="00B40E01"/>
    <w:rsid w:val="00B40E15"/>
    <w:rsid w:val="00B41385"/>
    <w:rsid w:val="00B44A8F"/>
    <w:rsid w:val="00B45273"/>
    <w:rsid w:val="00B50631"/>
    <w:rsid w:val="00B51583"/>
    <w:rsid w:val="00B51797"/>
    <w:rsid w:val="00B523C8"/>
    <w:rsid w:val="00B5270A"/>
    <w:rsid w:val="00B52FE5"/>
    <w:rsid w:val="00B5305F"/>
    <w:rsid w:val="00B54366"/>
    <w:rsid w:val="00B54B54"/>
    <w:rsid w:val="00B55318"/>
    <w:rsid w:val="00B5545B"/>
    <w:rsid w:val="00B55740"/>
    <w:rsid w:val="00B563DD"/>
    <w:rsid w:val="00B603B5"/>
    <w:rsid w:val="00B60664"/>
    <w:rsid w:val="00B60978"/>
    <w:rsid w:val="00B61E62"/>
    <w:rsid w:val="00B62756"/>
    <w:rsid w:val="00B631BE"/>
    <w:rsid w:val="00B64AD1"/>
    <w:rsid w:val="00B64F93"/>
    <w:rsid w:val="00B6759A"/>
    <w:rsid w:val="00B713A4"/>
    <w:rsid w:val="00B72057"/>
    <w:rsid w:val="00B72D4B"/>
    <w:rsid w:val="00B74EDD"/>
    <w:rsid w:val="00B77165"/>
    <w:rsid w:val="00B77C50"/>
    <w:rsid w:val="00B8143E"/>
    <w:rsid w:val="00B817FF"/>
    <w:rsid w:val="00B849EB"/>
    <w:rsid w:val="00B84A91"/>
    <w:rsid w:val="00B85BC7"/>
    <w:rsid w:val="00B863A5"/>
    <w:rsid w:val="00B86843"/>
    <w:rsid w:val="00B90438"/>
    <w:rsid w:val="00B9098B"/>
    <w:rsid w:val="00B918F0"/>
    <w:rsid w:val="00B91FC3"/>
    <w:rsid w:val="00B92F31"/>
    <w:rsid w:val="00B9306C"/>
    <w:rsid w:val="00B93174"/>
    <w:rsid w:val="00B957A0"/>
    <w:rsid w:val="00B96019"/>
    <w:rsid w:val="00B9751D"/>
    <w:rsid w:val="00BA00EC"/>
    <w:rsid w:val="00BA09CB"/>
    <w:rsid w:val="00BA29CC"/>
    <w:rsid w:val="00BA452E"/>
    <w:rsid w:val="00BA559B"/>
    <w:rsid w:val="00BA619A"/>
    <w:rsid w:val="00BB0B86"/>
    <w:rsid w:val="00BB2064"/>
    <w:rsid w:val="00BB2CED"/>
    <w:rsid w:val="00BB52E5"/>
    <w:rsid w:val="00BB6F15"/>
    <w:rsid w:val="00BB7581"/>
    <w:rsid w:val="00BC1383"/>
    <w:rsid w:val="00BC2C6D"/>
    <w:rsid w:val="00BC3612"/>
    <w:rsid w:val="00BC6102"/>
    <w:rsid w:val="00BC6210"/>
    <w:rsid w:val="00BC6BA5"/>
    <w:rsid w:val="00BD0DFB"/>
    <w:rsid w:val="00BD0FCE"/>
    <w:rsid w:val="00BD2488"/>
    <w:rsid w:val="00BD253C"/>
    <w:rsid w:val="00BD2B40"/>
    <w:rsid w:val="00BD4EDC"/>
    <w:rsid w:val="00BD5DEB"/>
    <w:rsid w:val="00BD7454"/>
    <w:rsid w:val="00BE0198"/>
    <w:rsid w:val="00BE14F4"/>
    <w:rsid w:val="00BE21B1"/>
    <w:rsid w:val="00BE2293"/>
    <w:rsid w:val="00BE2554"/>
    <w:rsid w:val="00BE2DE2"/>
    <w:rsid w:val="00BE306A"/>
    <w:rsid w:val="00BE78A0"/>
    <w:rsid w:val="00BF022A"/>
    <w:rsid w:val="00BF02EA"/>
    <w:rsid w:val="00BF1930"/>
    <w:rsid w:val="00BF4305"/>
    <w:rsid w:val="00BF56F3"/>
    <w:rsid w:val="00BF64B3"/>
    <w:rsid w:val="00BF6954"/>
    <w:rsid w:val="00BF77AF"/>
    <w:rsid w:val="00C0028E"/>
    <w:rsid w:val="00C00477"/>
    <w:rsid w:val="00C00DB5"/>
    <w:rsid w:val="00C0627C"/>
    <w:rsid w:val="00C06703"/>
    <w:rsid w:val="00C07A95"/>
    <w:rsid w:val="00C10042"/>
    <w:rsid w:val="00C11C89"/>
    <w:rsid w:val="00C126AF"/>
    <w:rsid w:val="00C13A89"/>
    <w:rsid w:val="00C164BB"/>
    <w:rsid w:val="00C176FA"/>
    <w:rsid w:val="00C21504"/>
    <w:rsid w:val="00C21D35"/>
    <w:rsid w:val="00C228AC"/>
    <w:rsid w:val="00C2311E"/>
    <w:rsid w:val="00C2323A"/>
    <w:rsid w:val="00C2328E"/>
    <w:rsid w:val="00C258C2"/>
    <w:rsid w:val="00C25B99"/>
    <w:rsid w:val="00C26D84"/>
    <w:rsid w:val="00C27DF1"/>
    <w:rsid w:val="00C30796"/>
    <w:rsid w:val="00C30C7C"/>
    <w:rsid w:val="00C31F22"/>
    <w:rsid w:val="00C32B68"/>
    <w:rsid w:val="00C32DAA"/>
    <w:rsid w:val="00C3328E"/>
    <w:rsid w:val="00C3475B"/>
    <w:rsid w:val="00C35DF5"/>
    <w:rsid w:val="00C36209"/>
    <w:rsid w:val="00C362F9"/>
    <w:rsid w:val="00C400AF"/>
    <w:rsid w:val="00C41388"/>
    <w:rsid w:val="00C41B65"/>
    <w:rsid w:val="00C42243"/>
    <w:rsid w:val="00C43B60"/>
    <w:rsid w:val="00C43CD2"/>
    <w:rsid w:val="00C46015"/>
    <w:rsid w:val="00C46B91"/>
    <w:rsid w:val="00C47FAF"/>
    <w:rsid w:val="00C51C21"/>
    <w:rsid w:val="00C52FD6"/>
    <w:rsid w:val="00C533B1"/>
    <w:rsid w:val="00C53F68"/>
    <w:rsid w:val="00C54A02"/>
    <w:rsid w:val="00C55FCB"/>
    <w:rsid w:val="00C566E0"/>
    <w:rsid w:val="00C63539"/>
    <w:rsid w:val="00C64439"/>
    <w:rsid w:val="00C7087C"/>
    <w:rsid w:val="00C7109B"/>
    <w:rsid w:val="00C71670"/>
    <w:rsid w:val="00C72B5A"/>
    <w:rsid w:val="00C73BCD"/>
    <w:rsid w:val="00C751F9"/>
    <w:rsid w:val="00C766B3"/>
    <w:rsid w:val="00C77D8C"/>
    <w:rsid w:val="00C81A26"/>
    <w:rsid w:val="00C83013"/>
    <w:rsid w:val="00C832DF"/>
    <w:rsid w:val="00C8394F"/>
    <w:rsid w:val="00C84891"/>
    <w:rsid w:val="00C84A05"/>
    <w:rsid w:val="00C84C93"/>
    <w:rsid w:val="00C855A6"/>
    <w:rsid w:val="00C85C46"/>
    <w:rsid w:val="00C86155"/>
    <w:rsid w:val="00C87E54"/>
    <w:rsid w:val="00C87EA2"/>
    <w:rsid w:val="00C90720"/>
    <w:rsid w:val="00C90C1D"/>
    <w:rsid w:val="00C90FDD"/>
    <w:rsid w:val="00C9205E"/>
    <w:rsid w:val="00C968D3"/>
    <w:rsid w:val="00CA0C95"/>
    <w:rsid w:val="00CA0E3E"/>
    <w:rsid w:val="00CA39C3"/>
    <w:rsid w:val="00CA401B"/>
    <w:rsid w:val="00CA41F0"/>
    <w:rsid w:val="00CA5314"/>
    <w:rsid w:val="00CA5B94"/>
    <w:rsid w:val="00CA5F5C"/>
    <w:rsid w:val="00CA6C13"/>
    <w:rsid w:val="00CA6EE5"/>
    <w:rsid w:val="00CB02E2"/>
    <w:rsid w:val="00CB04BD"/>
    <w:rsid w:val="00CB0741"/>
    <w:rsid w:val="00CB0B14"/>
    <w:rsid w:val="00CB0C60"/>
    <w:rsid w:val="00CB0E5D"/>
    <w:rsid w:val="00CB1AB0"/>
    <w:rsid w:val="00CB24BC"/>
    <w:rsid w:val="00CB659A"/>
    <w:rsid w:val="00CB68FF"/>
    <w:rsid w:val="00CB744B"/>
    <w:rsid w:val="00CB7DF1"/>
    <w:rsid w:val="00CC0E65"/>
    <w:rsid w:val="00CC18B0"/>
    <w:rsid w:val="00CC42C8"/>
    <w:rsid w:val="00CC6027"/>
    <w:rsid w:val="00CC7603"/>
    <w:rsid w:val="00CC7DF3"/>
    <w:rsid w:val="00CD0467"/>
    <w:rsid w:val="00CD3214"/>
    <w:rsid w:val="00CD6448"/>
    <w:rsid w:val="00CE0463"/>
    <w:rsid w:val="00CE0983"/>
    <w:rsid w:val="00CE0DCE"/>
    <w:rsid w:val="00CE1375"/>
    <w:rsid w:val="00CE219C"/>
    <w:rsid w:val="00CE2C47"/>
    <w:rsid w:val="00CE2E45"/>
    <w:rsid w:val="00CE3120"/>
    <w:rsid w:val="00CE3319"/>
    <w:rsid w:val="00CE3A22"/>
    <w:rsid w:val="00CE3FC8"/>
    <w:rsid w:val="00CE4A52"/>
    <w:rsid w:val="00CE4D33"/>
    <w:rsid w:val="00CE528F"/>
    <w:rsid w:val="00CE5CA2"/>
    <w:rsid w:val="00CE5F82"/>
    <w:rsid w:val="00CE7467"/>
    <w:rsid w:val="00CF3220"/>
    <w:rsid w:val="00CF36EF"/>
    <w:rsid w:val="00CF3C8F"/>
    <w:rsid w:val="00CF42F6"/>
    <w:rsid w:val="00CF71E5"/>
    <w:rsid w:val="00CF7DEB"/>
    <w:rsid w:val="00CF7FCD"/>
    <w:rsid w:val="00D00F4F"/>
    <w:rsid w:val="00D03486"/>
    <w:rsid w:val="00D04FBC"/>
    <w:rsid w:val="00D05138"/>
    <w:rsid w:val="00D07038"/>
    <w:rsid w:val="00D100D8"/>
    <w:rsid w:val="00D101B5"/>
    <w:rsid w:val="00D10291"/>
    <w:rsid w:val="00D10526"/>
    <w:rsid w:val="00D11527"/>
    <w:rsid w:val="00D1191A"/>
    <w:rsid w:val="00D11AE2"/>
    <w:rsid w:val="00D14336"/>
    <w:rsid w:val="00D14721"/>
    <w:rsid w:val="00D1496E"/>
    <w:rsid w:val="00D15651"/>
    <w:rsid w:val="00D16636"/>
    <w:rsid w:val="00D177C5"/>
    <w:rsid w:val="00D200B9"/>
    <w:rsid w:val="00D224E9"/>
    <w:rsid w:val="00D22641"/>
    <w:rsid w:val="00D24447"/>
    <w:rsid w:val="00D27AA8"/>
    <w:rsid w:val="00D30F4C"/>
    <w:rsid w:val="00D31401"/>
    <w:rsid w:val="00D316A5"/>
    <w:rsid w:val="00D3191E"/>
    <w:rsid w:val="00D332D1"/>
    <w:rsid w:val="00D3383B"/>
    <w:rsid w:val="00D34D69"/>
    <w:rsid w:val="00D358AD"/>
    <w:rsid w:val="00D36986"/>
    <w:rsid w:val="00D379AA"/>
    <w:rsid w:val="00D400C8"/>
    <w:rsid w:val="00D41023"/>
    <w:rsid w:val="00D41087"/>
    <w:rsid w:val="00D41861"/>
    <w:rsid w:val="00D419B0"/>
    <w:rsid w:val="00D41B6E"/>
    <w:rsid w:val="00D41CD2"/>
    <w:rsid w:val="00D43E72"/>
    <w:rsid w:val="00D454E8"/>
    <w:rsid w:val="00D463CA"/>
    <w:rsid w:val="00D46CA5"/>
    <w:rsid w:val="00D5008D"/>
    <w:rsid w:val="00D51221"/>
    <w:rsid w:val="00D53E10"/>
    <w:rsid w:val="00D55963"/>
    <w:rsid w:val="00D56D10"/>
    <w:rsid w:val="00D63A95"/>
    <w:rsid w:val="00D64938"/>
    <w:rsid w:val="00D65963"/>
    <w:rsid w:val="00D65C4F"/>
    <w:rsid w:val="00D66734"/>
    <w:rsid w:val="00D67F52"/>
    <w:rsid w:val="00D71A44"/>
    <w:rsid w:val="00D73023"/>
    <w:rsid w:val="00D731AC"/>
    <w:rsid w:val="00D74648"/>
    <w:rsid w:val="00D7515C"/>
    <w:rsid w:val="00D752DB"/>
    <w:rsid w:val="00D755F1"/>
    <w:rsid w:val="00D756E7"/>
    <w:rsid w:val="00D75A3B"/>
    <w:rsid w:val="00D77240"/>
    <w:rsid w:val="00D77597"/>
    <w:rsid w:val="00D8369B"/>
    <w:rsid w:val="00D84385"/>
    <w:rsid w:val="00D90D86"/>
    <w:rsid w:val="00D92C27"/>
    <w:rsid w:val="00D961D7"/>
    <w:rsid w:val="00D96C1B"/>
    <w:rsid w:val="00DA0C74"/>
    <w:rsid w:val="00DA0D35"/>
    <w:rsid w:val="00DA1D43"/>
    <w:rsid w:val="00DA33B7"/>
    <w:rsid w:val="00DA3B8C"/>
    <w:rsid w:val="00DA65B0"/>
    <w:rsid w:val="00DA6DE7"/>
    <w:rsid w:val="00DB0429"/>
    <w:rsid w:val="00DB1867"/>
    <w:rsid w:val="00DB4C69"/>
    <w:rsid w:val="00DB6DE6"/>
    <w:rsid w:val="00DC3DA6"/>
    <w:rsid w:val="00DC470B"/>
    <w:rsid w:val="00DC521F"/>
    <w:rsid w:val="00DC727E"/>
    <w:rsid w:val="00DD0F03"/>
    <w:rsid w:val="00DD1A2C"/>
    <w:rsid w:val="00DD1E4B"/>
    <w:rsid w:val="00DD254B"/>
    <w:rsid w:val="00DD3197"/>
    <w:rsid w:val="00DD362B"/>
    <w:rsid w:val="00DD544F"/>
    <w:rsid w:val="00DE02E2"/>
    <w:rsid w:val="00DE0E88"/>
    <w:rsid w:val="00DE2536"/>
    <w:rsid w:val="00DE26EE"/>
    <w:rsid w:val="00DE541E"/>
    <w:rsid w:val="00DE7160"/>
    <w:rsid w:val="00DE740F"/>
    <w:rsid w:val="00DF029E"/>
    <w:rsid w:val="00DF0FEB"/>
    <w:rsid w:val="00DF1118"/>
    <w:rsid w:val="00DF18BE"/>
    <w:rsid w:val="00DF1B78"/>
    <w:rsid w:val="00DF1BF3"/>
    <w:rsid w:val="00DF1E7F"/>
    <w:rsid w:val="00DF23F0"/>
    <w:rsid w:val="00DF39FB"/>
    <w:rsid w:val="00DF4D66"/>
    <w:rsid w:val="00E029D9"/>
    <w:rsid w:val="00E02C53"/>
    <w:rsid w:val="00E03145"/>
    <w:rsid w:val="00E051A4"/>
    <w:rsid w:val="00E07D62"/>
    <w:rsid w:val="00E1152C"/>
    <w:rsid w:val="00E11B51"/>
    <w:rsid w:val="00E124DC"/>
    <w:rsid w:val="00E12B37"/>
    <w:rsid w:val="00E133BF"/>
    <w:rsid w:val="00E13EF9"/>
    <w:rsid w:val="00E15525"/>
    <w:rsid w:val="00E158CD"/>
    <w:rsid w:val="00E16577"/>
    <w:rsid w:val="00E16BC4"/>
    <w:rsid w:val="00E20819"/>
    <w:rsid w:val="00E20E88"/>
    <w:rsid w:val="00E21812"/>
    <w:rsid w:val="00E23B1C"/>
    <w:rsid w:val="00E24144"/>
    <w:rsid w:val="00E24E14"/>
    <w:rsid w:val="00E263B6"/>
    <w:rsid w:val="00E265D7"/>
    <w:rsid w:val="00E27480"/>
    <w:rsid w:val="00E27F2A"/>
    <w:rsid w:val="00E32854"/>
    <w:rsid w:val="00E35CDD"/>
    <w:rsid w:val="00E40DF8"/>
    <w:rsid w:val="00E414BA"/>
    <w:rsid w:val="00E417D5"/>
    <w:rsid w:val="00E418DA"/>
    <w:rsid w:val="00E42234"/>
    <w:rsid w:val="00E431AD"/>
    <w:rsid w:val="00E43491"/>
    <w:rsid w:val="00E438D2"/>
    <w:rsid w:val="00E43CE8"/>
    <w:rsid w:val="00E44222"/>
    <w:rsid w:val="00E453CF"/>
    <w:rsid w:val="00E45A0E"/>
    <w:rsid w:val="00E50596"/>
    <w:rsid w:val="00E50B45"/>
    <w:rsid w:val="00E52502"/>
    <w:rsid w:val="00E528F4"/>
    <w:rsid w:val="00E53109"/>
    <w:rsid w:val="00E54702"/>
    <w:rsid w:val="00E54D89"/>
    <w:rsid w:val="00E55119"/>
    <w:rsid w:val="00E57BE0"/>
    <w:rsid w:val="00E61084"/>
    <w:rsid w:val="00E621B3"/>
    <w:rsid w:val="00E62E7F"/>
    <w:rsid w:val="00E63464"/>
    <w:rsid w:val="00E63563"/>
    <w:rsid w:val="00E63877"/>
    <w:rsid w:val="00E650A7"/>
    <w:rsid w:val="00E651A2"/>
    <w:rsid w:val="00E65D0F"/>
    <w:rsid w:val="00E6651B"/>
    <w:rsid w:val="00E667AF"/>
    <w:rsid w:val="00E718F1"/>
    <w:rsid w:val="00E7311A"/>
    <w:rsid w:val="00E7328B"/>
    <w:rsid w:val="00E73CE6"/>
    <w:rsid w:val="00E75075"/>
    <w:rsid w:val="00E75911"/>
    <w:rsid w:val="00E759F0"/>
    <w:rsid w:val="00E75CE9"/>
    <w:rsid w:val="00E75EAF"/>
    <w:rsid w:val="00E76CB1"/>
    <w:rsid w:val="00E80A4F"/>
    <w:rsid w:val="00E81483"/>
    <w:rsid w:val="00E81A02"/>
    <w:rsid w:val="00E81E9D"/>
    <w:rsid w:val="00E8211E"/>
    <w:rsid w:val="00E83948"/>
    <w:rsid w:val="00E83E8D"/>
    <w:rsid w:val="00E84E5C"/>
    <w:rsid w:val="00E856D9"/>
    <w:rsid w:val="00E85A25"/>
    <w:rsid w:val="00E85D56"/>
    <w:rsid w:val="00E90190"/>
    <w:rsid w:val="00E909E7"/>
    <w:rsid w:val="00E9190B"/>
    <w:rsid w:val="00E91961"/>
    <w:rsid w:val="00EA09C9"/>
    <w:rsid w:val="00EA1A8A"/>
    <w:rsid w:val="00EA3026"/>
    <w:rsid w:val="00EA3ED7"/>
    <w:rsid w:val="00EA4AEC"/>
    <w:rsid w:val="00EA5B50"/>
    <w:rsid w:val="00EB0E6C"/>
    <w:rsid w:val="00EB17B1"/>
    <w:rsid w:val="00EB2591"/>
    <w:rsid w:val="00EB268C"/>
    <w:rsid w:val="00EB4F04"/>
    <w:rsid w:val="00EB6AED"/>
    <w:rsid w:val="00EB6B7C"/>
    <w:rsid w:val="00EB739E"/>
    <w:rsid w:val="00EB744A"/>
    <w:rsid w:val="00EC0912"/>
    <w:rsid w:val="00EC108D"/>
    <w:rsid w:val="00EC1399"/>
    <w:rsid w:val="00EC2149"/>
    <w:rsid w:val="00EC673A"/>
    <w:rsid w:val="00EC7E9B"/>
    <w:rsid w:val="00ED12C6"/>
    <w:rsid w:val="00ED1334"/>
    <w:rsid w:val="00ED1CC7"/>
    <w:rsid w:val="00ED27AF"/>
    <w:rsid w:val="00ED31E3"/>
    <w:rsid w:val="00ED3678"/>
    <w:rsid w:val="00EE02CF"/>
    <w:rsid w:val="00EE1113"/>
    <w:rsid w:val="00EE187F"/>
    <w:rsid w:val="00EE3DAC"/>
    <w:rsid w:val="00EE46A4"/>
    <w:rsid w:val="00EE4E3A"/>
    <w:rsid w:val="00EE511A"/>
    <w:rsid w:val="00EE53C2"/>
    <w:rsid w:val="00EF057C"/>
    <w:rsid w:val="00EF5DD0"/>
    <w:rsid w:val="00EF5F7D"/>
    <w:rsid w:val="00EF6B49"/>
    <w:rsid w:val="00F005E8"/>
    <w:rsid w:val="00F009DD"/>
    <w:rsid w:val="00F01BED"/>
    <w:rsid w:val="00F0241F"/>
    <w:rsid w:val="00F03EE0"/>
    <w:rsid w:val="00F0425D"/>
    <w:rsid w:val="00F04B4C"/>
    <w:rsid w:val="00F063E0"/>
    <w:rsid w:val="00F064D4"/>
    <w:rsid w:val="00F108C8"/>
    <w:rsid w:val="00F122C5"/>
    <w:rsid w:val="00F13002"/>
    <w:rsid w:val="00F13C45"/>
    <w:rsid w:val="00F15CE4"/>
    <w:rsid w:val="00F15EC6"/>
    <w:rsid w:val="00F17D09"/>
    <w:rsid w:val="00F21933"/>
    <w:rsid w:val="00F24392"/>
    <w:rsid w:val="00F2442C"/>
    <w:rsid w:val="00F25960"/>
    <w:rsid w:val="00F26966"/>
    <w:rsid w:val="00F2752D"/>
    <w:rsid w:val="00F32571"/>
    <w:rsid w:val="00F33462"/>
    <w:rsid w:val="00F3429C"/>
    <w:rsid w:val="00F36246"/>
    <w:rsid w:val="00F36C02"/>
    <w:rsid w:val="00F371D8"/>
    <w:rsid w:val="00F37DDC"/>
    <w:rsid w:val="00F4046F"/>
    <w:rsid w:val="00F42D41"/>
    <w:rsid w:val="00F43EA8"/>
    <w:rsid w:val="00F45F19"/>
    <w:rsid w:val="00F50B17"/>
    <w:rsid w:val="00F50C44"/>
    <w:rsid w:val="00F51052"/>
    <w:rsid w:val="00F51502"/>
    <w:rsid w:val="00F525AE"/>
    <w:rsid w:val="00F52BC7"/>
    <w:rsid w:val="00F53437"/>
    <w:rsid w:val="00F536BE"/>
    <w:rsid w:val="00F54C6E"/>
    <w:rsid w:val="00F551B7"/>
    <w:rsid w:val="00F55935"/>
    <w:rsid w:val="00F56B22"/>
    <w:rsid w:val="00F5726E"/>
    <w:rsid w:val="00F577D0"/>
    <w:rsid w:val="00F60647"/>
    <w:rsid w:val="00F607F4"/>
    <w:rsid w:val="00F623EC"/>
    <w:rsid w:val="00F62DEC"/>
    <w:rsid w:val="00F6512E"/>
    <w:rsid w:val="00F6575D"/>
    <w:rsid w:val="00F66AD8"/>
    <w:rsid w:val="00F66DF1"/>
    <w:rsid w:val="00F67999"/>
    <w:rsid w:val="00F7171D"/>
    <w:rsid w:val="00F7466D"/>
    <w:rsid w:val="00F7495B"/>
    <w:rsid w:val="00F77A19"/>
    <w:rsid w:val="00F84E9C"/>
    <w:rsid w:val="00F85CD7"/>
    <w:rsid w:val="00F86EBA"/>
    <w:rsid w:val="00F92C43"/>
    <w:rsid w:val="00F94667"/>
    <w:rsid w:val="00F96B10"/>
    <w:rsid w:val="00FA0081"/>
    <w:rsid w:val="00FA0ED8"/>
    <w:rsid w:val="00FA14F8"/>
    <w:rsid w:val="00FA1D22"/>
    <w:rsid w:val="00FA234C"/>
    <w:rsid w:val="00FA3242"/>
    <w:rsid w:val="00FA32C0"/>
    <w:rsid w:val="00FA3BCE"/>
    <w:rsid w:val="00FA63B6"/>
    <w:rsid w:val="00FB03A7"/>
    <w:rsid w:val="00FB5A1A"/>
    <w:rsid w:val="00FB5B94"/>
    <w:rsid w:val="00FB5FC2"/>
    <w:rsid w:val="00FB602D"/>
    <w:rsid w:val="00FB70F8"/>
    <w:rsid w:val="00FB7B7F"/>
    <w:rsid w:val="00FC0FC8"/>
    <w:rsid w:val="00FC21F6"/>
    <w:rsid w:val="00FC2FB0"/>
    <w:rsid w:val="00FC4D12"/>
    <w:rsid w:val="00FC4F32"/>
    <w:rsid w:val="00FC5A03"/>
    <w:rsid w:val="00FD0AC2"/>
    <w:rsid w:val="00FD10D9"/>
    <w:rsid w:val="00FD18DA"/>
    <w:rsid w:val="00FD2358"/>
    <w:rsid w:val="00FD2551"/>
    <w:rsid w:val="00FD4BAD"/>
    <w:rsid w:val="00FD4C6C"/>
    <w:rsid w:val="00FD5424"/>
    <w:rsid w:val="00FD74F1"/>
    <w:rsid w:val="00FE11EF"/>
    <w:rsid w:val="00FE1AA1"/>
    <w:rsid w:val="00FE2447"/>
    <w:rsid w:val="00FE3CD8"/>
    <w:rsid w:val="00FE4190"/>
    <w:rsid w:val="00FE4F45"/>
    <w:rsid w:val="00FE609E"/>
    <w:rsid w:val="00FE7455"/>
    <w:rsid w:val="00FE7537"/>
    <w:rsid w:val="00FF29B9"/>
    <w:rsid w:val="00FF2DC0"/>
    <w:rsid w:val="00FF3E88"/>
    <w:rsid w:val="00FF4324"/>
    <w:rsid w:val="00FF4496"/>
    <w:rsid w:val="00FF4D72"/>
    <w:rsid w:val="00FF5AA2"/>
    <w:rsid w:val="00FF63C7"/>
    <w:rsid w:val="00FF65F9"/>
    <w:rsid w:val="00FF7674"/>
    <w:rsid w:val="00F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uiPriority w:val="99"/>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9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1A21"/>
    <w:pPr>
      <w:ind w:left="720"/>
    </w:pPr>
  </w:style>
  <w:style w:type="paragraph" w:customStyle="1" w:styleId="Default">
    <w:name w:val="Default"/>
    <w:uiPriority w:val="99"/>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uiPriority w:val="99"/>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9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1A21"/>
    <w:pPr>
      <w:ind w:left="720"/>
    </w:pPr>
  </w:style>
  <w:style w:type="paragraph" w:customStyle="1" w:styleId="Default">
    <w:name w:val="Default"/>
    <w:uiPriority w:val="99"/>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35708">
      <w:marLeft w:val="0"/>
      <w:marRight w:val="0"/>
      <w:marTop w:val="0"/>
      <w:marBottom w:val="0"/>
      <w:divBdr>
        <w:top w:val="none" w:sz="0" w:space="0" w:color="auto"/>
        <w:left w:val="none" w:sz="0" w:space="0" w:color="auto"/>
        <w:bottom w:val="none" w:sz="0" w:space="0" w:color="auto"/>
        <w:right w:val="none" w:sz="0" w:space="0" w:color="auto"/>
      </w:divBdr>
    </w:div>
    <w:div w:id="1901135709">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01135711">
      <w:marLeft w:val="0"/>
      <w:marRight w:val="0"/>
      <w:marTop w:val="0"/>
      <w:marBottom w:val="0"/>
      <w:divBdr>
        <w:top w:val="none" w:sz="0" w:space="0" w:color="auto"/>
        <w:left w:val="none" w:sz="0" w:space="0" w:color="auto"/>
        <w:bottom w:val="none" w:sz="0" w:space="0" w:color="auto"/>
        <w:right w:val="none" w:sz="0" w:space="0" w:color="auto"/>
      </w:divBdr>
    </w:div>
    <w:div w:id="1901135712">
      <w:marLeft w:val="0"/>
      <w:marRight w:val="0"/>
      <w:marTop w:val="0"/>
      <w:marBottom w:val="0"/>
      <w:divBdr>
        <w:top w:val="none" w:sz="0" w:space="0" w:color="auto"/>
        <w:left w:val="none" w:sz="0" w:space="0" w:color="auto"/>
        <w:bottom w:val="none" w:sz="0" w:space="0" w:color="auto"/>
        <w:right w:val="none" w:sz="0" w:space="0" w:color="auto"/>
      </w:divBdr>
    </w:div>
    <w:div w:id="1901135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w.redding@bradford.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uncilminutes.bradford.gov.uk/wps/portal/c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drew.redding@bradford.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chools/CMSPage.aspx?mid=212" TargetMode="External"/><Relationship Id="rId5" Type="http://schemas.openxmlformats.org/officeDocument/2006/relationships/settings" Target="settings.xml"/><Relationship Id="rId15" Type="http://schemas.openxmlformats.org/officeDocument/2006/relationships/hyperlink" Target="mailto:sarah.north@bradford.gov.uk" TargetMode="External"/><Relationship Id="rId10" Type="http://schemas.openxmlformats.org/officeDocument/2006/relationships/hyperlink" Target="https://www.gov.uk/government/uploads/system/uploads/attachment_data/file/331368/Schools_revenue_funding_2015_to_2016_operational_guide.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gov.uk/government/uploads/system/uploads/attachment_data/file/207611/2014-15_Operational_guidance.pdf" TargetMode="External"/><Relationship Id="rId14" Type="http://schemas.openxmlformats.org/officeDocument/2006/relationships/hyperlink" Target="http://councilminutes.bradford.gov.uk/wps/portal/c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file:///C:\bmdclogos\bannerb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CED1-B0BB-4A8A-BA54-0A7D9222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10269</Words>
  <Characters>54046</Characters>
  <Application>Microsoft Office Word</Application>
  <DocSecurity>0</DocSecurity>
  <Lines>450</Lines>
  <Paragraphs>128</Paragraphs>
  <ScaleCrop>false</ScaleCrop>
  <HeadingPairs>
    <vt:vector size="2" baseType="variant">
      <vt:variant>
        <vt:lpstr>Title</vt:lpstr>
      </vt:variant>
      <vt:variant>
        <vt:i4>1</vt:i4>
      </vt:variant>
    </vt:vector>
  </HeadingPairs>
  <TitlesOfParts>
    <vt:vector size="1" baseType="lpstr">
      <vt:lpstr>Formula Funding Consultation</vt:lpstr>
    </vt:vector>
  </TitlesOfParts>
  <Company>Serco-EB</Company>
  <LinksUpToDate>false</LinksUpToDate>
  <CharactersWithSpaces>64187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Funding Consultation</dc:title>
  <dc:subject/>
  <dc:creator>andrew.redding</dc:creator>
  <cp:keywords/>
  <dc:description/>
  <cp:lastModifiedBy>Sarah North</cp:lastModifiedBy>
  <cp:revision>4</cp:revision>
  <cp:lastPrinted>2014-09-09T15:09:00Z</cp:lastPrinted>
  <dcterms:created xsi:type="dcterms:W3CDTF">2014-09-17T11:49:00Z</dcterms:created>
  <dcterms:modified xsi:type="dcterms:W3CDTF">2014-09-17T13:29:00Z</dcterms:modified>
</cp:coreProperties>
</file>