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B32" w:rsidRDefault="00DF7B32" w:rsidP="009B5A92">
      <w:pPr>
        <w:spacing w:line="280" w:lineRule="atLeast"/>
        <w:rPr>
          <w:b/>
        </w:rPr>
      </w:pPr>
      <w:r>
        <w:rPr>
          <w:b/>
        </w:rPr>
        <w:t xml:space="preserve">IMPORTANT INFORMATION FOR </w:t>
      </w:r>
      <w:r w:rsidR="00496250">
        <w:rPr>
          <w:b/>
        </w:rPr>
        <w:t>ALL</w:t>
      </w:r>
      <w:r>
        <w:rPr>
          <w:b/>
        </w:rPr>
        <w:t xml:space="preserve"> SC</w:t>
      </w:r>
      <w:r w:rsidR="001533B1">
        <w:rPr>
          <w:b/>
        </w:rPr>
        <w:t>HOOLS</w:t>
      </w:r>
      <w:r w:rsidR="00E05FB1">
        <w:rPr>
          <w:b/>
        </w:rPr>
        <w:t xml:space="preserve"> / </w:t>
      </w:r>
      <w:r w:rsidR="005E2284">
        <w:rPr>
          <w:b/>
        </w:rPr>
        <w:t xml:space="preserve">PRUS / </w:t>
      </w:r>
      <w:r w:rsidR="00E05FB1">
        <w:rPr>
          <w:b/>
        </w:rPr>
        <w:t>ACADEMIES</w:t>
      </w:r>
      <w:r w:rsidR="005E2284">
        <w:rPr>
          <w:b/>
        </w:rPr>
        <w:t xml:space="preserve"> </w:t>
      </w:r>
      <w:r w:rsidR="001533B1">
        <w:rPr>
          <w:b/>
        </w:rPr>
        <w:t>REGARDING THE OCTOBER 201</w:t>
      </w:r>
      <w:r w:rsidR="00E53A12">
        <w:rPr>
          <w:b/>
        </w:rPr>
        <w:t>4</w:t>
      </w:r>
      <w:r>
        <w:rPr>
          <w:b/>
        </w:rPr>
        <w:t xml:space="preserve"> CENSUS RETURN</w:t>
      </w:r>
      <w:r w:rsidR="00496250">
        <w:rPr>
          <w:b/>
        </w:rPr>
        <w:t xml:space="preserve"> – NEW DATA ITEMS THAT </w:t>
      </w:r>
      <w:r w:rsidR="00654945">
        <w:rPr>
          <w:b/>
        </w:rPr>
        <w:t xml:space="preserve">MAY </w:t>
      </w:r>
      <w:r w:rsidR="00496250">
        <w:rPr>
          <w:b/>
        </w:rPr>
        <w:t>AFFECT FUNDING</w:t>
      </w:r>
    </w:p>
    <w:p w:rsidR="00E46A94" w:rsidRDefault="00E46A94" w:rsidP="009B5A92">
      <w:pPr>
        <w:spacing w:line="280" w:lineRule="atLeast"/>
        <w:rPr>
          <w:b/>
        </w:rPr>
      </w:pPr>
    </w:p>
    <w:p w:rsidR="00E46A94" w:rsidRDefault="008F7285" w:rsidP="00E46A94">
      <w:pPr>
        <w:numPr>
          <w:ilvl w:val="0"/>
          <w:numId w:val="5"/>
        </w:numPr>
        <w:spacing w:line="280" w:lineRule="atLeast"/>
      </w:pPr>
      <w:r>
        <w:t xml:space="preserve">This is the first time that </w:t>
      </w:r>
      <w:r w:rsidRPr="008F7285">
        <w:rPr>
          <w:b/>
        </w:rPr>
        <w:t>Pupil Referral Units (PRUs)</w:t>
      </w:r>
      <w:r>
        <w:t xml:space="preserve"> will have to make an autumn census return to the </w:t>
      </w:r>
      <w:proofErr w:type="spellStart"/>
      <w:r>
        <w:t>DfE</w:t>
      </w:r>
      <w:proofErr w:type="spellEnd"/>
      <w:r>
        <w:t xml:space="preserve"> (previously a return was only required for the January Census)</w:t>
      </w:r>
    </w:p>
    <w:p w:rsidR="008F7285" w:rsidRDefault="008F7285" w:rsidP="008F7285">
      <w:pPr>
        <w:spacing w:line="280" w:lineRule="atLeast"/>
        <w:ind w:left="720"/>
      </w:pPr>
    </w:p>
    <w:p w:rsidR="008F7285" w:rsidRDefault="00E05FB1" w:rsidP="008F7285">
      <w:pPr>
        <w:numPr>
          <w:ilvl w:val="0"/>
          <w:numId w:val="5"/>
        </w:numPr>
        <w:spacing w:line="260" w:lineRule="atLeast"/>
        <w:jc w:val="both"/>
        <w:rPr>
          <w:rFonts w:cs="Helvetica"/>
          <w:lang w:val="en"/>
        </w:rPr>
      </w:pPr>
      <w:r w:rsidRPr="008F7285">
        <w:rPr>
          <w:rFonts w:cs="Helvetica"/>
          <w:lang w:val="en"/>
        </w:rPr>
        <w:t xml:space="preserve">The </w:t>
      </w:r>
      <w:r w:rsidRPr="008F7285">
        <w:rPr>
          <w:rFonts w:cs="Helvetica"/>
          <w:u w:val="single"/>
          <w:lang w:val="en"/>
        </w:rPr>
        <w:t>October 201</w:t>
      </w:r>
      <w:r w:rsidR="00E53A12" w:rsidRPr="008F7285">
        <w:rPr>
          <w:rFonts w:cs="Helvetica"/>
          <w:u w:val="single"/>
          <w:lang w:val="en"/>
        </w:rPr>
        <w:t>4</w:t>
      </w:r>
      <w:r w:rsidRPr="008F7285">
        <w:rPr>
          <w:rFonts w:cs="Helvetica"/>
          <w:u w:val="single"/>
          <w:lang w:val="en"/>
        </w:rPr>
        <w:t xml:space="preserve"> C</w:t>
      </w:r>
      <w:r w:rsidR="00DF7B32" w:rsidRPr="008F7285">
        <w:rPr>
          <w:rFonts w:cs="Helvetica"/>
          <w:u w:val="single"/>
          <w:lang w:val="en"/>
        </w:rPr>
        <w:t>ensus</w:t>
      </w:r>
      <w:r w:rsidRPr="008F7285">
        <w:rPr>
          <w:rFonts w:cs="Helvetica"/>
          <w:lang w:val="en"/>
        </w:rPr>
        <w:t xml:space="preserve"> (Thursday </w:t>
      </w:r>
      <w:r w:rsidR="00E53A12" w:rsidRPr="008F7285">
        <w:rPr>
          <w:rFonts w:cs="Helvetica"/>
          <w:lang w:val="en"/>
        </w:rPr>
        <w:t>2</w:t>
      </w:r>
      <w:r w:rsidRPr="008F7285">
        <w:rPr>
          <w:rFonts w:cs="Helvetica"/>
          <w:lang w:val="en"/>
        </w:rPr>
        <w:t xml:space="preserve"> October)</w:t>
      </w:r>
      <w:r w:rsidR="00DF7B32" w:rsidRPr="008F7285">
        <w:rPr>
          <w:rFonts w:cs="Helvetica"/>
          <w:lang w:val="en"/>
        </w:rPr>
        <w:t xml:space="preserve"> will be used to cal</w:t>
      </w:r>
      <w:r w:rsidRPr="008F7285">
        <w:rPr>
          <w:rFonts w:cs="Helvetica"/>
          <w:lang w:val="en"/>
        </w:rPr>
        <w:t xml:space="preserve">culate funding allocations for </w:t>
      </w:r>
      <w:r w:rsidR="00496250" w:rsidRPr="008F7285">
        <w:rPr>
          <w:rFonts w:cs="Helvetica"/>
          <w:lang w:val="en"/>
        </w:rPr>
        <w:t xml:space="preserve">the </w:t>
      </w:r>
      <w:r w:rsidR="00496250" w:rsidRPr="008F7285">
        <w:rPr>
          <w:rFonts w:cs="Helvetica"/>
          <w:b/>
          <w:lang w:val="en"/>
        </w:rPr>
        <w:t xml:space="preserve">Universal Infant Free School Meals </w:t>
      </w:r>
      <w:r w:rsidR="009E76A5" w:rsidRPr="008F7285">
        <w:rPr>
          <w:rFonts w:cs="Helvetica"/>
          <w:b/>
          <w:lang w:val="en"/>
        </w:rPr>
        <w:t xml:space="preserve">(UIFSM) </w:t>
      </w:r>
      <w:r w:rsidR="00496250" w:rsidRPr="008F7285">
        <w:rPr>
          <w:rFonts w:cs="Helvetica"/>
          <w:lang w:val="en"/>
        </w:rPr>
        <w:t xml:space="preserve">entitlement </w:t>
      </w:r>
      <w:r w:rsidR="00C20642">
        <w:rPr>
          <w:rFonts w:cs="Helvetica"/>
          <w:lang w:val="en"/>
        </w:rPr>
        <w:t>for the 2014-15 academic year</w:t>
      </w:r>
      <w:r w:rsidR="009E76A5" w:rsidRPr="008F7285">
        <w:rPr>
          <w:rFonts w:cs="Helvetica"/>
          <w:lang w:val="en"/>
        </w:rPr>
        <w:t>; this will use the new “school lunch taken” data item.</w:t>
      </w:r>
    </w:p>
    <w:p w:rsidR="008F7285" w:rsidRDefault="008F7285" w:rsidP="008F7285">
      <w:pPr>
        <w:pStyle w:val="ListParagraph"/>
        <w:rPr>
          <w:rFonts w:cs="Helvetica"/>
          <w:lang w:val="en"/>
        </w:rPr>
      </w:pPr>
    </w:p>
    <w:p w:rsidR="008F7285" w:rsidRDefault="005E2284" w:rsidP="008F7285">
      <w:pPr>
        <w:numPr>
          <w:ilvl w:val="1"/>
          <w:numId w:val="8"/>
        </w:numPr>
        <w:spacing w:line="260" w:lineRule="atLeast"/>
        <w:jc w:val="both"/>
        <w:rPr>
          <w:rFonts w:cs="Helvetica"/>
          <w:lang w:val="en"/>
        </w:rPr>
      </w:pPr>
      <w:r w:rsidRPr="008F7285">
        <w:rPr>
          <w:rFonts w:cs="Helvetica"/>
          <w:lang w:val="en"/>
        </w:rPr>
        <w:t>The “</w:t>
      </w:r>
      <w:r w:rsidRPr="008F7285">
        <w:rPr>
          <w:rFonts w:cs="Helvetica"/>
          <w:b/>
          <w:lang w:val="en"/>
        </w:rPr>
        <w:t>school lunch taken</w:t>
      </w:r>
      <w:r w:rsidRPr="008F7285">
        <w:rPr>
          <w:rFonts w:cs="Helvetica"/>
          <w:lang w:val="en"/>
        </w:rPr>
        <w:t>”</w:t>
      </w:r>
      <w:r w:rsidR="00496250" w:rsidRPr="008F7285">
        <w:rPr>
          <w:rFonts w:cs="Helvetica"/>
          <w:lang w:val="en"/>
        </w:rPr>
        <w:t xml:space="preserve"> item will be collected from all school types which have infant pupils on</w:t>
      </w:r>
      <w:r w:rsidRPr="008F7285">
        <w:rPr>
          <w:rFonts w:cs="Helvetica"/>
          <w:lang w:val="en"/>
        </w:rPr>
        <w:t xml:space="preserve"> roll (i.e. </w:t>
      </w:r>
      <w:r w:rsidR="00496250" w:rsidRPr="008F7285">
        <w:rPr>
          <w:rFonts w:cs="Helvetica"/>
          <w:lang w:val="en"/>
        </w:rPr>
        <w:t>all pupils in reception, year 1 and year 2 plus any pupils aged 4 to 6 not following the national curriculum (i</w:t>
      </w:r>
      <w:r w:rsidRPr="008F7285">
        <w:rPr>
          <w:rFonts w:cs="Helvetica"/>
          <w:lang w:val="en"/>
        </w:rPr>
        <w:t>.</w:t>
      </w:r>
      <w:r w:rsidR="00496250" w:rsidRPr="008F7285">
        <w:rPr>
          <w:rFonts w:cs="Helvetica"/>
          <w:lang w:val="en"/>
        </w:rPr>
        <w:t>e</w:t>
      </w:r>
      <w:r w:rsidRPr="008F7285">
        <w:rPr>
          <w:rFonts w:cs="Helvetica"/>
          <w:lang w:val="en"/>
        </w:rPr>
        <w:t>.</w:t>
      </w:r>
      <w:r w:rsidR="00496250" w:rsidRPr="008F7285">
        <w:rPr>
          <w:rFonts w:cs="Helvetica"/>
          <w:lang w:val="en"/>
        </w:rPr>
        <w:t xml:space="preserve"> year group X)) in each census. Data collected via this new data item will be used to inform the allocation of funding following the introduction of universal infant meal funding from September 2014. </w:t>
      </w:r>
    </w:p>
    <w:p w:rsidR="008F7285" w:rsidRDefault="008F7285" w:rsidP="00CD5DD9">
      <w:pPr>
        <w:spacing w:line="260" w:lineRule="atLeast"/>
        <w:jc w:val="both"/>
        <w:rPr>
          <w:rFonts w:cs="Helvetica"/>
          <w:lang w:val="en"/>
        </w:rPr>
      </w:pPr>
    </w:p>
    <w:p w:rsidR="008F7285" w:rsidRDefault="009E76A5" w:rsidP="008F7285">
      <w:pPr>
        <w:numPr>
          <w:ilvl w:val="1"/>
          <w:numId w:val="8"/>
        </w:numPr>
        <w:spacing w:line="260" w:lineRule="atLeast"/>
        <w:jc w:val="both"/>
        <w:rPr>
          <w:rFonts w:cs="Helvetica"/>
          <w:lang w:val="en"/>
        </w:rPr>
      </w:pPr>
      <w:r w:rsidRPr="008F7285">
        <w:rPr>
          <w:rFonts w:cs="Helvetica"/>
          <w:lang w:val="en"/>
        </w:rPr>
        <w:t>The provisional UIFSM allocation wa</w:t>
      </w:r>
      <w:r w:rsidR="00496250" w:rsidRPr="008F7285">
        <w:rPr>
          <w:rFonts w:cs="Helvetica"/>
          <w:lang w:val="en"/>
        </w:rPr>
        <w:t>s based on pupil data from the January 2014 Schools Census planning assumption that:</w:t>
      </w:r>
    </w:p>
    <w:p w:rsidR="008F7285" w:rsidRDefault="00496250" w:rsidP="008F7285">
      <w:pPr>
        <w:numPr>
          <w:ilvl w:val="2"/>
          <w:numId w:val="8"/>
        </w:numPr>
        <w:spacing w:line="260" w:lineRule="atLeast"/>
        <w:jc w:val="both"/>
        <w:rPr>
          <w:rFonts w:cs="Helvetica"/>
          <w:lang w:val="en"/>
        </w:rPr>
      </w:pPr>
      <w:r w:rsidRPr="008F7285">
        <w:rPr>
          <w:rFonts w:cs="Helvetica"/>
          <w:lang w:val="en"/>
        </w:rPr>
        <w:t xml:space="preserve">87% of newly eligible pupils will take meals, and </w:t>
      </w:r>
    </w:p>
    <w:p w:rsidR="008F7285" w:rsidRDefault="00496250" w:rsidP="008F7285">
      <w:pPr>
        <w:numPr>
          <w:ilvl w:val="2"/>
          <w:numId w:val="8"/>
        </w:numPr>
        <w:spacing w:line="260" w:lineRule="atLeast"/>
        <w:jc w:val="both"/>
        <w:rPr>
          <w:rFonts w:cs="Helvetica"/>
          <w:lang w:val="en"/>
        </w:rPr>
      </w:pPr>
      <w:proofErr w:type="gramStart"/>
      <w:r w:rsidRPr="008F7285">
        <w:rPr>
          <w:rFonts w:cs="Helvetica"/>
          <w:lang w:val="en"/>
        </w:rPr>
        <w:t>those</w:t>
      </w:r>
      <w:proofErr w:type="gramEnd"/>
      <w:r w:rsidRPr="008F7285">
        <w:rPr>
          <w:rFonts w:cs="Helvetica"/>
          <w:lang w:val="en"/>
        </w:rPr>
        <w:t xml:space="preserve"> pupils will take 190 school meals in the course of a full academic year. </w:t>
      </w:r>
    </w:p>
    <w:p w:rsidR="008F7285" w:rsidRDefault="008F7285" w:rsidP="008F7285">
      <w:pPr>
        <w:spacing w:line="260" w:lineRule="atLeast"/>
        <w:ind w:left="1800"/>
        <w:jc w:val="both"/>
        <w:rPr>
          <w:rFonts w:cs="Helvetica"/>
          <w:lang w:val="en"/>
        </w:rPr>
      </w:pPr>
    </w:p>
    <w:p w:rsidR="008F7285" w:rsidRDefault="00496250" w:rsidP="008F7285">
      <w:pPr>
        <w:numPr>
          <w:ilvl w:val="1"/>
          <w:numId w:val="8"/>
        </w:numPr>
        <w:spacing w:line="260" w:lineRule="atLeast"/>
        <w:jc w:val="both"/>
        <w:rPr>
          <w:rFonts w:cs="Helvetica"/>
          <w:lang w:val="en"/>
        </w:rPr>
      </w:pPr>
      <w:r w:rsidRPr="008F7285">
        <w:rPr>
          <w:rFonts w:cs="Helvetica"/>
          <w:lang w:val="en"/>
        </w:rPr>
        <w:t>The final allocation will be based on actual take-up data derived from an average of the October 2014 and January 2015 schools censuses.</w:t>
      </w:r>
      <w:r w:rsidR="009E76A5" w:rsidRPr="008F7285">
        <w:rPr>
          <w:rFonts w:cs="Helvetica"/>
          <w:lang w:val="en"/>
        </w:rPr>
        <w:t xml:space="preserve"> Funding will be updated in the 2015/16 financi</w:t>
      </w:r>
      <w:r w:rsidR="008F7285" w:rsidRPr="008F7285">
        <w:rPr>
          <w:rFonts w:cs="Helvetica"/>
          <w:lang w:val="en"/>
        </w:rPr>
        <w:t>al year (</w:t>
      </w:r>
      <w:proofErr w:type="spellStart"/>
      <w:r w:rsidR="008F7285" w:rsidRPr="008F7285">
        <w:rPr>
          <w:rFonts w:cs="Helvetica"/>
          <w:lang w:val="en"/>
        </w:rPr>
        <w:t>DfE</w:t>
      </w:r>
      <w:proofErr w:type="spellEnd"/>
      <w:r w:rsidR="008F7285" w:rsidRPr="008F7285">
        <w:rPr>
          <w:rFonts w:cs="Helvetica"/>
          <w:lang w:val="en"/>
        </w:rPr>
        <w:t xml:space="preserve"> will confirm allocations in May 2015).</w:t>
      </w:r>
    </w:p>
    <w:p w:rsidR="008F7285" w:rsidRDefault="008F7285" w:rsidP="008F7285">
      <w:pPr>
        <w:spacing w:line="260" w:lineRule="atLeast"/>
        <w:ind w:left="1080"/>
        <w:jc w:val="both"/>
        <w:rPr>
          <w:rFonts w:cs="Helvetica"/>
          <w:lang w:val="en"/>
        </w:rPr>
      </w:pPr>
    </w:p>
    <w:p w:rsidR="008F7285" w:rsidRDefault="00496250" w:rsidP="008F7285">
      <w:pPr>
        <w:numPr>
          <w:ilvl w:val="1"/>
          <w:numId w:val="8"/>
        </w:numPr>
        <w:spacing w:line="260" w:lineRule="atLeast"/>
        <w:jc w:val="both"/>
        <w:rPr>
          <w:rFonts w:cs="Helvetica"/>
          <w:lang w:val="en"/>
        </w:rPr>
      </w:pPr>
      <w:r w:rsidRPr="008F7285">
        <w:rPr>
          <w:rFonts w:cs="Helvetica"/>
          <w:lang w:val="en"/>
        </w:rPr>
        <w:t xml:space="preserve">In future an average of figures from previous census returns will be used. It is </w:t>
      </w:r>
      <w:r w:rsidR="005E2284" w:rsidRPr="00CD5DD9">
        <w:rPr>
          <w:rFonts w:cs="Helvetica"/>
        </w:rPr>
        <w:t>recognis</w:t>
      </w:r>
      <w:r w:rsidRPr="00CD5DD9">
        <w:rPr>
          <w:rFonts w:cs="Helvetica"/>
        </w:rPr>
        <w:t>ed</w:t>
      </w:r>
      <w:r w:rsidRPr="008F7285">
        <w:rPr>
          <w:rFonts w:cs="Helvetica"/>
          <w:lang w:val="en"/>
        </w:rPr>
        <w:t xml:space="preserve"> that schools will experience some fluctuations in pupil take-up due to pupil migration, absence </w:t>
      </w:r>
      <w:r w:rsidR="005E2284" w:rsidRPr="008F7285">
        <w:rPr>
          <w:rFonts w:cs="Helvetica"/>
          <w:lang w:val="en"/>
        </w:rPr>
        <w:t>etc.</w:t>
      </w:r>
      <w:r w:rsidRPr="008F7285">
        <w:rPr>
          <w:rFonts w:cs="Helvetica"/>
          <w:lang w:val="en"/>
        </w:rPr>
        <w:t xml:space="preserve"> but it is expected that a pattern of meal take-up will be established fairly quickly. Schools will be expected to monitor any changing take-</w:t>
      </w:r>
      <w:r w:rsidR="005E2284" w:rsidRPr="008F7285">
        <w:rPr>
          <w:rFonts w:cs="Helvetica"/>
          <w:lang w:val="en"/>
        </w:rPr>
        <w:t>u</w:t>
      </w:r>
      <w:r w:rsidRPr="008F7285">
        <w:rPr>
          <w:rFonts w:cs="Helvetica"/>
          <w:lang w:val="en"/>
        </w:rPr>
        <w:t xml:space="preserve">p and manage this appropriately within their existing budget. </w:t>
      </w:r>
    </w:p>
    <w:p w:rsidR="008F7285" w:rsidRDefault="008F7285" w:rsidP="008F7285">
      <w:pPr>
        <w:spacing w:line="260" w:lineRule="atLeast"/>
        <w:jc w:val="both"/>
        <w:rPr>
          <w:rFonts w:cs="Helvetica"/>
          <w:lang w:val="en"/>
        </w:rPr>
      </w:pPr>
    </w:p>
    <w:p w:rsidR="008F7285" w:rsidRPr="008F7285" w:rsidRDefault="008F7285" w:rsidP="008F7285">
      <w:pPr>
        <w:numPr>
          <w:ilvl w:val="1"/>
          <w:numId w:val="8"/>
        </w:numPr>
        <w:spacing w:line="260" w:lineRule="atLeast"/>
        <w:jc w:val="both"/>
        <w:rPr>
          <w:rFonts w:cs="Helvetica"/>
          <w:lang w:val="en"/>
        </w:rPr>
      </w:pPr>
      <w:r w:rsidRPr="008F7285">
        <w:rPr>
          <w:rFonts w:cs="Helvetica"/>
          <w:lang w:val="en"/>
        </w:rPr>
        <w:t xml:space="preserve">Further information is available in section 4.3.3 (page 49) of the </w:t>
      </w:r>
      <w:hyperlink r:id="rId8" w:history="1">
        <w:proofErr w:type="spellStart"/>
        <w:r w:rsidRPr="008F7285">
          <w:rPr>
            <w:rStyle w:val="Hyperlink"/>
            <w:rFonts w:cs="Helvetica"/>
            <w:lang w:val="en"/>
          </w:rPr>
          <w:t>DfE’s</w:t>
        </w:r>
        <w:proofErr w:type="spellEnd"/>
        <w:r w:rsidRPr="008F7285">
          <w:rPr>
            <w:rStyle w:val="Hyperlink"/>
            <w:rFonts w:cs="Helvetica"/>
            <w:lang w:val="en"/>
          </w:rPr>
          <w:t xml:space="preserve"> census guidance</w:t>
        </w:r>
      </w:hyperlink>
      <w:r w:rsidRPr="008F7285">
        <w:rPr>
          <w:rFonts w:cs="Helvetica"/>
          <w:lang w:val="en"/>
        </w:rPr>
        <w:t>.</w:t>
      </w:r>
    </w:p>
    <w:p w:rsidR="00106BA3" w:rsidRDefault="00106BA3" w:rsidP="00496250">
      <w:pPr>
        <w:pStyle w:val="NormalWeb"/>
        <w:spacing w:after="0" w:line="260" w:lineRule="atLeast"/>
        <w:jc w:val="both"/>
        <w:rPr>
          <w:rFonts w:ascii="Arial" w:hAnsi="Arial" w:cs="Helvetica"/>
          <w:sz w:val="20"/>
          <w:szCs w:val="20"/>
          <w:lang w:val="en"/>
        </w:rPr>
      </w:pPr>
    </w:p>
    <w:p w:rsidR="00E46A94" w:rsidRDefault="00E46A94" w:rsidP="00E46A94">
      <w:pPr>
        <w:pStyle w:val="NormalWeb"/>
        <w:numPr>
          <w:ilvl w:val="0"/>
          <w:numId w:val="5"/>
        </w:numPr>
        <w:spacing w:line="260" w:lineRule="atLeast"/>
        <w:jc w:val="both"/>
        <w:rPr>
          <w:rFonts w:ascii="Arial" w:hAnsi="Arial" w:cs="Helvetica"/>
          <w:sz w:val="20"/>
          <w:szCs w:val="20"/>
          <w:lang w:val="en"/>
        </w:rPr>
      </w:pPr>
      <w:r w:rsidRPr="00E46A94">
        <w:rPr>
          <w:rFonts w:ascii="Arial" w:hAnsi="Arial" w:cs="Helvetica"/>
          <w:sz w:val="20"/>
          <w:szCs w:val="20"/>
          <w:lang w:val="en"/>
        </w:rPr>
        <w:t xml:space="preserve">Schools are reminded that the </w:t>
      </w:r>
      <w:r w:rsidRPr="00E46A94">
        <w:rPr>
          <w:rFonts w:ascii="Arial" w:hAnsi="Arial" w:cs="Helvetica"/>
          <w:b/>
          <w:sz w:val="20"/>
          <w:szCs w:val="20"/>
          <w:lang w:val="en"/>
        </w:rPr>
        <w:t>top-up funding indicator</w:t>
      </w:r>
      <w:r w:rsidRPr="00E46A94">
        <w:rPr>
          <w:rFonts w:ascii="Arial" w:hAnsi="Arial" w:cs="Helvetica"/>
          <w:sz w:val="20"/>
          <w:szCs w:val="20"/>
          <w:lang w:val="en"/>
        </w:rPr>
        <w:t xml:space="preserve"> should be completed as </w:t>
      </w:r>
      <w:r w:rsidRPr="00E46A94">
        <w:rPr>
          <w:rFonts w:ascii="Arial" w:hAnsi="Arial" w:cs="Helvetica"/>
          <w:b/>
          <w:sz w:val="20"/>
          <w:szCs w:val="20"/>
          <w:lang w:val="en"/>
        </w:rPr>
        <w:t>True</w:t>
      </w:r>
      <w:r w:rsidRPr="00E46A94">
        <w:rPr>
          <w:rFonts w:ascii="Arial" w:hAnsi="Arial" w:cs="Helvetica"/>
          <w:sz w:val="20"/>
          <w:szCs w:val="20"/>
          <w:lang w:val="en"/>
        </w:rPr>
        <w:t xml:space="preserve"> to indicate those pupils on roll for whom the school receives (on census day) top-up funding either from a local authority or, in the case of a PRU, a local authority or another school. This data item is required for pupils of all ages and in all schools. </w:t>
      </w:r>
      <w:r>
        <w:rPr>
          <w:rFonts w:ascii="Arial" w:hAnsi="Arial" w:cs="Helvetica"/>
          <w:sz w:val="20"/>
          <w:szCs w:val="20"/>
          <w:lang w:val="en"/>
        </w:rPr>
        <w:t xml:space="preserve">The </w:t>
      </w:r>
      <w:proofErr w:type="spellStart"/>
      <w:r>
        <w:rPr>
          <w:rFonts w:ascii="Arial" w:hAnsi="Arial" w:cs="Helvetica"/>
          <w:sz w:val="20"/>
          <w:szCs w:val="20"/>
          <w:lang w:val="en"/>
        </w:rPr>
        <w:t>DfE</w:t>
      </w:r>
      <w:proofErr w:type="spellEnd"/>
      <w:r>
        <w:rPr>
          <w:rFonts w:ascii="Arial" w:hAnsi="Arial" w:cs="Helvetica"/>
          <w:sz w:val="20"/>
          <w:szCs w:val="20"/>
          <w:lang w:val="en"/>
        </w:rPr>
        <w:t xml:space="preserve"> plans to use this data item for funding </w:t>
      </w:r>
      <w:r w:rsidRPr="00E46A94">
        <w:rPr>
          <w:rFonts w:ascii="Arial" w:hAnsi="Arial" w:cs="Helvetica"/>
          <w:sz w:val="20"/>
          <w:szCs w:val="20"/>
          <w:lang w:val="en"/>
        </w:rPr>
        <w:t>allocation purposes, and to inform the development of the high needs funding system, in the future</w:t>
      </w:r>
      <w:r>
        <w:rPr>
          <w:rFonts w:ascii="Arial" w:hAnsi="Arial" w:cs="Helvetica"/>
          <w:sz w:val="20"/>
          <w:szCs w:val="20"/>
          <w:lang w:val="en"/>
        </w:rPr>
        <w:t>.</w:t>
      </w:r>
      <w:r w:rsidRPr="00E46A94">
        <w:rPr>
          <w:rFonts w:ascii="Arial" w:hAnsi="Arial" w:cs="Helvetica"/>
          <w:sz w:val="20"/>
          <w:szCs w:val="20"/>
          <w:lang w:val="en"/>
        </w:rPr>
        <w:t xml:space="preserve"> Top-up funding relates to a pupil or student identified </w:t>
      </w:r>
      <w:r>
        <w:rPr>
          <w:rFonts w:ascii="Arial" w:hAnsi="Arial" w:cs="Helvetica"/>
          <w:sz w:val="20"/>
          <w:szCs w:val="20"/>
          <w:lang w:val="en"/>
        </w:rPr>
        <w:t xml:space="preserve">as requiring additional support </w:t>
      </w:r>
      <w:r w:rsidRPr="00E46A94">
        <w:rPr>
          <w:rFonts w:ascii="Arial" w:hAnsi="Arial" w:cs="Helvetica"/>
          <w:sz w:val="20"/>
          <w:szCs w:val="20"/>
          <w:lang w:val="en"/>
        </w:rPr>
        <w:t>which costs m</w:t>
      </w:r>
      <w:r>
        <w:rPr>
          <w:rFonts w:ascii="Arial" w:hAnsi="Arial" w:cs="Helvetica"/>
          <w:sz w:val="20"/>
          <w:szCs w:val="20"/>
          <w:lang w:val="en"/>
        </w:rPr>
        <w:t>ore than a specified threshold (this threshold varies according to the type of school).</w:t>
      </w:r>
    </w:p>
    <w:p w:rsidR="00E46A94" w:rsidRDefault="00E46A94" w:rsidP="00E46A94">
      <w:pPr>
        <w:pStyle w:val="NormalWeb"/>
        <w:numPr>
          <w:ilvl w:val="1"/>
          <w:numId w:val="5"/>
        </w:numPr>
        <w:spacing w:line="260" w:lineRule="atLeast"/>
        <w:jc w:val="both"/>
        <w:rPr>
          <w:rFonts w:ascii="Arial" w:hAnsi="Arial" w:cs="Helvetica"/>
          <w:sz w:val="20"/>
          <w:szCs w:val="20"/>
          <w:lang w:val="en"/>
        </w:rPr>
      </w:pPr>
      <w:r w:rsidRPr="00E46A94">
        <w:rPr>
          <w:rFonts w:ascii="Arial" w:hAnsi="Arial" w:cs="Helvetica"/>
          <w:sz w:val="20"/>
          <w:szCs w:val="20"/>
          <w:lang w:val="en"/>
        </w:rPr>
        <w:t>For primary and secondary mainstream schools and academies, the threshold from April 20</w:t>
      </w:r>
      <w:r>
        <w:rPr>
          <w:rFonts w:ascii="Arial" w:hAnsi="Arial" w:cs="Helvetica"/>
          <w:sz w:val="20"/>
          <w:szCs w:val="20"/>
          <w:lang w:val="en"/>
        </w:rPr>
        <w:t>14 is £6,000 per pupil per annum.</w:t>
      </w:r>
      <w:r w:rsidRPr="00E46A94">
        <w:rPr>
          <w:rFonts w:ascii="Arial" w:hAnsi="Arial" w:cs="Helvetica"/>
          <w:sz w:val="20"/>
          <w:szCs w:val="20"/>
          <w:lang w:val="en"/>
        </w:rPr>
        <w:t xml:space="preserve"> Top-up funding is paid in respect of individual pupils whose additional support costs more than this, and is for the excess costs over the threshold. </w:t>
      </w:r>
    </w:p>
    <w:p w:rsidR="00E46A94" w:rsidRDefault="00E46A94" w:rsidP="00E46A94">
      <w:pPr>
        <w:pStyle w:val="NormalWeb"/>
        <w:numPr>
          <w:ilvl w:val="1"/>
          <w:numId w:val="5"/>
        </w:numPr>
        <w:spacing w:line="260" w:lineRule="atLeast"/>
        <w:jc w:val="both"/>
        <w:rPr>
          <w:rFonts w:ascii="Arial" w:hAnsi="Arial" w:cs="Helvetica"/>
          <w:sz w:val="20"/>
          <w:szCs w:val="20"/>
          <w:lang w:val="en"/>
        </w:rPr>
      </w:pPr>
      <w:r w:rsidRPr="00E46A94">
        <w:rPr>
          <w:rFonts w:ascii="Arial" w:hAnsi="Arial" w:cs="Helvetica"/>
          <w:sz w:val="20"/>
          <w:szCs w:val="20"/>
          <w:lang w:val="en"/>
        </w:rPr>
        <w:t xml:space="preserve">However, where there is a designated special unit or resourced provision attached to a mainstream school or academy, the school or academy receives £10,000 per place which is intended to cover not only a proportion of the pupil’s additional support costs, but also their core education as well. For any such unit or resourced provision at a school or academy, and for all special schools, special academies and special free schools, the funding they receive is £10,000 per place, and the top-up funding will be for costs in excess of this amount. </w:t>
      </w:r>
    </w:p>
    <w:p w:rsidR="00106BA3" w:rsidRPr="00E46A94" w:rsidRDefault="00E46A94" w:rsidP="00E46A94">
      <w:pPr>
        <w:pStyle w:val="NormalWeb"/>
        <w:numPr>
          <w:ilvl w:val="1"/>
          <w:numId w:val="5"/>
        </w:numPr>
        <w:spacing w:line="260" w:lineRule="atLeast"/>
        <w:jc w:val="both"/>
        <w:rPr>
          <w:rFonts w:ascii="Arial" w:hAnsi="Arial" w:cs="Helvetica"/>
          <w:sz w:val="20"/>
          <w:szCs w:val="20"/>
          <w:lang w:val="en"/>
        </w:rPr>
      </w:pPr>
      <w:r w:rsidRPr="00E46A94">
        <w:rPr>
          <w:rFonts w:ascii="Arial" w:hAnsi="Arial" w:cs="Helvetica"/>
          <w:sz w:val="20"/>
          <w:szCs w:val="20"/>
          <w:lang w:val="en"/>
        </w:rPr>
        <w:t>For PRUs, AP academies and AP free schools, which are in receipt of funding of £8,000 per AP place, the top-up funding will be for costs over this threshold.</w:t>
      </w:r>
    </w:p>
    <w:p w:rsidR="00E46A94" w:rsidRPr="008F7285" w:rsidRDefault="00E46A94" w:rsidP="00E46A94">
      <w:pPr>
        <w:numPr>
          <w:ilvl w:val="1"/>
          <w:numId w:val="5"/>
        </w:numPr>
        <w:spacing w:line="260" w:lineRule="atLeast"/>
        <w:jc w:val="both"/>
        <w:rPr>
          <w:rFonts w:cs="Helvetica"/>
          <w:lang w:val="en"/>
        </w:rPr>
      </w:pPr>
      <w:r w:rsidRPr="008F7285">
        <w:rPr>
          <w:rFonts w:cs="Helvetica"/>
          <w:lang w:val="en"/>
        </w:rPr>
        <w:t>Further informati</w:t>
      </w:r>
      <w:r>
        <w:rPr>
          <w:rFonts w:cs="Helvetica"/>
          <w:lang w:val="en"/>
        </w:rPr>
        <w:t>on is available in section 4.3.11</w:t>
      </w:r>
      <w:r w:rsidRPr="008F7285">
        <w:rPr>
          <w:rFonts w:cs="Helvetica"/>
          <w:lang w:val="en"/>
        </w:rPr>
        <w:t xml:space="preserve"> </w:t>
      </w:r>
      <w:r>
        <w:rPr>
          <w:rFonts w:cs="Helvetica"/>
          <w:lang w:val="en"/>
        </w:rPr>
        <w:t>(page 57</w:t>
      </w:r>
      <w:r w:rsidRPr="008F7285">
        <w:rPr>
          <w:rFonts w:cs="Helvetica"/>
          <w:lang w:val="en"/>
        </w:rPr>
        <w:t xml:space="preserve">) of the </w:t>
      </w:r>
      <w:hyperlink r:id="rId9" w:history="1">
        <w:proofErr w:type="spellStart"/>
        <w:r w:rsidRPr="008F7285">
          <w:rPr>
            <w:rStyle w:val="Hyperlink"/>
            <w:rFonts w:cs="Helvetica"/>
            <w:lang w:val="en"/>
          </w:rPr>
          <w:t>DfE’s</w:t>
        </w:r>
        <w:proofErr w:type="spellEnd"/>
        <w:r w:rsidRPr="008F7285">
          <w:rPr>
            <w:rStyle w:val="Hyperlink"/>
            <w:rFonts w:cs="Helvetica"/>
            <w:lang w:val="en"/>
          </w:rPr>
          <w:t xml:space="preserve"> census guidance</w:t>
        </w:r>
      </w:hyperlink>
      <w:r w:rsidRPr="008F7285">
        <w:rPr>
          <w:rFonts w:cs="Helvetica"/>
          <w:lang w:val="en"/>
        </w:rPr>
        <w:t>.</w:t>
      </w:r>
    </w:p>
    <w:p w:rsidR="00496250" w:rsidRDefault="00496250" w:rsidP="00654945">
      <w:pPr>
        <w:pStyle w:val="NormalWeb"/>
        <w:spacing w:after="0" w:line="260" w:lineRule="atLeast"/>
        <w:jc w:val="both"/>
        <w:rPr>
          <w:rFonts w:ascii="Arial" w:hAnsi="Arial" w:cs="Helvetica"/>
          <w:sz w:val="20"/>
          <w:szCs w:val="20"/>
          <w:lang w:val="en"/>
        </w:rPr>
      </w:pPr>
    </w:p>
    <w:p w:rsidR="00654945" w:rsidRDefault="00654945" w:rsidP="00654945">
      <w:pPr>
        <w:pStyle w:val="NormalWeb"/>
        <w:numPr>
          <w:ilvl w:val="0"/>
          <w:numId w:val="5"/>
        </w:numPr>
        <w:spacing w:line="260" w:lineRule="atLeast"/>
        <w:jc w:val="both"/>
        <w:rPr>
          <w:rFonts w:ascii="Arial" w:hAnsi="Arial" w:cs="Helvetica"/>
          <w:sz w:val="20"/>
          <w:szCs w:val="20"/>
          <w:lang w:val="en"/>
        </w:rPr>
      </w:pPr>
      <w:r>
        <w:rPr>
          <w:rFonts w:ascii="Arial" w:hAnsi="Arial" w:cs="Helvetica"/>
          <w:sz w:val="20"/>
          <w:szCs w:val="20"/>
          <w:lang w:val="en"/>
        </w:rPr>
        <w:t xml:space="preserve">Schools should note that the </w:t>
      </w:r>
      <w:r>
        <w:rPr>
          <w:rFonts w:ascii="Arial" w:hAnsi="Arial" w:cs="Helvetica"/>
          <w:b/>
          <w:sz w:val="20"/>
          <w:szCs w:val="20"/>
          <w:lang w:val="en"/>
        </w:rPr>
        <w:t>Adopted from care</w:t>
      </w:r>
      <w:r>
        <w:rPr>
          <w:rFonts w:ascii="Arial" w:hAnsi="Arial" w:cs="Helvetica"/>
          <w:sz w:val="20"/>
          <w:szCs w:val="20"/>
          <w:lang w:val="en"/>
        </w:rPr>
        <w:t xml:space="preserve"> data item has been extended to include ALL children who have been adopted from care. In the January 2014 Census, this item only collected data on children adopted from care from 30 December 2005. Pupil Premium allocations for 2015/16 will be based on the January 2015 Census.</w:t>
      </w:r>
    </w:p>
    <w:p w:rsidR="00654945" w:rsidRDefault="00654945" w:rsidP="00654945">
      <w:pPr>
        <w:spacing w:line="260" w:lineRule="atLeast"/>
        <w:ind w:left="720"/>
        <w:jc w:val="both"/>
        <w:rPr>
          <w:rFonts w:cs="Helvetica"/>
          <w:lang w:val="en"/>
        </w:rPr>
      </w:pPr>
      <w:r w:rsidRPr="008F7285">
        <w:rPr>
          <w:rFonts w:cs="Helvetica"/>
          <w:lang w:val="en"/>
        </w:rPr>
        <w:t>Further informati</w:t>
      </w:r>
      <w:r>
        <w:rPr>
          <w:rFonts w:cs="Helvetica"/>
          <w:lang w:val="en"/>
        </w:rPr>
        <w:t>on is available in section 4.3.12</w:t>
      </w:r>
      <w:r w:rsidRPr="008F7285">
        <w:rPr>
          <w:rFonts w:cs="Helvetica"/>
          <w:lang w:val="en"/>
        </w:rPr>
        <w:t xml:space="preserve"> </w:t>
      </w:r>
      <w:r>
        <w:rPr>
          <w:rFonts w:cs="Helvetica"/>
          <w:lang w:val="en"/>
        </w:rPr>
        <w:t>(page 57</w:t>
      </w:r>
      <w:r w:rsidRPr="008F7285">
        <w:rPr>
          <w:rFonts w:cs="Helvetica"/>
          <w:lang w:val="en"/>
        </w:rPr>
        <w:t xml:space="preserve">) of the </w:t>
      </w:r>
      <w:hyperlink r:id="rId10" w:history="1">
        <w:proofErr w:type="spellStart"/>
        <w:r w:rsidRPr="008F7285">
          <w:rPr>
            <w:rStyle w:val="Hyperlink"/>
            <w:rFonts w:cs="Helvetica"/>
            <w:lang w:val="en"/>
          </w:rPr>
          <w:t>DfE’s</w:t>
        </w:r>
        <w:proofErr w:type="spellEnd"/>
        <w:r w:rsidRPr="008F7285">
          <w:rPr>
            <w:rStyle w:val="Hyperlink"/>
            <w:rFonts w:cs="Helvetica"/>
            <w:lang w:val="en"/>
          </w:rPr>
          <w:t xml:space="preserve"> census guidance</w:t>
        </w:r>
      </w:hyperlink>
      <w:r w:rsidRPr="008F7285">
        <w:rPr>
          <w:rFonts w:cs="Helvetica"/>
          <w:lang w:val="en"/>
        </w:rPr>
        <w:t>.</w:t>
      </w:r>
    </w:p>
    <w:p w:rsidR="00106BA3" w:rsidRDefault="00106BA3" w:rsidP="00496250">
      <w:pPr>
        <w:pStyle w:val="NormalWeb"/>
        <w:spacing w:after="0" w:line="260" w:lineRule="atLeast"/>
        <w:jc w:val="both"/>
        <w:rPr>
          <w:rFonts w:ascii="Arial" w:hAnsi="Arial" w:cs="Helvetica"/>
          <w:sz w:val="20"/>
          <w:szCs w:val="20"/>
          <w:lang w:val="en"/>
        </w:rPr>
      </w:pPr>
    </w:p>
    <w:p w:rsidR="00CD5DD9" w:rsidRDefault="00CD5DD9" w:rsidP="00496250">
      <w:pPr>
        <w:pStyle w:val="NormalWeb"/>
        <w:spacing w:after="0" w:line="260" w:lineRule="atLeast"/>
        <w:jc w:val="both"/>
        <w:rPr>
          <w:rFonts w:ascii="Arial" w:hAnsi="Arial" w:cs="Helvetica"/>
          <w:sz w:val="20"/>
          <w:szCs w:val="20"/>
          <w:lang w:val="en"/>
        </w:rPr>
      </w:pPr>
    </w:p>
    <w:p w:rsidR="00CD5DD9" w:rsidRPr="00CD5DD9" w:rsidRDefault="00CD5DD9" w:rsidP="00496250">
      <w:pPr>
        <w:pStyle w:val="NormalWeb"/>
        <w:spacing w:after="0" w:line="260" w:lineRule="atLeast"/>
        <w:jc w:val="both"/>
        <w:rPr>
          <w:rFonts w:ascii="Arial" w:hAnsi="Arial" w:cs="Helvetica"/>
          <w:i/>
          <w:sz w:val="20"/>
          <w:szCs w:val="20"/>
          <w:lang w:val="en"/>
        </w:rPr>
      </w:pPr>
      <w:r>
        <w:rPr>
          <w:rFonts w:ascii="Arial" w:hAnsi="Arial" w:cs="Helvetica"/>
          <w:i/>
          <w:sz w:val="20"/>
          <w:szCs w:val="20"/>
          <w:lang w:val="en"/>
        </w:rPr>
        <w:t xml:space="preserve">Primary and Secondary schools and academies should also see the </w:t>
      </w:r>
      <w:r w:rsidR="000A2B2D">
        <w:rPr>
          <w:rFonts w:ascii="Arial" w:hAnsi="Arial" w:cs="Helvetica"/>
          <w:i/>
          <w:sz w:val="20"/>
          <w:szCs w:val="20"/>
          <w:lang w:val="en"/>
        </w:rPr>
        <w:t xml:space="preserve">note giving information on the data items used to calculate formula funding allocations for the Schools Block (Reception – Year 11), available </w:t>
      </w:r>
      <w:hyperlink r:id="rId11" w:history="1">
        <w:r w:rsidR="000A2B2D" w:rsidRPr="000A2B2D">
          <w:rPr>
            <w:rStyle w:val="Hyperlink"/>
            <w:rFonts w:ascii="Arial" w:hAnsi="Arial" w:cs="Helvetica"/>
            <w:i/>
            <w:sz w:val="20"/>
            <w:szCs w:val="20"/>
            <w:lang w:val="en"/>
          </w:rPr>
          <w:t>he</w:t>
        </w:r>
        <w:r w:rsidR="000A2B2D" w:rsidRPr="000A2B2D">
          <w:rPr>
            <w:rStyle w:val="Hyperlink"/>
            <w:rFonts w:ascii="Arial" w:hAnsi="Arial" w:cs="Helvetica"/>
            <w:i/>
            <w:sz w:val="20"/>
            <w:szCs w:val="20"/>
            <w:lang w:val="en"/>
          </w:rPr>
          <w:t>r</w:t>
        </w:r>
        <w:r w:rsidR="000A2B2D" w:rsidRPr="000A2B2D">
          <w:rPr>
            <w:rStyle w:val="Hyperlink"/>
            <w:rFonts w:ascii="Arial" w:hAnsi="Arial" w:cs="Helvetica"/>
            <w:i/>
            <w:sz w:val="20"/>
            <w:szCs w:val="20"/>
            <w:lang w:val="en"/>
          </w:rPr>
          <w:t>e</w:t>
        </w:r>
      </w:hyperlink>
      <w:r w:rsidR="000A2B2D">
        <w:rPr>
          <w:rFonts w:ascii="Arial" w:hAnsi="Arial" w:cs="Helvetica"/>
          <w:i/>
          <w:sz w:val="20"/>
          <w:szCs w:val="20"/>
          <w:lang w:val="en"/>
        </w:rPr>
        <w:t>.</w:t>
      </w:r>
      <w:bookmarkStart w:id="0" w:name="_GoBack"/>
      <w:bookmarkEnd w:id="0"/>
    </w:p>
    <w:sectPr w:rsidR="00CD5DD9" w:rsidRPr="00CD5DD9" w:rsidSect="004D2DC9">
      <w:headerReference w:type="default" r:id="rId12"/>
      <w:pgSz w:w="11906" w:h="16838" w:code="9"/>
      <w:pgMar w:top="510" w:right="964" w:bottom="454" w:left="964"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DD9" w:rsidRDefault="00CD5DD9">
      <w:r>
        <w:separator/>
      </w:r>
    </w:p>
  </w:endnote>
  <w:endnote w:type="continuationSeparator" w:id="0">
    <w:p w:rsidR="00CD5DD9" w:rsidRDefault="00CD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DD9" w:rsidRDefault="00CD5DD9">
      <w:r>
        <w:separator/>
      </w:r>
    </w:p>
  </w:footnote>
  <w:footnote w:type="continuationSeparator" w:id="0">
    <w:p w:rsidR="00CD5DD9" w:rsidRDefault="00CD5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D9" w:rsidRDefault="00CD5DD9">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75pt;height:46.9pt">
          <v:imagedata r:id="rId1" o:title="bannerbw"/>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33380"/>
    <w:multiLevelType w:val="hybridMultilevel"/>
    <w:tmpl w:val="C8DAF49E"/>
    <w:lvl w:ilvl="0" w:tplc="D96CBB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F01904"/>
    <w:multiLevelType w:val="hybridMultilevel"/>
    <w:tmpl w:val="E9ACE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09273B"/>
    <w:multiLevelType w:val="hybridMultilevel"/>
    <w:tmpl w:val="9C8AE6E2"/>
    <w:lvl w:ilvl="0" w:tplc="0809000F">
      <w:start w:val="1"/>
      <w:numFmt w:val="decimal"/>
      <w:lvlText w:val="%1."/>
      <w:lvlJc w:val="left"/>
      <w:pPr>
        <w:ind w:left="720" w:hanging="72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C15293B"/>
    <w:multiLevelType w:val="hybridMultilevel"/>
    <w:tmpl w:val="D41E2A56"/>
    <w:lvl w:ilvl="0" w:tplc="87E039D0">
      <w:start w:val="4"/>
      <w:numFmt w:val="decimal"/>
      <w:lvlText w:val="%1."/>
      <w:lvlJc w:val="left"/>
      <w:pPr>
        <w:tabs>
          <w:tab w:val="num" w:pos="720"/>
        </w:tabs>
        <w:ind w:left="720" w:hanging="360"/>
      </w:pPr>
    </w:lvl>
    <w:lvl w:ilvl="1" w:tplc="3C40C1CC">
      <w:start w:val="1"/>
      <w:numFmt w:val="decimal"/>
      <w:lvlText w:val="%2."/>
      <w:lvlJc w:val="left"/>
      <w:pPr>
        <w:tabs>
          <w:tab w:val="num" w:pos="1440"/>
        </w:tabs>
        <w:ind w:left="1440" w:hanging="360"/>
      </w:pPr>
    </w:lvl>
    <w:lvl w:ilvl="2" w:tplc="36E08F84" w:tentative="1">
      <w:start w:val="1"/>
      <w:numFmt w:val="decimal"/>
      <w:lvlText w:val="%3."/>
      <w:lvlJc w:val="left"/>
      <w:pPr>
        <w:tabs>
          <w:tab w:val="num" w:pos="2160"/>
        </w:tabs>
        <w:ind w:left="2160" w:hanging="360"/>
      </w:pPr>
    </w:lvl>
    <w:lvl w:ilvl="3" w:tplc="27C2B10E" w:tentative="1">
      <w:start w:val="1"/>
      <w:numFmt w:val="decimal"/>
      <w:lvlText w:val="%4."/>
      <w:lvlJc w:val="left"/>
      <w:pPr>
        <w:tabs>
          <w:tab w:val="num" w:pos="2880"/>
        </w:tabs>
        <w:ind w:left="2880" w:hanging="360"/>
      </w:pPr>
    </w:lvl>
    <w:lvl w:ilvl="4" w:tplc="0A5270C4" w:tentative="1">
      <w:start w:val="1"/>
      <w:numFmt w:val="decimal"/>
      <w:lvlText w:val="%5."/>
      <w:lvlJc w:val="left"/>
      <w:pPr>
        <w:tabs>
          <w:tab w:val="num" w:pos="3600"/>
        </w:tabs>
        <w:ind w:left="3600" w:hanging="360"/>
      </w:pPr>
    </w:lvl>
    <w:lvl w:ilvl="5" w:tplc="8716D89A" w:tentative="1">
      <w:start w:val="1"/>
      <w:numFmt w:val="decimal"/>
      <w:lvlText w:val="%6."/>
      <w:lvlJc w:val="left"/>
      <w:pPr>
        <w:tabs>
          <w:tab w:val="num" w:pos="4320"/>
        </w:tabs>
        <w:ind w:left="4320" w:hanging="360"/>
      </w:pPr>
    </w:lvl>
    <w:lvl w:ilvl="6" w:tplc="1AF0A860" w:tentative="1">
      <w:start w:val="1"/>
      <w:numFmt w:val="decimal"/>
      <w:lvlText w:val="%7."/>
      <w:lvlJc w:val="left"/>
      <w:pPr>
        <w:tabs>
          <w:tab w:val="num" w:pos="5040"/>
        </w:tabs>
        <w:ind w:left="5040" w:hanging="360"/>
      </w:pPr>
    </w:lvl>
    <w:lvl w:ilvl="7" w:tplc="E6AE5AAA" w:tentative="1">
      <w:start w:val="1"/>
      <w:numFmt w:val="decimal"/>
      <w:lvlText w:val="%8."/>
      <w:lvlJc w:val="left"/>
      <w:pPr>
        <w:tabs>
          <w:tab w:val="num" w:pos="5760"/>
        </w:tabs>
        <w:ind w:left="5760" w:hanging="360"/>
      </w:pPr>
    </w:lvl>
    <w:lvl w:ilvl="8" w:tplc="AAF2B3AA" w:tentative="1">
      <w:start w:val="1"/>
      <w:numFmt w:val="decimal"/>
      <w:lvlText w:val="%9."/>
      <w:lvlJc w:val="left"/>
      <w:pPr>
        <w:tabs>
          <w:tab w:val="num" w:pos="6480"/>
        </w:tabs>
        <w:ind w:left="6480" w:hanging="360"/>
      </w:pPr>
    </w:lvl>
  </w:abstractNum>
  <w:abstractNum w:abstractNumId="4">
    <w:nsid w:val="3D3149D5"/>
    <w:multiLevelType w:val="hybridMultilevel"/>
    <w:tmpl w:val="6B284F22"/>
    <w:lvl w:ilvl="0" w:tplc="EA22CA1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F875FF0"/>
    <w:multiLevelType w:val="hybridMultilevel"/>
    <w:tmpl w:val="78BAFE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7B62D4"/>
    <w:multiLevelType w:val="hybridMultilevel"/>
    <w:tmpl w:val="52144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AC3D18"/>
    <w:multiLevelType w:val="hybridMultilevel"/>
    <w:tmpl w:val="F238D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3A62FA"/>
    <w:multiLevelType w:val="hybridMultilevel"/>
    <w:tmpl w:val="6A8C036C"/>
    <w:lvl w:ilvl="0" w:tplc="0809000F">
      <w:start w:val="1"/>
      <w:numFmt w:val="decimal"/>
      <w:lvlText w:val="%1."/>
      <w:lvlJc w:val="left"/>
      <w:pPr>
        <w:ind w:left="720" w:hanging="72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AD36B27"/>
    <w:multiLevelType w:val="hybridMultilevel"/>
    <w:tmpl w:val="2E528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0"/>
  </w:num>
  <w:num w:numId="5">
    <w:abstractNumId w:val="8"/>
  </w:num>
  <w:num w:numId="6">
    <w:abstractNumId w:val="1"/>
  </w:num>
  <w:num w:numId="7">
    <w:abstractNumId w:val="5"/>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B32"/>
    <w:rsid w:val="000A2B2D"/>
    <w:rsid w:val="00106BA3"/>
    <w:rsid w:val="001533B1"/>
    <w:rsid w:val="001F71BB"/>
    <w:rsid w:val="0024056D"/>
    <w:rsid w:val="002A0C09"/>
    <w:rsid w:val="003C6ECE"/>
    <w:rsid w:val="003D65E5"/>
    <w:rsid w:val="00496250"/>
    <w:rsid w:val="004D2DC9"/>
    <w:rsid w:val="005534D8"/>
    <w:rsid w:val="00596101"/>
    <w:rsid w:val="005E2284"/>
    <w:rsid w:val="00654945"/>
    <w:rsid w:val="008A78D9"/>
    <w:rsid w:val="008A7C6F"/>
    <w:rsid w:val="008C1A77"/>
    <w:rsid w:val="008F7285"/>
    <w:rsid w:val="00926DBC"/>
    <w:rsid w:val="00932880"/>
    <w:rsid w:val="009B5A92"/>
    <w:rsid w:val="009C3DF2"/>
    <w:rsid w:val="009E76A5"/>
    <w:rsid w:val="00AF7E6C"/>
    <w:rsid w:val="00B13517"/>
    <w:rsid w:val="00C20642"/>
    <w:rsid w:val="00C54E63"/>
    <w:rsid w:val="00CB6ABC"/>
    <w:rsid w:val="00CD5DD9"/>
    <w:rsid w:val="00CE0CD2"/>
    <w:rsid w:val="00D777C3"/>
    <w:rsid w:val="00D95A19"/>
    <w:rsid w:val="00DF7B32"/>
    <w:rsid w:val="00E05FB1"/>
    <w:rsid w:val="00E46A94"/>
    <w:rsid w:val="00E53A12"/>
    <w:rsid w:val="00F01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5E5"/>
    <w:rPr>
      <w:rFonts w:ascii="Arial" w:hAnsi="Arial"/>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7B32"/>
    <w:pPr>
      <w:tabs>
        <w:tab w:val="center" w:pos="4153"/>
        <w:tab w:val="right" w:pos="8306"/>
      </w:tabs>
    </w:pPr>
  </w:style>
  <w:style w:type="paragraph" w:styleId="Footer">
    <w:name w:val="footer"/>
    <w:basedOn w:val="Normal"/>
    <w:rsid w:val="00DF7B32"/>
    <w:pPr>
      <w:tabs>
        <w:tab w:val="center" w:pos="4153"/>
        <w:tab w:val="right" w:pos="8306"/>
      </w:tabs>
    </w:pPr>
  </w:style>
  <w:style w:type="character" w:styleId="Hyperlink">
    <w:name w:val="Hyperlink"/>
    <w:basedOn w:val="DefaultParagraphFont"/>
    <w:rsid w:val="00DF7B32"/>
    <w:rPr>
      <w:strike w:val="0"/>
      <w:dstrike w:val="0"/>
      <w:color w:val="0088CC"/>
      <w:u w:val="none"/>
      <w:effect w:val="none"/>
    </w:rPr>
  </w:style>
  <w:style w:type="paragraph" w:styleId="NormalWeb">
    <w:name w:val="Normal (Web)"/>
    <w:basedOn w:val="Normal"/>
    <w:rsid w:val="00DF7B32"/>
    <w:pPr>
      <w:spacing w:after="135"/>
    </w:pPr>
    <w:rPr>
      <w:rFonts w:ascii="Times New Roman" w:hAnsi="Times New Roman"/>
      <w:sz w:val="24"/>
      <w:szCs w:val="24"/>
      <w:lang w:eastAsia="en-GB"/>
    </w:rPr>
  </w:style>
  <w:style w:type="character" w:styleId="FollowedHyperlink">
    <w:name w:val="FollowedHyperlink"/>
    <w:basedOn w:val="DefaultParagraphFont"/>
    <w:rsid w:val="00E53A12"/>
    <w:rPr>
      <w:color w:val="800080" w:themeColor="followedHyperlink"/>
      <w:u w:val="single"/>
    </w:rPr>
  </w:style>
  <w:style w:type="paragraph" w:styleId="ListParagraph">
    <w:name w:val="List Paragraph"/>
    <w:basedOn w:val="Normal"/>
    <w:uiPriority w:val="34"/>
    <w:qFormat/>
    <w:rsid w:val="008F728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26971">
      <w:bodyDiv w:val="1"/>
      <w:marLeft w:val="0"/>
      <w:marRight w:val="0"/>
      <w:marTop w:val="0"/>
      <w:marBottom w:val="0"/>
      <w:divBdr>
        <w:top w:val="none" w:sz="0" w:space="0" w:color="auto"/>
        <w:left w:val="none" w:sz="0" w:space="0" w:color="auto"/>
        <w:bottom w:val="none" w:sz="0" w:space="0" w:color="auto"/>
        <w:right w:val="none" w:sz="0" w:space="0" w:color="auto"/>
      </w:divBdr>
    </w:div>
    <w:div w:id="1275869841">
      <w:bodyDiv w:val="1"/>
      <w:marLeft w:val="0"/>
      <w:marRight w:val="0"/>
      <w:marTop w:val="0"/>
      <w:marBottom w:val="0"/>
      <w:divBdr>
        <w:top w:val="none" w:sz="0" w:space="0" w:color="auto"/>
        <w:left w:val="none" w:sz="0" w:space="0" w:color="auto"/>
        <w:bottom w:val="none" w:sz="0" w:space="0" w:color="auto"/>
        <w:right w:val="none" w:sz="0" w:space="0" w:color="auto"/>
      </w:divBdr>
      <w:divsChild>
        <w:div w:id="1085153588">
          <w:marLeft w:val="1282"/>
          <w:marRight w:val="0"/>
          <w:marTop w:val="134"/>
          <w:marBottom w:val="0"/>
          <w:divBdr>
            <w:top w:val="none" w:sz="0" w:space="0" w:color="auto"/>
            <w:left w:val="none" w:sz="0" w:space="0" w:color="auto"/>
            <w:bottom w:val="none" w:sz="0" w:space="0" w:color="auto"/>
            <w:right w:val="none" w:sz="0" w:space="0" w:color="auto"/>
          </w:divBdr>
        </w:div>
      </w:divsChild>
    </w:div>
    <w:div w:id="214538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57303/2014_to_2015_School_Census_Guide_V1_3.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so.bradford.gov.uk/userfiles/file/School%20Funding%20Team/Importance%20of%20Oct%2014%20Census.docx" TargetMode="External"/><Relationship Id="rId5" Type="http://schemas.openxmlformats.org/officeDocument/2006/relationships/webSettings" Target="webSettings.xml"/><Relationship Id="rId10" Type="http://schemas.openxmlformats.org/officeDocument/2006/relationships/hyperlink" Target="https://www.gov.uk/government/uploads/system/uploads/attachment_data/file/357303/2014_to_2015_School_Census_Guide_V1_3.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357303/2014_to_2015_School_Census_Guide_V1_3.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15 August 2012</vt:lpstr>
    </vt:vector>
  </TitlesOfParts>
  <Company>Bradford Council</Company>
  <LinksUpToDate>false</LinksUpToDate>
  <CharactersWithSpaces>4866</CharactersWithSpaces>
  <SharedDoc>false</SharedDoc>
  <HLinks>
    <vt:vector size="6" baseType="variant">
      <vt:variant>
        <vt:i4>7602249</vt:i4>
      </vt:variant>
      <vt:variant>
        <vt:i4>0</vt:i4>
      </vt:variant>
      <vt:variant>
        <vt:i4>0</vt:i4>
      </vt:variant>
      <vt:variant>
        <vt:i4>5</vt:i4>
      </vt:variant>
      <vt:variant>
        <vt:lpwstr>https://www.gov.uk/government/uploads/system/uploads/attachment_data/file/208045/Schools_Block_Dataset_Technical_Spec.pdf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August 2012</dc:title>
  <dc:subject/>
  <dc:creator>sarah.north</dc:creator>
  <cp:keywords/>
  <dc:description/>
  <cp:lastModifiedBy>Sarah North</cp:lastModifiedBy>
  <cp:revision>4</cp:revision>
  <dcterms:created xsi:type="dcterms:W3CDTF">2014-09-29T13:25:00Z</dcterms:created>
  <dcterms:modified xsi:type="dcterms:W3CDTF">2014-09-29T14:01:00Z</dcterms:modified>
</cp:coreProperties>
</file>