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B23" w:rsidRDefault="000D02D4" w:rsidP="00981B23">
      <w:pPr>
        <w:jc w:val="center"/>
        <w:rPr>
          <w:sz w:val="28"/>
          <w:szCs w:val="28"/>
        </w:rPr>
      </w:pPr>
      <w:r>
        <w:rPr>
          <w:b/>
          <w:sz w:val="28"/>
          <w:szCs w:val="28"/>
          <w:u w:val="single"/>
        </w:rPr>
        <w:t>INFOR</w:t>
      </w:r>
      <w:r w:rsidR="00143BA6">
        <w:rPr>
          <w:b/>
          <w:sz w:val="28"/>
          <w:szCs w:val="28"/>
          <w:u w:val="single"/>
        </w:rPr>
        <w:t>M</w:t>
      </w:r>
      <w:r>
        <w:rPr>
          <w:b/>
          <w:sz w:val="28"/>
          <w:szCs w:val="28"/>
          <w:u w:val="single"/>
        </w:rPr>
        <w:t>A</w:t>
      </w:r>
      <w:r w:rsidR="00143BA6">
        <w:rPr>
          <w:b/>
          <w:sz w:val="28"/>
          <w:szCs w:val="28"/>
          <w:u w:val="single"/>
        </w:rPr>
        <w:t xml:space="preserve">TION AND </w:t>
      </w:r>
      <w:r w:rsidR="00981B23">
        <w:rPr>
          <w:b/>
          <w:sz w:val="28"/>
          <w:szCs w:val="28"/>
          <w:u w:val="single"/>
        </w:rPr>
        <w:t>CONSULTATION ON FUND</w:t>
      </w:r>
      <w:r w:rsidR="00143BA6">
        <w:rPr>
          <w:b/>
          <w:sz w:val="28"/>
          <w:szCs w:val="28"/>
          <w:u w:val="single"/>
        </w:rPr>
        <w:t>ING HIGH NEEDS PROVISION 2015</w:t>
      </w:r>
      <w:r w:rsidR="007B4706">
        <w:rPr>
          <w:b/>
          <w:sz w:val="28"/>
          <w:szCs w:val="28"/>
          <w:u w:val="single"/>
        </w:rPr>
        <w:t>/1</w:t>
      </w:r>
      <w:r w:rsidR="00143BA6">
        <w:rPr>
          <w:b/>
          <w:sz w:val="28"/>
          <w:szCs w:val="28"/>
          <w:u w:val="single"/>
        </w:rPr>
        <w:t>6 FINANCIAL YEAR</w:t>
      </w:r>
    </w:p>
    <w:p w:rsidR="004A24A3" w:rsidRDefault="004A24A3" w:rsidP="00225A33">
      <w:pPr>
        <w:jc w:val="both"/>
        <w:rPr>
          <w:sz w:val="22"/>
          <w:szCs w:val="22"/>
        </w:rPr>
      </w:pPr>
    </w:p>
    <w:p w:rsidR="00854869" w:rsidRPr="00924C42" w:rsidRDefault="00854869" w:rsidP="00225A33">
      <w:pPr>
        <w:jc w:val="both"/>
        <w:rPr>
          <w:sz w:val="22"/>
          <w:szCs w:val="22"/>
        </w:rPr>
      </w:pPr>
    </w:p>
    <w:p w:rsidR="00BF65FB" w:rsidRPr="00924C42" w:rsidRDefault="00BF65FB" w:rsidP="00225A33">
      <w:pPr>
        <w:jc w:val="both"/>
        <w:rPr>
          <w:sz w:val="22"/>
          <w:szCs w:val="22"/>
        </w:rPr>
      </w:pPr>
      <w:r w:rsidRPr="00924C42">
        <w:rPr>
          <w:b/>
          <w:sz w:val="22"/>
          <w:szCs w:val="22"/>
        </w:rPr>
        <w:t>1.</w:t>
      </w:r>
      <w:r w:rsidRPr="00924C42">
        <w:rPr>
          <w:b/>
          <w:sz w:val="22"/>
          <w:szCs w:val="22"/>
        </w:rPr>
        <w:tab/>
      </w:r>
      <w:r w:rsidR="00D96F3C" w:rsidRPr="00981B23">
        <w:rPr>
          <w:b/>
          <w:sz w:val="22"/>
          <w:szCs w:val="22"/>
        </w:rPr>
        <w:t>Introduction</w:t>
      </w:r>
    </w:p>
    <w:p w:rsidR="007E476C" w:rsidRDefault="007E476C" w:rsidP="00225A33">
      <w:pPr>
        <w:jc w:val="both"/>
        <w:rPr>
          <w:sz w:val="22"/>
          <w:szCs w:val="22"/>
        </w:rPr>
      </w:pPr>
    </w:p>
    <w:p w:rsidR="007B4706" w:rsidRDefault="003B1983" w:rsidP="0094692E">
      <w:pPr>
        <w:jc w:val="both"/>
        <w:rPr>
          <w:sz w:val="22"/>
          <w:szCs w:val="22"/>
        </w:rPr>
      </w:pPr>
      <w:r>
        <w:rPr>
          <w:sz w:val="22"/>
          <w:szCs w:val="22"/>
        </w:rPr>
        <w:t>1.1 Significant changes</w:t>
      </w:r>
      <w:r w:rsidR="00001C2A">
        <w:rPr>
          <w:sz w:val="22"/>
          <w:szCs w:val="22"/>
        </w:rPr>
        <w:t xml:space="preserve"> to the way ‘High Needs’ pro</w:t>
      </w:r>
      <w:r w:rsidR="003D14C5">
        <w:rPr>
          <w:sz w:val="22"/>
          <w:szCs w:val="22"/>
        </w:rPr>
        <w:t>vision is funded</w:t>
      </w:r>
      <w:r w:rsidR="007B4706">
        <w:rPr>
          <w:sz w:val="22"/>
          <w:szCs w:val="22"/>
        </w:rPr>
        <w:t xml:space="preserve"> were</w:t>
      </w:r>
      <w:r>
        <w:rPr>
          <w:sz w:val="22"/>
          <w:szCs w:val="22"/>
        </w:rPr>
        <w:t xml:space="preserve"> required </w:t>
      </w:r>
      <w:r w:rsidR="00001C2A">
        <w:rPr>
          <w:sz w:val="22"/>
          <w:szCs w:val="22"/>
        </w:rPr>
        <w:t>to be i</w:t>
      </w:r>
      <w:r w:rsidR="00854869">
        <w:rPr>
          <w:sz w:val="22"/>
          <w:szCs w:val="22"/>
        </w:rPr>
        <w:t>mplemented by the D</w:t>
      </w:r>
      <w:r w:rsidR="00E85379">
        <w:rPr>
          <w:sz w:val="22"/>
          <w:szCs w:val="22"/>
        </w:rPr>
        <w:t>epartment for Education (</w:t>
      </w:r>
      <w:proofErr w:type="spellStart"/>
      <w:r w:rsidR="00E85379">
        <w:rPr>
          <w:sz w:val="22"/>
          <w:szCs w:val="22"/>
        </w:rPr>
        <w:t>DfE</w:t>
      </w:r>
      <w:proofErr w:type="spellEnd"/>
      <w:r w:rsidR="00E85379">
        <w:rPr>
          <w:sz w:val="22"/>
          <w:szCs w:val="22"/>
        </w:rPr>
        <w:t>)</w:t>
      </w:r>
      <w:r w:rsidR="007B4706">
        <w:rPr>
          <w:sz w:val="22"/>
          <w:szCs w:val="22"/>
        </w:rPr>
        <w:t xml:space="preserve"> for the 2013/14 financial year</w:t>
      </w:r>
      <w:r>
        <w:rPr>
          <w:sz w:val="22"/>
          <w:szCs w:val="22"/>
        </w:rPr>
        <w:t>.</w:t>
      </w:r>
      <w:r w:rsidR="00F61ECF">
        <w:rPr>
          <w:sz w:val="22"/>
          <w:szCs w:val="22"/>
        </w:rPr>
        <w:t xml:space="preserve"> These changes affect</w:t>
      </w:r>
      <w:r w:rsidR="00143BA6">
        <w:rPr>
          <w:sz w:val="22"/>
          <w:szCs w:val="22"/>
        </w:rPr>
        <w:t>ed</w:t>
      </w:r>
      <w:r w:rsidR="007B4706">
        <w:rPr>
          <w:sz w:val="22"/>
          <w:szCs w:val="22"/>
        </w:rPr>
        <w:t xml:space="preserve"> activities funded by the High Needs Block, which is a specific block within the Dedicated Schools Grant (the DSG) that amounts to about 10% of the overall DSG resources available t</w:t>
      </w:r>
      <w:r w:rsidR="00073DE8">
        <w:rPr>
          <w:sz w:val="22"/>
          <w:szCs w:val="22"/>
        </w:rPr>
        <w:t>o the Local Authority</w:t>
      </w:r>
      <w:r w:rsidR="007B4706">
        <w:rPr>
          <w:sz w:val="22"/>
          <w:szCs w:val="22"/>
        </w:rPr>
        <w:t>:</w:t>
      </w:r>
    </w:p>
    <w:p w:rsidR="007B4706" w:rsidRDefault="007B4706" w:rsidP="00C1738E">
      <w:pPr>
        <w:numPr>
          <w:ilvl w:val="0"/>
          <w:numId w:val="1"/>
        </w:numPr>
        <w:jc w:val="both"/>
        <w:rPr>
          <w:sz w:val="22"/>
          <w:szCs w:val="22"/>
        </w:rPr>
      </w:pPr>
      <w:r>
        <w:rPr>
          <w:sz w:val="22"/>
          <w:szCs w:val="22"/>
        </w:rPr>
        <w:t xml:space="preserve">Children with Statements in </w:t>
      </w:r>
      <w:r w:rsidR="00446F5D">
        <w:rPr>
          <w:sz w:val="22"/>
          <w:szCs w:val="22"/>
        </w:rPr>
        <w:t xml:space="preserve">all </w:t>
      </w:r>
      <w:r>
        <w:rPr>
          <w:sz w:val="22"/>
          <w:szCs w:val="22"/>
        </w:rPr>
        <w:t>mainstream settings</w:t>
      </w:r>
    </w:p>
    <w:p w:rsidR="007B4706" w:rsidRDefault="007B4706" w:rsidP="00C1738E">
      <w:pPr>
        <w:numPr>
          <w:ilvl w:val="0"/>
          <w:numId w:val="1"/>
        </w:numPr>
        <w:jc w:val="both"/>
        <w:rPr>
          <w:sz w:val="22"/>
          <w:szCs w:val="22"/>
        </w:rPr>
      </w:pPr>
      <w:r>
        <w:rPr>
          <w:sz w:val="22"/>
          <w:szCs w:val="22"/>
        </w:rPr>
        <w:t>Special Schools</w:t>
      </w:r>
      <w:r w:rsidR="00446F5D">
        <w:rPr>
          <w:sz w:val="22"/>
          <w:szCs w:val="22"/>
        </w:rPr>
        <w:t xml:space="preserve">, </w:t>
      </w:r>
      <w:r w:rsidR="00C50339">
        <w:rPr>
          <w:sz w:val="22"/>
          <w:szCs w:val="22"/>
        </w:rPr>
        <w:t>Academies</w:t>
      </w:r>
      <w:r w:rsidR="00446F5D">
        <w:rPr>
          <w:sz w:val="22"/>
          <w:szCs w:val="22"/>
        </w:rPr>
        <w:t xml:space="preserve"> and Free Schools</w:t>
      </w:r>
    </w:p>
    <w:p w:rsidR="007B4706" w:rsidRDefault="007B4706" w:rsidP="00C1738E">
      <w:pPr>
        <w:numPr>
          <w:ilvl w:val="0"/>
          <w:numId w:val="1"/>
        </w:numPr>
        <w:jc w:val="both"/>
        <w:rPr>
          <w:sz w:val="22"/>
          <w:szCs w:val="22"/>
        </w:rPr>
      </w:pPr>
      <w:r>
        <w:rPr>
          <w:sz w:val="22"/>
          <w:szCs w:val="22"/>
        </w:rPr>
        <w:t>Resourced Unit</w:t>
      </w:r>
      <w:r w:rsidR="00446F5D">
        <w:rPr>
          <w:sz w:val="22"/>
          <w:szCs w:val="22"/>
        </w:rPr>
        <w:t>s attached to mainstream schools,</w:t>
      </w:r>
      <w:r w:rsidR="00C50339">
        <w:rPr>
          <w:sz w:val="22"/>
          <w:szCs w:val="22"/>
        </w:rPr>
        <w:t xml:space="preserve"> academies</w:t>
      </w:r>
      <w:r w:rsidR="00446F5D">
        <w:rPr>
          <w:sz w:val="22"/>
          <w:szCs w:val="22"/>
        </w:rPr>
        <w:t xml:space="preserve"> and Free Schools</w:t>
      </w:r>
    </w:p>
    <w:p w:rsidR="007B4706" w:rsidRDefault="007B4706" w:rsidP="00C1738E">
      <w:pPr>
        <w:numPr>
          <w:ilvl w:val="0"/>
          <w:numId w:val="1"/>
        </w:numPr>
        <w:jc w:val="both"/>
        <w:rPr>
          <w:sz w:val="22"/>
          <w:szCs w:val="22"/>
        </w:rPr>
      </w:pPr>
      <w:r>
        <w:rPr>
          <w:sz w:val="22"/>
          <w:szCs w:val="22"/>
        </w:rPr>
        <w:t>Pupil Referral Units</w:t>
      </w:r>
      <w:r w:rsidR="00D83D13">
        <w:rPr>
          <w:sz w:val="22"/>
          <w:szCs w:val="22"/>
        </w:rPr>
        <w:t xml:space="preserve"> (PRUs)</w:t>
      </w:r>
    </w:p>
    <w:p w:rsidR="007B4706" w:rsidRDefault="007B4706" w:rsidP="00C1738E">
      <w:pPr>
        <w:numPr>
          <w:ilvl w:val="0"/>
          <w:numId w:val="1"/>
        </w:numPr>
        <w:jc w:val="both"/>
        <w:rPr>
          <w:sz w:val="22"/>
          <w:szCs w:val="22"/>
        </w:rPr>
      </w:pPr>
      <w:r>
        <w:rPr>
          <w:sz w:val="22"/>
          <w:szCs w:val="22"/>
        </w:rPr>
        <w:t>Behaviour Centres</w:t>
      </w:r>
    </w:p>
    <w:p w:rsidR="007B4706" w:rsidRDefault="007B4706" w:rsidP="00C1738E">
      <w:pPr>
        <w:numPr>
          <w:ilvl w:val="0"/>
          <w:numId w:val="1"/>
        </w:numPr>
        <w:jc w:val="both"/>
        <w:rPr>
          <w:sz w:val="22"/>
          <w:szCs w:val="22"/>
        </w:rPr>
      </w:pPr>
      <w:r>
        <w:rPr>
          <w:sz w:val="22"/>
          <w:szCs w:val="22"/>
        </w:rPr>
        <w:t xml:space="preserve">Behaviour &amp; Attendance </w:t>
      </w:r>
      <w:proofErr w:type="spellStart"/>
      <w:r>
        <w:rPr>
          <w:sz w:val="22"/>
          <w:szCs w:val="22"/>
        </w:rPr>
        <w:t>Collaboratives</w:t>
      </w:r>
      <w:proofErr w:type="spellEnd"/>
      <w:r>
        <w:rPr>
          <w:sz w:val="22"/>
          <w:szCs w:val="22"/>
        </w:rPr>
        <w:t xml:space="preserve"> (the BACS)</w:t>
      </w:r>
    </w:p>
    <w:p w:rsidR="00854869" w:rsidRDefault="00854869" w:rsidP="00C1738E">
      <w:pPr>
        <w:numPr>
          <w:ilvl w:val="0"/>
          <w:numId w:val="1"/>
        </w:numPr>
        <w:jc w:val="both"/>
        <w:rPr>
          <w:sz w:val="22"/>
          <w:szCs w:val="22"/>
        </w:rPr>
      </w:pPr>
      <w:r>
        <w:rPr>
          <w:sz w:val="22"/>
          <w:szCs w:val="22"/>
        </w:rPr>
        <w:t xml:space="preserve">Provision </w:t>
      </w:r>
      <w:r w:rsidR="00BD5DFA">
        <w:rPr>
          <w:sz w:val="22"/>
          <w:szCs w:val="22"/>
        </w:rPr>
        <w:t xml:space="preserve">for students aged </w:t>
      </w:r>
      <w:r>
        <w:rPr>
          <w:sz w:val="22"/>
          <w:szCs w:val="22"/>
        </w:rPr>
        <w:t>post 16</w:t>
      </w:r>
      <w:r w:rsidR="007B4706">
        <w:rPr>
          <w:sz w:val="22"/>
          <w:szCs w:val="22"/>
        </w:rPr>
        <w:t xml:space="preserve"> in Further Education</w:t>
      </w:r>
      <w:r w:rsidR="00D83D13">
        <w:rPr>
          <w:sz w:val="22"/>
          <w:szCs w:val="22"/>
        </w:rPr>
        <w:t xml:space="preserve"> (FE)</w:t>
      </w:r>
      <w:r w:rsidR="007B4706">
        <w:rPr>
          <w:sz w:val="22"/>
          <w:szCs w:val="22"/>
        </w:rPr>
        <w:t xml:space="preserve"> settings</w:t>
      </w:r>
    </w:p>
    <w:p w:rsidR="007B4706" w:rsidRDefault="00854869" w:rsidP="00C1738E">
      <w:pPr>
        <w:numPr>
          <w:ilvl w:val="0"/>
          <w:numId w:val="1"/>
        </w:numPr>
        <w:jc w:val="both"/>
        <w:rPr>
          <w:sz w:val="22"/>
          <w:szCs w:val="22"/>
        </w:rPr>
      </w:pPr>
      <w:r>
        <w:rPr>
          <w:sz w:val="22"/>
          <w:szCs w:val="22"/>
        </w:rPr>
        <w:t>Services for high needs children that are managed centrally by the Local Authority</w:t>
      </w:r>
    </w:p>
    <w:p w:rsidR="007B4706" w:rsidRDefault="007B4706" w:rsidP="00C1738E">
      <w:pPr>
        <w:numPr>
          <w:ilvl w:val="0"/>
          <w:numId w:val="1"/>
        </w:numPr>
        <w:jc w:val="both"/>
        <w:rPr>
          <w:sz w:val="22"/>
          <w:szCs w:val="22"/>
        </w:rPr>
      </w:pPr>
      <w:r>
        <w:rPr>
          <w:sz w:val="22"/>
          <w:szCs w:val="22"/>
        </w:rPr>
        <w:t>Education in Hospital provision</w:t>
      </w:r>
    </w:p>
    <w:p w:rsidR="007B4706" w:rsidRDefault="00854869" w:rsidP="00C1738E">
      <w:pPr>
        <w:numPr>
          <w:ilvl w:val="0"/>
          <w:numId w:val="1"/>
        </w:numPr>
        <w:jc w:val="both"/>
        <w:rPr>
          <w:sz w:val="22"/>
          <w:szCs w:val="22"/>
        </w:rPr>
      </w:pPr>
      <w:r>
        <w:rPr>
          <w:sz w:val="22"/>
          <w:szCs w:val="22"/>
        </w:rPr>
        <w:t>Children placed in out of authority and non-maintained settings</w:t>
      </w:r>
    </w:p>
    <w:p w:rsidR="007B4706" w:rsidRDefault="007B4706" w:rsidP="0094692E">
      <w:pPr>
        <w:jc w:val="both"/>
        <w:rPr>
          <w:sz w:val="22"/>
          <w:szCs w:val="22"/>
        </w:rPr>
      </w:pPr>
    </w:p>
    <w:p w:rsidR="007B4706" w:rsidRDefault="007B4706" w:rsidP="0094692E">
      <w:pPr>
        <w:jc w:val="both"/>
        <w:rPr>
          <w:sz w:val="22"/>
          <w:szCs w:val="22"/>
        </w:rPr>
      </w:pPr>
      <w:r>
        <w:rPr>
          <w:sz w:val="22"/>
          <w:szCs w:val="22"/>
        </w:rPr>
        <w:t xml:space="preserve">1.2 </w:t>
      </w:r>
      <w:r w:rsidR="00E27F4B">
        <w:rPr>
          <w:sz w:val="22"/>
          <w:szCs w:val="22"/>
        </w:rPr>
        <w:t>This</w:t>
      </w:r>
      <w:r>
        <w:rPr>
          <w:sz w:val="22"/>
          <w:szCs w:val="22"/>
        </w:rPr>
        <w:t xml:space="preserve"> new </w:t>
      </w:r>
      <w:r w:rsidR="00073DE8">
        <w:rPr>
          <w:sz w:val="22"/>
          <w:szCs w:val="22"/>
        </w:rPr>
        <w:t xml:space="preserve">funding </w:t>
      </w:r>
      <w:r>
        <w:rPr>
          <w:sz w:val="22"/>
          <w:szCs w:val="22"/>
        </w:rPr>
        <w:t>approach</w:t>
      </w:r>
      <w:r w:rsidR="00073DE8">
        <w:rPr>
          <w:sz w:val="22"/>
          <w:szCs w:val="22"/>
        </w:rPr>
        <w:t xml:space="preserve"> is based on the</w:t>
      </w:r>
      <w:r>
        <w:rPr>
          <w:sz w:val="22"/>
          <w:szCs w:val="22"/>
        </w:rPr>
        <w:t xml:space="preserve"> </w:t>
      </w:r>
      <w:r w:rsidRPr="00241900">
        <w:rPr>
          <w:sz w:val="22"/>
          <w:szCs w:val="22"/>
        </w:rPr>
        <w:t xml:space="preserve">financial definition of a </w:t>
      </w:r>
      <w:r>
        <w:rPr>
          <w:sz w:val="22"/>
          <w:szCs w:val="22"/>
        </w:rPr>
        <w:t>‘</w:t>
      </w:r>
      <w:r w:rsidRPr="00241900">
        <w:rPr>
          <w:sz w:val="22"/>
          <w:szCs w:val="22"/>
        </w:rPr>
        <w:t>High Needs</w:t>
      </w:r>
      <w:r w:rsidR="00E85379">
        <w:rPr>
          <w:sz w:val="22"/>
          <w:szCs w:val="22"/>
        </w:rPr>
        <w:t>’ student</w:t>
      </w:r>
      <w:r>
        <w:rPr>
          <w:sz w:val="22"/>
          <w:szCs w:val="22"/>
        </w:rPr>
        <w:t xml:space="preserve"> being one whose education (incorporating</w:t>
      </w:r>
      <w:r w:rsidRPr="00241900">
        <w:rPr>
          <w:sz w:val="22"/>
          <w:szCs w:val="22"/>
        </w:rPr>
        <w:t xml:space="preserve"> all additional support) costs more than £10,</w:t>
      </w:r>
      <w:r>
        <w:rPr>
          <w:sz w:val="22"/>
          <w:szCs w:val="22"/>
        </w:rPr>
        <w:t>000 per annum. This threshold</w:t>
      </w:r>
      <w:r w:rsidRPr="00241900">
        <w:rPr>
          <w:sz w:val="22"/>
          <w:szCs w:val="22"/>
        </w:rPr>
        <w:t xml:space="preserve"> lays the foundation of </w:t>
      </w:r>
      <w:r>
        <w:rPr>
          <w:sz w:val="22"/>
          <w:szCs w:val="22"/>
        </w:rPr>
        <w:t>the</w:t>
      </w:r>
      <w:r w:rsidR="00E85379">
        <w:rPr>
          <w:sz w:val="22"/>
          <w:szCs w:val="22"/>
        </w:rPr>
        <w:t xml:space="preserve"> national</w:t>
      </w:r>
      <w:r w:rsidRPr="00241900">
        <w:rPr>
          <w:sz w:val="22"/>
          <w:szCs w:val="22"/>
        </w:rPr>
        <w:t xml:space="preserve"> </w:t>
      </w:r>
      <w:r>
        <w:rPr>
          <w:sz w:val="22"/>
          <w:szCs w:val="22"/>
        </w:rPr>
        <w:t>‘Place Plus’ framework and the basis of the definition of the financial responsibility that maintained schools</w:t>
      </w:r>
      <w:r w:rsidR="006B2F3A">
        <w:rPr>
          <w:sz w:val="22"/>
          <w:szCs w:val="22"/>
        </w:rPr>
        <w:t>, academies</w:t>
      </w:r>
      <w:r>
        <w:rPr>
          <w:sz w:val="22"/>
          <w:szCs w:val="22"/>
        </w:rPr>
        <w:t xml:space="preserve"> and other settings</w:t>
      </w:r>
      <w:r w:rsidR="00073DE8">
        <w:rPr>
          <w:sz w:val="22"/>
          <w:szCs w:val="22"/>
        </w:rPr>
        <w:t xml:space="preserve"> have for meeting the needs of children</w:t>
      </w:r>
      <w:r>
        <w:rPr>
          <w:sz w:val="22"/>
          <w:szCs w:val="22"/>
        </w:rPr>
        <w:t xml:space="preserve"> from their delegated budgets.</w:t>
      </w:r>
      <w:r w:rsidR="00F83EAB">
        <w:rPr>
          <w:sz w:val="22"/>
          <w:szCs w:val="22"/>
        </w:rPr>
        <w:t xml:space="preserve"> </w:t>
      </w:r>
    </w:p>
    <w:p w:rsidR="00FE1862" w:rsidRDefault="00FE1862" w:rsidP="0094692E">
      <w:pPr>
        <w:jc w:val="both"/>
        <w:rPr>
          <w:sz w:val="22"/>
          <w:szCs w:val="22"/>
        </w:rPr>
      </w:pPr>
    </w:p>
    <w:p w:rsidR="00143BA6" w:rsidRDefault="008D2326" w:rsidP="0094692E">
      <w:pPr>
        <w:jc w:val="both"/>
        <w:rPr>
          <w:sz w:val="22"/>
          <w:szCs w:val="22"/>
        </w:rPr>
      </w:pPr>
      <w:r>
        <w:rPr>
          <w:sz w:val="22"/>
          <w:szCs w:val="22"/>
        </w:rPr>
        <w:t xml:space="preserve">1.3 </w:t>
      </w:r>
      <w:r w:rsidR="00E85379">
        <w:rPr>
          <w:sz w:val="22"/>
          <w:szCs w:val="22"/>
        </w:rPr>
        <w:t>Bradford Local Authority’s</w:t>
      </w:r>
      <w:r w:rsidR="00143BA6">
        <w:rPr>
          <w:sz w:val="22"/>
          <w:szCs w:val="22"/>
        </w:rPr>
        <w:t xml:space="preserve"> response to these changes</w:t>
      </w:r>
      <w:r w:rsidR="009B5FE8">
        <w:rPr>
          <w:sz w:val="22"/>
          <w:szCs w:val="22"/>
        </w:rPr>
        <w:t xml:space="preserve"> has been</w:t>
      </w:r>
      <w:r w:rsidR="00143BA6">
        <w:rPr>
          <w:sz w:val="22"/>
          <w:szCs w:val="22"/>
        </w:rPr>
        <w:t xml:space="preserve"> as follows:</w:t>
      </w:r>
    </w:p>
    <w:p w:rsidR="00143BA6" w:rsidRDefault="00143BA6" w:rsidP="0094692E">
      <w:pPr>
        <w:jc w:val="both"/>
        <w:rPr>
          <w:sz w:val="22"/>
          <w:szCs w:val="22"/>
        </w:rPr>
      </w:pPr>
    </w:p>
    <w:p w:rsidR="00E85379" w:rsidRDefault="008D2326" w:rsidP="00C1738E">
      <w:pPr>
        <w:numPr>
          <w:ilvl w:val="0"/>
          <w:numId w:val="19"/>
        </w:numPr>
        <w:jc w:val="both"/>
        <w:rPr>
          <w:sz w:val="22"/>
          <w:szCs w:val="22"/>
        </w:rPr>
      </w:pPr>
      <w:r>
        <w:rPr>
          <w:sz w:val="22"/>
          <w:szCs w:val="22"/>
        </w:rPr>
        <w:t>Our</w:t>
      </w:r>
      <w:r w:rsidR="00FE1862">
        <w:rPr>
          <w:sz w:val="22"/>
          <w:szCs w:val="22"/>
        </w:rPr>
        <w:t xml:space="preserve"> consultation document, published in autumn term 2012, outlined the major changes brought about by the new </w:t>
      </w:r>
      <w:r>
        <w:rPr>
          <w:sz w:val="22"/>
          <w:szCs w:val="22"/>
        </w:rPr>
        <w:t>system and explained the</w:t>
      </w:r>
      <w:r w:rsidR="00FE1862">
        <w:rPr>
          <w:sz w:val="22"/>
          <w:szCs w:val="22"/>
        </w:rPr>
        <w:t xml:space="preserve"> proposals for our approach to High Needs funding for the 2013/14 financial year.</w:t>
      </w:r>
      <w:r w:rsidR="00E85379">
        <w:rPr>
          <w:sz w:val="22"/>
          <w:szCs w:val="22"/>
        </w:rPr>
        <w:t xml:space="preserve"> Our</w:t>
      </w:r>
      <w:r w:rsidR="00FE1862">
        <w:rPr>
          <w:sz w:val="22"/>
          <w:szCs w:val="22"/>
        </w:rPr>
        <w:t xml:space="preserve"> approach</w:t>
      </w:r>
      <w:r w:rsidR="00E85379">
        <w:rPr>
          <w:sz w:val="22"/>
          <w:szCs w:val="22"/>
        </w:rPr>
        <w:t xml:space="preserve"> was</w:t>
      </w:r>
      <w:r>
        <w:rPr>
          <w:sz w:val="22"/>
          <w:szCs w:val="22"/>
        </w:rPr>
        <w:t xml:space="preserve"> </w:t>
      </w:r>
      <w:r w:rsidR="00FE1862">
        <w:rPr>
          <w:sz w:val="22"/>
          <w:szCs w:val="22"/>
        </w:rPr>
        <w:t xml:space="preserve">agreed by the Schools </w:t>
      </w:r>
      <w:r w:rsidR="00D34E4F">
        <w:rPr>
          <w:sz w:val="22"/>
          <w:szCs w:val="22"/>
        </w:rPr>
        <w:t>Forum in</w:t>
      </w:r>
      <w:r w:rsidR="00143BA6">
        <w:rPr>
          <w:sz w:val="22"/>
          <w:szCs w:val="22"/>
        </w:rPr>
        <w:t xml:space="preserve"> January 2013</w:t>
      </w:r>
      <w:r w:rsidR="00FE1862">
        <w:rPr>
          <w:sz w:val="22"/>
          <w:szCs w:val="22"/>
        </w:rPr>
        <w:t>.</w:t>
      </w:r>
      <w:r w:rsidR="0029385C">
        <w:rPr>
          <w:sz w:val="22"/>
          <w:szCs w:val="22"/>
        </w:rPr>
        <w:t xml:space="preserve"> At the c</w:t>
      </w:r>
      <w:r w:rsidR="002D1A98">
        <w:rPr>
          <w:sz w:val="22"/>
          <w:szCs w:val="22"/>
        </w:rPr>
        <w:t>entre of our approach</w:t>
      </w:r>
      <w:r w:rsidR="0029385C">
        <w:rPr>
          <w:sz w:val="22"/>
          <w:szCs w:val="22"/>
        </w:rPr>
        <w:t xml:space="preserve"> is</w:t>
      </w:r>
      <w:r>
        <w:rPr>
          <w:sz w:val="22"/>
          <w:szCs w:val="22"/>
        </w:rPr>
        <w:t xml:space="preserve"> the applicat</w:t>
      </w:r>
      <w:r w:rsidR="0027118D">
        <w:rPr>
          <w:sz w:val="22"/>
          <w:szCs w:val="22"/>
        </w:rPr>
        <w:t xml:space="preserve">ion of a uniform banding model </w:t>
      </w:r>
      <w:r>
        <w:rPr>
          <w:sz w:val="22"/>
          <w:szCs w:val="22"/>
        </w:rPr>
        <w:t>containing</w:t>
      </w:r>
      <w:r w:rsidR="0029385C">
        <w:rPr>
          <w:sz w:val="22"/>
          <w:szCs w:val="22"/>
        </w:rPr>
        <w:t xml:space="preserve"> </w:t>
      </w:r>
      <w:r w:rsidR="00F83EAB">
        <w:rPr>
          <w:sz w:val="22"/>
          <w:szCs w:val="22"/>
        </w:rPr>
        <w:t xml:space="preserve"> 7 ‘range</w:t>
      </w:r>
      <w:r>
        <w:rPr>
          <w:sz w:val="22"/>
          <w:szCs w:val="22"/>
        </w:rPr>
        <w:t>s’ of need, with 7 bands of funding</w:t>
      </w:r>
      <w:r w:rsidR="006A72FF">
        <w:rPr>
          <w:sz w:val="22"/>
          <w:szCs w:val="22"/>
        </w:rPr>
        <w:t xml:space="preserve"> (referred to in this document as the ‘Ranges Model’)</w:t>
      </w:r>
      <w:r>
        <w:rPr>
          <w:sz w:val="22"/>
          <w:szCs w:val="22"/>
        </w:rPr>
        <w:t>.</w:t>
      </w:r>
    </w:p>
    <w:p w:rsidR="00E85379" w:rsidRDefault="00E85379" w:rsidP="00E85379">
      <w:pPr>
        <w:ind w:left="720"/>
        <w:jc w:val="both"/>
        <w:rPr>
          <w:sz w:val="22"/>
          <w:szCs w:val="22"/>
        </w:rPr>
      </w:pPr>
      <w:r>
        <w:rPr>
          <w:sz w:val="22"/>
          <w:szCs w:val="22"/>
        </w:rPr>
        <w:t xml:space="preserve"> </w:t>
      </w:r>
    </w:p>
    <w:p w:rsidR="00E85379" w:rsidRPr="007C6E7F" w:rsidRDefault="00E85379" w:rsidP="00E85379">
      <w:pPr>
        <w:numPr>
          <w:ilvl w:val="0"/>
          <w:numId w:val="19"/>
        </w:numPr>
        <w:jc w:val="both"/>
        <w:rPr>
          <w:sz w:val="22"/>
          <w:szCs w:val="22"/>
        </w:rPr>
      </w:pPr>
      <w:r w:rsidRPr="007C6E7F">
        <w:rPr>
          <w:sz w:val="22"/>
          <w:szCs w:val="22"/>
        </w:rPr>
        <w:t xml:space="preserve">In March 2013, </w:t>
      </w:r>
      <w:r w:rsidR="00143BA6" w:rsidRPr="007C6E7F">
        <w:rPr>
          <w:sz w:val="22"/>
          <w:szCs w:val="22"/>
        </w:rPr>
        <w:t xml:space="preserve">the Schools Forum agreed a series of reviews, 8 of which related to items </w:t>
      </w:r>
      <w:r w:rsidR="00D34E4F">
        <w:rPr>
          <w:sz w:val="22"/>
          <w:szCs w:val="22"/>
        </w:rPr>
        <w:t>from the High Needs Block. These reviews</w:t>
      </w:r>
      <w:r w:rsidR="00143BA6" w:rsidRPr="007C6E7F">
        <w:rPr>
          <w:sz w:val="22"/>
          <w:szCs w:val="22"/>
        </w:rPr>
        <w:t xml:space="preserve"> were completed to inform the approach for the current financial year</w:t>
      </w:r>
      <w:r w:rsidRPr="007C6E7F">
        <w:rPr>
          <w:sz w:val="22"/>
          <w:szCs w:val="22"/>
        </w:rPr>
        <w:t>. Our</w:t>
      </w:r>
      <w:r w:rsidR="00143BA6" w:rsidRPr="007C6E7F">
        <w:rPr>
          <w:sz w:val="22"/>
          <w:szCs w:val="22"/>
        </w:rPr>
        <w:t xml:space="preserve"> c</w:t>
      </w:r>
      <w:r w:rsidR="00F37AB2">
        <w:rPr>
          <w:sz w:val="22"/>
          <w:szCs w:val="22"/>
        </w:rPr>
        <w:t>onsultation document published</w:t>
      </w:r>
      <w:r w:rsidR="00D34E4F">
        <w:rPr>
          <w:sz w:val="22"/>
          <w:szCs w:val="22"/>
        </w:rPr>
        <w:t xml:space="preserve"> in autumn 2013</w:t>
      </w:r>
      <w:r w:rsidRPr="007C6E7F">
        <w:rPr>
          <w:sz w:val="22"/>
          <w:szCs w:val="22"/>
        </w:rPr>
        <w:t xml:space="preserve"> proposed mostly incremental changes</w:t>
      </w:r>
      <w:r w:rsidR="001B502E" w:rsidRPr="007C6E7F">
        <w:rPr>
          <w:sz w:val="22"/>
          <w:szCs w:val="22"/>
        </w:rPr>
        <w:t xml:space="preserve"> and resolved some outstanding </w:t>
      </w:r>
      <w:r w:rsidR="00467F8C">
        <w:rPr>
          <w:sz w:val="22"/>
          <w:szCs w:val="22"/>
        </w:rPr>
        <w:t>issues</w:t>
      </w:r>
      <w:r w:rsidR="001B502E" w:rsidRPr="007C6E7F">
        <w:rPr>
          <w:sz w:val="22"/>
          <w:szCs w:val="22"/>
        </w:rPr>
        <w:t>,</w:t>
      </w:r>
      <w:r w:rsidRPr="007C6E7F">
        <w:rPr>
          <w:sz w:val="22"/>
          <w:szCs w:val="22"/>
        </w:rPr>
        <w:t xml:space="preserve"> including:</w:t>
      </w:r>
    </w:p>
    <w:p w:rsidR="00E85379" w:rsidRDefault="00467F8C" w:rsidP="00E85379">
      <w:pPr>
        <w:numPr>
          <w:ilvl w:val="1"/>
          <w:numId w:val="19"/>
        </w:numPr>
        <w:jc w:val="both"/>
        <w:rPr>
          <w:sz w:val="22"/>
          <w:szCs w:val="22"/>
        </w:rPr>
      </w:pPr>
      <w:r>
        <w:rPr>
          <w:sz w:val="22"/>
          <w:szCs w:val="22"/>
        </w:rPr>
        <w:t>The</w:t>
      </w:r>
      <w:r w:rsidR="009B5FE8">
        <w:rPr>
          <w:sz w:val="22"/>
          <w:szCs w:val="22"/>
        </w:rPr>
        <w:t xml:space="preserve"> funding of</w:t>
      </w:r>
      <w:r w:rsidR="00F37AB2">
        <w:rPr>
          <w:sz w:val="22"/>
          <w:szCs w:val="22"/>
        </w:rPr>
        <w:t xml:space="preserve"> high needs provisions via</w:t>
      </w:r>
      <w:r w:rsidR="00015E47" w:rsidRPr="007C6E7F">
        <w:rPr>
          <w:sz w:val="22"/>
          <w:szCs w:val="22"/>
        </w:rPr>
        <w:t xml:space="preserve"> our full Ranges</w:t>
      </w:r>
      <w:r w:rsidR="00D34E4F">
        <w:rPr>
          <w:sz w:val="22"/>
          <w:szCs w:val="22"/>
        </w:rPr>
        <w:t xml:space="preserve"> Model</w:t>
      </w:r>
      <w:r w:rsidR="00015E47" w:rsidRPr="007C6E7F">
        <w:rPr>
          <w:sz w:val="22"/>
          <w:szCs w:val="22"/>
        </w:rPr>
        <w:t xml:space="preserve"> </w:t>
      </w:r>
      <w:r w:rsidR="00D30F4F" w:rsidRPr="007C6E7F">
        <w:rPr>
          <w:sz w:val="22"/>
          <w:szCs w:val="22"/>
        </w:rPr>
        <w:t xml:space="preserve">/ Place-Plus </w:t>
      </w:r>
      <w:r w:rsidR="00015E47" w:rsidRPr="007C6E7F">
        <w:rPr>
          <w:sz w:val="22"/>
          <w:szCs w:val="22"/>
        </w:rPr>
        <w:t>Framework, including ARCs, Early Years Children’s Centre Plus, Primary Behaviour Centres and t</w:t>
      </w:r>
      <w:r w:rsidR="00D34E4F">
        <w:rPr>
          <w:sz w:val="22"/>
          <w:szCs w:val="22"/>
        </w:rPr>
        <w:t>he PRUs</w:t>
      </w:r>
    </w:p>
    <w:p w:rsidR="000B4B16" w:rsidRPr="007C6E7F" w:rsidRDefault="000B4B16" w:rsidP="00E85379">
      <w:pPr>
        <w:numPr>
          <w:ilvl w:val="1"/>
          <w:numId w:val="19"/>
        </w:numPr>
        <w:jc w:val="both"/>
        <w:rPr>
          <w:sz w:val="22"/>
          <w:szCs w:val="22"/>
        </w:rPr>
      </w:pPr>
      <w:r>
        <w:rPr>
          <w:sz w:val="22"/>
          <w:szCs w:val="22"/>
        </w:rPr>
        <w:t>The continuation of the cash budget protec</w:t>
      </w:r>
      <w:r w:rsidR="009B5FE8">
        <w:rPr>
          <w:sz w:val="22"/>
          <w:szCs w:val="22"/>
        </w:rPr>
        <w:t>tion factor, which helps guard</w:t>
      </w:r>
      <w:r>
        <w:rPr>
          <w:sz w:val="22"/>
          <w:szCs w:val="22"/>
        </w:rPr>
        <w:t xml:space="preserve"> settings against unexpected monthly budget fluctuations</w:t>
      </w:r>
    </w:p>
    <w:p w:rsidR="00E85379" w:rsidRPr="007C6E7F" w:rsidRDefault="00F37AB2" w:rsidP="00E85379">
      <w:pPr>
        <w:numPr>
          <w:ilvl w:val="1"/>
          <w:numId w:val="19"/>
        </w:numPr>
        <w:jc w:val="both"/>
        <w:rPr>
          <w:sz w:val="22"/>
          <w:szCs w:val="22"/>
        </w:rPr>
      </w:pPr>
      <w:r>
        <w:rPr>
          <w:sz w:val="22"/>
          <w:szCs w:val="22"/>
        </w:rPr>
        <w:t>Improvements</w:t>
      </w:r>
      <w:r w:rsidR="00106E16">
        <w:rPr>
          <w:sz w:val="22"/>
          <w:szCs w:val="22"/>
        </w:rPr>
        <w:t xml:space="preserve"> in</w:t>
      </w:r>
      <w:r w:rsidR="00E87E2B" w:rsidRPr="007C6E7F">
        <w:rPr>
          <w:sz w:val="22"/>
          <w:szCs w:val="22"/>
        </w:rPr>
        <w:t xml:space="preserve"> the processes for the identification and moderation of pupil-need, so that information about Ranges is more accessible and </w:t>
      </w:r>
      <w:r w:rsidR="00106E16">
        <w:rPr>
          <w:sz w:val="22"/>
          <w:szCs w:val="22"/>
        </w:rPr>
        <w:t>so that the</w:t>
      </w:r>
      <w:r w:rsidR="007C6E7F">
        <w:rPr>
          <w:sz w:val="22"/>
          <w:szCs w:val="22"/>
        </w:rPr>
        <w:t xml:space="preserve"> system is</w:t>
      </w:r>
      <w:r w:rsidR="00E87E2B" w:rsidRPr="007C6E7F">
        <w:rPr>
          <w:sz w:val="22"/>
          <w:szCs w:val="22"/>
        </w:rPr>
        <w:t xml:space="preserve"> more responsive to in year changes</w:t>
      </w:r>
    </w:p>
    <w:p w:rsidR="00E85379" w:rsidRPr="007C6E7F" w:rsidRDefault="00D30F4F" w:rsidP="00E85379">
      <w:pPr>
        <w:numPr>
          <w:ilvl w:val="1"/>
          <w:numId w:val="19"/>
        </w:numPr>
        <w:jc w:val="both"/>
        <w:rPr>
          <w:sz w:val="22"/>
          <w:szCs w:val="22"/>
        </w:rPr>
      </w:pPr>
      <w:r w:rsidRPr="007C6E7F">
        <w:rPr>
          <w:sz w:val="22"/>
          <w:szCs w:val="22"/>
        </w:rPr>
        <w:t>Additional setting-based factors for the PRUs (split sites, rates and churn factors)</w:t>
      </w:r>
    </w:p>
    <w:p w:rsidR="00E85379" w:rsidRPr="007C6E7F" w:rsidRDefault="00D30F4F" w:rsidP="00E85379">
      <w:pPr>
        <w:numPr>
          <w:ilvl w:val="1"/>
          <w:numId w:val="19"/>
        </w:numPr>
        <w:jc w:val="both"/>
        <w:rPr>
          <w:sz w:val="22"/>
          <w:szCs w:val="22"/>
        </w:rPr>
      </w:pPr>
      <w:r w:rsidRPr="007C6E7F">
        <w:rPr>
          <w:sz w:val="22"/>
          <w:szCs w:val="22"/>
        </w:rPr>
        <w:t>An increase in the value of the SEN Funding Floor for students with statements in mainstream schools</w:t>
      </w:r>
    </w:p>
    <w:p w:rsidR="0018529F" w:rsidRPr="0018529F" w:rsidRDefault="00106E16" w:rsidP="0018529F">
      <w:pPr>
        <w:ind w:left="720"/>
        <w:jc w:val="both"/>
        <w:rPr>
          <w:sz w:val="22"/>
          <w:szCs w:val="22"/>
        </w:rPr>
      </w:pPr>
      <w:r>
        <w:rPr>
          <w:sz w:val="22"/>
          <w:szCs w:val="22"/>
        </w:rPr>
        <w:t>The Schools Forum agreed our</w:t>
      </w:r>
      <w:r w:rsidR="0018529F" w:rsidRPr="0018529F">
        <w:rPr>
          <w:sz w:val="22"/>
          <w:szCs w:val="22"/>
        </w:rPr>
        <w:t xml:space="preserve"> 2</w:t>
      </w:r>
      <w:r w:rsidR="00D34E4F">
        <w:rPr>
          <w:sz w:val="22"/>
          <w:szCs w:val="22"/>
        </w:rPr>
        <w:t>014/15 funding model in</w:t>
      </w:r>
      <w:r w:rsidR="0018529F" w:rsidRPr="0018529F">
        <w:rPr>
          <w:sz w:val="22"/>
          <w:szCs w:val="22"/>
        </w:rPr>
        <w:t xml:space="preserve"> January 2014.</w:t>
      </w:r>
    </w:p>
    <w:p w:rsidR="00E85379" w:rsidRPr="00E85379" w:rsidRDefault="00E85379" w:rsidP="00E85379">
      <w:pPr>
        <w:ind w:left="1440"/>
        <w:jc w:val="both"/>
        <w:rPr>
          <w:sz w:val="22"/>
          <w:szCs w:val="22"/>
        </w:rPr>
      </w:pPr>
    </w:p>
    <w:p w:rsidR="00F07BED" w:rsidRDefault="00E85379" w:rsidP="00293B55">
      <w:pPr>
        <w:numPr>
          <w:ilvl w:val="0"/>
          <w:numId w:val="19"/>
        </w:numPr>
        <w:jc w:val="both"/>
        <w:rPr>
          <w:sz w:val="22"/>
          <w:szCs w:val="22"/>
        </w:rPr>
      </w:pPr>
      <w:r w:rsidRPr="0018529F">
        <w:rPr>
          <w:sz w:val="22"/>
          <w:szCs w:val="22"/>
        </w:rPr>
        <w:t>In March 2014</w:t>
      </w:r>
      <w:r w:rsidR="00143BA6" w:rsidRPr="0018529F">
        <w:rPr>
          <w:sz w:val="22"/>
          <w:szCs w:val="22"/>
        </w:rPr>
        <w:t xml:space="preserve">, the Schools Forum again agreed a number of reviews relating to the High Needs Block, </w:t>
      </w:r>
      <w:r w:rsidRPr="0018529F">
        <w:rPr>
          <w:sz w:val="22"/>
          <w:szCs w:val="22"/>
        </w:rPr>
        <w:t>which</w:t>
      </w:r>
      <w:r w:rsidR="00143BA6" w:rsidRPr="0018529F">
        <w:rPr>
          <w:sz w:val="22"/>
          <w:szCs w:val="22"/>
        </w:rPr>
        <w:t xml:space="preserve"> </w:t>
      </w:r>
      <w:r w:rsidR="0018529F">
        <w:rPr>
          <w:sz w:val="22"/>
          <w:szCs w:val="22"/>
        </w:rPr>
        <w:t xml:space="preserve">are </w:t>
      </w:r>
      <w:r w:rsidR="00143BA6" w:rsidRPr="0018529F">
        <w:rPr>
          <w:sz w:val="22"/>
          <w:szCs w:val="22"/>
        </w:rPr>
        <w:t xml:space="preserve">to be completed to inform decisions for </w:t>
      </w:r>
      <w:r w:rsidR="0018529F">
        <w:rPr>
          <w:sz w:val="22"/>
          <w:szCs w:val="22"/>
        </w:rPr>
        <w:t xml:space="preserve">the </w:t>
      </w:r>
      <w:r w:rsidR="00143BA6" w:rsidRPr="0018529F">
        <w:rPr>
          <w:sz w:val="22"/>
          <w:szCs w:val="22"/>
        </w:rPr>
        <w:t>2015/16</w:t>
      </w:r>
      <w:r w:rsidR="0018529F">
        <w:rPr>
          <w:sz w:val="22"/>
          <w:szCs w:val="22"/>
        </w:rPr>
        <w:t xml:space="preserve"> financial year</w:t>
      </w:r>
      <w:r w:rsidR="00BD1A38">
        <w:rPr>
          <w:sz w:val="22"/>
          <w:szCs w:val="22"/>
        </w:rPr>
        <w:t xml:space="preserve"> in January 2015</w:t>
      </w:r>
      <w:r w:rsidR="00143BA6" w:rsidRPr="0018529F">
        <w:rPr>
          <w:sz w:val="22"/>
          <w:szCs w:val="22"/>
        </w:rPr>
        <w:t xml:space="preserve">. The </w:t>
      </w:r>
      <w:r w:rsidRPr="0018529F">
        <w:rPr>
          <w:sz w:val="22"/>
          <w:szCs w:val="22"/>
        </w:rPr>
        <w:t>‘DSG Reviews Matrix’</w:t>
      </w:r>
      <w:r w:rsidR="0018529F">
        <w:rPr>
          <w:sz w:val="22"/>
          <w:szCs w:val="22"/>
        </w:rPr>
        <w:t>, which outlines these review areas,</w:t>
      </w:r>
      <w:r w:rsidRPr="0018529F">
        <w:rPr>
          <w:sz w:val="22"/>
          <w:szCs w:val="22"/>
        </w:rPr>
        <w:t xml:space="preserve"> is attached at </w:t>
      </w:r>
      <w:r w:rsidRPr="00E13360">
        <w:rPr>
          <w:sz w:val="22"/>
          <w:szCs w:val="22"/>
        </w:rPr>
        <w:t>Appendix 1</w:t>
      </w:r>
      <w:r w:rsidRPr="0018529F">
        <w:rPr>
          <w:sz w:val="22"/>
          <w:szCs w:val="22"/>
        </w:rPr>
        <w:t xml:space="preserve">. </w:t>
      </w:r>
      <w:r w:rsidR="008C09EB" w:rsidRPr="0018529F">
        <w:rPr>
          <w:sz w:val="22"/>
          <w:szCs w:val="22"/>
        </w:rPr>
        <w:t xml:space="preserve">The </w:t>
      </w:r>
      <w:r w:rsidR="00F37AB2">
        <w:rPr>
          <w:sz w:val="22"/>
          <w:szCs w:val="22"/>
        </w:rPr>
        <w:t>key activities</w:t>
      </w:r>
      <w:r w:rsidR="008C09EB" w:rsidRPr="0018529F">
        <w:rPr>
          <w:sz w:val="22"/>
          <w:szCs w:val="22"/>
        </w:rPr>
        <w:t xml:space="preserve"> undertaken by the School Forum’s various working groups this year has been guided by this Matrix.</w:t>
      </w:r>
    </w:p>
    <w:p w:rsidR="00293B55" w:rsidRPr="00293B55" w:rsidRDefault="00293B55" w:rsidP="00293B55">
      <w:pPr>
        <w:ind w:left="720"/>
        <w:jc w:val="both"/>
        <w:rPr>
          <w:sz w:val="22"/>
          <w:szCs w:val="22"/>
        </w:rPr>
      </w:pPr>
    </w:p>
    <w:p w:rsidR="00F07BED" w:rsidRDefault="00F07BED" w:rsidP="00E85379">
      <w:pPr>
        <w:numPr>
          <w:ilvl w:val="0"/>
          <w:numId w:val="19"/>
        </w:numPr>
        <w:jc w:val="both"/>
        <w:rPr>
          <w:sz w:val="22"/>
          <w:szCs w:val="22"/>
        </w:rPr>
      </w:pPr>
      <w:r>
        <w:rPr>
          <w:sz w:val="22"/>
          <w:szCs w:val="22"/>
        </w:rPr>
        <w:lastRenderedPageBreak/>
        <w:t>In July 2014, following consultation, the School</w:t>
      </w:r>
      <w:r w:rsidR="00B734AF">
        <w:rPr>
          <w:sz w:val="22"/>
          <w:szCs w:val="22"/>
        </w:rPr>
        <w:t>s</w:t>
      </w:r>
      <w:r>
        <w:rPr>
          <w:sz w:val="22"/>
          <w:szCs w:val="22"/>
        </w:rPr>
        <w:t xml:space="preserve"> Forum agreed the proposed initial step towards the funding of high needs students in Further Education (FE) settings on a formula-basis for the 2014/15 academic year.</w:t>
      </w:r>
    </w:p>
    <w:p w:rsidR="00FB7C26" w:rsidRDefault="00FB7C26" w:rsidP="0094692E">
      <w:pPr>
        <w:jc w:val="both"/>
        <w:rPr>
          <w:sz w:val="22"/>
          <w:szCs w:val="22"/>
        </w:rPr>
      </w:pPr>
    </w:p>
    <w:p w:rsidR="00B54BD3" w:rsidRDefault="00143BA6" w:rsidP="0094692E">
      <w:pPr>
        <w:jc w:val="both"/>
        <w:rPr>
          <w:sz w:val="22"/>
          <w:szCs w:val="22"/>
        </w:rPr>
      </w:pPr>
      <w:r w:rsidRPr="008A590D">
        <w:rPr>
          <w:sz w:val="22"/>
          <w:szCs w:val="22"/>
        </w:rPr>
        <w:t xml:space="preserve">1.4 </w:t>
      </w:r>
      <w:r w:rsidR="000C35B6">
        <w:rPr>
          <w:sz w:val="22"/>
          <w:szCs w:val="22"/>
        </w:rPr>
        <w:t xml:space="preserve">Our existing funding systems </w:t>
      </w:r>
      <w:r w:rsidR="008A590D" w:rsidRPr="008A590D">
        <w:rPr>
          <w:sz w:val="22"/>
          <w:szCs w:val="22"/>
        </w:rPr>
        <w:t>are</w:t>
      </w:r>
      <w:r w:rsidR="000C35B6">
        <w:rPr>
          <w:sz w:val="22"/>
          <w:szCs w:val="22"/>
        </w:rPr>
        <w:t xml:space="preserve"> now</w:t>
      </w:r>
      <w:r w:rsidR="00BE47CB" w:rsidRPr="008A590D">
        <w:rPr>
          <w:sz w:val="22"/>
          <w:szCs w:val="22"/>
        </w:rPr>
        <w:t xml:space="preserve"> well placed to manage the new financial relationships that will be brought about the Government’s SEND reforms; in particular, the introduction of personali</w:t>
      </w:r>
      <w:r w:rsidR="00D22AED">
        <w:rPr>
          <w:sz w:val="22"/>
          <w:szCs w:val="22"/>
        </w:rPr>
        <w:t>sed budgets. This is especially</w:t>
      </w:r>
      <w:r w:rsidR="008A590D" w:rsidRPr="008A590D">
        <w:rPr>
          <w:sz w:val="22"/>
          <w:szCs w:val="22"/>
        </w:rPr>
        <w:t xml:space="preserve"> </w:t>
      </w:r>
      <w:r w:rsidR="00605E3A">
        <w:rPr>
          <w:sz w:val="22"/>
          <w:szCs w:val="22"/>
        </w:rPr>
        <w:t>due to</w:t>
      </w:r>
      <w:r w:rsidR="008A590D" w:rsidRPr="008A590D">
        <w:rPr>
          <w:sz w:val="22"/>
          <w:szCs w:val="22"/>
        </w:rPr>
        <w:t xml:space="preserve"> our</w:t>
      </w:r>
      <w:r w:rsidR="00BE47CB" w:rsidRPr="008A590D">
        <w:rPr>
          <w:sz w:val="22"/>
          <w:szCs w:val="22"/>
        </w:rPr>
        <w:t xml:space="preserve"> R</w:t>
      </w:r>
      <w:r w:rsidR="00D22AED">
        <w:rPr>
          <w:sz w:val="22"/>
          <w:szCs w:val="22"/>
        </w:rPr>
        <w:t>anges M</w:t>
      </w:r>
      <w:r w:rsidR="008A590D" w:rsidRPr="008A590D">
        <w:rPr>
          <w:sz w:val="22"/>
          <w:szCs w:val="22"/>
        </w:rPr>
        <w:t>odel as the basis for funding</w:t>
      </w:r>
      <w:r w:rsidR="00BE47CB" w:rsidRPr="008A590D">
        <w:rPr>
          <w:sz w:val="22"/>
          <w:szCs w:val="22"/>
        </w:rPr>
        <w:t xml:space="preserve"> different types of settings for the needs of students</w:t>
      </w:r>
      <w:r w:rsidR="00F161C5">
        <w:rPr>
          <w:sz w:val="22"/>
          <w:szCs w:val="22"/>
        </w:rPr>
        <w:t>. We intend</w:t>
      </w:r>
      <w:r w:rsidR="00605E3A">
        <w:rPr>
          <w:sz w:val="22"/>
          <w:szCs w:val="22"/>
        </w:rPr>
        <w:t xml:space="preserve"> to </w:t>
      </w:r>
      <w:r w:rsidR="00244014">
        <w:rPr>
          <w:sz w:val="22"/>
          <w:szCs w:val="22"/>
        </w:rPr>
        <w:t xml:space="preserve">fully </w:t>
      </w:r>
      <w:r w:rsidR="00605E3A">
        <w:rPr>
          <w:sz w:val="22"/>
          <w:szCs w:val="22"/>
        </w:rPr>
        <w:t>develop</w:t>
      </w:r>
      <w:r w:rsidR="00F161C5">
        <w:rPr>
          <w:sz w:val="22"/>
          <w:szCs w:val="22"/>
        </w:rPr>
        <w:t xml:space="preserve"> this</w:t>
      </w:r>
      <w:r w:rsidR="00605E3A">
        <w:rPr>
          <w:sz w:val="22"/>
          <w:szCs w:val="22"/>
        </w:rPr>
        <w:t xml:space="preserve"> for the funding of Post 16 provision</w:t>
      </w:r>
      <w:r w:rsidR="00C33F44">
        <w:rPr>
          <w:sz w:val="22"/>
          <w:szCs w:val="22"/>
        </w:rPr>
        <w:t>s</w:t>
      </w:r>
      <w:r w:rsidR="00BE47CB" w:rsidRPr="008A590D">
        <w:rPr>
          <w:sz w:val="22"/>
          <w:szCs w:val="22"/>
        </w:rPr>
        <w:t xml:space="preserve">. </w:t>
      </w:r>
      <w:r w:rsidR="00D22AED">
        <w:rPr>
          <w:sz w:val="22"/>
          <w:szCs w:val="22"/>
        </w:rPr>
        <w:t>Over the medium term, we will</w:t>
      </w:r>
      <w:r w:rsidR="00F161C5">
        <w:rPr>
          <w:sz w:val="22"/>
          <w:szCs w:val="22"/>
        </w:rPr>
        <w:t xml:space="preserve"> also</w:t>
      </w:r>
      <w:r w:rsidR="00F86C18">
        <w:rPr>
          <w:sz w:val="22"/>
          <w:szCs w:val="22"/>
        </w:rPr>
        <w:t xml:space="preserve"> </w:t>
      </w:r>
      <w:r w:rsidR="00B54BD3">
        <w:rPr>
          <w:sz w:val="22"/>
          <w:szCs w:val="22"/>
        </w:rPr>
        <w:t>ne</w:t>
      </w:r>
      <w:r w:rsidR="00134075">
        <w:rPr>
          <w:sz w:val="22"/>
          <w:szCs w:val="22"/>
        </w:rPr>
        <w:t>ed to consider further how the M</w:t>
      </w:r>
      <w:r w:rsidR="00B54BD3">
        <w:rPr>
          <w:sz w:val="22"/>
          <w:szCs w:val="22"/>
        </w:rPr>
        <w:t>odel operates where children and young people with additional needs no longer hav</w:t>
      </w:r>
      <w:r w:rsidR="00D22AED">
        <w:rPr>
          <w:sz w:val="22"/>
          <w:szCs w:val="22"/>
        </w:rPr>
        <w:t>e ‘Statements’, though t</w:t>
      </w:r>
      <w:r w:rsidR="00D83D13">
        <w:rPr>
          <w:sz w:val="22"/>
          <w:szCs w:val="22"/>
        </w:rPr>
        <w:t>his is</w:t>
      </w:r>
      <w:r w:rsidR="00B54BD3">
        <w:rPr>
          <w:sz w:val="22"/>
          <w:szCs w:val="22"/>
        </w:rPr>
        <w:t xml:space="preserve"> more an issue about how need is iden</w:t>
      </w:r>
      <w:r w:rsidR="002B591E">
        <w:rPr>
          <w:sz w:val="22"/>
          <w:szCs w:val="22"/>
        </w:rPr>
        <w:t>tified rather than an issue for</w:t>
      </w:r>
      <w:r w:rsidR="00134075">
        <w:rPr>
          <w:sz w:val="22"/>
          <w:szCs w:val="22"/>
        </w:rPr>
        <w:t xml:space="preserve"> the Ranges M</w:t>
      </w:r>
      <w:r w:rsidR="00B54BD3">
        <w:rPr>
          <w:sz w:val="22"/>
          <w:szCs w:val="22"/>
        </w:rPr>
        <w:t>odel itself.</w:t>
      </w:r>
    </w:p>
    <w:p w:rsidR="00FB7C26" w:rsidRDefault="00FB7C26" w:rsidP="0094692E">
      <w:pPr>
        <w:jc w:val="both"/>
        <w:rPr>
          <w:sz w:val="22"/>
          <w:szCs w:val="22"/>
        </w:rPr>
      </w:pPr>
    </w:p>
    <w:p w:rsidR="00615A6A" w:rsidRPr="008A590D" w:rsidRDefault="00B54BD3" w:rsidP="0094692E">
      <w:pPr>
        <w:jc w:val="both"/>
        <w:rPr>
          <w:sz w:val="22"/>
          <w:szCs w:val="22"/>
        </w:rPr>
      </w:pPr>
      <w:r>
        <w:rPr>
          <w:sz w:val="22"/>
          <w:szCs w:val="22"/>
        </w:rPr>
        <w:t xml:space="preserve">1.5 </w:t>
      </w:r>
      <w:r w:rsidR="00CF687E" w:rsidRPr="008A590D">
        <w:rPr>
          <w:sz w:val="22"/>
          <w:szCs w:val="22"/>
        </w:rPr>
        <w:t>As indicated</w:t>
      </w:r>
      <w:r w:rsidR="00134075">
        <w:rPr>
          <w:sz w:val="22"/>
          <w:szCs w:val="22"/>
        </w:rPr>
        <w:t xml:space="preserve"> in previous consultations,</w:t>
      </w:r>
      <w:r w:rsidR="00CF687E" w:rsidRPr="008A590D">
        <w:rPr>
          <w:sz w:val="22"/>
          <w:szCs w:val="22"/>
        </w:rPr>
        <w:t xml:space="preserve"> </w:t>
      </w:r>
      <w:r w:rsidR="005D15C8">
        <w:rPr>
          <w:sz w:val="22"/>
          <w:szCs w:val="22"/>
        </w:rPr>
        <w:t xml:space="preserve">some significant </w:t>
      </w:r>
      <w:r w:rsidR="00CF687E" w:rsidRPr="008A590D">
        <w:rPr>
          <w:sz w:val="22"/>
          <w:szCs w:val="22"/>
        </w:rPr>
        <w:t>changes</w:t>
      </w:r>
      <w:r w:rsidR="00EB0CB9" w:rsidRPr="008A590D">
        <w:rPr>
          <w:sz w:val="22"/>
          <w:szCs w:val="22"/>
        </w:rPr>
        <w:t xml:space="preserve"> were expected to be </w:t>
      </w:r>
      <w:r w:rsidR="00CF687E" w:rsidRPr="008A590D">
        <w:rPr>
          <w:sz w:val="22"/>
          <w:szCs w:val="22"/>
        </w:rPr>
        <w:t>made to high needs funding arrangements nationally for the</w:t>
      </w:r>
      <w:r w:rsidR="00143BA6" w:rsidRPr="008A590D">
        <w:rPr>
          <w:sz w:val="22"/>
          <w:szCs w:val="22"/>
        </w:rPr>
        <w:t xml:space="preserve"> 2015/16</w:t>
      </w:r>
      <w:r w:rsidR="00CF687E" w:rsidRPr="008A590D">
        <w:rPr>
          <w:sz w:val="22"/>
          <w:szCs w:val="22"/>
        </w:rPr>
        <w:t xml:space="preserve"> financia</w:t>
      </w:r>
      <w:r w:rsidR="00EB0CB9" w:rsidRPr="008A590D">
        <w:rPr>
          <w:sz w:val="22"/>
          <w:szCs w:val="22"/>
        </w:rPr>
        <w:t>l yea</w:t>
      </w:r>
      <w:r w:rsidR="00573C96">
        <w:rPr>
          <w:sz w:val="22"/>
          <w:szCs w:val="22"/>
        </w:rPr>
        <w:t>r,</w:t>
      </w:r>
      <w:r w:rsidR="008A590D" w:rsidRPr="008A590D">
        <w:rPr>
          <w:sz w:val="22"/>
          <w:szCs w:val="22"/>
        </w:rPr>
        <w:t xml:space="preserve"> </w:t>
      </w:r>
      <w:r w:rsidR="002B7C66">
        <w:rPr>
          <w:sz w:val="22"/>
          <w:szCs w:val="22"/>
        </w:rPr>
        <w:t xml:space="preserve">in </w:t>
      </w:r>
      <w:r w:rsidR="008A590D" w:rsidRPr="008A590D">
        <w:rPr>
          <w:sz w:val="22"/>
          <w:szCs w:val="22"/>
        </w:rPr>
        <w:t>parallel with the introduction of a national funding formula for Primary and Secondary mainstream</w:t>
      </w:r>
      <w:r w:rsidR="00940EB6">
        <w:rPr>
          <w:sz w:val="22"/>
          <w:szCs w:val="22"/>
        </w:rPr>
        <w:t xml:space="preserve"> settings</w:t>
      </w:r>
      <w:r w:rsidR="008A590D" w:rsidRPr="008A590D">
        <w:rPr>
          <w:sz w:val="22"/>
          <w:szCs w:val="22"/>
        </w:rPr>
        <w:t>.</w:t>
      </w:r>
      <w:r w:rsidR="00EB0CB9" w:rsidRPr="008A590D">
        <w:rPr>
          <w:sz w:val="22"/>
          <w:szCs w:val="22"/>
        </w:rPr>
        <w:t xml:space="preserve"> In particular, we expected the move to the funding of </w:t>
      </w:r>
      <w:r w:rsidR="008A590D" w:rsidRPr="008A590D">
        <w:rPr>
          <w:sz w:val="22"/>
          <w:szCs w:val="22"/>
        </w:rPr>
        <w:t xml:space="preserve">high needs </w:t>
      </w:r>
      <w:r w:rsidR="00EB0CB9" w:rsidRPr="008A590D">
        <w:rPr>
          <w:sz w:val="22"/>
          <w:szCs w:val="22"/>
        </w:rPr>
        <w:t xml:space="preserve">places on the basis of actual </w:t>
      </w:r>
      <w:r w:rsidR="00F457B8" w:rsidRPr="008A590D">
        <w:rPr>
          <w:sz w:val="22"/>
          <w:szCs w:val="22"/>
        </w:rPr>
        <w:t>occupancy in the previous year</w:t>
      </w:r>
      <w:r w:rsidR="008A590D" w:rsidRPr="008A590D">
        <w:rPr>
          <w:sz w:val="22"/>
          <w:szCs w:val="22"/>
        </w:rPr>
        <w:t xml:space="preserve">; </w:t>
      </w:r>
      <w:r w:rsidR="00EB0CB9" w:rsidRPr="008A590D">
        <w:rPr>
          <w:sz w:val="22"/>
          <w:szCs w:val="22"/>
        </w:rPr>
        <w:t>known as ‘lagged places</w:t>
      </w:r>
      <w:r w:rsidR="00F457B8" w:rsidRPr="008A590D">
        <w:rPr>
          <w:sz w:val="22"/>
          <w:szCs w:val="22"/>
        </w:rPr>
        <w:t>’</w:t>
      </w:r>
      <w:r w:rsidR="00EB0CB9" w:rsidRPr="008A590D">
        <w:rPr>
          <w:sz w:val="22"/>
          <w:szCs w:val="22"/>
        </w:rPr>
        <w:t>.</w:t>
      </w:r>
      <w:r w:rsidR="00BE47CB" w:rsidRPr="008A590D">
        <w:rPr>
          <w:sz w:val="22"/>
          <w:szCs w:val="22"/>
        </w:rPr>
        <w:t xml:space="preserve"> </w:t>
      </w:r>
      <w:r w:rsidR="00D83D13">
        <w:rPr>
          <w:sz w:val="22"/>
          <w:szCs w:val="22"/>
        </w:rPr>
        <w:t>A</w:t>
      </w:r>
      <w:r w:rsidR="008A590D" w:rsidRPr="008A590D">
        <w:rPr>
          <w:sz w:val="22"/>
          <w:szCs w:val="22"/>
        </w:rPr>
        <w:t xml:space="preserve">lthough it is still the </w:t>
      </w:r>
      <w:proofErr w:type="spellStart"/>
      <w:r w:rsidR="008A590D" w:rsidRPr="008A590D">
        <w:rPr>
          <w:sz w:val="22"/>
          <w:szCs w:val="22"/>
        </w:rPr>
        <w:t>DfE’s</w:t>
      </w:r>
      <w:proofErr w:type="spellEnd"/>
      <w:r w:rsidR="008A590D" w:rsidRPr="008A590D">
        <w:rPr>
          <w:sz w:val="22"/>
          <w:szCs w:val="22"/>
        </w:rPr>
        <w:t xml:space="preserve"> intention to move towards funding places o</w:t>
      </w:r>
      <w:r w:rsidR="0037792D">
        <w:rPr>
          <w:sz w:val="22"/>
          <w:szCs w:val="22"/>
        </w:rPr>
        <w:t>n a lagged basis</w:t>
      </w:r>
      <w:r w:rsidR="008A590D" w:rsidRPr="008A590D">
        <w:rPr>
          <w:sz w:val="22"/>
          <w:szCs w:val="22"/>
        </w:rPr>
        <w:t>, this approach will not be implemented for 2015/16.</w:t>
      </w:r>
      <w:r w:rsidR="00AD1A09">
        <w:rPr>
          <w:sz w:val="22"/>
          <w:szCs w:val="22"/>
        </w:rPr>
        <w:t xml:space="preserve"> In its latest publications, the </w:t>
      </w:r>
      <w:proofErr w:type="spellStart"/>
      <w:r w:rsidR="00AD1A09">
        <w:rPr>
          <w:sz w:val="22"/>
          <w:szCs w:val="22"/>
        </w:rPr>
        <w:t>DfE</w:t>
      </w:r>
      <w:proofErr w:type="spellEnd"/>
      <w:r w:rsidR="00AD1A09">
        <w:rPr>
          <w:sz w:val="22"/>
          <w:szCs w:val="22"/>
        </w:rPr>
        <w:t xml:space="preserve"> </w:t>
      </w:r>
      <w:r w:rsidR="00684E9D">
        <w:rPr>
          <w:sz w:val="22"/>
          <w:szCs w:val="22"/>
        </w:rPr>
        <w:t>has explained</w:t>
      </w:r>
      <w:r w:rsidR="00AD1A09">
        <w:rPr>
          <w:sz w:val="22"/>
          <w:szCs w:val="22"/>
        </w:rPr>
        <w:t xml:space="preserve"> its intention to complete a r</w:t>
      </w:r>
      <w:r w:rsidR="00573C96">
        <w:rPr>
          <w:sz w:val="22"/>
          <w:szCs w:val="22"/>
        </w:rPr>
        <w:t>oot and branch review of</w:t>
      </w:r>
      <w:r w:rsidR="00AD1A09">
        <w:rPr>
          <w:sz w:val="22"/>
          <w:szCs w:val="22"/>
        </w:rPr>
        <w:t xml:space="preserve"> arrangements</w:t>
      </w:r>
      <w:r w:rsidR="00684E9D">
        <w:rPr>
          <w:sz w:val="22"/>
          <w:szCs w:val="22"/>
        </w:rPr>
        <w:t>,</w:t>
      </w:r>
      <w:r w:rsidR="00D83D13">
        <w:rPr>
          <w:sz w:val="22"/>
          <w:szCs w:val="22"/>
        </w:rPr>
        <w:t xml:space="preserve"> for changes to be implemented in</w:t>
      </w:r>
      <w:r w:rsidR="002B7C66">
        <w:rPr>
          <w:sz w:val="22"/>
          <w:szCs w:val="22"/>
        </w:rPr>
        <w:t xml:space="preserve"> </w:t>
      </w:r>
      <w:r w:rsidR="00AD1A09">
        <w:rPr>
          <w:sz w:val="22"/>
          <w:szCs w:val="22"/>
        </w:rPr>
        <w:t>the 2016/17 financial year.</w:t>
      </w:r>
      <w:r w:rsidR="002B7C66">
        <w:rPr>
          <w:sz w:val="22"/>
          <w:szCs w:val="22"/>
        </w:rPr>
        <w:t xml:space="preserve"> For reference, the introduction of a primary / secondary national funding formula has also been postponed until April 2016 at the earliest.</w:t>
      </w:r>
    </w:p>
    <w:p w:rsidR="00143BA6" w:rsidRDefault="00143BA6" w:rsidP="0094692E">
      <w:pPr>
        <w:jc w:val="both"/>
        <w:rPr>
          <w:sz w:val="22"/>
          <w:szCs w:val="22"/>
        </w:rPr>
      </w:pPr>
    </w:p>
    <w:p w:rsidR="00134169" w:rsidRDefault="00B54BD3" w:rsidP="00134169">
      <w:pPr>
        <w:jc w:val="both"/>
        <w:rPr>
          <w:sz w:val="22"/>
          <w:szCs w:val="22"/>
        </w:rPr>
      </w:pPr>
      <w:r>
        <w:rPr>
          <w:sz w:val="22"/>
          <w:szCs w:val="22"/>
        </w:rPr>
        <w:t>1.6</w:t>
      </w:r>
      <w:r w:rsidR="00143BA6" w:rsidRPr="00AD1A09">
        <w:rPr>
          <w:sz w:val="22"/>
          <w:szCs w:val="22"/>
        </w:rPr>
        <w:t xml:space="preserve"> </w:t>
      </w:r>
      <w:r w:rsidR="002D004D">
        <w:rPr>
          <w:sz w:val="22"/>
          <w:szCs w:val="22"/>
        </w:rPr>
        <w:t>As a result, t</w:t>
      </w:r>
      <w:r w:rsidR="008A590D" w:rsidRPr="00AD1A09">
        <w:rPr>
          <w:sz w:val="22"/>
          <w:szCs w:val="22"/>
        </w:rPr>
        <w:t xml:space="preserve">he majority of the key features of the current </w:t>
      </w:r>
      <w:r w:rsidR="00EF2183">
        <w:rPr>
          <w:sz w:val="22"/>
          <w:szCs w:val="22"/>
        </w:rPr>
        <w:t xml:space="preserve">high needs funding </w:t>
      </w:r>
      <w:r w:rsidR="008A590D" w:rsidRPr="00AD1A09">
        <w:rPr>
          <w:sz w:val="22"/>
          <w:szCs w:val="22"/>
        </w:rPr>
        <w:t xml:space="preserve">model, outlined in paragraph </w:t>
      </w:r>
      <w:r w:rsidR="00755625">
        <w:rPr>
          <w:sz w:val="22"/>
          <w:szCs w:val="22"/>
        </w:rPr>
        <w:t>3</w:t>
      </w:r>
      <w:r w:rsidR="008A590D" w:rsidRPr="00AD1A09">
        <w:rPr>
          <w:sz w:val="22"/>
          <w:szCs w:val="22"/>
        </w:rPr>
        <w:t xml:space="preserve"> below, continue for 2015/16.</w:t>
      </w:r>
      <w:r w:rsidR="00B54CD3">
        <w:rPr>
          <w:sz w:val="22"/>
          <w:szCs w:val="22"/>
        </w:rPr>
        <w:t xml:space="preserve"> The </w:t>
      </w:r>
      <w:proofErr w:type="spellStart"/>
      <w:r w:rsidR="00B54CD3">
        <w:rPr>
          <w:sz w:val="22"/>
          <w:szCs w:val="22"/>
        </w:rPr>
        <w:t>DfE</w:t>
      </w:r>
      <w:proofErr w:type="spellEnd"/>
      <w:r w:rsidR="00B54CD3">
        <w:rPr>
          <w:sz w:val="22"/>
          <w:szCs w:val="22"/>
        </w:rPr>
        <w:t xml:space="preserve"> is not further prescribing how local authorities calculate the values of their ‘Plus’ (top up) elements. We continue therefore, to have complete flexibility in how we define and fund levels of need. </w:t>
      </w:r>
      <w:r w:rsidR="00AD1A09">
        <w:rPr>
          <w:sz w:val="22"/>
          <w:szCs w:val="22"/>
        </w:rPr>
        <w:t>The starting point for setting the number of high needs</w:t>
      </w:r>
      <w:r w:rsidR="00AF07E8">
        <w:rPr>
          <w:sz w:val="22"/>
          <w:szCs w:val="22"/>
        </w:rPr>
        <w:t xml:space="preserve"> places for settings will be</w:t>
      </w:r>
      <w:r w:rsidR="00AD1A09">
        <w:rPr>
          <w:sz w:val="22"/>
          <w:szCs w:val="22"/>
        </w:rPr>
        <w:t xml:space="preserve"> rolling forward the places that have been funded in the </w:t>
      </w:r>
      <w:r w:rsidR="00E61A54">
        <w:rPr>
          <w:sz w:val="22"/>
          <w:szCs w:val="22"/>
        </w:rPr>
        <w:t xml:space="preserve">2014/15 academic year. </w:t>
      </w:r>
    </w:p>
    <w:p w:rsidR="00134169" w:rsidRPr="007A72AC" w:rsidRDefault="00134169" w:rsidP="0094692E">
      <w:pPr>
        <w:jc w:val="both"/>
        <w:rPr>
          <w:sz w:val="22"/>
          <w:szCs w:val="22"/>
        </w:rPr>
      </w:pPr>
    </w:p>
    <w:p w:rsidR="008A590D" w:rsidRPr="007A72AC" w:rsidRDefault="00B54BD3" w:rsidP="0094692E">
      <w:pPr>
        <w:jc w:val="both"/>
        <w:rPr>
          <w:sz w:val="22"/>
          <w:szCs w:val="22"/>
        </w:rPr>
      </w:pPr>
      <w:r w:rsidRPr="007A72AC">
        <w:rPr>
          <w:sz w:val="22"/>
          <w:szCs w:val="22"/>
        </w:rPr>
        <w:t>1.7</w:t>
      </w:r>
      <w:r w:rsidR="008A590D" w:rsidRPr="007A72AC">
        <w:rPr>
          <w:sz w:val="22"/>
          <w:szCs w:val="22"/>
        </w:rPr>
        <w:t xml:space="preserve"> </w:t>
      </w:r>
      <w:r w:rsidR="008A71B3">
        <w:rPr>
          <w:sz w:val="22"/>
          <w:szCs w:val="22"/>
        </w:rPr>
        <w:t>The</w:t>
      </w:r>
      <w:r w:rsidR="00684E9D" w:rsidRPr="007A72AC">
        <w:rPr>
          <w:sz w:val="22"/>
          <w:szCs w:val="22"/>
        </w:rPr>
        <w:t xml:space="preserve"> </w:t>
      </w:r>
      <w:r w:rsidR="0019612D" w:rsidRPr="007A72AC">
        <w:rPr>
          <w:sz w:val="22"/>
          <w:szCs w:val="22"/>
        </w:rPr>
        <w:t>key</w:t>
      </w:r>
      <w:r w:rsidR="002D004D">
        <w:rPr>
          <w:sz w:val="22"/>
          <w:szCs w:val="22"/>
        </w:rPr>
        <w:t xml:space="preserve"> directed</w:t>
      </w:r>
      <w:r w:rsidR="0019612D" w:rsidRPr="007A72AC">
        <w:rPr>
          <w:sz w:val="22"/>
          <w:szCs w:val="22"/>
        </w:rPr>
        <w:t xml:space="preserve"> </w:t>
      </w:r>
      <w:r w:rsidR="00684E9D" w:rsidRPr="007A72AC">
        <w:rPr>
          <w:sz w:val="22"/>
          <w:szCs w:val="22"/>
        </w:rPr>
        <w:t xml:space="preserve">‘technical’ </w:t>
      </w:r>
      <w:r w:rsidR="0019612D" w:rsidRPr="007A72AC">
        <w:rPr>
          <w:sz w:val="22"/>
          <w:szCs w:val="22"/>
        </w:rPr>
        <w:t xml:space="preserve">changes in </w:t>
      </w:r>
      <w:r w:rsidR="00B54CD3">
        <w:rPr>
          <w:sz w:val="22"/>
          <w:szCs w:val="22"/>
        </w:rPr>
        <w:t>national</w:t>
      </w:r>
      <w:r w:rsidR="0019612D" w:rsidRPr="007A72AC">
        <w:rPr>
          <w:sz w:val="22"/>
          <w:szCs w:val="22"/>
        </w:rPr>
        <w:t xml:space="preserve"> funding arrangements for the</w:t>
      </w:r>
      <w:r w:rsidR="008A590D" w:rsidRPr="007A72AC">
        <w:rPr>
          <w:sz w:val="22"/>
          <w:szCs w:val="22"/>
        </w:rPr>
        <w:t xml:space="preserve"> 2015/16</w:t>
      </w:r>
      <w:r w:rsidR="0019612D" w:rsidRPr="007A72AC">
        <w:rPr>
          <w:sz w:val="22"/>
          <w:szCs w:val="22"/>
        </w:rPr>
        <w:t xml:space="preserve"> financ</w:t>
      </w:r>
      <w:r w:rsidR="00B54CD3">
        <w:rPr>
          <w:sz w:val="22"/>
          <w:szCs w:val="22"/>
        </w:rPr>
        <w:t>ial year</w:t>
      </w:r>
      <w:r w:rsidR="0019612D" w:rsidRPr="007A72AC">
        <w:rPr>
          <w:sz w:val="22"/>
          <w:szCs w:val="22"/>
        </w:rPr>
        <w:t xml:space="preserve"> are</w:t>
      </w:r>
      <w:r w:rsidR="008A590D" w:rsidRPr="007A72AC">
        <w:rPr>
          <w:sz w:val="22"/>
          <w:szCs w:val="22"/>
        </w:rPr>
        <w:t>:</w:t>
      </w:r>
    </w:p>
    <w:p w:rsidR="00B62D99" w:rsidRPr="007A72AC" w:rsidRDefault="00B62D99" w:rsidP="0094692E">
      <w:pPr>
        <w:jc w:val="both"/>
        <w:rPr>
          <w:sz w:val="22"/>
          <w:szCs w:val="22"/>
        </w:rPr>
      </w:pPr>
    </w:p>
    <w:p w:rsidR="00B62D99" w:rsidRPr="007A72AC" w:rsidRDefault="008A71B3" w:rsidP="00B62D99">
      <w:pPr>
        <w:pStyle w:val="ListParagraph"/>
        <w:numPr>
          <w:ilvl w:val="0"/>
          <w:numId w:val="19"/>
        </w:numPr>
        <w:jc w:val="both"/>
        <w:rPr>
          <w:sz w:val="22"/>
          <w:szCs w:val="22"/>
        </w:rPr>
      </w:pPr>
      <w:r>
        <w:rPr>
          <w:sz w:val="22"/>
          <w:szCs w:val="22"/>
        </w:rPr>
        <w:t>To increase</w:t>
      </w:r>
      <w:r w:rsidR="00684E9D" w:rsidRPr="007A72AC">
        <w:rPr>
          <w:sz w:val="22"/>
          <w:szCs w:val="22"/>
        </w:rPr>
        <w:t xml:space="preserve"> the value </w:t>
      </w:r>
      <w:r w:rsidR="00941F0D" w:rsidRPr="007A72AC">
        <w:rPr>
          <w:sz w:val="22"/>
          <w:szCs w:val="22"/>
        </w:rPr>
        <w:t>from £8,000 to £10,000 of</w:t>
      </w:r>
      <w:r w:rsidR="00684E9D" w:rsidRPr="007A72AC">
        <w:rPr>
          <w:sz w:val="22"/>
          <w:szCs w:val="22"/>
        </w:rPr>
        <w:t xml:space="preserve"> </w:t>
      </w:r>
      <w:r w:rsidR="00446F5D" w:rsidRPr="007A72AC">
        <w:rPr>
          <w:sz w:val="22"/>
          <w:szCs w:val="22"/>
        </w:rPr>
        <w:t>Alternative Provision place</w:t>
      </w:r>
      <w:r w:rsidR="00684E9D" w:rsidRPr="007A72AC">
        <w:rPr>
          <w:sz w:val="22"/>
          <w:szCs w:val="22"/>
        </w:rPr>
        <w:t>s (Primary Behaviour Centres an</w:t>
      </w:r>
      <w:r w:rsidR="002D004D">
        <w:rPr>
          <w:sz w:val="22"/>
          <w:szCs w:val="22"/>
        </w:rPr>
        <w:t>d the PRUs), to bring this value</w:t>
      </w:r>
      <w:r w:rsidR="00684E9D" w:rsidRPr="007A72AC">
        <w:rPr>
          <w:sz w:val="22"/>
          <w:szCs w:val="22"/>
        </w:rPr>
        <w:t xml:space="preserve"> in line with </w:t>
      </w:r>
      <w:r w:rsidR="006A0415" w:rsidRPr="007A72AC">
        <w:rPr>
          <w:sz w:val="22"/>
          <w:szCs w:val="22"/>
        </w:rPr>
        <w:t xml:space="preserve">that of </w:t>
      </w:r>
      <w:r w:rsidR="00684E9D" w:rsidRPr="007A72AC">
        <w:rPr>
          <w:sz w:val="22"/>
          <w:szCs w:val="22"/>
        </w:rPr>
        <w:t xml:space="preserve">SEN places. However, a corresponding £2,000 reduction in the value of the ‘Plus’ (Top Up) element is expected, so </w:t>
      </w:r>
      <w:r w:rsidR="008663DB" w:rsidRPr="007A72AC">
        <w:rPr>
          <w:sz w:val="22"/>
          <w:szCs w:val="22"/>
        </w:rPr>
        <w:t>that this change does not alter</w:t>
      </w:r>
      <w:r w:rsidR="00684E9D" w:rsidRPr="007A72AC">
        <w:rPr>
          <w:sz w:val="22"/>
          <w:szCs w:val="22"/>
        </w:rPr>
        <w:t xml:space="preserve"> the mat</w:t>
      </w:r>
      <w:r w:rsidR="006A0415" w:rsidRPr="007A72AC">
        <w:rPr>
          <w:sz w:val="22"/>
          <w:szCs w:val="22"/>
        </w:rPr>
        <w:t xml:space="preserve">erial value </w:t>
      </w:r>
      <w:r w:rsidR="008663DB" w:rsidRPr="007A72AC">
        <w:rPr>
          <w:sz w:val="22"/>
          <w:szCs w:val="22"/>
        </w:rPr>
        <w:t>an AP setting receives</w:t>
      </w:r>
      <w:r w:rsidR="006A0415" w:rsidRPr="007A72AC">
        <w:rPr>
          <w:sz w:val="22"/>
          <w:szCs w:val="22"/>
        </w:rPr>
        <w:t xml:space="preserve"> per student</w:t>
      </w:r>
      <w:r w:rsidR="002D004D">
        <w:rPr>
          <w:sz w:val="22"/>
          <w:szCs w:val="22"/>
        </w:rPr>
        <w:t xml:space="preserve">. </w:t>
      </w:r>
      <w:r w:rsidR="00684E9D" w:rsidRPr="007A72AC">
        <w:rPr>
          <w:sz w:val="22"/>
          <w:szCs w:val="22"/>
        </w:rPr>
        <w:t xml:space="preserve">The </w:t>
      </w:r>
      <w:proofErr w:type="spellStart"/>
      <w:r w:rsidR="00684E9D" w:rsidRPr="007A72AC">
        <w:rPr>
          <w:sz w:val="22"/>
          <w:szCs w:val="22"/>
        </w:rPr>
        <w:t>DfE</w:t>
      </w:r>
      <w:proofErr w:type="spellEnd"/>
      <w:r w:rsidR="00684E9D" w:rsidRPr="007A72AC">
        <w:rPr>
          <w:sz w:val="22"/>
          <w:szCs w:val="22"/>
        </w:rPr>
        <w:t xml:space="preserve"> is not allocating any additional funding to Local Authorities</w:t>
      </w:r>
      <w:r w:rsidR="006A0415" w:rsidRPr="007A72AC">
        <w:rPr>
          <w:sz w:val="22"/>
          <w:szCs w:val="22"/>
        </w:rPr>
        <w:t xml:space="preserve"> in support of this change</w:t>
      </w:r>
      <w:r w:rsidR="00684E9D" w:rsidRPr="007A72AC">
        <w:rPr>
          <w:sz w:val="22"/>
          <w:szCs w:val="22"/>
        </w:rPr>
        <w:t xml:space="preserve">, viewing this as a purely technical adjustment in the interests of simplicity. </w:t>
      </w:r>
    </w:p>
    <w:p w:rsidR="00684E9D" w:rsidRPr="007A72AC" w:rsidRDefault="00684E9D" w:rsidP="00684E9D">
      <w:pPr>
        <w:pStyle w:val="ListParagraph"/>
        <w:jc w:val="both"/>
        <w:rPr>
          <w:sz w:val="22"/>
          <w:szCs w:val="22"/>
        </w:rPr>
      </w:pPr>
    </w:p>
    <w:p w:rsidR="00446F5D" w:rsidRPr="007A72AC" w:rsidRDefault="008A71B3" w:rsidP="00B62D99">
      <w:pPr>
        <w:pStyle w:val="ListParagraph"/>
        <w:numPr>
          <w:ilvl w:val="0"/>
          <w:numId w:val="19"/>
        </w:numPr>
        <w:jc w:val="both"/>
        <w:rPr>
          <w:sz w:val="22"/>
          <w:szCs w:val="22"/>
        </w:rPr>
      </w:pPr>
      <w:r>
        <w:rPr>
          <w:sz w:val="22"/>
          <w:szCs w:val="22"/>
        </w:rPr>
        <w:t xml:space="preserve">To fund </w:t>
      </w:r>
      <w:r w:rsidR="00446F5D" w:rsidRPr="007A72AC">
        <w:rPr>
          <w:sz w:val="22"/>
          <w:szCs w:val="22"/>
        </w:rPr>
        <w:t>Post 16 places</w:t>
      </w:r>
      <w:r w:rsidR="00F12D07" w:rsidRPr="007A72AC">
        <w:rPr>
          <w:sz w:val="22"/>
          <w:szCs w:val="22"/>
        </w:rPr>
        <w:t xml:space="preserve"> on the basis of the </w:t>
      </w:r>
      <w:r w:rsidR="00446F5D" w:rsidRPr="007A72AC">
        <w:rPr>
          <w:sz w:val="22"/>
          <w:szCs w:val="22"/>
        </w:rPr>
        <w:t xml:space="preserve">location of </w:t>
      </w:r>
      <w:r w:rsidR="00F12D07" w:rsidRPr="007A72AC">
        <w:rPr>
          <w:sz w:val="22"/>
          <w:szCs w:val="22"/>
        </w:rPr>
        <w:t>the setting rather than according to the Authority that commissions the place</w:t>
      </w:r>
      <w:r w:rsidR="007458C4">
        <w:rPr>
          <w:sz w:val="22"/>
          <w:szCs w:val="22"/>
        </w:rPr>
        <w:t>. This will bring the organisation</w:t>
      </w:r>
      <w:r w:rsidR="00F12D07" w:rsidRPr="007A72AC">
        <w:rPr>
          <w:sz w:val="22"/>
          <w:szCs w:val="22"/>
        </w:rPr>
        <w:t xml:space="preserve"> of Post 16 places in line with that of Pre 16 places. Although this is a technical adju</w:t>
      </w:r>
      <w:r w:rsidR="009C1508" w:rsidRPr="007A72AC">
        <w:rPr>
          <w:sz w:val="22"/>
          <w:szCs w:val="22"/>
        </w:rPr>
        <w:t>stment which</w:t>
      </w:r>
      <w:r w:rsidR="00F12D07" w:rsidRPr="007A72AC">
        <w:rPr>
          <w:sz w:val="22"/>
          <w:szCs w:val="22"/>
        </w:rPr>
        <w:t xml:space="preserve">, all other aspects being the same, does not have financial implications, we are currently working through how our places reporting and </w:t>
      </w:r>
      <w:r w:rsidR="009C1508" w:rsidRPr="007A72AC">
        <w:rPr>
          <w:sz w:val="22"/>
          <w:szCs w:val="22"/>
        </w:rPr>
        <w:t>monitoring processes must adapt</w:t>
      </w:r>
      <w:r w:rsidR="00F12D07" w:rsidRPr="007A72AC">
        <w:rPr>
          <w:sz w:val="22"/>
          <w:szCs w:val="22"/>
        </w:rPr>
        <w:t xml:space="preserve"> to ensure that this change is cost neutral to our DSG. </w:t>
      </w:r>
      <w:r w:rsidR="00FA5D50" w:rsidRPr="007A72AC">
        <w:rPr>
          <w:sz w:val="22"/>
          <w:szCs w:val="22"/>
        </w:rPr>
        <w:t>This change will require local authorities to work more closely together in the management of Post 16 places.</w:t>
      </w:r>
    </w:p>
    <w:p w:rsidR="00684E9D" w:rsidRPr="007A72AC" w:rsidRDefault="00684E9D" w:rsidP="0094692E">
      <w:pPr>
        <w:jc w:val="both"/>
        <w:rPr>
          <w:sz w:val="22"/>
          <w:szCs w:val="22"/>
        </w:rPr>
      </w:pPr>
    </w:p>
    <w:p w:rsidR="00684E9D" w:rsidRPr="007A72AC" w:rsidRDefault="008A71B3" w:rsidP="0094692E">
      <w:pPr>
        <w:jc w:val="both"/>
        <w:rPr>
          <w:sz w:val="22"/>
          <w:szCs w:val="22"/>
        </w:rPr>
      </w:pPr>
      <w:r>
        <w:rPr>
          <w:sz w:val="22"/>
          <w:szCs w:val="22"/>
        </w:rPr>
        <w:t>1.8 A</w:t>
      </w:r>
      <w:r w:rsidR="00684E9D" w:rsidRPr="007A72AC">
        <w:rPr>
          <w:sz w:val="22"/>
          <w:szCs w:val="22"/>
        </w:rPr>
        <w:t xml:space="preserve"> </w:t>
      </w:r>
      <w:r>
        <w:rPr>
          <w:sz w:val="22"/>
          <w:szCs w:val="22"/>
        </w:rPr>
        <w:t xml:space="preserve">more general </w:t>
      </w:r>
      <w:r w:rsidR="004B09D5">
        <w:rPr>
          <w:sz w:val="22"/>
          <w:szCs w:val="22"/>
        </w:rPr>
        <w:t xml:space="preserve">clear </w:t>
      </w:r>
      <w:r w:rsidR="00684E9D" w:rsidRPr="007A72AC">
        <w:rPr>
          <w:sz w:val="22"/>
          <w:szCs w:val="22"/>
        </w:rPr>
        <w:t xml:space="preserve">change </w:t>
      </w:r>
      <w:r w:rsidR="009C1508" w:rsidRPr="007A72AC">
        <w:rPr>
          <w:sz w:val="22"/>
          <w:szCs w:val="22"/>
        </w:rPr>
        <w:t>in funding policy</w:t>
      </w:r>
      <w:r w:rsidR="008A67EF">
        <w:rPr>
          <w:sz w:val="22"/>
          <w:szCs w:val="22"/>
        </w:rPr>
        <w:t>,</w:t>
      </w:r>
      <w:r>
        <w:rPr>
          <w:sz w:val="22"/>
          <w:szCs w:val="22"/>
        </w:rPr>
        <w:t xml:space="preserve"> </w:t>
      </w:r>
      <w:r w:rsidR="009C1508" w:rsidRPr="007A72AC">
        <w:rPr>
          <w:sz w:val="22"/>
          <w:szCs w:val="22"/>
        </w:rPr>
        <w:t>worth emphasising at this stage</w:t>
      </w:r>
      <w:r w:rsidR="008A67EF">
        <w:rPr>
          <w:sz w:val="22"/>
          <w:szCs w:val="22"/>
        </w:rPr>
        <w:t>,</w:t>
      </w:r>
      <w:r w:rsidR="009C1508" w:rsidRPr="007A72AC">
        <w:rPr>
          <w:sz w:val="22"/>
          <w:szCs w:val="22"/>
        </w:rPr>
        <w:t xml:space="preserve"> is</w:t>
      </w:r>
      <w:r w:rsidR="00684E9D" w:rsidRPr="007A72AC">
        <w:rPr>
          <w:sz w:val="22"/>
          <w:szCs w:val="22"/>
        </w:rPr>
        <w:t xml:space="preserve"> that the </w:t>
      </w:r>
      <w:proofErr w:type="spellStart"/>
      <w:r w:rsidR="00684E9D" w:rsidRPr="007A72AC">
        <w:rPr>
          <w:sz w:val="22"/>
          <w:szCs w:val="22"/>
        </w:rPr>
        <w:t>DfE</w:t>
      </w:r>
      <w:proofErr w:type="spellEnd"/>
      <w:r w:rsidR="00684E9D" w:rsidRPr="007A72AC">
        <w:rPr>
          <w:sz w:val="22"/>
          <w:szCs w:val="22"/>
        </w:rPr>
        <w:t xml:space="preserve"> will not allocate any additional </w:t>
      </w:r>
      <w:r>
        <w:rPr>
          <w:sz w:val="22"/>
          <w:szCs w:val="22"/>
        </w:rPr>
        <w:t xml:space="preserve">DSG </w:t>
      </w:r>
      <w:r w:rsidR="00684E9D" w:rsidRPr="007A72AC">
        <w:rPr>
          <w:sz w:val="22"/>
          <w:szCs w:val="22"/>
        </w:rPr>
        <w:t xml:space="preserve">funding where a Local Authority chooses to increase its number of </w:t>
      </w:r>
      <w:r>
        <w:rPr>
          <w:sz w:val="22"/>
          <w:szCs w:val="22"/>
        </w:rPr>
        <w:t>Alternative Provision places</w:t>
      </w:r>
      <w:r w:rsidR="00684E9D" w:rsidRPr="007A72AC">
        <w:rPr>
          <w:sz w:val="22"/>
          <w:szCs w:val="22"/>
        </w:rPr>
        <w:t>. Th</w:t>
      </w:r>
      <w:r>
        <w:rPr>
          <w:sz w:val="22"/>
          <w:szCs w:val="22"/>
        </w:rPr>
        <w:t>e clear expectation is that such</w:t>
      </w:r>
      <w:r w:rsidR="00684E9D" w:rsidRPr="007A72AC">
        <w:rPr>
          <w:sz w:val="22"/>
          <w:szCs w:val="22"/>
        </w:rPr>
        <w:t xml:space="preserve"> places will be afforded from an Authority’s existing DSG resources, most likely </w:t>
      </w:r>
      <w:r w:rsidR="009C1508" w:rsidRPr="007A72AC">
        <w:rPr>
          <w:sz w:val="22"/>
          <w:szCs w:val="22"/>
        </w:rPr>
        <w:t>from</w:t>
      </w:r>
      <w:r w:rsidR="00684E9D" w:rsidRPr="007A72AC">
        <w:rPr>
          <w:sz w:val="22"/>
          <w:szCs w:val="22"/>
        </w:rPr>
        <w:t xml:space="preserve"> a contribution from existing </w:t>
      </w:r>
      <w:r w:rsidR="00784633">
        <w:rPr>
          <w:sz w:val="22"/>
          <w:szCs w:val="22"/>
        </w:rPr>
        <w:t xml:space="preserve">primary or secondary </w:t>
      </w:r>
      <w:r w:rsidR="00684E9D" w:rsidRPr="007A72AC">
        <w:rPr>
          <w:sz w:val="22"/>
          <w:szCs w:val="22"/>
        </w:rPr>
        <w:t>delegated budgets.</w:t>
      </w:r>
    </w:p>
    <w:p w:rsidR="00684E9D" w:rsidRDefault="00684E9D" w:rsidP="0094692E">
      <w:pPr>
        <w:jc w:val="both"/>
        <w:rPr>
          <w:color w:val="FF0000"/>
          <w:sz w:val="22"/>
          <w:szCs w:val="22"/>
        </w:rPr>
      </w:pPr>
    </w:p>
    <w:p w:rsidR="007A72AC" w:rsidRPr="00B66310" w:rsidRDefault="00B54BD3" w:rsidP="0094692E">
      <w:pPr>
        <w:jc w:val="both"/>
        <w:rPr>
          <w:sz w:val="22"/>
          <w:szCs w:val="22"/>
        </w:rPr>
      </w:pPr>
      <w:r>
        <w:rPr>
          <w:sz w:val="22"/>
          <w:szCs w:val="22"/>
        </w:rPr>
        <w:t>1.</w:t>
      </w:r>
      <w:r w:rsidR="00684E9D">
        <w:rPr>
          <w:sz w:val="22"/>
          <w:szCs w:val="22"/>
        </w:rPr>
        <w:t>9</w:t>
      </w:r>
      <w:r w:rsidR="00615A6A">
        <w:rPr>
          <w:sz w:val="22"/>
          <w:szCs w:val="22"/>
        </w:rPr>
        <w:t xml:space="preserve"> </w:t>
      </w:r>
      <w:r>
        <w:rPr>
          <w:sz w:val="22"/>
          <w:szCs w:val="22"/>
        </w:rPr>
        <w:t>This</w:t>
      </w:r>
      <w:r w:rsidR="002D1A98">
        <w:rPr>
          <w:sz w:val="22"/>
          <w:szCs w:val="22"/>
        </w:rPr>
        <w:t xml:space="preserve"> </w:t>
      </w:r>
      <w:r w:rsidR="005A1654">
        <w:rPr>
          <w:sz w:val="22"/>
          <w:szCs w:val="22"/>
        </w:rPr>
        <w:t>consultation</w:t>
      </w:r>
      <w:r w:rsidR="00615A6A">
        <w:rPr>
          <w:sz w:val="22"/>
          <w:szCs w:val="22"/>
        </w:rPr>
        <w:t xml:space="preserve"> document</w:t>
      </w:r>
      <w:r w:rsidR="002D1A98">
        <w:rPr>
          <w:sz w:val="22"/>
          <w:szCs w:val="22"/>
        </w:rPr>
        <w:t xml:space="preserve"> now</w:t>
      </w:r>
      <w:r w:rsidR="005A1654">
        <w:rPr>
          <w:sz w:val="22"/>
          <w:szCs w:val="22"/>
        </w:rPr>
        <w:t xml:space="preserve"> focuses</w:t>
      </w:r>
      <w:r w:rsidR="00615A6A">
        <w:rPr>
          <w:sz w:val="22"/>
          <w:szCs w:val="22"/>
        </w:rPr>
        <w:t xml:space="preserve"> on</w:t>
      </w:r>
      <w:r w:rsidR="004B09D5">
        <w:rPr>
          <w:sz w:val="22"/>
          <w:szCs w:val="22"/>
        </w:rPr>
        <w:t xml:space="preserve"> our</w:t>
      </w:r>
      <w:r w:rsidR="004D36DC">
        <w:rPr>
          <w:sz w:val="22"/>
          <w:szCs w:val="22"/>
        </w:rPr>
        <w:t xml:space="preserve"> funding model</w:t>
      </w:r>
      <w:r w:rsidR="007A72AC">
        <w:rPr>
          <w:sz w:val="22"/>
          <w:szCs w:val="22"/>
        </w:rPr>
        <w:t xml:space="preserve"> for the 2015/1</w:t>
      </w:r>
      <w:r w:rsidR="004B09D5">
        <w:rPr>
          <w:sz w:val="22"/>
          <w:szCs w:val="22"/>
        </w:rPr>
        <w:t>6 financial year</w:t>
      </w:r>
      <w:r w:rsidR="00C177FF">
        <w:rPr>
          <w:sz w:val="22"/>
          <w:szCs w:val="22"/>
        </w:rPr>
        <w:t>.</w:t>
      </w:r>
      <w:r w:rsidR="00F360FA">
        <w:rPr>
          <w:sz w:val="22"/>
          <w:szCs w:val="22"/>
        </w:rPr>
        <w:t xml:space="preserve"> P</w:t>
      </w:r>
      <w:r w:rsidR="00615A6A">
        <w:rPr>
          <w:sz w:val="22"/>
          <w:szCs w:val="22"/>
        </w:rPr>
        <w:t>roposals</w:t>
      </w:r>
      <w:r w:rsidR="00C20DDC">
        <w:rPr>
          <w:sz w:val="22"/>
          <w:szCs w:val="22"/>
        </w:rPr>
        <w:t xml:space="preserve"> have been developed by the Local Authority under the supervision of the Schools Forum and in conjunction with a referenc</w:t>
      </w:r>
      <w:r w:rsidR="00BC5AB5">
        <w:rPr>
          <w:sz w:val="22"/>
          <w:szCs w:val="22"/>
        </w:rPr>
        <w:t xml:space="preserve">e group of high needs providers. </w:t>
      </w:r>
      <w:r w:rsidR="00143BA6" w:rsidRPr="00B66310">
        <w:rPr>
          <w:sz w:val="22"/>
          <w:szCs w:val="22"/>
        </w:rPr>
        <w:t xml:space="preserve">Please note that </w:t>
      </w:r>
      <w:r w:rsidR="004B09D5">
        <w:rPr>
          <w:sz w:val="22"/>
          <w:szCs w:val="22"/>
        </w:rPr>
        <w:t xml:space="preserve">the Authority is beginning </w:t>
      </w:r>
      <w:r w:rsidR="007A72AC" w:rsidRPr="00B66310">
        <w:rPr>
          <w:sz w:val="22"/>
          <w:szCs w:val="22"/>
        </w:rPr>
        <w:t xml:space="preserve">further work aimed at the development of a holistic approach to the funding of </w:t>
      </w:r>
      <w:r w:rsidR="00143BA6" w:rsidRPr="00B66310">
        <w:rPr>
          <w:sz w:val="22"/>
          <w:szCs w:val="22"/>
        </w:rPr>
        <w:t>Post 16</w:t>
      </w:r>
      <w:r w:rsidR="007A72AC" w:rsidRPr="00B66310">
        <w:rPr>
          <w:sz w:val="22"/>
          <w:szCs w:val="22"/>
        </w:rPr>
        <w:t xml:space="preserve"> high needs students. It is hoped that this work will progress quickly </w:t>
      </w:r>
      <w:r w:rsidR="004B09D5">
        <w:rPr>
          <w:sz w:val="22"/>
          <w:szCs w:val="22"/>
        </w:rPr>
        <w:t>to inform the</w:t>
      </w:r>
      <w:r w:rsidR="007A72AC" w:rsidRPr="00B66310">
        <w:rPr>
          <w:sz w:val="22"/>
          <w:szCs w:val="22"/>
        </w:rPr>
        <w:t xml:space="preserve"> approach</w:t>
      </w:r>
      <w:r w:rsidR="004B09D5">
        <w:rPr>
          <w:sz w:val="22"/>
          <w:szCs w:val="22"/>
        </w:rPr>
        <w:t xml:space="preserve"> to funding</w:t>
      </w:r>
      <w:r w:rsidR="007A72AC" w:rsidRPr="00B66310">
        <w:rPr>
          <w:sz w:val="22"/>
          <w:szCs w:val="22"/>
        </w:rPr>
        <w:t xml:space="preserve"> from the beginning of the 2015/16 academic year. A separate consultation will take place in spring / summer 2015.</w:t>
      </w:r>
    </w:p>
    <w:p w:rsidR="00581BE8" w:rsidRDefault="00581BE8" w:rsidP="0094692E">
      <w:pPr>
        <w:jc w:val="both"/>
        <w:rPr>
          <w:sz w:val="22"/>
          <w:szCs w:val="22"/>
        </w:rPr>
      </w:pPr>
    </w:p>
    <w:p w:rsidR="00784633" w:rsidRDefault="00784633" w:rsidP="00784633">
      <w:pPr>
        <w:jc w:val="both"/>
        <w:rPr>
          <w:sz w:val="22"/>
          <w:szCs w:val="22"/>
        </w:rPr>
      </w:pPr>
      <w:r>
        <w:rPr>
          <w:sz w:val="22"/>
          <w:szCs w:val="22"/>
        </w:rPr>
        <w:t xml:space="preserve">1.10 In addition, a number of important discussions are taking place within the Schools Forum regarding the future funding of high needs provisions from the Dedicated Schools Grant. The DSG Reviews Matrix at Appendix 1 gives an overview of the key areas. You are recommended to keep in touch with Schools Forum </w:t>
      </w:r>
      <w:r>
        <w:rPr>
          <w:sz w:val="22"/>
          <w:szCs w:val="22"/>
        </w:rPr>
        <w:lastRenderedPageBreak/>
        <w:t xml:space="preserve">business (reports presented to the Forum and the minutes of meetings) by regularly checking the Council’s meetings website </w:t>
      </w:r>
      <w:hyperlink r:id="rId9" w:anchor="7_LGAJV03E638P90I7TKL3A62081" w:history="1">
        <w:r w:rsidRPr="00CA148D">
          <w:rPr>
            <w:rStyle w:val="Hyperlink"/>
            <w:sz w:val="22"/>
            <w:szCs w:val="22"/>
          </w:rPr>
          <w:t>here</w:t>
        </w:r>
      </w:hyperlink>
      <w:r>
        <w:rPr>
          <w:sz w:val="22"/>
          <w:szCs w:val="22"/>
        </w:rPr>
        <w:t xml:space="preserve"> (‘Schools Forum’ at the bottom left of the page menu).</w:t>
      </w:r>
    </w:p>
    <w:p w:rsidR="00784633" w:rsidRDefault="00784633" w:rsidP="0094692E">
      <w:pPr>
        <w:jc w:val="both"/>
        <w:rPr>
          <w:sz w:val="22"/>
          <w:szCs w:val="22"/>
        </w:rPr>
      </w:pPr>
    </w:p>
    <w:p w:rsidR="00755625" w:rsidRDefault="00784633" w:rsidP="00755625">
      <w:pPr>
        <w:jc w:val="both"/>
        <w:rPr>
          <w:sz w:val="22"/>
          <w:szCs w:val="22"/>
        </w:rPr>
      </w:pPr>
      <w:r>
        <w:rPr>
          <w:sz w:val="22"/>
          <w:szCs w:val="22"/>
        </w:rPr>
        <w:t>1.11</w:t>
      </w:r>
      <w:r w:rsidR="00755625">
        <w:rPr>
          <w:sz w:val="22"/>
          <w:szCs w:val="22"/>
        </w:rPr>
        <w:t xml:space="preserve"> The deadline for responses to this consultation is </w:t>
      </w:r>
      <w:r w:rsidR="00755625">
        <w:rPr>
          <w:b/>
          <w:sz w:val="22"/>
          <w:szCs w:val="22"/>
        </w:rPr>
        <w:t>Monday 1</w:t>
      </w:r>
      <w:r w:rsidR="00755625" w:rsidRPr="00AA0283">
        <w:rPr>
          <w:b/>
          <w:sz w:val="22"/>
          <w:szCs w:val="22"/>
        </w:rPr>
        <w:t xml:space="preserve"> December 201</w:t>
      </w:r>
      <w:r w:rsidR="00755625">
        <w:rPr>
          <w:b/>
          <w:sz w:val="22"/>
          <w:szCs w:val="22"/>
        </w:rPr>
        <w:t>4</w:t>
      </w:r>
      <w:r w:rsidR="00755625" w:rsidRPr="000F13C5">
        <w:rPr>
          <w:sz w:val="22"/>
          <w:szCs w:val="22"/>
        </w:rPr>
        <w:t xml:space="preserve">. </w:t>
      </w:r>
      <w:r w:rsidR="00755625">
        <w:rPr>
          <w:sz w:val="22"/>
          <w:szCs w:val="22"/>
        </w:rPr>
        <w:t xml:space="preserve">Please address all questions and responses to Andrew Redding 01274 385702 </w:t>
      </w:r>
      <w:hyperlink r:id="rId10" w:history="1">
        <w:r w:rsidR="00755625" w:rsidRPr="009435DC">
          <w:rPr>
            <w:rStyle w:val="Hyperlink"/>
            <w:sz w:val="22"/>
            <w:szCs w:val="22"/>
          </w:rPr>
          <w:t>andrew.redding@bradford.gov.uk</w:t>
        </w:r>
      </w:hyperlink>
      <w:r w:rsidR="00755625">
        <w:rPr>
          <w:sz w:val="22"/>
          <w:szCs w:val="22"/>
        </w:rPr>
        <w:t xml:space="preserve">. </w:t>
      </w:r>
      <w:r w:rsidR="00755625" w:rsidRPr="00896A65">
        <w:rPr>
          <w:sz w:val="22"/>
          <w:szCs w:val="22"/>
        </w:rPr>
        <w:t xml:space="preserve">A response form is </w:t>
      </w:r>
      <w:r w:rsidR="00755625" w:rsidRPr="00E13360">
        <w:rPr>
          <w:sz w:val="22"/>
          <w:szCs w:val="22"/>
        </w:rPr>
        <w:t>included at Appendix 3.</w:t>
      </w:r>
    </w:p>
    <w:p w:rsidR="000F76DD" w:rsidRDefault="000F76DD" w:rsidP="00755625">
      <w:pPr>
        <w:jc w:val="both"/>
        <w:rPr>
          <w:sz w:val="22"/>
          <w:szCs w:val="22"/>
        </w:rPr>
      </w:pPr>
    </w:p>
    <w:p w:rsidR="00755625" w:rsidRDefault="00755625" w:rsidP="0094692E">
      <w:pPr>
        <w:jc w:val="both"/>
        <w:rPr>
          <w:sz w:val="22"/>
          <w:szCs w:val="22"/>
        </w:rPr>
      </w:pPr>
    </w:p>
    <w:p w:rsidR="00755625" w:rsidRPr="00295D12" w:rsidRDefault="00755625" w:rsidP="00221195">
      <w:pPr>
        <w:jc w:val="both"/>
        <w:rPr>
          <w:b/>
          <w:sz w:val="22"/>
          <w:szCs w:val="22"/>
        </w:rPr>
      </w:pPr>
      <w:r>
        <w:rPr>
          <w:b/>
          <w:sz w:val="22"/>
          <w:szCs w:val="22"/>
        </w:rPr>
        <w:t>2</w:t>
      </w:r>
      <w:r w:rsidRPr="00755625">
        <w:rPr>
          <w:b/>
          <w:sz w:val="22"/>
          <w:szCs w:val="22"/>
        </w:rPr>
        <w:t>.</w:t>
      </w:r>
      <w:r w:rsidRPr="00755625">
        <w:rPr>
          <w:b/>
          <w:sz w:val="22"/>
          <w:szCs w:val="22"/>
        </w:rPr>
        <w:tab/>
        <w:t xml:space="preserve">High Needs Block Cost Pressures </w:t>
      </w:r>
      <w:r w:rsidR="00E04E27">
        <w:rPr>
          <w:b/>
          <w:sz w:val="22"/>
          <w:szCs w:val="22"/>
        </w:rPr>
        <w:t>(and Sustainability)</w:t>
      </w:r>
    </w:p>
    <w:p w:rsidR="00755625" w:rsidRDefault="00755625" w:rsidP="00221195">
      <w:pPr>
        <w:jc w:val="both"/>
        <w:rPr>
          <w:sz w:val="22"/>
          <w:szCs w:val="22"/>
        </w:rPr>
      </w:pPr>
    </w:p>
    <w:p w:rsidR="00CF5964" w:rsidRDefault="00295D12" w:rsidP="00221195">
      <w:pPr>
        <w:jc w:val="both"/>
        <w:rPr>
          <w:sz w:val="22"/>
          <w:szCs w:val="22"/>
        </w:rPr>
      </w:pPr>
      <w:r>
        <w:rPr>
          <w:sz w:val="22"/>
          <w:szCs w:val="22"/>
        </w:rPr>
        <w:t>2.1</w:t>
      </w:r>
      <w:r w:rsidR="00755625">
        <w:rPr>
          <w:sz w:val="22"/>
          <w:szCs w:val="22"/>
        </w:rPr>
        <w:t xml:space="preserve"> </w:t>
      </w:r>
      <w:r w:rsidR="00BC5AB5" w:rsidRPr="005C736F">
        <w:rPr>
          <w:sz w:val="22"/>
          <w:szCs w:val="22"/>
        </w:rPr>
        <w:t>The values of formula factors quoted in the document e.g. the value</w:t>
      </w:r>
      <w:r w:rsidR="00CF5964">
        <w:rPr>
          <w:sz w:val="22"/>
          <w:szCs w:val="22"/>
        </w:rPr>
        <w:t>s</w:t>
      </w:r>
      <w:r w:rsidR="00BC5AB5" w:rsidRPr="005C736F">
        <w:rPr>
          <w:sz w:val="22"/>
          <w:szCs w:val="22"/>
        </w:rPr>
        <w:t xml:space="preserve"> of ‘Plus’ funding by Range</w:t>
      </w:r>
      <w:r w:rsidR="00CF5964">
        <w:rPr>
          <w:sz w:val="22"/>
          <w:szCs w:val="22"/>
        </w:rPr>
        <w:t xml:space="preserve"> shown in Appendix 2</w:t>
      </w:r>
      <w:r w:rsidR="00BC5AB5" w:rsidRPr="005C736F">
        <w:rPr>
          <w:sz w:val="22"/>
          <w:szCs w:val="22"/>
        </w:rPr>
        <w:t>, are in</w:t>
      </w:r>
      <w:r w:rsidR="00CF5964">
        <w:rPr>
          <w:sz w:val="22"/>
          <w:szCs w:val="22"/>
        </w:rPr>
        <w:t>dicative only</w:t>
      </w:r>
      <w:r w:rsidR="00BC5AB5" w:rsidRPr="005C736F">
        <w:rPr>
          <w:sz w:val="22"/>
          <w:szCs w:val="22"/>
        </w:rPr>
        <w:t xml:space="preserve">. In particular, these </w:t>
      </w:r>
      <w:r w:rsidR="002A5334" w:rsidRPr="005C736F">
        <w:rPr>
          <w:sz w:val="22"/>
          <w:szCs w:val="22"/>
        </w:rPr>
        <w:t xml:space="preserve">values </w:t>
      </w:r>
      <w:r w:rsidR="00BC5AB5" w:rsidRPr="005C736F">
        <w:rPr>
          <w:sz w:val="22"/>
          <w:szCs w:val="22"/>
        </w:rPr>
        <w:t xml:space="preserve">will be subject to the </w:t>
      </w:r>
      <w:r w:rsidR="00CF5964">
        <w:rPr>
          <w:sz w:val="22"/>
          <w:szCs w:val="22"/>
        </w:rPr>
        <w:t xml:space="preserve">School </w:t>
      </w:r>
      <w:r w:rsidR="00B71B3A">
        <w:rPr>
          <w:sz w:val="22"/>
          <w:szCs w:val="22"/>
        </w:rPr>
        <w:t>Forum’s management of</w:t>
      </w:r>
      <w:r w:rsidR="00BC5AB5" w:rsidRPr="005C736F">
        <w:rPr>
          <w:sz w:val="22"/>
          <w:szCs w:val="22"/>
        </w:rPr>
        <w:t xml:space="preserve"> costs pressures within the DSG in 2015/16. </w:t>
      </w:r>
    </w:p>
    <w:p w:rsidR="00CF5964" w:rsidRDefault="00CF5964" w:rsidP="00221195">
      <w:pPr>
        <w:jc w:val="both"/>
        <w:rPr>
          <w:sz w:val="22"/>
          <w:szCs w:val="22"/>
        </w:rPr>
      </w:pPr>
    </w:p>
    <w:p w:rsidR="00BC5AB5" w:rsidRDefault="00CF5964" w:rsidP="00221195">
      <w:pPr>
        <w:jc w:val="both"/>
        <w:rPr>
          <w:sz w:val="22"/>
          <w:szCs w:val="22"/>
        </w:rPr>
      </w:pPr>
      <w:r>
        <w:rPr>
          <w:sz w:val="22"/>
          <w:szCs w:val="22"/>
        </w:rPr>
        <w:t xml:space="preserve">2.2 </w:t>
      </w:r>
      <w:r w:rsidR="00BC5AB5" w:rsidRPr="005C736F">
        <w:rPr>
          <w:sz w:val="22"/>
          <w:szCs w:val="22"/>
        </w:rPr>
        <w:t>The values of ‘Plus’ funding by Range were reduced by 1.5% in this current year, as a contribution to managing overall affordability</w:t>
      </w:r>
      <w:r w:rsidR="002A5334" w:rsidRPr="005C736F">
        <w:rPr>
          <w:sz w:val="22"/>
          <w:szCs w:val="22"/>
        </w:rPr>
        <w:t>. T</w:t>
      </w:r>
      <w:r w:rsidR="0082291D">
        <w:rPr>
          <w:sz w:val="22"/>
          <w:szCs w:val="22"/>
        </w:rPr>
        <w:t>hese</w:t>
      </w:r>
      <w:r w:rsidR="00BC5AB5" w:rsidRPr="005C736F">
        <w:rPr>
          <w:sz w:val="22"/>
          <w:szCs w:val="22"/>
        </w:rPr>
        <w:t xml:space="preserve"> reduction</w:t>
      </w:r>
      <w:r w:rsidR="0082291D">
        <w:rPr>
          <w:sz w:val="22"/>
          <w:szCs w:val="22"/>
        </w:rPr>
        <w:t>s have not yet</w:t>
      </w:r>
      <w:r w:rsidR="00BC5AB5" w:rsidRPr="005C736F">
        <w:rPr>
          <w:sz w:val="22"/>
          <w:szCs w:val="22"/>
        </w:rPr>
        <w:t xml:space="preserve"> been felt by providers, as the Schools Forum allocated one off monies alongside </w:t>
      </w:r>
      <w:r w:rsidR="002A5334" w:rsidRPr="005C736F">
        <w:rPr>
          <w:sz w:val="22"/>
          <w:szCs w:val="22"/>
        </w:rPr>
        <w:t xml:space="preserve">which </w:t>
      </w:r>
      <w:r w:rsidR="00BC5AB5" w:rsidRPr="005C736F">
        <w:rPr>
          <w:sz w:val="22"/>
          <w:szCs w:val="22"/>
        </w:rPr>
        <w:t>offset the</w:t>
      </w:r>
      <w:r w:rsidR="0082291D">
        <w:rPr>
          <w:sz w:val="22"/>
          <w:szCs w:val="22"/>
        </w:rPr>
        <w:t>m</w:t>
      </w:r>
      <w:r w:rsidR="00BC5AB5" w:rsidRPr="005C736F">
        <w:rPr>
          <w:sz w:val="22"/>
          <w:szCs w:val="22"/>
        </w:rPr>
        <w:t xml:space="preserve">. </w:t>
      </w:r>
      <w:r w:rsidR="00B71B3A">
        <w:rPr>
          <w:sz w:val="22"/>
          <w:szCs w:val="22"/>
        </w:rPr>
        <w:t xml:space="preserve">Depending </w:t>
      </w:r>
      <w:r w:rsidR="00BC5AB5" w:rsidRPr="005C736F">
        <w:rPr>
          <w:sz w:val="22"/>
          <w:szCs w:val="22"/>
        </w:rPr>
        <w:t>on the level of pressures within the DSG in</w:t>
      </w:r>
      <w:r>
        <w:rPr>
          <w:sz w:val="22"/>
          <w:szCs w:val="22"/>
        </w:rPr>
        <w:t xml:space="preserve"> 2015/16, the Schools Forum may</w:t>
      </w:r>
      <w:r w:rsidR="004E08C0">
        <w:rPr>
          <w:sz w:val="22"/>
          <w:szCs w:val="22"/>
        </w:rPr>
        <w:t xml:space="preserve"> </w:t>
      </w:r>
      <w:r w:rsidR="00BC5AB5" w:rsidRPr="005C736F">
        <w:rPr>
          <w:sz w:val="22"/>
          <w:szCs w:val="22"/>
        </w:rPr>
        <w:t>recommend a further re</w:t>
      </w:r>
      <w:r>
        <w:rPr>
          <w:sz w:val="22"/>
          <w:szCs w:val="22"/>
        </w:rPr>
        <w:t>duction in values</w:t>
      </w:r>
      <w:r w:rsidR="00FB1948" w:rsidRPr="005C736F">
        <w:rPr>
          <w:sz w:val="22"/>
          <w:szCs w:val="22"/>
        </w:rPr>
        <w:t>.</w:t>
      </w:r>
      <w:r>
        <w:rPr>
          <w:sz w:val="22"/>
          <w:szCs w:val="22"/>
        </w:rPr>
        <w:t xml:space="preserve"> Both the</w:t>
      </w:r>
      <w:r w:rsidR="001A209B">
        <w:rPr>
          <w:sz w:val="22"/>
          <w:szCs w:val="22"/>
        </w:rPr>
        <w:t xml:space="preserve"> Authority and the Forum are</w:t>
      </w:r>
      <w:r>
        <w:rPr>
          <w:sz w:val="22"/>
          <w:szCs w:val="22"/>
        </w:rPr>
        <w:t xml:space="preserve"> aware</w:t>
      </w:r>
      <w:r w:rsidR="00755625">
        <w:rPr>
          <w:sz w:val="22"/>
          <w:szCs w:val="22"/>
        </w:rPr>
        <w:t xml:space="preserve"> </w:t>
      </w:r>
      <w:r w:rsidR="004E08C0">
        <w:rPr>
          <w:sz w:val="22"/>
          <w:szCs w:val="22"/>
        </w:rPr>
        <w:t>that</w:t>
      </w:r>
      <w:r w:rsidR="002C0798">
        <w:rPr>
          <w:sz w:val="22"/>
          <w:szCs w:val="22"/>
        </w:rPr>
        <w:t xml:space="preserve"> e.g. </w:t>
      </w:r>
      <w:r w:rsidR="004E08C0">
        <w:rPr>
          <w:sz w:val="22"/>
          <w:szCs w:val="22"/>
        </w:rPr>
        <w:t xml:space="preserve">a </w:t>
      </w:r>
      <w:r w:rsidR="002C0798">
        <w:rPr>
          <w:sz w:val="22"/>
          <w:szCs w:val="22"/>
        </w:rPr>
        <w:t>further 1.5%</w:t>
      </w:r>
      <w:r w:rsidR="00755625">
        <w:rPr>
          <w:sz w:val="22"/>
          <w:szCs w:val="22"/>
        </w:rPr>
        <w:t xml:space="preserve"> reduction in</w:t>
      </w:r>
      <w:r w:rsidR="002C0798">
        <w:rPr>
          <w:sz w:val="22"/>
          <w:szCs w:val="22"/>
        </w:rPr>
        <w:t xml:space="preserve"> rates in 2015/16</w:t>
      </w:r>
      <w:r w:rsidR="004E08C0">
        <w:rPr>
          <w:sz w:val="22"/>
          <w:szCs w:val="22"/>
        </w:rPr>
        <w:t>,</w:t>
      </w:r>
      <w:r w:rsidR="002C0798">
        <w:rPr>
          <w:sz w:val="22"/>
          <w:szCs w:val="22"/>
        </w:rPr>
        <w:t xml:space="preserve"> will actually feel like a 3% reduction</w:t>
      </w:r>
      <w:r>
        <w:rPr>
          <w:sz w:val="22"/>
          <w:szCs w:val="22"/>
        </w:rPr>
        <w:t xml:space="preserve"> for providers</w:t>
      </w:r>
      <w:r w:rsidR="002C0798">
        <w:rPr>
          <w:sz w:val="22"/>
          <w:szCs w:val="22"/>
        </w:rPr>
        <w:t>.</w:t>
      </w:r>
    </w:p>
    <w:p w:rsidR="0013458E" w:rsidRDefault="0013458E" w:rsidP="00221195">
      <w:pPr>
        <w:jc w:val="both"/>
        <w:rPr>
          <w:sz w:val="22"/>
          <w:szCs w:val="22"/>
        </w:rPr>
      </w:pPr>
    </w:p>
    <w:p w:rsidR="0013458E" w:rsidRPr="00F201DC" w:rsidRDefault="0013458E" w:rsidP="00221195">
      <w:pPr>
        <w:jc w:val="both"/>
        <w:rPr>
          <w:sz w:val="22"/>
          <w:szCs w:val="22"/>
        </w:rPr>
      </w:pPr>
      <w:r w:rsidRPr="00F201DC">
        <w:rPr>
          <w:sz w:val="22"/>
          <w:szCs w:val="22"/>
        </w:rPr>
        <w:t xml:space="preserve">2.3 </w:t>
      </w:r>
      <w:r w:rsidR="003B38E1" w:rsidRPr="00F201DC">
        <w:rPr>
          <w:sz w:val="22"/>
          <w:szCs w:val="22"/>
        </w:rPr>
        <w:t xml:space="preserve">The Authority’s benchmarking of Top up (Plus element) rates against other authorities shows that our 2014/15 rates </w:t>
      </w:r>
      <w:r w:rsidR="006C3997" w:rsidRPr="00F201DC">
        <w:rPr>
          <w:sz w:val="22"/>
          <w:szCs w:val="22"/>
        </w:rPr>
        <w:t xml:space="preserve">for maintained schools </w:t>
      </w:r>
      <w:r w:rsidR="0070092D">
        <w:rPr>
          <w:sz w:val="22"/>
          <w:szCs w:val="22"/>
        </w:rPr>
        <w:t xml:space="preserve">are at the very least comparable </w:t>
      </w:r>
      <w:r w:rsidR="003B38E1" w:rsidRPr="00F201DC">
        <w:rPr>
          <w:sz w:val="22"/>
          <w:szCs w:val="22"/>
        </w:rPr>
        <w:t>for both SEN and Alternative Provisions.</w:t>
      </w:r>
      <w:r w:rsidR="002E3A2B" w:rsidRPr="00F201DC">
        <w:rPr>
          <w:sz w:val="22"/>
          <w:szCs w:val="22"/>
        </w:rPr>
        <w:t xml:space="preserve"> Accepting the limitations of the data taken from Section 251 </w:t>
      </w:r>
      <w:r w:rsidR="005F3362" w:rsidRPr="00F201DC">
        <w:rPr>
          <w:sz w:val="22"/>
          <w:szCs w:val="22"/>
        </w:rPr>
        <w:t xml:space="preserve">Planned </w:t>
      </w:r>
      <w:r w:rsidR="002E3A2B" w:rsidRPr="00F201DC">
        <w:rPr>
          <w:sz w:val="22"/>
          <w:szCs w:val="22"/>
        </w:rPr>
        <w:t>Budget returns,</w:t>
      </w:r>
      <w:r w:rsidR="00720192">
        <w:rPr>
          <w:sz w:val="22"/>
          <w:szCs w:val="22"/>
        </w:rPr>
        <w:t xml:space="preserve"> and that this makes no reference to differences in levels of need between authorities or </w:t>
      </w:r>
      <w:r w:rsidR="001C0A4A">
        <w:rPr>
          <w:sz w:val="22"/>
          <w:szCs w:val="22"/>
        </w:rPr>
        <w:t xml:space="preserve">in </w:t>
      </w:r>
      <w:r w:rsidR="00720192">
        <w:rPr>
          <w:sz w:val="22"/>
          <w:szCs w:val="22"/>
        </w:rPr>
        <w:t>how provision is delivered</w:t>
      </w:r>
      <w:r w:rsidR="004B5FA9">
        <w:rPr>
          <w:sz w:val="22"/>
          <w:szCs w:val="22"/>
        </w:rPr>
        <w:t xml:space="preserve"> or the nature of PRU provision</w:t>
      </w:r>
      <w:r w:rsidR="00720192">
        <w:rPr>
          <w:sz w:val="22"/>
          <w:szCs w:val="22"/>
        </w:rPr>
        <w:t>,</w:t>
      </w:r>
      <w:r w:rsidR="002E3A2B" w:rsidRPr="00F201DC">
        <w:rPr>
          <w:sz w:val="22"/>
          <w:szCs w:val="22"/>
        </w:rPr>
        <w:t xml:space="preserve"> this data indicates that our top up rates</w:t>
      </w:r>
      <w:r w:rsidR="006C3997" w:rsidRPr="00F201DC">
        <w:rPr>
          <w:sz w:val="22"/>
          <w:szCs w:val="22"/>
        </w:rPr>
        <w:t xml:space="preserve"> per place</w:t>
      </w:r>
      <w:r w:rsidR="002E3A2B" w:rsidRPr="00F201DC">
        <w:rPr>
          <w:sz w:val="22"/>
          <w:szCs w:val="22"/>
        </w:rPr>
        <w:t xml:space="preserve"> (</w:t>
      </w:r>
      <w:r w:rsidR="006C3997" w:rsidRPr="00F201DC">
        <w:rPr>
          <w:sz w:val="22"/>
          <w:szCs w:val="22"/>
        </w:rPr>
        <w:t xml:space="preserve">this is the </w:t>
      </w:r>
      <w:r w:rsidR="002E3A2B" w:rsidRPr="00F201DC">
        <w:rPr>
          <w:sz w:val="22"/>
          <w:szCs w:val="22"/>
        </w:rPr>
        <w:t>total</w:t>
      </w:r>
      <w:r w:rsidR="006C3997" w:rsidRPr="00F201DC">
        <w:rPr>
          <w:sz w:val="22"/>
          <w:szCs w:val="22"/>
        </w:rPr>
        <w:t xml:space="preserve"> of</w:t>
      </w:r>
      <w:r w:rsidR="002E3A2B" w:rsidRPr="00F201DC">
        <w:rPr>
          <w:sz w:val="22"/>
          <w:szCs w:val="22"/>
        </w:rPr>
        <w:t xml:space="preserve"> funding </w:t>
      </w:r>
      <w:r w:rsidR="006C3997" w:rsidRPr="00F201DC">
        <w:rPr>
          <w:sz w:val="22"/>
          <w:szCs w:val="22"/>
        </w:rPr>
        <w:t xml:space="preserve">allocated </w:t>
      </w:r>
      <w:r w:rsidR="002E3A2B" w:rsidRPr="00F201DC">
        <w:rPr>
          <w:sz w:val="22"/>
          <w:szCs w:val="22"/>
        </w:rPr>
        <w:t xml:space="preserve">in addition to the </w:t>
      </w:r>
      <w:r w:rsidR="006C3997" w:rsidRPr="00F201DC">
        <w:rPr>
          <w:sz w:val="22"/>
          <w:szCs w:val="22"/>
        </w:rPr>
        <w:t xml:space="preserve">nationally set </w:t>
      </w:r>
      <w:r w:rsidR="002E3A2B" w:rsidRPr="00F201DC">
        <w:rPr>
          <w:sz w:val="22"/>
          <w:szCs w:val="22"/>
        </w:rPr>
        <w:t>place-element) compare as follows:</w:t>
      </w:r>
    </w:p>
    <w:p w:rsidR="002E3A2B" w:rsidRDefault="002E3A2B" w:rsidP="00221195">
      <w:pPr>
        <w:jc w:val="both"/>
        <w:rPr>
          <w:color w:val="FF0000"/>
          <w:sz w:val="22"/>
          <w:szCs w:val="22"/>
        </w:rPr>
      </w:pPr>
    </w:p>
    <w:tbl>
      <w:tblPr>
        <w:tblStyle w:val="TableGrid"/>
        <w:tblW w:w="0" w:type="auto"/>
        <w:tblLook w:val="04A0" w:firstRow="1" w:lastRow="0" w:firstColumn="1" w:lastColumn="0" w:noHBand="0" w:noVBand="1"/>
      </w:tblPr>
      <w:tblGrid>
        <w:gridCol w:w="3652"/>
        <w:gridCol w:w="2410"/>
        <w:gridCol w:w="2410"/>
        <w:gridCol w:w="2402"/>
      </w:tblGrid>
      <w:tr w:rsidR="002E3A2B" w:rsidTr="002E3A2B">
        <w:tc>
          <w:tcPr>
            <w:tcW w:w="3652" w:type="dxa"/>
          </w:tcPr>
          <w:p w:rsidR="002E3A2B" w:rsidRPr="002E3A2B" w:rsidRDefault="002E3A2B" w:rsidP="00221195">
            <w:pPr>
              <w:jc w:val="both"/>
              <w:rPr>
                <w:b/>
                <w:sz w:val="22"/>
                <w:szCs w:val="22"/>
              </w:rPr>
            </w:pPr>
          </w:p>
        </w:tc>
        <w:tc>
          <w:tcPr>
            <w:tcW w:w="2410" w:type="dxa"/>
          </w:tcPr>
          <w:p w:rsidR="002E3A2B" w:rsidRPr="002E3A2B" w:rsidRDefault="002E3A2B" w:rsidP="002E3A2B">
            <w:pPr>
              <w:jc w:val="right"/>
              <w:rPr>
                <w:b/>
                <w:sz w:val="22"/>
                <w:szCs w:val="22"/>
              </w:rPr>
            </w:pPr>
            <w:r w:rsidRPr="002E3A2B">
              <w:rPr>
                <w:b/>
                <w:sz w:val="22"/>
                <w:szCs w:val="22"/>
              </w:rPr>
              <w:t>Bradford</w:t>
            </w:r>
          </w:p>
        </w:tc>
        <w:tc>
          <w:tcPr>
            <w:tcW w:w="2410" w:type="dxa"/>
          </w:tcPr>
          <w:p w:rsidR="002E3A2B" w:rsidRPr="002E3A2B" w:rsidRDefault="002E3A2B" w:rsidP="002E3A2B">
            <w:pPr>
              <w:jc w:val="right"/>
              <w:rPr>
                <w:b/>
                <w:sz w:val="22"/>
                <w:szCs w:val="22"/>
              </w:rPr>
            </w:pPr>
            <w:r w:rsidRPr="002E3A2B">
              <w:rPr>
                <w:b/>
                <w:sz w:val="22"/>
                <w:szCs w:val="22"/>
              </w:rPr>
              <w:t>National  Median</w:t>
            </w:r>
          </w:p>
        </w:tc>
        <w:tc>
          <w:tcPr>
            <w:tcW w:w="2402" w:type="dxa"/>
          </w:tcPr>
          <w:p w:rsidR="002E3A2B" w:rsidRPr="002E3A2B" w:rsidRDefault="002E3A2B" w:rsidP="002E3A2B">
            <w:pPr>
              <w:jc w:val="right"/>
              <w:rPr>
                <w:b/>
                <w:sz w:val="22"/>
                <w:szCs w:val="22"/>
              </w:rPr>
            </w:pPr>
            <w:r w:rsidRPr="002E3A2B">
              <w:rPr>
                <w:b/>
                <w:sz w:val="22"/>
                <w:szCs w:val="22"/>
              </w:rPr>
              <w:t xml:space="preserve">Statistical Neighbour Median </w:t>
            </w:r>
          </w:p>
        </w:tc>
      </w:tr>
      <w:tr w:rsidR="002E3A2B" w:rsidTr="002E3A2B">
        <w:tc>
          <w:tcPr>
            <w:tcW w:w="3652" w:type="dxa"/>
          </w:tcPr>
          <w:p w:rsidR="002E3A2B" w:rsidRDefault="002E3A2B" w:rsidP="00221195">
            <w:pPr>
              <w:jc w:val="both"/>
              <w:rPr>
                <w:sz w:val="22"/>
                <w:szCs w:val="22"/>
              </w:rPr>
            </w:pPr>
            <w:r>
              <w:rPr>
                <w:sz w:val="22"/>
                <w:szCs w:val="22"/>
              </w:rPr>
              <w:t>SEN Places</w:t>
            </w:r>
          </w:p>
        </w:tc>
        <w:tc>
          <w:tcPr>
            <w:tcW w:w="2410" w:type="dxa"/>
          </w:tcPr>
          <w:p w:rsidR="002E3A2B" w:rsidRDefault="005F3362" w:rsidP="002E3A2B">
            <w:pPr>
              <w:jc w:val="right"/>
              <w:rPr>
                <w:sz w:val="22"/>
                <w:szCs w:val="22"/>
              </w:rPr>
            </w:pPr>
            <w:r>
              <w:rPr>
                <w:sz w:val="22"/>
                <w:szCs w:val="22"/>
              </w:rPr>
              <w:t>£12,507</w:t>
            </w:r>
          </w:p>
        </w:tc>
        <w:tc>
          <w:tcPr>
            <w:tcW w:w="2410" w:type="dxa"/>
          </w:tcPr>
          <w:p w:rsidR="002E3A2B" w:rsidRDefault="005F3362" w:rsidP="002E3A2B">
            <w:pPr>
              <w:jc w:val="right"/>
              <w:rPr>
                <w:sz w:val="22"/>
                <w:szCs w:val="22"/>
              </w:rPr>
            </w:pPr>
            <w:r>
              <w:rPr>
                <w:sz w:val="22"/>
                <w:szCs w:val="22"/>
              </w:rPr>
              <w:t>£10,553</w:t>
            </w:r>
          </w:p>
        </w:tc>
        <w:tc>
          <w:tcPr>
            <w:tcW w:w="2402" w:type="dxa"/>
          </w:tcPr>
          <w:p w:rsidR="002E3A2B" w:rsidRDefault="005F3362" w:rsidP="002E3A2B">
            <w:pPr>
              <w:jc w:val="right"/>
              <w:rPr>
                <w:sz w:val="22"/>
                <w:szCs w:val="22"/>
              </w:rPr>
            </w:pPr>
            <w:r>
              <w:rPr>
                <w:sz w:val="22"/>
                <w:szCs w:val="22"/>
              </w:rPr>
              <w:t>£12,167</w:t>
            </w:r>
          </w:p>
        </w:tc>
      </w:tr>
      <w:tr w:rsidR="002E3A2B" w:rsidTr="002E3A2B">
        <w:tc>
          <w:tcPr>
            <w:tcW w:w="3652" w:type="dxa"/>
          </w:tcPr>
          <w:p w:rsidR="002E3A2B" w:rsidRDefault="002E3A2B" w:rsidP="00221195">
            <w:pPr>
              <w:jc w:val="both"/>
              <w:rPr>
                <w:sz w:val="22"/>
                <w:szCs w:val="22"/>
              </w:rPr>
            </w:pPr>
            <w:r>
              <w:rPr>
                <w:sz w:val="22"/>
                <w:szCs w:val="22"/>
              </w:rPr>
              <w:t>Alternative Provision Places</w:t>
            </w:r>
            <w:r w:rsidR="005F3362">
              <w:rPr>
                <w:sz w:val="22"/>
                <w:szCs w:val="22"/>
              </w:rPr>
              <w:t xml:space="preserve"> </w:t>
            </w:r>
          </w:p>
        </w:tc>
        <w:tc>
          <w:tcPr>
            <w:tcW w:w="2410" w:type="dxa"/>
          </w:tcPr>
          <w:p w:rsidR="002E3A2B" w:rsidRDefault="005F3362" w:rsidP="002E3A2B">
            <w:pPr>
              <w:jc w:val="right"/>
              <w:rPr>
                <w:sz w:val="22"/>
                <w:szCs w:val="22"/>
              </w:rPr>
            </w:pPr>
            <w:r>
              <w:rPr>
                <w:sz w:val="22"/>
                <w:szCs w:val="22"/>
              </w:rPr>
              <w:t>£13,612 *</w:t>
            </w:r>
          </w:p>
        </w:tc>
        <w:tc>
          <w:tcPr>
            <w:tcW w:w="2410" w:type="dxa"/>
          </w:tcPr>
          <w:p w:rsidR="002E3A2B" w:rsidRDefault="005F3362" w:rsidP="002E3A2B">
            <w:pPr>
              <w:jc w:val="right"/>
              <w:rPr>
                <w:sz w:val="22"/>
                <w:szCs w:val="22"/>
              </w:rPr>
            </w:pPr>
            <w:r>
              <w:rPr>
                <w:sz w:val="22"/>
                <w:szCs w:val="22"/>
              </w:rPr>
              <w:t>£9,190</w:t>
            </w:r>
          </w:p>
        </w:tc>
        <w:tc>
          <w:tcPr>
            <w:tcW w:w="2402" w:type="dxa"/>
          </w:tcPr>
          <w:p w:rsidR="002E3A2B" w:rsidRDefault="005F3362" w:rsidP="002E3A2B">
            <w:pPr>
              <w:jc w:val="right"/>
              <w:rPr>
                <w:sz w:val="22"/>
                <w:szCs w:val="22"/>
              </w:rPr>
            </w:pPr>
            <w:r>
              <w:rPr>
                <w:sz w:val="22"/>
                <w:szCs w:val="22"/>
              </w:rPr>
              <w:t>£8,586</w:t>
            </w:r>
          </w:p>
        </w:tc>
      </w:tr>
    </w:tbl>
    <w:p w:rsidR="002E3A2B" w:rsidRPr="00F201DC" w:rsidRDefault="005F3362" w:rsidP="005F3362">
      <w:pPr>
        <w:jc w:val="both"/>
      </w:pPr>
      <w:r w:rsidRPr="00F201DC">
        <w:t xml:space="preserve">* Please note that this figure is based on Planned Budget, which for 2014/15 was based only on an estimate of the numbers of students to be placed in the PRUs in each Range. This figure will be confirmed at the end of the year (and is expected to be lower). </w:t>
      </w:r>
    </w:p>
    <w:p w:rsidR="00FB1948" w:rsidRDefault="00FB1948" w:rsidP="00221195">
      <w:pPr>
        <w:jc w:val="both"/>
        <w:rPr>
          <w:color w:val="FF0000"/>
          <w:sz w:val="22"/>
          <w:szCs w:val="22"/>
        </w:rPr>
      </w:pPr>
    </w:p>
    <w:p w:rsidR="00755625" w:rsidRDefault="00295D12" w:rsidP="00755625">
      <w:pPr>
        <w:jc w:val="both"/>
        <w:rPr>
          <w:sz w:val="22"/>
          <w:szCs w:val="22"/>
        </w:rPr>
      </w:pPr>
      <w:r>
        <w:rPr>
          <w:sz w:val="22"/>
          <w:szCs w:val="22"/>
        </w:rPr>
        <w:t>2.</w:t>
      </w:r>
      <w:r w:rsidR="0013458E">
        <w:rPr>
          <w:sz w:val="22"/>
          <w:szCs w:val="22"/>
        </w:rPr>
        <w:t>4</w:t>
      </w:r>
      <w:r w:rsidR="00CF5964">
        <w:rPr>
          <w:sz w:val="22"/>
          <w:szCs w:val="22"/>
        </w:rPr>
        <w:t xml:space="preserve"> The reduction of 1.5%</w:t>
      </w:r>
      <w:r w:rsidR="00755625">
        <w:rPr>
          <w:sz w:val="22"/>
          <w:szCs w:val="22"/>
        </w:rPr>
        <w:t xml:space="preserve"> in </w:t>
      </w:r>
      <w:r w:rsidR="00CF5964">
        <w:rPr>
          <w:sz w:val="22"/>
          <w:szCs w:val="22"/>
        </w:rPr>
        <w:t xml:space="preserve">Ranges </w:t>
      </w:r>
      <w:r w:rsidR="000A3C3F">
        <w:rPr>
          <w:sz w:val="22"/>
          <w:szCs w:val="22"/>
        </w:rPr>
        <w:t xml:space="preserve">funding </w:t>
      </w:r>
      <w:r w:rsidR="00755625">
        <w:rPr>
          <w:sz w:val="22"/>
          <w:szCs w:val="22"/>
        </w:rPr>
        <w:t>rates in this current year were part of a series of measures that enable</w:t>
      </w:r>
      <w:r w:rsidR="00BB0E44">
        <w:rPr>
          <w:sz w:val="22"/>
          <w:szCs w:val="22"/>
        </w:rPr>
        <w:t>d</w:t>
      </w:r>
      <w:r w:rsidR="00755625">
        <w:rPr>
          <w:sz w:val="22"/>
          <w:szCs w:val="22"/>
        </w:rPr>
        <w:t xml:space="preserve"> additional spending on high needs provision, in particular to respond to the pressures</w:t>
      </w:r>
      <w:r w:rsidR="00560CCC">
        <w:rPr>
          <w:sz w:val="22"/>
          <w:szCs w:val="22"/>
        </w:rPr>
        <w:t xml:space="preserve"> on places</w:t>
      </w:r>
      <w:r w:rsidR="000A2957">
        <w:rPr>
          <w:sz w:val="22"/>
          <w:szCs w:val="22"/>
        </w:rPr>
        <w:t xml:space="preserve"> and services</w:t>
      </w:r>
      <w:r w:rsidR="00560CCC">
        <w:rPr>
          <w:sz w:val="22"/>
          <w:szCs w:val="22"/>
        </w:rPr>
        <w:t xml:space="preserve"> capacity</w:t>
      </w:r>
      <w:r w:rsidR="00755625">
        <w:rPr>
          <w:sz w:val="22"/>
          <w:szCs w:val="22"/>
        </w:rPr>
        <w:t xml:space="preserve"> brought by demographic growth, including:</w:t>
      </w:r>
    </w:p>
    <w:p w:rsidR="00755625" w:rsidRDefault="00755625" w:rsidP="00755625">
      <w:pPr>
        <w:jc w:val="both"/>
        <w:rPr>
          <w:sz w:val="22"/>
          <w:szCs w:val="22"/>
        </w:rPr>
      </w:pPr>
    </w:p>
    <w:p w:rsidR="00755625" w:rsidRPr="00DA0B32" w:rsidRDefault="00560CCC" w:rsidP="00755625">
      <w:pPr>
        <w:pStyle w:val="ListParagraph"/>
        <w:numPr>
          <w:ilvl w:val="0"/>
          <w:numId w:val="20"/>
        </w:numPr>
        <w:jc w:val="both"/>
        <w:rPr>
          <w:sz w:val="22"/>
          <w:szCs w:val="22"/>
        </w:rPr>
      </w:pPr>
      <w:r w:rsidRPr="00DA0B32">
        <w:rPr>
          <w:sz w:val="22"/>
          <w:szCs w:val="22"/>
        </w:rPr>
        <w:t>A</w:t>
      </w:r>
      <w:r w:rsidR="000A2957" w:rsidRPr="00DA0B32">
        <w:rPr>
          <w:sz w:val="22"/>
          <w:szCs w:val="22"/>
        </w:rPr>
        <w:t>dditional places</w:t>
      </w:r>
      <w:r w:rsidRPr="00DA0B32">
        <w:rPr>
          <w:sz w:val="22"/>
          <w:szCs w:val="22"/>
        </w:rPr>
        <w:t xml:space="preserve"> for the 2014/15 academic year</w:t>
      </w:r>
      <w:r w:rsidR="000A2957" w:rsidRPr="00DA0B32">
        <w:rPr>
          <w:sz w:val="22"/>
          <w:szCs w:val="22"/>
        </w:rPr>
        <w:t xml:space="preserve"> (</w:t>
      </w:r>
      <w:r w:rsidR="00DA0B32" w:rsidRPr="00DA0B32">
        <w:rPr>
          <w:sz w:val="22"/>
          <w:szCs w:val="22"/>
        </w:rPr>
        <w:t xml:space="preserve">approx. £1.5m - </w:t>
      </w:r>
      <w:r w:rsidR="000A2957" w:rsidRPr="00DA0B32">
        <w:rPr>
          <w:sz w:val="22"/>
          <w:szCs w:val="22"/>
        </w:rPr>
        <w:t>60 special schools / academies; 12 DSPs; 10 Primary Behaviour Centres)</w:t>
      </w:r>
    </w:p>
    <w:p w:rsidR="00755625" w:rsidRPr="00DA0B32" w:rsidRDefault="00560CCC" w:rsidP="00755625">
      <w:pPr>
        <w:pStyle w:val="ListParagraph"/>
        <w:numPr>
          <w:ilvl w:val="0"/>
          <w:numId w:val="20"/>
        </w:numPr>
        <w:jc w:val="both"/>
        <w:rPr>
          <w:sz w:val="22"/>
          <w:szCs w:val="22"/>
        </w:rPr>
      </w:pPr>
      <w:r w:rsidRPr="00DA0B32">
        <w:rPr>
          <w:sz w:val="22"/>
          <w:szCs w:val="22"/>
        </w:rPr>
        <w:t>Additional r</w:t>
      </w:r>
      <w:r w:rsidR="000A2957" w:rsidRPr="00DA0B32">
        <w:rPr>
          <w:sz w:val="22"/>
          <w:szCs w:val="22"/>
        </w:rPr>
        <w:t>esources for Early Years SEN (</w:t>
      </w:r>
      <w:r w:rsidR="001478FB">
        <w:rPr>
          <w:sz w:val="22"/>
          <w:szCs w:val="22"/>
        </w:rPr>
        <w:t>£287,000</w:t>
      </w:r>
      <w:r w:rsidRPr="00DA0B32">
        <w:rPr>
          <w:sz w:val="22"/>
          <w:szCs w:val="22"/>
        </w:rPr>
        <w:t xml:space="preserve"> </w:t>
      </w:r>
      <w:r w:rsidR="000A2957" w:rsidRPr="00DA0B32">
        <w:rPr>
          <w:sz w:val="22"/>
          <w:szCs w:val="22"/>
        </w:rPr>
        <w:t>Portage, Assessment Processes and the EYIP)</w:t>
      </w:r>
    </w:p>
    <w:p w:rsidR="00755625" w:rsidRPr="00DA0B32" w:rsidRDefault="000A2957" w:rsidP="00755625">
      <w:pPr>
        <w:pStyle w:val="ListParagraph"/>
        <w:numPr>
          <w:ilvl w:val="0"/>
          <w:numId w:val="20"/>
        </w:numPr>
        <w:jc w:val="both"/>
        <w:rPr>
          <w:sz w:val="22"/>
          <w:szCs w:val="22"/>
        </w:rPr>
      </w:pPr>
      <w:r w:rsidRPr="00DA0B32">
        <w:rPr>
          <w:sz w:val="22"/>
          <w:szCs w:val="22"/>
        </w:rPr>
        <w:t>Specialist Equipment costs in</w:t>
      </w:r>
      <w:r w:rsidR="00560CCC" w:rsidRPr="00DA0B32">
        <w:rPr>
          <w:sz w:val="22"/>
          <w:szCs w:val="22"/>
        </w:rPr>
        <w:t xml:space="preserve"> Special s</w:t>
      </w:r>
      <w:r w:rsidRPr="00DA0B32">
        <w:rPr>
          <w:sz w:val="22"/>
          <w:szCs w:val="22"/>
        </w:rPr>
        <w:t>chools / academies</w:t>
      </w:r>
      <w:r w:rsidR="00560CCC" w:rsidRPr="00DA0B32">
        <w:rPr>
          <w:sz w:val="22"/>
          <w:szCs w:val="22"/>
        </w:rPr>
        <w:t xml:space="preserve"> (£75,000)</w:t>
      </w:r>
    </w:p>
    <w:p w:rsidR="000A2957" w:rsidRPr="00DA0B32" w:rsidRDefault="000A2957" w:rsidP="00755625">
      <w:pPr>
        <w:pStyle w:val="ListParagraph"/>
        <w:numPr>
          <w:ilvl w:val="0"/>
          <w:numId w:val="20"/>
        </w:numPr>
        <w:jc w:val="both"/>
        <w:rPr>
          <w:sz w:val="22"/>
          <w:szCs w:val="22"/>
        </w:rPr>
      </w:pPr>
      <w:r w:rsidRPr="00DA0B32">
        <w:rPr>
          <w:sz w:val="22"/>
          <w:szCs w:val="22"/>
        </w:rPr>
        <w:t>Growth in the number and cost of pupils with statements in mainstream settings</w:t>
      </w:r>
      <w:r w:rsidR="00560CCC" w:rsidRPr="00DA0B32">
        <w:rPr>
          <w:sz w:val="22"/>
          <w:szCs w:val="22"/>
        </w:rPr>
        <w:t xml:space="preserve"> (£400,000)</w:t>
      </w:r>
    </w:p>
    <w:p w:rsidR="000A2957" w:rsidRPr="00DA0B32" w:rsidRDefault="00560CCC" w:rsidP="00755625">
      <w:pPr>
        <w:pStyle w:val="ListParagraph"/>
        <w:numPr>
          <w:ilvl w:val="0"/>
          <w:numId w:val="20"/>
        </w:numPr>
        <w:jc w:val="both"/>
        <w:rPr>
          <w:sz w:val="22"/>
          <w:szCs w:val="22"/>
        </w:rPr>
      </w:pPr>
      <w:r w:rsidRPr="00DA0B32">
        <w:rPr>
          <w:sz w:val="22"/>
          <w:szCs w:val="22"/>
        </w:rPr>
        <w:t>Increasing</w:t>
      </w:r>
      <w:r w:rsidR="000A2957" w:rsidRPr="00DA0B32">
        <w:rPr>
          <w:sz w:val="22"/>
          <w:szCs w:val="22"/>
        </w:rPr>
        <w:t xml:space="preserve"> the value of the SEN Fundi</w:t>
      </w:r>
      <w:r w:rsidR="001478FB">
        <w:rPr>
          <w:sz w:val="22"/>
          <w:szCs w:val="22"/>
        </w:rPr>
        <w:t xml:space="preserve">ng Floor </w:t>
      </w:r>
      <w:r w:rsidR="000A2957" w:rsidRPr="00DA0B32">
        <w:rPr>
          <w:sz w:val="22"/>
          <w:szCs w:val="22"/>
        </w:rPr>
        <w:t>to support mainstream SEN provision</w:t>
      </w:r>
      <w:r w:rsidRPr="00DA0B32">
        <w:rPr>
          <w:sz w:val="22"/>
          <w:szCs w:val="22"/>
        </w:rPr>
        <w:t xml:space="preserve"> (£250,000)</w:t>
      </w:r>
    </w:p>
    <w:p w:rsidR="000A2957" w:rsidRPr="00DA0B32" w:rsidRDefault="00560CCC" w:rsidP="00755625">
      <w:pPr>
        <w:pStyle w:val="ListParagraph"/>
        <w:numPr>
          <w:ilvl w:val="0"/>
          <w:numId w:val="20"/>
        </w:numPr>
        <w:jc w:val="both"/>
        <w:rPr>
          <w:sz w:val="22"/>
          <w:szCs w:val="22"/>
        </w:rPr>
      </w:pPr>
      <w:r w:rsidRPr="00DA0B32">
        <w:rPr>
          <w:sz w:val="22"/>
          <w:szCs w:val="22"/>
        </w:rPr>
        <w:t>Expanding the capacity of</w:t>
      </w:r>
      <w:r w:rsidR="001478FB">
        <w:rPr>
          <w:sz w:val="22"/>
          <w:szCs w:val="22"/>
        </w:rPr>
        <w:t xml:space="preserve"> the </w:t>
      </w:r>
      <w:r w:rsidR="000A2957" w:rsidRPr="00DA0B32">
        <w:rPr>
          <w:sz w:val="22"/>
          <w:szCs w:val="22"/>
        </w:rPr>
        <w:t>Visual Impairment support s</w:t>
      </w:r>
      <w:r w:rsidRPr="00DA0B32">
        <w:rPr>
          <w:sz w:val="22"/>
          <w:szCs w:val="22"/>
        </w:rPr>
        <w:t>ervice for mainstream</w:t>
      </w:r>
      <w:r w:rsidR="0015069B">
        <w:rPr>
          <w:sz w:val="22"/>
          <w:szCs w:val="22"/>
        </w:rPr>
        <w:t xml:space="preserve"> and special school</w:t>
      </w:r>
      <w:r w:rsidRPr="00DA0B32">
        <w:rPr>
          <w:sz w:val="22"/>
          <w:szCs w:val="22"/>
        </w:rPr>
        <w:t xml:space="preserve"> provision</w:t>
      </w:r>
      <w:r w:rsidR="0015069B">
        <w:rPr>
          <w:sz w:val="22"/>
          <w:szCs w:val="22"/>
        </w:rPr>
        <w:t>s</w:t>
      </w:r>
      <w:r w:rsidR="00DA0B32" w:rsidRPr="00DA0B32">
        <w:rPr>
          <w:sz w:val="22"/>
          <w:szCs w:val="22"/>
        </w:rPr>
        <w:t xml:space="preserve"> (£100,000)</w:t>
      </w:r>
    </w:p>
    <w:p w:rsidR="000A2957" w:rsidRPr="00DA0B32" w:rsidRDefault="000A2957" w:rsidP="00755625">
      <w:pPr>
        <w:pStyle w:val="ListParagraph"/>
        <w:numPr>
          <w:ilvl w:val="0"/>
          <w:numId w:val="20"/>
        </w:numPr>
        <w:jc w:val="both"/>
        <w:rPr>
          <w:sz w:val="22"/>
          <w:szCs w:val="22"/>
        </w:rPr>
      </w:pPr>
      <w:r w:rsidRPr="00DA0B32">
        <w:rPr>
          <w:sz w:val="22"/>
          <w:szCs w:val="22"/>
        </w:rPr>
        <w:t>Funding Alternative Provision settings fully via our Ranges model, removing the funding cap that was previously in place</w:t>
      </w:r>
    </w:p>
    <w:p w:rsidR="00DA0B32" w:rsidRPr="00DA0B32" w:rsidRDefault="00DA0B32" w:rsidP="00755625">
      <w:pPr>
        <w:pStyle w:val="ListParagraph"/>
        <w:numPr>
          <w:ilvl w:val="0"/>
          <w:numId w:val="20"/>
        </w:numPr>
        <w:jc w:val="both"/>
        <w:rPr>
          <w:sz w:val="22"/>
          <w:szCs w:val="22"/>
        </w:rPr>
      </w:pPr>
      <w:r w:rsidRPr="00DA0B32">
        <w:rPr>
          <w:sz w:val="22"/>
          <w:szCs w:val="22"/>
        </w:rPr>
        <w:t xml:space="preserve">The full year delegated budget for the new </w:t>
      </w:r>
      <w:proofErr w:type="spellStart"/>
      <w:r w:rsidRPr="00DA0B32">
        <w:rPr>
          <w:sz w:val="22"/>
          <w:szCs w:val="22"/>
        </w:rPr>
        <w:t>Oastler</w:t>
      </w:r>
      <w:proofErr w:type="spellEnd"/>
      <w:r w:rsidRPr="00DA0B32">
        <w:rPr>
          <w:sz w:val="22"/>
          <w:szCs w:val="22"/>
        </w:rPr>
        <w:t xml:space="preserve"> Special School (80 places - the cost of this has been balanced against the reduction in the number of places available at District PRU)</w:t>
      </w:r>
    </w:p>
    <w:p w:rsidR="00755625" w:rsidRDefault="00755625" w:rsidP="00221195">
      <w:pPr>
        <w:jc w:val="both"/>
        <w:rPr>
          <w:color w:val="FF0000"/>
          <w:sz w:val="22"/>
          <w:szCs w:val="22"/>
        </w:rPr>
      </w:pPr>
    </w:p>
    <w:p w:rsidR="008C6D70" w:rsidRDefault="00295D12" w:rsidP="00221195">
      <w:pPr>
        <w:jc w:val="both"/>
        <w:rPr>
          <w:sz w:val="22"/>
          <w:szCs w:val="22"/>
        </w:rPr>
      </w:pPr>
      <w:r>
        <w:rPr>
          <w:sz w:val="22"/>
          <w:szCs w:val="22"/>
        </w:rPr>
        <w:t>2.</w:t>
      </w:r>
      <w:r w:rsidR="0013458E">
        <w:rPr>
          <w:sz w:val="22"/>
          <w:szCs w:val="22"/>
        </w:rPr>
        <w:t>5</w:t>
      </w:r>
      <w:r w:rsidR="00FB1948" w:rsidRPr="00185870">
        <w:rPr>
          <w:sz w:val="22"/>
          <w:szCs w:val="22"/>
        </w:rPr>
        <w:t xml:space="preserve"> The High Needs Block continues to be under significant financial pressure</w:t>
      </w:r>
      <w:r w:rsidR="005C736F" w:rsidRPr="00185870">
        <w:rPr>
          <w:sz w:val="22"/>
          <w:szCs w:val="22"/>
        </w:rPr>
        <w:t xml:space="preserve">; overspending in 2014/15 </w:t>
      </w:r>
      <w:r w:rsidR="00185870" w:rsidRPr="00185870">
        <w:rPr>
          <w:sz w:val="22"/>
          <w:szCs w:val="22"/>
        </w:rPr>
        <w:t>by £2.5</w:t>
      </w:r>
      <w:r w:rsidR="005C736F" w:rsidRPr="00185870">
        <w:rPr>
          <w:sz w:val="22"/>
          <w:szCs w:val="22"/>
        </w:rPr>
        <w:t>m (</w:t>
      </w:r>
      <w:r w:rsidR="00185870" w:rsidRPr="00185870">
        <w:rPr>
          <w:sz w:val="22"/>
          <w:szCs w:val="22"/>
        </w:rPr>
        <w:t>6</w:t>
      </w:r>
      <w:r w:rsidR="005C736F" w:rsidRPr="00185870">
        <w:rPr>
          <w:sz w:val="22"/>
          <w:szCs w:val="22"/>
        </w:rPr>
        <w:t xml:space="preserve">%) against the notional DSG budget allocated the </w:t>
      </w:r>
      <w:proofErr w:type="spellStart"/>
      <w:r w:rsidR="005C736F" w:rsidRPr="00185870">
        <w:rPr>
          <w:sz w:val="22"/>
          <w:szCs w:val="22"/>
        </w:rPr>
        <w:t>DfE</w:t>
      </w:r>
      <w:proofErr w:type="spellEnd"/>
      <w:r w:rsidR="00FB1948" w:rsidRPr="00185870">
        <w:rPr>
          <w:sz w:val="22"/>
          <w:szCs w:val="22"/>
        </w:rPr>
        <w:t>.</w:t>
      </w:r>
      <w:r w:rsidR="00185870" w:rsidRPr="00185870">
        <w:rPr>
          <w:sz w:val="22"/>
          <w:szCs w:val="22"/>
        </w:rPr>
        <w:t xml:space="preserve"> </w:t>
      </w:r>
      <w:r w:rsidR="00FC3B36">
        <w:rPr>
          <w:sz w:val="22"/>
          <w:szCs w:val="22"/>
        </w:rPr>
        <w:t xml:space="preserve">This is </w:t>
      </w:r>
      <w:r w:rsidR="001478FB">
        <w:rPr>
          <w:sz w:val="22"/>
          <w:szCs w:val="22"/>
        </w:rPr>
        <w:t>largely the result</w:t>
      </w:r>
      <w:r w:rsidR="00FC3B36">
        <w:rPr>
          <w:sz w:val="22"/>
          <w:szCs w:val="22"/>
        </w:rPr>
        <w:t xml:space="preserve"> of demographic stresses. </w:t>
      </w:r>
      <w:r w:rsidR="00185870" w:rsidRPr="00185870">
        <w:rPr>
          <w:sz w:val="22"/>
          <w:szCs w:val="22"/>
        </w:rPr>
        <w:t>This overspend</w:t>
      </w:r>
      <w:r w:rsidR="00F57570">
        <w:rPr>
          <w:sz w:val="22"/>
          <w:szCs w:val="22"/>
        </w:rPr>
        <w:t>ing</w:t>
      </w:r>
      <w:r w:rsidR="00185870" w:rsidRPr="00185870">
        <w:rPr>
          <w:sz w:val="22"/>
          <w:szCs w:val="22"/>
        </w:rPr>
        <w:t xml:space="preserve"> is met </w:t>
      </w:r>
      <w:r w:rsidR="003E4D3A">
        <w:rPr>
          <w:sz w:val="22"/>
          <w:szCs w:val="22"/>
        </w:rPr>
        <w:t xml:space="preserve">currently </w:t>
      </w:r>
      <w:r w:rsidR="00185870" w:rsidRPr="00185870">
        <w:rPr>
          <w:sz w:val="22"/>
          <w:szCs w:val="22"/>
        </w:rPr>
        <w:t>through contributions from the Schools and Early Years Blocks within the DSG.</w:t>
      </w:r>
      <w:r w:rsidR="00FB1948" w:rsidRPr="00185870">
        <w:rPr>
          <w:sz w:val="22"/>
          <w:szCs w:val="22"/>
        </w:rPr>
        <w:t xml:space="preserve"> </w:t>
      </w:r>
      <w:r w:rsidR="001478FB">
        <w:rPr>
          <w:sz w:val="22"/>
          <w:szCs w:val="22"/>
        </w:rPr>
        <w:t>However t</w:t>
      </w:r>
      <w:r w:rsidR="00FB1948" w:rsidRPr="00185870">
        <w:rPr>
          <w:sz w:val="22"/>
          <w:szCs w:val="22"/>
        </w:rPr>
        <w:t>his i</w:t>
      </w:r>
      <w:r w:rsidR="00185870" w:rsidRPr="00185870">
        <w:rPr>
          <w:sz w:val="22"/>
          <w:szCs w:val="22"/>
        </w:rPr>
        <w:t>s a long term pressure</w:t>
      </w:r>
      <w:r w:rsidR="00DA0B32">
        <w:rPr>
          <w:sz w:val="22"/>
          <w:szCs w:val="22"/>
        </w:rPr>
        <w:t>, which cannot continue to be met simply by redistributing existing resources</w:t>
      </w:r>
      <w:r w:rsidR="002A5334" w:rsidRPr="00185870">
        <w:rPr>
          <w:sz w:val="22"/>
          <w:szCs w:val="22"/>
        </w:rPr>
        <w:t xml:space="preserve">. </w:t>
      </w:r>
      <w:r w:rsidR="001478FB">
        <w:rPr>
          <w:sz w:val="22"/>
          <w:szCs w:val="22"/>
        </w:rPr>
        <w:t>We expect</w:t>
      </w:r>
      <w:r w:rsidR="008C6D70">
        <w:rPr>
          <w:sz w:val="22"/>
          <w:szCs w:val="22"/>
        </w:rPr>
        <w:t xml:space="preserve"> the </w:t>
      </w:r>
      <w:proofErr w:type="spellStart"/>
      <w:r w:rsidR="008C6D70">
        <w:rPr>
          <w:sz w:val="22"/>
          <w:szCs w:val="22"/>
        </w:rPr>
        <w:t>DfE’s</w:t>
      </w:r>
      <w:proofErr w:type="spellEnd"/>
      <w:r w:rsidR="008C6D70">
        <w:rPr>
          <w:sz w:val="22"/>
          <w:szCs w:val="22"/>
        </w:rPr>
        <w:t xml:space="preserve"> review of funding arrangements in 2015 </w:t>
      </w:r>
      <w:r w:rsidR="001478FB">
        <w:rPr>
          <w:sz w:val="22"/>
          <w:szCs w:val="22"/>
        </w:rPr>
        <w:t>to</w:t>
      </w:r>
      <w:r w:rsidR="009357AD">
        <w:rPr>
          <w:sz w:val="22"/>
          <w:szCs w:val="22"/>
        </w:rPr>
        <w:t xml:space="preserve"> deliver</w:t>
      </w:r>
      <w:r w:rsidR="008C6D70">
        <w:rPr>
          <w:sz w:val="22"/>
          <w:szCs w:val="22"/>
        </w:rPr>
        <w:t xml:space="preserve"> a distribution of high needs funding nationally that is more in line with </w:t>
      </w:r>
      <w:r w:rsidR="009357AD">
        <w:rPr>
          <w:sz w:val="22"/>
          <w:szCs w:val="22"/>
        </w:rPr>
        <w:t>current spending levels</w:t>
      </w:r>
      <w:r w:rsidR="008C6D70">
        <w:rPr>
          <w:sz w:val="22"/>
          <w:szCs w:val="22"/>
        </w:rPr>
        <w:t xml:space="preserve"> and is more responsive to the pressures brought about by demographic gr</w:t>
      </w:r>
      <w:r w:rsidR="009357AD">
        <w:rPr>
          <w:sz w:val="22"/>
          <w:szCs w:val="22"/>
        </w:rPr>
        <w:t>owth</w:t>
      </w:r>
      <w:r w:rsidR="008C6D70">
        <w:rPr>
          <w:sz w:val="22"/>
          <w:szCs w:val="22"/>
        </w:rPr>
        <w:t>.</w:t>
      </w:r>
    </w:p>
    <w:p w:rsidR="00FB1948" w:rsidRDefault="00295D12" w:rsidP="00221195">
      <w:pPr>
        <w:jc w:val="both"/>
        <w:rPr>
          <w:sz w:val="22"/>
          <w:szCs w:val="22"/>
        </w:rPr>
      </w:pPr>
      <w:r>
        <w:rPr>
          <w:sz w:val="22"/>
          <w:szCs w:val="22"/>
        </w:rPr>
        <w:lastRenderedPageBreak/>
        <w:t>2.</w:t>
      </w:r>
      <w:r w:rsidR="0013458E">
        <w:rPr>
          <w:sz w:val="22"/>
          <w:szCs w:val="22"/>
        </w:rPr>
        <w:t>6</w:t>
      </w:r>
      <w:r w:rsidR="009357AD">
        <w:rPr>
          <w:sz w:val="22"/>
          <w:szCs w:val="22"/>
        </w:rPr>
        <w:t xml:space="preserve"> </w:t>
      </w:r>
      <w:r w:rsidR="00DA0B32">
        <w:rPr>
          <w:sz w:val="22"/>
          <w:szCs w:val="22"/>
        </w:rPr>
        <w:t xml:space="preserve">In advance of </w:t>
      </w:r>
      <w:r w:rsidR="009357AD">
        <w:rPr>
          <w:sz w:val="22"/>
          <w:szCs w:val="22"/>
        </w:rPr>
        <w:t xml:space="preserve">this </w:t>
      </w:r>
      <w:r w:rsidR="00DA0B32">
        <w:rPr>
          <w:sz w:val="22"/>
          <w:szCs w:val="22"/>
        </w:rPr>
        <w:t>expected</w:t>
      </w:r>
      <w:r w:rsidR="00F046EF">
        <w:rPr>
          <w:sz w:val="22"/>
          <w:szCs w:val="22"/>
        </w:rPr>
        <w:t xml:space="preserve"> (but not guaranteed)</w:t>
      </w:r>
      <w:r w:rsidR="00DA0B32">
        <w:rPr>
          <w:sz w:val="22"/>
          <w:szCs w:val="22"/>
        </w:rPr>
        <w:t xml:space="preserve"> wider national funding system change, we must be aware that d</w:t>
      </w:r>
      <w:r w:rsidR="00185870" w:rsidRPr="00185870">
        <w:rPr>
          <w:sz w:val="22"/>
          <w:szCs w:val="22"/>
        </w:rPr>
        <w:t>ecisions that</w:t>
      </w:r>
      <w:r w:rsidR="00FB1948" w:rsidRPr="00185870">
        <w:rPr>
          <w:sz w:val="22"/>
          <w:szCs w:val="22"/>
        </w:rPr>
        <w:t xml:space="preserve"> increase the number of places</w:t>
      </w:r>
      <w:r w:rsidR="00185870" w:rsidRPr="00185870">
        <w:rPr>
          <w:sz w:val="22"/>
          <w:szCs w:val="22"/>
        </w:rPr>
        <w:t>, or</w:t>
      </w:r>
      <w:r w:rsidR="00FB1948" w:rsidRPr="00185870">
        <w:rPr>
          <w:sz w:val="22"/>
          <w:szCs w:val="22"/>
        </w:rPr>
        <w:t xml:space="preserve"> increase the levels of central-managed support available for high needs students,</w:t>
      </w:r>
      <w:r w:rsidR="00185870" w:rsidRPr="00185870">
        <w:rPr>
          <w:sz w:val="22"/>
          <w:szCs w:val="22"/>
        </w:rPr>
        <w:t xml:space="preserve"> or</w:t>
      </w:r>
      <w:r w:rsidR="002A5334" w:rsidRPr="00185870">
        <w:rPr>
          <w:sz w:val="22"/>
          <w:szCs w:val="22"/>
        </w:rPr>
        <w:t xml:space="preserve"> protect an existing </w:t>
      </w:r>
      <w:r w:rsidR="00185870" w:rsidRPr="00185870">
        <w:rPr>
          <w:sz w:val="22"/>
          <w:szCs w:val="22"/>
        </w:rPr>
        <w:t xml:space="preserve">high needs </w:t>
      </w:r>
      <w:r w:rsidR="002A5334" w:rsidRPr="00185870">
        <w:rPr>
          <w:sz w:val="22"/>
          <w:szCs w:val="22"/>
        </w:rPr>
        <w:t xml:space="preserve">budget to enable transition to a new way of working, </w:t>
      </w:r>
      <w:r w:rsidR="00FB1948" w:rsidRPr="00185870">
        <w:rPr>
          <w:sz w:val="22"/>
          <w:szCs w:val="22"/>
        </w:rPr>
        <w:t>increase the level of pressure on the</w:t>
      </w:r>
      <w:r w:rsidR="001478FB">
        <w:rPr>
          <w:sz w:val="22"/>
          <w:szCs w:val="22"/>
        </w:rPr>
        <w:t xml:space="preserve"> </w:t>
      </w:r>
      <w:r w:rsidR="00FB1948" w:rsidRPr="00185870">
        <w:rPr>
          <w:sz w:val="22"/>
          <w:szCs w:val="22"/>
        </w:rPr>
        <w:t xml:space="preserve">High Needs Block. </w:t>
      </w:r>
      <w:r w:rsidR="00185870" w:rsidRPr="00185870">
        <w:rPr>
          <w:sz w:val="22"/>
          <w:szCs w:val="22"/>
        </w:rPr>
        <w:t xml:space="preserve">Although there is some additional resource provided </w:t>
      </w:r>
      <w:r w:rsidR="00DA0B32">
        <w:rPr>
          <w:sz w:val="22"/>
          <w:szCs w:val="22"/>
        </w:rPr>
        <w:t xml:space="preserve">now </w:t>
      </w:r>
      <w:r w:rsidR="00185870" w:rsidRPr="00185870">
        <w:rPr>
          <w:sz w:val="22"/>
          <w:szCs w:val="22"/>
        </w:rPr>
        <w:t xml:space="preserve">by the </w:t>
      </w:r>
      <w:proofErr w:type="spellStart"/>
      <w:r w:rsidR="00185870" w:rsidRPr="00185870">
        <w:rPr>
          <w:sz w:val="22"/>
          <w:szCs w:val="22"/>
        </w:rPr>
        <w:t>DfE</w:t>
      </w:r>
      <w:proofErr w:type="spellEnd"/>
      <w:r w:rsidR="00185870" w:rsidRPr="00185870">
        <w:rPr>
          <w:sz w:val="22"/>
          <w:szCs w:val="22"/>
        </w:rPr>
        <w:t xml:space="preserve"> to meet pressures that come from demographic growth, </w:t>
      </w:r>
      <w:r w:rsidR="001478FB">
        <w:rPr>
          <w:sz w:val="22"/>
          <w:szCs w:val="22"/>
        </w:rPr>
        <w:t xml:space="preserve">the bulk of these pressures have to be </w:t>
      </w:r>
      <w:r w:rsidR="00185870" w:rsidRPr="00185870">
        <w:rPr>
          <w:sz w:val="22"/>
          <w:szCs w:val="22"/>
        </w:rPr>
        <w:t>met b</w:t>
      </w:r>
      <w:r w:rsidR="00FB1948" w:rsidRPr="00185870">
        <w:rPr>
          <w:sz w:val="22"/>
          <w:szCs w:val="22"/>
        </w:rPr>
        <w:t xml:space="preserve">y reducing another High Needs </w:t>
      </w:r>
      <w:r w:rsidR="002A5334" w:rsidRPr="00185870">
        <w:rPr>
          <w:sz w:val="22"/>
          <w:szCs w:val="22"/>
        </w:rPr>
        <w:t xml:space="preserve">Block budget </w:t>
      </w:r>
      <w:r w:rsidR="00185870" w:rsidRPr="00185870">
        <w:rPr>
          <w:sz w:val="22"/>
          <w:szCs w:val="22"/>
        </w:rPr>
        <w:t>and / or</w:t>
      </w:r>
      <w:r w:rsidR="002A5334" w:rsidRPr="00185870">
        <w:rPr>
          <w:sz w:val="22"/>
          <w:szCs w:val="22"/>
        </w:rPr>
        <w:t xml:space="preserve"> by taking</w:t>
      </w:r>
      <w:r w:rsidR="00FB1948" w:rsidRPr="00185870">
        <w:rPr>
          <w:sz w:val="22"/>
          <w:szCs w:val="22"/>
        </w:rPr>
        <w:t xml:space="preserve"> further contribution</w:t>
      </w:r>
      <w:r w:rsidR="002A5334" w:rsidRPr="00185870">
        <w:rPr>
          <w:sz w:val="22"/>
          <w:szCs w:val="22"/>
        </w:rPr>
        <w:t>s from</w:t>
      </w:r>
      <w:r w:rsidR="00FB1948" w:rsidRPr="00185870">
        <w:rPr>
          <w:sz w:val="22"/>
          <w:szCs w:val="22"/>
        </w:rPr>
        <w:t xml:space="preserve"> the Schools Block (mainstream primary and secondary budgets) </w:t>
      </w:r>
      <w:r w:rsidR="00185870" w:rsidRPr="00185870">
        <w:rPr>
          <w:sz w:val="22"/>
          <w:szCs w:val="22"/>
        </w:rPr>
        <w:t>and</w:t>
      </w:r>
      <w:r w:rsidR="00FB1948" w:rsidRPr="00185870">
        <w:rPr>
          <w:sz w:val="22"/>
          <w:szCs w:val="22"/>
        </w:rPr>
        <w:t xml:space="preserve"> from the Early Years Block (resources for the early years free entitlement delivery in mainstream and PVI settings).</w:t>
      </w:r>
      <w:r w:rsidR="00185870" w:rsidRPr="00185870">
        <w:rPr>
          <w:sz w:val="22"/>
          <w:szCs w:val="22"/>
        </w:rPr>
        <w:t xml:space="preserve"> As such, the relative impact of these decisions on </w:t>
      </w:r>
      <w:r w:rsidR="00863300">
        <w:rPr>
          <w:sz w:val="22"/>
          <w:szCs w:val="22"/>
        </w:rPr>
        <w:t xml:space="preserve">the outcomes for </w:t>
      </w:r>
      <w:r w:rsidR="00185870" w:rsidRPr="00185870">
        <w:rPr>
          <w:sz w:val="22"/>
          <w:szCs w:val="22"/>
        </w:rPr>
        <w:t xml:space="preserve">all </w:t>
      </w:r>
      <w:r w:rsidR="00F57570">
        <w:rPr>
          <w:sz w:val="22"/>
          <w:szCs w:val="22"/>
        </w:rPr>
        <w:t xml:space="preserve">children and </w:t>
      </w:r>
      <w:r w:rsidR="00EF79D6">
        <w:rPr>
          <w:sz w:val="22"/>
          <w:szCs w:val="22"/>
        </w:rPr>
        <w:t xml:space="preserve">all </w:t>
      </w:r>
      <w:r w:rsidR="006B2D75">
        <w:rPr>
          <w:sz w:val="22"/>
          <w:szCs w:val="22"/>
        </w:rPr>
        <w:t>aspects of education</w:t>
      </w:r>
      <w:r w:rsidR="00185870" w:rsidRPr="00185870">
        <w:rPr>
          <w:sz w:val="22"/>
          <w:szCs w:val="22"/>
        </w:rPr>
        <w:t xml:space="preserve"> must be considered. The Authority is very aware that delegated budgets for nursery, primary and secondary settings are al</w:t>
      </w:r>
      <w:r w:rsidR="001478FB">
        <w:rPr>
          <w:sz w:val="22"/>
          <w:szCs w:val="22"/>
        </w:rPr>
        <w:t xml:space="preserve">so under pressure. </w:t>
      </w:r>
      <w:r w:rsidR="00185870" w:rsidRPr="00185870">
        <w:rPr>
          <w:sz w:val="22"/>
          <w:szCs w:val="22"/>
        </w:rPr>
        <w:t>It is in this context that decisions about resourcing high needs provision</w:t>
      </w:r>
      <w:r w:rsidR="00F57570">
        <w:rPr>
          <w:sz w:val="22"/>
          <w:szCs w:val="22"/>
        </w:rPr>
        <w:t xml:space="preserve"> in 2015/16</w:t>
      </w:r>
      <w:r w:rsidR="00185870" w:rsidRPr="00185870">
        <w:rPr>
          <w:sz w:val="22"/>
          <w:szCs w:val="22"/>
        </w:rPr>
        <w:t xml:space="preserve"> must </w:t>
      </w:r>
      <w:r w:rsidR="0043667F">
        <w:rPr>
          <w:sz w:val="22"/>
          <w:szCs w:val="22"/>
        </w:rPr>
        <w:t xml:space="preserve">be </w:t>
      </w:r>
      <w:r w:rsidR="00185870" w:rsidRPr="00185870">
        <w:rPr>
          <w:sz w:val="22"/>
          <w:szCs w:val="22"/>
        </w:rPr>
        <w:t>taken</w:t>
      </w:r>
      <w:r w:rsidR="003E4D3A">
        <w:rPr>
          <w:sz w:val="22"/>
          <w:szCs w:val="22"/>
        </w:rPr>
        <w:t xml:space="preserve"> by the Schools Forum in January 2015</w:t>
      </w:r>
      <w:r w:rsidR="00185870" w:rsidRPr="00185870">
        <w:rPr>
          <w:sz w:val="22"/>
          <w:szCs w:val="22"/>
        </w:rPr>
        <w:t>.</w:t>
      </w:r>
      <w:r w:rsidR="008D2B36">
        <w:rPr>
          <w:sz w:val="22"/>
          <w:szCs w:val="22"/>
        </w:rPr>
        <w:t xml:space="preserve"> We must also have an eye on the future.</w:t>
      </w:r>
    </w:p>
    <w:p w:rsidR="00016829" w:rsidRDefault="00016829" w:rsidP="00221195">
      <w:pPr>
        <w:jc w:val="both"/>
        <w:rPr>
          <w:sz w:val="22"/>
          <w:szCs w:val="22"/>
        </w:rPr>
      </w:pPr>
    </w:p>
    <w:p w:rsidR="00016829" w:rsidRDefault="00295D12" w:rsidP="00221195">
      <w:pPr>
        <w:jc w:val="both"/>
        <w:rPr>
          <w:sz w:val="22"/>
          <w:szCs w:val="22"/>
        </w:rPr>
      </w:pPr>
      <w:r>
        <w:rPr>
          <w:sz w:val="22"/>
          <w:szCs w:val="22"/>
        </w:rPr>
        <w:t>2.</w:t>
      </w:r>
      <w:r w:rsidR="0013458E">
        <w:rPr>
          <w:sz w:val="22"/>
          <w:szCs w:val="22"/>
        </w:rPr>
        <w:t>7</w:t>
      </w:r>
      <w:r>
        <w:rPr>
          <w:sz w:val="22"/>
          <w:szCs w:val="22"/>
        </w:rPr>
        <w:t xml:space="preserve"> </w:t>
      </w:r>
      <w:r w:rsidR="00016829">
        <w:rPr>
          <w:sz w:val="22"/>
          <w:szCs w:val="22"/>
        </w:rPr>
        <w:t xml:space="preserve">As outlined in paragraph 5, the Authority proposes to increase the number of places funded by the High Needs </w:t>
      </w:r>
      <w:r w:rsidR="00016829" w:rsidRPr="004D40B5">
        <w:rPr>
          <w:sz w:val="22"/>
          <w:szCs w:val="22"/>
        </w:rPr>
        <w:t xml:space="preserve">Block by </w:t>
      </w:r>
      <w:r w:rsidR="00696411">
        <w:rPr>
          <w:sz w:val="22"/>
          <w:szCs w:val="22"/>
        </w:rPr>
        <w:t>65</w:t>
      </w:r>
      <w:r w:rsidR="00016829" w:rsidRPr="004D40B5">
        <w:rPr>
          <w:sz w:val="22"/>
          <w:szCs w:val="22"/>
        </w:rPr>
        <w:t xml:space="preserve"> </w:t>
      </w:r>
      <w:r w:rsidR="00016829">
        <w:rPr>
          <w:sz w:val="22"/>
          <w:szCs w:val="22"/>
        </w:rPr>
        <w:t>for the 2015/16 academic year</w:t>
      </w:r>
      <w:r w:rsidR="00364AD3">
        <w:rPr>
          <w:sz w:val="22"/>
          <w:szCs w:val="22"/>
        </w:rPr>
        <w:t xml:space="preserve">, which </w:t>
      </w:r>
      <w:r w:rsidR="001478FB">
        <w:rPr>
          <w:sz w:val="22"/>
          <w:szCs w:val="22"/>
        </w:rPr>
        <w:t xml:space="preserve">itself </w:t>
      </w:r>
      <w:r w:rsidR="00364AD3">
        <w:rPr>
          <w:sz w:val="22"/>
          <w:szCs w:val="22"/>
        </w:rPr>
        <w:t>lift</w:t>
      </w:r>
      <w:r w:rsidR="004D40B5">
        <w:rPr>
          <w:sz w:val="22"/>
          <w:szCs w:val="22"/>
        </w:rPr>
        <w:t>s</w:t>
      </w:r>
      <w:r w:rsidR="00364AD3">
        <w:rPr>
          <w:sz w:val="22"/>
          <w:szCs w:val="22"/>
        </w:rPr>
        <w:t xml:space="preserve"> the </w:t>
      </w:r>
      <w:r w:rsidR="00C67CB0">
        <w:rPr>
          <w:sz w:val="22"/>
          <w:szCs w:val="22"/>
        </w:rPr>
        <w:t xml:space="preserve">total </w:t>
      </w:r>
      <w:r w:rsidR="00A1363B">
        <w:rPr>
          <w:sz w:val="22"/>
          <w:szCs w:val="22"/>
        </w:rPr>
        <w:t>cost</w:t>
      </w:r>
      <w:r w:rsidR="00364AD3">
        <w:rPr>
          <w:sz w:val="22"/>
          <w:szCs w:val="22"/>
        </w:rPr>
        <w:t xml:space="preserve"> above current levels.</w:t>
      </w:r>
      <w:r w:rsidR="0082311B">
        <w:rPr>
          <w:sz w:val="22"/>
          <w:szCs w:val="22"/>
        </w:rPr>
        <w:t xml:space="preserve"> </w:t>
      </w:r>
      <w:r w:rsidR="00CA3548">
        <w:rPr>
          <w:sz w:val="22"/>
          <w:szCs w:val="22"/>
        </w:rPr>
        <w:t>Unless the result of re-organisation of provision, the Authority is not permitted to reduce the number of places in 2015/16 funded at any setting. The growth required therefore, cannot be balanced against reductions. Half of the</w:t>
      </w:r>
      <w:r w:rsidR="009211B4">
        <w:rPr>
          <w:sz w:val="22"/>
          <w:szCs w:val="22"/>
        </w:rPr>
        <w:t xml:space="preserve"> growth</w:t>
      </w:r>
      <w:r w:rsidR="00CA3548">
        <w:rPr>
          <w:sz w:val="22"/>
          <w:szCs w:val="22"/>
        </w:rPr>
        <w:t xml:space="preserve"> required</w:t>
      </w:r>
      <w:r w:rsidR="009211B4">
        <w:rPr>
          <w:sz w:val="22"/>
          <w:szCs w:val="22"/>
        </w:rPr>
        <w:t xml:space="preserve"> is</w:t>
      </w:r>
      <w:r w:rsidR="00CA3548">
        <w:rPr>
          <w:sz w:val="22"/>
          <w:szCs w:val="22"/>
        </w:rPr>
        <w:t xml:space="preserve"> needed</w:t>
      </w:r>
      <w:r w:rsidR="009211B4">
        <w:rPr>
          <w:sz w:val="22"/>
          <w:szCs w:val="22"/>
        </w:rPr>
        <w:t xml:space="preserve"> in the FE sector</w:t>
      </w:r>
      <w:r w:rsidR="00CA3548">
        <w:rPr>
          <w:sz w:val="22"/>
          <w:szCs w:val="22"/>
        </w:rPr>
        <w:t xml:space="preserve"> to meet</w:t>
      </w:r>
      <w:r w:rsidR="00DC42B4">
        <w:rPr>
          <w:sz w:val="22"/>
          <w:szCs w:val="22"/>
        </w:rPr>
        <w:t xml:space="preserve"> current demand</w:t>
      </w:r>
      <w:r w:rsidR="009211B4">
        <w:rPr>
          <w:sz w:val="22"/>
          <w:szCs w:val="22"/>
        </w:rPr>
        <w:t>. The other half is in SEN provision, including the establishment of 2 new DSP provisions.</w:t>
      </w:r>
      <w:r w:rsidR="00CA3548">
        <w:rPr>
          <w:sz w:val="22"/>
          <w:szCs w:val="22"/>
        </w:rPr>
        <w:t xml:space="preserve"> There is also a planned</w:t>
      </w:r>
      <w:r w:rsidR="00DC42B4">
        <w:rPr>
          <w:sz w:val="22"/>
          <w:szCs w:val="22"/>
        </w:rPr>
        <w:t xml:space="preserve"> increase in places at primary PRU, which is needed to ease pressure on more expensive possible out of authority placements.</w:t>
      </w:r>
      <w:r w:rsidR="009211B4">
        <w:rPr>
          <w:sz w:val="22"/>
          <w:szCs w:val="22"/>
        </w:rPr>
        <w:t xml:space="preserve"> </w:t>
      </w:r>
      <w:r w:rsidR="00364AD3">
        <w:rPr>
          <w:sz w:val="22"/>
          <w:szCs w:val="22"/>
        </w:rPr>
        <w:t>The Au</w:t>
      </w:r>
      <w:r w:rsidR="001478FB">
        <w:rPr>
          <w:sz w:val="22"/>
          <w:szCs w:val="22"/>
        </w:rPr>
        <w:t>thority’s forward planning data</w:t>
      </w:r>
      <w:r w:rsidR="00364AD3">
        <w:rPr>
          <w:sz w:val="22"/>
          <w:szCs w:val="22"/>
        </w:rPr>
        <w:t xml:space="preserve"> however,</w:t>
      </w:r>
      <w:r w:rsidR="001478FB">
        <w:rPr>
          <w:sz w:val="22"/>
          <w:szCs w:val="22"/>
        </w:rPr>
        <w:t xml:space="preserve"> suggests</w:t>
      </w:r>
      <w:r w:rsidR="00364AD3">
        <w:rPr>
          <w:sz w:val="22"/>
          <w:szCs w:val="22"/>
        </w:rPr>
        <w:t xml:space="preserve"> that an additional 80+ places will be required</w:t>
      </w:r>
      <w:r w:rsidR="0082311B">
        <w:rPr>
          <w:sz w:val="22"/>
          <w:szCs w:val="22"/>
        </w:rPr>
        <w:t xml:space="preserve"> by September 2018</w:t>
      </w:r>
      <w:r w:rsidR="001478FB">
        <w:rPr>
          <w:sz w:val="22"/>
          <w:szCs w:val="22"/>
        </w:rPr>
        <w:t xml:space="preserve"> to deliver sufficient capacity; </w:t>
      </w:r>
      <w:r w:rsidR="00364AD3">
        <w:rPr>
          <w:sz w:val="22"/>
          <w:szCs w:val="22"/>
        </w:rPr>
        <w:t>60+ places in special schools and academies and 20 places in resourced provisions</w:t>
      </w:r>
      <w:r w:rsidR="001478FB">
        <w:rPr>
          <w:sz w:val="22"/>
          <w:szCs w:val="22"/>
        </w:rPr>
        <w:t>,</w:t>
      </w:r>
      <w:r w:rsidR="00C67CB0">
        <w:rPr>
          <w:sz w:val="22"/>
          <w:szCs w:val="22"/>
        </w:rPr>
        <w:t xml:space="preserve"> at a rough </w:t>
      </w:r>
      <w:r w:rsidR="005D0648">
        <w:rPr>
          <w:sz w:val="22"/>
          <w:szCs w:val="22"/>
        </w:rPr>
        <w:t xml:space="preserve">on-going </w:t>
      </w:r>
      <w:r w:rsidR="00C67CB0">
        <w:rPr>
          <w:sz w:val="22"/>
          <w:szCs w:val="22"/>
        </w:rPr>
        <w:t>revenue cost to the DSG of £1.6m per annum</w:t>
      </w:r>
      <w:r w:rsidR="00364AD3">
        <w:rPr>
          <w:sz w:val="22"/>
          <w:szCs w:val="22"/>
        </w:rPr>
        <w:t>.</w:t>
      </w:r>
      <w:r w:rsidR="00C67CB0">
        <w:rPr>
          <w:sz w:val="22"/>
          <w:szCs w:val="22"/>
        </w:rPr>
        <w:t xml:space="preserve"> This </w:t>
      </w:r>
      <w:r w:rsidR="005D0648">
        <w:rPr>
          <w:sz w:val="22"/>
          <w:szCs w:val="22"/>
        </w:rPr>
        <w:t xml:space="preserve">size of growth is </w:t>
      </w:r>
      <w:r w:rsidR="001478FB">
        <w:rPr>
          <w:sz w:val="22"/>
          <w:szCs w:val="22"/>
        </w:rPr>
        <w:t xml:space="preserve">also </w:t>
      </w:r>
      <w:r w:rsidR="00C67CB0">
        <w:rPr>
          <w:sz w:val="22"/>
          <w:szCs w:val="22"/>
        </w:rPr>
        <w:t>very likely</w:t>
      </w:r>
      <w:r w:rsidR="005D0648">
        <w:rPr>
          <w:sz w:val="22"/>
          <w:szCs w:val="22"/>
        </w:rPr>
        <w:t xml:space="preserve"> to necessitate</w:t>
      </w:r>
      <w:r w:rsidR="00C67CB0">
        <w:rPr>
          <w:sz w:val="22"/>
          <w:szCs w:val="22"/>
        </w:rPr>
        <w:t xml:space="preserve"> the establishment of a new special s</w:t>
      </w:r>
      <w:r w:rsidR="001478FB">
        <w:rPr>
          <w:sz w:val="22"/>
          <w:szCs w:val="22"/>
        </w:rPr>
        <w:t>chool provision, which will</w:t>
      </w:r>
      <w:r w:rsidR="00C67CB0">
        <w:rPr>
          <w:sz w:val="22"/>
          <w:szCs w:val="22"/>
        </w:rPr>
        <w:t xml:space="preserve"> require capital resources.</w:t>
      </w:r>
      <w:r w:rsidR="005D0648">
        <w:rPr>
          <w:sz w:val="22"/>
          <w:szCs w:val="22"/>
        </w:rPr>
        <w:t xml:space="preserve"> These are costs that Schools Forum will be required to immediately manage over the 2016/17 and 2017/18 financial years. Over the same period, the Authority also predicts that the capacity</w:t>
      </w:r>
      <w:r w:rsidR="001478FB">
        <w:rPr>
          <w:sz w:val="22"/>
          <w:szCs w:val="22"/>
        </w:rPr>
        <w:t xml:space="preserve"> of SEN services in place to</w:t>
      </w:r>
      <w:r w:rsidR="005D0648">
        <w:rPr>
          <w:sz w:val="22"/>
          <w:szCs w:val="22"/>
        </w:rPr>
        <w:t xml:space="preserve"> support of children with SEN in mainstream provision</w:t>
      </w:r>
      <w:r w:rsidR="001478FB">
        <w:rPr>
          <w:sz w:val="22"/>
          <w:szCs w:val="22"/>
        </w:rPr>
        <w:t>s</w:t>
      </w:r>
      <w:r w:rsidR="005D0648">
        <w:rPr>
          <w:sz w:val="22"/>
          <w:szCs w:val="22"/>
        </w:rPr>
        <w:t xml:space="preserve"> will need to be incre</w:t>
      </w:r>
      <w:r w:rsidR="00A42D8B">
        <w:rPr>
          <w:sz w:val="22"/>
          <w:szCs w:val="22"/>
        </w:rPr>
        <w:t>ased</w:t>
      </w:r>
      <w:r w:rsidR="005D0648">
        <w:rPr>
          <w:sz w:val="22"/>
          <w:szCs w:val="22"/>
        </w:rPr>
        <w:t xml:space="preserve"> to </w:t>
      </w:r>
      <w:r w:rsidR="008C479B">
        <w:rPr>
          <w:sz w:val="22"/>
          <w:szCs w:val="22"/>
        </w:rPr>
        <w:t>respond effectively to</w:t>
      </w:r>
      <w:r w:rsidR="005D0648">
        <w:rPr>
          <w:sz w:val="22"/>
          <w:szCs w:val="22"/>
        </w:rPr>
        <w:t xml:space="preserve"> demand. </w:t>
      </w:r>
      <w:r w:rsidR="00414520">
        <w:rPr>
          <w:sz w:val="22"/>
          <w:szCs w:val="22"/>
        </w:rPr>
        <w:t>Support services</w:t>
      </w:r>
      <w:r w:rsidR="00F70F15">
        <w:rPr>
          <w:sz w:val="22"/>
          <w:szCs w:val="22"/>
        </w:rPr>
        <w:t xml:space="preserve"> </w:t>
      </w:r>
      <w:r w:rsidR="003C7EC7">
        <w:rPr>
          <w:sz w:val="22"/>
          <w:szCs w:val="22"/>
        </w:rPr>
        <w:t>f</w:t>
      </w:r>
      <w:r w:rsidR="00F70F15">
        <w:rPr>
          <w:sz w:val="22"/>
          <w:szCs w:val="22"/>
        </w:rPr>
        <w:t>or Early Years and</w:t>
      </w:r>
      <w:r w:rsidR="00414520">
        <w:rPr>
          <w:sz w:val="22"/>
          <w:szCs w:val="22"/>
        </w:rPr>
        <w:t xml:space="preserve"> for ASD children, in particular, are already under stress.</w:t>
      </w:r>
      <w:r w:rsidR="00F70F15">
        <w:rPr>
          <w:sz w:val="22"/>
          <w:szCs w:val="22"/>
        </w:rPr>
        <w:t xml:space="preserve"> The expansion of the </w:t>
      </w:r>
      <w:r w:rsidR="003C7EC7">
        <w:rPr>
          <w:sz w:val="22"/>
          <w:szCs w:val="22"/>
        </w:rPr>
        <w:t>2 year old free entitlement also has</w:t>
      </w:r>
      <w:r w:rsidR="00F70F15">
        <w:rPr>
          <w:sz w:val="22"/>
          <w:szCs w:val="22"/>
        </w:rPr>
        <w:t xml:space="preserve"> implications for costs to the High Needs Block, as the numbers of identified children with additional needs</w:t>
      </w:r>
      <w:r w:rsidR="003C7EC7">
        <w:rPr>
          <w:sz w:val="22"/>
          <w:szCs w:val="22"/>
        </w:rPr>
        <w:t>, and the length of time in provisions,</w:t>
      </w:r>
      <w:r w:rsidR="00F70F15">
        <w:rPr>
          <w:sz w:val="22"/>
          <w:szCs w:val="22"/>
        </w:rPr>
        <w:t xml:space="preserve"> increases. </w:t>
      </w:r>
    </w:p>
    <w:p w:rsidR="00EE0E31" w:rsidRDefault="00EE0E31" w:rsidP="0083779B">
      <w:pPr>
        <w:jc w:val="both"/>
        <w:rPr>
          <w:sz w:val="22"/>
          <w:szCs w:val="22"/>
        </w:rPr>
      </w:pPr>
    </w:p>
    <w:p w:rsidR="00A14BB7" w:rsidRPr="00FC52D9" w:rsidRDefault="00A14BB7" w:rsidP="0083779B">
      <w:pPr>
        <w:jc w:val="both"/>
        <w:rPr>
          <w:color w:val="FF0000"/>
          <w:sz w:val="22"/>
          <w:szCs w:val="22"/>
        </w:rPr>
      </w:pPr>
    </w:p>
    <w:p w:rsidR="00C177FF" w:rsidRPr="004130AE" w:rsidRDefault="00755625" w:rsidP="0094692E">
      <w:pPr>
        <w:jc w:val="both"/>
        <w:rPr>
          <w:b/>
          <w:sz w:val="22"/>
          <w:szCs w:val="22"/>
        </w:rPr>
      </w:pPr>
      <w:r>
        <w:rPr>
          <w:b/>
          <w:sz w:val="22"/>
          <w:szCs w:val="22"/>
        </w:rPr>
        <w:t>3</w:t>
      </w:r>
      <w:r w:rsidR="004130AE">
        <w:rPr>
          <w:b/>
          <w:sz w:val="22"/>
          <w:szCs w:val="22"/>
        </w:rPr>
        <w:t>.</w:t>
      </w:r>
      <w:r w:rsidR="004130AE">
        <w:rPr>
          <w:b/>
          <w:sz w:val="22"/>
          <w:szCs w:val="22"/>
        </w:rPr>
        <w:tab/>
        <w:t>R</w:t>
      </w:r>
      <w:r w:rsidR="004130AE" w:rsidRPr="004130AE">
        <w:rPr>
          <w:b/>
          <w:sz w:val="22"/>
          <w:szCs w:val="22"/>
        </w:rPr>
        <w:t>eminder</w:t>
      </w:r>
      <w:r w:rsidR="000C28D0">
        <w:rPr>
          <w:b/>
          <w:sz w:val="22"/>
          <w:szCs w:val="22"/>
        </w:rPr>
        <w:t xml:space="preserve"> of the </w:t>
      </w:r>
      <w:r w:rsidR="00B86A03">
        <w:rPr>
          <w:b/>
          <w:sz w:val="22"/>
          <w:szCs w:val="22"/>
        </w:rPr>
        <w:t>Key C</w:t>
      </w:r>
      <w:r w:rsidR="000C28D0">
        <w:rPr>
          <w:b/>
          <w:sz w:val="22"/>
          <w:szCs w:val="22"/>
        </w:rPr>
        <w:t>haracteristics of</w:t>
      </w:r>
      <w:r w:rsidR="004130AE" w:rsidRPr="004130AE">
        <w:rPr>
          <w:b/>
          <w:sz w:val="22"/>
          <w:szCs w:val="22"/>
        </w:rPr>
        <w:t xml:space="preserve"> the ‘Place-Plus’ Framework</w:t>
      </w:r>
      <w:r w:rsidR="00223E97">
        <w:rPr>
          <w:b/>
          <w:sz w:val="22"/>
          <w:szCs w:val="22"/>
        </w:rPr>
        <w:t xml:space="preserve">, </w:t>
      </w:r>
      <w:r w:rsidR="00223E97" w:rsidRPr="00020420">
        <w:rPr>
          <w:b/>
          <w:sz w:val="22"/>
          <w:szCs w:val="22"/>
          <w:u w:val="single"/>
        </w:rPr>
        <w:t>updated for 2015/16</w:t>
      </w:r>
    </w:p>
    <w:p w:rsidR="00EE0E31" w:rsidRDefault="00EE0E31" w:rsidP="0094692E">
      <w:pPr>
        <w:jc w:val="both"/>
        <w:rPr>
          <w:sz w:val="22"/>
          <w:szCs w:val="22"/>
        </w:rPr>
      </w:pPr>
    </w:p>
    <w:p w:rsidR="00EE0E31" w:rsidRDefault="00755625" w:rsidP="00EE0E31">
      <w:pPr>
        <w:jc w:val="both"/>
        <w:rPr>
          <w:sz w:val="22"/>
          <w:szCs w:val="22"/>
        </w:rPr>
      </w:pPr>
      <w:r>
        <w:rPr>
          <w:sz w:val="22"/>
          <w:szCs w:val="22"/>
        </w:rPr>
        <w:t>3</w:t>
      </w:r>
      <w:r w:rsidR="00EE0E31">
        <w:rPr>
          <w:sz w:val="22"/>
          <w:szCs w:val="22"/>
        </w:rPr>
        <w:t xml:space="preserve">.1 </w:t>
      </w:r>
      <w:r w:rsidR="00684CBE">
        <w:rPr>
          <w:sz w:val="22"/>
          <w:szCs w:val="22"/>
        </w:rPr>
        <w:t>Under ‘Place-</w:t>
      </w:r>
      <w:r w:rsidR="00C172BC">
        <w:rPr>
          <w:sz w:val="22"/>
          <w:szCs w:val="22"/>
        </w:rPr>
        <w:t>Plus’</w:t>
      </w:r>
      <w:r w:rsidR="00B86A03">
        <w:rPr>
          <w:sz w:val="22"/>
          <w:szCs w:val="22"/>
        </w:rPr>
        <w:t xml:space="preserve">, </w:t>
      </w:r>
      <w:r w:rsidR="00684CBE">
        <w:rPr>
          <w:sz w:val="22"/>
          <w:szCs w:val="22"/>
        </w:rPr>
        <w:t>d</w:t>
      </w:r>
      <w:r w:rsidR="00EE0E31">
        <w:rPr>
          <w:sz w:val="22"/>
          <w:szCs w:val="22"/>
        </w:rPr>
        <w:t>elegated budgets</w:t>
      </w:r>
      <w:r w:rsidR="00FC7918">
        <w:rPr>
          <w:sz w:val="22"/>
          <w:szCs w:val="22"/>
        </w:rPr>
        <w:t xml:space="preserve"> in 2015/16 will be</w:t>
      </w:r>
      <w:r w:rsidR="002B3601">
        <w:rPr>
          <w:sz w:val="22"/>
          <w:szCs w:val="22"/>
        </w:rPr>
        <w:t xml:space="preserve"> constructed in 2</w:t>
      </w:r>
      <w:r w:rsidR="00EE0E31">
        <w:rPr>
          <w:sz w:val="22"/>
          <w:szCs w:val="22"/>
        </w:rPr>
        <w:t xml:space="preserve"> parts:</w:t>
      </w:r>
    </w:p>
    <w:p w:rsidR="00EE0E31" w:rsidRDefault="00EE0E31" w:rsidP="00EE0E31">
      <w:pPr>
        <w:jc w:val="both"/>
        <w:rPr>
          <w:sz w:val="22"/>
          <w:szCs w:val="22"/>
        </w:rPr>
      </w:pPr>
    </w:p>
    <w:p w:rsidR="0021298E" w:rsidRDefault="00EE0E31" w:rsidP="006566CB">
      <w:pPr>
        <w:jc w:val="both"/>
        <w:rPr>
          <w:sz w:val="22"/>
          <w:szCs w:val="22"/>
        </w:rPr>
      </w:pPr>
      <w:r w:rsidRPr="006566CB">
        <w:rPr>
          <w:sz w:val="22"/>
          <w:szCs w:val="22"/>
          <w:u w:val="single"/>
        </w:rPr>
        <w:t>The Place Element</w:t>
      </w:r>
      <w:r>
        <w:rPr>
          <w:sz w:val="22"/>
          <w:szCs w:val="22"/>
        </w:rPr>
        <w:t xml:space="preserve"> - the value of the ‘Place’ element is set at </w:t>
      </w:r>
    </w:p>
    <w:p w:rsidR="0021298E" w:rsidRDefault="0021298E" w:rsidP="006566CB">
      <w:pPr>
        <w:jc w:val="both"/>
        <w:rPr>
          <w:sz w:val="22"/>
          <w:szCs w:val="22"/>
        </w:rPr>
      </w:pPr>
    </w:p>
    <w:p w:rsidR="004A7AD9" w:rsidRDefault="00EE0E31" w:rsidP="0021298E">
      <w:pPr>
        <w:pStyle w:val="ListParagraph"/>
        <w:numPr>
          <w:ilvl w:val="0"/>
          <w:numId w:val="21"/>
        </w:numPr>
        <w:jc w:val="both"/>
        <w:rPr>
          <w:sz w:val="22"/>
          <w:szCs w:val="22"/>
        </w:rPr>
      </w:pPr>
      <w:r w:rsidRPr="0021298E">
        <w:rPr>
          <w:sz w:val="22"/>
          <w:szCs w:val="22"/>
        </w:rPr>
        <w:t xml:space="preserve">£10,000 per place for specialist </w:t>
      </w:r>
      <w:smartTag w:uri="urn:schemas-microsoft-com:office:smarttags" w:element="stockticker">
        <w:r w:rsidRPr="0021298E">
          <w:rPr>
            <w:sz w:val="22"/>
            <w:szCs w:val="22"/>
          </w:rPr>
          <w:t>SEN</w:t>
        </w:r>
      </w:smartTag>
      <w:r w:rsidR="003327B5" w:rsidRPr="0021298E">
        <w:rPr>
          <w:sz w:val="22"/>
          <w:szCs w:val="22"/>
        </w:rPr>
        <w:t xml:space="preserve"> settings (pre</w:t>
      </w:r>
      <w:r w:rsidR="00733B8C" w:rsidRPr="0021298E">
        <w:rPr>
          <w:sz w:val="22"/>
          <w:szCs w:val="22"/>
        </w:rPr>
        <w:t xml:space="preserve"> and post</w:t>
      </w:r>
      <w:r w:rsidR="004A7AD9">
        <w:rPr>
          <w:sz w:val="22"/>
          <w:szCs w:val="22"/>
        </w:rPr>
        <w:t xml:space="preserve"> 16)</w:t>
      </w:r>
    </w:p>
    <w:p w:rsidR="004A7AD9" w:rsidRDefault="004A7AD9" w:rsidP="004A7AD9">
      <w:pPr>
        <w:pStyle w:val="ListParagraph"/>
        <w:jc w:val="both"/>
        <w:rPr>
          <w:sz w:val="22"/>
          <w:szCs w:val="22"/>
        </w:rPr>
      </w:pPr>
    </w:p>
    <w:p w:rsidR="004A7AD9" w:rsidRDefault="00733B8C" w:rsidP="0021298E">
      <w:pPr>
        <w:pStyle w:val="ListParagraph"/>
        <w:numPr>
          <w:ilvl w:val="0"/>
          <w:numId w:val="21"/>
        </w:numPr>
        <w:jc w:val="both"/>
        <w:rPr>
          <w:sz w:val="22"/>
          <w:szCs w:val="22"/>
        </w:rPr>
      </w:pPr>
      <w:r w:rsidRPr="0021298E">
        <w:rPr>
          <w:sz w:val="22"/>
          <w:szCs w:val="22"/>
        </w:rPr>
        <w:t>£10,000 per pre 16 place and £11,165 per post 16 place for resourced provisions attached to mainstream settings</w:t>
      </w:r>
    </w:p>
    <w:p w:rsidR="004A7AD9" w:rsidRPr="004A7AD9" w:rsidRDefault="004A7AD9" w:rsidP="004A7AD9">
      <w:pPr>
        <w:jc w:val="both"/>
        <w:rPr>
          <w:sz w:val="22"/>
          <w:szCs w:val="22"/>
        </w:rPr>
      </w:pPr>
    </w:p>
    <w:p w:rsidR="004A7AD9" w:rsidRDefault="00FC7918" w:rsidP="0021298E">
      <w:pPr>
        <w:pStyle w:val="ListParagraph"/>
        <w:numPr>
          <w:ilvl w:val="0"/>
          <w:numId w:val="21"/>
        </w:numPr>
        <w:jc w:val="both"/>
        <w:rPr>
          <w:sz w:val="22"/>
          <w:szCs w:val="22"/>
        </w:rPr>
      </w:pPr>
      <w:r w:rsidRPr="00140119">
        <w:rPr>
          <w:i/>
          <w:sz w:val="22"/>
          <w:szCs w:val="22"/>
        </w:rPr>
        <w:t>£10</w:t>
      </w:r>
      <w:r w:rsidR="00EE0E31" w:rsidRPr="00140119">
        <w:rPr>
          <w:i/>
          <w:sz w:val="22"/>
          <w:szCs w:val="22"/>
        </w:rPr>
        <w:t>,000 per place</w:t>
      </w:r>
      <w:r w:rsidR="00EE0E31" w:rsidRPr="0021298E">
        <w:rPr>
          <w:sz w:val="22"/>
          <w:szCs w:val="22"/>
        </w:rPr>
        <w:t xml:space="preserve"> for specialist Alternative Provision settings (including Pupil Referral Units).</w:t>
      </w:r>
    </w:p>
    <w:p w:rsidR="004A7AD9" w:rsidRPr="004A7AD9" w:rsidRDefault="00EE0E31" w:rsidP="004A7AD9">
      <w:pPr>
        <w:jc w:val="both"/>
        <w:rPr>
          <w:sz w:val="22"/>
          <w:szCs w:val="22"/>
        </w:rPr>
      </w:pPr>
      <w:r w:rsidRPr="004A7AD9">
        <w:rPr>
          <w:sz w:val="22"/>
          <w:szCs w:val="22"/>
        </w:rPr>
        <w:t xml:space="preserve"> </w:t>
      </w:r>
    </w:p>
    <w:p w:rsidR="003B5B79" w:rsidRPr="004A7AD9" w:rsidRDefault="006A166C" w:rsidP="004A7AD9">
      <w:pPr>
        <w:jc w:val="both"/>
        <w:rPr>
          <w:sz w:val="22"/>
          <w:szCs w:val="22"/>
        </w:rPr>
      </w:pPr>
      <w:r w:rsidRPr="004A7AD9">
        <w:rPr>
          <w:sz w:val="22"/>
          <w:szCs w:val="22"/>
        </w:rPr>
        <w:t xml:space="preserve">These values are set nationally by the </w:t>
      </w:r>
      <w:proofErr w:type="spellStart"/>
      <w:r w:rsidRPr="004A7AD9">
        <w:rPr>
          <w:sz w:val="22"/>
          <w:szCs w:val="22"/>
        </w:rPr>
        <w:t>DfE</w:t>
      </w:r>
      <w:proofErr w:type="spellEnd"/>
      <w:r w:rsidRPr="004A7AD9">
        <w:rPr>
          <w:sz w:val="22"/>
          <w:szCs w:val="22"/>
        </w:rPr>
        <w:t xml:space="preserve">. </w:t>
      </w:r>
      <w:r w:rsidR="00EE0E31" w:rsidRPr="004A7AD9">
        <w:rPr>
          <w:sz w:val="22"/>
          <w:szCs w:val="22"/>
        </w:rPr>
        <w:t>T</w:t>
      </w:r>
      <w:r w:rsidR="00B86A03" w:rsidRPr="004A7AD9">
        <w:rPr>
          <w:sz w:val="22"/>
          <w:szCs w:val="22"/>
        </w:rPr>
        <w:t>he number of places</w:t>
      </w:r>
      <w:r w:rsidR="00E01BC9">
        <w:rPr>
          <w:sz w:val="22"/>
          <w:szCs w:val="22"/>
        </w:rPr>
        <w:t xml:space="preserve"> per setting will be</w:t>
      </w:r>
      <w:r w:rsidR="002044F1" w:rsidRPr="004A7AD9">
        <w:rPr>
          <w:sz w:val="22"/>
          <w:szCs w:val="22"/>
        </w:rPr>
        <w:t xml:space="preserve"> set with</w:t>
      </w:r>
      <w:r w:rsidR="00EE0E31" w:rsidRPr="004A7AD9">
        <w:rPr>
          <w:sz w:val="22"/>
          <w:szCs w:val="22"/>
        </w:rPr>
        <w:t xml:space="preserve"> the Local Authority before the star</w:t>
      </w:r>
      <w:r w:rsidR="003327B5" w:rsidRPr="004A7AD9">
        <w:rPr>
          <w:sz w:val="22"/>
          <w:szCs w:val="22"/>
        </w:rPr>
        <w:t>t of the</w:t>
      </w:r>
      <w:r w:rsidR="00140119">
        <w:rPr>
          <w:sz w:val="22"/>
          <w:szCs w:val="22"/>
        </w:rPr>
        <w:t xml:space="preserve"> 2015/16</w:t>
      </w:r>
      <w:r w:rsidR="003327B5" w:rsidRPr="004A7AD9">
        <w:rPr>
          <w:sz w:val="22"/>
          <w:szCs w:val="22"/>
        </w:rPr>
        <w:t xml:space="preserve"> financia</w:t>
      </w:r>
      <w:r w:rsidR="001B447B" w:rsidRPr="004A7AD9">
        <w:rPr>
          <w:sz w:val="22"/>
          <w:szCs w:val="22"/>
        </w:rPr>
        <w:t>l year</w:t>
      </w:r>
      <w:r w:rsidR="00EE0E31" w:rsidRPr="004A7AD9">
        <w:rPr>
          <w:sz w:val="22"/>
          <w:szCs w:val="22"/>
        </w:rPr>
        <w:t>.</w:t>
      </w:r>
      <w:r w:rsidR="00144BE9" w:rsidRPr="004A7AD9">
        <w:rPr>
          <w:sz w:val="22"/>
          <w:szCs w:val="22"/>
        </w:rPr>
        <w:t xml:space="preserve"> </w:t>
      </w:r>
    </w:p>
    <w:p w:rsidR="003B5B79" w:rsidRDefault="003B5B79" w:rsidP="006566CB">
      <w:pPr>
        <w:jc w:val="both"/>
        <w:rPr>
          <w:sz w:val="22"/>
          <w:szCs w:val="22"/>
        </w:rPr>
      </w:pPr>
    </w:p>
    <w:p w:rsidR="006566CB" w:rsidRDefault="00144BE9" w:rsidP="006566CB">
      <w:pPr>
        <w:jc w:val="both"/>
        <w:rPr>
          <w:sz w:val="22"/>
          <w:szCs w:val="22"/>
        </w:rPr>
      </w:pPr>
      <w:r>
        <w:rPr>
          <w:sz w:val="22"/>
          <w:szCs w:val="22"/>
        </w:rPr>
        <w:t>The</w:t>
      </w:r>
      <w:r w:rsidR="006566CB">
        <w:rPr>
          <w:sz w:val="22"/>
          <w:szCs w:val="22"/>
        </w:rPr>
        <w:t xml:space="preserve"> £10,000</w:t>
      </w:r>
      <w:r w:rsidR="00E01BC9">
        <w:rPr>
          <w:sz w:val="22"/>
          <w:szCs w:val="22"/>
        </w:rPr>
        <w:t xml:space="preserve"> / £11,165</w:t>
      </w:r>
      <w:r w:rsidR="006566CB">
        <w:rPr>
          <w:sz w:val="22"/>
          <w:szCs w:val="22"/>
        </w:rPr>
        <w:t xml:space="preserve"> value</w:t>
      </w:r>
      <w:r w:rsidR="004A7AD9">
        <w:rPr>
          <w:sz w:val="22"/>
          <w:szCs w:val="22"/>
        </w:rPr>
        <w:t>s are</w:t>
      </w:r>
      <w:r w:rsidR="006566CB">
        <w:rPr>
          <w:sz w:val="22"/>
          <w:szCs w:val="22"/>
        </w:rPr>
        <w:t xml:space="preserve"> made up of:</w:t>
      </w:r>
    </w:p>
    <w:p w:rsidR="006566CB" w:rsidRDefault="006566CB" w:rsidP="006566CB">
      <w:pPr>
        <w:ind w:left="360"/>
        <w:jc w:val="both"/>
        <w:rPr>
          <w:sz w:val="22"/>
          <w:szCs w:val="22"/>
        </w:rPr>
      </w:pPr>
    </w:p>
    <w:p w:rsidR="006566CB" w:rsidRDefault="001103E2" w:rsidP="00C1738E">
      <w:pPr>
        <w:numPr>
          <w:ilvl w:val="0"/>
          <w:numId w:val="3"/>
        </w:numPr>
        <w:jc w:val="both"/>
        <w:rPr>
          <w:sz w:val="22"/>
          <w:szCs w:val="22"/>
        </w:rPr>
      </w:pPr>
      <w:r>
        <w:rPr>
          <w:sz w:val="22"/>
          <w:szCs w:val="22"/>
        </w:rPr>
        <w:t>a basic £4,000</w:t>
      </w:r>
      <w:r w:rsidR="004A7AD9">
        <w:rPr>
          <w:sz w:val="22"/>
          <w:szCs w:val="22"/>
        </w:rPr>
        <w:t xml:space="preserve"> (</w:t>
      </w:r>
      <w:r w:rsidR="00FC7918">
        <w:rPr>
          <w:sz w:val="22"/>
          <w:szCs w:val="22"/>
        </w:rPr>
        <w:t xml:space="preserve">for </w:t>
      </w:r>
      <w:r w:rsidR="004A7AD9">
        <w:rPr>
          <w:sz w:val="22"/>
          <w:szCs w:val="22"/>
        </w:rPr>
        <w:t>£10,000),</w:t>
      </w:r>
      <w:r w:rsidR="002279E0">
        <w:rPr>
          <w:sz w:val="22"/>
          <w:szCs w:val="22"/>
        </w:rPr>
        <w:t xml:space="preserve"> £5,165</w:t>
      </w:r>
      <w:r w:rsidR="004A7AD9">
        <w:rPr>
          <w:sz w:val="22"/>
          <w:szCs w:val="22"/>
        </w:rPr>
        <w:t xml:space="preserve"> (</w:t>
      </w:r>
      <w:r w:rsidR="00FC7918">
        <w:rPr>
          <w:sz w:val="22"/>
          <w:szCs w:val="22"/>
        </w:rPr>
        <w:t xml:space="preserve">for </w:t>
      </w:r>
      <w:r w:rsidR="00E01BC9">
        <w:rPr>
          <w:sz w:val="22"/>
          <w:szCs w:val="22"/>
        </w:rPr>
        <w:t xml:space="preserve">£11,165), </w:t>
      </w:r>
      <w:r w:rsidR="00144BE9">
        <w:rPr>
          <w:sz w:val="22"/>
          <w:szCs w:val="22"/>
        </w:rPr>
        <w:t>which is the</w:t>
      </w:r>
      <w:r>
        <w:rPr>
          <w:sz w:val="22"/>
          <w:szCs w:val="22"/>
        </w:rPr>
        <w:t xml:space="preserve"> fundin</w:t>
      </w:r>
      <w:r w:rsidR="00B86A03">
        <w:rPr>
          <w:sz w:val="22"/>
          <w:szCs w:val="22"/>
        </w:rPr>
        <w:t>g that all pupils attract</w:t>
      </w:r>
      <w:r w:rsidR="00144BE9">
        <w:rPr>
          <w:sz w:val="22"/>
          <w:szCs w:val="22"/>
        </w:rPr>
        <w:t xml:space="preserve"> within </w:t>
      </w:r>
      <w:r w:rsidR="00B86A03">
        <w:rPr>
          <w:sz w:val="22"/>
          <w:szCs w:val="22"/>
        </w:rPr>
        <w:t>formula funding</w:t>
      </w:r>
      <w:r w:rsidR="006566CB">
        <w:rPr>
          <w:sz w:val="22"/>
          <w:szCs w:val="22"/>
        </w:rPr>
        <w:t>,</w:t>
      </w:r>
    </w:p>
    <w:p w:rsidR="006566CB" w:rsidRDefault="006566CB" w:rsidP="006566CB">
      <w:pPr>
        <w:ind w:left="360"/>
        <w:jc w:val="both"/>
        <w:rPr>
          <w:sz w:val="22"/>
          <w:szCs w:val="22"/>
        </w:rPr>
      </w:pPr>
    </w:p>
    <w:p w:rsidR="00EE0E31" w:rsidRDefault="002279E0" w:rsidP="00C1738E">
      <w:pPr>
        <w:numPr>
          <w:ilvl w:val="0"/>
          <w:numId w:val="3"/>
        </w:numPr>
        <w:tabs>
          <w:tab w:val="num" w:pos="360"/>
        </w:tabs>
        <w:jc w:val="both"/>
        <w:rPr>
          <w:sz w:val="22"/>
          <w:szCs w:val="22"/>
        </w:rPr>
      </w:pPr>
      <w:r>
        <w:rPr>
          <w:sz w:val="22"/>
          <w:szCs w:val="22"/>
        </w:rPr>
        <w:t>an additional £6,000</w:t>
      </w:r>
      <w:r w:rsidR="004A7AD9">
        <w:rPr>
          <w:sz w:val="22"/>
          <w:szCs w:val="22"/>
        </w:rPr>
        <w:t xml:space="preserve"> for additional needs,</w:t>
      </w:r>
      <w:r w:rsidR="00530AC9">
        <w:rPr>
          <w:sz w:val="22"/>
          <w:szCs w:val="22"/>
        </w:rPr>
        <w:t xml:space="preserve"> which</w:t>
      </w:r>
      <w:r w:rsidR="004A7AD9">
        <w:rPr>
          <w:sz w:val="22"/>
          <w:szCs w:val="22"/>
        </w:rPr>
        <w:t xml:space="preserve"> in the mainstream primary and secondary funding formula</w:t>
      </w:r>
      <w:r w:rsidR="00530AC9">
        <w:rPr>
          <w:sz w:val="22"/>
          <w:szCs w:val="22"/>
        </w:rPr>
        <w:t xml:space="preserve"> is allocated</w:t>
      </w:r>
      <w:r w:rsidR="00B86A03">
        <w:rPr>
          <w:sz w:val="22"/>
          <w:szCs w:val="22"/>
        </w:rPr>
        <w:t xml:space="preserve"> within already</w:t>
      </w:r>
      <w:r w:rsidR="001103E2">
        <w:rPr>
          <w:sz w:val="22"/>
          <w:szCs w:val="22"/>
        </w:rPr>
        <w:t xml:space="preserve"> de</w:t>
      </w:r>
      <w:r w:rsidR="00FF614C">
        <w:rPr>
          <w:sz w:val="22"/>
          <w:szCs w:val="22"/>
        </w:rPr>
        <w:t>legated budgets</w:t>
      </w:r>
      <w:r w:rsidR="00992CE9">
        <w:rPr>
          <w:sz w:val="22"/>
          <w:szCs w:val="22"/>
        </w:rPr>
        <w:t>,</w:t>
      </w:r>
      <w:r w:rsidR="00144BE9">
        <w:rPr>
          <w:sz w:val="22"/>
          <w:szCs w:val="22"/>
        </w:rPr>
        <w:t xml:space="preserve"> </w:t>
      </w:r>
      <w:r w:rsidR="001103E2">
        <w:rPr>
          <w:sz w:val="22"/>
          <w:szCs w:val="22"/>
        </w:rPr>
        <w:t>calculated on measures of</w:t>
      </w:r>
      <w:r w:rsidR="00144BE9">
        <w:rPr>
          <w:sz w:val="22"/>
          <w:szCs w:val="22"/>
        </w:rPr>
        <w:t xml:space="preserve"> additional need</w:t>
      </w:r>
      <w:r w:rsidR="003B5B79">
        <w:rPr>
          <w:sz w:val="22"/>
          <w:szCs w:val="22"/>
        </w:rPr>
        <w:t xml:space="preserve"> such as Free School Meals, IDACI and</w:t>
      </w:r>
      <w:r w:rsidR="001103E2">
        <w:rPr>
          <w:sz w:val="22"/>
          <w:szCs w:val="22"/>
        </w:rPr>
        <w:t xml:space="preserve"> low attainment.</w:t>
      </w:r>
    </w:p>
    <w:p w:rsidR="00EE0E31" w:rsidRDefault="00EE0E31" w:rsidP="00EE0E31">
      <w:pPr>
        <w:ind w:left="360"/>
        <w:jc w:val="both"/>
        <w:rPr>
          <w:sz w:val="22"/>
          <w:szCs w:val="22"/>
        </w:rPr>
      </w:pPr>
    </w:p>
    <w:p w:rsidR="00733B8C" w:rsidRPr="00E443B1" w:rsidRDefault="00EE0E31" w:rsidP="006566CB">
      <w:pPr>
        <w:jc w:val="both"/>
        <w:rPr>
          <w:sz w:val="22"/>
          <w:szCs w:val="22"/>
        </w:rPr>
      </w:pPr>
      <w:r w:rsidRPr="006566CB">
        <w:rPr>
          <w:sz w:val="22"/>
          <w:szCs w:val="22"/>
          <w:u w:val="single"/>
        </w:rPr>
        <w:t>The Plus Elemen</w:t>
      </w:r>
      <w:r w:rsidR="00684CBE" w:rsidRPr="006566CB">
        <w:rPr>
          <w:sz w:val="22"/>
          <w:szCs w:val="22"/>
          <w:u w:val="single"/>
        </w:rPr>
        <w:t>t</w:t>
      </w:r>
      <w:r w:rsidR="00684CBE">
        <w:rPr>
          <w:sz w:val="22"/>
          <w:szCs w:val="22"/>
        </w:rPr>
        <w:t xml:space="preserve"> –</w:t>
      </w:r>
      <w:r w:rsidR="00FF614C">
        <w:rPr>
          <w:sz w:val="22"/>
          <w:szCs w:val="22"/>
        </w:rPr>
        <w:t xml:space="preserve"> t</w:t>
      </w:r>
      <w:r w:rsidR="00684CBE">
        <w:rPr>
          <w:sz w:val="22"/>
          <w:szCs w:val="22"/>
        </w:rPr>
        <w:t xml:space="preserve">he </w:t>
      </w:r>
      <w:r w:rsidR="00992CE9">
        <w:rPr>
          <w:sz w:val="22"/>
          <w:szCs w:val="22"/>
        </w:rPr>
        <w:t>top up, above the value of the P</w:t>
      </w:r>
      <w:r w:rsidR="00733B8C">
        <w:rPr>
          <w:sz w:val="22"/>
          <w:szCs w:val="22"/>
        </w:rPr>
        <w:t>lace element,</w:t>
      </w:r>
      <w:r w:rsidR="00684CBE">
        <w:rPr>
          <w:sz w:val="22"/>
          <w:szCs w:val="22"/>
        </w:rPr>
        <w:t xml:space="preserve"> which is allocated on an individual pupil basis. </w:t>
      </w:r>
      <w:r w:rsidR="00E443B1">
        <w:rPr>
          <w:sz w:val="22"/>
          <w:szCs w:val="22"/>
        </w:rPr>
        <w:t>This</w:t>
      </w:r>
      <w:r w:rsidR="00E01BC9">
        <w:rPr>
          <w:sz w:val="22"/>
          <w:szCs w:val="22"/>
        </w:rPr>
        <w:t xml:space="preserve"> will be</w:t>
      </w:r>
      <w:r w:rsidR="00684CBE">
        <w:rPr>
          <w:sz w:val="22"/>
          <w:szCs w:val="22"/>
        </w:rPr>
        <w:t xml:space="preserve"> calculated on an assessment of the additional needs of individual pupils</w:t>
      </w:r>
      <w:r w:rsidR="001A483D">
        <w:rPr>
          <w:sz w:val="22"/>
          <w:szCs w:val="22"/>
        </w:rPr>
        <w:t xml:space="preserve"> (</w:t>
      </w:r>
      <w:r w:rsidR="001B447B">
        <w:rPr>
          <w:sz w:val="22"/>
          <w:szCs w:val="22"/>
        </w:rPr>
        <w:t>we use our</w:t>
      </w:r>
      <w:r w:rsidR="00530AC9">
        <w:rPr>
          <w:sz w:val="22"/>
          <w:szCs w:val="22"/>
        </w:rPr>
        <w:t xml:space="preserve"> </w:t>
      </w:r>
      <w:r w:rsidR="00530AC9">
        <w:rPr>
          <w:sz w:val="22"/>
          <w:szCs w:val="22"/>
        </w:rPr>
        <w:lastRenderedPageBreak/>
        <w:t>7 R</w:t>
      </w:r>
      <w:r w:rsidR="001A483D">
        <w:rPr>
          <w:sz w:val="22"/>
          <w:szCs w:val="22"/>
        </w:rPr>
        <w:t>anges Model</w:t>
      </w:r>
      <w:r w:rsidR="00235F05">
        <w:rPr>
          <w:sz w:val="22"/>
          <w:szCs w:val="22"/>
        </w:rPr>
        <w:t xml:space="preserve"> – see </w:t>
      </w:r>
      <w:r w:rsidR="00235F05" w:rsidRPr="00E13360">
        <w:rPr>
          <w:sz w:val="22"/>
          <w:szCs w:val="22"/>
        </w:rPr>
        <w:t>Appendix 2</w:t>
      </w:r>
      <w:r w:rsidR="001A483D" w:rsidRPr="00E13360">
        <w:rPr>
          <w:sz w:val="22"/>
          <w:szCs w:val="22"/>
        </w:rPr>
        <w:t>)</w:t>
      </w:r>
      <w:r w:rsidR="00E01BC9" w:rsidRPr="00E13360">
        <w:rPr>
          <w:sz w:val="22"/>
          <w:szCs w:val="22"/>
        </w:rPr>
        <w:t xml:space="preserve"> and </w:t>
      </w:r>
      <w:r w:rsidR="00E01BC9">
        <w:rPr>
          <w:sz w:val="22"/>
          <w:szCs w:val="22"/>
        </w:rPr>
        <w:t>allocations will be</w:t>
      </w:r>
      <w:r w:rsidR="00684CBE">
        <w:rPr>
          <w:sz w:val="22"/>
          <w:szCs w:val="22"/>
        </w:rPr>
        <w:t xml:space="preserve"> re-calculated, on a monthly basis, to take account of the movement of</w:t>
      </w:r>
      <w:r w:rsidR="00530AC9">
        <w:rPr>
          <w:sz w:val="22"/>
          <w:szCs w:val="22"/>
        </w:rPr>
        <w:t xml:space="preserve"> children</w:t>
      </w:r>
      <w:r w:rsidR="00684CBE">
        <w:rPr>
          <w:sz w:val="22"/>
          <w:szCs w:val="22"/>
        </w:rPr>
        <w:t xml:space="preserve">. </w:t>
      </w:r>
      <w:r w:rsidR="002B3601">
        <w:rPr>
          <w:sz w:val="22"/>
          <w:szCs w:val="22"/>
        </w:rPr>
        <w:t>The Plus element is the only vehicle through which differences in costs associated with settings (rather than pupils) can</w:t>
      </w:r>
      <w:r w:rsidR="00992CE9">
        <w:rPr>
          <w:sz w:val="22"/>
          <w:szCs w:val="22"/>
        </w:rPr>
        <w:t xml:space="preserve"> also</w:t>
      </w:r>
      <w:r w:rsidR="002B3601">
        <w:rPr>
          <w:sz w:val="22"/>
          <w:szCs w:val="22"/>
        </w:rPr>
        <w:t xml:space="preserve"> be recognised e.g. split sites, smaller settings</w:t>
      </w:r>
      <w:r w:rsidR="006A166C">
        <w:rPr>
          <w:sz w:val="22"/>
          <w:szCs w:val="22"/>
        </w:rPr>
        <w:t xml:space="preserve">. It is for local authorities, in </w:t>
      </w:r>
      <w:r w:rsidR="00EC59E4">
        <w:rPr>
          <w:sz w:val="22"/>
          <w:szCs w:val="22"/>
        </w:rPr>
        <w:t>consultation with their providers</w:t>
      </w:r>
      <w:r w:rsidR="006A166C">
        <w:rPr>
          <w:sz w:val="22"/>
          <w:szCs w:val="22"/>
        </w:rPr>
        <w:t>, to set the values of the</w:t>
      </w:r>
      <w:r w:rsidR="00530AC9">
        <w:rPr>
          <w:sz w:val="22"/>
          <w:szCs w:val="22"/>
        </w:rPr>
        <w:t>ir</w:t>
      </w:r>
      <w:r w:rsidR="006A166C">
        <w:rPr>
          <w:sz w:val="22"/>
          <w:szCs w:val="22"/>
        </w:rPr>
        <w:t xml:space="preserve"> Plus element</w:t>
      </w:r>
      <w:r w:rsidR="00530AC9">
        <w:rPr>
          <w:sz w:val="22"/>
          <w:szCs w:val="22"/>
        </w:rPr>
        <w:t>s</w:t>
      </w:r>
      <w:r w:rsidR="006A166C">
        <w:rPr>
          <w:sz w:val="22"/>
          <w:szCs w:val="22"/>
        </w:rPr>
        <w:t>.</w:t>
      </w:r>
      <w:r w:rsidR="00530AC9">
        <w:rPr>
          <w:sz w:val="22"/>
          <w:szCs w:val="22"/>
        </w:rPr>
        <w:t xml:space="preserve"> </w:t>
      </w:r>
      <w:r w:rsidR="00EC59E4">
        <w:rPr>
          <w:sz w:val="22"/>
          <w:szCs w:val="22"/>
        </w:rPr>
        <w:t>Plus element</w:t>
      </w:r>
      <w:r w:rsidR="00E01BC9">
        <w:rPr>
          <w:sz w:val="22"/>
          <w:szCs w:val="22"/>
        </w:rPr>
        <w:t>s will be</w:t>
      </w:r>
      <w:r w:rsidR="00EC59E4">
        <w:rPr>
          <w:sz w:val="22"/>
          <w:szCs w:val="22"/>
        </w:rPr>
        <w:t xml:space="preserve"> paid to</w:t>
      </w:r>
      <w:r w:rsidR="00A371EE">
        <w:rPr>
          <w:sz w:val="22"/>
          <w:szCs w:val="22"/>
        </w:rPr>
        <w:t xml:space="preserve"> setting</w:t>
      </w:r>
      <w:r w:rsidR="00EC59E4">
        <w:rPr>
          <w:sz w:val="22"/>
          <w:szCs w:val="22"/>
        </w:rPr>
        <w:t>s</w:t>
      </w:r>
      <w:r w:rsidR="00A371EE">
        <w:rPr>
          <w:sz w:val="22"/>
          <w:szCs w:val="22"/>
        </w:rPr>
        <w:t xml:space="preserve"> by the commissioning authority, which in most instances is the Local Authority.</w:t>
      </w:r>
      <w:r w:rsidR="00E443B1">
        <w:rPr>
          <w:sz w:val="22"/>
          <w:szCs w:val="22"/>
        </w:rPr>
        <w:t xml:space="preserve"> For Further Education settings </w:t>
      </w:r>
      <w:r w:rsidR="005C10D4">
        <w:rPr>
          <w:sz w:val="22"/>
          <w:szCs w:val="22"/>
        </w:rPr>
        <w:t>for the 2014/15 academic year, Bradford has implemented a</w:t>
      </w:r>
      <w:r w:rsidR="00E443B1">
        <w:rPr>
          <w:sz w:val="22"/>
          <w:szCs w:val="22"/>
        </w:rPr>
        <w:t xml:space="preserve"> transitional initial step towards a formula Ranges based approach to the calculation of Plus </w:t>
      </w:r>
      <w:r w:rsidR="005C10D4">
        <w:rPr>
          <w:sz w:val="22"/>
          <w:szCs w:val="22"/>
        </w:rPr>
        <w:t>funding</w:t>
      </w:r>
      <w:r w:rsidR="00E443B1">
        <w:rPr>
          <w:sz w:val="22"/>
          <w:szCs w:val="22"/>
        </w:rPr>
        <w:t>.</w:t>
      </w:r>
      <w:r w:rsidR="00E01BC9">
        <w:rPr>
          <w:sz w:val="22"/>
          <w:szCs w:val="22"/>
        </w:rPr>
        <w:t xml:space="preserve"> </w:t>
      </w:r>
      <w:r w:rsidR="00140119">
        <w:rPr>
          <w:sz w:val="22"/>
          <w:szCs w:val="22"/>
        </w:rPr>
        <w:t>We aim for</w:t>
      </w:r>
      <w:r w:rsidR="00E01BC9">
        <w:rPr>
          <w:sz w:val="22"/>
          <w:szCs w:val="22"/>
        </w:rPr>
        <w:t xml:space="preserve"> a longer </w:t>
      </w:r>
      <w:r w:rsidR="00140119">
        <w:rPr>
          <w:sz w:val="22"/>
          <w:szCs w:val="22"/>
        </w:rPr>
        <w:t>term more holistic approach to</w:t>
      </w:r>
      <w:r w:rsidR="00E01BC9">
        <w:rPr>
          <w:sz w:val="22"/>
          <w:szCs w:val="22"/>
        </w:rPr>
        <w:t xml:space="preserve"> be implemented for the start of the 2015/16 academic year.</w:t>
      </w:r>
    </w:p>
    <w:p w:rsidR="00D91E66" w:rsidRDefault="00D91E66" w:rsidP="00C172BC">
      <w:pPr>
        <w:jc w:val="both"/>
        <w:rPr>
          <w:sz w:val="22"/>
          <w:szCs w:val="22"/>
        </w:rPr>
      </w:pPr>
    </w:p>
    <w:p w:rsidR="00C172BC" w:rsidRDefault="0021298E" w:rsidP="00C172BC">
      <w:pPr>
        <w:jc w:val="both"/>
        <w:rPr>
          <w:sz w:val="22"/>
          <w:szCs w:val="22"/>
        </w:rPr>
      </w:pPr>
      <w:r>
        <w:rPr>
          <w:sz w:val="22"/>
          <w:szCs w:val="22"/>
        </w:rPr>
        <w:t>3</w:t>
      </w:r>
      <w:r w:rsidR="00EE0E31">
        <w:rPr>
          <w:sz w:val="22"/>
          <w:szCs w:val="22"/>
        </w:rPr>
        <w:t xml:space="preserve">.2 </w:t>
      </w:r>
      <w:r w:rsidR="002B3601">
        <w:rPr>
          <w:sz w:val="22"/>
          <w:szCs w:val="22"/>
        </w:rPr>
        <w:t>Other key characteristics of ‘Pl</w:t>
      </w:r>
      <w:r w:rsidR="00235BF6">
        <w:rPr>
          <w:sz w:val="22"/>
          <w:szCs w:val="22"/>
        </w:rPr>
        <w:t>ace-Plus’</w:t>
      </w:r>
      <w:r w:rsidR="002B3601">
        <w:rPr>
          <w:sz w:val="22"/>
          <w:szCs w:val="22"/>
        </w:rPr>
        <w:t xml:space="preserve"> are:</w:t>
      </w:r>
    </w:p>
    <w:p w:rsidR="00C172BC" w:rsidRDefault="00C172BC" w:rsidP="00C172BC">
      <w:pPr>
        <w:jc w:val="both"/>
        <w:rPr>
          <w:sz w:val="22"/>
          <w:szCs w:val="22"/>
        </w:rPr>
      </w:pPr>
    </w:p>
    <w:p w:rsidR="00766DD1" w:rsidRDefault="00766DD1" w:rsidP="00C1738E">
      <w:pPr>
        <w:numPr>
          <w:ilvl w:val="0"/>
          <w:numId w:val="4"/>
        </w:numPr>
        <w:jc w:val="both"/>
        <w:rPr>
          <w:sz w:val="22"/>
          <w:szCs w:val="22"/>
        </w:rPr>
      </w:pPr>
      <w:r>
        <w:rPr>
          <w:sz w:val="22"/>
          <w:szCs w:val="22"/>
        </w:rPr>
        <w:t xml:space="preserve">For academies and other </w:t>
      </w:r>
      <w:r w:rsidR="00CC1D5D">
        <w:rPr>
          <w:sz w:val="22"/>
          <w:szCs w:val="22"/>
        </w:rPr>
        <w:t>non-maintained</w:t>
      </w:r>
      <w:r w:rsidR="006C21B2">
        <w:rPr>
          <w:sz w:val="22"/>
          <w:szCs w:val="22"/>
        </w:rPr>
        <w:t xml:space="preserve"> providers, including </w:t>
      </w:r>
      <w:r>
        <w:rPr>
          <w:sz w:val="22"/>
          <w:szCs w:val="22"/>
        </w:rPr>
        <w:t>Further Educatio</w:t>
      </w:r>
      <w:r w:rsidR="00783B16">
        <w:rPr>
          <w:sz w:val="22"/>
          <w:szCs w:val="22"/>
        </w:rPr>
        <w:t>n settings, the Place element will be</w:t>
      </w:r>
      <w:r>
        <w:rPr>
          <w:sz w:val="22"/>
          <w:szCs w:val="22"/>
        </w:rPr>
        <w:t xml:space="preserve"> a</w:t>
      </w:r>
      <w:r w:rsidR="006C21B2">
        <w:rPr>
          <w:sz w:val="22"/>
          <w:szCs w:val="22"/>
        </w:rPr>
        <w:t>llocated directly</w:t>
      </w:r>
      <w:r>
        <w:rPr>
          <w:sz w:val="22"/>
          <w:szCs w:val="22"/>
        </w:rPr>
        <w:t xml:space="preserve"> by the Education Funding Agency, rat</w:t>
      </w:r>
      <w:r w:rsidR="000745CD">
        <w:rPr>
          <w:sz w:val="22"/>
          <w:szCs w:val="22"/>
        </w:rPr>
        <w:t>her than by the Local Authority</w:t>
      </w:r>
      <w:r w:rsidR="00E12D5F">
        <w:rPr>
          <w:sz w:val="22"/>
          <w:szCs w:val="22"/>
        </w:rPr>
        <w:t>.</w:t>
      </w:r>
    </w:p>
    <w:p w:rsidR="00766DD1" w:rsidRDefault="00766DD1" w:rsidP="00766DD1">
      <w:pPr>
        <w:ind w:left="360"/>
        <w:jc w:val="both"/>
        <w:rPr>
          <w:sz w:val="22"/>
          <w:szCs w:val="22"/>
        </w:rPr>
      </w:pPr>
    </w:p>
    <w:p w:rsidR="008F3CD1" w:rsidRDefault="00992CE9" w:rsidP="00C1738E">
      <w:pPr>
        <w:numPr>
          <w:ilvl w:val="0"/>
          <w:numId w:val="4"/>
        </w:numPr>
        <w:jc w:val="both"/>
        <w:rPr>
          <w:sz w:val="22"/>
          <w:szCs w:val="22"/>
        </w:rPr>
      </w:pPr>
      <w:r>
        <w:rPr>
          <w:sz w:val="22"/>
          <w:szCs w:val="22"/>
        </w:rPr>
        <w:t xml:space="preserve">Specific </w:t>
      </w:r>
      <w:r w:rsidR="005C10D4">
        <w:rPr>
          <w:sz w:val="22"/>
          <w:szCs w:val="22"/>
        </w:rPr>
        <w:t>stand-alone</w:t>
      </w:r>
      <w:r w:rsidR="007F3CA5">
        <w:rPr>
          <w:sz w:val="22"/>
          <w:szCs w:val="22"/>
        </w:rPr>
        <w:t xml:space="preserve"> </w:t>
      </w:r>
      <w:r w:rsidR="005C10D4">
        <w:rPr>
          <w:sz w:val="22"/>
          <w:szCs w:val="22"/>
        </w:rPr>
        <w:t xml:space="preserve">maintained </w:t>
      </w:r>
      <w:r w:rsidR="007F3CA5">
        <w:rPr>
          <w:sz w:val="22"/>
          <w:szCs w:val="22"/>
        </w:rPr>
        <w:t xml:space="preserve">high needs providers i.e. Special schools and PRUs, </w:t>
      </w:r>
      <w:r w:rsidR="0037594A">
        <w:rPr>
          <w:sz w:val="22"/>
          <w:szCs w:val="22"/>
        </w:rPr>
        <w:t xml:space="preserve">are </w:t>
      </w:r>
      <w:r w:rsidR="00783B16">
        <w:rPr>
          <w:sz w:val="22"/>
          <w:szCs w:val="22"/>
        </w:rPr>
        <w:t xml:space="preserve">still </w:t>
      </w:r>
      <w:r w:rsidR="0037594A">
        <w:rPr>
          <w:sz w:val="22"/>
          <w:szCs w:val="22"/>
        </w:rPr>
        <w:t xml:space="preserve">not able to access de-delegated or centrally managed funds within the DSG in the way that they did prior to </w:t>
      </w:r>
      <w:smartTag w:uri="urn:schemas-microsoft-com:office:smarttags" w:element="date">
        <w:smartTagPr>
          <w:attr w:name="Year" w:val="2013"/>
          <w:attr w:name="Day" w:val="1"/>
          <w:attr w:name="Month" w:val="4"/>
        </w:smartTagPr>
        <w:r w:rsidR="0037594A">
          <w:rPr>
            <w:sz w:val="22"/>
            <w:szCs w:val="22"/>
          </w:rPr>
          <w:t>1 April 2013</w:t>
        </w:r>
      </w:smartTag>
      <w:r w:rsidR="0037594A">
        <w:rPr>
          <w:sz w:val="22"/>
          <w:szCs w:val="22"/>
        </w:rPr>
        <w:t>. Thi</w:t>
      </w:r>
      <w:r>
        <w:rPr>
          <w:sz w:val="22"/>
          <w:szCs w:val="22"/>
        </w:rPr>
        <w:t>s means that, in areas such as</w:t>
      </w:r>
      <w:r w:rsidR="0037594A">
        <w:rPr>
          <w:sz w:val="22"/>
          <w:szCs w:val="22"/>
        </w:rPr>
        <w:t xml:space="preserve"> maternity cover</w:t>
      </w:r>
      <w:r>
        <w:rPr>
          <w:sz w:val="22"/>
          <w:szCs w:val="22"/>
        </w:rPr>
        <w:t xml:space="preserve"> for employees and</w:t>
      </w:r>
      <w:r w:rsidR="0037594A">
        <w:rPr>
          <w:sz w:val="22"/>
          <w:szCs w:val="22"/>
        </w:rPr>
        <w:t xml:space="preserve"> tra</w:t>
      </w:r>
      <w:r>
        <w:rPr>
          <w:sz w:val="22"/>
          <w:szCs w:val="22"/>
        </w:rPr>
        <w:t>de union facilities time, settings must</w:t>
      </w:r>
      <w:r w:rsidR="0037594A">
        <w:rPr>
          <w:sz w:val="22"/>
          <w:szCs w:val="22"/>
        </w:rPr>
        <w:t xml:space="preserve"> either purchase services, where possible, from the Local Authority</w:t>
      </w:r>
      <w:r w:rsidR="00CB739C">
        <w:rPr>
          <w:sz w:val="22"/>
          <w:szCs w:val="22"/>
        </w:rPr>
        <w:t>,</w:t>
      </w:r>
      <w:r w:rsidR="0037594A">
        <w:rPr>
          <w:sz w:val="22"/>
          <w:szCs w:val="22"/>
        </w:rPr>
        <w:t xml:space="preserve"> or make their own arrangements, </w:t>
      </w:r>
      <w:r w:rsidR="00DD11A3">
        <w:rPr>
          <w:sz w:val="22"/>
          <w:szCs w:val="22"/>
        </w:rPr>
        <w:t>with the cost falling to their delegated budgets</w:t>
      </w:r>
      <w:r w:rsidR="00E12D5F">
        <w:rPr>
          <w:sz w:val="22"/>
          <w:szCs w:val="22"/>
        </w:rPr>
        <w:t>.</w:t>
      </w:r>
    </w:p>
    <w:p w:rsidR="00D541DA" w:rsidRDefault="00D541DA" w:rsidP="00D541DA">
      <w:pPr>
        <w:ind w:left="360"/>
        <w:jc w:val="both"/>
        <w:rPr>
          <w:sz w:val="22"/>
          <w:szCs w:val="22"/>
        </w:rPr>
      </w:pPr>
    </w:p>
    <w:p w:rsidR="00042E9A" w:rsidRDefault="00783B16" w:rsidP="00C1738E">
      <w:pPr>
        <w:numPr>
          <w:ilvl w:val="0"/>
          <w:numId w:val="4"/>
        </w:numPr>
        <w:jc w:val="both"/>
        <w:rPr>
          <w:sz w:val="22"/>
          <w:szCs w:val="22"/>
        </w:rPr>
      </w:pPr>
      <w:r>
        <w:rPr>
          <w:sz w:val="22"/>
          <w:szCs w:val="22"/>
        </w:rPr>
        <w:t>A Minimum Funding Guarantee is still required in 2015/16</w:t>
      </w:r>
      <w:r w:rsidR="009568EB">
        <w:rPr>
          <w:sz w:val="22"/>
          <w:szCs w:val="22"/>
        </w:rPr>
        <w:t xml:space="preserve">, to protect an individual setting’s </w:t>
      </w:r>
      <w:r w:rsidR="00633455">
        <w:rPr>
          <w:sz w:val="22"/>
          <w:szCs w:val="22"/>
        </w:rPr>
        <w:t xml:space="preserve">Plus </w:t>
      </w:r>
      <w:r w:rsidR="009568EB">
        <w:rPr>
          <w:sz w:val="22"/>
          <w:szCs w:val="22"/>
        </w:rPr>
        <w:t>allocation against reduct</w:t>
      </w:r>
      <w:r w:rsidR="00633455">
        <w:rPr>
          <w:sz w:val="22"/>
          <w:szCs w:val="22"/>
        </w:rPr>
        <w:t>ions of more than 1.5% per pupil</w:t>
      </w:r>
      <w:r w:rsidR="00E12D5F">
        <w:rPr>
          <w:sz w:val="22"/>
          <w:szCs w:val="22"/>
        </w:rPr>
        <w:t>.</w:t>
      </w:r>
    </w:p>
    <w:p w:rsidR="00042E9A" w:rsidRDefault="00042E9A" w:rsidP="00042E9A">
      <w:pPr>
        <w:jc w:val="both"/>
        <w:rPr>
          <w:sz w:val="22"/>
          <w:szCs w:val="22"/>
        </w:rPr>
      </w:pPr>
    </w:p>
    <w:p w:rsidR="00042E9A" w:rsidRDefault="00817653" w:rsidP="00C1738E">
      <w:pPr>
        <w:numPr>
          <w:ilvl w:val="0"/>
          <w:numId w:val="4"/>
        </w:numPr>
        <w:jc w:val="both"/>
        <w:rPr>
          <w:sz w:val="22"/>
          <w:szCs w:val="22"/>
        </w:rPr>
      </w:pPr>
      <w:r>
        <w:rPr>
          <w:rFonts w:cs="Arial"/>
          <w:sz w:val="22"/>
          <w:szCs w:val="22"/>
        </w:rPr>
        <w:t>L</w:t>
      </w:r>
      <w:r w:rsidR="005B0630">
        <w:rPr>
          <w:rFonts w:cs="Arial"/>
          <w:sz w:val="22"/>
          <w:szCs w:val="22"/>
        </w:rPr>
        <w:t>ocal authorities are permitted to continue to</w:t>
      </w:r>
      <w:r>
        <w:rPr>
          <w:rFonts w:cs="Arial"/>
          <w:sz w:val="22"/>
          <w:szCs w:val="22"/>
        </w:rPr>
        <w:t xml:space="preserve"> separately fund</w:t>
      </w:r>
      <w:r w:rsidR="005B0630">
        <w:rPr>
          <w:rFonts w:cs="Arial"/>
          <w:sz w:val="22"/>
          <w:szCs w:val="22"/>
        </w:rPr>
        <w:t xml:space="preserve"> additional outreach and support services that may be managed centrally</w:t>
      </w:r>
      <w:r>
        <w:rPr>
          <w:rFonts w:cs="Arial"/>
          <w:sz w:val="22"/>
          <w:szCs w:val="22"/>
        </w:rPr>
        <w:t xml:space="preserve"> or may be devolved to</w:t>
      </w:r>
      <w:r w:rsidR="00A71A41">
        <w:rPr>
          <w:rFonts w:cs="Arial"/>
          <w:sz w:val="22"/>
          <w:szCs w:val="22"/>
        </w:rPr>
        <w:t xml:space="preserve"> providers under service level agreements</w:t>
      </w:r>
      <w:r w:rsidR="005B0630" w:rsidRPr="008B3318">
        <w:rPr>
          <w:rFonts w:cs="Arial"/>
          <w:sz w:val="22"/>
          <w:szCs w:val="22"/>
        </w:rPr>
        <w:t xml:space="preserve">. </w:t>
      </w:r>
      <w:r w:rsidR="005B0630">
        <w:rPr>
          <w:rFonts w:cs="Arial"/>
          <w:sz w:val="22"/>
          <w:szCs w:val="22"/>
        </w:rPr>
        <w:t>It has been specifically</w:t>
      </w:r>
      <w:r w:rsidR="005B0630" w:rsidRPr="008B3318">
        <w:rPr>
          <w:rFonts w:cs="Arial"/>
          <w:sz w:val="22"/>
          <w:szCs w:val="22"/>
        </w:rPr>
        <w:t xml:space="preserve"> recognised</w:t>
      </w:r>
      <w:r w:rsidR="005B0630">
        <w:rPr>
          <w:rFonts w:cs="Arial"/>
          <w:sz w:val="22"/>
          <w:szCs w:val="22"/>
        </w:rPr>
        <w:t xml:space="preserve"> by the </w:t>
      </w:r>
      <w:proofErr w:type="spellStart"/>
      <w:r w:rsidR="005B0630">
        <w:rPr>
          <w:rFonts w:cs="Arial"/>
          <w:sz w:val="22"/>
          <w:szCs w:val="22"/>
        </w:rPr>
        <w:t>D</w:t>
      </w:r>
      <w:r w:rsidR="00B307D1">
        <w:rPr>
          <w:rFonts w:cs="Arial"/>
          <w:sz w:val="22"/>
          <w:szCs w:val="22"/>
        </w:rPr>
        <w:t>fE</w:t>
      </w:r>
      <w:proofErr w:type="spellEnd"/>
      <w:r w:rsidR="005B0630" w:rsidRPr="008B3318">
        <w:rPr>
          <w:rFonts w:cs="Arial"/>
          <w:sz w:val="22"/>
          <w:szCs w:val="22"/>
        </w:rPr>
        <w:t xml:space="preserve"> that</w:t>
      </w:r>
      <w:r w:rsidR="005B0630">
        <w:rPr>
          <w:rFonts w:cs="Arial"/>
          <w:sz w:val="22"/>
          <w:szCs w:val="22"/>
        </w:rPr>
        <w:t xml:space="preserve"> this sort of separate approach may be required to provide effective support services for children aged 0-19 with</w:t>
      </w:r>
      <w:r w:rsidR="005B0630" w:rsidRPr="008B3318">
        <w:rPr>
          <w:rFonts w:cs="Arial"/>
          <w:sz w:val="22"/>
          <w:szCs w:val="22"/>
        </w:rPr>
        <w:t xml:space="preserve"> low inc</w:t>
      </w:r>
      <w:r w:rsidR="005B0630">
        <w:rPr>
          <w:rFonts w:cs="Arial"/>
          <w:sz w:val="22"/>
          <w:szCs w:val="22"/>
        </w:rPr>
        <w:t xml:space="preserve">idence sensory impaired requiring </w:t>
      </w:r>
      <w:r w:rsidR="005B0630" w:rsidRPr="008B3318">
        <w:rPr>
          <w:rFonts w:cs="Arial"/>
          <w:sz w:val="22"/>
          <w:szCs w:val="22"/>
        </w:rPr>
        <w:t>high level</w:t>
      </w:r>
      <w:r w:rsidR="005B0630">
        <w:rPr>
          <w:rFonts w:cs="Arial"/>
          <w:sz w:val="22"/>
          <w:szCs w:val="22"/>
        </w:rPr>
        <w:t>s of</w:t>
      </w:r>
      <w:r w:rsidR="005B0630" w:rsidRPr="008B3318">
        <w:rPr>
          <w:rFonts w:cs="Arial"/>
          <w:sz w:val="22"/>
          <w:szCs w:val="22"/>
        </w:rPr>
        <w:t xml:space="preserve"> specialist support in mainstream</w:t>
      </w:r>
      <w:r w:rsidR="00B307D1">
        <w:rPr>
          <w:rFonts w:cs="Arial"/>
          <w:sz w:val="22"/>
          <w:szCs w:val="22"/>
        </w:rPr>
        <w:t xml:space="preserve"> settings</w:t>
      </w:r>
      <w:r w:rsidR="005B0630">
        <w:rPr>
          <w:rFonts w:cs="Arial"/>
          <w:sz w:val="22"/>
          <w:szCs w:val="22"/>
        </w:rPr>
        <w:t>.</w:t>
      </w:r>
    </w:p>
    <w:p w:rsidR="00042E9A" w:rsidRDefault="00042E9A" w:rsidP="00042E9A">
      <w:pPr>
        <w:jc w:val="both"/>
        <w:rPr>
          <w:rFonts w:cs="Arial"/>
          <w:sz w:val="22"/>
          <w:szCs w:val="22"/>
        </w:rPr>
      </w:pPr>
    </w:p>
    <w:p w:rsidR="005B3E48" w:rsidRDefault="005B3E48" w:rsidP="00C1738E">
      <w:pPr>
        <w:numPr>
          <w:ilvl w:val="0"/>
          <w:numId w:val="4"/>
        </w:numPr>
        <w:jc w:val="both"/>
        <w:rPr>
          <w:sz w:val="22"/>
          <w:szCs w:val="22"/>
        </w:rPr>
      </w:pPr>
      <w:r>
        <w:rPr>
          <w:rFonts w:cs="Arial"/>
          <w:sz w:val="22"/>
          <w:szCs w:val="22"/>
        </w:rPr>
        <w:t>Place-Plus contains sufficient flexibil</w:t>
      </w:r>
      <w:r w:rsidR="00E12D5F">
        <w:rPr>
          <w:rFonts w:cs="Arial"/>
          <w:sz w:val="22"/>
          <w:szCs w:val="22"/>
        </w:rPr>
        <w:t>ity for local authorities to</w:t>
      </w:r>
      <w:r>
        <w:rPr>
          <w:rFonts w:cs="Arial"/>
          <w:sz w:val="22"/>
          <w:szCs w:val="22"/>
        </w:rPr>
        <w:t xml:space="preserve"> continue current strategies and to ensure that individual settings do not face unmanageable budget pressures. The new system does not require</w:t>
      </w:r>
      <w:r w:rsidR="00B307D1">
        <w:rPr>
          <w:rFonts w:cs="Arial"/>
          <w:sz w:val="22"/>
          <w:szCs w:val="22"/>
        </w:rPr>
        <w:t xml:space="preserve"> per se</w:t>
      </w:r>
      <w:r>
        <w:rPr>
          <w:rFonts w:cs="Arial"/>
          <w:sz w:val="22"/>
          <w:szCs w:val="22"/>
        </w:rPr>
        <w:t xml:space="preserve"> an adjustment to overall levels of funding for specific type</w:t>
      </w:r>
      <w:r w:rsidR="00042E9A">
        <w:rPr>
          <w:rFonts w:cs="Arial"/>
          <w:sz w:val="22"/>
          <w:szCs w:val="22"/>
        </w:rPr>
        <w:t>s of provision. It is still</w:t>
      </w:r>
      <w:r>
        <w:rPr>
          <w:rFonts w:cs="Arial"/>
          <w:sz w:val="22"/>
          <w:szCs w:val="22"/>
        </w:rPr>
        <w:t xml:space="preserve"> for the Local Authority, with the Schools Forum, to determine this. </w:t>
      </w:r>
    </w:p>
    <w:p w:rsidR="00C177FF" w:rsidRDefault="00C177FF" w:rsidP="0094692E">
      <w:pPr>
        <w:jc w:val="both"/>
        <w:rPr>
          <w:sz w:val="22"/>
          <w:szCs w:val="22"/>
        </w:rPr>
      </w:pPr>
    </w:p>
    <w:p w:rsidR="00933A82" w:rsidRDefault="00933A82" w:rsidP="0094692E">
      <w:pPr>
        <w:jc w:val="both"/>
        <w:rPr>
          <w:sz w:val="22"/>
          <w:szCs w:val="22"/>
        </w:rPr>
      </w:pPr>
    </w:p>
    <w:p w:rsidR="00AF5BB5" w:rsidRPr="00C8557E" w:rsidRDefault="0021298E" w:rsidP="0094692E">
      <w:pPr>
        <w:jc w:val="both"/>
        <w:rPr>
          <w:b/>
          <w:sz w:val="22"/>
          <w:szCs w:val="22"/>
        </w:rPr>
      </w:pPr>
      <w:r w:rsidRPr="00C8557E">
        <w:rPr>
          <w:b/>
          <w:sz w:val="22"/>
          <w:szCs w:val="22"/>
        </w:rPr>
        <w:t>4</w:t>
      </w:r>
      <w:r w:rsidR="004130AE" w:rsidRPr="00C8557E">
        <w:rPr>
          <w:b/>
          <w:sz w:val="22"/>
          <w:szCs w:val="22"/>
        </w:rPr>
        <w:t>.</w:t>
      </w:r>
      <w:r w:rsidR="004130AE" w:rsidRPr="00C8557E">
        <w:rPr>
          <w:b/>
          <w:sz w:val="22"/>
          <w:szCs w:val="22"/>
        </w:rPr>
        <w:tab/>
      </w:r>
      <w:r w:rsidR="00933A82" w:rsidRPr="00C8557E">
        <w:rPr>
          <w:b/>
          <w:sz w:val="22"/>
          <w:szCs w:val="22"/>
        </w:rPr>
        <w:t xml:space="preserve">Reminder of </w:t>
      </w:r>
      <w:r w:rsidR="00066237" w:rsidRPr="00C8557E">
        <w:rPr>
          <w:b/>
          <w:sz w:val="22"/>
          <w:szCs w:val="22"/>
        </w:rPr>
        <w:t>o</w:t>
      </w:r>
      <w:r w:rsidR="004130AE" w:rsidRPr="00C8557E">
        <w:rPr>
          <w:b/>
          <w:sz w:val="22"/>
          <w:szCs w:val="22"/>
        </w:rPr>
        <w:t xml:space="preserve">ur </w:t>
      </w:r>
      <w:r w:rsidR="00066237" w:rsidRPr="00C8557E">
        <w:rPr>
          <w:b/>
          <w:sz w:val="22"/>
          <w:szCs w:val="22"/>
        </w:rPr>
        <w:t>funding a</w:t>
      </w:r>
      <w:r w:rsidR="00AF5BB5" w:rsidRPr="00C8557E">
        <w:rPr>
          <w:b/>
          <w:sz w:val="22"/>
          <w:szCs w:val="22"/>
        </w:rPr>
        <w:t>pproach</w:t>
      </w:r>
      <w:r w:rsidR="000E1EBA" w:rsidRPr="00C8557E">
        <w:rPr>
          <w:b/>
          <w:sz w:val="22"/>
          <w:szCs w:val="22"/>
        </w:rPr>
        <w:t xml:space="preserve"> in </w:t>
      </w:r>
      <w:r w:rsidR="00066237" w:rsidRPr="00C8557E">
        <w:rPr>
          <w:b/>
          <w:sz w:val="22"/>
          <w:szCs w:val="22"/>
        </w:rPr>
        <w:t>this current financial year</w:t>
      </w:r>
    </w:p>
    <w:p w:rsidR="00AF5BB5" w:rsidRDefault="00AF5BB5" w:rsidP="0094692E">
      <w:pPr>
        <w:jc w:val="both"/>
        <w:rPr>
          <w:sz w:val="22"/>
          <w:szCs w:val="22"/>
        </w:rPr>
      </w:pPr>
    </w:p>
    <w:p w:rsidR="006D2457" w:rsidRDefault="0021298E" w:rsidP="001402CD">
      <w:pPr>
        <w:jc w:val="both"/>
        <w:rPr>
          <w:sz w:val="22"/>
          <w:szCs w:val="22"/>
        </w:rPr>
      </w:pPr>
      <w:r>
        <w:rPr>
          <w:sz w:val="22"/>
          <w:szCs w:val="22"/>
        </w:rPr>
        <w:t>4</w:t>
      </w:r>
      <w:r w:rsidR="00140119">
        <w:rPr>
          <w:sz w:val="22"/>
          <w:szCs w:val="22"/>
        </w:rPr>
        <w:t>.1 A helpful way to outline the basics of our approach is to explain</w:t>
      </w:r>
      <w:r w:rsidR="006D2457">
        <w:rPr>
          <w:sz w:val="22"/>
          <w:szCs w:val="22"/>
        </w:rPr>
        <w:t xml:space="preserve"> the funding model for Special schools, as this has laid the foundations of </w:t>
      </w:r>
      <w:r w:rsidR="00DB60C0">
        <w:rPr>
          <w:sz w:val="22"/>
          <w:szCs w:val="22"/>
        </w:rPr>
        <w:t>the funding of all</w:t>
      </w:r>
      <w:r w:rsidR="006D2457">
        <w:rPr>
          <w:sz w:val="22"/>
          <w:szCs w:val="22"/>
        </w:rPr>
        <w:t xml:space="preserve"> high needs </w:t>
      </w:r>
      <w:r w:rsidR="001D3251">
        <w:rPr>
          <w:sz w:val="22"/>
          <w:szCs w:val="22"/>
        </w:rPr>
        <w:t>provision</w:t>
      </w:r>
      <w:r w:rsidR="006D2457">
        <w:rPr>
          <w:sz w:val="22"/>
          <w:szCs w:val="22"/>
        </w:rPr>
        <w:t>.</w:t>
      </w:r>
    </w:p>
    <w:p w:rsidR="00BF27F5" w:rsidRDefault="00BF27F5" w:rsidP="001402CD">
      <w:pPr>
        <w:jc w:val="both"/>
        <w:rPr>
          <w:sz w:val="22"/>
          <w:szCs w:val="22"/>
          <w:u w:val="single"/>
        </w:rPr>
      </w:pPr>
    </w:p>
    <w:p w:rsidR="00B84169" w:rsidRDefault="00B84169" w:rsidP="001402CD">
      <w:pPr>
        <w:jc w:val="both"/>
        <w:rPr>
          <w:sz w:val="22"/>
          <w:szCs w:val="22"/>
          <w:u w:val="single"/>
        </w:rPr>
      </w:pPr>
    </w:p>
    <w:p w:rsidR="007E6AB2" w:rsidRPr="000C7C70" w:rsidRDefault="007E6AB2" w:rsidP="001402CD">
      <w:pPr>
        <w:jc w:val="both"/>
        <w:rPr>
          <w:sz w:val="22"/>
          <w:szCs w:val="22"/>
          <w:u w:val="single"/>
        </w:rPr>
      </w:pPr>
      <w:r w:rsidRPr="000C7C70">
        <w:rPr>
          <w:sz w:val="22"/>
          <w:szCs w:val="22"/>
          <w:u w:val="single"/>
        </w:rPr>
        <w:t>Places Setting</w:t>
      </w:r>
    </w:p>
    <w:p w:rsidR="007E6AB2" w:rsidRPr="000C7C70" w:rsidRDefault="007E6AB2" w:rsidP="001402CD">
      <w:pPr>
        <w:jc w:val="both"/>
        <w:rPr>
          <w:sz w:val="22"/>
          <w:szCs w:val="22"/>
          <w:u w:val="single"/>
        </w:rPr>
      </w:pPr>
    </w:p>
    <w:p w:rsidR="000C7C70" w:rsidRPr="000C7C70" w:rsidRDefault="0015118D" w:rsidP="00152993">
      <w:pPr>
        <w:jc w:val="both"/>
        <w:rPr>
          <w:sz w:val="22"/>
          <w:szCs w:val="22"/>
        </w:rPr>
      </w:pPr>
      <w:r w:rsidRPr="000C7C70">
        <w:rPr>
          <w:sz w:val="22"/>
          <w:szCs w:val="22"/>
        </w:rPr>
        <w:t>4</w:t>
      </w:r>
      <w:r w:rsidR="00152993" w:rsidRPr="000C7C70">
        <w:rPr>
          <w:sz w:val="22"/>
          <w:szCs w:val="22"/>
        </w:rPr>
        <w:t xml:space="preserve">.2 The Local Authority was required in </w:t>
      </w:r>
      <w:r w:rsidR="000C7C70" w:rsidRPr="000C7C70">
        <w:rPr>
          <w:sz w:val="22"/>
          <w:szCs w:val="22"/>
        </w:rPr>
        <w:t>December 2013</w:t>
      </w:r>
      <w:r w:rsidR="00152993" w:rsidRPr="000C7C70">
        <w:rPr>
          <w:sz w:val="22"/>
          <w:szCs w:val="22"/>
        </w:rPr>
        <w:t xml:space="preserve"> to submit a return to the EFA, which listed the number of </w:t>
      </w:r>
      <w:smartTag w:uri="urn:schemas-microsoft-com:office:smarttags" w:element="stockticker">
        <w:r w:rsidR="00152993" w:rsidRPr="000C7C70">
          <w:rPr>
            <w:sz w:val="22"/>
            <w:szCs w:val="22"/>
          </w:rPr>
          <w:t>FTE</w:t>
        </w:r>
      </w:smartTag>
      <w:r w:rsidR="00152993" w:rsidRPr="000C7C70">
        <w:rPr>
          <w:sz w:val="22"/>
          <w:szCs w:val="22"/>
        </w:rPr>
        <w:t xml:space="preserve"> places the Author</w:t>
      </w:r>
      <w:r w:rsidR="00C8557E">
        <w:rPr>
          <w:sz w:val="22"/>
          <w:szCs w:val="22"/>
        </w:rPr>
        <w:t>ity proposes to fund for</w:t>
      </w:r>
      <w:r w:rsidR="000C7C70" w:rsidRPr="000C7C70">
        <w:rPr>
          <w:sz w:val="22"/>
          <w:szCs w:val="22"/>
        </w:rPr>
        <w:t xml:space="preserve"> the 2014/15 academic</w:t>
      </w:r>
      <w:r w:rsidR="00152993" w:rsidRPr="000C7C70">
        <w:rPr>
          <w:sz w:val="22"/>
          <w:szCs w:val="22"/>
        </w:rPr>
        <w:t xml:space="preserve"> year. The Authority set these places on the best information available</w:t>
      </w:r>
      <w:r w:rsidR="000C7C70" w:rsidRPr="000C7C70">
        <w:rPr>
          <w:sz w:val="22"/>
          <w:szCs w:val="22"/>
        </w:rPr>
        <w:t xml:space="preserve"> and in consultation with settings.</w:t>
      </w:r>
      <w:r w:rsidR="00152993" w:rsidRPr="000C7C70">
        <w:rPr>
          <w:sz w:val="22"/>
          <w:szCs w:val="22"/>
        </w:rPr>
        <w:t xml:space="preserve"> </w:t>
      </w:r>
      <w:r w:rsidR="00B85795" w:rsidRPr="000C7C70">
        <w:rPr>
          <w:sz w:val="22"/>
          <w:szCs w:val="22"/>
        </w:rPr>
        <w:t>The figures</w:t>
      </w:r>
      <w:r w:rsidR="00EE7B4B" w:rsidRPr="000C7C70">
        <w:rPr>
          <w:sz w:val="22"/>
          <w:szCs w:val="22"/>
        </w:rPr>
        <w:t xml:space="preserve"> included the removal of </w:t>
      </w:r>
      <w:r w:rsidR="007E7146">
        <w:rPr>
          <w:sz w:val="22"/>
          <w:szCs w:val="22"/>
        </w:rPr>
        <w:t>excess places that were</w:t>
      </w:r>
      <w:r w:rsidR="00152993" w:rsidRPr="000C7C70">
        <w:rPr>
          <w:sz w:val="22"/>
          <w:szCs w:val="22"/>
        </w:rPr>
        <w:t xml:space="preserve"> not predicted to be fille</w:t>
      </w:r>
      <w:r w:rsidR="00EE7B4B" w:rsidRPr="000C7C70">
        <w:rPr>
          <w:sz w:val="22"/>
          <w:szCs w:val="22"/>
        </w:rPr>
        <w:t>d</w:t>
      </w:r>
      <w:r w:rsidR="000C7C70" w:rsidRPr="000C7C70">
        <w:rPr>
          <w:sz w:val="22"/>
          <w:szCs w:val="22"/>
        </w:rPr>
        <w:t xml:space="preserve"> and additional places for forecasted growth</w:t>
      </w:r>
      <w:r w:rsidR="00EE7B4B" w:rsidRPr="000C7C70">
        <w:rPr>
          <w:sz w:val="22"/>
          <w:szCs w:val="22"/>
        </w:rPr>
        <w:t>.</w:t>
      </w:r>
      <w:r w:rsidR="00C8557E">
        <w:rPr>
          <w:sz w:val="22"/>
          <w:szCs w:val="22"/>
        </w:rPr>
        <w:t xml:space="preserve"> The funded places for the period April – August 2014 were taken directly from the return to the EFA for the 2013/14 academic year. Settings have been funded on a financial year composite of the 2 academic year numbers.</w:t>
      </w:r>
    </w:p>
    <w:p w:rsidR="0028034D" w:rsidRDefault="00EE7B4B" w:rsidP="00152993">
      <w:pPr>
        <w:jc w:val="both"/>
        <w:rPr>
          <w:sz w:val="22"/>
          <w:szCs w:val="22"/>
        </w:rPr>
      </w:pPr>
      <w:r w:rsidRPr="007F039D">
        <w:rPr>
          <w:color w:val="FF0000"/>
          <w:sz w:val="22"/>
          <w:szCs w:val="22"/>
          <w:highlight w:val="green"/>
        </w:rPr>
        <w:t xml:space="preserve"> </w:t>
      </w:r>
    </w:p>
    <w:p w:rsidR="004B3867" w:rsidRDefault="0015118D" w:rsidP="00152993">
      <w:pPr>
        <w:jc w:val="both"/>
        <w:rPr>
          <w:sz w:val="22"/>
          <w:szCs w:val="22"/>
        </w:rPr>
      </w:pPr>
      <w:r>
        <w:rPr>
          <w:sz w:val="22"/>
          <w:szCs w:val="22"/>
        </w:rPr>
        <w:t>4</w:t>
      </w:r>
      <w:r w:rsidR="004B3867">
        <w:rPr>
          <w:sz w:val="22"/>
          <w:szCs w:val="22"/>
        </w:rPr>
        <w:t>.3 Any small issu</w:t>
      </w:r>
      <w:r w:rsidR="00B85795">
        <w:rPr>
          <w:sz w:val="22"/>
          <w:szCs w:val="22"/>
        </w:rPr>
        <w:t xml:space="preserve">es </w:t>
      </w:r>
      <w:r w:rsidR="009A1683">
        <w:rPr>
          <w:sz w:val="22"/>
          <w:szCs w:val="22"/>
        </w:rPr>
        <w:t xml:space="preserve">subsequently </w:t>
      </w:r>
      <w:r w:rsidR="00B85795">
        <w:rPr>
          <w:sz w:val="22"/>
          <w:szCs w:val="22"/>
        </w:rPr>
        <w:t>with the number of places</w:t>
      </w:r>
      <w:r w:rsidR="004B3867">
        <w:rPr>
          <w:sz w:val="22"/>
          <w:szCs w:val="22"/>
        </w:rPr>
        <w:t xml:space="preserve"> at individual settings have been adjusted within the calculation of the Plus element the setting receives. Where a setting is asked by the Local Authority to exceed its places</w:t>
      </w:r>
      <w:r w:rsidR="005D4D03">
        <w:rPr>
          <w:sz w:val="22"/>
          <w:szCs w:val="22"/>
        </w:rPr>
        <w:t xml:space="preserve"> (pre-16)</w:t>
      </w:r>
      <w:r w:rsidR="004B3867">
        <w:rPr>
          <w:sz w:val="22"/>
          <w:szCs w:val="22"/>
        </w:rPr>
        <w:t>, the setting has been allocated both the Place and the Plus funding elements for the additional pupils.</w:t>
      </w:r>
    </w:p>
    <w:p w:rsidR="004B3867" w:rsidRDefault="004B3867" w:rsidP="00152993">
      <w:pPr>
        <w:jc w:val="both"/>
        <w:rPr>
          <w:sz w:val="22"/>
          <w:szCs w:val="22"/>
        </w:rPr>
      </w:pPr>
    </w:p>
    <w:p w:rsidR="0028034D" w:rsidRDefault="0015118D" w:rsidP="00152993">
      <w:pPr>
        <w:jc w:val="both"/>
        <w:rPr>
          <w:sz w:val="22"/>
          <w:szCs w:val="22"/>
        </w:rPr>
      </w:pPr>
      <w:r>
        <w:rPr>
          <w:sz w:val="22"/>
          <w:szCs w:val="22"/>
        </w:rPr>
        <w:t>4</w:t>
      </w:r>
      <w:r w:rsidR="004B3867">
        <w:rPr>
          <w:sz w:val="22"/>
          <w:szCs w:val="22"/>
        </w:rPr>
        <w:t xml:space="preserve">.4 In the original </w:t>
      </w:r>
      <w:r w:rsidR="009F5549">
        <w:rPr>
          <w:sz w:val="22"/>
          <w:szCs w:val="22"/>
        </w:rPr>
        <w:t xml:space="preserve">2013 </w:t>
      </w:r>
      <w:r w:rsidR="00EE7B4B">
        <w:rPr>
          <w:sz w:val="22"/>
          <w:szCs w:val="22"/>
        </w:rPr>
        <w:t xml:space="preserve">consultation, </w:t>
      </w:r>
      <w:r w:rsidR="00E55608">
        <w:rPr>
          <w:sz w:val="22"/>
          <w:szCs w:val="22"/>
        </w:rPr>
        <w:t>we</w:t>
      </w:r>
      <w:r w:rsidR="004B3867">
        <w:rPr>
          <w:sz w:val="22"/>
          <w:szCs w:val="22"/>
        </w:rPr>
        <w:t xml:space="preserve"> proposed that, in</w:t>
      </w:r>
      <w:r w:rsidR="004B3867" w:rsidRPr="005E29D5">
        <w:rPr>
          <w:sz w:val="22"/>
          <w:szCs w:val="22"/>
        </w:rPr>
        <w:t xml:space="preserve"> circumstances where the actual pupils on roll</w:t>
      </w:r>
      <w:r w:rsidR="004B3867">
        <w:rPr>
          <w:sz w:val="22"/>
          <w:szCs w:val="22"/>
        </w:rPr>
        <w:t xml:space="preserve"> are</w:t>
      </w:r>
      <w:r w:rsidR="004B3867" w:rsidRPr="005E29D5">
        <w:rPr>
          <w:sz w:val="22"/>
          <w:szCs w:val="22"/>
        </w:rPr>
        <w:t xml:space="preserve"> lower than the numbe</w:t>
      </w:r>
      <w:r w:rsidR="004B3867">
        <w:rPr>
          <w:sz w:val="22"/>
          <w:szCs w:val="22"/>
        </w:rPr>
        <w:t xml:space="preserve">r of funded places, </w:t>
      </w:r>
      <w:r w:rsidR="004B3867" w:rsidRPr="005E29D5">
        <w:rPr>
          <w:sz w:val="22"/>
          <w:szCs w:val="22"/>
        </w:rPr>
        <w:t>the value of Plus fund</w:t>
      </w:r>
      <w:r w:rsidR="004B3867">
        <w:rPr>
          <w:sz w:val="22"/>
          <w:szCs w:val="22"/>
        </w:rPr>
        <w:t>ing would be adjusted to recognise that the setting</w:t>
      </w:r>
      <w:r w:rsidR="00EE7B4B">
        <w:rPr>
          <w:sz w:val="22"/>
          <w:szCs w:val="22"/>
        </w:rPr>
        <w:t xml:space="preserve"> is</w:t>
      </w:r>
      <w:r w:rsidR="004B3867" w:rsidRPr="005E29D5">
        <w:rPr>
          <w:sz w:val="22"/>
          <w:szCs w:val="22"/>
        </w:rPr>
        <w:t xml:space="preserve"> funded for empty places. </w:t>
      </w:r>
      <w:r w:rsidR="009F5549">
        <w:rPr>
          <w:sz w:val="22"/>
          <w:szCs w:val="22"/>
        </w:rPr>
        <w:t>As we explained in last year’s consultation, in reality, we</w:t>
      </w:r>
      <w:r w:rsidR="004B3867">
        <w:rPr>
          <w:sz w:val="22"/>
          <w:szCs w:val="22"/>
        </w:rPr>
        <w:t xml:space="preserve"> found this adjust</w:t>
      </w:r>
      <w:r w:rsidR="00EE7B4B">
        <w:rPr>
          <w:sz w:val="22"/>
          <w:szCs w:val="22"/>
        </w:rPr>
        <w:t>ment very difficult to administer</w:t>
      </w:r>
      <w:r w:rsidR="005D4D03">
        <w:rPr>
          <w:sz w:val="22"/>
          <w:szCs w:val="22"/>
        </w:rPr>
        <w:t xml:space="preserve"> and have not included it</w:t>
      </w:r>
      <w:r w:rsidR="004B3867">
        <w:rPr>
          <w:sz w:val="22"/>
          <w:szCs w:val="22"/>
        </w:rPr>
        <w:t xml:space="preserve"> wi</w:t>
      </w:r>
      <w:r w:rsidR="009F5549">
        <w:rPr>
          <w:sz w:val="22"/>
          <w:szCs w:val="22"/>
        </w:rPr>
        <w:t xml:space="preserve">thin the </w:t>
      </w:r>
      <w:r w:rsidR="00D2233A">
        <w:rPr>
          <w:sz w:val="22"/>
          <w:szCs w:val="22"/>
        </w:rPr>
        <w:t>on-going</w:t>
      </w:r>
      <w:r w:rsidR="009F5549">
        <w:rPr>
          <w:sz w:val="22"/>
          <w:szCs w:val="22"/>
        </w:rPr>
        <w:t xml:space="preserve"> calculations.</w:t>
      </w:r>
    </w:p>
    <w:p w:rsidR="007E7146" w:rsidRDefault="007E7146" w:rsidP="001402CD">
      <w:pPr>
        <w:jc w:val="both"/>
        <w:rPr>
          <w:sz w:val="22"/>
          <w:szCs w:val="22"/>
          <w:u w:val="single"/>
        </w:rPr>
      </w:pPr>
    </w:p>
    <w:p w:rsidR="001402CD" w:rsidRPr="004C2D8C" w:rsidRDefault="004C2D8C" w:rsidP="001402CD">
      <w:pPr>
        <w:jc w:val="both"/>
        <w:rPr>
          <w:sz w:val="22"/>
          <w:szCs w:val="22"/>
          <w:u w:val="single"/>
        </w:rPr>
      </w:pPr>
      <w:r w:rsidRPr="004C2D8C">
        <w:rPr>
          <w:sz w:val="22"/>
          <w:szCs w:val="22"/>
          <w:u w:val="single"/>
        </w:rPr>
        <w:lastRenderedPageBreak/>
        <w:t>Identification and Moderation of Pupil Need</w:t>
      </w:r>
    </w:p>
    <w:p w:rsidR="004C2D8C" w:rsidRDefault="004C2D8C" w:rsidP="001402CD">
      <w:pPr>
        <w:jc w:val="both"/>
        <w:rPr>
          <w:sz w:val="22"/>
          <w:szCs w:val="22"/>
        </w:rPr>
      </w:pPr>
    </w:p>
    <w:p w:rsidR="00037602" w:rsidRDefault="0015118D" w:rsidP="00037602">
      <w:pPr>
        <w:jc w:val="both"/>
        <w:rPr>
          <w:sz w:val="22"/>
          <w:szCs w:val="22"/>
        </w:rPr>
      </w:pPr>
      <w:r>
        <w:rPr>
          <w:sz w:val="22"/>
          <w:szCs w:val="22"/>
        </w:rPr>
        <w:t>4</w:t>
      </w:r>
      <w:r w:rsidR="00FB4F2D">
        <w:rPr>
          <w:sz w:val="22"/>
          <w:szCs w:val="22"/>
        </w:rPr>
        <w:t>.5</w:t>
      </w:r>
      <w:r w:rsidR="00037602" w:rsidRPr="006E3614">
        <w:rPr>
          <w:sz w:val="22"/>
          <w:szCs w:val="22"/>
        </w:rPr>
        <w:t xml:space="preserve"> </w:t>
      </w:r>
      <w:r w:rsidR="00037602">
        <w:rPr>
          <w:sz w:val="22"/>
          <w:szCs w:val="22"/>
        </w:rPr>
        <w:t>As the majority of placements are commissioned by the Local Authority,</w:t>
      </w:r>
      <w:r w:rsidR="00037602" w:rsidRPr="006E3614">
        <w:rPr>
          <w:sz w:val="22"/>
          <w:szCs w:val="22"/>
        </w:rPr>
        <w:t xml:space="preserve"> the process for placing</w:t>
      </w:r>
      <w:r w:rsidR="00037602">
        <w:rPr>
          <w:sz w:val="22"/>
          <w:szCs w:val="22"/>
        </w:rPr>
        <w:t xml:space="preserve"> children into the 7 R</w:t>
      </w:r>
      <w:r w:rsidR="00037602" w:rsidRPr="006E3614">
        <w:rPr>
          <w:sz w:val="22"/>
          <w:szCs w:val="22"/>
        </w:rPr>
        <w:t>ang</w:t>
      </w:r>
      <w:r w:rsidR="00037602">
        <w:rPr>
          <w:sz w:val="22"/>
          <w:szCs w:val="22"/>
        </w:rPr>
        <w:t>es framework has been</w:t>
      </w:r>
      <w:r w:rsidR="00037602" w:rsidRPr="006E3614">
        <w:rPr>
          <w:sz w:val="22"/>
          <w:szCs w:val="22"/>
        </w:rPr>
        <w:t xml:space="preserve"> led </w:t>
      </w:r>
      <w:r w:rsidR="00037602">
        <w:rPr>
          <w:sz w:val="22"/>
          <w:szCs w:val="22"/>
        </w:rPr>
        <w:t>by the Local Authority. This has been</w:t>
      </w:r>
      <w:r w:rsidR="00037602" w:rsidRPr="006E3614">
        <w:rPr>
          <w:sz w:val="22"/>
          <w:szCs w:val="22"/>
        </w:rPr>
        <w:t xml:space="preserve"> based on the primary need </w:t>
      </w:r>
      <w:r w:rsidR="00037602">
        <w:rPr>
          <w:sz w:val="22"/>
          <w:szCs w:val="22"/>
        </w:rPr>
        <w:t>data that is</w:t>
      </w:r>
      <w:r w:rsidR="00037602" w:rsidRPr="006E3614">
        <w:rPr>
          <w:sz w:val="22"/>
          <w:szCs w:val="22"/>
        </w:rPr>
        <w:t xml:space="preserve"> held by the Authority and the descriptors of need that have been agreed by school colleagues and applied for the funding of Special schools for a number of years. </w:t>
      </w:r>
    </w:p>
    <w:p w:rsidR="00D91E66" w:rsidRDefault="00D91E66" w:rsidP="00E222E4">
      <w:pPr>
        <w:jc w:val="both"/>
        <w:rPr>
          <w:sz w:val="22"/>
          <w:szCs w:val="22"/>
        </w:rPr>
      </w:pPr>
    </w:p>
    <w:p w:rsidR="00447A99" w:rsidRDefault="0015118D" w:rsidP="00447A99">
      <w:pPr>
        <w:jc w:val="both"/>
        <w:rPr>
          <w:sz w:val="22"/>
          <w:szCs w:val="22"/>
        </w:rPr>
      </w:pPr>
      <w:r>
        <w:rPr>
          <w:sz w:val="22"/>
          <w:szCs w:val="22"/>
        </w:rPr>
        <w:t>4</w:t>
      </w:r>
      <w:r w:rsidR="00FB4F2D">
        <w:rPr>
          <w:sz w:val="22"/>
          <w:szCs w:val="22"/>
        </w:rPr>
        <w:t>.6</w:t>
      </w:r>
      <w:r w:rsidR="00811543">
        <w:rPr>
          <w:sz w:val="22"/>
          <w:szCs w:val="22"/>
        </w:rPr>
        <w:t xml:space="preserve"> </w:t>
      </w:r>
      <w:r w:rsidR="00447A99">
        <w:rPr>
          <w:sz w:val="22"/>
          <w:szCs w:val="22"/>
        </w:rPr>
        <w:t xml:space="preserve">The Local Authority reviewed existing pupil populations against the Ranges model in the autumn </w:t>
      </w:r>
      <w:r w:rsidR="00C8557E">
        <w:rPr>
          <w:sz w:val="22"/>
          <w:szCs w:val="22"/>
        </w:rPr>
        <w:t xml:space="preserve">2013 </w:t>
      </w:r>
      <w:r w:rsidR="00447A99">
        <w:rPr>
          <w:sz w:val="22"/>
          <w:szCs w:val="22"/>
        </w:rPr>
        <w:t>and spring</w:t>
      </w:r>
      <w:r w:rsidR="00C8557E">
        <w:rPr>
          <w:sz w:val="22"/>
          <w:szCs w:val="22"/>
        </w:rPr>
        <w:t xml:space="preserve"> 2014</w:t>
      </w:r>
      <w:r w:rsidR="00447A99">
        <w:rPr>
          <w:sz w:val="22"/>
          <w:szCs w:val="22"/>
        </w:rPr>
        <w:t xml:space="preserve"> terms and discussed the outcomes of this with each setting. The outcomes of these conversation</w:t>
      </w:r>
      <w:r w:rsidR="00B814EA">
        <w:rPr>
          <w:sz w:val="22"/>
          <w:szCs w:val="22"/>
        </w:rPr>
        <w:t>s</w:t>
      </w:r>
      <w:r w:rsidR="00447A99">
        <w:rPr>
          <w:sz w:val="22"/>
          <w:szCs w:val="22"/>
        </w:rPr>
        <w:t xml:space="preserve"> set the starting position for funding by Range at April 2014.</w:t>
      </w:r>
      <w:r w:rsidR="00B814EA">
        <w:rPr>
          <w:sz w:val="22"/>
          <w:szCs w:val="22"/>
        </w:rPr>
        <w:t xml:space="preserve"> Assessment places have been funded</w:t>
      </w:r>
      <w:r w:rsidR="00B814EA" w:rsidRPr="00B830AB">
        <w:rPr>
          <w:sz w:val="22"/>
          <w:szCs w:val="22"/>
        </w:rPr>
        <w:t xml:space="preserve"> at Range 4D</w:t>
      </w:r>
      <w:r w:rsidR="00B814EA">
        <w:rPr>
          <w:sz w:val="22"/>
          <w:szCs w:val="22"/>
        </w:rPr>
        <w:t>.</w:t>
      </w:r>
    </w:p>
    <w:p w:rsidR="00B814EA" w:rsidRDefault="00B814EA" w:rsidP="00B814EA">
      <w:pPr>
        <w:ind w:left="720"/>
        <w:jc w:val="both"/>
        <w:rPr>
          <w:sz w:val="22"/>
          <w:szCs w:val="22"/>
        </w:rPr>
      </w:pPr>
    </w:p>
    <w:p w:rsidR="00B814EA" w:rsidRDefault="00B814EA" w:rsidP="00B814EA">
      <w:pPr>
        <w:jc w:val="both"/>
        <w:rPr>
          <w:sz w:val="22"/>
          <w:szCs w:val="22"/>
        </w:rPr>
      </w:pPr>
      <w:r>
        <w:rPr>
          <w:sz w:val="22"/>
          <w:szCs w:val="22"/>
        </w:rPr>
        <w:t xml:space="preserve">4.7 The process for managing in year changes, or for the placement of pupils newly </w:t>
      </w:r>
      <w:proofErr w:type="spellStart"/>
      <w:r>
        <w:rPr>
          <w:sz w:val="22"/>
          <w:szCs w:val="22"/>
        </w:rPr>
        <w:t>statemented</w:t>
      </w:r>
      <w:proofErr w:type="spellEnd"/>
      <w:r>
        <w:rPr>
          <w:sz w:val="22"/>
          <w:szCs w:val="22"/>
        </w:rPr>
        <w:t>, has been led by the Local Authority. The Authority has tracked the movement of children between settings and has re-calculated funding on a monthly basis. SEN Services has provided to each setting a list of pupils on roll and their funding range by the 5</w:t>
      </w:r>
      <w:r w:rsidRPr="001764C8">
        <w:rPr>
          <w:sz w:val="22"/>
          <w:szCs w:val="22"/>
          <w:vertAlign w:val="superscript"/>
        </w:rPr>
        <w:t>th</w:t>
      </w:r>
      <w:r>
        <w:rPr>
          <w:sz w:val="22"/>
          <w:szCs w:val="22"/>
        </w:rPr>
        <w:t xml:space="preserve"> day of each month. Any discrepancies in that month’s data have been resolved at this point, before the 10</w:t>
      </w:r>
      <w:r w:rsidRPr="001764C8">
        <w:rPr>
          <w:sz w:val="22"/>
          <w:szCs w:val="22"/>
          <w:vertAlign w:val="superscript"/>
        </w:rPr>
        <w:t>th</w:t>
      </w:r>
      <w:r>
        <w:rPr>
          <w:sz w:val="22"/>
          <w:szCs w:val="22"/>
        </w:rPr>
        <w:t xml:space="preserve"> of the month deadline. Newly </w:t>
      </w:r>
      <w:proofErr w:type="spellStart"/>
      <w:r>
        <w:rPr>
          <w:sz w:val="22"/>
          <w:szCs w:val="22"/>
        </w:rPr>
        <w:t>statemented</w:t>
      </w:r>
      <w:proofErr w:type="spellEnd"/>
      <w:r>
        <w:rPr>
          <w:sz w:val="22"/>
          <w:szCs w:val="22"/>
        </w:rPr>
        <w:t xml:space="preserve"> children have been placed into one of the 7 Ranges by the Authority using primary need data. Children initially placed at Range 4D have re-categorised following assessment and settings have been notified of this. Settings have also been notified of the proposed funding range of a child at the point of consultation on placement. Schools have been able to refer to the monthly funding statements to check changes and the funding position of newly admitted pupils</w:t>
      </w:r>
    </w:p>
    <w:p w:rsidR="00B814EA" w:rsidRDefault="00B814EA" w:rsidP="00B814EA">
      <w:pPr>
        <w:jc w:val="both"/>
        <w:rPr>
          <w:sz w:val="22"/>
          <w:szCs w:val="22"/>
        </w:rPr>
      </w:pPr>
    </w:p>
    <w:p w:rsidR="00447A99" w:rsidRDefault="00B814EA" w:rsidP="00B814EA">
      <w:pPr>
        <w:jc w:val="both"/>
        <w:rPr>
          <w:sz w:val="22"/>
          <w:szCs w:val="22"/>
        </w:rPr>
      </w:pPr>
      <w:r>
        <w:rPr>
          <w:sz w:val="22"/>
          <w:szCs w:val="22"/>
        </w:rPr>
        <w:t>4.8 A</w:t>
      </w:r>
      <w:r w:rsidR="00447A99">
        <w:rPr>
          <w:sz w:val="22"/>
          <w:szCs w:val="22"/>
        </w:rPr>
        <w:t>djustments to reflect changes in the needs of individual children, where an issue</w:t>
      </w:r>
      <w:r>
        <w:rPr>
          <w:sz w:val="22"/>
          <w:szCs w:val="22"/>
        </w:rPr>
        <w:t xml:space="preserve"> has been raised by a setting, have been referred to </w:t>
      </w:r>
      <w:r w:rsidR="00447A99">
        <w:rPr>
          <w:sz w:val="22"/>
          <w:szCs w:val="22"/>
        </w:rPr>
        <w:t xml:space="preserve">the </w:t>
      </w:r>
      <w:smartTag w:uri="urn:schemas-microsoft-com:office:smarttags" w:element="stockticker">
        <w:r w:rsidR="00447A99">
          <w:rPr>
            <w:sz w:val="22"/>
            <w:szCs w:val="22"/>
          </w:rPr>
          <w:t>SEN</w:t>
        </w:r>
      </w:smartTag>
      <w:r w:rsidR="00447A99">
        <w:rPr>
          <w:sz w:val="22"/>
          <w:szCs w:val="22"/>
        </w:rPr>
        <w:t xml:space="preserve"> Strategy Manager / Ass</w:t>
      </w:r>
      <w:r>
        <w:rPr>
          <w:sz w:val="22"/>
          <w:szCs w:val="22"/>
        </w:rPr>
        <w:t>essment Manager. If agreement has</w:t>
      </w:r>
      <w:r w:rsidR="00447A99">
        <w:rPr>
          <w:sz w:val="22"/>
          <w:szCs w:val="22"/>
        </w:rPr>
        <w:t xml:space="preserve"> not </w:t>
      </w:r>
      <w:r>
        <w:rPr>
          <w:sz w:val="22"/>
          <w:szCs w:val="22"/>
        </w:rPr>
        <w:t xml:space="preserve">been </w:t>
      </w:r>
      <w:r w:rsidR="00447A99">
        <w:rPr>
          <w:sz w:val="22"/>
          <w:szCs w:val="22"/>
        </w:rPr>
        <w:t xml:space="preserve">reached, the </w:t>
      </w:r>
      <w:smartTag w:uri="urn:schemas-microsoft-com:office:smarttags" w:element="stockticker">
        <w:r w:rsidR="00447A99">
          <w:rPr>
            <w:sz w:val="22"/>
            <w:szCs w:val="22"/>
          </w:rPr>
          <w:t>SEN</w:t>
        </w:r>
      </w:smartTag>
      <w:r>
        <w:rPr>
          <w:sz w:val="22"/>
          <w:szCs w:val="22"/>
        </w:rPr>
        <w:t xml:space="preserve"> Panel has been</w:t>
      </w:r>
      <w:r w:rsidR="00447A99">
        <w:rPr>
          <w:sz w:val="22"/>
          <w:szCs w:val="22"/>
        </w:rPr>
        <w:t xml:space="preserve"> a</w:t>
      </w:r>
      <w:r>
        <w:rPr>
          <w:sz w:val="22"/>
          <w:szCs w:val="22"/>
        </w:rPr>
        <w:t>sked to make a final decision. Where changes have been agreed with the Authority, funding has been updated from the next applicable month.</w:t>
      </w:r>
    </w:p>
    <w:p w:rsidR="00B814EA" w:rsidRDefault="00B814EA" w:rsidP="001402CD">
      <w:pPr>
        <w:jc w:val="both"/>
        <w:rPr>
          <w:sz w:val="22"/>
          <w:szCs w:val="22"/>
        </w:rPr>
      </w:pPr>
    </w:p>
    <w:p w:rsidR="00B84169" w:rsidRDefault="00B84169" w:rsidP="001402CD">
      <w:pPr>
        <w:jc w:val="both"/>
        <w:rPr>
          <w:sz w:val="22"/>
          <w:szCs w:val="22"/>
        </w:rPr>
      </w:pPr>
    </w:p>
    <w:p w:rsidR="004C2D8C" w:rsidRPr="004C2D8C" w:rsidRDefault="00BC6094" w:rsidP="001402CD">
      <w:pPr>
        <w:jc w:val="both"/>
        <w:rPr>
          <w:sz w:val="22"/>
          <w:szCs w:val="22"/>
          <w:u w:val="single"/>
        </w:rPr>
      </w:pPr>
      <w:r>
        <w:rPr>
          <w:sz w:val="22"/>
          <w:szCs w:val="22"/>
          <w:u w:val="single"/>
        </w:rPr>
        <w:t>Funding</w:t>
      </w:r>
      <w:r w:rsidR="004C2D8C" w:rsidRPr="004C2D8C">
        <w:rPr>
          <w:sz w:val="22"/>
          <w:szCs w:val="22"/>
          <w:u w:val="single"/>
        </w:rPr>
        <w:t xml:space="preserve"> Pupil</w:t>
      </w:r>
      <w:r>
        <w:rPr>
          <w:sz w:val="22"/>
          <w:szCs w:val="22"/>
          <w:u w:val="single"/>
        </w:rPr>
        <w:t xml:space="preserve"> Based</w:t>
      </w:r>
      <w:r w:rsidR="004C2D8C" w:rsidRPr="004C2D8C">
        <w:rPr>
          <w:sz w:val="22"/>
          <w:szCs w:val="22"/>
          <w:u w:val="single"/>
        </w:rPr>
        <w:t xml:space="preserve"> Need – the 7 Ranges Model</w:t>
      </w:r>
    </w:p>
    <w:p w:rsidR="004C2D8C" w:rsidRDefault="004C2D8C" w:rsidP="001402CD">
      <w:pPr>
        <w:jc w:val="both"/>
        <w:rPr>
          <w:sz w:val="22"/>
          <w:szCs w:val="22"/>
        </w:rPr>
      </w:pPr>
    </w:p>
    <w:p w:rsidR="004045C4" w:rsidRDefault="0015118D" w:rsidP="00FB4F2D">
      <w:pPr>
        <w:jc w:val="both"/>
        <w:rPr>
          <w:sz w:val="22"/>
          <w:szCs w:val="22"/>
        </w:rPr>
      </w:pPr>
      <w:r>
        <w:rPr>
          <w:sz w:val="22"/>
          <w:szCs w:val="22"/>
        </w:rPr>
        <w:t>4</w:t>
      </w:r>
      <w:r w:rsidR="00EE7B4B">
        <w:rPr>
          <w:sz w:val="22"/>
          <w:szCs w:val="22"/>
        </w:rPr>
        <w:t>.10 The agreed 7 Ranges</w:t>
      </w:r>
      <w:r w:rsidR="00C8557E">
        <w:rPr>
          <w:sz w:val="22"/>
          <w:szCs w:val="22"/>
        </w:rPr>
        <w:t xml:space="preserve"> Model, </w:t>
      </w:r>
      <w:r w:rsidR="00C8557E" w:rsidRPr="00E13360">
        <w:rPr>
          <w:sz w:val="22"/>
          <w:szCs w:val="22"/>
        </w:rPr>
        <w:t>shown at Appendix 2</w:t>
      </w:r>
      <w:r w:rsidR="00FB4F2D" w:rsidRPr="00E13360">
        <w:rPr>
          <w:sz w:val="22"/>
          <w:szCs w:val="22"/>
        </w:rPr>
        <w:t xml:space="preserve">, has </w:t>
      </w:r>
      <w:r w:rsidR="00FB4F2D">
        <w:rPr>
          <w:sz w:val="22"/>
          <w:szCs w:val="22"/>
        </w:rPr>
        <w:t>been used to assign pupils into categories of need for funding purposes.</w:t>
      </w:r>
      <w:r w:rsidR="00A02FAD">
        <w:rPr>
          <w:sz w:val="22"/>
          <w:szCs w:val="22"/>
        </w:rPr>
        <w:t xml:space="preserve"> </w:t>
      </w:r>
      <w:r w:rsidR="004045C4">
        <w:rPr>
          <w:sz w:val="22"/>
          <w:szCs w:val="22"/>
        </w:rPr>
        <w:t>Each range has an applicable level of funding, and every p</w:t>
      </w:r>
      <w:r w:rsidR="00D00597">
        <w:rPr>
          <w:sz w:val="22"/>
          <w:szCs w:val="22"/>
        </w:rPr>
        <w:t>upil assigned to a range is</w:t>
      </w:r>
      <w:r w:rsidR="004045C4">
        <w:rPr>
          <w:sz w:val="22"/>
          <w:szCs w:val="22"/>
        </w:rPr>
        <w:t xml:space="preserve"> allocated the set value of funding, regardless of setting.</w:t>
      </w:r>
      <w:r w:rsidR="005C5735">
        <w:rPr>
          <w:sz w:val="22"/>
          <w:szCs w:val="22"/>
        </w:rPr>
        <w:t xml:space="preserve"> This Model has been applied in the same way to both pre and post 16</w:t>
      </w:r>
      <w:r w:rsidR="00491C34">
        <w:rPr>
          <w:sz w:val="22"/>
          <w:szCs w:val="22"/>
        </w:rPr>
        <w:t xml:space="preserve"> students</w:t>
      </w:r>
      <w:r w:rsidR="005C5735">
        <w:rPr>
          <w:sz w:val="22"/>
          <w:szCs w:val="22"/>
        </w:rPr>
        <w:t>.</w:t>
      </w:r>
    </w:p>
    <w:p w:rsidR="004045C4" w:rsidRDefault="004045C4" w:rsidP="00FB4F2D">
      <w:pPr>
        <w:jc w:val="both"/>
        <w:rPr>
          <w:sz w:val="22"/>
          <w:szCs w:val="22"/>
        </w:rPr>
      </w:pPr>
    </w:p>
    <w:p w:rsidR="00FB4F2D" w:rsidRDefault="0015118D" w:rsidP="00FB4F2D">
      <w:pPr>
        <w:jc w:val="both"/>
        <w:rPr>
          <w:sz w:val="22"/>
          <w:szCs w:val="22"/>
        </w:rPr>
      </w:pPr>
      <w:r>
        <w:rPr>
          <w:sz w:val="22"/>
          <w:szCs w:val="22"/>
        </w:rPr>
        <w:t>4</w:t>
      </w:r>
      <w:r w:rsidR="004045C4">
        <w:rPr>
          <w:sz w:val="22"/>
          <w:szCs w:val="22"/>
        </w:rPr>
        <w:t xml:space="preserve">.11 </w:t>
      </w:r>
      <w:r w:rsidR="00A02FAD">
        <w:rPr>
          <w:sz w:val="22"/>
          <w:szCs w:val="22"/>
        </w:rPr>
        <w:t>The Local Authority’s intention ha</w:t>
      </w:r>
      <w:r w:rsidR="004045C4">
        <w:rPr>
          <w:sz w:val="22"/>
          <w:szCs w:val="22"/>
        </w:rPr>
        <w:t>s</w:t>
      </w:r>
      <w:r w:rsidR="00A02FAD">
        <w:rPr>
          <w:sz w:val="22"/>
          <w:szCs w:val="22"/>
        </w:rPr>
        <w:t xml:space="preserve"> been to establish a single uniform framework for calculating ‘Plu</w:t>
      </w:r>
      <w:r w:rsidR="00EE7B4B">
        <w:rPr>
          <w:sz w:val="22"/>
          <w:szCs w:val="22"/>
        </w:rPr>
        <w:t>s’ funding</w:t>
      </w:r>
      <w:r w:rsidR="00A02FAD">
        <w:rPr>
          <w:sz w:val="22"/>
          <w:szCs w:val="22"/>
        </w:rPr>
        <w:t>.</w:t>
      </w:r>
      <w:r w:rsidR="004045C4">
        <w:rPr>
          <w:sz w:val="22"/>
          <w:szCs w:val="22"/>
        </w:rPr>
        <w:t xml:space="preserve"> </w:t>
      </w:r>
      <w:r w:rsidR="00340477">
        <w:rPr>
          <w:sz w:val="22"/>
          <w:szCs w:val="22"/>
        </w:rPr>
        <w:t>The Authority’s expectation is that this framework will categorise the vast majority of pupils and will thus ensure consistency in the approach to the funding of high needs in mainstream and special</w:t>
      </w:r>
      <w:r w:rsidR="00991226">
        <w:rPr>
          <w:sz w:val="22"/>
          <w:szCs w:val="22"/>
        </w:rPr>
        <w:t>ist settings</w:t>
      </w:r>
      <w:r w:rsidR="00340477">
        <w:rPr>
          <w:sz w:val="22"/>
          <w:szCs w:val="22"/>
        </w:rPr>
        <w:t xml:space="preserve">. </w:t>
      </w:r>
      <w:r w:rsidR="00EE7B4B">
        <w:rPr>
          <w:sz w:val="22"/>
          <w:szCs w:val="22"/>
        </w:rPr>
        <w:t>It is accepted that t</w:t>
      </w:r>
      <w:r w:rsidR="00340477">
        <w:rPr>
          <w:sz w:val="22"/>
          <w:szCs w:val="22"/>
        </w:rPr>
        <w:t>here will be a small number of children or young people th</w:t>
      </w:r>
      <w:r w:rsidR="00EE7B4B">
        <w:rPr>
          <w:sz w:val="22"/>
          <w:szCs w:val="22"/>
        </w:rPr>
        <w:t>at will sit outside the Ranges framework; m</w:t>
      </w:r>
      <w:r w:rsidR="00340477">
        <w:rPr>
          <w:sz w:val="22"/>
          <w:szCs w:val="22"/>
        </w:rPr>
        <w:t>ost of</w:t>
      </w:r>
      <w:r w:rsidR="00EE7B4B">
        <w:rPr>
          <w:sz w:val="22"/>
          <w:szCs w:val="22"/>
        </w:rPr>
        <w:t xml:space="preserve"> whom</w:t>
      </w:r>
      <w:r w:rsidR="00340477">
        <w:rPr>
          <w:sz w:val="22"/>
          <w:szCs w:val="22"/>
        </w:rPr>
        <w:t xml:space="preserve"> will be placed in specialist independent provision</w:t>
      </w:r>
      <w:r w:rsidR="00EE7B4B">
        <w:rPr>
          <w:sz w:val="22"/>
          <w:szCs w:val="22"/>
        </w:rPr>
        <w:t>s</w:t>
      </w:r>
      <w:r w:rsidR="00340477">
        <w:rPr>
          <w:sz w:val="22"/>
          <w:szCs w:val="22"/>
        </w:rPr>
        <w:t>.</w:t>
      </w:r>
    </w:p>
    <w:p w:rsidR="00E03181" w:rsidRDefault="00E03181" w:rsidP="00FB4F2D">
      <w:pPr>
        <w:jc w:val="both"/>
        <w:rPr>
          <w:sz w:val="22"/>
          <w:szCs w:val="22"/>
        </w:rPr>
      </w:pPr>
    </w:p>
    <w:p w:rsidR="00D00597" w:rsidRDefault="0015118D" w:rsidP="00FB4F2D">
      <w:pPr>
        <w:jc w:val="both"/>
        <w:rPr>
          <w:sz w:val="22"/>
          <w:szCs w:val="22"/>
        </w:rPr>
      </w:pPr>
      <w:r>
        <w:rPr>
          <w:sz w:val="22"/>
          <w:szCs w:val="22"/>
        </w:rPr>
        <w:t>4</w:t>
      </w:r>
      <w:r w:rsidR="005C5735">
        <w:rPr>
          <w:sz w:val="22"/>
          <w:szCs w:val="22"/>
        </w:rPr>
        <w:t>.12</w:t>
      </w:r>
      <w:r w:rsidR="00EE7B4B">
        <w:rPr>
          <w:sz w:val="22"/>
          <w:szCs w:val="22"/>
        </w:rPr>
        <w:t xml:space="preserve"> The values of funding</w:t>
      </w:r>
      <w:r w:rsidR="00E03181">
        <w:rPr>
          <w:sz w:val="22"/>
          <w:szCs w:val="22"/>
        </w:rPr>
        <w:t xml:space="preserve"> per p</w:t>
      </w:r>
      <w:r w:rsidR="003A35EE">
        <w:rPr>
          <w:sz w:val="22"/>
          <w:szCs w:val="22"/>
        </w:rPr>
        <w:t xml:space="preserve">upil set for each range </w:t>
      </w:r>
      <w:r w:rsidR="00C8557E">
        <w:rPr>
          <w:sz w:val="22"/>
          <w:szCs w:val="22"/>
        </w:rPr>
        <w:t>in 2014/15</w:t>
      </w:r>
      <w:r w:rsidR="00D00597">
        <w:rPr>
          <w:sz w:val="22"/>
          <w:szCs w:val="22"/>
        </w:rPr>
        <w:t xml:space="preserve"> are:</w:t>
      </w:r>
    </w:p>
    <w:p w:rsidR="00340477" w:rsidRDefault="00340477" w:rsidP="00FB4F2D">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800"/>
      </w:tblGrid>
      <w:tr w:rsidR="00D00597" w:rsidRPr="00C1738E" w:rsidTr="00C1738E">
        <w:tc>
          <w:tcPr>
            <w:tcW w:w="2808" w:type="dxa"/>
            <w:shd w:val="clear" w:color="auto" w:fill="C0C0C0"/>
          </w:tcPr>
          <w:p w:rsidR="00D00597" w:rsidRPr="00C1738E" w:rsidRDefault="00D00597" w:rsidP="00D00597">
            <w:pPr>
              <w:rPr>
                <w:b/>
                <w:sz w:val="22"/>
                <w:szCs w:val="22"/>
              </w:rPr>
            </w:pPr>
          </w:p>
          <w:p w:rsidR="00D00597" w:rsidRPr="00C1738E" w:rsidRDefault="00D00597" w:rsidP="00D00597">
            <w:pPr>
              <w:rPr>
                <w:b/>
                <w:sz w:val="22"/>
                <w:szCs w:val="22"/>
              </w:rPr>
            </w:pPr>
            <w:r w:rsidRPr="00C1738E">
              <w:rPr>
                <w:b/>
                <w:sz w:val="22"/>
                <w:szCs w:val="22"/>
              </w:rPr>
              <w:t>Range</w:t>
            </w:r>
          </w:p>
        </w:tc>
        <w:tc>
          <w:tcPr>
            <w:tcW w:w="2800" w:type="dxa"/>
            <w:shd w:val="clear" w:color="auto" w:fill="C0C0C0"/>
          </w:tcPr>
          <w:p w:rsidR="00D00597" w:rsidRPr="00C1738E" w:rsidRDefault="00D00597" w:rsidP="00C1738E">
            <w:pPr>
              <w:jc w:val="right"/>
              <w:rPr>
                <w:b/>
                <w:sz w:val="22"/>
                <w:szCs w:val="22"/>
              </w:rPr>
            </w:pPr>
          </w:p>
          <w:p w:rsidR="00D00597" w:rsidRPr="00C1738E" w:rsidRDefault="00D00597" w:rsidP="00C1738E">
            <w:pPr>
              <w:jc w:val="right"/>
              <w:rPr>
                <w:b/>
                <w:sz w:val="22"/>
                <w:szCs w:val="22"/>
              </w:rPr>
            </w:pPr>
            <w:r w:rsidRPr="00C1738E">
              <w:rPr>
                <w:b/>
                <w:sz w:val="22"/>
                <w:szCs w:val="22"/>
              </w:rPr>
              <w:t>Plus Funding (annual value)</w:t>
            </w:r>
          </w:p>
        </w:tc>
      </w:tr>
      <w:tr w:rsidR="00D00597" w:rsidRPr="00C1738E" w:rsidTr="00C1738E">
        <w:tc>
          <w:tcPr>
            <w:tcW w:w="2808" w:type="dxa"/>
            <w:shd w:val="clear" w:color="auto" w:fill="auto"/>
          </w:tcPr>
          <w:p w:rsidR="00D00597" w:rsidRPr="00C1738E" w:rsidRDefault="00D00597" w:rsidP="00D00597">
            <w:pPr>
              <w:rPr>
                <w:sz w:val="22"/>
                <w:szCs w:val="22"/>
              </w:rPr>
            </w:pPr>
            <w:r w:rsidRPr="00C1738E">
              <w:rPr>
                <w:sz w:val="22"/>
                <w:szCs w:val="22"/>
              </w:rPr>
              <w:t>Range 1</w:t>
            </w:r>
          </w:p>
        </w:tc>
        <w:tc>
          <w:tcPr>
            <w:tcW w:w="2800" w:type="dxa"/>
            <w:shd w:val="clear" w:color="auto" w:fill="auto"/>
          </w:tcPr>
          <w:p w:rsidR="00D00597" w:rsidRPr="00C1738E" w:rsidRDefault="00D00597" w:rsidP="00C1738E">
            <w:pPr>
              <w:jc w:val="right"/>
              <w:rPr>
                <w:b/>
                <w:sz w:val="22"/>
                <w:szCs w:val="22"/>
              </w:rPr>
            </w:pPr>
            <w:r w:rsidRPr="00C1738E">
              <w:rPr>
                <w:b/>
                <w:sz w:val="22"/>
                <w:szCs w:val="22"/>
              </w:rPr>
              <w:t>£0</w:t>
            </w:r>
          </w:p>
        </w:tc>
      </w:tr>
      <w:tr w:rsidR="00D00597" w:rsidRPr="00C1738E" w:rsidTr="00C1738E">
        <w:tc>
          <w:tcPr>
            <w:tcW w:w="2808" w:type="dxa"/>
            <w:shd w:val="clear" w:color="auto" w:fill="auto"/>
          </w:tcPr>
          <w:p w:rsidR="00D00597" w:rsidRPr="00C1738E" w:rsidRDefault="00D00597" w:rsidP="00D00597">
            <w:pPr>
              <w:rPr>
                <w:sz w:val="22"/>
                <w:szCs w:val="22"/>
              </w:rPr>
            </w:pPr>
            <w:r w:rsidRPr="00C1738E">
              <w:rPr>
                <w:sz w:val="22"/>
                <w:szCs w:val="22"/>
              </w:rPr>
              <w:t>Range 2</w:t>
            </w:r>
          </w:p>
        </w:tc>
        <w:tc>
          <w:tcPr>
            <w:tcW w:w="2800" w:type="dxa"/>
            <w:shd w:val="clear" w:color="auto" w:fill="auto"/>
          </w:tcPr>
          <w:p w:rsidR="00D00597" w:rsidRPr="00C1738E" w:rsidRDefault="00D00597" w:rsidP="00C1738E">
            <w:pPr>
              <w:jc w:val="right"/>
              <w:rPr>
                <w:b/>
                <w:sz w:val="22"/>
                <w:szCs w:val="22"/>
              </w:rPr>
            </w:pPr>
            <w:r w:rsidRPr="00C1738E">
              <w:rPr>
                <w:b/>
                <w:sz w:val="22"/>
                <w:szCs w:val="22"/>
              </w:rPr>
              <w:t>£0</w:t>
            </w:r>
          </w:p>
        </w:tc>
      </w:tr>
      <w:tr w:rsidR="00D00597" w:rsidRPr="00C1738E" w:rsidTr="00C1738E">
        <w:tc>
          <w:tcPr>
            <w:tcW w:w="2808" w:type="dxa"/>
            <w:shd w:val="clear" w:color="auto" w:fill="auto"/>
          </w:tcPr>
          <w:p w:rsidR="00D00597" w:rsidRPr="00C1738E" w:rsidRDefault="00D00597" w:rsidP="00D00597">
            <w:pPr>
              <w:rPr>
                <w:sz w:val="22"/>
                <w:szCs w:val="22"/>
              </w:rPr>
            </w:pPr>
            <w:r w:rsidRPr="00C1738E">
              <w:rPr>
                <w:sz w:val="22"/>
                <w:szCs w:val="22"/>
              </w:rPr>
              <w:t>Range 3</w:t>
            </w:r>
          </w:p>
        </w:tc>
        <w:tc>
          <w:tcPr>
            <w:tcW w:w="2800" w:type="dxa"/>
            <w:shd w:val="clear" w:color="auto" w:fill="auto"/>
          </w:tcPr>
          <w:p w:rsidR="00D00597" w:rsidRPr="00C1738E" w:rsidRDefault="00D00597" w:rsidP="00C1738E">
            <w:pPr>
              <w:jc w:val="right"/>
              <w:rPr>
                <w:b/>
                <w:sz w:val="22"/>
                <w:szCs w:val="22"/>
              </w:rPr>
            </w:pPr>
            <w:r w:rsidRPr="00C1738E">
              <w:rPr>
                <w:b/>
                <w:sz w:val="22"/>
                <w:szCs w:val="22"/>
              </w:rPr>
              <w:t>£0</w:t>
            </w:r>
          </w:p>
        </w:tc>
      </w:tr>
      <w:tr w:rsidR="00D00597" w:rsidRPr="00C1738E" w:rsidTr="00C1738E">
        <w:tc>
          <w:tcPr>
            <w:tcW w:w="2808" w:type="dxa"/>
            <w:shd w:val="clear" w:color="auto" w:fill="auto"/>
          </w:tcPr>
          <w:p w:rsidR="00D00597" w:rsidRPr="00C1738E" w:rsidRDefault="00D00597" w:rsidP="00D00597">
            <w:pPr>
              <w:rPr>
                <w:sz w:val="22"/>
                <w:szCs w:val="22"/>
              </w:rPr>
            </w:pPr>
            <w:r w:rsidRPr="00C1738E">
              <w:rPr>
                <w:sz w:val="22"/>
                <w:szCs w:val="22"/>
              </w:rPr>
              <w:t>Range 4A</w:t>
            </w:r>
          </w:p>
        </w:tc>
        <w:tc>
          <w:tcPr>
            <w:tcW w:w="2800" w:type="dxa"/>
            <w:shd w:val="clear" w:color="auto" w:fill="auto"/>
          </w:tcPr>
          <w:p w:rsidR="00D00597" w:rsidRPr="00C1738E" w:rsidRDefault="00FB121E" w:rsidP="00C1738E">
            <w:pPr>
              <w:jc w:val="right"/>
              <w:rPr>
                <w:b/>
                <w:sz w:val="22"/>
                <w:szCs w:val="22"/>
              </w:rPr>
            </w:pPr>
            <w:r>
              <w:rPr>
                <w:b/>
                <w:sz w:val="22"/>
                <w:szCs w:val="22"/>
              </w:rPr>
              <w:t>£985</w:t>
            </w:r>
          </w:p>
        </w:tc>
      </w:tr>
      <w:tr w:rsidR="00D00597" w:rsidRPr="00C1738E" w:rsidTr="00C1738E">
        <w:tc>
          <w:tcPr>
            <w:tcW w:w="2808" w:type="dxa"/>
            <w:shd w:val="clear" w:color="auto" w:fill="auto"/>
          </w:tcPr>
          <w:p w:rsidR="00D00597" w:rsidRPr="00C1738E" w:rsidRDefault="00D00597" w:rsidP="00D00597">
            <w:pPr>
              <w:rPr>
                <w:sz w:val="22"/>
                <w:szCs w:val="22"/>
              </w:rPr>
            </w:pPr>
            <w:r w:rsidRPr="00C1738E">
              <w:rPr>
                <w:sz w:val="22"/>
                <w:szCs w:val="22"/>
              </w:rPr>
              <w:t>Range 4B</w:t>
            </w:r>
          </w:p>
        </w:tc>
        <w:tc>
          <w:tcPr>
            <w:tcW w:w="2800" w:type="dxa"/>
            <w:shd w:val="clear" w:color="auto" w:fill="auto"/>
          </w:tcPr>
          <w:p w:rsidR="00D00597" w:rsidRPr="00C1738E" w:rsidRDefault="00FB121E" w:rsidP="00C1738E">
            <w:pPr>
              <w:jc w:val="right"/>
              <w:rPr>
                <w:b/>
                <w:sz w:val="22"/>
                <w:szCs w:val="22"/>
              </w:rPr>
            </w:pPr>
            <w:r>
              <w:rPr>
                <w:b/>
                <w:sz w:val="22"/>
                <w:szCs w:val="22"/>
              </w:rPr>
              <w:t>£3,105</w:t>
            </w:r>
          </w:p>
        </w:tc>
      </w:tr>
      <w:tr w:rsidR="00D00597" w:rsidRPr="00C1738E" w:rsidTr="00C1738E">
        <w:tc>
          <w:tcPr>
            <w:tcW w:w="2808" w:type="dxa"/>
            <w:shd w:val="clear" w:color="auto" w:fill="auto"/>
          </w:tcPr>
          <w:p w:rsidR="00D00597" w:rsidRPr="00C1738E" w:rsidRDefault="00D00597" w:rsidP="00D00597">
            <w:pPr>
              <w:rPr>
                <w:sz w:val="22"/>
                <w:szCs w:val="22"/>
              </w:rPr>
            </w:pPr>
            <w:r w:rsidRPr="00C1738E">
              <w:rPr>
                <w:sz w:val="22"/>
                <w:szCs w:val="22"/>
              </w:rPr>
              <w:t>Range 4C</w:t>
            </w:r>
          </w:p>
        </w:tc>
        <w:tc>
          <w:tcPr>
            <w:tcW w:w="2800" w:type="dxa"/>
            <w:shd w:val="clear" w:color="auto" w:fill="auto"/>
          </w:tcPr>
          <w:p w:rsidR="00D00597" w:rsidRPr="00C1738E" w:rsidRDefault="00D00597" w:rsidP="00C1738E">
            <w:pPr>
              <w:jc w:val="right"/>
              <w:rPr>
                <w:b/>
                <w:sz w:val="22"/>
                <w:szCs w:val="22"/>
              </w:rPr>
            </w:pPr>
            <w:r w:rsidRPr="00C1738E">
              <w:rPr>
                <w:b/>
                <w:sz w:val="22"/>
                <w:szCs w:val="22"/>
              </w:rPr>
              <w:t>£4,</w:t>
            </w:r>
            <w:r w:rsidR="00FB121E">
              <w:rPr>
                <w:b/>
                <w:sz w:val="22"/>
                <w:szCs w:val="22"/>
              </w:rPr>
              <w:t>758</w:t>
            </w:r>
          </w:p>
        </w:tc>
      </w:tr>
      <w:tr w:rsidR="00D00597" w:rsidRPr="00C1738E" w:rsidTr="00C1738E">
        <w:tc>
          <w:tcPr>
            <w:tcW w:w="2808" w:type="dxa"/>
            <w:shd w:val="clear" w:color="auto" w:fill="auto"/>
          </w:tcPr>
          <w:p w:rsidR="00D00597" w:rsidRPr="00C1738E" w:rsidRDefault="00D00597" w:rsidP="00D00597">
            <w:pPr>
              <w:rPr>
                <w:sz w:val="22"/>
                <w:szCs w:val="22"/>
              </w:rPr>
            </w:pPr>
            <w:r w:rsidRPr="00C1738E">
              <w:rPr>
                <w:sz w:val="22"/>
                <w:szCs w:val="22"/>
              </w:rPr>
              <w:t>Range 4D</w:t>
            </w:r>
          </w:p>
        </w:tc>
        <w:tc>
          <w:tcPr>
            <w:tcW w:w="2800" w:type="dxa"/>
            <w:shd w:val="clear" w:color="auto" w:fill="auto"/>
          </w:tcPr>
          <w:p w:rsidR="00D00597" w:rsidRPr="00C1738E" w:rsidRDefault="00FB121E" w:rsidP="00C1738E">
            <w:pPr>
              <w:jc w:val="right"/>
              <w:rPr>
                <w:b/>
                <w:sz w:val="22"/>
                <w:szCs w:val="22"/>
              </w:rPr>
            </w:pPr>
            <w:r>
              <w:rPr>
                <w:b/>
                <w:sz w:val="22"/>
                <w:szCs w:val="22"/>
              </w:rPr>
              <w:t>£7,411</w:t>
            </w:r>
          </w:p>
        </w:tc>
      </w:tr>
      <w:tr w:rsidR="00D00597" w:rsidRPr="00C1738E" w:rsidTr="00C1738E">
        <w:tc>
          <w:tcPr>
            <w:tcW w:w="2808" w:type="dxa"/>
            <w:shd w:val="clear" w:color="auto" w:fill="auto"/>
          </w:tcPr>
          <w:p w:rsidR="00D00597" w:rsidRPr="00C1738E" w:rsidRDefault="00D00597" w:rsidP="00D00597">
            <w:pPr>
              <w:rPr>
                <w:sz w:val="22"/>
                <w:szCs w:val="22"/>
              </w:rPr>
            </w:pPr>
            <w:r w:rsidRPr="00C1738E">
              <w:rPr>
                <w:sz w:val="22"/>
                <w:szCs w:val="22"/>
              </w:rPr>
              <w:t>Range 5</w:t>
            </w:r>
          </w:p>
        </w:tc>
        <w:tc>
          <w:tcPr>
            <w:tcW w:w="2800" w:type="dxa"/>
            <w:shd w:val="clear" w:color="auto" w:fill="auto"/>
          </w:tcPr>
          <w:p w:rsidR="00D00597" w:rsidRPr="00C1738E" w:rsidRDefault="00FB121E" w:rsidP="00C1738E">
            <w:pPr>
              <w:jc w:val="right"/>
              <w:rPr>
                <w:b/>
                <w:sz w:val="22"/>
                <w:szCs w:val="22"/>
              </w:rPr>
            </w:pPr>
            <w:r>
              <w:rPr>
                <w:b/>
                <w:sz w:val="22"/>
                <w:szCs w:val="22"/>
              </w:rPr>
              <w:t>£10,806</w:t>
            </w:r>
          </w:p>
        </w:tc>
      </w:tr>
      <w:tr w:rsidR="00D00597" w:rsidRPr="00C1738E" w:rsidTr="00C1738E">
        <w:tc>
          <w:tcPr>
            <w:tcW w:w="2808" w:type="dxa"/>
            <w:shd w:val="clear" w:color="auto" w:fill="auto"/>
          </w:tcPr>
          <w:p w:rsidR="00D00597" w:rsidRPr="00C1738E" w:rsidRDefault="00D00597" w:rsidP="00D00597">
            <w:pPr>
              <w:rPr>
                <w:sz w:val="22"/>
                <w:szCs w:val="22"/>
              </w:rPr>
            </w:pPr>
            <w:r w:rsidRPr="00C1738E">
              <w:rPr>
                <w:sz w:val="22"/>
                <w:szCs w:val="22"/>
              </w:rPr>
              <w:t>Range 6</w:t>
            </w:r>
          </w:p>
        </w:tc>
        <w:tc>
          <w:tcPr>
            <w:tcW w:w="2800" w:type="dxa"/>
            <w:shd w:val="clear" w:color="auto" w:fill="auto"/>
          </w:tcPr>
          <w:p w:rsidR="00D00597" w:rsidRPr="00C1738E" w:rsidRDefault="00FB121E" w:rsidP="00C1738E">
            <w:pPr>
              <w:jc w:val="right"/>
              <w:rPr>
                <w:b/>
                <w:sz w:val="22"/>
                <w:szCs w:val="22"/>
              </w:rPr>
            </w:pPr>
            <w:r>
              <w:rPr>
                <w:b/>
                <w:sz w:val="22"/>
                <w:szCs w:val="22"/>
              </w:rPr>
              <w:t>£14,398</w:t>
            </w:r>
          </w:p>
        </w:tc>
      </w:tr>
      <w:tr w:rsidR="00D00597" w:rsidRPr="00C1738E" w:rsidTr="00C1738E">
        <w:tc>
          <w:tcPr>
            <w:tcW w:w="2808" w:type="dxa"/>
            <w:shd w:val="clear" w:color="auto" w:fill="auto"/>
          </w:tcPr>
          <w:p w:rsidR="00D00597" w:rsidRPr="00C1738E" w:rsidRDefault="00D00597" w:rsidP="00D00597">
            <w:pPr>
              <w:rPr>
                <w:sz w:val="22"/>
                <w:szCs w:val="22"/>
              </w:rPr>
            </w:pPr>
            <w:r w:rsidRPr="00C1738E">
              <w:rPr>
                <w:sz w:val="22"/>
                <w:szCs w:val="22"/>
              </w:rPr>
              <w:t>Range 7</w:t>
            </w:r>
          </w:p>
        </w:tc>
        <w:tc>
          <w:tcPr>
            <w:tcW w:w="2800" w:type="dxa"/>
            <w:shd w:val="clear" w:color="auto" w:fill="auto"/>
          </w:tcPr>
          <w:p w:rsidR="00D00597" w:rsidRPr="00C1738E" w:rsidRDefault="00FB121E" w:rsidP="00C1738E">
            <w:pPr>
              <w:jc w:val="right"/>
              <w:rPr>
                <w:b/>
                <w:sz w:val="22"/>
                <w:szCs w:val="22"/>
              </w:rPr>
            </w:pPr>
            <w:r>
              <w:rPr>
                <w:b/>
                <w:sz w:val="22"/>
                <w:szCs w:val="22"/>
              </w:rPr>
              <w:t>£23,658</w:t>
            </w:r>
          </w:p>
        </w:tc>
      </w:tr>
    </w:tbl>
    <w:p w:rsidR="00340477" w:rsidRDefault="00340477" w:rsidP="00FB4F2D">
      <w:pPr>
        <w:jc w:val="both"/>
        <w:rPr>
          <w:sz w:val="22"/>
          <w:szCs w:val="22"/>
        </w:rPr>
      </w:pPr>
    </w:p>
    <w:p w:rsidR="009F2D68" w:rsidRDefault="005C5735" w:rsidP="001402CD">
      <w:pPr>
        <w:jc w:val="both"/>
        <w:rPr>
          <w:sz w:val="22"/>
          <w:szCs w:val="22"/>
        </w:rPr>
      </w:pPr>
      <w:r>
        <w:rPr>
          <w:sz w:val="22"/>
          <w:szCs w:val="22"/>
        </w:rPr>
        <w:t>4.13</w:t>
      </w:r>
      <w:r w:rsidR="009F2D68">
        <w:rPr>
          <w:sz w:val="22"/>
          <w:szCs w:val="22"/>
        </w:rPr>
        <w:t xml:space="preserve"> These values </w:t>
      </w:r>
      <w:r w:rsidR="00AE34D7">
        <w:rPr>
          <w:sz w:val="22"/>
          <w:szCs w:val="22"/>
        </w:rPr>
        <w:t>are</w:t>
      </w:r>
      <w:r w:rsidR="009F2D68">
        <w:rPr>
          <w:sz w:val="22"/>
          <w:szCs w:val="22"/>
        </w:rPr>
        <w:t xml:space="preserve"> 1.5%</w:t>
      </w:r>
      <w:r w:rsidR="00AE34D7">
        <w:rPr>
          <w:sz w:val="22"/>
          <w:szCs w:val="22"/>
        </w:rPr>
        <w:t xml:space="preserve"> lower than</w:t>
      </w:r>
      <w:r w:rsidR="009F2D68">
        <w:rPr>
          <w:sz w:val="22"/>
          <w:szCs w:val="22"/>
        </w:rPr>
        <w:t xml:space="preserve"> those set in 2013/14.</w:t>
      </w:r>
    </w:p>
    <w:p w:rsidR="009F2D68" w:rsidRDefault="009F2D68" w:rsidP="001402CD">
      <w:pPr>
        <w:jc w:val="both"/>
        <w:rPr>
          <w:sz w:val="22"/>
          <w:szCs w:val="22"/>
        </w:rPr>
      </w:pPr>
    </w:p>
    <w:p w:rsidR="004C2D8C" w:rsidRDefault="0015118D" w:rsidP="001402CD">
      <w:pPr>
        <w:jc w:val="both"/>
        <w:rPr>
          <w:sz w:val="22"/>
          <w:szCs w:val="22"/>
        </w:rPr>
      </w:pPr>
      <w:r>
        <w:rPr>
          <w:sz w:val="22"/>
          <w:szCs w:val="22"/>
        </w:rPr>
        <w:lastRenderedPageBreak/>
        <w:t>4</w:t>
      </w:r>
      <w:r w:rsidR="009F2D68">
        <w:rPr>
          <w:sz w:val="22"/>
          <w:szCs w:val="22"/>
        </w:rPr>
        <w:t>.14</w:t>
      </w:r>
      <w:r w:rsidR="0086313C">
        <w:rPr>
          <w:sz w:val="22"/>
          <w:szCs w:val="22"/>
        </w:rPr>
        <w:t xml:space="preserve"> For example then, for a child assessed at Range 7 in a Special school</w:t>
      </w:r>
      <w:r w:rsidR="00400F72">
        <w:rPr>
          <w:sz w:val="22"/>
          <w:szCs w:val="22"/>
        </w:rPr>
        <w:t xml:space="preserve"> or academy</w:t>
      </w:r>
      <w:r w:rsidR="0086313C">
        <w:rPr>
          <w:sz w:val="22"/>
          <w:szCs w:val="22"/>
        </w:rPr>
        <w:t xml:space="preserve"> would receive £10,000 Pla</w:t>
      </w:r>
      <w:r w:rsidR="00FB121E">
        <w:rPr>
          <w:sz w:val="22"/>
          <w:szCs w:val="22"/>
        </w:rPr>
        <w:t>ce funding and an additional £23,658</w:t>
      </w:r>
      <w:r w:rsidR="0086313C">
        <w:rPr>
          <w:sz w:val="22"/>
          <w:szCs w:val="22"/>
        </w:rPr>
        <w:t xml:space="preserve"> </w:t>
      </w:r>
      <w:r w:rsidR="00FB121E">
        <w:rPr>
          <w:sz w:val="22"/>
          <w:szCs w:val="22"/>
        </w:rPr>
        <w:t>Plus funding; a total of £33,658</w:t>
      </w:r>
      <w:r w:rsidR="0086313C">
        <w:rPr>
          <w:sz w:val="22"/>
          <w:szCs w:val="22"/>
        </w:rPr>
        <w:t xml:space="preserve"> for a full year.</w:t>
      </w:r>
      <w:r w:rsidR="00CE2DEB">
        <w:rPr>
          <w:sz w:val="22"/>
          <w:szCs w:val="22"/>
        </w:rPr>
        <w:t xml:space="preserve"> Where a child</w:t>
      </w:r>
      <w:r w:rsidR="00400F72">
        <w:rPr>
          <w:sz w:val="22"/>
          <w:szCs w:val="22"/>
        </w:rPr>
        <w:t xml:space="preserve"> is placed at a setting during the ye</w:t>
      </w:r>
      <w:r w:rsidR="003A35EE">
        <w:rPr>
          <w:sz w:val="22"/>
          <w:szCs w:val="22"/>
        </w:rPr>
        <w:t>ar, the setting would receive the</w:t>
      </w:r>
      <w:r w:rsidR="00400F72">
        <w:rPr>
          <w:sz w:val="22"/>
          <w:szCs w:val="22"/>
        </w:rPr>
        <w:t xml:space="preserve"> Plus value for the pr</w:t>
      </w:r>
      <w:r w:rsidR="000A01CC">
        <w:rPr>
          <w:sz w:val="22"/>
          <w:szCs w:val="22"/>
        </w:rPr>
        <w:t>oportion of the year th</w:t>
      </w:r>
      <w:r w:rsidR="00CE2DEB">
        <w:rPr>
          <w:sz w:val="22"/>
          <w:szCs w:val="22"/>
        </w:rPr>
        <w:t>e pupil is on roll</w:t>
      </w:r>
      <w:r w:rsidR="000A01CC">
        <w:rPr>
          <w:sz w:val="22"/>
          <w:szCs w:val="22"/>
        </w:rPr>
        <w:t>.</w:t>
      </w:r>
      <w:r w:rsidR="00400F72">
        <w:rPr>
          <w:sz w:val="22"/>
          <w:szCs w:val="22"/>
        </w:rPr>
        <w:t xml:space="preserve"> </w:t>
      </w:r>
    </w:p>
    <w:p w:rsidR="00B25D3E" w:rsidRDefault="00B25D3E" w:rsidP="001402CD">
      <w:pPr>
        <w:jc w:val="both"/>
        <w:rPr>
          <w:sz w:val="22"/>
          <w:szCs w:val="22"/>
          <w:u w:val="single"/>
        </w:rPr>
      </w:pPr>
    </w:p>
    <w:p w:rsidR="00B84169" w:rsidRDefault="00B84169" w:rsidP="001402CD">
      <w:pPr>
        <w:jc w:val="both"/>
        <w:rPr>
          <w:sz w:val="22"/>
          <w:szCs w:val="22"/>
          <w:u w:val="single"/>
        </w:rPr>
      </w:pPr>
    </w:p>
    <w:p w:rsidR="004C2D8C" w:rsidRPr="0066087E" w:rsidRDefault="00BC6094" w:rsidP="001402CD">
      <w:pPr>
        <w:jc w:val="both"/>
        <w:rPr>
          <w:sz w:val="22"/>
          <w:szCs w:val="22"/>
          <w:u w:val="single"/>
        </w:rPr>
      </w:pPr>
      <w:r w:rsidRPr="0066087E">
        <w:rPr>
          <w:sz w:val="22"/>
          <w:szCs w:val="22"/>
          <w:u w:val="single"/>
        </w:rPr>
        <w:t>Funding Setting Based Need</w:t>
      </w:r>
    </w:p>
    <w:p w:rsidR="004C2D8C" w:rsidRPr="0066087E" w:rsidRDefault="004C2D8C" w:rsidP="001402CD">
      <w:pPr>
        <w:jc w:val="both"/>
        <w:rPr>
          <w:sz w:val="22"/>
          <w:szCs w:val="22"/>
        </w:rPr>
      </w:pPr>
    </w:p>
    <w:p w:rsidR="004C2D8C" w:rsidRPr="0066087E" w:rsidRDefault="0015118D" w:rsidP="001402CD">
      <w:pPr>
        <w:jc w:val="both"/>
        <w:rPr>
          <w:sz w:val="22"/>
          <w:szCs w:val="22"/>
        </w:rPr>
      </w:pPr>
      <w:r>
        <w:rPr>
          <w:sz w:val="22"/>
          <w:szCs w:val="22"/>
        </w:rPr>
        <w:t>4</w:t>
      </w:r>
      <w:r w:rsidR="009F2D68">
        <w:rPr>
          <w:sz w:val="22"/>
          <w:szCs w:val="22"/>
        </w:rPr>
        <w:t>.15</w:t>
      </w:r>
      <w:r w:rsidR="00CF59AC" w:rsidRPr="0066087E">
        <w:rPr>
          <w:sz w:val="22"/>
          <w:szCs w:val="22"/>
        </w:rPr>
        <w:t xml:space="preserve"> </w:t>
      </w:r>
      <w:r w:rsidR="009403C9" w:rsidRPr="0066087E">
        <w:rPr>
          <w:sz w:val="22"/>
          <w:szCs w:val="22"/>
        </w:rPr>
        <w:t>The following setting based needs factor</w:t>
      </w:r>
      <w:r w:rsidR="00474ADA" w:rsidRPr="0066087E">
        <w:rPr>
          <w:sz w:val="22"/>
          <w:szCs w:val="22"/>
        </w:rPr>
        <w:t>s have been included in the cal</w:t>
      </w:r>
      <w:r w:rsidR="00D6448F">
        <w:rPr>
          <w:sz w:val="22"/>
          <w:szCs w:val="22"/>
        </w:rPr>
        <w:t>culation of Plus funding in 2014/15</w:t>
      </w:r>
      <w:r w:rsidR="002E70F8">
        <w:rPr>
          <w:sz w:val="22"/>
          <w:szCs w:val="22"/>
        </w:rPr>
        <w:t>. These have been allocated in addit</w:t>
      </w:r>
      <w:r w:rsidR="00CE2DEB">
        <w:rPr>
          <w:sz w:val="22"/>
          <w:szCs w:val="22"/>
        </w:rPr>
        <w:t>ion</w:t>
      </w:r>
      <w:r w:rsidR="002E70F8">
        <w:rPr>
          <w:sz w:val="22"/>
          <w:szCs w:val="22"/>
        </w:rPr>
        <w:t xml:space="preserve"> to the values of pupil based need funding shown in the table above.</w:t>
      </w:r>
    </w:p>
    <w:p w:rsidR="0066087E" w:rsidRDefault="0066087E" w:rsidP="0066087E">
      <w:pPr>
        <w:ind w:left="360"/>
        <w:jc w:val="both"/>
        <w:rPr>
          <w:sz w:val="22"/>
          <w:szCs w:val="22"/>
        </w:rPr>
      </w:pPr>
    </w:p>
    <w:p w:rsidR="0066087E" w:rsidRPr="0006685B" w:rsidRDefault="007C5DE4" w:rsidP="00C1738E">
      <w:pPr>
        <w:numPr>
          <w:ilvl w:val="0"/>
          <w:numId w:val="2"/>
        </w:numPr>
        <w:jc w:val="both"/>
        <w:rPr>
          <w:sz w:val="22"/>
          <w:szCs w:val="22"/>
          <w:u w:val="single"/>
        </w:rPr>
      </w:pPr>
      <w:r>
        <w:rPr>
          <w:sz w:val="22"/>
          <w:szCs w:val="22"/>
          <w:u w:val="single"/>
        </w:rPr>
        <w:t>New Delegation C</w:t>
      </w:r>
      <w:r w:rsidR="0066087E" w:rsidRPr="0006685B">
        <w:rPr>
          <w:sz w:val="22"/>
          <w:szCs w:val="22"/>
          <w:u w:val="single"/>
        </w:rPr>
        <w:t>osts</w:t>
      </w:r>
      <w:r w:rsidR="0066087E">
        <w:rPr>
          <w:sz w:val="22"/>
          <w:szCs w:val="22"/>
        </w:rPr>
        <w:t xml:space="preserve"> – an additional amount </w:t>
      </w:r>
      <w:r w:rsidR="00CE04A7">
        <w:rPr>
          <w:sz w:val="22"/>
          <w:szCs w:val="22"/>
        </w:rPr>
        <w:t xml:space="preserve">per pupil </w:t>
      </w:r>
      <w:r w:rsidR="0066087E">
        <w:rPr>
          <w:sz w:val="22"/>
          <w:szCs w:val="22"/>
        </w:rPr>
        <w:t xml:space="preserve">to reflect that </w:t>
      </w:r>
      <w:r w:rsidR="00CE2DEB">
        <w:rPr>
          <w:sz w:val="22"/>
          <w:szCs w:val="22"/>
        </w:rPr>
        <w:t xml:space="preserve">stand alone </w:t>
      </w:r>
      <w:r w:rsidR="0066087E">
        <w:rPr>
          <w:sz w:val="22"/>
          <w:szCs w:val="22"/>
        </w:rPr>
        <w:t>specialist settings under Place Plus cannot access de-delegated and centrally manag</w:t>
      </w:r>
      <w:r w:rsidR="00527F12">
        <w:rPr>
          <w:sz w:val="22"/>
          <w:szCs w:val="22"/>
        </w:rPr>
        <w:t>ed services</w:t>
      </w:r>
      <w:r w:rsidR="0066087E">
        <w:rPr>
          <w:sz w:val="22"/>
          <w:szCs w:val="22"/>
        </w:rPr>
        <w:t xml:space="preserve"> and this may create additional budget pressure - set at a flat £364 per pupil. So a setting with 100 pupils would receive 100 x £364 = £36,400 additional funding.</w:t>
      </w:r>
    </w:p>
    <w:p w:rsidR="0066087E" w:rsidRDefault="0066087E" w:rsidP="0066087E">
      <w:pPr>
        <w:jc w:val="both"/>
        <w:rPr>
          <w:sz w:val="22"/>
          <w:szCs w:val="22"/>
        </w:rPr>
      </w:pPr>
    </w:p>
    <w:p w:rsidR="0066087E" w:rsidRDefault="0066087E" w:rsidP="00C1738E">
      <w:pPr>
        <w:numPr>
          <w:ilvl w:val="0"/>
          <w:numId w:val="2"/>
        </w:numPr>
        <w:jc w:val="both"/>
        <w:rPr>
          <w:sz w:val="22"/>
          <w:szCs w:val="22"/>
        </w:rPr>
      </w:pPr>
      <w:r w:rsidRPr="0006685B">
        <w:rPr>
          <w:sz w:val="22"/>
          <w:szCs w:val="22"/>
          <w:u w:val="single"/>
        </w:rPr>
        <w:t>Small</w:t>
      </w:r>
      <w:r w:rsidR="000611D8">
        <w:rPr>
          <w:sz w:val="22"/>
          <w:szCs w:val="22"/>
          <w:u w:val="single"/>
        </w:rPr>
        <w:t xml:space="preserve"> Setting</w:t>
      </w:r>
      <w:r w:rsidRPr="0006685B">
        <w:rPr>
          <w:sz w:val="22"/>
          <w:szCs w:val="22"/>
          <w:u w:val="single"/>
        </w:rPr>
        <w:t xml:space="preserve"> Protection</w:t>
      </w:r>
      <w:r>
        <w:rPr>
          <w:sz w:val="22"/>
          <w:szCs w:val="22"/>
        </w:rPr>
        <w:t xml:space="preserve"> – an additional sum, for </w:t>
      </w:r>
      <w:r w:rsidR="00FF7C75">
        <w:rPr>
          <w:sz w:val="22"/>
          <w:szCs w:val="22"/>
        </w:rPr>
        <w:t>stand-alone</w:t>
      </w:r>
      <w:r>
        <w:rPr>
          <w:sz w:val="22"/>
          <w:szCs w:val="22"/>
        </w:rPr>
        <w:t xml:space="preserve"> settings with fewer than 75 places, to ensure a minimum level </w:t>
      </w:r>
      <w:r w:rsidR="00CE2DEB">
        <w:rPr>
          <w:sz w:val="22"/>
          <w:szCs w:val="22"/>
        </w:rPr>
        <w:t>of funding for fixed</w:t>
      </w:r>
      <w:r w:rsidR="00885551">
        <w:rPr>
          <w:sz w:val="22"/>
          <w:szCs w:val="22"/>
        </w:rPr>
        <w:t xml:space="preserve"> costs. The</w:t>
      </w:r>
      <w:r w:rsidR="00D6448F">
        <w:rPr>
          <w:sz w:val="22"/>
          <w:szCs w:val="22"/>
        </w:rPr>
        <w:t xml:space="preserve"> formula in 2014/15</w:t>
      </w:r>
      <w:r>
        <w:rPr>
          <w:sz w:val="22"/>
          <w:szCs w:val="22"/>
        </w:rPr>
        <w:t xml:space="preserve"> is:</w:t>
      </w:r>
    </w:p>
    <w:p w:rsidR="0066087E" w:rsidRDefault="00885551" w:rsidP="0066087E">
      <w:pPr>
        <w:jc w:val="both"/>
        <w:rPr>
          <w:sz w:val="22"/>
          <w:szCs w:val="22"/>
        </w:rPr>
      </w:pPr>
      <w:r>
        <w:rPr>
          <w:sz w:val="22"/>
          <w:szCs w:val="22"/>
        </w:rPr>
        <w:tab/>
        <w:t xml:space="preserve">A </w:t>
      </w:r>
      <w:r>
        <w:rPr>
          <w:sz w:val="22"/>
          <w:szCs w:val="22"/>
        </w:rPr>
        <w:tab/>
        <w:t>(75 x £10,000</w:t>
      </w:r>
      <w:r w:rsidR="0066087E">
        <w:rPr>
          <w:sz w:val="22"/>
          <w:szCs w:val="22"/>
        </w:rPr>
        <w:t xml:space="preserve"> x 20%) </w:t>
      </w:r>
    </w:p>
    <w:p w:rsidR="0066087E" w:rsidRDefault="00D91BE4" w:rsidP="0066087E">
      <w:pPr>
        <w:jc w:val="both"/>
        <w:rPr>
          <w:sz w:val="22"/>
          <w:szCs w:val="22"/>
        </w:rPr>
      </w:pPr>
      <w:r>
        <w:rPr>
          <w:sz w:val="22"/>
          <w:szCs w:val="22"/>
        </w:rPr>
        <w:tab/>
        <w:t xml:space="preserve">B  </w:t>
      </w:r>
      <w:r>
        <w:rPr>
          <w:sz w:val="22"/>
          <w:szCs w:val="22"/>
        </w:rPr>
        <w:tab/>
        <w:t>(setting’s place funding x</w:t>
      </w:r>
      <w:r w:rsidR="0066087E">
        <w:rPr>
          <w:sz w:val="22"/>
          <w:szCs w:val="22"/>
        </w:rPr>
        <w:t xml:space="preserve"> 20%) </w:t>
      </w:r>
    </w:p>
    <w:p w:rsidR="0066087E" w:rsidRDefault="0066087E" w:rsidP="0066087E">
      <w:pPr>
        <w:jc w:val="both"/>
        <w:rPr>
          <w:sz w:val="22"/>
          <w:szCs w:val="22"/>
        </w:rPr>
      </w:pPr>
      <w:r>
        <w:rPr>
          <w:sz w:val="22"/>
          <w:szCs w:val="22"/>
        </w:rPr>
        <w:tab/>
        <w:t>= top up to the value of A where B is less than A</w:t>
      </w:r>
    </w:p>
    <w:p w:rsidR="0066087E" w:rsidRDefault="0066087E" w:rsidP="0066087E">
      <w:pPr>
        <w:jc w:val="both"/>
        <w:rPr>
          <w:sz w:val="22"/>
          <w:szCs w:val="22"/>
        </w:rPr>
      </w:pPr>
    </w:p>
    <w:p w:rsidR="0066087E" w:rsidRPr="0066087E" w:rsidRDefault="0066087E" w:rsidP="00C1738E">
      <w:pPr>
        <w:numPr>
          <w:ilvl w:val="0"/>
          <w:numId w:val="2"/>
        </w:numPr>
        <w:jc w:val="both"/>
        <w:rPr>
          <w:sz w:val="22"/>
          <w:szCs w:val="22"/>
          <w:u w:val="single"/>
        </w:rPr>
      </w:pPr>
      <w:r w:rsidRPr="0006685B">
        <w:rPr>
          <w:sz w:val="22"/>
          <w:szCs w:val="22"/>
          <w:u w:val="single"/>
        </w:rPr>
        <w:t>Split Sites</w:t>
      </w:r>
      <w:r w:rsidR="00885551">
        <w:rPr>
          <w:sz w:val="22"/>
          <w:szCs w:val="22"/>
        </w:rPr>
        <w:t xml:space="preserve"> – an additional agreed sum</w:t>
      </w:r>
      <w:r>
        <w:rPr>
          <w:sz w:val="22"/>
          <w:szCs w:val="22"/>
        </w:rPr>
        <w:t xml:space="preserve"> to replicate 2</w:t>
      </w:r>
      <w:r w:rsidR="00D6448F">
        <w:rPr>
          <w:sz w:val="22"/>
          <w:szCs w:val="22"/>
        </w:rPr>
        <w:t>013/14</w:t>
      </w:r>
      <w:r w:rsidR="00CE2DEB">
        <w:rPr>
          <w:sz w:val="22"/>
          <w:szCs w:val="22"/>
        </w:rPr>
        <w:t xml:space="preserve"> values for</w:t>
      </w:r>
      <w:r>
        <w:rPr>
          <w:sz w:val="22"/>
          <w:szCs w:val="22"/>
        </w:rPr>
        <w:t xml:space="preserve"> maintained schools that operate across split sites</w:t>
      </w:r>
      <w:r w:rsidR="009A47FF">
        <w:rPr>
          <w:sz w:val="22"/>
          <w:szCs w:val="22"/>
        </w:rPr>
        <w:t xml:space="preserve"> (</w:t>
      </w:r>
      <w:r w:rsidR="008F4E8F">
        <w:rPr>
          <w:sz w:val="22"/>
          <w:szCs w:val="22"/>
        </w:rPr>
        <w:t>£160,000 for a full year allocation)</w:t>
      </w:r>
      <w:r w:rsidR="00885551">
        <w:rPr>
          <w:sz w:val="22"/>
          <w:szCs w:val="22"/>
        </w:rPr>
        <w:t>.</w:t>
      </w:r>
    </w:p>
    <w:p w:rsidR="0066087E" w:rsidRDefault="0066087E" w:rsidP="0066087E">
      <w:pPr>
        <w:jc w:val="both"/>
        <w:rPr>
          <w:sz w:val="22"/>
          <w:szCs w:val="22"/>
          <w:u w:val="single"/>
        </w:rPr>
      </w:pPr>
    </w:p>
    <w:p w:rsidR="0066087E" w:rsidRPr="00BC6385" w:rsidRDefault="0066087E" w:rsidP="00C1738E">
      <w:pPr>
        <w:numPr>
          <w:ilvl w:val="0"/>
          <w:numId w:val="2"/>
        </w:numPr>
        <w:jc w:val="both"/>
        <w:rPr>
          <w:color w:val="000000"/>
          <w:sz w:val="22"/>
          <w:szCs w:val="22"/>
          <w:u w:val="single"/>
        </w:rPr>
      </w:pPr>
      <w:r w:rsidRPr="00BC6385">
        <w:rPr>
          <w:color w:val="000000"/>
          <w:sz w:val="22"/>
          <w:szCs w:val="22"/>
          <w:u w:val="single"/>
        </w:rPr>
        <w:t xml:space="preserve">Minimum </w:t>
      </w:r>
      <w:r w:rsidRPr="00DE31D2">
        <w:rPr>
          <w:color w:val="000000"/>
          <w:sz w:val="22"/>
          <w:szCs w:val="22"/>
          <w:u w:val="single"/>
        </w:rPr>
        <w:t>Funding Guarantee</w:t>
      </w:r>
      <w:r w:rsidR="00BC6385">
        <w:rPr>
          <w:color w:val="000000"/>
          <w:sz w:val="22"/>
          <w:szCs w:val="22"/>
        </w:rPr>
        <w:t xml:space="preserve"> - t</w:t>
      </w:r>
      <w:r w:rsidR="00BC6385" w:rsidRPr="00BC6385">
        <w:rPr>
          <w:color w:val="000000"/>
          <w:sz w:val="22"/>
          <w:szCs w:val="22"/>
        </w:rPr>
        <w:t xml:space="preserve">he </w:t>
      </w:r>
      <w:proofErr w:type="spellStart"/>
      <w:r w:rsidR="00BC6385" w:rsidRPr="00BC6385">
        <w:rPr>
          <w:color w:val="000000"/>
          <w:sz w:val="22"/>
          <w:szCs w:val="22"/>
        </w:rPr>
        <w:t>D</w:t>
      </w:r>
      <w:r w:rsidR="00D6448F">
        <w:rPr>
          <w:color w:val="000000"/>
          <w:sz w:val="22"/>
          <w:szCs w:val="22"/>
        </w:rPr>
        <w:t>fE</w:t>
      </w:r>
      <w:proofErr w:type="spellEnd"/>
      <w:r w:rsidR="00D6448F">
        <w:rPr>
          <w:color w:val="000000"/>
          <w:sz w:val="22"/>
          <w:szCs w:val="22"/>
        </w:rPr>
        <w:t xml:space="preserve"> set a condition that, in 2014/15</w:t>
      </w:r>
      <w:r w:rsidR="00BC6385" w:rsidRPr="00BC6385">
        <w:rPr>
          <w:color w:val="000000"/>
          <w:sz w:val="22"/>
          <w:szCs w:val="22"/>
        </w:rPr>
        <w:t xml:space="preserve">, the level of ‘Plus’ funding should be such that, if all the high needs pupils in a setting are placed by the Local Authority, the </w:t>
      </w:r>
      <w:r w:rsidR="00D6448F">
        <w:rPr>
          <w:color w:val="000000"/>
          <w:sz w:val="22"/>
          <w:szCs w:val="22"/>
        </w:rPr>
        <w:t>setting’s total funding for 2014/15</w:t>
      </w:r>
      <w:r w:rsidR="00BC6385" w:rsidRPr="00BC6385">
        <w:rPr>
          <w:color w:val="000000"/>
          <w:sz w:val="22"/>
          <w:szCs w:val="22"/>
        </w:rPr>
        <w:t xml:space="preserve"> will not re</w:t>
      </w:r>
      <w:r w:rsidR="00CE2DEB">
        <w:rPr>
          <w:color w:val="000000"/>
          <w:sz w:val="22"/>
          <w:szCs w:val="22"/>
        </w:rPr>
        <w:t>duce by more than 1.5% on</w:t>
      </w:r>
      <w:r w:rsidR="00D6448F">
        <w:rPr>
          <w:color w:val="000000"/>
          <w:sz w:val="22"/>
          <w:szCs w:val="22"/>
        </w:rPr>
        <w:t xml:space="preserve"> 2013/14</w:t>
      </w:r>
      <w:r w:rsidR="00BC6385" w:rsidRPr="00BC6385">
        <w:rPr>
          <w:color w:val="000000"/>
          <w:sz w:val="22"/>
          <w:szCs w:val="22"/>
        </w:rPr>
        <w:t>. This is a pupil-driven protection</w:t>
      </w:r>
      <w:r w:rsidR="000A1518">
        <w:rPr>
          <w:color w:val="000000"/>
          <w:sz w:val="22"/>
          <w:szCs w:val="22"/>
        </w:rPr>
        <w:t xml:space="preserve"> and takes account of the income received by the setting from other local authorities for pupils placed by them.</w:t>
      </w:r>
    </w:p>
    <w:p w:rsidR="00885551" w:rsidRDefault="00885551" w:rsidP="00885551">
      <w:pPr>
        <w:jc w:val="both"/>
        <w:rPr>
          <w:color w:val="FF0000"/>
          <w:sz w:val="22"/>
          <w:szCs w:val="22"/>
          <w:u w:val="single"/>
        </w:rPr>
      </w:pPr>
    </w:p>
    <w:p w:rsidR="00885551" w:rsidRPr="00BC6385" w:rsidRDefault="00D6448F" w:rsidP="004E0CD1">
      <w:pPr>
        <w:numPr>
          <w:ilvl w:val="0"/>
          <w:numId w:val="2"/>
        </w:numPr>
        <w:tabs>
          <w:tab w:val="clear" w:pos="720"/>
          <w:tab w:val="num" w:pos="1080"/>
        </w:tabs>
        <w:jc w:val="both"/>
        <w:rPr>
          <w:color w:val="000000"/>
          <w:sz w:val="22"/>
          <w:szCs w:val="22"/>
          <w:u w:val="single"/>
        </w:rPr>
      </w:pPr>
      <w:r>
        <w:rPr>
          <w:color w:val="000000"/>
          <w:sz w:val="22"/>
          <w:szCs w:val="22"/>
          <w:u w:val="single"/>
        </w:rPr>
        <w:t>2013/14</w:t>
      </w:r>
      <w:r w:rsidR="005E70DE">
        <w:rPr>
          <w:color w:val="000000"/>
          <w:sz w:val="22"/>
          <w:szCs w:val="22"/>
          <w:u w:val="single"/>
        </w:rPr>
        <w:t xml:space="preserve"> Budget P</w:t>
      </w:r>
      <w:r w:rsidR="00885551" w:rsidRPr="00BC6385">
        <w:rPr>
          <w:color w:val="000000"/>
          <w:sz w:val="22"/>
          <w:szCs w:val="22"/>
          <w:u w:val="single"/>
        </w:rPr>
        <w:t>rotection</w:t>
      </w:r>
      <w:r w:rsidR="00885551" w:rsidRPr="00BC6385">
        <w:rPr>
          <w:color w:val="000000"/>
          <w:sz w:val="22"/>
          <w:szCs w:val="22"/>
        </w:rPr>
        <w:t xml:space="preserve"> – </w:t>
      </w:r>
      <w:r w:rsidR="00BC6385" w:rsidRPr="00BC6385">
        <w:rPr>
          <w:color w:val="000000"/>
          <w:sz w:val="22"/>
          <w:szCs w:val="22"/>
        </w:rPr>
        <w:t>an additional total cash budget protection</w:t>
      </w:r>
      <w:r w:rsidR="005E26C3">
        <w:rPr>
          <w:color w:val="000000"/>
          <w:sz w:val="22"/>
          <w:szCs w:val="22"/>
        </w:rPr>
        <w:t>,</w:t>
      </w:r>
      <w:r w:rsidR="00BC6385" w:rsidRPr="00BC6385">
        <w:rPr>
          <w:color w:val="000000"/>
          <w:sz w:val="22"/>
          <w:szCs w:val="22"/>
        </w:rPr>
        <w:t xml:space="preserve"> which ensu</w:t>
      </w:r>
      <w:r>
        <w:rPr>
          <w:color w:val="000000"/>
          <w:sz w:val="22"/>
          <w:szCs w:val="22"/>
        </w:rPr>
        <w:t>res that at no point during 2014/15</w:t>
      </w:r>
      <w:r w:rsidR="00BC6385" w:rsidRPr="00BC6385">
        <w:rPr>
          <w:color w:val="000000"/>
          <w:sz w:val="22"/>
          <w:szCs w:val="22"/>
        </w:rPr>
        <w:t xml:space="preserve"> will the total ‘Place Plus’ calculated budget for an individual setting be more tha</w:t>
      </w:r>
      <w:r>
        <w:rPr>
          <w:color w:val="000000"/>
          <w:sz w:val="22"/>
          <w:szCs w:val="22"/>
        </w:rPr>
        <w:t>n 1.5% lower than the 2013/14</w:t>
      </w:r>
      <w:r w:rsidR="00BC6385" w:rsidRPr="00BC6385">
        <w:rPr>
          <w:color w:val="000000"/>
          <w:sz w:val="22"/>
          <w:szCs w:val="22"/>
        </w:rPr>
        <w:t xml:space="preserve"> total level of funding</w:t>
      </w:r>
      <w:r w:rsidR="005E26C3">
        <w:rPr>
          <w:color w:val="000000"/>
          <w:sz w:val="22"/>
          <w:szCs w:val="22"/>
        </w:rPr>
        <w:t xml:space="preserve"> (</w:t>
      </w:r>
      <w:r w:rsidR="00EC7037">
        <w:rPr>
          <w:color w:val="000000"/>
          <w:sz w:val="22"/>
          <w:szCs w:val="22"/>
        </w:rPr>
        <w:t>taking account of the income received for placements by other local authorities).</w:t>
      </w:r>
    </w:p>
    <w:p w:rsidR="00BC6385" w:rsidRDefault="00BC6385" w:rsidP="00BC6385">
      <w:pPr>
        <w:jc w:val="both"/>
        <w:rPr>
          <w:color w:val="FF0000"/>
          <w:sz w:val="22"/>
          <w:szCs w:val="22"/>
          <w:u w:val="single"/>
        </w:rPr>
      </w:pPr>
    </w:p>
    <w:p w:rsidR="00885551" w:rsidRPr="009A47FF" w:rsidRDefault="00885551" w:rsidP="00C1738E">
      <w:pPr>
        <w:numPr>
          <w:ilvl w:val="0"/>
          <w:numId w:val="2"/>
        </w:numPr>
        <w:jc w:val="both"/>
        <w:rPr>
          <w:color w:val="000000"/>
          <w:sz w:val="22"/>
          <w:szCs w:val="22"/>
          <w:u w:val="single"/>
        </w:rPr>
      </w:pPr>
      <w:r w:rsidRPr="00003041">
        <w:rPr>
          <w:color w:val="000000"/>
          <w:sz w:val="22"/>
          <w:szCs w:val="22"/>
          <w:u w:val="single"/>
        </w:rPr>
        <w:t xml:space="preserve">Safeguarded Salaries </w:t>
      </w:r>
      <w:r w:rsidRPr="00DE31D2">
        <w:rPr>
          <w:color w:val="000000"/>
          <w:sz w:val="22"/>
          <w:szCs w:val="22"/>
          <w:u w:val="single"/>
        </w:rPr>
        <w:t>&amp; Excess Travel</w:t>
      </w:r>
      <w:r w:rsidR="00003041" w:rsidRPr="00003041">
        <w:rPr>
          <w:color w:val="000000"/>
          <w:sz w:val="22"/>
          <w:szCs w:val="22"/>
        </w:rPr>
        <w:t xml:space="preserve"> – existing agreed safeguarded salaries</w:t>
      </w:r>
      <w:r w:rsidR="005E26C3">
        <w:rPr>
          <w:color w:val="000000"/>
          <w:sz w:val="22"/>
          <w:szCs w:val="22"/>
        </w:rPr>
        <w:t xml:space="preserve"> reimbursements</w:t>
      </w:r>
      <w:r w:rsidR="00003041" w:rsidRPr="00003041">
        <w:rPr>
          <w:color w:val="000000"/>
          <w:sz w:val="22"/>
          <w:szCs w:val="22"/>
        </w:rPr>
        <w:t xml:space="preserve"> and excess travel protections for Special schools have continued to be funded on an actual cost basis.</w:t>
      </w:r>
      <w:r w:rsidR="00CE04A7">
        <w:rPr>
          <w:color w:val="000000"/>
          <w:sz w:val="22"/>
          <w:szCs w:val="22"/>
        </w:rPr>
        <w:t xml:space="preserve"> Excess travel protections are reimburse a year in arrears.</w:t>
      </w:r>
      <w:r w:rsidR="00AE34D7">
        <w:rPr>
          <w:color w:val="000000"/>
          <w:sz w:val="22"/>
          <w:szCs w:val="22"/>
        </w:rPr>
        <w:t xml:space="preserve"> This is a factor specific only to special schools.</w:t>
      </w:r>
    </w:p>
    <w:p w:rsidR="009A47FF" w:rsidRDefault="009A47FF" w:rsidP="009A47FF">
      <w:pPr>
        <w:pStyle w:val="ListParagraph"/>
        <w:rPr>
          <w:color w:val="000000"/>
          <w:sz w:val="22"/>
          <w:szCs w:val="22"/>
          <w:u w:val="single"/>
        </w:rPr>
      </w:pPr>
    </w:p>
    <w:p w:rsidR="00294705" w:rsidRPr="00922622" w:rsidRDefault="009A47FF" w:rsidP="001402CD">
      <w:pPr>
        <w:numPr>
          <w:ilvl w:val="0"/>
          <w:numId w:val="2"/>
        </w:numPr>
        <w:jc w:val="both"/>
        <w:rPr>
          <w:sz w:val="22"/>
          <w:szCs w:val="22"/>
          <w:u w:val="single"/>
        </w:rPr>
      </w:pPr>
      <w:r w:rsidRPr="00922622">
        <w:rPr>
          <w:color w:val="000000"/>
          <w:sz w:val="22"/>
          <w:szCs w:val="22"/>
          <w:u w:val="single"/>
        </w:rPr>
        <w:t>Post 16 Places</w:t>
      </w:r>
      <w:r w:rsidRPr="00922622">
        <w:rPr>
          <w:color w:val="000000"/>
          <w:sz w:val="22"/>
          <w:szCs w:val="22"/>
        </w:rPr>
        <w:t xml:space="preserve"> – an additional sum</w:t>
      </w:r>
      <w:r w:rsidR="00922622" w:rsidRPr="00922622">
        <w:rPr>
          <w:color w:val="000000"/>
          <w:sz w:val="22"/>
          <w:szCs w:val="22"/>
        </w:rPr>
        <w:t xml:space="preserve"> per Post 16 place,</w:t>
      </w:r>
      <w:r w:rsidRPr="00922622">
        <w:rPr>
          <w:color w:val="000000"/>
          <w:sz w:val="22"/>
          <w:szCs w:val="22"/>
        </w:rPr>
        <w:t xml:space="preserve"> to continue the additional £1,165 </w:t>
      </w:r>
      <w:r w:rsidR="00922622" w:rsidRPr="00922622">
        <w:rPr>
          <w:color w:val="000000"/>
          <w:sz w:val="22"/>
          <w:szCs w:val="22"/>
        </w:rPr>
        <w:t>per Post 16 place</w:t>
      </w:r>
      <w:r w:rsidRPr="00922622">
        <w:rPr>
          <w:color w:val="000000"/>
          <w:sz w:val="22"/>
          <w:szCs w:val="22"/>
        </w:rPr>
        <w:t xml:space="preserve"> following the </w:t>
      </w:r>
      <w:r w:rsidR="00922622">
        <w:rPr>
          <w:color w:val="000000"/>
          <w:sz w:val="22"/>
          <w:szCs w:val="22"/>
        </w:rPr>
        <w:t xml:space="preserve">directed </w:t>
      </w:r>
      <w:r w:rsidRPr="00922622">
        <w:rPr>
          <w:color w:val="000000"/>
          <w:sz w:val="22"/>
          <w:szCs w:val="22"/>
        </w:rPr>
        <w:t>reduction</w:t>
      </w:r>
      <w:r w:rsidR="00CE04A7">
        <w:rPr>
          <w:color w:val="000000"/>
          <w:sz w:val="22"/>
          <w:szCs w:val="22"/>
        </w:rPr>
        <w:t xml:space="preserve"> from £11,165</w:t>
      </w:r>
      <w:r w:rsidR="00922622" w:rsidRPr="00922622">
        <w:rPr>
          <w:color w:val="000000"/>
          <w:sz w:val="22"/>
          <w:szCs w:val="22"/>
        </w:rPr>
        <w:t xml:space="preserve"> to</w:t>
      </w:r>
      <w:r w:rsidRPr="00922622">
        <w:rPr>
          <w:color w:val="000000"/>
          <w:sz w:val="22"/>
          <w:szCs w:val="22"/>
        </w:rPr>
        <w:t xml:space="preserve"> £10,000</w:t>
      </w:r>
      <w:r w:rsidR="00CE04A7">
        <w:rPr>
          <w:color w:val="000000"/>
          <w:sz w:val="22"/>
          <w:szCs w:val="22"/>
        </w:rPr>
        <w:t xml:space="preserve"> place value</w:t>
      </w:r>
      <w:r w:rsidR="00922622" w:rsidRPr="00922622">
        <w:rPr>
          <w:color w:val="000000"/>
          <w:sz w:val="22"/>
          <w:szCs w:val="22"/>
        </w:rPr>
        <w:t xml:space="preserve"> within the national funding model</w:t>
      </w:r>
      <w:r w:rsidR="00922622">
        <w:rPr>
          <w:color w:val="000000"/>
          <w:sz w:val="22"/>
          <w:szCs w:val="22"/>
        </w:rPr>
        <w:t xml:space="preserve"> from August 2014.</w:t>
      </w:r>
      <w:r w:rsidR="004571D0">
        <w:rPr>
          <w:color w:val="000000"/>
          <w:sz w:val="22"/>
          <w:szCs w:val="22"/>
        </w:rPr>
        <w:t xml:space="preserve"> </w:t>
      </w:r>
      <w:r w:rsidR="004571D0">
        <w:rPr>
          <w:sz w:val="22"/>
          <w:szCs w:val="22"/>
        </w:rPr>
        <w:t>This</w:t>
      </w:r>
      <w:r w:rsidR="004571D0" w:rsidRPr="00522700">
        <w:rPr>
          <w:sz w:val="22"/>
          <w:szCs w:val="22"/>
        </w:rPr>
        <w:t xml:space="preserve"> ensure</w:t>
      </w:r>
      <w:r w:rsidR="004571D0">
        <w:rPr>
          <w:sz w:val="22"/>
          <w:szCs w:val="22"/>
        </w:rPr>
        <w:t>s</w:t>
      </w:r>
      <w:r w:rsidR="004571D0" w:rsidRPr="00522700">
        <w:rPr>
          <w:sz w:val="22"/>
          <w:szCs w:val="22"/>
        </w:rPr>
        <w:t xml:space="preserve"> that special schools with post 16 places</w:t>
      </w:r>
      <w:r w:rsidR="004571D0">
        <w:rPr>
          <w:sz w:val="22"/>
          <w:szCs w:val="22"/>
        </w:rPr>
        <w:t xml:space="preserve"> do not lose out from the</w:t>
      </w:r>
      <w:r w:rsidR="004571D0" w:rsidRPr="00522700">
        <w:rPr>
          <w:sz w:val="22"/>
          <w:szCs w:val="22"/>
        </w:rPr>
        <w:t xml:space="preserve"> technical simplification</w:t>
      </w:r>
      <w:r w:rsidR="004571D0">
        <w:rPr>
          <w:sz w:val="22"/>
          <w:szCs w:val="22"/>
        </w:rPr>
        <w:t>.</w:t>
      </w:r>
      <w:r w:rsidR="00AE34D7">
        <w:rPr>
          <w:sz w:val="22"/>
          <w:szCs w:val="22"/>
        </w:rPr>
        <w:t xml:space="preserve"> This is a factor specific only to special schools.</w:t>
      </w:r>
    </w:p>
    <w:p w:rsidR="00922622" w:rsidRDefault="00922622" w:rsidP="00922622">
      <w:pPr>
        <w:pStyle w:val="ListParagraph"/>
        <w:rPr>
          <w:sz w:val="22"/>
          <w:szCs w:val="22"/>
          <w:u w:val="single"/>
        </w:rPr>
      </w:pPr>
    </w:p>
    <w:p w:rsidR="00922622" w:rsidRPr="00922622" w:rsidRDefault="0016497B" w:rsidP="001402CD">
      <w:pPr>
        <w:numPr>
          <w:ilvl w:val="0"/>
          <w:numId w:val="2"/>
        </w:numPr>
        <w:jc w:val="both"/>
        <w:rPr>
          <w:sz w:val="22"/>
          <w:szCs w:val="22"/>
          <w:u w:val="single"/>
        </w:rPr>
      </w:pPr>
      <w:r>
        <w:rPr>
          <w:sz w:val="22"/>
          <w:szCs w:val="22"/>
          <w:u w:val="single"/>
        </w:rPr>
        <w:t>One Off F</w:t>
      </w:r>
      <w:r w:rsidR="00922622">
        <w:rPr>
          <w:sz w:val="22"/>
          <w:szCs w:val="22"/>
          <w:u w:val="single"/>
        </w:rPr>
        <w:t>unding</w:t>
      </w:r>
      <w:r w:rsidR="00922622">
        <w:rPr>
          <w:sz w:val="22"/>
          <w:szCs w:val="22"/>
        </w:rPr>
        <w:t xml:space="preserve"> – an additional £234 per Pre-16 place allocated by the Schools Forum for 2014/15 only, funded from available one off balances within the Dedicated Schools Grant.</w:t>
      </w:r>
    </w:p>
    <w:p w:rsidR="00922622" w:rsidRDefault="00922622" w:rsidP="00922622">
      <w:pPr>
        <w:jc w:val="both"/>
        <w:rPr>
          <w:sz w:val="22"/>
          <w:szCs w:val="22"/>
          <w:u w:val="single"/>
        </w:rPr>
      </w:pPr>
    </w:p>
    <w:p w:rsidR="00B84169" w:rsidRPr="00922622" w:rsidRDefault="00B84169" w:rsidP="00922622">
      <w:pPr>
        <w:jc w:val="both"/>
        <w:rPr>
          <w:sz w:val="22"/>
          <w:szCs w:val="22"/>
          <w:u w:val="single"/>
        </w:rPr>
      </w:pPr>
    </w:p>
    <w:p w:rsidR="004C2D8C" w:rsidRPr="004C2D8C" w:rsidRDefault="00E13360" w:rsidP="001402CD">
      <w:pPr>
        <w:jc w:val="both"/>
        <w:rPr>
          <w:sz w:val="22"/>
          <w:szCs w:val="22"/>
          <w:u w:val="single"/>
        </w:rPr>
      </w:pPr>
      <w:r>
        <w:rPr>
          <w:sz w:val="22"/>
          <w:szCs w:val="22"/>
          <w:u w:val="single"/>
        </w:rPr>
        <w:t>In Year Re-C</w:t>
      </w:r>
      <w:r w:rsidR="004C2D8C" w:rsidRPr="004C2D8C">
        <w:rPr>
          <w:sz w:val="22"/>
          <w:szCs w:val="22"/>
          <w:u w:val="single"/>
        </w:rPr>
        <w:t>alculation</w:t>
      </w:r>
    </w:p>
    <w:p w:rsidR="004C2D8C" w:rsidRDefault="004C2D8C" w:rsidP="001402CD">
      <w:pPr>
        <w:jc w:val="both"/>
        <w:rPr>
          <w:sz w:val="22"/>
          <w:szCs w:val="22"/>
        </w:rPr>
      </w:pPr>
    </w:p>
    <w:p w:rsidR="008B0A79" w:rsidRDefault="0015118D" w:rsidP="008B0A79">
      <w:pPr>
        <w:jc w:val="both"/>
        <w:rPr>
          <w:sz w:val="22"/>
          <w:szCs w:val="22"/>
        </w:rPr>
      </w:pPr>
      <w:r>
        <w:rPr>
          <w:sz w:val="22"/>
          <w:szCs w:val="22"/>
        </w:rPr>
        <w:t>4</w:t>
      </w:r>
      <w:r w:rsidR="009F2D68">
        <w:rPr>
          <w:sz w:val="22"/>
          <w:szCs w:val="22"/>
        </w:rPr>
        <w:t>.16</w:t>
      </w:r>
      <w:r w:rsidR="008B0A79">
        <w:rPr>
          <w:sz w:val="22"/>
          <w:szCs w:val="22"/>
        </w:rPr>
        <w:t xml:space="preserve"> The value of Plus funding has been re-determined on a monthly basis for the move</w:t>
      </w:r>
      <w:r w:rsidR="000809E6">
        <w:rPr>
          <w:sz w:val="22"/>
          <w:szCs w:val="22"/>
        </w:rPr>
        <w:t>ment of ch</w:t>
      </w:r>
      <w:r w:rsidR="00D35A42">
        <w:rPr>
          <w:sz w:val="22"/>
          <w:szCs w:val="22"/>
        </w:rPr>
        <w:t>ildren</w:t>
      </w:r>
      <w:r w:rsidR="00527F12">
        <w:rPr>
          <w:sz w:val="22"/>
          <w:szCs w:val="22"/>
        </w:rPr>
        <w:t>. This</w:t>
      </w:r>
      <w:r w:rsidR="008B0A79">
        <w:rPr>
          <w:sz w:val="22"/>
          <w:szCs w:val="22"/>
        </w:rPr>
        <w:t xml:space="preserve"> re-calculation has been based on the position</w:t>
      </w:r>
      <w:r w:rsidR="000809E6">
        <w:rPr>
          <w:sz w:val="22"/>
          <w:szCs w:val="22"/>
        </w:rPr>
        <w:t xml:space="preserve"> recorded at</w:t>
      </w:r>
      <w:r w:rsidR="008B0A79">
        <w:rPr>
          <w:sz w:val="22"/>
          <w:szCs w:val="22"/>
        </w:rPr>
        <w:t xml:space="preserve"> the 10</w:t>
      </w:r>
      <w:r w:rsidR="008B0A79" w:rsidRPr="006F3C92">
        <w:rPr>
          <w:sz w:val="22"/>
          <w:szCs w:val="22"/>
          <w:vertAlign w:val="superscript"/>
        </w:rPr>
        <w:t>th</w:t>
      </w:r>
      <w:r w:rsidR="00D35A42">
        <w:rPr>
          <w:sz w:val="22"/>
          <w:szCs w:val="22"/>
        </w:rPr>
        <w:t xml:space="preserve"> of each month. </w:t>
      </w:r>
      <w:r w:rsidR="008B0A79">
        <w:rPr>
          <w:sz w:val="22"/>
          <w:szCs w:val="22"/>
        </w:rPr>
        <w:t>Where a child is admitted after the 10</w:t>
      </w:r>
      <w:r w:rsidR="008B0A79" w:rsidRPr="000501E1">
        <w:rPr>
          <w:sz w:val="22"/>
          <w:szCs w:val="22"/>
          <w:vertAlign w:val="superscript"/>
        </w:rPr>
        <w:t>th</w:t>
      </w:r>
      <w:r w:rsidR="008B0A79">
        <w:rPr>
          <w:sz w:val="22"/>
          <w:szCs w:val="22"/>
        </w:rPr>
        <w:t xml:space="preserve">, funding has begun from the next month. </w:t>
      </w:r>
    </w:p>
    <w:p w:rsidR="008B0A79" w:rsidRDefault="008B0A79" w:rsidP="008B0A79">
      <w:pPr>
        <w:jc w:val="both"/>
        <w:rPr>
          <w:sz w:val="22"/>
          <w:szCs w:val="22"/>
        </w:rPr>
      </w:pPr>
    </w:p>
    <w:p w:rsidR="000809E6" w:rsidRDefault="0015118D" w:rsidP="008B0A79">
      <w:pPr>
        <w:jc w:val="both"/>
        <w:rPr>
          <w:sz w:val="22"/>
          <w:szCs w:val="22"/>
        </w:rPr>
      </w:pPr>
      <w:r>
        <w:rPr>
          <w:sz w:val="22"/>
          <w:szCs w:val="22"/>
        </w:rPr>
        <w:lastRenderedPageBreak/>
        <w:t>4</w:t>
      </w:r>
      <w:r w:rsidR="009F2D68">
        <w:rPr>
          <w:sz w:val="22"/>
          <w:szCs w:val="22"/>
        </w:rPr>
        <w:t>.17</w:t>
      </w:r>
      <w:r w:rsidR="000809E6">
        <w:rPr>
          <w:sz w:val="22"/>
          <w:szCs w:val="22"/>
        </w:rPr>
        <w:t xml:space="preserve"> Any errors in the data for a single month, or where the position has been estimated due to the most up to date data not being available (at September, picking up all changes for the new academic year), retrospective adjustments have been made in the subsequent month’s calculation. </w:t>
      </w:r>
    </w:p>
    <w:p w:rsidR="000809E6" w:rsidRDefault="000809E6" w:rsidP="008B0A79">
      <w:pPr>
        <w:jc w:val="both"/>
        <w:rPr>
          <w:sz w:val="22"/>
          <w:szCs w:val="22"/>
        </w:rPr>
      </w:pPr>
    </w:p>
    <w:p w:rsidR="000809E6" w:rsidRDefault="0015118D" w:rsidP="008B0A79">
      <w:pPr>
        <w:jc w:val="both"/>
        <w:rPr>
          <w:sz w:val="22"/>
          <w:szCs w:val="22"/>
        </w:rPr>
      </w:pPr>
      <w:r>
        <w:rPr>
          <w:sz w:val="22"/>
          <w:szCs w:val="22"/>
        </w:rPr>
        <w:t>4</w:t>
      </w:r>
      <w:r w:rsidR="009F2D68">
        <w:rPr>
          <w:sz w:val="22"/>
          <w:szCs w:val="22"/>
        </w:rPr>
        <w:t>.18</w:t>
      </w:r>
      <w:r w:rsidR="008B0A79">
        <w:rPr>
          <w:sz w:val="22"/>
          <w:szCs w:val="22"/>
        </w:rPr>
        <w:t xml:space="preserve"> </w:t>
      </w:r>
      <w:r w:rsidR="000809E6">
        <w:rPr>
          <w:sz w:val="22"/>
          <w:szCs w:val="22"/>
        </w:rPr>
        <w:t>F</w:t>
      </w:r>
      <w:r w:rsidR="00513869">
        <w:rPr>
          <w:sz w:val="22"/>
          <w:szCs w:val="22"/>
        </w:rPr>
        <w:t>undin</w:t>
      </w:r>
      <w:r w:rsidR="00D0747C">
        <w:rPr>
          <w:sz w:val="22"/>
          <w:szCs w:val="22"/>
        </w:rPr>
        <w:t>g for August</w:t>
      </w:r>
      <w:r w:rsidR="00D35A42">
        <w:rPr>
          <w:sz w:val="22"/>
          <w:szCs w:val="22"/>
        </w:rPr>
        <w:t xml:space="preserve"> repeated</w:t>
      </w:r>
      <w:r w:rsidR="000809E6">
        <w:rPr>
          <w:sz w:val="22"/>
          <w:szCs w:val="22"/>
        </w:rPr>
        <w:t xml:space="preserve"> the position recorded for July.</w:t>
      </w:r>
    </w:p>
    <w:p w:rsidR="00A5227F" w:rsidRDefault="00A5227F" w:rsidP="008B0A79">
      <w:pPr>
        <w:jc w:val="both"/>
        <w:rPr>
          <w:sz w:val="22"/>
          <w:szCs w:val="22"/>
        </w:rPr>
      </w:pPr>
    </w:p>
    <w:p w:rsidR="00A5227F" w:rsidRPr="00254EB2" w:rsidRDefault="00A5227F" w:rsidP="008B0A79">
      <w:pPr>
        <w:jc w:val="both"/>
        <w:rPr>
          <w:sz w:val="22"/>
          <w:szCs w:val="22"/>
        </w:rPr>
      </w:pPr>
      <w:r>
        <w:rPr>
          <w:sz w:val="22"/>
          <w:szCs w:val="22"/>
        </w:rPr>
        <w:t>4.19 A ready reckoner has been provided, which helps settings predict the impact on funding of movements in pupil numbers / ranges on a monthly basis.</w:t>
      </w:r>
    </w:p>
    <w:p w:rsidR="00294705" w:rsidRDefault="00294705" w:rsidP="001402CD">
      <w:pPr>
        <w:jc w:val="both"/>
        <w:rPr>
          <w:sz w:val="22"/>
          <w:szCs w:val="22"/>
          <w:u w:val="single"/>
        </w:rPr>
      </w:pPr>
    </w:p>
    <w:p w:rsidR="00B84169" w:rsidRDefault="00B84169" w:rsidP="001402CD">
      <w:pPr>
        <w:jc w:val="both"/>
        <w:rPr>
          <w:sz w:val="22"/>
          <w:szCs w:val="22"/>
          <w:u w:val="single"/>
        </w:rPr>
      </w:pPr>
    </w:p>
    <w:p w:rsidR="000C28C3" w:rsidRPr="00A13CA3" w:rsidRDefault="000C28C3" w:rsidP="001402CD">
      <w:pPr>
        <w:jc w:val="both"/>
        <w:rPr>
          <w:sz w:val="22"/>
          <w:szCs w:val="22"/>
          <w:u w:val="single"/>
        </w:rPr>
      </w:pPr>
      <w:r w:rsidRPr="00A13CA3">
        <w:rPr>
          <w:sz w:val="22"/>
          <w:szCs w:val="22"/>
          <w:u w:val="single"/>
        </w:rPr>
        <w:t>The Applicatio</w:t>
      </w:r>
      <w:r w:rsidR="00B145C7" w:rsidRPr="00A13CA3">
        <w:rPr>
          <w:sz w:val="22"/>
          <w:szCs w:val="22"/>
          <w:u w:val="single"/>
        </w:rPr>
        <w:t>n of this Approach for the funding of</w:t>
      </w:r>
      <w:r w:rsidRPr="00A13CA3">
        <w:rPr>
          <w:sz w:val="22"/>
          <w:szCs w:val="22"/>
          <w:u w:val="single"/>
        </w:rPr>
        <w:t xml:space="preserve"> other High Needs Providers</w:t>
      </w:r>
    </w:p>
    <w:p w:rsidR="008B0A79" w:rsidRDefault="008B0A79" w:rsidP="001402CD">
      <w:pPr>
        <w:jc w:val="both"/>
        <w:rPr>
          <w:sz w:val="22"/>
          <w:szCs w:val="22"/>
        </w:rPr>
      </w:pPr>
    </w:p>
    <w:p w:rsidR="00933A82" w:rsidRDefault="0015118D" w:rsidP="00B90B15">
      <w:pPr>
        <w:jc w:val="both"/>
        <w:rPr>
          <w:sz w:val="22"/>
          <w:szCs w:val="22"/>
        </w:rPr>
      </w:pPr>
      <w:r>
        <w:rPr>
          <w:sz w:val="22"/>
          <w:szCs w:val="22"/>
        </w:rPr>
        <w:t>4</w:t>
      </w:r>
      <w:r w:rsidR="000B67E3">
        <w:rPr>
          <w:sz w:val="22"/>
          <w:szCs w:val="22"/>
        </w:rPr>
        <w:t>.20</w:t>
      </w:r>
      <w:r w:rsidR="00933A82">
        <w:rPr>
          <w:sz w:val="22"/>
          <w:szCs w:val="22"/>
        </w:rPr>
        <w:t xml:space="preserve"> </w:t>
      </w:r>
      <w:r w:rsidR="00D541DA">
        <w:rPr>
          <w:sz w:val="22"/>
          <w:szCs w:val="22"/>
        </w:rPr>
        <w:t>The approach outlined</w:t>
      </w:r>
      <w:r w:rsidR="00E13360">
        <w:rPr>
          <w:sz w:val="22"/>
          <w:szCs w:val="22"/>
        </w:rPr>
        <w:t xml:space="preserve"> in paragraphs 4.2 to 4.1</w:t>
      </w:r>
      <w:r w:rsidR="000B67E3">
        <w:rPr>
          <w:sz w:val="22"/>
          <w:szCs w:val="22"/>
        </w:rPr>
        <w:t>9</w:t>
      </w:r>
      <w:r w:rsidR="00C70739">
        <w:rPr>
          <w:sz w:val="22"/>
          <w:szCs w:val="22"/>
        </w:rPr>
        <w:t xml:space="preserve"> has</w:t>
      </w:r>
      <w:r w:rsidR="00B1146D">
        <w:rPr>
          <w:sz w:val="22"/>
          <w:szCs w:val="22"/>
        </w:rPr>
        <w:t xml:space="preserve"> </w:t>
      </w:r>
      <w:r w:rsidR="00D541DA">
        <w:rPr>
          <w:sz w:val="22"/>
          <w:szCs w:val="22"/>
        </w:rPr>
        <w:t xml:space="preserve">been used to calculate allocations for </w:t>
      </w:r>
      <w:smartTag w:uri="urn:schemas-microsoft-com:office:smarttags" w:element="stockticker">
        <w:r w:rsidR="00933A82">
          <w:rPr>
            <w:sz w:val="22"/>
            <w:szCs w:val="22"/>
          </w:rPr>
          <w:t>SEN</w:t>
        </w:r>
      </w:smartTag>
      <w:r w:rsidR="00933A82">
        <w:rPr>
          <w:sz w:val="22"/>
          <w:szCs w:val="22"/>
        </w:rPr>
        <w:t xml:space="preserve"> Resourced Provision</w:t>
      </w:r>
      <w:r w:rsidR="001A6939">
        <w:rPr>
          <w:sz w:val="22"/>
          <w:szCs w:val="22"/>
        </w:rPr>
        <w:t>s</w:t>
      </w:r>
      <w:r w:rsidR="00933A82">
        <w:rPr>
          <w:sz w:val="22"/>
          <w:szCs w:val="22"/>
        </w:rPr>
        <w:t xml:space="preserve"> attached to mainstream </w:t>
      </w:r>
      <w:r w:rsidR="005554D8">
        <w:rPr>
          <w:sz w:val="22"/>
          <w:szCs w:val="22"/>
        </w:rPr>
        <w:t xml:space="preserve">primary and secondary </w:t>
      </w:r>
      <w:r w:rsidR="00933A82">
        <w:rPr>
          <w:sz w:val="22"/>
          <w:szCs w:val="22"/>
        </w:rPr>
        <w:t>settings</w:t>
      </w:r>
      <w:r w:rsidR="00D541DA">
        <w:rPr>
          <w:sz w:val="22"/>
          <w:szCs w:val="22"/>
        </w:rPr>
        <w:t>, with the following differences</w:t>
      </w:r>
      <w:r w:rsidR="000C28C3">
        <w:rPr>
          <w:sz w:val="22"/>
          <w:szCs w:val="22"/>
        </w:rPr>
        <w:t>:</w:t>
      </w:r>
    </w:p>
    <w:p w:rsidR="00A6367C" w:rsidRDefault="00A6367C" w:rsidP="005554D8">
      <w:pPr>
        <w:jc w:val="both"/>
        <w:rPr>
          <w:sz w:val="22"/>
          <w:szCs w:val="22"/>
        </w:rPr>
      </w:pPr>
    </w:p>
    <w:p w:rsidR="00D541DA" w:rsidRDefault="00DE31D2" w:rsidP="00C1738E">
      <w:pPr>
        <w:numPr>
          <w:ilvl w:val="0"/>
          <w:numId w:val="4"/>
        </w:numPr>
        <w:jc w:val="both"/>
        <w:rPr>
          <w:sz w:val="22"/>
          <w:szCs w:val="22"/>
        </w:rPr>
      </w:pPr>
      <w:r>
        <w:rPr>
          <w:sz w:val="22"/>
          <w:szCs w:val="22"/>
        </w:rPr>
        <w:t>Designated Specialist Provision (DSPs):</w:t>
      </w:r>
    </w:p>
    <w:p w:rsidR="00DE31D2" w:rsidRDefault="00DE31D2" w:rsidP="00C1738E">
      <w:pPr>
        <w:numPr>
          <w:ilvl w:val="1"/>
          <w:numId w:val="4"/>
        </w:numPr>
        <w:jc w:val="both"/>
        <w:rPr>
          <w:sz w:val="22"/>
          <w:szCs w:val="22"/>
        </w:rPr>
      </w:pPr>
      <w:r>
        <w:rPr>
          <w:sz w:val="22"/>
          <w:szCs w:val="22"/>
        </w:rPr>
        <w:t>Of the setting based need factors</w:t>
      </w:r>
      <w:r w:rsidR="00FE0C3A">
        <w:rPr>
          <w:sz w:val="22"/>
          <w:szCs w:val="22"/>
        </w:rPr>
        <w:t xml:space="preserve"> listed in paragraph 4.15</w:t>
      </w:r>
      <w:r>
        <w:rPr>
          <w:sz w:val="22"/>
          <w:szCs w:val="22"/>
        </w:rPr>
        <w:t xml:space="preserve">, only the </w:t>
      </w:r>
      <w:r w:rsidR="00A13CA3">
        <w:rPr>
          <w:sz w:val="22"/>
          <w:szCs w:val="22"/>
        </w:rPr>
        <w:t xml:space="preserve">One Off Funding, </w:t>
      </w:r>
      <w:r>
        <w:rPr>
          <w:sz w:val="22"/>
          <w:szCs w:val="22"/>
        </w:rPr>
        <w:t>Minimu</w:t>
      </w:r>
      <w:r w:rsidR="00A13CA3">
        <w:rPr>
          <w:sz w:val="22"/>
          <w:szCs w:val="22"/>
        </w:rPr>
        <w:t>m Funding Guarantee and t</w:t>
      </w:r>
      <w:r w:rsidR="00E13360">
        <w:rPr>
          <w:sz w:val="22"/>
          <w:szCs w:val="22"/>
        </w:rPr>
        <w:t>he 2013/14</w:t>
      </w:r>
      <w:r>
        <w:rPr>
          <w:sz w:val="22"/>
          <w:szCs w:val="22"/>
        </w:rPr>
        <w:t xml:space="preserve"> budget pr</w:t>
      </w:r>
      <w:r w:rsidR="00631D09">
        <w:rPr>
          <w:sz w:val="22"/>
          <w:szCs w:val="22"/>
        </w:rPr>
        <w:t>otection</w:t>
      </w:r>
      <w:r w:rsidR="007C409E">
        <w:rPr>
          <w:sz w:val="22"/>
          <w:szCs w:val="22"/>
        </w:rPr>
        <w:t xml:space="preserve"> factors</w:t>
      </w:r>
      <w:r w:rsidR="00631D09">
        <w:rPr>
          <w:sz w:val="22"/>
          <w:szCs w:val="22"/>
        </w:rPr>
        <w:t xml:space="preserve"> have been applied. The other factors have not been applied</w:t>
      </w:r>
      <w:r w:rsidR="00A13CA3">
        <w:rPr>
          <w:sz w:val="22"/>
          <w:szCs w:val="22"/>
        </w:rPr>
        <w:t>,</w:t>
      </w:r>
      <w:r>
        <w:rPr>
          <w:sz w:val="22"/>
          <w:szCs w:val="22"/>
        </w:rPr>
        <w:t xml:space="preserve"> because</w:t>
      </w:r>
      <w:r w:rsidR="001A6939">
        <w:rPr>
          <w:sz w:val="22"/>
          <w:szCs w:val="22"/>
        </w:rPr>
        <w:t xml:space="preserve"> DSPs are not stand alone units</w:t>
      </w:r>
      <w:r w:rsidR="00A13CA3">
        <w:rPr>
          <w:sz w:val="22"/>
          <w:szCs w:val="22"/>
        </w:rPr>
        <w:t xml:space="preserve"> and because Post 16 places continue to be funded at the original value of £11,165 within the national model.</w:t>
      </w:r>
    </w:p>
    <w:p w:rsidR="003B0B26" w:rsidRDefault="003B0B26" w:rsidP="005554D8">
      <w:pPr>
        <w:jc w:val="both"/>
        <w:rPr>
          <w:sz w:val="22"/>
          <w:szCs w:val="22"/>
        </w:rPr>
      </w:pPr>
    </w:p>
    <w:p w:rsidR="00D541DA" w:rsidRDefault="009D335B" w:rsidP="00C1738E">
      <w:pPr>
        <w:numPr>
          <w:ilvl w:val="0"/>
          <w:numId w:val="4"/>
        </w:numPr>
        <w:jc w:val="both"/>
        <w:rPr>
          <w:sz w:val="22"/>
          <w:szCs w:val="22"/>
        </w:rPr>
      </w:pPr>
      <w:r>
        <w:rPr>
          <w:sz w:val="22"/>
          <w:szCs w:val="22"/>
        </w:rPr>
        <w:t>Additional Resourced Centres (ARCs</w:t>
      </w:r>
      <w:r w:rsidR="00DE1FA4">
        <w:rPr>
          <w:sz w:val="22"/>
          <w:szCs w:val="22"/>
        </w:rPr>
        <w:t xml:space="preserve"> – </w:t>
      </w:r>
      <w:r w:rsidR="004571D0">
        <w:rPr>
          <w:sz w:val="22"/>
          <w:szCs w:val="22"/>
        </w:rPr>
        <w:t xml:space="preserve">support for </w:t>
      </w:r>
      <w:r w:rsidR="00DE1FA4">
        <w:rPr>
          <w:sz w:val="22"/>
          <w:szCs w:val="22"/>
        </w:rPr>
        <w:t>hearing and visually impaired pupils</w:t>
      </w:r>
      <w:r>
        <w:rPr>
          <w:sz w:val="22"/>
          <w:szCs w:val="22"/>
        </w:rPr>
        <w:t>):</w:t>
      </w:r>
    </w:p>
    <w:p w:rsidR="009D335B" w:rsidRDefault="00DE1FA4" w:rsidP="00C1738E">
      <w:pPr>
        <w:numPr>
          <w:ilvl w:val="1"/>
          <w:numId w:val="4"/>
        </w:numPr>
        <w:jc w:val="both"/>
        <w:rPr>
          <w:sz w:val="22"/>
          <w:szCs w:val="22"/>
        </w:rPr>
      </w:pPr>
      <w:r>
        <w:rPr>
          <w:sz w:val="22"/>
          <w:szCs w:val="22"/>
        </w:rPr>
        <w:t xml:space="preserve">The funding model has been applied to ARCs </w:t>
      </w:r>
      <w:r w:rsidR="004571D0">
        <w:rPr>
          <w:sz w:val="22"/>
          <w:szCs w:val="22"/>
        </w:rPr>
        <w:t>in the same way as for</w:t>
      </w:r>
      <w:r>
        <w:rPr>
          <w:sz w:val="22"/>
          <w:szCs w:val="22"/>
        </w:rPr>
        <w:t xml:space="preserve"> the DSPs above</w:t>
      </w:r>
      <w:r w:rsidR="004B657B">
        <w:rPr>
          <w:sz w:val="22"/>
          <w:szCs w:val="22"/>
        </w:rPr>
        <w:t>, with four</w:t>
      </w:r>
      <w:r w:rsidR="007C5DE4">
        <w:rPr>
          <w:sz w:val="22"/>
          <w:szCs w:val="22"/>
        </w:rPr>
        <w:t xml:space="preserve"> differences. Firstly</w:t>
      </w:r>
      <w:r>
        <w:rPr>
          <w:sz w:val="22"/>
          <w:szCs w:val="22"/>
        </w:rPr>
        <w:t xml:space="preserve">, </w:t>
      </w:r>
      <w:r w:rsidR="005554D8">
        <w:rPr>
          <w:sz w:val="22"/>
          <w:szCs w:val="22"/>
        </w:rPr>
        <w:t xml:space="preserve">all children placed in the ARCs have been funded at Range 5. Secondly, </w:t>
      </w:r>
      <w:r>
        <w:rPr>
          <w:sz w:val="22"/>
          <w:szCs w:val="22"/>
        </w:rPr>
        <w:t>as</w:t>
      </w:r>
      <w:r w:rsidRPr="00DE1FA4">
        <w:rPr>
          <w:sz w:val="22"/>
          <w:szCs w:val="22"/>
        </w:rPr>
        <w:t xml:space="preserve"> </w:t>
      </w:r>
      <w:r>
        <w:rPr>
          <w:sz w:val="22"/>
          <w:szCs w:val="22"/>
        </w:rPr>
        <w:t>ARC provision is managed by the Local Authority, the</w:t>
      </w:r>
      <w:r w:rsidR="007C409E">
        <w:rPr>
          <w:sz w:val="22"/>
          <w:szCs w:val="22"/>
        </w:rPr>
        <w:t xml:space="preserve"> monthly calculated</w:t>
      </w:r>
      <w:r>
        <w:rPr>
          <w:sz w:val="22"/>
          <w:szCs w:val="22"/>
        </w:rPr>
        <w:t xml:space="preserve"> ‘Plus’ element has been retained </w:t>
      </w:r>
      <w:r w:rsidR="007C409E">
        <w:rPr>
          <w:sz w:val="22"/>
          <w:szCs w:val="22"/>
        </w:rPr>
        <w:t>by the Authority plus</w:t>
      </w:r>
      <w:r>
        <w:rPr>
          <w:sz w:val="22"/>
          <w:szCs w:val="22"/>
        </w:rPr>
        <w:t xml:space="preserve"> the settings have paid back to the Authority £6,000 of the £10,000 for each funded place on a full year basis.</w:t>
      </w:r>
      <w:r w:rsidR="005554D8">
        <w:rPr>
          <w:sz w:val="22"/>
          <w:szCs w:val="22"/>
        </w:rPr>
        <w:t xml:space="preserve"> Thirdly</w:t>
      </w:r>
      <w:r w:rsidR="007C5DE4">
        <w:rPr>
          <w:sz w:val="22"/>
          <w:szCs w:val="22"/>
        </w:rPr>
        <w:t>, the New Delegated</w:t>
      </w:r>
      <w:r w:rsidR="007C409E">
        <w:rPr>
          <w:sz w:val="22"/>
          <w:szCs w:val="22"/>
        </w:rPr>
        <w:t xml:space="preserve"> Costs f</w:t>
      </w:r>
      <w:r w:rsidR="007C5DE4">
        <w:rPr>
          <w:sz w:val="22"/>
          <w:szCs w:val="22"/>
        </w:rPr>
        <w:t>actor has been applied, as the Authority cannot access the de-delegated arrangements that resources provisions attached to maintained schools can.</w:t>
      </w:r>
      <w:r w:rsidR="004B657B">
        <w:rPr>
          <w:sz w:val="22"/>
          <w:szCs w:val="22"/>
        </w:rPr>
        <w:t xml:space="preserve"> Fourthly, the 2013/14 Budget Protection Factor has not been applied, to enable the</w:t>
      </w:r>
      <w:r w:rsidR="00643FF4">
        <w:rPr>
          <w:sz w:val="22"/>
          <w:szCs w:val="22"/>
        </w:rPr>
        <w:t xml:space="preserve"> repayment of place-led funding </w:t>
      </w:r>
    </w:p>
    <w:p w:rsidR="00AE34D7" w:rsidRDefault="00AE34D7" w:rsidP="00B90B15">
      <w:pPr>
        <w:jc w:val="both"/>
        <w:rPr>
          <w:sz w:val="22"/>
          <w:szCs w:val="22"/>
        </w:rPr>
      </w:pPr>
    </w:p>
    <w:p w:rsidR="00933A82" w:rsidRDefault="0015118D" w:rsidP="00B90B15">
      <w:pPr>
        <w:jc w:val="both"/>
        <w:rPr>
          <w:sz w:val="22"/>
          <w:szCs w:val="22"/>
        </w:rPr>
      </w:pPr>
      <w:r>
        <w:rPr>
          <w:sz w:val="22"/>
          <w:szCs w:val="22"/>
        </w:rPr>
        <w:t>4</w:t>
      </w:r>
      <w:r w:rsidR="009F2D68">
        <w:rPr>
          <w:sz w:val="22"/>
          <w:szCs w:val="22"/>
        </w:rPr>
        <w:t>.</w:t>
      </w:r>
      <w:r w:rsidR="000B67E3">
        <w:rPr>
          <w:sz w:val="22"/>
          <w:szCs w:val="22"/>
        </w:rPr>
        <w:t>21</w:t>
      </w:r>
      <w:r w:rsidR="00933A82">
        <w:rPr>
          <w:sz w:val="22"/>
          <w:szCs w:val="22"/>
        </w:rPr>
        <w:t xml:space="preserve"> </w:t>
      </w:r>
      <w:r w:rsidR="00327115">
        <w:rPr>
          <w:sz w:val="22"/>
          <w:szCs w:val="22"/>
        </w:rPr>
        <w:t>The approach outlined</w:t>
      </w:r>
      <w:r w:rsidR="004571D0">
        <w:rPr>
          <w:sz w:val="22"/>
          <w:szCs w:val="22"/>
        </w:rPr>
        <w:t xml:space="preserve"> in paragraphs 4.2 to 4.1</w:t>
      </w:r>
      <w:r w:rsidR="000B67E3">
        <w:rPr>
          <w:sz w:val="22"/>
          <w:szCs w:val="22"/>
        </w:rPr>
        <w:t>9</w:t>
      </w:r>
      <w:r w:rsidR="00C70739">
        <w:rPr>
          <w:sz w:val="22"/>
          <w:szCs w:val="22"/>
        </w:rPr>
        <w:t xml:space="preserve"> has</w:t>
      </w:r>
      <w:r w:rsidR="00327115">
        <w:rPr>
          <w:sz w:val="22"/>
          <w:szCs w:val="22"/>
        </w:rPr>
        <w:t xml:space="preserve"> been used to calculate allocations for </w:t>
      </w:r>
      <w:r w:rsidR="005F04E0">
        <w:rPr>
          <w:sz w:val="22"/>
          <w:szCs w:val="22"/>
        </w:rPr>
        <w:t xml:space="preserve">Early Years </w:t>
      </w:r>
      <w:smartTag w:uri="urn:schemas-microsoft-com:office:smarttags" w:element="stockticker">
        <w:r w:rsidR="00327115">
          <w:rPr>
            <w:sz w:val="22"/>
            <w:szCs w:val="22"/>
          </w:rPr>
          <w:t>SEN</w:t>
        </w:r>
      </w:smartTag>
      <w:r w:rsidR="00327115">
        <w:rPr>
          <w:sz w:val="22"/>
          <w:szCs w:val="22"/>
        </w:rPr>
        <w:t xml:space="preserve"> Resourced Provision</w:t>
      </w:r>
      <w:r w:rsidR="005F04E0">
        <w:rPr>
          <w:sz w:val="22"/>
          <w:szCs w:val="22"/>
        </w:rPr>
        <w:t>s (Children’s Centre Plus and SIMBA)</w:t>
      </w:r>
      <w:r w:rsidR="00327115">
        <w:rPr>
          <w:sz w:val="22"/>
          <w:szCs w:val="22"/>
        </w:rPr>
        <w:t>, with the following differences:</w:t>
      </w:r>
    </w:p>
    <w:p w:rsidR="00327115" w:rsidRDefault="00327115" w:rsidP="00B90B15">
      <w:pPr>
        <w:jc w:val="both"/>
        <w:rPr>
          <w:sz w:val="22"/>
          <w:szCs w:val="22"/>
        </w:rPr>
      </w:pPr>
    </w:p>
    <w:p w:rsidR="00905771" w:rsidRDefault="007F44F1" w:rsidP="007F44F1">
      <w:pPr>
        <w:pStyle w:val="ListParagraph"/>
        <w:numPr>
          <w:ilvl w:val="0"/>
          <w:numId w:val="22"/>
        </w:numPr>
        <w:jc w:val="both"/>
        <w:rPr>
          <w:sz w:val="22"/>
          <w:szCs w:val="22"/>
        </w:rPr>
      </w:pPr>
      <w:r>
        <w:rPr>
          <w:sz w:val="22"/>
          <w:szCs w:val="22"/>
        </w:rPr>
        <w:t>An integrated Early Years Support Pathway has been implemented. This pathway has streamlined needs identification and assessment processes children 0-7 years with SEND</w:t>
      </w:r>
      <w:r w:rsidR="005554D8">
        <w:rPr>
          <w:sz w:val="22"/>
          <w:szCs w:val="22"/>
        </w:rPr>
        <w:t xml:space="preserve"> (replaces the process</w:t>
      </w:r>
      <w:r w:rsidR="00905771">
        <w:rPr>
          <w:sz w:val="22"/>
          <w:szCs w:val="22"/>
        </w:rPr>
        <w:t>es</w:t>
      </w:r>
      <w:r w:rsidR="005554D8">
        <w:rPr>
          <w:sz w:val="22"/>
          <w:szCs w:val="22"/>
        </w:rPr>
        <w:t xml:space="preserve"> outlined in paragraphs</w:t>
      </w:r>
      <w:r w:rsidR="00905771">
        <w:rPr>
          <w:sz w:val="22"/>
          <w:szCs w:val="22"/>
        </w:rPr>
        <w:t xml:space="preserve"> 4.5</w:t>
      </w:r>
      <w:r w:rsidR="005554D8">
        <w:rPr>
          <w:sz w:val="22"/>
          <w:szCs w:val="22"/>
        </w:rPr>
        <w:t xml:space="preserve"> to 4.8)</w:t>
      </w:r>
      <w:r>
        <w:rPr>
          <w:sz w:val="22"/>
          <w:szCs w:val="22"/>
        </w:rPr>
        <w:t>.</w:t>
      </w:r>
    </w:p>
    <w:p w:rsidR="00905771" w:rsidRDefault="00905771" w:rsidP="00905771">
      <w:pPr>
        <w:pStyle w:val="ListParagraph"/>
        <w:jc w:val="both"/>
        <w:rPr>
          <w:sz w:val="22"/>
          <w:szCs w:val="22"/>
        </w:rPr>
      </w:pPr>
    </w:p>
    <w:p w:rsidR="007F44F1" w:rsidRPr="007F44F1" w:rsidRDefault="00905771" w:rsidP="007F44F1">
      <w:pPr>
        <w:pStyle w:val="ListParagraph"/>
        <w:numPr>
          <w:ilvl w:val="0"/>
          <w:numId w:val="22"/>
        </w:numPr>
        <w:jc w:val="both"/>
        <w:rPr>
          <w:sz w:val="22"/>
          <w:szCs w:val="22"/>
        </w:rPr>
      </w:pPr>
      <w:r>
        <w:rPr>
          <w:sz w:val="22"/>
          <w:szCs w:val="22"/>
        </w:rPr>
        <w:t>All children have been funded at Range 4D.</w:t>
      </w:r>
      <w:r w:rsidR="007F44F1">
        <w:rPr>
          <w:sz w:val="22"/>
          <w:szCs w:val="22"/>
        </w:rPr>
        <w:t xml:space="preserve"> </w:t>
      </w:r>
    </w:p>
    <w:p w:rsidR="007F44F1" w:rsidRDefault="007F44F1" w:rsidP="007F44F1">
      <w:pPr>
        <w:ind w:left="720"/>
        <w:jc w:val="both"/>
        <w:rPr>
          <w:sz w:val="22"/>
          <w:szCs w:val="22"/>
        </w:rPr>
      </w:pPr>
    </w:p>
    <w:p w:rsidR="007F44F1" w:rsidRDefault="002324B2" w:rsidP="007F44F1">
      <w:pPr>
        <w:numPr>
          <w:ilvl w:val="0"/>
          <w:numId w:val="5"/>
        </w:numPr>
        <w:jc w:val="both"/>
        <w:rPr>
          <w:sz w:val="22"/>
          <w:szCs w:val="22"/>
        </w:rPr>
      </w:pPr>
      <w:r>
        <w:rPr>
          <w:sz w:val="22"/>
          <w:szCs w:val="22"/>
        </w:rPr>
        <w:t xml:space="preserve">As with ARC provision above, </w:t>
      </w:r>
      <w:r w:rsidR="00DC20AC">
        <w:rPr>
          <w:sz w:val="22"/>
          <w:szCs w:val="22"/>
        </w:rPr>
        <w:t>the Place element (the £10,00</w:t>
      </w:r>
      <w:r w:rsidR="005F04E0">
        <w:rPr>
          <w:sz w:val="22"/>
          <w:szCs w:val="22"/>
        </w:rPr>
        <w:t>0</w:t>
      </w:r>
      <w:r w:rsidR="00DC20AC">
        <w:rPr>
          <w:sz w:val="22"/>
          <w:szCs w:val="22"/>
        </w:rPr>
        <w:t xml:space="preserve"> element) has been delegated to individual </w:t>
      </w:r>
      <w:r w:rsidR="007F44F1">
        <w:rPr>
          <w:sz w:val="22"/>
          <w:szCs w:val="22"/>
        </w:rPr>
        <w:t>settings based on</w:t>
      </w:r>
      <w:r w:rsidR="00DC20AC">
        <w:rPr>
          <w:sz w:val="22"/>
          <w:szCs w:val="22"/>
        </w:rPr>
        <w:t xml:space="preserve"> the agreed number of </w:t>
      </w:r>
      <w:smartTag w:uri="urn:schemas-microsoft-com:office:smarttags" w:element="stockticker">
        <w:r w:rsidR="00DC20AC">
          <w:rPr>
            <w:sz w:val="22"/>
            <w:szCs w:val="22"/>
          </w:rPr>
          <w:t>FTE</w:t>
        </w:r>
      </w:smartTag>
      <w:r w:rsidR="00DC20AC">
        <w:rPr>
          <w:sz w:val="22"/>
          <w:szCs w:val="22"/>
        </w:rPr>
        <w:t xml:space="preserve"> places an</w:t>
      </w:r>
      <w:r w:rsidR="007F44F1">
        <w:rPr>
          <w:sz w:val="22"/>
          <w:szCs w:val="22"/>
        </w:rPr>
        <w:t xml:space="preserve">d the </w:t>
      </w:r>
      <w:r w:rsidR="007C409E">
        <w:rPr>
          <w:sz w:val="22"/>
          <w:szCs w:val="22"/>
        </w:rPr>
        <w:t xml:space="preserve">monthly calculated </w:t>
      </w:r>
      <w:r w:rsidR="007F44F1">
        <w:rPr>
          <w:sz w:val="22"/>
          <w:szCs w:val="22"/>
        </w:rPr>
        <w:t xml:space="preserve">Plus element has been retained by the Authority </w:t>
      </w:r>
      <w:r w:rsidR="00DC20AC">
        <w:rPr>
          <w:sz w:val="22"/>
          <w:szCs w:val="22"/>
        </w:rPr>
        <w:t>to support the cost of centr</w:t>
      </w:r>
      <w:r w:rsidR="005F04E0">
        <w:rPr>
          <w:sz w:val="22"/>
          <w:szCs w:val="22"/>
        </w:rPr>
        <w:t xml:space="preserve">ally managed services. </w:t>
      </w:r>
      <w:r w:rsidR="009638FA">
        <w:rPr>
          <w:sz w:val="22"/>
          <w:szCs w:val="22"/>
        </w:rPr>
        <w:t>A new commissioning model has not been implemented in 2014/15</w:t>
      </w:r>
      <w:r w:rsidR="007F44F1">
        <w:rPr>
          <w:sz w:val="22"/>
          <w:szCs w:val="22"/>
        </w:rPr>
        <w:t xml:space="preserve"> and</w:t>
      </w:r>
      <w:r w:rsidR="009638FA">
        <w:rPr>
          <w:sz w:val="22"/>
          <w:szCs w:val="22"/>
        </w:rPr>
        <w:t xml:space="preserve"> services have remained under Local Authority management.</w:t>
      </w:r>
      <w:r w:rsidR="007F44F1">
        <w:rPr>
          <w:sz w:val="22"/>
          <w:szCs w:val="22"/>
        </w:rPr>
        <w:t xml:space="preserve"> </w:t>
      </w:r>
      <w:r w:rsidR="00030497">
        <w:rPr>
          <w:sz w:val="22"/>
          <w:szCs w:val="22"/>
        </w:rPr>
        <w:t>However, s</w:t>
      </w:r>
      <w:r w:rsidR="00030497" w:rsidRPr="007F44F1">
        <w:rPr>
          <w:sz w:val="22"/>
          <w:szCs w:val="22"/>
        </w:rPr>
        <w:t xml:space="preserve">ettings have not been required to pay back a </w:t>
      </w:r>
      <w:r w:rsidR="00030497">
        <w:rPr>
          <w:sz w:val="22"/>
          <w:szCs w:val="22"/>
        </w:rPr>
        <w:t>portion of the £10,000 place-led funding in this financial year, but it is expected that this will be required next year.</w:t>
      </w:r>
    </w:p>
    <w:p w:rsidR="007F44F1" w:rsidRDefault="007F44F1" w:rsidP="007F44F1">
      <w:pPr>
        <w:ind w:left="720"/>
        <w:jc w:val="both"/>
        <w:rPr>
          <w:sz w:val="22"/>
          <w:szCs w:val="22"/>
        </w:rPr>
      </w:pPr>
    </w:p>
    <w:p w:rsidR="007F44F1" w:rsidRDefault="009638FA" w:rsidP="007F44F1">
      <w:pPr>
        <w:numPr>
          <w:ilvl w:val="0"/>
          <w:numId w:val="5"/>
        </w:numPr>
        <w:jc w:val="both"/>
        <w:rPr>
          <w:sz w:val="22"/>
          <w:szCs w:val="22"/>
        </w:rPr>
      </w:pPr>
      <w:r w:rsidRPr="007F44F1">
        <w:rPr>
          <w:sz w:val="22"/>
          <w:szCs w:val="22"/>
        </w:rPr>
        <w:t xml:space="preserve">Allocations for individual settings have been calculated on the </w:t>
      </w:r>
      <w:smartTag w:uri="urn:schemas-microsoft-com:office:smarttags" w:element="stockticker">
        <w:r w:rsidRPr="007F44F1">
          <w:rPr>
            <w:sz w:val="22"/>
            <w:szCs w:val="22"/>
          </w:rPr>
          <w:t>FTE</w:t>
        </w:r>
      </w:smartTag>
      <w:r w:rsidRPr="007F44F1">
        <w:rPr>
          <w:sz w:val="22"/>
          <w:szCs w:val="22"/>
        </w:rPr>
        <w:t xml:space="preserve"> number of children i.e. a single 15 hour place is 0.6 </w:t>
      </w:r>
      <w:smartTag w:uri="urn:schemas-microsoft-com:office:smarttags" w:element="stockticker">
        <w:r w:rsidRPr="007F44F1">
          <w:rPr>
            <w:sz w:val="22"/>
            <w:szCs w:val="22"/>
          </w:rPr>
          <w:t>FTE</w:t>
        </w:r>
      </w:smartTag>
      <w:r w:rsidRPr="007F44F1">
        <w:rPr>
          <w:sz w:val="22"/>
          <w:szCs w:val="22"/>
        </w:rPr>
        <w:t xml:space="preserve"> and therefore, the value </w:t>
      </w:r>
      <w:r w:rsidR="007C409E">
        <w:rPr>
          <w:sz w:val="22"/>
          <w:szCs w:val="22"/>
        </w:rPr>
        <w:t>of place funding is</w:t>
      </w:r>
      <w:r w:rsidRPr="007F44F1">
        <w:rPr>
          <w:sz w:val="22"/>
          <w:szCs w:val="22"/>
        </w:rPr>
        <w:t xml:space="preserve"> £10,000 x 0.6 = £6,000. The Plus element of the funding model </w:t>
      </w:r>
      <w:r w:rsidR="00030497">
        <w:rPr>
          <w:sz w:val="22"/>
          <w:szCs w:val="22"/>
        </w:rPr>
        <w:t>has been</w:t>
      </w:r>
      <w:r w:rsidRPr="007F44F1">
        <w:rPr>
          <w:sz w:val="22"/>
          <w:szCs w:val="22"/>
        </w:rPr>
        <w:t xml:space="preserve"> subject to the same 0.6 </w:t>
      </w:r>
      <w:smartTag w:uri="urn:schemas-microsoft-com:office:smarttags" w:element="stockticker">
        <w:r w:rsidRPr="007F44F1">
          <w:rPr>
            <w:sz w:val="22"/>
            <w:szCs w:val="22"/>
          </w:rPr>
          <w:t>FTE</w:t>
        </w:r>
      </w:smartTag>
      <w:r w:rsidRPr="007F44F1">
        <w:rPr>
          <w:sz w:val="22"/>
          <w:szCs w:val="22"/>
        </w:rPr>
        <w:t xml:space="preserve"> adjustment</w:t>
      </w:r>
      <w:r w:rsidR="007F44F1">
        <w:rPr>
          <w:sz w:val="22"/>
          <w:szCs w:val="22"/>
        </w:rPr>
        <w:t>.</w:t>
      </w:r>
    </w:p>
    <w:p w:rsidR="00964454" w:rsidRDefault="00964454" w:rsidP="00964454">
      <w:pPr>
        <w:pStyle w:val="ListParagraph"/>
        <w:rPr>
          <w:sz w:val="22"/>
          <w:szCs w:val="22"/>
        </w:rPr>
      </w:pPr>
    </w:p>
    <w:p w:rsidR="00964454" w:rsidRPr="007F44F1" w:rsidRDefault="00964454" w:rsidP="007F44F1">
      <w:pPr>
        <w:numPr>
          <w:ilvl w:val="0"/>
          <w:numId w:val="5"/>
        </w:numPr>
        <w:jc w:val="both"/>
        <w:rPr>
          <w:sz w:val="22"/>
          <w:szCs w:val="22"/>
        </w:rPr>
      </w:pPr>
      <w:r>
        <w:rPr>
          <w:sz w:val="22"/>
          <w:szCs w:val="22"/>
        </w:rPr>
        <w:t>Of the setting based need factors</w:t>
      </w:r>
      <w:r w:rsidR="004837A0">
        <w:rPr>
          <w:sz w:val="22"/>
          <w:szCs w:val="22"/>
        </w:rPr>
        <w:t xml:space="preserve"> listed in paragraph 4.15</w:t>
      </w:r>
      <w:r>
        <w:rPr>
          <w:sz w:val="22"/>
          <w:szCs w:val="22"/>
        </w:rPr>
        <w:t>, only the One Off Funding and New Delegation Costs factors have been applied. The protection mechanisms</w:t>
      </w:r>
      <w:r w:rsidR="00E6089E">
        <w:rPr>
          <w:sz w:val="22"/>
          <w:szCs w:val="22"/>
        </w:rPr>
        <w:t xml:space="preserve"> have</w:t>
      </w:r>
      <w:r>
        <w:rPr>
          <w:sz w:val="22"/>
          <w:szCs w:val="22"/>
        </w:rPr>
        <w:t xml:space="preserve"> not </w:t>
      </w:r>
      <w:r w:rsidR="00E6089E">
        <w:rPr>
          <w:sz w:val="22"/>
          <w:szCs w:val="22"/>
        </w:rPr>
        <w:t xml:space="preserve">been </w:t>
      </w:r>
      <w:r>
        <w:rPr>
          <w:sz w:val="22"/>
          <w:szCs w:val="22"/>
        </w:rPr>
        <w:t xml:space="preserve">applied in anticipation of </w:t>
      </w:r>
      <w:r w:rsidR="00E6089E">
        <w:rPr>
          <w:sz w:val="22"/>
          <w:szCs w:val="22"/>
        </w:rPr>
        <w:t>changes in funding distribution that th</w:t>
      </w:r>
      <w:r>
        <w:rPr>
          <w:sz w:val="22"/>
          <w:szCs w:val="22"/>
        </w:rPr>
        <w:t>e move to a new commissioning model</w:t>
      </w:r>
      <w:r w:rsidR="00E6089E">
        <w:rPr>
          <w:sz w:val="22"/>
          <w:szCs w:val="22"/>
        </w:rPr>
        <w:t xml:space="preserve"> would require, but also because of the transfer of the funding of Children’s Centre Plus provision onto the full Place-Plus methodology and an expected re-calculation of the total allocated budget.</w:t>
      </w:r>
    </w:p>
    <w:p w:rsidR="00933A82" w:rsidRDefault="00933A82" w:rsidP="00B90B15">
      <w:pPr>
        <w:jc w:val="both"/>
        <w:rPr>
          <w:sz w:val="22"/>
          <w:szCs w:val="22"/>
        </w:rPr>
      </w:pPr>
    </w:p>
    <w:p w:rsidR="00F669A4" w:rsidRDefault="00F669A4" w:rsidP="00B90B15">
      <w:pPr>
        <w:jc w:val="both"/>
        <w:rPr>
          <w:sz w:val="22"/>
          <w:szCs w:val="22"/>
        </w:rPr>
      </w:pPr>
    </w:p>
    <w:p w:rsidR="00F669A4" w:rsidRDefault="00F669A4" w:rsidP="00B90B15">
      <w:pPr>
        <w:jc w:val="both"/>
        <w:rPr>
          <w:sz w:val="22"/>
          <w:szCs w:val="22"/>
        </w:rPr>
      </w:pPr>
    </w:p>
    <w:p w:rsidR="001E010D" w:rsidRPr="00070057" w:rsidRDefault="009F2D68" w:rsidP="00B90B15">
      <w:pPr>
        <w:jc w:val="both"/>
        <w:rPr>
          <w:sz w:val="22"/>
          <w:szCs w:val="22"/>
        </w:rPr>
      </w:pPr>
      <w:r w:rsidRPr="00070057">
        <w:rPr>
          <w:sz w:val="22"/>
          <w:szCs w:val="22"/>
        </w:rPr>
        <w:lastRenderedPageBreak/>
        <w:t>4.2</w:t>
      </w:r>
      <w:r w:rsidR="000B67E3">
        <w:rPr>
          <w:sz w:val="22"/>
          <w:szCs w:val="22"/>
        </w:rPr>
        <w:t xml:space="preserve">2 </w:t>
      </w:r>
      <w:r w:rsidR="0067061B" w:rsidRPr="00070057">
        <w:rPr>
          <w:sz w:val="22"/>
          <w:szCs w:val="22"/>
        </w:rPr>
        <w:t>The a</w:t>
      </w:r>
      <w:r w:rsidR="00D81A5D" w:rsidRPr="00070057">
        <w:rPr>
          <w:sz w:val="22"/>
          <w:szCs w:val="22"/>
        </w:rPr>
        <w:t>pproach outlined in paragraphs 4.2 to 4.1</w:t>
      </w:r>
      <w:r w:rsidR="000B67E3">
        <w:rPr>
          <w:sz w:val="22"/>
          <w:szCs w:val="22"/>
        </w:rPr>
        <w:t>9</w:t>
      </w:r>
      <w:r w:rsidR="0067061B" w:rsidRPr="00070057">
        <w:rPr>
          <w:sz w:val="22"/>
          <w:szCs w:val="22"/>
        </w:rPr>
        <w:t xml:space="preserve"> has been used to calculate allocations for placements in Pupil Referral Units, with the following differences:</w:t>
      </w:r>
    </w:p>
    <w:p w:rsidR="0067061B" w:rsidRPr="00FE0C3A" w:rsidRDefault="0067061B" w:rsidP="00B90B15">
      <w:pPr>
        <w:jc w:val="both"/>
        <w:rPr>
          <w:sz w:val="22"/>
          <w:szCs w:val="22"/>
        </w:rPr>
      </w:pPr>
    </w:p>
    <w:p w:rsidR="00617BC0" w:rsidRPr="00FD3147" w:rsidRDefault="00970C68" w:rsidP="00FD3147">
      <w:pPr>
        <w:numPr>
          <w:ilvl w:val="0"/>
          <w:numId w:val="7"/>
        </w:numPr>
        <w:jc w:val="both"/>
        <w:rPr>
          <w:sz w:val="22"/>
          <w:szCs w:val="22"/>
        </w:rPr>
      </w:pPr>
      <w:r w:rsidRPr="00FD3147">
        <w:rPr>
          <w:sz w:val="22"/>
          <w:szCs w:val="22"/>
        </w:rPr>
        <w:t xml:space="preserve">The value of the Place element has been set, by the </w:t>
      </w:r>
      <w:proofErr w:type="spellStart"/>
      <w:r w:rsidRPr="00FD3147">
        <w:rPr>
          <w:sz w:val="22"/>
          <w:szCs w:val="22"/>
        </w:rPr>
        <w:t>DfE</w:t>
      </w:r>
      <w:proofErr w:type="spellEnd"/>
      <w:r w:rsidRPr="00FD3147">
        <w:rPr>
          <w:sz w:val="22"/>
          <w:szCs w:val="22"/>
        </w:rPr>
        <w:t>,</w:t>
      </w:r>
      <w:r w:rsidR="00305744" w:rsidRPr="00FD3147">
        <w:rPr>
          <w:sz w:val="22"/>
          <w:szCs w:val="22"/>
        </w:rPr>
        <w:t xml:space="preserve"> at £8,000 rather than £10,000</w:t>
      </w:r>
      <w:r w:rsidR="000611D8" w:rsidRPr="00FD3147">
        <w:rPr>
          <w:sz w:val="22"/>
          <w:szCs w:val="22"/>
        </w:rPr>
        <w:t>. As a consequence, the Small S</w:t>
      </w:r>
      <w:r w:rsidR="00617BC0" w:rsidRPr="00FD3147">
        <w:rPr>
          <w:sz w:val="22"/>
          <w:szCs w:val="22"/>
        </w:rPr>
        <w:t>etting</w:t>
      </w:r>
      <w:r w:rsidR="000611D8" w:rsidRPr="00FD3147">
        <w:rPr>
          <w:sz w:val="22"/>
          <w:szCs w:val="22"/>
        </w:rPr>
        <w:t xml:space="preserve"> Protection</w:t>
      </w:r>
      <w:r w:rsidR="00617BC0" w:rsidRPr="00FD3147">
        <w:rPr>
          <w:sz w:val="22"/>
          <w:szCs w:val="22"/>
        </w:rPr>
        <w:t xml:space="preserve"> factor has been calculated on the £8,000 per place value</w:t>
      </w:r>
      <w:r w:rsidR="000611D8" w:rsidRPr="00FD3147">
        <w:rPr>
          <w:sz w:val="22"/>
          <w:szCs w:val="22"/>
        </w:rPr>
        <w:t>.</w:t>
      </w:r>
      <w:r w:rsidR="00FD3147" w:rsidRPr="00FD3147">
        <w:rPr>
          <w:sz w:val="22"/>
          <w:szCs w:val="22"/>
        </w:rPr>
        <w:t xml:space="preserve"> An additional setting factor has been included, which has topped up the Place element to £10,000 at Primary </w:t>
      </w:r>
      <w:smartTag w:uri="urn:schemas-microsoft-com:office:smarttags" w:element="stockticker">
        <w:r w:rsidR="00FD3147" w:rsidRPr="00FD3147">
          <w:rPr>
            <w:sz w:val="22"/>
            <w:szCs w:val="22"/>
          </w:rPr>
          <w:t>PRU</w:t>
        </w:r>
      </w:smartTag>
      <w:r w:rsidR="00FD3147" w:rsidRPr="00FD3147">
        <w:rPr>
          <w:sz w:val="22"/>
          <w:szCs w:val="22"/>
        </w:rPr>
        <w:t xml:space="preserve">, to recognise that, although a </w:t>
      </w:r>
      <w:smartTag w:uri="urn:schemas-microsoft-com:office:smarttags" w:element="stockticker">
        <w:r w:rsidR="00FD3147" w:rsidRPr="00FD3147">
          <w:rPr>
            <w:sz w:val="22"/>
            <w:szCs w:val="22"/>
          </w:rPr>
          <w:t>PRU</w:t>
        </w:r>
      </w:smartTag>
      <w:r w:rsidR="00FD3147" w:rsidRPr="00FD3147">
        <w:rPr>
          <w:sz w:val="22"/>
          <w:szCs w:val="22"/>
        </w:rPr>
        <w:t xml:space="preserve"> in name, this setting acts as a special school and has a similar cost structure</w:t>
      </w:r>
      <w:r w:rsidR="00FD3147">
        <w:rPr>
          <w:sz w:val="22"/>
          <w:szCs w:val="22"/>
        </w:rPr>
        <w:t>.</w:t>
      </w:r>
    </w:p>
    <w:p w:rsidR="000611D8" w:rsidRPr="00FE0C3A" w:rsidRDefault="000611D8" w:rsidP="000611D8">
      <w:pPr>
        <w:ind w:left="720"/>
        <w:jc w:val="both"/>
        <w:rPr>
          <w:sz w:val="22"/>
          <w:szCs w:val="22"/>
        </w:rPr>
      </w:pPr>
    </w:p>
    <w:p w:rsidR="000611D8" w:rsidRPr="00FE0C3A" w:rsidRDefault="000611D8" w:rsidP="000611D8">
      <w:pPr>
        <w:numPr>
          <w:ilvl w:val="0"/>
          <w:numId w:val="7"/>
        </w:numPr>
        <w:jc w:val="both"/>
        <w:rPr>
          <w:sz w:val="22"/>
          <w:szCs w:val="22"/>
        </w:rPr>
      </w:pPr>
      <w:r w:rsidRPr="00FE0C3A">
        <w:rPr>
          <w:sz w:val="22"/>
          <w:szCs w:val="22"/>
        </w:rPr>
        <w:t xml:space="preserve">The Place element for the District </w:t>
      </w:r>
      <w:smartTag w:uri="urn:schemas-microsoft-com:office:smarttags" w:element="stockticker">
        <w:r w:rsidRPr="00FE0C3A">
          <w:rPr>
            <w:sz w:val="22"/>
            <w:szCs w:val="22"/>
          </w:rPr>
          <w:t>PRU</w:t>
        </w:r>
      </w:smartTag>
      <w:r w:rsidRPr="00FE0C3A">
        <w:rPr>
          <w:sz w:val="22"/>
          <w:szCs w:val="22"/>
        </w:rPr>
        <w:t xml:space="preserve"> has not been allocated to providers at the start of the year, but has been added to the Plus element and allocated flexibly on a monthly basis following the actual placement of pupils. A new commissioning model for District PRU, incorporating the payment of the place-led element to providers, has been introduced from September 2014.</w:t>
      </w:r>
    </w:p>
    <w:p w:rsidR="000611D8" w:rsidRDefault="000611D8" w:rsidP="000611D8">
      <w:pPr>
        <w:pStyle w:val="ListParagraph"/>
        <w:rPr>
          <w:color w:val="FF0000"/>
          <w:sz w:val="22"/>
          <w:szCs w:val="22"/>
        </w:rPr>
      </w:pPr>
    </w:p>
    <w:p w:rsidR="00070057" w:rsidRPr="00FE0C3A" w:rsidRDefault="00070057" w:rsidP="000611D8">
      <w:pPr>
        <w:numPr>
          <w:ilvl w:val="0"/>
          <w:numId w:val="7"/>
        </w:numPr>
        <w:jc w:val="both"/>
        <w:rPr>
          <w:sz w:val="22"/>
          <w:szCs w:val="22"/>
        </w:rPr>
      </w:pPr>
      <w:r w:rsidRPr="00FE0C3A">
        <w:rPr>
          <w:sz w:val="22"/>
          <w:szCs w:val="22"/>
        </w:rPr>
        <w:t xml:space="preserve">For Central </w:t>
      </w:r>
      <w:smartTag w:uri="urn:schemas-microsoft-com:office:smarttags" w:element="stockticker">
        <w:r w:rsidRPr="00FE0C3A">
          <w:rPr>
            <w:sz w:val="22"/>
            <w:szCs w:val="22"/>
          </w:rPr>
          <w:t>PRU</w:t>
        </w:r>
      </w:smartTag>
      <w:r w:rsidRPr="00FE0C3A">
        <w:rPr>
          <w:sz w:val="22"/>
          <w:szCs w:val="22"/>
        </w:rPr>
        <w:t>, recognising the short term intensive nature of placements, rather than following the moderation processes, which are more suited to determining needs over the longer term, we have used a ‘formulaic’ basis to placing pupils into the Ranges model; placing 50% of pupils on roll in Range 4D and 50% in Range 5 on a monthly basis.</w:t>
      </w:r>
    </w:p>
    <w:p w:rsidR="00070057" w:rsidRPr="00FE0C3A" w:rsidRDefault="00070057" w:rsidP="00070057">
      <w:pPr>
        <w:pStyle w:val="ListParagraph"/>
        <w:rPr>
          <w:sz w:val="22"/>
          <w:szCs w:val="22"/>
        </w:rPr>
      </w:pPr>
    </w:p>
    <w:p w:rsidR="005E70DE" w:rsidRDefault="004837A0" w:rsidP="003B0B26">
      <w:pPr>
        <w:numPr>
          <w:ilvl w:val="0"/>
          <w:numId w:val="7"/>
        </w:numPr>
        <w:jc w:val="both"/>
        <w:rPr>
          <w:sz w:val="22"/>
          <w:szCs w:val="22"/>
        </w:rPr>
      </w:pPr>
      <w:r w:rsidRPr="00FE0C3A">
        <w:rPr>
          <w:sz w:val="22"/>
          <w:szCs w:val="22"/>
        </w:rPr>
        <w:t>Of the setting based need factors listed in paragraph 4.15</w:t>
      </w:r>
      <w:r w:rsidR="00FE0C3A">
        <w:rPr>
          <w:sz w:val="22"/>
          <w:szCs w:val="22"/>
        </w:rPr>
        <w:t>, only the New Delegation Costs, Small Setting Protection, Minimum Funding Guarantee and One Off Funding</w:t>
      </w:r>
      <w:r w:rsidR="00070057" w:rsidRPr="00FE0C3A">
        <w:rPr>
          <w:sz w:val="22"/>
          <w:szCs w:val="22"/>
        </w:rPr>
        <w:t xml:space="preserve"> </w:t>
      </w:r>
      <w:r w:rsidR="00FE0C3A">
        <w:rPr>
          <w:sz w:val="22"/>
          <w:szCs w:val="22"/>
        </w:rPr>
        <w:t>factors have been employed.</w:t>
      </w:r>
      <w:r w:rsidR="005E70DE">
        <w:rPr>
          <w:sz w:val="22"/>
          <w:szCs w:val="22"/>
        </w:rPr>
        <w:t xml:space="preserve"> Due the movement of places between the different PRUs, it has not been appropriate to employ the 2013/14 Cash Budget Protection Factor. A separate (different) split site factor has been used. Please see below.</w:t>
      </w:r>
    </w:p>
    <w:p w:rsidR="00BC1B28" w:rsidRPr="003B0B26" w:rsidRDefault="00BC1B28" w:rsidP="00BC1B28">
      <w:pPr>
        <w:jc w:val="both"/>
        <w:rPr>
          <w:sz w:val="22"/>
          <w:szCs w:val="22"/>
        </w:rPr>
      </w:pPr>
    </w:p>
    <w:p w:rsidR="005E70DE" w:rsidRDefault="005E70DE" w:rsidP="000611D8">
      <w:pPr>
        <w:numPr>
          <w:ilvl w:val="0"/>
          <w:numId w:val="7"/>
        </w:numPr>
        <w:jc w:val="both"/>
        <w:rPr>
          <w:sz w:val="22"/>
          <w:szCs w:val="22"/>
        </w:rPr>
      </w:pPr>
      <w:r>
        <w:rPr>
          <w:sz w:val="22"/>
          <w:szCs w:val="22"/>
        </w:rPr>
        <w:t>The following additional setting based need factors were included for the first time in the 2014/15 funding model for the PRUs:</w:t>
      </w:r>
    </w:p>
    <w:p w:rsidR="005E70DE" w:rsidRDefault="005E70DE" w:rsidP="005E70DE">
      <w:pPr>
        <w:pStyle w:val="ListParagraph"/>
        <w:rPr>
          <w:sz w:val="22"/>
          <w:szCs w:val="22"/>
        </w:rPr>
      </w:pPr>
    </w:p>
    <w:p w:rsidR="00FD3147" w:rsidRPr="00981CF1" w:rsidRDefault="00FD3147" w:rsidP="00FD3147">
      <w:pPr>
        <w:numPr>
          <w:ilvl w:val="1"/>
          <w:numId w:val="7"/>
        </w:numPr>
        <w:jc w:val="both"/>
        <w:rPr>
          <w:sz w:val="22"/>
          <w:szCs w:val="22"/>
        </w:rPr>
      </w:pPr>
      <w:r w:rsidRPr="00981CF1">
        <w:rPr>
          <w:sz w:val="22"/>
          <w:szCs w:val="22"/>
        </w:rPr>
        <w:t>A split sites factor, which recognises where provision is delivered</w:t>
      </w:r>
      <w:r>
        <w:rPr>
          <w:sz w:val="22"/>
          <w:szCs w:val="22"/>
        </w:rPr>
        <w:t xml:space="preserve"> across</w:t>
      </w:r>
      <w:r w:rsidRPr="00981CF1">
        <w:rPr>
          <w:sz w:val="22"/>
          <w:szCs w:val="22"/>
        </w:rPr>
        <w:t xml:space="preserve"> sites that are geographically separated. For</w:t>
      </w:r>
      <w:r>
        <w:rPr>
          <w:sz w:val="22"/>
          <w:szCs w:val="22"/>
        </w:rPr>
        <w:t xml:space="preserve"> qualifying settings, we have</w:t>
      </w:r>
      <w:r w:rsidRPr="00981CF1">
        <w:rPr>
          <w:sz w:val="22"/>
          <w:szCs w:val="22"/>
        </w:rPr>
        <w:t xml:space="preserve"> double</w:t>
      </w:r>
      <w:r>
        <w:rPr>
          <w:sz w:val="22"/>
          <w:szCs w:val="22"/>
        </w:rPr>
        <w:t>d</w:t>
      </w:r>
      <w:r w:rsidRPr="00981CF1">
        <w:rPr>
          <w:sz w:val="22"/>
          <w:szCs w:val="22"/>
        </w:rPr>
        <w:t xml:space="preserve"> the value of the small setting protection, to recognise the duplication in running</w:t>
      </w:r>
      <w:r>
        <w:rPr>
          <w:sz w:val="22"/>
          <w:szCs w:val="22"/>
        </w:rPr>
        <w:t xml:space="preserve"> costs of</w:t>
      </w:r>
      <w:r w:rsidRPr="00981CF1">
        <w:rPr>
          <w:sz w:val="22"/>
          <w:szCs w:val="22"/>
        </w:rPr>
        <w:t xml:space="preserve"> a separate site</w:t>
      </w:r>
      <w:r>
        <w:rPr>
          <w:sz w:val="22"/>
          <w:szCs w:val="22"/>
        </w:rPr>
        <w:t xml:space="preserve"> (s).</w:t>
      </w:r>
    </w:p>
    <w:p w:rsidR="00FD3147" w:rsidRPr="00981CF1" w:rsidRDefault="00FD3147" w:rsidP="00FD3147">
      <w:pPr>
        <w:ind w:left="1080"/>
        <w:jc w:val="both"/>
        <w:rPr>
          <w:sz w:val="22"/>
          <w:szCs w:val="22"/>
        </w:rPr>
      </w:pPr>
    </w:p>
    <w:p w:rsidR="00FD3147" w:rsidRPr="00981CF1" w:rsidRDefault="00FD3147" w:rsidP="00FD3147">
      <w:pPr>
        <w:numPr>
          <w:ilvl w:val="1"/>
          <w:numId w:val="7"/>
        </w:numPr>
        <w:jc w:val="both"/>
        <w:rPr>
          <w:sz w:val="22"/>
          <w:szCs w:val="22"/>
        </w:rPr>
      </w:pPr>
      <w:r w:rsidRPr="00981CF1">
        <w:rPr>
          <w:sz w:val="22"/>
          <w:szCs w:val="22"/>
        </w:rPr>
        <w:t>A ‘Churn’ factor, for settings that delivery short term provision, to recognise additional pressures that relate to the continuous movement of children. For q</w:t>
      </w:r>
      <w:r>
        <w:rPr>
          <w:sz w:val="22"/>
          <w:szCs w:val="22"/>
        </w:rPr>
        <w:t>ualifying settings, we have</w:t>
      </w:r>
      <w:r w:rsidRPr="00981CF1">
        <w:rPr>
          <w:sz w:val="22"/>
          <w:szCs w:val="22"/>
        </w:rPr>
        <w:t xml:space="preserve"> calculate</w:t>
      </w:r>
      <w:r>
        <w:rPr>
          <w:sz w:val="22"/>
          <w:szCs w:val="22"/>
        </w:rPr>
        <w:t>d</w:t>
      </w:r>
      <w:r w:rsidRPr="00981CF1">
        <w:rPr>
          <w:sz w:val="22"/>
          <w:szCs w:val="22"/>
        </w:rPr>
        <w:t xml:space="preserve"> funding on a monthly basis as follows: the mobility variable (taken from the secondary </w:t>
      </w:r>
      <w:r>
        <w:rPr>
          <w:sz w:val="22"/>
          <w:szCs w:val="22"/>
        </w:rPr>
        <w:t xml:space="preserve">mainstream </w:t>
      </w:r>
      <w:r w:rsidRPr="00981CF1">
        <w:rPr>
          <w:sz w:val="22"/>
          <w:szCs w:val="22"/>
        </w:rPr>
        <w:t>formula) x5 (this is a standard weighting for high needs provision) x number of pupils on roll</w:t>
      </w:r>
      <w:r>
        <w:rPr>
          <w:sz w:val="22"/>
          <w:szCs w:val="22"/>
        </w:rPr>
        <w:t>.</w:t>
      </w:r>
    </w:p>
    <w:p w:rsidR="00FD3147" w:rsidRPr="00981CF1" w:rsidRDefault="00FD3147" w:rsidP="00FD3147">
      <w:pPr>
        <w:ind w:left="1080"/>
        <w:jc w:val="both"/>
        <w:rPr>
          <w:sz w:val="22"/>
          <w:szCs w:val="22"/>
        </w:rPr>
      </w:pPr>
    </w:p>
    <w:p w:rsidR="00FD3147" w:rsidRPr="00981CF1" w:rsidRDefault="00FD3147" w:rsidP="00FD3147">
      <w:pPr>
        <w:numPr>
          <w:ilvl w:val="1"/>
          <w:numId w:val="7"/>
        </w:numPr>
        <w:jc w:val="both"/>
        <w:rPr>
          <w:sz w:val="22"/>
          <w:szCs w:val="22"/>
        </w:rPr>
      </w:pPr>
      <w:r w:rsidRPr="00981CF1">
        <w:rPr>
          <w:sz w:val="22"/>
          <w:szCs w:val="22"/>
        </w:rPr>
        <w:t>A ‘Rates</w:t>
      </w:r>
      <w:r>
        <w:rPr>
          <w:sz w:val="22"/>
          <w:szCs w:val="22"/>
        </w:rPr>
        <w:t>’ factor, for all settings. As s</w:t>
      </w:r>
      <w:r w:rsidRPr="00981CF1">
        <w:rPr>
          <w:sz w:val="22"/>
          <w:szCs w:val="22"/>
        </w:rPr>
        <w:t>peci</w:t>
      </w:r>
      <w:r>
        <w:rPr>
          <w:sz w:val="22"/>
          <w:szCs w:val="22"/>
        </w:rPr>
        <w:t xml:space="preserve">al schools do not pay rates, </w:t>
      </w:r>
      <w:r w:rsidRPr="00981CF1">
        <w:rPr>
          <w:sz w:val="22"/>
          <w:szCs w:val="22"/>
        </w:rPr>
        <w:t>o</w:t>
      </w:r>
      <w:r>
        <w:rPr>
          <w:sz w:val="22"/>
          <w:szCs w:val="22"/>
        </w:rPr>
        <w:t xml:space="preserve">ur basic funding model </w:t>
      </w:r>
      <w:r w:rsidRPr="00981CF1">
        <w:rPr>
          <w:sz w:val="22"/>
          <w:szCs w:val="22"/>
        </w:rPr>
        <w:t xml:space="preserve">does not include any provision for the cost of rates. </w:t>
      </w:r>
      <w:r>
        <w:rPr>
          <w:sz w:val="22"/>
          <w:szCs w:val="22"/>
        </w:rPr>
        <w:t xml:space="preserve">However, </w:t>
      </w:r>
      <w:r w:rsidRPr="00981CF1">
        <w:rPr>
          <w:sz w:val="22"/>
          <w:szCs w:val="22"/>
        </w:rPr>
        <w:t>PRUs are liable for rates charge</w:t>
      </w:r>
      <w:r>
        <w:rPr>
          <w:sz w:val="22"/>
          <w:szCs w:val="22"/>
        </w:rPr>
        <w:t>s. To recognise this, we have</w:t>
      </w:r>
      <w:r w:rsidRPr="00981CF1">
        <w:rPr>
          <w:sz w:val="22"/>
          <w:szCs w:val="22"/>
        </w:rPr>
        <w:t xml:space="preserve"> add</w:t>
      </w:r>
      <w:r>
        <w:rPr>
          <w:sz w:val="22"/>
          <w:szCs w:val="22"/>
        </w:rPr>
        <w:t>ed</w:t>
      </w:r>
      <w:r w:rsidRPr="00981CF1">
        <w:rPr>
          <w:sz w:val="22"/>
          <w:szCs w:val="22"/>
        </w:rPr>
        <w:t xml:space="preserve"> funding for rates into the setting need based factors, on an actual cost basis. In 201</w:t>
      </w:r>
      <w:r>
        <w:rPr>
          <w:sz w:val="22"/>
          <w:szCs w:val="22"/>
        </w:rPr>
        <w:t>4/15, we have</w:t>
      </w:r>
      <w:r w:rsidRPr="00981CF1">
        <w:rPr>
          <w:sz w:val="22"/>
          <w:szCs w:val="22"/>
        </w:rPr>
        <w:t xml:space="preserve"> also</w:t>
      </w:r>
      <w:r>
        <w:rPr>
          <w:sz w:val="22"/>
          <w:szCs w:val="22"/>
        </w:rPr>
        <w:t xml:space="preserve"> included the cost of rates in</w:t>
      </w:r>
      <w:r w:rsidRPr="00981CF1">
        <w:rPr>
          <w:sz w:val="22"/>
          <w:szCs w:val="22"/>
        </w:rPr>
        <w:t xml:space="preserve"> 2013/14, to retrospectively reimburse </w:t>
      </w:r>
      <w:r>
        <w:rPr>
          <w:sz w:val="22"/>
          <w:szCs w:val="22"/>
        </w:rPr>
        <w:t>the PRUs for costs incurred in that</w:t>
      </w:r>
      <w:r w:rsidRPr="00981CF1">
        <w:rPr>
          <w:sz w:val="22"/>
          <w:szCs w:val="22"/>
        </w:rPr>
        <w:t xml:space="preserve"> financial year</w:t>
      </w:r>
      <w:r>
        <w:rPr>
          <w:sz w:val="22"/>
          <w:szCs w:val="22"/>
        </w:rPr>
        <w:t>.</w:t>
      </w:r>
    </w:p>
    <w:p w:rsidR="000611D8" w:rsidRPr="00EC4C05" w:rsidRDefault="000611D8" w:rsidP="00D00C2F">
      <w:pPr>
        <w:jc w:val="both"/>
        <w:rPr>
          <w:color w:val="FF0000"/>
          <w:sz w:val="22"/>
          <w:szCs w:val="22"/>
        </w:rPr>
      </w:pPr>
    </w:p>
    <w:p w:rsidR="00D00C2F" w:rsidRDefault="00D00C2F" w:rsidP="00D00C2F">
      <w:pPr>
        <w:jc w:val="both"/>
        <w:rPr>
          <w:sz w:val="22"/>
          <w:szCs w:val="22"/>
        </w:rPr>
      </w:pPr>
      <w:r w:rsidRPr="00070057">
        <w:rPr>
          <w:sz w:val="22"/>
          <w:szCs w:val="22"/>
        </w:rPr>
        <w:t>4.2</w:t>
      </w:r>
      <w:r w:rsidR="000B67E3">
        <w:rPr>
          <w:sz w:val="22"/>
          <w:szCs w:val="22"/>
        </w:rPr>
        <w:t>3</w:t>
      </w:r>
      <w:r w:rsidRPr="00070057">
        <w:rPr>
          <w:sz w:val="22"/>
          <w:szCs w:val="22"/>
        </w:rPr>
        <w:t xml:space="preserve"> The approach outlined in paragraphs 4.2 to 4.1</w:t>
      </w:r>
      <w:r w:rsidR="000B67E3">
        <w:rPr>
          <w:sz w:val="22"/>
          <w:szCs w:val="22"/>
        </w:rPr>
        <w:t>9</w:t>
      </w:r>
      <w:r w:rsidRPr="00070057">
        <w:rPr>
          <w:sz w:val="22"/>
          <w:szCs w:val="22"/>
        </w:rPr>
        <w:t xml:space="preserve"> has been used to calculate allocations for placements in </w:t>
      </w:r>
      <w:r w:rsidR="008D61CF">
        <w:rPr>
          <w:sz w:val="22"/>
          <w:szCs w:val="22"/>
        </w:rPr>
        <w:t xml:space="preserve">the </w:t>
      </w:r>
      <w:r>
        <w:rPr>
          <w:sz w:val="22"/>
          <w:szCs w:val="22"/>
        </w:rPr>
        <w:t>Primary Behaviour Centres</w:t>
      </w:r>
      <w:r w:rsidRPr="00070057">
        <w:rPr>
          <w:sz w:val="22"/>
          <w:szCs w:val="22"/>
        </w:rPr>
        <w:t>, with the following differences:</w:t>
      </w:r>
    </w:p>
    <w:p w:rsidR="00D00C2F" w:rsidRDefault="00D00C2F" w:rsidP="00D00C2F">
      <w:pPr>
        <w:jc w:val="both"/>
        <w:rPr>
          <w:sz w:val="22"/>
          <w:szCs w:val="22"/>
        </w:rPr>
      </w:pPr>
    </w:p>
    <w:p w:rsidR="00974B7A" w:rsidRPr="00974B7A" w:rsidRDefault="00974B7A" w:rsidP="00974B7A">
      <w:pPr>
        <w:pStyle w:val="ListParagraph"/>
        <w:numPr>
          <w:ilvl w:val="0"/>
          <w:numId w:val="24"/>
        </w:numPr>
        <w:jc w:val="both"/>
        <w:rPr>
          <w:sz w:val="22"/>
          <w:szCs w:val="22"/>
        </w:rPr>
      </w:pPr>
      <w:r w:rsidRPr="00974B7A">
        <w:rPr>
          <w:sz w:val="22"/>
          <w:szCs w:val="22"/>
        </w:rPr>
        <w:t xml:space="preserve">As directed by the </w:t>
      </w:r>
      <w:proofErr w:type="spellStart"/>
      <w:r w:rsidRPr="00974B7A">
        <w:rPr>
          <w:sz w:val="22"/>
          <w:szCs w:val="22"/>
        </w:rPr>
        <w:t>DfE</w:t>
      </w:r>
      <w:proofErr w:type="spellEnd"/>
      <w:r w:rsidRPr="00974B7A">
        <w:rPr>
          <w:sz w:val="22"/>
          <w:szCs w:val="22"/>
        </w:rPr>
        <w:t xml:space="preserve">, each ‘behaviour’ place </w:t>
      </w:r>
      <w:r>
        <w:rPr>
          <w:sz w:val="22"/>
          <w:szCs w:val="22"/>
        </w:rPr>
        <w:t>is</w:t>
      </w:r>
      <w:r w:rsidRPr="00974B7A">
        <w:rPr>
          <w:sz w:val="22"/>
          <w:szCs w:val="22"/>
        </w:rPr>
        <w:t xml:space="preserve"> funded at a value of £8,000. The additional 5 </w:t>
      </w:r>
      <w:smartTag w:uri="urn:schemas-microsoft-com:office:smarttags" w:element="stockticker">
        <w:r w:rsidRPr="00974B7A">
          <w:rPr>
            <w:sz w:val="22"/>
            <w:szCs w:val="22"/>
          </w:rPr>
          <w:t>SEN</w:t>
        </w:r>
      </w:smartTag>
      <w:r w:rsidRPr="00974B7A">
        <w:rPr>
          <w:sz w:val="22"/>
          <w:szCs w:val="22"/>
        </w:rPr>
        <w:t xml:space="preserve"> plac</w:t>
      </w:r>
      <w:r>
        <w:rPr>
          <w:sz w:val="22"/>
          <w:szCs w:val="22"/>
        </w:rPr>
        <w:t>es at the Phoenix Centre are</w:t>
      </w:r>
      <w:r w:rsidRPr="00974B7A">
        <w:rPr>
          <w:sz w:val="22"/>
          <w:szCs w:val="22"/>
        </w:rPr>
        <w:t xml:space="preserve"> funded at £10,000, to ensure consistency with the funding of other resourced </w:t>
      </w:r>
      <w:smartTag w:uri="urn:schemas-microsoft-com:office:smarttags" w:element="stockticker">
        <w:r w:rsidRPr="00974B7A">
          <w:rPr>
            <w:sz w:val="22"/>
            <w:szCs w:val="22"/>
          </w:rPr>
          <w:t>SEN</w:t>
        </w:r>
      </w:smartTag>
      <w:r w:rsidRPr="00974B7A">
        <w:rPr>
          <w:sz w:val="22"/>
          <w:szCs w:val="22"/>
        </w:rPr>
        <w:t xml:space="preserve"> units</w:t>
      </w:r>
      <w:r>
        <w:rPr>
          <w:sz w:val="22"/>
          <w:szCs w:val="22"/>
        </w:rPr>
        <w:t>.</w:t>
      </w:r>
    </w:p>
    <w:p w:rsidR="00974B7A" w:rsidRPr="00974B7A" w:rsidRDefault="00974B7A" w:rsidP="00974B7A">
      <w:pPr>
        <w:jc w:val="both"/>
        <w:rPr>
          <w:sz w:val="22"/>
          <w:szCs w:val="22"/>
        </w:rPr>
      </w:pPr>
    </w:p>
    <w:p w:rsidR="00D00C2F" w:rsidRDefault="00D00C2F" w:rsidP="00D00C2F">
      <w:pPr>
        <w:pStyle w:val="ListParagraph"/>
        <w:numPr>
          <w:ilvl w:val="0"/>
          <w:numId w:val="23"/>
        </w:numPr>
        <w:jc w:val="both"/>
        <w:rPr>
          <w:sz w:val="22"/>
          <w:szCs w:val="22"/>
        </w:rPr>
      </w:pPr>
      <w:r w:rsidRPr="00D00C2F">
        <w:rPr>
          <w:sz w:val="22"/>
          <w:szCs w:val="22"/>
        </w:rPr>
        <w:t xml:space="preserve">For </w:t>
      </w:r>
      <w:smartTag w:uri="urn:schemas-microsoft-com:office:smarttags" w:element="stockticker">
        <w:r w:rsidRPr="00D00C2F">
          <w:rPr>
            <w:sz w:val="22"/>
            <w:szCs w:val="22"/>
          </w:rPr>
          <w:t>SEN</w:t>
        </w:r>
      </w:smartTag>
      <w:r w:rsidRPr="00D00C2F">
        <w:rPr>
          <w:sz w:val="22"/>
          <w:szCs w:val="22"/>
        </w:rPr>
        <w:t xml:space="preserve"> placements (at Phoenix Centre), p</w:t>
      </w:r>
      <w:r>
        <w:rPr>
          <w:sz w:val="22"/>
          <w:szCs w:val="22"/>
        </w:rPr>
        <w:t>upil need has been</w:t>
      </w:r>
      <w:r w:rsidRPr="00D00C2F">
        <w:rPr>
          <w:sz w:val="22"/>
          <w:szCs w:val="22"/>
        </w:rPr>
        <w:t xml:space="preserve"> identified and mode</w:t>
      </w:r>
      <w:r>
        <w:rPr>
          <w:sz w:val="22"/>
          <w:szCs w:val="22"/>
        </w:rPr>
        <w:t>rated as outlined in paragraph 4</w:t>
      </w:r>
      <w:r w:rsidRPr="00D00C2F">
        <w:rPr>
          <w:sz w:val="22"/>
          <w:szCs w:val="22"/>
        </w:rPr>
        <w:t>.5. For all other behaviour placements, recognising the short term intensive nature of provision for children that do not necessarily have Statements, the sam</w:t>
      </w:r>
      <w:r>
        <w:rPr>
          <w:sz w:val="22"/>
          <w:szCs w:val="22"/>
        </w:rPr>
        <w:t>e formulaic approach as used</w:t>
      </w:r>
      <w:r w:rsidRPr="00D00C2F">
        <w:rPr>
          <w:sz w:val="22"/>
          <w:szCs w:val="22"/>
        </w:rPr>
        <w:t xml:space="preserve"> for the Central PRU</w:t>
      </w:r>
      <w:r>
        <w:rPr>
          <w:sz w:val="22"/>
          <w:szCs w:val="22"/>
        </w:rPr>
        <w:t xml:space="preserve"> has been employed</w:t>
      </w:r>
      <w:r w:rsidRPr="00D00C2F">
        <w:rPr>
          <w:sz w:val="22"/>
          <w:szCs w:val="22"/>
        </w:rPr>
        <w:t>; 50% of pupils funded at Range 4D and 50% of pupils funded at Range 5</w:t>
      </w:r>
      <w:r>
        <w:rPr>
          <w:sz w:val="22"/>
          <w:szCs w:val="22"/>
        </w:rPr>
        <w:t xml:space="preserve"> on a monthly basis.</w:t>
      </w:r>
    </w:p>
    <w:p w:rsidR="00D00C2F" w:rsidRDefault="00D00C2F" w:rsidP="00D00C2F">
      <w:pPr>
        <w:pStyle w:val="ListParagraph"/>
        <w:jc w:val="both"/>
        <w:rPr>
          <w:sz w:val="22"/>
          <w:szCs w:val="22"/>
        </w:rPr>
      </w:pPr>
    </w:p>
    <w:p w:rsidR="009D7B79" w:rsidRPr="009D7B79" w:rsidRDefault="00580058" w:rsidP="009D7B79">
      <w:pPr>
        <w:numPr>
          <w:ilvl w:val="0"/>
          <w:numId w:val="23"/>
        </w:numPr>
        <w:jc w:val="both"/>
        <w:rPr>
          <w:sz w:val="22"/>
          <w:szCs w:val="22"/>
        </w:rPr>
      </w:pPr>
      <w:r>
        <w:rPr>
          <w:sz w:val="22"/>
          <w:szCs w:val="22"/>
        </w:rPr>
        <w:t xml:space="preserve">Like other resourced provision, the Behaviour Centres </w:t>
      </w:r>
      <w:r w:rsidRPr="006F1DF0">
        <w:rPr>
          <w:sz w:val="22"/>
          <w:szCs w:val="22"/>
        </w:rPr>
        <w:t xml:space="preserve">are </w:t>
      </w:r>
      <w:r>
        <w:rPr>
          <w:sz w:val="22"/>
          <w:szCs w:val="22"/>
        </w:rPr>
        <w:t xml:space="preserve">not </w:t>
      </w:r>
      <w:r w:rsidRPr="006F1DF0">
        <w:rPr>
          <w:sz w:val="22"/>
          <w:szCs w:val="22"/>
        </w:rPr>
        <w:t xml:space="preserve">stand alone units. As such, it is not applicable to apply all the setting-need based factors that are included within the special school and </w:t>
      </w:r>
      <w:r w:rsidRPr="006F1DF0">
        <w:rPr>
          <w:sz w:val="22"/>
          <w:szCs w:val="22"/>
        </w:rPr>
        <w:lastRenderedPageBreak/>
        <w:t xml:space="preserve">the </w:t>
      </w:r>
      <w:smartTag w:uri="urn:schemas-microsoft-com:office:smarttags" w:element="stockticker">
        <w:r w:rsidRPr="006F1DF0">
          <w:rPr>
            <w:sz w:val="22"/>
            <w:szCs w:val="22"/>
          </w:rPr>
          <w:t>PRU</w:t>
        </w:r>
      </w:smartTag>
      <w:r w:rsidRPr="006F1DF0">
        <w:rPr>
          <w:sz w:val="22"/>
          <w:szCs w:val="22"/>
        </w:rPr>
        <w:t xml:space="preserve"> funding models. The setting need based factors that </w:t>
      </w:r>
      <w:r>
        <w:rPr>
          <w:sz w:val="22"/>
          <w:szCs w:val="22"/>
        </w:rPr>
        <w:t>have been</w:t>
      </w:r>
      <w:r w:rsidRPr="006F1DF0">
        <w:rPr>
          <w:sz w:val="22"/>
          <w:szCs w:val="22"/>
        </w:rPr>
        <w:t xml:space="preserve"> included within the calculation of Plus funding for the Centres in 2014/15 </w:t>
      </w:r>
      <w:r w:rsidR="009D7B79">
        <w:rPr>
          <w:sz w:val="22"/>
          <w:szCs w:val="22"/>
        </w:rPr>
        <w:t>are</w:t>
      </w:r>
      <w:r w:rsidR="008D61CF">
        <w:rPr>
          <w:sz w:val="22"/>
          <w:szCs w:val="22"/>
        </w:rPr>
        <w:t>:</w:t>
      </w:r>
      <w:r w:rsidR="009D7B79">
        <w:rPr>
          <w:sz w:val="22"/>
          <w:szCs w:val="22"/>
        </w:rPr>
        <w:t xml:space="preserve"> t</w:t>
      </w:r>
      <w:r w:rsidR="008D61CF">
        <w:rPr>
          <w:sz w:val="22"/>
          <w:szCs w:val="22"/>
        </w:rPr>
        <w:t>he C</w:t>
      </w:r>
      <w:r w:rsidR="009D7B79" w:rsidRPr="009D7B79">
        <w:rPr>
          <w:sz w:val="22"/>
          <w:szCs w:val="22"/>
        </w:rPr>
        <w:t>hurn factor (as per</w:t>
      </w:r>
      <w:r w:rsidRPr="009D7B79">
        <w:rPr>
          <w:sz w:val="22"/>
          <w:szCs w:val="22"/>
        </w:rPr>
        <w:t xml:space="preserve"> Central PRU</w:t>
      </w:r>
      <w:r w:rsidR="009D7B79" w:rsidRPr="009D7B79">
        <w:rPr>
          <w:sz w:val="22"/>
          <w:szCs w:val="22"/>
        </w:rPr>
        <w:t xml:space="preserve"> above</w:t>
      </w:r>
      <w:r w:rsidR="009D7B79">
        <w:rPr>
          <w:sz w:val="22"/>
          <w:szCs w:val="22"/>
        </w:rPr>
        <w:t xml:space="preserve"> and</w:t>
      </w:r>
      <w:r w:rsidRPr="009D7B79">
        <w:rPr>
          <w:sz w:val="22"/>
          <w:szCs w:val="22"/>
        </w:rPr>
        <w:t xml:space="preserve"> calculated on the same basis</w:t>
      </w:r>
      <w:r w:rsidR="009D7B79">
        <w:rPr>
          <w:sz w:val="22"/>
          <w:szCs w:val="22"/>
        </w:rPr>
        <w:t>), t</w:t>
      </w:r>
      <w:r w:rsidR="009D7B79" w:rsidRPr="009D7B79">
        <w:rPr>
          <w:sz w:val="22"/>
          <w:szCs w:val="22"/>
        </w:rPr>
        <w:t>he 2013/14 Budget P</w:t>
      </w:r>
      <w:r w:rsidR="009D7B79">
        <w:rPr>
          <w:sz w:val="22"/>
          <w:szCs w:val="22"/>
        </w:rPr>
        <w:t xml:space="preserve">rotection factor and the </w:t>
      </w:r>
      <w:r w:rsidR="009D7B79" w:rsidRPr="009D7B79">
        <w:rPr>
          <w:sz w:val="22"/>
          <w:szCs w:val="22"/>
        </w:rPr>
        <w:t>One Off Fu</w:t>
      </w:r>
      <w:r w:rsidR="009D7B79">
        <w:rPr>
          <w:sz w:val="22"/>
          <w:szCs w:val="22"/>
        </w:rPr>
        <w:t>nding factor.</w:t>
      </w:r>
    </w:p>
    <w:p w:rsidR="00D00C2F" w:rsidRPr="00D00C2F" w:rsidRDefault="00D00C2F" w:rsidP="00580058">
      <w:pPr>
        <w:pStyle w:val="ListParagraph"/>
        <w:jc w:val="both"/>
        <w:rPr>
          <w:sz w:val="22"/>
          <w:szCs w:val="22"/>
        </w:rPr>
      </w:pPr>
    </w:p>
    <w:p w:rsidR="00C15FE5" w:rsidRDefault="000B67E3" w:rsidP="00C15FE5">
      <w:pPr>
        <w:jc w:val="both"/>
        <w:rPr>
          <w:sz w:val="22"/>
          <w:szCs w:val="22"/>
        </w:rPr>
      </w:pPr>
      <w:r>
        <w:rPr>
          <w:sz w:val="22"/>
          <w:szCs w:val="22"/>
        </w:rPr>
        <w:t>4.24</w:t>
      </w:r>
      <w:r w:rsidR="003F7CD2" w:rsidRPr="00BD112A">
        <w:rPr>
          <w:sz w:val="22"/>
          <w:szCs w:val="22"/>
        </w:rPr>
        <w:t xml:space="preserve"> A separate process has been followed to calculate allocations for placements in Post </w:t>
      </w:r>
      <w:r w:rsidR="00253ABC" w:rsidRPr="00BD112A">
        <w:rPr>
          <w:sz w:val="22"/>
          <w:szCs w:val="22"/>
        </w:rPr>
        <w:t xml:space="preserve">16 Further Education Settings. </w:t>
      </w:r>
      <w:r w:rsidR="003F7CD2" w:rsidRPr="00BD112A">
        <w:rPr>
          <w:sz w:val="22"/>
          <w:szCs w:val="22"/>
        </w:rPr>
        <w:t>An initial difference is that, because the Place element is calculated for FE settings on a ‘lagged’ basis a year in arrears, where placements at an FE College have exceeded the number of set places, the expectation has been that the Place element would not be funded by the authority in year, but would instead be reflected in the college’s place numbers set in 2015/16.</w:t>
      </w:r>
      <w:r w:rsidR="00C15FE5" w:rsidRPr="00BD112A">
        <w:rPr>
          <w:sz w:val="22"/>
          <w:szCs w:val="22"/>
        </w:rPr>
        <w:t xml:space="preserve"> As indicated previously in this document, in July 2014, following consultation, the School Forum agreed the proposed initial step towards the funding of high needs </w:t>
      </w:r>
      <w:r w:rsidR="00C15FE5">
        <w:rPr>
          <w:sz w:val="22"/>
          <w:szCs w:val="22"/>
        </w:rPr>
        <w:t>students in Fu</w:t>
      </w:r>
      <w:r w:rsidR="00253ABC">
        <w:rPr>
          <w:sz w:val="22"/>
          <w:szCs w:val="22"/>
        </w:rPr>
        <w:t>rther Education</w:t>
      </w:r>
      <w:r w:rsidR="00C15FE5">
        <w:rPr>
          <w:sz w:val="22"/>
          <w:szCs w:val="22"/>
        </w:rPr>
        <w:t xml:space="preserve"> settings on a formula-basis for the 2014/15 academic year, moving away from the previous actual costs of provision funding model. This approach has now been implemented. </w:t>
      </w:r>
      <w:r w:rsidR="00253ABC">
        <w:rPr>
          <w:sz w:val="22"/>
          <w:szCs w:val="22"/>
        </w:rPr>
        <w:t>In summary, a</w:t>
      </w:r>
      <w:r w:rsidR="00C15FE5">
        <w:rPr>
          <w:sz w:val="22"/>
          <w:szCs w:val="22"/>
        </w:rPr>
        <w:t>s a first step, the Authority has formularised</w:t>
      </w:r>
      <w:r w:rsidR="00253ABC">
        <w:rPr>
          <w:sz w:val="22"/>
          <w:szCs w:val="22"/>
        </w:rPr>
        <w:t xml:space="preserve"> the funding of approximately 65% of high needs</w:t>
      </w:r>
      <w:r w:rsidR="00C15FE5">
        <w:rPr>
          <w:sz w:val="22"/>
          <w:szCs w:val="22"/>
        </w:rPr>
        <w:t xml:space="preserve"> students in FE settings,</w:t>
      </w:r>
      <w:r w:rsidR="00253ABC">
        <w:rPr>
          <w:sz w:val="22"/>
          <w:szCs w:val="22"/>
        </w:rPr>
        <w:t xml:space="preserve"> with the following primary needs,</w:t>
      </w:r>
      <w:r w:rsidR="00C15FE5">
        <w:rPr>
          <w:sz w:val="22"/>
          <w:szCs w:val="22"/>
        </w:rPr>
        <w:t xml:space="preserve"> </w:t>
      </w:r>
      <w:r w:rsidR="00C15FE5" w:rsidRPr="00C15FE5">
        <w:rPr>
          <w:sz w:val="22"/>
          <w:szCs w:val="22"/>
        </w:rPr>
        <w:t>based on the current captured FE costs of provision</w:t>
      </w:r>
      <w:r w:rsidR="00253ABC">
        <w:rPr>
          <w:sz w:val="22"/>
          <w:szCs w:val="22"/>
        </w:rPr>
        <w:t>, cross checked against our Ranges Model</w:t>
      </w:r>
      <w:r w:rsidR="00C15FE5">
        <w:rPr>
          <w:sz w:val="22"/>
          <w:szCs w:val="22"/>
        </w:rPr>
        <w:t xml:space="preserve">. </w:t>
      </w:r>
    </w:p>
    <w:p w:rsidR="00BD112A" w:rsidRDefault="00BD112A" w:rsidP="00C15FE5">
      <w:pPr>
        <w:jc w:val="both"/>
        <w:rPr>
          <w:sz w:val="22"/>
          <w:szCs w:val="22"/>
        </w:rPr>
      </w:pPr>
    </w:p>
    <w:p w:rsidR="00253ABC" w:rsidRPr="00253ABC" w:rsidRDefault="00253ABC" w:rsidP="00253ABC">
      <w:pPr>
        <w:pStyle w:val="ListParagraph"/>
        <w:numPr>
          <w:ilvl w:val="0"/>
          <w:numId w:val="23"/>
        </w:numPr>
        <w:jc w:val="both"/>
        <w:rPr>
          <w:sz w:val="22"/>
          <w:szCs w:val="22"/>
        </w:rPr>
      </w:pPr>
      <w:r w:rsidRPr="00253ABC">
        <w:rPr>
          <w:sz w:val="22"/>
          <w:szCs w:val="22"/>
        </w:rPr>
        <w:t>Autism Spectrum Disorder (ASD)</w:t>
      </w:r>
    </w:p>
    <w:p w:rsidR="00253ABC" w:rsidRPr="00253ABC" w:rsidRDefault="00253ABC" w:rsidP="00253ABC">
      <w:pPr>
        <w:pStyle w:val="ListParagraph"/>
        <w:numPr>
          <w:ilvl w:val="0"/>
          <w:numId w:val="23"/>
        </w:numPr>
        <w:jc w:val="both"/>
        <w:rPr>
          <w:sz w:val="22"/>
          <w:szCs w:val="22"/>
        </w:rPr>
      </w:pPr>
      <w:r w:rsidRPr="00253ABC">
        <w:rPr>
          <w:sz w:val="22"/>
          <w:szCs w:val="22"/>
        </w:rPr>
        <w:t>Emotional, Behavioural and Social Disorder (BESD)</w:t>
      </w:r>
    </w:p>
    <w:p w:rsidR="00253ABC" w:rsidRPr="00253ABC" w:rsidRDefault="00253ABC" w:rsidP="00253ABC">
      <w:pPr>
        <w:pStyle w:val="ListParagraph"/>
        <w:numPr>
          <w:ilvl w:val="0"/>
          <w:numId w:val="23"/>
        </w:numPr>
        <w:jc w:val="both"/>
        <w:rPr>
          <w:sz w:val="22"/>
          <w:szCs w:val="22"/>
        </w:rPr>
      </w:pPr>
      <w:r w:rsidRPr="00253ABC">
        <w:rPr>
          <w:sz w:val="22"/>
          <w:szCs w:val="22"/>
        </w:rPr>
        <w:t>Moderate Learning Difficulties (MLD)</w:t>
      </w:r>
    </w:p>
    <w:p w:rsidR="00253ABC" w:rsidRPr="00253ABC" w:rsidRDefault="00253ABC" w:rsidP="00253ABC">
      <w:pPr>
        <w:pStyle w:val="ListParagraph"/>
        <w:numPr>
          <w:ilvl w:val="0"/>
          <w:numId w:val="23"/>
        </w:numPr>
        <w:jc w:val="both"/>
        <w:rPr>
          <w:sz w:val="22"/>
          <w:szCs w:val="22"/>
        </w:rPr>
      </w:pPr>
      <w:r w:rsidRPr="00253ABC">
        <w:rPr>
          <w:sz w:val="22"/>
          <w:szCs w:val="22"/>
        </w:rPr>
        <w:t>Speech, Language and Communication Needs (SLCN)</w:t>
      </w:r>
    </w:p>
    <w:p w:rsidR="00253ABC" w:rsidRPr="00253ABC" w:rsidRDefault="00253ABC" w:rsidP="00253ABC">
      <w:pPr>
        <w:pStyle w:val="ListParagraph"/>
        <w:numPr>
          <w:ilvl w:val="0"/>
          <w:numId w:val="23"/>
        </w:numPr>
        <w:jc w:val="both"/>
        <w:rPr>
          <w:sz w:val="22"/>
          <w:szCs w:val="22"/>
        </w:rPr>
      </w:pPr>
      <w:r w:rsidRPr="00253ABC">
        <w:rPr>
          <w:sz w:val="22"/>
          <w:szCs w:val="22"/>
        </w:rPr>
        <w:t>Profound and Multiple Learning Difficulties (PMLD)</w:t>
      </w:r>
    </w:p>
    <w:p w:rsidR="009A2869" w:rsidRPr="003B0B26" w:rsidRDefault="00253ABC" w:rsidP="00C15FE5">
      <w:pPr>
        <w:pStyle w:val="ListParagraph"/>
        <w:numPr>
          <w:ilvl w:val="0"/>
          <w:numId w:val="23"/>
        </w:numPr>
        <w:jc w:val="both"/>
        <w:rPr>
          <w:sz w:val="22"/>
          <w:szCs w:val="22"/>
        </w:rPr>
      </w:pPr>
      <w:r w:rsidRPr="00253ABC">
        <w:rPr>
          <w:sz w:val="22"/>
          <w:szCs w:val="22"/>
        </w:rPr>
        <w:t>Severe Learning Difficulties (SLD)</w:t>
      </w:r>
    </w:p>
    <w:p w:rsidR="003B0B26" w:rsidRDefault="003B0B26" w:rsidP="00B90B15">
      <w:pPr>
        <w:jc w:val="both"/>
        <w:rPr>
          <w:sz w:val="22"/>
          <w:szCs w:val="22"/>
        </w:rPr>
      </w:pPr>
    </w:p>
    <w:p w:rsidR="009A2869" w:rsidRDefault="009A2869" w:rsidP="00B90B15">
      <w:pPr>
        <w:jc w:val="both"/>
        <w:rPr>
          <w:sz w:val="22"/>
          <w:szCs w:val="22"/>
        </w:rPr>
      </w:pPr>
      <w:r>
        <w:rPr>
          <w:sz w:val="22"/>
          <w:szCs w:val="22"/>
        </w:rPr>
        <w:t>This stops some way short of establishing a single formula for all maintained and FE post 16 funding. It is not a very complicated approach; the Authority has used analysis of mean and median averages, together with the variances for the funding of individual students, to develop formula weightings. But this does formularise the current FE actual costs model as a step towards a more holistic formula approach. A working group is currently being established that will take this review forward</w:t>
      </w:r>
      <w:r w:rsidR="00BD112A">
        <w:rPr>
          <w:sz w:val="22"/>
          <w:szCs w:val="22"/>
        </w:rPr>
        <w:t xml:space="preserve"> to inform the Post 16 funding model to be used for the 2015/16 academic year</w:t>
      </w:r>
      <w:r>
        <w:rPr>
          <w:sz w:val="22"/>
          <w:szCs w:val="22"/>
        </w:rPr>
        <w:t>.</w:t>
      </w:r>
      <w:r w:rsidR="00C40793">
        <w:rPr>
          <w:sz w:val="22"/>
          <w:szCs w:val="22"/>
        </w:rPr>
        <w:t xml:space="preserve"> This work has implications for the funding of all Post 16 high needs provision in the future, include FE and Post 16 provision in resourced units and special schools and academies.</w:t>
      </w:r>
    </w:p>
    <w:p w:rsidR="00BD112A" w:rsidRDefault="00BD112A" w:rsidP="00B90B15">
      <w:pPr>
        <w:jc w:val="both"/>
        <w:rPr>
          <w:sz w:val="22"/>
          <w:szCs w:val="22"/>
        </w:rPr>
      </w:pPr>
    </w:p>
    <w:p w:rsidR="00DD2927" w:rsidRDefault="009F2D68" w:rsidP="00B90B15">
      <w:pPr>
        <w:jc w:val="both"/>
        <w:rPr>
          <w:sz w:val="22"/>
          <w:szCs w:val="22"/>
        </w:rPr>
      </w:pPr>
      <w:r>
        <w:rPr>
          <w:sz w:val="22"/>
          <w:szCs w:val="22"/>
        </w:rPr>
        <w:t>4.2</w:t>
      </w:r>
      <w:r w:rsidR="000B67E3">
        <w:rPr>
          <w:sz w:val="22"/>
          <w:szCs w:val="22"/>
        </w:rPr>
        <w:t>5</w:t>
      </w:r>
      <w:r w:rsidR="005D5C11">
        <w:rPr>
          <w:sz w:val="22"/>
          <w:szCs w:val="22"/>
        </w:rPr>
        <w:t xml:space="preserve"> </w:t>
      </w:r>
      <w:r w:rsidR="00FE0A9C">
        <w:rPr>
          <w:sz w:val="22"/>
          <w:szCs w:val="22"/>
        </w:rPr>
        <w:t xml:space="preserve">The funding for </w:t>
      </w:r>
      <w:r w:rsidR="00DD2927">
        <w:rPr>
          <w:sz w:val="22"/>
          <w:szCs w:val="22"/>
        </w:rPr>
        <w:t>Education in Hospital</w:t>
      </w:r>
      <w:r w:rsidR="00EC4C05">
        <w:rPr>
          <w:sz w:val="22"/>
          <w:szCs w:val="22"/>
        </w:rPr>
        <w:t xml:space="preserve"> in 2014/15</w:t>
      </w:r>
      <w:r w:rsidR="00FE0A9C">
        <w:rPr>
          <w:sz w:val="22"/>
          <w:szCs w:val="22"/>
        </w:rPr>
        <w:t xml:space="preserve"> is allocated to local authorities outside of the DSG, based on a national formula, with the requirement that local authorities continue the same amo</w:t>
      </w:r>
      <w:r w:rsidR="00EC4C05">
        <w:rPr>
          <w:sz w:val="22"/>
          <w:szCs w:val="22"/>
        </w:rPr>
        <w:t>unt per place funding as in 2013/14</w:t>
      </w:r>
      <w:r w:rsidR="00FE0A9C">
        <w:rPr>
          <w:sz w:val="22"/>
          <w:szCs w:val="22"/>
        </w:rPr>
        <w:t xml:space="preserve"> (which for Bradford is £18,000 per place). </w:t>
      </w:r>
      <w:r w:rsidR="00680B3A">
        <w:rPr>
          <w:sz w:val="22"/>
          <w:szCs w:val="22"/>
        </w:rPr>
        <w:t>As such, the Place-Plus framework is not fully applicable. This is a pragmatic</w:t>
      </w:r>
      <w:r w:rsidR="00EC4C05">
        <w:rPr>
          <w:sz w:val="22"/>
          <w:szCs w:val="22"/>
        </w:rPr>
        <w:t>,</w:t>
      </w:r>
      <w:r w:rsidR="00680B3A">
        <w:rPr>
          <w:sz w:val="22"/>
          <w:szCs w:val="22"/>
        </w:rPr>
        <w:t xml:space="preserve"> short term funding approach, in place until a longer term solution can be developed.</w:t>
      </w:r>
    </w:p>
    <w:p w:rsidR="00307E43" w:rsidRDefault="00307E43" w:rsidP="00307E43">
      <w:pPr>
        <w:jc w:val="both"/>
        <w:rPr>
          <w:sz w:val="22"/>
          <w:szCs w:val="22"/>
        </w:rPr>
      </w:pPr>
    </w:p>
    <w:p w:rsidR="007D1694" w:rsidRDefault="009F2D68" w:rsidP="007D1694">
      <w:pPr>
        <w:jc w:val="both"/>
        <w:rPr>
          <w:sz w:val="22"/>
          <w:szCs w:val="22"/>
        </w:rPr>
      </w:pPr>
      <w:r>
        <w:rPr>
          <w:sz w:val="22"/>
          <w:szCs w:val="22"/>
        </w:rPr>
        <w:t>4.2</w:t>
      </w:r>
      <w:r w:rsidR="000B67E3">
        <w:rPr>
          <w:sz w:val="22"/>
          <w:szCs w:val="22"/>
        </w:rPr>
        <w:t>6</w:t>
      </w:r>
      <w:r w:rsidR="005D5C11">
        <w:rPr>
          <w:sz w:val="22"/>
          <w:szCs w:val="22"/>
        </w:rPr>
        <w:t xml:space="preserve"> </w:t>
      </w:r>
      <w:r w:rsidR="007D1694">
        <w:rPr>
          <w:sz w:val="22"/>
          <w:szCs w:val="22"/>
        </w:rPr>
        <w:t xml:space="preserve">The new Place-Plus framework for the funding of children with </w:t>
      </w:r>
      <w:smartTag w:uri="urn:schemas-microsoft-com:office:smarttags" w:element="stockticker">
        <w:r w:rsidR="007D1694">
          <w:rPr>
            <w:sz w:val="22"/>
            <w:szCs w:val="22"/>
          </w:rPr>
          <w:t>SEN</w:t>
        </w:r>
      </w:smartTag>
      <w:r w:rsidR="007D1694">
        <w:rPr>
          <w:sz w:val="22"/>
          <w:szCs w:val="22"/>
        </w:rPr>
        <w:t xml:space="preserve"> in mainstream Primary and Secondary schools / academies </w:t>
      </w:r>
      <w:r w:rsidR="007279F4">
        <w:rPr>
          <w:sz w:val="22"/>
          <w:szCs w:val="22"/>
        </w:rPr>
        <w:t>mainstream</w:t>
      </w:r>
      <w:r w:rsidR="00EC4C05">
        <w:rPr>
          <w:sz w:val="22"/>
          <w:szCs w:val="22"/>
        </w:rPr>
        <w:t xml:space="preserve"> has been applied in 2014/15</w:t>
      </w:r>
      <w:r w:rsidR="007D1694">
        <w:rPr>
          <w:sz w:val="22"/>
          <w:szCs w:val="22"/>
        </w:rPr>
        <w:t xml:space="preserve"> as follows. This approach has not been significantly differ</w:t>
      </w:r>
      <w:r w:rsidR="00FE774E">
        <w:rPr>
          <w:sz w:val="22"/>
          <w:szCs w:val="22"/>
        </w:rPr>
        <w:t>ent from our approach</w:t>
      </w:r>
      <w:r w:rsidR="007D1694">
        <w:rPr>
          <w:sz w:val="22"/>
          <w:szCs w:val="22"/>
        </w:rPr>
        <w:t xml:space="preserve"> prior to </w:t>
      </w:r>
      <w:r w:rsidR="00EC4C05">
        <w:rPr>
          <w:sz w:val="22"/>
          <w:szCs w:val="22"/>
        </w:rPr>
        <w:t>1 April 2013</w:t>
      </w:r>
      <w:r w:rsidR="007D1694">
        <w:rPr>
          <w:sz w:val="22"/>
          <w:szCs w:val="22"/>
        </w:rPr>
        <w:t xml:space="preserve">. </w:t>
      </w:r>
    </w:p>
    <w:p w:rsidR="007D1694" w:rsidRDefault="007D1694" w:rsidP="007D1694">
      <w:pPr>
        <w:jc w:val="both"/>
        <w:rPr>
          <w:sz w:val="22"/>
          <w:szCs w:val="22"/>
        </w:rPr>
      </w:pPr>
    </w:p>
    <w:p w:rsidR="00337617" w:rsidRDefault="00CE576C" w:rsidP="00C1738E">
      <w:pPr>
        <w:numPr>
          <w:ilvl w:val="0"/>
          <w:numId w:val="8"/>
        </w:numPr>
        <w:jc w:val="both"/>
        <w:rPr>
          <w:sz w:val="22"/>
          <w:szCs w:val="22"/>
        </w:rPr>
      </w:pPr>
      <w:r w:rsidRPr="00337617">
        <w:rPr>
          <w:sz w:val="22"/>
          <w:szCs w:val="22"/>
        </w:rPr>
        <w:t>The vast majority of funding</w:t>
      </w:r>
      <w:r w:rsidR="00FE774E" w:rsidRPr="00337617">
        <w:rPr>
          <w:sz w:val="22"/>
          <w:szCs w:val="22"/>
        </w:rPr>
        <w:t>, which supports</w:t>
      </w:r>
      <w:r w:rsidRPr="00337617">
        <w:rPr>
          <w:sz w:val="22"/>
          <w:szCs w:val="22"/>
        </w:rPr>
        <w:t xml:space="preserve"> the costs of children at School Action, School Action Plus and with Statements</w:t>
      </w:r>
      <w:r w:rsidR="00FE774E" w:rsidRPr="00337617">
        <w:rPr>
          <w:sz w:val="22"/>
          <w:szCs w:val="22"/>
        </w:rPr>
        <w:t>,</w:t>
      </w:r>
      <w:r w:rsidRPr="00337617">
        <w:rPr>
          <w:sz w:val="22"/>
          <w:szCs w:val="22"/>
        </w:rPr>
        <w:t xml:space="preserve"> is allocated to schools / academies through the </w:t>
      </w:r>
      <w:smartTag w:uri="urn:schemas-microsoft-com:office:smarttags" w:element="stockticker">
        <w:r w:rsidRPr="00337617">
          <w:rPr>
            <w:sz w:val="22"/>
            <w:szCs w:val="22"/>
          </w:rPr>
          <w:t>SEN</w:t>
        </w:r>
      </w:smartTag>
      <w:r w:rsidRPr="00337617">
        <w:rPr>
          <w:sz w:val="22"/>
          <w:szCs w:val="22"/>
        </w:rPr>
        <w:t xml:space="preserve"> funding formulae – calculated on low prior attainment, </w:t>
      </w:r>
      <w:smartTag w:uri="urn:schemas-microsoft-com:office:smarttags" w:element="stockticker">
        <w:r w:rsidRPr="00337617">
          <w:rPr>
            <w:sz w:val="22"/>
            <w:szCs w:val="22"/>
          </w:rPr>
          <w:t>FSM</w:t>
        </w:r>
      </w:smartTag>
      <w:r w:rsidRPr="00337617">
        <w:rPr>
          <w:sz w:val="22"/>
          <w:szCs w:val="22"/>
        </w:rPr>
        <w:t xml:space="preserve"> and IDACI. This funding is allocated to schools / academies within their ov</w:t>
      </w:r>
      <w:r w:rsidR="00FE774E" w:rsidRPr="00337617">
        <w:rPr>
          <w:sz w:val="22"/>
          <w:szCs w:val="22"/>
        </w:rPr>
        <w:t>erall funding allocations at</w:t>
      </w:r>
      <w:r w:rsidRPr="00337617">
        <w:rPr>
          <w:sz w:val="22"/>
          <w:szCs w:val="22"/>
        </w:rPr>
        <w:t xml:space="preserve"> the start of the financial year. This is a separately identified amount on budget statements. The expectation then is that schools / academies will meet the vast maj</w:t>
      </w:r>
      <w:r w:rsidR="00FE774E" w:rsidRPr="00337617">
        <w:rPr>
          <w:sz w:val="22"/>
          <w:szCs w:val="22"/>
        </w:rPr>
        <w:t>ority of the costs of support for</w:t>
      </w:r>
      <w:r w:rsidRPr="00337617">
        <w:rPr>
          <w:sz w:val="22"/>
          <w:szCs w:val="22"/>
        </w:rPr>
        <w:t xml:space="preserve"> children with additional needs from </w:t>
      </w:r>
      <w:r w:rsidR="00FE774E" w:rsidRPr="00337617">
        <w:rPr>
          <w:sz w:val="22"/>
          <w:szCs w:val="22"/>
        </w:rPr>
        <w:t>these resources</w:t>
      </w:r>
      <w:r w:rsidR="00337617">
        <w:rPr>
          <w:sz w:val="22"/>
          <w:szCs w:val="22"/>
        </w:rPr>
        <w:t>.</w:t>
      </w:r>
    </w:p>
    <w:p w:rsidR="00337617" w:rsidRDefault="00CE576C" w:rsidP="00C1738E">
      <w:pPr>
        <w:numPr>
          <w:ilvl w:val="0"/>
          <w:numId w:val="8"/>
        </w:numPr>
        <w:jc w:val="both"/>
        <w:rPr>
          <w:sz w:val="22"/>
          <w:szCs w:val="22"/>
        </w:rPr>
      </w:pPr>
      <w:r w:rsidRPr="00337617">
        <w:rPr>
          <w:sz w:val="22"/>
          <w:szCs w:val="22"/>
        </w:rPr>
        <w:t>For children with Statements, a threshold has been established, at a value</w:t>
      </w:r>
      <w:r w:rsidR="001B2920" w:rsidRPr="00337617">
        <w:rPr>
          <w:sz w:val="22"/>
          <w:szCs w:val="22"/>
        </w:rPr>
        <w:t xml:space="preserve"> of</w:t>
      </w:r>
      <w:r w:rsidRPr="00337617">
        <w:rPr>
          <w:sz w:val="22"/>
          <w:szCs w:val="22"/>
        </w:rPr>
        <w:t xml:space="preserve"> £6,000. For all children with Statements, the first £6,000 is allocated within the </w:t>
      </w:r>
      <w:smartTag w:uri="urn:schemas-microsoft-com:office:smarttags" w:element="stockticker">
        <w:r w:rsidRPr="00337617">
          <w:rPr>
            <w:sz w:val="22"/>
            <w:szCs w:val="22"/>
          </w:rPr>
          <w:t>SEN</w:t>
        </w:r>
      </w:smartTag>
      <w:r w:rsidRPr="00337617">
        <w:rPr>
          <w:sz w:val="22"/>
          <w:szCs w:val="22"/>
        </w:rPr>
        <w:t xml:space="preserve"> formulae and the school / academy meets this proportion from thei</w:t>
      </w:r>
      <w:r w:rsidR="001B2920" w:rsidRPr="00337617">
        <w:rPr>
          <w:sz w:val="22"/>
          <w:szCs w:val="22"/>
        </w:rPr>
        <w:t>r identified funding allocation</w:t>
      </w:r>
      <w:r w:rsidR="00337617">
        <w:rPr>
          <w:sz w:val="22"/>
          <w:szCs w:val="22"/>
        </w:rPr>
        <w:t>.</w:t>
      </w:r>
    </w:p>
    <w:p w:rsidR="00CE576C" w:rsidRPr="00337617" w:rsidRDefault="00CE576C" w:rsidP="00337617">
      <w:pPr>
        <w:ind w:left="720"/>
        <w:jc w:val="both"/>
        <w:rPr>
          <w:sz w:val="22"/>
          <w:szCs w:val="22"/>
        </w:rPr>
      </w:pPr>
      <w:r w:rsidRPr="00337617">
        <w:rPr>
          <w:sz w:val="22"/>
          <w:szCs w:val="22"/>
        </w:rPr>
        <w:t xml:space="preserve"> </w:t>
      </w:r>
    </w:p>
    <w:p w:rsidR="00CE576C" w:rsidRDefault="00CE576C" w:rsidP="00C1738E">
      <w:pPr>
        <w:numPr>
          <w:ilvl w:val="0"/>
          <w:numId w:val="8"/>
        </w:numPr>
        <w:jc w:val="both"/>
        <w:rPr>
          <w:sz w:val="22"/>
          <w:szCs w:val="22"/>
        </w:rPr>
      </w:pPr>
      <w:r>
        <w:rPr>
          <w:sz w:val="22"/>
          <w:szCs w:val="22"/>
        </w:rPr>
        <w:t>For Statements with a value greater than £6,000, the balance between the full cost of the Statement</w:t>
      </w:r>
      <w:r w:rsidR="00FE774E">
        <w:rPr>
          <w:sz w:val="22"/>
          <w:szCs w:val="22"/>
        </w:rPr>
        <w:t xml:space="preserve"> (calculated using the established 7 Ranges Model) and the £6,000 threshold </w:t>
      </w:r>
      <w:r>
        <w:rPr>
          <w:sz w:val="22"/>
          <w:szCs w:val="22"/>
        </w:rPr>
        <w:t>is allocated by the Local Authority as a separate individual amount, re-calculated on a monthly basis for the movement of pupils</w:t>
      </w:r>
      <w:r w:rsidR="00337617">
        <w:rPr>
          <w:sz w:val="22"/>
          <w:szCs w:val="22"/>
        </w:rPr>
        <w:t>.</w:t>
      </w:r>
    </w:p>
    <w:p w:rsidR="00337617" w:rsidRDefault="00337617" w:rsidP="00337617">
      <w:pPr>
        <w:jc w:val="both"/>
        <w:rPr>
          <w:sz w:val="22"/>
          <w:szCs w:val="22"/>
        </w:rPr>
      </w:pPr>
    </w:p>
    <w:p w:rsidR="00CE576C" w:rsidRDefault="00CE576C" w:rsidP="00C1738E">
      <w:pPr>
        <w:numPr>
          <w:ilvl w:val="0"/>
          <w:numId w:val="8"/>
        </w:numPr>
        <w:jc w:val="both"/>
        <w:rPr>
          <w:sz w:val="22"/>
          <w:szCs w:val="22"/>
        </w:rPr>
      </w:pPr>
      <w:r>
        <w:rPr>
          <w:sz w:val="22"/>
          <w:szCs w:val="22"/>
        </w:rPr>
        <w:t xml:space="preserve">A separate </w:t>
      </w:r>
      <w:smartTag w:uri="urn:schemas-microsoft-com:office:smarttags" w:element="stockticker">
        <w:r>
          <w:rPr>
            <w:sz w:val="22"/>
            <w:szCs w:val="22"/>
          </w:rPr>
          <w:t>SEN</w:t>
        </w:r>
      </w:smartTag>
      <w:r>
        <w:rPr>
          <w:sz w:val="22"/>
          <w:szCs w:val="22"/>
        </w:rPr>
        <w:t xml:space="preserve"> Floor ensures that all </w:t>
      </w:r>
      <w:r w:rsidR="001B2920">
        <w:rPr>
          <w:sz w:val="22"/>
          <w:szCs w:val="22"/>
        </w:rPr>
        <w:t>mainstream settings</w:t>
      </w:r>
      <w:r>
        <w:rPr>
          <w:sz w:val="22"/>
          <w:szCs w:val="22"/>
        </w:rPr>
        <w:t xml:space="preserve"> receive a minimum amount of </w:t>
      </w:r>
      <w:smartTag w:uri="urn:schemas-microsoft-com:office:smarttags" w:element="stockticker">
        <w:r>
          <w:rPr>
            <w:sz w:val="22"/>
            <w:szCs w:val="22"/>
          </w:rPr>
          <w:t>SEN</w:t>
        </w:r>
      </w:smartTag>
      <w:r>
        <w:rPr>
          <w:sz w:val="22"/>
          <w:szCs w:val="22"/>
        </w:rPr>
        <w:t xml:space="preserve"> formula funding, compared against the value of Statements of children at the school / academy. In </w:t>
      </w:r>
      <w:r>
        <w:rPr>
          <w:sz w:val="22"/>
          <w:szCs w:val="22"/>
        </w:rPr>
        <w:lastRenderedPageBreak/>
        <w:t>effect, the Floor provides a top up for schools / academies with higher numbers of individual Statements at a valu</w:t>
      </w:r>
      <w:r w:rsidR="00493D04">
        <w:rPr>
          <w:sz w:val="22"/>
          <w:szCs w:val="22"/>
        </w:rPr>
        <w:t>e of greater than £6,000 that have</w:t>
      </w:r>
      <w:r>
        <w:rPr>
          <w:sz w:val="22"/>
          <w:szCs w:val="22"/>
        </w:rPr>
        <w:t xml:space="preserve"> lower levels of </w:t>
      </w:r>
      <w:smartTag w:uri="urn:schemas-microsoft-com:office:smarttags" w:element="stockticker">
        <w:r>
          <w:rPr>
            <w:sz w:val="22"/>
            <w:szCs w:val="22"/>
          </w:rPr>
          <w:t>FSM</w:t>
        </w:r>
      </w:smartTag>
      <w:r>
        <w:rPr>
          <w:sz w:val="22"/>
          <w:szCs w:val="22"/>
        </w:rPr>
        <w:t xml:space="preserve"> and IDACI</w:t>
      </w:r>
      <w:r w:rsidR="00455858">
        <w:rPr>
          <w:sz w:val="22"/>
          <w:szCs w:val="22"/>
        </w:rPr>
        <w:t xml:space="preserve">. The </w:t>
      </w:r>
      <w:smartTag w:uri="urn:schemas-microsoft-com:office:smarttags" w:element="stockticker">
        <w:r w:rsidR="00455858">
          <w:rPr>
            <w:sz w:val="22"/>
            <w:szCs w:val="22"/>
          </w:rPr>
          <w:t>SEN</w:t>
        </w:r>
      </w:smartTag>
      <w:r w:rsidR="00455858">
        <w:rPr>
          <w:sz w:val="22"/>
          <w:szCs w:val="22"/>
        </w:rPr>
        <w:t xml:space="preserve"> Floor is re-calculated on a monthly basis as the position of Plus funding changes for the movement of children.</w:t>
      </w:r>
      <w:r w:rsidR="005370BC">
        <w:rPr>
          <w:sz w:val="22"/>
          <w:szCs w:val="22"/>
        </w:rPr>
        <w:t xml:space="preserve"> The value of the Floor has been substantially increased for both primary and secondary in 2014/15.</w:t>
      </w:r>
    </w:p>
    <w:p w:rsidR="00337617" w:rsidRDefault="00337617" w:rsidP="00337617">
      <w:pPr>
        <w:jc w:val="both"/>
        <w:rPr>
          <w:sz w:val="22"/>
          <w:szCs w:val="22"/>
        </w:rPr>
      </w:pPr>
    </w:p>
    <w:p w:rsidR="00CE576C" w:rsidRDefault="00CE576C" w:rsidP="00C1738E">
      <w:pPr>
        <w:numPr>
          <w:ilvl w:val="0"/>
          <w:numId w:val="8"/>
        </w:numPr>
        <w:jc w:val="both"/>
        <w:rPr>
          <w:sz w:val="22"/>
          <w:szCs w:val="22"/>
        </w:rPr>
      </w:pPr>
      <w:r>
        <w:rPr>
          <w:sz w:val="22"/>
          <w:szCs w:val="22"/>
        </w:rPr>
        <w:t xml:space="preserve">On top of </w:t>
      </w:r>
      <w:smartTag w:uri="urn:schemas-microsoft-com:office:smarttags" w:element="stockticker">
        <w:r>
          <w:rPr>
            <w:sz w:val="22"/>
            <w:szCs w:val="22"/>
          </w:rPr>
          <w:t>SEN</w:t>
        </w:r>
      </w:smartTag>
      <w:r>
        <w:rPr>
          <w:sz w:val="22"/>
          <w:szCs w:val="22"/>
        </w:rPr>
        <w:t xml:space="preserve"> formula funding, the Local Authority publishes a ‘notional </w:t>
      </w:r>
      <w:smartTag w:uri="urn:schemas-microsoft-com:office:smarttags" w:element="stockticker">
        <w:r>
          <w:rPr>
            <w:sz w:val="22"/>
            <w:szCs w:val="22"/>
          </w:rPr>
          <w:t>SEN</w:t>
        </w:r>
      </w:smartTag>
      <w:r>
        <w:rPr>
          <w:sz w:val="22"/>
          <w:szCs w:val="22"/>
        </w:rPr>
        <w:t>’ figure for each school, which i</w:t>
      </w:r>
      <w:r w:rsidR="00493D04">
        <w:rPr>
          <w:sz w:val="22"/>
          <w:szCs w:val="22"/>
        </w:rPr>
        <w:t xml:space="preserve">dentifies the proportion of delegated resources </w:t>
      </w:r>
      <w:r>
        <w:rPr>
          <w:sz w:val="22"/>
          <w:szCs w:val="22"/>
        </w:rPr>
        <w:t xml:space="preserve">that should be made available to contribute to supporting children with </w:t>
      </w:r>
      <w:smartTag w:uri="urn:schemas-microsoft-com:office:smarttags" w:element="stockticker">
        <w:r>
          <w:rPr>
            <w:sz w:val="22"/>
            <w:szCs w:val="22"/>
          </w:rPr>
          <w:t>SEN</w:t>
        </w:r>
      </w:smartTag>
      <w:r>
        <w:rPr>
          <w:sz w:val="22"/>
          <w:szCs w:val="22"/>
        </w:rPr>
        <w:t>.</w:t>
      </w:r>
    </w:p>
    <w:p w:rsidR="00CE576C" w:rsidRDefault="00CE576C" w:rsidP="0094692E">
      <w:pPr>
        <w:jc w:val="both"/>
        <w:rPr>
          <w:sz w:val="22"/>
          <w:szCs w:val="22"/>
        </w:rPr>
      </w:pPr>
    </w:p>
    <w:p w:rsidR="00414339" w:rsidRDefault="009F2D68" w:rsidP="00414339">
      <w:pPr>
        <w:jc w:val="both"/>
        <w:rPr>
          <w:sz w:val="22"/>
          <w:szCs w:val="22"/>
        </w:rPr>
      </w:pPr>
      <w:r>
        <w:rPr>
          <w:sz w:val="22"/>
          <w:szCs w:val="22"/>
        </w:rPr>
        <w:t>4.2</w:t>
      </w:r>
      <w:r w:rsidR="000B67E3">
        <w:rPr>
          <w:sz w:val="22"/>
          <w:szCs w:val="22"/>
        </w:rPr>
        <w:t>7</w:t>
      </w:r>
      <w:r w:rsidR="00A1641A">
        <w:rPr>
          <w:sz w:val="22"/>
          <w:szCs w:val="22"/>
        </w:rPr>
        <w:t xml:space="preserve"> Within the 2014/15</w:t>
      </w:r>
      <w:r w:rsidR="00414339">
        <w:rPr>
          <w:sz w:val="22"/>
          <w:szCs w:val="22"/>
        </w:rPr>
        <w:t xml:space="preserve"> DSG, a number of centrally managed services and strategies have been continued at </w:t>
      </w:r>
      <w:r w:rsidR="00414339" w:rsidRPr="002F6407">
        <w:rPr>
          <w:sz w:val="22"/>
          <w:szCs w:val="22"/>
        </w:rPr>
        <w:t>existing levels. These have not operated according to the Place-Plus framework described</w:t>
      </w:r>
      <w:r w:rsidR="00A1641A">
        <w:rPr>
          <w:sz w:val="22"/>
          <w:szCs w:val="22"/>
        </w:rPr>
        <w:t xml:space="preserve"> above. As stated in paragraph 3</w:t>
      </w:r>
      <w:r w:rsidR="00414339" w:rsidRPr="002F6407">
        <w:rPr>
          <w:sz w:val="22"/>
          <w:szCs w:val="22"/>
        </w:rPr>
        <w:t xml:space="preserve">.2, </w:t>
      </w:r>
      <w:r w:rsidR="00414339" w:rsidRPr="002F6407">
        <w:rPr>
          <w:rFonts w:cs="Arial"/>
          <w:sz w:val="22"/>
          <w:szCs w:val="22"/>
        </w:rPr>
        <w:t>local</w:t>
      </w:r>
      <w:r w:rsidR="00414339">
        <w:rPr>
          <w:rFonts w:cs="Arial"/>
          <w:sz w:val="22"/>
          <w:szCs w:val="22"/>
        </w:rPr>
        <w:t xml:space="preserve"> authorities are permitted to continue to fund separately additional outreach and support services that may be managed centrally or may be devolved to other providers under service level agreements. In Bradford</w:t>
      </w:r>
      <w:r w:rsidR="00A1641A">
        <w:rPr>
          <w:rFonts w:cs="Arial"/>
          <w:sz w:val="22"/>
          <w:szCs w:val="22"/>
        </w:rPr>
        <w:t xml:space="preserve"> in 2014/15</w:t>
      </w:r>
      <w:r w:rsidR="00414339">
        <w:rPr>
          <w:rFonts w:cs="Arial"/>
          <w:sz w:val="22"/>
          <w:szCs w:val="22"/>
        </w:rPr>
        <w:t xml:space="preserve">, these include: </w:t>
      </w:r>
      <w:r w:rsidR="00414339">
        <w:rPr>
          <w:sz w:val="22"/>
          <w:szCs w:val="22"/>
        </w:rPr>
        <w:t xml:space="preserve">the Junction Project, </w:t>
      </w:r>
      <w:smartTag w:uri="urn:schemas-microsoft-com:office:smarttags" w:element="stockticker">
        <w:r w:rsidR="00414339">
          <w:rPr>
            <w:sz w:val="22"/>
            <w:szCs w:val="22"/>
          </w:rPr>
          <w:t>SEN</w:t>
        </w:r>
      </w:smartTag>
      <w:r w:rsidR="00414339">
        <w:rPr>
          <w:sz w:val="22"/>
          <w:szCs w:val="22"/>
        </w:rPr>
        <w:t xml:space="preserve"> Teaching Support Services (formerly known as ‘Learning Support Services or </w:t>
      </w:r>
      <w:smartTag w:uri="urn:schemas-microsoft-com:office:smarttags" w:element="stockticker">
        <w:r w:rsidR="00414339">
          <w:rPr>
            <w:sz w:val="22"/>
            <w:szCs w:val="22"/>
          </w:rPr>
          <w:t>LSS</w:t>
        </w:r>
      </w:smartTag>
      <w:r w:rsidR="00414339">
        <w:rPr>
          <w:sz w:val="22"/>
          <w:szCs w:val="22"/>
        </w:rPr>
        <w:t>’), the Youth Offending Team and support for Traveller Children. The DSG has also continued to meet the cost of out of authority of non-maintained placements for high needs children.</w:t>
      </w:r>
    </w:p>
    <w:p w:rsidR="00230C5B" w:rsidRDefault="00230C5B" w:rsidP="00414339">
      <w:pPr>
        <w:jc w:val="both"/>
        <w:rPr>
          <w:sz w:val="22"/>
          <w:szCs w:val="22"/>
        </w:rPr>
      </w:pPr>
    </w:p>
    <w:p w:rsidR="00DC072D" w:rsidRPr="00DC072D" w:rsidRDefault="00230C5B" w:rsidP="00414339">
      <w:pPr>
        <w:jc w:val="both"/>
        <w:rPr>
          <w:sz w:val="22"/>
          <w:szCs w:val="22"/>
        </w:rPr>
      </w:pPr>
      <w:r w:rsidRPr="00DC072D">
        <w:rPr>
          <w:sz w:val="22"/>
          <w:szCs w:val="22"/>
        </w:rPr>
        <w:t xml:space="preserve">4.28 </w:t>
      </w:r>
      <w:r w:rsidR="00A50DC2">
        <w:rPr>
          <w:sz w:val="22"/>
          <w:szCs w:val="22"/>
        </w:rPr>
        <w:t>The DSG</w:t>
      </w:r>
      <w:r w:rsidR="00DC072D" w:rsidRPr="00DC072D">
        <w:rPr>
          <w:sz w:val="22"/>
          <w:szCs w:val="22"/>
        </w:rPr>
        <w:t xml:space="preserve"> continues to provide a small budget (£115,000) in support of Speech and Language Therapy Services. This is a very small contribution in the context of the total budget managed by Health Services. We are still awaiting further information from the Clinical Commissioning Groups about the detail and timetable for the expected holistic review of SLT support services for children and schools.</w:t>
      </w:r>
      <w:r w:rsidR="00E1374E">
        <w:rPr>
          <w:sz w:val="22"/>
          <w:szCs w:val="22"/>
        </w:rPr>
        <w:t xml:space="preserve"> The Authority is aware that schools have begun to commission their own SLT services.</w:t>
      </w:r>
    </w:p>
    <w:p w:rsidR="00DC072D" w:rsidRDefault="00DC072D" w:rsidP="00414339">
      <w:pPr>
        <w:jc w:val="both"/>
        <w:rPr>
          <w:color w:val="FF0000"/>
          <w:sz w:val="22"/>
          <w:szCs w:val="22"/>
        </w:rPr>
      </w:pPr>
    </w:p>
    <w:p w:rsidR="00230C5B" w:rsidRPr="00A50DC2" w:rsidRDefault="00DC072D" w:rsidP="00414339">
      <w:pPr>
        <w:jc w:val="both"/>
        <w:rPr>
          <w:sz w:val="22"/>
          <w:szCs w:val="22"/>
        </w:rPr>
      </w:pPr>
      <w:r w:rsidRPr="00A50DC2">
        <w:rPr>
          <w:sz w:val="22"/>
          <w:szCs w:val="22"/>
        </w:rPr>
        <w:t xml:space="preserve">4.29 The DSG also continues to fund mainstream settings for the cost of </w:t>
      </w:r>
      <w:r w:rsidR="00A50DC2" w:rsidRPr="00A50DC2">
        <w:rPr>
          <w:sz w:val="22"/>
          <w:szCs w:val="22"/>
        </w:rPr>
        <w:t xml:space="preserve">non-transferrable education-focused </w:t>
      </w:r>
      <w:r w:rsidRPr="00A50DC2">
        <w:rPr>
          <w:sz w:val="22"/>
          <w:szCs w:val="22"/>
        </w:rPr>
        <w:t>specialist equipment for individual children. In 2014/15 this arrangement was extended to special school provision and the total DSG budget is now £150,000.</w:t>
      </w:r>
    </w:p>
    <w:p w:rsidR="004822CA" w:rsidRDefault="004822CA" w:rsidP="0094692E">
      <w:pPr>
        <w:jc w:val="both"/>
        <w:rPr>
          <w:sz w:val="22"/>
          <w:szCs w:val="22"/>
        </w:rPr>
      </w:pPr>
    </w:p>
    <w:p w:rsidR="00F77861" w:rsidRDefault="00F77861" w:rsidP="0094692E">
      <w:pPr>
        <w:jc w:val="both"/>
        <w:rPr>
          <w:sz w:val="22"/>
          <w:szCs w:val="22"/>
        </w:rPr>
      </w:pPr>
    </w:p>
    <w:p w:rsidR="006741B3" w:rsidRPr="00571206" w:rsidRDefault="0015118D" w:rsidP="0094692E">
      <w:pPr>
        <w:jc w:val="both"/>
        <w:rPr>
          <w:b/>
          <w:sz w:val="22"/>
          <w:szCs w:val="22"/>
        </w:rPr>
      </w:pPr>
      <w:r w:rsidRPr="00571206">
        <w:rPr>
          <w:b/>
          <w:sz w:val="22"/>
          <w:szCs w:val="22"/>
        </w:rPr>
        <w:t>5.</w:t>
      </w:r>
      <w:r w:rsidRPr="00571206">
        <w:rPr>
          <w:b/>
          <w:sz w:val="22"/>
          <w:szCs w:val="22"/>
        </w:rPr>
        <w:tab/>
        <w:t>Places Setting for 2015/16</w:t>
      </w:r>
    </w:p>
    <w:p w:rsidR="006741B3" w:rsidRPr="00845D33" w:rsidRDefault="006741B3" w:rsidP="0094692E">
      <w:pPr>
        <w:jc w:val="both"/>
        <w:rPr>
          <w:sz w:val="22"/>
          <w:szCs w:val="22"/>
        </w:rPr>
      </w:pPr>
    </w:p>
    <w:p w:rsidR="003E33CE" w:rsidRDefault="003E211E" w:rsidP="0094692E">
      <w:pPr>
        <w:jc w:val="both"/>
        <w:rPr>
          <w:sz w:val="22"/>
          <w:szCs w:val="22"/>
        </w:rPr>
      </w:pPr>
      <w:r>
        <w:rPr>
          <w:sz w:val="22"/>
          <w:szCs w:val="22"/>
        </w:rPr>
        <w:t>5</w:t>
      </w:r>
      <w:r w:rsidR="003E33CE" w:rsidRPr="00845D33">
        <w:rPr>
          <w:sz w:val="22"/>
          <w:szCs w:val="22"/>
        </w:rPr>
        <w:t xml:space="preserve">.1 As summarised in </w:t>
      </w:r>
      <w:r>
        <w:rPr>
          <w:sz w:val="22"/>
          <w:szCs w:val="22"/>
        </w:rPr>
        <w:t>paragraph 3</w:t>
      </w:r>
      <w:r w:rsidR="003E33CE" w:rsidRPr="002F6407">
        <w:rPr>
          <w:sz w:val="22"/>
          <w:szCs w:val="22"/>
        </w:rPr>
        <w:t>.1</w:t>
      </w:r>
      <w:r w:rsidR="003E33CE" w:rsidRPr="00845D33">
        <w:rPr>
          <w:sz w:val="22"/>
          <w:szCs w:val="22"/>
        </w:rPr>
        <w:t xml:space="preserve">, the number of places funded at each setting is set before the start of the financial year and does not change. </w:t>
      </w:r>
      <w:r w:rsidR="006E4013" w:rsidRPr="00845D33">
        <w:rPr>
          <w:sz w:val="22"/>
          <w:szCs w:val="22"/>
        </w:rPr>
        <w:t>This is designed to gi</w:t>
      </w:r>
      <w:r w:rsidR="00093C4F">
        <w:rPr>
          <w:sz w:val="22"/>
          <w:szCs w:val="22"/>
        </w:rPr>
        <w:t>ve settings a level of security</w:t>
      </w:r>
      <w:r w:rsidR="00EF4223" w:rsidRPr="00845D33">
        <w:rPr>
          <w:sz w:val="22"/>
          <w:szCs w:val="22"/>
        </w:rPr>
        <w:t xml:space="preserve">. </w:t>
      </w:r>
    </w:p>
    <w:p w:rsidR="003E211E" w:rsidRDefault="003E211E" w:rsidP="0094692E">
      <w:pPr>
        <w:jc w:val="both"/>
        <w:rPr>
          <w:sz w:val="22"/>
          <w:szCs w:val="22"/>
        </w:rPr>
      </w:pPr>
    </w:p>
    <w:p w:rsidR="009B2784" w:rsidRPr="006F0F19" w:rsidRDefault="003E211E" w:rsidP="0094692E">
      <w:pPr>
        <w:jc w:val="both"/>
        <w:rPr>
          <w:sz w:val="22"/>
          <w:szCs w:val="22"/>
        </w:rPr>
      </w:pPr>
      <w:r>
        <w:rPr>
          <w:sz w:val="22"/>
          <w:szCs w:val="22"/>
        </w:rPr>
        <w:t>5.2 The number of places to be funded per setting for the period April to August 2015 will be taken directly from the places that have already been agreed and established for the current 2014/15 academic year. Where the actual occupancy of a setting (pre 16) exceeds its number of places during this period, the existing process for allocating both the place and plus elements for the additional pupils will be followed</w:t>
      </w:r>
      <w:r w:rsidR="006F0F19">
        <w:rPr>
          <w:sz w:val="22"/>
          <w:szCs w:val="22"/>
        </w:rPr>
        <w:t xml:space="preserve"> and updated on a monthly basis</w:t>
      </w:r>
      <w:r>
        <w:rPr>
          <w:sz w:val="22"/>
          <w:szCs w:val="22"/>
        </w:rPr>
        <w:t>.</w:t>
      </w:r>
    </w:p>
    <w:p w:rsidR="003B0B26" w:rsidRDefault="003B0B26" w:rsidP="00E92D58">
      <w:pPr>
        <w:jc w:val="both"/>
        <w:rPr>
          <w:sz w:val="22"/>
          <w:szCs w:val="22"/>
        </w:rPr>
      </w:pPr>
    </w:p>
    <w:p w:rsidR="00F2674A" w:rsidRPr="00E92D58" w:rsidRDefault="00E92D58" w:rsidP="00E92D58">
      <w:pPr>
        <w:jc w:val="both"/>
        <w:rPr>
          <w:sz w:val="22"/>
          <w:szCs w:val="22"/>
        </w:rPr>
      </w:pPr>
      <w:r>
        <w:rPr>
          <w:sz w:val="22"/>
          <w:szCs w:val="22"/>
        </w:rPr>
        <w:t xml:space="preserve">5.3 </w:t>
      </w:r>
      <w:r w:rsidR="003E211E" w:rsidRPr="00E92D58">
        <w:rPr>
          <w:sz w:val="22"/>
          <w:szCs w:val="22"/>
        </w:rPr>
        <w:t xml:space="preserve">In the absence of moving to a ‘lagged’ places </w:t>
      </w:r>
      <w:r w:rsidR="006F0F19" w:rsidRPr="00E92D58">
        <w:rPr>
          <w:sz w:val="22"/>
          <w:szCs w:val="22"/>
        </w:rPr>
        <w:t xml:space="preserve">approach, the EFA’s </w:t>
      </w:r>
      <w:r w:rsidRPr="00E92D58">
        <w:rPr>
          <w:sz w:val="22"/>
          <w:szCs w:val="22"/>
        </w:rPr>
        <w:t xml:space="preserve">key expectation </w:t>
      </w:r>
      <w:r w:rsidR="003E211E" w:rsidRPr="00E92D58">
        <w:rPr>
          <w:sz w:val="22"/>
          <w:szCs w:val="22"/>
        </w:rPr>
        <w:t>in setting places for</w:t>
      </w:r>
      <w:r w:rsidR="006F0F19" w:rsidRPr="00E92D58">
        <w:rPr>
          <w:sz w:val="22"/>
          <w:szCs w:val="22"/>
        </w:rPr>
        <w:t xml:space="preserve"> the 2015/16 acade</w:t>
      </w:r>
      <w:r w:rsidRPr="00E92D58">
        <w:rPr>
          <w:sz w:val="22"/>
          <w:szCs w:val="22"/>
        </w:rPr>
        <w:t xml:space="preserve">mic year is that </w:t>
      </w:r>
      <w:r>
        <w:rPr>
          <w:sz w:val="22"/>
          <w:szCs w:val="22"/>
        </w:rPr>
        <w:t>t</w:t>
      </w:r>
      <w:r w:rsidR="00F2674A" w:rsidRPr="00E92D58">
        <w:rPr>
          <w:sz w:val="22"/>
          <w:szCs w:val="22"/>
        </w:rPr>
        <w:t>he total number of places at each setting should align closely with actual occupancy across the previous year and / or the number of places that were set for the 2014/15 academic year, unless there is very good reason to deviate from these</w:t>
      </w:r>
      <w:r w:rsidRPr="00E92D58">
        <w:rPr>
          <w:sz w:val="22"/>
          <w:szCs w:val="22"/>
        </w:rPr>
        <w:t>, for example, in response to forecasted growth in demand or to remove places that are known to remain unfilled</w:t>
      </w:r>
      <w:r w:rsidR="00386068">
        <w:rPr>
          <w:sz w:val="22"/>
          <w:szCs w:val="22"/>
        </w:rPr>
        <w:t xml:space="preserve"> due to re-organisation of provision</w:t>
      </w:r>
      <w:r w:rsidRPr="00E92D58">
        <w:rPr>
          <w:sz w:val="22"/>
          <w:szCs w:val="22"/>
        </w:rPr>
        <w:t>.</w:t>
      </w:r>
      <w:r>
        <w:rPr>
          <w:sz w:val="22"/>
          <w:szCs w:val="22"/>
        </w:rPr>
        <w:t>.</w:t>
      </w:r>
    </w:p>
    <w:p w:rsidR="00B953CE" w:rsidRDefault="00B953CE" w:rsidP="00167917">
      <w:pPr>
        <w:jc w:val="both"/>
        <w:rPr>
          <w:sz w:val="22"/>
          <w:szCs w:val="22"/>
        </w:rPr>
      </w:pPr>
    </w:p>
    <w:p w:rsidR="00E92D58" w:rsidRPr="00801D46" w:rsidRDefault="00E92D58" w:rsidP="00E92D58">
      <w:pPr>
        <w:jc w:val="both"/>
        <w:rPr>
          <w:sz w:val="22"/>
          <w:szCs w:val="22"/>
        </w:rPr>
      </w:pPr>
      <w:r>
        <w:rPr>
          <w:sz w:val="22"/>
          <w:szCs w:val="22"/>
        </w:rPr>
        <w:t>5.4 Referring also to the warnings of paragraph 2 regarding cost pressures within the High Needs Block, pro</w:t>
      </w:r>
      <w:r w:rsidR="00801D46">
        <w:rPr>
          <w:sz w:val="22"/>
          <w:szCs w:val="22"/>
        </w:rPr>
        <w:t xml:space="preserve">viders should expect for 2015/16 therefore, </w:t>
      </w:r>
      <w:r w:rsidR="00386068">
        <w:rPr>
          <w:sz w:val="22"/>
          <w:szCs w:val="22"/>
        </w:rPr>
        <w:t xml:space="preserve">for a </w:t>
      </w:r>
      <w:r>
        <w:rPr>
          <w:sz w:val="22"/>
          <w:szCs w:val="22"/>
        </w:rPr>
        <w:t xml:space="preserve">growth in </w:t>
      </w:r>
      <w:r w:rsidRPr="00801D46">
        <w:rPr>
          <w:sz w:val="22"/>
          <w:szCs w:val="22"/>
        </w:rPr>
        <w:t>places only to be funded in circumstances where an increased demand is clearly evidenced by the Authority’s planning data.</w:t>
      </w:r>
    </w:p>
    <w:p w:rsidR="00117DF4" w:rsidRPr="00801D46" w:rsidRDefault="00117DF4" w:rsidP="00E92D58">
      <w:pPr>
        <w:jc w:val="both"/>
        <w:rPr>
          <w:sz w:val="22"/>
          <w:szCs w:val="22"/>
        </w:rPr>
      </w:pPr>
    </w:p>
    <w:p w:rsidR="00AC69F2" w:rsidRPr="00801D46" w:rsidRDefault="00801D46" w:rsidP="00E92D58">
      <w:pPr>
        <w:jc w:val="both"/>
        <w:rPr>
          <w:sz w:val="22"/>
          <w:szCs w:val="22"/>
        </w:rPr>
      </w:pPr>
      <w:r w:rsidRPr="00801D46">
        <w:rPr>
          <w:sz w:val="22"/>
          <w:szCs w:val="22"/>
        </w:rPr>
        <w:t xml:space="preserve">5.5 Any growth in Alternative Provision places must be funded from existing DSG resources, but most likely via a top slice from mainstream </w:t>
      </w:r>
      <w:r w:rsidR="0028648F">
        <w:rPr>
          <w:sz w:val="22"/>
          <w:szCs w:val="22"/>
        </w:rPr>
        <w:t xml:space="preserve">primary / secondary </w:t>
      </w:r>
      <w:r w:rsidRPr="00801D46">
        <w:rPr>
          <w:sz w:val="22"/>
          <w:szCs w:val="22"/>
        </w:rPr>
        <w:t>delegated budgets. As such, an increase in these places before the start of the 2015/16 financial year will only be made following the agreement of the Schools Forum, who will also agree how the cost of these places is to be financed. There is nothing to stop primary and secondary schools or academies in partnership e.g. through the BACs, or individually, purchasing additional places, on top of the number funded by the High Needs Block, directly from their delegated budgets.</w:t>
      </w:r>
    </w:p>
    <w:p w:rsidR="00F2674A" w:rsidRPr="00167917" w:rsidRDefault="00F2674A" w:rsidP="00167917">
      <w:pPr>
        <w:jc w:val="both"/>
        <w:rPr>
          <w:sz w:val="22"/>
          <w:szCs w:val="22"/>
        </w:rPr>
      </w:pPr>
    </w:p>
    <w:p w:rsidR="009F0D1B" w:rsidRPr="00AE3F83" w:rsidRDefault="00391005" w:rsidP="0094692E">
      <w:pPr>
        <w:jc w:val="both"/>
        <w:rPr>
          <w:sz w:val="22"/>
          <w:szCs w:val="22"/>
        </w:rPr>
      </w:pPr>
      <w:r w:rsidRPr="00AE3F83">
        <w:rPr>
          <w:sz w:val="22"/>
          <w:szCs w:val="22"/>
        </w:rPr>
        <w:lastRenderedPageBreak/>
        <w:t>5.</w:t>
      </w:r>
      <w:r w:rsidR="0032140C">
        <w:rPr>
          <w:sz w:val="22"/>
          <w:szCs w:val="22"/>
        </w:rPr>
        <w:t>6</w:t>
      </w:r>
      <w:r w:rsidR="003C263E" w:rsidRPr="00AE3F83">
        <w:rPr>
          <w:sz w:val="22"/>
          <w:szCs w:val="22"/>
        </w:rPr>
        <w:t xml:space="preserve"> The t</w:t>
      </w:r>
      <w:r w:rsidR="00F53353" w:rsidRPr="00AE3F83">
        <w:rPr>
          <w:sz w:val="22"/>
          <w:szCs w:val="22"/>
        </w:rPr>
        <w:t>able below lists the places</w:t>
      </w:r>
      <w:r w:rsidR="003C263E" w:rsidRPr="00AE3F83">
        <w:rPr>
          <w:sz w:val="22"/>
          <w:szCs w:val="22"/>
        </w:rPr>
        <w:t xml:space="preserve"> by </w:t>
      </w:r>
      <w:r w:rsidR="006F6A01">
        <w:rPr>
          <w:sz w:val="22"/>
          <w:szCs w:val="22"/>
        </w:rPr>
        <w:t xml:space="preserve">existing </w:t>
      </w:r>
      <w:r w:rsidR="003C263E" w:rsidRPr="00AE3F83">
        <w:rPr>
          <w:sz w:val="22"/>
          <w:szCs w:val="22"/>
        </w:rPr>
        <w:t xml:space="preserve">individual high needs setting, showing the current 2014/15 academic year number of FTE places, recorded actual occupancy at </w:t>
      </w:r>
      <w:r w:rsidR="000C3C21">
        <w:rPr>
          <w:sz w:val="22"/>
          <w:szCs w:val="22"/>
        </w:rPr>
        <w:t xml:space="preserve">10th July and </w:t>
      </w:r>
      <w:r w:rsidR="003C263E" w:rsidRPr="00AE3F83">
        <w:rPr>
          <w:sz w:val="22"/>
          <w:szCs w:val="22"/>
        </w:rPr>
        <w:t>10th September 2014 and the proposed / planned number of FTE places to be allocated for the 2015/16 academic year. These numbers include all places (early years, pre and post 16).</w:t>
      </w:r>
      <w:r w:rsidR="00AE3F83" w:rsidRPr="00AE3F83">
        <w:rPr>
          <w:sz w:val="22"/>
          <w:szCs w:val="22"/>
        </w:rPr>
        <w:t xml:space="preserve"> However, the Post 16 places shown are still only those that are commissioned by Bradford Local Authority.</w:t>
      </w:r>
      <w:r w:rsidR="00AE3F83">
        <w:rPr>
          <w:sz w:val="22"/>
          <w:szCs w:val="22"/>
        </w:rPr>
        <w:t xml:space="preserve"> </w:t>
      </w:r>
    </w:p>
    <w:p w:rsidR="00F2674A" w:rsidRPr="00117DF4" w:rsidRDefault="00F2674A" w:rsidP="0094692E">
      <w:pPr>
        <w:jc w:val="both"/>
        <w:rPr>
          <w:color w:val="FF0000"/>
          <w:sz w:val="22"/>
          <w:szCs w:val="22"/>
        </w:rPr>
      </w:pPr>
    </w:p>
    <w:tbl>
      <w:tblPr>
        <w:tblStyle w:val="TableGrid"/>
        <w:tblW w:w="10865" w:type="dxa"/>
        <w:tblLook w:val="04A0" w:firstRow="1" w:lastRow="0" w:firstColumn="1" w:lastColumn="0" w:noHBand="0" w:noVBand="1"/>
      </w:tblPr>
      <w:tblGrid>
        <w:gridCol w:w="4635"/>
        <w:gridCol w:w="1250"/>
        <w:gridCol w:w="1404"/>
        <w:gridCol w:w="1404"/>
        <w:gridCol w:w="1070"/>
        <w:gridCol w:w="1102"/>
      </w:tblGrid>
      <w:tr w:rsidR="000C3C21" w:rsidTr="000B45EB">
        <w:trPr>
          <w:trHeight w:val="1025"/>
        </w:trPr>
        <w:tc>
          <w:tcPr>
            <w:tcW w:w="4635" w:type="dxa"/>
          </w:tcPr>
          <w:p w:rsidR="000C3C21" w:rsidRPr="002D4B9A" w:rsidRDefault="000C3C21" w:rsidP="00167917">
            <w:pPr>
              <w:jc w:val="both"/>
              <w:rPr>
                <w:sz w:val="22"/>
                <w:szCs w:val="22"/>
              </w:rPr>
            </w:pPr>
            <w:r w:rsidRPr="002D4B9A">
              <w:rPr>
                <w:sz w:val="22"/>
                <w:szCs w:val="22"/>
              </w:rPr>
              <w:t>Setting</w:t>
            </w:r>
          </w:p>
        </w:tc>
        <w:tc>
          <w:tcPr>
            <w:tcW w:w="1250" w:type="dxa"/>
          </w:tcPr>
          <w:p w:rsidR="000C3C21" w:rsidRPr="002D4B9A" w:rsidRDefault="000C3C21" w:rsidP="00EE248A">
            <w:pPr>
              <w:jc w:val="center"/>
              <w:rPr>
                <w:sz w:val="22"/>
                <w:szCs w:val="22"/>
              </w:rPr>
            </w:pPr>
            <w:r w:rsidRPr="002D4B9A">
              <w:rPr>
                <w:sz w:val="22"/>
                <w:szCs w:val="22"/>
              </w:rPr>
              <w:t>Type</w:t>
            </w:r>
            <w:r>
              <w:rPr>
                <w:sz w:val="22"/>
                <w:szCs w:val="22"/>
              </w:rPr>
              <w:t xml:space="preserve"> (AP or SEN)</w:t>
            </w:r>
          </w:p>
        </w:tc>
        <w:tc>
          <w:tcPr>
            <w:tcW w:w="1404" w:type="dxa"/>
          </w:tcPr>
          <w:p w:rsidR="000C3C21" w:rsidRPr="002D4B9A" w:rsidRDefault="000C3C21" w:rsidP="00653593">
            <w:pPr>
              <w:jc w:val="right"/>
              <w:rPr>
                <w:sz w:val="22"/>
                <w:szCs w:val="22"/>
              </w:rPr>
            </w:pPr>
            <w:r>
              <w:rPr>
                <w:sz w:val="22"/>
                <w:szCs w:val="22"/>
              </w:rPr>
              <w:t>July 2014 Occupancy</w:t>
            </w:r>
          </w:p>
        </w:tc>
        <w:tc>
          <w:tcPr>
            <w:tcW w:w="1404" w:type="dxa"/>
          </w:tcPr>
          <w:p w:rsidR="000C3C21" w:rsidRPr="002D4B9A" w:rsidRDefault="000C3C21" w:rsidP="00653593">
            <w:pPr>
              <w:jc w:val="right"/>
              <w:rPr>
                <w:sz w:val="22"/>
                <w:szCs w:val="22"/>
              </w:rPr>
            </w:pPr>
            <w:r w:rsidRPr="002D4B9A">
              <w:rPr>
                <w:sz w:val="22"/>
                <w:szCs w:val="22"/>
              </w:rPr>
              <w:t>Sept 2014 Occupancy</w:t>
            </w:r>
          </w:p>
        </w:tc>
        <w:tc>
          <w:tcPr>
            <w:tcW w:w="1070" w:type="dxa"/>
          </w:tcPr>
          <w:p w:rsidR="000C3C21" w:rsidRPr="002D4B9A" w:rsidRDefault="000C3C21" w:rsidP="00653593">
            <w:pPr>
              <w:jc w:val="right"/>
              <w:rPr>
                <w:sz w:val="22"/>
                <w:szCs w:val="22"/>
              </w:rPr>
            </w:pPr>
            <w:r w:rsidRPr="002D4B9A">
              <w:rPr>
                <w:sz w:val="22"/>
                <w:szCs w:val="22"/>
              </w:rPr>
              <w:t>14/15 AY Places</w:t>
            </w:r>
          </w:p>
        </w:tc>
        <w:tc>
          <w:tcPr>
            <w:tcW w:w="1102" w:type="dxa"/>
          </w:tcPr>
          <w:p w:rsidR="000C3C21" w:rsidRPr="00352835" w:rsidRDefault="000C3C21" w:rsidP="00653593">
            <w:pPr>
              <w:jc w:val="right"/>
              <w:rPr>
                <w:sz w:val="22"/>
                <w:szCs w:val="22"/>
              </w:rPr>
            </w:pPr>
            <w:r w:rsidRPr="00352835">
              <w:rPr>
                <w:sz w:val="22"/>
                <w:szCs w:val="22"/>
              </w:rPr>
              <w:t>Planned 15/16 AY Places</w:t>
            </w:r>
          </w:p>
        </w:tc>
      </w:tr>
      <w:tr w:rsidR="000C3C21" w:rsidTr="000B45EB">
        <w:trPr>
          <w:trHeight w:val="241"/>
        </w:trPr>
        <w:tc>
          <w:tcPr>
            <w:tcW w:w="4635" w:type="dxa"/>
          </w:tcPr>
          <w:p w:rsidR="000C3C21" w:rsidRPr="00C702C0" w:rsidRDefault="000C3C21" w:rsidP="00167917">
            <w:pPr>
              <w:jc w:val="both"/>
              <w:rPr>
                <w:sz w:val="22"/>
                <w:szCs w:val="22"/>
              </w:rPr>
            </w:pPr>
            <w:r w:rsidRPr="00C702C0">
              <w:rPr>
                <w:sz w:val="22"/>
                <w:szCs w:val="22"/>
              </w:rPr>
              <w:t>Primary PRU</w:t>
            </w:r>
          </w:p>
        </w:tc>
        <w:tc>
          <w:tcPr>
            <w:tcW w:w="1250" w:type="dxa"/>
          </w:tcPr>
          <w:p w:rsidR="000C3C21" w:rsidRPr="00C702C0" w:rsidRDefault="000C3C21" w:rsidP="00EE248A">
            <w:pPr>
              <w:jc w:val="center"/>
              <w:rPr>
                <w:sz w:val="22"/>
                <w:szCs w:val="22"/>
              </w:rPr>
            </w:pPr>
            <w:r w:rsidRPr="00C702C0">
              <w:rPr>
                <w:sz w:val="22"/>
                <w:szCs w:val="22"/>
              </w:rPr>
              <w:t>AP</w:t>
            </w:r>
          </w:p>
        </w:tc>
        <w:tc>
          <w:tcPr>
            <w:tcW w:w="1404" w:type="dxa"/>
          </w:tcPr>
          <w:p w:rsidR="000C3C21" w:rsidRPr="0098541B" w:rsidRDefault="0098541B" w:rsidP="008D7C10">
            <w:pPr>
              <w:jc w:val="right"/>
              <w:rPr>
                <w:sz w:val="22"/>
                <w:szCs w:val="22"/>
              </w:rPr>
            </w:pPr>
            <w:r w:rsidRPr="0098541B">
              <w:rPr>
                <w:sz w:val="22"/>
                <w:szCs w:val="22"/>
              </w:rPr>
              <w:t>34</w:t>
            </w:r>
          </w:p>
        </w:tc>
        <w:tc>
          <w:tcPr>
            <w:tcW w:w="1404" w:type="dxa"/>
          </w:tcPr>
          <w:p w:rsidR="000C3C21" w:rsidRPr="00C702C0" w:rsidRDefault="000C3C21" w:rsidP="008D7C10">
            <w:pPr>
              <w:jc w:val="right"/>
              <w:rPr>
                <w:sz w:val="22"/>
                <w:szCs w:val="22"/>
              </w:rPr>
            </w:pPr>
            <w:r w:rsidRPr="00C702C0">
              <w:rPr>
                <w:sz w:val="22"/>
                <w:szCs w:val="22"/>
              </w:rPr>
              <w:t>35</w:t>
            </w:r>
          </w:p>
        </w:tc>
        <w:tc>
          <w:tcPr>
            <w:tcW w:w="1070" w:type="dxa"/>
          </w:tcPr>
          <w:p w:rsidR="000C3C21" w:rsidRPr="00C702C0" w:rsidRDefault="000C3C21" w:rsidP="000C3C21">
            <w:pPr>
              <w:jc w:val="right"/>
              <w:rPr>
                <w:sz w:val="22"/>
                <w:szCs w:val="22"/>
              </w:rPr>
            </w:pPr>
            <w:r w:rsidRPr="00C702C0">
              <w:rPr>
                <w:sz w:val="22"/>
                <w:szCs w:val="22"/>
              </w:rPr>
              <w:t>36</w:t>
            </w:r>
          </w:p>
        </w:tc>
        <w:tc>
          <w:tcPr>
            <w:tcW w:w="1102" w:type="dxa"/>
          </w:tcPr>
          <w:p w:rsidR="000C3C21" w:rsidRPr="003A5794" w:rsidRDefault="003A5794" w:rsidP="000C3C21">
            <w:pPr>
              <w:jc w:val="right"/>
              <w:rPr>
                <w:sz w:val="22"/>
                <w:szCs w:val="22"/>
              </w:rPr>
            </w:pPr>
            <w:r w:rsidRPr="003A5794">
              <w:rPr>
                <w:sz w:val="22"/>
                <w:szCs w:val="22"/>
              </w:rPr>
              <w:t>42</w:t>
            </w:r>
          </w:p>
        </w:tc>
      </w:tr>
      <w:tr w:rsidR="006F6A01" w:rsidTr="000B45EB">
        <w:trPr>
          <w:trHeight w:val="256"/>
        </w:trPr>
        <w:tc>
          <w:tcPr>
            <w:tcW w:w="4635" w:type="dxa"/>
          </w:tcPr>
          <w:p w:rsidR="006F6A01" w:rsidRPr="00C702C0" w:rsidRDefault="006F6A01" w:rsidP="00167917">
            <w:pPr>
              <w:jc w:val="both"/>
              <w:rPr>
                <w:sz w:val="22"/>
                <w:szCs w:val="22"/>
              </w:rPr>
            </w:pPr>
            <w:r w:rsidRPr="00C702C0">
              <w:rPr>
                <w:sz w:val="22"/>
                <w:szCs w:val="22"/>
              </w:rPr>
              <w:t>Central PRU</w:t>
            </w:r>
          </w:p>
        </w:tc>
        <w:tc>
          <w:tcPr>
            <w:tcW w:w="1250" w:type="dxa"/>
          </w:tcPr>
          <w:p w:rsidR="006F6A01" w:rsidRPr="00C702C0" w:rsidRDefault="006F6A01" w:rsidP="00EE248A">
            <w:pPr>
              <w:jc w:val="center"/>
            </w:pPr>
            <w:r w:rsidRPr="00C702C0">
              <w:rPr>
                <w:sz w:val="22"/>
                <w:szCs w:val="22"/>
              </w:rPr>
              <w:t>AP</w:t>
            </w:r>
          </w:p>
        </w:tc>
        <w:tc>
          <w:tcPr>
            <w:tcW w:w="1404" w:type="dxa"/>
          </w:tcPr>
          <w:p w:rsidR="006F6A01" w:rsidRPr="0098541B" w:rsidRDefault="006F6A01" w:rsidP="008D7C10">
            <w:pPr>
              <w:jc w:val="right"/>
              <w:rPr>
                <w:sz w:val="22"/>
                <w:szCs w:val="22"/>
              </w:rPr>
            </w:pPr>
            <w:r w:rsidRPr="0098541B">
              <w:rPr>
                <w:sz w:val="22"/>
                <w:szCs w:val="22"/>
              </w:rPr>
              <w:t>47</w:t>
            </w:r>
          </w:p>
        </w:tc>
        <w:tc>
          <w:tcPr>
            <w:tcW w:w="1404" w:type="dxa"/>
          </w:tcPr>
          <w:p w:rsidR="006F6A01" w:rsidRPr="00C702C0" w:rsidRDefault="006F6A01" w:rsidP="008D7C10">
            <w:pPr>
              <w:jc w:val="right"/>
              <w:rPr>
                <w:sz w:val="22"/>
                <w:szCs w:val="22"/>
              </w:rPr>
            </w:pPr>
            <w:r w:rsidRPr="00C702C0">
              <w:rPr>
                <w:sz w:val="22"/>
                <w:szCs w:val="22"/>
              </w:rPr>
              <w:t>44</w:t>
            </w:r>
          </w:p>
        </w:tc>
        <w:tc>
          <w:tcPr>
            <w:tcW w:w="1070" w:type="dxa"/>
          </w:tcPr>
          <w:p w:rsidR="006F6A01" w:rsidRPr="00C702C0" w:rsidRDefault="006F6A01" w:rsidP="000C3C21">
            <w:pPr>
              <w:jc w:val="right"/>
              <w:rPr>
                <w:sz w:val="22"/>
                <w:szCs w:val="22"/>
              </w:rPr>
            </w:pPr>
            <w:r w:rsidRPr="00C702C0">
              <w:rPr>
                <w:sz w:val="22"/>
                <w:szCs w:val="22"/>
              </w:rPr>
              <w:t>50</w:t>
            </w:r>
          </w:p>
        </w:tc>
        <w:tc>
          <w:tcPr>
            <w:tcW w:w="1102" w:type="dxa"/>
          </w:tcPr>
          <w:p w:rsidR="006F6A01" w:rsidRPr="003A5794" w:rsidRDefault="003A5794" w:rsidP="003A5794">
            <w:pPr>
              <w:jc w:val="right"/>
              <w:rPr>
                <w:sz w:val="22"/>
                <w:szCs w:val="22"/>
              </w:rPr>
            </w:pPr>
            <w:r w:rsidRPr="003A5794">
              <w:rPr>
                <w:sz w:val="22"/>
                <w:szCs w:val="22"/>
              </w:rPr>
              <w:t>50</w:t>
            </w:r>
          </w:p>
        </w:tc>
      </w:tr>
      <w:tr w:rsidR="006F6A01" w:rsidTr="000B45EB">
        <w:trPr>
          <w:trHeight w:val="241"/>
        </w:trPr>
        <w:tc>
          <w:tcPr>
            <w:tcW w:w="4635" w:type="dxa"/>
          </w:tcPr>
          <w:p w:rsidR="006F6A01" w:rsidRPr="00C702C0" w:rsidRDefault="006F6A01" w:rsidP="00167917">
            <w:pPr>
              <w:jc w:val="both"/>
              <w:rPr>
                <w:sz w:val="22"/>
                <w:szCs w:val="22"/>
              </w:rPr>
            </w:pPr>
            <w:proofErr w:type="spellStart"/>
            <w:r w:rsidRPr="00C702C0">
              <w:rPr>
                <w:sz w:val="22"/>
                <w:szCs w:val="22"/>
              </w:rPr>
              <w:t>Ellar</w:t>
            </w:r>
            <w:proofErr w:type="spellEnd"/>
            <w:r w:rsidRPr="00C702C0">
              <w:rPr>
                <w:sz w:val="22"/>
                <w:szCs w:val="22"/>
              </w:rPr>
              <w:t xml:space="preserve"> Carr</w:t>
            </w:r>
          </w:p>
        </w:tc>
        <w:tc>
          <w:tcPr>
            <w:tcW w:w="1250" w:type="dxa"/>
          </w:tcPr>
          <w:p w:rsidR="006F6A01" w:rsidRPr="00C702C0" w:rsidRDefault="006F6A01" w:rsidP="00EE248A">
            <w:pPr>
              <w:jc w:val="center"/>
            </w:pPr>
            <w:r w:rsidRPr="00C702C0">
              <w:rPr>
                <w:sz w:val="22"/>
                <w:szCs w:val="22"/>
              </w:rPr>
              <w:t>AP</w:t>
            </w:r>
          </w:p>
        </w:tc>
        <w:tc>
          <w:tcPr>
            <w:tcW w:w="1404" w:type="dxa"/>
          </w:tcPr>
          <w:p w:rsidR="006F6A01" w:rsidRPr="0098541B" w:rsidRDefault="006F6A01" w:rsidP="008D7C10">
            <w:pPr>
              <w:jc w:val="right"/>
              <w:rPr>
                <w:sz w:val="22"/>
                <w:szCs w:val="22"/>
              </w:rPr>
            </w:pPr>
            <w:r w:rsidRPr="0098541B">
              <w:rPr>
                <w:sz w:val="22"/>
                <w:szCs w:val="22"/>
              </w:rPr>
              <w:t>41</w:t>
            </w:r>
          </w:p>
        </w:tc>
        <w:tc>
          <w:tcPr>
            <w:tcW w:w="1404" w:type="dxa"/>
          </w:tcPr>
          <w:p w:rsidR="006F6A01" w:rsidRPr="00C702C0" w:rsidRDefault="006F6A01" w:rsidP="008D7C10">
            <w:pPr>
              <w:jc w:val="right"/>
              <w:rPr>
                <w:sz w:val="22"/>
                <w:szCs w:val="22"/>
              </w:rPr>
            </w:pPr>
            <w:r w:rsidRPr="00C702C0">
              <w:rPr>
                <w:sz w:val="22"/>
                <w:szCs w:val="22"/>
              </w:rPr>
              <w:t>45</w:t>
            </w:r>
          </w:p>
        </w:tc>
        <w:tc>
          <w:tcPr>
            <w:tcW w:w="1070" w:type="dxa"/>
          </w:tcPr>
          <w:p w:rsidR="006F6A01" w:rsidRPr="00C702C0" w:rsidRDefault="006F6A01" w:rsidP="000C3C21">
            <w:pPr>
              <w:jc w:val="right"/>
              <w:rPr>
                <w:sz w:val="22"/>
                <w:szCs w:val="22"/>
              </w:rPr>
            </w:pPr>
            <w:r w:rsidRPr="00C702C0">
              <w:rPr>
                <w:sz w:val="22"/>
                <w:szCs w:val="22"/>
              </w:rPr>
              <w:t>45</w:t>
            </w:r>
          </w:p>
        </w:tc>
        <w:tc>
          <w:tcPr>
            <w:tcW w:w="1102" w:type="dxa"/>
          </w:tcPr>
          <w:p w:rsidR="006F6A01" w:rsidRPr="003A5794" w:rsidRDefault="003A5794" w:rsidP="006F6A01">
            <w:pPr>
              <w:jc w:val="right"/>
              <w:rPr>
                <w:sz w:val="22"/>
                <w:szCs w:val="22"/>
              </w:rPr>
            </w:pPr>
            <w:r w:rsidRPr="003A5794">
              <w:rPr>
                <w:sz w:val="22"/>
                <w:szCs w:val="22"/>
              </w:rPr>
              <w:t>45</w:t>
            </w:r>
          </w:p>
        </w:tc>
      </w:tr>
      <w:tr w:rsidR="006F6A01" w:rsidTr="000B45EB">
        <w:trPr>
          <w:trHeight w:val="256"/>
        </w:trPr>
        <w:tc>
          <w:tcPr>
            <w:tcW w:w="4635" w:type="dxa"/>
          </w:tcPr>
          <w:p w:rsidR="006F6A01" w:rsidRPr="00C702C0" w:rsidRDefault="006F6A01" w:rsidP="00167917">
            <w:pPr>
              <w:jc w:val="both"/>
              <w:rPr>
                <w:sz w:val="22"/>
                <w:szCs w:val="22"/>
              </w:rPr>
            </w:pPr>
            <w:r w:rsidRPr="00C702C0">
              <w:rPr>
                <w:sz w:val="22"/>
                <w:szCs w:val="22"/>
              </w:rPr>
              <w:t>District PRU</w:t>
            </w:r>
          </w:p>
        </w:tc>
        <w:tc>
          <w:tcPr>
            <w:tcW w:w="1250" w:type="dxa"/>
          </w:tcPr>
          <w:p w:rsidR="006F6A01" w:rsidRPr="00C702C0" w:rsidRDefault="006F6A01" w:rsidP="00EE248A">
            <w:pPr>
              <w:jc w:val="center"/>
            </w:pPr>
            <w:r w:rsidRPr="00C702C0">
              <w:rPr>
                <w:sz w:val="22"/>
                <w:szCs w:val="22"/>
              </w:rPr>
              <w:t>AP</w:t>
            </w:r>
          </w:p>
        </w:tc>
        <w:tc>
          <w:tcPr>
            <w:tcW w:w="1404" w:type="dxa"/>
          </w:tcPr>
          <w:p w:rsidR="006F6A01" w:rsidRPr="0098541B" w:rsidRDefault="006F6A01" w:rsidP="008D7C10">
            <w:pPr>
              <w:jc w:val="right"/>
              <w:rPr>
                <w:sz w:val="22"/>
                <w:szCs w:val="22"/>
              </w:rPr>
            </w:pPr>
            <w:r w:rsidRPr="0098541B">
              <w:rPr>
                <w:sz w:val="22"/>
                <w:szCs w:val="22"/>
              </w:rPr>
              <w:t>215</w:t>
            </w:r>
          </w:p>
        </w:tc>
        <w:tc>
          <w:tcPr>
            <w:tcW w:w="1404" w:type="dxa"/>
          </w:tcPr>
          <w:p w:rsidR="006F6A01" w:rsidRPr="00C702C0" w:rsidRDefault="006F6A01" w:rsidP="008D7C10">
            <w:pPr>
              <w:jc w:val="right"/>
              <w:rPr>
                <w:sz w:val="22"/>
                <w:szCs w:val="22"/>
              </w:rPr>
            </w:pPr>
            <w:r w:rsidRPr="00C702C0">
              <w:rPr>
                <w:sz w:val="22"/>
                <w:szCs w:val="22"/>
              </w:rPr>
              <w:t>124</w:t>
            </w:r>
          </w:p>
        </w:tc>
        <w:tc>
          <w:tcPr>
            <w:tcW w:w="1070" w:type="dxa"/>
          </w:tcPr>
          <w:p w:rsidR="006F6A01" w:rsidRPr="00C702C0" w:rsidRDefault="006F6A01" w:rsidP="000C3C21">
            <w:pPr>
              <w:jc w:val="right"/>
              <w:rPr>
                <w:sz w:val="22"/>
                <w:szCs w:val="22"/>
              </w:rPr>
            </w:pPr>
            <w:r w:rsidRPr="00C702C0">
              <w:rPr>
                <w:sz w:val="22"/>
                <w:szCs w:val="22"/>
              </w:rPr>
              <w:t>160</w:t>
            </w:r>
          </w:p>
        </w:tc>
        <w:tc>
          <w:tcPr>
            <w:tcW w:w="1102" w:type="dxa"/>
          </w:tcPr>
          <w:p w:rsidR="006F6A01" w:rsidRPr="003A5794" w:rsidRDefault="003A5794" w:rsidP="003A5794">
            <w:pPr>
              <w:jc w:val="right"/>
              <w:rPr>
                <w:sz w:val="22"/>
                <w:szCs w:val="22"/>
              </w:rPr>
            </w:pPr>
            <w:r w:rsidRPr="003A5794">
              <w:rPr>
                <w:sz w:val="22"/>
                <w:szCs w:val="22"/>
              </w:rPr>
              <w:t>160</w:t>
            </w:r>
          </w:p>
        </w:tc>
      </w:tr>
      <w:tr w:rsidR="006F6A01" w:rsidTr="000B45EB">
        <w:trPr>
          <w:trHeight w:val="241"/>
        </w:trPr>
        <w:tc>
          <w:tcPr>
            <w:tcW w:w="4635" w:type="dxa"/>
          </w:tcPr>
          <w:p w:rsidR="006F6A01" w:rsidRPr="004E617D" w:rsidRDefault="006F6A01" w:rsidP="00167917">
            <w:pPr>
              <w:jc w:val="both"/>
              <w:rPr>
                <w:sz w:val="22"/>
                <w:szCs w:val="22"/>
              </w:rPr>
            </w:pPr>
            <w:r w:rsidRPr="004E617D">
              <w:rPr>
                <w:sz w:val="22"/>
                <w:szCs w:val="22"/>
              </w:rPr>
              <w:t>Acorn Centre</w:t>
            </w:r>
          </w:p>
        </w:tc>
        <w:tc>
          <w:tcPr>
            <w:tcW w:w="1250" w:type="dxa"/>
          </w:tcPr>
          <w:p w:rsidR="006F6A01" w:rsidRPr="00C702C0" w:rsidRDefault="006F6A01" w:rsidP="00EE248A">
            <w:pPr>
              <w:jc w:val="center"/>
            </w:pPr>
            <w:r w:rsidRPr="00C702C0">
              <w:rPr>
                <w:sz w:val="22"/>
                <w:szCs w:val="22"/>
              </w:rPr>
              <w:t>AP</w:t>
            </w:r>
          </w:p>
        </w:tc>
        <w:tc>
          <w:tcPr>
            <w:tcW w:w="1404" w:type="dxa"/>
          </w:tcPr>
          <w:p w:rsidR="006F6A01" w:rsidRPr="0098541B" w:rsidRDefault="006F6A01" w:rsidP="008D7C10">
            <w:pPr>
              <w:jc w:val="right"/>
              <w:rPr>
                <w:sz w:val="22"/>
                <w:szCs w:val="22"/>
              </w:rPr>
            </w:pPr>
            <w:r>
              <w:rPr>
                <w:sz w:val="22"/>
                <w:szCs w:val="22"/>
              </w:rPr>
              <w:t>6</w:t>
            </w:r>
          </w:p>
        </w:tc>
        <w:tc>
          <w:tcPr>
            <w:tcW w:w="1404" w:type="dxa"/>
          </w:tcPr>
          <w:p w:rsidR="006F6A01" w:rsidRPr="00C702C0" w:rsidRDefault="006F6A01" w:rsidP="008D7C10">
            <w:pPr>
              <w:jc w:val="right"/>
              <w:rPr>
                <w:sz w:val="22"/>
                <w:szCs w:val="22"/>
              </w:rPr>
            </w:pPr>
            <w:r w:rsidRPr="00C702C0">
              <w:rPr>
                <w:sz w:val="22"/>
                <w:szCs w:val="22"/>
              </w:rPr>
              <w:t>0</w:t>
            </w:r>
          </w:p>
        </w:tc>
        <w:tc>
          <w:tcPr>
            <w:tcW w:w="1070" w:type="dxa"/>
          </w:tcPr>
          <w:p w:rsidR="006F6A01" w:rsidRPr="00C702C0" w:rsidRDefault="006F6A01" w:rsidP="000C3C21">
            <w:pPr>
              <w:jc w:val="right"/>
              <w:rPr>
                <w:sz w:val="22"/>
                <w:szCs w:val="22"/>
              </w:rPr>
            </w:pPr>
            <w:r w:rsidRPr="00C702C0">
              <w:rPr>
                <w:sz w:val="22"/>
                <w:szCs w:val="22"/>
              </w:rPr>
              <w:t>10</w:t>
            </w:r>
          </w:p>
        </w:tc>
        <w:tc>
          <w:tcPr>
            <w:tcW w:w="1102" w:type="dxa"/>
          </w:tcPr>
          <w:p w:rsidR="006F6A01" w:rsidRPr="004E617D" w:rsidRDefault="00E417C0" w:rsidP="006F6A01">
            <w:pPr>
              <w:jc w:val="right"/>
            </w:pPr>
            <w:r w:rsidRPr="004E617D">
              <w:rPr>
                <w:sz w:val="22"/>
                <w:szCs w:val="22"/>
              </w:rPr>
              <w:t>10</w:t>
            </w:r>
          </w:p>
        </w:tc>
      </w:tr>
      <w:tr w:rsidR="006F6A01" w:rsidTr="000B45EB">
        <w:trPr>
          <w:trHeight w:val="256"/>
        </w:trPr>
        <w:tc>
          <w:tcPr>
            <w:tcW w:w="4635" w:type="dxa"/>
          </w:tcPr>
          <w:p w:rsidR="006F6A01" w:rsidRPr="004E617D" w:rsidRDefault="006F6A01" w:rsidP="00167917">
            <w:pPr>
              <w:jc w:val="both"/>
              <w:rPr>
                <w:sz w:val="22"/>
                <w:szCs w:val="22"/>
              </w:rPr>
            </w:pPr>
            <w:r w:rsidRPr="004E617D">
              <w:rPr>
                <w:sz w:val="22"/>
                <w:szCs w:val="22"/>
              </w:rPr>
              <w:t>Horizons Centre</w:t>
            </w:r>
          </w:p>
        </w:tc>
        <w:tc>
          <w:tcPr>
            <w:tcW w:w="1250" w:type="dxa"/>
          </w:tcPr>
          <w:p w:rsidR="006F6A01" w:rsidRPr="00C702C0" w:rsidRDefault="006F6A01" w:rsidP="00EE248A">
            <w:pPr>
              <w:jc w:val="center"/>
            </w:pPr>
            <w:r w:rsidRPr="00C702C0">
              <w:rPr>
                <w:sz w:val="22"/>
                <w:szCs w:val="22"/>
              </w:rPr>
              <w:t>AP</w:t>
            </w:r>
          </w:p>
        </w:tc>
        <w:tc>
          <w:tcPr>
            <w:tcW w:w="1404" w:type="dxa"/>
          </w:tcPr>
          <w:p w:rsidR="006F6A01" w:rsidRPr="0098541B" w:rsidRDefault="006F6A01" w:rsidP="008D7C10">
            <w:pPr>
              <w:jc w:val="right"/>
              <w:rPr>
                <w:sz w:val="22"/>
                <w:szCs w:val="22"/>
              </w:rPr>
            </w:pPr>
            <w:r>
              <w:rPr>
                <w:sz w:val="22"/>
                <w:szCs w:val="22"/>
              </w:rPr>
              <w:t>10</w:t>
            </w:r>
          </w:p>
        </w:tc>
        <w:tc>
          <w:tcPr>
            <w:tcW w:w="1404" w:type="dxa"/>
          </w:tcPr>
          <w:p w:rsidR="006F6A01" w:rsidRPr="00C702C0" w:rsidRDefault="006F6A01" w:rsidP="008D7C10">
            <w:pPr>
              <w:jc w:val="right"/>
              <w:rPr>
                <w:sz w:val="22"/>
                <w:szCs w:val="22"/>
              </w:rPr>
            </w:pPr>
            <w:r w:rsidRPr="00C702C0">
              <w:rPr>
                <w:sz w:val="22"/>
                <w:szCs w:val="22"/>
              </w:rPr>
              <w:t>7</w:t>
            </w:r>
          </w:p>
        </w:tc>
        <w:tc>
          <w:tcPr>
            <w:tcW w:w="1070" w:type="dxa"/>
          </w:tcPr>
          <w:p w:rsidR="006F6A01" w:rsidRPr="00C702C0" w:rsidRDefault="006F6A01" w:rsidP="000C3C21">
            <w:pPr>
              <w:jc w:val="right"/>
              <w:rPr>
                <w:sz w:val="22"/>
                <w:szCs w:val="22"/>
              </w:rPr>
            </w:pPr>
            <w:r w:rsidRPr="00C702C0">
              <w:rPr>
                <w:sz w:val="22"/>
                <w:szCs w:val="22"/>
              </w:rPr>
              <w:t>10</w:t>
            </w:r>
          </w:p>
        </w:tc>
        <w:tc>
          <w:tcPr>
            <w:tcW w:w="1102" w:type="dxa"/>
          </w:tcPr>
          <w:p w:rsidR="006F6A01" w:rsidRPr="004E617D" w:rsidRDefault="00E417C0" w:rsidP="006F6A01">
            <w:pPr>
              <w:jc w:val="right"/>
            </w:pPr>
            <w:r w:rsidRPr="004E617D">
              <w:rPr>
                <w:sz w:val="22"/>
                <w:szCs w:val="22"/>
              </w:rPr>
              <w:t>10</w:t>
            </w:r>
          </w:p>
        </w:tc>
      </w:tr>
      <w:tr w:rsidR="006F6A01" w:rsidTr="000B45EB">
        <w:trPr>
          <w:trHeight w:val="241"/>
        </w:trPr>
        <w:tc>
          <w:tcPr>
            <w:tcW w:w="4635" w:type="dxa"/>
          </w:tcPr>
          <w:p w:rsidR="006F6A01" w:rsidRPr="004E617D" w:rsidRDefault="006F6A01" w:rsidP="00167917">
            <w:pPr>
              <w:jc w:val="both"/>
              <w:rPr>
                <w:sz w:val="22"/>
                <w:szCs w:val="22"/>
              </w:rPr>
            </w:pPr>
            <w:r w:rsidRPr="004E617D">
              <w:rPr>
                <w:sz w:val="22"/>
                <w:szCs w:val="22"/>
              </w:rPr>
              <w:t>Long View Centre</w:t>
            </w:r>
          </w:p>
        </w:tc>
        <w:tc>
          <w:tcPr>
            <w:tcW w:w="1250" w:type="dxa"/>
          </w:tcPr>
          <w:p w:rsidR="006F6A01" w:rsidRPr="00C702C0" w:rsidRDefault="006F6A01" w:rsidP="00EE248A">
            <w:pPr>
              <w:jc w:val="center"/>
            </w:pPr>
            <w:r w:rsidRPr="00C702C0">
              <w:rPr>
                <w:sz w:val="22"/>
                <w:szCs w:val="22"/>
              </w:rPr>
              <w:t>AP</w:t>
            </w:r>
          </w:p>
        </w:tc>
        <w:tc>
          <w:tcPr>
            <w:tcW w:w="1404" w:type="dxa"/>
          </w:tcPr>
          <w:p w:rsidR="006F6A01" w:rsidRPr="0098541B" w:rsidRDefault="006F6A01" w:rsidP="008D7C10">
            <w:pPr>
              <w:jc w:val="right"/>
              <w:rPr>
                <w:sz w:val="22"/>
                <w:szCs w:val="22"/>
              </w:rPr>
            </w:pPr>
            <w:r>
              <w:rPr>
                <w:sz w:val="22"/>
                <w:szCs w:val="22"/>
              </w:rPr>
              <w:t>7</w:t>
            </w:r>
          </w:p>
        </w:tc>
        <w:tc>
          <w:tcPr>
            <w:tcW w:w="1404" w:type="dxa"/>
          </w:tcPr>
          <w:p w:rsidR="006F6A01" w:rsidRPr="00C702C0" w:rsidRDefault="006F6A01" w:rsidP="008D7C10">
            <w:pPr>
              <w:jc w:val="right"/>
              <w:rPr>
                <w:sz w:val="22"/>
                <w:szCs w:val="22"/>
              </w:rPr>
            </w:pPr>
            <w:r w:rsidRPr="00C702C0">
              <w:rPr>
                <w:sz w:val="22"/>
                <w:szCs w:val="22"/>
              </w:rPr>
              <w:t>3</w:t>
            </w:r>
          </w:p>
        </w:tc>
        <w:tc>
          <w:tcPr>
            <w:tcW w:w="1070" w:type="dxa"/>
          </w:tcPr>
          <w:p w:rsidR="006F6A01" w:rsidRPr="00C702C0" w:rsidRDefault="006F6A01" w:rsidP="000C3C21">
            <w:pPr>
              <w:jc w:val="right"/>
              <w:rPr>
                <w:sz w:val="22"/>
                <w:szCs w:val="22"/>
              </w:rPr>
            </w:pPr>
            <w:r w:rsidRPr="00C702C0">
              <w:rPr>
                <w:sz w:val="22"/>
                <w:szCs w:val="22"/>
              </w:rPr>
              <w:t>10</w:t>
            </w:r>
          </w:p>
        </w:tc>
        <w:tc>
          <w:tcPr>
            <w:tcW w:w="1102" w:type="dxa"/>
          </w:tcPr>
          <w:p w:rsidR="006F6A01" w:rsidRPr="004E617D" w:rsidRDefault="00E417C0" w:rsidP="006F6A01">
            <w:pPr>
              <w:jc w:val="right"/>
            </w:pPr>
            <w:r w:rsidRPr="004E617D">
              <w:rPr>
                <w:sz w:val="22"/>
                <w:szCs w:val="22"/>
              </w:rPr>
              <w:t>10</w:t>
            </w:r>
          </w:p>
        </w:tc>
      </w:tr>
      <w:tr w:rsidR="006F6A01" w:rsidTr="000B45EB">
        <w:trPr>
          <w:trHeight w:val="256"/>
        </w:trPr>
        <w:tc>
          <w:tcPr>
            <w:tcW w:w="4635" w:type="dxa"/>
          </w:tcPr>
          <w:p w:rsidR="006F6A01" w:rsidRPr="004E617D" w:rsidRDefault="006F6A01" w:rsidP="00167917">
            <w:pPr>
              <w:jc w:val="both"/>
              <w:rPr>
                <w:sz w:val="22"/>
                <w:szCs w:val="22"/>
              </w:rPr>
            </w:pPr>
            <w:r w:rsidRPr="004E617D">
              <w:rPr>
                <w:sz w:val="22"/>
                <w:szCs w:val="22"/>
              </w:rPr>
              <w:t>Phoenix Centre</w:t>
            </w:r>
          </w:p>
        </w:tc>
        <w:tc>
          <w:tcPr>
            <w:tcW w:w="1250" w:type="dxa"/>
          </w:tcPr>
          <w:p w:rsidR="006F6A01" w:rsidRPr="00C702C0" w:rsidRDefault="006F6A01" w:rsidP="00EE248A">
            <w:pPr>
              <w:jc w:val="center"/>
            </w:pPr>
            <w:r w:rsidRPr="00C702C0">
              <w:rPr>
                <w:sz w:val="22"/>
                <w:szCs w:val="22"/>
              </w:rPr>
              <w:t>AP &amp; SEN</w:t>
            </w:r>
          </w:p>
        </w:tc>
        <w:tc>
          <w:tcPr>
            <w:tcW w:w="1404" w:type="dxa"/>
          </w:tcPr>
          <w:p w:rsidR="006F6A01" w:rsidRPr="0098541B" w:rsidRDefault="006F6A01" w:rsidP="008D7C10">
            <w:pPr>
              <w:jc w:val="right"/>
              <w:rPr>
                <w:sz w:val="22"/>
                <w:szCs w:val="22"/>
              </w:rPr>
            </w:pPr>
            <w:r>
              <w:rPr>
                <w:sz w:val="22"/>
                <w:szCs w:val="22"/>
              </w:rPr>
              <w:t>14</w:t>
            </w:r>
          </w:p>
        </w:tc>
        <w:tc>
          <w:tcPr>
            <w:tcW w:w="1404" w:type="dxa"/>
          </w:tcPr>
          <w:p w:rsidR="006F6A01" w:rsidRPr="00C702C0" w:rsidRDefault="006F6A01" w:rsidP="008D7C10">
            <w:pPr>
              <w:jc w:val="right"/>
              <w:rPr>
                <w:sz w:val="22"/>
                <w:szCs w:val="22"/>
              </w:rPr>
            </w:pPr>
            <w:r w:rsidRPr="00C702C0">
              <w:rPr>
                <w:sz w:val="22"/>
                <w:szCs w:val="22"/>
              </w:rPr>
              <w:t>11</w:t>
            </w:r>
          </w:p>
        </w:tc>
        <w:tc>
          <w:tcPr>
            <w:tcW w:w="1070" w:type="dxa"/>
          </w:tcPr>
          <w:p w:rsidR="006F6A01" w:rsidRPr="00C702C0" w:rsidRDefault="006F6A01" w:rsidP="000C3C21">
            <w:pPr>
              <w:jc w:val="right"/>
              <w:rPr>
                <w:sz w:val="22"/>
                <w:szCs w:val="22"/>
              </w:rPr>
            </w:pPr>
            <w:r w:rsidRPr="00C702C0">
              <w:rPr>
                <w:sz w:val="22"/>
                <w:szCs w:val="22"/>
              </w:rPr>
              <w:t>20</w:t>
            </w:r>
          </w:p>
        </w:tc>
        <w:tc>
          <w:tcPr>
            <w:tcW w:w="1102" w:type="dxa"/>
          </w:tcPr>
          <w:p w:rsidR="006F6A01" w:rsidRPr="004E617D" w:rsidRDefault="00E417C0" w:rsidP="006F6A01">
            <w:pPr>
              <w:jc w:val="right"/>
            </w:pPr>
            <w:r w:rsidRPr="004E617D">
              <w:rPr>
                <w:sz w:val="22"/>
                <w:szCs w:val="22"/>
              </w:rPr>
              <w:t>20</w:t>
            </w:r>
          </w:p>
        </w:tc>
      </w:tr>
      <w:tr w:rsidR="006F6A01" w:rsidTr="000B45EB">
        <w:trPr>
          <w:trHeight w:val="241"/>
        </w:trPr>
        <w:tc>
          <w:tcPr>
            <w:tcW w:w="4635" w:type="dxa"/>
          </w:tcPr>
          <w:p w:rsidR="006F6A01" w:rsidRPr="004E617D" w:rsidRDefault="006F6A01" w:rsidP="00167917">
            <w:pPr>
              <w:jc w:val="both"/>
              <w:rPr>
                <w:sz w:val="22"/>
                <w:szCs w:val="22"/>
              </w:rPr>
            </w:pPr>
            <w:r w:rsidRPr="004E617D">
              <w:rPr>
                <w:sz w:val="22"/>
                <w:szCs w:val="22"/>
              </w:rPr>
              <w:t>Primary Behaviour Centres from Sept 2014</w:t>
            </w:r>
          </w:p>
        </w:tc>
        <w:tc>
          <w:tcPr>
            <w:tcW w:w="1250" w:type="dxa"/>
          </w:tcPr>
          <w:p w:rsidR="006F6A01" w:rsidRPr="00C702C0" w:rsidRDefault="006F6A01" w:rsidP="00EE248A">
            <w:pPr>
              <w:jc w:val="center"/>
            </w:pPr>
            <w:r w:rsidRPr="00C702C0">
              <w:rPr>
                <w:sz w:val="22"/>
                <w:szCs w:val="22"/>
              </w:rPr>
              <w:t>AP</w:t>
            </w:r>
          </w:p>
        </w:tc>
        <w:tc>
          <w:tcPr>
            <w:tcW w:w="1404" w:type="dxa"/>
          </w:tcPr>
          <w:p w:rsidR="006F6A01" w:rsidRPr="0098541B" w:rsidRDefault="006F6A01" w:rsidP="000C3C21">
            <w:pPr>
              <w:jc w:val="right"/>
              <w:rPr>
                <w:sz w:val="22"/>
                <w:szCs w:val="22"/>
              </w:rPr>
            </w:pPr>
            <w:r>
              <w:rPr>
                <w:sz w:val="22"/>
                <w:szCs w:val="22"/>
              </w:rPr>
              <w:t>0</w:t>
            </w:r>
          </w:p>
        </w:tc>
        <w:tc>
          <w:tcPr>
            <w:tcW w:w="1404" w:type="dxa"/>
          </w:tcPr>
          <w:p w:rsidR="006F6A01" w:rsidRPr="00C702C0" w:rsidRDefault="006F6A01" w:rsidP="000C3C21">
            <w:pPr>
              <w:jc w:val="right"/>
              <w:rPr>
                <w:sz w:val="22"/>
                <w:szCs w:val="22"/>
              </w:rPr>
            </w:pPr>
            <w:r w:rsidRPr="00C702C0">
              <w:rPr>
                <w:sz w:val="22"/>
                <w:szCs w:val="22"/>
              </w:rPr>
              <w:t>0</w:t>
            </w:r>
          </w:p>
        </w:tc>
        <w:tc>
          <w:tcPr>
            <w:tcW w:w="1070" w:type="dxa"/>
          </w:tcPr>
          <w:p w:rsidR="006F6A01" w:rsidRPr="00C702C0" w:rsidRDefault="006F6A01" w:rsidP="000C3C21">
            <w:pPr>
              <w:jc w:val="right"/>
              <w:rPr>
                <w:sz w:val="22"/>
                <w:szCs w:val="22"/>
              </w:rPr>
            </w:pPr>
            <w:r w:rsidRPr="00C702C0">
              <w:rPr>
                <w:sz w:val="22"/>
                <w:szCs w:val="22"/>
              </w:rPr>
              <w:t>10</w:t>
            </w:r>
          </w:p>
        </w:tc>
        <w:tc>
          <w:tcPr>
            <w:tcW w:w="1102" w:type="dxa"/>
          </w:tcPr>
          <w:p w:rsidR="006F6A01" w:rsidRPr="004E617D" w:rsidRDefault="00E417C0" w:rsidP="006F6A01">
            <w:pPr>
              <w:jc w:val="right"/>
            </w:pPr>
            <w:r w:rsidRPr="004E617D">
              <w:rPr>
                <w:sz w:val="22"/>
                <w:szCs w:val="22"/>
              </w:rPr>
              <w:t>10</w:t>
            </w:r>
          </w:p>
        </w:tc>
      </w:tr>
      <w:tr w:rsidR="006F6A01" w:rsidTr="000B45EB">
        <w:trPr>
          <w:trHeight w:val="256"/>
        </w:trPr>
        <w:tc>
          <w:tcPr>
            <w:tcW w:w="4635" w:type="dxa"/>
          </w:tcPr>
          <w:p w:rsidR="006F6A01" w:rsidRPr="0001529A" w:rsidRDefault="006F6A01" w:rsidP="00A37F75">
            <w:pPr>
              <w:jc w:val="both"/>
              <w:rPr>
                <w:sz w:val="22"/>
                <w:szCs w:val="22"/>
              </w:rPr>
            </w:pPr>
            <w:r w:rsidRPr="0001529A">
              <w:rPr>
                <w:sz w:val="22"/>
                <w:szCs w:val="22"/>
              </w:rPr>
              <w:t>EY Canterbury Nursery School &amp; CC</w:t>
            </w:r>
          </w:p>
        </w:tc>
        <w:tc>
          <w:tcPr>
            <w:tcW w:w="1250" w:type="dxa"/>
          </w:tcPr>
          <w:p w:rsidR="006F6A01" w:rsidRPr="0001529A" w:rsidRDefault="006F6A01" w:rsidP="00EE248A">
            <w:pPr>
              <w:jc w:val="center"/>
              <w:rPr>
                <w:sz w:val="22"/>
                <w:szCs w:val="22"/>
              </w:rPr>
            </w:pPr>
            <w:r w:rsidRPr="0001529A">
              <w:rPr>
                <w:sz w:val="22"/>
                <w:szCs w:val="22"/>
              </w:rPr>
              <w:t>SEN</w:t>
            </w:r>
          </w:p>
        </w:tc>
        <w:tc>
          <w:tcPr>
            <w:tcW w:w="1404" w:type="dxa"/>
          </w:tcPr>
          <w:p w:rsidR="006F6A01" w:rsidRPr="0001529A" w:rsidRDefault="006F6A01" w:rsidP="008D7C10">
            <w:pPr>
              <w:jc w:val="right"/>
              <w:rPr>
                <w:sz w:val="22"/>
                <w:szCs w:val="22"/>
              </w:rPr>
            </w:pPr>
            <w:r w:rsidRPr="0001529A">
              <w:rPr>
                <w:sz w:val="22"/>
                <w:szCs w:val="22"/>
              </w:rPr>
              <w:t>3.0</w:t>
            </w:r>
          </w:p>
        </w:tc>
        <w:tc>
          <w:tcPr>
            <w:tcW w:w="1404" w:type="dxa"/>
          </w:tcPr>
          <w:p w:rsidR="006F6A01" w:rsidRPr="0001529A" w:rsidRDefault="006F6A01" w:rsidP="000C3C21">
            <w:pPr>
              <w:jc w:val="right"/>
              <w:rPr>
                <w:sz w:val="22"/>
                <w:szCs w:val="22"/>
              </w:rPr>
            </w:pPr>
            <w:r w:rsidRPr="0001529A">
              <w:rPr>
                <w:sz w:val="22"/>
                <w:szCs w:val="22"/>
              </w:rPr>
              <w:t>0.6</w:t>
            </w:r>
          </w:p>
        </w:tc>
        <w:tc>
          <w:tcPr>
            <w:tcW w:w="1070" w:type="dxa"/>
          </w:tcPr>
          <w:p w:rsidR="006F6A01" w:rsidRPr="0001529A" w:rsidRDefault="006F6A01" w:rsidP="000C3C21">
            <w:pPr>
              <w:jc w:val="right"/>
              <w:rPr>
                <w:sz w:val="22"/>
                <w:szCs w:val="22"/>
              </w:rPr>
            </w:pPr>
            <w:r w:rsidRPr="0001529A">
              <w:rPr>
                <w:sz w:val="22"/>
                <w:szCs w:val="22"/>
              </w:rPr>
              <w:t>12.8</w:t>
            </w:r>
          </w:p>
        </w:tc>
        <w:tc>
          <w:tcPr>
            <w:tcW w:w="1102" w:type="dxa"/>
          </w:tcPr>
          <w:p w:rsidR="006F6A01" w:rsidRPr="0001529A" w:rsidRDefault="00E417C0" w:rsidP="006F6A01">
            <w:pPr>
              <w:jc w:val="right"/>
            </w:pPr>
            <w:r w:rsidRPr="0001529A">
              <w:rPr>
                <w:sz w:val="22"/>
                <w:szCs w:val="22"/>
              </w:rPr>
              <w:t>12.8</w:t>
            </w:r>
          </w:p>
        </w:tc>
      </w:tr>
      <w:tr w:rsidR="006F6A01" w:rsidTr="000B45EB">
        <w:trPr>
          <w:trHeight w:val="241"/>
        </w:trPr>
        <w:tc>
          <w:tcPr>
            <w:tcW w:w="4635" w:type="dxa"/>
          </w:tcPr>
          <w:p w:rsidR="006F6A01" w:rsidRPr="0001529A" w:rsidRDefault="006F6A01" w:rsidP="00A37F75">
            <w:pPr>
              <w:jc w:val="both"/>
              <w:rPr>
                <w:sz w:val="22"/>
                <w:szCs w:val="22"/>
              </w:rPr>
            </w:pPr>
            <w:r w:rsidRPr="0001529A">
              <w:rPr>
                <w:sz w:val="22"/>
                <w:szCs w:val="22"/>
              </w:rPr>
              <w:t xml:space="preserve">EY </w:t>
            </w:r>
            <w:proofErr w:type="spellStart"/>
            <w:r w:rsidRPr="0001529A">
              <w:rPr>
                <w:sz w:val="22"/>
                <w:szCs w:val="22"/>
              </w:rPr>
              <w:t>Hirst</w:t>
            </w:r>
            <w:proofErr w:type="spellEnd"/>
            <w:r w:rsidRPr="0001529A">
              <w:rPr>
                <w:sz w:val="22"/>
                <w:szCs w:val="22"/>
              </w:rPr>
              <w:t xml:space="preserve"> Wood Nursery School &amp; CC</w:t>
            </w:r>
          </w:p>
        </w:tc>
        <w:tc>
          <w:tcPr>
            <w:tcW w:w="1250" w:type="dxa"/>
          </w:tcPr>
          <w:p w:rsidR="006F6A01" w:rsidRPr="0001529A" w:rsidRDefault="006F6A01" w:rsidP="00EE248A">
            <w:pPr>
              <w:jc w:val="center"/>
              <w:rPr>
                <w:sz w:val="22"/>
                <w:szCs w:val="22"/>
              </w:rPr>
            </w:pPr>
            <w:r w:rsidRPr="0001529A">
              <w:rPr>
                <w:sz w:val="22"/>
                <w:szCs w:val="22"/>
              </w:rPr>
              <w:t>SEN</w:t>
            </w:r>
          </w:p>
        </w:tc>
        <w:tc>
          <w:tcPr>
            <w:tcW w:w="1404" w:type="dxa"/>
          </w:tcPr>
          <w:p w:rsidR="006F6A01" w:rsidRPr="0001529A" w:rsidRDefault="006F6A01" w:rsidP="008D7C10">
            <w:pPr>
              <w:jc w:val="right"/>
              <w:rPr>
                <w:sz w:val="22"/>
                <w:szCs w:val="22"/>
              </w:rPr>
            </w:pPr>
            <w:r w:rsidRPr="0001529A">
              <w:rPr>
                <w:sz w:val="22"/>
                <w:szCs w:val="22"/>
              </w:rPr>
              <w:t>6.0</w:t>
            </w:r>
          </w:p>
        </w:tc>
        <w:tc>
          <w:tcPr>
            <w:tcW w:w="1404" w:type="dxa"/>
          </w:tcPr>
          <w:p w:rsidR="006F6A01" w:rsidRPr="0001529A" w:rsidRDefault="006F6A01" w:rsidP="000C3C21">
            <w:pPr>
              <w:jc w:val="right"/>
              <w:rPr>
                <w:sz w:val="22"/>
                <w:szCs w:val="22"/>
              </w:rPr>
            </w:pPr>
            <w:r w:rsidRPr="0001529A">
              <w:rPr>
                <w:sz w:val="22"/>
                <w:szCs w:val="22"/>
              </w:rPr>
              <w:t>3.0</w:t>
            </w:r>
          </w:p>
        </w:tc>
        <w:tc>
          <w:tcPr>
            <w:tcW w:w="1070" w:type="dxa"/>
          </w:tcPr>
          <w:p w:rsidR="006F6A01" w:rsidRPr="0001529A" w:rsidRDefault="006F6A01" w:rsidP="000C3C21">
            <w:pPr>
              <w:jc w:val="right"/>
              <w:rPr>
                <w:sz w:val="22"/>
                <w:szCs w:val="22"/>
              </w:rPr>
            </w:pPr>
            <w:r w:rsidRPr="0001529A">
              <w:rPr>
                <w:sz w:val="22"/>
                <w:szCs w:val="22"/>
              </w:rPr>
              <w:t>12.8</w:t>
            </w:r>
          </w:p>
        </w:tc>
        <w:tc>
          <w:tcPr>
            <w:tcW w:w="1102" w:type="dxa"/>
          </w:tcPr>
          <w:p w:rsidR="006F6A01" w:rsidRPr="0001529A" w:rsidRDefault="00E417C0" w:rsidP="006F6A01">
            <w:pPr>
              <w:jc w:val="right"/>
            </w:pPr>
            <w:r w:rsidRPr="0001529A">
              <w:rPr>
                <w:sz w:val="22"/>
                <w:szCs w:val="22"/>
              </w:rPr>
              <w:t>12.8</w:t>
            </w:r>
          </w:p>
        </w:tc>
      </w:tr>
      <w:tr w:rsidR="006F6A01" w:rsidTr="000B45EB">
        <w:trPr>
          <w:trHeight w:val="256"/>
        </w:trPr>
        <w:tc>
          <w:tcPr>
            <w:tcW w:w="4635" w:type="dxa"/>
          </w:tcPr>
          <w:p w:rsidR="006F6A01" w:rsidRPr="0001529A" w:rsidRDefault="006F6A01" w:rsidP="00A37F75">
            <w:pPr>
              <w:jc w:val="both"/>
              <w:rPr>
                <w:sz w:val="22"/>
                <w:szCs w:val="22"/>
              </w:rPr>
            </w:pPr>
            <w:r w:rsidRPr="0001529A">
              <w:rPr>
                <w:sz w:val="22"/>
                <w:szCs w:val="22"/>
              </w:rPr>
              <w:t>EY St Edmunds Nursery School &amp; CC</w:t>
            </w:r>
          </w:p>
        </w:tc>
        <w:tc>
          <w:tcPr>
            <w:tcW w:w="1250" w:type="dxa"/>
          </w:tcPr>
          <w:p w:rsidR="006F6A01" w:rsidRPr="0001529A" w:rsidRDefault="006F6A01" w:rsidP="00EE248A">
            <w:pPr>
              <w:jc w:val="center"/>
              <w:rPr>
                <w:sz w:val="22"/>
                <w:szCs w:val="22"/>
              </w:rPr>
            </w:pPr>
            <w:r w:rsidRPr="0001529A">
              <w:rPr>
                <w:sz w:val="22"/>
                <w:szCs w:val="22"/>
              </w:rPr>
              <w:t>SEN</w:t>
            </w:r>
          </w:p>
        </w:tc>
        <w:tc>
          <w:tcPr>
            <w:tcW w:w="1404" w:type="dxa"/>
          </w:tcPr>
          <w:p w:rsidR="006F6A01" w:rsidRPr="0001529A" w:rsidRDefault="006F6A01" w:rsidP="008D7C10">
            <w:pPr>
              <w:jc w:val="right"/>
              <w:rPr>
                <w:sz w:val="22"/>
                <w:szCs w:val="22"/>
              </w:rPr>
            </w:pPr>
            <w:r w:rsidRPr="0001529A">
              <w:rPr>
                <w:sz w:val="22"/>
                <w:szCs w:val="22"/>
              </w:rPr>
              <w:t>12.0</w:t>
            </w:r>
          </w:p>
        </w:tc>
        <w:tc>
          <w:tcPr>
            <w:tcW w:w="1404" w:type="dxa"/>
          </w:tcPr>
          <w:p w:rsidR="006F6A01" w:rsidRPr="0001529A" w:rsidRDefault="006F6A01" w:rsidP="000C3C21">
            <w:pPr>
              <w:jc w:val="right"/>
              <w:rPr>
                <w:sz w:val="22"/>
                <w:szCs w:val="22"/>
              </w:rPr>
            </w:pPr>
            <w:r w:rsidRPr="0001529A">
              <w:rPr>
                <w:sz w:val="22"/>
                <w:szCs w:val="22"/>
              </w:rPr>
              <w:t>6.0</w:t>
            </w:r>
          </w:p>
        </w:tc>
        <w:tc>
          <w:tcPr>
            <w:tcW w:w="1070" w:type="dxa"/>
          </w:tcPr>
          <w:p w:rsidR="006F6A01" w:rsidRPr="0001529A" w:rsidRDefault="006F6A01" w:rsidP="000C3C21">
            <w:pPr>
              <w:jc w:val="right"/>
              <w:rPr>
                <w:sz w:val="22"/>
                <w:szCs w:val="22"/>
              </w:rPr>
            </w:pPr>
            <w:r w:rsidRPr="0001529A">
              <w:rPr>
                <w:sz w:val="22"/>
                <w:szCs w:val="22"/>
              </w:rPr>
              <w:t>12.8</w:t>
            </w:r>
          </w:p>
        </w:tc>
        <w:tc>
          <w:tcPr>
            <w:tcW w:w="1102" w:type="dxa"/>
          </w:tcPr>
          <w:p w:rsidR="006F6A01" w:rsidRPr="0001529A" w:rsidRDefault="00E417C0" w:rsidP="006F6A01">
            <w:pPr>
              <w:jc w:val="right"/>
            </w:pPr>
            <w:r w:rsidRPr="0001529A">
              <w:rPr>
                <w:sz w:val="22"/>
                <w:szCs w:val="22"/>
              </w:rPr>
              <w:t>12.8</w:t>
            </w:r>
          </w:p>
        </w:tc>
      </w:tr>
      <w:tr w:rsidR="006F6A01" w:rsidTr="000B45EB">
        <w:trPr>
          <w:trHeight w:val="241"/>
        </w:trPr>
        <w:tc>
          <w:tcPr>
            <w:tcW w:w="4635" w:type="dxa"/>
          </w:tcPr>
          <w:p w:rsidR="006F6A01" w:rsidRPr="0001529A" w:rsidRDefault="006F6A01" w:rsidP="00A37F75">
            <w:pPr>
              <w:jc w:val="both"/>
              <w:rPr>
                <w:sz w:val="22"/>
                <w:szCs w:val="22"/>
              </w:rPr>
            </w:pPr>
            <w:r w:rsidRPr="0001529A">
              <w:rPr>
                <w:sz w:val="22"/>
                <w:szCs w:val="22"/>
              </w:rPr>
              <w:t>EY Strong Close Nursery School &amp; CC</w:t>
            </w:r>
          </w:p>
        </w:tc>
        <w:tc>
          <w:tcPr>
            <w:tcW w:w="1250" w:type="dxa"/>
          </w:tcPr>
          <w:p w:rsidR="006F6A01" w:rsidRPr="0001529A" w:rsidRDefault="006F6A01" w:rsidP="00EE248A">
            <w:pPr>
              <w:jc w:val="center"/>
              <w:rPr>
                <w:sz w:val="22"/>
                <w:szCs w:val="22"/>
              </w:rPr>
            </w:pPr>
            <w:r w:rsidRPr="0001529A">
              <w:rPr>
                <w:sz w:val="22"/>
                <w:szCs w:val="22"/>
              </w:rPr>
              <w:t>SEN</w:t>
            </w:r>
          </w:p>
        </w:tc>
        <w:tc>
          <w:tcPr>
            <w:tcW w:w="1404" w:type="dxa"/>
          </w:tcPr>
          <w:p w:rsidR="006F6A01" w:rsidRPr="0001529A" w:rsidRDefault="006F6A01" w:rsidP="008D7C10">
            <w:pPr>
              <w:jc w:val="right"/>
              <w:rPr>
                <w:sz w:val="22"/>
                <w:szCs w:val="22"/>
              </w:rPr>
            </w:pPr>
            <w:r w:rsidRPr="0001529A">
              <w:rPr>
                <w:sz w:val="22"/>
                <w:szCs w:val="22"/>
              </w:rPr>
              <w:t>11.4</w:t>
            </w:r>
          </w:p>
        </w:tc>
        <w:tc>
          <w:tcPr>
            <w:tcW w:w="1404" w:type="dxa"/>
          </w:tcPr>
          <w:p w:rsidR="006F6A01" w:rsidRPr="0001529A" w:rsidRDefault="006F6A01" w:rsidP="000C3C21">
            <w:pPr>
              <w:jc w:val="right"/>
              <w:rPr>
                <w:sz w:val="22"/>
                <w:szCs w:val="22"/>
              </w:rPr>
            </w:pPr>
            <w:r w:rsidRPr="0001529A">
              <w:rPr>
                <w:sz w:val="22"/>
                <w:szCs w:val="22"/>
              </w:rPr>
              <w:t>6.6</w:t>
            </w:r>
          </w:p>
        </w:tc>
        <w:tc>
          <w:tcPr>
            <w:tcW w:w="1070" w:type="dxa"/>
          </w:tcPr>
          <w:p w:rsidR="006F6A01" w:rsidRPr="0001529A" w:rsidRDefault="006F6A01" w:rsidP="000C3C21">
            <w:pPr>
              <w:jc w:val="right"/>
              <w:rPr>
                <w:sz w:val="22"/>
                <w:szCs w:val="22"/>
              </w:rPr>
            </w:pPr>
            <w:r w:rsidRPr="0001529A">
              <w:rPr>
                <w:sz w:val="22"/>
                <w:szCs w:val="22"/>
              </w:rPr>
              <w:t>12.8</w:t>
            </w:r>
          </w:p>
        </w:tc>
        <w:tc>
          <w:tcPr>
            <w:tcW w:w="1102" w:type="dxa"/>
          </w:tcPr>
          <w:p w:rsidR="006F6A01" w:rsidRPr="0001529A" w:rsidRDefault="00E417C0" w:rsidP="006F6A01">
            <w:pPr>
              <w:jc w:val="right"/>
            </w:pPr>
            <w:r w:rsidRPr="0001529A">
              <w:rPr>
                <w:sz w:val="22"/>
                <w:szCs w:val="22"/>
              </w:rPr>
              <w:t>12.8</w:t>
            </w:r>
          </w:p>
        </w:tc>
      </w:tr>
      <w:tr w:rsidR="006F6A01" w:rsidTr="000B45EB">
        <w:trPr>
          <w:trHeight w:val="256"/>
        </w:trPr>
        <w:tc>
          <w:tcPr>
            <w:tcW w:w="4635" w:type="dxa"/>
          </w:tcPr>
          <w:p w:rsidR="006F6A01" w:rsidRPr="0001529A" w:rsidRDefault="006F6A01" w:rsidP="00167917">
            <w:pPr>
              <w:jc w:val="both"/>
              <w:rPr>
                <w:sz w:val="22"/>
                <w:szCs w:val="22"/>
              </w:rPr>
            </w:pPr>
            <w:r w:rsidRPr="0001529A">
              <w:rPr>
                <w:sz w:val="22"/>
                <w:szCs w:val="22"/>
              </w:rPr>
              <w:t xml:space="preserve">EY </w:t>
            </w:r>
            <w:proofErr w:type="spellStart"/>
            <w:r w:rsidRPr="0001529A">
              <w:rPr>
                <w:sz w:val="22"/>
                <w:szCs w:val="22"/>
              </w:rPr>
              <w:t>Barkerend</w:t>
            </w:r>
            <w:proofErr w:type="spellEnd"/>
            <w:r w:rsidRPr="0001529A">
              <w:rPr>
                <w:sz w:val="22"/>
                <w:szCs w:val="22"/>
              </w:rPr>
              <w:t xml:space="preserve"> (Children’s Place)</w:t>
            </w:r>
          </w:p>
        </w:tc>
        <w:tc>
          <w:tcPr>
            <w:tcW w:w="1250" w:type="dxa"/>
          </w:tcPr>
          <w:p w:rsidR="006F6A01" w:rsidRPr="0001529A" w:rsidRDefault="006F6A01" w:rsidP="00EE248A">
            <w:pPr>
              <w:jc w:val="center"/>
              <w:rPr>
                <w:sz w:val="22"/>
                <w:szCs w:val="22"/>
              </w:rPr>
            </w:pPr>
            <w:r w:rsidRPr="0001529A">
              <w:rPr>
                <w:sz w:val="22"/>
                <w:szCs w:val="22"/>
              </w:rPr>
              <w:t>SEN</w:t>
            </w:r>
          </w:p>
        </w:tc>
        <w:tc>
          <w:tcPr>
            <w:tcW w:w="1404" w:type="dxa"/>
          </w:tcPr>
          <w:p w:rsidR="006F6A01" w:rsidRPr="0001529A" w:rsidRDefault="006F6A01" w:rsidP="008D7C10">
            <w:pPr>
              <w:jc w:val="right"/>
              <w:rPr>
                <w:sz w:val="22"/>
                <w:szCs w:val="22"/>
              </w:rPr>
            </w:pPr>
            <w:r w:rsidRPr="0001529A">
              <w:rPr>
                <w:sz w:val="22"/>
                <w:szCs w:val="22"/>
              </w:rPr>
              <w:t>7.8</w:t>
            </w:r>
          </w:p>
        </w:tc>
        <w:tc>
          <w:tcPr>
            <w:tcW w:w="1404" w:type="dxa"/>
          </w:tcPr>
          <w:p w:rsidR="006F6A01" w:rsidRPr="0001529A" w:rsidRDefault="006F6A01" w:rsidP="000C3C21">
            <w:pPr>
              <w:jc w:val="right"/>
              <w:rPr>
                <w:sz w:val="22"/>
                <w:szCs w:val="22"/>
              </w:rPr>
            </w:pPr>
            <w:r w:rsidRPr="0001529A">
              <w:rPr>
                <w:sz w:val="22"/>
                <w:szCs w:val="22"/>
              </w:rPr>
              <w:t>3.6</w:t>
            </w:r>
          </w:p>
        </w:tc>
        <w:tc>
          <w:tcPr>
            <w:tcW w:w="1070" w:type="dxa"/>
          </w:tcPr>
          <w:p w:rsidR="006F6A01" w:rsidRPr="0001529A" w:rsidRDefault="006F6A01" w:rsidP="000C3C21">
            <w:pPr>
              <w:jc w:val="right"/>
              <w:rPr>
                <w:sz w:val="22"/>
                <w:szCs w:val="22"/>
              </w:rPr>
            </w:pPr>
            <w:r w:rsidRPr="0001529A">
              <w:rPr>
                <w:sz w:val="22"/>
                <w:szCs w:val="22"/>
              </w:rPr>
              <w:t>10.4</w:t>
            </w:r>
          </w:p>
        </w:tc>
        <w:tc>
          <w:tcPr>
            <w:tcW w:w="1102" w:type="dxa"/>
          </w:tcPr>
          <w:p w:rsidR="006F6A01" w:rsidRPr="0001529A" w:rsidRDefault="00E417C0" w:rsidP="006F6A01">
            <w:pPr>
              <w:jc w:val="right"/>
            </w:pPr>
            <w:r w:rsidRPr="0001529A">
              <w:rPr>
                <w:sz w:val="22"/>
                <w:szCs w:val="22"/>
              </w:rPr>
              <w:t>10.4</w:t>
            </w:r>
          </w:p>
        </w:tc>
      </w:tr>
      <w:tr w:rsidR="006F6A01" w:rsidTr="000B45EB">
        <w:trPr>
          <w:trHeight w:val="241"/>
        </w:trPr>
        <w:tc>
          <w:tcPr>
            <w:tcW w:w="4635" w:type="dxa"/>
          </w:tcPr>
          <w:p w:rsidR="006F6A01" w:rsidRPr="0001529A" w:rsidRDefault="006F6A01" w:rsidP="00167917">
            <w:pPr>
              <w:jc w:val="both"/>
              <w:rPr>
                <w:sz w:val="22"/>
                <w:szCs w:val="22"/>
              </w:rPr>
            </w:pPr>
            <w:r w:rsidRPr="0001529A">
              <w:rPr>
                <w:sz w:val="22"/>
                <w:szCs w:val="22"/>
              </w:rPr>
              <w:t xml:space="preserve">EY </w:t>
            </w:r>
            <w:proofErr w:type="spellStart"/>
            <w:r w:rsidRPr="0001529A">
              <w:rPr>
                <w:sz w:val="22"/>
                <w:szCs w:val="22"/>
              </w:rPr>
              <w:t>Woodroyd</w:t>
            </w:r>
            <w:proofErr w:type="spellEnd"/>
            <w:r w:rsidRPr="0001529A">
              <w:rPr>
                <w:sz w:val="22"/>
                <w:szCs w:val="22"/>
              </w:rPr>
              <w:t xml:space="preserve"> Children’s Centre</w:t>
            </w:r>
          </w:p>
        </w:tc>
        <w:tc>
          <w:tcPr>
            <w:tcW w:w="1250" w:type="dxa"/>
          </w:tcPr>
          <w:p w:rsidR="006F6A01" w:rsidRPr="0001529A" w:rsidRDefault="006F6A01" w:rsidP="00EE248A">
            <w:pPr>
              <w:jc w:val="center"/>
              <w:rPr>
                <w:sz w:val="22"/>
                <w:szCs w:val="22"/>
              </w:rPr>
            </w:pPr>
            <w:r w:rsidRPr="0001529A">
              <w:rPr>
                <w:sz w:val="22"/>
                <w:szCs w:val="22"/>
              </w:rPr>
              <w:t>SEN</w:t>
            </w:r>
          </w:p>
        </w:tc>
        <w:tc>
          <w:tcPr>
            <w:tcW w:w="1404" w:type="dxa"/>
          </w:tcPr>
          <w:p w:rsidR="006F6A01" w:rsidRPr="0001529A" w:rsidRDefault="006F6A01" w:rsidP="008D7C10">
            <w:pPr>
              <w:jc w:val="right"/>
              <w:rPr>
                <w:sz w:val="22"/>
                <w:szCs w:val="22"/>
              </w:rPr>
            </w:pPr>
            <w:r w:rsidRPr="0001529A">
              <w:rPr>
                <w:sz w:val="22"/>
                <w:szCs w:val="22"/>
              </w:rPr>
              <w:t>4.8</w:t>
            </w:r>
          </w:p>
        </w:tc>
        <w:tc>
          <w:tcPr>
            <w:tcW w:w="1404" w:type="dxa"/>
          </w:tcPr>
          <w:p w:rsidR="006F6A01" w:rsidRPr="0001529A" w:rsidRDefault="006F6A01" w:rsidP="000C3C21">
            <w:pPr>
              <w:jc w:val="right"/>
              <w:rPr>
                <w:sz w:val="22"/>
                <w:szCs w:val="22"/>
              </w:rPr>
            </w:pPr>
            <w:r w:rsidRPr="0001529A">
              <w:rPr>
                <w:sz w:val="22"/>
                <w:szCs w:val="22"/>
              </w:rPr>
              <w:t>2.4</w:t>
            </w:r>
          </w:p>
        </w:tc>
        <w:tc>
          <w:tcPr>
            <w:tcW w:w="1070" w:type="dxa"/>
          </w:tcPr>
          <w:p w:rsidR="006F6A01" w:rsidRPr="0001529A" w:rsidRDefault="006F6A01" w:rsidP="000C3C21">
            <w:pPr>
              <w:jc w:val="right"/>
              <w:rPr>
                <w:sz w:val="22"/>
                <w:szCs w:val="22"/>
              </w:rPr>
            </w:pPr>
            <w:r w:rsidRPr="0001529A">
              <w:rPr>
                <w:sz w:val="22"/>
                <w:szCs w:val="22"/>
              </w:rPr>
              <w:t>10.4</w:t>
            </w:r>
          </w:p>
        </w:tc>
        <w:tc>
          <w:tcPr>
            <w:tcW w:w="1102" w:type="dxa"/>
          </w:tcPr>
          <w:p w:rsidR="006F6A01" w:rsidRPr="0001529A" w:rsidRDefault="00E417C0" w:rsidP="006F6A01">
            <w:pPr>
              <w:jc w:val="right"/>
            </w:pPr>
            <w:r w:rsidRPr="0001529A">
              <w:rPr>
                <w:sz w:val="22"/>
                <w:szCs w:val="22"/>
              </w:rPr>
              <w:t>10.4</w:t>
            </w:r>
          </w:p>
        </w:tc>
      </w:tr>
      <w:tr w:rsidR="006F6A01" w:rsidTr="000B45EB">
        <w:trPr>
          <w:trHeight w:val="256"/>
        </w:trPr>
        <w:tc>
          <w:tcPr>
            <w:tcW w:w="4635" w:type="dxa"/>
          </w:tcPr>
          <w:p w:rsidR="006F6A01" w:rsidRPr="00E439E1" w:rsidRDefault="006F6A01" w:rsidP="00167917">
            <w:pPr>
              <w:jc w:val="both"/>
              <w:rPr>
                <w:sz w:val="22"/>
                <w:szCs w:val="22"/>
              </w:rPr>
            </w:pPr>
            <w:r w:rsidRPr="00E439E1">
              <w:rPr>
                <w:sz w:val="22"/>
                <w:szCs w:val="22"/>
              </w:rPr>
              <w:t xml:space="preserve">ARC - </w:t>
            </w:r>
            <w:proofErr w:type="spellStart"/>
            <w:r w:rsidRPr="00E439E1">
              <w:rPr>
                <w:sz w:val="22"/>
                <w:szCs w:val="22"/>
              </w:rPr>
              <w:t>Girlington</w:t>
            </w:r>
            <w:proofErr w:type="spellEnd"/>
            <w:r w:rsidRPr="00E439E1">
              <w:rPr>
                <w:sz w:val="22"/>
                <w:szCs w:val="22"/>
              </w:rPr>
              <w:t xml:space="preserve"> Primary School</w:t>
            </w:r>
          </w:p>
        </w:tc>
        <w:tc>
          <w:tcPr>
            <w:tcW w:w="1250" w:type="dxa"/>
          </w:tcPr>
          <w:p w:rsidR="006F6A01" w:rsidRPr="00E439E1" w:rsidRDefault="006F6A01" w:rsidP="00EE248A">
            <w:pPr>
              <w:jc w:val="center"/>
              <w:rPr>
                <w:sz w:val="22"/>
                <w:szCs w:val="22"/>
              </w:rPr>
            </w:pPr>
            <w:r w:rsidRPr="00E439E1">
              <w:rPr>
                <w:sz w:val="22"/>
                <w:szCs w:val="22"/>
              </w:rPr>
              <w:t>SEN</w:t>
            </w:r>
          </w:p>
        </w:tc>
        <w:tc>
          <w:tcPr>
            <w:tcW w:w="1404" w:type="dxa"/>
          </w:tcPr>
          <w:p w:rsidR="006F6A01" w:rsidRPr="00E439E1" w:rsidRDefault="006F6A01" w:rsidP="000C3C21">
            <w:pPr>
              <w:jc w:val="right"/>
              <w:rPr>
                <w:sz w:val="22"/>
                <w:szCs w:val="22"/>
              </w:rPr>
            </w:pPr>
            <w:r w:rsidRPr="00E439E1">
              <w:rPr>
                <w:sz w:val="22"/>
                <w:szCs w:val="22"/>
              </w:rPr>
              <w:t>15</w:t>
            </w:r>
          </w:p>
        </w:tc>
        <w:tc>
          <w:tcPr>
            <w:tcW w:w="1404" w:type="dxa"/>
          </w:tcPr>
          <w:p w:rsidR="006F6A01" w:rsidRPr="00E439E1" w:rsidRDefault="006F6A01" w:rsidP="000C3C21">
            <w:pPr>
              <w:jc w:val="right"/>
              <w:rPr>
                <w:sz w:val="22"/>
                <w:szCs w:val="22"/>
              </w:rPr>
            </w:pPr>
            <w:r w:rsidRPr="00E439E1">
              <w:rPr>
                <w:sz w:val="22"/>
                <w:szCs w:val="22"/>
              </w:rPr>
              <w:t>17</w:t>
            </w:r>
          </w:p>
        </w:tc>
        <w:tc>
          <w:tcPr>
            <w:tcW w:w="1070" w:type="dxa"/>
          </w:tcPr>
          <w:p w:rsidR="006F6A01" w:rsidRPr="00E439E1" w:rsidRDefault="006F6A01" w:rsidP="000C3C21">
            <w:pPr>
              <w:jc w:val="right"/>
              <w:rPr>
                <w:sz w:val="22"/>
                <w:szCs w:val="22"/>
              </w:rPr>
            </w:pPr>
            <w:r w:rsidRPr="00E439E1">
              <w:rPr>
                <w:sz w:val="22"/>
                <w:szCs w:val="22"/>
              </w:rPr>
              <w:t>20</w:t>
            </w:r>
          </w:p>
        </w:tc>
        <w:tc>
          <w:tcPr>
            <w:tcW w:w="1102" w:type="dxa"/>
          </w:tcPr>
          <w:p w:rsidR="006F6A01" w:rsidRPr="00E439E1" w:rsidRDefault="00E439E1" w:rsidP="006F6A01">
            <w:pPr>
              <w:jc w:val="right"/>
            </w:pPr>
            <w:r w:rsidRPr="00E439E1">
              <w:rPr>
                <w:sz w:val="22"/>
                <w:szCs w:val="22"/>
              </w:rPr>
              <w:t>20</w:t>
            </w:r>
          </w:p>
        </w:tc>
      </w:tr>
      <w:tr w:rsidR="006F6A01" w:rsidTr="000B45EB">
        <w:trPr>
          <w:trHeight w:val="256"/>
        </w:trPr>
        <w:tc>
          <w:tcPr>
            <w:tcW w:w="4635" w:type="dxa"/>
          </w:tcPr>
          <w:p w:rsidR="006F6A01" w:rsidRPr="00E439E1" w:rsidRDefault="006F6A01" w:rsidP="00167917">
            <w:pPr>
              <w:jc w:val="both"/>
              <w:rPr>
                <w:sz w:val="22"/>
                <w:szCs w:val="22"/>
              </w:rPr>
            </w:pPr>
            <w:r w:rsidRPr="00E439E1">
              <w:rPr>
                <w:sz w:val="22"/>
                <w:szCs w:val="22"/>
              </w:rPr>
              <w:t>ARC - Swain House Primary School</w:t>
            </w:r>
          </w:p>
        </w:tc>
        <w:tc>
          <w:tcPr>
            <w:tcW w:w="1250" w:type="dxa"/>
          </w:tcPr>
          <w:p w:rsidR="006F6A01" w:rsidRPr="00E439E1" w:rsidRDefault="006F6A01" w:rsidP="00EE248A">
            <w:pPr>
              <w:jc w:val="center"/>
              <w:rPr>
                <w:sz w:val="22"/>
                <w:szCs w:val="22"/>
              </w:rPr>
            </w:pPr>
            <w:r w:rsidRPr="00E439E1">
              <w:rPr>
                <w:sz w:val="22"/>
                <w:szCs w:val="22"/>
              </w:rPr>
              <w:t>SEN</w:t>
            </w:r>
          </w:p>
        </w:tc>
        <w:tc>
          <w:tcPr>
            <w:tcW w:w="1404" w:type="dxa"/>
          </w:tcPr>
          <w:p w:rsidR="006F6A01" w:rsidRPr="00E439E1" w:rsidRDefault="006F6A01" w:rsidP="000C3C21">
            <w:pPr>
              <w:jc w:val="right"/>
              <w:rPr>
                <w:sz w:val="22"/>
                <w:szCs w:val="22"/>
              </w:rPr>
            </w:pPr>
            <w:r w:rsidRPr="00E439E1">
              <w:rPr>
                <w:sz w:val="22"/>
                <w:szCs w:val="22"/>
              </w:rPr>
              <w:t>22</w:t>
            </w:r>
          </w:p>
        </w:tc>
        <w:tc>
          <w:tcPr>
            <w:tcW w:w="1404" w:type="dxa"/>
          </w:tcPr>
          <w:p w:rsidR="006F6A01" w:rsidRPr="00E439E1" w:rsidRDefault="006F6A01" w:rsidP="000C3C21">
            <w:pPr>
              <w:jc w:val="right"/>
              <w:rPr>
                <w:sz w:val="22"/>
                <w:szCs w:val="22"/>
              </w:rPr>
            </w:pPr>
            <w:r w:rsidRPr="00E439E1">
              <w:rPr>
                <w:sz w:val="22"/>
                <w:szCs w:val="22"/>
              </w:rPr>
              <w:t>20</w:t>
            </w:r>
          </w:p>
        </w:tc>
        <w:tc>
          <w:tcPr>
            <w:tcW w:w="1070" w:type="dxa"/>
          </w:tcPr>
          <w:p w:rsidR="006F6A01" w:rsidRPr="00E439E1" w:rsidRDefault="006F6A01" w:rsidP="000C3C21">
            <w:pPr>
              <w:jc w:val="right"/>
              <w:rPr>
                <w:sz w:val="22"/>
                <w:szCs w:val="22"/>
              </w:rPr>
            </w:pPr>
            <w:r w:rsidRPr="00E439E1">
              <w:rPr>
                <w:sz w:val="22"/>
                <w:szCs w:val="22"/>
              </w:rPr>
              <w:t>25</w:t>
            </w:r>
          </w:p>
        </w:tc>
        <w:tc>
          <w:tcPr>
            <w:tcW w:w="1102" w:type="dxa"/>
          </w:tcPr>
          <w:p w:rsidR="006F6A01" w:rsidRPr="00E439E1" w:rsidRDefault="00E439E1" w:rsidP="006F6A01">
            <w:pPr>
              <w:jc w:val="right"/>
            </w:pPr>
            <w:r w:rsidRPr="00E439E1">
              <w:rPr>
                <w:sz w:val="22"/>
                <w:szCs w:val="22"/>
              </w:rPr>
              <w:t>25</w:t>
            </w:r>
          </w:p>
        </w:tc>
      </w:tr>
      <w:tr w:rsidR="006F6A01" w:rsidTr="000B45EB">
        <w:trPr>
          <w:trHeight w:val="241"/>
        </w:trPr>
        <w:tc>
          <w:tcPr>
            <w:tcW w:w="4635" w:type="dxa"/>
          </w:tcPr>
          <w:p w:rsidR="006F6A01" w:rsidRPr="00E439E1" w:rsidRDefault="006F6A01" w:rsidP="00167917">
            <w:pPr>
              <w:jc w:val="both"/>
              <w:rPr>
                <w:sz w:val="22"/>
                <w:szCs w:val="22"/>
              </w:rPr>
            </w:pPr>
            <w:r w:rsidRPr="00E439E1">
              <w:rPr>
                <w:sz w:val="22"/>
                <w:szCs w:val="22"/>
              </w:rPr>
              <w:t>ARC - Grove House Primary School</w:t>
            </w:r>
          </w:p>
        </w:tc>
        <w:tc>
          <w:tcPr>
            <w:tcW w:w="1250" w:type="dxa"/>
          </w:tcPr>
          <w:p w:rsidR="006F6A01" w:rsidRPr="00E439E1" w:rsidRDefault="006F6A01" w:rsidP="00EE248A">
            <w:pPr>
              <w:jc w:val="center"/>
              <w:rPr>
                <w:sz w:val="22"/>
                <w:szCs w:val="22"/>
              </w:rPr>
            </w:pPr>
            <w:r w:rsidRPr="00E439E1">
              <w:rPr>
                <w:sz w:val="22"/>
                <w:szCs w:val="22"/>
              </w:rPr>
              <w:t>SEN</w:t>
            </w:r>
          </w:p>
        </w:tc>
        <w:tc>
          <w:tcPr>
            <w:tcW w:w="1404" w:type="dxa"/>
          </w:tcPr>
          <w:p w:rsidR="006F6A01" w:rsidRPr="00E439E1" w:rsidRDefault="006F6A01" w:rsidP="000C3C21">
            <w:pPr>
              <w:jc w:val="right"/>
              <w:rPr>
                <w:sz w:val="22"/>
                <w:szCs w:val="22"/>
              </w:rPr>
            </w:pPr>
            <w:r w:rsidRPr="00E439E1">
              <w:rPr>
                <w:sz w:val="22"/>
                <w:szCs w:val="22"/>
              </w:rPr>
              <w:t>11</w:t>
            </w:r>
          </w:p>
        </w:tc>
        <w:tc>
          <w:tcPr>
            <w:tcW w:w="1404" w:type="dxa"/>
          </w:tcPr>
          <w:p w:rsidR="006F6A01" w:rsidRPr="00E439E1" w:rsidRDefault="006F6A01" w:rsidP="000C3C21">
            <w:pPr>
              <w:jc w:val="right"/>
              <w:rPr>
                <w:sz w:val="22"/>
                <w:szCs w:val="22"/>
              </w:rPr>
            </w:pPr>
            <w:r w:rsidRPr="00E439E1">
              <w:rPr>
                <w:sz w:val="22"/>
                <w:szCs w:val="22"/>
              </w:rPr>
              <w:t>11</w:t>
            </w:r>
          </w:p>
        </w:tc>
        <w:tc>
          <w:tcPr>
            <w:tcW w:w="1070" w:type="dxa"/>
          </w:tcPr>
          <w:p w:rsidR="006F6A01" w:rsidRPr="00E439E1" w:rsidRDefault="006F6A01" w:rsidP="000C3C21">
            <w:pPr>
              <w:jc w:val="right"/>
              <w:rPr>
                <w:sz w:val="22"/>
                <w:szCs w:val="22"/>
              </w:rPr>
            </w:pPr>
            <w:r w:rsidRPr="00E439E1">
              <w:rPr>
                <w:sz w:val="22"/>
                <w:szCs w:val="22"/>
              </w:rPr>
              <w:t>12</w:t>
            </w:r>
          </w:p>
        </w:tc>
        <w:tc>
          <w:tcPr>
            <w:tcW w:w="1102" w:type="dxa"/>
          </w:tcPr>
          <w:p w:rsidR="006F6A01" w:rsidRPr="00E439E1" w:rsidRDefault="00E439E1" w:rsidP="006F6A01">
            <w:pPr>
              <w:jc w:val="right"/>
            </w:pPr>
            <w:r w:rsidRPr="00E439E1">
              <w:rPr>
                <w:sz w:val="22"/>
                <w:szCs w:val="22"/>
              </w:rPr>
              <w:t>12</w:t>
            </w:r>
          </w:p>
        </w:tc>
      </w:tr>
      <w:tr w:rsidR="006F6A01" w:rsidTr="000B45EB">
        <w:trPr>
          <w:trHeight w:val="256"/>
        </w:trPr>
        <w:tc>
          <w:tcPr>
            <w:tcW w:w="4635" w:type="dxa"/>
          </w:tcPr>
          <w:p w:rsidR="006F6A01" w:rsidRPr="00E439E1" w:rsidRDefault="006F6A01" w:rsidP="00167917">
            <w:pPr>
              <w:jc w:val="both"/>
              <w:rPr>
                <w:sz w:val="22"/>
                <w:szCs w:val="22"/>
              </w:rPr>
            </w:pPr>
            <w:r w:rsidRPr="00E439E1">
              <w:rPr>
                <w:sz w:val="22"/>
                <w:szCs w:val="22"/>
              </w:rPr>
              <w:t xml:space="preserve">ARC – </w:t>
            </w:r>
            <w:proofErr w:type="spellStart"/>
            <w:r w:rsidRPr="00E439E1">
              <w:rPr>
                <w:sz w:val="22"/>
                <w:szCs w:val="22"/>
              </w:rPr>
              <w:t>Killinghall</w:t>
            </w:r>
            <w:proofErr w:type="spellEnd"/>
            <w:r w:rsidRPr="00E439E1">
              <w:rPr>
                <w:sz w:val="22"/>
                <w:szCs w:val="22"/>
              </w:rPr>
              <w:t xml:space="preserve"> Primary School</w:t>
            </w:r>
          </w:p>
        </w:tc>
        <w:tc>
          <w:tcPr>
            <w:tcW w:w="1250" w:type="dxa"/>
          </w:tcPr>
          <w:p w:rsidR="006F6A01" w:rsidRPr="00E439E1" w:rsidRDefault="006F6A01" w:rsidP="00EE248A">
            <w:pPr>
              <w:jc w:val="center"/>
              <w:rPr>
                <w:sz w:val="22"/>
                <w:szCs w:val="22"/>
              </w:rPr>
            </w:pPr>
            <w:r w:rsidRPr="00E439E1">
              <w:rPr>
                <w:sz w:val="22"/>
                <w:szCs w:val="22"/>
              </w:rPr>
              <w:t>SEN</w:t>
            </w:r>
          </w:p>
        </w:tc>
        <w:tc>
          <w:tcPr>
            <w:tcW w:w="1404" w:type="dxa"/>
          </w:tcPr>
          <w:p w:rsidR="006F6A01" w:rsidRPr="00E439E1" w:rsidRDefault="006F6A01" w:rsidP="000C3C21">
            <w:pPr>
              <w:jc w:val="right"/>
              <w:rPr>
                <w:sz w:val="22"/>
                <w:szCs w:val="22"/>
              </w:rPr>
            </w:pPr>
            <w:r w:rsidRPr="00E439E1">
              <w:rPr>
                <w:sz w:val="22"/>
                <w:szCs w:val="22"/>
              </w:rPr>
              <w:t>0</w:t>
            </w:r>
          </w:p>
        </w:tc>
        <w:tc>
          <w:tcPr>
            <w:tcW w:w="1404" w:type="dxa"/>
          </w:tcPr>
          <w:p w:rsidR="006F6A01" w:rsidRPr="00E439E1" w:rsidRDefault="006F6A01" w:rsidP="000C3C21">
            <w:pPr>
              <w:jc w:val="right"/>
              <w:rPr>
                <w:sz w:val="22"/>
                <w:szCs w:val="22"/>
              </w:rPr>
            </w:pPr>
            <w:r w:rsidRPr="00E439E1">
              <w:rPr>
                <w:sz w:val="22"/>
                <w:szCs w:val="22"/>
              </w:rPr>
              <w:t>0</w:t>
            </w:r>
          </w:p>
        </w:tc>
        <w:tc>
          <w:tcPr>
            <w:tcW w:w="1070" w:type="dxa"/>
          </w:tcPr>
          <w:p w:rsidR="006F6A01" w:rsidRPr="00E439E1" w:rsidRDefault="006F6A01" w:rsidP="000C3C21">
            <w:pPr>
              <w:jc w:val="right"/>
              <w:rPr>
                <w:sz w:val="22"/>
                <w:szCs w:val="22"/>
              </w:rPr>
            </w:pPr>
            <w:r w:rsidRPr="00E439E1">
              <w:rPr>
                <w:sz w:val="22"/>
                <w:szCs w:val="22"/>
              </w:rPr>
              <w:t>1</w:t>
            </w:r>
          </w:p>
        </w:tc>
        <w:tc>
          <w:tcPr>
            <w:tcW w:w="1102" w:type="dxa"/>
          </w:tcPr>
          <w:p w:rsidR="006F6A01" w:rsidRPr="00E439E1" w:rsidRDefault="00D95392" w:rsidP="006F6A01">
            <w:pPr>
              <w:jc w:val="right"/>
            </w:pPr>
            <w:r w:rsidRPr="00E439E1">
              <w:rPr>
                <w:sz w:val="22"/>
                <w:szCs w:val="22"/>
              </w:rPr>
              <w:t>0</w:t>
            </w:r>
          </w:p>
        </w:tc>
      </w:tr>
      <w:tr w:rsidR="006F6A01" w:rsidTr="000B45EB">
        <w:trPr>
          <w:trHeight w:val="241"/>
        </w:trPr>
        <w:tc>
          <w:tcPr>
            <w:tcW w:w="4635" w:type="dxa"/>
          </w:tcPr>
          <w:p w:rsidR="006F6A01" w:rsidRPr="00E439E1" w:rsidRDefault="006F6A01" w:rsidP="00167917">
            <w:pPr>
              <w:jc w:val="both"/>
              <w:rPr>
                <w:sz w:val="22"/>
                <w:szCs w:val="22"/>
              </w:rPr>
            </w:pPr>
            <w:r w:rsidRPr="00E439E1">
              <w:rPr>
                <w:sz w:val="22"/>
                <w:szCs w:val="22"/>
              </w:rPr>
              <w:t>ARC – Hanson School</w:t>
            </w:r>
          </w:p>
        </w:tc>
        <w:tc>
          <w:tcPr>
            <w:tcW w:w="1250" w:type="dxa"/>
          </w:tcPr>
          <w:p w:rsidR="006F6A01" w:rsidRPr="00E439E1" w:rsidRDefault="006F6A01" w:rsidP="00EE248A">
            <w:pPr>
              <w:jc w:val="center"/>
              <w:rPr>
                <w:sz w:val="22"/>
                <w:szCs w:val="22"/>
              </w:rPr>
            </w:pPr>
            <w:r w:rsidRPr="00E439E1">
              <w:rPr>
                <w:sz w:val="22"/>
                <w:szCs w:val="22"/>
              </w:rPr>
              <w:t>SEN</w:t>
            </w:r>
          </w:p>
        </w:tc>
        <w:tc>
          <w:tcPr>
            <w:tcW w:w="1404" w:type="dxa"/>
          </w:tcPr>
          <w:p w:rsidR="006F6A01" w:rsidRPr="00E439E1" w:rsidRDefault="006F6A01" w:rsidP="000C3C21">
            <w:pPr>
              <w:jc w:val="right"/>
              <w:rPr>
                <w:sz w:val="22"/>
                <w:szCs w:val="22"/>
              </w:rPr>
            </w:pPr>
            <w:r w:rsidRPr="00E439E1">
              <w:rPr>
                <w:sz w:val="22"/>
                <w:szCs w:val="22"/>
              </w:rPr>
              <w:t>62</w:t>
            </w:r>
          </w:p>
        </w:tc>
        <w:tc>
          <w:tcPr>
            <w:tcW w:w="1404" w:type="dxa"/>
          </w:tcPr>
          <w:p w:rsidR="006F6A01" w:rsidRPr="00E439E1" w:rsidRDefault="006F6A01" w:rsidP="000C3C21">
            <w:pPr>
              <w:jc w:val="right"/>
              <w:rPr>
                <w:sz w:val="22"/>
                <w:szCs w:val="22"/>
              </w:rPr>
            </w:pPr>
            <w:r w:rsidRPr="00E439E1">
              <w:rPr>
                <w:sz w:val="22"/>
                <w:szCs w:val="22"/>
              </w:rPr>
              <w:t>61</w:t>
            </w:r>
          </w:p>
        </w:tc>
        <w:tc>
          <w:tcPr>
            <w:tcW w:w="1070" w:type="dxa"/>
          </w:tcPr>
          <w:p w:rsidR="006F6A01" w:rsidRPr="00E439E1" w:rsidRDefault="006F6A01" w:rsidP="000C3C21">
            <w:pPr>
              <w:jc w:val="right"/>
              <w:rPr>
                <w:sz w:val="22"/>
                <w:szCs w:val="22"/>
              </w:rPr>
            </w:pPr>
            <w:r w:rsidRPr="00E439E1">
              <w:rPr>
                <w:sz w:val="22"/>
                <w:szCs w:val="22"/>
              </w:rPr>
              <w:t>65</w:t>
            </w:r>
          </w:p>
        </w:tc>
        <w:tc>
          <w:tcPr>
            <w:tcW w:w="1102" w:type="dxa"/>
          </w:tcPr>
          <w:p w:rsidR="006F6A01" w:rsidRPr="00E439E1" w:rsidRDefault="00E439E1" w:rsidP="00E439E1">
            <w:pPr>
              <w:jc w:val="right"/>
            </w:pPr>
            <w:r w:rsidRPr="00E439E1">
              <w:rPr>
                <w:sz w:val="22"/>
                <w:szCs w:val="22"/>
              </w:rPr>
              <w:t>65</w:t>
            </w:r>
          </w:p>
        </w:tc>
      </w:tr>
      <w:tr w:rsidR="006F6A01" w:rsidTr="000B45EB">
        <w:trPr>
          <w:trHeight w:val="256"/>
        </w:trPr>
        <w:tc>
          <w:tcPr>
            <w:tcW w:w="4635" w:type="dxa"/>
          </w:tcPr>
          <w:p w:rsidR="006F6A01" w:rsidRPr="00E439E1" w:rsidRDefault="006F6A01" w:rsidP="00167917">
            <w:pPr>
              <w:jc w:val="both"/>
              <w:rPr>
                <w:sz w:val="22"/>
                <w:szCs w:val="22"/>
              </w:rPr>
            </w:pPr>
            <w:r w:rsidRPr="00E439E1">
              <w:rPr>
                <w:sz w:val="22"/>
                <w:szCs w:val="22"/>
              </w:rPr>
              <w:t xml:space="preserve">Special – </w:t>
            </w:r>
            <w:proofErr w:type="spellStart"/>
            <w:r w:rsidRPr="00E439E1">
              <w:rPr>
                <w:sz w:val="22"/>
                <w:szCs w:val="22"/>
              </w:rPr>
              <w:t>Beechcliffe</w:t>
            </w:r>
            <w:proofErr w:type="spellEnd"/>
            <w:r w:rsidRPr="00E439E1">
              <w:rPr>
                <w:sz w:val="22"/>
                <w:szCs w:val="22"/>
              </w:rPr>
              <w:t xml:space="preserve"> School</w:t>
            </w:r>
          </w:p>
        </w:tc>
        <w:tc>
          <w:tcPr>
            <w:tcW w:w="1250" w:type="dxa"/>
          </w:tcPr>
          <w:p w:rsidR="006F6A01" w:rsidRPr="00E439E1" w:rsidRDefault="006F6A01" w:rsidP="001B539D">
            <w:pPr>
              <w:jc w:val="center"/>
            </w:pPr>
            <w:r w:rsidRPr="00E439E1">
              <w:rPr>
                <w:sz w:val="22"/>
                <w:szCs w:val="22"/>
              </w:rPr>
              <w:t>SEN</w:t>
            </w:r>
          </w:p>
        </w:tc>
        <w:tc>
          <w:tcPr>
            <w:tcW w:w="1404" w:type="dxa"/>
          </w:tcPr>
          <w:p w:rsidR="006F6A01" w:rsidRPr="00E439E1" w:rsidRDefault="006F6A01" w:rsidP="000C3C21">
            <w:pPr>
              <w:jc w:val="right"/>
              <w:rPr>
                <w:sz w:val="22"/>
                <w:szCs w:val="22"/>
              </w:rPr>
            </w:pPr>
            <w:r w:rsidRPr="00E439E1">
              <w:rPr>
                <w:sz w:val="22"/>
                <w:szCs w:val="22"/>
              </w:rPr>
              <w:t>91</w:t>
            </w:r>
          </w:p>
        </w:tc>
        <w:tc>
          <w:tcPr>
            <w:tcW w:w="1404" w:type="dxa"/>
          </w:tcPr>
          <w:p w:rsidR="006F6A01" w:rsidRPr="00E439E1" w:rsidRDefault="006F6A01" w:rsidP="000C3C21">
            <w:pPr>
              <w:jc w:val="right"/>
              <w:rPr>
                <w:sz w:val="22"/>
                <w:szCs w:val="22"/>
              </w:rPr>
            </w:pPr>
            <w:r w:rsidRPr="00E439E1">
              <w:rPr>
                <w:sz w:val="22"/>
                <w:szCs w:val="22"/>
              </w:rPr>
              <w:t>91</w:t>
            </w:r>
          </w:p>
        </w:tc>
        <w:tc>
          <w:tcPr>
            <w:tcW w:w="1070" w:type="dxa"/>
          </w:tcPr>
          <w:p w:rsidR="006F6A01" w:rsidRPr="00E439E1" w:rsidRDefault="006F6A01" w:rsidP="000C3C21">
            <w:pPr>
              <w:jc w:val="right"/>
              <w:rPr>
                <w:sz w:val="22"/>
                <w:szCs w:val="22"/>
              </w:rPr>
            </w:pPr>
            <w:r w:rsidRPr="00E439E1">
              <w:rPr>
                <w:sz w:val="22"/>
                <w:szCs w:val="22"/>
              </w:rPr>
              <w:t>99</w:t>
            </w:r>
          </w:p>
        </w:tc>
        <w:tc>
          <w:tcPr>
            <w:tcW w:w="1102" w:type="dxa"/>
          </w:tcPr>
          <w:p w:rsidR="006F6A01" w:rsidRPr="00E439E1" w:rsidRDefault="00E439E1" w:rsidP="006F6A01">
            <w:pPr>
              <w:jc w:val="right"/>
            </w:pPr>
            <w:r w:rsidRPr="00E439E1">
              <w:rPr>
                <w:sz w:val="22"/>
                <w:szCs w:val="22"/>
              </w:rPr>
              <w:t>9</w:t>
            </w:r>
            <w:r w:rsidR="00FD3E35">
              <w:rPr>
                <w:sz w:val="22"/>
                <w:szCs w:val="22"/>
              </w:rPr>
              <w:t>9</w:t>
            </w:r>
          </w:p>
        </w:tc>
      </w:tr>
      <w:tr w:rsidR="006F6A01" w:rsidTr="000B45EB">
        <w:trPr>
          <w:trHeight w:val="241"/>
        </w:trPr>
        <w:tc>
          <w:tcPr>
            <w:tcW w:w="4635" w:type="dxa"/>
          </w:tcPr>
          <w:p w:rsidR="006F6A01" w:rsidRPr="00E439E1" w:rsidRDefault="006F6A01" w:rsidP="00167917">
            <w:pPr>
              <w:jc w:val="both"/>
              <w:rPr>
                <w:sz w:val="22"/>
                <w:szCs w:val="22"/>
              </w:rPr>
            </w:pPr>
            <w:r w:rsidRPr="00E439E1">
              <w:rPr>
                <w:sz w:val="22"/>
                <w:szCs w:val="22"/>
              </w:rPr>
              <w:t xml:space="preserve">Special – </w:t>
            </w:r>
            <w:proofErr w:type="spellStart"/>
            <w:r w:rsidRPr="00E439E1">
              <w:rPr>
                <w:sz w:val="22"/>
                <w:szCs w:val="22"/>
              </w:rPr>
              <w:t>Chellow</w:t>
            </w:r>
            <w:proofErr w:type="spellEnd"/>
            <w:r w:rsidRPr="00E439E1">
              <w:rPr>
                <w:sz w:val="22"/>
                <w:szCs w:val="22"/>
              </w:rPr>
              <w:t xml:space="preserve"> Heights School</w:t>
            </w:r>
          </w:p>
        </w:tc>
        <w:tc>
          <w:tcPr>
            <w:tcW w:w="1250" w:type="dxa"/>
          </w:tcPr>
          <w:p w:rsidR="006F6A01" w:rsidRPr="00E439E1" w:rsidRDefault="006F6A01" w:rsidP="001B539D">
            <w:pPr>
              <w:jc w:val="center"/>
            </w:pPr>
            <w:r w:rsidRPr="00E439E1">
              <w:rPr>
                <w:sz w:val="22"/>
                <w:szCs w:val="22"/>
              </w:rPr>
              <w:t>SEN</w:t>
            </w:r>
          </w:p>
        </w:tc>
        <w:tc>
          <w:tcPr>
            <w:tcW w:w="1404" w:type="dxa"/>
          </w:tcPr>
          <w:p w:rsidR="006F6A01" w:rsidRPr="00E439E1" w:rsidRDefault="006F6A01" w:rsidP="000C3C21">
            <w:pPr>
              <w:jc w:val="right"/>
              <w:rPr>
                <w:sz w:val="22"/>
                <w:szCs w:val="22"/>
              </w:rPr>
            </w:pPr>
            <w:r w:rsidRPr="00E439E1">
              <w:rPr>
                <w:sz w:val="22"/>
                <w:szCs w:val="22"/>
              </w:rPr>
              <w:t>127</w:t>
            </w:r>
          </w:p>
        </w:tc>
        <w:tc>
          <w:tcPr>
            <w:tcW w:w="1404" w:type="dxa"/>
          </w:tcPr>
          <w:p w:rsidR="006F6A01" w:rsidRPr="00E439E1" w:rsidRDefault="006F6A01" w:rsidP="000C3C21">
            <w:pPr>
              <w:jc w:val="right"/>
              <w:rPr>
                <w:sz w:val="22"/>
                <w:szCs w:val="22"/>
              </w:rPr>
            </w:pPr>
            <w:r w:rsidRPr="00E439E1">
              <w:rPr>
                <w:sz w:val="22"/>
                <w:szCs w:val="22"/>
              </w:rPr>
              <w:t>149.8</w:t>
            </w:r>
          </w:p>
        </w:tc>
        <w:tc>
          <w:tcPr>
            <w:tcW w:w="1070" w:type="dxa"/>
          </w:tcPr>
          <w:p w:rsidR="006F6A01" w:rsidRPr="00E439E1" w:rsidRDefault="006F6A01" w:rsidP="000C3C21">
            <w:pPr>
              <w:jc w:val="right"/>
              <w:rPr>
                <w:sz w:val="22"/>
                <w:szCs w:val="22"/>
              </w:rPr>
            </w:pPr>
            <w:r w:rsidRPr="00E439E1">
              <w:rPr>
                <w:sz w:val="22"/>
                <w:szCs w:val="22"/>
              </w:rPr>
              <w:t>150</w:t>
            </w:r>
          </w:p>
        </w:tc>
        <w:tc>
          <w:tcPr>
            <w:tcW w:w="1102" w:type="dxa"/>
          </w:tcPr>
          <w:p w:rsidR="006F6A01" w:rsidRPr="00E439E1" w:rsidRDefault="00E439E1" w:rsidP="006F6A01">
            <w:pPr>
              <w:jc w:val="right"/>
            </w:pPr>
            <w:r w:rsidRPr="00E439E1">
              <w:rPr>
                <w:sz w:val="22"/>
                <w:szCs w:val="22"/>
              </w:rPr>
              <w:t>150</w:t>
            </w:r>
          </w:p>
        </w:tc>
      </w:tr>
      <w:tr w:rsidR="006F6A01" w:rsidTr="000B45EB">
        <w:trPr>
          <w:trHeight w:val="256"/>
        </w:trPr>
        <w:tc>
          <w:tcPr>
            <w:tcW w:w="4635" w:type="dxa"/>
          </w:tcPr>
          <w:p w:rsidR="006F6A01" w:rsidRPr="00E439E1" w:rsidRDefault="006F6A01" w:rsidP="00167917">
            <w:pPr>
              <w:jc w:val="both"/>
              <w:rPr>
                <w:sz w:val="22"/>
                <w:szCs w:val="22"/>
              </w:rPr>
            </w:pPr>
            <w:r w:rsidRPr="00E439E1">
              <w:rPr>
                <w:sz w:val="22"/>
                <w:szCs w:val="22"/>
              </w:rPr>
              <w:t>Special – Delius School</w:t>
            </w:r>
          </w:p>
        </w:tc>
        <w:tc>
          <w:tcPr>
            <w:tcW w:w="1250" w:type="dxa"/>
          </w:tcPr>
          <w:p w:rsidR="006F6A01" w:rsidRPr="00E439E1" w:rsidRDefault="006F6A01" w:rsidP="001B539D">
            <w:pPr>
              <w:jc w:val="center"/>
            </w:pPr>
            <w:r w:rsidRPr="00E439E1">
              <w:rPr>
                <w:sz w:val="22"/>
                <w:szCs w:val="22"/>
              </w:rPr>
              <w:t>SEN</w:t>
            </w:r>
          </w:p>
        </w:tc>
        <w:tc>
          <w:tcPr>
            <w:tcW w:w="1404" w:type="dxa"/>
          </w:tcPr>
          <w:p w:rsidR="006F6A01" w:rsidRPr="00E439E1" w:rsidRDefault="006F6A01" w:rsidP="000C3C21">
            <w:pPr>
              <w:jc w:val="right"/>
              <w:rPr>
                <w:sz w:val="22"/>
                <w:szCs w:val="22"/>
              </w:rPr>
            </w:pPr>
            <w:r w:rsidRPr="00E439E1">
              <w:rPr>
                <w:sz w:val="22"/>
                <w:szCs w:val="22"/>
              </w:rPr>
              <w:t>102</w:t>
            </w:r>
          </w:p>
        </w:tc>
        <w:tc>
          <w:tcPr>
            <w:tcW w:w="1404" w:type="dxa"/>
          </w:tcPr>
          <w:p w:rsidR="006F6A01" w:rsidRPr="00E439E1" w:rsidRDefault="006F6A01" w:rsidP="000C3C21">
            <w:pPr>
              <w:jc w:val="right"/>
              <w:rPr>
                <w:sz w:val="22"/>
                <w:szCs w:val="22"/>
              </w:rPr>
            </w:pPr>
            <w:r w:rsidRPr="00E439E1">
              <w:rPr>
                <w:sz w:val="22"/>
                <w:szCs w:val="22"/>
              </w:rPr>
              <w:t>106</w:t>
            </w:r>
          </w:p>
        </w:tc>
        <w:tc>
          <w:tcPr>
            <w:tcW w:w="1070" w:type="dxa"/>
          </w:tcPr>
          <w:p w:rsidR="006F6A01" w:rsidRPr="00E439E1" w:rsidRDefault="006F6A01" w:rsidP="000C3C21">
            <w:pPr>
              <w:jc w:val="right"/>
              <w:rPr>
                <w:sz w:val="22"/>
                <w:szCs w:val="22"/>
              </w:rPr>
            </w:pPr>
            <w:r w:rsidRPr="00E439E1">
              <w:rPr>
                <w:sz w:val="22"/>
                <w:szCs w:val="22"/>
              </w:rPr>
              <w:t>110</w:t>
            </w:r>
          </w:p>
        </w:tc>
        <w:tc>
          <w:tcPr>
            <w:tcW w:w="1102" w:type="dxa"/>
          </w:tcPr>
          <w:p w:rsidR="006F6A01" w:rsidRPr="00E439E1" w:rsidRDefault="00E439E1" w:rsidP="006F6A01">
            <w:pPr>
              <w:jc w:val="right"/>
            </w:pPr>
            <w:r w:rsidRPr="00E439E1">
              <w:rPr>
                <w:sz w:val="22"/>
                <w:szCs w:val="22"/>
              </w:rPr>
              <w:t>110</w:t>
            </w:r>
          </w:p>
        </w:tc>
      </w:tr>
      <w:tr w:rsidR="006F6A01" w:rsidTr="000B45EB">
        <w:trPr>
          <w:trHeight w:val="241"/>
        </w:trPr>
        <w:tc>
          <w:tcPr>
            <w:tcW w:w="4635" w:type="dxa"/>
          </w:tcPr>
          <w:p w:rsidR="006F6A01" w:rsidRPr="00E439E1" w:rsidRDefault="006F6A01" w:rsidP="001B539D">
            <w:pPr>
              <w:jc w:val="both"/>
              <w:rPr>
                <w:sz w:val="22"/>
                <w:szCs w:val="22"/>
              </w:rPr>
            </w:pPr>
            <w:r w:rsidRPr="00E439E1">
              <w:rPr>
                <w:sz w:val="22"/>
                <w:szCs w:val="22"/>
              </w:rPr>
              <w:t xml:space="preserve">Special – </w:t>
            </w:r>
            <w:proofErr w:type="spellStart"/>
            <w:r w:rsidRPr="00E439E1">
              <w:rPr>
                <w:sz w:val="22"/>
                <w:szCs w:val="22"/>
              </w:rPr>
              <w:t>Hazelbeck</w:t>
            </w:r>
            <w:proofErr w:type="spellEnd"/>
            <w:r w:rsidRPr="00E439E1">
              <w:rPr>
                <w:sz w:val="22"/>
                <w:szCs w:val="22"/>
              </w:rPr>
              <w:t xml:space="preserve"> Academy</w:t>
            </w:r>
          </w:p>
        </w:tc>
        <w:tc>
          <w:tcPr>
            <w:tcW w:w="1250" w:type="dxa"/>
          </w:tcPr>
          <w:p w:rsidR="006F6A01" w:rsidRPr="00E439E1" w:rsidRDefault="006F6A01" w:rsidP="001B539D">
            <w:pPr>
              <w:jc w:val="center"/>
            </w:pPr>
            <w:r w:rsidRPr="00E439E1">
              <w:rPr>
                <w:sz w:val="22"/>
                <w:szCs w:val="22"/>
              </w:rPr>
              <w:t>SEN</w:t>
            </w:r>
          </w:p>
        </w:tc>
        <w:tc>
          <w:tcPr>
            <w:tcW w:w="1404" w:type="dxa"/>
          </w:tcPr>
          <w:p w:rsidR="006F6A01" w:rsidRPr="00E439E1" w:rsidRDefault="006F6A01" w:rsidP="000C3C21">
            <w:pPr>
              <w:jc w:val="right"/>
              <w:rPr>
                <w:sz w:val="22"/>
                <w:szCs w:val="22"/>
              </w:rPr>
            </w:pPr>
            <w:r w:rsidRPr="00E439E1">
              <w:rPr>
                <w:sz w:val="22"/>
                <w:szCs w:val="22"/>
              </w:rPr>
              <w:t>103</w:t>
            </w:r>
          </w:p>
        </w:tc>
        <w:tc>
          <w:tcPr>
            <w:tcW w:w="1404" w:type="dxa"/>
          </w:tcPr>
          <w:p w:rsidR="006F6A01" w:rsidRPr="00E439E1" w:rsidRDefault="006F6A01" w:rsidP="000C3C21">
            <w:pPr>
              <w:jc w:val="right"/>
              <w:rPr>
                <w:sz w:val="22"/>
                <w:szCs w:val="22"/>
              </w:rPr>
            </w:pPr>
            <w:r w:rsidRPr="00E439E1">
              <w:rPr>
                <w:sz w:val="22"/>
                <w:szCs w:val="22"/>
              </w:rPr>
              <w:t>116</w:t>
            </w:r>
          </w:p>
        </w:tc>
        <w:tc>
          <w:tcPr>
            <w:tcW w:w="1070" w:type="dxa"/>
          </w:tcPr>
          <w:p w:rsidR="006F6A01" w:rsidRPr="00E439E1" w:rsidRDefault="006F6A01" w:rsidP="000C3C21">
            <w:pPr>
              <w:jc w:val="right"/>
              <w:rPr>
                <w:sz w:val="22"/>
                <w:szCs w:val="22"/>
              </w:rPr>
            </w:pPr>
            <w:r w:rsidRPr="00E439E1">
              <w:rPr>
                <w:sz w:val="22"/>
                <w:szCs w:val="22"/>
              </w:rPr>
              <w:t>110</w:t>
            </w:r>
          </w:p>
        </w:tc>
        <w:tc>
          <w:tcPr>
            <w:tcW w:w="1102" w:type="dxa"/>
          </w:tcPr>
          <w:p w:rsidR="006F6A01" w:rsidRPr="00E439E1" w:rsidRDefault="00E439E1" w:rsidP="006F6A01">
            <w:pPr>
              <w:jc w:val="right"/>
            </w:pPr>
            <w:r w:rsidRPr="00E439E1">
              <w:rPr>
                <w:sz w:val="22"/>
                <w:szCs w:val="22"/>
              </w:rPr>
              <w:t>116</w:t>
            </w:r>
          </w:p>
        </w:tc>
      </w:tr>
      <w:tr w:rsidR="006F6A01" w:rsidTr="000B45EB">
        <w:trPr>
          <w:trHeight w:val="256"/>
        </w:trPr>
        <w:tc>
          <w:tcPr>
            <w:tcW w:w="4635" w:type="dxa"/>
          </w:tcPr>
          <w:p w:rsidR="006F6A01" w:rsidRPr="00E439E1" w:rsidRDefault="006F6A01" w:rsidP="001B539D">
            <w:pPr>
              <w:jc w:val="both"/>
              <w:rPr>
                <w:sz w:val="22"/>
                <w:szCs w:val="22"/>
              </w:rPr>
            </w:pPr>
            <w:r w:rsidRPr="00E439E1">
              <w:rPr>
                <w:sz w:val="22"/>
                <w:szCs w:val="22"/>
              </w:rPr>
              <w:t>Special – High Park School</w:t>
            </w:r>
          </w:p>
        </w:tc>
        <w:tc>
          <w:tcPr>
            <w:tcW w:w="1250" w:type="dxa"/>
          </w:tcPr>
          <w:p w:rsidR="006F6A01" w:rsidRPr="00E439E1" w:rsidRDefault="006F6A01" w:rsidP="001B539D">
            <w:pPr>
              <w:jc w:val="center"/>
            </w:pPr>
            <w:r w:rsidRPr="00E439E1">
              <w:rPr>
                <w:sz w:val="22"/>
                <w:szCs w:val="22"/>
              </w:rPr>
              <w:t>SEN</w:t>
            </w:r>
          </w:p>
        </w:tc>
        <w:tc>
          <w:tcPr>
            <w:tcW w:w="1404" w:type="dxa"/>
          </w:tcPr>
          <w:p w:rsidR="006F6A01" w:rsidRPr="00E439E1" w:rsidRDefault="006F6A01" w:rsidP="000C3C21">
            <w:pPr>
              <w:jc w:val="right"/>
              <w:rPr>
                <w:sz w:val="22"/>
                <w:szCs w:val="22"/>
              </w:rPr>
            </w:pPr>
            <w:r w:rsidRPr="00E439E1">
              <w:rPr>
                <w:sz w:val="22"/>
                <w:szCs w:val="22"/>
              </w:rPr>
              <w:t>95</w:t>
            </w:r>
          </w:p>
        </w:tc>
        <w:tc>
          <w:tcPr>
            <w:tcW w:w="1404" w:type="dxa"/>
          </w:tcPr>
          <w:p w:rsidR="006F6A01" w:rsidRPr="00E439E1" w:rsidRDefault="006F6A01" w:rsidP="000C3C21">
            <w:pPr>
              <w:jc w:val="right"/>
              <w:rPr>
                <w:sz w:val="22"/>
                <w:szCs w:val="22"/>
              </w:rPr>
            </w:pPr>
            <w:r w:rsidRPr="00E439E1">
              <w:rPr>
                <w:sz w:val="22"/>
                <w:szCs w:val="22"/>
              </w:rPr>
              <w:t>96</w:t>
            </w:r>
          </w:p>
        </w:tc>
        <w:tc>
          <w:tcPr>
            <w:tcW w:w="1070" w:type="dxa"/>
          </w:tcPr>
          <w:p w:rsidR="006F6A01" w:rsidRPr="00E439E1" w:rsidRDefault="006F6A01" w:rsidP="000C3C21">
            <w:pPr>
              <w:jc w:val="right"/>
              <w:rPr>
                <w:sz w:val="22"/>
                <w:szCs w:val="22"/>
              </w:rPr>
            </w:pPr>
            <w:r w:rsidRPr="00E439E1">
              <w:rPr>
                <w:sz w:val="22"/>
                <w:szCs w:val="22"/>
              </w:rPr>
              <w:t>95</w:t>
            </w:r>
          </w:p>
        </w:tc>
        <w:tc>
          <w:tcPr>
            <w:tcW w:w="1102" w:type="dxa"/>
          </w:tcPr>
          <w:p w:rsidR="006F6A01" w:rsidRPr="00E439E1" w:rsidRDefault="00E439E1" w:rsidP="006F6A01">
            <w:pPr>
              <w:jc w:val="right"/>
            </w:pPr>
            <w:r w:rsidRPr="00E439E1">
              <w:rPr>
                <w:sz w:val="22"/>
                <w:szCs w:val="22"/>
              </w:rPr>
              <w:t>96</w:t>
            </w:r>
          </w:p>
        </w:tc>
      </w:tr>
      <w:tr w:rsidR="006F6A01" w:rsidTr="000B45EB">
        <w:trPr>
          <w:trHeight w:val="241"/>
        </w:trPr>
        <w:tc>
          <w:tcPr>
            <w:tcW w:w="4635" w:type="dxa"/>
          </w:tcPr>
          <w:p w:rsidR="006F6A01" w:rsidRPr="00E439E1" w:rsidRDefault="006F6A01" w:rsidP="001B539D">
            <w:pPr>
              <w:jc w:val="both"/>
              <w:rPr>
                <w:sz w:val="22"/>
                <w:szCs w:val="22"/>
              </w:rPr>
            </w:pPr>
            <w:r w:rsidRPr="00E439E1">
              <w:rPr>
                <w:sz w:val="22"/>
                <w:szCs w:val="22"/>
              </w:rPr>
              <w:t>Special – Phoenix School</w:t>
            </w:r>
          </w:p>
        </w:tc>
        <w:tc>
          <w:tcPr>
            <w:tcW w:w="1250" w:type="dxa"/>
          </w:tcPr>
          <w:p w:rsidR="006F6A01" w:rsidRPr="00E439E1" w:rsidRDefault="006F6A01" w:rsidP="001B539D">
            <w:pPr>
              <w:jc w:val="center"/>
              <w:rPr>
                <w:sz w:val="22"/>
                <w:szCs w:val="22"/>
              </w:rPr>
            </w:pPr>
            <w:r w:rsidRPr="00E439E1">
              <w:rPr>
                <w:sz w:val="22"/>
                <w:szCs w:val="22"/>
              </w:rPr>
              <w:t>SEN</w:t>
            </w:r>
          </w:p>
        </w:tc>
        <w:tc>
          <w:tcPr>
            <w:tcW w:w="1404" w:type="dxa"/>
          </w:tcPr>
          <w:p w:rsidR="006F6A01" w:rsidRPr="00E439E1" w:rsidRDefault="006F6A01" w:rsidP="000C3C21">
            <w:pPr>
              <w:jc w:val="right"/>
              <w:rPr>
                <w:sz w:val="22"/>
                <w:szCs w:val="22"/>
              </w:rPr>
            </w:pPr>
            <w:r w:rsidRPr="00E439E1">
              <w:rPr>
                <w:sz w:val="22"/>
                <w:szCs w:val="22"/>
              </w:rPr>
              <w:t>78.8</w:t>
            </w:r>
          </w:p>
        </w:tc>
        <w:tc>
          <w:tcPr>
            <w:tcW w:w="1404" w:type="dxa"/>
          </w:tcPr>
          <w:p w:rsidR="006F6A01" w:rsidRPr="00E439E1" w:rsidRDefault="006F6A01" w:rsidP="000C3C21">
            <w:pPr>
              <w:jc w:val="right"/>
              <w:rPr>
                <w:sz w:val="22"/>
                <w:szCs w:val="22"/>
              </w:rPr>
            </w:pPr>
            <w:r w:rsidRPr="00E439E1">
              <w:rPr>
                <w:sz w:val="22"/>
                <w:szCs w:val="22"/>
              </w:rPr>
              <w:t>79.2</w:t>
            </w:r>
          </w:p>
        </w:tc>
        <w:tc>
          <w:tcPr>
            <w:tcW w:w="1070" w:type="dxa"/>
          </w:tcPr>
          <w:p w:rsidR="006F6A01" w:rsidRPr="00E439E1" w:rsidRDefault="006F6A01" w:rsidP="000C3C21">
            <w:pPr>
              <w:jc w:val="right"/>
              <w:rPr>
                <w:sz w:val="22"/>
                <w:szCs w:val="22"/>
              </w:rPr>
            </w:pPr>
            <w:r w:rsidRPr="00E439E1">
              <w:rPr>
                <w:sz w:val="22"/>
                <w:szCs w:val="22"/>
              </w:rPr>
              <w:t>75</w:t>
            </w:r>
          </w:p>
        </w:tc>
        <w:tc>
          <w:tcPr>
            <w:tcW w:w="1102" w:type="dxa"/>
          </w:tcPr>
          <w:p w:rsidR="006F6A01" w:rsidRPr="00E439E1" w:rsidRDefault="00E439E1" w:rsidP="006F6A01">
            <w:pPr>
              <w:jc w:val="right"/>
            </w:pPr>
            <w:r w:rsidRPr="00E439E1">
              <w:rPr>
                <w:sz w:val="22"/>
                <w:szCs w:val="22"/>
              </w:rPr>
              <w:t>80</w:t>
            </w:r>
          </w:p>
        </w:tc>
      </w:tr>
      <w:tr w:rsidR="006F6A01" w:rsidTr="000B45EB">
        <w:trPr>
          <w:trHeight w:val="256"/>
        </w:trPr>
        <w:tc>
          <w:tcPr>
            <w:tcW w:w="4635" w:type="dxa"/>
          </w:tcPr>
          <w:p w:rsidR="006F6A01" w:rsidRPr="00E439E1" w:rsidRDefault="006F6A01" w:rsidP="001B539D">
            <w:pPr>
              <w:jc w:val="both"/>
              <w:rPr>
                <w:sz w:val="22"/>
                <w:szCs w:val="22"/>
              </w:rPr>
            </w:pPr>
            <w:r w:rsidRPr="00E439E1">
              <w:rPr>
                <w:sz w:val="22"/>
                <w:szCs w:val="22"/>
              </w:rPr>
              <w:t xml:space="preserve">Special – Southfield Academy </w:t>
            </w:r>
          </w:p>
        </w:tc>
        <w:tc>
          <w:tcPr>
            <w:tcW w:w="1250" w:type="dxa"/>
          </w:tcPr>
          <w:p w:rsidR="006F6A01" w:rsidRPr="00E439E1" w:rsidRDefault="006F6A01" w:rsidP="001B539D">
            <w:pPr>
              <w:jc w:val="center"/>
            </w:pPr>
            <w:r w:rsidRPr="00E439E1">
              <w:rPr>
                <w:sz w:val="22"/>
                <w:szCs w:val="22"/>
              </w:rPr>
              <w:t>SEN</w:t>
            </w:r>
          </w:p>
        </w:tc>
        <w:tc>
          <w:tcPr>
            <w:tcW w:w="1404" w:type="dxa"/>
          </w:tcPr>
          <w:p w:rsidR="006F6A01" w:rsidRPr="00E439E1" w:rsidRDefault="006F6A01" w:rsidP="000C3C21">
            <w:pPr>
              <w:jc w:val="right"/>
              <w:rPr>
                <w:sz w:val="22"/>
                <w:szCs w:val="22"/>
              </w:rPr>
            </w:pPr>
            <w:r w:rsidRPr="00E439E1">
              <w:rPr>
                <w:sz w:val="22"/>
                <w:szCs w:val="22"/>
              </w:rPr>
              <w:t>204</w:t>
            </w:r>
          </w:p>
        </w:tc>
        <w:tc>
          <w:tcPr>
            <w:tcW w:w="1404" w:type="dxa"/>
          </w:tcPr>
          <w:p w:rsidR="006F6A01" w:rsidRPr="00E439E1" w:rsidRDefault="006F6A01" w:rsidP="000C3C21">
            <w:pPr>
              <w:jc w:val="right"/>
              <w:rPr>
                <w:sz w:val="22"/>
                <w:szCs w:val="22"/>
              </w:rPr>
            </w:pPr>
            <w:r w:rsidRPr="00E439E1">
              <w:rPr>
                <w:sz w:val="22"/>
                <w:szCs w:val="22"/>
              </w:rPr>
              <w:t>197</w:t>
            </w:r>
          </w:p>
        </w:tc>
        <w:tc>
          <w:tcPr>
            <w:tcW w:w="1070" w:type="dxa"/>
          </w:tcPr>
          <w:p w:rsidR="006F6A01" w:rsidRPr="00E439E1" w:rsidRDefault="006F6A01" w:rsidP="00FD0897">
            <w:pPr>
              <w:jc w:val="right"/>
              <w:rPr>
                <w:sz w:val="22"/>
                <w:szCs w:val="22"/>
              </w:rPr>
            </w:pPr>
            <w:r w:rsidRPr="00E439E1">
              <w:rPr>
                <w:sz w:val="22"/>
                <w:szCs w:val="22"/>
              </w:rPr>
              <w:t>217</w:t>
            </w:r>
          </w:p>
        </w:tc>
        <w:tc>
          <w:tcPr>
            <w:tcW w:w="1102" w:type="dxa"/>
          </w:tcPr>
          <w:p w:rsidR="006F6A01" w:rsidRPr="00E439E1" w:rsidRDefault="00E439E1" w:rsidP="006F6A01">
            <w:pPr>
              <w:jc w:val="right"/>
            </w:pPr>
            <w:r w:rsidRPr="00E439E1">
              <w:rPr>
                <w:sz w:val="22"/>
                <w:szCs w:val="22"/>
              </w:rPr>
              <w:t>21</w:t>
            </w:r>
            <w:r w:rsidR="00FD3E35">
              <w:rPr>
                <w:sz w:val="22"/>
                <w:szCs w:val="22"/>
              </w:rPr>
              <w:t>7</w:t>
            </w:r>
          </w:p>
        </w:tc>
      </w:tr>
      <w:tr w:rsidR="006F6A01" w:rsidTr="000B45EB">
        <w:trPr>
          <w:trHeight w:val="241"/>
        </w:trPr>
        <w:tc>
          <w:tcPr>
            <w:tcW w:w="4635" w:type="dxa"/>
          </w:tcPr>
          <w:p w:rsidR="006F6A01" w:rsidRPr="0094226F" w:rsidRDefault="006F6A01" w:rsidP="001B539D">
            <w:pPr>
              <w:jc w:val="both"/>
              <w:rPr>
                <w:sz w:val="22"/>
                <w:szCs w:val="22"/>
              </w:rPr>
            </w:pPr>
            <w:r>
              <w:rPr>
                <w:sz w:val="22"/>
                <w:szCs w:val="22"/>
              </w:rPr>
              <w:t xml:space="preserve">Special – </w:t>
            </w:r>
            <w:proofErr w:type="spellStart"/>
            <w:r>
              <w:rPr>
                <w:sz w:val="22"/>
                <w:szCs w:val="22"/>
              </w:rPr>
              <w:t>Oastler</w:t>
            </w:r>
            <w:proofErr w:type="spellEnd"/>
            <w:r>
              <w:rPr>
                <w:sz w:val="22"/>
                <w:szCs w:val="22"/>
              </w:rPr>
              <w:t xml:space="preserve"> School</w:t>
            </w:r>
          </w:p>
        </w:tc>
        <w:tc>
          <w:tcPr>
            <w:tcW w:w="1250" w:type="dxa"/>
          </w:tcPr>
          <w:p w:rsidR="006F6A01" w:rsidRDefault="006F6A01" w:rsidP="001B539D">
            <w:pPr>
              <w:jc w:val="center"/>
            </w:pPr>
            <w:r w:rsidRPr="00524DC7">
              <w:rPr>
                <w:sz w:val="22"/>
                <w:szCs w:val="22"/>
              </w:rPr>
              <w:t>SEN</w:t>
            </w:r>
          </w:p>
        </w:tc>
        <w:tc>
          <w:tcPr>
            <w:tcW w:w="1404" w:type="dxa"/>
          </w:tcPr>
          <w:p w:rsidR="006F6A01" w:rsidRPr="0094226F" w:rsidRDefault="006F6A01" w:rsidP="000C3C21">
            <w:pPr>
              <w:jc w:val="right"/>
              <w:rPr>
                <w:sz w:val="22"/>
                <w:szCs w:val="22"/>
              </w:rPr>
            </w:pPr>
            <w:r>
              <w:rPr>
                <w:sz w:val="22"/>
                <w:szCs w:val="22"/>
              </w:rPr>
              <w:t>53</w:t>
            </w:r>
          </w:p>
        </w:tc>
        <w:tc>
          <w:tcPr>
            <w:tcW w:w="1404" w:type="dxa"/>
          </w:tcPr>
          <w:p w:rsidR="006F6A01" w:rsidRPr="0094226F" w:rsidRDefault="006F6A01" w:rsidP="000C3C21">
            <w:pPr>
              <w:jc w:val="right"/>
              <w:rPr>
                <w:sz w:val="22"/>
                <w:szCs w:val="22"/>
              </w:rPr>
            </w:pPr>
            <w:r>
              <w:rPr>
                <w:sz w:val="22"/>
                <w:szCs w:val="22"/>
              </w:rPr>
              <w:t>57</w:t>
            </w:r>
          </w:p>
        </w:tc>
        <w:tc>
          <w:tcPr>
            <w:tcW w:w="1070" w:type="dxa"/>
          </w:tcPr>
          <w:p w:rsidR="006F6A01" w:rsidRPr="0094226F" w:rsidRDefault="006F6A01" w:rsidP="000C3C21">
            <w:pPr>
              <w:jc w:val="right"/>
              <w:rPr>
                <w:sz w:val="22"/>
                <w:szCs w:val="22"/>
              </w:rPr>
            </w:pPr>
            <w:r>
              <w:rPr>
                <w:sz w:val="22"/>
                <w:szCs w:val="22"/>
              </w:rPr>
              <w:t>80</w:t>
            </w:r>
          </w:p>
        </w:tc>
        <w:tc>
          <w:tcPr>
            <w:tcW w:w="1102" w:type="dxa"/>
          </w:tcPr>
          <w:p w:rsidR="006F6A01" w:rsidRPr="00EA115E" w:rsidRDefault="00EA115E" w:rsidP="006F6A01">
            <w:pPr>
              <w:jc w:val="right"/>
              <w:rPr>
                <w:color w:val="000000" w:themeColor="text1"/>
                <w:highlight w:val="yellow"/>
              </w:rPr>
            </w:pPr>
            <w:r w:rsidRPr="00EA115E">
              <w:rPr>
                <w:color w:val="000000" w:themeColor="text1"/>
                <w:sz w:val="22"/>
                <w:szCs w:val="22"/>
              </w:rPr>
              <w:t>80</w:t>
            </w:r>
          </w:p>
        </w:tc>
      </w:tr>
      <w:tr w:rsidR="006F6A01" w:rsidTr="000B45EB">
        <w:trPr>
          <w:trHeight w:val="256"/>
        </w:trPr>
        <w:tc>
          <w:tcPr>
            <w:tcW w:w="4635" w:type="dxa"/>
          </w:tcPr>
          <w:p w:rsidR="006F6A01" w:rsidRPr="00097D67" w:rsidRDefault="006F6A01" w:rsidP="00167917">
            <w:pPr>
              <w:jc w:val="both"/>
              <w:rPr>
                <w:sz w:val="22"/>
                <w:szCs w:val="22"/>
              </w:rPr>
            </w:pPr>
            <w:r w:rsidRPr="00097D67">
              <w:rPr>
                <w:sz w:val="22"/>
                <w:szCs w:val="22"/>
              </w:rPr>
              <w:t xml:space="preserve">DSP – </w:t>
            </w:r>
            <w:proofErr w:type="spellStart"/>
            <w:r w:rsidRPr="00097D67">
              <w:rPr>
                <w:sz w:val="22"/>
                <w:szCs w:val="22"/>
              </w:rPr>
              <w:t>Carrwood</w:t>
            </w:r>
            <w:proofErr w:type="spellEnd"/>
            <w:r w:rsidRPr="00097D67">
              <w:rPr>
                <w:sz w:val="22"/>
                <w:szCs w:val="22"/>
              </w:rPr>
              <w:t xml:space="preserve"> Primary School</w:t>
            </w:r>
          </w:p>
        </w:tc>
        <w:tc>
          <w:tcPr>
            <w:tcW w:w="1250" w:type="dxa"/>
          </w:tcPr>
          <w:p w:rsidR="006F6A01" w:rsidRPr="00097D67" w:rsidRDefault="006F6A01" w:rsidP="00EE248A">
            <w:pPr>
              <w:jc w:val="center"/>
              <w:rPr>
                <w:sz w:val="22"/>
                <w:szCs w:val="22"/>
              </w:rPr>
            </w:pPr>
            <w:r w:rsidRPr="00097D67">
              <w:rPr>
                <w:sz w:val="22"/>
                <w:szCs w:val="22"/>
              </w:rPr>
              <w:t>SEN</w:t>
            </w:r>
          </w:p>
        </w:tc>
        <w:tc>
          <w:tcPr>
            <w:tcW w:w="1404" w:type="dxa"/>
          </w:tcPr>
          <w:p w:rsidR="006F6A01" w:rsidRPr="00097D67" w:rsidRDefault="006F6A01" w:rsidP="000C3C21">
            <w:pPr>
              <w:jc w:val="right"/>
              <w:rPr>
                <w:sz w:val="22"/>
                <w:szCs w:val="22"/>
              </w:rPr>
            </w:pPr>
            <w:r w:rsidRPr="00097D67">
              <w:rPr>
                <w:sz w:val="22"/>
                <w:szCs w:val="22"/>
              </w:rPr>
              <w:t>8</w:t>
            </w:r>
          </w:p>
        </w:tc>
        <w:tc>
          <w:tcPr>
            <w:tcW w:w="1404" w:type="dxa"/>
          </w:tcPr>
          <w:p w:rsidR="006F6A01" w:rsidRPr="00097D67" w:rsidRDefault="006F6A01" w:rsidP="000C3C21">
            <w:pPr>
              <w:jc w:val="right"/>
              <w:rPr>
                <w:sz w:val="22"/>
                <w:szCs w:val="22"/>
              </w:rPr>
            </w:pPr>
            <w:r w:rsidRPr="00097D67">
              <w:rPr>
                <w:sz w:val="22"/>
                <w:szCs w:val="22"/>
              </w:rPr>
              <w:t>6</w:t>
            </w:r>
          </w:p>
        </w:tc>
        <w:tc>
          <w:tcPr>
            <w:tcW w:w="1070" w:type="dxa"/>
          </w:tcPr>
          <w:p w:rsidR="006F6A01" w:rsidRPr="00097D67" w:rsidRDefault="006F6A01" w:rsidP="000C3C21">
            <w:pPr>
              <w:jc w:val="right"/>
              <w:rPr>
                <w:sz w:val="22"/>
                <w:szCs w:val="22"/>
              </w:rPr>
            </w:pPr>
            <w:r w:rsidRPr="00097D67">
              <w:rPr>
                <w:sz w:val="22"/>
                <w:szCs w:val="22"/>
              </w:rPr>
              <w:t>8</w:t>
            </w:r>
          </w:p>
        </w:tc>
        <w:tc>
          <w:tcPr>
            <w:tcW w:w="1102" w:type="dxa"/>
          </w:tcPr>
          <w:p w:rsidR="006F6A01" w:rsidRPr="00097D67" w:rsidRDefault="00097D67" w:rsidP="006F6A01">
            <w:pPr>
              <w:jc w:val="right"/>
            </w:pPr>
            <w:r w:rsidRPr="00097D67">
              <w:rPr>
                <w:sz w:val="22"/>
                <w:szCs w:val="22"/>
              </w:rPr>
              <w:t>8</w:t>
            </w:r>
          </w:p>
        </w:tc>
      </w:tr>
      <w:tr w:rsidR="006F6A01" w:rsidTr="000B45EB">
        <w:trPr>
          <w:trHeight w:val="241"/>
        </w:trPr>
        <w:tc>
          <w:tcPr>
            <w:tcW w:w="4635" w:type="dxa"/>
          </w:tcPr>
          <w:p w:rsidR="006F6A01" w:rsidRPr="00097D67" w:rsidRDefault="006F6A01">
            <w:r w:rsidRPr="00097D67">
              <w:rPr>
                <w:sz w:val="22"/>
                <w:szCs w:val="22"/>
              </w:rPr>
              <w:t xml:space="preserve">DSP – </w:t>
            </w:r>
            <w:proofErr w:type="spellStart"/>
            <w:r w:rsidRPr="00097D67">
              <w:rPr>
                <w:sz w:val="22"/>
                <w:szCs w:val="22"/>
              </w:rPr>
              <w:t>Denholme</w:t>
            </w:r>
            <w:proofErr w:type="spellEnd"/>
            <w:r w:rsidRPr="00097D67">
              <w:rPr>
                <w:sz w:val="22"/>
                <w:szCs w:val="22"/>
              </w:rPr>
              <w:t xml:space="preserve"> Primary School</w:t>
            </w:r>
          </w:p>
        </w:tc>
        <w:tc>
          <w:tcPr>
            <w:tcW w:w="1250" w:type="dxa"/>
          </w:tcPr>
          <w:p w:rsidR="006F6A01" w:rsidRPr="00097D67" w:rsidRDefault="006F6A01" w:rsidP="00EE248A">
            <w:pPr>
              <w:jc w:val="center"/>
              <w:rPr>
                <w:sz w:val="22"/>
                <w:szCs w:val="22"/>
              </w:rPr>
            </w:pPr>
            <w:r w:rsidRPr="00097D67">
              <w:rPr>
                <w:sz w:val="22"/>
                <w:szCs w:val="22"/>
              </w:rPr>
              <w:t>SEN</w:t>
            </w:r>
          </w:p>
        </w:tc>
        <w:tc>
          <w:tcPr>
            <w:tcW w:w="1404" w:type="dxa"/>
          </w:tcPr>
          <w:p w:rsidR="006F6A01" w:rsidRPr="00097D67" w:rsidRDefault="006F6A01" w:rsidP="000C3C21">
            <w:pPr>
              <w:jc w:val="right"/>
              <w:rPr>
                <w:sz w:val="22"/>
                <w:szCs w:val="22"/>
              </w:rPr>
            </w:pPr>
            <w:r w:rsidRPr="00097D67">
              <w:rPr>
                <w:sz w:val="22"/>
                <w:szCs w:val="22"/>
              </w:rPr>
              <w:t>8</w:t>
            </w:r>
          </w:p>
        </w:tc>
        <w:tc>
          <w:tcPr>
            <w:tcW w:w="1404" w:type="dxa"/>
          </w:tcPr>
          <w:p w:rsidR="006F6A01" w:rsidRPr="00097D67" w:rsidRDefault="006F6A01" w:rsidP="000C3C21">
            <w:pPr>
              <w:jc w:val="right"/>
              <w:rPr>
                <w:sz w:val="22"/>
                <w:szCs w:val="22"/>
              </w:rPr>
            </w:pPr>
            <w:r w:rsidRPr="00097D67">
              <w:rPr>
                <w:sz w:val="22"/>
                <w:szCs w:val="22"/>
              </w:rPr>
              <w:t>7</w:t>
            </w:r>
          </w:p>
        </w:tc>
        <w:tc>
          <w:tcPr>
            <w:tcW w:w="1070" w:type="dxa"/>
          </w:tcPr>
          <w:p w:rsidR="006F6A01" w:rsidRPr="00097D67" w:rsidRDefault="006F6A01" w:rsidP="000C3C21">
            <w:pPr>
              <w:jc w:val="right"/>
              <w:rPr>
                <w:sz w:val="22"/>
                <w:szCs w:val="22"/>
              </w:rPr>
            </w:pPr>
            <w:r w:rsidRPr="00097D67">
              <w:rPr>
                <w:sz w:val="22"/>
                <w:szCs w:val="22"/>
              </w:rPr>
              <w:t>8</w:t>
            </w:r>
          </w:p>
        </w:tc>
        <w:tc>
          <w:tcPr>
            <w:tcW w:w="1102" w:type="dxa"/>
          </w:tcPr>
          <w:p w:rsidR="006F6A01" w:rsidRPr="00097D67" w:rsidRDefault="00097D67" w:rsidP="006F6A01">
            <w:pPr>
              <w:jc w:val="right"/>
            </w:pPr>
            <w:r w:rsidRPr="00097D67">
              <w:rPr>
                <w:sz w:val="22"/>
                <w:szCs w:val="22"/>
              </w:rPr>
              <w:t>8</w:t>
            </w:r>
          </w:p>
        </w:tc>
      </w:tr>
      <w:tr w:rsidR="006F6A01" w:rsidTr="000B45EB">
        <w:trPr>
          <w:trHeight w:val="256"/>
        </w:trPr>
        <w:tc>
          <w:tcPr>
            <w:tcW w:w="4635" w:type="dxa"/>
          </w:tcPr>
          <w:p w:rsidR="006F6A01" w:rsidRPr="00097D67" w:rsidRDefault="006F6A01">
            <w:r w:rsidRPr="00097D67">
              <w:rPr>
                <w:sz w:val="22"/>
                <w:szCs w:val="22"/>
              </w:rPr>
              <w:t>DSP – Green Lane Primary School</w:t>
            </w:r>
          </w:p>
        </w:tc>
        <w:tc>
          <w:tcPr>
            <w:tcW w:w="1250" w:type="dxa"/>
          </w:tcPr>
          <w:p w:rsidR="006F6A01" w:rsidRPr="00097D67" w:rsidRDefault="006F6A01" w:rsidP="00EE248A">
            <w:pPr>
              <w:jc w:val="center"/>
              <w:rPr>
                <w:sz w:val="22"/>
                <w:szCs w:val="22"/>
              </w:rPr>
            </w:pPr>
            <w:r w:rsidRPr="00097D67">
              <w:rPr>
                <w:sz w:val="22"/>
                <w:szCs w:val="22"/>
              </w:rPr>
              <w:t>SEN</w:t>
            </w:r>
          </w:p>
        </w:tc>
        <w:tc>
          <w:tcPr>
            <w:tcW w:w="1404" w:type="dxa"/>
          </w:tcPr>
          <w:p w:rsidR="006F6A01" w:rsidRPr="00097D67" w:rsidRDefault="006F6A01" w:rsidP="000C3C21">
            <w:pPr>
              <w:jc w:val="right"/>
              <w:rPr>
                <w:sz w:val="22"/>
                <w:szCs w:val="22"/>
              </w:rPr>
            </w:pPr>
            <w:r w:rsidRPr="00097D67">
              <w:rPr>
                <w:sz w:val="22"/>
                <w:szCs w:val="22"/>
              </w:rPr>
              <w:t>8</w:t>
            </w:r>
          </w:p>
        </w:tc>
        <w:tc>
          <w:tcPr>
            <w:tcW w:w="1404" w:type="dxa"/>
          </w:tcPr>
          <w:p w:rsidR="006F6A01" w:rsidRPr="00097D67" w:rsidRDefault="006F6A01" w:rsidP="000C3C21">
            <w:pPr>
              <w:jc w:val="right"/>
              <w:rPr>
                <w:sz w:val="22"/>
                <w:szCs w:val="22"/>
              </w:rPr>
            </w:pPr>
            <w:r w:rsidRPr="00097D67">
              <w:rPr>
                <w:sz w:val="22"/>
                <w:szCs w:val="22"/>
              </w:rPr>
              <w:t>10</w:t>
            </w:r>
          </w:p>
        </w:tc>
        <w:tc>
          <w:tcPr>
            <w:tcW w:w="1070" w:type="dxa"/>
          </w:tcPr>
          <w:p w:rsidR="006F6A01" w:rsidRPr="00097D67" w:rsidRDefault="006F6A01" w:rsidP="000C3C21">
            <w:pPr>
              <w:jc w:val="right"/>
              <w:rPr>
                <w:sz w:val="22"/>
                <w:szCs w:val="22"/>
              </w:rPr>
            </w:pPr>
            <w:r w:rsidRPr="00097D67">
              <w:rPr>
                <w:sz w:val="22"/>
                <w:szCs w:val="22"/>
              </w:rPr>
              <w:t>10</w:t>
            </w:r>
          </w:p>
        </w:tc>
        <w:tc>
          <w:tcPr>
            <w:tcW w:w="1102" w:type="dxa"/>
          </w:tcPr>
          <w:p w:rsidR="006F6A01" w:rsidRPr="00097D67" w:rsidRDefault="00097D67" w:rsidP="006F6A01">
            <w:pPr>
              <w:jc w:val="right"/>
            </w:pPr>
            <w:r w:rsidRPr="00097D67">
              <w:rPr>
                <w:sz w:val="22"/>
                <w:szCs w:val="22"/>
              </w:rPr>
              <w:t>10</w:t>
            </w:r>
          </w:p>
        </w:tc>
      </w:tr>
      <w:tr w:rsidR="006F6A01" w:rsidTr="000B45EB">
        <w:trPr>
          <w:trHeight w:val="256"/>
        </w:trPr>
        <w:tc>
          <w:tcPr>
            <w:tcW w:w="4635" w:type="dxa"/>
          </w:tcPr>
          <w:p w:rsidR="006F6A01" w:rsidRPr="00097D67" w:rsidRDefault="006F6A01">
            <w:r w:rsidRPr="00097D67">
              <w:rPr>
                <w:sz w:val="22"/>
                <w:szCs w:val="22"/>
              </w:rPr>
              <w:t>DSP – High Crags Primary School</w:t>
            </w:r>
          </w:p>
        </w:tc>
        <w:tc>
          <w:tcPr>
            <w:tcW w:w="1250" w:type="dxa"/>
          </w:tcPr>
          <w:p w:rsidR="006F6A01" w:rsidRPr="00097D67" w:rsidRDefault="006F6A01" w:rsidP="00EE248A">
            <w:pPr>
              <w:jc w:val="center"/>
              <w:rPr>
                <w:sz w:val="22"/>
                <w:szCs w:val="22"/>
              </w:rPr>
            </w:pPr>
            <w:r w:rsidRPr="00097D67">
              <w:rPr>
                <w:sz w:val="22"/>
                <w:szCs w:val="22"/>
              </w:rPr>
              <w:t>SEN</w:t>
            </w:r>
          </w:p>
        </w:tc>
        <w:tc>
          <w:tcPr>
            <w:tcW w:w="1404" w:type="dxa"/>
          </w:tcPr>
          <w:p w:rsidR="006F6A01" w:rsidRPr="00097D67" w:rsidRDefault="006F6A01" w:rsidP="000C3C21">
            <w:pPr>
              <w:jc w:val="right"/>
              <w:rPr>
                <w:sz w:val="22"/>
                <w:szCs w:val="22"/>
              </w:rPr>
            </w:pPr>
            <w:r w:rsidRPr="00097D67">
              <w:rPr>
                <w:sz w:val="22"/>
                <w:szCs w:val="22"/>
              </w:rPr>
              <w:t>6</w:t>
            </w:r>
          </w:p>
        </w:tc>
        <w:tc>
          <w:tcPr>
            <w:tcW w:w="1404" w:type="dxa"/>
          </w:tcPr>
          <w:p w:rsidR="006F6A01" w:rsidRPr="00097D67" w:rsidRDefault="006F6A01" w:rsidP="000C3C21">
            <w:pPr>
              <w:jc w:val="right"/>
              <w:rPr>
                <w:sz w:val="22"/>
                <w:szCs w:val="22"/>
              </w:rPr>
            </w:pPr>
            <w:r w:rsidRPr="00097D67">
              <w:rPr>
                <w:sz w:val="22"/>
                <w:szCs w:val="22"/>
              </w:rPr>
              <w:t>6</w:t>
            </w:r>
          </w:p>
        </w:tc>
        <w:tc>
          <w:tcPr>
            <w:tcW w:w="1070" w:type="dxa"/>
          </w:tcPr>
          <w:p w:rsidR="006F6A01" w:rsidRPr="00097D67" w:rsidRDefault="006F6A01" w:rsidP="000C3C21">
            <w:pPr>
              <w:jc w:val="right"/>
              <w:rPr>
                <w:sz w:val="22"/>
                <w:szCs w:val="22"/>
              </w:rPr>
            </w:pPr>
            <w:r w:rsidRPr="00097D67">
              <w:rPr>
                <w:sz w:val="22"/>
                <w:szCs w:val="22"/>
              </w:rPr>
              <w:t>6</w:t>
            </w:r>
          </w:p>
        </w:tc>
        <w:tc>
          <w:tcPr>
            <w:tcW w:w="1102" w:type="dxa"/>
          </w:tcPr>
          <w:p w:rsidR="006F6A01" w:rsidRPr="00097D67" w:rsidRDefault="00097D67" w:rsidP="006F6A01">
            <w:pPr>
              <w:jc w:val="right"/>
            </w:pPr>
            <w:r w:rsidRPr="00097D67">
              <w:rPr>
                <w:sz w:val="22"/>
                <w:szCs w:val="22"/>
              </w:rPr>
              <w:t>6</w:t>
            </w:r>
          </w:p>
        </w:tc>
      </w:tr>
      <w:tr w:rsidR="006F6A01" w:rsidTr="000B45EB">
        <w:trPr>
          <w:trHeight w:val="241"/>
        </w:trPr>
        <w:tc>
          <w:tcPr>
            <w:tcW w:w="4635" w:type="dxa"/>
          </w:tcPr>
          <w:p w:rsidR="006F6A01" w:rsidRPr="00097D67" w:rsidRDefault="006F6A01">
            <w:r w:rsidRPr="00097D67">
              <w:rPr>
                <w:sz w:val="22"/>
                <w:szCs w:val="22"/>
              </w:rPr>
              <w:t xml:space="preserve">DSP – </w:t>
            </w:r>
            <w:proofErr w:type="spellStart"/>
            <w:r w:rsidRPr="00097D67">
              <w:rPr>
                <w:sz w:val="22"/>
                <w:szCs w:val="22"/>
              </w:rPr>
              <w:t>Crossflatts</w:t>
            </w:r>
            <w:proofErr w:type="spellEnd"/>
            <w:r w:rsidRPr="00097D67">
              <w:rPr>
                <w:sz w:val="22"/>
                <w:szCs w:val="22"/>
              </w:rPr>
              <w:t xml:space="preserve"> Primary School</w:t>
            </w:r>
          </w:p>
        </w:tc>
        <w:tc>
          <w:tcPr>
            <w:tcW w:w="1250" w:type="dxa"/>
          </w:tcPr>
          <w:p w:rsidR="006F6A01" w:rsidRPr="00097D67" w:rsidRDefault="006F6A01" w:rsidP="00EE248A">
            <w:pPr>
              <w:jc w:val="center"/>
              <w:rPr>
                <w:sz w:val="22"/>
                <w:szCs w:val="22"/>
              </w:rPr>
            </w:pPr>
            <w:r w:rsidRPr="00097D67">
              <w:rPr>
                <w:sz w:val="22"/>
                <w:szCs w:val="22"/>
              </w:rPr>
              <w:t>SEN</w:t>
            </w:r>
          </w:p>
        </w:tc>
        <w:tc>
          <w:tcPr>
            <w:tcW w:w="1404" w:type="dxa"/>
          </w:tcPr>
          <w:p w:rsidR="006F6A01" w:rsidRPr="00097D67" w:rsidRDefault="006F6A01" w:rsidP="000C3C21">
            <w:pPr>
              <w:jc w:val="right"/>
              <w:rPr>
                <w:sz w:val="22"/>
                <w:szCs w:val="22"/>
              </w:rPr>
            </w:pPr>
            <w:r w:rsidRPr="00097D67">
              <w:rPr>
                <w:sz w:val="22"/>
                <w:szCs w:val="22"/>
              </w:rPr>
              <w:t>2</w:t>
            </w:r>
          </w:p>
        </w:tc>
        <w:tc>
          <w:tcPr>
            <w:tcW w:w="1404" w:type="dxa"/>
          </w:tcPr>
          <w:p w:rsidR="006F6A01" w:rsidRPr="00097D67" w:rsidRDefault="006F6A01" w:rsidP="000C3C21">
            <w:pPr>
              <w:jc w:val="right"/>
              <w:rPr>
                <w:sz w:val="22"/>
                <w:szCs w:val="22"/>
              </w:rPr>
            </w:pPr>
            <w:r w:rsidRPr="00097D67">
              <w:rPr>
                <w:sz w:val="22"/>
                <w:szCs w:val="22"/>
              </w:rPr>
              <w:t>3</w:t>
            </w:r>
          </w:p>
        </w:tc>
        <w:tc>
          <w:tcPr>
            <w:tcW w:w="1070" w:type="dxa"/>
          </w:tcPr>
          <w:p w:rsidR="006F6A01" w:rsidRPr="00097D67" w:rsidRDefault="006F6A01" w:rsidP="000C3C21">
            <w:pPr>
              <w:jc w:val="right"/>
              <w:rPr>
                <w:sz w:val="22"/>
                <w:szCs w:val="22"/>
              </w:rPr>
            </w:pPr>
            <w:r w:rsidRPr="00097D67">
              <w:rPr>
                <w:sz w:val="22"/>
                <w:szCs w:val="22"/>
              </w:rPr>
              <w:t>6</w:t>
            </w:r>
          </w:p>
        </w:tc>
        <w:tc>
          <w:tcPr>
            <w:tcW w:w="1102" w:type="dxa"/>
          </w:tcPr>
          <w:p w:rsidR="006F6A01" w:rsidRPr="00097D67" w:rsidRDefault="00097D67" w:rsidP="006F6A01">
            <w:pPr>
              <w:jc w:val="right"/>
            </w:pPr>
            <w:r w:rsidRPr="00097D67">
              <w:rPr>
                <w:sz w:val="22"/>
                <w:szCs w:val="22"/>
              </w:rPr>
              <w:t>6</w:t>
            </w:r>
          </w:p>
        </w:tc>
      </w:tr>
      <w:tr w:rsidR="006F6A01" w:rsidTr="000B45EB">
        <w:trPr>
          <w:trHeight w:val="256"/>
        </w:trPr>
        <w:tc>
          <w:tcPr>
            <w:tcW w:w="4635" w:type="dxa"/>
          </w:tcPr>
          <w:p w:rsidR="006F6A01" w:rsidRPr="00097D67" w:rsidRDefault="006F6A01" w:rsidP="00AD4C84">
            <w:r w:rsidRPr="00097D67">
              <w:rPr>
                <w:sz w:val="22"/>
                <w:szCs w:val="22"/>
              </w:rPr>
              <w:t xml:space="preserve">DSP –  </w:t>
            </w:r>
            <w:proofErr w:type="spellStart"/>
            <w:r w:rsidRPr="00097D67">
              <w:rPr>
                <w:sz w:val="22"/>
                <w:szCs w:val="22"/>
              </w:rPr>
              <w:t>Beckfoot</w:t>
            </w:r>
            <w:proofErr w:type="spellEnd"/>
            <w:r w:rsidRPr="00097D67">
              <w:rPr>
                <w:sz w:val="22"/>
                <w:szCs w:val="22"/>
              </w:rPr>
              <w:t xml:space="preserve"> Academy</w:t>
            </w:r>
          </w:p>
        </w:tc>
        <w:tc>
          <w:tcPr>
            <w:tcW w:w="1250" w:type="dxa"/>
          </w:tcPr>
          <w:p w:rsidR="006F6A01" w:rsidRPr="00097D67" w:rsidRDefault="006F6A01" w:rsidP="00EE248A">
            <w:pPr>
              <w:jc w:val="center"/>
              <w:rPr>
                <w:sz w:val="22"/>
                <w:szCs w:val="22"/>
              </w:rPr>
            </w:pPr>
            <w:r w:rsidRPr="00097D67">
              <w:rPr>
                <w:sz w:val="22"/>
                <w:szCs w:val="22"/>
              </w:rPr>
              <w:t>SEN</w:t>
            </w:r>
          </w:p>
        </w:tc>
        <w:tc>
          <w:tcPr>
            <w:tcW w:w="1404" w:type="dxa"/>
          </w:tcPr>
          <w:p w:rsidR="006F6A01" w:rsidRPr="00097D67" w:rsidRDefault="006F6A01" w:rsidP="000C3C21">
            <w:pPr>
              <w:jc w:val="right"/>
              <w:rPr>
                <w:sz w:val="22"/>
                <w:szCs w:val="22"/>
              </w:rPr>
            </w:pPr>
            <w:r w:rsidRPr="00097D67">
              <w:rPr>
                <w:sz w:val="22"/>
                <w:szCs w:val="22"/>
              </w:rPr>
              <w:t>10</w:t>
            </w:r>
          </w:p>
        </w:tc>
        <w:tc>
          <w:tcPr>
            <w:tcW w:w="1404" w:type="dxa"/>
          </w:tcPr>
          <w:p w:rsidR="006F6A01" w:rsidRPr="00097D67" w:rsidRDefault="006F6A01" w:rsidP="000C3C21">
            <w:pPr>
              <w:jc w:val="right"/>
              <w:rPr>
                <w:sz w:val="22"/>
                <w:szCs w:val="22"/>
              </w:rPr>
            </w:pPr>
            <w:r w:rsidRPr="00097D67">
              <w:rPr>
                <w:sz w:val="22"/>
                <w:szCs w:val="22"/>
              </w:rPr>
              <w:t>12</w:t>
            </w:r>
          </w:p>
        </w:tc>
        <w:tc>
          <w:tcPr>
            <w:tcW w:w="1070" w:type="dxa"/>
          </w:tcPr>
          <w:p w:rsidR="006F6A01" w:rsidRPr="00097D67" w:rsidRDefault="006F6A01" w:rsidP="000C3C21">
            <w:pPr>
              <w:jc w:val="right"/>
              <w:rPr>
                <w:sz w:val="22"/>
                <w:szCs w:val="22"/>
              </w:rPr>
            </w:pPr>
            <w:r w:rsidRPr="00097D67">
              <w:rPr>
                <w:sz w:val="22"/>
                <w:szCs w:val="22"/>
              </w:rPr>
              <w:t>10</w:t>
            </w:r>
          </w:p>
        </w:tc>
        <w:tc>
          <w:tcPr>
            <w:tcW w:w="1102" w:type="dxa"/>
          </w:tcPr>
          <w:p w:rsidR="006F6A01" w:rsidRPr="00097D67" w:rsidRDefault="00097D67" w:rsidP="006F6A01">
            <w:pPr>
              <w:jc w:val="right"/>
            </w:pPr>
            <w:r w:rsidRPr="00097D67">
              <w:rPr>
                <w:sz w:val="22"/>
                <w:szCs w:val="22"/>
              </w:rPr>
              <w:t>12</w:t>
            </w:r>
          </w:p>
        </w:tc>
      </w:tr>
      <w:tr w:rsidR="006F6A01" w:rsidTr="000B45EB">
        <w:trPr>
          <w:trHeight w:val="241"/>
        </w:trPr>
        <w:tc>
          <w:tcPr>
            <w:tcW w:w="4635" w:type="dxa"/>
          </w:tcPr>
          <w:p w:rsidR="006F6A01" w:rsidRPr="00097D67" w:rsidRDefault="006F6A01" w:rsidP="00AD4C84">
            <w:r w:rsidRPr="00097D67">
              <w:rPr>
                <w:sz w:val="22"/>
                <w:szCs w:val="22"/>
              </w:rPr>
              <w:t>DSP – Oasis Academy (Lister Park)</w:t>
            </w:r>
          </w:p>
        </w:tc>
        <w:tc>
          <w:tcPr>
            <w:tcW w:w="1250" w:type="dxa"/>
          </w:tcPr>
          <w:p w:rsidR="006F6A01" w:rsidRPr="00097D67" w:rsidRDefault="006F6A01" w:rsidP="00EE248A">
            <w:pPr>
              <w:jc w:val="center"/>
              <w:rPr>
                <w:sz w:val="22"/>
                <w:szCs w:val="22"/>
              </w:rPr>
            </w:pPr>
            <w:r w:rsidRPr="00097D67">
              <w:rPr>
                <w:sz w:val="22"/>
                <w:szCs w:val="22"/>
              </w:rPr>
              <w:t>SEN</w:t>
            </w:r>
          </w:p>
        </w:tc>
        <w:tc>
          <w:tcPr>
            <w:tcW w:w="1404" w:type="dxa"/>
          </w:tcPr>
          <w:p w:rsidR="006F6A01" w:rsidRPr="00097D67" w:rsidRDefault="006F6A01" w:rsidP="000C3C21">
            <w:pPr>
              <w:jc w:val="right"/>
              <w:rPr>
                <w:sz w:val="22"/>
                <w:szCs w:val="22"/>
              </w:rPr>
            </w:pPr>
            <w:r w:rsidRPr="00097D67">
              <w:rPr>
                <w:sz w:val="22"/>
                <w:szCs w:val="22"/>
              </w:rPr>
              <w:t>6</w:t>
            </w:r>
          </w:p>
        </w:tc>
        <w:tc>
          <w:tcPr>
            <w:tcW w:w="1404" w:type="dxa"/>
          </w:tcPr>
          <w:p w:rsidR="006F6A01" w:rsidRPr="00097D67" w:rsidRDefault="006F6A01" w:rsidP="000C3C21">
            <w:pPr>
              <w:jc w:val="right"/>
              <w:rPr>
                <w:sz w:val="22"/>
                <w:szCs w:val="22"/>
              </w:rPr>
            </w:pPr>
            <w:r w:rsidRPr="00097D67">
              <w:rPr>
                <w:sz w:val="22"/>
                <w:szCs w:val="22"/>
              </w:rPr>
              <w:t>6</w:t>
            </w:r>
          </w:p>
        </w:tc>
        <w:tc>
          <w:tcPr>
            <w:tcW w:w="1070" w:type="dxa"/>
          </w:tcPr>
          <w:p w:rsidR="006F6A01" w:rsidRPr="00097D67" w:rsidRDefault="006F6A01" w:rsidP="000C3C21">
            <w:pPr>
              <w:jc w:val="right"/>
              <w:rPr>
                <w:sz w:val="22"/>
                <w:szCs w:val="22"/>
              </w:rPr>
            </w:pPr>
            <w:r w:rsidRPr="00097D67">
              <w:rPr>
                <w:sz w:val="22"/>
                <w:szCs w:val="22"/>
              </w:rPr>
              <w:t>9</w:t>
            </w:r>
          </w:p>
        </w:tc>
        <w:tc>
          <w:tcPr>
            <w:tcW w:w="1102" w:type="dxa"/>
          </w:tcPr>
          <w:p w:rsidR="006F6A01" w:rsidRPr="00097D67" w:rsidRDefault="00FD3E35" w:rsidP="006F6A01">
            <w:pPr>
              <w:jc w:val="right"/>
            </w:pPr>
            <w:r>
              <w:rPr>
                <w:sz w:val="22"/>
                <w:szCs w:val="22"/>
              </w:rPr>
              <w:t>9</w:t>
            </w:r>
          </w:p>
        </w:tc>
      </w:tr>
      <w:tr w:rsidR="006F6A01" w:rsidTr="000B45EB">
        <w:trPr>
          <w:trHeight w:val="256"/>
        </w:trPr>
        <w:tc>
          <w:tcPr>
            <w:tcW w:w="4635" w:type="dxa"/>
          </w:tcPr>
          <w:p w:rsidR="006F6A01" w:rsidRPr="00097D67" w:rsidRDefault="006F6A01">
            <w:r w:rsidRPr="00097D67">
              <w:rPr>
                <w:sz w:val="22"/>
                <w:szCs w:val="22"/>
              </w:rPr>
              <w:t>DSP – Grange Technology College</w:t>
            </w:r>
          </w:p>
        </w:tc>
        <w:tc>
          <w:tcPr>
            <w:tcW w:w="1250" w:type="dxa"/>
          </w:tcPr>
          <w:p w:rsidR="006F6A01" w:rsidRPr="00097D67" w:rsidRDefault="006F6A01" w:rsidP="00EE248A">
            <w:pPr>
              <w:jc w:val="center"/>
              <w:rPr>
                <w:sz w:val="22"/>
                <w:szCs w:val="22"/>
              </w:rPr>
            </w:pPr>
            <w:r w:rsidRPr="00097D67">
              <w:rPr>
                <w:sz w:val="22"/>
                <w:szCs w:val="22"/>
              </w:rPr>
              <w:t>SEN</w:t>
            </w:r>
          </w:p>
        </w:tc>
        <w:tc>
          <w:tcPr>
            <w:tcW w:w="1404" w:type="dxa"/>
          </w:tcPr>
          <w:p w:rsidR="006F6A01" w:rsidRPr="00097D67" w:rsidRDefault="006F6A01" w:rsidP="000C3C21">
            <w:pPr>
              <w:jc w:val="right"/>
              <w:rPr>
                <w:sz w:val="22"/>
                <w:szCs w:val="22"/>
              </w:rPr>
            </w:pPr>
            <w:r w:rsidRPr="00097D67">
              <w:rPr>
                <w:sz w:val="22"/>
                <w:szCs w:val="22"/>
              </w:rPr>
              <w:t>12</w:t>
            </w:r>
          </w:p>
        </w:tc>
        <w:tc>
          <w:tcPr>
            <w:tcW w:w="1404" w:type="dxa"/>
          </w:tcPr>
          <w:p w:rsidR="006F6A01" w:rsidRPr="00097D67" w:rsidRDefault="006F6A01" w:rsidP="000C3C21">
            <w:pPr>
              <w:jc w:val="right"/>
              <w:rPr>
                <w:sz w:val="22"/>
                <w:szCs w:val="22"/>
              </w:rPr>
            </w:pPr>
            <w:r w:rsidRPr="00097D67">
              <w:rPr>
                <w:sz w:val="22"/>
                <w:szCs w:val="22"/>
              </w:rPr>
              <w:t>17</w:t>
            </w:r>
          </w:p>
        </w:tc>
        <w:tc>
          <w:tcPr>
            <w:tcW w:w="1070" w:type="dxa"/>
          </w:tcPr>
          <w:p w:rsidR="006F6A01" w:rsidRPr="00097D67" w:rsidRDefault="006F6A01" w:rsidP="000C3C21">
            <w:pPr>
              <w:jc w:val="right"/>
              <w:rPr>
                <w:sz w:val="22"/>
                <w:szCs w:val="22"/>
              </w:rPr>
            </w:pPr>
            <w:r w:rsidRPr="00097D67">
              <w:rPr>
                <w:sz w:val="22"/>
                <w:szCs w:val="22"/>
              </w:rPr>
              <w:t>21</w:t>
            </w:r>
          </w:p>
        </w:tc>
        <w:tc>
          <w:tcPr>
            <w:tcW w:w="1102" w:type="dxa"/>
          </w:tcPr>
          <w:p w:rsidR="006F6A01" w:rsidRPr="00097D67" w:rsidRDefault="00097D67" w:rsidP="006F6A01">
            <w:pPr>
              <w:jc w:val="right"/>
            </w:pPr>
            <w:r w:rsidRPr="00097D67">
              <w:rPr>
                <w:sz w:val="22"/>
                <w:szCs w:val="22"/>
              </w:rPr>
              <w:t>21</w:t>
            </w:r>
          </w:p>
        </w:tc>
      </w:tr>
      <w:tr w:rsidR="006F6A01" w:rsidTr="000B45EB">
        <w:trPr>
          <w:trHeight w:val="241"/>
        </w:trPr>
        <w:tc>
          <w:tcPr>
            <w:tcW w:w="4635" w:type="dxa"/>
          </w:tcPr>
          <w:p w:rsidR="006F6A01" w:rsidRPr="00097D67" w:rsidRDefault="006F6A01" w:rsidP="00AD4C84">
            <w:r w:rsidRPr="00097D67">
              <w:rPr>
                <w:sz w:val="22"/>
                <w:szCs w:val="22"/>
              </w:rPr>
              <w:t>DSP – Parkside School</w:t>
            </w:r>
          </w:p>
        </w:tc>
        <w:tc>
          <w:tcPr>
            <w:tcW w:w="1250" w:type="dxa"/>
          </w:tcPr>
          <w:p w:rsidR="006F6A01" w:rsidRPr="00097D67" w:rsidRDefault="006F6A01" w:rsidP="00EE248A">
            <w:pPr>
              <w:jc w:val="center"/>
              <w:rPr>
                <w:sz w:val="22"/>
                <w:szCs w:val="22"/>
              </w:rPr>
            </w:pPr>
            <w:r w:rsidRPr="00097D67">
              <w:rPr>
                <w:sz w:val="22"/>
                <w:szCs w:val="22"/>
              </w:rPr>
              <w:t>SEN</w:t>
            </w:r>
          </w:p>
        </w:tc>
        <w:tc>
          <w:tcPr>
            <w:tcW w:w="1404" w:type="dxa"/>
          </w:tcPr>
          <w:p w:rsidR="006F6A01" w:rsidRPr="00097D67" w:rsidRDefault="006F6A01" w:rsidP="000C3C21">
            <w:pPr>
              <w:jc w:val="right"/>
              <w:rPr>
                <w:sz w:val="22"/>
                <w:szCs w:val="22"/>
              </w:rPr>
            </w:pPr>
            <w:r w:rsidRPr="00097D67">
              <w:rPr>
                <w:sz w:val="22"/>
                <w:szCs w:val="22"/>
              </w:rPr>
              <w:t>15</w:t>
            </w:r>
          </w:p>
        </w:tc>
        <w:tc>
          <w:tcPr>
            <w:tcW w:w="1404" w:type="dxa"/>
          </w:tcPr>
          <w:p w:rsidR="006F6A01" w:rsidRPr="00097D67" w:rsidRDefault="006F6A01" w:rsidP="000C3C21">
            <w:pPr>
              <w:jc w:val="right"/>
              <w:rPr>
                <w:sz w:val="22"/>
                <w:szCs w:val="22"/>
              </w:rPr>
            </w:pPr>
            <w:r w:rsidRPr="00097D67">
              <w:rPr>
                <w:sz w:val="22"/>
                <w:szCs w:val="22"/>
              </w:rPr>
              <w:t>16</w:t>
            </w:r>
          </w:p>
        </w:tc>
        <w:tc>
          <w:tcPr>
            <w:tcW w:w="1070" w:type="dxa"/>
          </w:tcPr>
          <w:p w:rsidR="006F6A01" w:rsidRPr="00097D67" w:rsidRDefault="006F6A01" w:rsidP="000C3C21">
            <w:pPr>
              <w:jc w:val="right"/>
              <w:rPr>
                <w:sz w:val="22"/>
                <w:szCs w:val="22"/>
              </w:rPr>
            </w:pPr>
            <w:r w:rsidRPr="00097D67">
              <w:rPr>
                <w:sz w:val="22"/>
                <w:szCs w:val="22"/>
              </w:rPr>
              <w:t>15</w:t>
            </w:r>
          </w:p>
        </w:tc>
        <w:tc>
          <w:tcPr>
            <w:tcW w:w="1102" w:type="dxa"/>
          </w:tcPr>
          <w:p w:rsidR="006F6A01" w:rsidRPr="00097D67" w:rsidRDefault="00097D67" w:rsidP="006F6A01">
            <w:pPr>
              <w:jc w:val="right"/>
            </w:pPr>
            <w:r w:rsidRPr="00097D67">
              <w:rPr>
                <w:sz w:val="22"/>
                <w:szCs w:val="22"/>
              </w:rPr>
              <w:t>16</w:t>
            </w:r>
          </w:p>
        </w:tc>
      </w:tr>
      <w:tr w:rsidR="006F6A01" w:rsidTr="000B45EB">
        <w:trPr>
          <w:trHeight w:val="256"/>
        </w:trPr>
        <w:tc>
          <w:tcPr>
            <w:tcW w:w="4635" w:type="dxa"/>
          </w:tcPr>
          <w:p w:rsidR="006F6A01" w:rsidRPr="00097D67" w:rsidRDefault="006F6A01" w:rsidP="00AD4C84">
            <w:r w:rsidRPr="00097D67">
              <w:rPr>
                <w:sz w:val="22"/>
                <w:szCs w:val="22"/>
              </w:rPr>
              <w:t>DSP – The Holy Family Catholic School</w:t>
            </w:r>
          </w:p>
        </w:tc>
        <w:tc>
          <w:tcPr>
            <w:tcW w:w="1250" w:type="dxa"/>
          </w:tcPr>
          <w:p w:rsidR="006F6A01" w:rsidRPr="00097D67" w:rsidRDefault="006F6A01" w:rsidP="00EE248A">
            <w:pPr>
              <w:jc w:val="center"/>
              <w:rPr>
                <w:sz w:val="22"/>
                <w:szCs w:val="22"/>
              </w:rPr>
            </w:pPr>
            <w:r w:rsidRPr="00097D67">
              <w:rPr>
                <w:sz w:val="22"/>
                <w:szCs w:val="22"/>
              </w:rPr>
              <w:t>SEN</w:t>
            </w:r>
          </w:p>
        </w:tc>
        <w:tc>
          <w:tcPr>
            <w:tcW w:w="1404" w:type="dxa"/>
          </w:tcPr>
          <w:p w:rsidR="006F6A01" w:rsidRPr="00097D67" w:rsidRDefault="006F6A01" w:rsidP="000C3C21">
            <w:pPr>
              <w:jc w:val="right"/>
              <w:rPr>
                <w:sz w:val="22"/>
                <w:szCs w:val="22"/>
              </w:rPr>
            </w:pPr>
            <w:r w:rsidRPr="00097D67">
              <w:rPr>
                <w:sz w:val="22"/>
                <w:szCs w:val="22"/>
              </w:rPr>
              <w:t>11</w:t>
            </w:r>
          </w:p>
        </w:tc>
        <w:tc>
          <w:tcPr>
            <w:tcW w:w="1404" w:type="dxa"/>
          </w:tcPr>
          <w:p w:rsidR="006F6A01" w:rsidRPr="00097D67" w:rsidRDefault="006F6A01" w:rsidP="000C3C21">
            <w:pPr>
              <w:jc w:val="right"/>
              <w:rPr>
                <w:sz w:val="22"/>
                <w:szCs w:val="22"/>
              </w:rPr>
            </w:pPr>
            <w:r w:rsidRPr="00097D67">
              <w:rPr>
                <w:sz w:val="22"/>
                <w:szCs w:val="22"/>
              </w:rPr>
              <w:t>11</w:t>
            </w:r>
          </w:p>
        </w:tc>
        <w:tc>
          <w:tcPr>
            <w:tcW w:w="1070" w:type="dxa"/>
          </w:tcPr>
          <w:p w:rsidR="006F6A01" w:rsidRPr="00097D67" w:rsidRDefault="006F6A01" w:rsidP="000C3C21">
            <w:pPr>
              <w:jc w:val="right"/>
              <w:rPr>
                <w:sz w:val="22"/>
                <w:szCs w:val="22"/>
              </w:rPr>
            </w:pPr>
            <w:r w:rsidRPr="00097D67">
              <w:rPr>
                <w:sz w:val="22"/>
                <w:szCs w:val="22"/>
              </w:rPr>
              <w:t>12</w:t>
            </w:r>
          </w:p>
        </w:tc>
        <w:tc>
          <w:tcPr>
            <w:tcW w:w="1102" w:type="dxa"/>
          </w:tcPr>
          <w:p w:rsidR="006F6A01" w:rsidRPr="00097D67" w:rsidRDefault="00097D67" w:rsidP="006F6A01">
            <w:pPr>
              <w:jc w:val="right"/>
            </w:pPr>
            <w:r w:rsidRPr="00097D67">
              <w:rPr>
                <w:sz w:val="22"/>
                <w:szCs w:val="22"/>
              </w:rPr>
              <w:t>14</w:t>
            </w:r>
          </w:p>
        </w:tc>
      </w:tr>
      <w:tr w:rsidR="006F6A01" w:rsidTr="000B45EB">
        <w:trPr>
          <w:trHeight w:val="241"/>
        </w:trPr>
        <w:tc>
          <w:tcPr>
            <w:tcW w:w="4635" w:type="dxa"/>
          </w:tcPr>
          <w:p w:rsidR="006F6A01" w:rsidRPr="00097D67" w:rsidRDefault="006F6A01" w:rsidP="00AD4C84">
            <w:r w:rsidRPr="00097D67">
              <w:rPr>
                <w:sz w:val="22"/>
                <w:szCs w:val="22"/>
              </w:rPr>
              <w:t>DSP – Thornton Grammar School</w:t>
            </w:r>
          </w:p>
        </w:tc>
        <w:tc>
          <w:tcPr>
            <w:tcW w:w="1250" w:type="dxa"/>
          </w:tcPr>
          <w:p w:rsidR="006F6A01" w:rsidRPr="00097D67" w:rsidRDefault="006F6A01" w:rsidP="00EE248A">
            <w:pPr>
              <w:jc w:val="center"/>
              <w:rPr>
                <w:sz w:val="22"/>
                <w:szCs w:val="22"/>
              </w:rPr>
            </w:pPr>
            <w:r w:rsidRPr="00097D67">
              <w:rPr>
                <w:sz w:val="22"/>
                <w:szCs w:val="22"/>
              </w:rPr>
              <w:t>SEN</w:t>
            </w:r>
          </w:p>
        </w:tc>
        <w:tc>
          <w:tcPr>
            <w:tcW w:w="1404" w:type="dxa"/>
          </w:tcPr>
          <w:p w:rsidR="006F6A01" w:rsidRPr="00097D67" w:rsidRDefault="006F6A01" w:rsidP="000C3C21">
            <w:pPr>
              <w:jc w:val="right"/>
              <w:rPr>
                <w:sz w:val="22"/>
                <w:szCs w:val="22"/>
              </w:rPr>
            </w:pPr>
            <w:r w:rsidRPr="00097D67">
              <w:rPr>
                <w:sz w:val="22"/>
                <w:szCs w:val="22"/>
              </w:rPr>
              <w:t>14</w:t>
            </w:r>
          </w:p>
        </w:tc>
        <w:tc>
          <w:tcPr>
            <w:tcW w:w="1404" w:type="dxa"/>
          </w:tcPr>
          <w:p w:rsidR="006F6A01" w:rsidRPr="00097D67" w:rsidRDefault="006F6A01" w:rsidP="000C3C21">
            <w:pPr>
              <w:jc w:val="right"/>
              <w:rPr>
                <w:sz w:val="22"/>
                <w:szCs w:val="22"/>
              </w:rPr>
            </w:pPr>
            <w:r w:rsidRPr="00097D67">
              <w:rPr>
                <w:sz w:val="22"/>
                <w:szCs w:val="22"/>
              </w:rPr>
              <w:t>15</w:t>
            </w:r>
          </w:p>
        </w:tc>
        <w:tc>
          <w:tcPr>
            <w:tcW w:w="1070" w:type="dxa"/>
          </w:tcPr>
          <w:p w:rsidR="006F6A01" w:rsidRPr="00097D67" w:rsidRDefault="006F6A01" w:rsidP="000C3C21">
            <w:pPr>
              <w:jc w:val="right"/>
              <w:rPr>
                <w:sz w:val="22"/>
                <w:szCs w:val="22"/>
              </w:rPr>
            </w:pPr>
            <w:r w:rsidRPr="00097D67">
              <w:rPr>
                <w:sz w:val="22"/>
                <w:szCs w:val="22"/>
              </w:rPr>
              <w:t>15</w:t>
            </w:r>
          </w:p>
        </w:tc>
        <w:tc>
          <w:tcPr>
            <w:tcW w:w="1102" w:type="dxa"/>
          </w:tcPr>
          <w:p w:rsidR="006F6A01" w:rsidRPr="00097D67" w:rsidRDefault="00097D67" w:rsidP="006F6A01">
            <w:pPr>
              <w:jc w:val="right"/>
            </w:pPr>
            <w:r w:rsidRPr="00097D67">
              <w:rPr>
                <w:sz w:val="22"/>
                <w:szCs w:val="22"/>
              </w:rPr>
              <w:t>17</w:t>
            </w:r>
          </w:p>
        </w:tc>
      </w:tr>
      <w:tr w:rsidR="006F6A01" w:rsidTr="000B45EB">
        <w:trPr>
          <w:trHeight w:val="256"/>
        </w:trPr>
        <w:tc>
          <w:tcPr>
            <w:tcW w:w="4635" w:type="dxa"/>
          </w:tcPr>
          <w:p w:rsidR="006F6A01" w:rsidRPr="00097D67" w:rsidRDefault="006F6A01" w:rsidP="00AD4C84">
            <w:r w:rsidRPr="00097D67">
              <w:rPr>
                <w:sz w:val="22"/>
                <w:szCs w:val="22"/>
              </w:rPr>
              <w:t>DSP – Titus Salt School</w:t>
            </w:r>
          </w:p>
        </w:tc>
        <w:tc>
          <w:tcPr>
            <w:tcW w:w="1250" w:type="dxa"/>
          </w:tcPr>
          <w:p w:rsidR="006F6A01" w:rsidRPr="00097D67" w:rsidRDefault="006F6A01" w:rsidP="00EE248A">
            <w:pPr>
              <w:jc w:val="center"/>
              <w:rPr>
                <w:sz w:val="22"/>
                <w:szCs w:val="22"/>
              </w:rPr>
            </w:pPr>
            <w:r w:rsidRPr="00097D67">
              <w:rPr>
                <w:sz w:val="22"/>
                <w:szCs w:val="22"/>
              </w:rPr>
              <w:t>SEN</w:t>
            </w:r>
          </w:p>
        </w:tc>
        <w:tc>
          <w:tcPr>
            <w:tcW w:w="1404" w:type="dxa"/>
          </w:tcPr>
          <w:p w:rsidR="006F6A01" w:rsidRPr="00097D67" w:rsidRDefault="006F6A01" w:rsidP="000C3C21">
            <w:pPr>
              <w:jc w:val="right"/>
              <w:rPr>
                <w:sz w:val="22"/>
                <w:szCs w:val="22"/>
              </w:rPr>
            </w:pPr>
            <w:r w:rsidRPr="00097D67">
              <w:rPr>
                <w:sz w:val="22"/>
                <w:szCs w:val="22"/>
              </w:rPr>
              <w:t>16</w:t>
            </w:r>
          </w:p>
        </w:tc>
        <w:tc>
          <w:tcPr>
            <w:tcW w:w="1404" w:type="dxa"/>
          </w:tcPr>
          <w:p w:rsidR="006F6A01" w:rsidRPr="00097D67" w:rsidRDefault="006F6A01" w:rsidP="000C3C21">
            <w:pPr>
              <w:jc w:val="right"/>
              <w:rPr>
                <w:sz w:val="22"/>
                <w:szCs w:val="22"/>
              </w:rPr>
            </w:pPr>
            <w:r w:rsidRPr="00097D67">
              <w:rPr>
                <w:sz w:val="22"/>
                <w:szCs w:val="22"/>
              </w:rPr>
              <w:t>17</w:t>
            </w:r>
          </w:p>
        </w:tc>
        <w:tc>
          <w:tcPr>
            <w:tcW w:w="1070" w:type="dxa"/>
          </w:tcPr>
          <w:p w:rsidR="006F6A01" w:rsidRPr="00097D67" w:rsidRDefault="006F6A01" w:rsidP="000C3C21">
            <w:pPr>
              <w:jc w:val="right"/>
              <w:rPr>
                <w:sz w:val="22"/>
                <w:szCs w:val="22"/>
              </w:rPr>
            </w:pPr>
            <w:r w:rsidRPr="00097D67">
              <w:rPr>
                <w:sz w:val="22"/>
                <w:szCs w:val="22"/>
              </w:rPr>
              <w:t>15</w:t>
            </w:r>
          </w:p>
        </w:tc>
        <w:tc>
          <w:tcPr>
            <w:tcW w:w="1102" w:type="dxa"/>
          </w:tcPr>
          <w:p w:rsidR="006F6A01" w:rsidRPr="00097D67" w:rsidRDefault="00097D67" w:rsidP="006F6A01">
            <w:pPr>
              <w:jc w:val="right"/>
            </w:pPr>
            <w:r w:rsidRPr="00097D67">
              <w:rPr>
                <w:sz w:val="22"/>
                <w:szCs w:val="22"/>
              </w:rPr>
              <w:t>17</w:t>
            </w:r>
          </w:p>
        </w:tc>
      </w:tr>
      <w:tr w:rsidR="006F6A01" w:rsidTr="000B45EB">
        <w:trPr>
          <w:trHeight w:val="241"/>
        </w:trPr>
        <w:tc>
          <w:tcPr>
            <w:tcW w:w="4635" w:type="dxa"/>
          </w:tcPr>
          <w:p w:rsidR="006F6A01" w:rsidRPr="00097D67" w:rsidRDefault="006F6A01" w:rsidP="00AD4C84">
            <w:r w:rsidRPr="00097D67">
              <w:rPr>
                <w:sz w:val="22"/>
                <w:szCs w:val="22"/>
              </w:rPr>
              <w:t>DSP – Bradford Academy</w:t>
            </w:r>
          </w:p>
        </w:tc>
        <w:tc>
          <w:tcPr>
            <w:tcW w:w="1250" w:type="dxa"/>
          </w:tcPr>
          <w:p w:rsidR="006F6A01" w:rsidRPr="00097D67" w:rsidRDefault="006F6A01" w:rsidP="00EE248A">
            <w:pPr>
              <w:jc w:val="center"/>
              <w:rPr>
                <w:sz w:val="22"/>
                <w:szCs w:val="22"/>
              </w:rPr>
            </w:pPr>
            <w:r w:rsidRPr="00097D67">
              <w:rPr>
                <w:sz w:val="22"/>
                <w:szCs w:val="22"/>
              </w:rPr>
              <w:t>SEN</w:t>
            </w:r>
          </w:p>
        </w:tc>
        <w:tc>
          <w:tcPr>
            <w:tcW w:w="1404" w:type="dxa"/>
          </w:tcPr>
          <w:p w:rsidR="006F6A01" w:rsidRPr="00097D67" w:rsidRDefault="006F6A01" w:rsidP="000C3C21">
            <w:pPr>
              <w:jc w:val="right"/>
              <w:rPr>
                <w:sz w:val="22"/>
                <w:szCs w:val="22"/>
              </w:rPr>
            </w:pPr>
            <w:r w:rsidRPr="00097D67">
              <w:rPr>
                <w:sz w:val="22"/>
                <w:szCs w:val="22"/>
              </w:rPr>
              <w:t>20</w:t>
            </w:r>
          </w:p>
        </w:tc>
        <w:tc>
          <w:tcPr>
            <w:tcW w:w="1404" w:type="dxa"/>
          </w:tcPr>
          <w:p w:rsidR="006F6A01" w:rsidRPr="00097D67" w:rsidRDefault="006F6A01" w:rsidP="000C3C21">
            <w:pPr>
              <w:jc w:val="right"/>
              <w:rPr>
                <w:sz w:val="22"/>
                <w:szCs w:val="22"/>
              </w:rPr>
            </w:pPr>
            <w:r w:rsidRPr="00097D67">
              <w:rPr>
                <w:sz w:val="22"/>
                <w:szCs w:val="22"/>
              </w:rPr>
              <w:t>22</w:t>
            </w:r>
          </w:p>
        </w:tc>
        <w:tc>
          <w:tcPr>
            <w:tcW w:w="1070" w:type="dxa"/>
          </w:tcPr>
          <w:p w:rsidR="006F6A01" w:rsidRPr="00097D67" w:rsidRDefault="006F6A01" w:rsidP="000C3C21">
            <w:pPr>
              <w:jc w:val="right"/>
              <w:rPr>
                <w:sz w:val="22"/>
                <w:szCs w:val="22"/>
              </w:rPr>
            </w:pPr>
            <w:r w:rsidRPr="00097D67">
              <w:rPr>
                <w:sz w:val="22"/>
                <w:szCs w:val="22"/>
              </w:rPr>
              <w:t>22</w:t>
            </w:r>
          </w:p>
        </w:tc>
        <w:tc>
          <w:tcPr>
            <w:tcW w:w="1102" w:type="dxa"/>
          </w:tcPr>
          <w:p w:rsidR="006F6A01" w:rsidRPr="00097D67" w:rsidRDefault="00097D67" w:rsidP="006F6A01">
            <w:pPr>
              <w:jc w:val="right"/>
            </w:pPr>
            <w:r w:rsidRPr="00097D67">
              <w:rPr>
                <w:sz w:val="22"/>
                <w:szCs w:val="22"/>
              </w:rPr>
              <w:t>22</w:t>
            </w:r>
          </w:p>
        </w:tc>
      </w:tr>
      <w:tr w:rsidR="006F6A01" w:rsidTr="000B45EB">
        <w:trPr>
          <w:trHeight w:val="256"/>
        </w:trPr>
        <w:tc>
          <w:tcPr>
            <w:tcW w:w="4635" w:type="dxa"/>
          </w:tcPr>
          <w:p w:rsidR="006F6A01" w:rsidRPr="0094226F" w:rsidRDefault="006F6A01" w:rsidP="00167917">
            <w:pPr>
              <w:jc w:val="both"/>
              <w:rPr>
                <w:sz w:val="22"/>
                <w:szCs w:val="22"/>
              </w:rPr>
            </w:pPr>
            <w:r>
              <w:rPr>
                <w:sz w:val="22"/>
                <w:szCs w:val="22"/>
              </w:rPr>
              <w:t>Education in Hospital – Airedale</w:t>
            </w:r>
          </w:p>
        </w:tc>
        <w:tc>
          <w:tcPr>
            <w:tcW w:w="1250" w:type="dxa"/>
          </w:tcPr>
          <w:p w:rsidR="006F6A01" w:rsidRPr="0094226F" w:rsidRDefault="006F6A01" w:rsidP="00EE248A">
            <w:pPr>
              <w:jc w:val="center"/>
              <w:rPr>
                <w:sz w:val="22"/>
                <w:szCs w:val="22"/>
              </w:rPr>
            </w:pPr>
            <w:r>
              <w:rPr>
                <w:sz w:val="22"/>
                <w:szCs w:val="22"/>
              </w:rPr>
              <w:t>SEN</w:t>
            </w:r>
          </w:p>
        </w:tc>
        <w:tc>
          <w:tcPr>
            <w:tcW w:w="1404" w:type="dxa"/>
          </w:tcPr>
          <w:p w:rsidR="006F6A01" w:rsidRPr="0094226F" w:rsidRDefault="006F6A01" w:rsidP="000C3C21">
            <w:pPr>
              <w:jc w:val="right"/>
              <w:rPr>
                <w:sz w:val="22"/>
                <w:szCs w:val="22"/>
              </w:rPr>
            </w:pPr>
            <w:r>
              <w:rPr>
                <w:sz w:val="22"/>
                <w:szCs w:val="22"/>
              </w:rPr>
              <w:t>9</w:t>
            </w:r>
          </w:p>
        </w:tc>
        <w:tc>
          <w:tcPr>
            <w:tcW w:w="1404" w:type="dxa"/>
          </w:tcPr>
          <w:p w:rsidR="006F6A01" w:rsidRPr="0094226F" w:rsidRDefault="006F6A01" w:rsidP="000C3C21">
            <w:pPr>
              <w:jc w:val="right"/>
              <w:rPr>
                <w:sz w:val="22"/>
                <w:szCs w:val="22"/>
              </w:rPr>
            </w:pPr>
            <w:r>
              <w:rPr>
                <w:sz w:val="22"/>
                <w:szCs w:val="22"/>
              </w:rPr>
              <w:t>9</w:t>
            </w:r>
          </w:p>
        </w:tc>
        <w:tc>
          <w:tcPr>
            <w:tcW w:w="1070" w:type="dxa"/>
          </w:tcPr>
          <w:p w:rsidR="006F6A01" w:rsidRPr="0094226F" w:rsidRDefault="001B55EA" w:rsidP="000C3C21">
            <w:pPr>
              <w:jc w:val="right"/>
              <w:rPr>
                <w:sz w:val="22"/>
                <w:szCs w:val="22"/>
              </w:rPr>
            </w:pPr>
            <w:r>
              <w:rPr>
                <w:sz w:val="22"/>
                <w:szCs w:val="22"/>
              </w:rPr>
              <w:t>11</w:t>
            </w:r>
          </w:p>
        </w:tc>
        <w:tc>
          <w:tcPr>
            <w:tcW w:w="1102" w:type="dxa"/>
          </w:tcPr>
          <w:p w:rsidR="006F6A01" w:rsidRPr="003A5794" w:rsidRDefault="003A5794" w:rsidP="003A5794">
            <w:pPr>
              <w:jc w:val="right"/>
              <w:rPr>
                <w:color w:val="000000" w:themeColor="text1"/>
              </w:rPr>
            </w:pPr>
            <w:r w:rsidRPr="003A5794">
              <w:rPr>
                <w:color w:val="000000" w:themeColor="text1"/>
              </w:rPr>
              <w:t>11</w:t>
            </w:r>
          </w:p>
        </w:tc>
      </w:tr>
      <w:tr w:rsidR="006F6A01" w:rsidTr="000B45EB">
        <w:trPr>
          <w:trHeight w:val="241"/>
        </w:trPr>
        <w:tc>
          <w:tcPr>
            <w:tcW w:w="4635" w:type="dxa"/>
          </w:tcPr>
          <w:p w:rsidR="006F6A01" w:rsidRPr="0094226F" w:rsidRDefault="006F6A01" w:rsidP="00167917">
            <w:pPr>
              <w:jc w:val="both"/>
              <w:rPr>
                <w:sz w:val="22"/>
                <w:szCs w:val="22"/>
              </w:rPr>
            </w:pPr>
            <w:r>
              <w:rPr>
                <w:sz w:val="22"/>
                <w:szCs w:val="22"/>
              </w:rPr>
              <w:t>Education in Hospital – BRI</w:t>
            </w:r>
          </w:p>
        </w:tc>
        <w:tc>
          <w:tcPr>
            <w:tcW w:w="1250" w:type="dxa"/>
          </w:tcPr>
          <w:p w:rsidR="006F6A01" w:rsidRPr="0094226F" w:rsidRDefault="006F6A01" w:rsidP="00EE248A">
            <w:pPr>
              <w:jc w:val="center"/>
              <w:rPr>
                <w:sz w:val="22"/>
                <w:szCs w:val="22"/>
              </w:rPr>
            </w:pPr>
            <w:r>
              <w:rPr>
                <w:sz w:val="22"/>
                <w:szCs w:val="22"/>
              </w:rPr>
              <w:t>SEN</w:t>
            </w:r>
          </w:p>
        </w:tc>
        <w:tc>
          <w:tcPr>
            <w:tcW w:w="1404" w:type="dxa"/>
          </w:tcPr>
          <w:p w:rsidR="006F6A01" w:rsidRPr="0094226F" w:rsidRDefault="006F6A01" w:rsidP="000C3C21">
            <w:pPr>
              <w:jc w:val="right"/>
              <w:rPr>
                <w:sz w:val="22"/>
                <w:szCs w:val="22"/>
              </w:rPr>
            </w:pPr>
            <w:r>
              <w:rPr>
                <w:sz w:val="22"/>
                <w:szCs w:val="22"/>
              </w:rPr>
              <w:t>22</w:t>
            </w:r>
          </w:p>
        </w:tc>
        <w:tc>
          <w:tcPr>
            <w:tcW w:w="1404" w:type="dxa"/>
          </w:tcPr>
          <w:p w:rsidR="006F6A01" w:rsidRPr="0094226F" w:rsidRDefault="006F6A01" w:rsidP="000C3C21">
            <w:pPr>
              <w:jc w:val="right"/>
              <w:rPr>
                <w:sz w:val="22"/>
                <w:szCs w:val="22"/>
              </w:rPr>
            </w:pPr>
            <w:r>
              <w:rPr>
                <w:sz w:val="22"/>
                <w:szCs w:val="22"/>
              </w:rPr>
              <w:t>22</w:t>
            </w:r>
          </w:p>
        </w:tc>
        <w:tc>
          <w:tcPr>
            <w:tcW w:w="1070" w:type="dxa"/>
          </w:tcPr>
          <w:p w:rsidR="006F6A01" w:rsidRPr="0094226F" w:rsidRDefault="001B55EA" w:rsidP="000C3C21">
            <w:pPr>
              <w:jc w:val="right"/>
              <w:rPr>
                <w:sz w:val="22"/>
                <w:szCs w:val="22"/>
              </w:rPr>
            </w:pPr>
            <w:r>
              <w:rPr>
                <w:sz w:val="22"/>
                <w:szCs w:val="22"/>
              </w:rPr>
              <w:t>22</w:t>
            </w:r>
          </w:p>
        </w:tc>
        <w:tc>
          <w:tcPr>
            <w:tcW w:w="1102" w:type="dxa"/>
          </w:tcPr>
          <w:p w:rsidR="006F6A01" w:rsidRPr="003A5794" w:rsidRDefault="003A5794" w:rsidP="003A5794">
            <w:pPr>
              <w:jc w:val="right"/>
              <w:rPr>
                <w:color w:val="000000" w:themeColor="text1"/>
              </w:rPr>
            </w:pPr>
            <w:r w:rsidRPr="003A5794">
              <w:rPr>
                <w:color w:val="000000" w:themeColor="text1"/>
                <w:sz w:val="22"/>
                <w:szCs w:val="22"/>
              </w:rPr>
              <w:t>22</w:t>
            </w:r>
          </w:p>
        </w:tc>
      </w:tr>
      <w:tr w:rsidR="006F6A01" w:rsidTr="000B45EB">
        <w:trPr>
          <w:trHeight w:val="256"/>
        </w:trPr>
        <w:tc>
          <w:tcPr>
            <w:tcW w:w="4635" w:type="dxa"/>
          </w:tcPr>
          <w:p w:rsidR="006F6A01" w:rsidRPr="0094226F" w:rsidRDefault="006F6A01" w:rsidP="00167917">
            <w:pPr>
              <w:jc w:val="both"/>
              <w:rPr>
                <w:sz w:val="22"/>
                <w:szCs w:val="22"/>
              </w:rPr>
            </w:pPr>
            <w:r>
              <w:rPr>
                <w:sz w:val="22"/>
                <w:szCs w:val="22"/>
              </w:rPr>
              <w:t>Tracks</w:t>
            </w:r>
          </w:p>
        </w:tc>
        <w:tc>
          <w:tcPr>
            <w:tcW w:w="1250" w:type="dxa"/>
          </w:tcPr>
          <w:p w:rsidR="006F6A01" w:rsidRPr="0094226F" w:rsidRDefault="006F6A01" w:rsidP="00EE248A">
            <w:pPr>
              <w:jc w:val="center"/>
              <w:rPr>
                <w:sz w:val="22"/>
                <w:szCs w:val="22"/>
              </w:rPr>
            </w:pPr>
            <w:r>
              <w:rPr>
                <w:sz w:val="22"/>
                <w:szCs w:val="22"/>
              </w:rPr>
              <w:t>SEN</w:t>
            </w:r>
          </w:p>
        </w:tc>
        <w:tc>
          <w:tcPr>
            <w:tcW w:w="1404" w:type="dxa"/>
          </w:tcPr>
          <w:p w:rsidR="006F6A01" w:rsidRPr="0094226F" w:rsidRDefault="006F6A01" w:rsidP="000C3C21">
            <w:pPr>
              <w:jc w:val="right"/>
              <w:rPr>
                <w:sz w:val="22"/>
                <w:szCs w:val="22"/>
              </w:rPr>
            </w:pPr>
            <w:r>
              <w:rPr>
                <w:sz w:val="22"/>
                <w:szCs w:val="22"/>
              </w:rPr>
              <w:t>13</w:t>
            </w:r>
          </w:p>
        </w:tc>
        <w:tc>
          <w:tcPr>
            <w:tcW w:w="1404" w:type="dxa"/>
          </w:tcPr>
          <w:p w:rsidR="006F6A01" w:rsidRPr="0094226F" w:rsidRDefault="006F6A01" w:rsidP="000C3C21">
            <w:pPr>
              <w:jc w:val="right"/>
              <w:rPr>
                <w:sz w:val="22"/>
                <w:szCs w:val="22"/>
              </w:rPr>
            </w:pPr>
            <w:r>
              <w:rPr>
                <w:sz w:val="22"/>
                <w:szCs w:val="22"/>
              </w:rPr>
              <w:t>13</w:t>
            </w:r>
          </w:p>
        </w:tc>
        <w:tc>
          <w:tcPr>
            <w:tcW w:w="1070" w:type="dxa"/>
          </w:tcPr>
          <w:p w:rsidR="006F6A01" w:rsidRPr="0094226F" w:rsidRDefault="006F6A01" w:rsidP="000C3C21">
            <w:pPr>
              <w:jc w:val="right"/>
              <w:rPr>
                <w:sz w:val="22"/>
                <w:szCs w:val="22"/>
              </w:rPr>
            </w:pPr>
            <w:r>
              <w:rPr>
                <w:sz w:val="22"/>
                <w:szCs w:val="22"/>
              </w:rPr>
              <w:t>16</w:t>
            </w:r>
          </w:p>
        </w:tc>
        <w:tc>
          <w:tcPr>
            <w:tcW w:w="1102" w:type="dxa"/>
          </w:tcPr>
          <w:p w:rsidR="006F6A01" w:rsidRPr="003A5794" w:rsidRDefault="003A5794" w:rsidP="003A5794">
            <w:pPr>
              <w:jc w:val="right"/>
              <w:rPr>
                <w:color w:val="000000" w:themeColor="text1"/>
              </w:rPr>
            </w:pPr>
            <w:r w:rsidRPr="003A5794">
              <w:rPr>
                <w:color w:val="000000" w:themeColor="text1"/>
                <w:sz w:val="22"/>
                <w:szCs w:val="22"/>
              </w:rPr>
              <w:t>16</w:t>
            </w:r>
          </w:p>
        </w:tc>
      </w:tr>
      <w:tr w:rsidR="006F6A01" w:rsidTr="000B45EB">
        <w:trPr>
          <w:trHeight w:val="256"/>
        </w:trPr>
        <w:tc>
          <w:tcPr>
            <w:tcW w:w="4635" w:type="dxa"/>
          </w:tcPr>
          <w:p w:rsidR="006F6A01" w:rsidRPr="00253889" w:rsidRDefault="006F6A01" w:rsidP="00167917">
            <w:pPr>
              <w:jc w:val="both"/>
              <w:rPr>
                <w:sz w:val="22"/>
                <w:szCs w:val="22"/>
              </w:rPr>
            </w:pPr>
            <w:r w:rsidRPr="00253889">
              <w:rPr>
                <w:sz w:val="22"/>
                <w:szCs w:val="22"/>
              </w:rPr>
              <w:t>Post 16 Places in mainstream Bradford</w:t>
            </w:r>
          </w:p>
        </w:tc>
        <w:tc>
          <w:tcPr>
            <w:tcW w:w="1250" w:type="dxa"/>
          </w:tcPr>
          <w:p w:rsidR="006F6A01" w:rsidRPr="0094226F" w:rsidRDefault="006F6A01" w:rsidP="008746F9">
            <w:pPr>
              <w:jc w:val="center"/>
              <w:rPr>
                <w:sz w:val="22"/>
                <w:szCs w:val="22"/>
              </w:rPr>
            </w:pPr>
            <w:r>
              <w:rPr>
                <w:sz w:val="22"/>
                <w:szCs w:val="22"/>
              </w:rPr>
              <w:t>SEN</w:t>
            </w:r>
          </w:p>
        </w:tc>
        <w:tc>
          <w:tcPr>
            <w:tcW w:w="1404" w:type="dxa"/>
          </w:tcPr>
          <w:p w:rsidR="006F6A01" w:rsidRPr="00E417C0" w:rsidRDefault="00E417C0" w:rsidP="000B5168">
            <w:pPr>
              <w:jc w:val="right"/>
              <w:rPr>
                <w:sz w:val="22"/>
                <w:szCs w:val="22"/>
              </w:rPr>
            </w:pPr>
            <w:r w:rsidRPr="00E417C0">
              <w:rPr>
                <w:sz w:val="22"/>
                <w:szCs w:val="22"/>
              </w:rPr>
              <w:t>38</w:t>
            </w:r>
          </w:p>
        </w:tc>
        <w:tc>
          <w:tcPr>
            <w:tcW w:w="1404" w:type="dxa"/>
          </w:tcPr>
          <w:p w:rsidR="006F6A01" w:rsidRPr="00E417C0" w:rsidRDefault="00E417C0" w:rsidP="000B5168">
            <w:pPr>
              <w:jc w:val="right"/>
            </w:pPr>
            <w:r w:rsidRPr="00E417C0">
              <w:rPr>
                <w:sz w:val="22"/>
                <w:szCs w:val="22"/>
              </w:rPr>
              <w:t>38</w:t>
            </w:r>
          </w:p>
        </w:tc>
        <w:tc>
          <w:tcPr>
            <w:tcW w:w="1070" w:type="dxa"/>
          </w:tcPr>
          <w:p w:rsidR="006F6A01" w:rsidRPr="00E417C0" w:rsidRDefault="006F6A01" w:rsidP="000C3C21">
            <w:pPr>
              <w:jc w:val="right"/>
              <w:rPr>
                <w:sz w:val="22"/>
                <w:szCs w:val="22"/>
              </w:rPr>
            </w:pPr>
            <w:r w:rsidRPr="00E417C0">
              <w:rPr>
                <w:sz w:val="22"/>
                <w:szCs w:val="22"/>
              </w:rPr>
              <w:t>38</w:t>
            </w:r>
          </w:p>
        </w:tc>
        <w:tc>
          <w:tcPr>
            <w:tcW w:w="1102" w:type="dxa"/>
          </w:tcPr>
          <w:p w:rsidR="006F6A01" w:rsidRPr="006F6A01" w:rsidRDefault="00253889" w:rsidP="006F6A01">
            <w:pPr>
              <w:jc w:val="right"/>
              <w:rPr>
                <w:highlight w:val="yellow"/>
              </w:rPr>
            </w:pPr>
            <w:r w:rsidRPr="00253889">
              <w:rPr>
                <w:sz w:val="22"/>
                <w:szCs w:val="22"/>
              </w:rPr>
              <w:t>38</w:t>
            </w:r>
          </w:p>
        </w:tc>
      </w:tr>
      <w:tr w:rsidR="00E417C0" w:rsidTr="000B45EB">
        <w:trPr>
          <w:trHeight w:val="241"/>
        </w:trPr>
        <w:tc>
          <w:tcPr>
            <w:tcW w:w="4635" w:type="dxa"/>
          </w:tcPr>
          <w:p w:rsidR="00E417C0" w:rsidRPr="00253889" w:rsidRDefault="00E417C0" w:rsidP="00167917">
            <w:pPr>
              <w:jc w:val="both"/>
              <w:rPr>
                <w:sz w:val="22"/>
                <w:szCs w:val="22"/>
              </w:rPr>
            </w:pPr>
            <w:r w:rsidRPr="00253889">
              <w:rPr>
                <w:sz w:val="22"/>
                <w:szCs w:val="22"/>
              </w:rPr>
              <w:t>Places in Non Maintained Special Schools</w:t>
            </w:r>
          </w:p>
        </w:tc>
        <w:tc>
          <w:tcPr>
            <w:tcW w:w="1250" w:type="dxa"/>
          </w:tcPr>
          <w:p w:rsidR="00E417C0" w:rsidRPr="0094226F" w:rsidRDefault="00E417C0" w:rsidP="008746F9">
            <w:pPr>
              <w:jc w:val="center"/>
              <w:rPr>
                <w:sz w:val="22"/>
                <w:szCs w:val="22"/>
              </w:rPr>
            </w:pPr>
            <w:r>
              <w:rPr>
                <w:sz w:val="22"/>
                <w:szCs w:val="22"/>
              </w:rPr>
              <w:t>SEN</w:t>
            </w:r>
          </w:p>
        </w:tc>
        <w:tc>
          <w:tcPr>
            <w:tcW w:w="1404" w:type="dxa"/>
          </w:tcPr>
          <w:p w:rsidR="00E417C0" w:rsidRPr="006B2F4B" w:rsidRDefault="00E417C0" w:rsidP="000B5168">
            <w:pPr>
              <w:jc w:val="right"/>
              <w:rPr>
                <w:sz w:val="22"/>
                <w:szCs w:val="22"/>
              </w:rPr>
            </w:pPr>
            <w:r w:rsidRPr="00E417C0">
              <w:rPr>
                <w:sz w:val="22"/>
                <w:szCs w:val="22"/>
              </w:rPr>
              <w:t>15</w:t>
            </w:r>
          </w:p>
        </w:tc>
        <w:tc>
          <w:tcPr>
            <w:tcW w:w="1404" w:type="dxa"/>
          </w:tcPr>
          <w:p w:rsidR="00E417C0" w:rsidRPr="006B2F4B" w:rsidRDefault="00E417C0" w:rsidP="00E417C0">
            <w:pPr>
              <w:jc w:val="right"/>
              <w:rPr>
                <w:sz w:val="22"/>
                <w:szCs w:val="22"/>
              </w:rPr>
            </w:pPr>
            <w:r w:rsidRPr="00093973">
              <w:rPr>
                <w:sz w:val="22"/>
                <w:szCs w:val="22"/>
              </w:rPr>
              <w:t>15</w:t>
            </w:r>
          </w:p>
        </w:tc>
        <w:tc>
          <w:tcPr>
            <w:tcW w:w="1070" w:type="dxa"/>
          </w:tcPr>
          <w:p w:rsidR="00E417C0" w:rsidRDefault="00E417C0" w:rsidP="00E417C0">
            <w:pPr>
              <w:jc w:val="right"/>
            </w:pPr>
            <w:r w:rsidRPr="00093973">
              <w:rPr>
                <w:sz w:val="22"/>
                <w:szCs w:val="22"/>
              </w:rPr>
              <w:t>15</w:t>
            </w:r>
          </w:p>
        </w:tc>
        <w:tc>
          <w:tcPr>
            <w:tcW w:w="1102" w:type="dxa"/>
          </w:tcPr>
          <w:p w:rsidR="00E417C0" w:rsidRPr="00253889" w:rsidRDefault="00E417C0" w:rsidP="006F6A01">
            <w:pPr>
              <w:jc w:val="right"/>
              <w:rPr>
                <w:highlight w:val="yellow"/>
              </w:rPr>
            </w:pPr>
            <w:r w:rsidRPr="00253889">
              <w:rPr>
                <w:sz w:val="22"/>
                <w:szCs w:val="22"/>
              </w:rPr>
              <w:t>20</w:t>
            </w:r>
          </w:p>
        </w:tc>
      </w:tr>
      <w:tr w:rsidR="006F6A01" w:rsidTr="000B45EB">
        <w:trPr>
          <w:trHeight w:val="256"/>
        </w:trPr>
        <w:tc>
          <w:tcPr>
            <w:tcW w:w="4635" w:type="dxa"/>
          </w:tcPr>
          <w:p w:rsidR="006F6A01" w:rsidRPr="00253889" w:rsidRDefault="006F6A01" w:rsidP="00167917">
            <w:pPr>
              <w:jc w:val="both"/>
              <w:rPr>
                <w:sz w:val="22"/>
                <w:szCs w:val="22"/>
              </w:rPr>
            </w:pPr>
            <w:r w:rsidRPr="00253889">
              <w:rPr>
                <w:sz w:val="22"/>
                <w:szCs w:val="22"/>
              </w:rPr>
              <w:t>Places in Other Local Authority Provisions</w:t>
            </w:r>
          </w:p>
        </w:tc>
        <w:tc>
          <w:tcPr>
            <w:tcW w:w="1250" w:type="dxa"/>
          </w:tcPr>
          <w:p w:rsidR="006F6A01" w:rsidRPr="0094226F" w:rsidRDefault="006F6A01" w:rsidP="008746F9">
            <w:pPr>
              <w:jc w:val="center"/>
              <w:rPr>
                <w:sz w:val="22"/>
                <w:szCs w:val="22"/>
              </w:rPr>
            </w:pPr>
            <w:r>
              <w:rPr>
                <w:sz w:val="22"/>
                <w:szCs w:val="22"/>
              </w:rPr>
              <w:t>SEN</w:t>
            </w:r>
          </w:p>
        </w:tc>
        <w:tc>
          <w:tcPr>
            <w:tcW w:w="1404" w:type="dxa"/>
          </w:tcPr>
          <w:p w:rsidR="006F6A01" w:rsidRPr="006B2F4B" w:rsidRDefault="00E417C0" w:rsidP="000B5168">
            <w:pPr>
              <w:jc w:val="right"/>
              <w:rPr>
                <w:sz w:val="22"/>
                <w:szCs w:val="22"/>
              </w:rPr>
            </w:pPr>
            <w:r w:rsidRPr="00E417C0">
              <w:rPr>
                <w:sz w:val="22"/>
                <w:szCs w:val="22"/>
              </w:rPr>
              <w:t>16</w:t>
            </w:r>
          </w:p>
        </w:tc>
        <w:tc>
          <w:tcPr>
            <w:tcW w:w="1404" w:type="dxa"/>
          </w:tcPr>
          <w:p w:rsidR="006F6A01" w:rsidRPr="006B2F4B" w:rsidRDefault="00E417C0" w:rsidP="000B5168">
            <w:pPr>
              <w:jc w:val="right"/>
              <w:rPr>
                <w:sz w:val="22"/>
                <w:szCs w:val="22"/>
              </w:rPr>
            </w:pPr>
            <w:r w:rsidRPr="00E417C0">
              <w:rPr>
                <w:sz w:val="22"/>
                <w:szCs w:val="22"/>
              </w:rPr>
              <w:t>16</w:t>
            </w:r>
          </w:p>
        </w:tc>
        <w:tc>
          <w:tcPr>
            <w:tcW w:w="1070" w:type="dxa"/>
          </w:tcPr>
          <w:p w:rsidR="006F6A01" w:rsidRPr="00E417C0" w:rsidRDefault="006F6A01" w:rsidP="000C3C21">
            <w:pPr>
              <w:jc w:val="right"/>
              <w:rPr>
                <w:sz w:val="22"/>
                <w:szCs w:val="22"/>
              </w:rPr>
            </w:pPr>
            <w:r w:rsidRPr="00E417C0">
              <w:rPr>
                <w:sz w:val="22"/>
                <w:szCs w:val="22"/>
              </w:rPr>
              <w:t>16</w:t>
            </w:r>
          </w:p>
        </w:tc>
        <w:tc>
          <w:tcPr>
            <w:tcW w:w="1102" w:type="dxa"/>
          </w:tcPr>
          <w:p w:rsidR="006F6A01" w:rsidRPr="006F6A01" w:rsidRDefault="00253889" w:rsidP="006F6A01">
            <w:pPr>
              <w:jc w:val="right"/>
              <w:rPr>
                <w:highlight w:val="yellow"/>
              </w:rPr>
            </w:pPr>
            <w:r w:rsidRPr="00253889">
              <w:rPr>
                <w:sz w:val="22"/>
                <w:szCs w:val="22"/>
              </w:rPr>
              <w:t>11</w:t>
            </w:r>
          </w:p>
        </w:tc>
      </w:tr>
      <w:tr w:rsidR="006F6A01" w:rsidTr="000B45EB">
        <w:trPr>
          <w:trHeight w:val="241"/>
        </w:trPr>
        <w:tc>
          <w:tcPr>
            <w:tcW w:w="4635" w:type="dxa"/>
          </w:tcPr>
          <w:p w:rsidR="006F6A01" w:rsidRPr="006B2F4B" w:rsidRDefault="006F6A01" w:rsidP="00167917">
            <w:pPr>
              <w:jc w:val="both"/>
              <w:rPr>
                <w:sz w:val="22"/>
                <w:szCs w:val="22"/>
              </w:rPr>
            </w:pPr>
            <w:r w:rsidRPr="006B2F4B">
              <w:rPr>
                <w:sz w:val="22"/>
                <w:szCs w:val="22"/>
              </w:rPr>
              <w:t>FE – Bradford College</w:t>
            </w:r>
          </w:p>
        </w:tc>
        <w:tc>
          <w:tcPr>
            <w:tcW w:w="1250" w:type="dxa"/>
          </w:tcPr>
          <w:p w:rsidR="006F6A01" w:rsidRPr="0094226F" w:rsidRDefault="006F6A01" w:rsidP="008746F9">
            <w:pPr>
              <w:jc w:val="center"/>
              <w:rPr>
                <w:sz w:val="22"/>
                <w:szCs w:val="22"/>
              </w:rPr>
            </w:pPr>
            <w:r>
              <w:rPr>
                <w:sz w:val="22"/>
                <w:szCs w:val="22"/>
              </w:rPr>
              <w:t>SEN</w:t>
            </w:r>
          </w:p>
        </w:tc>
        <w:tc>
          <w:tcPr>
            <w:tcW w:w="1404" w:type="dxa"/>
          </w:tcPr>
          <w:p w:rsidR="006F6A01" w:rsidRPr="006B2F4B" w:rsidRDefault="006B2F4B" w:rsidP="0082311B">
            <w:pPr>
              <w:jc w:val="right"/>
              <w:rPr>
                <w:sz w:val="22"/>
                <w:szCs w:val="22"/>
              </w:rPr>
            </w:pPr>
            <w:r w:rsidRPr="006B2F4B">
              <w:rPr>
                <w:sz w:val="22"/>
                <w:szCs w:val="22"/>
              </w:rPr>
              <w:t>77</w:t>
            </w:r>
          </w:p>
        </w:tc>
        <w:tc>
          <w:tcPr>
            <w:tcW w:w="1404" w:type="dxa"/>
          </w:tcPr>
          <w:p w:rsidR="006F6A01" w:rsidRPr="006B2F4B" w:rsidRDefault="006B2F4B" w:rsidP="004C5CD2">
            <w:pPr>
              <w:jc w:val="right"/>
              <w:rPr>
                <w:sz w:val="22"/>
                <w:szCs w:val="22"/>
              </w:rPr>
            </w:pPr>
            <w:r w:rsidRPr="006B2F4B">
              <w:rPr>
                <w:sz w:val="22"/>
                <w:szCs w:val="22"/>
              </w:rPr>
              <w:t>80</w:t>
            </w:r>
          </w:p>
        </w:tc>
        <w:tc>
          <w:tcPr>
            <w:tcW w:w="1070" w:type="dxa"/>
          </w:tcPr>
          <w:p w:rsidR="006F6A01" w:rsidRPr="0094226F" w:rsidRDefault="006F6A01" w:rsidP="000C3C21">
            <w:pPr>
              <w:jc w:val="right"/>
              <w:rPr>
                <w:sz w:val="22"/>
                <w:szCs w:val="22"/>
              </w:rPr>
            </w:pPr>
            <w:r>
              <w:rPr>
                <w:sz w:val="22"/>
                <w:szCs w:val="22"/>
              </w:rPr>
              <w:t>78</w:t>
            </w:r>
          </w:p>
        </w:tc>
        <w:tc>
          <w:tcPr>
            <w:tcW w:w="1102" w:type="dxa"/>
          </w:tcPr>
          <w:p w:rsidR="006F6A01" w:rsidRPr="006B2F4B" w:rsidRDefault="00381735" w:rsidP="006F6A01">
            <w:pPr>
              <w:jc w:val="right"/>
              <w:rPr>
                <w:sz w:val="22"/>
                <w:szCs w:val="22"/>
              </w:rPr>
            </w:pPr>
            <w:r>
              <w:rPr>
                <w:sz w:val="22"/>
                <w:szCs w:val="22"/>
              </w:rPr>
              <w:t>7</w:t>
            </w:r>
            <w:r w:rsidR="00FD3E35">
              <w:rPr>
                <w:sz w:val="22"/>
                <w:szCs w:val="22"/>
              </w:rPr>
              <w:t>8</w:t>
            </w:r>
          </w:p>
        </w:tc>
      </w:tr>
      <w:tr w:rsidR="006F6A01" w:rsidTr="000B45EB">
        <w:trPr>
          <w:trHeight w:val="256"/>
        </w:trPr>
        <w:tc>
          <w:tcPr>
            <w:tcW w:w="4635" w:type="dxa"/>
          </w:tcPr>
          <w:p w:rsidR="006F6A01" w:rsidRPr="006B2F4B" w:rsidRDefault="006F6A01" w:rsidP="004C5CD2">
            <w:r w:rsidRPr="006B2F4B">
              <w:rPr>
                <w:sz w:val="22"/>
                <w:szCs w:val="22"/>
              </w:rPr>
              <w:lastRenderedPageBreak/>
              <w:t>FE – Shipley College</w:t>
            </w:r>
          </w:p>
        </w:tc>
        <w:tc>
          <w:tcPr>
            <w:tcW w:w="1250" w:type="dxa"/>
          </w:tcPr>
          <w:p w:rsidR="006F6A01" w:rsidRPr="0094226F" w:rsidRDefault="006F6A01" w:rsidP="008746F9">
            <w:pPr>
              <w:jc w:val="center"/>
              <w:rPr>
                <w:sz w:val="22"/>
                <w:szCs w:val="22"/>
              </w:rPr>
            </w:pPr>
            <w:r>
              <w:rPr>
                <w:sz w:val="22"/>
                <w:szCs w:val="22"/>
              </w:rPr>
              <w:t>SEN</w:t>
            </w:r>
          </w:p>
        </w:tc>
        <w:tc>
          <w:tcPr>
            <w:tcW w:w="1404" w:type="dxa"/>
          </w:tcPr>
          <w:p w:rsidR="006F6A01" w:rsidRPr="006B2F4B" w:rsidRDefault="006B2F4B" w:rsidP="0082311B">
            <w:pPr>
              <w:jc w:val="right"/>
              <w:rPr>
                <w:sz w:val="22"/>
                <w:szCs w:val="22"/>
              </w:rPr>
            </w:pPr>
            <w:r w:rsidRPr="006B2F4B">
              <w:rPr>
                <w:sz w:val="22"/>
                <w:szCs w:val="22"/>
              </w:rPr>
              <w:t>49</w:t>
            </w:r>
          </w:p>
        </w:tc>
        <w:tc>
          <w:tcPr>
            <w:tcW w:w="1404" w:type="dxa"/>
          </w:tcPr>
          <w:p w:rsidR="006F6A01" w:rsidRPr="006B2F4B" w:rsidRDefault="006B2F4B" w:rsidP="004C5CD2">
            <w:pPr>
              <w:jc w:val="right"/>
              <w:rPr>
                <w:sz w:val="22"/>
                <w:szCs w:val="22"/>
              </w:rPr>
            </w:pPr>
            <w:r w:rsidRPr="006B2F4B">
              <w:rPr>
                <w:sz w:val="22"/>
                <w:szCs w:val="22"/>
              </w:rPr>
              <w:t>50</w:t>
            </w:r>
          </w:p>
        </w:tc>
        <w:tc>
          <w:tcPr>
            <w:tcW w:w="1070" w:type="dxa"/>
          </w:tcPr>
          <w:p w:rsidR="006F6A01" w:rsidRPr="0094226F" w:rsidRDefault="006F6A01" w:rsidP="000C3C21">
            <w:pPr>
              <w:jc w:val="right"/>
              <w:rPr>
                <w:sz w:val="22"/>
                <w:szCs w:val="22"/>
              </w:rPr>
            </w:pPr>
            <w:r>
              <w:rPr>
                <w:sz w:val="22"/>
                <w:szCs w:val="22"/>
              </w:rPr>
              <w:t>32</w:t>
            </w:r>
          </w:p>
        </w:tc>
        <w:tc>
          <w:tcPr>
            <w:tcW w:w="1102" w:type="dxa"/>
          </w:tcPr>
          <w:p w:rsidR="006F6A01" w:rsidRPr="006B2F4B" w:rsidRDefault="006B2F4B" w:rsidP="006F6A01">
            <w:pPr>
              <w:jc w:val="right"/>
              <w:rPr>
                <w:sz w:val="22"/>
                <w:szCs w:val="22"/>
              </w:rPr>
            </w:pPr>
            <w:r w:rsidRPr="006B2F4B">
              <w:rPr>
                <w:sz w:val="22"/>
                <w:szCs w:val="22"/>
              </w:rPr>
              <w:t>4</w:t>
            </w:r>
            <w:r w:rsidR="00381735">
              <w:rPr>
                <w:sz w:val="22"/>
                <w:szCs w:val="22"/>
              </w:rPr>
              <w:t>9</w:t>
            </w:r>
          </w:p>
        </w:tc>
      </w:tr>
      <w:tr w:rsidR="006F6A01" w:rsidTr="000B45EB">
        <w:trPr>
          <w:trHeight w:val="241"/>
        </w:trPr>
        <w:tc>
          <w:tcPr>
            <w:tcW w:w="4635" w:type="dxa"/>
          </w:tcPr>
          <w:p w:rsidR="006F6A01" w:rsidRPr="006B2F4B" w:rsidRDefault="006F6A01">
            <w:r w:rsidRPr="006B2F4B">
              <w:rPr>
                <w:sz w:val="22"/>
                <w:szCs w:val="22"/>
              </w:rPr>
              <w:t>FE – Calderdale College</w:t>
            </w:r>
          </w:p>
        </w:tc>
        <w:tc>
          <w:tcPr>
            <w:tcW w:w="1250" w:type="dxa"/>
          </w:tcPr>
          <w:p w:rsidR="006F6A01" w:rsidRPr="0094226F" w:rsidRDefault="006F6A01" w:rsidP="008746F9">
            <w:pPr>
              <w:jc w:val="center"/>
              <w:rPr>
                <w:sz w:val="22"/>
                <w:szCs w:val="22"/>
              </w:rPr>
            </w:pPr>
            <w:r>
              <w:rPr>
                <w:sz w:val="22"/>
                <w:szCs w:val="22"/>
              </w:rPr>
              <w:t>SEN</w:t>
            </w:r>
          </w:p>
        </w:tc>
        <w:tc>
          <w:tcPr>
            <w:tcW w:w="1404" w:type="dxa"/>
          </w:tcPr>
          <w:p w:rsidR="006F6A01" w:rsidRPr="006B2F4B" w:rsidRDefault="006B2F4B" w:rsidP="0082311B">
            <w:pPr>
              <w:jc w:val="right"/>
              <w:rPr>
                <w:sz w:val="22"/>
                <w:szCs w:val="22"/>
              </w:rPr>
            </w:pPr>
            <w:r w:rsidRPr="006B2F4B">
              <w:rPr>
                <w:sz w:val="22"/>
                <w:szCs w:val="22"/>
              </w:rPr>
              <w:t>4</w:t>
            </w:r>
          </w:p>
        </w:tc>
        <w:tc>
          <w:tcPr>
            <w:tcW w:w="1404" w:type="dxa"/>
          </w:tcPr>
          <w:p w:rsidR="006F6A01" w:rsidRPr="006B2F4B" w:rsidRDefault="006B2F4B" w:rsidP="004C5CD2">
            <w:pPr>
              <w:jc w:val="right"/>
              <w:rPr>
                <w:sz w:val="22"/>
                <w:szCs w:val="22"/>
              </w:rPr>
            </w:pPr>
            <w:r w:rsidRPr="006B2F4B">
              <w:rPr>
                <w:sz w:val="22"/>
                <w:szCs w:val="22"/>
              </w:rPr>
              <w:t>4</w:t>
            </w:r>
          </w:p>
        </w:tc>
        <w:tc>
          <w:tcPr>
            <w:tcW w:w="1070" w:type="dxa"/>
          </w:tcPr>
          <w:p w:rsidR="006F6A01" w:rsidRPr="0094226F" w:rsidRDefault="006F6A01" w:rsidP="000C3C21">
            <w:pPr>
              <w:jc w:val="right"/>
              <w:rPr>
                <w:sz w:val="22"/>
                <w:szCs w:val="22"/>
              </w:rPr>
            </w:pPr>
            <w:r>
              <w:rPr>
                <w:sz w:val="22"/>
                <w:szCs w:val="22"/>
              </w:rPr>
              <w:t>4</w:t>
            </w:r>
          </w:p>
        </w:tc>
        <w:tc>
          <w:tcPr>
            <w:tcW w:w="1102" w:type="dxa"/>
          </w:tcPr>
          <w:p w:rsidR="006F6A01" w:rsidRPr="006B2F4B" w:rsidRDefault="006B2F4B" w:rsidP="006F6A01">
            <w:pPr>
              <w:jc w:val="right"/>
              <w:rPr>
                <w:sz w:val="22"/>
                <w:szCs w:val="22"/>
              </w:rPr>
            </w:pPr>
            <w:r w:rsidRPr="006B2F4B">
              <w:rPr>
                <w:sz w:val="22"/>
                <w:szCs w:val="22"/>
              </w:rPr>
              <w:t>4</w:t>
            </w:r>
          </w:p>
        </w:tc>
      </w:tr>
      <w:tr w:rsidR="006F6A01" w:rsidTr="000B45EB">
        <w:trPr>
          <w:trHeight w:val="256"/>
        </w:trPr>
        <w:tc>
          <w:tcPr>
            <w:tcW w:w="4635" w:type="dxa"/>
          </w:tcPr>
          <w:p w:rsidR="006F6A01" w:rsidRPr="006B2F4B" w:rsidRDefault="006F6A01">
            <w:r w:rsidRPr="006B2F4B">
              <w:rPr>
                <w:sz w:val="22"/>
                <w:szCs w:val="22"/>
              </w:rPr>
              <w:t>FE – Huddersfield New College</w:t>
            </w:r>
          </w:p>
        </w:tc>
        <w:tc>
          <w:tcPr>
            <w:tcW w:w="1250" w:type="dxa"/>
          </w:tcPr>
          <w:p w:rsidR="006F6A01" w:rsidRPr="0094226F" w:rsidRDefault="006F6A01" w:rsidP="008746F9">
            <w:pPr>
              <w:jc w:val="center"/>
              <w:rPr>
                <w:sz w:val="22"/>
                <w:szCs w:val="22"/>
              </w:rPr>
            </w:pPr>
            <w:r>
              <w:rPr>
                <w:sz w:val="22"/>
                <w:szCs w:val="22"/>
              </w:rPr>
              <w:t>SEN</w:t>
            </w:r>
          </w:p>
        </w:tc>
        <w:tc>
          <w:tcPr>
            <w:tcW w:w="1404" w:type="dxa"/>
          </w:tcPr>
          <w:p w:rsidR="006F6A01" w:rsidRPr="006B2F4B" w:rsidRDefault="006B2F4B" w:rsidP="0082311B">
            <w:pPr>
              <w:jc w:val="right"/>
              <w:rPr>
                <w:sz w:val="22"/>
                <w:szCs w:val="22"/>
              </w:rPr>
            </w:pPr>
            <w:r w:rsidRPr="006B2F4B">
              <w:rPr>
                <w:sz w:val="22"/>
                <w:szCs w:val="22"/>
              </w:rPr>
              <w:t>2</w:t>
            </w:r>
          </w:p>
        </w:tc>
        <w:tc>
          <w:tcPr>
            <w:tcW w:w="1404" w:type="dxa"/>
          </w:tcPr>
          <w:p w:rsidR="006F6A01" w:rsidRPr="006B2F4B" w:rsidRDefault="006B2F4B" w:rsidP="004C5CD2">
            <w:pPr>
              <w:jc w:val="right"/>
              <w:rPr>
                <w:sz w:val="22"/>
                <w:szCs w:val="22"/>
              </w:rPr>
            </w:pPr>
            <w:r w:rsidRPr="006B2F4B">
              <w:rPr>
                <w:sz w:val="22"/>
                <w:szCs w:val="22"/>
              </w:rPr>
              <w:t>1</w:t>
            </w:r>
          </w:p>
        </w:tc>
        <w:tc>
          <w:tcPr>
            <w:tcW w:w="1070" w:type="dxa"/>
          </w:tcPr>
          <w:p w:rsidR="006F6A01" w:rsidRPr="0094226F" w:rsidRDefault="006F6A01" w:rsidP="000C3C21">
            <w:pPr>
              <w:jc w:val="right"/>
              <w:rPr>
                <w:sz w:val="22"/>
                <w:szCs w:val="22"/>
              </w:rPr>
            </w:pPr>
            <w:r>
              <w:rPr>
                <w:sz w:val="22"/>
                <w:szCs w:val="22"/>
              </w:rPr>
              <w:t>2</w:t>
            </w:r>
          </w:p>
        </w:tc>
        <w:tc>
          <w:tcPr>
            <w:tcW w:w="1102" w:type="dxa"/>
          </w:tcPr>
          <w:p w:rsidR="006F6A01" w:rsidRPr="006B2F4B" w:rsidRDefault="00381735" w:rsidP="006F6A01">
            <w:pPr>
              <w:jc w:val="right"/>
              <w:rPr>
                <w:sz w:val="22"/>
                <w:szCs w:val="22"/>
              </w:rPr>
            </w:pPr>
            <w:r>
              <w:rPr>
                <w:sz w:val="22"/>
                <w:szCs w:val="22"/>
              </w:rPr>
              <w:t>2</w:t>
            </w:r>
          </w:p>
        </w:tc>
      </w:tr>
      <w:tr w:rsidR="006B2F4B" w:rsidTr="000B45EB">
        <w:trPr>
          <w:trHeight w:val="498"/>
        </w:trPr>
        <w:tc>
          <w:tcPr>
            <w:tcW w:w="4635" w:type="dxa"/>
          </w:tcPr>
          <w:p w:rsidR="006B2F4B" w:rsidRPr="006B2F4B" w:rsidRDefault="006B2F4B" w:rsidP="005F6EA2">
            <w:pPr>
              <w:rPr>
                <w:sz w:val="22"/>
                <w:szCs w:val="22"/>
              </w:rPr>
            </w:pPr>
            <w:r w:rsidRPr="006B2F4B">
              <w:rPr>
                <w:sz w:val="22"/>
                <w:szCs w:val="22"/>
              </w:rPr>
              <w:t>FE – Specialist Communication College Doncaster</w:t>
            </w:r>
          </w:p>
        </w:tc>
        <w:tc>
          <w:tcPr>
            <w:tcW w:w="1250" w:type="dxa"/>
          </w:tcPr>
          <w:p w:rsidR="006B2F4B" w:rsidRDefault="006B2F4B" w:rsidP="005F6EA2">
            <w:pPr>
              <w:jc w:val="center"/>
              <w:rPr>
                <w:sz w:val="22"/>
                <w:szCs w:val="22"/>
              </w:rPr>
            </w:pPr>
          </w:p>
          <w:p w:rsidR="006B2F4B" w:rsidRDefault="006B2F4B" w:rsidP="005F6EA2">
            <w:pPr>
              <w:jc w:val="center"/>
              <w:rPr>
                <w:sz w:val="22"/>
                <w:szCs w:val="22"/>
              </w:rPr>
            </w:pPr>
            <w:r>
              <w:rPr>
                <w:sz w:val="22"/>
                <w:szCs w:val="22"/>
              </w:rPr>
              <w:t>SEN</w:t>
            </w:r>
          </w:p>
        </w:tc>
        <w:tc>
          <w:tcPr>
            <w:tcW w:w="1404" w:type="dxa"/>
          </w:tcPr>
          <w:p w:rsidR="006B2F4B" w:rsidRPr="006B2F4B" w:rsidRDefault="006B2F4B" w:rsidP="005F6EA2">
            <w:pPr>
              <w:jc w:val="right"/>
              <w:rPr>
                <w:sz w:val="22"/>
                <w:szCs w:val="22"/>
              </w:rPr>
            </w:pPr>
            <w:r w:rsidRPr="006B2F4B">
              <w:rPr>
                <w:sz w:val="22"/>
                <w:szCs w:val="22"/>
              </w:rPr>
              <w:t>0</w:t>
            </w:r>
          </w:p>
        </w:tc>
        <w:tc>
          <w:tcPr>
            <w:tcW w:w="1404" w:type="dxa"/>
          </w:tcPr>
          <w:p w:rsidR="006B2F4B" w:rsidRPr="006B2F4B" w:rsidRDefault="006B2F4B" w:rsidP="005F6EA2">
            <w:pPr>
              <w:jc w:val="right"/>
              <w:rPr>
                <w:sz w:val="22"/>
                <w:szCs w:val="22"/>
              </w:rPr>
            </w:pPr>
            <w:r w:rsidRPr="006B2F4B">
              <w:rPr>
                <w:sz w:val="22"/>
                <w:szCs w:val="22"/>
              </w:rPr>
              <w:t>2</w:t>
            </w:r>
          </w:p>
        </w:tc>
        <w:tc>
          <w:tcPr>
            <w:tcW w:w="1070" w:type="dxa"/>
          </w:tcPr>
          <w:p w:rsidR="006B2F4B" w:rsidRDefault="006B2F4B" w:rsidP="005F6EA2">
            <w:pPr>
              <w:jc w:val="right"/>
              <w:rPr>
                <w:sz w:val="22"/>
                <w:szCs w:val="22"/>
              </w:rPr>
            </w:pPr>
            <w:r>
              <w:rPr>
                <w:sz w:val="22"/>
                <w:szCs w:val="22"/>
              </w:rPr>
              <w:t>0</w:t>
            </w:r>
          </w:p>
        </w:tc>
        <w:tc>
          <w:tcPr>
            <w:tcW w:w="1102" w:type="dxa"/>
          </w:tcPr>
          <w:p w:rsidR="006B2F4B" w:rsidRPr="006B2F4B" w:rsidRDefault="006B2F4B" w:rsidP="005F6EA2">
            <w:pPr>
              <w:jc w:val="right"/>
              <w:rPr>
                <w:sz w:val="22"/>
                <w:szCs w:val="22"/>
              </w:rPr>
            </w:pPr>
            <w:r w:rsidRPr="006B2F4B">
              <w:rPr>
                <w:sz w:val="22"/>
                <w:szCs w:val="22"/>
              </w:rPr>
              <w:t>2</w:t>
            </w:r>
          </w:p>
        </w:tc>
      </w:tr>
      <w:tr w:rsidR="006B2F4B" w:rsidTr="000B45EB">
        <w:trPr>
          <w:trHeight w:val="256"/>
        </w:trPr>
        <w:tc>
          <w:tcPr>
            <w:tcW w:w="4635" w:type="dxa"/>
          </w:tcPr>
          <w:p w:rsidR="006B2F4B" w:rsidRPr="006B2F4B" w:rsidRDefault="006B2F4B" w:rsidP="004C5CD2">
            <w:r w:rsidRPr="006B2F4B">
              <w:rPr>
                <w:sz w:val="22"/>
                <w:szCs w:val="22"/>
              </w:rPr>
              <w:t>FE – Leeds City College</w:t>
            </w:r>
          </w:p>
        </w:tc>
        <w:tc>
          <w:tcPr>
            <w:tcW w:w="1250" w:type="dxa"/>
          </w:tcPr>
          <w:p w:rsidR="006B2F4B" w:rsidRPr="0094226F" w:rsidRDefault="006B2F4B" w:rsidP="008746F9">
            <w:pPr>
              <w:jc w:val="center"/>
              <w:rPr>
                <w:sz w:val="22"/>
                <w:szCs w:val="22"/>
              </w:rPr>
            </w:pPr>
            <w:r>
              <w:rPr>
                <w:sz w:val="22"/>
                <w:szCs w:val="22"/>
              </w:rPr>
              <w:t>SEN</w:t>
            </w:r>
          </w:p>
        </w:tc>
        <w:tc>
          <w:tcPr>
            <w:tcW w:w="1404" w:type="dxa"/>
          </w:tcPr>
          <w:p w:rsidR="006B2F4B" w:rsidRPr="006B2F4B" w:rsidRDefault="006B2F4B" w:rsidP="0082311B">
            <w:pPr>
              <w:jc w:val="right"/>
              <w:rPr>
                <w:sz w:val="22"/>
                <w:szCs w:val="22"/>
              </w:rPr>
            </w:pPr>
            <w:r w:rsidRPr="006B2F4B">
              <w:rPr>
                <w:sz w:val="22"/>
                <w:szCs w:val="22"/>
              </w:rPr>
              <w:t>13</w:t>
            </w:r>
          </w:p>
        </w:tc>
        <w:tc>
          <w:tcPr>
            <w:tcW w:w="1404" w:type="dxa"/>
          </w:tcPr>
          <w:p w:rsidR="006B2F4B" w:rsidRPr="006B2F4B" w:rsidRDefault="006B2F4B" w:rsidP="004C5CD2">
            <w:pPr>
              <w:jc w:val="right"/>
              <w:rPr>
                <w:sz w:val="22"/>
                <w:szCs w:val="22"/>
              </w:rPr>
            </w:pPr>
            <w:r w:rsidRPr="006B2F4B">
              <w:rPr>
                <w:sz w:val="22"/>
                <w:szCs w:val="22"/>
              </w:rPr>
              <w:t>20</w:t>
            </w:r>
          </w:p>
        </w:tc>
        <w:tc>
          <w:tcPr>
            <w:tcW w:w="1070" w:type="dxa"/>
          </w:tcPr>
          <w:p w:rsidR="006B2F4B" w:rsidRPr="0094226F" w:rsidRDefault="006B2F4B" w:rsidP="000C3C21">
            <w:pPr>
              <w:jc w:val="right"/>
              <w:rPr>
                <w:sz w:val="22"/>
                <w:szCs w:val="22"/>
              </w:rPr>
            </w:pPr>
            <w:r>
              <w:rPr>
                <w:sz w:val="22"/>
                <w:szCs w:val="22"/>
              </w:rPr>
              <w:t>13</w:t>
            </w:r>
          </w:p>
        </w:tc>
        <w:tc>
          <w:tcPr>
            <w:tcW w:w="1102" w:type="dxa"/>
          </w:tcPr>
          <w:p w:rsidR="006B2F4B" w:rsidRPr="006B2F4B" w:rsidRDefault="006B2F4B" w:rsidP="006F6A01">
            <w:pPr>
              <w:jc w:val="right"/>
              <w:rPr>
                <w:sz w:val="22"/>
                <w:szCs w:val="22"/>
              </w:rPr>
            </w:pPr>
            <w:r w:rsidRPr="006B2F4B">
              <w:rPr>
                <w:sz w:val="22"/>
                <w:szCs w:val="22"/>
              </w:rPr>
              <w:t>1</w:t>
            </w:r>
            <w:r w:rsidR="00FD3E35">
              <w:rPr>
                <w:sz w:val="22"/>
                <w:szCs w:val="22"/>
              </w:rPr>
              <w:t>6</w:t>
            </w:r>
          </w:p>
        </w:tc>
      </w:tr>
      <w:tr w:rsidR="006B2F4B" w:rsidTr="000B45EB">
        <w:trPr>
          <w:trHeight w:val="241"/>
        </w:trPr>
        <w:tc>
          <w:tcPr>
            <w:tcW w:w="4635" w:type="dxa"/>
          </w:tcPr>
          <w:p w:rsidR="006B2F4B" w:rsidRPr="006B2F4B" w:rsidRDefault="006B2F4B" w:rsidP="004C5CD2">
            <w:r w:rsidRPr="006B2F4B">
              <w:rPr>
                <w:sz w:val="22"/>
                <w:szCs w:val="22"/>
              </w:rPr>
              <w:t>FE – Craven College</w:t>
            </w:r>
          </w:p>
        </w:tc>
        <w:tc>
          <w:tcPr>
            <w:tcW w:w="1250" w:type="dxa"/>
          </w:tcPr>
          <w:p w:rsidR="006B2F4B" w:rsidRPr="0094226F" w:rsidRDefault="006B2F4B" w:rsidP="008746F9">
            <w:pPr>
              <w:jc w:val="center"/>
              <w:rPr>
                <w:sz w:val="22"/>
                <w:szCs w:val="22"/>
              </w:rPr>
            </w:pPr>
            <w:r>
              <w:rPr>
                <w:sz w:val="22"/>
                <w:szCs w:val="22"/>
              </w:rPr>
              <w:t>SEN</w:t>
            </w:r>
          </w:p>
        </w:tc>
        <w:tc>
          <w:tcPr>
            <w:tcW w:w="1404" w:type="dxa"/>
          </w:tcPr>
          <w:p w:rsidR="006B2F4B" w:rsidRPr="006B2F4B" w:rsidRDefault="006B2F4B" w:rsidP="0082311B">
            <w:pPr>
              <w:jc w:val="right"/>
              <w:rPr>
                <w:sz w:val="22"/>
                <w:szCs w:val="22"/>
              </w:rPr>
            </w:pPr>
            <w:r w:rsidRPr="006B2F4B">
              <w:rPr>
                <w:sz w:val="22"/>
                <w:szCs w:val="22"/>
              </w:rPr>
              <w:t>20</w:t>
            </w:r>
          </w:p>
        </w:tc>
        <w:tc>
          <w:tcPr>
            <w:tcW w:w="1404" w:type="dxa"/>
          </w:tcPr>
          <w:p w:rsidR="006B2F4B" w:rsidRPr="006B2F4B" w:rsidRDefault="006B2F4B" w:rsidP="004C5CD2">
            <w:pPr>
              <w:jc w:val="right"/>
              <w:rPr>
                <w:sz w:val="22"/>
                <w:szCs w:val="22"/>
              </w:rPr>
            </w:pPr>
            <w:r w:rsidRPr="006B2F4B">
              <w:rPr>
                <w:sz w:val="22"/>
                <w:szCs w:val="22"/>
              </w:rPr>
              <w:t>23</w:t>
            </w:r>
          </w:p>
        </w:tc>
        <w:tc>
          <w:tcPr>
            <w:tcW w:w="1070" w:type="dxa"/>
          </w:tcPr>
          <w:p w:rsidR="006B2F4B" w:rsidRPr="0094226F" w:rsidRDefault="006B2F4B" w:rsidP="000C3C21">
            <w:pPr>
              <w:jc w:val="right"/>
              <w:rPr>
                <w:sz w:val="22"/>
                <w:szCs w:val="22"/>
              </w:rPr>
            </w:pPr>
            <w:r>
              <w:rPr>
                <w:sz w:val="22"/>
                <w:szCs w:val="22"/>
              </w:rPr>
              <w:t>23</w:t>
            </w:r>
          </w:p>
        </w:tc>
        <w:tc>
          <w:tcPr>
            <w:tcW w:w="1102" w:type="dxa"/>
          </w:tcPr>
          <w:p w:rsidR="006B2F4B" w:rsidRPr="006B2F4B" w:rsidRDefault="006B2F4B" w:rsidP="006F6A01">
            <w:pPr>
              <w:jc w:val="right"/>
              <w:rPr>
                <w:sz w:val="22"/>
                <w:szCs w:val="22"/>
              </w:rPr>
            </w:pPr>
            <w:r w:rsidRPr="006B2F4B">
              <w:rPr>
                <w:sz w:val="22"/>
                <w:szCs w:val="22"/>
              </w:rPr>
              <w:t>2</w:t>
            </w:r>
            <w:r w:rsidR="00FD3E35">
              <w:rPr>
                <w:sz w:val="22"/>
                <w:szCs w:val="22"/>
              </w:rPr>
              <w:t>5</w:t>
            </w:r>
          </w:p>
        </w:tc>
      </w:tr>
      <w:tr w:rsidR="006B2F4B" w:rsidTr="000B45EB">
        <w:trPr>
          <w:trHeight w:val="256"/>
        </w:trPr>
        <w:tc>
          <w:tcPr>
            <w:tcW w:w="4635" w:type="dxa"/>
          </w:tcPr>
          <w:p w:rsidR="006B2F4B" w:rsidRPr="006B2F4B" w:rsidRDefault="006B2F4B">
            <w:r w:rsidRPr="006B2F4B">
              <w:rPr>
                <w:sz w:val="22"/>
                <w:szCs w:val="22"/>
              </w:rPr>
              <w:t xml:space="preserve">FE – </w:t>
            </w:r>
            <w:proofErr w:type="spellStart"/>
            <w:r w:rsidRPr="006B2F4B">
              <w:rPr>
                <w:sz w:val="22"/>
                <w:szCs w:val="22"/>
              </w:rPr>
              <w:t>Henshaw’s</w:t>
            </w:r>
            <w:proofErr w:type="spellEnd"/>
            <w:r w:rsidRPr="006B2F4B">
              <w:rPr>
                <w:sz w:val="22"/>
                <w:szCs w:val="22"/>
              </w:rPr>
              <w:t xml:space="preserve"> College</w:t>
            </w:r>
          </w:p>
        </w:tc>
        <w:tc>
          <w:tcPr>
            <w:tcW w:w="1250" w:type="dxa"/>
          </w:tcPr>
          <w:p w:rsidR="006B2F4B" w:rsidRPr="0094226F" w:rsidRDefault="006B2F4B" w:rsidP="008746F9">
            <w:pPr>
              <w:jc w:val="center"/>
              <w:rPr>
                <w:sz w:val="22"/>
                <w:szCs w:val="22"/>
              </w:rPr>
            </w:pPr>
            <w:r>
              <w:rPr>
                <w:sz w:val="22"/>
                <w:szCs w:val="22"/>
              </w:rPr>
              <w:t>SEN</w:t>
            </w:r>
          </w:p>
        </w:tc>
        <w:tc>
          <w:tcPr>
            <w:tcW w:w="1404" w:type="dxa"/>
          </w:tcPr>
          <w:p w:rsidR="006B2F4B" w:rsidRPr="006B2F4B" w:rsidRDefault="006B2F4B" w:rsidP="0082311B">
            <w:pPr>
              <w:jc w:val="right"/>
              <w:rPr>
                <w:sz w:val="22"/>
                <w:szCs w:val="22"/>
              </w:rPr>
            </w:pPr>
            <w:r w:rsidRPr="006B2F4B">
              <w:rPr>
                <w:sz w:val="22"/>
                <w:szCs w:val="22"/>
              </w:rPr>
              <w:t>7</w:t>
            </w:r>
          </w:p>
        </w:tc>
        <w:tc>
          <w:tcPr>
            <w:tcW w:w="1404" w:type="dxa"/>
          </w:tcPr>
          <w:p w:rsidR="006B2F4B" w:rsidRPr="006B2F4B" w:rsidRDefault="006B2F4B" w:rsidP="004C5CD2">
            <w:pPr>
              <w:jc w:val="right"/>
              <w:rPr>
                <w:sz w:val="22"/>
                <w:szCs w:val="22"/>
              </w:rPr>
            </w:pPr>
            <w:r w:rsidRPr="006B2F4B">
              <w:rPr>
                <w:sz w:val="22"/>
                <w:szCs w:val="22"/>
              </w:rPr>
              <w:t>9</w:t>
            </w:r>
          </w:p>
        </w:tc>
        <w:tc>
          <w:tcPr>
            <w:tcW w:w="1070" w:type="dxa"/>
          </w:tcPr>
          <w:p w:rsidR="006B2F4B" w:rsidRPr="0094226F" w:rsidRDefault="006B2F4B" w:rsidP="000C3C21">
            <w:pPr>
              <w:jc w:val="right"/>
              <w:rPr>
                <w:sz w:val="22"/>
                <w:szCs w:val="22"/>
              </w:rPr>
            </w:pPr>
            <w:r>
              <w:rPr>
                <w:sz w:val="22"/>
                <w:szCs w:val="22"/>
              </w:rPr>
              <w:t>7</w:t>
            </w:r>
          </w:p>
        </w:tc>
        <w:tc>
          <w:tcPr>
            <w:tcW w:w="1102" w:type="dxa"/>
          </w:tcPr>
          <w:p w:rsidR="006B2F4B" w:rsidRPr="006B2F4B" w:rsidRDefault="00FD3E35" w:rsidP="006F6A01">
            <w:pPr>
              <w:jc w:val="right"/>
              <w:rPr>
                <w:sz w:val="22"/>
                <w:szCs w:val="22"/>
              </w:rPr>
            </w:pPr>
            <w:r>
              <w:rPr>
                <w:sz w:val="22"/>
                <w:szCs w:val="22"/>
              </w:rPr>
              <w:t>9</w:t>
            </w:r>
          </w:p>
        </w:tc>
      </w:tr>
      <w:tr w:rsidR="006B2F4B" w:rsidTr="000B45EB">
        <w:trPr>
          <w:trHeight w:val="241"/>
        </w:trPr>
        <w:tc>
          <w:tcPr>
            <w:tcW w:w="4635" w:type="dxa"/>
          </w:tcPr>
          <w:p w:rsidR="006B2F4B" w:rsidRPr="006B2F4B" w:rsidRDefault="006B2F4B">
            <w:r w:rsidRPr="006B2F4B">
              <w:rPr>
                <w:sz w:val="22"/>
                <w:szCs w:val="22"/>
              </w:rPr>
              <w:t>FE – Other Colleges</w:t>
            </w:r>
            <w:r w:rsidR="00381735">
              <w:rPr>
                <w:sz w:val="22"/>
                <w:szCs w:val="22"/>
              </w:rPr>
              <w:t xml:space="preserve"> &amp; ISPs</w:t>
            </w:r>
          </w:p>
        </w:tc>
        <w:tc>
          <w:tcPr>
            <w:tcW w:w="1250" w:type="dxa"/>
          </w:tcPr>
          <w:p w:rsidR="006B2F4B" w:rsidRPr="0094226F" w:rsidRDefault="006B2F4B" w:rsidP="008746F9">
            <w:pPr>
              <w:jc w:val="center"/>
              <w:rPr>
                <w:sz w:val="22"/>
                <w:szCs w:val="22"/>
              </w:rPr>
            </w:pPr>
            <w:r>
              <w:rPr>
                <w:sz w:val="22"/>
                <w:szCs w:val="22"/>
              </w:rPr>
              <w:t>SEN</w:t>
            </w:r>
          </w:p>
        </w:tc>
        <w:tc>
          <w:tcPr>
            <w:tcW w:w="1404" w:type="dxa"/>
          </w:tcPr>
          <w:p w:rsidR="006B2F4B" w:rsidRPr="006B2F4B" w:rsidRDefault="006B2F4B" w:rsidP="0082311B">
            <w:pPr>
              <w:jc w:val="right"/>
              <w:rPr>
                <w:sz w:val="22"/>
                <w:szCs w:val="22"/>
              </w:rPr>
            </w:pPr>
            <w:r w:rsidRPr="006B2F4B">
              <w:rPr>
                <w:sz w:val="22"/>
                <w:szCs w:val="22"/>
              </w:rPr>
              <w:t>3</w:t>
            </w:r>
          </w:p>
        </w:tc>
        <w:tc>
          <w:tcPr>
            <w:tcW w:w="1404" w:type="dxa"/>
          </w:tcPr>
          <w:p w:rsidR="006B2F4B" w:rsidRPr="006B2F4B" w:rsidRDefault="006B2F4B" w:rsidP="004C5CD2">
            <w:pPr>
              <w:jc w:val="right"/>
              <w:rPr>
                <w:sz w:val="22"/>
                <w:szCs w:val="22"/>
              </w:rPr>
            </w:pPr>
            <w:r w:rsidRPr="006B2F4B">
              <w:rPr>
                <w:sz w:val="22"/>
                <w:szCs w:val="22"/>
              </w:rPr>
              <w:t>4</w:t>
            </w:r>
          </w:p>
        </w:tc>
        <w:tc>
          <w:tcPr>
            <w:tcW w:w="1070" w:type="dxa"/>
          </w:tcPr>
          <w:p w:rsidR="006B2F4B" w:rsidRPr="0094226F" w:rsidRDefault="006B2F4B" w:rsidP="000C3C21">
            <w:pPr>
              <w:jc w:val="right"/>
              <w:rPr>
                <w:sz w:val="22"/>
                <w:szCs w:val="22"/>
              </w:rPr>
            </w:pPr>
            <w:r>
              <w:rPr>
                <w:sz w:val="22"/>
                <w:szCs w:val="22"/>
              </w:rPr>
              <w:t>3</w:t>
            </w:r>
          </w:p>
        </w:tc>
        <w:tc>
          <w:tcPr>
            <w:tcW w:w="1102" w:type="dxa"/>
          </w:tcPr>
          <w:p w:rsidR="006B2F4B" w:rsidRPr="006B2F4B" w:rsidRDefault="000A5E22" w:rsidP="006F6A01">
            <w:pPr>
              <w:jc w:val="right"/>
              <w:rPr>
                <w:sz w:val="22"/>
                <w:szCs w:val="22"/>
              </w:rPr>
            </w:pPr>
            <w:r>
              <w:rPr>
                <w:sz w:val="22"/>
                <w:szCs w:val="22"/>
              </w:rPr>
              <w:t>4</w:t>
            </w:r>
          </w:p>
        </w:tc>
      </w:tr>
      <w:tr w:rsidR="000B45EB" w:rsidTr="000B45EB">
        <w:trPr>
          <w:trHeight w:val="271"/>
        </w:trPr>
        <w:tc>
          <w:tcPr>
            <w:tcW w:w="4635" w:type="dxa"/>
          </w:tcPr>
          <w:p w:rsidR="000B45EB" w:rsidRPr="0094226F" w:rsidRDefault="000B45EB" w:rsidP="00167917">
            <w:pPr>
              <w:jc w:val="both"/>
              <w:rPr>
                <w:b/>
                <w:sz w:val="22"/>
                <w:szCs w:val="22"/>
              </w:rPr>
            </w:pPr>
            <w:r w:rsidRPr="0094226F">
              <w:rPr>
                <w:b/>
                <w:sz w:val="22"/>
                <w:szCs w:val="22"/>
              </w:rPr>
              <w:t>Totals</w:t>
            </w:r>
          </w:p>
        </w:tc>
        <w:tc>
          <w:tcPr>
            <w:tcW w:w="1250" w:type="dxa"/>
          </w:tcPr>
          <w:p w:rsidR="000B45EB" w:rsidRPr="0094226F" w:rsidRDefault="000B45EB" w:rsidP="008746F9">
            <w:pPr>
              <w:jc w:val="center"/>
              <w:rPr>
                <w:b/>
                <w:sz w:val="22"/>
                <w:szCs w:val="22"/>
              </w:rPr>
            </w:pPr>
          </w:p>
        </w:tc>
        <w:tc>
          <w:tcPr>
            <w:tcW w:w="1404" w:type="dxa"/>
          </w:tcPr>
          <w:p w:rsidR="000B45EB" w:rsidRPr="00ED7708" w:rsidRDefault="000B45EB" w:rsidP="0082311B">
            <w:pPr>
              <w:jc w:val="right"/>
              <w:rPr>
                <w:b/>
                <w:sz w:val="22"/>
                <w:szCs w:val="22"/>
              </w:rPr>
            </w:pPr>
            <w:r w:rsidRPr="00ED7708">
              <w:rPr>
                <w:b/>
                <w:sz w:val="22"/>
                <w:szCs w:val="22"/>
              </w:rPr>
              <w:t>1</w:t>
            </w:r>
            <w:r>
              <w:rPr>
                <w:b/>
                <w:sz w:val="22"/>
                <w:szCs w:val="22"/>
              </w:rPr>
              <w:t>,</w:t>
            </w:r>
            <w:r w:rsidRPr="00ED7708">
              <w:rPr>
                <w:b/>
                <w:sz w:val="22"/>
                <w:szCs w:val="22"/>
              </w:rPr>
              <w:t>806.60</w:t>
            </w:r>
          </w:p>
        </w:tc>
        <w:tc>
          <w:tcPr>
            <w:tcW w:w="1404" w:type="dxa"/>
          </w:tcPr>
          <w:p w:rsidR="000B45EB" w:rsidRPr="00ED7708" w:rsidRDefault="000B45EB" w:rsidP="0082311B">
            <w:pPr>
              <w:jc w:val="right"/>
              <w:rPr>
                <w:b/>
                <w:sz w:val="22"/>
                <w:szCs w:val="22"/>
              </w:rPr>
            </w:pPr>
            <w:r w:rsidRPr="00ED7708">
              <w:rPr>
                <w:b/>
                <w:sz w:val="22"/>
                <w:szCs w:val="22"/>
              </w:rPr>
              <w:t>1</w:t>
            </w:r>
            <w:r>
              <w:rPr>
                <w:b/>
                <w:sz w:val="22"/>
                <w:szCs w:val="22"/>
              </w:rPr>
              <w:t>,</w:t>
            </w:r>
            <w:r w:rsidRPr="00ED7708">
              <w:rPr>
                <w:b/>
                <w:sz w:val="22"/>
                <w:szCs w:val="22"/>
              </w:rPr>
              <w:t>749.20</w:t>
            </w:r>
          </w:p>
        </w:tc>
        <w:tc>
          <w:tcPr>
            <w:tcW w:w="1070" w:type="dxa"/>
          </w:tcPr>
          <w:p w:rsidR="000B45EB" w:rsidRPr="00ED7708" w:rsidRDefault="000B45EB" w:rsidP="000C3C21">
            <w:pPr>
              <w:jc w:val="right"/>
              <w:rPr>
                <w:b/>
                <w:sz w:val="22"/>
                <w:szCs w:val="22"/>
              </w:rPr>
            </w:pPr>
            <w:r w:rsidRPr="00ED7708">
              <w:rPr>
                <w:b/>
                <w:sz w:val="22"/>
                <w:szCs w:val="22"/>
              </w:rPr>
              <w:t>1,919</w:t>
            </w:r>
          </w:p>
        </w:tc>
        <w:tc>
          <w:tcPr>
            <w:tcW w:w="1102" w:type="dxa"/>
          </w:tcPr>
          <w:p w:rsidR="000B45EB" w:rsidRPr="00ED7708" w:rsidRDefault="000B45EB" w:rsidP="0082311B">
            <w:pPr>
              <w:jc w:val="right"/>
              <w:rPr>
                <w:b/>
                <w:sz w:val="22"/>
                <w:szCs w:val="22"/>
              </w:rPr>
            </w:pPr>
            <w:r>
              <w:rPr>
                <w:b/>
                <w:sz w:val="22"/>
                <w:szCs w:val="22"/>
              </w:rPr>
              <w:t>1,9</w:t>
            </w:r>
            <w:r w:rsidR="00FD3E35">
              <w:rPr>
                <w:b/>
                <w:sz w:val="22"/>
                <w:szCs w:val="22"/>
              </w:rPr>
              <w:t>7</w:t>
            </w:r>
            <w:r w:rsidR="000A5E22">
              <w:rPr>
                <w:b/>
                <w:sz w:val="22"/>
                <w:szCs w:val="22"/>
              </w:rPr>
              <w:t>2</w:t>
            </w:r>
          </w:p>
        </w:tc>
      </w:tr>
    </w:tbl>
    <w:p w:rsidR="00D768CB" w:rsidRDefault="00D768CB" w:rsidP="00167917">
      <w:pPr>
        <w:jc w:val="both"/>
        <w:rPr>
          <w:sz w:val="22"/>
          <w:szCs w:val="22"/>
        </w:rPr>
      </w:pPr>
    </w:p>
    <w:p w:rsidR="00C67127" w:rsidRDefault="0032140C" w:rsidP="00167917">
      <w:pPr>
        <w:jc w:val="both"/>
        <w:rPr>
          <w:sz w:val="22"/>
          <w:szCs w:val="22"/>
        </w:rPr>
      </w:pPr>
      <w:r>
        <w:rPr>
          <w:sz w:val="22"/>
          <w:szCs w:val="22"/>
        </w:rPr>
        <w:t>5.7</w:t>
      </w:r>
      <w:r w:rsidR="0001776B">
        <w:rPr>
          <w:sz w:val="22"/>
          <w:szCs w:val="22"/>
        </w:rPr>
        <w:t xml:space="preserve"> In addition to the planned numbers shown above at existing settings, the Authority plans to establish places at the following settings for the 2015/16 academic year:</w:t>
      </w:r>
    </w:p>
    <w:p w:rsidR="00C67127" w:rsidRDefault="00C67127" w:rsidP="00167917">
      <w:pPr>
        <w:jc w:val="both"/>
        <w:rPr>
          <w:sz w:val="22"/>
          <w:szCs w:val="22"/>
        </w:rPr>
      </w:pPr>
    </w:p>
    <w:tbl>
      <w:tblPr>
        <w:tblStyle w:val="TableGrid"/>
        <w:tblW w:w="0" w:type="auto"/>
        <w:tblLook w:val="04A0" w:firstRow="1" w:lastRow="0" w:firstColumn="1" w:lastColumn="0" w:noHBand="0" w:noVBand="1"/>
      </w:tblPr>
      <w:tblGrid>
        <w:gridCol w:w="4780"/>
        <w:gridCol w:w="1275"/>
        <w:gridCol w:w="1317"/>
        <w:gridCol w:w="1317"/>
        <w:gridCol w:w="1080"/>
        <w:gridCol w:w="1105"/>
      </w:tblGrid>
      <w:tr w:rsidR="0001776B" w:rsidRPr="004F52B9" w:rsidTr="0082311B">
        <w:tc>
          <w:tcPr>
            <w:tcW w:w="4780" w:type="dxa"/>
          </w:tcPr>
          <w:p w:rsidR="0001776B" w:rsidRPr="007C10C0" w:rsidRDefault="0001776B" w:rsidP="0082311B">
            <w:pPr>
              <w:jc w:val="both"/>
              <w:rPr>
                <w:sz w:val="22"/>
                <w:szCs w:val="22"/>
              </w:rPr>
            </w:pPr>
            <w:r w:rsidRPr="007C10C0">
              <w:rPr>
                <w:sz w:val="22"/>
                <w:szCs w:val="22"/>
              </w:rPr>
              <w:t>Setting</w:t>
            </w:r>
          </w:p>
        </w:tc>
        <w:tc>
          <w:tcPr>
            <w:tcW w:w="1275" w:type="dxa"/>
          </w:tcPr>
          <w:p w:rsidR="0001776B" w:rsidRPr="007C10C0" w:rsidRDefault="0001776B" w:rsidP="0082311B">
            <w:pPr>
              <w:jc w:val="center"/>
              <w:rPr>
                <w:sz w:val="22"/>
                <w:szCs w:val="22"/>
              </w:rPr>
            </w:pPr>
            <w:r w:rsidRPr="007C10C0">
              <w:rPr>
                <w:sz w:val="22"/>
                <w:szCs w:val="22"/>
              </w:rPr>
              <w:t>Type (AP or SEN)</w:t>
            </w:r>
          </w:p>
        </w:tc>
        <w:tc>
          <w:tcPr>
            <w:tcW w:w="1317" w:type="dxa"/>
          </w:tcPr>
          <w:p w:rsidR="0001776B" w:rsidRPr="007C10C0" w:rsidRDefault="0001776B" w:rsidP="0082311B">
            <w:pPr>
              <w:jc w:val="right"/>
              <w:rPr>
                <w:sz w:val="22"/>
                <w:szCs w:val="22"/>
              </w:rPr>
            </w:pPr>
            <w:r w:rsidRPr="007C10C0">
              <w:rPr>
                <w:sz w:val="22"/>
                <w:szCs w:val="22"/>
              </w:rPr>
              <w:t>July 2014 Occupancy</w:t>
            </w:r>
          </w:p>
        </w:tc>
        <w:tc>
          <w:tcPr>
            <w:tcW w:w="1317" w:type="dxa"/>
          </w:tcPr>
          <w:p w:rsidR="0001776B" w:rsidRPr="007C10C0" w:rsidRDefault="0001776B" w:rsidP="0082311B">
            <w:pPr>
              <w:jc w:val="right"/>
              <w:rPr>
                <w:sz w:val="22"/>
                <w:szCs w:val="22"/>
              </w:rPr>
            </w:pPr>
            <w:r w:rsidRPr="007C10C0">
              <w:rPr>
                <w:sz w:val="22"/>
                <w:szCs w:val="22"/>
              </w:rPr>
              <w:t>Sept 2014 Occupancy</w:t>
            </w:r>
          </w:p>
        </w:tc>
        <w:tc>
          <w:tcPr>
            <w:tcW w:w="1080" w:type="dxa"/>
          </w:tcPr>
          <w:p w:rsidR="0001776B" w:rsidRPr="007C10C0" w:rsidRDefault="0001776B" w:rsidP="0082311B">
            <w:pPr>
              <w:jc w:val="right"/>
              <w:rPr>
                <w:sz w:val="22"/>
                <w:szCs w:val="22"/>
              </w:rPr>
            </w:pPr>
            <w:r w:rsidRPr="007C10C0">
              <w:rPr>
                <w:sz w:val="22"/>
                <w:szCs w:val="22"/>
              </w:rPr>
              <w:t>14/15 AY Places</w:t>
            </w:r>
          </w:p>
        </w:tc>
        <w:tc>
          <w:tcPr>
            <w:tcW w:w="1105" w:type="dxa"/>
          </w:tcPr>
          <w:p w:rsidR="0001776B" w:rsidRPr="007C10C0" w:rsidRDefault="0001776B" w:rsidP="0082311B">
            <w:pPr>
              <w:jc w:val="right"/>
              <w:rPr>
                <w:sz w:val="22"/>
                <w:szCs w:val="22"/>
              </w:rPr>
            </w:pPr>
            <w:r w:rsidRPr="007C10C0">
              <w:rPr>
                <w:sz w:val="22"/>
                <w:szCs w:val="22"/>
              </w:rPr>
              <w:t>Planned 15/16 AY Places</w:t>
            </w:r>
          </w:p>
        </w:tc>
      </w:tr>
      <w:tr w:rsidR="00BA4CE3" w:rsidRPr="006F6A01" w:rsidTr="0082311B">
        <w:tc>
          <w:tcPr>
            <w:tcW w:w="4780" w:type="dxa"/>
          </w:tcPr>
          <w:p w:rsidR="00BA4CE3" w:rsidRPr="007C10C0" w:rsidRDefault="007C10C0" w:rsidP="0082311B">
            <w:pPr>
              <w:jc w:val="both"/>
              <w:rPr>
                <w:sz w:val="22"/>
                <w:szCs w:val="22"/>
              </w:rPr>
            </w:pPr>
            <w:r w:rsidRPr="007C10C0">
              <w:rPr>
                <w:sz w:val="22"/>
                <w:szCs w:val="22"/>
              </w:rPr>
              <w:t>DSP – Haworth Primary School</w:t>
            </w:r>
          </w:p>
        </w:tc>
        <w:tc>
          <w:tcPr>
            <w:tcW w:w="1275" w:type="dxa"/>
          </w:tcPr>
          <w:p w:rsidR="00BA4CE3" w:rsidRPr="007C10C0" w:rsidRDefault="00BA4CE3" w:rsidP="0082311B">
            <w:pPr>
              <w:jc w:val="center"/>
              <w:rPr>
                <w:sz w:val="22"/>
                <w:szCs w:val="22"/>
              </w:rPr>
            </w:pPr>
            <w:r w:rsidRPr="007C10C0">
              <w:rPr>
                <w:sz w:val="22"/>
                <w:szCs w:val="22"/>
              </w:rPr>
              <w:t>SEN</w:t>
            </w:r>
          </w:p>
        </w:tc>
        <w:tc>
          <w:tcPr>
            <w:tcW w:w="1317" w:type="dxa"/>
          </w:tcPr>
          <w:p w:rsidR="00BA4CE3" w:rsidRPr="007C10C0" w:rsidRDefault="007C10C0" w:rsidP="0082311B">
            <w:pPr>
              <w:jc w:val="right"/>
            </w:pPr>
            <w:r w:rsidRPr="007C10C0">
              <w:rPr>
                <w:sz w:val="22"/>
                <w:szCs w:val="22"/>
              </w:rPr>
              <w:t>0</w:t>
            </w:r>
          </w:p>
        </w:tc>
        <w:tc>
          <w:tcPr>
            <w:tcW w:w="1317" w:type="dxa"/>
          </w:tcPr>
          <w:p w:rsidR="00BA4CE3" w:rsidRPr="007C10C0" w:rsidRDefault="007C10C0" w:rsidP="0082311B">
            <w:pPr>
              <w:jc w:val="right"/>
            </w:pPr>
            <w:r w:rsidRPr="007C10C0">
              <w:rPr>
                <w:sz w:val="22"/>
                <w:szCs w:val="22"/>
              </w:rPr>
              <w:t>0</w:t>
            </w:r>
          </w:p>
        </w:tc>
        <w:tc>
          <w:tcPr>
            <w:tcW w:w="1080" w:type="dxa"/>
          </w:tcPr>
          <w:p w:rsidR="00BA4CE3" w:rsidRPr="007C10C0" w:rsidRDefault="007C10C0" w:rsidP="0082311B">
            <w:pPr>
              <w:jc w:val="right"/>
            </w:pPr>
            <w:r w:rsidRPr="007C10C0">
              <w:rPr>
                <w:sz w:val="22"/>
                <w:szCs w:val="22"/>
              </w:rPr>
              <w:t>0</w:t>
            </w:r>
          </w:p>
        </w:tc>
        <w:tc>
          <w:tcPr>
            <w:tcW w:w="1105" w:type="dxa"/>
          </w:tcPr>
          <w:p w:rsidR="00BA4CE3" w:rsidRPr="007C10C0" w:rsidRDefault="007C10C0" w:rsidP="0082311B">
            <w:pPr>
              <w:jc w:val="right"/>
            </w:pPr>
            <w:r w:rsidRPr="007C10C0">
              <w:rPr>
                <w:sz w:val="22"/>
                <w:szCs w:val="22"/>
              </w:rPr>
              <w:t>6</w:t>
            </w:r>
          </w:p>
        </w:tc>
      </w:tr>
      <w:tr w:rsidR="00BA4CE3" w:rsidRPr="006F6A01" w:rsidTr="0082311B">
        <w:tc>
          <w:tcPr>
            <w:tcW w:w="4780" w:type="dxa"/>
          </w:tcPr>
          <w:p w:rsidR="00BA4CE3" w:rsidRPr="007C10C0" w:rsidRDefault="007C10C0" w:rsidP="0082311B">
            <w:pPr>
              <w:jc w:val="both"/>
              <w:rPr>
                <w:sz w:val="22"/>
                <w:szCs w:val="22"/>
              </w:rPr>
            </w:pPr>
            <w:r w:rsidRPr="007C10C0">
              <w:rPr>
                <w:sz w:val="22"/>
                <w:szCs w:val="22"/>
              </w:rPr>
              <w:t>DSP – Bradford Forster Academy</w:t>
            </w:r>
          </w:p>
        </w:tc>
        <w:tc>
          <w:tcPr>
            <w:tcW w:w="1275" w:type="dxa"/>
          </w:tcPr>
          <w:p w:rsidR="00BA4CE3" w:rsidRPr="007C10C0" w:rsidRDefault="00BA4CE3" w:rsidP="0082311B">
            <w:pPr>
              <w:jc w:val="center"/>
              <w:rPr>
                <w:sz w:val="22"/>
                <w:szCs w:val="22"/>
              </w:rPr>
            </w:pPr>
            <w:r w:rsidRPr="007C10C0">
              <w:rPr>
                <w:sz w:val="22"/>
                <w:szCs w:val="22"/>
              </w:rPr>
              <w:t>SEN</w:t>
            </w:r>
          </w:p>
        </w:tc>
        <w:tc>
          <w:tcPr>
            <w:tcW w:w="1317" w:type="dxa"/>
          </w:tcPr>
          <w:p w:rsidR="00BA4CE3" w:rsidRPr="007C10C0" w:rsidRDefault="007C10C0" w:rsidP="0082311B">
            <w:pPr>
              <w:jc w:val="right"/>
              <w:rPr>
                <w:sz w:val="22"/>
                <w:szCs w:val="22"/>
              </w:rPr>
            </w:pPr>
            <w:r w:rsidRPr="007C10C0">
              <w:rPr>
                <w:sz w:val="22"/>
                <w:szCs w:val="22"/>
              </w:rPr>
              <w:t>0</w:t>
            </w:r>
          </w:p>
        </w:tc>
        <w:tc>
          <w:tcPr>
            <w:tcW w:w="1317" w:type="dxa"/>
          </w:tcPr>
          <w:p w:rsidR="00BA4CE3" w:rsidRPr="007C10C0" w:rsidRDefault="007C10C0" w:rsidP="0082311B">
            <w:pPr>
              <w:jc w:val="right"/>
              <w:rPr>
                <w:sz w:val="22"/>
                <w:szCs w:val="22"/>
              </w:rPr>
            </w:pPr>
            <w:r w:rsidRPr="007C10C0">
              <w:rPr>
                <w:sz w:val="22"/>
                <w:szCs w:val="22"/>
              </w:rPr>
              <w:t>0</w:t>
            </w:r>
          </w:p>
        </w:tc>
        <w:tc>
          <w:tcPr>
            <w:tcW w:w="1080" w:type="dxa"/>
          </w:tcPr>
          <w:p w:rsidR="00BA4CE3" w:rsidRPr="007C10C0" w:rsidRDefault="007C10C0" w:rsidP="0082311B">
            <w:pPr>
              <w:jc w:val="right"/>
              <w:rPr>
                <w:sz w:val="22"/>
                <w:szCs w:val="22"/>
              </w:rPr>
            </w:pPr>
            <w:r w:rsidRPr="007C10C0">
              <w:rPr>
                <w:sz w:val="22"/>
                <w:szCs w:val="22"/>
              </w:rPr>
              <w:t>0</w:t>
            </w:r>
          </w:p>
        </w:tc>
        <w:tc>
          <w:tcPr>
            <w:tcW w:w="1105" w:type="dxa"/>
          </w:tcPr>
          <w:p w:rsidR="00BA4CE3" w:rsidRPr="007C10C0" w:rsidRDefault="007C10C0" w:rsidP="0082311B">
            <w:pPr>
              <w:jc w:val="right"/>
              <w:rPr>
                <w:sz w:val="22"/>
                <w:szCs w:val="22"/>
              </w:rPr>
            </w:pPr>
            <w:r w:rsidRPr="007C10C0">
              <w:rPr>
                <w:sz w:val="22"/>
                <w:szCs w:val="22"/>
              </w:rPr>
              <w:t>6</w:t>
            </w:r>
          </w:p>
        </w:tc>
      </w:tr>
      <w:tr w:rsidR="00BA4CE3" w:rsidRPr="006F6A01" w:rsidTr="0082311B">
        <w:tc>
          <w:tcPr>
            <w:tcW w:w="4780" w:type="dxa"/>
          </w:tcPr>
          <w:p w:rsidR="00BA4CE3" w:rsidRPr="007C10C0" w:rsidRDefault="00BA4CE3" w:rsidP="0082311B">
            <w:pPr>
              <w:jc w:val="both"/>
              <w:rPr>
                <w:b/>
                <w:sz w:val="22"/>
                <w:szCs w:val="22"/>
              </w:rPr>
            </w:pPr>
            <w:r w:rsidRPr="007C10C0">
              <w:rPr>
                <w:b/>
                <w:sz w:val="22"/>
                <w:szCs w:val="22"/>
              </w:rPr>
              <w:t>Totals</w:t>
            </w:r>
          </w:p>
        </w:tc>
        <w:tc>
          <w:tcPr>
            <w:tcW w:w="1275" w:type="dxa"/>
          </w:tcPr>
          <w:p w:rsidR="00BA4CE3" w:rsidRPr="007C10C0" w:rsidRDefault="00BA4CE3" w:rsidP="0082311B">
            <w:pPr>
              <w:jc w:val="center"/>
              <w:rPr>
                <w:b/>
              </w:rPr>
            </w:pPr>
          </w:p>
        </w:tc>
        <w:tc>
          <w:tcPr>
            <w:tcW w:w="1317" w:type="dxa"/>
          </w:tcPr>
          <w:p w:rsidR="00BA4CE3" w:rsidRPr="007C10C0" w:rsidRDefault="007C10C0" w:rsidP="0082311B">
            <w:pPr>
              <w:jc w:val="right"/>
              <w:rPr>
                <w:b/>
              </w:rPr>
            </w:pPr>
            <w:r>
              <w:rPr>
                <w:b/>
                <w:sz w:val="22"/>
                <w:szCs w:val="22"/>
              </w:rPr>
              <w:t>0</w:t>
            </w:r>
          </w:p>
        </w:tc>
        <w:tc>
          <w:tcPr>
            <w:tcW w:w="1317" w:type="dxa"/>
          </w:tcPr>
          <w:p w:rsidR="00BA4CE3" w:rsidRPr="007C10C0" w:rsidRDefault="007C10C0" w:rsidP="0082311B">
            <w:pPr>
              <w:jc w:val="right"/>
              <w:rPr>
                <w:b/>
              </w:rPr>
            </w:pPr>
            <w:r>
              <w:rPr>
                <w:b/>
                <w:sz w:val="22"/>
                <w:szCs w:val="22"/>
              </w:rPr>
              <w:t>0</w:t>
            </w:r>
          </w:p>
        </w:tc>
        <w:tc>
          <w:tcPr>
            <w:tcW w:w="1080" w:type="dxa"/>
          </w:tcPr>
          <w:p w:rsidR="00BA4CE3" w:rsidRPr="007C10C0" w:rsidRDefault="007C10C0" w:rsidP="0082311B">
            <w:pPr>
              <w:jc w:val="right"/>
              <w:rPr>
                <w:b/>
              </w:rPr>
            </w:pPr>
            <w:r>
              <w:rPr>
                <w:b/>
                <w:sz w:val="22"/>
                <w:szCs w:val="22"/>
              </w:rPr>
              <w:t>0</w:t>
            </w:r>
          </w:p>
        </w:tc>
        <w:tc>
          <w:tcPr>
            <w:tcW w:w="1105" w:type="dxa"/>
          </w:tcPr>
          <w:p w:rsidR="00BA4CE3" w:rsidRPr="007C10C0" w:rsidRDefault="007C10C0" w:rsidP="0082311B">
            <w:pPr>
              <w:jc w:val="right"/>
              <w:rPr>
                <w:b/>
              </w:rPr>
            </w:pPr>
            <w:r>
              <w:rPr>
                <w:b/>
                <w:sz w:val="22"/>
                <w:szCs w:val="22"/>
              </w:rPr>
              <w:t>12</w:t>
            </w:r>
          </w:p>
        </w:tc>
      </w:tr>
    </w:tbl>
    <w:p w:rsidR="00AA245B" w:rsidRDefault="00AA245B" w:rsidP="00167917">
      <w:pPr>
        <w:jc w:val="both"/>
        <w:rPr>
          <w:color w:val="FF0000"/>
          <w:sz w:val="22"/>
          <w:szCs w:val="22"/>
        </w:rPr>
      </w:pPr>
    </w:p>
    <w:p w:rsidR="0001529A" w:rsidRPr="00266101" w:rsidRDefault="00E70D1B" w:rsidP="00167917">
      <w:pPr>
        <w:jc w:val="both"/>
        <w:rPr>
          <w:sz w:val="22"/>
          <w:szCs w:val="22"/>
        </w:rPr>
      </w:pPr>
      <w:r w:rsidRPr="00266101">
        <w:rPr>
          <w:sz w:val="22"/>
          <w:szCs w:val="22"/>
        </w:rPr>
        <w:t>5.8</w:t>
      </w:r>
      <w:r w:rsidR="004567D2" w:rsidRPr="00266101">
        <w:rPr>
          <w:sz w:val="22"/>
          <w:szCs w:val="22"/>
        </w:rPr>
        <w:t xml:space="preserve"> H</w:t>
      </w:r>
      <w:r w:rsidR="0001529A" w:rsidRPr="00266101">
        <w:rPr>
          <w:sz w:val="22"/>
          <w:szCs w:val="22"/>
        </w:rPr>
        <w:t xml:space="preserve">ow the </w:t>
      </w:r>
      <w:r w:rsidR="004567D2" w:rsidRPr="00266101">
        <w:rPr>
          <w:sz w:val="22"/>
          <w:szCs w:val="22"/>
        </w:rPr>
        <w:t>DSG’s resources</w:t>
      </w:r>
      <w:r w:rsidR="00266101" w:rsidRPr="00266101">
        <w:rPr>
          <w:sz w:val="22"/>
          <w:szCs w:val="22"/>
        </w:rPr>
        <w:t>,</w:t>
      </w:r>
      <w:r w:rsidR="006372E3" w:rsidRPr="00266101">
        <w:rPr>
          <w:sz w:val="22"/>
          <w:szCs w:val="22"/>
        </w:rPr>
        <w:t xml:space="preserve"> allocated</w:t>
      </w:r>
      <w:r w:rsidR="0001529A" w:rsidRPr="00266101">
        <w:rPr>
          <w:sz w:val="22"/>
          <w:szCs w:val="22"/>
        </w:rPr>
        <w:t xml:space="preserve"> in support of children in early years with SEND</w:t>
      </w:r>
      <w:r w:rsidR="00266101" w:rsidRPr="00266101">
        <w:rPr>
          <w:sz w:val="22"/>
          <w:szCs w:val="22"/>
        </w:rPr>
        <w:t>,</w:t>
      </w:r>
      <w:r w:rsidR="0001529A" w:rsidRPr="00266101">
        <w:rPr>
          <w:sz w:val="22"/>
          <w:szCs w:val="22"/>
        </w:rPr>
        <w:t xml:space="preserve"> are distributed</w:t>
      </w:r>
      <w:r w:rsidR="004567D2" w:rsidRPr="00266101">
        <w:rPr>
          <w:sz w:val="22"/>
          <w:szCs w:val="22"/>
        </w:rPr>
        <w:t xml:space="preserve"> has been (and is) under review</w:t>
      </w:r>
      <w:r w:rsidR="0001529A" w:rsidRPr="00266101">
        <w:rPr>
          <w:sz w:val="22"/>
          <w:szCs w:val="22"/>
        </w:rPr>
        <w:t>. This</w:t>
      </w:r>
      <w:r w:rsidR="004567D2" w:rsidRPr="00266101">
        <w:rPr>
          <w:sz w:val="22"/>
          <w:szCs w:val="22"/>
        </w:rPr>
        <w:t xml:space="preserve"> review</w:t>
      </w:r>
      <w:r w:rsidR="0001529A" w:rsidRPr="00266101">
        <w:rPr>
          <w:sz w:val="22"/>
          <w:szCs w:val="22"/>
        </w:rPr>
        <w:t xml:space="preserve"> incorporates the DSG budget</w:t>
      </w:r>
      <w:r w:rsidR="006372E3" w:rsidRPr="00266101">
        <w:rPr>
          <w:sz w:val="22"/>
          <w:szCs w:val="22"/>
        </w:rPr>
        <w:t>s</w:t>
      </w:r>
      <w:r w:rsidR="0001529A" w:rsidRPr="00266101">
        <w:rPr>
          <w:sz w:val="22"/>
          <w:szCs w:val="22"/>
        </w:rPr>
        <w:t xml:space="preserve"> for the Children’s Centre Plu</w:t>
      </w:r>
      <w:r w:rsidR="006372E3" w:rsidRPr="00266101">
        <w:rPr>
          <w:sz w:val="22"/>
          <w:szCs w:val="22"/>
        </w:rPr>
        <w:t>s and SIMBA provisions, which are</w:t>
      </w:r>
      <w:r w:rsidR="00B7184C">
        <w:rPr>
          <w:sz w:val="22"/>
          <w:szCs w:val="22"/>
        </w:rPr>
        <w:t xml:space="preserve"> calculated using </w:t>
      </w:r>
      <w:r w:rsidR="0001529A" w:rsidRPr="00266101">
        <w:rPr>
          <w:sz w:val="22"/>
          <w:szCs w:val="22"/>
        </w:rPr>
        <w:t>the Place-Plus</w:t>
      </w:r>
      <w:r w:rsidR="00266101" w:rsidRPr="00266101">
        <w:rPr>
          <w:sz w:val="22"/>
          <w:szCs w:val="22"/>
        </w:rPr>
        <w:t xml:space="preserve"> framework (</w:t>
      </w:r>
      <w:r w:rsidR="0001529A" w:rsidRPr="00266101">
        <w:rPr>
          <w:sz w:val="22"/>
          <w:szCs w:val="22"/>
        </w:rPr>
        <w:t>the numbers of places are included in the above table). Occupancy in these provisions is currently low, which the result of a number of factors, including the</w:t>
      </w:r>
      <w:r w:rsidR="00266101" w:rsidRPr="00266101">
        <w:rPr>
          <w:sz w:val="22"/>
          <w:szCs w:val="22"/>
        </w:rPr>
        <w:t xml:space="preserve"> proposals for the </w:t>
      </w:r>
      <w:r w:rsidR="0001529A" w:rsidRPr="00266101">
        <w:rPr>
          <w:sz w:val="22"/>
          <w:szCs w:val="22"/>
        </w:rPr>
        <w:t xml:space="preserve">remodelling of </w:t>
      </w:r>
      <w:r w:rsidR="00266101" w:rsidRPr="00266101">
        <w:rPr>
          <w:sz w:val="22"/>
          <w:szCs w:val="22"/>
        </w:rPr>
        <w:t xml:space="preserve">the District’s </w:t>
      </w:r>
      <w:r w:rsidR="0001529A" w:rsidRPr="00266101">
        <w:rPr>
          <w:sz w:val="22"/>
          <w:szCs w:val="22"/>
        </w:rPr>
        <w:t>Children’s Centre provision. This position hides the fact that the pressure on early years SEND services is significantly increasing, du</w:t>
      </w:r>
      <w:r w:rsidR="004567D2" w:rsidRPr="00266101">
        <w:rPr>
          <w:sz w:val="22"/>
          <w:szCs w:val="22"/>
        </w:rPr>
        <w:t>e to demographic growth and</w:t>
      </w:r>
      <w:r w:rsidR="0001529A" w:rsidRPr="00266101">
        <w:rPr>
          <w:sz w:val="22"/>
          <w:szCs w:val="22"/>
        </w:rPr>
        <w:t xml:space="preserve"> the introduction and expansion of the 2 year old offer.</w:t>
      </w:r>
      <w:r w:rsidR="006372E3" w:rsidRPr="00266101">
        <w:rPr>
          <w:sz w:val="22"/>
          <w:szCs w:val="22"/>
        </w:rPr>
        <w:t xml:space="preserve"> This is a longer term trend that must be effectively managed.</w:t>
      </w:r>
      <w:r w:rsidR="004567D2" w:rsidRPr="00266101">
        <w:rPr>
          <w:sz w:val="22"/>
          <w:szCs w:val="22"/>
        </w:rPr>
        <w:t xml:space="preserve"> Review </w:t>
      </w:r>
      <w:r w:rsidR="0001529A" w:rsidRPr="00266101">
        <w:rPr>
          <w:sz w:val="22"/>
          <w:szCs w:val="22"/>
        </w:rPr>
        <w:t>will dete</w:t>
      </w:r>
      <w:r w:rsidR="004567D2" w:rsidRPr="00266101">
        <w:rPr>
          <w:sz w:val="22"/>
          <w:szCs w:val="22"/>
        </w:rPr>
        <w:t>rmine the future direction of Children’s Centre Plus provision</w:t>
      </w:r>
      <w:r w:rsidR="006372E3" w:rsidRPr="00266101">
        <w:rPr>
          <w:sz w:val="22"/>
          <w:szCs w:val="22"/>
        </w:rPr>
        <w:t>. Review</w:t>
      </w:r>
      <w:r w:rsidR="0001529A" w:rsidRPr="00266101">
        <w:rPr>
          <w:sz w:val="22"/>
          <w:szCs w:val="22"/>
        </w:rPr>
        <w:t xml:space="preserve"> will</w:t>
      </w:r>
      <w:r w:rsidR="004567D2" w:rsidRPr="00266101">
        <w:rPr>
          <w:sz w:val="22"/>
          <w:szCs w:val="22"/>
        </w:rPr>
        <w:t xml:space="preserve"> also, more widely,</w:t>
      </w:r>
      <w:r w:rsidR="0001529A" w:rsidRPr="00266101">
        <w:rPr>
          <w:sz w:val="22"/>
          <w:szCs w:val="22"/>
        </w:rPr>
        <w:t xml:space="preserve"> </w:t>
      </w:r>
      <w:r w:rsidR="004567D2" w:rsidRPr="00266101">
        <w:rPr>
          <w:sz w:val="22"/>
          <w:szCs w:val="22"/>
        </w:rPr>
        <w:t>asses</w:t>
      </w:r>
      <w:r w:rsidR="00B7184C">
        <w:rPr>
          <w:sz w:val="22"/>
          <w:szCs w:val="22"/>
        </w:rPr>
        <w:t>s</w:t>
      </w:r>
      <w:r w:rsidR="004567D2" w:rsidRPr="00266101">
        <w:rPr>
          <w:sz w:val="22"/>
          <w:szCs w:val="22"/>
        </w:rPr>
        <w:t xml:space="preserve"> the sufficiency of DSG early years budgets and will determine how these budgets are allocated</w:t>
      </w:r>
      <w:r w:rsidR="006372E3" w:rsidRPr="00266101">
        <w:rPr>
          <w:sz w:val="22"/>
          <w:szCs w:val="22"/>
        </w:rPr>
        <w:t xml:space="preserve">. </w:t>
      </w:r>
      <w:r w:rsidR="00266101" w:rsidRPr="00266101">
        <w:rPr>
          <w:sz w:val="22"/>
          <w:szCs w:val="22"/>
        </w:rPr>
        <w:t>Pending the outcomes of this review, t</w:t>
      </w:r>
      <w:r w:rsidR="004567D2" w:rsidRPr="00266101">
        <w:rPr>
          <w:sz w:val="22"/>
          <w:szCs w:val="22"/>
        </w:rPr>
        <w:t>he planned places for</w:t>
      </w:r>
      <w:r w:rsidR="006372E3" w:rsidRPr="00266101">
        <w:rPr>
          <w:sz w:val="22"/>
          <w:szCs w:val="22"/>
        </w:rPr>
        <w:t xml:space="preserve"> the Children’s Centre Plus and SIMBA provisions </w:t>
      </w:r>
      <w:r w:rsidR="004567D2" w:rsidRPr="00266101">
        <w:rPr>
          <w:sz w:val="22"/>
          <w:szCs w:val="22"/>
        </w:rPr>
        <w:t>for the 2015/16 academic year are held at the existing level</w:t>
      </w:r>
      <w:r w:rsidR="00266101" w:rsidRPr="00266101">
        <w:rPr>
          <w:sz w:val="22"/>
          <w:szCs w:val="22"/>
        </w:rPr>
        <w:t>.</w:t>
      </w:r>
    </w:p>
    <w:p w:rsidR="00AA245B" w:rsidRDefault="00AA245B" w:rsidP="00167917">
      <w:pPr>
        <w:jc w:val="both"/>
        <w:rPr>
          <w:color w:val="FF0000"/>
          <w:sz w:val="22"/>
          <w:szCs w:val="22"/>
        </w:rPr>
      </w:pPr>
    </w:p>
    <w:p w:rsidR="00825F60" w:rsidRDefault="00E70D1B" w:rsidP="00167917">
      <w:pPr>
        <w:jc w:val="both"/>
        <w:rPr>
          <w:sz w:val="22"/>
          <w:szCs w:val="22"/>
        </w:rPr>
      </w:pPr>
      <w:r w:rsidRPr="00DD226C">
        <w:rPr>
          <w:sz w:val="22"/>
          <w:szCs w:val="22"/>
        </w:rPr>
        <w:t>5.9</w:t>
      </w:r>
      <w:r w:rsidR="00AA245B" w:rsidRPr="00DD226C">
        <w:rPr>
          <w:sz w:val="22"/>
          <w:szCs w:val="22"/>
        </w:rPr>
        <w:t xml:space="preserve"> </w:t>
      </w:r>
      <w:r w:rsidR="006372E3">
        <w:rPr>
          <w:sz w:val="22"/>
          <w:szCs w:val="22"/>
        </w:rPr>
        <w:t>Similarly, c</w:t>
      </w:r>
      <w:r w:rsidR="00DD226C" w:rsidRPr="00DD226C">
        <w:rPr>
          <w:sz w:val="22"/>
          <w:szCs w:val="22"/>
        </w:rPr>
        <w:t>onversations are currently taking place with the Bradford Improvement Partnership and Primary representatives about the future direction of behaviour support services and capacity for</w:t>
      </w:r>
      <w:r w:rsidR="00DD226C">
        <w:rPr>
          <w:sz w:val="22"/>
          <w:szCs w:val="22"/>
        </w:rPr>
        <w:t xml:space="preserve"> primary-aged pupils.</w:t>
      </w:r>
      <w:r w:rsidR="004E617D">
        <w:rPr>
          <w:sz w:val="22"/>
          <w:szCs w:val="22"/>
        </w:rPr>
        <w:t xml:space="preserve"> The table above shows that the full capacity of the primary behaviour centres is currently not utilised.</w:t>
      </w:r>
      <w:r w:rsidR="00DD226C">
        <w:rPr>
          <w:sz w:val="22"/>
          <w:szCs w:val="22"/>
        </w:rPr>
        <w:t xml:space="preserve"> One of the outcomes of these conversations could</w:t>
      </w:r>
      <w:r w:rsidR="00DD226C" w:rsidRPr="00DD226C">
        <w:rPr>
          <w:sz w:val="22"/>
          <w:szCs w:val="22"/>
        </w:rPr>
        <w:t xml:space="preserve"> be that </w:t>
      </w:r>
      <w:r w:rsidR="00DD226C">
        <w:rPr>
          <w:sz w:val="22"/>
          <w:szCs w:val="22"/>
        </w:rPr>
        <w:t>the current DSG</w:t>
      </w:r>
      <w:r w:rsidR="000B1F80">
        <w:rPr>
          <w:sz w:val="22"/>
          <w:szCs w:val="22"/>
        </w:rPr>
        <w:t xml:space="preserve"> budgets</w:t>
      </w:r>
      <w:r w:rsidR="00DD226C">
        <w:rPr>
          <w:sz w:val="22"/>
          <w:szCs w:val="22"/>
        </w:rPr>
        <w:t xml:space="preserve"> that are earmarked for the primary behaviour centres may be used in a different way. At the time of writing this document, the outcomes of these discussions are not known. Therefore, the places for the 2015/16 academic year for the primary behaviour centres are </w:t>
      </w:r>
      <w:r w:rsidR="00DD72B5">
        <w:rPr>
          <w:sz w:val="22"/>
          <w:szCs w:val="22"/>
        </w:rPr>
        <w:t>planned to be held at</w:t>
      </w:r>
      <w:r w:rsidR="00DD226C">
        <w:rPr>
          <w:sz w:val="22"/>
          <w:szCs w:val="22"/>
        </w:rPr>
        <w:t xml:space="preserve"> </w:t>
      </w:r>
      <w:r w:rsidR="00DD72B5">
        <w:rPr>
          <w:sz w:val="22"/>
          <w:szCs w:val="22"/>
        </w:rPr>
        <w:t xml:space="preserve">the </w:t>
      </w:r>
      <w:r w:rsidR="00DD226C">
        <w:rPr>
          <w:sz w:val="22"/>
          <w:szCs w:val="22"/>
        </w:rPr>
        <w:t>2014/15</w:t>
      </w:r>
      <w:r w:rsidR="00DD72B5">
        <w:rPr>
          <w:sz w:val="22"/>
          <w:szCs w:val="22"/>
        </w:rPr>
        <w:t xml:space="preserve"> level</w:t>
      </w:r>
      <w:r w:rsidR="00DD226C">
        <w:rPr>
          <w:sz w:val="22"/>
          <w:szCs w:val="22"/>
        </w:rPr>
        <w:t>, so that the resources within the DSG are maintained to be available in support of primary behaviour support provision</w:t>
      </w:r>
      <w:r w:rsidR="00DD72B5">
        <w:rPr>
          <w:sz w:val="22"/>
          <w:szCs w:val="22"/>
        </w:rPr>
        <w:t xml:space="preserve"> and are not redirected elsewhere</w:t>
      </w:r>
      <w:r w:rsidR="00DD226C">
        <w:rPr>
          <w:sz w:val="22"/>
          <w:szCs w:val="22"/>
        </w:rPr>
        <w:t>.</w:t>
      </w:r>
    </w:p>
    <w:p w:rsidR="00825F60" w:rsidRDefault="00825F60" w:rsidP="00167917">
      <w:pPr>
        <w:jc w:val="both"/>
        <w:rPr>
          <w:sz w:val="22"/>
          <w:szCs w:val="22"/>
        </w:rPr>
      </w:pPr>
    </w:p>
    <w:p w:rsidR="00AA245B" w:rsidRPr="00DD226C" w:rsidRDefault="00825F60" w:rsidP="00167917">
      <w:pPr>
        <w:jc w:val="both"/>
        <w:rPr>
          <w:sz w:val="22"/>
          <w:szCs w:val="22"/>
        </w:rPr>
      </w:pPr>
      <w:r>
        <w:rPr>
          <w:sz w:val="22"/>
          <w:szCs w:val="22"/>
        </w:rPr>
        <w:t xml:space="preserve">5.10 Please note that the places for Further Education </w:t>
      </w:r>
      <w:r w:rsidR="006B2F4B">
        <w:rPr>
          <w:sz w:val="22"/>
          <w:szCs w:val="22"/>
        </w:rPr>
        <w:t xml:space="preserve">providers for 2015/16, and the September 2014 occupancy, </w:t>
      </w:r>
      <w:r>
        <w:rPr>
          <w:sz w:val="22"/>
          <w:szCs w:val="22"/>
        </w:rPr>
        <w:t xml:space="preserve">cannot be confirmed until after the processing of the October 2014 Census and checking by settings. The planned places shown in the table above therefore, are estimated based the Authority’s current </w:t>
      </w:r>
      <w:r w:rsidR="00386068">
        <w:rPr>
          <w:sz w:val="22"/>
          <w:szCs w:val="22"/>
        </w:rPr>
        <w:t>data, and are subject to change, including for the adjustment to funding places on the basis of location.</w:t>
      </w:r>
    </w:p>
    <w:p w:rsidR="00E42E4B" w:rsidRDefault="00E42E4B" w:rsidP="00167917">
      <w:pPr>
        <w:jc w:val="both"/>
        <w:rPr>
          <w:sz w:val="22"/>
          <w:szCs w:val="22"/>
        </w:rPr>
      </w:pPr>
    </w:p>
    <w:p w:rsidR="00C67127" w:rsidRDefault="00E42E4B" w:rsidP="00167917">
      <w:pPr>
        <w:jc w:val="both"/>
        <w:rPr>
          <w:sz w:val="22"/>
          <w:szCs w:val="22"/>
        </w:rPr>
      </w:pPr>
      <w:r>
        <w:rPr>
          <w:sz w:val="22"/>
          <w:szCs w:val="22"/>
        </w:rPr>
        <w:t>5.</w:t>
      </w:r>
      <w:r w:rsidR="00825F60">
        <w:rPr>
          <w:sz w:val="22"/>
          <w:szCs w:val="22"/>
        </w:rPr>
        <w:t>11</w:t>
      </w:r>
      <w:r w:rsidR="0001776B">
        <w:rPr>
          <w:sz w:val="22"/>
          <w:szCs w:val="22"/>
        </w:rPr>
        <w:t xml:space="preserve"> </w:t>
      </w:r>
      <w:r w:rsidR="0001776B" w:rsidRPr="001069A7">
        <w:rPr>
          <w:sz w:val="22"/>
          <w:szCs w:val="22"/>
        </w:rPr>
        <w:t xml:space="preserve">In total therefore, the Authority plans to fund, through the High Needs Block, a total of </w:t>
      </w:r>
      <w:r w:rsidR="000A5E22">
        <w:rPr>
          <w:sz w:val="22"/>
          <w:szCs w:val="22"/>
        </w:rPr>
        <w:t>1,984</w:t>
      </w:r>
      <w:r w:rsidR="0001776B" w:rsidRPr="001069A7">
        <w:rPr>
          <w:sz w:val="22"/>
          <w:szCs w:val="22"/>
        </w:rPr>
        <w:t xml:space="preserve"> places in the 2015/16 academic year; </w:t>
      </w:r>
      <w:r w:rsidR="000A5E22">
        <w:rPr>
          <w:sz w:val="22"/>
          <w:szCs w:val="22"/>
        </w:rPr>
        <w:t>1,632</w:t>
      </w:r>
      <w:r w:rsidR="0001776B" w:rsidRPr="001069A7">
        <w:rPr>
          <w:sz w:val="22"/>
          <w:szCs w:val="22"/>
        </w:rPr>
        <w:t xml:space="preserve"> SEN places and </w:t>
      </w:r>
      <w:r w:rsidR="00246308" w:rsidRPr="001069A7">
        <w:rPr>
          <w:sz w:val="22"/>
          <w:szCs w:val="22"/>
        </w:rPr>
        <w:t>352</w:t>
      </w:r>
      <w:r w:rsidR="0001776B" w:rsidRPr="001069A7">
        <w:rPr>
          <w:sz w:val="22"/>
          <w:szCs w:val="22"/>
        </w:rPr>
        <w:t xml:space="preserve"> Alternative Provision places.</w:t>
      </w:r>
    </w:p>
    <w:p w:rsidR="0001776B" w:rsidRDefault="0001776B" w:rsidP="00167917">
      <w:pPr>
        <w:jc w:val="both"/>
        <w:rPr>
          <w:sz w:val="22"/>
          <w:szCs w:val="22"/>
        </w:rPr>
      </w:pPr>
    </w:p>
    <w:p w:rsidR="00167917" w:rsidRDefault="00391005" w:rsidP="00167917">
      <w:pPr>
        <w:jc w:val="both"/>
        <w:rPr>
          <w:sz w:val="22"/>
          <w:szCs w:val="22"/>
        </w:rPr>
      </w:pPr>
      <w:r>
        <w:rPr>
          <w:sz w:val="22"/>
          <w:szCs w:val="22"/>
        </w:rPr>
        <w:t>5.</w:t>
      </w:r>
      <w:r w:rsidR="00E42E4B">
        <w:rPr>
          <w:sz w:val="22"/>
          <w:szCs w:val="22"/>
        </w:rPr>
        <w:t>1</w:t>
      </w:r>
      <w:r w:rsidR="00825F60">
        <w:rPr>
          <w:sz w:val="22"/>
          <w:szCs w:val="22"/>
        </w:rPr>
        <w:t>2</w:t>
      </w:r>
      <w:r w:rsidR="00A404BD">
        <w:rPr>
          <w:sz w:val="22"/>
          <w:szCs w:val="22"/>
        </w:rPr>
        <w:t xml:space="preserve"> The Local Authority has</w:t>
      </w:r>
      <w:r w:rsidR="00167917">
        <w:rPr>
          <w:sz w:val="22"/>
          <w:szCs w:val="22"/>
        </w:rPr>
        <w:t xml:space="preserve"> contact</w:t>
      </w:r>
      <w:r w:rsidR="00A404BD">
        <w:rPr>
          <w:sz w:val="22"/>
          <w:szCs w:val="22"/>
        </w:rPr>
        <w:t>ed</w:t>
      </w:r>
      <w:r w:rsidR="00167917">
        <w:rPr>
          <w:sz w:val="22"/>
          <w:szCs w:val="22"/>
        </w:rPr>
        <w:t xml:space="preserve"> each</w:t>
      </w:r>
      <w:r w:rsidR="00040651">
        <w:rPr>
          <w:sz w:val="22"/>
          <w:szCs w:val="22"/>
        </w:rPr>
        <w:t xml:space="preserve"> high needs setting</w:t>
      </w:r>
      <w:r w:rsidR="00A404BD">
        <w:rPr>
          <w:sz w:val="22"/>
          <w:szCs w:val="22"/>
        </w:rPr>
        <w:t xml:space="preserve"> directly</w:t>
      </w:r>
      <w:r w:rsidR="003C263E">
        <w:rPr>
          <w:sz w:val="22"/>
          <w:szCs w:val="22"/>
        </w:rPr>
        <w:t xml:space="preserve"> to discuss this information and the numbers planned for 2015/16</w:t>
      </w:r>
      <w:r w:rsidR="00040651">
        <w:rPr>
          <w:sz w:val="22"/>
          <w:szCs w:val="22"/>
        </w:rPr>
        <w:t>.</w:t>
      </w:r>
    </w:p>
    <w:p w:rsidR="00E34C27" w:rsidRDefault="00E34C27" w:rsidP="0094692E">
      <w:pPr>
        <w:jc w:val="both"/>
        <w:rPr>
          <w:sz w:val="22"/>
          <w:szCs w:val="22"/>
        </w:rPr>
      </w:pPr>
    </w:p>
    <w:p w:rsidR="008074E0" w:rsidRDefault="003E2B7C" w:rsidP="0094692E">
      <w:pPr>
        <w:jc w:val="both"/>
        <w:rPr>
          <w:b/>
          <w:color w:val="0000FF"/>
          <w:sz w:val="22"/>
          <w:szCs w:val="22"/>
        </w:rPr>
      </w:pPr>
      <w:r w:rsidRPr="00040651">
        <w:rPr>
          <w:b/>
          <w:color w:val="0000FF"/>
          <w:sz w:val="22"/>
          <w:szCs w:val="22"/>
        </w:rPr>
        <w:t xml:space="preserve">Question 1: Do you have any comments on the </w:t>
      </w:r>
      <w:r w:rsidR="00040651" w:rsidRPr="00040651">
        <w:rPr>
          <w:b/>
          <w:color w:val="0000FF"/>
          <w:sz w:val="22"/>
          <w:szCs w:val="22"/>
        </w:rPr>
        <w:t>place</w:t>
      </w:r>
      <w:r w:rsidR="003C263E">
        <w:rPr>
          <w:b/>
          <w:color w:val="0000FF"/>
          <w:sz w:val="22"/>
          <w:szCs w:val="22"/>
        </w:rPr>
        <w:t>s (or the distribut</w:t>
      </w:r>
      <w:r w:rsidR="00850624">
        <w:rPr>
          <w:b/>
          <w:color w:val="0000FF"/>
          <w:sz w:val="22"/>
          <w:szCs w:val="22"/>
        </w:rPr>
        <w:t xml:space="preserve">ion of places) that are planned to be funded from the High Needs Block </w:t>
      </w:r>
      <w:r w:rsidR="0041552C">
        <w:rPr>
          <w:b/>
          <w:color w:val="0000FF"/>
          <w:sz w:val="22"/>
          <w:szCs w:val="22"/>
        </w:rPr>
        <w:t>in</w:t>
      </w:r>
      <w:r w:rsidR="003C263E">
        <w:rPr>
          <w:b/>
          <w:color w:val="0000FF"/>
          <w:sz w:val="22"/>
          <w:szCs w:val="22"/>
        </w:rPr>
        <w:t xml:space="preserve"> the 2015/16 academic year</w:t>
      </w:r>
      <w:r w:rsidRPr="00040651">
        <w:rPr>
          <w:b/>
          <w:color w:val="0000FF"/>
          <w:sz w:val="22"/>
          <w:szCs w:val="22"/>
        </w:rPr>
        <w:t>?</w:t>
      </w:r>
    </w:p>
    <w:p w:rsidR="00FF452A" w:rsidRDefault="00FF452A" w:rsidP="0094692E">
      <w:pPr>
        <w:jc w:val="both"/>
        <w:rPr>
          <w:b/>
          <w:color w:val="0000FF"/>
          <w:sz w:val="22"/>
          <w:szCs w:val="22"/>
        </w:rPr>
      </w:pPr>
    </w:p>
    <w:p w:rsidR="00E34C27" w:rsidRDefault="00E34C27" w:rsidP="0094692E">
      <w:pPr>
        <w:jc w:val="both"/>
        <w:rPr>
          <w:b/>
          <w:color w:val="0000FF"/>
          <w:sz w:val="22"/>
          <w:szCs w:val="22"/>
        </w:rPr>
      </w:pPr>
    </w:p>
    <w:p w:rsidR="00B90B15" w:rsidRPr="0096706D" w:rsidRDefault="0015118D" w:rsidP="0094692E">
      <w:pPr>
        <w:jc w:val="both"/>
        <w:rPr>
          <w:b/>
          <w:color w:val="000000" w:themeColor="text1"/>
          <w:sz w:val="22"/>
          <w:szCs w:val="22"/>
        </w:rPr>
      </w:pPr>
      <w:r w:rsidRPr="0096706D">
        <w:rPr>
          <w:b/>
          <w:color w:val="000000" w:themeColor="text1"/>
          <w:sz w:val="22"/>
          <w:szCs w:val="22"/>
        </w:rPr>
        <w:lastRenderedPageBreak/>
        <w:t>6</w:t>
      </w:r>
      <w:r w:rsidR="00AB5754" w:rsidRPr="0096706D">
        <w:rPr>
          <w:b/>
          <w:color w:val="000000" w:themeColor="text1"/>
          <w:sz w:val="22"/>
          <w:szCs w:val="22"/>
        </w:rPr>
        <w:t>.</w:t>
      </w:r>
      <w:r w:rsidR="00AB5754" w:rsidRPr="0096706D">
        <w:rPr>
          <w:b/>
          <w:color w:val="000000" w:themeColor="text1"/>
          <w:sz w:val="22"/>
          <w:szCs w:val="22"/>
        </w:rPr>
        <w:tab/>
      </w:r>
      <w:r w:rsidR="0096706D" w:rsidRPr="0096706D">
        <w:rPr>
          <w:b/>
          <w:color w:val="000000" w:themeColor="text1"/>
          <w:sz w:val="22"/>
          <w:szCs w:val="22"/>
        </w:rPr>
        <w:t>F</w:t>
      </w:r>
      <w:r w:rsidR="009254A1">
        <w:rPr>
          <w:b/>
          <w:color w:val="000000" w:themeColor="text1"/>
          <w:sz w:val="22"/>
          <w:szCs w:val="22"/>
        </w:rPr>
        <w:t>eedback F</w:t>
      </w:r>
      <w:r w:rsidR="0096706D" w:rsidRPr="0096706D">
        <w:rPr>
          <w:b/>
          <w:color w:val="000000" w:themeColor="text1"/>
          <w:sz w:val="22"/>
          <w:szCs w:val="22"/>
        </w:rPr>
        <w:t xml:space="preserve">rom / Review of 2014/15 </w:t>
      </w:r>
      <w:r w:rsidR="009254A1">
        <w:rPr>
          <w:b/>
          <w:color w:val="000000" w:themeColor="text1"/>
          <w:sz w:val="22"/>
          <w:szCs w:val="22"/>
        </w:rPr>
        <w:t xml:space="preserve">Funding </w:t>
      </w:r>
      <w:r w:rsidR="0096706D" w:rsidRPr="0096706D">
        <w:rPr>
          <w:b/>
          <w:color w:val="000000" w:themeColor="text1"/>
          <w:sz w:val="22"/>
          <w:szCs w:val="22"/>
        </w:rPr>
        <w:t>Arrangements</w:t>
      </w:r>
    </w:p>
    <w:p w:rsidR="00AB5754" w:rsidRPr="007E54BC" w:rsidRDefault="00AB5754" w:rsidP="0094692E">
      <w:pPr>
        <w:jc w:val="both"/>
        <w:rPr>
          <w:sz w:val="22"/>
          <w:szCs w:val="22"/>
        </w:rPr>
      </w:pPr>
    </w:p>
    <w:p w:rsidR="00562C60" w:rsidRDefault="0096706D" w:rsidP="00322A23">
      <w:pPr>
        <w:jc w:val="both"/>
        <w:rPr>
          <w:sz w:val="22"/>
          <w:szCs w:val="22"/>
        </w:rPr>
      </w:pPr>
      <w:r>
        <w:rPr>
          <w:sz w:val="22"/>
          <w:szCs w:val="22"/>
        </w:rPr>
        <w:t>6.1</w:t>
      </w:r>
      <w:r w:rsidR="001F6F4E" w:rsidRPr="001E65B6">
        <w:rPr>
          <w:sz w:val="22"/>
          <w:szCs w:val="22"/>
        </w:rPr>
        <w:t xml:space="preserve"> </w:t>
      </w:r>
      <w:r>
        <w:rPr>
          <w:sz w:val="22"/>
          <w:szCs w:val="22"/>
        </w:rPr>
        <w:t xml:space="preserve">The Authority’s </w:t>
      </w:r>
      <w:r w:rsidR="00D67A90">
        <w:rPr>
          <w:sz w:val="22"/>
          <w:szCs w:val="22"/>
        </w:rPr>
        <w:t xml:space="preserve">main </w:t>
      </w:r>
      <w:r w:rsidR="003732F1" w:rsidRPr="001E65B6">
        <w:rPr>
          <w:sz w:val="22"/>
          <w:szCs w:val="22"/>
        </w:rPr>
        <w:t>conclusions</w:t>
      </w:r>
      <w:r w:rsidR="00196A2C">
        <w:rPr>
          <w:sz w:val="22"/>
          <w:szCs w:val="22"/>
        </w:rPr>
        <w:t xml:space="preserve"> </w:t>
      </w:r>
      <w:r w:rsidR="00313E0E">
        <w:rPr>
          <w:sz w:val="22"/>
          <w:szCs w:val="22"/>
        </w:rPr>
        <w:t xml:space="preserve">from our review of </w:t>
      </w:r>
      <w:r>
        <w:rPr>
          <w:sz w:val="22"/>
          <w:szCs w:val="22"/>
        </w:rPr>
        <w:t xml:space="preserve">our </w:t>
      </w:r>
      <w:r w:rsidR="00196A2C" w:rsidRPr="001E65B6">
        <w:rPr>
          <w:sz w:val="22"/>
          <w:szCs w:val="22"/>
        </w:rPr>
        <w:t>arrangements</w:t>
      </w:r>
      <w:r>
        <w:rPr>
          <w:sz w:val="22"/>
          <w:szCs w:val="22"/>
        </w:rPr>
        <w:t>,</w:t>
      </w:r>
      <w:r w:rsidR="000F54D3">
        <w:rPr>
          <w:sz w:val="22"/>
          <w:szCs w:val="22"/>
        </w:rPr>
        <w:t xml:space="preserve"> incorporating</w:t>
      </w:r>
      <w:r>
        <w:rPr>
          <w:sz w:val="22"/>
          <w:szCs w:val="22"/>
        </w:rPr>
        <w:t xml:space="preserve"> </w:t>
      </w:r>
      <w:r w:rsidR="000F54D3">
        <w:rPr>
          <w:sz w:val="22"/>
          <w:szCs w:val="22"/>
        </w:rPr>
        <w:t xml:space="preserve">initial </w:t>
      </w:r>
      <w:r>
        <w:rPr>
          <w:sz w:val="22"/>
          <w:szCs w:val="22"/>
        </w:rPr>
        <w:t>feedback from settings and from the SEN Reference Group,</w:t>
      </w:r>
      <w:r w:rsidR="00313E0E">
        <w:rPr>
          <w:sz w:val="22"/>
          <w:szCs w:val="22"/>
        </w:rPr>
        <w:t xml:space="preserve"> </w:t>
      </w:r>
      <w:r w:rsidR="009A790D">
        <w:rPr>
          <w:sz w:val="22"/>
          <w:szCs w:val="22"/>
        </w:rPr>
        <w:t xml:space="preserve">over the last 2 years of </w:t>
      </w:r>
      <w:r>
        <w:rPr>
          <w:sz w:val="22"/>
          <w:szCs w:val="22"/>
        </w:rPr>
        <w:t xml:space="preserve">the </w:t>
      </w:r>
      <w:r w:rsidR="009A790D">
        <w:rPr>
          <w:sz w:val="22"/>
          <w:szCs w:val="22"/>
        </w:rPr>
        <w:t xml:space="preserve">operation of </w:t>
      </w:r>
      <w:r>
        <w:rPr>
          <w:sz w:val="22"/>
          <w:szCs w:val="22"/>
        </w:rPr>
        <w:t xml:space="preserve">the </w:t>
      </w:r>
      <w:r w:rsidR="009A790D">
        <w:rPr>
          <w:sz w:val="22"/>
          <w:szCs w:val="22"/>
        </w:rPr>
        <w:t>Place-Plus</w:t>
      </w:r>
      <w:r>
        <w:rPr>
          <w:sz w:val="22"/>
          <w:szCs w:val="22"/>
        </w:rPr>
        <w:t xml:space="preserve"> methodology</w:t>
      </w:r>
      <w:r w:rsidR="00377E32">
        <w:rPr>
          <w:sz w:val="22"/>
          <w:szCs w:val="22"/>
        </w:rPr>
        <w:t>,</w:t>
      </w:r>
      <w:r w:rsidR="009A790D">
        <w:rPr>
          <w:sz w:val="22"/>
          <w:szCs w:val="22"/>
        </w:rPr>
        <w:t xml:space="preserve"> </w:t>
      </w:r>
      <w:r w:rsidR="00313E0E">
        <w:rPr>
          <w:sz w:val="22"/>
          <w:szCs w:val="22"/>
        </w:rPr>
        <w:t>are:</w:t>
      </w:r>
    </w:p>
    <w:p w:rsidR="00E62B33" w:rsidRPr="001E65B6" w:rsidRDefault="00E62B33" w:rsidP="00322A23">
      <w:pPr>
        <w:jc w:val="both"/>
        <w:rPr>
          <w:sz w:val="22"/>
          <w:szCs w:val="22"/>
        </w:rPr>
      </w:pPr>
    </w:p>
    <w:p w:rsidR="00322B49" w:rsidRDefault="001E65B6" w:rsidP="00C805B0">
      <w:pPr>
        <w:numPr>
          <w:ilvl w:val="0"/>
          <w:numId w:val="10"/>
        </w:numPr>
        <w:jc w:val="both"/>
        <w:rPr>
          <w:sz w:val="22"/>
          <w:szCs w:val="22"/>
        </w:rPr>
      </w:pPr>
      <w:r w:rsidRPr="00CB3F01">
        <w:rPr>
          <w:sz w:val="22"/>
          <w:szCs w:val="22"/>
        </w:rPr>
        <w:t>O</w:t>
      </w:r>
      <w:r w:rsidR="00086BBD" w:rsidRPr="00CB3F01">
        <w:rPr>
          <w:sz w:val="22"/>
          <w:szCs w:val="22"/>
        </w:rPr>
        <w:t>ur response to the requirements of</w:t>
      </w:r>
      <w:r w:rsidRPr="00CB3F01">
        <w:rPr>
          <w:sz w:val="22"/>
          <w:szCs w:val="22"/>
        </w:rPr>
        <w:t xml:space="preserve"> the </w:t>
      </w:r>
      <w:r w:rsidR="007B08B0" w:rsidRPr="00CB3F01">
        <w:rPr>
          <w:sz w:val="22"/>
          <w:szCs w:val="22"/>
        </w:rPr>
        <w:t xml:space="preserve">national </w:t>
      </w:r>
      <w:r w:rsidRPr="00CB3F01">
        <w:rPr>
          <w:sz w:val="22"/>
          <w:szCs w:val="22"/>
        </w:rPr>
        <w:t>Place-Plus framework</w:t>
      </w:r>
      <w:r w:rsidR="00086BBD" w:rsidRPr="00CB3F01">
        <w:rPr>
          <w:sz w:val="22"/>
          <w:szCs w:val="22"/>
        </w:rPr>
        <w:t xml:space="preserve"> </w:t>
      </w:r>
      <w:r w:rsidR="00AD390A">
        <w:rPr>
          <w:sz w:val="22"/>
          <w:szCs w:val="22"/>
        </w:rPr>
        <w:t>has produced</w:t>
      </w:r>
      <w:r w:rsidR="00016341">
        <w:rPr>
          <w:sz w:val="22"/>
          <w:szCs w:val="22"/>
        </w:rPr>
        <w:t xml:space="preserve"> a funding model </w:t>
      </w:r>
      <w:r w:rsidR="00377E32">
        <w:rPr>
          <w:sz w:val="22"/>
          <w:szCs w:val="22"/>
        </w:rPr>
        <w:t xml:space="preserve">in Bradford </w:t>
      </w:r>
      <w:r w:rsidR="00016341">
        <w:rPr>
          <w:sz w:val="22"/>
          <w:szCs w:val="22"/>
        </w:rPr>
        <w:t>that is clear</w:t>
      </w:r>
      <w:r w:rsidR="00086BBD" w:rsidRPr="00CB3F01">
        <w:rPr>
          <w:sz w:val="22"/>
          <w:szCs w:val="22"/>
        </w:rPr>
        <w:t xml:space="preserve">. </w:t>
      </w:r>
      <w:r w:rsidR="009254A1">
        <w:rPr>
          <w:sz w:val="22"/>
          <w:szCs w:val="22"/>
        </w:rPr>
        <w:t xml:space="preserve">Although there have been some </w:t>
      </w:r>
      <w:r w:rsidR="000F54D3">
        <w:rPr>
          <w:sz w:val="22"/>
          <w:szCs w:val="22"/>
        </w:rPr>
        <w:t>technical issues to work through</w:t>
      </w:r>
      <w:r w:rsidR="009254A1">
        <w:rPr>
          <w:sz w:val="22"/>
          <w:szCs w:val="22"/>
        </w:rPr>
        <w:t>, t</w:t>
      </w:r>
      <w:r w:rsidR="00086BBD" w:rsidRPr="00CB3F01">
        <w:rPr>
          <w:sz w:val="22"/>
          <w:szCs w:val="22"/>
        </w:rPr>
        <w:t xml:space="preserve">he model has not generated </w:t>
      </w:r>
      <w:r w:rsidR="00A90EF4">
        <w:rPr>
          <w:sz w:val="22"/>
          <w:szCs w:val="22"/>
        </w:rPr>
        <w:t>significant issues for any phase or type of provision</w:t>
      </w:r>
      <w:r w:rsidRPr="00CB3F01">
        <w:rPr>
          <w:sz w:val="22"/>
          <w:szCs w:val="22"/>
        </w:rPr>
        <w:t>.</w:t>
      </w:r>
      <w:r w:rsidR="00313E0E">
        <w:rPr>
          <w:sz w:val="22"/>
          <w:szCs w:val="22"/>
        </w:rPr>
        <w:t xml:space="preserve"> </w:t>
      </w:r>
    </w:p>
    <w:p w:rsidR="00F669A4" w:rsidRPr="00F669A4" w:rsidRDefault="00F669A4" w:rsidP="00F669A4">
      <w:pPr>
        <w:jc w:val="both"/>
        <w:rPr>
          <w:sz w:val="22"/>
          <w:szCs w:val="22"/>
        </w:rPr>
      </w:pPr>
    </w:p>
    <w:p w:rsidR="001E65B6" w:rsidRPr="00CB3F01" w:rsidRDefault="009254A1" w:rsidP="00C1738E">
      <w:pPr>
        <w:numPr>
          <w:ilvl w:val="0"/>
          <w:numId w:val="10"/>
        </w:numPr>
        <w:jc w:val="both"/>
        <w:rPr>
          <w:sz w:val="22"/>
          <w:szCs w:val="22"/>
        </w:rPr>
      </w:pPr>
      <w:r>
        <w:rPr>
          <w:sz w:val="22"/>
          <w:szCs w:val="22"/>
        </w:rPr>
        <w:t>This being said, t</w:t>
      </w:r>
      <w:r w:rsidR="00313E0E">
        <w:rPr>
          <w:sz w:val="22"/>
          <w:szCs w:val="22"/>
        </w:rPr>
        <w:t xml:space="preserve">here is a recognised </w:t>
      </w:r>
      <w:r>
        <w:rPr>
          <w:sz w:val="22"/>
          <w:szCs w:val="22"/>
        </w:rPr>
        <w:t>need for a holistic</w:t>
      </w:r>
      <w:r w:rsidR="00313E0E">
        <w:rPr>
          <w:sz w:val="22"/>
          <w:szCs w:val="22"/>
        </w:rPr>
        <w:t xml:space="preserve"> review </w:t>
      </w:r>
      <w:r>
        <w:rPr>
          <w:sz w:val="22"/>
          <w:szCs w:val="22"/>
        </w:rPr>
        <w:t>of the</w:t>
      </w:r>
      <w:r w:rsidR="00313E0E">
        <w:rPr>
          <w:sz w:val="22"/>
          <w:szCs w:val="22"/>
        </w:rPr>
        <w:t xml:space="preserve"> funding of Post 16 high needs provision</w:t>
      </w:r>
      <w:r>
        <w:rPr>
          <w:sz w:val="22"/>
          <w:szCs w:val="22"/>
        </w:rPr>
        <w:t xml:space="preserve">, which is </w:t>
      </w:r>
      <w:r w:rsidR="00FF03C5">
        <w:rPr>
          <w:sz w:val="22"/>
          <w:szCs w:val="22"/>
        </w:rPr>
        <w:t xml:space="preserve">now </w:t>
      </w:r>
      <w:r>
        <w:rPr>
          <w:sz w:val="22"/>
          <w:szCs w:val="22"/>
        </w:rPr>
        <w:t>being taken forward</w:t>
      </w:r>
      <w:r w:rsidR="00313E0E">
        <w:rPr>
          <w:sz w:val="22"/>
          <w:szCs w:val="22"/>
        </w:rPr>
        <w:t>.</w:t>
      </w:r>
      <w:r w:rsidR="00377E32">
        <w:rPr>
          <w:sz w:val="22"/>
          <w:szCs w:val="22"/>
        </w:rPr>
        <w:t xml:space="preserve"> The Authority’s view i</w:t>
      </w:r>
      <w:r w:rsidR="00FF03C5">
        <w:rPr>
          <w:sz w:val="22"/>
          <w:szCs w:val="22"/>
        </w:rPr>
        <w:t>s that a formularised approach</w:t>
      </w:r>
      <w:r w:rsidR="00377E32">
        <w:rPr>
          <w:sz w:val="22"/>
          <w:szCs w:val="22"/>
        </w:rPr>
        <w:t xml:space="preserve"> (which is what our Ranges model is) </w:t>
      </w:r>
      <w:r w:rsidR="00FF03C5">
        <w:rPr>
          <w:sz w:val="22"/>
          <w:szCs w:val="22"/>
        </w:rPr>
        <w:t>to</w:t>
      </w:r>
      <w:r w:rsidR="00377E32">
        <w:rPr>
          <w:sz w:val="22"/>
          <w:szCs w:val="22"/>
        </w:rPr>
        <w:t xml:space="preserve"> </w:t>
      </w:r>
      <w:r w:rsidR="00FF03C5">
        <w:rPr>
          <w:sz w:val="22"/>
          <w:szCs w:val="22"/>
        </w:rPr>
        <w:t>the calculation of</w:t>
      </w:r>
      <w:r w:rsidR="00377E32">
        <w:rPr>
          <w:sz w:val="22"/>
          <w:szCs w:val="22"/>
        </w:rPr>
        <w:t xml:space="preserve"> the ‘Plus’ element</w:t>
      </w:r>
      <w:r w:rsidR="00FF03C5">
        <w:rPr>
          <w:sz w:val="22"/>
          <w:szCs w:val="22"/>
        </w:rPr>
        <w:t xml:space="preserve"> for the majority of students</w:t>
      </w:r>
      <w:r w:rsidR="00377E32">
        <w:rPr>
          <w:sz w:val="22"/>
          <w:szCs w:val="22"/>
        </w:rPr>
        <w:t xml:space="preserve"> has significant advantages, especial</w:t>
      </w:r>
      <w:r w:rsidR="00FF03C5">
        <w:rPr>
          <w:sz w:val="22"/>
          <w:szCs w:val="22"/>
        </w:rPr>
        <w:t>ly for the management</w:t>
      </w:r>
      <w:r w:rsidR="00377E32">
        <w:rPr>
          <w:sz w:val="22"/>
          <w:szCs w:val="22"/>
        </w:rPr>
        <w:t xml:space="preserve"> of Personalised Budgets </w:t>
      </w:r>
      <w:r w:rsidR="00FF03C5">
        <w:rPr>
          <w:sz w:val="22"/>
          <w:szCs w:val="22"/>
        </w:rPr>
        <w:t>in the future.</w:t>
      </w:r>
    </w:p>
    <w:p w:rsidR="00E037A3" w:rsidRDefault="00E037A3" w:rsidP="00E037A3">
      <w:pPr>
        <w:ind w:left="360"/>
        <w:jc w:val="both"/>
        <w:rPr>
          <w:color w:val="FF0000"/>
          <w:sz w:val="22"/>
          <w:szCs w:val="22"/>
        </w:rPr>
      </w:pPr>
    </w:p>
    <w:p w:rsidR="00EE4DD6" w:rsidRDefault="001E65B6" w:rsidP="00C1738E">
      <w:pPr>
        <w:numPr>
          <w:ilvl w:val="0"/>
          <w:numId w:val="10"/>
        </w:numPr>
        <w:jc w:val="both"/>
        <w:rPr>
          <w:sz w:val="22"/>
          <w:szCs w:val="22"/>
        </w:rPr>
      </w:pPr>
      <w:r w:rsidRPr="00CB3F01">
        <w:rPr>
          <w:sz w:val="22"/>
          <w:szCs w:val="22"/>
        </w:rPr>
        <w:t xml:space="preserve">Although a reason </w:t>
      </w:r>
      <w:r w:rsidR="00313E0E">
        <w:rPr>
          <w:sz w:val="22"/>
          <w:szCs w:val="22"/>
        </w:rPr>
        <w:t>for a lack of significant issues</w:t>
      </w:r>
      <w:r w:rsidRPr="00CB3F01">
        <w:rPr>
          <w:sz w:val="22"/>
          <w:szCs w:val="22"/>
        </w:rPr>
        <w:t xml:space="preserve"> may be the</w:t>
      </w:r>
      <w:r w:rsidR="00313E0E">
        <w:rPr>
          <w:sz w:val="22"/>
          <w:szCs w:val="22"/>
        </w:rPr>
        <w:t xml:space="preserve"> continued</w:t>
      </w:r>
      <w:r w:rsidRPr="00CB3F01">
        <w:rPr>
          <w:sz w:val="22"/>
          <w:szCs w:val="22"/>
        </w:rPr>
        <w:t xml:space="preserve"> use of measures, which have protected individual alloc</w:t>
      </w:r>
      <w:r w:rsidR="00E037A3" w:rsidRPr="00CB3F01">
        <w:rPr>
          <w:sz w:val="22"/>
          <w:szCs w:val="22"/>
        </w:rPr>
        <w:t>ati</w:t>
      </w:r>
      <w:r w:rsidR="00B70E98">
        <w:rPr>
          <w:sz w:val="22"/>
          <w:szCs w:val="22"/>
        </w:rPr>
        <w:t>ons</w:t>
      </w:r>
      <w:r w:rsidR="009254A1">
        <w:rPr>
          <w:sz w:val="22"/>
          <w:szCs w:val="22"/>
        </w:rPr>
        <w:t xml:space="preserve"> (the MFG and the Cash Budget Protection Factor)</w:t>
      </w:r>
      <w:r w:rsidR="00E037A3" w:rsidRPr="00CB3F01">
        <w:rPr>
          <w:sz w:val="22"/>
          <w:szCs w:val="22"/>
        </w:rPr>
        <w:t>, in fact the</w:t>
      </w:r>
      <w:r w:rsidRPr="00CB3F01">
        <w:rPr>
          <w:sz w:val="22"/>
          <w:szCs w:val="22"/>
        </w:rPr>
        <w:t xml:space="preserve"> pro</w:t>
      </w:r>
      <w:r w:rsidR="00FF6871" w:rsidRPr="00CB3F01">
        <w:rPr>
          <w:sz w:val="22"/>
          <w:szCs w:val="22"/>
        </w:rPr>
        <w:t>tections have largely not</w:t>
      </w:r>
      <w:r w:rsidRPr="00CB3F01">
        <w:rPr>
          <w:sz w:val="22"/>
          <w:szCs w:val="22"/>
        </w:rPr>
        <w:t xml:space="preserve"> be</w:t>
      </w:r>
      <w:r w:rsidR="00FF6871" w:rsidRPr="00CB3F01">
        <w:rPr>
          <w:sz w:val="22"/>
          <w:szCs w:val="22"/>
        </w:rPr>
        <w:t>en</w:t>
      </w:r>
      <w:r w:rsidRPr="00CB3F01">
        <w:rPr>
          <w:sz w:val="22"/>
          <w:szCs w:val="22"/>
        </w:rPr>
        <w:t xml:space="preserve"> employe</w:t>
      </w:r>
      <w:r w:rsidR="007B08B0" w:rsidRPr="00CB3F01">
        <w:rPr>
          <w:sz w:val="22"/>
          <w:szCs w:val="22"/>
        </w:rPr>
        <w:t>d. Where they have been</w:t>
      </w:r>
      <w:r w:rsidRPr="00CB3F01">
        <w:rPr>
          <w:sz w:val="22"/>
          <w:szCs w:val="22"/>
        </w:rPr>
        <w:t>, they have</w:t>
      </w:r>
      <w:r w:rsidR="00FF6871" w:rsidRPr="00CB3F01">
        <w:rPr>
          <w:sz w:val="22"/>
          <w:szCs w:val="22"/>
        </w:rPr>
        <w:t xml:space="preserve"> enabled</w:t>
      </w:r>
      <w:r w:rsidRPr="00CB3F01">
        <w:rPr>
          <w:sz w:val="22"/>
          <w:szCs w:val="22"/>
        </w:rPr>
        <w:t xml:space="preserve"> continuity of provision.</w:t>
      </w:r>
    </w:p>
    <w:p w:rsidR="009254A1" w:rsidRDefault="009254A1" w:rsidP="009254A1">
      <w:pPr>
        <w:pStyle w:val="ListParagraph"/>
        <w:rPr>
          <w:sz w:val="22"/>
          <w:szCs w:val="22"/>
        </w:rPr>
      </w:pPr>
    </w:p>
    <w:p w:rsidR="009254A1" w:rsidRPr="009254A1" w:rsidRDefault="009254A1" w:rsidP="009254A1">
      <w:pPr>
        <w:numPr>
          <w:ilvl w:val="0"/>
          <w:numId w:val="10"/>
        </w:numPr>
        <w:jc w:val="both"/>
        <w:rPr>
          <w:sz w:val="22"/>
          <w:szCs w:val="22"/>
        </w:rPr>
      </w:pPr>
      <w:r>
        <w:rPr>
          <w:sz w:val="22"/>
          <w:szCs w:val="22"/>
        </w:rPr>
        <w:t xml:space="preserve">Following the </w:t>
      </w:r>
      <w:r w:rsidR="000F54D3">
        <w:rPr>
          <w:sz w:val="22"/>
          <w:szCs w:val="22"/>
        </w:rPr>
        <w:t>improvements in processes</w:t>
      </w:r>
      <w:r>
        <w:rPr>
          <w:sz w:val="22"/>
          <w:szCs w:val="22"/>
        </w:rPr>
        <w:t xml:space="preserve"> that were introduced this year, our model now </w:t>
      </w:r>
      <w:r w:rsidR="000F54D3">
        <w:rPr>
          <w:sz w:val="22"/>
          <w:szCs w:val="22"/>
        </w:rPr>
        <w:t xml:space="preserve">more </w:t>
      </w:r>
      <w:r>
        <w:rPr>
          <w:sz w:val="22"/>
          <w:szCs w:val="22"/>
        </w:rPr>
        <w:t xml:space="preserve">successfully responds to </w:t>
      </w:r>
      <w:r w:rsidR="000F54D3">
        <w:rPr>
          <w:sz w:val="22"/>
          <w:szCs w:val="22"/>
        </w:rPr>
        <w:t>mid-year changes</w:t>
      </w:r>
      <w:r>
        <w:rPr>
          <w:sz w:val="22"/>
          <w:szCs w:val="22"/>
        </w:rPr>
        <w:t>, both in numbers</w:t>
      </w:r>
      <w:r w:rsidR="00322B49">
        <w:rPr>
          <w:sz w:val="22"/>
          <w:szCs w:val="22"/>
        </w:rPr>
        <w:t xml:space="preserve"> and in the</w:t>
      </w:r>
      <w:r w:rsidR="000F54D3">
        <w:rPr>
          <w:sz w:val="22"/>
          <w:szCs w:val="22"/>
        </w:rPr>
        <w:t xml:space="preserve"> levels of need</w:t>
      </w:r>
      <w:r>
        <w:rPr>
          <w:sz w:val="22"/>
          <w:szCs w:val="22"/>
        </w:rPr>
        <w:t xml:space="preserve"> of students</w:t>
      </w:r>
      <w:r w:rsidR="000F54D3">
        <w:rPr>
          <w:sz w:val="22"/>
          <w:szCs w:val="22"/>
        </w:rPr>
        <w:t xml:space="preserve">. </w:t>
      </w:r>
      <w:r w:rsidR="0090591F">
        <w:rPr>
          <w:sz w:val="22"/>
          <w:szCs w:val="22"/>
        </w:rPr>
        <w:t xml:space="preserve">It is recognised that the monthly re-calculation of allocations has created additional work for both settings and the Local Authority. </w:t>
      </w:r>
      <w:r>
        <w:rPr>
          <w:sz w:val="22"/>
          <w:szCs w:val="22"/>
        </w:rPr>
        <w:t xml:space="preserve">The inclusion of the </w:t>
      </w:r>
      <w:r w:rsidR="000F54D3">
        <w:rPr>
          <w:sz w:val="22"/>
          <w:szCs w:val="22"/>
        </w:rPr>
        <w:t xml:space="preserve">planned </w:t>
      </w:r>
      <w:r>
        <w:rPr>
          <w:sz w:val="22"/>
          <w:szCs w:val="22"/>
        </w:rPr>
        <w:t>Range of a student on placement consultation documents,</w:t>
      </w:r>
      <w:r w:rsidR="000F54D3">
        <w:rPr>
          <w:sz w:val="22"/>
          <w:szCs w:val="22"/>
        </w:rPr>
        <w:t xml:space="preserve"> the provision of an ‘on roll’ list at the start of each month,</w:t>
      </w:r>
      <w:r w:rsidR="00721B28">
        <w:rPr>
          <w:sz w:val="22"/>
          <w:szCs w:val="22"/>
        </w:rPr>
        <w:t xml:space="preserve"> as well as the</w:t>
      </w:r>
      <w:r w:rsidR="000F54D3">
        <w:rPr>
          <w:sz w:val="22"/>
          <w:szCs w:val="22"/>
        </w:rPr>
        <w:t xml:space="preserve"> ready reckoner, </w:t>
      </w:r>
      <w:r w:rsidR="0090591F">
        <w:rPr>
          <w:sz w:val="22"/>
          <w:szCs w:val="22"/>
        </w:rPr>
        <w:t xml:space="preserve">however, </w:t>
      </w:r>
      <w:r w:rsidR="000F54D3">
        <w:rPr>
          <w:sz w:val="22"/>
          <w:szCs w:val="22"/>
        </w:rPr>
        <w:t>have</w:t>
      </w:r>
      <w:r>
        <w:rPr>
          <w:sz w:val="22"/>
          <w:szCs w:val="22"/>
        </w:rPr>
        <w:t xml:space="preserve"> helped s</w:t>
      </w:r>
      <w:r w:rsidR="002B61E0">
        <w:rPr>
          <w:sz w:val="22"/>
          <w:szCs w:val="22"/>
        </w:rPr>
        <w:t>ettings</w:t>
      </w:r>
      <w:r>
        <w:rPr>
          <w:sz w:val="22"/>
          <w:szCs w:val="22"/>
        </w:rPr>
        <w:t xml:space="preserve"> be clearer about the fina</w:t>
      </w:r>
      <w:r w:rsidR="00721B28">
        <w:rPr>
          <w:sz w:val="22"/>
          <w:szCs w:val="22"/>
        </w:rPr>
        <w:t>ncial impact of movements</w:t>
      </w:r>
      <w:r>
        <w:rPr>
          <w:sz w:val="22"/>
          <w:szCs w:val="22"/>
        </w:rPr>
        <w:t xml:space="preserve"> during the year</w:t>
      </w:r>
      <w:r w:rsidR="002B61E0">
        <w:rPr>
          <w:sz w:val="22"/>
          <w:szCs w:val="22"/>
        </w:rPr>
        <w:t xml:space="preserve"> and</w:t>
      </w:r>
      <w:r w:rsidR="000F54D3">
        <w:rPr>
          <w:sz w:val="22"/>
          <w:szCs w:val="22"/>
        </w:rPr>
        <w:t xml:space="preserve"> have</w:t>
      </w:r>
      <w:r w:rsidR="00376A88">
        <w:rPr>
          <w:sz w:val="22"/>
          <w:szCs w:val="22"/>
        </w:rPr>
        <w:t xml:space="preserve"> helped colleagues</w:t>
      </w:r>
      <w:r w:rsidR="002B61E0">
        <w:rPr>
          <w:sz w:val="22"/>
          <w:szCs w:val="22"/>
        </w:rPr>
        <w:t xml:space="preserve"> have</w:t>
      </w:r>
      <w:r w:rsidR="000F54D3">
        <w:rPr>
          <w:sz w:val="22"/>
          <w:szCs w:val="22"/>
        </w:rPr>
        <w:t xml:space="preserve"> more confidence in how allocations are calculated</w:t>
      </w:r>
      <w:r>
        <w:rPr>
          <w:sz w:val="22"/>
          <w:szCs w:val="22"/>
        </w:rPr>
        <w:t>.</w:t>
      </w:r>
    </w:p>
    <w:p w:rsidR="00E037A3" w:rsidRDefault="00E037A3" w:rsidP="00721B28">
      <w:pPr>
        <w:jc w:val="both"/>
        <w:rPr>
          <w:color w:val="FF0000"/>
          <w:sz w:val="22"/>
          <w:szCs w:val="22"/>
        </w:rPr>
      </w:pPr>
    </w:p>
    <w:p w:rsidR="00E828A5" w:rsidRDefault="000201D9" w:rsidP="00C1738E">
      <w:pPr>
        <w:numPr>
          <w:ilvl w:val="0"/>
          <w:numId w:val="10"/>
        </w:numPr>
        <w:jc w:val="both"/>
        <w:rPr>
          <w:sz w:val="22"/>
          <w:szCs w:val="22"/>
        </w:rPr>
      </w:pPr>
      <w:r>
        <w:rPr>
          <w:sz w:val="22"/>
          <w:szCs w:val="22"/>
        </w:rPr>
        <w:t>In both</w:t>
      </w:r>
      <w:r w:rsidR="00FF2C92">
        <w:rPr>
          <w:sz w:val="22"/>
          <w:szCs w:val="22"/>
        </w:rPr>
        <w:t xml:space="preserve"> of the last 2 financial years, most </w:t>
      </w:r>
      <w:r w:rsidR="00650FA3" w:rsidRPr="00CB3F01">
        <w:rPr>
          <w:sz w:val="22"/>
          <w:szCs w:val="22"/>
        </w:rPr>
        <w:t>settings have filled (or exceed</w:t>
      </w:r>
      <w:r w:rsidR="00787013" w:rsidRPr="00CB3F01">
        <w:rPr>
          <w:sz w:val="22"/>
          <w:szCs w:val="22"/>
        </w:rPr>
        <w:t>ed</w:t>
      </w:r>
      <w:r w:rsidR="00650FA3" w:rsidRPr="00CB3F01">
        <w:rPr>
          <w:sz w:val="22"/>
          <w:szCs w:val="22"/>
        </w:rPr>
        <w:t>) their expected</w:t>
      </w:r>
      <w:r w:rsidR="001E65B6" w:rsidRPr="00CB3F01">
        <w:rPr>
          <w:sz w:val="22"/>
          <w:szCs w:val="22"/>
        </w:rPr>
        <w:t xml:space="preserve"> </w:t>
      </w:r>
      <w:r w:rsidR="00650FA3" w:rsidRPr="00CB3F01">
        <w:rPr>
          <w:sz w:val="22"/>
          <w:szCs w:val="22"/>
        </w:rPr>
        <w:t>number of plac</w:t>
      </w:r>
      <w:r w:rsidR="00FF2C92">
        <w:rPr>
          <w:sz w:val="22"/>
          <w:szCs w:val="22"/>
        </w:rPr>
        <w:t xml:space="preserve">es </w:t>
      </w:r>
      <w:r w:rsidR="00162B9D">
        <w:rPr>
          <w:sz w:val="22"/>
          <w:szCs w:val="22"/>
        </w:rPr>
        <w:t>during the year</w:t>
      </w:r>
      <w:r w:rsidR="00650FA3" w:rsidRPr="00CB3F01">
        <w:rPr>
          <w:sz w:val="22"/>
          <w:szCs w:val="22"/>
        </w:rPr>
        <w:t xml:space="preserve">. </w:t>
      </w:r>
      <w:r w:rsidR="000169B3" w:rsidRPr="00CB3F01">
        <w:rPr>
          <w:sz w:val="22"/>
          <w:szCs w:val="22"/>
        </w:rPr>
        <w:t xml:space="preserve">The in </w:t>
      </w:r>
      <w:r w:rsidR="00CB3F01" w:rsidRPr="00CB3F01">
        <w:rPr>
          <w:sz w:val="22"/>
          <w:szCs w:val="22"/>
        </w:rPr>
        <w:t>year re-determination of</w:t>
      </w:r>
      <w:r w:rsidR="000169B3" w:rsidRPr="00CB3F01">
        <w:rPr>
          <w:sz w:val="22"/>
          <w:szCs w:val="22"/>
        </w:rPr>
        <w:t xml:space="preserve"> allocatio</w:t>
      </w:r>
      <w:r w:rsidR="00061EA5" w:rsidRPr="00CB3F01">
        <w:rPr>
          <w:sz w:val="22"/>
          <w:szCs w:val="22"/>
        </w:rPr>
        <w:t>ns</w:t>
      </w:r>
      <w:r w:rsidR="00162B9D">
        <w:rPr>
          <w:sz w:val="22"/>
          <w:szCs w:val="22"/>
        </w:rPr>
        <w:t xml:space="preserve"> per se</w:t>
      </w:r>
      <w:r w:rsidR="00787013" w:rsidRPr="00CB3F01">
        <w:rPr>
          <w:sz w:val="22"/>
          <w:szCs w:val="22"/>
        </w:rPr>
        <w:t xml:space="preserve"> has not</w:t>
      </w:r>
      <w:r w:rsidR="00E037A3" w:rsidRPr="00CB3F01">
        <w:rPr>
          <w:sz w:val="22"/>
          <w:szCs w:val="22"/>
        </w:rPr>
        <w:t xml:space="preserve"> generally</w:t>
      </w:r>
      <w:r w:rsidR="00964725">
        <w:rPr>
          <w:sz w:val="22"/>
          <w:szCs w:val="22"/>
        </w:rPr>
        <w:t xml:space="preserve"> </w:t>
      </w:r>
      <w:r w:rsidR="00E037A3" w:rsidRPr="00FF2C92">
        <w:rPr>
          <w:color w:val="000000" w:themeColor="text1"/>
          <w:sz w:val="22"/>
          <w:szCs w:val="22"/>
        </w:rPr>
        <w:t>produced the</w:t>
      </w:r>
      <w:r w:rsidR="00787013" w:rsidRPr="00FF2C92">
        <w:rPr>
          <w:color w:val="000000" w:themeColor="text1"/>
          <w:sz w:val="22"/>
          <w:szCs w:val="22"/>
        </w:rPr>
        <w:t xml:space="preserve"> </w:t>
      </w:r>
      <w:r w:rsidR="000169B3" w:rsidRPr="00FF2C92">
        <w:rPr>
          <w:color w:val="000000" w:themeColor="text1"/>
          <w:sz w:val="22"/>
          <w:szCs w:val="22"/>
        </w:rPr>
        <w:t>level of turbulence</w:t>
      </w:r>
      <w:r w:rsidR="00787013" w:rsidRPr="00FF2C92">
        <w:rPr>
          <w:color w:val="000000" w:themeColor="text1"/>
          <w:sz w:val="22"/>
          <w:szCs w:val="22"/>
        </w:rPr>
        <w:t xml:space="preserve"> that was initially feared.</w:t>
      </w:r>
      <w:r w:rsidR="00061EA5" w:rsidRPr="00FF2C92">
        <w:rPr>
          <w:color w:val="000000" w:themeColor="text1"/>
          <w:sz w:val="22"/>
          <w:szCs w:val="22"/>
        </w:rPr>
        <w:t xml:space="preserve"> </w:t>
      </w:r>
      <w:r w:rsidR="00E828A5" w:rsidRPr="00FF2C92">
        <w:rPr>
          <w:color w:val="000000" w:themeColor="text1"/>
          <w:sz w:val="22"/>
          <w:szCs w:val="22"/>
        </w:rPr>
        <w:t>This</w:t>
      </w:r>
      <w:r w:rsidR="00FF2C92" w:rsidRPr="00FF2C92">
        <w:rPr>
          <w:color w:val="000000" w:themeColor="text1"/>
          <w:sz w:val="22"/>
          <w:szCs w:val="22"/>
        </w:rPr>
        <w:t xml:space="preserve"> being said</w:t>
      </w:r>
      <w:r w:rsidR="00E828A5" w:rsidRPr="00FF2C92">
        <w:rPr>
          <w:color w:val="000000" w:themeColor="text1"/>
          <w:sz w:val="22"/>
          <w:szCs w:val="22"/>
        </w:rPr>
        <w:t>, settings continue to be concerned about the risks to budgets where a child ceases to be on roll and funding is immediately reduced</w:t>
      </w:r>
      <w:r w:rsidR="00DE7FB4" w:rsidRPr="00FF2C92">
        <w:rPr>
          <w:color w:val="000000" w:themeColor="text1"/>
          <w:sz w:val="22"/>
          <w:szCs w:val="22"/>
        </w:rPr>
        <w:t>.</w:t>
      </w:r>
      <w:r w:rsidR="00313E0E" w:rsidRPr="00FF2C92">
        <w:rPr>
          <w:color w:val="000000" w:themeColor="text1"/>
          <w:sz w:val="22"/>
          <w:szCs w:val="22"/>
        </w:rPr>
        <w:t xml:space="preserve"> </w:t>
      </w:r>
      <w:r w:rsidR="00FF2C92" w:rsidRPr="00FF2C92">
        <w:rPr>
          <w:color w:val="000000" w:themeColor="text1"/>
          <w:sz w:val="22"/>
          <w:szCs w:val="22"/>
        </w:rPr>
        <w:t>The Authority has been asked to look at whether / how the Surplus Balances Protocol can be amended for stand-alone maintained high needs providers, to allow these providers to hold a higher level of reserve in support of budget and service protection. This is further discussed in paragraph 8.</w:t>
      </w:r>
    </w:p>
    <w:p w:rsidR="00E828A5" w:rsidRDefault="00E828A5" w:rsidP="00E828A5">
      <w:pPr>
        <w:jc w:val="both"/>
        <w:rPr>
          <w:sz w:val="22"/>
          <w:szCs w:val="22"/>
        </w:rPr>
      </w:pPr>
    </w:p>
    <w:p w:rsidR="00721B28" w:rsidRDefault="00721B28" w:rsidP="00E828A5">
      <w:pPr>
        <w:numPr>
          <w:ilvl w:val="0"/>
          <w:numId w:val="10"/>
        </w:numPr>
        <w:jc w:val="both"/>
        <w:rPr>
          <w:color w:val="000000" w:themeColor="text1"/>
          <w:sz w:val="22"/>
          <w:szCs w:val="22"/>
        </w:rPr>
      </w:pPr>
      <w:r w:rsidRPr="003D2EE0">
        <w:rPr>
          <w:color w:val="000000" w:themeColor="text1"/>
          <w:sz w:val="22"/>
          <w:szCs w:val="22"/>
        </w:rPr>
        <w:t xml:space="preserve">An emerging concern </w:t>
      </w:r>
      <w:r w:rsidR="00FF2C92" w:rsidRPr="003D2EE0">
        <w:rPr>
          <w:color w:val="000000" w:themeColor="text1"/>
          <w:sz w:val="22"/>
          <w:szCs w:val="22"/>
        </w:rPr>
        <w:t>is the r</w:t>
      </w:r>
      <w:r w:rsidR="003D2EE0" w:rsidRPr="003D2EE0">
        <w:rPr>
          <w:color w:val="000000" w:themeColor="text1"/>
          <w:sz w:val="22"/>
          <w:szCs w:val="22"/>
        </w:rPr>
        <w:t>isk</w:t>
      </w:r>
      <w:r w:rsidR="00FF2C92" w:rsidRPr="003D2EE0">
        <w:rPr>
          <w:color w:val="000000" w:themeColor="text1"/>
          <w:sz w:val="22"/>
          <w:szCs w:val="22"/>
        </w:rPr>
        <w:t xml:space="preserve"> brought by the monthly re</w:t>
      </w:r>
      <w:r w:rsidR="00FC5CAD">
        <w:rPr>
          <w:color w:val="000000" w:themeColor="text1"/>
          <w:sz w:val="22"/>
          <w:szCs w:val="22"/>
        </w:rPr>
        <w:t>-</w:t>
      </w:r>
      <w:r w:rsidR="00FF2C92" w:rsidRPr="003D2EE0">
        <w:rPr>
          <w:color w:val="000000" w:themeColor="text1"/>
          <w:sz w:val="22"/>
          <w:szCs w:val="22"/>
        </w:rPr>
        <w:t>determination of allocations on s</w:t>
      </w:r>
      <w:r w:rsidR="003D2EE0" w:rsidRPr="003D2EE0">
        <w:rPr>
          <w:color w:val="000000" w:themeColor="text1"/>
          <w:sz w:val="22"/>
          <w:szCs w:val="22"/>
        </w:rPr>
        <w:t>ervice delivery and standards for</w:t>
      </w:r>
      <w:r w:rsidR="00FF2C92" w:rsidRPr="003D2EE0">
        <w:rPr>
          <w:color w:val="000000" w:themeColor="text1"/>
          <w:sz w:val="22"/>
          <w:szCs w:val="22"/>
        </w:rPr>
        <w:t xml:space="preserve"> smaller providers, especially resourced units</w:t>
      </w:r>
      <w:r w:rsidR="000201D9">
        <w:rPr>
          <w:color w:val="000000" w:themeColor="text1"/>
          <w:sz w:val="22"/>
          <w:szCs w:val="22"/>
        </w:rPr>
        <w:t xml:space="preserve"> attached to mainstream schools and academies</w:t>
      </w:r>
      <w:r w:rsidR="00FC5CAD">
        <w:rPr>
          <w:color w:val="000000" w:themeColor="text1"/>
          <w:sz w:val="22"/>
          <w:szCs w:val="22"/>
        </w:rPr>
        <w:t xml:space="preserve"> and</w:t>
      </w:r>
      <w:r w:rsidR="00FF2C92" w:rsidRPr="003D2EE0">
        <w:rPr>
          <w:color w:val="000000" w:themeColor="text1"/>
          <w:sz w:val="22"/>
          <w:szCs w:val="22"/>
        </w:rPr>
        <w:t xml:space="preserve"> settings that are newly establishing. Funding partly on a place-led basis does provide some stability and it has been the Authority’s practice to fund newly establishing provisions on a minimum number </w:t>
      </w:r>
      <w:r w:rsidR="000201D9">
        <w:rPr>
          <w:color w:val="000000" w:themeColor="text1"/>
          <w:sz w:val="22"/>
          <w:szCs w:val="22"/>
        </w:rPr>
        <w:t>of places</w:t>
      </w:r>
      <w:r w:rsidR="00FF2C92" w:rsidRPr="003D2EE0">
        <w:rPr>
          <w:color w:val="000000" w:themeColor="text1"/>
          <w:sz w:val="22"/>
          <w:szCs w:val="22"/>
        </w:rPr>
        <w:t>. The inclusion of the Cash Budget Protection mechanism has also helped protect smaller settings against unplan</w:t>
      </w:r>
      <w:r w:rsidR="003D2EE0" w:rsidRPr="003D2EE0">
        <w:rPr>
          <w:color w:val="000000" w:themeColor="text1"/>
          <w:sz w:val="22"/>
          <w:szCs w:val="22"/>
        </w:rPr>
        <w:t>ned reductions in funding. F</w:t>
      </w:r>
      <w:r w:rsidR="00FF2C92" w:rsidRPr="003D2EE0">
        <w:rPr>
          <w:color w:val="000000" w:themeColor="text1"/>
          <w:sz w:val="22"/>
          <w:szCs w:val="22"/>
        </w:rPr>
        <w:t xml:space="preserve">or resourced units attached to mainstream schools and academies, this protection has ensured that any financial pressure brought about by in year re-determination has </w:t>
      </w:r>
      <w:r w:rsidR="000201D9">
        <w:rPr>
          <w:color w:val="000000" w:themeColor="text1"/>
          <w:sz w:val="22"/>
          <w:szCs w:val="22"/>
        </w:rPr>
        <w:t>been supported rather than being</w:t>
      </w:r>
      <w:r w:rsidR="00FF2C92" w:rsidRPr="003D2EE0">
        <w:rPr>
          <w:color w:val="000000" w:themeColor="text1"/>
          <w:sz w:val="22"/>
          <w:szCs w:val="22"/>
        </w:rPr>
        <w:t xml:space="preserve"> substantially passed onto the school’s or academy’s mainstream delegated budget.</w:t>
      </w:r>
      <w:r w:rsidR="003D2EE0" w:rsidRPr="003D2EE0">
        <w:rPr>
          <w:color w:val="000000" w:themeColor="text1"/>
          <w:sz w:val="22"/>
          <w:szCs w:val="22"/>
        </w:rPr>
        <w:t xml:space="preserve"> The Authority’s view has been that the Cash Budget Protection mechanism is </w:t>
      </w:r>
      <w:r w:rsidR="00F53C2E">
        <w:rPr>
          <w:color w:val="000000" w:themeColor="text1"/>
          <w:sz w:val="22"/>
          <w:szCs w:val="22"/>
        </w:rPr>
        <w:t xml:space="preserve">only </w:t>
      </w:r>
      <w:r w:rsidR="003D2EE0" w:rsidRPr="003D2EE0">
        <w:rPr>
          <w:color w:val="000000" w:themeColor="text1"/>
          <w:sz w:val="22"/>
          <w:szCs w:val="22"/>
        </w:rPr>
        <w:t xml:space="preserve">a </w:t>
      </w:r>
      <w:r w:rsidR="00FC5CAD">
        <w:rPr>
          <w:color w:val="000000" w:themeColor="text1"/>
          <w:sz w:val="22"/>
          <w:szCs w:val="22"/>
        </w:rPr>
        <w:t>transitional measure</w:t>
      </w:r>
      <w:r w:rsidR="00F53C2E">
        <w:rPr>
          <w:color w:val="000000" w:themeColor="text1"/>
          <w:sz w:val="22"/>
          <w:szCs w:val="22"/>
        </w:rPr>
        <w:t xml:space="preserve"> to</w:t>
      </w:r>
      <w:r w:rsidR="003D2EE0" w:rsidRPr="003D2EE0">
        <w:rPr>
          <w:color w:val="000000" w:themeColor="text1"/>
          <w:sz w:val="22"/>
          <w:szCs w:val="22"/>
        </w:rPr>
        <w:t xml:space="preserve"> be removed as Place-Plus is better established. However, </w:t>
      </w:r>
      <w:r w:rsidR="00FC5CAD">
        <w:rPr>
          <w:color w:val="000000" w:themeColor="text1"/>
          <w:sz w:val="22"/>
          <w:szCs w:val="22"/>
        </w:rPr>
        <w:t xml:space="preserve">in the light of feedback and discussions with the SEN Reference Group, </w:t>
      </w:r>
      <w:r w:rsidR="003D2EE0" w:rsidRPr="003D2EE0">
        <w:rPr>
          <w:color w:val="000000" w:themeColor="text1"/>
          <w:sz w:val="22"/>
          <w:szCs w:val="22"/>
        </w:rPr>
        <w:t>the Authori</w:t>
      </w:r>
      <w:r w:rsidR="00FC5CAD">
        <w:rPr>
          <w:color w:val="000000" w:themeColor="text1"/>
          <w:sz w:val="22"/>
          <w:szCs w:val="22"/>
        </w:rPr>
        <w:t>ty</w:t>
      </w:r>
      <w:r w:rsidR="003D2EE0" w:rsidRPr="003D2EE0">
        <w:rPr>
          <w:color w:val="000000" w:themeColor="text1"/>
          <w:sz w:val="22"/>
          <w:szCs w:val="22"/>
        </w:rPr>
        <w:t xml:space="preserve"> proposes that a protection continues as a permanent factor in the funding model, and this is discussed further in paragraph</w:t>
      </w:r>
      <w:r w:rsidR="00FF2C92" w:rsidRPr="003D2EE0">
        <w:rPr>
          <w:color w:val="000000" w:themeColor="text1"/>
          <w:sz w:val="22"/>
          <w:szCs w:val="22"/>
        </w:rPr>
        <w:t xml:space="preserve"> </w:t>
      </w:r>
      <w:r w:rsidR="003D2EE0" w:rsidRPr="003D2EE0">
        <w:rPr>
          <w:color w:val="000000" w:themeColor="text1"/>
          <w:sz w:val="22"/>
          <w:szCs w:val="22"/>
        </w:rPr>
        <w:t>7.</w:t>
      </w:r>
    </w:p>
    <w:p w:rsidR="002149B9" w:rsidRDefault="002149B9" w:rsidP="002149B9">
      <w:pPr>
        <w:ind w:left="720"/>
        <w:jc w:val="both"/>
        <w:rPr>
          <w:color w:val="000000" w:themeColor="text1"/>
          <w:sz w:val="22"/>
          <w:szCs w:val="22"/>
        </w:rPr>
      </w:pPr>
    </w:p>
    <w:p w:rsidR="007D1963" w:rsidRPr="00B77559" w:rsidRDefault="007D1963" w:rsidP="007D1963">
      <w:pPr>
        <w:numPr>
          <w:ilvl w:val="0"/>
          <w:numId w:val="10"/>
        </w:numPr>
        <w:jc w:val="both"/>
        <w:rPr>
          <w:color w:val="000000" w:themeColor="text1"/>
          <w:sz w:val="22"/>
          <w:szCs w:val="22"/>
        </w:rPr>
      </w:pPr>
      <w:r>
        <w:rPr>
          <w:color w:val="000000" w:themeColor="text1"/>
          <w:sz w:val="22"/>
          <w:szCs w:val="22"/>
        </w:rPr>
        <w:t xml:space="preserve">Some concerns have been expressed about the admissions process for children into specialist provisions. </w:t>
      </w:r>
      <w:r w:rsidRPr="00B77559">
        <w:rPr>
          <w:color w:val="000000" w:themeColor="text1"/>
          <w:sz w:val="22"/>
          <w:szCs w:val="22"/>
        </w:rPr>
        <w:t>SEN Services, (On behalf of the Council) is the admissions authority for all children with Statements or Education, health and C</w:t>
      </w:r>
      <w:r>
        <w:rPr>
          <w:color w:val="000000" w:themeColor="text1"/>
          <w:sz w:val="22"/>
          <w:szCs w:val="22"/>
        </w:rPr>
        <w:t xml:space="preserve">are Plans. The SEN Code of Practice requires SEN Services </w:t>
      </w:r>
      <w:r w:rsidRPr="00B77559">
        <w:rPr>
          <w:color w:val="000000" w:themeColor="text1"/>
          <w:sz w:val="22"/>
          <w:szCs w:val="22"/>
        </w:rPr>
        <w:t>have to seek and consult on parental preference</w:t>
      </w:r>
      <w:r>
        <w:rPr>
          <w:color w:val="000000" w:themeColor="text1"/>
          <w:sz w:val="22"/>
          <w:szCs w:val="22"/>
        </w:rPr>
        <w:t>. Schools have 15 days to respond to a request and the process is detailed in the SEN Code of Practice 2014.</w:t>
      </w:r>
    </w:p>
    <w:p w:rsidR="00E037A3" w:rsidRDefault="00E037A3" w:rsidP="00E037A3">
      <w:pPr>
        <w:jc w:val="both"/>
        <w:rPr>
          <w:color w:val="FF0000"/>
          <w:sz w:val="22"/>
          <w:szCs w:val="22"/>
        </w:rPr>
      </w:pPr>
    </w:p>
    <w:p w:rsidR="0076399D" w:rsidRPr="002F3460" w:rsidRDefault="002F3460" w:rsidP="002F3460">
      <w:pPr>
        <w:numPr>
          <w:ilvl w:val="0"/>
          <w:numId w:val="10"/>
        </w:numPr>
        <w:jc w:val="both"/>
        <w:rPr>
          <w:sz w:val="22"/>
          <w:szCs w:val="22"/>
        </w:rPr>
      </w:pPr>
      <w:r>
        <w:rPr>
          <w:sz w:val="22"/>
          <w:szCs w:val="22"/>
        </w:rPr>
        <w:t>The</w:t>
      </w:r>
      <w:r w:rsidR="00B40087">
        <w:rPr>
          <w:sz w:val="22"/>
          <w:szCs w:val="22"/>
        </w:rPr>
        <w:t xml:space="preserve"> processes</w:t>
      </w:r>
      <w:r w:rsidR="008825CF" w:rsidRPr="00194ABA">
        <w:rPr>
          <w:sz w:val="22"/>
          <w:szCs w:val="22"/>
        </w:rPr>
        <w:t xml:space="preserve"> for the identification and</w:t>
      </w:r>
      <w:r w:rsidR="003C52A9" w:rsidRPr="00194ABA">
        <w:rPr>
          <w:sz w:val="22"/>
          <w:szCs w:val="22"/>
        </w:rPr>
        <w:t xml:space="preserve"> moderation of pupil need</w:t>
      </w:r>
      <w:r w:rsidR="00312B2A">
        <w:rPr>
          <w:sz w:val="22"/>
          <w:szCs w:val="22"/>
        </w:rPr>
        <w:t xml:space="preserve">, </w:t>
      </w:r>
      <w:r>
        <w:rPr>
          <w:sz w:val="22"/>
          <w:szCs w:val="22"/>
        </w:rPr>
        <w:t>especially f</w:t>
      </w:r>
      <w:r w:rsidR="00312B2A" w:rsidRPr="00194ABA">
        <w:rPr>
          <w:sz w:val="22"/>
          <w:szCs w:val="22"/>
        </w:rPr>
        <w:t>or Special schools and for children in DSP and ARC provision</w:t>
      </w:r>
      <w:r w:rsidR="00312B2A">
        <w:rPr>
          <w:sz w:val="22"/>
          <w:szCs w:val="22"/>
        </w:rPr>
        <w:t>,</w:t>
      </w:r>
      <w:r w:rsidR="003C52A9" w:rsidRPr="00194ABA">
        <w:rPr>
          <w:sz w:val="22"/>
          <w:szCs w:val="22"/>
        </w:rPr>
        <w:t xml:space="preserve"> </w:t>
      </w:r>
      <w:r w:rsidR="00DE7FB4">
        <w:rPr>
          <w:sz w:val="22"/>
          <w:szCs w:val="22"/>
        </w:rPr>
        <w:t>are secure</w:t>
      </w:r>
      <w:r w:rsidR="008825CF" w:rsidRPr="00194ABA">
        <w:rPr>
          <w:sz w:val="22"/>
          <w:szCs w:val="22"/>
        </w:rPr>
        <w:t>.</w:t>
      </w:r>
      <w:r w:rsidR="00255248">
        <w:rPr>
          <w:sz w:val="22"/>
          <w:szCs w:val="22"/>
        </w:rPr>
        <w:t xml:space="preserve"> T</w:t>
      </w:r>
      <w:r w:rsidR="00DE7FB4">
        <w:rPr>
          <w:sz w:val="22"/>
          <w:szCs w:val="22"/>
        </w:rPr>
        <w:t xml:space="preserve">he </w:t>
      </w:r>
      <w:r>
        <w:rPr>
          <w:sz w:val="22"/>
          <w:szCs w:val="22"/>
        </w:rPr>
        <w:t xml:space="preserve">new </w:t>
      </w:r>
      <w:r w:rsidR="00DE7FB4">
        <w:rPr>
          <w:sz w:val="22"/>
          <w:szCs w:val="22"/>
        </w:rPr>
        <w:t>process</w:t>
      </w:r>
      <w:r w:rsidR="0090591F">
        <w:rPr>
          <w:sz w:val="22"/>
          <w:szCs w:val="22"/>
        </w:rPr>
        <w:t xml:space="preserve"> this year</w:t>
      </w:r>
      <w:r w:rsidR="00DE7FB4">
        <w:rPr>
          <w:sz w:val="22"/>
          <w:szCs w:val="22"/>
        </w:rPr>
        <w:t xml:space="preserve"> whereby a pupil’s</w:t>
      </w:r>
      <w:r w:rsidR="00255248">
        <w:rPr>
          <w:sz w:val="22"/>
          <w:szCs w:val="22"/>
        </w:rPr>
        <w:t xml:space="preserve"> </w:t>
      </w:r>
      <w:r w:rsidR="00255248">
        <w:rPr>
          <w:sz w:val="22"/>
          <w:szCs w:val="22"/>
        </w:rPr>
        <w:lastRenderedPageBreak/>
        <w:t>range can be amended in year in</w:t>
      </w:r>
      <w:r w:rsidR="00DE7FB4">
        <w:rPr>
          <w:sz w:val="22"/>
          <w:szCs w:val="22"/>
        </w:rPr>
        <w:t xml:space="preserve"> res</w:t>
      </w:r>
      <w:r w:rsidR="00255248">
        <w:rPr>
          <w:sz w:val="22"/>
          <w:szCs w:val="22"/>
        </w:rPr>
        <w:t>ponse to a sudden increase</w:t>
      </w:r>
      <w:r>
        <w:rPr>
          <w:sz w:val="22"/>
          <w:szCs w:val="22"/>
        </w:rPr>
        <w:t xml:space="preserve"> in need is a positive addition to these processes. </w:t>
      </w:r>
      <w:r w:rsidR="008825CF" w:rsidRPr="002F3460">
        <w:rPr>
          <w:sz w:val="22"/>
          <w:szCs w:val="22"/>
        </w:rPr>
        <w:t>The</w:t>
      </w:r>
      <w:r w:rsidR="0076399D" w:rsidRPr="002F3460">
        <w:rPr>
          <w:sz w:val="22"/>
          <w:szCs w:val="22"/>
        </w:rPr>
        <w:t xml:space="preserve"> processes for the</w:t>
      </w:r>
      <w:r w:rsidR="008825CF" w:rsidRPr="002F3460">
        <w:rPr>
          <w:sz w:val="22"/>
          <w:szCs w:val="22"/>
        </w:rPr>
        <w:t xml:space="preserve"> identification</w:t>
      </w:r>
      <w:r w:rsidR="0076399D" w:rsidRPr="002F3460">
        <w:rPr>
          <w:sz w:val="22"/>
          <w:szCs w:val="22"/>
        </w:rPr>
        <w:t xml:space="preserve"> and moderation of children / students</w:t>
      </w:r>
      <w:r w:rsidR="008825CF" w:rsidRPr="002F3460">
        <w:rPr>
          <w:sz w:val="22"/>
          <w:szCs w:val="22"/>
        </w:rPr>
        <w:t xml:space="preserve"> in other settings </w:t>
      </w:r>
      <w:r w:rsidR="000F7A08" w:rsidRPr="002F3460">
        <w:rPr>
          <w:sz w:val="22"/>
          <w:szCs w:val="22"/>
        </w:rPr>
        <w:t xml:space="preserve">must </w:t>
      </w:r>
      <w:r>
        <w:rPr>
          <w:sz w:val="22"/>
          <w:szCs w:val="22"/>
        </w:rPr>
        <w:t xml:space="preserve">still </w:t>
      </w:r>
      <w:r w:rsidR="000F7A08" w:rsidRPr="002F3460">
        <w:rPr>
          <w:sz w:val="22"/>
          <w:szCs w:val="22"/>
        </w:rPr>
        <w:t>be</w:t>
      </w:r>
      <w:r w:rsidR="0076399D" w:rsidRPr="002F3460">
        <w:rPr>
          <w:sz w:val="22"/>
          <w:szCs w:val="22"/>
        </w:rPr>
        <w:t xml:space="preserve"> </w:t>
      </w:r>
      <w:r>
        <w:rPr>
          <w:sz w:val="22"/>
          <w:szCs w:val="22"/>
        </w:rPr>
        <w:t>strengthened</w:t>
      </w:r>
      <w:r w:rsidR="0076399D" w:rsidRPr="002F3460">
        <w:rPr>
          <w:sz w:val="22"/>
          <w:szCs w:val="22"/>
        </w:rPr>
        <w:t>.</w:t>
      </w:r>
      <w:r w:rsidR="0073663C" w:rsidRPr="002F3460">
        <w:rPr>
          <w:sz w:val="22"/>
          <w:szCs w:val="22"/>
        </w:rPr>
        <w:t xml:space="preserve"> We must also consider how the funding model is to be applied where children</w:t>
      </w:r>
      <w:r w:rsidR="003C52A9" w:rsidRPr="002F3460">
        <w:rPr>
          <w:sz w:val="22"/>
          <w:szCs w:val="22"/>
        </w:rPr>
        <w:t xml:space="preserve"> / students</w:t>
      </w:r>
      <w:r w:rsidR="0073663C" w:rsidRPr="002F3460">
        <w:rPr>
          <w:sz w:val="22"/>
          <w:szCs w:val="22"/>
        </w:rPr>
        <w:t xml:space="preserve"> </w:t>
      </w:r>
      <w:r w:rsidR="00B70E98" w:rsidRPr="002F3460">
        <w:rPr>
          <w:sz w:val="22"/>
          <w:szCs w:val="22"/>
        </w:rPr>
        <w:t>with additional</w:t>
      </w:r>
      <w:r w:rsidR="00044A9D" w:rsidRPr="002F3460">
        <w:rPr>
          <w:sz w:val="22"/>
          <w:szCs w:val="22"/>
        </w:rPr>
        <w:t xml:space="preserve"> needs do not</w:t>
      </w:r>
      <w:r w:rsidR="00E037A3" w:rsidRPr="002F3460">
        <w:rPr>
          <w:sz w:val="22"/>
          <w:szCs w:val="22"/>
        </w:rPr>
        <w:t xml:space="preserve"> possess</w:t>
      </w:r>
      <w:r w:rsidR="0073663C" w:rsidRPr="002F3460">
        <w:rPr>
          <w:sz w:val="22"/>
          <w:szCs w:val="22"/>
        </w:rPr>
        <w:t xml:space="preserve"> Statement</w:t>
      </w:r>
      <w:r w:rsidR="00E037A3" w:rsidRPr="002F3460">
        <w:rPr>
          <w:sz w:val="22"/>
          <w:szCs w:val="22"/>
        </w:rPr>
        <w:t>s</w:t>
      </w:r>
      <w:r w:rsidR="0073663C" w:rsidRPr="002F3460">
        <w:rPr>
          <w:sz w:val="22"/>
          <w:szCs w:val="22"/>
        </w:rPr>
        <w:t>.</w:t>
      </w:r>
    </w:p>
    <w:p w:rsidR="00E037A3" w:rsidRDefault="00E037A3" w:rsidP="00E037A3">
      <w:pPr>
        <w:ind w:left="360"/>
        <w:jc w:val="both"/>
        <w:rPr>
          <w:color w:val="FF0000"/>
          <w:sz w:val="22"/>
          <w:szCs w:val="22"/>
        </w:rPr>
      </w:pPr>
    </w:p>
    <w:p w:rsidR="00334C07" w:rsidRDefault="00821460" w:rsidP="00C1738E">
      <w:pPr>
        <w:numPr>
          <w:ilvl w:val="0"/>
          <w:numId w:val="10"/>
        </w:numPr>
        <w:jc w:val="both"/>
        <w:rPr>
          <w:sz w:val="22"/>
          <w:szCs w:val="22"/>
        </w:rPr>
      </w:pPr>
      <w:r w:rsidRPr="00194ABA">
        <w:rPr>
          <w:sz w:val="22"/>
          <w:szCs w:val="22"/>
        </w:rPr>
        <w:t>The 7 Ranges Model</w:t>
      </w:r>
      <w:r w:rsidR="00C60492">
        <w:rPr>
          <w:sz w:val="22"/>
          <w:szCs w:val="22"/>
        </w:rPr>
        <w:t xml:space="preserve"> (Appendix 2)</w:t>
      </w:r>
      <w:r w:rsidRPr="00194ABA">
        <w:rPr>
          <w:sz w:val="22"/>
          <w:szCs w:val="22"/>
        </w:rPr>
        <w:t xml:space="preserve"> </w:t>
      </w:r>
      <w:r w:rsidR="001C47DB" w:rsidRPr="00194ABA">
        <w:rPr>
          <w:sz w:val="22"/>
          <w:szCs w:val="22"/>
        </w:rPr>
        <w:t>has delivered</w:t>
      </w:r>
      <w:r w:rsidRPr="00194ABA">
        <w:rPr>
          <w:sz w:val="22"/>
          <w:szCs w:val="22"/>
        </w:rPr>
        <w:t xml:space="preserve"> a sound basis for d</w:t>
      </w:r>
      <w:r w:rsidR="001C47DB" w:rsidRPr="00194ABA">
        <w:rPr>
          <w:sz w:val="22"/>
          <w:szCs w:val="22"/>
        </w:rPr>
        <w:t>etermining consistent values of ‘Plus’ funding fo</w:t>
      </w:r>
      <w:r w:rsidR="00686A8F">
        <w:rPr>
          <w:sz w:val="22"/>
          <w:szCs w:val="22"/>
        </w:rPr>
        <w:t>r individual children</w:t>
      </w:r>
      <w:r w:rsidR="00C60492">
        <w:rPr>
          <w:sz w:val="22"/>
          <w:szCs w:val="22"/>
        </w:rPr>
        <w:t xml:space="preserve"> aged pre-16 (post 16 funding is under review, as stated earlier in this document)</w:t>
      </w:r>
      <w:r w:rsidRPr="00194ABA">
        <w:rPr>
          <w:sz w:val="22"/>
          <w:szCs w:val="22"/>
        </w:rPr>
        <w:t>.</w:t>
      </w:r>
      <w:r w:rsidR="00C60492">
        <w:rPr>
          <w:sz w:val="22"/>
          <w:szCs w:val="22"/>
        </w:rPr>
        <w:t xml:space="preserve"> Being aware that the </w:t>
      </w:r>
      <w:proofErr w:type="spellStart"/>
      <w:r w:rsidR="00C60492">
        <w:rPr>
          <w:sz w:val="22"/>
          <w:szCs w:val="22"/>
        </w:rPr>
        <w:t>DfE</w:t>
      </w:r>
      <w:proofErr w:type="spellEnd"/>
      <w:r w:rsidR="00C60492">
        <w:rPr>
          <w:sz w:val="22"/>
          <w:szCs w:val="22"/>
        </w:rPr>
        <w:t xml:space="preserve"> plans a root and branch review of high needs funding arrangements during 2015, which may have implications for how the ‘Plus’ funding element is calculated in the future, the Authority’s view is that the existing Ranges model is robust enough to be used to calculate the funding for pre-16 students in 2015/16. </w:t>
      </w:r>
      <w:r w:rsidR="007A6B8D">
        <w:rPr>
          <w:sz w:val="22"/>
          <w:szCs w:val="22"/>
        </w:rPr>
        <w:t xml:space="preserve"> </w:t>
      </w:r>
      <w:r w:rsidR="006429EA">
        <w:rPr>
          <w:sz w:val="22"/>
          <w:szCs w:val="22"/>
        </w:rPr>
        <w:t>C</w:t>
      </w:r>
      <w:r w:rsidR="00A72220" w:rsidRPr="00194ABA">
        <w:rPr>
          <w:sz w:val="22"/>
          <w:szCs w:val="22"/>
        </w:rPr>
        <w:t xml:space="preserve">onsideration </w:t>
      </w:r>
      <w:r w:rsidR="00C60492">
        <w:rPr>
          <w:sz w:val="22"/>
          <w:szCs w:val="22"/>
        </w:rPr>
        <w:t>does need</w:t>
      </w:r>
      <w:r w:rsidR="00A72220" w:rsidRPr="00194ABA">
        <w:rPr>
          <w:sz w:val="22"/>
          <w:szCs w:val="22"/>
        </w:rPr>
        <w:t xml:space="preserve"> to be given</w:t>
      </w:r>
      <w:r w:rsidR="00C60492">
        <w:rPr>
          <w:sz w:val="22"/>
          <w:szCs w:val="22"/>
        </w:rPr>
        <w:t xml:space="preserve"> in the future, not just</w:t>
      </w:r>
      <w:r w:rsidR="001E0130">
        <w:rPr>
          <w:sz w:val="22"/>
          <w:szCs w:val="22"/>
        </w:rPr>
        <w:t xml:space="preserve"> to</w:t>
      </w:r>
      <w:r w:rsidR="00C60492">
        <w:rPr>
          <w:sz w:val="22"/>
          <w:szCs w:val="22"/>
        </w:rPr>
        <w:t xml:space="preserve"> the outcomes of the </w:t>
      </w:r>
      <w:proofErr w:type="spellStart"/>
      <w:r w:rsidR="00C60492">
        <w:rPr>
          <w:sz w:val="22"/>
          <w:szCs w:val="22"/>
        </w:rPr>
        <w:t>DfE’s</w:t>
      </w:r>
      <w:proofErr w:type="spellEnd"/>
      <w:r w:rsidR="00C60492">
        <w:rPr>
          <w:sz w:val="22"/>
          <w:szCs w:val="22"/>
        </w:rPr>
        <w:t xml:space="preserve"> review, but also</w:t>
      </w:r>
      <w:r w:rsidR="00A72220" w:rsidRPr="00194ABA">
        <w:rPr>
          <w:sz w:val="22"/>
          <w:szCs w:val="22"/>
        </w:rPr>
        <w:t xml:space="preserve"> to the extent to which our 7 Ranges Model aligns with those adopted by other regional authorities, which will support the delivery of </w:t>
      </w:r>
      <w:r w:rsidR="006D499B">
        <w:rPr>
          <w:sz w:val="22"/>
          <w:szCs w:val="22"/>
        </w:rPr>
        <w:t xml:space="preserve">a </w:t>
      </w:r>
      <w:r w:rsidR="00A72220" w:rsidRPr="00194ABA">
        <w:rPr>
          <w:sz w:val="22"/>
          <w:szCs w:val="22"/>
        </w:rPr>
        <w:t xml:space="preserve">consistent approach </w:t>
      </w:r>
      <w:r w:rsidR="00DB3E6A" w:rsidRPr="00194ABA">
        <w:rPr>
          <w:sz w:val="22"/>
          <w:szCs w:val="22"/>
        </w:rPr>
        <w:t>more widely</w:t>
      </w:r>
      <w:r w:rsidR="006429EA">
        <w:rPr>
          <w:sz w:val="22"/>
          <w:szCs w:val="22"/>
        </w:rPr>
        <w:t xml:space="preserve"> than just Bradford</w:t>
      </w:r>
      <w:r w:rsidR="00C60492">
        <w:rPr>
          <w:sz w:val="22"/>
          <w:szCs w:val="22"/>
        </w:rPr>
        <w:t>. We believe that our</w:t>
      </w:r>
      <w:r w:rsidR="006429EA">
        <w:rPr>
          <w:sz w:val="22"/>
          <w:szCs w:val="22"/>
        </w:rPr>
        <w:t xml:space="preserve"> </w:t>
      </w:r>
      <w:r w:rsidR="00C60492">
        <w:rPr>
          <w:sz w:val="22"/>
          <w:szCs w:val="22"/>
        </w:rPr>
        <w:t xml:space="preserve">pre-16 </w:t>
      </w:r>
      <w:r w:rsidR="006429EA">
        <w:rPr>
          <w:sz w:val="22"/>
          <w:szCs w:val="22"/>
        </w:rPr>
        <w:t>funding model is not dissimilar</w:t>
      </w:r>
      <w:r w:rsidR="005250ED">
        <w:rPr>
          <w:sz w:val="22"/>
          <w:szCs w:val="22"/>
        </w:rPr>
        <w:t xml:space="preserve"> from</w:t>
      </w:r>
      <w:r w:rsidR="006429EA">
        <w:rPr>
          <w:sz w:val="22"/>
          <w:szCs w:val="22"/>
        </w:rPr>
        <w:t xml:space="preserve"> that of other regional authorities. We are also clear that</w:t>
      </w:r>
      <w:r w:rsidR="00A72220" w:rsidRPr="00194ABA">
        <w:rPr>
          <w:sz w:val="22"/>
          <w:szCs w:val="22"/>
        </w:rPr>
        <w:t xml:space="preserve"> our first priority must always be to ensure that our funding model works for </w:t>
      </w:r>
      <w:smartTag w:uri="urn:schemas-microsoft-com:office:smarttags" w:element="place">
        <w:r w:rsidR="00A72220" w:rsidRPr="00194ABA">
          <w:rPr>
            <w:sz w:val="22"/>
            <w:szCs w:val="22"/>
          </w:rPr>
          <w:t>Bradford</w:t>
        </w:r>
      </w:smartTag>
      <w:r w:rsidR="00A72220" w:rsidRPr="00194ABA">
        <w:rPr>
          <w:sz w:val="22"/>
          <w:szCs w:val="22"/>
        </w:rPr>
        <w:t xml:space="preserve"> providers. </w:t>
      </w:r>
    </w:p>
    <w:p w:rsidR="00821460" w:rsidRDefault="00821460" w:rsidP="00821460">
      <w:pPr>
        <w:jc w:val="both"/>
        <w:rPr>
          <w:color w:val="FF0000"/>
          <w:sz w:val="22"/>
          <w:szCs w:val="22"/>
        </w:rPr>
      </w:pPr>
    </w:p>
    <w:p w:rsidR="00821460" w:rsidRPr="00DA207C" w:rsidRDefault="0050368D" w:rsidP="00C1738E">
      <w:pPr>
        <w:numPr>
          <w:ilvl w:val="0"/>
          <w:numId w:val="10"/>
        </w:numPr>
        <w:jc w:val="both"/>
        <w:rPr>
          <w:sz w:val="22"/>
          <w:szCs w:val="22"/>
        </w:rPr>
      </w:pPr>
      <w:r>
        <w:rPr>
          <w:sz w:val="22"/>
          <w:szCs w:val="22"/>
        </w:rPr>
        <w:t>The</w:t>
      </w:r>
      <w:r w:rsidR="00155E38">
        <w:rPr>
          <w:sz w:val="22"/>
          <w:szCs w:val="22"/>
        </w:rPr>
        <w:t xml:space="preserve"> factors that</w:t>
      </w:r>
      <w:r w:rsidR="00917E83" w:rsidRPr="00DA207C">
        <w:rPr>
          <w:sz w:val="22"/>
          <w:szCs w:val="22"/>
        </w:rPr>
        <w:t xml:space="preserve"> have allocated ‘Plus’ funding on a formula basis according to the specific needs of individual settings</w:t>
      </w:r>
      <w:r w:rsidR="003C52A9" w:rsidRPr="00DA207C">
        <w:rPr>
          <w:sz w:val="22"/>
          <w:szCs w:val="22"/>
        </w:rPr>
        <w:t xml:space="preserve"> (rather than pupils)</w:t>
      </w:r>
      <w:r w:rsidR="00917E83" w:rsidRPr="00DA207C">
        <w:rPr>
          <w:sz w:val="22"/>
          <w:szCs w:val="22"/>
        </w:rPr>
        <w:t>,</w:t>
      </w:r>
      <w:r w:rsidR="007A6B8D">
        <w:rPr>
          <w:sz w:val="22"/>
          <w:szCs w:val="22"/>
        </w:rPr>
        <w:t xml:space="preserve"> including the additional factors that were introduced in 2014/15,</w:t>
      </w:r>
      <w:r>
        <w:rPr>
          <w:sz w:val="22"/>
          <w:szCs w:val="22"/>
        </w:rPr>
        <w:t xml:space="preserve"> have worked well.</w:t>
      </w:r>
      <w:r w:rsidR="007A6B8D">
        <w:rPr>
          <w:sz w:val="22"/>
          <w:szCs w:val="22"/>
        </w:rPr>
        <w:t xml:space="preserve"> Together, these factors </w:t>
      </w:r>
      <w:r w:rsidR="00101046">
        <w:rPr>
          <w:sz w:val="22"/>
          <w:szCs w:val="22"/>
        </w:rPr>
        <w:t>meet</w:t>
      </w:r>
      <w:r w:rsidR="007A6B8D">
        <w:rPr>
          <w:sz w:val="22"/>
          <w:szCs w:val="22"/>
        </w:rPr>
        <w:t xml:space="preserve"> the main</w:t>
      </w:r>
      <w:r w:rsidR="00686A8F">
        <w:rPr>
          <w:sz w:val="22"/>
          <w:szCs w:val="22"/>
        </w:rPr>
        <w:t xml:space="preserve"> </w:t>
      </w:r>
      <w:r w:rsidR="007A6B8D">
        <w:rPr>
          <w:sz w:val="22"/>
          <w:szCs w:val="22"/>
        </w:rPr>
        <w:t xml:space="preserve">additional </w:t>
      </w:r>
      <w:r w:rsidR="00686A8F">
        <w:rPr>
          <w:sz w:val="22"/>
          <w:szCs w:val="22"/>
        </w:rPr>
        <w:t>cost pressures</w:t>
      </w:r>
      <w:r w:rsidR="007A6B8D">
        <w:rPr>
          <w:sz w:val="22"/>
          <w:szCs w:val="22"/>
        </w:rPr>
        <w:t xml:space="preserve"> </w:t>
      </w:r>
      <w:r w:rsidR="00101046">
        <w:rPr>
          <w:sz w:val="22"/>
          <w:szCs w:val="22"/>
        </w:rPr>
        <w:t xml:space="preserve">that are </w:t>
      </w:r>
      <w:r w:rsidR="007A6B8D">
        <w:rPr>
          <w:sz w:val="22"/>
          <w:szCs w:val="22"/>
        </w:rPr>
        <w:t>faced by settings</w:t>
      </w:r>
      <w:r w:rsidR="00101046">
        <w:rPr>
          <w:sz w:val="22"/>
          <w:szCs w:val="22"/>
        </w:rPr>
        <w:t xml:space="preserve">, </w:t>
      </w:r>
      <w:r w:rsidR="00427E9E">
        <w:rPr>
          <w:sz w:val="22"/>
          <w:szCs w:val="22"/>
        </w:rPr>
        <w:t xml:space="preserve">including </w:t>
      </w:r>
      <w:r w:rsidR="00101046">
        <w:rPr>
          <w:sz w:val="22"/>
          <w:szCs w:val="22"/>
        </w:rPr>
        <w:t>where these pressures do not fall evenly</w:t>
      </w:r>
      <w:r w:rsidR="00917E83" w:rsidRPr="00DA207C">
        <w:rPr>
          <w:sz w:val="22"/>
          <w:szCs w:val="22"/>
        </w:rPr>
        <w:t>.</w:t>
      </w:r>
      <w:r w:rsidR="00FA0479">
        <w:rPr>
          <w:sz w:val="22"/>
          <w:szCs w:val="22"/>
        </w:rPr>
        <w:t xml:space="preserve"> </w:t>
      </w:r>
      <w:r w:rsidR="005A7F86">
        <w:rPr>
          <w:sz w:val="22"/>
          <w:szCs w:val="22"/>
        </w:rPr>
        <w:t>The Authority has reviewed the split sites factor within the SEN model and has con</w:t>
      </w:r>
      <w:r w:rsidR="00155E38">
        <w:rPr>
          <w:sz w:val="22"/>
          <w:szCs w:val="22"/>
        </w:rPr>
        <w:t>cluded that this factor is</w:t>
      </w:r>
      <w:r w:rsidR="005A7F86">
        <w:rPr>
          <w:sz w:val="22"/>
          <w:szCs w:val="22"/>
        </w:rPr>
        <w:t xml:space="preserve"> ok in its current form; allocating £160,000 for a split site school / academy on a full year basis. This level of funding is very comparable with the support that would be allocated if the 2</w:t>
      </w:r>
      <w:r w:rsidR="005A7F86" w:rsidRPr="005A7F86">
        <w:rPr>
          <w:sz w:val="22"/>
          <w:szCs w:val="22"/>
          <w:vertAlign w:val="superscript"/>
        </w:rPr>
        <w:t>nd</w:t>
      </w:r>
      <w:r w:rsidR="005A7F86">
        <w:rPr>
          <w:sz w:val="22"/>
          <w:szCs w:val="22"/>
        </w:rPr>
        <w:t xml:space="preserve"> site was a stand-alone school in receipt of small setting protection. </w:t>
      </w:r>
    </w:p>
    <w:p w:rsidR="00522399" w:rsidRDefault="00522399" w:rsidP="00522399">
      <w:pPr>
        <w:jc w:val="both"/>
        <w:rPr>
          <w:color w:val="FF0000"/>
          <w:sz w:val="22"/>
          <w:szCs w:val="22"/>
        </w:rPr>
      </w:pPr>
    </w:p>
    <w:p w:rsidR="00483F7F" w:rsidRDefault="00DE5B39" w:rsidP="00C1738E">
      <w:pPr>
        <w:numPr>
          <w:ilvl w:val="0"/>
          <w:numId w:val="10"/>
        </w:numPr>
        <w:jc w:val="both"/>
        <w:rPr>
          <w:sz w:val="22"/>
          <w:szCs w:val="22"/>
        </w:rPr>
      </w:pPr>
      <w:r w:rsidRPr="00DA207C">
        <w:rPr>
          <w:sz w:val="22"/>
          <w:szCs w:val="22"/>
        </w:rPr>
        <w:t>For provision in mainstream primary and secondary s</w:t>
      </w:r>
      <w:r w:rsidR="002C62AF">
        <w:rPr>
          <w:sz w:val="22"/>
          <w:szCs w:val="22"/>
        </w:rPr>
        <w:t>chools and academies,</w:t>
      </w:r>
      <w:r w:rsidRPr="00DA207C">
        <w:rPr>
          <w:sz w:val="22"/>
          <w:szCs w:val="22"/>
        </w:rPr>
        <w:t xml:space="preserve"> the</w:t>
      </w:r>
      <w:r w:rsidR="003C52A9" w:rsidRPr="00DA207C">
        <w:rPr>
          <w:sz w:val="22"/>
          <w:szCs w:val="22"/>
        </w:rPr>
        <w:t xml:space="preserve"> national</w:t>
      </w:r>
      <w:r w:rsidRPr="00DA207C">
        <w:rPr>
          <w:sz w:val="22"/>
          <w:szCs w:val="22"/>
        </w:rPr>
        <w:t xml:space="preserve"> £6,000 threshold has been a</w:t>
      </w:r>
      <w:r w:rsidR="00392DC3">
        <w:rPr>
          <w:sz w:val="22"/>
          <w:szCs w:val="22"/>
        </w:rPr>
        <w:t>dopted without much difficulty</w:t>
      </w:r>
      <w:r w:rsidRPr="00DA207C">
        <w:rPr>
          <w:sz w:val="22"/>
          <w:szCs w:val="22"/>
        </w:rPr>
        <w:t xml:space="preserve">. </w:t>
      </w:r>
      <w:r w:rsidR="004F63F2">
        <w:rPr>
          <w:sz w:val="22"/>
          <w:szCs w:val="22"/>
        </w:rPr>
        <w:t xml:space="preserve">The notional </w:t>
      </w:r>
      <w:smartTag w:uri="urn:schemas-microsoft-com:office:smarttags" w:element="stockticker">
        <w:r w:rsidR="004F63F2">
          <w:rPr>
            <w:sz w:val="22"/>
            <w:szCs w:val="22"/>
          </w:rPr>
          <w:t>SEN</w:t>
        </w:r>
      </w:smartTag>
      <w:r w:rsidR="004F63F2">
        <w:rPr>
          <w:sz w:val="22"/>
          <w:szCs w:val="22"/>
        </w:rPr>
        <w:t xml:space="preserve"> calculation has been clearly</w:t>
      </w:r>
      <w:r w:rsidR="00392DC3">
        <w:rPr>
          <w:sz w:val="22"/>
          <w:szCs w:val="22"/>
        </w:rPr>
        <w:t xml:space="preserve"> identified and schools are</w:t>
      </w:r>
      <w:r w:rsidR="004F63F2">
        <w:rPr>
          <w:sz w:val="22"/>
          <w:szCs w:val="22"/>
        </w:rPr>
        <w:t xml:space="preserve"> clear on their level of financial responsibi</w:t>
      </w:r>
      <w:r w:rsidR="00BB5326">
        <w:rPr>
          <w:sz w:val="22"/>
          <w:szCs w:val="22"/>
        </w:rPr>
        <w:t>lity</w:t>
      </w:r>
      <w:r w:rsidR="004F63F2">
        <w:rPr>
          <w:sz w:val="22"/>
          <w:szCs w:val="22"/>
        </w:rPr>
        <w:t>. T</w:t>
      </w:r>
      <w:r w:rsidR="00F16CA0" w:rsidRPr="00DA207C">
        <w:rPr>
          <w:sz w:val="22"/>
          <w:szCs w:val="22"/>
        </w:rPr>
        <w:t xml:space="preserve">he </w:t>
      </w:r>
      <w:smartTag w:uri="urn:schemas-microsoft-com:office:smarttags" w:element="stockticker">
        <w:r w:rsidR="00F16CA0" w:rsidRPr="00DA207C">
          <w:rPr>
            <w:sz w:val="22"/>
            <w:szCs w:val="22"/>
          </w:rPr>
          <w:t>SEN</w:t>
        </w:r>
      </w:smartTag>
      <w:r w:rsidR="00F16CA0" w:rsidRPr="00DA207C">
        <w:rPr>
          <w:sz w:val="22"/>
          <w:szCs w:val="22"/>
        </w:rPr>
        <w:t xml:space="preserve"> Funding Floor </w:t>
      </w:r>
      <w:r w:rsidR="00D4650C" w:rsidRPr="00DA207C">
        <w:rPr>
          <w:sz w:val="22"/>
          <w:szCs w:val="22"/>
        </w:rPr>
        <w:t>re</w:t>
      </w:r>
      <w:r w:rsidR="00DA207C" w:rsidRPr="00DA207C">
        <w:rPr>
          <w:sz w:val="22"/>
          <w:szCs w:val="22"/>
        </w:rPr>
        <w:t>mains a factor essential</w:t>
      </w:r>
      <w:r w:rsidR="00D4650C" w:rsidRPr="00DA207C">
        <w:rPr>
          <w:sz w:val="22"/>
          <w:szCs w:val="22"/>
        </w:rPr>
        <w:t xml:space="preserve"> </w:t>
      </w:r>
      <w:r w:rsidR="00392DC3">
        <w:rPr>
          <w:sz w:val="22"/>
          <w:szCs w:val="22"/>
        </w:rPr>
        <w:t>in</w:t>
      </w:r>
      <w:r w:rsidR="00DA207C" w:rsidRPr="00DA207C">
        <w:rPr>
          <w:sz w:val="22"/>
          <w:szCs w:val="22"/>
        </w:rPr>
        <w:t xml:space="preserve"> support</w:t>
      </w:r>
      <w:r w:rsidR="00392DC3">
        <w:rPr>
          <w:sz w:val="22"/>
          <w:szCs w:val="22"/>
        </w:rPr>
        <w:t>ing</w:t>
      </w:r>
      <w:r w:rsidR="00D4650C" w:rsidRPr="00DA207C">
        <w:rPr>
          <w:sz w:val="22"/>
          <w:szCs w:val="22"/>
        </w:rPr>
        <w:t xml:space="preserve"> especially smaller primary settings</w:t>
      </w:r>
      <w:r w:rsidR="003C52A9" w:rsidRPr="00DA207C">
        <w:rPr>
          <w:sz w:val="22"/>
          <w:szCs w:val="22"/>
        </w:rPr>
        <w:t xml:space="preserve"> with children with </w:t>
      </w:r>
      <w:smartTag w:uri="urn:schemas-microsoft-com:office:smarttags" w:element="stockticker">
        <w:r w:rsidR="003C52A9" w:rsidRPr="00DA207C">
          <w:rPr>
            <w:sz w:val="22"/>
            <w:szCs w:val="22"/>
          </w:rPr>
          <w:t>SEN</w:t>
        </w:r>
      </w:smartTag>
      <w:r w:rsidR="00D4650C" w:rsidRPr="00DA207C">
        <w:rPr>
          <w:sz w:val="22"/>
          <w:szCs w:val="22"/>
        </w:rPr>
        <w:t xml:space="preserve">. </w:t>
      </w:r>
      <w:r w:rsidR="007A6B8D">
        <w:rPr>
          <w:sz w:val="22"/>
          <w:szCs w:val="22"/>
        </w:rPr>
        <w:t>E</w:t>
      </w:r>
      <w:r w:rsidR="00D4650C" w:rsidRPr="00DA207C">
        <w:rPr>
          <w:sz w:val="22"/>
          <w:szCs w:val="22"/>
        </w:rPr>
        <w:t xml:space="preserve">nhancing the value of the </w:t>
      </w:r>
      <w:smartTag w:uri="urn:schemas-microsoft-com:office:smarttags" w:element="stockticker">
        <w:r w:rsidR="00D4650C" w:rsidRPr="00DA207C">
          <w:rPr>
            <w:sz w:val="22"/>
            <w:szCs w:val="22"/>
          </w:rPr>
          <w:t>SEN</w:t>
        </w:r>
      </w:smartTag>
      <w:r w:rsidR="003C52A9" w:rsidRPr="00DA207C">
        <w:rPr>
          <w:sz w:val="22"/>
          <w:szCs w:val="22"/>
        </w:rPr>
        <w:t xml:space="preserve"> Floor</w:t>
      </w:r>
      <w:r w:rsidR="009A408A">
        <w:rPr>
          <w:sz w:val="22"/>
          <w:szCs w:val="22"/>
        </w:rPr>
        <w:t xml:space="preserve"> in 2014/15 has meant</w:t>
      </w:r>
      <w:r w:rsidR="007A6B8D">
        <w:rPr>
          <w:sz w:val="22"/>
          <w:szCs w:val="22"/>
        </w:rPr>
        <w:t xml:space="preserve"> that this factor</w:t>
      </w:r>
      <w:r w:rsidR="003C52A9" w:rsidRPr="00DA207C">
        <w:rPr>
          <w:sz w:val="22"/>
          <w:szCs w:val="22"/>
        </w:rPr>
        <w:t xml:space="preserve"> better support</w:t>
      </w:r>
      <w:r w:rsidR="007A6B8D">
        <w:rPr>
          <w:sz w:val="22"/>
          <w:szCs w:val="22"/>
        </w:rPr>
        <w:t>s</w:t>
      </w:r>
      <w:r w:rsidR="003C52A9" w:rsidRPr="00DA207C">
        <w:rPr>
          <w:sz w:val="22"/>
          <w:szCs w:val="22"/>
        </w:rPr>
        <w:t xml:space="preserve"> smaller</w:t>
      </w:r>
      <w:r w:rsidR="00D4650C" w:rsidRPr="00DA207C">
        <w:rPr>
          <w:sz w:val="22"/>
          <w:szCs w:val="22"/>
        </w:rPr>
        <w:t xml:space="preserve"> settings</w:t>
      </w:r>
      <w:r w:rsidR="009A408A">
        <w:rPr>
          <w:sz w:val="22"/>
          <w:szCs w:val="22"/>
        </w:rPr>
        <w:t>, and settings not in receipt of significant amounts of Pupil Premium,</w:t>
      </w:r>
      <w:r w:rsidR="00D4650C" w:rsidRPr="00DA207C">
        <w:rPr>
          <w:sz w:val="22"/>
          <w:szCs w:val="22"/>
        </w:rPr>
        <w:t xml:space="preserve"> meet their </w:t>
      </w:r>
      <w:smartTag w:uri="urn:schemas-microsoft-com:office:smarttags" w:element="stockticker">
        <w:r w:rsidR="00D4650C" w:rsidRPr="00DA207C">
          <w:rPr>
            <w:sz w:val="22"/>
            <w:szCs w:val="22"/>
          </w:rPr>
          <w:t>SEN</w:t>
        </w:r>
      </w:smartTag>
      <w:r w:rsidR="00484D77">
        <w:rPr>
          <w:sz w:val="22"/>
          <w:szCs w:val="22"/>
        </w:rPr>
        <w:t xml:space="preserve"> responsibilities. Due to affordability constraints, the planned increase in the SEN Floor was not fully introduced this year. Subject to the position of the DSG, the Authority plans to recommend to the Schools Forum that the value of the SEN Floor for primary settings is increased to the full initially proposed value in 2015/16.</w:t>
      </w:r>
    </w:p>
    <w:p w:rsidR="002C62AF" w:rsidRPr="0015569A" w:rsidRDefault="002C62AF" w:rsidP="00C805B0">
      <w:pPr>
        <w:jc w:val="both"/>
        <w:rPr>
          <w:sz w:val="22"/>
          <w:szCs w:val="22"/>
        </w:rPr>
      </w:pPr>
    </w:p>
    <w:p w:rsidR="0045362B" w:rsidRDefault="00392DC3" w:rsidP="00C1738E">
      <w:pPr>
        <w:numPr>
          <w:ilvl w:val="0"/>
          <w:numId w:val="10"/>
        </w:numPr>
        <w:jc w:val="both"/>
        <w:rPr>
          <w:sz w:val="22"/>
          <w:szCs w:val="22"/>
        </w:rPr>
      </w:pPr>
      <w:r>
        <w:rPr>
          <w:sz w:val="22"/>
          <w:szCs w:val="22"/>
        </w:rPr>
        <w:t>F</w:t>
      </w:r>
      <w:r w:rsidR="00421206" w:rsidRPr="004C2812">
        <w:rPr>
          <w:sz w:val="22"/>
          <w:szCs w:val="22"/>
        </w:rPr>
        <w:t>unding</w:t>
      </w:r>
      <w:r w:rsidR="008216F4" w:rsidRPr="004C2812">
        <w:rPr>
          <w:sz w:val="22"/>
          <w:szCs w:val="22"/>
        </w:rPr>
        <w:t xml:space="preserve"> from the DSG of</w:t>
      </w:r>
      <w:r w:rsidR="002E43E1">
        <w:rPr>
          <w:sz w:val="22"/>
          <w:szCs w:val="22"/>
        </w:rPr>
        <w:t xml:space="preserve"> additional</w:t>
      </w:r>
      <w:r w:rsidR="00421206" w:rsidRPr="004C2812">
        <w:rPr>
          <w:sz w:val="22"/>
          <w:szCs w:val="22"/>
        </w:rPr>
        <w:t xml:space="preserve"> </w:t>
      </w:r>
      <w:r w:rsidR="0045362B" w:rsidRPr="004C2812">
        <w:rPr>
          <w:sz w:val="22"/>
          <w:szCs w:val="22"/>
        </w:rPr>
        <w:t>services</w:t>
      </w:r>
      <w:r w:rsidR="008216F4" w:rsidRPr="004C2812">
        <w:rPr>
          <w:sz w:val="22"/>
          <w:szCs w:val="22"/>
        </w:rPr>
        <w:t>, outside the Place-Plus framework</w:t>
      </w:r>
      <w:r w:rsidR="003C52A9" w:rsidRPr="004C2812">
        <w:rPr>
          <w:sz w:val="22"/>
          <w:szCs w:val="22"/>
        </w:rPr>
        <w:t>,</w:t>
      </w:r>
      <w:r w:rsidR="0045362B" w:rsidRPr="004C2812">
        <w:rPr>
          <w:sz w:val="22"/>
          <w:szCs w:val="22"/>
        </w:rPr>
        <w:t xml:space="preserve"> to support </w:t>
      </w:r>
      <w:r>
        <w:rPr>
          <w:sz w:val="22"/>
          <w:szCs w:val="22"/>
        </w:rPr>
        <w:t>schools and academies in</w:t>
      </w:r>
      <w:r w:rsidR="00421206" w:rsidRPr="004C2812">
        <w:rPr>
          <w:sz w:val="22"/>
          <w:szCs w:val="22"/>
        </w:rPr>
        <w:t xml:space="preserve"> meet</w:t>
      </w:r>
      <w:r>
        <w:rPr>
          <w:sz w:val="22"/>
          <w:szCs w:val="22"/>
        </w:rPr>
        <w:t>ing</w:t>
      </w:r>
      <w:r w:rsidR="0045362B" w:rsidRPr="004C2812">
        <w:rPr>
          <w:sz w:val="22"/>
          <w:szCs w:val="22"/>
        </w:rPr>
        <w:t xml:space="preserve"> the needs of </w:t>
      </w:r>
      <w:r w:rsidR="00421206" w:rsidRPr="004C2812">
        <w:rPr>
          <w:sz w:val="22"/>
          <w:szCs w:val="22"/>
        </w:rPr>
        <w:t xml:space="preserve">their </w:t>
      </w:r>
      <w:r w:rsidR="0045362B" w:rsidRPr="004C2812">
        <w:rPr>
          <w:sz w:val="22"/>
          <w:szCs w:val="22"/>
        </w:rPr>
        <w:t>high needs children / students</w:t>
      </w:r>
      <w:r w:rsidR="008216F4" w:rsidRPr="004C2812">
        <w:rPr>
          <w:sz w:val="22"/>
          <w:szCs w:val="22"/>
        </w:rPr>
        <w:t xml:space="preserve"> </w:t>
      </w:r>
      <w:r>
        <w:rPr>
          <w:sz w:val="22"/>
          <w:szCs w:val="22"/>
        </w:rPr>
        <w:t xml:space="preserve">continues to be </w:t>
      </w:r>
      <w:r w:rsidR="00421206" w:rsidRPr="004C2812">
        <w:rPr>
          <w:sz w:val="22"/>
          <w:szCs w:val="22"/>
        </w:rPr>
        <w:t>ess</w:t>
      </w:r>
      <w:r>
        <w:rPr>
          <w:sz w:val="22"/>
          <w:szCs w:val="22"/>
        </w:rPr>
        <w:t>ential</w:t>
      </w:r>
      <w:r w:rsidR="00421206" w:rsidRPr="004C2812">
        <w:rPr>
          <w:sz w:val="22"/>
          <w:szCs w:val="22"/>
        </w:rPr>
        <w:t>. These services can be delivered</w:t>
      </w:r>
      <w:r w:rsidR="008216F4" w:rsidRPr="004C2812">
        <w:rPr>
          <w:sz w:val="22"/>
          <w:szCs w:val="22"/>
        </w:rPr>
        <w:t xml:space="preserve"> either on a delegated</w:t>
      </w:r>
      <w:r w:rsidR="0045362B" w:rsidRPr="004C2812">
        <w:rPr>
          <w:sz w:val="22"/>
          <w:szCs w:val="22"/>
        </w:rPr>
        <w:t xml:space="preserve"> </w:t>
      </w:r>
      <w:smartTag w:uri="urn:schemas-microsoft-com:office:smarttags" w:element="place">
        <w:r w:rsidR="0045362B" w:rsidRPr="004C2812">
          <w:rPr>
            <w:sz w:val="22"/>
            <w:szCs w:val="22"/>
          </w:rPr>
          <w:t>SLA</w:t>
        </w:r>
      </w:smartTag>
      <w:r w:rsidR="0045362B" w:rsidRPr="004C2812">
        <w:rPr>
          <w:sz w:val="22"/>
          <w:szCs w:val="22"/>
        </w:rPr>
        <w:t xml:space="preserve"> model or via services centrally</w:t>
      </w:r>
      <w:r>
        <w:rPr>
          <w:sz w:val="22"/>
          <w:szCs w:val="22"/>
        </w:rPr>
        <w:t xml:space="preserve"> managed by the Local Authority.</w:t>
      </w:r>
    </w:p>
    <w:p w:rsidR="00651974" w:rsidRDefault="00651974" w:rsidP="0094692E">
      <w:pPr>
        <w:jc w:val="both"/>
        <w:rPr>
          <w:color w:val="FF0000"/>
          <w:sz w:val="22"/>
          <w:szCs w:val="22"/>
        </w:rPr>
      </w:pPr>
    </w:p>
    <w:p w:rsidR="00651974" w:rsidRDefault="00651974" w:rsidP="0094692E">
      <w:pPr>
        <w:jc w:val="both"/>
        <w:rPr>
          <w:color w:val="FF0000"/>
          <w:sz w:val="22"/>
          <w:szCs w:val="22"/>
        </w:rPr>
      </w:pPr>
    </w:p>
    <w:p w:rsidR="00086BBD" w:rsidRDefault="00481AC2" w:rsidP="0094692E">
      <w:pPr>
        <w:jc w:val="both"/>
        <w:rPr>
          <w:b/>
          <w:color w:val="0000FF"/>
          <w:sz w:val="22"/>
          <w:szCs w:val="22"/>
        </w:rPr>
      </w:pPr>
      <w:r>
        <w:rPr>
          <w:b/>
          <w:color w:val="0000FF"/>
          <w:sz w:val="22"/>
          <w:szCs w:val="22"/>
        </w:rPr>
        <w:t>Question 2</w:t>
      </w:r>
      <w:r w:rsidR="00086BBD">
        <w:rPr>
          <w:b/>
          <w:color w:val="0000FF"/>
          <w:sz w:val="22"/>
          <w:szCs w:val="22"/>
        </w:rPr>
        <w:t>: Do you have any comments on the conclusions that have been reached following t</w:t>
      </w:r>
      <w:r w:rsidR="007A6B8D">
        <w:rPr>
          <w:b/>
          <w:color w:val="0000FF"/>
          <w:sz w:val="22"/>
          <w:szCs w:val="22"/>
        </w:rPr>
        <w:t>he review of the current</w:t>
      </w:r>
      <w:r w:rsidR="00086BBD">
        <w:rPr>
          <w:b/>
          <w:color w:val="0000FF"/>
          <w:sz w:val="22"/>
          <w:szCs w:val="22"/>
        </w:rPr>
        <w:t xml:space="preserve"> funding model</w:t>
      </w:r>
      <w:r w:rsidR="00086BBD" w:rsidRPr="00040651">
        <w:rPr>
          <w:b/>
          <w:color w:val="0000FF"/>
          <w:sz w:val="22"/>
          <w:szCs w:val="22"/>
        </w:rPr>
        <w:t>?</w:t>
      </w:r>
      <w:r w:rsidR="004822CA">
        <w:rPr>
          <w:b/>
          <w:color w:val="0000FF"/>
          <w:sz w:val="22"/>
          <w:szCs w:val="22"/>
        </w:rPr>
        <w:t xml:space="preserve"> Do you have anything to add?</w:t>
      </w:r>
    </w:p>
    <w:p w:rsidR="0033569C" w:rsidRDefault="0033569C" w:rsidP="00995C1E">
      <w:pPr>
        <w:jc w:val="both"/>
        <w:rPr>
          <w:sz w:val="22"/>
          <w:szCs w:val="22"/>
        </w:rPr>
      </w:pPr>
    </w:p>
    <w:p w:rsidR="0096706D" w:rsidRDefault="0096706D" w:rsidP="00995C1E">
      <w:pPr>
        <w:jc w:val="both"/>
        <w:rPr>
          <w:sz w:val="22"/>
          <w:szCs w:val="22"/>
        </w:rPr>
      </w:pPr>
    </w:p>
    <w:p w:rsidR="0096706D" w:rsidRPr="001E2903" w:rsidRDefault="0096706D" w:rsidP="0096706D">
      <w:pPr>
        <w:jc w:val="both"/>
        <w:rPr>
          <w:b/>
          <w:sz w:val="22"/>
          <w:szCs w:val="22"/>
        </w:rPr>
      </w:pPr>
      <w:r w:rsidRPr="001E2903">
        <w:rPr>
          <w:b/>
          <w:sz w:val="22"/>
          <w:szCs w:val="22"/>
        </w:rPr>
        <w:t>7.</w:t>
      </w:r>
      <w:r w:rsidRPr="001E2903">
        <w:rPr>
          <w:b/>
          <w:sz w:val="22"/>
          <w:szCs w:val="22"/>
        </w:rPr>
        <w:tab/>
        <w:t>Funding Model Proposed for the 2015/16 Financial Year</w:t>
      </w:r>
    </w:p>
    <w:p w:rsidR="0096706D" w:rsidRDefault="0096706D" w:rsidP="00995C1E">
      <w:pPr>
        <w:jc w:val="both"/>
        <w:rPr>
          <w:sz w:val="22"/>
          <w:szCs w:val="22"/>
        </w:rPr>
      </w:pPr>
    </w:p>
    <w:p w:rsidR="00B23DC4" w:rsidRDefault="00230C5B" w:rsidP="00995C1E">
      <w:pPr>
        <w:jc w:val="both"/>
        <w:rPr>
          <w:sz w:val="22"/>
          <w:szCs w:val="22"/>
        </w:rPr>
      </w:pPr>
      <w:r>
        <w:rPr>
          <w:sz w:val="22"/>
          <w:szCs w:val="22"/>
        </w:rPr>
        <w:t>7.1</w:t>
      </w:r>
      <w:r w:rsidR="00334435" w:rsidRPr="00233EDD">
        <w:rPr>
          <w:sz w:val="22"/>
          <w:szCs w:val="22"/>
        </w:rPr>
        <w:t xml:space="preserve"> </w:t>
      </w:r>
      <w:r w:rsidR="00B23DC4">
        <w:rPr>
          <w:sz w:val="22"/>
          <w:szCs w:val="22"/>
        </w:rPr>
        <w:t xml:space="preserve">Excluding arrangements for Post 16 provision, which may be subject to a greater degree of change following the separate review and consultation </w:t>
      </w:r>
      <w:r w:rsidR="00D35ECB">
        <w:rPr>
          <w:sz w:val="22"/>
          <w:szCs w:val="22"/>
        </w:rPr>
        <w:t xml:space="preserve">to take place </w:t>
      </w:r>
      <w:r w:rsidR="00B23DC4">
        <w:rPr>
          <w:sz w:val="22"/>
          <w:szCs w:val="22"/>
        </w:rPr>
        <w:t>early next year, t</w:t>
      </w:r>
      <w:r w:rsidR="00BD6BA6">
        <w:rPr>
          <w:sz w:val="22"/>
          <w:szCs w:val="22"/>
        </w:rPr>
        <w:t>he A</w:t>
      </w:r>
      <w:r w:rsidR="00B23DC4">
        <w:rPr>
          <w:sz w:val="22"/>
          <w:szCs w:val="22"/>
        </w:rPr>
        <w:t xml:space="preserve">uthority is proposing </w:t>
      </w:r>
      <w:r w:rsidR="006B6E8D">
        <w:rPr>
          <w:sz w:val="22"/>
          <w:szCs w:val="22"/>
        </w:rPr>
        <w:t xml:space="preserve">again </w:t>
      </w:r>
      <w:r w:rsidR="00B23DC4">
        <w:rPr>
          <w:sz w:val="22"/>
          <w:szCs w:val="22"/>
        </w:rPr>
        <w:t>only</w:t>
      </w:r>
      <w:r w:rsidR="00BD6BA6">
        <w:rPr>
          <w:sz w:val="22"/>
          <w:szCs w:val="22"/>
        </w:rPr>
        <w:t xml:space="preserve"> incremental changes</w:t>
      </w:r>
      <w:r w:rsidR="00B23DC4">
        <w:rPr>
          <w:sz w:val="22"/>
          <w:szCs w:val="22"/>
        </w:rPr>
        <w:t xml:space="preserve"> for 2015/16</w:t>
      </w:r>
      <w:r w:rsidR="00BD6BA6">
        <w:rPr>
          <w:sz w:val="22"/>
          <w:szCs w:val="22"/>
        </w:rPr>
        <w:t xml:space="preserve">. </w:t>
      </w:r>
      <w:r w:rsidR="00B23DC4">
        <w:rPr>
          <w:sz w:val="22"/>
          <w:szCs w:val="22"/>
        </w:rPr>
        <w:t>Any change</w:t>
      </w:r>
      <w:r w:rsidR="006B6E8D">
        <w:rPr>
          <w:sz w:val="22"/>
          <w:szCs w:val="22"/>
        </w:rPr>
        <w:t>s</w:t>
      </w:r>
      <w:r w:rsidR="00B23DC4">
        <w:rPr>
          <w:sz w:val="22"/>
          <w:szCs w:val="22"/>
        </w:rPr>
        <w:t xml:space="preserve"> to the funding model specifically </w:t>
      </w:r>
      <w:r w:rsidR="006B6E8D">
        <w:rPr>
          <w:sz w:val="22"/>
          <w:szCs w:val="22"/>
        </w:rPr>
        <w:t>for Post 16 provision are</w:t>
      </w:r>
      <w:r w:rsidR="00B23DC4">
        <w:rPr>
          <w:sz w:val="22"/>
          <w:szCs w:val="22"/>
        </w:rPr>
        <w:t xml:space="preserve"> unlikely to be implemented before August 2015.</w:t>
      </w:r>
      <w:r w:rsidR="00A22485">
        <w:rPr>
          <w:sz w:val="22"/>
          <w:szCs w:val="22"/>
        </w:rPr>
        <w:t xml:space="preserve"> The Schools Forum has already agreed the approach to funding F</w:t>
      </w:r>
      <w:r w:rsidR="00491C34">
        <w:rPr>
          <w:sz w:val="22"/>
          <w:szCs w:val="22"/>
        </w:rPr>
        <w:t xml:space="preserve">urther </w:t>
      </w:r>
      <w:r w:rsidR="00A22485">
        <w:rPr>
          <w:sz w:val="22"/>
          <w:szCs w:val="22"/>
        </w:rPr>
        <w:t>E</w:t>
      </w:r>
      <w:r w:rsidR="00491C34">
        <w:rPr>
          <w:sz w:val="22"/>
          <w:szCs w:val="22"/>
        </w:rPr>
        <w:t>ducation</w:t>
      </w:r>
      <w:r w:rsidR="00A22485">
        <w:rPr>
          <w:sz w:val="22"/>
          <w:szCs w:val="22"/>
        </w:rPr>
        <w:t xml:space="preserve"> settings up to the end of the 2014/15 academic year. </w:t>
      </w:r>
    </w:p>
    <w:p w:rsidR="00B23DC4" w:rsidRDefault="00B23DC4" w:rsidP="00995C1E">
      <w:pPr>
        <w:jc w:val="both"/>
        <w:rPr>
          <w:sz w:val="22"/>
          <w:szCs w:val="22"/>
        </w:rPr>
      </w:pPr>
    </w:p>
    <w:p w:rsidR="00851B7B" w:rsidRPr="00233EDD" w:rsidRDefault="00597DA6" w:rsidP="00995C1E">
      <w:pPr>
        <w:jc w:val="both"/>
        <w:rPr>
          <w:sz w:val="22"/>
          <w:szCs w:val="22"/>
        </w:rPr>
      </w:pPr>
      <w:r>
        <w:rPr>
          <w:sz w:val="22"/>
          <w:szCs w:val="22"/>
        </w:rPr>
        <w:t>7.2</w:t>
      </w:r>
      <w:r w:rsidR="00B23DC4">
        <w:rPr>
          <w:sz w:val="22"/>
          <w:szCs w:val="22"/>
        </w:rPr>
        <w:t xml:space="preserve"> I</w:t>
      </w:r>
      <w:r w:rsidR="00293710">
        <w:rPr>
          <w:sz w:val="22"/>
          <w:szCs w:val="22"/>
        </w:rPr>
        <w:t xml:space="preserve">t is proposed that </w:t>
      </w:r>
      <w:r w:rsidR="00B23DC4">
        <w:rPr>
          <w:sz w:val="22"/>
          <w:szCs w:val="22"/>
        </w:rPr>
        <w:t>the</w:t>
      </w:r>
      <w:r w:rsidR="00491C34">
        <w:rPr>
          <w:sz w:val="22"/>
          <w:szCs w:val="22"/>
        </w:rPr>
        <w:t xml:space="preserve"> basic Early Years to Year 11</w:t>
      </w:r>
      <w:r w:rsidR="00B23DC4">
        <w:rPr>
          <w:sz w:val="22"/>
          <w:szCs w:val="22"/>
        </w:rPr>
        <w:t xml:space="preserve"> funding model</w:t>
      </w:r>
      <w:r w:rsidR="00150C94">
        <w:rPr>
          <w:sz w:val="22"/>
          <w:szCs w:val="22"/>
        </w:rPr>
        <w:t xml:space="preserve"> </w:t>
      </w:r>
      <w:r w:rsidR="00B23DC4">
        <w:rPr>
          <w:sz w:val="22"/>
          <w:szCs w:val="22"/>
        </w:rPr>
        <w:t>for the</w:t>
      </w:r>
      <w:r w:rsidR="00024581">
        <w:rPr>
          <w:sz w:val="22"/>
          <w:szCs w:val="22"/>
        </w:rPr>
        <w:t xml:space="preserve"> </w:t>
      </w:r>
      <w:r w:rsidR="00491C34">
        <w:rPr>
          <w:sz w:val="22"/>
          <w:szCs w:val="22"/>
        </w:rPr>
        <w:t xml:space="preserve">full </w:t>
      </w:r>
      <w:r w:rsidR="009638FA">
        <w:rPr>
          <w:sz w:val="22"/>
          <w:szCs w:val="22"/>
        </w:rPr>
        <w:t>2015/16</w:t>
      </w:r>
      <w:r w:rsidR="00B23DC4">
        <w:rPr>
          <w:sz w:val="22"/>
          <w:szCs w:val="22"/>
        </w:rPr>
        <w:t xml:space="preserve"> financial year</w:t>
      </w:r>
      <w:r w:rsidR="00446160">
        <w:rPr>
          <w:sz w:val="22"/>
          <w:szCs w:val="22"/>
        </w:rPr>
        <w:t>, and the Post 16 model for at least the summer term 2015,</w:t>
      </w:r>
      <w:r w:rsidR="0003085F">
        <w:rPr>
          <w:sz w:val="22"/>
          <w:szCs w:val="22"/>
        </w:rPr>
        <w:t xml:space="preserve"> will be as 2014</w:t>
      </w:r>
      <w:r w:rsidR="00024581">
        <w:rPr>
          <w:sz w:val="22"/>
          <w:szCs w:val="22"/>
        </w:rPr>
        <w:t>/1</w:t>
      </w:r>
      <w:r w:rsidR="0003085F">
        <w:rPr>
          <w:sz w:val="22"/>
          <w:szCs w:val="22"/>
        </w:rPr>
        <w:t>5</w:t>
      </w:r>
      <w:r w:rsidR="00C44E4D">
        <w:rPr>
          <w:sz w:val="22"/>
          <w:szCs w:val="22"/>
        </w:rPr>
        <w:t xml:space="preserve">, </w:t>
      </w:r>
      <w:r w:rsidR="0003085F">
        <w:rPr>
          <w:sz w:val="22"/>
          <w:szCs w:val="22"/>
        </w:rPr>
        <w:t>with the following amendments:</w:t>
      </w:r>
      <w:r w:rsidR="00C44E4D">
        <w:rPr>
          <w:sz w:val="22"/>
          <w:szCs w:val="22"/>
        </w:rPr>
        <w:t xml:space="preserve"> </w:t>
      </w:r>
    </w:p>
    <w:p w:rsidR="000E58D6" w:rsidRDefault="000E58D6" w:rsidP="00995C1E">
      <w:pPr>
        <w:jc w:val="both"/>
        <w:rPr>
          <w:sz w:val="22"/>
          <w:szCs w:val="22"/>
        </w:rPr>
      </w:pPr>
    </w:p>
    <w:p w:rsidR="002B3FE5" w:rsidRDefault="002B3FE5" w:rsidP="002B3FE5">
      <w:pPr>
        <w:pStyle w:val="ListParagraph"/>
        <w:numPr>
          <w:ilvl w:val="0"/>
          <w:numId w:val="31"/>
        </w:numPr>
        <w:jc w:val="both"/>
        <w:rPr>
          <w:sz w:val="22"/>
          <w:szCs w:val="22"/>
        </w:rPr>
      </w:pPr>
      <w:r w:rsidRPr="002B3FE5">
        <w:rPr>
          <w:b/>
          <w:sz w:val="22"/>
          <w:szCs w:val="22"/>
        </w:rPr>
        <w:t>PRUs and Primary Behaviour Centres</w:t>
      </w:r>
      <w:r>
        <w:rPr>
          <w:sz w:val="22"/>
          <w:szCs w:val="22"/>
        </w:rPr>
        <w:t xml:space="preserve"> – following the </w:t>
      </w:r>
      <w:proofErr w:type="spellStart"/>
      <w:r>
        <w:rPr>
          <w:sz w:val="22"/>
          <w:szCs w:val="22"/>
        </w:rPr>
        <w:t>DfE’s</w:t>
      </w:r>
      <w:proofErr w:type="spellEnd"/>
      <w:r>
        <w:rPr>
          <w:sz w:val="22"/>
          <w:szCs w:val="22"/>
        </w:rPr>
        <w:t xml:space="preserve"> directed change, the value of the place element will be increased </w:t>
      </w:r>
      <w:r w:rsidR="003E2BF1">
        <w:rPr>
          <w:sz w:val="22"/>
          <w:szCs w:val="22"/>
        </w:rPr>
        <w:t xml:space="preserve">from £8,000 </w:t>
      </w:r>
      <w:r>
        <w:rPr>
          <w:sz w:val="22"/>
          <w:szCs w:val="22"/>
        </w:rPr>
        <w:t>to £10,000,</w:t>
      </w:r>
      <w:r w:rsidR="003E2BF1">
        <w:rPr>
          <w:sz w:val="22"/>
          <w:szCs w:val="22"/>
        </w:rPr>
        <w:t xml:space="preserve"> </w:t>
      </w:r>
      <w:r>
        <w:rPr>
          <w:sz w:val="22"/>
          <w:szCs w:val="22"/>
        </w:rPr>
        <w:t>an increase of £2,000 per FTE place</w:t>
      </w:r>
      <w:r w:rsidR="003E2BF1">
        <w:rPr>
          <w:sz w:val="22"/>
          <w:szCs w:val="22"/>
        </w:rPr>
        <w:t xml:space="preserve"> on a full year </w:t>
      </w:r>
      <w:r w:rsidR="003E2BF1">
        <w:rPr>
          <w:sz w:val="22"/>
          <w:szCs w:val="22"/>
        </w:rPr>
        <w:lastRenderedPageBreak/>
        <w:t>basis</w:t>
      </w:r>
      <w:r>
        <w:rPr>
          <w:sz w:val="22"/>
          <w:szCs w:val="22"/>
        </w:rPr>
        <w:t xml:space="preserve">. As expected by the </w:t>
      </w:r>
      <w:proofErr w:type="spellStart"/>
      <w:r>
        <w:rPr>
          <w:sz w:val="22"/>
          <w:szCs w:val="22"/>
        </w:rPr>
        <w:t>DfE</w:t>
      </w:r>
      <w:proofErr w:type="spellEnd"/>
      <w:r>
        <w:rPr>
          <w:sz w:val="22"/>
          <w:szCs w:val="22"/>
        </w:rPr>
        <w:t>, a corresponding decrease of £2,000 per place will be made to each setting’s Plus element, so that this change has a neutral impact on both the setting’s budget and on the total DSG High Needs Block.</w:t>
      </w:r>
    </w:p>
    <w:p w:rsidR="002B3FE5" w:rsidRPr="002B3FE5" w:rsidRDefault="002B3FE5" w:rsidP="002B3FE5">
      <w:pPr>
        <w:pStyle w:val="ListParagraph"/>
        <w:jc w:val="both"/>
        <w:rPr>
          <w:sz w:val="22"/>
          <w:szCs w:val="22"/>
        </w:rPr>
      </w:pPr>
    </w:p>
    <w:p w:rsidR="003E2BF1" w:rsidRDefault="002B3FE5" w:rsidP="003E2BF1">
      <w:pPr>
        <w:pStyle w:val="ListParagraph"/>
        <w:numPr>
          <w:ilvl w:val="0"/>
          <w:numId w:val="31"/>
        </w:numPr>
        <w:jc w:val="both"/>
        <w:rPr>
          <w:sz w:val="22"/>
          <w:szCs w:val="22"/>
        </w:rPr>
      </w:pPr>
      <w:r w:rsidRPr="002B3FE5">
        <w:rPr>
          <w:b/>
          <w:sz w:val="22"/>
          <w:szCs w:val="22"/>
        </w:rPr>
        <w:t>Early Years Children’s Centre Pus</w:t>
      </w:r>
      <w:r>
        <w:rPr>
          <w:sz w:val="22"/>
          <w:szCs w:val="22"/>
        </w:rPr>
        <w:t xml:space="preserve"> - the Authority proposes to adjust the total planned DSG budget allocated to this provision (£1.27m) to remo</w:t>
      </w:r>
      <w:r w:rsidR="003E2BF1">
        <w:rPr>
          <w:sz w:val="22"/>
          <w:szCs w:val="22"/>
        </w:rPr>
        <w:t>ve the current double funding within</w:t>
      </w:r>
      <w:r>
        <w:rPr>
          <w:sz w:val="22"/>
          <w:szCs w:val="22"/>
        </w:rPr>
        <w:t xml:space="preserve"> the £6,000 place-led element per FTE place. In te</w:t>
      </w:r>
      <w:r w:rsidR="003E2BF1">
        <w:rPr>
          <w:sz w:val="22"/>
          <w:szCs w:val="22"/>
        </w:rPr>
        <w:t>rms of process, the individual c</w:t>
      </w:r>
      <w:r>
        <w:rPr>
          <w:sz w:val="22"/>
          <w:szCs w:val="22"/>
        </w:rPr>
        <w:t>entres will be require</w:t>
      </w:r>
      <w:r w:rsidR="00977397">
        <w:rPr>
          <w:sz w:val="22"/>
          <w:szCs w:val="22"/>
        </w:rPr>
        <w:t>d</w:t>
      </w:r>
      <w:r>
        <w:rPr>
          <w:sz w:val="22"/>
          <w:szCs w:val="22"/>
        </w:rPr>
        <w:t xml:space="preserve"> to repay an element of their </w:t>
      </w:r>
      <w:r w:rsidR="003E2BF1">
        <w:rPr>
          <w:sz w:val="22"/>
          <w:szCs w:val="22"/>
        </w:rPr>
        <w:t>£10,000</w:t>
      </w:r>
      <w:r>
        <w:rPr>
          <w:sz w:val="22"/>
          <w:szCs w:val="22"/>
        </w:rPr>
        <w:t xml:space="preserve"> per place in support of the costs of centrally managed services and staffing. Th</w:t>
      </w:r>
      <w:r w:rsidR="003E2BF1">
        <w:rPr>
          <w:sz w:val="22"/>
          <w:szCs w:val="22"/>
        </w:rPr>
        <w:t>is will have an impact on each c</w:t>
      </w:r>
      <w:r>
        <w:rPr>
          <w:sz w:val="22"/>
          <w:szCs w:val="22"/>
        </w:rPr>
        <w:t>entre’s deleg</w:t>
      </w:r>
      <w:r w:rsidR="00977397">
        <w:rPr>
          <w:sz w:val="22"/>
          <w:szCs w:val="22"/>
        </w:rPr>
        <w:t>ated budget. The final det</w:t>
      </w:r>
      <w:r w:rsidR="003E2BF1">
        <w:rPr>
          <w:sz w:val="22"/>
          <w:szCs w:val="22"/>
        </w:rPr>
        <w:t>ails of this adjustment are</w:t>
      </w:r>
      <w:r w:rsidR="00977397">
        <w:rPr>
          <w:sz w:val="22"/>
          <w:szCs w:val="22"/>
        </w:rPr>
        <w:t xml:space="preserve"> subject to further discussions with the </w:t>
      </w:r>
      <w:r w:rsidR="003E2BF1">
        <w:rPr>
          <w:sz w:val="22"/>
          <w:szCs w:val="22"/>
        </w:rPr>
        <w:t>c</w:t>
      </w:r>
      <w:r w:rsidR="00977397">
        <w:rPr>
          <w:sz w:val="22"/>
          <w:szCs w:val="22"/>
        </w:rPr>
        <w:t>entres</w:t>
      </w:r>
      <w:r w:rsidR="003E2BF1">
        <w:rPr>
          <w:sz w:val="22"/>
          <w:szCs w:val="22"/>
        </w:rPr>
        <w:t xml:space="preserve"> and with the Schools Forum</w:t>
      </w:r>
      <w:r w:rsidR="00977397">
        <w:rPr>
          <w:sz w:val="22"/>
          <w:szCs w:val="22"/>
        </w:rPr>
        <w:t xml:space="preserve">. </w:t>
      </w:r>
      <w:r>
        <w:rPr>
          <w:sz w:val="22"/>
          <w:szCs w:val="22"/>
        </w:rPr>
        <w:t xml:space="preserve">  </w:t>
      </w:r>
    </w:p>
    <w:p w:rsidR="00BB5EF0" w:rsidRPr="00BB5EF0" w:rsidRDefault="00BB5EF0" w:rsidP="00BB5EF0">
      <w:pPr>
        <w:jc w:val="both"/>
        <w:rPr>
          <w:sz w:val="22"/>
          <w:szCs w:val="22"/>
        </w:rPr>
      </w:pPr>
    </w:p>
    <w:p w:rsidR="00EE3979" w:rsidRDefault="003E2BF1" w:rsidP="00EE3979">
      <w:pPr>
        <w:pStyle w:val="ListParagraph"/>
        <w:numPr>
          <w:ilvl w:val="0"/>
          <w:numId w:val="31"/>
        </w:numPr>
        <w:jc w:val="both"/>
        <w:rPr>
          <w:sz w:val="22"/>
          <w:szCs w:val="22"/>
        </w:rPr>
      </w:pPr>
      <w:r w:rsidRPr="003E2BF1">
        <w:rPr>
          <w:b/>
          <w:sz w:val="22"/>
          <w:szCs w:val="22"/>
        </w:rPr>
        <w:t>SEN Funding Floor</w:t>
      </w:r>
      <w:r w:rsidR="00807B13">
        <w:rPr>
          <w:b/>
          <w:sz w:val="22"/>
          <w:szCs w:val="22"/>
        </w:rPr>
        <w:t xml:space="preserve"> Primary schools and academies</w:t>
      </w:r>
      <w:r>
        <w:rPr>
          <w:sz w:val="22"/>
          <w:szCs w:val="22"/>
        </w:rPr>
        <w:t xml:space="preserve"> –</w:t>
      </w:r>
      <w:r w:rsidR="00807B13">
        <w:rPr>
          <w:sz w:val="22"/>
          <w:szCs w:val="22"/>
        </w:rPr>
        <w:t xml:space="preserve"> T</w:t>
      </w:r>
      <w:r>
        <w:rPr>
          <w:sz w:val="22"/>
          <w:szCs w:val="22"/>
        </w:rPr>
        <w:t>he Authority would like to recommend to the Schools Forum that the value of the SEN Funding Floor for primary schools and academie</w:t>
      </w:r>
      <w:r w:rsidR="00EE3979">
        <w:rPr>
          <w:sz w:val="22"/>
          <w:szCs w:val="22"/>
        </w:rPr>
        <w:t xml:space="preserve">s is increased in 2015/16. </w:t>
      </w:r>
      <w:r w:rsidR="00EE3979" w:rsidRPr="00EE3979">
        <w:rPr>
          <w:sz w:val="22"/>
          <w:szCs w:val="22"/>
        </w:rPr>
        <w:t xml:space="preserve">The </w:t>
      </w:r>
      <w:smartTag w:uri="urn:schemas-microsoft-com:office:smarttags" w:element="stockticker">
        <w:r w:rsidR="00EE3979" w:rsidRPr="00EE3979">
          <w:rPr>
            <w:sz w:val="22"/>
            <w:szCs w:val="22"/>
          </w:rPr>
          <w:t>SEN</w:t>
        </w:r>
      </w:smartTag>
      <w:r w:rsidR="00EE3979" w:rsidRPr="00EE3979">
        <w:rPr>
          <w:sz w:val="22"/>
          <w:szCs w:val="22"/>
        </w:rPr>
        <w:t xml:space="preserve"> Funding Floor is a protection mechanism that ensures that all schools / academies receive a minimum amount of </w:t>
      </w:r>
      <w:smartTag w:uri="urn:schemas-microsoft-com:office:smarttags" w:element="stockticker">
        <w:r w:rsidR="00EE3979" w:rsidRPr="00EE3979">
          <w:rPr>
            <w:sz w:val="22"/>
            <w:szCs w:val="22"/>
          </w:rPr>
          <w:t>SEN</w:t>
        </w:r>
      </w:smartTag>
      <w:r w:rsidR="00EE3979" w:rsidRPr="00EE3979">
        <w:rPr>
          <w:sz w:val="22"/>
          <w:szCs w:val="22"/>
        </w:rPr>
        <w:t xml:space="preserve"> funding. In effect, the Floor provides a top up for schools / academies with high value Statements that do not receive equivalent sums of formula funding, due to lower levels of deprivation. The Floor ensures that all schools / academies have sufficient delegated funds both to meet the cost of their Statements and to support children at school action / school action plus. In this, the Floor also supports / incentivises the inclusion of children with </w:t>
      </w:r>
      <w:smartTag w:uri="urn:schemas-microsoft-com:office:smarttags" w:element="stockticker">
        <w:r w:rsidR="00EE3979" w:rsidRPr="00EE3979">
          <w:rPr>
            <w:sz w:val="22"/>
            <w:szCs w:val="22"/>
          </w:rPr>
          <w:t>SEN</w:t>
        </w:r>
      </w:smartTag>
      <w:r w:rsidR="00EE3979" w:rsidRPr="00EE3979">
        <w:rPr>
          <w:sz w:val="22"/>
          <w:szCs w:val="22"/>
        </w:rPr>
        <w:t xml:space="preserve"> within mainstream provision.</w:t>
      </w:r>
      <w:r w:rsidR="00EE3979">
        <w:rPr>
          <w:sz w:val="22"/>
          <w:szCs w:val="22"/>
        </w:rPr>
        <w:t xml:space="preserve"> </w:t>
      </w:r>
      <w:r w:rsidR="00EE3979" w:rsidRPr="00EE3979">
        <w:rPr>
          <w:sz w:val="22"/>
          <w:szCs w:val="22"/>
        </w:rPr>
        <w:t xml:space="preserve">After meeting the full cost of Statements, the </w:t>
      </w:r>
      <w:smartTag w:uri="urn:schemas-microsoft-com:office:smarttags" w:element="stockticker">
        <w:r w:rsidR="00EE3979" w:rsidRPr="00EE3979">
          <w:rPr>
            <w:sz w:val="22"/>
            <w:szCs w:val="22"/>
          </w:rPr>
          <w:t>SEN</w:t>
        </w:r>
      </w:smartTag>
      <w:r w:rsidR="00EE3979">
        <w:rPr>
          <w:sz w:val="22"/>
          <w:szCs w:val="22"/>
        </w:rPr>
        <w:t xml:space="preserve"> Floor in 2014/15</w:t>
      </w:r>
      <w:r w:rsidR="00EE3979" w:rsidRPr="00EE3979">
        <w:rPr>
          <w:sz w:val="22"/>
          <w:szCs w:val="22"/>
        </w:rPr>
        <w:t xml:space="preserve"> then ensures that schools / academies receive the following minimums:</w:t>
      </w:r>
    </w:p>
    <w:p w:rsidR="00807B13" w:rsidRPr="00EE3979" w:rsidRDefault="00807B13" w:rsidP="00807B13">
      <w:pPr>
        <w:pStyle w:val="ListParagraph"/>
        <w:jc w:val="both"/>
        <w:rPr>
          <w:sz w:val="22"/>
          <w:szCs w:val="22"/>
        </w:rPr>
      </w:pPr>
    </w:p>
    <w:p w:rsidR="00EE3979" w:rsidRPr="00D1781A" w:rsidRDefault="00EE3979" w:rsidP="00EE3979">
      <w:pPr>
        <w:numPr>
          <w:ilvl w:val="1"/>
          <w:numId w:val="31"/>
        </w:numPr>
        <w:jc w:val="both"/>
        <w:rPr>
          <w:sz w:val="22"/>
          <w:szCs w:val="22"/>
        </w:rPr>
      </w:pPr>
      <w:r w:rsidRPr="00D1781A">
        <w:rPr>
          <w:sz w:val="22"/>
          <w:szCs w:val="22"/>
        </w:rPr>
        <w:t>Primar</w:t>
      </w:r>
      <w:r w:rsidR="00796A22">
        <w:rPr>
          <w:sz w:val="22"/>
          <w:szCs w:val="22"/>
        </w:rPr>
        <w:t xml:space="preserve">y: </w:t>
      </w:r>
      <w:r w:rsidR="00796A22">
        <w:rPr>
          <w:sz w:val="22"/>
          <w:szCs w:val="22"/>
        </w:rPr>
        <w:tab/>
        <w:t>a lump sum of £19,931</w:t>
      </w:r>
      <w:r w:rsidR="0067126A">
        <w:rPr>
          <w:sz w:val="22"/>
          <w:szCs w:val="22"/>
        </w:rPr>
        <w:t xml:space="preserve"> or £70.16</w:t>
      </w:r>
      <w:r w:rsidRPr="00D1781A">
        <w:rPr>
          <w:sz w:val="22"/>
          <w:szCs w:val="22"/>
        </w:rPr>
        <w:t xml:space="preserve"> per pupil, whichever is higher</w:t>
      </w:r>
    </w:p>
    <w:p w:rsidR="00EE3979" w:rsidRDefault="00EE3979" w:rsidP="00EE3979">
      <w:pPr>
        <w:numPr>
          <w:ilvl w:val="1"/>
          <w:numId w:val="31"/>
        </w:numPr>
        <w:jc w:val="both"/>
        <w:rPr>
          <w:sz w:val="22"/>
          <w:szCs w:val="22"/>
        </w:rPr>
      </w:pPr>
      <w:r w:rsidRPr="00D1781A">
        <w:rPr>
          <w:sz w:val="22"/>
          <w:szCs w:val="22"/>
        </w:rPr>
        <w:t>Secondary:</w:t>
      </w:r>
      <w:r w:rsidR="00796A22">
        <w:rPr>
          <w:sz w:val="22"/>
          <w:szCs w:val="22"/>
        </w:rPr>
        <w:tab/>
        <w:t>a lump sum of £100,450</w:t>
      </w:r>
      <w:r w:rsidR="0067126A">
        <w:rPr>
          <w:sz w:val="22"/>
          <w:szCs w:val="22"/>
        </w:rPr>
        <w:t xml:space="preserve"> or £70.16</w:t>
      </w:r>
      <w:r w:rsidRPr="00D1781A">
        <w:rPr>
          <w:sz w:val="22"/>
          <w:szCs w:val="22"/>
        </w:rPr>
        <w:t xml:space="preserve"> per pupil, whichever is higher</w:t>
      </w:r>
    </w:p>
    <w:p w:rsidR="00EE3979" w:rsidRPr="00EE3979" w:rsidRDefault="00EE3979" w:rsidP="00EE3979">
      <w:pPr>
        <w:jc w:val="both"/>
        <w:rPr>
          <w:sz w:val="22"/>
          <w:szCs w:val="22"/>
        </w:rPr>
      </w:pPr>
    </w:p>
    <w:p w:rsidR="0045738A" w:rsidRPr="00840D39" w:rsidRDefault="00EE3979" w:rsidP="0045738A">
      <w:pPr>
        <w:ind w:left="720"/>
        <w:jc w:val="both"/>
        <w:rPr>
          <w:sz w:val="22"/>
          <w:szCs w:val="22"/>
        </w:rPr>
      </w:pPr>
      <w:r>
        <w:rPr>
          <w:sz w:val="22"/>
          <w:szCs w:val="22"/>
        </w:rPr>
        <w:t>The values of the Floor for both primary and secondary were increased by</w:t>
      </w:r>
      <w:r w:rsidR="00A13EDB">
        <w:rPr>
          <w:sz w:val="22"/>
          <w:szCs w:val="22"/>
        </w:rPr>
        <w:t xml:space="preserve"> 50% by</w:t>
      </w:r>
      <w:r>
        <w:rPr>
          <w:sz w:val="22"/>
          <w:szCs w:val="22"/>
        </w:rPr>
        <w:t xml:space="preserve"> the Schools Forum in </w:t>
      </w:r>
      <w:r w:rsidR="00807B13">
        <w:rPr>
          <w:sz w:val="22"/>
          <w:szCs w:val="22"/>
        </w:rPr>
        <w:t>2014/15</w:t>
      </w:r>
      <w:r>
        <w:rPr>
          <w:sz w:val="22"/>
          <w:szCs w:val="22"/>
        </w:rPr>
        <w:t xml:space="preserve">. However, </w:t>
      </w:r>
      <w:r w:rsidR="00A13EDB">
        <w:rPr>
          <w:sz w:val="22"/>
          <w:szCs w:val="22"/>
        </w:rPr>
        <w:t>this</w:t>
      </w:r>
      <w:r w:rsidR="00807B13">
        <w:rPr>
          <w:sz w:val="22"/>
          <w:szCs w:val="22"/>
        </w:rPr>
        <w:t xml:space="preserve"> level of increase was not</w:t>
      </w:r>
      <w:r>
        <w:rPr>
          <w:sz w:val="22"/>
          <w:szCs w:val="22"/>
        </w:rPr>
        <w:t xml:space="preserve"> as much as initially proposed, due to overall affordability issues</w:t>
      </w:r>
      <w:r w:rsidR="00807B13">
        <w:rPr>
          <w:sz w:val="22"/>
          <w:szCs w:val="22"/>
        </w:rPr>
        <w:t xml:space="preserve"> within the DSG</w:t>
      </w:r>
      <w:r>
        <w:rPr>
          <w:sz w:val="22"/>
          <w:szCs w:val="22"/>
        </w:rPr>
        <w:t xml:space="preserve">. </w:t>
      </w:r>
      <w:r w:rsidR="00807B13">
        <w:rPr>
          <w:sz w:val="22"/>
          <w:szCs w:val="22"/>
        </w:rPr>
        <w:t>Recognising the pressures that are especially currently growing in smaller primary schools and primary schools that receive little Pupil Premium, t</w:t>
      </w:r>
      <w:r>
        <w:rPr>
          <w:sz w:val="22"/>
          <w:szCs w:val="22"/>
        </w:rPr>
        <w:t>he</w:t>
      </w:r>
      <w:r w:rsidR="00807B13">
        <w:rPr>
          <w:sz w:val="22"/>
          <w:szCs w:val="22"/>
        </w:rPr>
        <w:t xml:space="preserve"> Authority would like to recommend to the Forum</w:t>
      </w:r>
      <w:r>
        <w:rPr>
          <w:sz w:val="22"/>
          <w:szCs w:val="22"/>
        </w:rPr>
        <w:t xml:space="preserve"> that the value of the</w:t>
      </w:r>
      <w:r w:rsidR="00807B13">
        <w:rPr>
          <w:sz w:val="22"/>
          <w:szCs w:val="22"/>
        </w:rPr>
        <w:t xml:space="preserve"> lump sum element of the</w:t>
      </w:r>
      <w:r>
        <w:rPr>
          <w:sz w:val="22"/>
          <w:szCs w:val="22"/>
        </w:rPr>
        <w:t xml:space="preserve"> Floor for primary schools / academies is increased</w:t>
      </w:r>
      <w:r w:rsidR="00A13EDB">
        <w:rPr>
          <w:sz w:val="22"/>
          <w:szCs w:val="22"/>
        </w:rPr>
        <w:t xml:space="preserve"> again </w:t>
      </w:r>
      <w:r w:rsidR="00807B13">
        <w:rPr>
          <w:sz w:val="22"/>
          <w:szCs w:val="22"/>
        </w:rPr>
        <w:t>in 2015/16</w:t>
      </w:r>
      <w:r>
        <w:rPr>
          <w:sz w:val="22"/>
          <w:szCs w:val="22"/>
        </w:rPr>
        <w:t xml:space="preserve"> to </w:t>
      </w:r>
      <w:r w:rsidR="0067126A">
        <w:rPr>
          <w:sz w:val="22"/>
          <w:szCs w:val="22"/>
        </w:rPr>
        <w:t>£26,574</w:t>
      </w:r>
      <w:r>
        <w:rPr>
          <w:sz w:val="22"/>
          <w:szCs w:val="22"/>
        </w:rPr>
        <w:t>, with the value per pupil remaining as now. The lump sum and per pupil values f</w:t>
      </w:r>
      <w:r w:rsidR="0067126A">
        <w:rPr>
          <w:sz w:val="22"/>
          <w:szCs w:val="22"/>
        </w:rPr>
        <w:t>or Secondary would remain unchanged</w:t>
      </w:r>
      <w:r>
        <w:rPr>
          <w:sz w:val="22"/>
          <w:szCs w:val="22"/>
        </w:rPr>
        <w:t xml:space="preserve">. </w:t>
      </w:r>
      <w:r w:rsidR="00A13EDB">
        <w:rPr>
          <w:sz w:val="22"/>
          <w:szCs w:val="22"/>
        </w:rPr>
        <w:t xml:space="preserve">This increase will cost </w:t>
      </w:r>
      <w:r w:rsidR="00A13EDB" w:rsidRPr="00840D39">
        <w:rPr>
          <w:sz w:val="22"/>
          <w:szCs w:val="22"/>
        </w:rPr>
        <w:t>approximately £195,000 in a full year.</w:t>
      </w:r>
    </w:p>
    <w:p w:rsidR="002B3FE5" w:rsidRPr="00840D39" w:rsidRDefault="002B3FE5" w:rsidP="00995C1E">
      <w:pPr>
        <w:jc w:val="both"/>
        <w:rPr>
          <w:b/>
          <w:color w:val="FF0000"/>
          <w:sz w:val="22"/>
          <w:szCs w:val="22"/>
        </w:rPr>
      </w:pPr>
    </w:p>
    <w:p w:rsidR="009D28B2" w:rsidRPr="00EA304C" w:rsidRDefault="0045738A" w:rsidP="0045738A">
      <w:pPr>
        <w:pStyle w:val="ListParagraph"/>
        <w:numPr>
          <w:ilvl w:val="0"/>
          <w:numId w:val="30"/>
        </w:numPr>
        <w:jc w:val="both"/>
        <w:rPr>
          <w:b/>
          <w:color w:val="000000" w:themeColor="text1"/>
          <w:sz w:val="22"/>
          <w:szCs w:val="22"/>
        </w:rPr>
      </w:pPr>
      <w:r w:rsidRPr="00EA304C">
        <w:rPr>
          <w:b/>
          <w:color w:val="000000" w:themeColor="text1"/>
          <w:sz w:val="22"/>
          <w:szCs w:val="22"/>
        </w:rPr>
        <w:t>Budget Protection Factor</w:t>
      </w:r>
      <w:r w:rsidRPr="00EA304C">
        <w:rPr>
          <w:color w:val="000000" w:themeColor="text1"/>
          <w:sz w:val="22"/>
          <w:szCs w:val="22"/>
        </w:rPr>
        <w:t xml:space="preserve"> </w:t>
      </w:r>
      <w:r w:rsidR="005534DF" w:rsidRPr="00EA304C">
        <w:rPr>
          <w:color w:val="000000" w:themeColor="text1"/>
          <w:sz w:val="22"/>
          <w:szCs w:val="22"/>
        </w:rPr>
        <w:t>–</w:t>
      </w:r>
      <w:r w:rsidRPr="00EA304C">
        <w:rPr>
          <w:color w:val="000000" w:themeColor="text1"/>
          <w:sz w:val="22"/>
          <w:szCs w:val="22"/>
        </w:rPr>
        <w:t xml:space="preserve"> </w:t>
      </w:r>
      <w:r w:rsidR="009D28B2" w:rsidRPr="00EA304C">
        <w:rPr>
          <w:color w:val="000000" w:themeColor="text1"/>
          <w:sz w:val="22"/>
          <w:szCs w:val="22"/>
        </w:rPr>
        <w:t>Unlike the Minimum Funding Guarantee</w:t>
      </w:r>
      <w:r w:rsidR="00FC555C" w:rsidRPr="00EA304C">
        <w:rPr>
          <w:color w:val="000000" w:themeColor="text1"/>
          <w:sz w:val="22"/>
          <w:szCs w:val="22"/>
        </w:rPr>
        <w:t xml:space="preserve"> (MFG)</w:t>
      </w:r>
      <w:r w:rsidR="009D28B2" w:rsidRPr="00EA304C">
        <w:rPr>
          <w:color w:val="000000" w:themeColor="text1"/>
          <w:sz w:val="22"/>
          <w:szCs w:val="22"/>
        </w:rPr>
        <w:t xml:space="preserve">, which protects only the level of Top up funding per pupil, the Cash Budget Protection Factor ensures that a setting’s total annual cash budget (the total of all Place and Plus elements) does not reduce by more than 1.5% on the previous year. In 2014/15, this factor was applied to protect the budgets of special schools / academies, DSPs and Primary Behaviour Centres. It was not applied to </w:t>
      </w:r>
      <w:r w:rsidR="00FA018B" w:rsidRPr="00EA304C">
        <w:rPr>
          <w:color w:val="000000" w:themeColor="text1"/>
          <w:sz w:val="22"/>
          <w:szCs w:val="22"/>
        </w:rPr>
        <w:t xml:space="preserve">the </w:t>
      </w:r>
      <w:r w:rsidR="009D28B2" w:rsidRPr="00EA304C">
        <w:rPr>
          <w:color w:val="000000" w:themeColor="text1"/>
          <w:sz w:val="22"/>
          <w:szCs w:val="22"/>
        </w:rPr>
        <w:t>ARCs, Early Years Children’s Centre Plus or PRUs, due to the ag</w:t>
      </w:r>
      <w:r w:rsidR="00FA018B" w:rsidRPr="00EA304C">
        <w:rPr>
          <w:color w:val="000000" w:themeColor="text1"/>
          <w:sz w:val="22"/>
          <w:szCs w:val="22"/>
        </w:rPr>
        <w:t>reed changes in funding</w:t>
      </w:r>
      <w:r w:rsidR="009D28B2" w:rsidRPr="00EA304C">
        <w:rPr>
          <w:color w:val="000000" w:themeColor="text1"/>
          <w:sz w:val="22"/>
          <w:szCs w:val="22"/>
        </w:rPr>
        <w:t xml:space="preserve"> approaches that would otherwise have been overridden. This factor is also not applied to the funding of children with Statements in mainstream primary and secondary provisions.</w:t>
      </w:r>
    </w:p>
    <w:p w:rsidR="009D28B2" w:rsidRPr="00EA304C" w:rsidRDefault="009D28B2" w:rsidP="009D28B2">
      <w:pPr>
        <w:jc w:val="both"/>
        <w:rPr>
          <w:b/>
          <w:color w:val="000000" w:themeColor="text1"/>
          <w:sz w:val="22"/>
          <w:szCs w:val="22"/>
        </w:rPr>
      </w:pPr>
    </w:p>
    <w:p w:rsidR="00C113B2" w:rsidRPr="00EA304C" w:rsidRDefault="009D28B2" w:rsidP="009D28B2">
      <w:pPr>
        <w:ind w:left="720"/>
        <w:jc w:val="both"/>
        <w:rPr>
          <w:color w:val="000000" w:themeColor="text1"/>
          <w:sz w:val="22"/>
          <w:szCs w:val="22"/>
        </w:rPr>
      </w:pPr>
      <w:r w:rsidRPr="00EA304C">
        <w:rPr>
          <w:color w:val="000000" w:themeColor="text1"/>
          <w:sz w:val="22"/>
          <w:szCs w:val="22"/>
        </w:rPr>
        <w:t xml:space="preserve">As a basic principle, funding should be allowed to follow the movement of pupils, and Bradford’s Funding Model is very responsive to changes both between and within years. We must guard against ‘locking’ budgets into settings that should be redirected elsewhere. We expect settings to manage their expenditure according to the number of places that </w:t>
      </w:r>
      <w:r w:rsidR="00BD4537" w:rsidRPr="00EA304C">
        <w:rPr>
          <w:color w:val="000000" w:themeColor="text1"/>
          <w:sz w:val="22"/>
          <w:szCs w:val="22"/>
        </w:rPr>
        <w:t xml:space="preserve">are </w:t>
      </w:r>
      <w:r w:rsidRPr="00EA304C">
        <w:rPr>
          <w:color w:val="000000" w:themeColor="text1"/>
          <w:sz w:val="22"/>
          <w:szCs w:val="22"/>
        </w:rPr>
        <w:t>funded by the Authority. However</w:t>
      </w:r>
      <w:r w:rsidR="00FA018B" w:rsidRPr="00EA304C">
        <w:rPr>
          <w:color w:val="000000" w:themeColor="text1"/>
          <w:sz w:val="22"/>
          <w:szCs w:val="22"/>
        </w:rPr>
        <w:t>, the Funding Model must</w:t>
      </w:r>
      <w:r w:rsidRPr="00EA304C">
        <w:rPr>
          <w:color w:val="000000" w:themeColor="text1"/>
          <w:sz w:val="22"/>
          <w:szCs w:val="22"/>
        </w:rPr>
        <w:t xml:space="preserve"> allow some room for transition and must also provide a stable financial platform on which settings can develop and maintain </w:t>
      </w:r>
      <w:r w:rsidR="00BD4537" w:rsidRPr="00EA304C">
        <w:rPr>
          <w:color w:val="000000" w:themeColor="text1"/>
          <w:sz w:val="22"/>
          <w:szCs w:val="22"/>
        </w:rPr>
        <w:t>high quality provision. The Cash Budget Protection has performed this function over the last 2 financial years, but has been applied or not applied in a blanket fashion as a transitional measure</w:t>
      </w:r>
      <w:r w:rsidR="00FA018B" w:rsidRPr="00EA304C">
        <w:rPr>
          <w:color w:val="000000" w:themeColor="text1"/>
          <w:sz w:val="22"/>
          <w:szCs w:val="22"/>
        </w:rPr>
        <w:t xml:space="preserve"> only,</w:t>
      </w:r>
      <w:r w:rsidR="00BD4537" w:rsidRPr="00EA304C">
        <w:rPr>
          <w:color w:val="000000" w:themeColor="text1"/>
          <w:sz w:val="22"/>
          <w:szCs w:val="22"/>
        </w:rPr>
        <w:t xml:space="preserve"> guarding against any unpredicted ne</w:t>
      </w:r>
      <w:r w:rsidR="00C113B2" w:rsidRPr="00EA304C">
        <w:rPr>
          <w:color w:val="000000" w:themeColor="text1"/>
          <w:sz w:val="22"/>
          <w:szCs w:val="22"/>
        </w:rPr>
        <w:t>gative impact of the new system</w:t>
      </w:r>
      <w:r w:rsidR="00FA018B" w:rsidRPr="00EA304C">
        <w:rPr>
          <w:color w:val="000000" w:themeColor="text1"/>
          <w:sz w:val="22"/>
          <w:szCs w:val="22"/>
        </w:rPr>
        <w:t xml:space="preserve">. </w:t>
      </w:r>
      <w:r w:rsidR="00797706" w:rsidRPr="00EA304C">
        <w:rPr>
          <w:color w:val="000000" w:themeColor="text1"/>
          <w:sz w:val="22"/>
          <w:szCs w:val="22"/>
        </w:rPr>
        <w:t>As such, t</w:t>
      </w:r>
      <w:r w:rsidR="00FA018B" w:rsidRPr="00EA304C">
        <w:rPr>
          <w:color w:val="000000" w:themeColor="text1"/>
          <w:sz w:val="22"/>
          <w:szCs w:val="22"/>
        </w:rPr>
        <w:t>his factor has been applied without</w:t>
      </w:r>
      <w:r w:rsidR="00C113B2" w:rsidRPr="00EA304C">
        <w:rPr>
          <w:color w:val="000000" w:themeColor="text1"/>
          <w:sz w:val="22"/>
          <w:szCs w:val="22"/>
        </w:rPr>
        <w:t xml:space="preserve"> reference to</w:t>
      </w:r>
      <w:r w:rsidR="00797706" w:rsidRPr="00EA304C">
        <w:rPr>
          <w:color w:val="000000" w:themeColor="text1"/>
          <w:sz w:val="22"/>
          <w:szCs w:val="22"/>
        </w:rPr>
        <w:t xml:space="preserve"> the actual circumstances of each</w:t>
      </w:r>
      <w:r w:rsidR="00C113B2" w:rsidRPr="00EA304C">
        <w:rPr>
          <w:color w:val="000000" w:themeColor="text1"/>
          <w:sz w:val="22"/>
          <w:szCs w:val="22"/>
        </w:rPr>
        <w:t xml:space="preserve"> setting</w:t>
      </w:r>
      <w:r w:rsidR="00FA018B" w:rsidRPr="00EA304C">
        <w:rPr>
          <w:color w:val="000000" w:themeColor="text1"/>
          <w:sz w:val="22"/>
          <w:szCs w:val="22"/>
        </w:rPr>
        <w:t xml:space="preserve"> e.g. whether a setting’s places are being reduced as part of a re-organisation of provision</w:t>
      </w:r>
      <w:r w:rsidR="00C113B2" w:rsidRPr="00EA304C">
        <w:rPr>
          <w:color w:val="000000" w:themeColor="text1"/>
          <w:sz w:val="22"/>
          <w:szCs w:val="22"/>
        </w:rPr>
        <w:t>.</w:t>
      </w:r>
      <w:r w:rsidR="00FA018B" w:rsidRPr="00EA304C">
        <w:rPr>
          <w:color w:val="000000" w:themeColor="text1"/>
          <w:sz w:val="22"/>
          <w:szCs w:val="22"/>
        </w:rPr>
        <w:t xml:space="preserve"> We do not wish to continue to operate such a blanket protection mechanism.</w:t>
      </w:r>
    </w:p>
    <w:p w:rsidR="00C113B2" w:rsidRPr="00EA304C" w:rsidRDefault="00C113B2" w:rsidP="009D28B2">
      <w:pPr>
        <w:ind w:left="720"/>
        <w:jc w:val="both"/>
        <w:rPr>
          <w:color w:val="000000" w:themeColor="text1"/>
          <w:sz w:val="22"/>
          <w:szCs w:val="22"/>
        </w:rPr>
      </w:pPr>
    </w:p>
    <w:p w:rsidR="009D28B2" w:rsidRPr="00EA304C" w:rsidRDefault="00C113B2" w:rsidP="009D28B2">
      <w:pPr>
        <w:ind w:left="720"/>
        <w:jc w:val="both"/>
        <w:rPr>
          <w:color w:val="000000" w:themeColor="text1"/>
          <w:sz w:val="22"/>
          <w:szCs w:val="22"/>
        </w:rPr>
      </w:pPr>
      <w:r w:rsidRPr="00EA304C">
        <w:rPr>
          <w:color w:val="000000" w:themeColor="text1"/>
          <w:sz w:val="22"/>
          <w:szCs w:val="22"/>
        </w:rPr>
        <w:t>The Authority proposes</w:t>
      </w:r>
      <w:r w:rsidR="00797706" w:rsidRPr="00EA304C">
        <w:rPr>
          <w:color w:val="000000" w:themeColor="text1"/>
          <w:sz w:val="22"/>
          <w:szCs w:val="22"/>
        </w:rPr>
        <w:t xml:space="preserve"> therefore,</w:t>
      </w:r>
      <w:r w:rsidRPr="00EA304C">
        <w:rPr>
          <w:color w:val="000000" w:themeColor="text1"/>
          <w:sz w:val="22"/>
          <w:szCs w:val="22"/>
        </w:rPr>
        <w:t xml:space="preserve"> to continue the Cash Budget Protection as a permanent factor within the Funding Model</w:t>
      </w:r>
      <w:r w:rsidR="004A2A94" w:rsidRPr="00EA304C">
        <w:rPr>
          <w:color w:val="000000" w:themeColor="text1"/>
          <w:sz w:val="22"/>
          <w:szCs w:val="22"/>
        </w:rPr>
        <w:t xml:space="preserve"> for Bradford schools and academies</w:t>
      </w:r>
      <w:r w:rsidRPr="00EA304C">
        <w:rPr>
          <w:color w:val="000000" w:themeColor="text1"/>
          <w:sz w:val="22"/>
          <w:szCs w:val="22"/>
        </w:rPr>
        <w:t xml:space="preserve">. This will work to protect a setting’s total annual cash budget from reducing by more than a set percentage on the previous year; proposed to be 1.5% in 2015/16. </w:t>
      </w:r>
      <w:r w:rsidR="00FC555C" w:rsidRPr="00EA304C">
        <w:rPr>
          <w:color w:val="000000" w:themeColor="text1"/>
          <w:sz w:val="22"/>
          <w:szCs w:val="22"/>
        </w:rPr>
        <w:t xml:space="preserve">This will complement the MFG, which protects against significant reductions in the value of pupil funding (linked to changes in levels of need). </w:t>
      </w:r>
      <w:r w:rsidRPr="00EA304C">
        <w:rPr>
          <w:color w:val="000000" w:themeColor="text1"/>
          <w:sz w:val="22"/>
          <w:szCs w:val="22"/>
        </w:rPr>
        <w:t xml:space="preserve">However, we propose </w:t>
      </w:r>
      <w:r w:rsidRPr="00EA304C">
        <w:rPr>
          <w:color w:val="000000" w:themeColor="text1"/>
          <w:sz w:val="22"/>
          <w:szCs w:val="22"/>
        </w:rPr>
        <w:lastRenderedPageBreak/>
        <w:t xml:space="preserve">that this factor is applied only to </w:t>
      </w:r>
      <w:r w:rsidR="00EA304C" w:rsidRPr="00EA304C">
        <w:rPr>
          <w:color w:val="000000" w:themeColor="text1"/>
          <w:sz w:val="22"/>
          <w:szCs w:val="22"/>
        </w:rPr>
        <w:t xml:space="preserve">high needs </w:t>
      </w:r>
      <w:r w:rsidRPr="00EA304C">
        <w:rPr>
          <w:color w:val="000000" w:themeColor="text1"/>
          <w:sz w:val="22"/>
          <w:szCs w:val="22"/>
        </w:rPr>
        <w:t>settings</w:t>
      </w:r>
      <w:r w:rsidR="004A2A94" w:rsidRPr="00EA304C">
        <w:rPr>
          <w:color w:val="000000" w:themeColor="text1"/>
          <w:sz w:val="22"/>
          <w:szCs w:val="22"/>
        </w:rPr>
        <w:t xml:space="preserve"> in Bradford that receive the vast majority of their funding from Bradford Local Authority, and only in the following </w:t>
      </w:r>
      <w:r w:rsidR="00E74B8F" w:rsidRPr="00EA304C">
        <w:rPr>
          <w:color w:val="000000" w:themeColor="text1"/>
          <w:sz w:val="22"/>
          <w:szCs w:val="22"/>
        </w:rPr>
        <w:t xml:space="preserve">3 </w:t>
      </w:r>
      <w:r w:rsidR="00797706" w:rsidRPr="00EA304C">
        <w:rPr>
          <w:color w:val="000000" w:themeColor="text1"/>
          <w:sz w:val="22"/>
          <w:szCs w:val="22"/>
        </w:rPr>
        <w:t>circumstances:</w:t>
      </w:r>
    </w:p>
    <w:p w:rsidR="009D28B2" w:rsidRPr="00EA304C" w:rsidRDefault="009D28B2" w:rsidP="009D28B2">
      <w:pPr>
        <w:pStyle w:val="ListParagraph"/>
        <w:ind w:left="780"/>
        <w:jc w:val="both"/>
        <w:rPr>
          <w:b/>
          <w:color w:val="000000" w:themeColor="text1"/>
          <w:sz w:val="22"/>
          <w:szCs w:val="22"/>
        </w:rPr>
      </w:pPr>
    </w:p>
    <w:p w:rsidR="009D28B2" w:rsidRPr="00EA304C" w:rsidRDefault="00797706" w:rsidP="00797706">
      <w:pPr>
        <w:numPr>
          <w:ilvl w:val="1"/>
          <w:numId w:val="31"/>
        </w:numPr>
        <w:jc w:val="both"/>
        <w:rPr>
          <w:color w:val="000000" w:themeColor="text1"/>
          <w:sz w:val="22"/>
          <w:szCs w:val="22"/>
        </w:rPr>
      </w:pPr>
      <w:r w:rsidRPr="00EA304C">
        <w:rPr>
          <w:color w:val="000000" w:themeColor="text1"/>
          <w:sz w:val="22"/>
          <w:szCs w:val="22"/>
        </w:rPr>
        <w:t>Where the Authority has reduced the number of funded places</w:t>
      </w:r>
      <w:r w:rsidR="004A2A94" w:rsidRPr="00EA304C">
        <w:rPr>
          <w:color w:val="000000" w:themeColor="text1"/>
          <w:sz w:val="22"/>
          <w:szCs w:val="22"/>
        </w:rPr>
        <w:t xml:space="preserve"> at the setting</w:t>
      </w:r>
      <w:r w:rsidRPr="00EA304C">
        <w:rPr>
          <w:color w:val="000000" w:themeColor="text1"/>
          <w:sz w:val="22"/>
          <w:szCs w:val="22"/>
        </w:rPr>
        <w:t xml:space="preserve"> on the previous</w:t>
      </w:r>
      <w:r w:rsidR="0000177A" w:rsidRPr="00EA304C">
        <w:rPr>
          <w:color w:val="000000" w:themeColor="text1"/>
          <w:sz w:val="22"/>
          <w:szCs w:val="22"/>
        </w:rPr>
        <w:t xml:space="preserve"> financial</w:t>
      </w:r>
      <w:r w:rsidRPr="00EA304C">
        <w:rPr>
          <w:color w:val="000000" w:themeColor="text1"/>
          <w:sz w:val="22"/>
          <w:szCs w:val="22"/>
        </w:rPr>
        <w:t xml:space="preserve"> year</w:t>
      </w:r>
      <w:r w:rsidR="00F83E11" w:rsidRPr="00EA304C">
        <w:rPr>
          <w:color w:val="000000" w:themeColor="text1"/>
          <w:sz w:val="22"/>
          <w:szCs w:val="22"/>
        </w:rPr>
        <w:t xml:space="preserve"> AND</w:t>
      </w:r>
      <w:r w:rsidR="004A2A94" w:rsidRPr="00EA304C">
        <w:rPr>
          <w:color w:val="000000" w:themeColor="text1"/>
          <w:sz w:val="22"/>
          <w:szCs w:val="22"/>
        </w:rPr>
        <w:t xml:space="preserve"> where the Schools Forum</w:t>
      </w:r>
      <w:r w:rsidR="00CB088B" w:rsidRPr="00EA304C">
        <w:rPr>
          <w:color w:val="000000" w:themeColor="text1"/>
          <w:sz w:val="22"/>
          <w:szCs w:val="22"/>
        </w:rPr>
        <w:t xml:space="preserve"> has not made a </w:t>
      </w:r>
      <w:r w:rsidR="0000177A" w:rsidRPr="00EA304C">
        <w:rPr>
          <w:color w:val="000000" w:themeColor="text1"/>
          <w:sz w:val="22"/>
          <w:szCs w:val="22"/>
        </w:rPr>
        <w:t xml:space="preserve">separate </w:t>
      </w:r>
      <w:r w:rsidR="00CB088B" w:rsidRPr="00EA304C">
        <w:rPr>
          <w:color w:val="000000" w:themeColor="text1"/>
          <w:sz w:val="22"/>
          <w:szCs w:val="22"/>
        </w:rPr>
        <w:t>specific recommendation on whether the Budget Protection factor should be applied or not</w:t>
      </w:r>
      <w:r w:rsidRPr="00EA304C">
        <w:rPr>
          <w:color w:val="000000" w:themeColor="text1"/>
          <w:sz w:val="22"/>
          <w:szCs w:val="22"/>
        </w:rPr>
        <w:t>. This is intended to give time</w:t>
      </w:r>
      <w:r w:rsidR="00E74B8F" w:rsidRPr="00EA304C">
        <w:rPr>
          <w:color w:val="000000" w:themeColor="text1"/>
          <w:sz w:val="22"/>
          <w:szCs w:val="22"/>
        </w:rPr>
        <w:t xml:space="preserve"> (1 year)</w:t>
      </w:r>
      <w:r w:rsidRPr="00EA304C">
        <w:rPr>
          <w:color w:val="000000" w:themeColor="text1"/>
          <w:sz w:val="22"/>
          <w:szCs w:val="22"/>
        </w:rPr>
        <w:t xml:space="preserve"> for the setting to respond to a more permanent reduction in funding and expenditure, without this having an impact on standards.</w:t>
      </w:r>
      <w:r w:rsidR="004A2A94" w:rsidRPr="00EA304C">
        <w:rPr>
          <w:color w:val="000000" w:themeColor="text1"/>
          <w:sz w:val="22"/>
          <w:szCs w:val="22"/>
        </w:rPr>
        <w:t xml:space="preserve"> Please note that</w:t>
      </w:r>
      <w:r w:rsidR="0000177A" w:rsidRPr="00EA304C">
        <w:rPr>
          <w:color w:val="000000" w:themeColor="text1"/>
          <w:sz w:val="22"/>
          <w:szCs w:val="22"/>
        </w:rPr>
        <w:t xml:space="preserve"> the reduction in places at District PRU at September 2014</w:t>
      </w:r>
      <w:r w:rsidR="004A2A94" w:rsidRPr="00EA304C">
        <w:rPr>
          <w:color w:val="000000" w:themeColor="text1"/>
          <w:sz w:val="22"/>
          <w:szCs w:val="22"/>
        </w:rPr>
        <w:t xml:space="preserve"> </w:t>
      </w:r>
      <w:r w:rsidR="0000177A" w:rsidRPr="00EA304C">
        <w:rPr>
          <w:color w:val="000000" w:themeColor="text1"/>
          <w:sz w:val="22"/>
          <w:szCs w:val="22"/>
        </w:rPr>
        <w:t xml:space="preserve">will not trigger this protection in 2015/16, as the Schools Forum has already recommended that the DSG budget this reduction has released be re-allocated within the High Needs Block. </w:t>
      </w:r>
    </w:p>
    <w:p w:rsidR="004A2A94" w:rsidRPr="00EA304C" w:rsidRDefault="00797706" w:rsidP="00797706">
      <w:pPr>
        <w:numPr>
          <w:ilvl w:val="1"/>
          <w:numId w:val="31"/>
        </w:numPr>
        <w:jc w:val="both"/>
        <w:rPr>
          <w:color w:val="000000" w:themeColor="text1"/>
          <w:sz w:val="22"/>
          <w:szCs w:val="22"/>
        </w:rPr>
      </w:pPr>
      <w:r w:rsidRPr="00EA304C">
        <w:rPr>
          <w:color w:val="000000" w:themeColor="text1"/>
          <w:sz w:val="22"/>
          <w:szCs w:val="22"/>
        </w:rPr>
        <w:t xml:space="preserve">Where the setting’s number of funded places are the same as </w:t>
      </w:r>
      <w:r w:rsidR="0000177A" w:rsidRPr="00EA304C">
        <w:rPr>
          <w:color w:val="000000" w:themeColor="text1"/>
          <w:sz w:val="22"/>
          <w:szCs w:val="22"/>
        </w:rPr>
        <w:t xml:space="preserve">in </w:t>
      </w:r>
      <w:r w:rsidRPr="00EA304C">
        <w:rPr>
          <w:color w:val="000000" w:themeColor="text1"/>
          <w:sz w:val="22"/>
          <w:szCs w:val="22"/>
        </w:rPr>
        <w:t xml:space="preserve">the previous </w:t>
      </w:r>
      <w:r w:rsidR="00E74B8F" w:rsidRPr="00EA304C">
        <w:rPr>
          <w:color w:val="000000" w:themeColor="text1"/>
          <w:sz w:val="22"/>
          <w:szCs w:val="22"/>
        </w:rPr>
        <w:t xml:space="preserve">financial </w:t>
      </w:r>
      <w:r w:rsidRPr="00EA304C">
        <w:rPr>
          <w:color w:val="000000" w:themeColor="text1"/>
          <w:sz w:val="22"/>
          <w:szCs w:val="22"/>
        </w:rPr>
        <w:t xml:space="preserve">year, but where  the setting’s actual </w:t>
      </w:r>
      <w:r w:rsidR="0026103F" w:rsidRPr="00EA304C">
        <w:rPr>
          <w:color w:val="000000" w:themeColor="text1"/>
          <w:sz w:val="22"/>
          <w:szCs w:val="22"/>
        </w:rPr>
        <w:t xml:space="preserve">annual </w:t>
      </w:r>
      <w:r w:rsidRPr="00EA304C">
        <w:rPr>
          <w:color w:val="000000" w:themeColor="text1"/>
          <w:sz w:val="22"/>
          <w:szCs w:val="22"/>
        </w:rPr>
        <w:t>occupancy is low</w:t>
      </w:r>
      <w:r w:rsidR="004A2A94" w:rsidRPr="00EA304C">
        <w:rPr>
          <w:color w:val="000000" w:themeColor="text1"/>
          <w:sz w:val="22"/>
          <w:szCs w:val="22"/>
        </w:rPr>
        <w:t>er than in the previous year AND</w:t>
      </w:r>
      <w:r w:rsidRPr="00EA304C">
        <w:rPr>
          <w:color w:val="000000" w:themeColor="text1"/>
          <w:sz w:val="22"/>
          <w:szCs w:val="22"/>
        </w:rPr>
        <w:t xml:space="preserve"> where the Authority’s </w:t>
      </w:r>
      <w:r w:rsidR="009B22D6" w:rsidRPr="00EA304C">
        <w:rPr>
          <w:color w:val="000000" w:themeColor="text1"/>
          <w:sz w:val="22"/>
          <w:szCs w:val="22"/>
        </w:rPr>
        <w:t>planning</w:t>
      </w:r>
      <w:r w:rsidRPr="00EA304C">
        <w:rPr>
          <w:color w:val="000000" w:themeColor="text1"/>
          <w:sz w:val="22"/>
          <w:szCs w:val="22"/>
        </w:rPr>
        <w:t xml:space="preserve"> data confirms that </w:t>
      </w:r>
      <w:r w:rsidR="004A2A94" w:rsidRPr="00EA304C">
        <w:rPr>
          <w:color w:val="000000" w:themeColor="text1"/>
          <w:sz w:val="22"/>
          <w:szCs w:val="22"/>
        </w:rPr>
        <w:t>the full number of places will be needed to meet demand in the following year. This is intended to enable the setting to manage a ‘b</w:t>
      </w:r>
      <w:r w:rsidR="0000177A" w:rsidRPr="00EA304C">
        <w:rPr>
          <w:color w:val="000000" w:themeColor="text1"/>
          <w:sz w:val="22"/>
          <w:szCs w:val="22"/>
        </w:rPr>
        <w:t>lip’ in occupancy</w:t>
      </w:r>
      <w:r w:rsidR="004A2A94" w:rsidRPr="00EA304C">
        <w:rPr>
          <w:color w:val="000000" w:themeColor="text1"/>
          <w:sz w:val="22"/>
          <w:szCs w:val="22"/>
        </w:rPr>
        <w:t xml:space="preserve"> without removing capacity that will be needed in the following year, being able to retain</w:t>
      </w:r>
      <w:r w:rsidR="0000177A" w:rsidRPr="00EA304C">
        <w:rPr>
          <w:color w:val="000000" w:themeColor="text1"/>
          <w:sz w:val="22"/>
          <w:szCs w:val="22"/>
        </w:rPr>
        <w:t xml:space="preserve"> high quality staffing</w:t>
      </w:r>
      <w:r w:rsidR="004A2A94" w:rsidRPr="00EA304C">
        <w:rPr>
          <w:color w:val="000000" w:themeColor="text1"/>
          <w:sz w:val="22"/>
          <w:szCs w:val="22"/>
        </w:rPr>
        <w:t>.</w:t>
      </w:r>
    </w:p>
    <w:p w:rsidR="00797706" w:rsidRPr="00EA304C" w:rsidRDefault="005D2C81" w:rsidP="00797706">
      <w:pPr>
        <w:numPr>
          <w:ilvl w:val="1"/>
          <w:numId w:val="31"/>
        </w:numPr>
        <w:jc w:val="both"/>
        <w:rPr>
          <w:color w:val="000000" w:themeColor="text1"/>
          <w:sz w:val="22"/>
          <w:szCs w:val="22"/>
        </w:rPr>
      </w:pPr>
      <w:r w:rsidRPr="00EA304C">
        <w:rPr>
          <w:color w:val="000000" w:themeColor="text1"/>
          <w:sz w:val="22"/>
          <w:szCs w:val="22"/>
        </w:rPr>
        <w:t>Any other setting</w:t>
      </w:r>
      <w:r w:rsidR="0000177A" w:rsidRPr="00EA304C">
        <w:rPr>
          <w:color w:val="000000" w:themeColor="text1"/>
          <w:sz w:val="22"/>
          <w:szCs w:val="22"/>
        </w:rPr>
        <w:t xml:space="preserve">, </w:t>
      </w:r>
      <w:r w:rsidRPr="00EA304C">
        <w:rPr>
          <w:color w:val="000000" w:themeColor="text1"/>
          <w:sz w:val="22"/>
          <w:szCs w:val="22"/>
        </w:rPr>
        <w:t>following agreement of exceptional circumstances</w:t>
      </w:r>
      <w:r w:rsidR="0000177A" w:rsidRPr="00EA304C">
        <w:rPr>
          <w:color w:val="000000" w:themeColor="text1"/>
          <w:sz w:val="22"/>
          <w:szCs w:val="22"/>
        </w:rPr>
        <w:t xml:space="preserve"> </w:t>
      </w:r>
      <w:r w:rsidR="004A2A94" w:rsidRPr="00EA304C">
        <w:rPr>
          <w:color w:val="000000" w:themeColor="text1"/>
          <w:sz w:val="22"/>
          <w:szCs w:val="22"/>
        </w:rPr>
        <w:t>outlined below</w:t>
      </w:r>
      <w:r w:rsidR="0000177A" w:rsidRPr="00EA304C">
        <w:rPr>
          <w:color w:val="000000" w:themeColor="text1"/>
          <w:sz w:val="22"/>
          <w:szCs w:val="22"/>
        </w:rPr>
        <w:t>.</w:t>
      </w:r>
      <w:r w:rsidR="004A2A94" w:rsidRPr="00EA304C">
        <w:rPr>
          <w:color w:val="000000" w:themeColor="text1"/>
          <w:sz w:val="22"/>
          <w:szCs w:val="22"/>
        </w:rPr>
        <w:t xml:space="preserve"> </w:t>
      </w:r>
    </w:p>
    <w:p w:rsidR="00840D39" w:rsidRPr="00BB5EF0" w:rsidRDefault="00840D39" w:rsidP="00BB5EF0">
      <w:pPr>
        <w:jc w:val="both"/>
        <w:rPr>
          <w:sz w:val="22"/>
          <w:szCs w:val="22"/>
        </w:rPr>
      </w:pPr>
    </w:p>
    <w:p w:rsidR="00D905D2" w:rsidRPr="00D905D2" w:rsidRDefault="0045738A" w:rsidP="00BB5EF0">
      <w:pPr>
        <w:pStyle w:val="ListParagraph"/>
        <w:numPr>
          <w:ilvl w:val="0"/>
          <w:numId w:val="31"/>
        </w:numPr>
        <w:jc w:val="both"/>
        <w:rPr>
          <w:sz w:val="22"/>
          <w:szCs w:val="22"/>
        </w:rPr>
      </w:pPr>
      <w:r w:rsidRPr="00BB5EF0">
        <w:rPr>
          <w:b/>
          <w:sz w:val="22"/>
          <w:szCs w:val="22"/>
        </w:rPr>
        <w:t>Exceptional Circumstances / Financial Difficulty</w:t>
      </w:r>
      <w:r w:rsidRPr="00BB5EF0">
        <w:rPr>
          <w:sz w:val="22"/>
          <w:szCs w:val="22"/>
        </w:rPr>
        <w:t xml:space="preserve"> </w:t>
      </w:r>
      <w:r w:rsidR="005534DF" w:rsidRPr="00BB5EF0">
        <w:rPr>
          <w:sz w:val="22"/>
          <w:szCs w:val="22"/>
        </w:rPr>
        <w:t xml:space="preserve">– </w:t>
      </w:r>
      <w:r w:rsidR="000D1A5F" w:rsidRPr="00BB5EF0">
        <w:rPr>
          <w:sz w:val="22"/>
          <w:szCs w:val="22"/>
        </w:rPr>
        <w:t>Within the Schools Block for primary and secondary maintained schools, there is an ‘Exceptional Costs and Schools in Financial Difficulty’ provision, which enables additional support to be allocated to indiv</w:t>
      </w:r>
      <w:r w:rsidR="00840D39" w:rsidRPr="00BB5EF0">
        <w:rPr>
          <w:sz w:val="22"/>
          <w:szCs w:val="22"/>
        </w:rPr>
        <w:t xml:space="preserve">idual </w:t>
      </w:r>
      <w:r w:rsidR="003F319F">
        <w:rPr>
          <w:sz w:val="22"/>
          <w:szCs w:val="22"/>
        </w:rPr>
        <w:t xml:space="preserve">maintained </w:t>
      </w:r>
      <w:r w:rsidR="00840D39" w:rsidRPr="00BB5EF0">
        <w:rPr>
          <w:sz w:val="22"/>
          <w:szCs w:val="22"/>
        </w:rPr>
        <w:t>schools in certain circumstances</w:t>
      </w:r>
      <w:r w:rsidR="000D1A5F" w:rsidRPr="00BB5EF0">
        <w:rPr>
          <w:sz w:val="22"/>
          <w:szCs w:val="22"/>
        </w:rPr>
        <w:t xml:space="preserve"> and following agreed criteria. The two most common reasons for allocating additional support </w:t>
      </w:r>
      <w:r w:rsidR="00266B28" w:rsidRPr="00BB5EF0">
        <w:rPr>
          <w:sz w:val="22"/>
          <w:szCs w:val="22"/>
        </w:rPr>
        <w:t>are</w:t>
      </w:r>
      <w:r w:rsidR="000D1A5F" w:rsidRPr="00BB5EF0">
        <w:rPr>
          <w:sz w:val="22"/>
          <w:szCs w:val="22"/>
        </w:rPr>
        <w:t xml:space="preserve"> </w:t>
      </w:r>
      <w:r w:rsidR="00266B28" w:rsidRPr="00BB5EF0">
        <w:rPr>
          <w:sz w:val="22"/>
          <w:szCs w:val="22"/>
        </w:rPr>
        <w:t>where a school incur</w:t>
      </w:r>
      <w:r w:rsidR="003F319F">
        <w:rPr>
          <w:sz w:val="22"/>
          <w:szCs w:val="22"/>
        </w:rPr>
        <w:t>s</w:t>
      </w:r>
      <w:r w:rsidR="00266B28" w:rsidRPr="00BB5EF0">
        <w:rPr>
          <w:sz w:val="22"/>
          <w:szCs w:val="22"/>
        </w:rPr>
        <w:t xml:space="preserve"> additional cost</w:t>
      </w:r>
      <w:r w:rsidR="003F319F">
        <w:rPr>
          <w:sz w:val="22"/>
          <w:szCs w:val="22"/>
        </w:rPr>
        <w:t>s</w:t>
      </w:r>
      <w:r w:rsidR="00266B28" w:rsidRPr="00BB5EF0">
        <w:rPr>
          <w:sz w:val="22"/>
          <w:szCs w:val="22"/>
        </w:rPr>
        <w:t xml:space="preserve"> following a</w:t>
      </w:r>
      <w:r w:rsidR="00266B28" w:rsidRPr="00BB5EF0">
        <w:rPr>
          <w:color w:val="000000" w:themeColor="text1"/>
          <w:sz w:val="22"/>
          <w:szCs w:val="22"/>
        </w:rPr>
        <w:t xml:space="preserve"> </w:t>
      </w:r>
      <w:r w:rsidR="000D1A5F" w:rsidRPr="00BB5EF0">
        <w:rPr>
          <w:color w:val="000000" w:themeColor="text1"/>
          <w:sz w:val="22"/>
          <w:szCs w:val="22"/>
        </w:rPr>
        <w:t xml:space="preserve">growth in </w:t>
      </w:r>
      <w:r w:rsidR="00266B28" w:rsidRPr="00BB5EF0">
        <w:rPr>
          <w:color w:val="000000" w:themeColor="text1"/>
          <w:sz w:val="22"/>
          <w:szCs w:val="22"/>
        </w:rPr>
        <w:t xml:space="preserve">pupil </w:t>
      </w:r>
      <w:r w:rsidR="000D1A5F" w:rsidRPr="00BB5EF0">
        <w:rPr>
          <w:color w:val="000000" w:themeColor="text1"/>
          <w:sz w:val="22"/>
          <w:szCs w:val="22"/>
        </w:rPr>
        <w:t xml:space="preserve">numbers after the October </w:t>
      </w:r>
      <w:r w:rsidR="00266B28" w:rsidRPr="00BB5EF0">
        <w:rPr>
          <w:color w:val="000000" w:themeColor="text1"/>
          <w:sz w:val="22"/>
          <w:szCs w:val="22"/>
        </w:rPr>
        <w:t>census has been taken and</w:t>
      </w:r>
      <w:r w:rsidR="000D1A5F" w:rsidRPr="00BB5EF0">
        <w:rPr>
          <w:color w:val="000000" w:themeColor="text1"/>
          <w:sz w:val="22"/>
          <w:szCs w:val="22"/>
        </w:rPr>
        <w:t xml:space="preserve"> the cost of HR investigation processes in smaller schools</w:t>
      </w:r>
      <w:r w:rsidR="00266B28" w:rsidRPr="00BB5EF0">
        <w:rPr>
          <w:color w:val="000000" w:themeColor="text1"/>
          <w:sz w:val="22"/>
          <w:szCs w:val="22"/>
        </w:rPr>
        <w:t>.</w:t>
      </w:r>
      <w:r w:rsidR="000D1A5F" w:rsidRPr="00BB5EF0">
        <w:rPr>
          <w:color w:val="000000" w:themeColor="text1"/>
          <w:sz w:val="22"/>
          <w:szCs w:val="22"/>
        </w:rPr>
        <w:t xml:space="preserve"> In all circumstances, a school’s case for support is based on</w:t>
      </w:r>
      <w:r w:rsidR="00266B28" w:rsidRPr="00BB5EF0">
        <w:rPr>
          <w:color w:val="000000" w:themeColor="text1"/>
          <w:sz w:val="22"/>
          <w:szCs w:val="22"/>
        </w:rPr>
        <w:t xml:space="preserve"> an assessment of</w:t>
      </w:r>
      <w:r w:rsidR="000D1A5F" w:rsidRPr="00BB5EF0">
        <w:rPr>
          <w:color w:val="000000" w:themeColor="text1"/>
          <w:sz w:val="22"/>
          <w:szCs w:val="22"/>
        </w:rPr>
        <w:t xml:space="preserve"> </w:t>
      </w:r>
      <w:r w:rsidR="00525234" w:rsidRPr="00BB5EF0">
        <w:rPr>
          <w:sz w:val="22"/>
          <w:szCs w:val="22"/>
        </w:rPr>
        <w:t>both</w:t>
      </w:r>
      <w:r w:rsidR="00525234" w:rsidRPr="00BB5EF0">
        <w:rPr>
          <w:color w:val="000000" w:themeColor="text1"/>
          <w:sz w:val="22"/>
          <w:szCs w:val="22"/>
        </w:rPr>
        <w:t xml:space="preserve"> </w:t>
      </w:r>
      <w:r w:rsidR="000D1A5F" w:rsidRPr="00BB5EF0">
        <w:rPr>
          <w:color w:val="000000" w:themeColor="text1"/>
          <w:sz w:val="22"/>
          <w:szCs w:val="22"/>
        </w:rPr>
        <w:t>the cos</w:t>
      </w:r>
      <w:r w:rsidR="00525234" w:rsidRPr="00BB5EF0">
        <w:rPr>
          <w:color w:val="000000" w:themeColor="text1"/>
          <w:sz w:val="22"/>
          <w:szCs w:val="22"/>
        </w:rPr>
        <w:t>t pressure faced by</w:t>
      </w:r>
      <w:r w:rsidR="000D1A5F" w:rsidRPr="00BB5EF0">
        <w:rPr>
          <w:color w:val="000000" w:themeColor="text1"/>
          <w:sz w:val="22"/>
          <w:szCs w:val="22"/>
        </w:rPr>
        <w:t xml:space="preserve"> the school and the school’</w:t>
      </w:r>
      <w:r w:rsidR="00266B28" w:rsidRPr="00BB5EF0">
        <w:rPr>
          <w:color w:val="000000" w:themeColor="text1"/>
          <w:sz w:val="22"/>
          <w:szCs w:val="22"/>
        </w:rPr>
        <w:t>s financial position, which is</w:t>
      </w:r>
      <w:r w:rsidR="000D1A5F" w:rsidRPr="00BB5EF0">
        <w:rPr>
          <w:color w:val="000000" w:themeColor="text1"/>
          <w:sz w:val="22"/>
          <w:szCs w:val="22"/>
        </w:rPr>
        <w:t xml:space="preserve"> measured against </w:t>
      </w:r>
      <w:r w:rsidR="00525234" w:rsidRPr="00BB5EF0">
        <w:rPr>
          <w:color w:val="000000" w:themeColor="text1"/>
          <w:sz w:val="22"/>
          <w:szCs w:val="22"/>
        </w:rPr>
        <w:t xml:space="preserve">set </w:t>
      </w:r>
      <w:r w:rsidR="000D1A5F" w:rsidRPr="00BB5EF0">
        <w:rPr>
          <w:color w:val="000000" w:themeColor="text1"/>
          <w:sz w:val="22"/>
          <w:szCs w:val="22"/>
        </w:rPr>
        <w:t>criteria. Allocations to schools are then calculated</w:t>
      </w:r>
      <w:r w:rsidR="00266B28" w:rsidRPr="00BB5EF0">
        <w:rPr>
          <w:color w:val="000000" w:themeColor="text1"/>
          <w:sz w:val="22"/>
          <w:szCs w:val="22"/>
        </w:rPr>
        <w:t xml:space="preserve"> on </w:t>
      </w:r>
      <w:r w:rsidR="00525234" w:rsidRPr="00BB5EF0">
        <w:rPr>
          <w:color w:val="000000" w:themeColor="text1"/>
          <w:sz w:val="22"/>
          <w:szCs w:val="22"/>
        </w:rPr>
        <w:t xml:space="preserve">an </w:t>
      </w:r>
      <w:r w:rsidR="00266B28" w:rsidRPr="00BB5EF0">
        <w:rPr>
          <w:color w:val="000000" w:themeColor="text1"/>
          <w:sz w:val="22"/>
          <w:szCs w:val="22"/>
        </w:rPr>
        <w:t>actual cost pressure basis, rather than using a set formula</w:t>
      </w:r>
      <w:r w:rsidR="000D1A5F" w:rsidRPr="00BB5EF0">
        <w:rPr>
          <w:color w:val="000000" w:themeColor="text1"/>
          <w:sz w:val="22"/>
          <w:szCs w:val="22"/>
        </w:rPr>
        <w:t>.</w:t>
      </w:r>
      <w:r w:rsidR="007B1982" w:rsidRPr="00BB5EF0">
        <w:rPr>
          <w:color w:val="000000" w:themeColor="text1"/>
          <w:sz w:val="22"/>
          <w:szCs w:val="22"/>
        </w:rPr>
        <w:t xml:space="preserve"> We also have </w:t>
      </w:r>
      <w:r w:rsidR="00525234" w:rsidRPr="00BB5EF0">
        <w:rPr>
          <w:color w:val="000000" w:themeColor="text1"/>
          <w:sz w:val="22"/>
          <w:szCs w:val="22"/>
        </w:rPr>
        <w:t>exceptional circumstances criteria</w:t>
      </w:r>
      <w:r w:rsidR="007B1982" w:rsidRPr="00BB5EF0">
        <w:rPr>
          <w:color w:val="000000" w:themeColor="text1"/>
          <w:sz w:val="22"/>
          <w:szCs w:val="22"/>
        </w:rPr>
        <w:t xml:space="preserve"> within the Early Years Single Funding Formula, which in particular allows additional funding to be allocated where a setting increases its numbers </w:t>
      </w:r>
      <w:r w:rsidR="00525234" w:rsidRPr="00BB5EF0">
        <w:rPr>
          <w:color w:val="000000" w:themeColor="text1"/>
          <w:sz w:val="22"/>
          <w:szCs w:val="22"/>
        </w:rPr>
        <w:t>after the census for that term has been taken and where a setting has to incur substantial</w:t>
      </w:r>
      <w:r w:rsidR="00840D39" w:rsidRPr="00BB5EF0">
        <w:rPr>
          <w:color w:val="000000" w:themeColor="text1"/>
          <w:sz w:val="22"/>
          <w:szCs w:val="22"/>
        </w:rPr>
        <w:t xml:space="preserve"> additional</w:t>
      </w:r>
      <w:r w:rsidR="00525234" w:rsidRPr="00BB5EF0">
        <w:rPr>
          <w:color w:val="000000" w:themeColor="text1"/>
          <w:sz w:val="22"/>
          <w:szCs w:val="22"/>
        </w:rPr>
        <w:t xml:space="preserve"> cost</w:t>
      </w:r>
      <w:r w:rsidR="00840D39" w:rsidRPr="00BB5EF0">
        <w:rPr>
          <w:color w:val="000000" w:themeColor="text1"/>
          <w:sz w:val="22"/>
          <w:szCs w:val="22"/>
        </w:rPr>
        <w:t>s</w:t>
      </w:r>
      <w:r w:rsidR="00525234" w:rsidRPr="00BB5EF0">
        <w:rPr>
          <w:color w:val="000000" w:themeColor="text1"/>
          <w:sz w:val="22"/>
          <w:szCs w:val="22"/>
        </w:rPr>
        <w:t xml:space="preserve"> to enhance its provision to meet this intake. </w:t>
      </w:r>
    </w:p>
    <w:p w:rsidR="00D905D2" w:rsidRDefault="00D905D2" w:rsidP="00D905D2">
      <w:pPr>
        <w:pStyle w:val="ListParagraph"/>
        <w:jc w:val="both"/>
        <w:rPr>
          <w:b/>
          <w:sz w:val="22"/>
          <w:szCs w:val="22"/>
        </w:rPr>
      </w:pPr>
    </w:p>
    <w:p w:rsidR="00840D39" w:rsidRPr="00BB5EF0" w:rsidRDefault="00840D39" w:rsidP="00D905D2">
      <w:pPr>
        <w:pStyle w:val="ListParagraph"/>
        <w:jc w:val="both"/>
        <w:rPr>
          <w:sz w:val="22"/>
          <w:szCs w:val="22"/>
        </w:rPr>
      </w:pPr>
      <w:r w:rsidRPr="00BB5EF0">
        <w:rPr>
          <w:color w:val="000000" w:themeColor="text1"/>
          <w:sz w:val="22"/>
          <w:szCs w:val="22"/>
        </w:rPr>
        <w:t>As the funding for high needs providers is recalculated on a monthly basis, some of the issues that arise for early years, primary and secondary settings as a result of changes i</w:t>
      </w:r>
      <w:r w:rsidR="00A8793D">
        <w:rPr>
          <w:color w:val="000000" w:themeColor="text1"/>
          <w:sz w:val="22"/>
          <w:szCs w:val="22"/>
        </w:rPr>
        <w:t>n pupil numbers during the year</w:t>
      </w:r>
      <w:r w:rsidRPr="00BB5EF0">
        <w:rPr>
          <w:color w:val="000000" w:themeColor="text1"/>
          <w:sz w:val="22"/>
          <w:szCs w:val="22"/>
        </w:rPr>
        <w:t xml:space="preserve"> are not present. However, the Authority does come across issues in the timing of placements</w:t>
      </w:r>
      <w:r w:rsidR="00A8793D">
        <w:rPr>
          <w:color w:val="000000" w:themeColor="text1"/>
          <w:sz w:val="22"/>
          <w:szCs w:val="22"/>
        </w:rPr>
        <w:t xml:space="preserve"> against the 10</w:t>
      </w:r>
      <w:r w:rsidR="00A8793D" w:rsidRPr="00A8793D">
        <w:rPr>
          <w:color w:val="000000" w:themeColor="text1"/>
          <w:sz w:val="22"/>
          <w:szCs w:val="22"/>
          <w:vertAlign w:val="superscript"/>
        </w:rPr>
        <w:t>th</w:t>
      </w:r>
      <w:r w:rsidR="00A8793D">
        <w:rPr>
          <w:color w:val="000000" w:themeColor="text1"/>
          <w:sz w:val="22"/>
          <w:szCs w:val="22"/>
        </w:rPr>
        <w:t xml:space="preserve"> of each month</w:t>
      </w:r>
      <w:r w:rsidRPr="00BB5EF0">
        <w:rPr>
          <w:color w:val="000000" w:themeColor="text1"/>
          <w:sz w:val="22"/>
          <w:szCs w:val="22"/>
        </w:rPr>
        <w:t xml:space="preserve"> and is also approache</w:t>
      </w:r>
      <w:r w:rsidR="00A8793D">
        <w:rPr>
          <w:color w:val="000000" w:themeColor="text1"/>
          <w:sz w:val="22"/>
          <w:szCs w:val="22"/>
        </w:rPr>
        <w:t>d by settings asking for</w:t>
      </w:r>
      <w:r w:rsidRPr="00BB5EF0">
        <w:rPr>
          <w:color w:val="000000" w:themeColor="text1"/>
          <w:sz w:val="22"/>
          <w:szCs w:val="22"/>
        </w:rPr>
        <w:t xml:space="preserve"> consideration of exceptional circumstances. As a result of this, to ensure that there is transparency and consistency in the way all funding is a</w:t>
      </w:r>
      <w:r w:rsidR="003F319F">
        <w:rPr>
          <w:color w:val="000000" w:themeColor="text1"/>
          <w:sz w:val="22"/>
          <w:szCs w:val="22"/>
        </w:rPr>
        <w:t>llocated, we propose to adopt a</w:t>
      </w:r>
      <w:r w:rsidRPr="00BB5EF0">
        <w:rPr>
          <w:color w:val="000000" w:themeColor="text1"/>
          <w:sz w:val="22"/>
          <w:szCs w:val="22"/>
        </w:rPr>
        <w:t xml:space="preserve"> more formal Exceptional Circumstances / Financial Difficulty mechanism</w:t>
      </w:r>
      <w:r w:rsidR="00A8793D">
        <w:rPr>
          <w:color w:val="000000" w:themeColor="text1"/>
          <w:sz w:val="22"/>
          <w:szCs w:val="22"/>
        </w:rPr>
        <w:t xml:space="preserve"> within the High Needs Funding Model</w:t>
      </w:r>
      <w:r w:rsidR="003F319F">
        <w:rPr>
          <w:color w:val="000000" w:themeColor="text1"/>
          <w:sz w:val="22"/>
          <w:szCs w:val="22"/>
        </w:rPr>
        <w:t>. This will be a new setting-based factor within the calculation of the Plus element</w:t>
      </w:r>
      <w:r w:rsidRPr="00BB5EF0">
        <w:rPr>
          <w:color w:val="000000" w:themeColor="text1"/>
          <w:sz w:val="22"/>
          <w:szCs w:val="22"/>
        </w:rPr>
        <w:t>.</w:t>
      </w:r>
      <w:r w:rsidR="004E0CD1">
        <w:rPr>
          <w:color w:val="000000" w:themeColor="text1"/>
          <w:sz w:val="22"/>
          <w:szCs w:val="22"/>
        </w:rPr>
        <w:t xml:space="preserve"> It is proposed that this mechanism will be the same as that </w:t>
      </w:r>
      <w:r w:rsidR="00996AAC">
        <w:rPr>
          <w:color w:val="000000" w:themeColor="text1"/>
          <w:sz w:val="22"/>
          <w:szCs w:val="22"/>
        </w:rPr>
        <w:t xml:space="preserve">basically </w:t>
      </w:r>
      <w:r w:rsidR="004E0CD1">
        <w:rPr>
          <w:color w:val="000000" w:themeColor="text1"/>
          <w:sz w:val="22"/>
          <w:szCs w:val="22"/>
        </w:rPr>
        <w:t xml:space="preserve">applied to primary and secondary schools. </w:t>
      </w:r>
      <w:r w:rsidR="00061587">
        <w:rPr>
          <w:color w:val="000000" w:themeColor="text1"/>
          <w:sz w:val="22"/>
          <w:szCs w:val="22"/>
        </w:rPr>
        <w:t>We would expect</w:t>
      </w:r>
      <w:r w:rsidR="003811E4">
        <w:rPr>
          <w:color w:val="000000" w:themeColor="text1"/>
          <w:sz w:val="22"/>
          <w:szCs w:val="22"/>
        </w:rPr>
        <w:t xml:space="preserve"> that this m</w:t>
      </w:r>
      <w:r w:rsidR="00D905D2">
        <w:rPr>
          <w:color w:val="000000" w:themeColor="text1"/>
          <w:sz w:val="22"/>
          <w:szCs w:val="22"/>
        </w:rPr>
        <w:t>echanism would be applied only</w:t>
      </w:r>
      <w:r w:rsidR="003811E4">
        <w:rPr>
          <w:color w:val="000000" w:themeColor="text1"/>
          <w:sz w:val="22"/>
          <w:szCs w:val="22"/>
        </w:rPr>
        <w:t xml:space="preserve"> to stand-alone maintained or academy high needs providers</w:t>
      </w:r>
      <w:r w:rsidR="00996AAC">
        <w:rPr>
          <w:color w:val="000000" w:themeColor="text1"/>
          <w:sz w:val="22"/>
          <w:szCs w:val="22"/>
        </w:rPr>
        <w:t xml:space="preserve"> in Bradford</w:t>
      </w:r>
      <w:r w:rsidR="003811E4">
        <w:rPr>
          <w:color w:val="000000" w:themeColor="text1"/>
          <w:sz w:val="22"/>
          <w:szCs w:val="22"/>
        </w:rPr>
        <w:t xml:space="preserve"> or to resourced provisions attached to mainstream maintained schools or academies</w:t>
      </w:r>
      <w:r w:rsidR="00996AAC">
        <w:rPr>
          <w:color w:val="000000" w:themeColor="text1"/>
          <w:sz w:val="22"/>
          <w:szCs w:val="22"/>
        </w:rPr>
        <w:t xml:space="preserve"> in Bradford,</w:t>
      </w:r>
      <w:r w:rsidR="00061587">
        <w:rPr>
          <w:color w:val="000000" w:themeColor="text1"/>
          <w:sz w:val="22"/>
          <w:szCs w:val="22"/>
        </w:rPr>
        <w:t xml:space="preserve"> w</w:t>
      </w:r>
      <w:r w:rsidR="005F72A2">
        <w:rPr>
          <w:color w:val="000000" w:themeColor="text1"/>
          <w:sz w:val="22"/>
          <w:szCs w:val="22"/>
        </w:rPr>
        <w:t>here Bradford is the main funder</w:t>
      </w:r>
      <w:r w:rsidR="00061587">
        <w:rPr>
          <w:color w:val="000000" w:themeColor="text1"/>
          <w:sz w:val="22"/>
          <w:szCs w:val="22"/>
        </w:rPr>
        <w:t xml:space="preserve"> of high needs provision,</w:t>
      </w:r>
      <w:r w:rsidR="00996AAC">
        <w:rPr>
          <w:color w:val="000000" w:themeColor="text1"/>
          <w:sz w:val="22"/>
          <w:szCs w:val="22"/>
        </w:rPr>
        <w:t xml:space="preserve"> rather than to other settings where the funding allocated from Bradford is only a </w:t>
      </w:r>
      <w:r w:rsidR="003F319F">
        <w:rPr>
          <w:color w:val="000000" w:themeColor="text1"/>
          <w:sz w:val="22"/>
          <w:szCs w:val="22"/>
        </w:rPr>
        <w:t>very small part of their</w:t>
      </w:r>
      <w:r w:rsidR="00996AAC">
        <w:rPr>
          <w:color w:val="000000" w:themeColor="text1"/>
          <w:sz w:val="22"/>
          <w:szCs w:val="22"/>
        </w:rPr>
        <w:t xml:space="preserve"> overall resources.</w:t>
      </w:r>
    </w:p>
    <w:p w:rsidR="00840D39" w:rsidRDefault="00840D39" w:rsidP="00840D39">
      <w:pPr>
        <w:pStyle w:val="ListParagraph"/>
        <w:ind w:left="780"/>
        <w:jc w:val="both"/>
        <w:rPr>
          <w:b/>
          <w:color w:val="000000" w:themeColor="text1"/>
          <w:sz w:val="22"/>
          <w:szCs w:val="22"/>
        </w:rPr>
      </w:pPr>
    </w:p>
    <w:p w:rsidR="004E0CD1" w:rsidRPr="00740594" w:rsidRDefault="004E0CD1" w:rsidP="004E0CD1">
      <w:pPr>
        <w:ind w:left="720"/>
        <w:jc w:val="both"/>
        <w:rPr>
          <w:sz w:val="22"/>
          <w:szCs w:val="22"/>
        </w:rPr>
      </w:pPr>
      <w:r>
        <w:rPr>
          <w:sz w:val="22"/>
          <w:szCs w:val="22"/>
        </w:rPr>
        <w:t>The purpose of the mechanism will</w:t>
      </w:r>
      <w:r w:rsidRPr="00740594">
        <w:rPr>
          <w:sz w:val="22"/>
          <w:szCs w:val="22"/>
        </w:rPr>
        <w:t xml:space="preserve"> </w:t>
      </w:r>
      <w:r w:rsidR="00D905D2">
        <w:rPr>
          <w:sz w:val="22"/>
          <w:szCs w:val="22"/>
        </w:rPr>
        <w:t xml:space="preserve">be </w:t>
      </w:r>
      <w:r w:rsidRPr="00740594">
        <w:rPr>
          <w:sz w:val="22"/>
          <w:szCs w:val="22"/>
        </w:rPr>
        <w:t xml:space="preserve">to provide </w:t>
      </w:r>
      <w:r>
        <w:rPr>
          <w:sz w:val="22"/>
          <w:szCs w:val="22"/>
        </w:rPr>
        <w:t xml:space="preserve">additional support </w:t>
      </w:r>
      <w:r w:rsidRPr="00740594">
        <w:rPr>
          <w:sz w:val="22"/>
          <w:szCs w:val="22"/>
        </w:rPr>
        <w:t>in the following circumstances:</w:t>
      </w:r>
    </w:p>
    <w:p w:rsidR="004E0CD1" w:rsidRPr="004E0CD1" w:rsidRDefault="007B5E90" w:rsidP="004E0CD1">
      <w:pPr>
        <w:numPr>
          <w:ilvl w:val="1"/>
          <w:numId w:val="31"/>
        </w:numPr>
        <w:tabs>
          <w:tab w:val="num" w:pos="1080"/>
        </w:tabs>
        <w:jc w:val="both"/>
        <w:rPr>
          <w:sz w:val="22"/>
          <w:szCs w:val="22"/>
        </w:rPr>
      </w:pPr>
      <w:r>
        <w:rPr>
          <w:sz w:val="22"/>
          <w:szCs w:val="22"/>
        </w:rPr>
        <w:t>Following e</w:t>
      </w:r>
      <w:r w:rsidR="004E0CD1" w:rsidRPr="00740594">
        <w:rPr>
          <w:sz w:val="22"/>
          <w:szCs w:val="22"/>
        </w:rPr>
        <w:t>xcep</w:t>
      </w:r>
      <w:r w:rsidR="004E0CD1">
        <w:rPr>
          <w:sz w:val="22"/>
          <w:szCs w:val="22"/>
        </w:rPr>
        <w:t>tional growth in high needs pupil numbers</w:t>
      </w:r>
      <w:r w:rsidR="005F72A2">
        <w:rPr>
          <w:sz w:val="22"/>
          <w:szCs w:val="22"/>
        </w:rPr>
        <w:t>, or changes in levels of need of pupils,</w:t>
      </w:r>
      <w:r w:rsidR="004E0CD1">
        <w:rPr>
          <w:sz w:val="22"/>
          <w:szCs w:val="22"/>
        </w:rPr>
        <w:t xml:space="preserve"> that has resulted in substantial cost pressure</w:t>
      </w:r>
      <w:r w:rsidR="00D905D2">
        <w:rPr>
          <w:sz w:val="22"/>
          <w:szCs w:val="22"/>
        </w:rPr>
        <w:t xml:space="preserve"> that is not met within the normal working of Bradford’s High Needs Funding Model </w:t>
      </w:r>
    </w:p>
    <w:p w:rsidR="004E0CD1" w:rsidRPr="00070DB3" w:rsidRDefault="004E0CD1" w:rsidP="00070DB3">
      <w:pPr>
        <w:numPr>
          <w:ilvl w:val="1"/>
          <w:numId w:val="31"/>
        </w:numPr>
        <w:tabs>
          <w:tab w:val="num" w:pos="1080"/>
        </w:tabs>
        <w:jc w:val="both"/>
        <w:rPr>
          <w:sz w:val="22"/>
          <w:szCs w:val="22"/>
        </w:rPr>
      </w:pPr>
      <w:r w:rsidRPr="00740594">
        <w:rPr>
          <w:sz w:val="22"/>
          <w:szCs w:val="22"/>
        </w:rPr>
        <w:t xml:space="preserve">Where the cost of external HR </w:t>
      </w:r>
      <w:r>
        <w:rPr>
          <w:sz w:val="22"/>
          <w:szCs w:val="22"/>
        </w:rPr>
        <w:t>investigations places the setting</w:t>
      </w:r>
      <w:r w:rsidRPr="00740594">
        <w:rPr>
          <w:sz w:val="22"/>
          <w:szCs w:val="22"/>
        </w:rPr>
        <w:t xml:space="preserve"> in financial difficulty i.e. would reduce the forecasted carry forward balance below £20,000 *</w:t>
      </w:r>
    </w:p>
    <w:p w:rsidR="004E0CD1" w:rsidRPr="00070DB3" w:rsidRDefault="004E0CD1" w:rsidP="00070DB3">
      <w:pPr>
        <w:numPr>
          <w:ilvl w:val="1"/>
          <w:numId w:val="31"/>
        </w:numPr>
        <w:tabs>
          <w:tab w:val="num" w:pos="1080"/>
        </w:tabs>
        <w:jc w:val="both"/>
        <w:rPr>
          <w:sz w:val="22"/>
          <w:szCs w:val="22"/>
        </w:rPr>
      </w:pPr>
      <w:r w:rsidRPr="00740594">
        <w:rPr>
          <w:sz w:val="22"/>
          <w:szCs w:val="22"/>
        </w:rPr>
        <w:t>Priority 1 schools, where additional intervention / support is required as recommended by SIG / SSMG and where the school’s budget cannot meet the costs without placing the school in financial difficulty i.e. would reduce the forecasted carry forward balance below £20,000 *</w:t>
      </w:r>
    </w:p>
    <w:p w:rsidR="004E0CD1" w:rsidRPr="00070DB3" w:rsidRDefault="004E0CD1" w:rsidP="00070DB3">
      <w:pPr>
        <w:numPr>
          <w:ilvl w:val="1"/>
          <w:numId w:val="31"/>
        </w:numPr>
        <w:jc w:val="both"/>
        <w:rPr>
          <w:sz w:val="22"/>
          <w:szCs w:val="22"/>
        </w:rPr>
      </w:pPr>
      <w:r w:rsidRPr="00740594">
        <w:rPr>
          <w:sz w:val="22"/>
          <w:szCs w:val="22"/>
        </w:rPr>
        <w:t>Local Authority Statutory interventions in schools e.g. costs of an IEB</w:t>
      </w:r>
    </w:p>
    <w:p w:rsidR="004E0CD1" w:rsidRPr="00802520" w:rsidRDefault="004E0CD1" w:rsidP="004E0CD1">
      <w:pPr>
        <w:numPr>
          <w:ilvl w:val="1"/>
          <w:numId w:val="31"/>
        </w:numPr>
        <w:tabs>
          <w:tab w:val="num" w:pos="1080"/>
        </w:tabs>
        <w:jc w:val="both"/>
        <w:rPr>
          <w:sz w:val="22"/>
          <w:szCs w:val="22"/>
        </w:rPr>
      </w:pPr>
      <w:r w:rsidRPr="00802520">
        <w:rPr>
          <w:sz w:val="22"/>
          <w:szCs w:val="22"/>
        </w:rPr>
        <w:t>Any other circumstance, where the exceptional nature of this is agreed by the Schools Forum and where to not provide financia</w:t>
      </w:r>
      <w:r w:rsidR="005F72A2">
        <w:rPr>
          <w:sz w:val="22"/>
          <w:szCs w:val="22"/>
        </w:rPr>
        <w:t>l support would place the setting</w:t>
      </w:r>
      <w:r w:rsidRPr="00802520">
        <w:rPr>
          <w:sz w:val="22"/>
          <w:szCs w:val="22"/>
        </w:rPr>
        <w:t xml:space="preserve"> in a financially difficult position that it is likely to have a detr</w:t>
      </w:r>
      <w:r>
        <w:rPr>
          <w:sz w:val="22"/>
          <w:szCs w:val="22"/>
        </w:rPr>
        <w:t>imental impact on</w:t>
      </w:r>
      <w:r w:rsidRPr="00802520">
        <w:rPr>
          <w:sz w:val="22"/>
          <w:szCs w:val="22"/>
        </w:rPr>
        <w:t xml:space="preserve"> </w:t>
      </w:r>
      <w:r w:rsidR="007B5E90">
        <w:rPr>
          <w:sz w:val="22"/>
          <w:szCs w:val="22"/>
        </w:rPr>
        <w:t>the quality of provision</w:t>
      </w:r>
      <w:r w:rsidRPr="00802520">
        <w:rPr>
          <w:sz w:val="22"/>
          <w:szCs w:val="22"/>
        </w:rPr>
        <w:t xml:space="preserve"> *</w:t>
      </w:r>
    </w:p>
    <w:p w:rsidR="004E0CD1" w:rsidRPr="00740594" w:rsidRDefault="004E0CD1" w:rsidP="00635779">
      <w:pPr>
        <w:ind w:left="720"/>
        <w:jc w:val="both"/>
        <w:rPr>
          <w:sz w:val="22"/>
          <w:szCs w:val="22"/>
        </w:rPr>
      </w:pPr>
      <w:r w:rsidRPr="00740594">
        <w:rPr>
          <w:sz w:val="22"/>
          <w:szCs w:val="22"/>
        </w:rPr>
        <w:lastRenderedPageBreak/>
        <w:t>* £20,000 is a reasonable safety net to apply for all schools i.e. a school with £20,000 holds adequate reserve to meet additional unexpected costs</w:t>
      </w:r>
      <w:r w:rsidR="00070DB3">
        <w:rPr>
          <w:sz w:val="22"/>
          <w:szCs w:val="22"/>
        </w:rPr>
        <w:t>.</w:t>
      </w:r>
    </w:p>
    <w:p w:rsidR="004E0CD1" w:rsidRDefault="004E0CD1" w:rsidP="00840D39">
      <w:pPr>
        <w:pStyle w:val="ListParagraph"/>
        <w:ind w:left="780"/>
        <w:jc w:val="both"/>
        <w:rPr>
          <w:b/>
          <w:color w:val="000000" w:themeColor="text1"/>
          <w:sz w:val="22"/>
          <w:szCs w:val="22"/>
        </w:rPr>
      </w:pPr>
    </w:p>
    <w:p w:rsidR="00C2527D" w:rsidRPr="00740594" w:rsidRDefault="00C2527D" w:rsidP="007B5E90">
      <w:pPr>
        <w:ind w:left="357" w:firstLine="363"/>
        <w:jc w:val="both"/>
        <w:rPr>
          <w:sz w:val="22"/>
          <w:szCs w:val="22"/>
        </w:rPr>
      </w:pPr>
      <w:r w:rsidRPr="00740594">
        <w:rPr>
          <w:sz w:val="22"/>
          <w:szCs w:val="22"/>
        </w:rPr>
        <w:t>The proposed criteria for allocating funding</w:t>
      </w:r>
      <w:r>
        <w:rPr>
          <w:sz w:val="22"/>
          <w:szCs w:val="22"/>
        </w:rPr>
        <w:t xml:space="preserve"> </w:t>
      </w:r>
      <w:r w:rsidRPr="00740594">
        <w:rPr>
          <w:sz w:val="22"/>
          <w:szCs w:val="22"/>
        </w:rPr>
        <w:t>are as follows:</w:t>
      </w:r>
    </w:p>
    <w:p w:rsidR="00AC76C8" w:rsidRDefault="00AC76C8" w:rsidP="00281114">
      <w:pPr>
        <w:numPr>
          <w:ilvl w:val="1"/>
          <w:numId w:val="31"/>
        </w:numPr>
        <w:tabs>
          <w:tab w:val="num" w:pos="1080"/>
        </w:tabs>
        <w:jc w:val="both"/>
        <w:rPr>
          <w:sz w:val="22"/>
          <w:szCs w:val="22"/>
        </w:rPr>
      </w:pPr>
      <w:r>
        <w:rPr>
          <w:sz w:val="22"/>
          <w:szCs w:val="22"/>
        </w:rPr>
        <w:t>Whether Bradford is the main funder of the setting i.e. the extent of responsibility that should fall to Bradf</w:t>
      </w:r>
      <w:r w:rsidR="004077D7">
        <w:rPr>
          <w:sz w:val="22"/>
          <w:szCs w:val="22"/>
        </w:rPr>
        <w:t xml:space="preserve">ord’s DSG </w:t>
      </w:r>
    </w:p>
    <w:p w:rsidR="00C2527D" w:rsidRDefault="004077D7" w:rsidP="00281114">
      <w:pPr>
        <w:numPr>
          <w:ilvl w:val="1"/>
          <w:numId w:val="31"/>
        </w:numPr>
        <w:tabs>
          <w:tab w:val="num" w:pos="1080"/>
        </w:tabs>
        <w:jc w:val="both"/>
        <w:rPr>
          <w:sz w:val="22"/>
          <w:szCs w:val="22"/>
        </w:rPr>
      </w:pPr>
      <w:r>
        <w:rPr>
          <w:sz w:val="22"/>
          <w:szCs w:val="22"/>
        </w:rPr>
        <w:t>T</w:t>
      </w:r>
      <w:r w:rsidR="00C2527D" w:rsidRPr="00740594">
        <w:rPr>
          <w:sz w:val="22"/>
          <w:szCs w:val="22"/>
        </w:rPr>
        <w:t xml:space="preserve">he extent of additional </w:t>
      </w:r>
      <w:r w:rsidR="004614D6">
        <w:rPr>
          <w:sz w:val="22"/>
          <w:szCs w:val="22"/>
        </w:rPr>
        <w:t>cost pressure faced by the</w:t>
      </w:r>
      <w:r w:rsidR="00C2527D">
        <w:rPr>
          <w:sz w:val="22"/>
          <w:szCs w:val="22"/>
        </w:rPr>
        <w:t xml:space="preserve"> setting.</w:t>
      </w:r>
      <w:r w:rsidR="00C2527D" w:rsidRPr="00740594">
        <w:rPr>
          <w:sz w:val="22"/>
          <w:szCs w:val="22"/>
        </w:rPr>
        <w:t xml:space="preserve"> This is assessed on the in</w:t>
      </w:r>
      <w:r w:rsidR="00C2527D">
        <w:rPr>
          <w:sz w:val="22"/>
          <w:szCs w:val="22"/>
        </w:rPr>
        <w:t>formation provided by the setting</w:t>
      </w:r>
      <w:r w:rsidR="00C2527D" w:rsidRPr="00740594">
        <w:rPr>
          <w:sz w:val="22"/>
          <w:szCs w:val="22"/>
        </w:rPr>
        <w:t xml:space="preserve"> on what action has been needed to meet the </w:t>
      </w:r>
      <w:r w:rsidR="00C2527D">
        <w:rPr>
          <w:sz w:val="22"/>
          <w:szCs w:val="22"/>
        </w:rPr>
        <w:t>needs of high needs pupils</w:t>
      </w:r>
    </w:p>
    <w:p w:rsidR="004614D6" w:rsidRPr="004614D6" w:rsidRDefault="004614D6" w:rsidP="004614D6">
      <w:pPr>
        <w:numPr>
          <w:ilvl w:val="1"/>
          <w:numId w:val="31"/>
        </w:numPr>
        <w:tabs>
          <w:tab w:val="num" w:pos="1080"/>
        </w:tabs>
        <w:jc w:val="both"/>
        <w:rPr>
          <w:sz w:val="22"/>
          <w:szCs w:val="22"/>
        </w:rPr>
      </w:pPr>
      <w:r>
        <w:rPr>
          <w:sz w:val="22"/>
          <w:szCs w:val="22"/>
        </w:rPr>
        <w:t>The extent to which these circumstances are or have been managed by other settings, without recourse to additional funds i.e. are these circumstances truly exceptional?</w:t>
      </w:r>
    </w:p>
    <w:p w:rsidR="00281114" w:rsidRPr="00740594" w:rsidRDefault="004614D6" w:rsidP="00281114">
      <w:pPr>
        <w:numPr>
          <w:ilvl w:val="1"/>
          <w:numId w:val="31"/>
        </w:numPr>
        <w:tabs>
          <w:tab w:val="num" w:pos="1080"/>
        </w:tabs>
        <w:jc w:val="both"/>
        <w:rPr>
          <w:sz w:val="22"/>
          <w:szCs w:val="22"/>
        </w:rPr>
      </w:pPr>
      <w:r>
        <w:rPr>
          <w:sz w:val="22"/>
          <w:szCs w:val="22"/>
        </w:rPr>
        <w:t>The impact on</w:t>
      </w:r>
      <w:r w:rsidR="00281114">
        <w:rPr>
          <w:sz w:val="22"/>
          <w:szCs w:val="22"/>
        </w:rPr>
        <w:t xml:space="preserve"> the quality of provision should exceptional funding not be allocated</w:t>
      </w:r>
    </w:p>
    <w:p w:rsidR="00C2527D" w:rsidRPr="00740594" w:rsidRDefault="003811E4" w:rsidP="00281114">
      <w:pPr>
        <w:numPr>
          <w:ilvl w:val="1"/>
          <w:numId w:val="31"/>
        </w:numPr>
        <w:tabs>
          <w:tab w:val="num" w:pos="1080"/>
        </w:tabs>
        <w:jc w:val="both"/>
        <w:rPr>
          <w:sz w:val="22"/>
          <w:szCs w:val="22"/>
        </w:rPr>
      </w:pPr>
      <w:r>
        <w:rPr>
          <w:sz w:val="22"/>
          <w:szCs w:val="22"/>
        </w:rPr>
        <w:t>Whether the circumstances</w:t>
      </w:r>
      <w:r w:rsidR="00281114">
        <w:rPr>
          <w:sz w:val="22"/>
          <w:szCs w:val="22"/>
        </w:rPr>
        <w:t xml:space="preserve"> that have arisen have been</w:t>
      </w:r>
      <w:r>
        <w:rPr>
          <w:sz w:val="22"/>
          <w:szCs w:val="22"/>
        </w:rPr>
        <w:t xml:space="preserve"> beyond the control of the setting</w:t>
      </w:r>
    </w:p>
    <w:p w:rsidR="00C2527D" w:rsidRDefault="00281114" w:rsidP="00281114">
      <w:pPr>
        <w:numPr>
          <w:ilvl w:val="1"/>
          <w:numId w:val="31"/>
        </w:numPr>
        <w:tabs>
          <w:tab w:val="num" w:pos="1080"/>
        </w:tabs>
        <w:jc w:val="both"/>
        <w:rPr>
          <w:sz w:val="22"/>
          <w:szCs w:val="22"/>
        </w:rPr>
      </w:pPr>
      <w:r>
        <w:rPr>
          <w:sz w:val="22"/>
          <w:szCs w:val="22"/>
        </w:rPr>
        <w:t xml:space="preserve">The extent to which this is a </w:t>
      </w:r>
      <w:r w:rsidR="00C2527D" w:rsidRPr="00740594">
        <w:rPr>
          <w:sz w:val="22"/>
          <w:szCs w:val="22"/>
        </w:rPr>
        <w:t xml:space="preserve">one off </w:t>
      </w:r>
      <w:r w:rsidR="004614D6">
        <w:rPr>
          <w:sz w:val="22"/>
          <w:szCs w:val="22"/>
        </w:rPr>
        <w:t xml:space="preserve">or </w:t>
      </w:r>
      <w:r w:rsidR="00D2233A">
        <w:rPr>
          <w:sz w:val="22"/>
          <w:szCs w:val="22"/>
        </w:rPr>
        <w:t>on-going</w:t>
      </w:r>
      <w:r w:rsidR="004614D6">
        <w:rPr>
          <w:sz w:val="22"/>
          <w:szCs w:val="22"/>
        </w:rPr>
        <w:t xml:space="preserve"> issue</w:t>
      </w:r>
      <w:r>
        <w:rPr>
          <w:sz w:val="22"/>
          <w:szCs w:val="22"/>
        </w:rPr>
        <w:t xml:space="preserve"> (</w:t>
      </w:r>
      <w:r w:rsidR="004614D6">
        <w:rPr>
          <w:sz w:val="22"/>
          <w:szCs w:val="22"/>
        </w:rPr>
        <w:t xml:space="preserve">and </w:t>
      </w:r>
      <w:r>
        <w:rPr>
          <w:sz w:val="22"/>
          <w:szCs w:val="22"/>
        </w:rPr>
        <w:t>has this circumstance arisen before and if so, how is this</w:t>
      </w:r>
      <w:r w:rsidR="004614D6">
        <w:rPr>
          <w:sz w:val="22"/>
          <w:szCs w:val="22"/>
        </w:rPr>
        <w:t xml:space="preserve"> now</w:t>
      </w:r>
      <w:r>
        <w:rPr>
          <w:sz w:val="22"/>
          <w:szCs w:val="22"/>
        </w:rPr>
        <w:t xml:space="preserve"> different)</w:t>
      </w:r>
    </w:p>
    <w:p w:rsidR="00C2527D" w:rsidRPr="005F779A" w:rsidRDefault="003811E4" w:rsidP="00281114">
      <w:pPr>
        <w:numPr>
          <w:ilvl w:val="1"/>
          <w:numId w:val="31"/>
        </w:numPr>
        <w:tabs>
          <w:tab w:val="num" w:pos="1080"/>
        </w:tabs>
        <w:jc w:val="both"/>
        <w:rPr>
          <w:sz w:val="22"/>
          <w:szCs w:val="22"/>
        </w:rPr>
      </w:pPr>
      <w:r>
        <w:rPr>
          <w:sz w:val="22"/>
          <w:szCs w:val="22"/>
        </w:rPr>
        <w:t>The setting’s</w:t>
      </w:r>
      <w:r w:rsidR="00C2527D" w:rsidRPr="005F779A">
        <w:rPr>
          <w:sz w:val="22"/>
          <w:szCs w:val="22"/>
        </w:rPr>
        <w:t xml:space="preserve"> carry forward balances position</w:t>
      </w:r>
    </w:p>
    <w:p w:rsidR="00C2527D" w:rsidRPr="005F779A" w:rsidRDefault="00281114" w:rsidP="00281114">
      <w:pPr>
        <w:numPr>
          <w:ilvl w:val="1"/>
          <w:numId w:val="31"/>
        </w:numPr>
        <w:tabs>
          <w:tab w:val="num" w:pos="1080"/>
        </w:tabs>
        <w:jc w:val="both"/>
        <w:rPr>
          <w:sz w:val="22"/>
          <w:szCs w:val="22"/>
        </w:rPr>
      </w:pPr>
      <w:r>
        <w:rPr>
          <w:sz w:val="22"/>
          <w:szCs w:val="22"/>
        </w:rPr>
        <w:t>The change in the setting’s</w:t>
      </w:r>
      <w:r w:rsidR="00C2527D" w:rsidRPr="005F779A">
        <w:rPr>
          <w:sz w:val="22"/>
          <w:szCs w:val="22"/>
        </w:rPr>
        <w:t xml:space="preserve"> expenditure shown in the Start Budget vs. Q1 vs. Q2 vs. Q3 monitoring reports</w:t>
      </w:r>
    </w:p>
    <w:p w:rsidR="00C2527D" w:rsidRPr="005F779A" w:rsidRDefault="00C2527D" w:rsidP="00281114">
      <w:pPr>
        <w:numPr>
          <w:ilvl w:val="1"/>
          <w:numId w:val="31"/>
        </w:numPr>
        <w:tabs>
          <w:tab w:val="num" w:pos="1080"/>
        </w:tabs>
        <w:jc w:val="both"/>
        <w:rPr>
          <w:sz w:val="22"/>
          <w:szCs w:val="22"/>
        </w:rPr>
      </w:pPr>
      <w:r w:rsidRPr="005F779A">
        <w:rPr>
          <w:sz w:val="22"/>
          <w:szCs w:val="22"/>
        </w:rPr>
        <w:t>The Priority category of the School (is the school in Priority 1?)</w:t>
      </w:r>
    </w:p>
    <w:p w:rsidR="00C2527D" w:rsidRPr="005F779A" w:rsidRDefault="00C2527D" w:rsidP="00281114">
      <w:pPr>
        <w:numPr>
          <w:ilvl w:val="1"/>
          <w:numId w:val="31"/>
        </w:numPr>
        <w:tabs>
          <w:tab w:val="num" w:pos="1080"/>
        </w:tabs>
        <w:jc w:val="both"/>
        <w:rPr>
          <w:sz w:val="22"/>
          <w:szCs w:val="22"/>
        </w:rPr>
      </w:pPr>
      <w:r w:rsidRPr="005F779A">
        <w:rPr>
          <w:sz w:val="22"/>
          <w:szCs w:val="22"/>
        </w:rPr>
        <w:t>Whether the school has received financial support or funding from elsewhere</w:t>
      </w:r>
    </w:p>
    <w:p w:rsidR="00C2527D" w:rsidRDefault="00C2527D" w:rsidP="00840D39">
      <w:pPr>
        <w:pStyle w:val="ListParagraph"/>
        <w:ind w:left="780"/>
        <w:jc w:val="both"/>
        <w:rPr>
          <w:b/>
          <w:color w:val="000000" w:themeColor="text1"/>
          <w:sz w:val="22"/>
          <w:szCs w:val="22"/>
        </w:rPr>
      </w:pPr>
    </w:p>
    <w:p w:rsidR="00C2527D" w:rsidRPr="00AB2DDA" w:rsidRDefault="004614D6" w:rsidP="00AB2DDA">
      <w:pPr>
        <w:pStyle w:val="ListParagraph"/>
        <w:ind w:left="780"/>
        <w:jc w:val="both"/>
        <w:rPr>
          <w:color w:val="000000" w:themeColor="text1"/>
          <w:sz w:val="22"/>
          <w:szCs w:val="22"/>
        </w:rPr>
      </w:pPr>
      <w:r>
        <w:rPr>
          <w:color w:val="000000" w:themeColor="text1"/>
          <w:sz w:val="22"/>
          <w:szCs w:val="22"/>
        </w:rPr>
        <w:t xml:space="preserve">If agreed, </w:t>
      </w:r>
      <w:r w:rsidR="007B5E90" w:rsidRPr="007B5E90">
        <w:rPr>
          <w:color w:val="000000" w:themeColor="text1"/>
          <w:sz w:val="22"/>
          <w:szCs w:val="22"/>
        </w:rPr>
        <w:t>funding would be allocated on an actual cost pressure basis.</w:t>
      </w:r>
    </w:p>
    <w:p w:rsidR="006D11FA" w:rsidRDefault="006D11FA" w:rsidP="00B23DC4">
      <w:pPr>
        <w:jc w:val="both"/>
        <w:rPr>
          <w:color w:val="FF0000"/>
          <w:sz w:val="22"/>
          <w:szCs w:val="22"/>
        </w:rPr>
      </w:pPr>
    </w:p>
    <w:p w:rsidR="00597DA6" w:rsidRDefault="00597DA6" w:rsidP="00597DA6">
      <w:pPr>
        <w:jc w:val="both"/>
        <w:rPr>
          <w:sz w:val="22"/>
          <w:szCs w:val="22"/>
        </w:rPr>
      </w:pPr>
      <w:r>
        <w:rPr>
          <w:sz w:val="22"/>
          <w:szCs w:val="22"/>
        </w:rPr>
        <w:t xml:space="preserve">7.3 Please note the following additional adjustments to the funding model in 2015/16 that are </w:t>
      </w:r>
      <w:r w:rsidR="00DF4946">
        <w:rPr>
          <w:sz w:val="22"/>
          <w:szCs w:val="22"/>
        </w:rPr>
        <w:t>not subject to consultation</w:t>
      </w:r>
      <w:r>
        <w:rPr>
          <w:sz w:val="22"/>
          <w:szCs w:val="22"/>
        </w:rPr>
        <w:t>:</w:t>
      </w:r>
    </w:p>
    <w:p w:rsidR="00597DA6" w:rsidRDefault="00597DA6" w:rsidP="00597DA6">
      <w:pPr>
        <w:pStyle w:val="ListParagraph"/>
        <w:numPr>
          <w:ilvl w:val="0"/>
          <w:numId w:val="30"/>
        </w:numPr>
        <w:jc w:val="both"/>
        <w:rPr>
          <w:sz w:val="22"/>
          <w:szCs w:val="22"/>
        </w:rPr>
      </w:pPr>
      <w:r>
        <w:rPr>
          <w:sz w:val="22"/>
          <w:szCs w:val="22"/>
        </w:rPr>
        <w:t>T</w:t>
      </w:r>
      <w:r w:rsidRPr="00597DA6">
        <w:rPr>
          <w:sz w:val="22"/>
          <w:szCs w:val="22"/>
        </w:rPr>
        <w:t>he One Off Funding factor, explained in paragraph 4.15, will automatically cease in 2015/16 unless the Schools Forum allocates a further sum to high needs providers from one off monies. This will not be confirmed until February</w:t>
      </w:r>
      <w:r>
        <w:rPr>
          <w:sz w:val="22"/>
          <w:szCs w:val="22"/>
        </w:rPr>
        <w:t xml:space="preserve"> 2015.</w:t>
      </w:r>
    </w:p>
    <w:p w:rsidR="00597DA6" w:rsidRDefault="00597DA6" w:rsidP="00597DA6">
      <w:pPr>
        <w:pStyle w:val="ListParagraph"/>
        <w:numPr>
          <w:ilvl w:val="0"/>
          <w:numId w:val="30"/>
        </w:numPr>
        <w:jc w:val="both"/>
        <w:rPr>
          <w:sz w:val="22"/>
          <w:szCs w:val="22"/>
        </w:rPr>
      </w:pPr>
      <w:r>
        <w:rPr>
          <w:sz w:val="22"/>
          <w:szCs w:val="22"/>
        </w:rPr>
        <w:t>T</w:t>
      </w:r>
      <w:r w:rsidRPr="00597DA6">
        <w:rPr>
          <w:sz w:val="22"/>
          <w:szCs w:val="22"/>
        </w:rPr>
        <w:t>he funding of safeguarded salaries for maintained special schools has now ceased</w:t>
      </w:r>
      <w:r>
        <w:rPr>
          <w:sz w:val="22"/>
          <w:szCs w:val="22"/>
        </w:rPr>
        <w:t xml:space="preserve">. </w:t>
      </w:r>
      <w:r w:rsidRPr="00597DA6">
        <w:rPr>
          <w:sz w:val="22"/>
          <w:szCs w:val="22"/>
        </w:rPr>
        <w:t>2015/16 is the final year of reimbursements of excess travel payments</w:t>
      </w:r>
      <w:r>
        <w:rPr>
          <w:sz w:val="22"/>
          <w:szCs w:val="22"/>
        </w:rPr>
        <w:t>.</w:t>
      </w:r>
    </w:p>
    <w:p w:rsidR="00597DA6" w:rsidRDefault="00597DA6" w:rsidP="00597DA6">
      <w:pPr>
        <w:pStyle w:val="ListParagraph"/>
        <w:numPr>
          <w:ilvl w:val="0"/>
          <w:numId w:val="30"/>
        </w:numPr>
        <w:jc w:val="both"/>
        <w:rPr>
          <w:sz w:val="22"/>
          <w:szCs w:val="22"/>
        </w:rPr>
      </w:pPr>
      <w:r>
        <w:rPr>
          <w:sz w:val="22"/>
          <w:szCs w:val="22"/>
        </w:rPr>
        <w:t>The rates factor for PRUs will now only fund the cost of rates in the current year (the element in the 2014/15 model that reimbursed the PRUs for the costs not funded in 2013/14 will be automatically removed).</w:t>
      </w:r>
      <w:r w:rsidRPr="00597DA6">
        <w:rPr>
          <w:sz w:val="22"/>
          <w:szCs w:val="22"/>
        </w:rPr>
        <w:t xml:space="preserve"> </w:t>
      </w:r>
    </w:p>
    <w:p w:rsidR="00597DA6" w:rsidRPr="00597DA6" w:rsidRDefault="00597DA6" w:rsidP="00597DA6">
      <w:pPr>
        <w:pStyle w:val="ListParagraph"/>
        <w:numPr>
          <w:ilvl w:val="0"/>
          <w:numId w:val="30"/>
        </w:numPr>
        <w:jc w:val="both"/>
        <w:rPr>
          <w:sz w:val="22"/>
          <w:szCs w:val="22"/>
        </w:rPr>
      </w:pPr>
      <w:r>
        <w:rPr>
          <w:sz w:val="22"/>
          <w:szCs w:val="22"/>
        </w:rPr>
        <w:t>The Minimum Funding Guarantee and Cash Budget Protection factors will be re-calculated to protect the position against 2014/15 final full year allocations, once these are known at the end of March 2015.</w:t>
      </w:r>
    </w:p>
    <w:p w:rsidR="00597DA6" w:rsidRDefault="00597DA6" w:rsidP="00B23DC4">
      <w:pPr>
        <w:jc w:val="both"/>
        <w:rPr>
          <w:color w:val="FF0000"/>
          <w:sz w:val="22"/>
          <w:szCs w:val="22"/>
        </w:rPr>
      </w:pPr>
    </w:p>
    <w:p w:rsidR="00597DA6" w:rsidRPr="00B23DC4" w:rsidRDefault="00597DA6" w:rsidP="00B23DC4">
      <w:pPr>
        <w:jc w:val="both"/>
        <w:rPr>
          <w:color w:val="FF0000"/>
          <w:sz w:val="22"/>
          <w:szCs w:val="22"/>
        </w:rPr>
      </w:pPr>
    </w:p>
    <w:p w:rsidR="00B23DC4" w:rsidRPr="00B23DC4" w:rsidRDefault="00B23DC4" w:rsidP="00B23DC4">
      <w:pPr>
        <w:pStyle w:val="ListParagraph"/>
        <w:ind w:left="0"/>
        <w:jc w:val="both"/>
        <w:rPr>
          <w:b/>
          <w:color w:val="0000FF"/>
          <w:sz w:val="22"/>
          <w:szCs w:val="22"/>
        </w:rPr>
      </w:pPr>
      <w:r>
        <w:rPr>
          <w:b/>
          <w:color w:val="0000FF"/>
          <w:sz w:val="22"/>
          <w:szCs w:val="22"/>
        </w:rPr>
        <w:t>Question 3</w:t>
      </w:r>
      <w:r w:rsidRPr="00B23DC4">
        <w:rPr>
          <w:b/>
          <w:color w:val="0000FF"/>
          <w:sz w:val="22"/>
          <w:szCs w:val="22"/>
        </w:rPr>
        <w:t>: Do you agree with the proposal to continue to use the existing Ranges Model (</w:t>
      </w:r>
      <w:r w:rsidR="00956A85">
        <w:rPr>
          <w:b/>
          <w:color w:val="0000FF"/>
          <w:sz w:val="22"/>
          <w:szCs w:val="22"/>
        </w:rPr>
        <w:t xml:space="preserve">as shown in </w:t>
      </w:r>
      <w:r w:rsidRPr="00B23DC4">
        <w:rPr>
          <w:b/>
          <w:color w:val="0000FF"/>
          <w:sz w:val="22"/>
          <w:szCs w:val="22"/>
        </w:rPr>
        <w:t>Appendix 2) to calculate the ‘Plus’ funding element for</w:t>
      </w:r>
      <w:r w:rsidR="00491C34">
        <w:rPr>
          <w:b/>
          <w:color w:val="0000FF"/>
          <w:sz w:val="22"/>
          <w:szCs w:val="22"/>
        </w:rPr>
        <w:t xml:space="preserve"> Early Years to Year 11 placements for the full</w:t>
      </w:r>
      <w:r w:rsidRPr="00B23DC4">
        <w:rPr>
          <w:b/>
          <w:color w:val="0000FF"/>
          <w:sz w:val="22"/>
          <w:szCs w:val="22"/>
        </w:rPr>
        <w:t xml:space="preserve"> 2015/16</w:t>
      </w:r>
      <w:r w:rsidR="00491C34">
        <w:rPr>
          <w:b/>
          <w:color w:val="0000FF"/>
          <w:sz w:val="22"/>
          <w:szCs w:val="22"/>
        </w:rPr>
        <w:t xml:space="preserve"> financial year</w:t>
      </w:r>
      <w:r w:rsidR="00150C94">
        <w:rPr>
          <w:b/>
          <w:color w:val="0000FF"/>
          <w:sz w:val="22"/>
          <w:szCs w:val="22"/>
        </w:rPr>
        <w:t xml:space="preserve"> and for post-16 placements up to August 2015</w:t>
      </w:r>
      <w:r w:rsidRPr="00B23DC4">
        <w:rPr>
          <w:b/>
          <w:color w:val="0000FF"/>
          <w:sz w:val="22"/>
          <w:szCs w:val="22"/>
        </w:rPr>
        <w:t xml:space="preserve">? If not, please </w:t>
      </w:r>
      <w:r>
        <w:rPr>
          <w:b/>
          <w:color w:val="0000FF"/>
          <w:sz w:val="22"/>
          <w:szCs w:val="22"/>
        </w:rPr>
        <w:t>explain why not</w:t>
      </w:r>
      <w:r w:rsidRPr="00B23DC4">
        <w:rPr>
          <w:b/>
          <w:color w:val="0000FF"/>
          <w:sz w:val="22"/>
          <w:szCs w:val="22"/>
        </w:rPr>
        <w:t>.</w:t>
      </w:r>
    </w:p>
    <w:p w:rsidR="008A0C9E" w:rsidRPr="00653F61" w:rsidRDefault="008A0C9E" w:rsidP="00653F61">
      <w:pPr>
        <w:ind w:left="360"/>
        <w:jc w:val="both"/>
        <w:rPr>
          <w:color w:val="FF0000"/>
          <w:sz w:val="22"/>
          <w:szCs w:val="22"/>
        </w:rPr>
      </w:pPr>
    </w:p>
    <w:p w:rsidR="0003085F" w:rsidRDefault="00B23DC4" w:rsidP="00995C1E">
      <w:pPr>
        <w:jc w:val="both"/>
        <w:rPr>
          <w:b/>
          <w:color w:val="0000FF"/>
          <w:sz w:val="22"/>
          <w:szCs w:val="22"/>
        </w:rPr>
      </w:pPr>
      <w:r w:rsidRPr="00B23DC4">
        <w:rPr>
          <w:b/>
          <w:color w:val="0000FF"/>
          <w:sz w:val="22"/>
          <w:szCs w:val="22"/>
        </w:rPr>
        <w:t xml:space="preserve">Question 4: </w:t>
      </w:r>
      <w:r w:rsidR="00956A85">
        <w:rPr>
          <w:b/>
          <w:color w:val="0000FF"/>
          <w:sz w:val="22"/>
          <w:szCs w:val="22"/>
        </w:rPr>
        <w:t>Do you agree with the incremental changes to the existing funding model for 2015/16, as outlined in paragraph</w:t>
      </w:r>
      <w:r w:rsidR="00112A82">
        <w:rPr>
          <w:b/>
          <w:color w:val="0000FF"/>
          <w:sz w:val="22"/>
          <w:szCs w:val="22"/>
        </w:rPr>
        <w:t xml:space="preserve"> 7.</w:t>
      </w:r>
      <w:r w:rsidR="00597DA6">
        <w:rPr>
          <w:b/>
          <w:color w:val="0000FF"/>
          <w:sz w:val="22"/>
          <w:szCs w:val="22"/>
        </w:rPr>
        <w:t>2</w:t>
      </w:r>
      <w:r w:rsidR="00956A85">
        <w:rPr>
          <w:b/>
          <w:color w:val="0000FF"/>
          <w:sz w:val="22"/>
          <w:szCs w:val="22"/>
        </w:rPr>
        <w:t xml:space="preserve"> above? If not, please outline which changes you do not agree with and the reasons why you do not agree.</w:t>
      </w:r>
    </w:p>
    <w:p w:rsidR="001E6175" w:rsidRDefault="001E6175" w:rsidP="00995C1E">
      <w:pPr>
        <w:jc w:val="both"/>
        <w:rPr>
          <w:b/>
          <w:color w:val="0000FF"/>
          <w:sz w:val="22"/>
          <w:szCs w:val="22"/>
        </w:rPr>
      </w:pPr>
    </w:p>
    <w:p w:rsidR="001E6175" w:rsidRDefault="001E6175" w:rsidP="00995C1E">
      <w:pPr>
        <w:jc w:val="both"/>
        <w:rPr>
          <w:b/>
          <w:color w:val="0000FF"/>
          <w:sz w:val="22"/>
          <w:szCs w:val="22"/>
        </w:rPr>
      </w:pPr>
      <w:r>
        <w:rPr>
          <w:b/>
          <w:color w:val="0000FF"/>
          <w:sz w:val="22"/>
          <w:szCs w:val="22"/>
        </w:rPr>
        <w:t xml:space="preserve">Question 5: Would you support an increase in the value of the SEN Funding Floor for primary schools and academies in 2015/16, subject to this being affordable? </w:t>
      </w:r>
      <w:r w:rsidRPr="00B23DC4">
        <w:rPr>
          <w:b/>
          <w:color w:val="0000FF"/>
          <w:sz w:val="22"/>
          <w:szCs w:val="22"/>
        </w:rPr>
        <w:t xml:space="preserve">If not, please </w:t>
      </w:r>
      <w:r>
        <w:rPr>
          <w:b/>
          <w:color w:val="0000FF"/>
          <w:sz w:val="22"/>
          <w:szCs w:val="22"/>
        </w:rPr>
        <w:t>explain why not</w:t>
      </w:r>
      <w:r w:rsidRPr="00B23DC4">
        <w:rPr>
          <w:b/>
          <w:color w:val="0000FF"/>
          <w:sz w:val="22"/>
          <w:szCs w:val="22"/>
        </w:rPr>
        <w:t>.</w:t>
      </w:r>
    </w:p>
    <w:p w:rsidR="00956A85" w:rsidRDefault="00956A85" w:rsidP="00995C1E">
      <w:pPr>
        <w:jc w:val="both"/>
        <w:rPr>
          <w:b/>
          <w:color w:val="0000FF"/>
          <w:sz w:val="22"/>
          <w:szCs w:val="22"/>
        </w:rPr>
      </w:pPr>
    </w:p>
    <w:p w:rsidR="00956A85" w:rsidRDefault="001E6175" w:rsidP="00995C1E">
      <w:pPr>
        <w:jc w:val="both"/>
        <w:rPr>
          <w:b/>
          <w:color w:val="0000FF"/>
          <w:sz w:val="22"/>
          <w:szCs w:val="22"/>
        </w:rPr>
      </w:pPr>
      <w:r>
        <w:rPr>
          <w:b/>
          <w:color w:val="0000FF"/>
          <w:sz w:val="22"/>
          <w:szCs w:val="22"/>
        </w:rPr>
        <w:t>Question 6</w:t>
      </w:r>
      <w:r w:rsidR="00956A85">
        <w:rPr>
          <w:b/>
          <w:color w:val="0000FF"/>
          <w:sz w:val="22"/>
          <w:szCs w:val="22"/>
        </w:rPr>
        <w:t>: Are there any further changes that you would wish to see made to the funding model in 2015/16? Please give details.</w:t>
      </w:r>
    </w:p>
    <w:p w:rsidR="00956A85" w:rsidRDefault="00956A85" w:rsidP="00995C1E">
      <w:pPr>
        <w:jc w:val="both"/>
        <w:rPr>
          <w:b/>
          <w:color w:val="0000FF"/>
          <w:sz w:val="22"/>
          <w:szCs w:val="22"/>
        </w:rPr>
      </w:pPr>
    </w:p>
    <w:p w:rsidR="00956A85" w:rsidRPr="00B23DC4" w:rsidRDefault="001E6175" w:rsidP="00995C1E">
      <w:pPr>
        <w:jc w:val="both"/>
        <w:rPr>
          <w:b/>
          <w:color w:val="0000FF"/>
          <w:sz w:val="22"/>
          <w:szCs w:val="22"/>
        </w:rPr>
      </w:pPr>
      <w:r>
        <w:rPr>
          <w:b/>
          <w:color w:val="0000FF"/>
          <w:sz w:val="22"/>
          <w:szCs w:val="22"/>
        </w:rPr>
        <w:t>Question 7</w:t>
      </w:r>
      <w:r w:rsidR="00956A85">
        <w:rPr>
          <w:b/>
          <w:color w:val="0000FF"/>
          <w:sz w:val="22"/>
          <w:szCs w:val="22"/>
        </w:rPr>
        <w:t>: Is there anything that you would like the review of the funding of Post 16 provision to include or do you have any specific comments about this review? Please give details.</w:t>
      </w:r>
    </w:p>
    <w:p w:rsidR="006F6CB6" w:rsidRDefault="006F6CB6" w:rsidP="0095349F">
      <w:pPr>
        <w:jc w:val="both"/>
        <w:rPr>
          <w:b/>
          <w:color w:val="FF0000"/>
          <w:sz w:val="22"/>
          <w:szCs w:val="22"/>
        </w:rPr>
      </w:pPr>
    </w:p>
    <w:p w:rsidR="006F6CB6" w:rsidRPr="007D4220" w:rsidRDefault="00956A85" w:rsidP="006F6CB6">
      <w:pPr>
        <w:jc w:val="both"/>
        <w:rPr>
          <w:b/>
          <w:color w:val="0000FF"/>
          <w:sz w:val="22"/>
          <w:szCs w:val="22"/>
        </w:rPr>
      </w:pPr>
      <w:r>
        <w:rPr>
          <w:b/>
          <w:color w:val="0000FF"/>
          <w:sz w:val="22"/>
          <w:szCs w:val="22"/>
        </w:rPr>
        <w:t xml:space="preserve">Question </w:t>
      </w:r>
      <w:r w:rsidR="001E6175">
        <w:rPr>
          <w:b/>
          <w:color w:val="0000FF"/>
          <w:sz w:val="22"/>
          <w:szCs w:val="22"/>
        </w:rPr>
        <w:t>8</w:t>
      </w:r>
      <w:r w:rsidR="006F6CB6">
        <w:rPr>
          <w:b/>
          <w:color w:val="0000FF"/>
          <w:sz w:val="22"/>
          <w:szCs w:val="22"/>
        </w:rPr>
        <w:t xml:space="preserve"> – Do you have any other </w:t>
      </w:r>
      <w:r>
        <w:rPr>
          <w:b/>
          <w:color w:val="0000FF"/>
          <w:sz w:val="22"/>
          <w:szCs w:val="22"/>
        </w:rPr>
        <w:t xml:space="preserve">comments on the funding model </w:t>
      </w:r>
      <w:r w:rsidR="006F6CB6">
        <w:rPr>
          <w:b/>
          <w:color w:val="0000FF"/>
          <w:sz w:val="22"/>
          <w:szCs w:val="22"/>
        </w:rPr>
        <w:t>that you have not recorded elsewhere?</w:t>
      </w:r>
    </w:p>
    <w:p w:rsidR="00BC08BB" w:rsidRDefault="00BC08BB" w:rsidP="005B4991">
      <w:pPr>
        <w:jc w:val="both"/>
        <w:rPr>
          <w:sz w:val="22"/>
          <w:szCs w:val="22"/>
        </w:rPr>
      </w:pPr>
    </w:p>
    <w:p w:rsidR="00147860" w:rsidRDefault="00147860" w:rsidP="005B4991">
      <w:pPr>
        <w:jc w:val="both"/>
        <w:rPr>
          <w:sz w:val="22"/>
          <w:szCs w:val="22"/>
        </w:rPr>
      </w:pPr>
    </w:p>
    <w:p w:rsidR="00A14E96" w:rsidRPr="00A14E96" w:rsidRDefault="00FF2C92" w:rsidP="005B4991">
      <w:pPr>
        <w:jc w:val="both"/>
        <w:rPr>
          <w:b/>
          <w:color w:val="FF0000"/>
          <w:sz w:val="22"/>
          <w:szCs w:val="22"/>
        </w:rPr>
      </w:pPr>
      <w:r w:rsidRPr="00BA14BC">
        <w:rPr>
          <w:b/>
          <w:sz w:val="22"/>
          <w:szCs w:val="22"/>
        </w:rPr>
        <w:lastRenderedPageBreak/>
        <w:t>8</w:t>
      </w:r>
      <w:r w:rsidR="00A14E96" w:rsidRPr="00BA14BC">
        <w:rPr>
          <w:b/>
          <w:sz w:val="22"/>
          <w:szCs w:val="22"/>
        </w:rPr>
        <w:t>.</w:t>
      </w:r>
      <w:r w:rsidR="00A14E96" w:rsidRPr="00BA14BC">
        <w:rPr>
          <w:b/>
          <w:sz w:val="22"/>
          <w:szCs w:val="22"/>
        </w:rPr>
        <w:tab/>
        <w:t>Surplus Balances Protocol</w:t>
      </w:r>
      <w:r w:rsidR="00BA14BC" w:rsidRPr="00BA14BC">
        <w:rPr>
          <w:b/>
          <w:sz w:val="22"/>
          <w:szCs w:val="22"/>
        </w:rPr>
        <w:t xml:space="preserve"> for Maintained High Needs Providers</w:t>
      </w:r>
    </w:p>
    <w:p w:rsidR="00A14E96" w:rsidRDefault="00A14E96" w:rsidP="005B4991">
      <w:pPr>
        <w:jc w:val="both"/>
        <w:rPr>
          <w:sz w:val="22"/>
          <w:szCs w:val="22"/>
        </w:rPr>
      </w:pPr>
    </w:p>
    <w:p w:rsidR="00BA14BC" w:rsidRDefault="00D2286C" w:rsidP="00BA14BC">
      <w:pPr>
        <w:jc w:val="both"/>
        <w:rPr>
          <w:sz w:val="22"/>
          <w:szCs w:val="22"/>
        </w:rPr>
      </w:pPr>
      <w:r>
        <w:rPr>
          <w:sz w:val="22"/>
          <w:szCs w:val="22"/>
        </w:rPr>
        <w:t xml:space="preserve">8.1 </w:t>
      </w:r>
      <w:r w:rsidR="00BA14BC">
        <w:rPr>
          <w:sz w:val="22"/>
          <w:szCs w:val="22"/>
        </w:rPr>
        <w:t>The Authority, with the agreement of the Schools Forum, implemented a new Surplus Balances Protocol for maintained schools at 31 March 2014. Maintained stand-alone high needs providers (Special schools and PRUs) are permitted to carry forward revenue balances up to 6% of funding or £60,000 (whichever is larger) before being required to assign balances to specific restricted schemes.</w:t>
      </w:r>
    </w:p>
    <w:p w:rsidR="00BA14BC" w:rsidRDefault="00BA14BC" w:rsidP="00BA14BC">
      <w:pPr>
        <w:jc w:val="both"/>
        <w:rPr>
          <w:sz w:val="22"/>
          <w:szCs w:val="22"/>
        </w:rPr>
      </w:pPr>
    </w:p>
    <w:p w:rsidR="00BA14BC" w:rsidRPr="00BA14BC" w:rsidRDefault="00BA14BC" w:rsidP="00BA14BC">
      <w:pPr>
        <w:jc w:val="both"/>
        <w:rPr>
          <w:sz w:val="22"/>
          <w:szCs w:val="22"/>
        </w:rPr>
      </w:pPr>
      <w:r>
        <w:rPr>
          <w:sz w:val="22"/>
          <w:szCs w:val="22"/>
        </w:rPr>
        <w:t xml:space="preserve">8.2 </w:t>
      </w:r>
      <w:r w:rsidR="00DB47DA">
        <w:rPr>
          <w:sz w:val="22"/>
          <w:szCs w:val="22"/>
        </w:rPr>
        <w:t>H</w:t>
      </w:r>
      <w:r>
        <w:rPr>
          <w:sz w:val="22"/>
          <w:szCs w:val="22"/>
        </w:rPr>
        <w:t>igh needs providers</w:t>
      </w:r>
      <w:r w:rsidR="00DB47DA">
        <w:rPr>
          <w:sz w:val="22"/>
          <w:szCs w:val="22"/>
        </w:rPr>
        <w:t xml:space="preserve"> have</w:t>
      </w:r>
      <w:r>
        <w:rPr>
          <w:sz w:val="22"/>
          <w:szCs w:val="22"/>
        </w:rPr>
        <w:t xml:space="preserve"> </w:t>
      </w:r>
      <w:r w:rsidR="00DB47DA">
        <w:rPr>
          <w:sz w:val="22"/>
          <w:szCs w:val="22"/>
        </w:rPr>
        <w:t>asked</w:t>
      </w:r>
      <w:r>
        <w:rPr>
          <w:sz w:val="22"/>
          <w:szCs w:val="22"/>
        </w:rPr>
        <w:t xml:space="preserve"> the Authority to consider re-shaping the restrictions of the Protocol to help </w:t>
      </w:r>
      <w:r w:rsidR="00DB47DA">
        <w:rPr>
          <w:sz w:val="22"/>
          <w:szCs w:val="22"/>
        </w:rPr>
        <w:t>them</w:t>
      </w:r>
      <w:r>
        <w:rPr>
          <w:sz w:val="22"/>
          <w:szCs w:val="22"/>
        </w:rPr>
        <w:t xml:space="preserve"> manage more effectively the</w:t>
      </w:r>
      <w:r w:rsidRPr="00BA14BC">
        <w:rPr>
          <w:sz w:val="22"/>
          <w:szCs w:val="22"/>
        </w:rPr>
        <w:t xml:space="preserve"> add</w:t>
      </w:r>
      <w:r>
        <w:rPr>
          <w:sz w:val="22"/>
          <w:szCs w:val="22"/>
        </w:rPr>
        <w:t xml:space="preserve">itional difficulties brought about by </w:t>
      </w:r>
      <w:r w:rsidRPr="00BA14BC">
        <w:rPr>
          <w:sz w:val="22"/>
          <w:szCs w:val="22"/>
        </w:rPr>
        <w:t>the mo</w:t>
      </w:r>
      <w:r>
        <w:rPr>
          <w:sz w:val="22"/>
          <w:szCs w:val="22"/>
        </w:rPr>
        <w:t>nthly redetermination of funding</w:t>
      </w:r>
      <w:r w:rsidR="00DB47DA">
        <w:rPr>
          <w:sz w:val="22"/>
          <w:szCs w:val="22"/>
        </w:rPr>
        <w:t xml:space="preserve">, </w:t>
      </w:r>
      <w:r w:rsidRPr="00BA14BC">
        <w:rPr>
          <w:sz w:val="22"/>
          <w:szCs w:val="22"/>
        </w:rPr>
        <w:t>in support of protecting against the impact</w:t>
      </w:r>
      <w:r w:rsidR="00DB47DA">
        <w:rPr>
          <w:sz w:val="22"/>
          <w:szCs w:val="22"/>
        </w:rPr>
        <w:t xml:space="preserve"> on standards</w:t>
      </w:r>
      <w:r w:rsidRPr="00BA14BC">
        <w:rPr>
          <w:sz w:val="22"/>
          <w:szCs w:val="22"/>
        </w:rPr>
        <w:t xml:space="preserve"> of sudden losses in funding</w:t>
      </w:r>
      <w:r w:rsidR="00DB47DA">
        <w:rPr>
          <w:sz w:val="22"/>
          <w:szCs w:val="22"/>
        </w:rPr>
        <w:t xml:space="preserve"> or having to make regular significant adjustments to staffing complements</w:t>
      </w:r>
      <w:r w:rsidRPr="00BA14BC">
        <w:rPr>
          <w:sz w:val="22"/>
          <w:szCs w:val="22"/>
        </w:rPr>
        <w:t xml:space="preserve">. </w:t>
      </w:r>
      <w:r w:rsidR="00DB47DA">
        <w:rPr>
          <w:sz w:val="22"/>
          <w:szCs w:val="22"/>
        </w:rPr>
        <w:t>In response, i</w:t>
      </w:r>
      <w:r w:rsidRPr="00BA14BC">
        <w:rPr>
          <w:sz w:val="22"/>
          <w:szCs w:val="22"/>
        </w:rPr>
        <w:t>t is proposed that the Surplus Bala</w:t>
      </w:r>
      <w:r>
        <w:rPr>
          <w:sz w:val="22"/>
          <w:szCs w:val="22"/>
        </w:rPr>
        <w:t>nces Protocol is amended slightly</w:t>
      </w:r>
      <w:r w:rsidR="00DB47DA">
        <w:rPr>
          <w:sz w:val="22"/>
          <w:szCs w:val="22"/>
        </w:rPr>
        <w:t xml:space="preserve"> for 31 March 2015</w:t>
      </w:r>
      <w:r>
        <w:rPr>
          <w:sz w:val="22"/>
          <w:szCs w:val="22"/>
        </w:rPr>
        <w:t xml:space="preserve"> to allow stand-</w:t>
      </w:r>
      <w:r w:rsidRPr="00BA14BC">
        <w:rPr>
          <w:sz w:val="22"/>
          <w:szCs w:val="22"/>
        </w:rPr>
        <w:t>alone high needs providers (Special schools and the PRUs) to hold:</w:t>
      </w:r>
    </w:p>
    <w:p w:rsidR="00BA14BC" w:rsidRPr="00BA14BC" w:rsidRDefault="00BA14BC" w:rsidP="00BA14BC">
      <w:pPr>
        <w:widowControl w:val="0"/>
        <w:jc w:val="both"/>
        <w:rPr>
          <w:sz w:val="22"/>
          <w:szCs w:val="22"/>
        </w:rPr>
      </w:pPr>
    </w:p>
    <w:p w:rsidR="00BA14BC" w:rsidRPr="00BA14BC" w:rsidRDefault="00BA14BC" w:rsidP="00BA14BC">
      <w:pPr>
        <w:widowControl w:val="0"/>
        <w:jc w:val="both"/>
        <w:rPr>
          <w:sz w:val="22"/>
          <w:szCs w:val="22"/>
        </w:rPr>
      </w:pPr>
      <w:r w:rsidRPr="00BA14BC">
        <w:rPr>
          <w:sz w:val="22"/>
          <w:szCs w:val="22"/>
        </w:rPr>
        <w:t xml:space="preserve">The larger of </w:t>
      </w:r>
    </w:p>
    <w:p w:rsidR="00BA14BC" w:rsidRPr="00BA14BC" w:rsidRDefault="00BA14BC" w:rsidP="00BA14BC">
      <w:pPr>
        <w:widowControl w:val="0"/>
        <w:jc w:val="both"/>
        <w:rPr>
          <w:sz w:val="22"/>
          <w:szCs w:val="22"/>
        </w:rPr>
      </w:pPr>
    </w:p>
    <w:p w:rsidR="00BA14BC" w:rsidRPr="00BA14BC" w:rsidRDefault="00BA14BC" w:rsidP="00BA14BC">
      <w:pPr>
        <w:widowControl w:val="0"/>
        <w:jc w:val="both"/>
        <w:rPr>
          <w:sz w:val="22"/>
          <w:szCs w:val="22"/>
        </w:rPr>
      </w:pPr>
      <w:r w:rsidRPr="00BA14BC">
        <w:rPr>
          <w:sz w:val="22"/>
          <w:szCs w:val="22"/>
        </w:rPr>
        <w:t>£60,000 or 6% of funding (as per the normal existing calculation)</w:t>
      </w:r>
    </w:p>
    <w:p w:rsidR="00BA14BC" w:rsidRPr="00BA14BC" w:rsidRDefault="00BA14BC" w:rsidP="00BA14BC">
      <w:pPr>
        <w:widowControl w:val="0"/>
        <w:jc w:val="both"/>
        <w:rPr>
          <w:sz w:val="22"/>
          <w:szCs w:val="22"/>
        </w:rPr>
      </w:pPr>
    </w:p>
    <w:p w:rsidR="00BA14BC" w:rsidRPr="00BA14BC" w:rsidRDefault="00BA14BC" w:rsidP="00BA14BC">
      <w:pPr>
        <w:widowControl w:val="0"/>
        <w:jc w:val="both"/>
        <w:rPr>
          <w:sz w:val="22"/>
          <w:szCs w:val="22"/>
        </w:rPr>
      </w:pPr>
      <w:r w:rsidRPr="00BA14BC">
        <w:rPr>
          <w:sz w:val="22"/>
          <w:szCs w:val="22"/>
        </w:rPr>
        <w:t>OR</w:t>
      </w:r>
    </w:p>
    <w:p w:rsidR="00BA14BC" w:rsidRPr="00BA14BC" w:rsidRDefault="00BA14BC" w:rsidP="00BA14BC">
      <w:pPr>
        <w:widowControl w:val="0"/>
        <w:jc w:val="both"/>
        <w:rPr>
          <w:sz w:val="22"/>
          <w:szCs w:val="22"/>
        </w:rPr>
      </w:pPr>
    </w:p>
    <w:p w:rsidR="00BA14BC" w:rsidRPr="00BA14BC" w:rsidRDefault="00BA14BC" w:rsidP="00BA14BC">
      <w:pPr>
        <w:widowControl w:val="0"/>
        <w:jc w:val="both"/>
        <w:rPr>
          <w:sz w:val="22"/>
          <w:szCs w:val="22"/>
        </w:rPr>
      </w:pPr>
      <w:r w:rsidRPr="00BA14BC">
        <w:rPr>
          <w:sz w:val="22"/>
          <w:szCs w:val="22"/>
        </w:rPr>
        <w:t>85% (i.e. the staffing cost) of 1 month’s average payment + £20,000 minimum reserve.</w:t>
      </w:r>
    </w:p>
    <w:p w:rsidR="00BA14BC" w:rsidRPr="00BA14BC" w:rsidRDefault="00BA14BC" w:rsidP="00BA14BC">
      <w:pPr>
        <w:widowControl w:val="0"/>
        <w:jc w:val="both"/>
        <w:rPr>
          <w:sz w:val="22"/>
          <w:szCs w:val="22"/>
        </w:rPr>
      </w:pPr>
    </w:p>
    <w:p w:rsidR="00D2286C" w:rsidRDefault="00DB47DA" w:rsidP="005B4991">
      <w:pPr>
        <w:jc w:val="both"/>
        <w:rPr>
          <w:sz w:val="22"/>
          <w:szCs w:val="22"/>
        </w:rPr>
      </w:pPr>
      <w:r>
        <w:rPr>
          <w:sz w:val="22"/>
          <w:szCs w:val="22"/>
        </w:rPr>
        <w:t>Following feedback from this consultation, this proposal will be presented to the Council’s Executive for final decision.</w:t>
      </w:r>
    </w:p>
    <w:p w:rsidR="006F6CB6" w:rsidRDefault="006F6CB6" w:rsidP="005B4991">
      <w:pPr>
        <w:jc w:val="both"/>
        <w:rPr>
          <w:sz w:val="22"/>
          <w:szCs w:val="22"/>
        </w:rPr>
      </w:pPr>
    </w:p>
    <w:p w:rsidR="006F6CB6" w:rsidRPr="00E2497B" w:rsidRDefault="006F6CB6" w:rsidP="005B4991">
      <w:pPr>
        <w:jc w:val="both"/>
        <w:rPr>
          <w:b/>
          <w:color w:val="0000FF"/>
          <w:sz w:val="22"/>
          <w:szCs w:val="22"/>
        </w:rPr>
      </w:pPr>
      <w:r w:rsidRPr="00E2497B">
        <w:rPr>
          <w:b/>
          <w:color w:val="0000FF"/>
          <w:sz w:val="22"/>
          <w:szCs w:val="22"/>
        </w:rPr>
        <w:t xml:space="preserve">Question 9: </w:t>
      </w:r>
      <w:r w:rsidR="00E2497B" w:rsidRPr="00E2497B">
        <w:rPr>
          <w:b/>
          <w:color w:val="0000FF"/>
          <w:sz w:val="22"/>
          <w:szCs w:val="22"/>
        </w:rPr>
        <w:t>Do you a</w:t>
      </w:r>
      <w:r w:rsidRPr="00E2497B">
        <w:rPr>
          <w:b/>
          <w:color w:val="0000FF"/>
          <w:sz w:val="22"/>
          <w:szCs w:val="22"/>
        </w:rPr>
        <w:t>gree</w:t>
      </w:r>
      <w:r w:rsidR="00E2497B" w:rsidRPr="00E2497B">
        <w:rPr>
          <w:b/>
          <w:color w:val="0000FF"/>
          <w:sz w:val="22"/>
          <w:szCs w:val="22"/>
        </w:rPr>
        <w:t xml:space="preserve"> </w:t>
      </w:r>
      <w:r w:rsidR="00DB47DA">
        <w:rPr>
          <w:b/>
          <w:color w:val="0000FF"/>
          <w:sz w:val="22"/>
          <w:szCs w:val="22"/>
        </w:rPr>
        <w:t xml:space="preserve">with proposed amendment to the </w:t>
      </w:r>
      <w:r w:rsidR="00E2497B" w:rsidRPr="00E2497B">
        <w:rPr>
          <w:b/>
          <w:color w:val="0000FF"/>
          <w:sz w:val="22"/>
          <w:szCs w:val="22"/>
        </w:rPr>
        <w:t>Surplus Balances Protocol</w:t>
      </w:r>
      <w:r w:rsidR="00DB47DA">
        <w:rPr>
          <w:b/>
          <w:color w:val="0000FF"/>
          <w:sz w:val="22"/>
          <w:szCs w:val="22"/>
        </w:rPr>
        <w:t xml:space="preserve"> for maintained stand-alone high needs providers</w:t>
      </w:r>
      <w:r w:rsidRPr="00E2497B">
        <w:rPr>
          <w:b/>
          <w:color w:val="0000FF"/>
          <w:sz w:val="22"/>
          <w:szCs w:val="22"/>
        </w:rPr>
        <w:t>?</w:t>
      </w:r>
      <w:r w:rsidR="00E2497B" w:rsidRPr="00E2497B">
        <w:rPr>
          <w:b/>
          <w:color w:val="0000FF"/>
          <w:sz w:val="22"/>
          <w:szCs w:val="22"/>
        </w:rPr>
        <w:t xml:space="preserve"> If not, please explain why not.</w:t>
      </w:r>
    </w:p>
    <w:p w:rsidR="006F6CB6" w:rsidRDefault="006F6CB6" w:rsidP="005B4991">
      <w:pPr>
        <w:jc w:val="both"/>
        <w:rPr>
          <w:sz w:val="22"/>
          <w:szCs w:val="22"/>
        </w:rPr>
      </w:pPr>
    </w:p>
    <w:p w:rsidR="00A14E96" w:rsidRDefault="00A14E96" w:rsidP="005B4991">
      <w:pPr>
        <w:jc w:val="both"/>
        <w:rPr>
          <w:sz w:val="22"/>
          <w:szCs w:val="22"/>
        </w:rPr>
      </w:pPr>
    </w:p>
    <w:p w:rsidR="00DF156D" w:rsidRDefault="00FF2C92" w:rsidP="00DF156D">
      <w:pPr>
        <w:jc w:val="both"/>
        <w:rPr>
          <w:b/>
          <w:sz w:val="22"/>
          <w:szCs w:val="22"/>
        </w:rPr>
      </w:pPr>
      <w:r>
        <w:rPr>
          <w:b/>
          <w:sz w:val="22"/>
          <w:szCs w:val="22"/>
        </w:rPr>
        <w:t>9</w:t>
      </w:r>
      <w:r w:rsidR="00DF156D">
        <w:rPr>
          <w:b/>
          <w:sz w:val="22"/>
          <w:szCs w:val="22"/>
        </w:rPr>
        <w:t>.</w:t>
      </w:r>
      <w:r w:rsidR="00DF156D">
        <w:rPr>
          <w:b/>
          <w:sz w:val="22"/>
          <w:szCs w:val="22"/>
        </w:rPr>
        <w:tab/>
        <w:t>Consultation Responses</w:t>
      </w:r>
    </w:p>
    <w:p w:rsidR="00DF156D" w:rsidRDefault="00DF156D" w:rsidP="00DF156D">
      <w:pPr>
        <w:jc w:val="both"/>
        <w:rPr>
          <w:b/>
          <w:sz w:val="22"/>
          <w:szCs w:val="22"/>
        </w:rPr>
      </w:pPr>
    </w:p>
    <w:p w:rsidR="00DF156D" w:rsidRPr="00B5305F" w:rsidRDefault="00FF2C92" w:rsidP="00DF156D">
      <w:pPr>
        <w:jc w:val="both"/>
        <w:rPr>
          <w:sz w:val="22"/>
          <w:szCs w:val="22"/>
        </w:rPr>
      </w:pPr>
      <w:r>
        <w:rPr>
          <w:sz w:val="22"/>
          <w:szCs w:val="22"/>
        </w:rPr>
        <w:t>9</w:t>
      </w:r>
      <w:r w:rsidR="00DF156D" w:rsidRPr="00B5305F">
        <w:rPr>
          <w:sz w:val="22"/>
          <w:szCs w:val="22"/>
        </w:rPr>
        <w:t>.1</w:t>
      </w:r>
      <w:r w:rsidR="00DF156D">
        <w:rPr>
          <w:sz w:val="22"/>
          <w:szCs w:val="22"/>
        </w:rPr>
        <w:t xml:space="preserve"> Please use the </w:t>
      </w:r>
      <w:r w:rsidR="00DF156D" w:rsidRPr="00C9420D">
        <w:rPr>
          <w:sz w:val="22"/>
          <w:szCs w:val="22"/>
        </w:rPr>
        <w:t xml:space="preserve">responses form Appendix </w:t>
      </w:r>
      <w:r w:rsidR="00341F5F">
        <w:rPr>
          <w:sz w:val="22"/>
          <w:szCs w:val="22"/>
        </w:rPr>
        <w:t>3</w:t>
      </w:r>
      <w:r w:rsidR="00DF156D" w:rsidRPr="00C9420D">
        <w:rPr>
          <w:sz w:val="22"/>
          <w:szCs w:val="22"/>
        </w:rPr>
        <w:t xml:space="preserve"> </w:t>
      </w:r>
      <w:r w:rsidR="00DF156D" w:rsidRPr="00D10526">
        <w:rPr>
          <w:color w:val="000000"/>
          <w:sz w:val="22"/>
          <w:szCs w:val="22"/>
        </w:rPr>
        <w:t>to submit</w:t>
      </w:r>
      <w:r w:rsidR="00DF156D">
        <w:rPr>
          <w:sz w:val="22"/>
          <w:szCs w:val="22"/>
        </w:rPr>
        <w:t xml:space="preserve"> your views on </w:t>
      </w:r>
      <w:r w:rsidR="003373DF">
        <w:rPr>
          <w:sz w:val="22"/>
          <w:szCs w:val="22"/>
        </w:rPr>
        <w:t>the proposals outlined in the co</w:t>
      </w:r>
      <w:r w:rsidR="00DF156D">
        <w:rPr>
          <w:sz w:val="22"/>
          <w:szCs w:val="22"/>
        </w:rPr>
        <w:t xml:space="preserve">nsultation. There is space in this form for you to comment on any aspect of the proposals. If you wish to discuss these proposals in more detail, or have any specific </w:t>
      </w:r>
      <w:r w:rsidR="00341F5F">
        <w:rPr>
          <w:sz w:val="22"/>
          <w:szCs w:val="22"/>
        </w:rPr>
        <w:t xml:space="preserve">questions, please contact Andrew Redding </w:t>
      </w:r>
      <w:r w:rsidR="00DF156D">
        <w:rPr>
          <w:sz w:val="22"/>
          <w:szCs w:val="22"/>
        </w:rPr>
        <w:t>using the contact details shown in paragraph 1.</w:t>
      </w:r>
      <w:r w:rsidR="00AA0283">
        <w:rPr>
          <w:sz w:val="22"/>
          <w:szCs w:val="22"/>
        </w:rPr>
        <w:t xml:space="preserve"> </w:t>
      </w:r>
      <w:r w:rsidR="00DF156D">
        <w:rPr>
          <w:sz w:val="22"/>
          <w:szCs w:val="22"/>
        </w:rPr>
        <w:t xml:space="preserve">Please ensure that your response is submitted by the deadline </w:t>
      </w:r>
      <w:r w:rsidR="00DF156D" w:rsidRPr="00100D16">
        <w:rPr>
          <w:sz w:val="22"/>
          <w:szCs w:val="22"/>
        </w:rPr>
        <w:t xml:space="preserve">of </w:t>
      </w:r>
      <w:r w:rsidR="00341F5F">
        <w:rPr>
          <w:b/>
          <w:sz w:val="22"/>
          <w:szCs w:val="22"/>
        </w:rPr>
        <w:t>Monday 1</w:t>
      </w:r>
      <w:r w:rsidR="00AA0283" w:rsidRPr="00AA0283">
        <w:rPr>
          <w:b/>
          <w:sz w:val="22"/>
          <w:szCs w:val="22"/>
        </w:rPr>
        <w:t xml:space="preserve"> December</w:t>
      </w:r>
      <w:r w:rsidR="00100D16" w:rsidRPr="00AA0283">
        <w:rPr>
          <w:b/>
          <w:sz w:val="22"/>
          <w:szCs w:val="22"/>
        </w:rPr>
        <w:t xml:space="preserve"> 201</w:t>
      </w:r>
      <w:r w:rsidR="00341F5F">
        <w:rPr>
          <w:b/>
          <w:sz w:val="22"/>
          <w:szCs w:val="22"/>
        </w:rPr>
        <w:t>4</w:t>
      </w:r>
      <w:r w:rsidR="00100D16">
        <w:rPr>
          <w:sz w:val="22"/>
          <w:szCs w:val="22"/>
        </w:rPr>
        <w:t>.</w:t>
      </w:r>
    </w:p>
    <w:p w:rsidR="00DF156D" w:rsidRDefault="00DF156D" w:rsidP="00DF156D">
      <w:pPr>
        <w:jc w:val="both"/>
        <w:rPr>
          <w:b/>
          <w:sz w:val="22"/>
          <w:szCs w:val="22"/>
        </w:rPr>
      </w:pPr>
    </w:p>
    <w:p w:rsidR="00CE743D" w:rsidRDefault="00CE743D" w:rsidP="00DF156D">
      <w:pPr>
        <w:jc w:val="both"/>
        <w:rPr>
          <w:b/>
          <w:sz w:val="22"/>
          <w:szCs w:val="22"/>
        </w:rPr>
      </w:pPr>
    </w:p>
    <w:p w:rsidR="00DF156D" w:rsidRDefault="00FF2C92" w:rsidP="00DF156D">
      <w:pPr>
        <w:jc w:val="both"/>
        <w:rPr>
          <w:b/>
          <w:sz w:val="22"/>
          <w:szCs w:val="22"/>
        </w:rPr>
      </w:pPr>
      <w:r>
        <w:rPr>
          <w:b/>
          <w:sz w:val="22"/>
          <w:szCs w:val="22"/>
        </w:rPr>
        <w:t>10</w:t>
      </w:r>
      <w:r w:rsidR="00DF156D">
        <w:rPr>
          <w:b/>
          <w:sz w:val="22"/>
          <w:szCs w:val="22"/>
        </w:rPr>
        <w:t>.</w:t>
      </w:r>
      <w:r w:rsidR="00DF156D">
        <w:rPr>
          <w:b/>
          <w:sz w:val="22"/>
          <w:szCs w:val="22"/>
        </w:rPr>
        <w:tab/>
        <w:t>Next Steps</w:t>
      </w:r>
    </w:p>
    <w:p w:rsidR="00CE2A53" w:rsidRDefault="00CE2A53" w:rsidP="005B4991">
      <w:pPr>
        <w:jc w:val="both"/>
        <w:rPr>
          <w:b/>
          <w:sz w:val="22"/>
          <w:szCs w:val="22"/>
        </w:rPr>
      </w:pPr>
    </w:p>
    <w:p w:rsidR="00831DC5" w:rsidRDefault="00FF2C92" w:rsidP="005B4991">
      <w:pPr>
        <w:jc w:val="both"/>
        <w:rPr>
          <w:sz w:val="22"/>
          <w:szCs w:val="22"/>
        </w:rPr>
      </w:pPr>
      <w:r>
        <w:rPr>
          <w:sz w:val="22"/>
          <w:szCs w:val="22"/>
        </w:rPr>
        <w:t>10</w:t>
      </w:r>
      <w:r w:rsidR="00831DC5">
        <w:rPr>
          <w:sz w:val="22"/>
          <w:szCs w:val="22"/>
        </w:rPr>
        <w:t>.1 The Schools Forum will make final recommendations on the approach to the funding of h</w:t>
      </w:r>
      <w:r w:rsidR="0015118D">
        <w:rPr>
          <w:sz w:val="22"/>
          <w:szCs w:val="22"/>
        </w:rPr>
        <w:t>igh needs provision for the 2015/16</w:t>
      </w:r>
      <w:r w:rsidR="00831DC5">
        <w:rPr>
          <w:sz w:val="22"/>
          <w:szCs w:val="22"/>
        </w:rPr>
        <w:t xml:space="preserve"> financial year</w:t>
      </w:r>
      <w:r w:rsidR="0015118D">
        <w:rPr>
          <w:sz w:val="22"/>
          <w:szCs w:val="22"/>
        </w:rPr>
        <w:t xml:space="preserve"> on 7 January 2015</w:t>
      </w:r>
      <w:r w:rsidR="00831DC5">
        <w:rPr>
          <w:sz w:val="22"/>
          <w:szCs w:val="22"/>
        </w:rPr>
        <w:t>. Thes</w:t>
      </w:r>
      <w:r w:rsidR="00AA0283">
        <w:rPr>
          <w:sz w:val="22"/>
          <w:szCs w:val="22"/>
        </w:rPr>
        <w:t>e recommendations will be made</w:t>
      </w:r>
      <w:r w:rsidR="00831DC5">
        <w:rPr>
          <w:sz w:val="22"/>
          <w:szCs w:val="22"/>
        </w:rPr>
        <w:t xml:space="preserve"> following consideration of the responses receive to this consultation and once the value of DSG funding all</w:t>
      </w:r>
      <w:r w:rsidR="0015118D">
        <w:rPr>
          <w:sz w:val="22"/>
          <w:szCs w:val="22"/>
        </w:rPr>
        <w:t xml:space="preserve">ocated to the Authority for 2015/16 </w:t>
      </w:r>
      <w:r w:rsidR="00831DC5">
        <w:rPr>
          <w:sz w:val="22"/>
          <w:szCs w:val="22"/>
        </w:rPr>
        <w:t>has been confirmed.</w:t>
      </w:r>
    </w:p>
    <w:p w:rsidR="00831DC5" w:rsidRDefault="00831DC5" w:rsidP="005B4991">
      <w:pPr>
        <w:jc w:val="both"/>
        <w:rPr>
          <w:sz w:val="22"/>
          <w:szCs w:val="22"/>
        </w:rPr>
      </w:pPr>
    </w:p>
    <w:p w:rsidR="00831DC5" w:rsidRDefault="00FF2C92" w:rsidP="005B4991">
      <w:pPr>
        <w:jc w:val="both"/>
        <w:rPr>
          <w:sz w:val="22"/>
          <w:szCs w:val="22"/>
        </w:rPr>
      </w:pPr>
      <w:r>
        <w:rPr>
          <w:sz w:val="22"/>
          <w:szCs w:val="22"/>
        </w:rPr>
        <w:t>10</w:t>
      </w:r>
      <w:r w:rsidR="00831DC5">
        <w:rPr>
          <w:sz w:val="22"/>
          <w:szCs w:val="22"/>
        </w:rPr>
        <w:t>.2 Subject to the agreement of the Council’s Executive Committee, the recommended a</w:t>
      </w:r>
      <w:r w:rsidR="00AA0283">
        <w:rPr>
          <w:sz w:val="22"/>
          <w:szCs w:val="22"/>
        </w:rPr>
        <w:t>pproach will be used to</w:t>
      </w:r>
      <w:r w:rsidR="00831DC5">
        <w:rPr>
          <w:sz w:val="22"/>
          <w:szCs w:val="22"/>
        </w:rPr>
        <w:t xml:space="preserve"> al</w:t>
      </w:r>
      <w:r w:rsidR="00AA0283">
        <w:rPr>
          <w:sz w:val="22"/>
          <w:szCs w:val="22"/>
        </w:rPr>
        <w:t xml:space="preserve">locate DSG funding from 1 </w:t>
      </w:r>
      <w:r w:rsidR="0015118D">
        <w:rPr>
          <w:sz w:val="22"/>
          <w:szCs w:val="22"/>
        </w:rPr>
        <w:t>April 2015</w:t>
      </w:r>
      <w:r w:rsidR="00831DC5">
        <w:rPr>
          <w:sz w:val="22"/>
          <w:szCs w:val="22"/>
        </w:rPr>
        <w:t>.</w:t>
      </w:r>
    </w:p>
    <w:p w:rsidR="00AA0283" w:rsidRDefault="00AA0283" w:rsidP="005B4991">
      <w:pPr>
        <w:jc w:val="both"/>
        <w:rPr>
          <w:sz w:val="22"/>
          <w:szCs w:val="22"/>
        </w:rPr>
      </w:pPr>
    </w:p>
    <w:p w:rsidR="00AA0283" w:rsidRPr="00831DC5" w:rsidRDefault="00FF2C92" w:rsidP="005B4991">
      <w:pPr>
        <w:jc w:val="both"/>
        <w:rPr>
          <w:sz w:val="22"/>
          <w:szCs w:val="22"/>
        </w:rPr>
      </w:pPr>
      <w:r>
        <w:rPr>
          <w:sz w:val="22"/>
          <w:szCs w:val="22"/>
        </w:rPr>
        <w:t>10</w:t>
      </w:r>
      <w:r w:rsidR="0015118D">
        <w:rPr>
          <w:sz w:val="22"/>
          <w:szCs w:val="22"/>
        </w:rPr>
        <w:t>.3 We are</w:t>
      </w:r>
      <w:r w:rsidR="00AA0283">
        <w:rPr>
          <w:sz w:val="22"/>
          <w:szCs w:val="22"/>
        </w:rPr>
        <w:t xml:space="preserve"> awaiting further information from the </w:t>
      </w:r>
      <w:proofErr w:type="spellStart"/>
      <w:r w:rsidR="00AA0283">
        <w:rPr>
          <w:sz w:val="22"/>
          <w:szCs w:val="22"/>
        </w:rPr>
        <w:t>DfE</w:t>
      </w:r>
      <w:proofErr w:type="spellEnd"/>
      <w:r w:rsidR="00AA0283">
        <w:rPr>
          <w:sz w:val="22"/>
          <w:szCs w:val="22"/>
        </w:rPr>
        <w:t xml:space="preserve"> on </w:t>
      </w:r>
      <w:r w:rsidR="0015118D">
        <w:rPr>
          <w:sz w:val="22"/>
          <w:szCs w:val="22"/>
        </w:rPr>
        <w:t>the root and branch review of high needs funding arrangements and on the further development / timetable for implementation of national funding formulae for early years and primary and secondary provisions</w:t>
      </w:r>
      <w:r w:rsidR="00913FCB">
        <w:rPr>
          <w:sz w:val="22"/>
          <w:szCs w:val="22"/>
        </w:rPr>
        <w:t>. These changes are very likely to</w:t>
      </w:r>
      <w:r w:rsidR="0015118D">
        <w:rPr>
          <w:sz w:val="22"/>
          <w:szCs w:val="22"/>
        </w:rPr>
        <w:t xml:space="preserve"> directly affect</w:t>
      </w:r>
      <w:r w:rsidR="00AA0283">
        <w:rPr>
          <w:sz w:val="22"/>
          <w:szCs w:val="22"/>
        </w:rPr>
        <w:t xml:space="preserve"> the funding of</w:t>
      </w:r>
      <w:r w:rsidR="00BD2E00">
        <w:rPr>
          <w:sz w:val="22"/>
          <w:szCs w:val="22"/>
        </w:rPr>
        <w:t xml:space="preserve"> high needs provision and</w:t>
      </w:r>
      <w:r w:rsidR="00AA0283">
        <w:rPr>
          <w:sz w:val="22"/>
          <w:szCs w:val="22"/>
        </w:rPr>
        <w:t xml:space="preserve"> the quantum of the High Needs Block within the DSG</w:t>
      </w:r>
      <w:r w:rsidR="0015118D">
        <w:rPr>
          <w:sz w:val="22"/>
          <w:szCs w:val="22"/>
        </w:rPr>
        <w:t xml:space="preserve"> in future years</w:t>
      </w:r>
      <w:r w:rsidR="00AA0283">
        <w:rPr>
          <w:sz w:val="22"/>
          <w:szCs w:val="22"/>
        </w:rPr>
        <w:t xml:space="preserve">. </w:t>
      </w:r>
      <w:r w:rsidR="00913FCB">
        <w:rPr>
          <w:sz w:val="22"/>
          <w:szCs w:val="22"/>
        </w:rPr>
        <w:t xml:space="preserve">A clear next </w:t>
      </w:r>
      <w:r w:rsidR="00190528">
        <w:rPr>
          <w:sz w:val="22"/>
          <w:szCs w:val="22"/>
        </w:rPr>
        <w:t xml:space="preserve">step therefore, </w:t>
      </w:r>
      <w:r w:rsidR="00913FCB">
        <w:rPr>
          <w:sz w:val="22"/>
          <w:szCs w:val="22"/>
        </w:rPr>
        <w:t>is to work t</w:t>
      </w:r>
      <w:r w:rsidR="00374FD5">
        <w:rPr>
          <w:sz w:val="22"/>
          <w:szCs w:val="22"/>
        </w:rPr>
        <w:t>hrough the implications</w:t>
      </w:r>
      <w:r w:rsidR="0015118D">
        <w:rPr>
          <w:sz w:val="22"/>
          <w:szCs w:val="22"/>
        </w:rPr>
        <w:t xml:space="preserve"> </w:t>
      </w:r>
      <w:r w:rsidR="00913FCB">
        <w:rPr>
          <w:sz w:val="22"/>
          <w:szCs w:val="22"/>
        </w:rPr>
        <w:t>and to develop</w:t>
      </w:r>
      <w:r w:rsidR="00374FD5">
        <w:rPr>
          <w:sz w:val="22"/>
          <w:szCs w:val="22"/>
        </w:rPr>
        <w:t xml:space="preserve"> our</w:t>
      </w:r>
      <w:r w:rsidR="00913FCB">
        <w:rPr>
          <w:sz w:val="22"/>
          <w:szCs w:val="22"/>
        </w:rPr>
        <w:t xml:space="preserve"> responses</w:t>
      </w:r>
      <w:r w:rsidR="00190528">
        <w:rPr>
          <w:sz w:val="22"/>
          <w:szCs w:val="22"/>
        </w:rPr>
        <w:t xml:space="preserve"> during 2015</w:t>
      </w:r>
      <w:r w:rsidR="0015118D">
        <w:rPr>
          <w:sz w:val="22"/>
          <w:szCs w:val="22"/>
        </w:rPr>
        <w:t xml:space="preserve"> as an</w:t>
      </w:r>
      <w:r w:rsidR="00190528">
        <w:rPr>
          <w:sz w:val="22"/>
          <w:szCs w:val="22"/>
        </w:rPr>
        <w:t>nouncements are made</w:t>
      </w:r>
      <w:r w:rsidR="00913FCB">
        <w:rPr>
          <w:sz w:val="22"/>
          <w:szCs w:val="22"/>
        </w:rPr>
        <w:t>.</w:t>
      </w:r>
    </w:p>
    <w:p w:rsidR="003F6609" w:rsidRDefault="003F6609" w:rsidP="005B4991">
      <w:pPr>
        <w:jc w:val="both"/>
        <w:rPr>
          <w:b/>
          <w:sz w:val="22"/>
          <w:szCs w:val="22"/>
        </w:rPr>
      </w:pPr>
    </w:p>
    <w:p w:rsidR="005B4991" w:rsidRDefault="00FF2C92" w:rsidP="005B4991">
      <w:pPr>
        <w:jc w:val="both"/>
        <w:rPr>
          <w:b/>
          <w:sz w:val="22"/>
          <w:szCs w:val="22"/>
        </w:rPr>
      </w:pPr>
      <w:r>
        <w:rPr>
          <w:b/>
          <w:sz w:val="22"/>
          <w:szCs w:val="22"/>
        </w:rPr>
        <w:t>11</w:t>
      </w:r>
      <w:r w:rsidR="005B4991">
        <w:rPr>
          <w:b/>
          <w:sz w:val="22"/>
          <w:szCs w:val="22"/>
        </w:rPr>
        <w:t>.</w:t>
      </w:r>
      <w:r w:rsidR="005B4991">
        <w:rPr>
          <w:b/>
          <w:sz w:val="22"/>
          <w:szCs w:val="22"/>
        </w:rPr>
        <w:tab/>
        <w:t>Appendices</w:t>
      </w:r>
    </w:p>
    <w:p w:rsidR="00CE2A53" w:rsidRDefault="00CE2A53" w:rsidP="007545BE">
      <w:pPr>
        <w:jc w:val="both"/>
        <w:rPr>
          <w:sz w:val="22"/>
          <w:szCs w:val="22"/>
        </w:rPr>
      </w:pPr>
    </w:p>
    <w:p w:rsidR="00E85379" w:rsidRDefault="00E85379" w:rsidP="007545BE">
      <w:pPr>
        <w:jc w:val="both"/>
        <w:rPr>
          <w:sz w:val="22"/>
          <w:szCs w:val="22"/>
        </w:rPr>
      </w:pPr>
      <w:r>
        <w:rPr>
          <w:sz w:val="22"/>
          <w:szCs w:val="22"/>
        </w:rPr>
        <w:t xml:space="preserve">Appendix </w:t>
      </w:r>
      <w:r w:rsidR="0015118D">
        <w:rPr>
          <w:sz w:val="22"/>
          <w:szCs w:val="22"/>
        </w:rPr>
        <w:t>1</w:t>
      </w:r>
      <w:r w:rsidR="0015118D">
        <w:rPr>
          <w:sz w:val="22"/>
          <w:szCs w:val="22"/>
        </w:rPr>
        <w:tab/>
        <w:t>The DSG Reviews Matrix 2014</w:t>
      </w:r>
    </w:p>
    <w:p w:rsidR="0028208E" w:rsidRDefault="00E85379" w:rsidP="007545BE">
      <w:pPr>
        <w:jc w:val="both"/>
        <w:rPr>
          <w:sz w:val="22"/>
          <w:szCs w:val="22"/>
        </w:rPr>
      </w:pPr>
      <w:bookmarkStart w:id="0" w:name="_GoBack"/>
      <w:bookmarkEnd w:id="0"/>
      <w:r>
        <w:rPr>
          <w:sz w:val="22"/>
          <w:szCs w:val="22"/>
        </w:rPr>
        <w:t>Appendix 2</w:t>
      </w:r>
      <w:r w:rsidR="0028208E">
        <w:rPr>
          <w:sz w:val="22"/>
          <w:szCs w:val="22"/>
        </w:rPr>
        <w:tab/>
        <w:t xml:space="preserve">The </w:t>
      </w:r>
      <w:r w:rsidR="0024639E">
        <w:rPr>
          <w:sz w:val="22"/>
          <w:szCs w:val="22"/>
        </w:rPr>
        <w:t>7 Ranges Model</w:t>
      </w:r>
    </w:p>
    <w:p w:rsidR="0014609D" w:rsidRDefault="00D241B1" w:rsidP="0014609D">
      <w:pPr>
        <w:jc w:val="both"/>
        <w:rPr>
          <w:sz w:val="22"/>
          <w:szCs w:val="22"/>
        </w:rPr>
      </w:pPr>
      <w:r>
        <w:rPr>
          <w:sz w:val="22"/>
          <w:szCs w:val="22"/>
        </w:rPr>
        <w:t>Append</w:t>
      </w:r>
      <w:r w:rsidR="00E85379">
        <w:rPr>
          <w:sz w:val="22"/>
          <w:szCs w:val="22"/>
        </w:rPr>
        <w:t>ix 3</w:t>
      </w:r>
      <w:r w:rsidR="005900E7">
        <w:rPr>
          <w:sz w:val="22"/>
          <w:szCs w:val="22"/>
        </w:rPr>
        <w:tab/>
        <w:t>Consultation Responses Form</w:t>
      </w: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sectPr w:rsidR="006348B4" w:rsidSect="00ED7708">
          <w:footerReference w:type="even" r:id="rId11"/>
          <w:footerReference w:type="default" r:id="rId12"/>
          <w:pgSz w:w="11906" w:h="16838"/>
          <w:pgMar w:top="624" w:right="624" w:bottom="624" w:left="624" w:header="709" w:footer="709" w:gutter="0"/>
          <w:cols w:space="708"/>
          <w:docGrid w:linePitch="360"/>
        </w:sectPr>
      </w:pPr>
    </w:p>
    <w:tbl>
      <w:tblPr>
        <w:tblW w:w="14584" w:type="dxa"/>
        <w:tblInd w:w="93" w:type="dxa"/>
        <w:tblLook w:val="0000" w:firstRow="0" w:lastRow="0" w:firstColumn="0" w:lastColumn="0" w:noHBand="0" w:noVBand="0"/>
      </w:tblPr>
      <w:tblGrid>
        <w:gridCol w:w="2620"/>
        <w:gridCol w:w="960"/>
        <w:gridCol w:w="960"/>
        <w:gridCol w:w="960"/>
        <w:gridCol w:w="1660"/>
        <w:gridCol w:w="1380"/>
        <w:gridCol w:w="1700"/>
        <w:gridCol w:w="1240"/>
        <w:gridCol w:w="1020"/>
        <w:gridCol w:w="960"/>
        <w:gridCol w:w="1310"/>
      </w:tblGrid>
      <w:tr w:rsidR="006348B4" w:rsidRPr="006348B4">
        <w:trPr>
          <w:trHeight w:val="315"/>
        </w:trPr>
        <w:tc>
          <w:tcPr>
            <w:tcW w:w="2620" w:type="dxa"/>
            <w:tcBorders>
              <w:top w:val="nil"/>
              <w:left w:val="nil"/>
              <w:bottom w:val="nil"/>
              <w:right w:val="nil"/>
            </w:tcBorders>
            <w:shd w:val="clear" w:color="auto" w:fill="auto"/>
            <w:noWrap/>
            <w:vAlign w:val="bottom"/>
          </w:tcPr>
          <w:p w:rsidR="006348B4" w:rsidRPr="006348B4" w:rsidRDefault="006348B4" w:rsidP="006348B4">
            <w:pPr>
              <w:rPr>
                <w:rFonts w:cs="Arial"/>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6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38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70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24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02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124" w:type="dxa"/>
            <w:tcBorders>
              <w:top w:val="nil"/>
              <w:left w:val="nil"/>
              <w:bottom w:val="nil"/>
              <w:right w:val="nil"/>
            </w:tcBorders>
            <w:shd w:val="clear" w:color="auto" w:fill="auto"/>
            <w:noWrap/>
            <w:vAlign w:val="bottom"/>
          </w:tcPr>
          <w:p w:rsidR="006348B4" w:rsidRPr="006348B4" w:rsidRDefault="006348B4" w:rsidP="006348B4">
            <w:pPr>
              <w:jc w:val="right"/>
              <w:rPr>
                <w:rFonts w:cs="Arial"/>
                <w:b/>
                <w:bCs/>
                <w:sz w:val="24"/>
                <w:szCs w:val="24"/>
              </w:rPr>
            </w:pPr>
            <w:r w:rsidRPr="006348B4">
              <w:rPr>
                <w:rFonts w:cs="Arial"/>
                <w:b/>
                <w:bCs/>
                <w:sz w:val="24"/>
                <w:szCs w:val="24"/>
              </w:rPr>
              <w:t xml:space="preserve">Appendix </w:t>
            </w:r>
            <w:r w:rsidR="00BD51AF">
              <w:rPr>
                <w:rFonts w:cs="Arial"/>
                <w:b/>
                <w:bCs/>
                <w:sz w:val="24"/>
                <w:szCs w:val="24"/>
              </w:rPr>
              <w:t>2</w:t>
            </w:r>
          </w:p>
        </w:tc>
      </w:tr>
      <w:tr w:rsidR="006348B4" w:rsidRPr="006348B4">
        <w:trPr>
          <w:trHeight w:val="255"/>
        </w:trPr>
        <w:tc>
          <w:tcPr>
            <w:tcW w:w="2620" w:type="dxa"/>
            <w:tcBorders>
              <w:top w:val="nil"/>
              <w:left w:val="nil"/>
              <w:bottom w:val="nil"/>
              <w:right w:val="nil"/>
            </w:tcBorders>
            <w:shd w:val="clear" w:color="auto" w:fill="auto"/>
            <w:noWrap/>
            <w:vAlign w:val="bottom"/>
          </w:tcPr>
          <w:p w:rsidR="006348B4" w:rsidRPr="006348B4" w:rsidRDefault="006348B4" w:rsidP="006348B4">
            <w:pPr>
              <w:rPr>
                <w:rFonts w:cs="Arial"/>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6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38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70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24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02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124"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r>
      <w:tr w:rsidR="006348B4" w:rsidRPr="006348B4">
        <w:trPr>
          <w:trHeight w:val="300"/>
        </w:trPr>
        <w:tc>
          <w:tcPr>
            <w:tcW w:w="2620" w:type="dxa"/>
            <w:tcBorders>
              <w:top w:val="nil"/>
              <w:left w:val="nil"/>
              <w:bottom w:val="nil"/>
              <w:right w:val="nil"/>
            </w:tcBorders>
            <w:shd w:val="clear" w:color="auto" w:fill="auto"/>
            <w:noWrap/>
            <w:vAlign w:val="bottom"/>
          </w:tcPr>
          <w:p w:rsidR="006348B4" w:rsidRPr="006348B4" w:rsidRDefault="006348B4" w:rsidP="006348B4">
            <w:pPr>
              <w:rPr>
                <w:rFonts w:cs="Arial"/>
                <w:b/>
                <w:bCs/>
              </w:rPr>
            </w:pPr>
          </w:p>
        </w:tc>
        <w:tc>
          <w:tcPr>
            <w:tcW w:w="11964" w:type="dxa"/>
            <w:gridSpan w:val="10"/>
            <w:tcBorders>
              <w:top w:val="nil"/>
              <w:left w:val="nil"/>
              <w:bottom w:val="nil"/>
              <w:right w:val="nil"/>
            </w:tcBorders>
            <w:shd w:val="clear" w:color="auto" w:fill="auto"/>
            <w:noWrap/>
            <w:vAlign w:val="bottom"/>
          </w:tcPr>
          <w:p w:rsidR="006348B4" w:rsidRPr="006348B4" w:rsidRDefault="001D6F80" w:rsidP="006348B4">
            <w:pPr>
              <w:jc w:val="center"/>
              <w:rPr>
                <w:rFonts w:cs="Arial"/>
                <w:b/>
                <w:bCs/>
                <w:sz w:val="22"/>
                <w:szCs w:val="22"/>
              </w:rPr>
            </w:pPr>
            <w:r>
              <w:rPr>
                <w:rFonts w:cs="Arial"/>
                <w:b/>
                <w:bCs/>
                <w:sz w:val="22"/>
                <w:szCs w:val="22"/>
              </w:rPr>
              <w:t xml:space="preserve">HIGH NEEDS PROVISION: </w:t>
            </w:r>
            <w:r w:rsidR="006348B4" w:rsidRPr="006348B4">
              <w:rPr>
                <w:rFonts w:cs="Arial"/>
                <w:b/>
                <w:bCs/>
                <w:sz w:val="22"/>
                <w:szCs w:val="22"/>
              </w:rPr>
              <w:t xml:space="preserve">FUNDING </w:t>
            </w:r>
            <w:r w:rsidR="00141F78">
              <w:rPr>
                <w:rFonts w:cs="Arial"/>
                <w:b/>
                <w:bCs/>
                <w:sz w:val="22"/>
                <w:szCs w:val="22"/>
              </w:rPr>
              <w:t>CATEGORIES, BANDS &amp; AMOUNTS 2014</w:t>
            </w:r>
            <w:r w:rsidR="006348B4" w:rsidRPr="006348B4">
              <w:rPr>
                <w:rFonts w:cs="Arial"/>
                <w:b/>
                <w:bCs/>
                <w:sz w:val="22"/>
                <w:szCs w:val="22"/>
              </w:rPr>
              <w:t>/1</w:t>
            </w:r>
            <w:r w:rsidR="00141F78">
              <w:rPr>
                <w:rFonts w:cs="Arial"/>
                <w:b/>
                <w:bCs/>
                <w:sz w:val="22"/>
                <w:szCs w:val="22"/>
              </w:rPr>
              <w:t>5 *</w:t>
            </w:r>
          </w:p>
        </w:tc>
      </w:tr>
      <w:tr w:rsidR="006348B4" w:rsidRPr="006348B4">
        <w:trPr>
          <w:trHeight w:val="315"/>
        </w:trPr>
        <w:tc>
          <w:tcPr>
            <w:tcW w:w="2620" w:type="dxa"/>
            <w:tcBorders>
              <w:top w:val="nil"/>
              <w:left w:val="nil"/>
              <w:bottom w:val="nil"/>
              <w:right w:val="nil"/>
            </w:tcBorders>
            <w:shd w:val="clear" w:color="auto" w:fill="auto"/>
            <w:noWrap/>
            <w:vAlign w:val="bottom"/>
          </w:tcPr>
          <w:p w:rsidR="006348B4" w:rsidRPr="006348B4" w:rsidRDefault="006348B4" w:rsidP="006348B4">
            <w:pPr>
              <w:rPr>
                <w:rFonts w:cs="Arial"/>
                <w:b/>
                <w:bCs/>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b/>
                <w:bCs/>
                <w:sz w:val="22"/>
                <w:szCs w:val="22"/>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b/>
                <w:bCs/>
                <w:sz w:val="22"/>
                <w:szCs w:val="22"/>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b/>
                <w:bCs/>
                <w:sz w:val="22"/>
                <w:szCs w:val="22"/>
              </w:rPr>
            </w:pPr>
          </w:p>
        </w:tc>
        <w:tc>
          <w:tcPr>
            <w:tcW w:w="1660" w:type="dxa"/>
            <w:tcBorders>
              <w:top w:val="nil"/>
              <w:left w:val="nil"/>
              <w:bottom w:val="nil"/>
              <w:right w:val="nil"/>
            </w:tcBorders>
            <w:shd w:val="clear" w:color="auto" w:fill="auto"/>
            <w:noWrap/>
            <w:vAlign w:val="bottom"/>
          </w:tcPr>
          <w:p w:rsidR="006348B4" w:rsidRPr="006348B4" w:rsidRDefault="006348B4" w:rsidP="006348B4">
            <w:pPr>
              <w:jc w:val="center"/>
              <w:rPr>
                <w:rFonts w:cs="Arial"/>
                <w:b/>
                <w:bCs/>
                <w:sz w:val="22"/>
                <w:szCs w:val="22"/>
              </w:rPr>
            </w:pPr>
          </w:p>
        </w:tc>
        <w:tc>
          <w:tcPr>
            <w:tcW w:w="1380" w:type="dxa"/>
            <w:tcBorders>
              <w:top w:val="nil"/>
              <w:left w:val="nil"/>
              <w:bottom w:val="nil"/>
              <w:right w:val="nil"/>
            </w:tcBorders>
            <w:shd w:val="clear" w:color="auto" w:fill="auto"/>
            <w:noWrap/>
            <w:vAlign w:val="bottom"/>
          </w:tcPr>
          <w:p w:rsidR="006348B4" w:rsidRPr="006348B4" w:rsidRDefault="006348B4" w:rsidP="006348B4">
            <w:pPr>
              <w:jc w:val="center"/>
              <w:rPr>
                <w:rFonts w:cs="Arial"/>
                <w:b/>
                <w:bCs/>
                <w:sz w:val="22"/>
                <w:szCs w:val="22"/>
              </w:rPr>
            </w:pPr>
          </w:p>
        </w:tc>
        <w:tc>
          <w:tcPr>
            <w:tcW w:w="1700" w:type="dxa"/>
            <w:tcBorders>
              <w:top w:val="nil"/>
              <w:left w:val="nil"/>
              <w:bottom w:val="nil"/>
              <w:right w:val="nil"/>
            </w:tcBorders>
            <w:shd w:val="clear" w:color="auto" w:fill="auto"/>
            <w:noWrap/>
            <w:vAlign w:val="bottom"/>
          </w:tcPr>
          <w:p w:rsidR="006348B4" w:rsidRPr="006348B4" w:rsidRDefault="006348B4" w:rsidP="006348B4">
            <w:pPr>
              <w:jc w:val="center"/>
              <w:rPr>
                <w:rFonts w:cs="Arial"/>
                <w:b/>
                <w:bCs/>
                <w:sz w:val="22"/>
                <w:szCs w:val="22"/>
              </w:rPr>
            </w:pPr>
          </w:p>
        </w:tc>
        <w:tc>
          <w:tcPr>
            <w:tcW w:w="1240" w:type="dxa"/>
            <w:tcBorders>
              <w:top w:val="nil"/>
              <w:left w:val="nil"/>
              <w:bottom w:val="nil"/>
              <w:right w:val="nil"/>
            </w:tcBorders>
            <w:shd w:val="clear" w:color="auto" w:fill="auto"/>
            <w:noWrap/>
            <w:vAlign w:val="bottom"/>
          </w:tcPr>
          <w:p w:rsidR="006348B4" w:rsidRPr="006348B4" w:rsidRDefault="006348B4" w:rsidP="006348B4">
            <w:pPr>
              <w:jc w:val="center"/>
              <w:rPr>
                <w:rFonts w:cs="Arial"/>
                <w:b/>
                <w:bCs/>
                <w:sz w:val="22"/>
                <w:szCs w:val="22"/>
              </w:rPr>
            </w:pPr>
          </w:p>
        </w:tc>
        <w:tc>
          <w:tcPr>
            <w:tcW w:w="1020" w:type="dxa"/>
            <w:tcBorders>
              <w:top w:val="nil"/>
              <w:left w:val="nil"/>
              <w:bottom w:val="nil"/>
              <w:right w:val="nil"/>
            </w:tcBorders>
            <w:shd w:val="clear" w:color="auto" w:fill="auto"/>
            <w:noWrap/>
            <w:vAlign w:val="bottom"/>
          </w:tcPr>
          <w:p w:rsidR="006348B4" w:rsidRPr="006348B4" w:rsidRDefault="006348B4" w:rsidP="006348B4">
            <w:pPr>
              <w:jc w:val="center"/>
              <w:rPr>
                <w:rFonts w:cs="Arial"/>
                <w:b/>
                <w:bCs/>
                <w:sz w:val="22"/>
                <w:szCs w:val="22"/>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b/>
                <w:bCs/>
                <w:sz w:val="22"/>
                <w:szCs w:val="22"/>
              </w:rPr>
            </w:pPr>
          </w:p>
        </w:tc>
        <w:tc>
          <w:tcPr>
            <w:tcW w:w="1124" w:type="dxa"/>
            <w:tcBorders>
              <w:top w:val="nil"/>
              <w:left w:val="nil"/>
              <w:bottom w:val="nil"/>
              <w:right w:val="nil"/>
            </w:tcBorders>
            <w:shd w:val="clear" w:color="auto" w:fill="auto"/>
            <w:noWrap/>
            <w:vAlign w:val="bottom"/>
          </w:tcPr>
          <w:p w:rsidR="006348B4" w:rsidRPr="006348B4" w:rsidRDefault="006348B4" w:rsidP="006348B4">
            <w:pPr>
              <w:jc w:val="center"/>
              <w:rPr>
                <w:rFonts w:cs="Arial"/>
                <w:b/>
                <w:bCs/>
                <w:sz w:val="22"/>
                <w:szCs w:val="22"/>
              </w:rPr>
            </w:pPr>
          </w:p>
        </w:tc>
      </w:tr>
      <w:tr w:rsidR="006348B4" w:rsidRPr="006348B4">
        <w:trPr>
          <w:trHeight w:val="255"/>
        </w:trPr>
        <w:tc>
          <w:tcPr>
            <w:tcW w:w="2620" w:type="dxa"/>
            <w:tcBorders>
              <w:top w:val="nil"/>
              <w:left w:val="nil"/>
              <w:bottom w:val="nil"/>
              <w:right w:val="nil"/>
            </w:tcBorders>
            <w:shd w:val="clear" w:color="auto" w:fill="auto"/>
            <w:noWrap/>
            <w:vAlign w:val="bottom"/>
          </w:tcPr>
          <w:p w:rsidR="006348B4" w:rsidRPr="006348B4" w:rsidRDefault="006348B4" w:rsidP="006348B4">
            <w:pPr>
              <w:rPr>
                <w:rFonts w:cs="Arial"/>
              </w:rPr>
            </w:pP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b/>
                <w:bCs/>
              </w:rPr>
            </w:pPr>
            <w:r w:rsidRPr="006348B4">
              <w:rPr>
                <w:rFonts w:cs="Arial"/>
                <w:b/>
                <w:bCs/>
              </w:rPr>
              <w:t>Range 1</w:t>
            </w:r>
          </w:p>
        </w:tc>
        <w:tc>
          <w:tcPr>
            <w:tcW w:w="960" w:type="dxa"/>
            <w:tcBorders>
              <w:top w:val="single" w:sz="8" w:space="0" w:color="auto"/>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b/>
                <w:bCs/>
              </w:rPr>
            </w:pPr>
            <w:r w:rsidRPr="006348B4">
              <w:rPr>
                <w:rFonts w:cs="Arial"/>
                <w:b/>
                <w:bCs/>
              </w:rPr>
              <w:t>Range 2</w:t>
            </w:r>
          </w:p>
        </w:tc>
        <w:tc>
          <w:tcPr>
            <w:tcW w:w="960" w:type="dxa"/>
            <w:tcBorders>
              <w:top w:val="single" w:sz="8" w:space="0" w:color="auto"/>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b/>
                <w:bCs/>
              </w:rPr>
            </w:pPr>
            <w:r w:rsidRPr="006348B4">
              <w:rPr>
                <w:rFonts w:cs="Arial"/>
                <w:b/>
                <w:bCs/>
              </w:rPr>
              <w:t>Range 3</w:t>
            </w:r>
          </w:p>
        </w:tc>
        <w:tc>
          <w:tcPr>
            <w:tcW w:w="5980" w:type="dxa"/>
            <w:gridSpan w:val="4"/>
            <w:tcBorders>
              <w:top w:val="single" w:sz="8" w:space="0" w:color="auto"/>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b/>
                <w:bCs/>
              </w:rPr>
            </w:pPr>
            <w:r w:rsidRPr="006348B4">
              <w:rPr>
                <w:rFonts w:cs="Arial"/>
                <w:b/>
                <w:bCs/>
              </w:rPr>
              <w:t>Range 4</w:t>
            </w:r>
          </w:p>
        </w:tc>
        <w:tc>
          <w:tcPr>
            <w:tcW w:w="1020" w:type="dxa"/>
            <w:tcBorders>
              <w:top w:val="single" w:sz="8" w:space="0" w:color="auto"/>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b/>
                <w:bCs/>
              </w:rPr>
            </w:pPr>
            <w:r w:rsidRPr="006348B4">
              <w:rPr>
                <w:rFonts w:cs="Arial"/>
                <w:b/>
                <w:bCs/>
              </w:rPr>
              <w:t>Range 5</w:t>
            </w:r>
          </w:p>
        </w:tc>
        <w:tc>
          <w:tcPr>
            <w:tcW w:w="960" w:type="dxa"/>
            <w:tcBorders>
              <w:top w:val="single" w:sz="8" w:space="0" w:color="auto"/>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b/>
                <w:bCs/>
              </w:rPr>
            </w:pPr>
            <w:r w:rsidRPr="006348B4">
              <w:rPr>
                <w:rFonts w:cs="Arial"/>
                <w:b/>
                <w:bCs/>
              </w:rPr>
              <w:t>Range 6</w:t>
            </w:r>
          </w:p>
        </w:tc>
        <w:tc>
          <w:tcPr>
            <w:tcW w:w="1124" w:type="dxa"/>
            <w:tcBorders>
              <w:top w:val="single" w:sz="8" w:space="0" w:color="auto"/>
              <w:left w:val="nil"/>
              <w:bottom w:val="single" w:sz="4" w:space="0" w:color="auto"/>
              <w:right w:val="single" w:sz="8" w:space="0" w:color="auto"/>
            </w:tcBorders>
            <w:shd w:val="clear" w:color="auto" w:fill="auto"/>
            <w:noWrap/>
            <w:vAlign w:val="bottom"/>
          </w:tcPr>
          <w:p w:rsidR="006348B4" w:rsidRPr="006348B4" w:rsidRDefault="006348B4" w:rsidP="006348B4">
            <w:pPr>
              <w:jc w:val="center"/>
              <w:rPr>
                <w:rFonts w:cs="Arial"/>
                <w:b/>
                <w:bCs/>
              </w:rPr>
            </w:pPr>
            <w:r w:rsidRPr="006348B4">
              <w:rPr>
                <w:rFonts w:cs="Arial"/>
                <w:b/>
                <w:bCs/>
              </w:rPr>
              <w:t>Range 7</w:t>
            </w:r>
          </w:p>
        </w:tc>
      </w:tr>
      <w:tr w:rsidR="006348B4" w:rsidRPr="006348B4">
        <w:trPr>
          <w:trHeight w:val="585"/>
        </w:trPr>
        <w:tc>
          <w:tcPr>
            <w:tcW w:w="2620" w:type="dxa"/>
            <w:tcBorders>
              <w:top w:val="nil"/>
              <w:left w:val="nil"/>
              <w:bottom w:val="nil"/>
              <w:right w:val="nil"/>
            </w:tcBorders>
            <w:shd w:val="clear" w:color="auto" w:fill="auto"/>
            <w:noWrap/>
            <w:vAlign w:val="bottom"/>
          </w:tcPr>
          <w:p w:rsidR="006348B4" w:rsidRPr="006348B4" w:rsidRDefault="006348B4" w:rsidP="006348B4">
            <w:pPr>
              <w:rPr>
                <w:rFonts w:cs="Arial"/>
              </w:rPr>
            </w:pPr>
            <w:r w:rsidRPr="006348B4">
              <w:rPr>
                <w:rFonts w:cs="Arial"/>
              </w:rPr>
              <w:t>PRIMARY NEED</w:t>
            </w:r>
          </w:p>
        </w:tc>
        <w:tc>
          <w:tcPr>
            <w:tcW w:w="2880" w:type="dxa"/>
            <w:gridSpan w:val="3"/>
            <w:tcBorders>
              <w:top w:val="single" w:sz="4" w:space="0" w:color="auto"/>
              <w:left w:val="single" w:sz="8" w:space="0" w:color="auto"/>
              <w:bottom w:val="single" w:sz="4" w:space="0" w:color="auto"/>
              <w:right w:val="single" w:sz="4" w:space="0" w:color="000000"/>
            </w:tcBorders>
            <w:shd w:val="clear" w:color="auto" w:fill="C0C0C0"/>
            <w:noWrap/>
            <w:vAlign w:val="bottom"/>
          </w:tcPr>
          <w:p w:rsidR="006348B4" w:rsidRPr="006348B4" w:rsidRDefault="006348B4" w:rsidP="006348B4">
            <w:pPr>
              <w:jc w:val="center"/>
              <w:rPr>
                <w:rFonts w:cs="Arial"/>
              </w:rPr>
            </w:pPr>
            <w:r w:rsidRPr="006348B4">
              <w:rPr>
                <w:rFonts w:cs="Arial"/>
              </w:rPr>
              <w:t>Delegated Place Funding</w:t>
            </w:r>
          </w:p>
        </w:tc>
        <w:tc>
          <w:tcPr>
            <w:tcW w:w="1660" w:type="dxa"/>
            <w:tcBorders>
              <w:top w:val="nil"/>
              <w:left w:val="nil"/>
              <w:bottom w:val="single" w:sz="4" w:space="0" w:color="auto"/>
              <w:right w:val="single" w:sz="4" w:space="0" w:color="auto"/>
            </w:tcBorders>
            <w:shd w:val="clear" w:color="auto" w:fill="auto"/>
            <w:vAlign w:val="bottom"/>
          </w:tcPr>
          <w:p w:rsidR="006348B4" w:rsidRPr="006348B4" w:rsidRDefault="006348B4" w:rsidP="006348B4">
            <w:pPr>
              <w:jc w:val="center"/>
              <w:rPr>
                <w:rFonts w:cs="Arial"/>
              </w:rPr>
            </w:pPr>
            <w:r w:rsidRPr="006348B4">
              <w:rPr>
                <w:rFonts w:cs="Arial"/>
              </w:rPr>
              <w:t>Band A              (16.5-21.5 hours)</w:t>
            </w:r>
          </w:p>
        </w:tc>
        <w:tc>
          <w:tcPr>
            <w:tcW w:w="1380" w:type="dxa"/>
            <w:tcBorders>
              <w:top w:val="nil"/>
              <w:left w:val="nil"/>
              <w:bottom w:val="single" w:sz="4" w:space="0" w:color="auto"/>
              <w:right w:val="single" w:sz="4" w:space="0" w:color="auto"/>
            </w:tcBorders>
            <w:shd w:val="clear" w:color="auto" w:fill="auto"/>
            <w:vAlign w:val="bottom"/>
          </w:tcPr>
          <w:p w:rsidR="006348B4" w:rsidRPr="006348B4" w:rsidRDefault="006348B4" w:rsidP="006348B4">
            <w:pPr>
              <w:jc w:val="center"/>
              <w:rPr>
                <w:rFonts w:cs="Arial"/>
              </w:rPr>
            </w:pPr>
            <w:r w:rsidRPr="006348B4">
              <w:rPr>
                <w:rFonts w:cs="Arial"/>
              </w:rPr>
              <w:t>Band B                      (22-27 hours)</w:t>
            </w:r>
          </w:p>
        </w:tc>
        <w:tc>
          <w:tcPr>
            <w:tcW w:w="1700" w:type="dxa"/>
            <w:tcBorders>
              <w:top w:val="nil"/>
              <w:left w:val="nil"/>
              <w:bottom w:val="single" w:sz="4" w:space="0" w:color="auto"/>
              <w:right w:val="single" w:sz="4" w:space="0" w:color="auto"/>
            </w:tcBorders>
            <w:shd w:val="clear" w:color="auto" w:fill="auto"/>
            <w:vAlign w:val="bottom"/>
          </w:tcPr>
          <w:p w:rsidR="006348B4" w:rsidRPr="006348B4" w:rsidRDefault="006348B4" w:rsidP="006348B4">
            <w:pPr>
              <w:jc w:val="center"/>
              <w:rPr>
                <w:rFonts w:cs="Arial"/>
              </w:rPr>
            </w:pPr>
            <w:r w:rsidRPr="006348B4">
              <w:rPr>
                <w:rFonts w:cs="Arial"/>
              </w:rPr>
              <w:t>Band C                   (27.5-34.5 hours)</w:t>
            </w:r>
          </w:p>
        </w:tc>
        <w:tc>
          <w:tcPr>
            <w:tcW w:w="1240" w:type="dxa"/>
            <w:tcBorders>
              <w:top w:val="nil"/>
              <w:left w:val="nil"/>
              <w:bottom w:val="single" w:sz="4" w:space="0" w:color="auto"/>
              <w:right w:val="single" w:sz="4" w:space="0" w:color="auto"/>
            </w:tcBorders>
            <w:shd w:val="clear" w:color="auto" w:fill="auto"/>
            <w:vAlign w:val="bottom"/>
          </w:tcPr>
          <w:p w:rsidR="006348B4" w:rsidRPr="006348B4" w:rsidRDefault="006348B4" w:rsidP="006348B4">
            <w:pPr>
              <w:jc w:val="center"/>
              <w:rPr>
                <w:rFonts w:cs="Arial"/>
              </w:rPr>
            </w:pPr>
            <w:r w:rsidRPr="006348B4">
              <w:rPr>
                <w:rFonts w:cs="Arial"/>
              </w:rPr>
              <w:t>Band D        (35+ hours)</w:t>
            </w:r>
          </w:p>
        </w:tc>
        <w:tc>
          <w:tcPr>
            <w:tcW w:w="1020" w:type="dxa"/>
            <w:tcBorders>
              <w:top w:val="nil"/>
              <w:left w:val="nil"/>
              <w:bottom w:val="single" w:sz="4" w:space="0" w:color="auto"/>
              <w:right w:val="single" w:sz="4" w:space="0" w:color="auto"/>
            </w:tcBorders>
            <w:shd w:val="clear" w:color="auto" w:fill="auto"/>
            <w:vAlign w:val="bottom"/>
          </w:tcPr>
          <w:p w:rsidR="006348B4" w:rsidRPr="006348B4" w:rsidRDefault="006348B4" w:rsidP="006348B4">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 </w:t>
            </w:r>
          </w:p>
        </w:tc>
        <w:tc>
          <w:tcPr>
            <w:tcW w:w="1124" w:type="dxa"/>
            <w:tcBorders>
              <w:top w:val="nil"/>
              <w:left w:val="nil"/>
              <w:bottom w:val="single" w:sz="4" w:space="0" w:color="auto"/>
              <w:right w:val="single" w:sz="8" w:space="0" w:color="auto"/>
            </w:tcBorders>
            <w:shd w:val="clear" w:color="auto" w:fill="auto"/>
            <w:noWrap/>
            <w:vAlign w:val="bottom"/>
          </w:tcPr>
          <w:p w:rsidR="006348B4" w:rsidRPr="006348B4" w:rsidRDefault="006348B4" w:rsidP="006348B4">
            <w:pPr>
              <w:jc w:val="center"/>
              <w:rPr>
                <w:rFonts w:cs="Arial"/>
              </w:rPr>
            </w:pPr>
            <w:r w:rsidRPr="006348B4">
              <w:rPr>
                <w:rFonts w:cs="Arial"/>
              </w:rPr>
              <w:t> </w:t>
            </w:r>
          </w:p>
        </w:tc>
      </w:tr>
      <w:tr w:rsidR="006348B4" w:rsidRPr="006348B4">
        <w:trPr>
          <w:trHeight w:val="255"/>
        </w:trPr>
        <w:tc>
          <w:tcPr>
            <w:tcW w:w="2620" w:type="dxa"/>
            <w:tcBorders>
              <w:top w:val="nil"/>
              <w:left w:val="nil"/>
              <w:bottom w:val="nil"/>
              <w:right w:val="nil"/>
            </w:tcBorders>
            <w:shd w:val="clear" w:color="auto" w:fill="auto"/>
            <w:noWrap/>
            <w:vAlign w:val="bottom"/>
          </w:tcPr>
          <w:p w:rsidR="006348B4" w:rsidRPr="006348B4" w:rsidRDefault="006348B4" w:rsidP="006348B4">
            <w:pPr>
              <w:rPr>
                <w:rFonts w:cs="Arial"/>
                <w:b/>
                <w:bCs/>
              </w:rPr>
            </w:pPr>
            <w:r w:rsidRPr="006348B4">
              <w:rPr>
                <w:rFonts w:cs="Arial"/>
                <w:b/>
                <w:bCs/>
              </w:rPr>
              <w:t>Additional "Plus" Funding</w:t>
            </w:r>
          </w:p>
        </w:tc>
        <w:tc>
          <w:tcPr>
            <w:tcW w:w="960" w:type="dxa"/>
            <w:tcBorders>
              <w:top w:val="nil"/>
              <w:left w:val="single" w:sz="8" w:space="0" w:color="auto"/>
              <w:bottom w:val="single" w:sz="4" w:space="0" w:color="auto"/>
              <w:right w:val="single" w:sz="4" w:space="0" w:color="auto"/>
            </w:tcBorders>
            <w:shd w:val="clear" w:color="auto" w:fill="C0C0C0"/>
            <w:noWrap/>
            <w:vAlign w:val="bottom"/>
          </w:tcPr>
          <w:p w:rsidR="006348B4" w:rsidRPr="006348B4" w:rsidRDefault="006348B4" w:rsidP="006348B4">
            <w:pPr>
              <w:jc w:val="center"/>
              <w:rPr>
                <w:rFonts w:cs="Arial"/>
                <w:b/>
                <w:bCs/>
              </w:rPr>
            </w:pPr>
            <w:r w:rsidRPr="006348B4">
              <w:rPr>
                <w:rFonts w:cs="Arial"/>
                <w:b/>
                <w:bCs/>
              </w:rPr>
              <w:t> </w:t>
            </w:r>
          </w:p>
        </w:tc>
        <w:tc>
          <w:tcPr>
            <w:tcW w:w="960" w:type="dxa"/>
            <w:tcBorders>
              <w:top w:val="nil"/>
              <w:left w:val="nil"/>
              <w:bottom w:val="single" w:sz="4" w:space="0" w:color="auto"/>
              <w:right w:val="single" w:sz="4" w:space="0" w:color="auto"/>
            </w:tcBorders>
            <w:shd w:val="clear" w:color="auto" w:fill="C0C0C0"/>
            <w:noWrap/>
            <w:vAlign w:val="bottom"/>
          </w:tcPr>
          <w:p w:rsidR="006348B4" w:rsidRPr="006348B4" w:rsidRDefault="006348B4" w:rsidP="006348B4">
            <w:pPr>
              <w:jc w:val="center"/>
              <w:rPr>
                <w:rFonts w:cs="Arial"/>
                <w:b/>
                <w:bCs/>
              </w:rPr>
            </w:pPr>
            <w:r w:rsidRPr="006348B4">
              <w:rPr>
                <w:rFonts w:cs="Arial"/>
                <w:b/>
                <w:bCs/>
              </w:rPr>
              <w:t> </w:t>
            </w:r>
          </w:p>
        </w:tc>
        <w:tc>
          <w:tcPr>
            <w:tcW w:w="96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b/>
                <w:bCs/>
              </w:rPr>
            </w:pPr>
            <w:r w:rsidRPr="006348B4">
              <w:rPr>
                <w:rFonts w:cs="Arial"/>
                <w:b/>
                <w:bCs/>
              </w:rPr>
              <w:t>£0</w:t>
            </w:r>
          </w:p>
        </w:tc>
        <w:tc>
          <w:tcPr>
            <w:tcW w:w="166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b/>
                <w:bCs/>
              </w:rPr>
            </w:pPr>
            <w:r w:rsidRPr="006348B4">
              <w:rPr>
                <w:rFonts w:cs="Arial"/>
                <w:b/>
                <w:bCs/>
              </w:rPr>
              <w:t>£</w:t>
            </w:r>
            <w:r w:rsidR="00FE6BD4">
              <w:rPr>
                <w:rFonts w:cs="Arial"/>
                <w:b/>
                <w:bCs/>
              </w:rPr>
              <w:t>985</w:t>
            </w:r>
          </w:p>
        </w:tc>
        <w:tc>
          <w:tcPr>
            <w:tcW w:w="138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b/>
                <w:bCs/>
              </w:rPr>
            </w:pPr>
            <w:r w:rsidRPr="006348B4">
              <w:rPr>
                <w:rFonts w:cs="Arial"/>
                <w:b/>
                <w:bCs/>
              </w:rPr>
              <w:t>£3,1</w:t>
            </w:r>
            <w:r w:rsidR="00FE6BD4">
              <w:rPr>
                <w:rFonts w:cs="Arial"/>
                <w:b/>
                <w:bCs/>
              </w:rPr>
              <w:t>05</w:t>
            </w:r>
          </w:p>
        </w:tc>
        <w:tc>
          <w:tcPr>
            <w:tcW w:w="170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b/>
                <w:bCs/>
              </w:rPr>
            </w:pPr>
            <w:r w:rsidRPr="006348B4">
              <w:rPr>
                <w:rFonts w:cs="Arial"/>
                <w:b/>
                <w:bCs/>
              </w:rPr>
              <w:t>£4,</w:t>
            </w:r>
            <w:r w:rsidR="00FE6BD4">
              <w:rPr>
                <w:rFonts w:cs="Arial"/>
                <w:b/>
                <w:bCs/>
              </w:rPr>
              <w:t>758</w:t>
            </w:r>
          </w:p>
        </w:tc>
        <w:tc>
          <w:tcPr>
            <w:tcW w:w="124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b/>
                <w:bCs/>
              </w:rPr>
            </w:pPr>
            <w:r w:rsidRPr="006348B4">
              <w:rPr>
                <w:rFonts w:cs="Arial"/>
                <w:b/>
                <w:bCs/>
              </w:rPr>
              <w:t>£7,</w:t>
            </w:r>
            <w:r w:rsidR="00FE6BD4">
              <w:rPr>
                <w:rFonts w:cs="Arial"/>
                <w:b/>
                <w:bCs/>
              </w:rPr>
              <w:t>411</w:t>
            </w:r>
          </w:p>
        </w:tc>
        <w:tc>
          <w:tcPr>
            <w:tcW w:w="102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b/>
                <w:bCs/>
              </w:rPr>
            </w:pPr>
            <w:r w:rsidRPr="006348B4">
              <w:rPr>
                <w:rFonts w:cs="Arial"/>
                <w:b/>
                <w:bCs/>
              </w:rPr>
              <w:t>£10</w:t>
            </w:r>
            <w:r w:rsidR="00FE6BD4">
              <w:rPr>
                <w:rFonts w:cs="Arial"/>
                <w:b/>
                <w:bCs/>
              </w:rPr>
              <w:t>,806</w:t>
            </w:r>
          </w:p>
        </w:tc>
        <w:tc>
          <w:tcPr>
            <w:tcW w:w="96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b/>
                <w:bCs/>
              </w:rPr>
            </w:pPr>
            <w:r w:rsidRPr="006348B4">
              <w:rPr>
                <w:rFonts w:cs="Arial"/>
                <w:b/>
                <w:bCs/>
              </w:rPr>
              <w:t>£14,</w:t>
            </w:r>
            <w:r w:rsidR="00FE6BD4">
              <w:rPr>
                <w:rFonts w:cs="Arial"/>
                <w:b/>
                <w:bCs/>
              </w:rPr>
              <w:t>398</w:t>
            </w:r>
          </w:p>
        </w:tc>
        <w:tc>
          <w:tcPr>
            <w:tcW w:w="1124" w:type="dxa"/>
            <w:tcBorders>
              <w:top w:val="nil"/>
              <w:left w:val="nil"/>
              <w:bottom w:val="single" w:sz="4" w:space="0" w:color="auto"/>
              <w:right w:val="single" w:sz="8" w:space="0" w:color="auto"/>
            </w:tcBorders>
            <w:shd w:val="clear" w:color="auto" w:fill="auto"/>
            <w:noWrap/>
            <w:vAlign w:val="bottom"/>
          </w:tcPr>
          <w:p w:rsidR="006348B4" w:rsidRPr="006348B4" w:rsidRDefault="006348B4" w:rsidP="006348B4">
            <w:pPr>
              <w:jc w:val="center"/>
              <w:rPr>
                <w:rFonts w:cs="Arial"/>
                <w:b/>
                <w:bCs/>
              </w:rPr>
            </w:pPr>
            <w:r w:rsidRPr="006348B4">
              <w:rPr>
                <w:rFonts w:cs="Arial"/>
                <w:b/>
                <w:bCs/>
              </w:rPr>
              <w:t>£2</w:t>
            </w:r>
            <w:r w:rsidR="00FE6BD4">
              <w:rPr>
                <w:rFonts w:cs="Arial"/>
                <w:b/>
                <w:bCs/>
              </w:rPr>
              <w:t>3,658</w:t>
            </w:r>
          </w:p>
        </w:tc>
      </w:tr>
      <w:tr w:rsidR="006348B4" w:rsidRPr="006348B4">
        <w:trPr>
          <w:trHeight w:val="255"/>
        </w:trPr>
        <w:tc>
          <w:tcPr>
            <w:tcW w:w="2620" w:type="dxa"/>
            <w:tcBorders>
              <w:top w:val="nil"/>
              <w:left w:val="nil"/>
              <w:bottom w:val="nil"/>
              <w:right w:val="nil"/>
            </w:tcBorders>
            <w:shd w:val="clear" w:color="auto" w:fill="auto"/>
            <w:noWrap/>
            <w:vAlign w:val="bottom"/>
          </w:tcPr>
          <w:p w:rsidR="006348B4" w:rsidRPr="006348B4" w:rsidRDefault="006348B4" w:rsidP="006348B4">
            <w:pPr>
              <w:rPr>
                <w:rFonts w:cs="Arial"/>
              </w:rPr>
            </w:pPr>
          </w:p>
        </w:tc>
        <w:tc>
          <w:tcPr>
            <w:tcW w:w="960" w:type="dxa"/>
            <w:tcBorders>
              <w:top w:val="nil"/>
              <w:left w:val="single" w:sz="8" w:space="0" w:color="auto"/>
              <w:bottom w:val="single" w:sz="4" w:space="0" w:color="auto"/>
              <w:right w:val="single" w:sz="4" w:space="0" w:color="auto"/>
            </w:tcBorders>
            <w:shd w:val="clear" w:color="auto" w:fill="C0C0C0"/>
            <w:noWrap/>
            <w:vAlign w:val="bottom"/>
          </w:tcPr>
          <w:p w:rsidR="006348B4" w:rsidRPr="006348B4" w:rsidRDefault="006348B4" w:rsidP="006348B4">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C0C0C0"/>
            <w:noWrap/>
            <w:vAlign w:val="bottom"/>
          </w:tcPr>
          <w:p w:rsidR="006348B4" w:rsidRPr="006348B4" w:rsidRDefault="006348B4" w:rsidP="006348B4">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 </w:t>
            </w:r>
          </w:p>
        </w:tc>
        <w:tc>
          <w:tcPr>
            <w:tcW w:w="166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 </w:t>
            </w:r>
          </w:p>
        </w:tc>
        <w:tc>
          <w:tcPr>
            <w:tcW w:w="138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 </w:t>
            </w:r>
          </w:p>
        </w:tc>
        <w:tc>
          <w:tcPr>
            <w:tcW w:w="170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 </w:t>
            </w:r>
          </w:p>
        </w:tc>
        <w:tc>
          <w:tcPr>
            <w:tcW w:w="124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 </w:t>
            </w:r>
          </w:p>
        </w:tc>
        <w:tc>
          <w:tcPr>
            <w:tcW w:w="102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 </w:t>
            </w:r>
          </w:p>
        </w:tc>
        <w:tc>
          <w:tcPr>
            <w:tcW w:w="1124" w:type="dxa"/>
            <w:tcBorders>
              <w:top w:val="nil"/>
              <w:left w:val="nil"/>
              <w:bottom w:val="single" w:sz="4" w:space="0" w:color="auto"/>
              <w:right w:val="single" w:sz="8" w:space="0" w:color="auto"/>
            </w:tcBorders>
            <w:shd w:val="clear" w:color="auto" w:fill="auto"/>
            <w:noWrap/>
            <w:vAlign w:val="bottom"/>
          </w:tcPr>
          <w:p w:rsidR="006348B4" w:rsidRPr="006348B4" w:rsidRDefault="006348B4" w:rsidP="006348B4">
            <w:pPr>
              <w:jc w:val="center"/>
              <w:rPr>
                <w:rFonts w:cs="Arial"/>
              </w:rPr>
            </w:pPr>
            <w:r w:rsidRPr="006348B4">
              <w:rPr>
                <w:rFonts w:cs="Arial"/>
              </w:rPr>
              <w:t> </w:t>
            </w:r>
          </w:p>
        </w:tc>
      </w:tr>
      <w:tr w:rsidR="006348B4" w:rsidRPr="006348B4">
        <w:trPr>
          <w:trHeight w:val="255"/>
        </w:trPr>
        <w:tc>
          <w:tcPr>
            <w:tcW w:w="2620" w:type="dxa"/>
            <w:tcBorders>
              <w:top w:val="nil"/>
              <w:left w:val="nil"/>
              <w:bottom w:val="nil"/>
              <w:right w:val="nil"/>
            </w:tcBorders>
            <w:shd w:val="clear" w:color="auto" w:fill="FFCC99"/>
            <w:noWrap/>
            <w:vAlign w:val="bottom"/>
          </w:tcPr>
          <w:p w:rsidR="006348B4" w:rsidRPr="006348B4" w:rsidRDefault="006348B4" w:rsidP="006348B4">
            <w:pPr>
              <w:rPr>
                <w:rFonts w:cs="Arial"/>
              </w:rPr>
            </w:pPr>
            <w:r w:rsidRPr="006348B4">
              <w:rPr>
                <w:rFonts w:cs="Arial"/>
              </w:rPr>
              <w:t>Mainstream Autism &amp; SLCN</w:t>
            </w:r>
          </w:p>
        </w:tc>
        <w:tc>
          <w:tcPr>
            <w:tcW w:w="960" w:type="dxa"/>
            <w:tcBorders>
              <w:top w:val="nil"/>
              <w:left w:val="single" w:sz="8" w:space="0" w:color="auto"/>
              <w:bottom w:val="single" w:sz="4" w:space="0" w:color="auto"/>
              <w:right w:val="single" w:sz="4" w:space="0" w:color="auto"/>
            </w:tcBorders>
            <w:shd w:val="clear" w:color="auto" w:fill="C0C0C0"/>
            <w:noWrap/>
            <w:vAlign w:val="bottom"/>
          </w:tcPr>
          <w:p w:rsidR="006348B4" w:rsidRPr="006348B4" w:rsidRDefault="006348B4" w:rsidP="006348B4">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C0C0C0"/>
            <w:noWrap/>
            <w:vAlign w:val="bottom"/>
          </w:tcPr>
          <w:p w:rsidR="006348B4" w:rsidRPr="006348B4" w:rsidRDefault="006348B4" w:rsidP="006348B4">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 </w:t>
            </w:r>
          </w:p>
        </w:tc>
        <w:tc>
          <w:tcPr>
            <w:tcW w:w="1660" w:type="dxa"/>
            <w:tcBorders>
              <w:top w:val="nil"/>
              <w:left w:val="nil"/>
              <w:bottom w:val="single" w:sz="4" w:space="0" w:color="auto"/>
              <w:right w:val="single" w:sz="4" w:space="0" w:color="auto"/>
            </w:tcBorders>
            <w:shd w:val="clear" w:color="auto" w:fill="FFCC99"/>
            <w:noWrap/>
            <w:vAlign w:val="bottom"/>
          </w:tcPr>
          <w:p w:rsidR="006348B4" w:rsidRPr="006348B4" w:rsidRDefault="006348B4" w:rsidP="006348B4">
            <w:pPr>
              <w:jc w:val="center"/>
              <w:rPr>
                <w:rFonts w:cs="Arial"/>
              </w:rPr>
            </w:pPr>
            <w:r w:rsidRPr="006348B4">
              <w:rPr>
                <w:rFonts w:cs="Arial"/>
              </w:rPr>
              <w:t> </w:t>
            </w:r>
          </w:p>
        </w:tc>
        <w:tc>
          <w:tcPr>
            <w:tcW w:w="1380" w:type="dxa"/>
            <w:tcBorders>
              <w:top w:val="nil"/>
              <w:left w:val="nil"/>
              <w:bottom w:val="single" w:sz="4" w:space="0" w:color="auto"/>
              <w:right w:val="single" w:sz="4" w:space="0" w:color="auto"/>
            </w:tcBorders>
            <w:shd w:val="clear" w:color="auto" w:fill="FFCC99"/>
            <w:noWrap/>
            <w:vAlign w:val="bottom"/>
          </w:tcPr>
          <w:p w:rsidR="006348B4" w:rsidRPr="006348B4" w:rsidRDefault="006348B4" w:rsidP="006348B4">
            <w:pPr>
              <w:jc w:val="center"/>
              <w:rPr>
                <w:rFonts w:cs="Arial"/>
              </w:rPr>
            </w:pPr>
            <w:r w:rsidRPr="006348B4">
              <w:rPr>
                <w:rFonts w:cs="Arial"/>
              </w:rPr>
              <w:t> </w:t>
            </w:r>
          </w:p>
        </w:tc>
        <w:tc>
          <w:tcPr>
            <w:tcW w:w="1700" w:type="dxa"/>
            <w:tcBorders>
              <w:top w:val="nil"/>
              <w:left w:val="nil"/>
              <w:bottom w:val="single" w:sz="4" w:space="0" w:color="auto"/>
              <w:right w:val="single" w:sz="4" w:space="0" w:color="auto"/>
            </w:tcBorders>
            <w:shd w:val="clear" w:color="auto" w:fill="FFCC99"/>
            <w:noWrap/>
            <w:vAlign w:val="bottom"/>
          </w:tcPr>
          <w:p w:rsidR="006348B4" w:rsidRPr="006348B4" w:rsidRDefault="006348B4" w:rsidP="006348B4">
            <w:pPr>
              <w:jc w:val="center"/>
              <w:rPr>
                <w:rFonts w:cs="Arial"/>
              </w:rPr>
            </w:pPr>
            <w:r w:rsidRPr="006348B4">
              <w:rPr>
                <w:rFonts w:cs="Arial"/>
              </w:rPr>
              <w:t>SLCN</w:t>
            </w:r>
          </w:p>
        </w:tc>
        <w:tc>
          <w:tcPr>
            <w:tcW w:w="1240" w:type="dxa"/>
            <w:tcBorders>
              <w:top w:val="nil"/>
              <w:left w:val="nil"/>
              <w:bottom w:val="single" w:sz="4" w:space="0" w:color="auto"/>
              <w:right w:val="single" w:sz="4" w:space="0" w:color="auto"/>
            </w:tcBorders>
            <w:shd w:val="clear" w:color="auto" w:fill="FFCC99"/>
            <w:noWrap/>
            <w:vAlign w:val="bottom"/>
          </w:tcPr>
          <w:p w:rsidR="006348B4" w:rsidRPr="006348B4" w:rsidRDefault="006348B4" w:rsidP="006348B4">
            <w:pPr>
              <w:jc w:val="center"/>
              <w:rPr>
                <w:rFonts w:cs="Arial"/>
              </w:rPr>
            </w:pPr>
            <w:smartTag w:uri="urn:schemas-microsoft-com:office:smarttags" w:element="stockticker">
              <w:r w:rsidRPr="006348B4">
                <w:rPr>
                  <w:rFonts w:cs="Arial"/>
                </w:rPr>
                <w:t>ASD</w:t>
              </w:r>
            </w:smartTag>
          </w:p>
        </w:tc>
        <w:tc>
          <w:tcPr>
            <w:tcW w:w="102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rPr>
            </w:pPr>
            <w:smartTag w:uri="urn:schemas-microsoft-com:office:smarttags" w:element="stockticker">
              <w:r w:rsidRPr="006348B4">
                <w:rPr>
                  <w:rFonts w:cs="Arial"/>
                </w:rPr>
                <w:t>ASD</w:t>
              </w:r>
            </w:smartTag>
            <w:r w:rsidRPr="006348B4">
              <w:rPr>
                <w:rFonts w:cs="Arial"/>
              </w:rPr>
              <w:t>+</w:t>
            </w:r>
          </w:p>
        </w:tc>
        <w:tc>
          <w:tcPr>
            <w:tcW w:w="1124" w:type="dxa"/>
            <w:tcBorders>
              <w:top w:val="nil"/>
              <w:left w:val="nil"/>
              <w:bottom w:val="single" w:sz="4" w:space="0" w:color="auto"/>
              <w:right w:val="single" w:sz="8" w:space="0" w:color="auto"/>
            </w:tcBorders>
            <w:shd w:val="clear" w:color="auto" w:fill="auto"/>
            <w:noWrap/>
            <w:vAlign w:val="bottom"/>
          </w:tcPr>
          <w:p w:rsidR="006348B4" w:rsidRPr="006348B4" w:rsidRDefault="006348B4" w:rsidP="006348B4">
            <w:pPr>
              <w:jc w:val="center"/>
              <w:rPr>
                <w:rFonts w:cs="Arial"/>
              </w:rPr>
            </w:pPr>
            <w:smartTag w:uri="urn:schemas-microsoft-com:office:smarttags" w:element="stockticker">
              <w:r w:rsidRPr="006348B4">
                <w:rPr>
                  <w:rFonts w:cs="Arial"/>
                </w:rPr>
                <w:t>ASD</w:t>
              </w:r>
            </w:smartTag>
            <w:r w:rsidRPr="006348B4">
              <w:rPr>
                <w:rFonts w:cs="Arial"/>
              </w:rPr>
              <w:t>++</w:t>
            </w:r>
          </w:p>
        </w:tc>
      </w:tr>
      <w:tr w:rsidR="006348B4" w:rsidRPr="006348B4">
        <w:trPr>
          <w:trHeight w:val="255"/>
        </w:trPr>
        <w:tc>
          <w:tcPr>
            <w:tcW w:w="2620" w:type="dxa"/>
            <w:tcBorders>
              <w:top w:val="nil"/>
              <w:left w:val="nil"/>
              <w:bottom w:val="nil"/>
              <w:right w:val="nil"/>
            </w:tcBorders>
            <w:shd w:val="clear" w:color="auto" w:fill="FFFF99"/>
            <w:noWrap/>
            <w:vAlign w:val="bottom"/>
          </w:tcPr>
          <w:p w:rsidR="006348B4" w:rsidRPr="006348B4" w:rsidRDefault="006348B4" w:rsidP="006348B4">
            <w:pPr>
              <w:rPr>
                <w:rFonts w:cs="Arial"/>
              </w:rPr>
            </w:pPr>
            <w:r w:rsidRPr="006348B4">
              <w:rPr>
                <w:rFonts w:cs="Arial"/>
              </w:rPr>
              <w:t>Mainstream MLD/SLD/PMLD</w:t>
            </w:r>
          </w:p>
        </w:tc>
        <w:tc>
          <w:tcPr>
            <w:tcW w:w="960" w:type="dxa"/>
            <w:tcBorders>
              <w:top w:val="nil"/>
              <w:left w:val="single" w:sz="8" w:space="0" w:color="auto"/>
              <w:bottom w:val="single" w:sz="4" w:space="0" w:color="auto"/>
              <w:right w:val="single" w:sz="4" w:space="0" w:color="auto"/>
            </w:tcBorders>
            <w:shd w:val="clear" w:color="auto" w:fill="C0C0C0"/>
            <w:noWrap/>
            <w:vAlign w:val="bottom"/>
          </w:tcPr>
          <w:p w:rsidR="006348B4" w:rsidRPr="006348B4" w:rsidRDefault="006348B4" w:rsidP="006348B4">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C0C0C0"/>
            <w:noWrap/>
            <w:vAlign w:val="bottom"/>
          </w:tcPr>
          <w:p w:rsidR="006348B4" w:rsidRPr="006348B4" w:rsidRDefault="006348B4" w:rsidP="006348B4">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FFFF99"/>
            <w:noWrap/>
            <w:vAlign w:val="bottom"/>
          </w:tcPr>
          <w:p w:rsidR="006348B4" w:rsidRPr="006348B4" w:rsidRDefault="006348B4" w:rsidP="006348B4">
            <w:pPr>
              <w:jc w:val="center"/>
              <w:rPr>
                <w:rFonts w:cs="Arial"/>
              </w:rPr>
            </w:pPr>
            <w:r w:rsidRPr="006348B4">
              <w:rPr>
                <w:rFonts w:cs="Arial"/>
              </w:rPr>
              <w:t>MLD</w:t>
            </w:r>
          </w:p>
        </w:tc>
        <w:tc>
          <w:tcPr>
            <w:tcW w:w="1660" w:type="dxa"/>
            <w:tcBorders>
              <w:top w:val="nil"/>
              <w:left w:val="nil"/>
              <w:bottom w:val="single" w:sz="4" w:space="0" w:color="auto"/>
              <w:right w:val="single" w:sz="4" w:space="0" w:color="auto"/>
            </w:tcBorders>
            <w:shd w:val="clear" w:color="auto" w:fill="FFFF99"/>
            <w:noWrap/>
            <w:vAlign w:val="bottom"/>
          </w:tcPr>
          <w:p w:rsidR="006348B4" w:rsidRPr="006348B4" w:rsidRDefault="006348B4" w:rsidP="006348B4">
            <w:pPr>
              <w:jc w:val="center"/>
              <w:rPr>
                <w:rFonts w:cs="Arial"/>
              </w:rPr>
            </w:pPr>
            <w:r w:rsidRPr="006348B4">
              <w:rPr>
                <w:rFonts w:cs="Arial"/>
              </w:rPr>
              <w:t> </w:t>
            </w:r>
          </w:p>
        </w:tc>
        <w:tc>
          <w:tcPr>
            <w:tcW w:w="1380" w:type="dxa"/>
            <w:tcBorders>
              <w:top w:val="nil"/>
              <w:left w:val="nil"/>
              <w:bottom w:val="single" w:sz="4" w:space="0" w:color="auto"/>
              <w:right w:val="single" w:sz="4" w:space="0" w:color="auto"/>
            </w:tcBorders>
            <w:shd w:val="clear" w:color="auto" w:fill="FFFF99"/>
            <w:noWrap/>
            <w:vAlign w:val="bottom"/>
          </w:tcPr>
          <w:p w:rsidR="006348B4" w:rsidRPr="006348B4" w:rsidRDefault="006348B4" w:rsidP="006348B4">
            <w:pPr>
              <w:jc w:val="center"/>
              <w:rPr>
                <w:rFonts w:cs="Arial"/>
              </w:rPr>
            </w:pPr>
            <w:r w:rsidRPr="006348B4">
              <w:rPr>
                <w:rFonts w:cs="Arial"/>
              </w:rPr>
              <w:t>MLD+</w:t>
            </w:r>
          </w:p>
        </w:tc>
        <w:tc>
          <w:tcPr>
            <w:tcW w:w="1700" w:type="dxa"/>
            <w:tcBorders>
              <w:top w:val="nil"/>
              <w:left w:val="nil"/>
              <w:bottom w:val="single" w:sz="4" w:space="0" w:color="auto"/>
              <w:right w:val="single" w:sz="4" w:space="0" w:color="auto"/>
            </w:tcBorders>
            <w:shd w:val="clear" w:color="auto" w:fill="FFFF99"/>
            <w:noWrap/>
            <w:vAlign w:val="bottom"/>
          </w:tcPr>
          <w:p w:rsidR="006348B4" w:rsidRPr="006348B4" w:rsidRDefault="006348B4" w:rsidP="006348B4">
            <w:pPr>
              <w:jc w:val="center"/>
              <w:rPr>
                <w:rFonts w:cs="Arial"/>
              </w:rPr>
            </w:pPr>
            <w:r w:rsidRPr="006348B4">
              <w:rPr>
                <w:rFonts w:cs="Arial"/>
              </w:rPr>
              <w:t>SLD</w:t>
            </w:r>
          </w:p>
        </w:tc>
        <w:tc>
          <w:tcPr>
            <w:tcW w:w="1240" w:type="dxa"/>
            <w:tcBorders>
              <w:top w:val="nil"/>
              <w:left w:val="nil"/>
              <w:bottom w:val="single" w:sz="4" w:space="0" w:color="auto"/>
              <w:right w:val="single" w:sz="4" w:space="0" w:color="auto"/>
            </w:tcBorders>
            <w:shd w:val="clear" w:color="auto" w:fill="FFFF99"/>
            <w:noWrap/>
            <w:vAlign w:val="bottom"/>
          </w:tcPr>
          <w:p w:rsidR="006348B4" w:rsidRPr="006348B4" w:rsidRDefault="006348B4" w:rsidP="006348B4">
            <w:pPr>
              <w:jc w:val="center"/>
              <w:rPr>
                <w:rFonts w:cs="Arial"/>
              </w:rPr>
            </w:pPr>
            <w:r w:rsidRPr="006348B4">
              <w:rPr>
                <w:rFonts w:cs="Arial"/>
              </w:rPr>
              <w:t>PMLD</w:t>
            </w:r>
          </w:p>
        </w:tc>
        <w:tc>
          <w:tcPr>
            <w:tcW w:w="102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SLD+</w:t>
            </w:r>
          </w:p>
        </w:tc>
        <w:tc>
          <w:tcPr>
            <w:tcW w:w="96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PMLD+</w:t>
            </w:r>
          </w:p>
        </w:tc>
        <w:tc>
          <w:tcPr>
            <w:tcW w:w="1124" w:type="dxa"/>
            <w:tcBorders>
              <w:top w:val="nil"/>
              <w:left w:val="nil"/>
              <w:bottom w:val="single" w:sz="4" w:space="0" w:color="auto"/>
              <w:right w:val="single" w:sz="8" w:space="0" w:color="auto"/>
            </w:tcBorders>
            <w:shd w:val="clear" w:color="auto" w:fill="auto"/>
            <w:noWrap/>
            <w:vAlign w:val="bottom"/>
          </w:tcPr>
          <w:p w:rsidR="006348B4" w:rsidRPr="006348B4" w:rsidRDefault="006348B4" w:rsidP="006348B4">
            <w:pPr>
              <w:jc w:val="center"/>
              <w:rPr>
                <w:rFonts w:cs="Arial"/>
              </w:rPr>
            </w:pPr>
            <w:r w:rsidRPr="006348B4">
              <w:rPr>
                <w:rFonts w:cs="Arial"/>
              </w:rPr>
              <w:t>PMLD++</w:t>
            </w:r>
          </w:p>
        </w:tc>
      </w:tr>
      <w:tr w:rsidR="006348B4" w:rsidRPr="006348B4">
        <w:trPr>
          <w:trHeight w:val="255"/>
        </w:trPr>
        <w:tc>
          <w:tcPr>
            <w:tcW w:w="2620" w:type="dxa"/>
            <w:tcBorders>
              <w:top w:val="nil"/>
              <w:left w:val="nil"/>
              <w:bottom w:val="nil"/>
              <w:right w:val="nil"/>
            </w:tcBorders>
            <w:shd w:val="clear" w:color="auto" w:fill="CCFFCC"/>
            <w:noWrap/>
            <w:vAlign w:val="bottom"/>
          </w:tcPr>
          <w:p w:rsidR="006348B4" w:rsidRPr="006348B4" w:rsidRDefault="006348B4" w:rsidP="006348B4">
            <w:pPr>
              <w:rPr>
                <w:rFonts w:cs="Arial"/>
              </w:rPr>
            </w:pPr>
            <w:r w:rsidRPr="006348B4">
              <w:rPr>
                <w:rFonts w:cs="Arial"/>
              </w:rPr>
              <w:t>Mainstream PD</w:t>
            </w:r>
          </w:p>
        </w:tc>
        <w:tc>
          <w:tcPr>
            <w:tcW w:w="960" w:type="dxa"/>
            <w:tcBorders>
              <w:top w:val="nil"/>
              <w:left w:val="single" w:sz="8" w:space="0" w:color="auto"/>
              <w:bottom w:val="single" w:sz="4" w:space="0" w:color="auto"/>
              <w:right w:val="single" w:sz="4" w:space="0" w:color="auto"/>
            </w:tcBorders>
            <w:shd w:val="clear" w:color="auto" w:fill="C0C0C0"/>
            <w:noWrap/>
            <w:vAlign w:val="bottom"/>
          </w:tcPr>
          <w:p w:rsidR="006348B4" w:rsidRPr="006348B4" w:rsidRDefault="006348B4" w:rsidP="006348B4">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C0C0C0"/>
            <w:noWrap/>
            <w:vAlign w:val="bottom"/>
          </w:tcPr>
          <w:p w:rsidR="006348B4" w:rsidRPr="006348B4" w:rsidRDefault="006348B4" w:rsidP="006348B4">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 </w:t>
            </w:r>
          </w:p>
        </w:tc>
        <w:tc>
          <w:tcPr>
            <w:tcW w:w="1660" w:type="dxa"/>
            <w:tcBorders>
              <w:top w:val="nil"/>
              <w:left w:val="nil"/>
              <w:bottom w:val="single" w:sz="4" w:space="0" w:color="auto"/>
              <w:right w:val="single" w:sz="4" w:space="0" w:color="auto"/>
            </w:tcBorders>
            <w:shd w:val="clear" w:color="auto" w:fill="CCFFCC"/>
            <w:noWrap/>
            <w:vAlign w:val="bottom"/>
          </w:tcPr>
          <w:p w:rsidR="006348B4" w:rsidRPr="006348B4" w:rsidRDefault="006348B4" w:rsidP="006348B4">
            <w:pPr>
              <w:jc w:val="center"/>
              <w:rPr>
                <w:rFonts w:cs="Arial"/>
              </w:rPr>
            </w:pPr>
            <w:r w:rsidRPr="006348B4">
              <w:rPr>
                <w:rFonts w:cs="Arial"/>
              </w:rPr>
              <w:t> </w:t>
            </w:r>
          </w:p>
        </w:tc>
        <w:tc>
          <w:tcPr>
            <w:tcW w:w="1380" w:type="dxa"/>
            <w:tcBorders>
              <w:top w:val="nil"/>
              <w:left w:val="nil"/>
              <w:bottom w:val="single" w:sz="4" w:space="0" w:color="auto"/>
              <w:right w:val="single" w:sz="4" w:space="0" w:color="auto"/>
            </w:tcBorders>
            <w:shd w:val="clear" w:color="auto" w:fill="CCFFCC"/>
            <w:noWrap/>
            <w:vAlign w:val="bottom"/>
          </w:tcPr>
          <w:p w:rsidR="006348B4" w:rsidRPr="006348B4" w:rsidRDefault="006348B4" w:rsidP="006348B4">
            <w:pPr>
              <w:jc w:val="center"/>
              <w:rPr>
                <w:rFonts w:cs="Arial"/>
              </w:rPr>
            </w:pPr>
            <w:r w:rsidRPr="006348B4">
              <w:rPr>
                <w:rFonts w:cs="Arial"/>
              </w:rPr>
              <w:t> </w:t>
            </w:r>
          </w:p>
        </w:tc>
        <w:tc>
          <w:tcPr>
            <w:tcW w:w="1700" w:type="dxa"/>
            <w:tcBorders>
              <w:top w:val="nil"/>
              <w:left w:val="nil"/>
              <w:bottom w:val="single" w:sz="4" w:space="0" w:color="auto"/>
              <w:right w:val="single" w:sz="4" w:space="0" w:color="auto"/>
            </w:tcBorders>
            <w:shd w:val="clear" w:color="auto" w:fill="CCFFCC"/>
            <w:noWrap/>
            <w:vAlign w:val="bottom"/>
          </w:tcPr>
          <w:p w:rsidR="006348B4" w:rsidRPr="006348B4" w:rsidRDefault="006348B4" w:rsidP="006348B4">
            <w:pPr>
              <w:jc w:val="center"/>
              <w:rPr>
                <w:rFonts w:cs="Arial"/>
              </w:rPr>
            </w:pPr>
            <w:r w:rsidRPr="006348B4">
              <w:rPr>
                <w:rFonts w:cs="Arial"/>
              </w:rPr>
              <w:t> </w:t>
            </w:r>
          </w:p>
        </w:tc>
        <w:tc>
          <w:tcPr>
            <w:tcW w:w="1240" w:type="dxa"/>
            <w:tcBorders>
              <w:top w:val="nil"/>
              <w:left w:val="nil"/>
              <w:bottom w:val="single" w:sz="4" w:space="0" w:color="auto"/>
              <w:right w:val="single" w:sz="4" w:space="0" w:color="auto"/>
            </w:tcBorders>
            <w:shd w:val="clear" w:color="auto" w:fill="CCFFCC"/>
            <w:noWrap/>
            <w:vAlign w:val="bottom"/>
          </w:tcPr>
          <w:p w:rsidR="006348B4" w:rsidRPr="006348B4" w:rsidRDefault="006348B4" w:rsidP="006348B4">
            <w:pPr>
              <w:jc w:val="center"/>
              <w:rPr>
                <w:rFonts w:cs="Arial"/>
              </w:rPr>
            </w:pPr>
            <w:r w:rsidRPr="006348B4">
              <w:rPr>
                <w:rFonts w:cs="Arial"/>
              </w:rPr>
              <w:t>PD</w:t>
            </w:r>
          </w:p>
        </w:tc>
        <w:tc>
          <w:tcPr>
            <w:tcW w:w="102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PD+</w:t>
            </w:r>
          </w:p>
        </w:tc>
        <w:tc>
          <w:tcPr>
            <w:tcW w:w="1124" w:type="dxa"/>
            <w:tcBorders>
              <w:top w:val="nil"/>
              <w:left w:val="nil"/>
              <w:bottom w:val="single" w:sz="4" w:space="0" w:color="auto"/>
              <w:right w:val="single" w:sz="8" w:space="0" w:color="auto"/>
            </w:tcBorders>
            <w:shd w:val="clear" w:color="auto" w:fill="auto"/>
            <w:noWrap/>
            <w:vAlign w:val="bottom"/>
          </w:tcPr>
          <w:p w:rsidR="006348B4" w:rsidRPr="006348B4" w:rsidRDefault="006348B4" w:rsidP="006348B4">
            <w:pPr>
              <w:jc w:val="center"/>
              <w:rPr>
                <w:rFonts w:cs="Arial"/>
              </w:rPr>
            </w:pPr>
            <w:r w:rsidRPr="006348B4">
              <w:rPr>
                <w:rFonts w:cs="Arial"/>
              </w:rPr>
              <w:t>PD++</w:t>
            </w:r>
          </w:p>
        </w:tc>
      </w:tr>
      <w:tr w:rsidR="006348B4" w:rsidRPr="006348B4">
        <w:trPr>
          <w:trHeight w:val="255"/>
        </w:trPr>
        <w:tc>
          <w:tcPr>
            <w:tcW w:w="2620" w:type="dxa"/>
            <w:tcBorders>
              <w:top w:val="nil"/>
              <w:left w:val="nil"/>
              <w:bottom w:val="nil"/>
              <w:right w:val="nil"/>
            </w:tcBorders>
            <w:shd w:val="clear" w:color="auto" w:fill="CCFFFF"/>
            <w:noWrap/>
            <w:vAlign w:val="bottom"/>
          </w:tcPr>
          <w:p w:rsidR="006348B4" w:rsidRPr="006348B4" w:rsidRDefault="006348B4" w:rsidP="006348B4">
            <w:pPr>
              <w:rPr>
                <w:rFonts w:cs="Arial"/>
              </w:rPr>
            </w:pPr>
            <w:r w:rsidRPr="006348B4">
              <w:rPr>
                <w:rFonts w:cs="Arial"/>
              </w:rPr>
              <w:t>Mainstream HI/VI</w:t>
            </w:r>
          </w:p>
        </w:tc>
        <w:tc>
          <w:tcPr>
            <w:tcW w:w="960" w:type="dxa"/>
            <w:tcBorders>
              <w:top w:val="nil"/>
              <w:left w:val="single" w:sz="8" w:space="0" w:color="auto"/>
              <w:bottom w:val="single" w:sz="4" w:space="0" w:color="auto"/>
              <w:right w:val="single" w:sz="4" w:space="0" w:color="auto"/>
            </w:tcBorders>
            <w:shd w:val="clear" w:color="auto" w:fill="C0C0C0"/>
            <w:noWrap/>
            <w:vAlign w:val="bottom"/>
          </w:tcPr>
          <w:p w:rsidR="006348B4" w:rsidRPr="006348B4" w:rsidRDefault="006348B4" w:rsidP="006348B4">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C0C0C0"/>
            <w:noWrap/>
            <w:vAlign w:val="bottom"/>
          </w:tcPr>
          <w:p w:rsidR="006348B4" w:rsidRPr="006348B4" w:rsidRDefault="006348B4" w:rsidP="006348B4">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 </w:t>
            </w:r>
          </w:p>
        </w:tc>
        <w:tc>
          <w:tcPr>
            <w:tcW w:w="1660" w:type="dxa"/>
            <w:tcBorders>
              <w:top w:val="nil"/>
              <w:left w:val="nil"/>
              <w:bottom w:val="single" w:sz="4" w:space="0" w:color="auto"/>
              <w:right w:val="single" w:sz="4" w:space="0" w:color="auto"/>
            </w:tcBorders>
            <w:shd w:val="clear" w:color="auto" w:fill="CCFFFF"/>
            <w:noWrap/>
            <w:vAlign w:val="bottom"/>
          </w:tcPr>
          <w:p w:rsidR="006348B4" w:rsidRPr="006348B4" w:rsidRDefault="006348B4" w:rsidP="006348B4">
            <w:pPr>
              <w:jc w:val="center"/>
              <w:rPr>
                <w:rFonts w:cs="Arial"/>
              </w:rPr>
            </w:pPr>
            <w:r w:rsidRPr="006348B4">
              <w:rPr>
                <w:rFonts w:cs="Arial"/>
              </w:rPr>
              <w:t> </w:t>
            </w:r>
          </w:p>
        </w:tc>
        <w:tc>
          <w:tcPr>
            <w:tcW w:w="1380" w:type="dxa"/>
            <w:tcBorders>
              <w:top w:val="nil"/>
              <w:left w:val="nil"/>
              <w:bottom w:val="single" w:sz="4" w:space="0" w:color="auto"/>
              <w:right w:val="single" w:sz="4" w:space="0" w:color="auto"/>
            </w:tcBorders>
            <w:shd w:val="clear" w:color="auto" w:fill="CCFFFF"/>
            <w:noWrap/>
            <w:vAlign w:val="bottom"/>
          </w:tcPr>
          <w:p w:rsidR="006348B4" w:rsidRPr="006348B4" w:rsidRDefault="006348B4" w:rsidP="006348B4">
            <w:pPr>
              <w:jc w:val="center"/>
              <w:rPr>
                <w:rFonts w:cs="Arial"/>
              </w:rPr>
            </w:pPr>
            <w:r w:rsidRPr="006348B4">
              <w:rPr>
                <w:rFonts w:cs="Arial"/>
              </w:rPr>
              <w:t> </w:t>
            </w:r>
          </w:p>
        </w:tc>
        <w:tc>
          <w:tcPr>
            <w:tcW w:w="1700" w:type="dxa"/>
            <w:tcBorders>
              <w:top w:val="nil"/>
              <w:left w:val="nil"/>
              <w:bottom w:val="single" w:sz="4" w:space="0" w:color="auto"/>
              <w:right w:val="single" w:sz="4" w:space="0" w:color="auto"/>
            </w:tcBorders>
            <w:shd w:val="clear" w:color="auto" w:fill="CCFFFF"/>
            <w:noWrap/>
            <w:vAlign w:val="bottom"/>
          </w:tcPr>
          <w:p w:rsidR="006348B4" w:rsidRPr="006348B4" w:rsidRDefault="006348B4" w:rsidP="006348B4">
            <w:pPr>
              <w:jc w:val="center"/>
              <w:rPr>
                <w:rFonts w:cs="Arial"/>
              </w:rPr>
            </w:pPr>
            <w:r w:rsidRPr="006348B4">
              <w:rPr>
                <w:rFonts w:cs="Arial"/>
              </w:rPr>
              <w:t>HI/VI</w:t>
            </w:r>
          </w:p>
        </w:tc>
        <w:tc>
          <w:tcPr>
            <w:tcW w:w="1240" w:type="dxa"/>
            <w:tcBorders>
              <w:top w:val="nil"/>
              <w:left w:val="nil"/>
              <w:bottom w:val="single" w:sz="4" w:space="0" w:color="auto"/>
              <w:right w:val="single" w:sz="4" w:space="0" w:color="auto"/>
            </w:tcBorders>
            <w:shd w:val="clear" w:color="auto" w:fill="CCFFFF"/>
            <w:noWrap/>
            <w:vAlign w:val="bottom"/>
          </w:tcPr>
          <w:p w:rsidR="006348B4" w:rsidRPr="006348B4" w:rsidRDefault="006348B4" w:rsidP="006348B4">
            <w:pPr>
              <w:jc w:val="center"/>
              <w:rPr>
                <w:rFonts w:cs="Arial"/>
              </w:rPr>
            </w:pPr>
            <w:r w:rsidRPr="006348B4">
              <w:rPr>
                <w:rFonts w:cs="Arial"/>
              </w:rPr>
              <w:t> </w:t>
            </w:r>
          </w:p>
        </w:tc>
        <w:tc>
          <w:tcPr>
            <w:tcW w:w="102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rPr>
            </w:pPr>
            <w:smartTag w:uri="urn:schemas-microsoft-com:office:smarttags" w:element="State">
              <w:smartTag w:uri="urn:schemas-microsoft-com:office:smarttags" w:element="place">
                <w:r w:rsidRPr="006348B4">
                  <w:rPr>
                    <w:rFonts w:cs="Arial"/>
                  </w:rPr>
                  <w:t>HI+</w:t>
                </w:r>
              </w:smartTag>
            </w:smartTag>
            <w:r w:rsidRPr="006348B4">
              <w:rPr>
                <w:rFonts w:cs="Arial"/>
              </w:rPr>
              <w:t>/VI+</w:t>
            </w:r>
          </w:p>
        </w:tc>
        <w:tc>
          <w:tcPr>
            <w:tcW w:w="96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 </w:t>
            </w:r>
          </w:p>
        </w:tc>
        <w:tc>
          <w:tcPr>
            <w:tcW w:w="1124" w:type="dxa"/>
            <w:tcBorders>
              <w:top w:val="nil"/>
              <w:left w:val="nil"/>
              <w:bottom w:val="single" w:sz="4" w:space="0" w:color="auto"/>
              <w:right w:val="single" w:sz="8" w:space="0" w:color="auto"/>
            </w:tcBorders>
            <w:shd w:val="clear" w:color="auto" w:fill="auto"/>
            <w:noWrap/>
            <w:vAlign w:val="bottom"/>
          </w:tcPr>
          <w:p w:rsidR="006348B4" w:rsidRPr="006348B4" w:rsidRDefault="006348B4" w:rsidP="006348B4">
            <w:pPr>
              <w:jc w:val="center"/>
              <w:rPr>
                <w:rFonts w:cs="Arial"/>
              </w:rPr>
            </w:pPr>
            <w:r w:rsidRPr="006348B4">
              <w:rPr>
                <w:rFonts w:cs="Arial"/>
              </w:rPr>
              <w:t> </w:t>
            </w:r>
          </w:p>
        </w:tc>
      </w:tr>
      <w:tr w:rsidR="006348B4" w:rsidRPr="006348B4">
        <w:trPr>
          <w:trHeight w:val="270"/>
        </w:trPr>
        <w:tc>
          <w:tcPr>
            <w:tcW w:w="2620" w:type="dxa"/>
            <w:tcBorders>
              <w:top w:val="nil"/>
              <w:left w:val="nil"/>
              <w:bottom w:val="nil"/>
              <w:right w:val="nil"/>
            </w:tcBorders>
            <w:shd w:val="clear" w:color="auto" w:fill="99CCFF"/>
            <w:noWrap/>
            <w:vAlign w:val="bottom"/>
          </w:tcPr>
          <w:p w:rsidR="006348B4" w:rsidRPr="006348B4" w:rsidRDefault="006348B4" w:rsidP="006348B4">
            <w:pPr>
              <w:rPr>
                <w:rFonts w:cs="Arial"/>
              </w:rPr>
            </w:pPr>
            <w:r w:rsidRPr="006348B4">
              <w:rPr>
                <w:rFonts w:cs="Arial"/>
              </w:rPr>
              <w:t>Mainstream BESD</w:t>
            </w:r>
          </w:p>
        </w:tc>
        <w:tc>
          <w:tcPr>
            <w:tcW w:w="960" w:type="dxa"/>
            <w:tcBorders>
              <w:top w:val="nil"/>
              <w:left w:val="single" w:sz="8" w:space="0" w:color="auto"/>
              <w:bottom w:val="single" w:sz="8" w:space="0" w:color="auto"/>
              <w:right w:val="single" w:sz="4" w:space="0" w:color="auto"/>
            </w:tcBorders>
            <w:shd w:val="clear" w:color="auto" w:fill="C0C0C0"/>
            <w:noWrap/>
            <w:vAlign w:val="bottom"/>
          </w:tcPr>
          <w:p w:rsidR="006348B4" w:rsidRPr="006348B4" w:rsidRDefault="006348B4" w:rsidP="006348B4">
            <w:pPr>
              <w:jc w:val="center"/>
              <w:rPr>
                <w:rFonts w:cs="Arial"/>
              </w:rPr>
            </w:pPr>
            <w:r w:rsidRPr="006348B4">
              <w:rPr>
                <w:rFonts w:cs="Arial"/>
              </w:rPr>
              <w:t> </w:t>
            </w:r>
          </w:p>
        </w:tc>
        <w:tc>
          <w:tcPr>
            <w:tcW w:w="960" w:type="dxa"/>
            <w:tcBorders>
              <w:top w:val="nil"/>
              <w:left w:val="nil"/>
              <w:bottom w:val="single" w:sz="8" w:space="0" w:color="auto"/>
              <w:right w:val="single" w:sz="4" w:space="0" w:color="auto"/>
            </w:tcBorders>
            <w:shd w:val="clear" w:color="auto" w:fill="C0C0C0"/>
            <w:noWrap/>
            <w:vAlign w:val="bottom"/>
          </w:tcPr>
          <w:p w:rsidR="006348B4" w:rsidRPr="006348B4" w:rsidRDefault="006348B4" w:rsidP="006348B4">
            <w:pPr>
              <w:jc w:val="center"/>
              <w:rPr>
                <w:rFonts w:cs="Arial"/>
              </w:rPr>
            </w:pPr>
            <w:r w:rsidRPr="006348B4">
              <w:rPr>
                <w:rFonts w:cs="Arial"/>
              </w:rPr>
              <w:t> </w:t>
            </w:r>
          </w:p>
        </w:tc>
        <w:tc>
          <w:tcPr>
            <w:tcW w:w="960" w:type="dxa"/>
            <w:tcBorders>
              <w:top w:val="nil"/>
              <w:left w:val="nil"/>
              <w:bottom w:val="single" w:sz="8"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 </w:t>
            </w:r>
          </w:p>
        </w:tc>
        <w:tc>
          <w:tcPr>
            <w:tcW w:w="1660" w:type="dxa"/>
            <w:tcBorders>
              <w:top w:val="nil"/>
              <w:left w:val="nil"/>
              <w:bottom w:val="single" w:sz="8" w:space="0" w:color="auto"/>
              <w:right w:val="single" w:sz="4" w:space="0" w:color="auto"/>
            </w:tcBorders>
            <w:shd w:val="clear" w:color="auto" w:fill="99CCFF"/>
            <w:noWrap/>
            <w:vAlign w:val="bottom"/>
          </w:tcPr>
          <w:p w:rsidR="006348B4" w:rsidRPr="006348B4" w:rsidRDefault="006348B4" w:rsidP="006348B4">
            <w:pPr>
              <w:jc w:val="center"/>
              <w:rPr>
                <w:rFonts w:cs="Arial"/>
              </w:rPr>
            </w:pPr>
            <w:r w:rsidRPr="006348B4">
              <w:rPr>
                <w:rFonts w:cs="Arial"/>
              </w:rPr>
              <w:t> </w:t>
            </w:r>
          </w:p>
        </w:tc>
        <w:tc>
          <w:tcPr>
            <w:tcW w:w="1380" w:type="dxa"/>
            <w:tcBorders>
              <w:top w:val="nil"/>
              <w:left w:val="nil"/>
              <w:bottom w:val="single" w:sz="8" w:space="0" w:color="auto"/>
              <w:right w:val="single" w:sz="4" w:space="0" w:color="auto"/>
            </w:tcBorders>
            <w:shd w:val="clear" w:color="auto" w:fill="99CCFF"/>
            <w:noWrap/>
            <w:vAlign w:val="bottom"/>
          </w:tcPr>
          <w:p w:rsidR="006348B4" w:rsidRPr="006348B4" w:rsidRDefault="006348B4" w:rsidP="006348B4">
            <w:pPr>
              <w:jc w:val="center"/>
              <w:rPr>
                <w:rFonts w:cs="Arial"/>
              </w:rPr>
            </w:pPr>
            <w:r w:rsidRPr="006348B4">
              <w:rPr>
                <w:rFonts w:cs="Arial"/>
              </w:rPr>
              <w:t> </w:t>
            </w:r>
          </w:p>
        </w:tc>
        <w:tc>
          <w:tcPr>
            <w:tcW w:w="1700" w:type="dxa"/>
            <w:tcBorders>
              <w:top w:val="nil"/>
              <w:left w:val="nil"/>
              <w:bottom w:val="single" w:sz="8" w:space="0" w:color="auto"/>
              <w:right w:val="single" w:sz="4" w:space="0" w:color="auto"/>
            </w:tcBorders>
            <w:shd w:val="clear" w:color="auto" w:fill="99CCFF"/>
            <w:noWrap/>
            <w:vAlign w:val="bottom"/>
          </w:tcPr>
          <w:p w:rsidR="006348B4" w:rsidRPr="006348B4" w:rsidRDefault="006348B4" w:rsidP="006348B4">
            <w:pPr>
              <w:jc w:val="center"/>
              <w:rPr>
                <w:rFonts w:cs="Arial"/>
              </w:rPr>
            </w:pPr>
            <w:r w:rsidRPr="006348B4">
              <w:rPr>
                <w:rFonts w:cs="Arial"/>
              </w:rPr>
              <w:t> </w:t>
            </w:r>
          </w:p>
        </w:tc>
        <w:tc>
          <w:tcPr>
            <w:tcW w:w="1240" w:type="dxa"/>
            <w:tcBorders>
              <w:top w:val="nil"/>
              <w:left w:val="nil"/>
              <w:bottom w:val="single" w:sz="8" w:space="0" w:color="auto"/>
              <w:right w:val="single" w:sz="4" w:space="0" w:color="auto"/>
            </w:tcBorders>
            <w:shd w:val="clear" w:color="auto" w:fill="99CCFF"/>
            <w:noWrap/>
            <w:vAlign w:val="bottom"/>
          </w:tcPr>
          <w:p w:rsidR="006348B4" w:rsidRPr="006348B4" w:rsidRDefault="006348B4" w:rsidP="006348B4">
            <w:pPr>
              <w:jc w:val="center"/>
              <w:rPr>
                <w:rFonts w:cs="Arial"/>
              </w:rPr>
            </w:pPr>
            <w:r w:rsidRPr="006348B4">
              <w:rPr>
                <w:rFonts w:cs="Arial"/>
              </w:rPr>
              <w:t>BESD</w:t>
            </w:r>
          </w:p>
        </w:tc>
        <w:tc>
          <w:tcPr>
            <w:tcW w:w="1020" w:type="dxa"/>
            <w:tcBorders>
              <w:top w:val="nil"/>
              <w:left w:val="nil"/>
              <w:bottom w:val="single" w:sz="8"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 </w:t>
            </w:r>
          </w:p>
        </w:tc>
        <w:tc>
          <w:tcPr>
            <w:tcW w:w="960" w:type="dxa"/>
            <w:tcBorders>
              <w:top w:val="nil"/>
              <w:left w:val="nil"/>
              <w:bottom w:val="single" w:sz="8"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BESD+</w:t>
            </w:r>
          </w:p>
        </w:tc>
        <w:tc>
          <w:tcPr>
            <w:tcW w:w="1124" w:type="dxa"/>
            <w:tcBorders>
              <w:top w:val="nil"/>
              <w:left w:val="nil"/>
              <w:bottom w:val="single" w:sz="8" w:space="0" w:color="auto"/>
              <w:right w:val="single" w:sz="8" w:space="0" w:color="auto"/>
            </w:tcBorders>
            <w:shd w:val="clear" w:color="auto" w:fill="auto"/>
            <w:noWrap/>
            <w:vAlign w:val="bottom"/>
          </w:tcPr>
          <w:p w:rsidR="006348B4" w:rsidRPr="006348B4" w:rsidRDefault="006348B4" w:rsidP="006348B4">
            <w:pPr>
              <w:jc w:val="center"/>
              <w:rPr>
                <w:rFonts w:cs="Arial"/>
              </w:rPr>
            </w:pPr>
            <w:r w:rsidRPr="006348B4">
              <w:rPr>
                <w:rFonts w:cs="Arial"/>
              </w:rPr>
              <w:t>BESD++</w:t>
            </w:r>
          </w:p>
        </w:tc>
      </w:tr>
      <w:tr w:rsidR="006348B4" w:rsidRPr="006348B4">
        <w:trPr>
          <w:trHeight w:val="255"/>
        </w:trPr>
        <w:tc>
          <w:tcPr>
            <w:tcW w:w="2620" w:type="dxa"/>
            <w:tcBorders>
              <w:top w:val="nil"/>
              <w:left w:val="nil"/>
              <w:bottom w:val="nil"/>
              <w:right w:val="nil"/>
            </w:tcBorders>
            <w:shd w:val="clear" w:color="auto" w:fill="auto"/>
            <w:noWrap/>
            <w:vAlign w:val="bottom"/>
          </w:tcPr>
          <w:p w:rsidR="006348B4" w:rsidRPr="006348B4" w:rsidRDefault="006348B4" w:rsidP="006348B4">
            <w:pPr>
              <w:rPr>
                <w:rFonts w:cs="Arial"/>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6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38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70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24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02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124"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r>
      <w:tr w:rsidR="006348B4" w:rsidRPr="006348B4">
        <w:trPr>
          <w:trHeight w:val="255"/>
        </w:trPr>
        <w:tc>
          <w:tcPr>
            <w:tcW w:w="2620" w:type="dxa"/>
            <w:tcBorders>
              <w:top w:val="nil"/>
              <w:left w:val="nil"/>
              <w:bottom w:val="nil"/>
              <w:right w:val="nil"/>
            </w:tcBorders>
            <w:shd w:val="clear" w:color="auto" w:fill="auto"/>
            <w:noWrap/>
            <w:vAlign w:val="bottom"/>
          </w:tcPr>
          <w:p w:rsidR="006348B4" w:rsidRPr="006348B4" w:rsidRDefault="006348B4" w:rsidP="006348B4">
            <w:pPr>
              <w:rPr>
                <w:rFonts w:cs="Arial"/>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6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38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70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24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02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124"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r>
      <w:tr w:rsidR="006348B4" w:rsidRPr="006348B4">
        <w:trPr>
          <w:trHeight w:val="255"/>
        </w:trPr>
        <w:tc>
          <w:tcPr>
            <w:tcW w:w="10240" w:type="dxa"/>
            <w:gridSpan w:val="7"/>
            <w:tcBorders>
              <w:top w:val="nil"/>
              <w:left w:val="nil"/>
              <w:bottom w:val="nil"/>
              <w:right w:val="nil"/>
            </w:tcBorders>
            <w:shd w:val="clear" w:color="auto" w:fill="auto"/>
            <w:noWrap/>
            <w:vAlign w:val="bottom"/>
          </w:tcPr>
          <w:p w:rsidR="006348B4" w:rsidRPr="006348B4" w:rsidRDefault="006348B4" w:rsidP="006348B4">
            <w:pPr>
              <w:rPr>
                <w:rFonts w:cs="Arial"/>
                <w:b/>
                <w:bCs/>
              </w:rPr>
            </w:pPr>
            <w:r w:rsidRPr="006348B4">
              <w:rPr>
                <w:rFonts w:cs="Arial"/>
                <w:b/>
                <w:bCs/>
              </w:rPr>
              <w:t>Mainstream funding is within colour coded Bands (mainly range 4)</w:t>
            </w:r>
          </w:p>
        </w:tc>
        <w:tc>
          <w:tcPr>
            <w:tcW w:w="124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02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124"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r>
      <w:tr w:rsidR="006348B4" w:rsidRPr="006348B4">
        <w:trPr>
          <w:trHeight w:val="255"/>
        </w:trPr>
        <w:tc>
          <w:tcPr>
            <w:tcW w:w="10240" w:type="dxa"/>
            <w:gridSpan w:val="7"/>
            <w:tcBorders>
              <w:top w:val="nil"/>
              <w:left w:val="nil"/>
              <w:bottom w:val="nil"/>
              <w:right w:val="nil"/>
            </w:tcBorders>
            <w:shd w:val="clear" w:color="auto" w:fill="auto"/>
            <w:noWrap/>
            <w:vAlign w:val="bottom"/>
          </w:tcPr>
          <w:p w:rsidR="006348B4" w:rsidRPr="006348B4" w:rsidRDefault="006348B4" w:rsidP="006348B4">
            <w:pPr>
              <w:rPr>
                <w:rFonts w:cs="Arial"/>
                <w:b/>
                <w:bCs/>
              </w:rPr>
            </w:pPr>
            <w:r w:rsidRPr="006348B4">
              <w:rPr>
                <w:rFonts w:cs="Arial"/>
                <w:b/>
                <w:bCs/>
              </w:rPr>
              <w:t>Funding is determined by actual Primary Need and is shown as text</w:t>
            </w:r>
          </w:p>
        </w:tc>
        <w:tc>
          <w:tcPr>
            <w:tcW w:w="124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02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124"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r>
    </w:tbl>
    <w:p w:rsidR="006348B4" w:rsidRDefault="006348B4" w:rsidP="0014609D">
      <w:pPr>
        <w:jc w:val="both"/>
        <w:rPr>
          <w:sz w:val="22"/>
          <w:szCs w:val="22"/>
        </w:rPr>
      </w:pPr>
    </w:p>
    <w:p w:rsidR="006348B4" w:rsidRDefault="006348B4" w:rsidP="0014609D">
      <w:pPr>
        <w:jc w:val="both"/>
        <w:rPr>
          <w:sz w:val="22"/>
          <w:szCs w:val="22"/>
        </w:rPr>
      </w:pPr>
    </w:p>
    <w:p w:rsidR="006348B4" w:rsidRPr="00141F78" w:rsidRDefault="00141F78" w:rsidP="00141F78">
      <w:pPr>
        <w:jc w:val="both"/>
        <w:rPr>
          <w:sz w:val="22"/>
          <w:szCs w:val="22"/>
        </w:rPr>
      </w:pPr>
      <w:r w:rsidRPr="00141F78">
        <w:rPr>
          <w:sz w:val="22"/>
          <w:szCs w:val="22"/>
        </w:rPr>
        <w:t>*</w:t>
      </w:r>
      <w:r>
        <w:rPr>
          <w:sz w:val="22"/>
          <w:szCs w:val="22"/>
        </w:rPr>
        <w:t xml:space="preserve"> </w:t>
      </w:r>
      <w:r w:rsidRPr="00141F78">
        <w:rPr>
          <w:sz w:val="22"/>
          <w:szCs w:val="22"/>
        </w:rPr>
        <w:t>Values excluding any allocation of one off monies</w:t>
      </w: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sectPr w:rsidR="006348B4" w:rsidSect="00ED7708">
          <w:pgSz w:w="16838" w:h="11906" w:orient="landscape"/>
          <w:pgMar w:top="624" w:right="624" w:bottom="624" w:left="624" w:header="709" w:footer="709" w:gutter="0"/>
          <w:cols w:space="708"/>
          <w:docGrid w:linePitch="360"/>
        </w:sectPr>
      </w:pPr>
    </w:p>
    <w:p w:rsidR="006348B4" w:rsidRDefault="006348B4" w:rsidP="006348B4">
      <w:pPr>
        <w:jc w:val="center"/>
        <w:rPr>
          <w:b/>
          <w:sz w:val="28"/>
          <w:szCs w:val="28"/>
          <w:u w:val="single"/>
        </w:rPr>
      </w:pPr>
      <w:r>
        <w:rPr>
          <w:b/>
          <w:sz w:val="28"/>
          <w:szCs w:val="28"/>
          <w:u w:val="single"/>
        </w:rPr>
        <w:lastRenderedPageBreak/>
        <w:t xml:space="preserve">RESPONSES </w:t>
      </w:r>
      <w:smartTag w:uri="urn:schemas-microsoft-com:office:smarttags" w:element="stockticker">
        <w:r>
          <w:rPr>
            <w:b/>
            <w:sz w:val="28"/>
            <w:szCs w:val="28"/>
            <w:u w:val="single"/>
          </w:rPr>
          <w:t>FORM</w:t>
        </w:r>
      </w:smartTag>
    </w:p>
    <w:p w:rsidR="006348B4" w:rsidRDefault="006348B4" w:rsidP="006348B4">
      <w:pPr>
        <w:jc w:val="center"/>
        <w:rPr>
          <w:b/>
          <w:sz w:val="28"/>
          <w:szCs w:val="28"/>
          <w:u w:val="single"/>
        </w:rPr>
      </w:pPr>
    </w:p>
    <w:p w:rsidR="006348B4" w:rsidRPr="00B74359" w:rsidRDefault="006348B4" w:rsidP="006348B4">
      <w:pPr>
        <w:jc w:val="center"/>
        <w:rPr>
          <w:b/>
          <w:sz w:val="28"/>
          <w:szCs w:val="28"/>
          <w:u w:val="single"/>
        </w:rPr>
      </w:pPr>
      <w:r w:rsidRPr="00B74359">
        <w:rPr>
          <w:b/>
          <w:sz w:val="28"/>
          <w:szCs w:val="28"/>
          <w:u w:val="single"/>
        </w:rPr>
        <w:t xml:space="preserve">Consultation on </w:t>
      </w:r>
      <w:r>
        <w:rPr>
          <w:b/>
          <w:sz w:val="28"/>
          <w:szCs w:val="28"/>
          <w:u w:val="single"/>
        </w:rPr>
        <w:t>F</w:t>
      </w:r>
      <w:r w:rsidR="00BD51AF">
        <w:rPr>
          <w:b/>
          <w:sz w:val="28"/>
          <w:szCs w:val="28"/>
          <w:u w:val="single"/>
        </w:rPr>
        <w:t>unding High Needs Provision 2015/16</w:t>
      </w:r>
    </w:p>
    <w:p w:rsidR="006348B4" w:rsidRPr="00406CDD" w:rsidRDefault="006348B4" w:rsidP="006348B4">
      <w:pPr>
        <w:jc w:val="center"/>
        <w:rPr>
          <w:rFonts w:cs="Arial"/>
          <w:b/>
          <w:sz w:val="32"/>
          <w:szCs w:val="32"/>
          <w:u w:val="single"/>
        </w:rPr>
      </w:pPr>
    </w:p>
    <w:p w:rsidR="006348B4" w:rsidRDefault="006348B4" w:rsidP="006348B4">
      <w:pPr>
        <w:jc w:val="both"/>
        <w:rPr>
          <w:rFonts w:cs="Arial"/>
          <w:b/>
          <w:u w:val="single"/>
        </w:rPr>
      </w:pPr>
    </w:p>
    <w:p w:rsidR="006348B4" w:rsidRPr="00B74359" w:rsidRDefault="006348B4" w:rsidP="006348B4">
      <w:pPr>
        <w:jc w:val="both"/>
        <w:rPr>
          <w:rFonts w:cs="Arial"/>
          <w:sz w:val="22"/>
          <w:szCs w:val="22"/>
        </w:rPr>
      </w:pPr>
      <w:r w:rsidRPr="00B74359">
        <w:rPr>
          <w:rFonts w:cs="Arial"/>
          <w:sz w:val="22"/>
          <w:szCs w:val="22"/>
        </w:rPr>
        <w:t xml:space="preserve">Name </w:t>
      </w:r>
      <w:r>
        <w:rPr>
          <w:rFonts w:cs="Arial"/>
          <w:sz w:val="22"/>
          <w:szCs w:val="22"/>
        </w:rPr>
        <w:t>_____________________________</w:t>
      </w:r>
      <w:r>
        <w:rPr>
          <w:rFonts w:cs="Arial"/>
          <w:sz w:val="22"/>
          <w:szCs w:val="22"/>
        </w:rPr>
        <w:tab/>
        <w:t xml:space="preserve">Setting Name </w:t>
      </w:r>
      <w:r w:rsidRPr="00B74359">
        <w:rPr>
          <w:rFonts w:cs="Arial"/>
          <w:sz w:val="22"/>
          <w:szCs w:val="22"/>
        </w:rPr>
        <w:t>__</w:t>
      </w:r>
      <w:r>
        <w:rPr>
          <w:rFonts w:cs="Arial"/>
          <w:sz w:val="22"/>
          <w:szCs w:val="22"/>
        </w:rPr>
        <w:t>_______________________________</w:t>
      </w:r>
    </w:p>
    <w:p w:rsidR="006348B4" w:rsidRPr="00A70F31" w:rsidRDefault="006348B4" w:rsidP="006348B4">
      <w:pPr>
        <w:jc w:val="both"/>
        <w:rPr>
          <w:rFonts w:cs="Arial"/>
          <w:b/>
          <w:sz w:val="16"/>
          <w:szCs w:val="16"/>
          <w:u w:val="single"/>
        </w:rPr>
      </w:pPr>
    </w:p>
    <w:p w:rsidR="006348B4" w:rsidRPr="00A70F31" w:rsidRDefault="006348B4" w:rsidP="006348B4">
      <w:pPr>
        <w:jc w:val="center"/>
        <w:rPr>
          <w:rFonts w:cs="Arial"/>
          <w:b/>
          <w:color w:val="FF0000"/>
          <w:sz w:val="16"/>
          <w:szCs w:val="16"/>
        </w:rPr>
      </w:pPr>
    </w:p>
    <w:p w:rsidR="006348B4" w:rsidRPr="00B74359" w:rsidRDefault="006348B4" w:rsidP="006348B4">
      <w:pPr>
        <w:jc w:val="center"/>
        <w:rPr>
          <w:rFonts w:cs="Arial"/>
          <w:b/>
          <w:color w:val="FF0000"/>
          <w:sz w:val="22"/>
          <w:szCs w:val="22"/>
        </w:rPr>
      </w:pPr>
      <w:r>
        <w:rPr>
          <w:rFonts w:cs="Arial"/>
          <w:b/>
          <w:color w:val="FF0000"/>
          <w:sz w:val="22"/>
          <w:szCs w:val="22"/>
        </w:rPr>
        <w:t xml:space="preserve">THE </w:t>
      </w:r>
      <w:r w:rsidRPr="00B74359">
        <w:rPr>
          <w:rFonts w:cs="Arial"/>
          <w:b/>
          <w:color w:val="FF0000"/>
          <w:sz w:val="22"/>
          <w:szCs w:val="22"/>
        </w:rPr>
        <w:t xml:space="preserve">DEADLINE FOR RESPONSES TO THIS CONSULTATION IS </w:t>
      </w:r>
      <w:r w:rsidR="00BD51AF">
        <w:rPr>
          <w:rFonts w:cs="Arial"/>
          <w:b/>
          <w:color w:val="FF0000"/>
          <w:sz w:val="22"/>
          <w:szCs w:val="22"/>
        </w:rPr>
        <w:t>MONDAY 1 DECEMBER 2014</w:t>
      </w:r>
    </w:p>
    <w:p w:rsidR="006348B4" w:rsidRPr="00A70F31" w:rsidRDefault="006348B4" w:rsidP="006348B4">
      <w:pPr>
        <w:jc w:val="both"/>
        <w:rPr>
          <w:rFonts w:cs="Arial"/>
          <w:sz w:val="16"/>
          <w:szCs w:val="16"/>
        </w:rPr>
      </w:pPr>
    </w:p>
    <w:p w:rsidR="006348B4" w:rsidRPr="00A70F31" w:rsidRDefault="006348B4" w:rsidP="006348B4">
      <w:pPr>
        <w:jc w:val="both"/>
        <w:rPr>
          <w:rFonts w:cs="Arial"/>
          <w:sz w:val="16"/>
          <w:szCs w:val="16"/>
        </w:rPr>
      </w:pPr>
    </w:p>
    <w:p w:rsidR="006348B4" w:rsidRDefault="006348B4" w:rsidP="006348B4">
      <w:pPr>
        <w:jc w:val="both"/>
        <w:rPr>
          <w:rFonts w:cs="Arial"/>
        </w:rPr>
      </w:pPr>
      <w:r>
        <w:rPr>
          <w:rFonts w:cs="Arial"/>
        </w:rPr>
        <w:t>Please send completed questionnaire responses to:</w:t>
      </w:r>
    </w:p>
    <w:p w:rsidR="006348B4" w:rsidRDefault="006348B4" w:rsidP="006348B4">
      <w:pPr>
        <w:jc w:val="both"/>
        <w:rPr>
          <w:rFonts w:cs="Arial"/>
        </w:rPr>
      </w:pPr>
    </w:p>
    <w:p w:rsidR="006348B4" w:rsidRDefault="006348B4" w:rsidP="006348B4">
      <w:pPr>
        <w:jc w:val="both"/>
        <w:rPr>
          <w:rFonts w:cs="Arial"/>
        </w:rPr>
      </w:pPr>
      <w:smartTag w:uri="urn:schemas-microsoft-com:office:smarttags" w:element="PersonName">
        <w:smartTag w:uri="urn:schemas-microsoft-com:office:smarttags" w:element="PersonName">
          <w:r>
            <w:rPr>
              <w:rFonts w:cs="Arial"/>
            </w:rPr>
            <w:t>School Funding</w:t>
          </w:r>
        </w:smartTag>
        <w:r>
          <w:rPr>
            <w:rFonts w:cs="Arial"/>
          </w:rPr>
          <w:t xml:space="preserve"> Team</w:t>
        </w:r>
      </w:smartTag>
    </w:p>
    <w:p w:rsidR="006348B4" w:rsidRDefault="006348B4" w:rsidP="006348B4">
      <w:pPr>
        <w:jc w:val="both"/>
        <w:rPr>
          <w:rFonts w:cs="Arial"/>
        </w:rPr>
      </w:pPr>
      <w:r>
        <w:rPr>
          <w:rFonts w:cs="Arial"/>
        </w:rPr>
        <w:t>City of Bradford Metropolitan District Council</w:t>
      </w:r>
    </w:p>
    <w:p w:rsidR="006348B4" w:rsidRDefault="006348B4" w:rsidP="006348B4">
      <w:pPr>
        <w:jc w:val="both"/>
        <w:rPr>
          <w:rFonts w:cs="Arial"/>
        </w:rPr>
      </w:pPr>
      <w:r>
        <w:rPr>
          <w:rFonts w:cs="Arial"/>
        </w:rPr>
        <w:t>Future House</w:t>
      </w:r>
    </w:p>
    <w:p w:rsidR="006348B4" w:rsidRDefault="006348B4" w:rsidP="006348B4">
      <w:pPr>
        <w:jc w:val="both"/>
        <w:rPr>
          <w:rFonts w:cs="Arial"/>
        </w:rPr>
      </w:pPr>
      <w:proofErr w:type="spellStart"/>
      <w:smartTag w:uri="urn:schemas-microsoft-com:office:smarttags" w:element="Street">
        <w:smartTag w:uri="urn:schemas-microsoft-com:office:smarttags" w:element="address">
          <w:r>
            <w:rPr>
              <w:rFonts w:cs="Arial"/>
            </w:rPr>
            <w:t>Bolling</w:t>
          </w:r>
          <w:proofErr w:type="spellEnd"/>
          <w:r>
            <w:rPr>
              <w:rFonts w:cs="Arial"/>
            </w:rPr>
            <w:t xml:space="preserve"> Road</w:t>
          </w:r>
        </w:smartTag>
      </w:smartTag>
    </w:p>
    <w:p w:rsidR="006348B4" w:rsidRDefault="006348B4" w:rsidP="006348B4">
      <w:pPr>
        <w:jc w:val="both"/>
        <w:rPr>
          <w:rFonts w:cs="Arial"/>
        </w:rPr>
      </w:pPr>
      <w:smartTag w:uri="urn:schemas-microsoft-com:office:smarttags" w:element="place">
        <w:r>
          <w:rPr>
            <w:rFonts w:cs="Arial"/>
          </w:rPr>
          <w:t>Bradford</w:t>
        </w:r>
      </w:smartTag>
    </w:p>
    <w:p w:rsidR="006348B4" w:rsidRDefault="006348B4" w:rsidP="006348B4">
      <w:pPr>
        <w:jc w:val="both"/>
        <w:rPr>
          <w:rFonts w:cs="Arial"/>
        </w:rPr>
      </w:pPr>
      <w:r>
        <w:rPr>
          <w:rFonts w:cs="Arial"/>
        </w:rPr>
        <w:t>BD4 7EB</w:t>
      </w:r>
    </w:p>
    <w:p w:rsidR="006348B4" w:rsidRDefault="006348B4" w:rsidP="006348B4">
      <w:pPr>
        <w:jc w:val="both"/>
        <w:rPr>
          <w:rFonts w:cs="Arial"/>
        </w:rPr>
      </w:pPr>
    </w:p>
    <w:p w:rsidR="006348B4" w:rsidRDefault="006348B4" w:rsidP="006348B4">
      <w:pPr>
        <w:jc w:val="both"/>
        <w:rPr>
          <w:rFonts w:cs="Arial"/>
        </w:rPr>
      </w:pPr>
      <w:r>
        <w:rPr>
          <w:rFonts w:cs="Arial"/>
        </w:rPr>
        <w:t xml:space="preserve">Tel: </w:t>
      </w:r>
      <w:r>
        <w:rPr>
          <w:rFonts w:cs="Arial"/>
        </w:rPr>
        <w:tab/>
        <w:t>01274 385702</w:t>
      </w:r>
    </w:p>
    <w:p w:rsidR="006348B4" w:rsidRDefault="006348B4" w:rsidP="006348B4">
      <w:pPr>
        <w:jc w:val="both"/>
        <w:rPr>
          <w:rFonts w:cs="Arial"/>
        </w:rPr>
      </w:pPr>
      <w:r>
        <w:rPr>
          <w:rFonts w:cs="Arial"/>
        </w:rPr>
        <w:t xml:space="preserve">Fax: </w:t>
      </w:r>
      <w:r>
        <w:rPr>
          <w:rFonts w:cs="Arial"/>
        </w:rPr>
        <w:tab/>
        <w:t>01274 385695</w:t>
      </w:r>
    </w:p>
    <w:p w:rsidR="006348B4" w:rsidRDefault="006348B4" w:rsidP="006348B4">
      <w:pPr>
        <w:jc w:val="both"/>
        <w:rPr>
          <w:rFonts w:cs="Arial"/>
        </w:rPr>
      </w:pPr>
      <w:r>
        <w:rPr>
          <w:rFonts w:cs="Arial"/>
        </w:rPr>
        <w:t xml:space="preserve">Email: </w:t>
      </w:r>
      <w:r>
        <w:rPr>
          <w:rFonts w:cs="Arial"/>
        </w:rPr>
        <w:tab/>
      </w:r>
      <w:hyperlink r:id="rId13" w:history="1">
        <w:r w:rsidR="00BD51AF" w:rsidRPr="00B04F76">
          <w:rPr>
            <w:rStyle w:val="Hyperlink"/>
            <w:rFonts w:cs="Arial"/>
          </w:rPr>
          <w:t>andrew.redding@bradford.gov.uk</w:t>
        </w:r>
      </w:hyperlink>
    </w:p>
    <w:p w:rsidR="006348B4" w:rsidRPr="00A70F31" w:rsidRDefault="006348B4" w:rsidP="006348B4">
      <w:pPr>
        <w:jc w:val="both"/>
        <w:rPr>
          <w:rFonts w:cs="Arial"/>
          <w:sz w:val="16"/>
          <w:szCs w:val="16"/>
        </w:rPr>
      </w:pPr>
    </w:p>
    <w:p w:rsidR="006348B4" w:rsidRPr="00A70F31" w:rsidRDefault="006348B4" w:rsidP="006348B4">
      <w:pPr>
        <w:jc w:val="both"/>
        <w:rPr>
          <w:rFonts w:cs="Arial"/>
          <w:sz w:val="16"/>
          <w:szCs w:val="16"/>
        </w:rPr>
      </w:pPr>
    </w:p>
    <w:p w:rsidR="006348B4" w:rsidRDefault="006348B4" w:rsidP="006348B4">
      <w:pPr>
        <w:jc w:val="both"/>
        <w:rPr>
          <w:rFonts w:cs="Arial"/>
        </w:rPr>
      </w:pPr>
      <w:r>
        <w:rPr>
          <w:rFonts w:cs="Arial"/>
        </w:rPr>
        <w:t>Please complete the questionnaire by marking the appropriate boxes. There is a space below each question for you to record comments.</w:t>
      </w:r>
    </w:p>
    <w:p w:rsidR="006348B4" w:rsidRPr="00246EEE" w:rsidRDefault="006348B4" w:rsidP="006348B4">
      <w:pPr>
        <w:jc w:val="both"/>
        <w:rPr>
          <w:rFonts w:cs="Arial"/>
        </w:rPr>
      </w:pPr>
    </w:p>
    <w:p w:rsidR="006348B4" w:rsidRPr="009E4371" w:rsidRDefault="00ED4A3E" w:rsidP="006348B4">
      <w:pPr>
        <w:jc w:val="both"/>
        <w:rPr>
          <w:rFonts w:cs="Arial"/>
        </w:rPr>
      </w:pPr>
      <w:r>
        <w:rPr>
          <w:rFonts w:cs="Arial"/>
          <w:noProof/>
        </w:rPr>
        <mc:AlternateContent>
          <mc:Choice Requires="wps">
            <w:drawing>
              <wp:anchor distT="0" distB="0" distL="114300" distR="114300" simplePos="0" relativeHeight="251651072" behindDoc="0" locked="0" layoutInCell="1" allowOverlap="1" wp14:anchorId="14B2AC4E" wp14:editId="2588E79B">
                <wp:simplePos x="0" y="0"/>
                <wp:positionH relativeFrom="column">
                  <wp:posOffset>0</wp:posOffset>
                </wp:positionH>
                <wp:positionV relativeFrom="paragraph">
                  <wp:posOffset>45720</wp:posOffset>
                </wp:positionV>
                <wp:extent cx="6743700" cy="0"/>
                <wp:effectExtent l="19050" t="17145" r="19050" b="20955"/>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53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oevFAIAACo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" strokeweight="2.25pt"/>
            </w:pict>
          </mc:Fallback>
        </mc:AlternateContent>
      </w:r>
    </w:p>
    <w:p w:rsidR="006348B4" w:rsidRDefault="006348B4" w:rsidP="006348B4">
      <w:pPr>
        <w:jc w:val="both"/>
        <w:rPr>
          <w:b/>
          <w:color w:val="0000FF"/>
          <w:sz w:val="22"/>
          <w:szCs w:val="22"/>
        </w:rPr>
      </w:pPr>
    </w:p>
    <w:p w:rsidR="00147860" w:rsidRDefault="00147860" w:rsidP="00147860">
      <w:pPr>
        <w:jc w:val="both"/>
        <w:rPr>
          <w:b/>
          <w:color w:val="0000FF"/>
          <w:sz w:val="22"/>
          <w:szCs w:val="22"/>
        </w:rPr>
      </w:pPr>
      <w:r w:rsidRPr="00040651">
        <w:rPr>
          <w:b/>
          <w:color w:val="0000FF"/>
          <w:sz w:val="22"/>
          <w:szCs w:val="22"/>
        </w:rPr>
        <w:t>Question 1: Do you have any comments on the place</w:t>
      </w:r>
      <w:r>
        <w:rPr>
          <w:b/>
          <w:color w:val="0000FF"/>
          <w:sz w:val="22"/>
          <w:szCs w:val="22"/>
        </w:rPr>
        <w:t>s (or the distribution of places) that are planned to be funded from the High Needs Block in the 2015/16 academic year</w:t>
      </w:r>
      <w:r w:rsidRPr="00040651">
        <w:rPr>
          <w:b/>
          <w:color w:val="0000FF"/>
          <w:sz w:val="22"/>
          <w:szCs w:val="22"/>
        </w:rPr>
        <w:t>?</w:t>
      </w:r>
    </w:p>
    <w:p w:rsidR="006348B4" w:rsidRDefault="006348B4" w:rsidP="006348B4">
      <w:pPr>
        <w:jc w:val="both"/>
        <w:rPr>
          <w:b/>
          <w:color w:val="0000FF"/>
          <w:sz w:val="22"/>
          <w:szCs w:val="22"/>
        </w:rPr>
      </w:pPr>
    </w:p>
    <w:p w:rsidR="006348B4" w:rsidRDefault="00ED4A3E" w:rsidP="006348B4">
      <w:pPr>
        <w:jc w:val="both"/>
        <w:rPr>
          <w:rFonts w:cs="Arial"/>
          <w:b/>
          <w:color w:val="0000FF"/>
        </w:rPr>
      </w:pPr>
      <w:r>
        <w:rPr>
          <w:rFonts w:cs="Arial"/>
          <w:b/>
          <w:noProof/>
          <w:color w:val="0000FF"/>
        </w:rPr>
        <mc:AlternateContent>
          <mc:Choice Requires="wps">
            <w:drawing>
              <wp:anchor distT="0" distB="0" distL="114300" distR="114300" simplePos="0" relativeHeight="251659264" behindDoc="0" locked="0" layoutInCell="1" allowOverlap="1" wp14:anchorId="1029F2CA" wp14:editId="3453DBD1">
                <wp:simplePos x="0" y="0"/>
                <wp:positionH relativeFrom="column">
                  <wp:posOffset>0</wp:posOffset>
                </wp:positionH>
                <wp:positionV relativeFrom="paragraph">
                  <wp:posOffset>107315</wp:posOffset>
                </wp:positionV>
                <wp:extent cx="6400800" cy="1493520"/>
                <wp:effectExtent l="9525" t="12065" r="9525" b="889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93520"/>
                        </a:xfrm>
                        <a:prstGeom prst="rect">
                          <a:avLst/>
                        </a:prstGeom>
                        <a:solidFill>
                          <a:srgbClr val="FFFFFF"/>
                        </a:solidFill>
                        <a:ln w="9525">
                          <a:solidFill>
                            <a:srgbClr val="0000FF"/>
                          </a:solidFill>
                          <a:miter lim="800000"/>
                          <a:headEnd/>
                          <a:tailEnd/>
                        </a:ln>
                      </wps:spPr>
                      <wps:txbx>
                        <w:txbxContent>
                          <w:p w:rsidR="006372E3" w:rsidRDefault="006372E3" w:rsidP="006348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0;margin-top:8.45pt;width:7in;height:1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" strokecolor="blue">
                <v:textbox>
                  <w:txbxContent>
                    <w:p w:rsidR="00E74B8F" w:rsidRDefault="00E74B8F" w:rsidP="006348B4"/>
                  </w:txbxContent>
                </v:textbox>
              </v:shape>
            </w:pict>
          </mc:Fallback>
        </mc:AlternateContent>
      </w:r>
    </w:p>
    <w:p w:rsidR="006348B4" w:rsidRPr="00DE1A1C" w:rsidRDefault="006348B4" w:rsidP="006348B4">
      <w:pPr>
        <w:jc w:val="both"/>
        <w:rPr>
          <w:b/>
          <w:color w:val="0000FF"/>
          <w:sz w:val="22"/>
          <w:szCs w:val="22"/>
        </w:rPr>
      </w:pPr>
    </w:p>
    <w:p w:rsidR="006348B4" w:rsidRDefault="006348B4" w:rsidP="006348B4">
      <w:pPr>
        <w:jc w:val="both"/>
        <w:rPr>
          <w:b/>
          <w:color w:val="0000FF"/>
          <w:sz w:val="22"/>
          <w:szCs w:val="22"/>
        </w:rPr>
      </w:pPr>
    </w:p>
    <w:p w:rsidR="006348B4" w:rsidRDefault="006348B4" w:rsidP="006348B4">
      <w:pPr>
        <w:jc w:val="both"/>
        <w:rPr>
          <w:b/>
          <w:color w:val="0000FF"/>
          <w:sz w:val="22"/>
          <w:szCs w:val="22"/>
        </w:rPr>
      </w:pPr>
    </w:p>
    <w:p w:rsidR="006348B4" w:rsidRDefault="006348B4" w:rsidP="006348B4">
      <w:pPr>
        <w:jc w:val="both"/>
        <w:rPr>
          <w:b/>
          <w:color w:val="0000FF"/>
          <w:sz w:val="22"/>
          <w:szCs w:val="22"/>
        </w:rPr>
      </w:pPr>
    </w:p>
    <w:p w:rsidR="006348B4" w:rsidRDefault="006348B4" w:rsidP="006348B4">
      <w:pPr>
        <w:jc w:val="both"/>
        <w:rPr>
          <w:b/>
          <w:color w:val="0000FF"/>
          <w:sz w:val="22"/>
          <w:szCs w:val="22"/>
        </w:rPr>
      </w:pPr>
    </w:p>
    <w:p w:rsidR="006348B4" w:rsidRDefault="006348B4" w:rsidP="006348B4">
      <w:pPr>
        <w:jc w:val="both"/>
        <w:rPr>
          <w:b/>
          <w:color w:val="0000FF"/>
          <w:sz w:val="22"/>
          <w:szCs w:val="22"/>
        </w:rPr>
      </w:pPr>
    </w:p>
    <w:p w:rsidR="006348B4" w:rsidRDefault="006348B4" w:rsidP="006348B4">
      <w:pPr>
        <w:jc w:val="both"/>
        <w:rPr>
          <w:b/>
          <w:color w:val="0000FF"/>
          <w:sz w:val="22"/>
          <w:szCs w:val="22"/>
        </w:rPr>
      </w:pPr>
    </w:p>
    <w:p w:rsidR="006348B4" w:rsidRDefault="006348B4" w:rsidP="006348B4">
      <w:pPr>
        <w:jc w:val="both"/>
        <w:rPr>
          <w:b/>
          <w:color w:val="0000FF"/>
          <w:sz w:val="22"/>
          <w:szCs w:val="22"/>
        </w:rPr>
      </w:pPr>
    </w:p>
    <w:p w:rsidR="006348B4" w:rsidRDefault="006348B4" w:rsidP="006348B4">
      <w:pPr>
        <w:jc w:val="both"/>
        <w:rPr>
          <w:b/>
          <w:color w:val="0000FF"/>
          <w:sz w:val="22"/>
          <w:szCs w:val="22"/>
        </w:rPr>
      </w:pPr>
    </w:p>
    <w:p w:rsidR="006348B4" w:rsidRDefault="006348B4" w:rsidP="006348B4">
      <w:pPr>
        <w:jc w:val="both"/>
        <w:rPr>
          <w:b/>
          <w:color w:val="0000FF"/>
          <w:sz w:val="22"/>
          <w:szCs w:val="22"/>
        </w:rPr>
      </w:pPr>
    </w:p>
    <w:p w:rsidR="006348B4" w:rsidRPr="00597C8C" w:rsidRDefault="006348B4" w:rsidP="006348B4">
      <w:pPr>
        <w:jc w:val="both"/>
        <w:rPr>
          <w:b/>
          <w:color w:val="0000FF"/>
          <w:sz w:val="16"/>
          <w:szCs w:val="16"/>
        </w:rPr>
      </w:pPr>
    </w:p>
    <w:p w:rsidR="00147860" w:rsidRDefault="00147860" w:rsidP="00147860">
      <w:pPr>
        <w:jc w:val="both"/>
        <w:rPr>
          <w:b/>
          <w:color w:val="0000FF"/>
          <w:sz w:val="22"/>
          <w:szCs w:val="22"/>
        </w:rPr>
      </w:pPr>
      <w:r>
        <w:rPr>
          <w:b/>
          <w:color w:val="0000FF"/>
          <w:sz w:val="22"/>
          <w:szCs w:val="22"/>
        </w:rPr>
        <w:t>Question 2: Do you have any comments on the conclusions that have been reached following the review of the current funding model</w:t>
      </w:r>
      <w:r w:rsidRPr="00040651">
        <w:rPr>
          <w:b/>
          <w:color w:val="0000FF"/>
          <w:sz w:val="22"/>
          <w:szCs w:val="22"/>
        </w:rPr>
        <w:t>?</w:t>
      </w:r>
      <w:r>
        <w:rPr>
          <w:b/>
          <w:color w:val="0000FF"/>
          <w:sz w:val="22"/>
          <w:szCs w:val="22"/>
        </w:rPr>
        <w:t xml:space="preserve"> Do you have anything to add?</w:t>
      </w:r>
    </w:p>
    <w:p w:rsidR="006348B4" w:rsidRDefault="00ED4A3E" w:rsidP="006348B4">
      <w:pPr>
        <w:jc w:val="both"/>
        <w:rPr>
          <w:rFonts w:cs="Arial"/>
          <w:b/>
          <w:color w:val="0000FF"/>
        </w:rPr>
      </w:pPr>
      <w:r>
        <w:rPr>
          <w:rFonts w:cs="Arial"/>
          <w:b/>
          <w:noProof/>
          <w:color w:val="0000FF"/>
        </w:rPr>
        <mc:AlternateContent>
          <mc:Choice Requires="wps">
            <w:drawing>
              <wp:anchor distT="0" distB="0" distL="114300" distR="114300" simplePos="0" relativeHeight="251652096" behindDoc="0" locked="0" layoutInCell="1" allowOverlap="1" wp14:anchorId="1024AFC1" wp14:editId="6A7735E2">
                <wp:simplePos x="0" y="0"/>
                <wp:positionH relativeFrom="column">
                  <wp:posOffset>0</wp:posOffset>
                </wp:positionH>
                <wp:positionV relativeFrom="paragraph">
                  <wp:posOffset>107315</wp:posOffset>
                </wp:positionV>
                <wp:extent cx="6400800" cy="1493520"/>
                <wp:effectExtent l="9525" t="12065" r="9525" b="889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93520"/>
                        </a:xfrm>
                        <a:prstGeom prst="rect">
                          <a:avLst/>
                        </a:prstGeom>
                        <a:solidFill>
                          <a:srgbClr val="FFFFFF"/>
                        </a:solidFill>
                        <a:ln w="9525">
                          <a:solidFill>
                            <a:srgbClr val="0000FF"/>
                          </a:solidFill>
                          <a:miter lim="800000"/>
                          <a:headEnd/>
                          <a:tailEnd/>
                        </a:ln>
                      </wps:spPr>
                      <wps:txbx>
                        <w:txbxContent>
                          <w:p w:rsidR="006372E3" w:rsidRDefault="006372E3" w:rsidP="006348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8.45pt;width:7in;height:117.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" strokecolor="blue">
                <v:textbox>
                  <w:txbxContent>
                    <w:p w:rsidR="00E74B8F" w:rsidRDefault="00E74B8F" w:rsidP="006348B4"/>
                  </w:txbxContent>
                </v:textbox>
              </v:shape>
            </w:pict>
          </mc:Fallback>
        </mc:AlternateContent>
      </w: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i/>
          <w:color w:val="0000FF"/>
          <w:sz w:val="22"/>
          <w:szCs w:val="22"/>
        </w:rPr>
      </w:pPr>
    </w:p>
    <w:p w:rsidR="006348B4" w:rsidRDefault="006348B4" w:rsidP="006348B4">
      <w:pPr>
        <w:jc w:val="both"/>
        <w:rPr>
          <w:b/>
          <w:color w:val="0000FF"/>
          <w:sz w:val="22"/>
          <w:szCs w:val="22"/>
        </w:rPr>
      </w:pPr>
    </w:p>
    <w:p w:rsidR="006348B4" w:rsidRDefault="006348B4" w:rsidP="006348B4">
      <w:pPr>
        <w:jc w:val="both"/>
        <w:rPr>
          <w:b/>
          <w:color w:val="0000FF"/>
          <w:sz w:val="22"/>
          <w:szCs w:val="22"/>
        </w:rPr>
      </w:pPr>
    </w:p>
    <w:p w:rsidR="00147860" w:rsidRDefault="00147860" w:rsidP="006348B4">
      <w:pPr>
        <w:jc w:val="both"/>
        <w:rPr>
          <w:b/>
          <w:color w:val="0000FF"/>
          <w:sz w:val="22"/>
          <w:szCs w:val="22"/>
        </w:rPr>
      </w:pPr>
    </w:p>
    <w:p w:rsidR="00147860" w:rsidRDefault="00147860" w:rsidP="006348B4">
      <w:pPr>
        <w:jc w:val="both"/>
        <w:rPr>
          <w:b/>
          <w:color w:val="0000FF"/>
          <w:sz w:val="22"/>
          <w:szCs w:val="22"/>
        </w:rPr>
      </w:pPr>
    </w:p>
    <w:p w:rsidR="000548E4" w:rsidRDefault="000548E4" w:rsidP="000548E4">
      <w:pPr>
        <w:pStyle w:val="ListParagraph"/>
        <w:ind w:left="0"/>
        <w:jc w:val="both"/>
        <w:rPr>
          <w:b/>
          <w:color w:val="0000FF"/>
          <w:sz w:val="22"/>
          <w:szCs w:val="22"/>
        </w:rPr>
      </w:pPr>
      <w:r>
        <w:rPr>
          <w:b/>
          <w:color w:val="0000FF"/>
          <w:sz w:val="22"/>
          <w:szCs w:val="22"/>
        </w:rPr>
        <w:lastRenderedPageBreak/>
        <w:t>Question 3</w:t>
      </w:r>
      <w:r w:rsidRPr="00B23DC4">
        <w:rPr>
          <w:b/>
          <w:color w:val="0000FF"/>
          <w:sz w:val="22"/>
          <w:szCs w:val="22"/>
        </w:rPr>
        <w:t>: Do you agree with the proposal to continue to use the existing Ranges Model (</w:t>
      </w:r>
      <w:r>
        <w:rPr>
          <w:b/>
          <w:color w:val="0000FF"/>
          <w:sz w:val="22"/>
          <w:szCs w:val="22"/>
        </w:rPr>
        <w:t xml:space="preserve">as shown in </w:t>
      </w:r>
      <w:r w:rsidRPr="00B23DC4">
        <w:rPr>
          <w:b/>
          <w:color w:val="0000FF"/>
          <w:sz w:val="22"/>
          <w:szCs w:val="22"/>
        </w:rPr>
        <w:t>Appendix 2) to calculate the ‘Plus’ funding element for</w:t>
      </w:r>
      <w:r>
        <w:rPr>
          <w:b/>
          <w:color w:val="0000FF"/>
          <w:sz w:val="22"/>
          <w:szCs w:val="22"/>
        </w:rPr>
        <w:t xml:space="preserve"> Early Years to Year 11 placements for the full</w:t>
      </w:r>
      <w:r w:rsidRPr="00B23DC4">
        <w:rPr>
          <w:b/>
          <w:color w:val="0000FF"/>
          <w:sz w:val="22"/>
          <w:szCs w:val="22"/>
        </w:rPr>
        <w:t xml:space="preserve"> 2015/16</w:t>
      </w:r>
      <w:r>
        <w:rPr>
          <w:b/>
          <w:color w:val="0000FF"/>
          <w:sz w:val="22"/>
          <w:szCs w:val="22"/>
        </w:rPr>
        <w:t xml:space="preserve"> financial year and for post-16 placements up to August 2015</w:t>
      </w:r>
      <w:r w:rsidRPr="00B23DC4">
        <w:rPr>
          <w:b/>
          <w:color w:val="0000FF"/>
          <w:sz w:val="22"/>
          <w:szCs w:val="22"/>
        </w:rPr>
        <w:t xml:space="preserve">? If not, please </w:t>
      </w:r>
      <w:r>
        <w:rPr>
          <w:b/>
          <w:color w:val="0000FF"/>
          <w:sz w:val="22"/>
          <w:szCs w:val="22"/>
        </w:rPr>
        <w:t>explain why not</w:t>
      </w:r>
      <w:r w:rsidRPr="00B23DC4">
        <w:rPr>
          <w:b/>
          <w:color w:val="0000FF"/>
          <w:sz w:val="22"/>
          <w:szCs w:val="22"/>
        </w:rPr>
        <w:t>.</w:t>
      </w:r>
    </w:p>
    <w:p w:rsidR="000548E4" w:rsidRDefault="000548E4" w:rsidP="000548E4">
      <w:pPr>
        <w:pStyle w:val="ListParagraph"/>
        <w:ind w:left="0"/>
        <w:jc w:val="both"/>
        <w:rPr>
          <w:b/>
          <w:color w:val="0000FF"/>
          <w:sz w:val="22"/>
          <w:szCs w:val="22"/>
        </w:rPr>
      </w:pPr>
    </w:p>
    <w:p w:rsidR="000548E4" w:rsidRPr="00B23DC4" w:rsidRDefault="000548E4" w:rsidP="000548E4">
      <w:pPr>
        <w:pStyle w:val="ListParagraph"/>
        <w:ind w:left="0"/>
        <w:jc w:val="both"/>
        <w:rPr>
          <w:b/>
          <w:color w:val="0000FF"/>
          <w:sz w:val="22"/>
          <w:szCs w:val="22"/>
        </w:rPr>
      </w:pPr>
      <w:r>
        <w:rPr>
          <w:rFonts w:cs="Arial"/>
          <w:b/>
          <w:color w:val="0000FF"/>
        </w:rPr>
        <w:t>Strongly Agree</w:t>
      </w:r>
      <w:r>
        <w:rPr>
          <w:rFonts w:cs="Arial"/>
          <w:b/>
          <w:color w:val="0000FF"/>
        </w:rPr>
        <w:tab/>
        <w:t xml:space="preserve">     </w:t>
      </w:r>
      <w:r>
        <w:rPr>
          <w:rFonts w:cs="Arial"/>
          <w:b/>
          <w:color w:val="0000FF"/>
        </w:rPr>
        <w:fldChar w:fldCharType="begin">
          <w:ffData>
            <w:name w:val=""/>
            <w:enabled/>
            <w:calcOnExit w:val="0"/>
            <w:checkBox>
              <w:size w:val="26"/>
              <w:default w:val="0"/>
            </w:checkBox>
          </w:ffData>
        </w:fldChar>
      </w:r>
      <w:r>
        <w:rPr>
          <w:rFonts w:cs="Arial"/>
          <w:b/>
          <w:color w:val="0000FF"/>
        </w:rPr>
        <w:instrText xml:space="preserve"> FORMCHECKBOX </w:instrText>
      </w:r>
      <w:r>
        <w:rPr>
          <w:rFonts w:cs="Arial"/>
          <w:b/>
          <w:color w:val="0000FF"/>
        </w:rPr>
      </w:r>
      <w:r>
        <w:rPr>
          <w:rFonts w:cs="Arial"/>
          <w:b/>
          <w:color w:val="0000FF"/>
        </w:rPr>
        <w:fldChar w:fldCharType="end"/>
      </w:r>
      <w:r>
        <w:rPr>
          <w:rFonts w:cs="Arial"/>
          <w:b/>
          <w:color w:val="0000FF"/>
        </w:rPr>
        <w:tab/>
        <w:t xml:space="preserve">        On Balance Agree (some reservations)</w:t>
      </w:r>
      <w:r>
        <w:rPr>
          <w:rFonts w:cs="Arial"/>
          <w:b/>
          <w:color w:val="0000FF"/>
        </w:rPr>
        <w:tab/>
      </w:r>
      <w:r>
        <w:rPr>
          <w:rFonts w:cs="Arial"/>
          <w:b/>
          <w:color w:val="0000FF"/>
        </w:rPr>
        <w:fldChar w:fldCharType="begin">
          <w:ffData>
            <w:name w:val="Check1"/>
            <w:enabled/>
            <w:calcOnExit w:val="0"/>
            <w:checkBox>
              <w:size w:val="26"/>
              <w:default w:val="0"/>
            </w:checkBox>
          </w:ffData>
        </w:fldChar>
      </w:r>
      <w:r>
        <w:rPr>
          <w:rFonts w:cs="Arial"/>
          <w:b/>
          <w:color w:val="0000FF"/>
        </w:rPr>
        <w:instrText xml:space="preserve"> FORMCHECKBOX </w:instrText>
      </w:r>
      <w:r>
        <w:rPr>
          <w:rFonts w:cs="Arial"/>
          <w:b/>
          <w:color w:val="0000FF"/>
        </w:rPr>
      </w:r>
      <w:r>
        <w:rPr>
          <w:rFonts w:cs="Arial"/>
          <w:b/>
          <w:color w:val="0000FF"/>
        </w:rPr>
        <w:fldChar w:fldCharType="end"/>
      </w:r>
      <w:r>
        <w:rPr>
          <w:rFonts w:cs="Arial"/>
          <w:b/>
          <w:color w:val="0000FF"/>
        </w:rPr>
        <w:t xml:space="preserve">  </w:t>
      </w:r>
      <w:r>
        <w:rPr>
          <w:rFonts w:cs="Arial"/>
          <w:b/>
          <w:color w:val="0000FF"/>
        </w:rPr>
        <w:tab/>
        <w:t>Strongly Disagree</w:t>
      </w:r>
      <w:r>
        <w:rPr>
          <w:rFonts w:cs="Arial"/>
          <w:b/>
          <w:color w:val="0000FF"/>
        </w:rPr>
        <w:tab/>
      </w:r>
      <w:r>
        <w:rPr>
          <w:rFonts w:cs="Arial"/>
          <w:b/>
          <w:color w:val="0000FF"/>
        </w:rPr>
        <w:fldChar w:fldCharType="begin">
          <w:ffData>
            <w:name w:val="Check2"/>
            <w:enabled/>
            <w:calcOnExit w:val="0"/>
            <w:checkBox>
              <w:size w:val="26"/>
              <w:default w:val="0"/>
            </w:checkBox>
          </w:ffData>
        </w:fldChar>
      </w:r>
      <w:r>
        <w:rPr>
          <w:rFonts w:cs="Arial"/>
          <w:b/>
          <w:color w:val="0000FF"/>
        </w:rPr>
        <w:instrText xml:space="preserve"> FORMCHECKBOX </w:instrText>
      </w:r>
      <w:r>
        <w:rPr>
          <w:rFonts w:cs="Arial"/>
          <w:b/>
          <w:color w:val="0000FF"/>
        </w:rPr>
      </w:r>
      <w:r>
        <w:rPr>
          <w:rFonts w:cs="Arial"/>
          <w:b/>
          <w:color w:val="0000FF"/>
        </w:rPr>
        <w:fldChar w:fldCharType="end"/>
      </w:r>
      <w:r>
        <w:rPr>
          <w:rFonts w:cs="Arial"/>
          <w:b/>
          <w:color w:val="0000FF"/>
        </w:rPr>
        <w:tab/>
      </w:r>
    </w:p>
    <w:p w:rsidR="006348B4" w:rsidRDefault="006348B4" w:rsidP="006348B4">
      <w:pPr>
        <w:jc w:val="both"/>
        <w:rPr>
          <w:rFonts w:cs="Arial"/>
          <w:b/>
          <w:color w:val="0000FF"/>
        </w:rPr>
      </w:pPr>
      <w:r>
        <w:rPr>
          <w:rFonts w:cs="Arial"/>
          <w:b/>
          <w:color w:val="0000FF"/>
        </w:rPr>
        <w:tab/>
      </w:r>
      <w:r>
        <w:rPr>
          <w:rFonts w:cs="Arial"/>
          <w:b/>
          <w:color w:val="0000FF"/>
        </w:rPr>
        <w:tab/>
      </w:r>
      <w:r>
        <w:rPr>
          <w:rFonts w:cs="Arial"/>
          <w:b/>
          <w:color w:val="0000FF"/>
        </w:rPr>
        <w:tab/>
      </w:r>
      <w:r>
        <w:rPr>
          <w:rFonts w:cs="Arial"/>
          <w:b/>
          <w:color w:val="0000FF"/>
        </w:rPr>
        <w:tab/>
      </w:r>
      <w:r>
        <w:rPr>
          <w:rFonts w:cs="Arial"/>
          <w:b/>
          <w:color w:val="0000FF"/>
        </w:rPr>
        <w:tab/>
      </w:r>
    </w:p>
    <w:p w:rsidR="006348B4" w:rsidRDefault="00ED4A3E" w:rsidP="006348B4">
      <w:pPr>
        <w:jc w:val="both"/>
        <w:rPr>
          <w:rFonts w:cs="Arial"/>
          <w:b/>
          <w:color w:val="0000FF"/>
        </w:rPr>
      </w:pPr>
      <w:r>
        <w:rPr>
          <w:rFonts w:cs="Arial"/>
          <w:b/>
          <w:noProof/>
          <w:color w:val="0000FF"/>
        </w:rPr>
        <mc:AlternateContent>
          <mc:Choice Requires="wps">
            <w:drawing>
              <wp:anchor distT="0" distB="0" distL="114300" distR="114300" simplePos="0" relativeHeight="251653120" behindDoc="0" locked="0" layoutInCell="1" allowOverlap="1" wp14:anchorId="7A5B16D5" wp14:editId="1387F3A0">
                <wp:simplePos x="0" y="0"/>
                <wp:positionH relativeFrom="column">
                  <wp:posOffset>0</wp:posOffset>
                </wp:positionH>
                <wp:positionV relativeFrom="paragraph">
                  <wp:posOffset>3810</wp:posOffset>
                </wp:positionV>
                <wp:extent cx="6400800" cy="1861185"/>
                <wp:effectExtent l="9525" t="13335" r="9525" b="1143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861185"/>
                        </a:xfrm>
                        <a:prstGeom prst="rect">
                          <a:avLst/>
                        </a:prstGeom>
                        <a:solidFill>
                          <a:srgbClr val="FFFFFF"/>
                        </a:solidFill>
                        <a:ln w="9525">
                          <a:solidFill>
                            <a:srgbClr val="0000FF"/>
                          </a:solidFill>
                          <a:miter lim="800000"/>
                          <a:headEnd/>
                          <a:tailEnd/>
                        </a:ln>
                      </wps:spPr>
                      <wps:txbx>
                        <w:txbxContent>
                          <w:p w:rsidR="006372E3" w:rsidRPr="00B102E7" w:rsidRDefault="006372E3" w:rsidP="000548E4">
                            <w:pPr>
                              <w:rPr>
                                <w:color w:val="0000FF"/>
                              </w:rPr>
                            </w:pPr>
                            <w:r w:rsidRPr="00B102E7">
                              <w:rPr>
                                <w:color w:val="0000FF"/>
                              </w:rPr>
                              <w:t>If not, please provide further explanation here:</w:t>
                            </w:r>
                          </w:p>
                          <w:p w:rsidR="006372E3" w:rsidRDefault="006372E3" w:rsidP="006348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0;margin-top:.3pt;width:7in;height:146.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" strokecolor="blue">
                <v:textbox>
                  <w:txbxContent>
                    <w:p w:rsidR="000548E4" w:rsidRPr="00B102E7" w:rsidRDefault="000548E4" w:rsidP="000548E4">
                      <w:pPr>
                        <w:rPr>
                          <w:color w:val="0000FF"/>
                        </w:rPr>
                      </w:pPr>
                      <w:r w:rsidRPr="00B102E7">
                        <w:rPr>
                          <w:color w:val="0000FF"/>
                        </w:rPr>
                        <w:t>If not, please provide further explanation here:</w:t>
                      </w:r>
                    </w:p>
                    <w:p w:rsidR="00E74B8F" w:rsidRDefault="00E74B8F" w:rsidP="006348B4"/>
                  </w:txbxContent>
                </v:textbox>
              </v:shape>
            </w:pict>
          </mc:Fallback>
        </mc:AlternateContent>
      </w: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b/>
          <w:i/>
          <w:color w:val="0000FF"/>
          <w:sz w:val="22"/>
          <w:szCs w:val="22"/>
        </w:rPr>
      </w:pPr>
    </w:p>
    <w:p w:rsidR="006348B4" w:rsidRDefault="006348B4" w:rsidP="006348B4">
      <w:pPr>
        <w:jc w:val="both"/>
        <w:rPr>
          <w:b/>
          <w:i/>
          <w:color w:val="0000FF"/>
          <w:sz w:val="22"/>
          <w:szCs w:val="22"/>
        </w:rPr>
      </w:pPr>
    </w:p>
    <w:p w:rsidR="006348B4" w:rsidRPr="00A70F31" w:rsidRDefault="006348B4" w:rsidP="006348B4">
      <w:pPr>
        <w:jc w:val="both"/>
        <w:rPr>
          <w:b/>
          <w:i/>
          <w:color w:val="0000FF"/>
          <w:sz w:val="22"/>
          <w:szCs w:val="22"/>
        </w:rPr>
      </w:pPr>
    </w:p>
    <w:p w:rsidR="006348B4" w:rsidRDefault="006348B4" w:rsidP="006348B4">
      <w:pPr>
        <w:jc w:val="both"/>
        <w:rPr>
          <w:b/>
          <w:i/>
          <w:color w:val="0000FF"/>
          <w:sz w:val="22"/>
          <w:szCs w:val="22"/>
        </w:rPr>
      </w:pPr>
    </w:p>
    <w:p w:rsidR="006348B4" w:rsidRDefault="006348B4" w:rsidP="006348B4">
      <w:pPr>
        <w:jc w:val="both"/>
        <w:rPr>
          <w:b/>
          <w:i/>
          <w:color w:val="0000FF"/>
          <w:sz w:val="22"/>
          <w:szCs w:val="22"/>
        </w:rPr>
      </w:pPr>
    </w:p>
    <w:p w:rsidR="0040300F" w:rsidRDefault="0040300F" w:rsidP="0040300F">
      <w:pPr>
        <w:jc w:val="both"/>
        <w:rPr>
          <w:b/>
          <w:color w:val="0000FF"/>
          <w:sz w:val="22"/>
          <w:szCs w:val="22"/>
        </w:rPr>
      </w:pPr>
      <w:r w:rsidRPr="00B23DC4">
        <w:rPr>
          <w:b/>
          <w:color w:val="0000FF"/>
          <w:sz w:val="22"/>
          <w:szCs w:val="22"/>
        </w:rPr>
        <w:t xml:space="preserve">Question 4: </w:t>
      </w:r>
      <w:r>
        <w:rPr>
          <w:b/>
          <w:color w:val="0000FF"/>
          <w:sz w:val="22"/>
          <w:szCs w:val="22"/>
        </w:rPr>
        <w:t>Do you agree with the incremental changes to the existing funding model for 2015/16, as outlined in paragraph 7.2 above? If not, please outline which changes you do not agree with and the reasons why you do not agree.</w:t>
      </w:r>
    </w:p>
    <w:p w:rsidR="006348B4" w:rsidRDefault="006348B4" w:rsidP="006348B4">
      <w:pPr>
        <w:jc w:val="both"/>
        <w:rPr>
          <w:b/>
          <w:i/>
          <w:color w:val="0000FF"/>
          <w:sz w:val="22"/>
          <w:szCs w:val="22"/>
        </w:rPr>
      </w:pPr>
    </w:p>
    <w:p w:rsidR="006348B4" w:rsidRDefault="006348B4" w:rsidP="006348B4">
      <w:pPr>
        <w:jc w:val="both"/>
        <w:rPr>
          <w:rFonts w:cs="Arial"/>
          <w:b/>
          <w:color w:val="0000FF"/>
        </w:rPr>
      </w:pPr>
      <w:r>
        <w:rPr>
          <w:rFonts w:cs="Arial"/>
          <w:b/>
          <w:color w:val="0000FF"/>
        </w:rPr>
        <w:t>Strongly Agree</w:t>
      </w:r>
      <w:r>
        <w:rPr>
          <w:rFonts w:cs="Arial"/>
          <w:b/>
          <w:color w:val="0000FF"/>
        </w:rPr>
        <w:tab/>
        <w:t xml:space="preserve">     </w:t>
      </w:r>
      <w:r>
        <w:rPr>
          <w:rFonts w:cs="Arial"/>
          <w:b/>
          <w:color w:val="0000FF"/>
        </w:rPr>
        <w:fldChar w:fldCharType="begin">
          <w:ffData>
            <w:name w:val=""/>
            <w:enabled/>
            <w:calcOnExit w:val="0"/>
            <w:checkBox>
              <w:size w:val="26"/>
              <w:default w:val="0"/>
            </w:checkBox>
          </w:ffData>
        </w:fldChar>
      </w:r>
      <w:r>
        <w:rPr>
          <w:rFonts w:cs="Arial"/>
          <w:b/>
          <w:color w:val="0000FF"/>
        </w:rPr>
        <w:instrText xml:space="preserve"> FORMCHECKBOX </w:instrText>
      </w:r>
      <w:r>
        <w:rPr>
          <w:rFonts w:cs="Arial"/>
          <w:b/>
          <w:color w:val="0000FF"/>
        </w:rPr>
      </w:r>
      <w:r>
        <w:rPr>
          <w:rFonts w:cs="Arial"/>
          <w:b/>
          <w:color w:val="0000FF"/>
        </w:rPr>
        <w:fldChar w:fldCharType="end"/>
      </w:r>
      <w:r>
        <w:rPr>
          <w:rFonts w:cs="Arial"/>
          <w:b/>
          <w:color w:val="0000FF"/>
        </w:rPr>
        <w:tab/>
        <w:t xml:space="preserve">        On Balance Agree (some reservations)</w:t>
      </w:r>
      <w:r>
        <w:rPr>
          <w:rFonts w:cs="Arial"/>
          <w:b/>
          <w:color w:val="0000FF"/>
        </w:rPr>
        <w:tab/>
      </w:r>
      <w:r>
        <w:rPr>
          <w:rFonts w:cs="Arial"/>
          <w:b/>
          <w:color w:val="0000FF"/>
        </w:rPr>
        <w:fldChar w:fldCharType="begin">
          <w:ffData>
            <w:name w:val="Check1"/>
            <w:enabled/>
            <w:calcOnExit w:val="0"/>
            <w:checkBox>
              <w:size w:val="26"/>
              <w:default w:val="0"/>
            </w:checkBox>
          </w:ffData>
        </w:fldChar>
      </w:r>
      <w:r>
        <w:rPr>
          <w:rFonts w:cs="Arial"/>
          <w:b/>
          <w:color w:val="0000FF"/>
        </w:rPr>
        <w:instrText xml:space="preserve"> FORMCHECKBOX </w:instrText>
      </w:r>
      <w:r>
        <w:rPr>
          <w:rFonts w:cs="Arial"/>
          <w:b/>
          <w:color w:val="0000FF"/>
        </w:rPr>
      </w:r>
      <w:r>
        <w:rPr>
          <w:rFonts w:cs="Arial"/>
          <w:b/>
          <w:color w:val="0000FF"/>
        </w:rPr>
        <w:fldChar w:fldCharType="end"/>
      </w:r>
      <w:r>
        <w:rPr>
          <w:rFonts w:cs="Arial"/>
          <w:b/>
          <w:color w:val="0000FF"/>
        </w:rPr>
        <w:t xml:space="preserve">  </w:t>
      </w:r>
      <w:r>
        <w:rPr>
          <w:rFonts w:cs="Arial"/>
          <w:b/>
          <w:color w:val="0000FF"/>
        </w:rPr>
        <w:tab/>
        <w:t>Strongly Disagree</w:t>
      </w:r>
      <w:r>
        <w:rPr>
          <w:rFonts w:cs="Arial"/>
          <w:b/>
          <w:color w:val="0000FF"/>
        </w:rPr>
        <w:tab/>
      </w:r>
      <w:r>
        <w:rPr>
          <w:rFonts w:cs="Arial"/>
          <w:b/>
          <w:color w:val="0000FF"/>
        </w:rPr>
        <w:fldChar w:fldCharType="begin">
          <w:ffData>
            <w:name w:val="Check2"/>
            <w:enabled/>
            <w:calcOnExit w:val="0"/>
            <w:checkBox>
              <w:size w:val="26"/>
              <w:default w:val="0"/>
            </w:checkBox>
          </w:ffData>
        </w:fldChar>
      </w:r>
      <w:r>
        <w:rPr>
          <w:rFonts w:cs="Arial"/>
          <w:b/>
          <w:color w:val="0000FF"/>
        </w:rPr>
        <w:instrText xml:space="preserve"> FORMCHECKBOX </w:instrText>
      </w:r>
      <w:r>
        <w:rPr>
          <w:rFonts w:cs="Arial"/>
          <w:b/>
          <w:color w:val="0000FF"/>
        </w:rPr>
      </w:r>
      <w:r>
        <w:rPr>
          <w:rFonts w:cs="Arial"/>
          <w:b/>
          <w:color w:val="0000FF"/>
        </w:rPr>
        <w:fldChar w:fldCharType="end"/>
      </w:r>
      <w:r>
        <w:rPr>
          <w:rFonts w:cs="Arial"/>
          <w:b/>
          <w:color w:val="0000FF"/>
        </w:rPr>
        <w:tab/>
      </w:r>
      <w:r>
        <w:rPr>
          <w:rFonts w:cs="Arial"/>
          <w:b/>
          <w:color w:val="0000FF"/>
        </w:rPr>
        <w:tab/>
      </w:r>
      <w:r>
        <w:rPr>
          <w:rFonts w:cs="Arial"/>
          <w:b/>
          <w:color w:val="0000FF"/>
        </w:rPr>
        <w:tab/>
      </w:r>
      <w:r>
        <w:rPr>
          <w:rFonts w:cs="Arial"/>
          <w:b/>
          <w:color w:val="0000FF"/>
        </w:rPr>
        <w:tab/>
      </w:r>
      <w:r>
        <w:rPr>
          <w:rFonts w:cs="Arial"/>
          <w:b/>
          <w:color w:val="0000FF"/>
        </w:rPr>
        <w:tab/>
      </w:r>
      <w:r>
        <w:rPr>
          <w:rFonts w:cs="Arial"/>
          <w:b/>
          <w:color w:val="0000FF"/>
        </w:rPr>
        <w:tab/>
      </w:r>
    </w:p>
    <w:p w:rsidR="006348B4" w:rsidRDefault="00ED4A3E" w:rsidP="006348B4">
      <w:pPr>
        <w:jc w:val="both"/>
        <w:rPr>
          <w:rFonts w:cs="Arial"/>
          <w:b/>
          <w:color w:val="0000FF"/>
        </w:rPr>
      </w:pPr>
      <w:r>
        <w:rPr>
          <w:rFonts w:cs="Arial"/>
          <w:b/>
          <w:noProof/>
          <w:color w:val="0000FF"/>
        </w:rPr>
        <mc:AlternateContent>
          <mc:Choice Requires="wps">
            <w:drawing>
              <wp:anchor distT="0" distB="0" distL="114300" distR="114300" simplePos="0" relativeHeight="251654144" behindDoc="0" locked="0" layoutInCell="1" allowOverlap="1" wp14:anchorId="6199F98B" wp14:editId="6B074114">
                <wp:simplePos x="0" y="0"/>
                <wp:positionH relativeFrom="column">
                  <wp:posOffset>0</wp:posOffset>
                </wp:positionH>
                <wp:positionV relativeFrom="paragraph">
                  <wp:posOffset>3810</wp:posOffset>
                </wp:positionV>
                <wp:extent cx="6400800" cy="2094230"/>
                <wp:effectExtent l="9525" t="13335" r="9525" b="698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094230"/>
                        </a:xfrm>
                        <a:prstGeom prst="rect">
                          <a:avLst/>
                        </a:prstGeom>
                        <a:solidFill>
                          <a:srgbClr val="FFFFFF"/>
                        </a:solidFill>
                        <a:ln w="9525">
                          <a:solidFill>
                            <a:srgbClr val="0000FF"/>
                          </a:solidFill>
                          <a:miter lim="800000"/>
                          <a:headEnd/>
                          <a:tailEnd/>
                        </a:ln>
                      </wps:spPr>
                      <wps:txbx>
                        <w:txbxContent>
                          <w:p w:rsidR="006372E3" w:rsidRPr="00B102E7" w:rsidRDefault="006372E3" w:rsidP="006348B4">
                            <w:pPr>
                              <w:rPr>
                                <w:color w:val="0000FF"/>
                              </w:rPr>
                            </w:pPr>
                            <w:r w:rsidRPr="00B102E7">
                              <w:rPr>
                                <w:color w:val="0000FF"/>
                              </w:rPr>
                              <w:t>If not, please provide further explanation here:</w:t>
                            </w:r>
                          </w:p>
                          <w:p w:rsidR="006372E3" w:rsidRDefault="006372E3" w:rsidP="006348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0;margin-top:.3pt;width:7in;height:164.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" strokecolor="blue">
                <v:textbox>
                  <w:txbxContent>
                    <w:p w:rsidR="00E74B8F" w:rsidRPr="00B102E7" w:rsidRDefault="00E74B8F" w:rsidP="006348B4">
                      <w:pPr>
                        <w:rPr>
                          <w:color w:val="0000FF"/>
                        </w:rPr>
                      </w:pPr>
                      <w:r w:rsidRPr="00B102E7">
                        <w:rPr>
                          <w:color w:val="0000FF"/>
                        </w:rPr>
                        <w:t>If not, please provide further explanation here:</w:t>
                      </w:r>
                    </w:p>
                    <w:p w:rsidR="00E74B8F" w:rsidRDefault="00E74B8F" w:rsidP="006348B4"/>
                  </w:txbxContent>
                </v:textbox>
              </v:shape>
            </w:pict>
          </mc:Fallback>
        </mc:AlternateContent>
      </w: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Pr="00A70F31" w:rsidRDefault="006348B4" w:rsidP="006348B4">
      <w:pPr>
        <w:jc w:val="both"/>
        <w:rPr>
          <w:b/>
          <w:i/>
          <w:color w:val="0000FF"/>
          <w:sz w:val="22"/>
          <w:szCs w:val="22"/>
        </w:rPr>
      </w:pPr>
    </w:p>
    <w:p w:rsidR="006348B4" w:rsidRDefault="006348B4" w:rsidP="006348B4">
      <w:pPr>
        <w:jc w:val="both"/>
        <w:rPr>
          <w:b/>
          <w:i/>
          <w:color w:val="0000FF"/>
          <w:sz w:val="22"/>
          <w:szCs w:val="22"/>
        </w:rPr>
      </w:pPr>
    </w:p>
    <w:p w:rsidR="006348B4" w:rsidRDefault="006348B4" w:rsidP="006348B4">
      <w:pPr>
        <w:jc w:val="both"/>
        <w:rPr>
          <w:b/>
          <w:i/>
          <w:color w:val="0000FF"/>
          <w:sz w:val="22"/>
          <w:szCs w:val="22"/>
        </w:rPr>
      </w:pPr>
    </w:p>
    <w:p w:rsidR="006348B4" w:rsidRDefault="006348B4" w:rsidP="006348B4">
      <w:pPr>
        <w:jc w:val="both"/>
        <w:rPr>
          <w:b/>
          <w:i/>
          <w:color w:val="0000FF"/>
          <w:sz w:val="22"/>
          <w:szCs w:val="22"/>
        </w:rPr>
      </w:pPr>
    </w:p>
    <w:p w:rsidR="006348B4" w:rsidRDefault="006348B4" w:rsidP="006348B4">
      <w:pPr>
        <w:jc w:val="both"/>
        <w:rPr>
          <w:b/>
          <w:i/>
          <w:color w:val="0000FF"/>
          <w:sz w:val="22"/>
          <w:szCs w:val="22"/>
        </w:rPr>
      </w:pPr>
    </w:p>
    <w:p w:rsidR="006348B4" w:rsidRDefault="006348B4" w:rsidP="006348B4">
      <w:pPr>
        <w:jc w:val="both"/>
        <w:rPr>
          <w:b/>
          <w:i/>
          <w:color w:val="0000FF"/>
          <w:sz w:val="22"/>
          <w:szCs w:val="22"/>
        </w:rPr>
      </w:pPr>
    </w:p>
    <w:p w:rsidR="006348B4" w:rsidRDefault="006348B4" w:rsidP="006348B4">
      <w:pPr>
        <w:jc w:val="both"/>
        <w:rPr>
          <w:b/>
          <w:color w:val="0000FF"/>
          <w:sz w:val="22"/>
          <w:szCs w:val="22"/>
        </w:rPr>
      </w:pPr>
    </w:p>
    <w:p w:rsidR="0040300F" w:rsidRDefault="0040300F" w:rsidP="0040300F">
      <w:pPr>
        <w:jc w:val="both"/>
        <w:rPr>
          <w:b/>
          <w:color w:val="0000FF"/>
          <w:sz w:val="22"/>
          <w:szCs w:val="22"/>
        </w:rPr>
      </w:pPr>
      <w:r>
        <w:rPr>
          <w:b/>
          <w:color w:val="0000FF"/>
          <w:sz w:val="22"/>
          <w:szCs w:val="22"/>
        </w:rPr>
        <w:t xml:space="preserve">Question 5: Would you support an increase in the value of the SEN Funding Floor for primary schools and academies in 2015/16, subject to this being affordable? </w:t>
      </w:r>
      <w:r w:rsidRPr="00B23DC4">
        <w:rPr>
          <w:b/>
          <w:color w:val="0000FF"/>
          <w:sz w:val="22"/>
          <w:szCs w:val="22"/>
        </w:rPr>
        <w:t xml:space="preserve">If not, please </w:t>
      </w:r>
      <w:r>
        <w:rPr>
          <w:b/>
          <w:color w:val="0000FF"/>
          <w:sz w:val="22"/>
          <w:szCs w:val="22"/>
        </w:rPr>
        <w:t>explain why not</w:t>
      </w:r>
      <w:r w:rsidRPr="00B23DC4">
        <w:rPr>
          <w:b/>
          <w:color w:val="0000FF"/>
          <w:sz w:val="22"/>
          <w:szCs w:val="22"/>
        </w:rPr>
        <w:t>.</w:t>
      </w:r>
    </w:p>
    <w:p w:rsidR="0040300F" w:rsidRDefault="0040300F" w:rsidP="0040300F">
      <w:pPr>
        <w:jc w:val="both"/>
        <w:rPr>
          <w:b/>
          <w:color w:val="0000FF"/>
          <w:sz w:val="22"/>
          <w:szCs w:val="22"/>
        </w:rPr>
      </w:pPr>
    </w:p>
    <w:p w:rsidR="0040300F" w:rsidRDefault="0040300F" w:rsidP="0040300F">
      <w:pPr>
        <w:jc w:val="both"/>
        <w:rPr>
          <w:b/>
          <w:color w:val="0000FF"/>
          <w:sz w:val="22"/>
          <w:szCs w:val="22"/>
        </w:rPr>
      </w:pPr>
      <w:r>
        <w:rPr>
          <w:rFonts w:cs="Arial"/>
          <w:b/>
          <w:color w:val="0000FF"/>
        </w:rPr>
        <w:t>Strongly Agree</w:t>
      </w:r>
      <w:r>
        <w:rPr>
          <w:rFonts w:cs="Arial"/>
          <w:b/>
          <w:color w:val="0000FF"/>
        </w:rPr>
        <w:tab/>
        <w:t xml:space="preserve">     </w:t>
      </w:r>
      <w:r>
        <w:rPr>
          <w:rFonts w:cs="Arial"/>
          <w:b/>
          <w:color w:val="0000FF"/>
        </w:rPr>
        <w:fldChar w:fldCharType="begin">
          <w:ffData>
            <w:name w:val=""/>
            <w:enabled/>
            <w:calcOnExit w:val="0"/>
            <w:checkBox>
              <w:size w:val="26"/>
              <w:default w:val="0"/>
            </w:checkBox>
          </w:ffData>
        </w:fldChar>
      </w:r>
      <w:r>
        <w:rPr>
          <w:rFonts w:cs="Arial"/>
          <w:b/>
          <w:color w:val="0000FF"/>
        </w:rPr>
        <w:instrText xml:space="preserve"> FORMCHECKBOX </w:instrText>
      </w:r>
      <w:r>
        <w:rPr>
          <w:rFonts w:cs="Arial"/>
          <w:b/>
          <w:color w:val="0000FF"/>
        </w:rPr>
      </w:r>
      <w:r>
        <w:rPr>
          <w:rFonts w:cs="Arial"/>
          <w:b/>
          <w:color w:val="0000FF"/>
        </w:rPr>
        <w:fldChar w:fldCharType="end"/>
      </w:r>
      <w:r>
        <w:rPr>
          <w:rFonts w:cs="Arial"/>
          <w:b/>
          <w:color w:val="0000FF"/>
        </w:rPr>
        <w:tab/>
        <w:t xml:space="preserve">        On Balance Agree (some reservations)</w:t>
      </w:r>
      <w:r>
        <w:rPr>
          <w:rFonts w:cs="Arial"/>
          <w:b/>
          <w:color w:val="0000FF"/>
        </w:rPr>
        <w:tab/>
      </w:r>
      <w:r>
        <w:rPr>
          <w:rFonts w:cs="Arial"/>
          <w:b/>
          <w:color w:val="0000FF"/>
        </w:rPr>
        <w:fldChar w:fldCharType="begin">
          <w:ffData>
            <w:name w:val="Check1"/>
            <w:enabled/>
            <w:calcOnExit w:val="0"/>
            <w:checkBox>
              <w:size w:val="26"/>
              <w:default w:val="0"/>
            </w:checkBox>
          </w:ffData>
        </w:fldChar>
      </w:r>
      <w:r>
        <w:rPr>
          <w:rFonts w:cs="Arial"/>
          <w:b/>
          <w:color w:val="0000FF"/>
        </w:rPr>
        <w:instrText xml:space="preserve"> FORMCHECKBOX </w:instrText>
      </w:r>
      <w:r>
        <w:rPr>
          <w:rFonts w:cs="Arial"/>
          <w:b/>
          <w:color w:val="0000FF"/>
        </w:rPr>
      </w:r>
      <w:r>
        <w:rPr>
          <w:rFonts w:cs="Arial"/>
          <w:b/>
          <w:color w:val="0000FF"/>
        </w:rPr>
        <w:fldChar w:fldCharType="end"/>
      </w:r>
      <w:r>
        <w:rPr>
          <w:rFonts w:cs="Arial"/>
          <w:b/>
          <w:color w:val="0000FF"/>
        </w:rPr>
        <w:t xml:space="preserve">  </w:t>
      </w:r>
      <w:r>
        <w:rPr>
          <w:rFonts w:cs="Arial"/>
          <w:b/>
          <w:color w:val="0000FF"/>
        </w:rPr>
        <w:tab/>
        <w:t>Strongly Disagree</w:t>
      </w:r>
      <w:r>
        <w:rPr>
          <w:rFonts w:cs="Arial"/>
          <w:b/>
          <w:color w:val="0000FF"/>
        </w:rPr>
        <w:tab/>
      </w:r>
      <w:r>
        <w:rPr>
          <w:rFonts w:cs="Arial"/>
          <w:b/>
          <w:color w:val="0000FF"/>
        </w:rPr>
        <w:fldChar w:fldCharType="begin">
          <w:ffData>
            <w:name w:val="Check2"/>
            <w:enabled/>
            <w:calcOnExit w:val="0"/>
            <w:checkBox>
              <w:size w:val="26"/>
              <w:default w:val="0"/>
            </w:checkBox>
          </w:ffData>
        </w:fldChar>
      </w:r>
      <w:r>
        <w:rPr>
          <w:rFonts w:cs="Arial"/>
          <w:b/>
          <w:color w:val="0000FF"/>
        </w:rPr>
        <w:instrText xml:space="preserve"> FORMCHECKBOX </w:instrText>
      </w:r>
      <w:r>
        <w:rPr>
          <w:rFonts w:cs="Arial"/>
          <w:b/>
          <w:color w:val="0000FF"/>
        </w:rPr>
      </w:r>
      <w:r>
        <w:rPr>
          <w:rFonts w:cs="Arial"/>
          <w:b/>
          <w:color w:val="0000FF"/>
        </w:rPr>
        <w:fldChar w:fldCharType="end"/>
      </w:r>
      <w:r>
        <w:rPr>
          <w:rFonts w:cs="Arial"/>
          <w:b/>
          <w:color w:val="0000FF"/>
        </w:rPr>
        <w:tab/>
      </w:r>
    </w:p>
    <w:p w:rsidR="006348B4" w:rsidRDefault="006348B4" w:rsidP="006348B4">
      <w:pPr>
        <w:jc w:val="both"/>
        <w:rPr>
          <w:rFonts w:cs="Arial"/>
          <w:b/>
          <w:color w:val="0000FF"/>
        </w:rPr>
      </w:pPr>
      <w:r>
        <w:rPr>
          <w:rFonts w:cs="Arial"/>
          <w:b/>
          <w:color w:val="0000FF"/>
        </w:rPr>
        <w:tab/>
      </w:r>
      <w:r>
        <w:rPr>
          <w:rFonts w:cs="Arial"/>
          <w:b/>
          <w:color w:val="0000FF"/>
        </w:rPr>
        <w:tab/>
      </w:r>
      <w:r>
        <w:rPr>
          <w:rFonts w:cs="Arial"/>
          <w:b/>
          <w:color w:val="0000FF"/>
        </w:rPr>
        <w:tab/>
      </w:r>
      <w:r>
        <w:rPr>
          <w:rFonts w:cs="Arial"/>
          <w:b/>
          <w:color w:val="0000FF"/>
        </w:rPr>
        <w:tab/>
      </w:r>
      <w:r>
        <w:rPr>
          <w:rFonts w:cs="Arial"/>
          <w:b/>
          <w:color w:val="0000FF"/>
        </w:rPr>
        <w:tab/>
      </w:r>
      <w:r>
        <w:rPr>
          <w:rFonts w:cs="Arial"/>
          <w:b/>
          <w:color w:val="0000FF"/>
        </w:rPr>
        <w:tab/>
      </w:r>
    </w:p>
    <w:p w:rsidR="006348B4" w:rsidRDefault="00ED4A3E" w:rsidP="006348B4">
      <w:pPr>
        <w:jc w:val="both"/>
        <w:rPr>
          <w:rFonts w:cs="Arial"/>
          <w:b/>
          <w:color w:val="0000FF"/>
        </w:rPr>
      </w:pPr>
      <w:r>
        <w:rPr>
          <w:rFonts w:cs="Arial"/>
          <w:b/>
          <w:noProof/>
          <w:color w:val="0000FF"/>
        </w:rPr>
        <mc:AlternateContent>
          <mc:Choice Requires="wps">
            <w:drawing>
              <wp:anchor distT="0" distB="0" distL="114300" distR="114300" simplePos="0" relativeHeight="251655168" behindDoc="0" locked="0" layoutInCell="1" allowOverlap="1" wp14:anchorId="10589893" wp14:editId="31E20011">
                <wp:simplePos x="0" y="0"/>
                <wp:positionH relativeFrom="column">
                  <wp:posOffset>0</wp:posOffset>
                </wp:positionH>
                <wp:positionV relativeFrom="paragraph">
                  <wp:posOffset>3810</wp:posOffset>
                </wp:positionV>
                <wp:extent cx="6400800" cy="2084070"/>
                <wp:effectExtent l="9525" t="13335" r="9525" b="762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084070"/>
                        </a:xfrm>
                        <a:prstGeom prst="rect">
                          <a:avLst/>
                        </a:prstGeom>
                        <a:solidFill>
                          <a:srgbClr val="FFFFFF"/>
                        </a:solidFill>
                        <a:ln w="9525">
                          <a:solidFill>
                            <a:srgbClr val="0000FF"/>
                          </a:solidFill>
                          <a:miter lim="800000"/>
                          <a:headEnd/>
                          <a:tailEnd/>
                        </a:ln>
                      </wps:spPr>
                      <wps:txbx>
                        <w:txbxContent>
                          <w:p w:rsidR="006372E3" w:rsidRPr="00B102E7" w:rsidRDefault="006372E3" w:rsidP="0040300F">
                            <w:pPr>
                              <w:rPr>
                                <w:color w:val="0000FF"/>
                              </w:rPr>
                            </w:pPr>
                            <w:r w:rsidRPr="00B102E7">
                              <w:rPr>
                                <w:color w:val="0000FF"/>
                              </w:rPr>
                              <w:t>If not, please provide further explanation here:</w:t>
                            </w:r>
                          </w:p>
                          <w:p w:rsidR="006372E3" w:rsidRDefault="006372E3" w:rsidP="006348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0;margin-top:.3pt;width:7in;height:164.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" strokecolor="blue">
                <v:textbox>
                  <w:txbxContent>
                    <w:p w:rsidR="0040300F" w:rsidRPr="00B102E7" w:rsidRDefault="0040300F" w:rsidP="0040300F">
                      <w:pPr>
                        <w:rPr>
                          <w:color w:val="0000FF"/>
                        </w:rPr>
                      </w:pPr>
                      <w:r w:rsidRPr="00B102E7">
                        <w:rPr>
                          <w:color w:val="0000FF"/>
                        </w:rPr>
                        <w:t>If not, please provide further explanation here:</w:t>
                      </w:r>
                    </w:p>
                    <w:p w:rsidR="00E74B8F" w:rsidRDefault="00E74B8F" w:rsidP="006348B4"/>
                  </w:txbxContent>
                </v:textbox>
              </v:shape>
            </w:pict>
          </mc:Fallback>
        </mc:AlternateContent>
      </w: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Pr="00A70F31" w:rsidRDefault="006348B4" w:rsidP="006348B4">
      <w:pPr>
        <w:jc w:val="both"/>
        <w:rPr>
          <w:b/>
          <w:i/>
          <w:color w:val="0000FF"/>
          <w:sz w:val="22"/>
          <w:szCs w:val="22"/>
        </w:rPr>
      </w:pPr>
    </w:p>
    <w:p w:rsidR="006348B4" w:rsidRDefault="006348B4" w:rsidP="006348B4">
      <w:pPr>
        <w:rPr>
          <w:b/>
          <w:sz w:val="22"/>
          <w:szCs w:val="22"/>
          <w:u w:val="single"/>
        </w:rPr>
      </w:pPr>
    </w:p>
    <w:p w:rsidR="006348B4" w:rsidRDefault="006348B4" w:rsidP="006348B4">
      <w:pPr>
        <w:rPr>
          <w:sz w:val="22"/>
          <w:szCs w:val="22"/>
        </w:rPr>
      </w:pPr>
    </w:p>
    <w:p w:rsidR="003D4711" w:rsidRDefault="003D4711" w:rsidP="003D4711">
      <w:pPr>
        <w:jc w:val="both"/>
        <w:rPr>
          <w:b/>
          <w:color w:val="0000FF"/>
          <w:sz w:val="22"/>
          <w:szCs w:val="22"/>
        </w:rPr>
      </w:pPr>
      <w:r>
        <w:rPr>
          <w:b/>
          <w:color w:val="0000FF"/>
          <w:sz w:val="22"/>
          <w:szCs w:val="22"/>
        </w:rPr>
        <w:lastRenderedPageBreak/>
        <w:t>Question 6: Are there any further changes that you would wish to see made to the funding model in 2015/16? Please give details.</w:t>
      </w:r>
    </w:p>
    <w:p w:rsidR="006348B4" w:rsidRDefault="00ED4A3E" w:rsidP="006348B4">
      <w:pPr>
        <w:jc w:val="both"/>
        <w:rPr>
          <w:rFonts w:cs="Arial"/>
          <w:b/>
          <w:color w:val="0000FF"/>
        </w:rPr>
      </w:pPr>
      <w:r>
        <w:rPr>
          <w:rFonts w:cs="Arial"/>
          <w:b/>
          <w:noProof/>
          <w:color w:val="0000FF"/>
        </w:rPr>
        <mc:AlternateContent>
          <mc:Choice Requires="wps">
            <w:drawing>
              <wp:anchor distT="0" distB="0" distL="114300" distR="114300" simplePos="0" relativeHeight="251656192" behindDoc="0" locked="0" layoutInCell="1" allowOverlap="1" wp14:anchorId="46295CA6" wp14:editId="3BD4294B">
                <wp:simplePos x="0" y="0"/>
                <wp:positionH relativeFrom="column">
                  <wp:posOffset>0</wp:posOffset>
                </wp:positionH>
                <wp:positionV relativeFrom="paragraph">
                  <wp:posOffset>271780</wp:posOffset>
                </wp:positionV>
                <wp:extent cx="6400800" cy="1417955"/>
                <wp:effectExtent l="9525" t="5080" r="9525" b="571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17955"/>
                        </a:xfrm>
                        <a:prstGeom prst="rect">
                          <a:avLst/>
                        </a:prstGeom>
                        <a:solidFill>
                          <a:srgbClr val="FFFFFF"/>
                        </a:solidFill>
                        <a:ln w="9525">
                          <a:solidFill>
                            <a:srgbClr val="0000FF"/>
                          </a:solidFill>
                          <a:miter lim="800000"/>
                          <a:headEnd/>
                          <a:tailEnd/>
                        </a:ln>
                      </wps:spPr>
                      <wps:txbx>
                        <w:txbxContent>
                          <w:p w:rsidR="006372E3" w:rsidRPr="00B102E7" w:rsidRDefault="006372E3" w:rsidP="006348B4">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0;margin-top:21.4pt;width:7in;height:11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" strokecolor="blue">
                <v:textbox>
                  <w:txbxContent>
                    <w:p w:rsidR="00E74B8F" w:rsidRPr="00B102E7" w:rsidRDefault="00E74B8F" w:rsidP="006348B4">
                      <w:pPr>
                        <w:rPr>
                          <w:color w:val="0000FF"/>
                        </w:rPr>
                      </w:pPr>
                    </w:p>
                  </w:txbxContent>
                </v:textbox>
              </v:shape>
            </w:pict>
          </mc:Fallback>
        </mc:AlternateContent>
      </w:r>
      <w:r w:rsidR="006348B4">
        <w:rPr>
          <w:rFonts w:cs="Arial"/>
          <w:b/>
          <w:color w:val="0000FF"/>
        </w:rPr>
        <w:tab/>
      </w:r>
      <w:r w:rsidR="006348B4">
        <w:rPr>
          <w:rFonts w:cs="Arial"/>
          <w:b/>
          <w:color w:val="0000FF"/>
        </w:rPr>
        <w:tab/>
      </w:r>
      <w:r w:rsidR="006348B4">
        <w:rPr>
          <w:rFonts w:cs="Arial"/>
          <w:b/>
          <w:color w:val="0000FF"/>
        </w:rPr>
        <w:tab/>
      </w:r>
      <w:r w:rsidR="006348B4">
        <w:rPr>
          <w:rFonts w:cs="Arial"/>
          <w:b/>
          <w:color w:val="0000FF"/>
        </w:rPr>
        <w:tab/>
      </w:r>
      <w:r w:rsidR="006348B4">
        <w:rPr>
          <w:rFonts w:cs="Arial"/>
          <w:b/>
          <w:color w:val="0000FF"/>
        </w:rPr>
        <w:tab/>
      </w: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Pr="00A70F31" w:rsidRDefault="006348B4" w:rsidP="006348B4">
      <w:pPr>
        <w:jc w:val="both"/>
        <w:rPr>
          <w:b/>
          <w:i/>
          <w:color w:val="0000FF"/>
          <w:sz w:val="22"/>
          <w:szCs w:val="22"/>
        </w:rPr>
      </w:pPr>
    </w:p>
    <w:p w:rsidR="006348B4" w:rsidRDefault="006348B4" w:rsidP="006348B4">
      <w:pPr>
        <w:rPr>
          <w:sz w:val="22"/>
          <w:szCs w:val="22"/>
        </w:rPr>
      </w:pPr>
    </w:p>
    <w:p w:rsidR="003D4711" w:rsidRDefault="003D4711" w:rsidP="006348B4">
      <w:pPr>
        <w:jc w:val="both"/>
        <w:rPr>
          <w:b/>
          <w:color w:val="0000FF"/>
          <w:sz w:val="22"/>
          <w:szCs w:val="22"/>
        </w:rPr>
      </w:pPr>
    </w:p>
    <w:p w:rsidR="003D4711" w:rsidRPr="00B23DC4" w:rsidRDefault="003D4711" w:rsidP="003D4711">
      <w:pPr>
        <w:jc w:val="both"/>
        <w:rPr>
          <w:b/>
          <w:color w:val="0000FF"/>
          <w:sz w:val="22"/>
          <w:szCs w:val="22"/>
        </w:rPr>
      </w:pPr>
      <w:r>
        <w:rPr>
          <w:b/>
          <w:color w:val="0000FF"/>
          <w:sz w:val="22"/>
          <w:szCs w:val="22"/>
        </w:rPr>
        <w:t>Question 7: Is there anything that you would like the review of the funding of Post 16 provision to include or do you have any specific comments about this review? Please give details.</w:t>
      </w:r>
    </w:p>
    <w:p w:rsidR="006348B4" w:rsidRPr="00A70F31" w:rsidRDefault="006348B4" w:rsidP="006348B4">
      <w:pPr>
        <w:jc w:val="both"/>
        <w:rPr>
          <w:b/>
          <w:i/>
          <w:color w:val="0000FF"/>
          <w:sz w:val="22"/>
          <w:szCs w:val="22"/>
        </w:rPr>
      </w:pPr>
    </w:p>
    <w:p w:rsidR="006348B4" w:rsidRDefault="006348B4" w:rsidP="006348B4">
      <w:pPr>
        <w:jc w:val="both"/>
        <w:rPr>
          <w:rFonts w:cs="Arial"/>
          <w:b/>
          <w:color w:val="0000FF"/>
        </w:rPr>
      </w:pPr>
      <w:r>
        <w:rPr>
          <w:rFonts w:cs="Arial"/>
          <w:b/>
          <w:color w:val="0000FF"/>
        </w:rPr>
        <w:tab/>
      </w:r>
      <w:r>
        <w:rPr>
          <w:rFonts w:cs="Arial"/>
          <w:b/>
          <w:color w:val="0000FF"/>
        </w:rPr>
        <w:tab/>
      </w:r>
      <w:r>
        <w:rPr>
          <w:rFonts w:cs="Arial"/>
          <w:b/>
          <w:color w:val="0000FF"/>
        </w:rPr>
        <w:tab/>
      </w:r>
      <w:r>
        <w:rPr>
          <w:rFonts w:cs="Arial"/>
          <w:b/>
          <w:color w:val="0000FF"/>
        </w:rPr>
        <w:tab/>
      </w:r>
      <w:r>
        <w:rPr>
          <w:rFonts w:cs="Arial"/>
          <w:b/>
          <w:color w:val="0000FF"/>
        </w:rPr>
        <w:tab/>
      </w:r>
    </w:p>
    <w:p w:rsidR="006348B4" w:rsidRDefault="00ED4A3E" w:rsidP="006348B4">
      <w:pPr>
        <w:jc w:val="both"/>
        <w:rPr>
          <w:rFonts w:cs="Arial"/>
          <w:b/>
          <w:color w:val="0000FF"/>
        </w:rPr>
      </w:pPr>
      <w:r>
        <w:rPr>
          <w:rFonts w:cs="Arial"/>
          <w:b/>
          <w:noProof/>
          <w:color w:val="0000FF"/>
        </w:rPr>
        <mc:AlternateContent>
          <mc:Choice Requires="wps">
            <w:drawing>
              <wp:anchor distT="0" distB="0" distL="114300" distR="114300" simplePos="0" relativeHeight="251657216" behindDoc="0" locked="0" layoutInCell="1" allowOverlap="1" wp14:anchorId="5540E5AE" wp14:editId="35B83055">
                <wp:simplePos x="0" y="0"/>
                <wp:positionH relativeFrom="column">
                  <wp:posOffset>2540</wp:posOffset>
                </wp:positionH>
                <wp:positionV relativeFrom="paragraph">
                  <wp:posOffset>-635</wp:posOffset>
                </wp:positionV>
                <wp:extent cx="6400800" cy="2228850"/>
                <wp:effectExtent l="0" t="0" r="19050" b="1905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28850"/>
                        </a:xfrm>
                        <a:prstGeom prst="rect">
                          <a:avLst/>
                        </a:prstGeom>
                        <a:solidFill>
                          <a:srgbClr val="FFFFFF"/>
                        </a:solidFill>
                        <a:ln w="9525">
                          <a:solidFill>
                            <a:srgbClr val="0000FF"/>
                          </a:solidFill>
                          <a:miter lim="800000"/>
                          <a:headEnd/>
                          <a:tailEnd/>
                        </a:ln>
                      </wps:spPr>
                      <wps:txbx>
                        <w:txbxContent>
                          <w:p w:rsidR="006372E3" w:rsidRPr="00B102E7" w:rsidRDefault="006372E3" w:rsidP="006348B4">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pt;margin-top:-.05pt;width:7in;height:1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" strokecolor="blue">
                <v:textbox>
                  <w:txbxContent>
                    <w:p w:rsidR="00E74B8F" w:rsidRPr="00B102E7" w:rsidRDefault="00E74B8F" w:rsidP="006348B4">
                      <w:pPr>
                        <w:rPr>
                          <w:color w:val="0000FF"/>
                        </w:rPr>
                      </w:pPr>
                    </w:p>
                  </w:txbxContent>
                </v:textbox>
              </v:shape>
            </w:pict>
          </mc:Fallback>
        </mc:AlternateContent>
      </w: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Pr="00A70F31" w:rsidRDefault="006348B4" w:rsidP="006348B4">
      <w:pPr>
        <w:jc w:val="both"/>
        <w:rPr>
          <w:b/>
          <w:i/>
          <w:color w:val="0000FF"/>
          <w:sz w:val="22"/>
          <w:szCs w:val="22"/>
        </w:rPr>
      </w:pPr>
    </w:p>
    <w:p w:rsidR="006348B4" w:rsidRDefault="006348B4" w:rsidP="006348B4">
      <w:pPr>
        <w:jc w:val="both"/>
        <w:rPr>
          <w:b/>
          <w:i/>
          <w:color w:val="0000FF"/>
          <w:sz w:val="22"/>
          <w:szCs w:val="22"/>
        </w:rPr>
      </w:pPr>
    </w:p>
    <w:p w:rsidR="006348B4" w:rsidRDefault="006348B4" w:rsidP="006348B4">
      <w:pPr>
        <w:jc w:val="both"/>
        <w:rPr>
          <w:b/>
          <w:i/>
          <w:color w:val="0000FF"/>
          <w:sz w:val="22"/>
          <w:szCs w:val="22"/>
        </w:rPr>
      </w:pPr>
    </w:p>
    <w:p w:rsidR="00CC407F" w:rsidRDefault="00CC407F" w:rsidP="006348B4">
      <w:pPr>
        <w:jc w:val="both"/>
        <w:rPr>
          <w:b/>
          <w:i/>
          <w:color w:val="0000FF"/>
          <w:sz w:val="22"/>
          <w:szCs w:val="22"/>
        </w:rPr>
      </w:pPr>
    </w:p>
    <w:p w:rsidR="00CC407F" w:rsidRDefault="00CC407F" w:rsidP="006348B4">
      <w:pPr>
        <w:jc w:val="both"/>
        <w:rPr>
          <w:b/>
          <w:i/>
          <w:color w:val="0000FF"/>
          <w:sz w:val="22"/>
          <w:szCs w:val="22"/>
        </w:rPr>
      </w:pPr>
    </w:p>
    <w:p w:rsidR="00CC407F" w:rsidRDefault="00CC407F" w:rsidP="006348B4">
      <w:pPr>
        <w:jc w:val="both"/>
        <w:rPr>
          <w:b/>
          <w:i/>
          <w:color w:val="0000FF"/>
          <w:sz w:val="22"/>
          <w:szCs w:val="22"/>
        </w:rPr>
      </w:pPr>
    </w:p>
    <w:p w:rsidR="00CC407F" w:rsidRDefault="00CC407F" w:rsidP="006348B4">
      <w:pPr>
        <w:jc w:val="both"/>
        <w:rPr>
          <w:b/>
          <w:i/>
          <w:color w:val="0000FF"/>
          <w:sz w:val="22"/>
          <w:szCs w:val="22"/>
        </w:rPr>
      </w:pPr>
    </w:p>
    <w:p w:rsidR="003D4711" w:rsidRPr="007D4220" w:rsidRDefault="003D4711" w:rsidP="003D4711">
      <w:pPr>
        <w:jc w:val="both"/>
        <w:rPr>
          <w:b/>
          <w:color w:val="0000FF"/>
          <w:sz w:val="22"/>
          <w:szCs w:val="22"/>
        </w:rPr>
      </w:pPr>
      <w:r>
        <w:rPr>
          <w:b/>
          <w:color w:val="0000FF"/>
          <w:sz w:val="22"/>
          <w:szCs w:val="22"/>
        </w:rPr>
        <w:t>Question 8 – Do you have any other comments on the funding model that you have not recorded elsewhere?</w:t>
      </w:r>
    </w:p>
    <w:p w:rsidR="006348B4" w:rsidRPr="00611D98" w:rsidRDefault="006348B4" w:rsidP="006348B4">
      <w:pPr>
        <w:jc w:val="both"/>
        <w:rPr>
          <w:b/>
          <w:color w:val="0000FF"/>
          <w:sz w:val="22"/>
          <w:szCs w:val="22"/>
        </w:rPr>
      </w:pPr>
    </w:p>
    <w:p w:rsidR="006348B4" w:rsidRDefault="006348B4" w:rsidP="006348B4">
      <w:pPr>
        <w:jc w:val="both"/>
        <w:rPr>
          <w:rFonts w:cs="Arial"/>
          <w:b/>
          <w:color w:val="0000FF"/>
        </w:rPr>
      </w:pPr>
      <w:r>
        <w:rPr>
          <w:rFonts w:cs="Arial"/>
          <w:b/>
          <w:color w:val="0000FF"/>
        </w:rPr>
        <w:tab/>
      </w:r>
      <w:r>
        <w:rPr>
          <w:rFonts w:cs="Arial"/>
          <w:b/>
          <w:color w:val="0000FF"/>
        </w:rPr>
        <w:tab/>
      </w:r>
      <w:r>
        <w:rPr>
          <w:rFonts w:cs="Arial"/>
          <w:b/>
          <w:color w:val="0000FF"/>
        </w:rPr>
        <w:tab/>
      </w:r>
      <w:r>
        <w:rPr>
          <w:rFonts w:cs="Arial"/>
          <w:b/>
          <w:color w:val="0000FF"/>
        </w:rPr>
        <w:tab/>
      </w:r>
      <w:r>
        <w:rPr>
          <w:rFonts w:cs="Arial"/>
          <w:b/>
          <w:color w:val="0000FF"/>
        </w:rPr>
        <w:tab/>
      </w:r>
    </w:p>
    <w:p w:rsidR="006348B4" w:rsidRDefault="00ED4A3E" w:rsidP="006348B4">
      <w:pPr>
        <w:jc w:val="both"/>
        <w:rPr>
          <w:rFonts w:cs="Arial"/>
          <w:b/>
          <w:color w:val="0000FF"/>
        </w:rPr>
      </w:pPr>
      <w:r>
        <w:rPr>
          <w:rFonts w:cs="Arial"/>
          <w:b/>
          <w:noProof/>
          <w:color w:val="0000FF"/>
        </w:rPr>
        <mc:AlternateContent>
          <mc:Choice Requires="wps">
            <w:drawing>
              <wp:anchor distT="0" distB="0" distL="114300" distR="114300" simplePos="0" relativeHeight="251660288" behindDoc="0" locked="0" layoutInCell="1" allowOverlap="1" wp14:anchorId="76230AD6" wp14:editId="3963AB67">
                <wp:simplePos x="0" y="0"/>
                <wp:positionH relativeFrom="column">
                  <wp:posOffset>2540</wp:posOffset>
                </wp:positionH>
                <wp:positionV relativeFrom="paragraph">
                  <wp:posOffset>4445</wp:posOffset>
                </wp:positionV>
                <wp:extent cx="6400800" cy="3314700"/>
                <wp:effectExtent l="0" t="0" r="19050" b="1905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314700"/>
                        </a:xfrm>
                        <a:prstGeom prst="rect">
                          <a:avLst/>
                        </a:prstGeom>
                        <a:solidFill>
                          <a:srgbClr val="FFFFFF"/>
                        </a:solidFill>
                        <a:ln w="9525">
                          <a:solidFill>
                            <a:srgbClr val="0000FF"/>
                          </a:solidFill>
                          <a:miter lim="800000"/>
                          <a:headEnd/>
                          <a:tailEnd/>
                        </a:ln>
                      </wps:spPr>
                      <wps:txbx>
                        <w:txbxContent>
                          <w:p w:rsidR="006372E3" w:rsidRPr="00B102E7" w:rsidRDefault="006372E3" w:rsidP="006348B4">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left:0;text-align:left;margin-left:.2pt;margin-top:.35pt;width:7in;height:2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" strokecolor="blue">
                <v:textbox>
                  <w:txbxContent>
                    <w:p w:rsidR="00E74B8F" w:rsidRPr="00B102E7" w:rsidRDefault="00E74B8F" w:rsidP="006348B4">
                      <w:pPr>
                        <w:rPr>
                          <w:color w:val="0000FF"/>
                        </w:rPr>
                      </w:pPr>
                    </w:p>
                  </w:txbxContent>
                </v:textbox>
              </v:shape>
            </w:pict>
          </mc:Fallback>
        </mc:AlternateContent>
      </w: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Pr="00A70F31" w:rsidRDefault="006348B4" w:rsidP="006348B4">
      <w:pPr>
        <w:jc w:val="both"/>
        <w:rPr>
          <w:b/>
          <w:i/>
          <w:color w:val="0000FF"/>
          <w:sz w:val="22"/>
          <w:szCs w:val="22"/>
        </w:rPr>
      </w:pPr>
    </w:p>
    <w:p w:rsidR="006348B4" w:rsidRDefault="006348B4" w:rsidP="006348B4">
      <w:pPr>
        <w:jc w:val="both"/>
        <w:rPr>
          <w:b/>
          <w:i/>
          <w:color w:val="0000FF"/>
          <w:sz w:val="22"/>
          <w:szCs w:val="22"/>
        </w:rPr>
      </w:pPr>
    </w:p>
    <w:p w:rsidR="006348B4" w:rsidRDefault="006348B4" w:rsidP="006348B4">
      <w:pPr>
        <w:rPr>
          <w:sz w:val="22"/>
          <w:szCs w:val="22"/>
        </w:rPr>
      </w:pPr>
    </w:p>
    <w:p w:rsidR="00CC407F" w:rsidRDefault="00CC407F" w:rsidP="006348B4">
      <w:pPr>
        <w:rPr>
          <w:sz w:val="22"/>
          <w:szCs w:val="22"/>
        </w:rPr>
      </w:pPr>
    </w:p>
    <w:p w:rsidR="00CC407F" w:rsidRDefault="00CC407F" w:rsidP="006348B4">
      <w:pPr>
        <w:rPr>
          <w:sz w:val="22"/>
          <w:szCs w:val="22"/>
        </w:rPr>
      </w:pPr>
    </w:p>
    <w:p w:rsidR="00CC407F" w:rsidRDefault="00CC407F" w:rsidP="006348B4">
      <w:pPr>
        <w:rPr>
          <w:sz w:val="22"/>
          <w:szCs w:val="22"/>
        </w:rPr>
      </w:pPr>
    </w:p>
    <w:p w:rsidR="00CC407F" w:rsidRDefault="00CC407F" w:rsidP="006348B4">
      <w:pPr>
        <w:rPr>
          <w:sz w:val="22"/>
          <w:szCs w:val="22"/>
        </w:rPr>
      </w:pPr>
    </w:p>
    <w:p w:rsidR="00CC407F" w:rsidRDefault="00CC407F" w:rsidP="006348B4">
      <w:pPr>
        <w:rPr>
          <w:sz w:val="22"/>
          <w:szCs w:val="22"/>
        </w:rPr>
      </w:pPr>
    </w:p>
    <w:p w:rsidR="00CC407F" w:rsidRDefault="00CC407F" w:rsidP="006348B4">
      <w:pPr>
        <w:rPr>
          <w:sz w:val="22"/>
          <w:szCs w:val="22"/>
        </w:rPr>
      </w:pPr>
    </w:p>
    <w:p w:rsidR="00CC407F" w:rsidRDefault="00CC407F" w:rsidP="006348B4">
      <w:pPr>
        <w:rPr>
          <w:sz w:val="22"/>
          <w:szCs w:val="22"/>
        </w:rPr>
      </w:pPr>
    </w:p>
    <w:p w:rsidR="00CC407F" w:rsidRDefault="00CC407F" w:rsidP="006348B4">
      <w:pPr>
        <w:rPr>
          <w:sz w:val="22"/>
          <w:szCs w:val="22"/>
        </w:rPr>
      </w:pPr>
    </w:p>
    <w:p w:rsidR="00CC407F" w:rsidRDefault="00CC407F" w:rsidP="006348B4">
      <w:pPr>
        <w:rPr>
          <w:sz w:val="22"/>
          <w:szCs w:val="22"/>
        </w:rPr>
      </w:pPr>
    </w:p>
    <w:p w:rsidR="00CC407F" w:rsidRDefault="00CC407F" w:rsidP="006348B4">
      <w:pPr>
        <w:rPr>
          <w:sz w:val="22"/>
          <w:szCs w:val="22"/>
        </w:rPr>
      </w:pPr>
    </w:p>
    <w:p w:rsidR="00CC407F" w:rsidRDefault="00CC407F" w:rsidP="006348B4">
      <w:pPr>
        <w:rPr>
          <w:sz w:val="22"/>
          <w:szCs w:val="22"/>
        </w:rPr>
      </w:pPr>
    </w:p>
    <w:p w:rsidR="003D4711" w:rsidRPr="00E2497B" w:rsidRDefault="003D4711" w:rsidP="003D4711">
      <w:pPr>
        <w:jc w:val="both"/>
        <w:rPr>
          <w:b/>
          <w:color w:val="0000FF"/>
          <w:sz w:val="22"/>
          <w:szCs w:val="22"/>
        </w:rPr>
      </w:pPr>
      <w:r w:rsidRPr="00E2497B">
        <w:rPr>
          <w:b/>
          <w:color w:val="0000FF"/>
          <w:sz w:val="22"/>
          <w:szCs w:val="22"/>
        </w:rPr>
        <w:t xml:space="preserve">Question 9: Do you agree </w:t>
      </w:r>
      <w:r>
        <w:rPr>
          <w:b/>
          <w:color w:val="0000FF"/>
          <w:sz w:val="22"/>
          <w:szCs w:val="22"/>
        </w:rPr>
        <w:t xml:space="preserve">with proposed amendment to the </w:t>
      </w:r>
      <w:r w:rsidRPr="00E2497B">
        <w:rPr>
          <w:b/>
          <w:color w:val="0000FF"/>
          <w:sz w:val="22"/>
          <w:szCs w:val="22"/>
        </w:rPr>
        <w:t>Surplus Balances Protocol</w:t>
      </w:r>
      <w:r>
        <w:rPr>
          <w:b/>
          <w:color w:val="0000FF"/>
          <w:sz w:val="22"/>
          <w:szCs w:val="22"/>
        </w:rPr>
        <w:t xml:space="preserve"> for maintained stand-alone high needs providers</w:t>
      </w:r>
      <w:r w:rsidRPr="00E2497B">
        <w:rPr>
          <w:b/>
          <w:color w:val="0000FF"/>
          <w:sz w:val="22"/>
          <w:szCs w:val="22"/>
        </w:rPr>
        <w:t>? If not, please explain why not.</w:t>
      </w:r>
    </w:p>
    <w:p w:rsidR="003D4711" w:rsidRDefault="003D4711" w:rsidP="006348B4">
      <w:pPr>
        <w:jc w:val="both"/>
        <w:rPr>
          <w:b/>
          <w:i/>
          <w:color w:val="0000FF"/>
          <w:sz w:val="22"/>
          <w:szCs w:val="22"/>
        </w:rPr>
      </w:pPr>
    </w:p>
    <w:p w:rsidR="003D4711" w:rsidRDefault="003D4711" w:rsidP="003D4711">
      <w:pPr>
        <w:jc w:val="both"/>
        <w:rPr>
          <w:b/>
          <w:color w:val="0000FF"/>
          <w:sz w:val="22"/>
          <w:szCs w:val="22"/>
        </w:rPr>
      </w:pPr>
      <w:r>
        <w:rPr>
          <w:rFonts w:cs="Arial"/>
          <w:b/>
          <w:color w:val="0000FF"/>
        </w:rPr>
        <w:t>Strongly Agree</w:t>
      </w:r>
      <w:r>
        <w:rPr>
          <w:rFonts w:cs="Arial"/>
          <w:b/>
          <w:color w:val="0000FF"/>
        </w:rPr>
        <w:tab/>
        <w:t xml:space="preserve">     </w:t>
      </w:r>
      <w:r>
        <w:rPr>
          <w:rFonts w:cs="Arial"/>
          <w:b/>
          <w:color w:val="0000FF"/>
        </w:rPr>
        <w:fldChar w:fldCharType="begin">
          <w:ffData>
            <w:name w:val=""/>
            <w:enabled/>
            <w:calcOnExit w:val="0"/>
            <w:checkBox>
              <w:size w:val="26"/>
              <w:default w:val="0"/>
            </w:checkBox>
          </w:ffData>
        </w:fldChar>
      </w:r>
      <w:r>
        <w:rPr>
          <w:rFonts w:cs="Arial"/>
          <w:b/>
          <w:color w:val="0000FF"/>
        </w:rPr>
        <w:instrText xml:space="preserve"> FORMCHECKBOX </w:instrText>
      </w:r>
      <w:r>
        <w:rPr>
          <w:rFonts w:cs="Arial"/>
          <w:b/>
          <w:color w:val="0000FF"/>
        </w:rPr>
      </w:r>
      <w:r>
        <w:rPr>
          <w:rFonts w:cs="Arial"/>
          <w:b/>
          <w:color w:val="0000FF"/>
        </w:rPr>
        <w:fldChar w:fldCharType="end"/>
      </w:r>
      <w:r>
        <w:rPr>
          <w:rFonts w:cs="Arial"/>
          <w:b/>
          <w:color w:val="0000FF"/>
        </w:rPr>
        <w:tab/>
        <w:t xml:space="preserve">        On Balance Agree (some reservations)</w:t>
      </w:r>
      <w:r>
        <w:rPr>
          <w:rFonts w:cs="Arial"/>
          <w:b/>
          <w:color w:val="0000FF"/>
        </w:rPr>
        <w:tab/>
      </w:r>
      <w:r>
        <w:rPr>
          <w:rFonts w:cs="Arial"/>
          <w:b/>
          <w:color w:val="0000FF"/>
        </w:rPr>
        <w:fldChar w:fldCharType="begin">
          <w:ffData>
            <w:name w:val="Check1"/>
            <w:enabled/>
            <w:calcOnExit w:val="0"/>
            <w:checkBox>
              <w:size w:val="26"/>
              <w:default w:val="0"/>
            </w:checkBox>
          </w:ffData>
        </w:fldChar>
      </w:r>
      <w:r>
        <w:rPr>
          <w:rFonts w:cs="Arial"/>
          <w:b/>
          <w:color w:val="0000FF"/>
        </w:rPr>
        <w:instrText xml:space="preserve"> FORMCHECKBOX </w:instrText>
      </w:r>
      <w:r>
        <w:rPr>
          <w:rFonts w:cs="Arial"/>
          <w:b/>
          <w:color w:val="0000FF"/>
        </w:rPr>
      </w:r>
      <w:r>
        <w:rPr>
          <w:rFonts w:cs="Arial"/>
          <w:b/>
          <w:color w:val="0000FF"/>
        </w:rPr>
        <w:fldChar w:fldCharType="end"/>
      </w:r>
      <w:r>
        <w:rPr>
          <w:rFonts w:cs="Arial"/>
          <w:b/>
          <w:color w:val="0000FF"/>
        </w:rPr>
        <w:t xml:space="preserve">  </w:t>
      </w:r>
      <w:r>
        <w:rPr>
          <w:rFonts w:cs="Arial"/>
          <w:b/>
          <w:color w:val="0000FF"/>
        </w:rPr>
        <w:tab/>
        <w:t>Strongly Disagree</w:t>
      </w:r>
      <w:r>
        <w:rPr>
          <w:rFonts w:cs="Arial"/>
          <w:b/>
          <w:color w:val="0000FF"/>
        </w:rPr>
        <w:tab/>
      </w:r>
      <w:r>
        <w:rPr>
          <w:rFonts w:cs="Arial"/>
          <w:b/>
          <w:color w:val="0000FF"/>
        </w:rPr>
        <w:fldChar w:fldCharType="begin">
          <w:ffData>
            <w:name w:val="Check2"/>
            <w:enabled/>
            <w:calcOnExit w:val="0"/>
            <w:checkBox>
              <w:size w:val="26"/>
              <w:default w:val="0"/>
            </w:checkBox>
          </w:ffData>
        </w:fldChar>
      </w:r>
      <w:r>
        <w:rPr>
          <w:rFonts w:cs="Arial"/>
          <w:b/>
          <w:color w:val="0000FF"/>
        </w:rPr>
        <w:instrText xml:space="preserve"> FORMCHECKBOX </w:instrText>
      </w:r>
      <w:r>
        <w:rPr>
          <w:rFonts w:cs="Arial"/>
          <w:b/>
          <w:color w:val="0000FF"/>
        </w:rPr>
      </w:r>
      <w:r>
        <w:rPr>
          <w:rFonts w:cs="Arial"/>
          <w:b/>
          <w:color w:val="0000FF"/>
        </w:rPr>
        <w:fldChar w:fldCharType="end"/>
      </w:r>
      <w:r>
        <w:rPr>
          <w:rFonts w:cs="Arial"/>
          <w:b/>
          <w:color w:val="0000FF"/>
        </w:rPr>
        <w:tab/>
      </w:r>
    </w:p>
    <w:p w:rsidR="006348B4" w:rsidRDefault="006348B4" w:rsidP="006348B4">
      <w:pPr>
        <w:jc w:val="both"/>
        <w:rPr>
          <w:b/>
          <w:i/>
          <w:color w:val="0000FF"/>
          <w:sz w:val="22"/>
          <w:szCs w:val="22"/>
        </w:rPr>
      </w:pPr>
    </w:p>
    <w:p w:rsidR="006348B4" w:rsidRDefault="003D4711" w:rsidP="006348B4">
      <w:pPr>
        <w:jc w:val="both"/>
        <w:rPr>
          <w:b/>
          <w:i/>
          <w:color w:val="0000FF"/>
          <w:sz w:val="22"/>
          <w:szCs w:val="22"/>
        </w:rPr>
      </w:pPr>
      <w:r>
        <w:rPr>
          <w:rFonts w:cs="Arial"/>
          <w:b/>
          <w:noProof/>
          <w:color w:val="0000FF"/>
        </w:rPr>
        <mc:AlternateContent>
          <mc:Choice Requires="wps">
            <w:drawing>
              <wp:anchor distT="0" distB="0" distL="114300" distR="114300" simplePos="0" relativeHeight="251658240" behindDoc="0" locked="0" layoutInCell="1" allowOverlap="1" wp14:anchorId="3FB36B68" wp14:editId="612C3837">
                <wp:simplePos x="0" y="0"/>
                <wp:positionH relativeFrom="column">
                  <wp:posOffset>2540</wp:posOffset>
                </wp:positionH>
                <wp:positionV relativeFrom="paragraph">
                  <wp:posOffset>4445</wp:posOffset>
                </wp:positionV>
                <wp:extent cx="6400800" cy="1733550"/>
                <wp:effectExtent l="0" t="0" r="19050" b="1905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733550"/>
                        </a:xfrm>
                        <a:prstGeom prst="rect">
                          <a:avLst/>
                        </a:prstGeom>
                        <a:solidFill>
                          <a:srgbClr val="FFFFFF"/>
                        </a:solidFill>
                        <a:ln w="9525">
                          <a:solidFill>
                            <a:srgbClr val="0000FF"/>
                          </a:solidFill>
                          <a:miter lim="800000"/>
                          <a:headEnd/>
                          <a:tailEnd/>
                        </a:ln>
                      </wps:spPr>
                      <wps:txbx>
                        <w:txbxContent>
                          <w:p w:rsidR="006372E3" w:rsidRPr="00B102E7" w:rsidRDefault="006372E3" w:rsidP="003D4711">
                            <w:pPr>
                              <w:rPr>
                                <w:color w:val="0000FF"/>
                              </w:rPr>
                            </w:pPr>
                            <w:r w:rsidRPr="00B102E7">
                              <w:rPr>
                                <w:color w:val="0000FF"/>
                              </w:rPr>
                              <w:t>If not, please provide further explanation here:</w:t>
                            </w:r>
                          </w:p>
                          <w:p w:rsidR="006372E3" w:rsidRPr="00B102E7" w:rsidRDefault="006372E3" w:rsidP="006348B4">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pt;margin-top:.35pt;width:7in;height:1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" strokecolor="blue">
                <v:textbox>
                  <w:txbxContent>
                    <w:p w:rsidR="003D4711" w:rsidRPr="00B102E7" w:rsidRDefault="003D4711" w:rsidP="003D4711">
                      <w:pPr>
                        <w:rPr>
                          <w:color w:val="0000FF"/>
                        </w:rPr>
                      </w:pPr>
                      <w:r w:rsidRPr="00B102E7">
                        <w:rPr>
                          <w:color w:val="0000FF"/>
                        </w:rPr>
                        <w:t>If not, please provide further explanation here:</w:t>
                      </w:r>
                    </w:p>
                    <w:p w:rsidR="00E74B8F" w:rsidRPr="00B102E7" w:rsidRDefault="00E74B8F" w:rsidP="006348B4">
                      <w:pPr>
                        <w:rPr>
                          <w:color w:val="0000FF"/>
                        </w:rPr>
                      </w:pPr>
                    </w:p>
                  </w:txbxContent>
                </v:textbox>
              </v:shape>
            </w:pict>
          </mc:Fallback>
        </mc:AlternateContent>
      </w:r>
    </w:p>
    <w:p w:rsidR="006348B4" w:rsidRDefault="006348B4" w:rsidP="006348B4">
      <w:pPr>
        <w:jc w:val="both"/>
        <w:rPr>
          <w:b/>
          <w:i/>
          <w:color w:val="0000FF"/>
          <w:sz w:val="22"/>
          <w:szCs w:val="22"/>
        </w:rPr>
      </w:pPr>
    </w:p>
    <w:p w:rsidR="006348B4" w:rsidRDefault="006348B4" w:rsidP="006348B4">
      <w:pPr>
        <w:jc w:val="both"/>
        <w:rPr>
          <w:b/>
          <w:i/>
          <w:color w:val="0000FF"/>
          <w:sz w:val="22"/>
          <w:szCs w:val="22"/>
        </w:rPr>
      </w:pPr>
    </w:p>
    <w:p w:rsidR="006348B4" w:rsidRDefault="006348B4" w:rsidP="006348B4">
      <w:pPr>
        <w:jc w:val="both"/>
        <w:rPr>
          <w:b/>
          <w:i/>
          <w:color w:val="0000FF"/>
          <w:sz w:val="22"/>
          <w:szCs w:val="22"/>
        </w:rPr>
      </w:pPr>
    </w:p>
    <w:p w:rsidR="006348B4" w:rsidRDefault="006348B4" w:rsidP="006348B4">
      <w:pPr>
        <w:jc w:val="both"/>
        <w:rPr>
          <w:b/>
          <w:i/>
          <w:color w:val="0000FF"/>
          <w:sz w:val="22"/>
          <w:szCs w:val="22"/>
        </w:rPr>
      </w:pPr>
    </w:p>
    <w:p w:rsidR="006348B4" w:rsidRDefault="006348B4" w:rsidP="006348B4">
      <w:pPr>
        <w:jc w:val="both"/>
        <w:rPr>
          <w:b/>
          <w:color w:val="0000FF"/>
          <w:sz w:val="22"/>
          <w:szCs w:val="22"/>
        </w:rPr>
      </w:pPr>
    </w:p>
    <w:p w:rsidR="006348B4" w:rsidRPr="00611D98" w:rsidRDefault="006348B4" w:rsidP="006348B4">
      <w:pPr>
        <w:jc w:val="both"/>
        <w:rPr>
          <w:b/>
          <w:color w:val="0000FF"/>
          <w:sz w:val="22"/>
          <w:szCs w:val="22"/>
        </w:rPr>
      </w:pPr>
      <w:r>
        <w:rPr>
          <w:rFonts w:cs="Arial"/>
          <w:b/>
          <w:color w:val="0000FF"/>
        </w:rPr>
        <w:t>Strongly Agree</w:t>
      </w:r>
      <w:r>
        <w:rPr>
          <w:rFonts w:cs="Arial"/>
          <w:b/>
          <w:color w:val="0000FF"/>
        </w:rPr>
        <w:tab/>
        <w:t xml:space="preserve">     </w:t>
      </w:r>
      <w:r>
        <w:rPr>
          <w:rFonts w:cs="Arial"/>
          <w:b/>
          <w:color w:val="0000FF"/>
        </w:rPr>
        <w:fldChar w:fldCharType="begin">
          <w:ffData>
            <w:name w:val=""/>
            <w:enabled/>
            <w:calcOnExit w:val="0"/>
            <w:checkBox>
              <w:size w:val="26"/>
              <w:default w:val="0"/>
            </w:checkBox>
          </w:ffData>
        </w:fldChar>
      </w:r>
      <w:r>
        <w:rPr>
          <w:rFonts w:cs="Arial"/>
          <w:b/>
          <w:color w:val="0000FF"/>
        </w:rPr>
        <w:instrText xml:space="preserve"> FORMCHECKBOX </w:instrText>
      </w:r>
      <w:r>
        <w:rPr>
          <w:rFonts w:cs="Arial"/>
          <w:b/>
          <w:color w:val="0000FF"/>
        </w:rPr>
      </w:r>
      <w:r>
        <w:rPr>
          <w:rFonts w:cs="Arial"/>
          <w:b/>
          <w:color w:val="0000FF"/>
        </w:rPr>
        <w:fldChar w:fldCharType="end"/>
      </w:r>
      <w:r>
        <w:rPr>
          <w:rFonts w:cs="Arial"/>
          <w:b/>
          <w:color w:val="0000FF"/>
        </w:rPr>
        <w:tab/>
        <w:t xml:space="preserve">        </w:t>
      </w:r>
      <w:r>
        <w:rPr>
          <w:rFonts w:cs="Arial"/>
          <w:b/>
          <w:color w:val="0000FF"/>
        </w:rPr>
        <w:tab/>
      </w:r>
      <w:r>
        <w:rPr>
          <w:rFonts w:cs="Arial"/>
          <w:b/>
          <w:color w:val="0000FF"/>
        </w:rPr>
        <w:tab/>
        <w:t>On Balance Agree</w:t>
      </w:r>
      <w:r>
        <w:rPr>
          <w:rFonts w:cs="Arial"/>
          <w:b/>
          <w:color w:val="0000FF"/>
        </w:rPr>
        <w:tab/>
      </w:r>
      <w:r>
        <w:rPr>
          <w:rFonts w:cs="Arial"/>
          <w:b/>
          <w:color w:val="0000FF"/>
        </w:rPr>
        <w:fldChar w:fldCharType="begin">
          <w:ffData>
            <w:name w:val="Check1"/>
            <w:enabled/>
            <w:calcOnExit w:val="0"/>
            <w:checkBox>
              <w:size w:val="26"/>
              <w:default w:val="0"/>
            </w:checkBox>
          </w:ffData>
        </w:fldChar>
      </w:r>
      <w:r>
        <w:rPr>
          <w:rFonts w:cs="Arial"/>
          <w:b/>
          <w:color w:val="0000FF"/>
        </w:rPr>
        <w:instrText xml:space="preserve"> FORMCHECKBOX </w:instrText>
      </w:r>
      <w:r>
        <w:rPr>
          <w:rFonts w:cs="Arial"/>
          <w:b/>
          <w:color w:val="0000FF"/>
        </w:rPr>
      </w:r>
      <w:r>
        <w:rPr>
          <w:rFonts w:cs="Arial"/>
          <w:b/>
          <w:color w:val="0000FF"/>
        </w:rPr>
        <w:fldChar w:fldCharType="end"/>
      </w:r>
      <w:r>
        <w:rPr>
          <w:rFonts w:cs="Arial"/>
          <w:b/>
          <w:color w:val="0000FF"/>
        </w:rPr>
        <w:t xml:space="preserve">  </w:t>
      </w:r>
      <w:r>
        <w:rPr>
          <w:rFonts w:cs="Arial"/>
          <w:b/>
          <w:color w:val="0000FF"/>
        </w:rPr>
        <w:tab/>
      </w:r>
      <w:r>
        <w:rPr>
          <w:rFonts w:cs="Arial"/>
          <w:b/>
          <w:color w:val="0000FF"/>
        </w:rPr>
        <w:tab/>
        <w:t>Strongly Disagree</w:t>
      </w:r>
      <w:r>
        <w:rPr>
          <w:rFonts w:cs="Arial"/>
          <w:b/>
          <w:color w:val="0000FF"/>
        </w:rPr>
        <w:tab/>
      </w:r>
      <w:r>
        <w:rPr>
          <w:rFonts w:cs="Arial"/>
          <w:b/>
          <w:color w:val="0000FF"/>
        </w:rPr>
        <w:fldChar w:fldCharType="begin">
          <w:ffData>
            <w:name w:val="Check2"/>
            <w:enabled/>
            <w:calcOnExit w:val="0"/>
            <w:checkBox>
              <w:size w:val="26"/>
              <w:default w:val="0"/>
            </w:checkBox>
          </w:ffData>
        </w:fldChar>
      </w:r>
      <w:r>
        <w:rPr>
          <w:rFonts w:cs="Arial"/>
          <w:b/>
          <w:color w:val="0000FF"/>
        </w:rPr>
        <w:instrText xml:space="preserve"> FORMCHECKBOX </w:instrText>
      </w:r>
      <w:r>
        <w:rPr>
          <w:rFonts w:cs="Arial"/>
          <w:b/>
          <w:color w:val="0000FF"/>
        </w:rPr>
      </w:r>
      <w:r>
        <w:rPr>
          <w:rFonts w:cs="Arial"/>
          <w:b/>
          <w:color w:val="0000FF"/>
        </w:rPr>
        <w:fldChar w:fldCharType="end"/>
      </w:r>
      <w:r>
        <w:rPr>
          <w:rFonts w:cs="Arial"/>
          <w:b/>
          <w:color w:val="0000FF"/>
        </w:rPr>
        <w:tab/>
      </w:r>
    </w:p>
    <w:p w:rsidR="006348B4" w:rsidRDefault="006348B4" w:rsidP="006348B4">
      <w:pPr>
        <w:jc w:val="both"/>
        <w:rPr>
          <w:color w:val="0000FF"/>
        </w:rPr>
      </w:pPr>
    </w:p>
    <w:p w:rsidR="006348B4" w:rsidRPr="002A3936" w:rsidRDefault="006348B4" w:rsidP="006348B4">
      <w:pPr>
        <w:jc w:val="both"/>
        <w:rPr>
          <w:rFonts w:cs="Arial"/>
          <w:b/>
          <w:color w:val="0000FF"/>
        </w:rPr>
      </w:pPr>
    </w:p>
    <w:sectPr w:rsidR="006348B4" w:rsidRPr="002A3936" w:rsidSect="00ED7708">
      <w:headerReference w:type="default" r:id="rId14"/>
      <w:pgSz w:w="11906" w:h="16838" w:code="9"/>
      <w:pgMar w:top="907" w:right="851" w:bottom="907" w:left="85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2E3" w:rsidRDefault="006372E3">
      <w:r>
        <w:separator/>
      </w:r>
    </w:p>
  </w:endnote>
  <w:endnote w:type="continuationSeparator" w:id="0">
    <w:p w:rsidR="006372E3" w:rsidRDefault="0063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2E3" w:rsidRDefault="006372E3" w:rsidP="005A33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72E3" w:rsidRDefault="006372E3" w:rsidP="005A33F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2E3" w:rsidRDefault="006372E3" w:rsidP="005A33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38A1">
      <w:rPr>
        <w:rStyle w:val="PageNumber"/>
        <w:noProof/>
      </w:rPr>
      <w:t>20</w:t>
    </w:r>
    <w:r>
      <w:rPr>
        <w:rStyle w:val="PageNumber"/>
      </w:rPr>
      <w:fldChar w:fldCharType="end"/>
    </w:r>
  </w:p>
  <w:p w:rsidR="006372E3" w:rsidRDefault="006372E3" w:rsidP="005A33F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2E3" w:rsidRDefault="006372E3">
      <w:r>
        <w:separator/>
      </w:r>
    </w:p>
  </w:footnote>
  <w:footnote w:type="continuationSeparator" w:id="0">
    <w:p w:rsidR="006372E3" w:rsidRDefault="00637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2E3" w:rsidRPr="00AC4BE2" w:rsidRDefault="006372E3" w:rsidP="005F7689">
    <w:pPr>
      <w:pStyle w:val="Header"/>
      <w:jc w:val="right"/>
      <w:rPr>
        <w:sz w:val="18"/>
        <w:szCs w:val="18"/>
      </w:rPr>
    </w:pPr>
    <w:r>
      <w:rPr>
        <w:sz w:val="18"/>
        <w:szCs w:val="18"/>
      </w:rPr>
      <w:t>Appendix 3 – Responses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40F6"/>
    <w:multiLevelType w:val="hybridMultilevel"/>
    <w:tmpl w:val="A510DFD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nsid w:val="06A04A70"/>
    <w:multiLevelType w:val="hybridMultilevel"/>
    <w:tmpl w:val="C1EAD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207A73"/>
    <w:multiLevelType w:val="hybridMultilevel"/>
    <w:tmpl w:val="B532F4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01C4586"/>
    <w:multiLevelType w:val="hybridMultilevel"/>
    <w:tmpl w:val="EE1E90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A36B57"/>
    <w:multiLevelType w:val="hybridMultilevel"/>
    <w:tmpl w:val="90464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44A7EBB"/>
    <w:multiLevelType w:val="hybridMultilevel"/>
    <w:tmpl w:val="ECBEF4F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nsid w:val="15F22A4D"/>
    <w:multiLevelType w:val="hybridMultilevel"/>
    <w:tmpl w:val="0088A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6A70A5"/>
    <w:multiLevelType w:val="hybridMultilevel"/>
    <w:tmpl w:val="677C8E2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1BA9540C"/>
    <w:multiLevelType w:val="hybridMultilevel"/>
    <w:tmpl w:val="BEF8E04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CB8054C"/>
    <w:multiLevelType w:val="hybridMultilevel"/>
    <w:tmpl w:val="A68C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B913C6"/>
    <w:multiLevelType w:val="hybridMultilevel"/>
    <w:tmpl w:val="6644A7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6CA4413"/>
    <w:multiLevelType w:val="hybridMultilevel"/>
    <w:tmpl w:val="B7FA9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8E02D7"/>
    <w:multiLevelType w:val="hybridMultilevel"/>
    <w:tmpl w:val="67FA587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CB30F13"/>
    <w:multiLevelType w:val="multilevel"/>
    <w:tmpl w:val="E442545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FDF38A4"/>
    <w:multiLevelType w:val="hybridMultilevel"/>
    <w:tmpl w:val="6798933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0D048BD"/>
    <w:multiLevelType w:val="hybridMultilevel"/>
    <w:tmpl w:val="8E84F5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5571836"/>
    <w:multiLevelType w:val="hybridMultilevel"/>
    <w:tmpl w:val="D75A3F8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20208BD"/>
    <w:multiLevelType w:val="hybridMultilevel"/>
    <w:tmpl w:val="54F00F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3265DE2"/>
    <w:multiLevelType w:val="hybridMultilevel"/>
    <w:tmpl w:val="557E22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nsid w:val="481173D4"/>
    <w:multiLevelType w:val="hybridMultilevel"/>
    <w:tmpl w:val="D05CF7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0243838"/>
    <w:multiLevelType w:val="hybridMultilevel"/>
    <w:tmpl w:val="EF4E1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3CF7851"/>
    <w:multiLevelType w:val="hybridMultilevel"/>
    <w:tmpl w:val="049E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9B64D5"/>
    <w:multiLevelType w:val="hybridMultilevel"/>
    <w:tmpl w:val="69E63C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5EBD3B3D"/>
    <w:multiLevelType w:val="multilevel"/>
    <w:tmpl w:val="020C03F4"/>
    <w:lvl w:ilvl="0">
      <w:start w:val="1"/>
      <w:numFmt w:val="bullet"/>
      <w:lvlText w:val=""/>
      <w:lvlJc w:val="left"/>
      <w:pPr>
        <w:tabs>
          <w:tab w:val="num" w:pos="720"/>
        </w:tabs>
        <w:ind w:left="720" w:hanging="363"/>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nsid w:val="62FD43DC"/>
    <w:multiLevelType w:val="hybridMultilevel"/>
    <w:tmpl w:val="079094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A7D1123"/>
    <w:multiLevelType w:val="hybridMultilevel"/>
    <w:tmpl w:val="4BA67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B2A656F"/>
    <w:multiLevelType w:val="hybridMultilevel"/>
    <w:tmpl w:val="9B0CC0A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C332B62"/>
    <w:multiLevelType w:val="hybridMultilevel"/>
    <w:tmpl w:val="0332D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925BF9"/>
    <w:multiLevelType w:val="hybridMultilevel"/>
    <w:tmpl w:val="3D960E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F31777F"/>
    <w:multiLevelType w:val="hybridMultilevel"/>
    <w:tmpl w:val="180A81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17A1865"/>
    <w:multiLevelType w:val="hybridMultilevel"/>
    <w:tmpl w:val="2F7E4D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2421914"/>
    <w:multiLevelType w:val="hybridMultilevel"/>
    <w:tmpl w:val="D2F6E3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415232A"/>
    <w:multiLevelType w:val="hybridMultilevel"/>
    <w:tmpl w:val="051EC0B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AE56945"/>
    <w:multiLevelType w:val="hybridMultilevel"/>
    <w:tmpl w:val="5378AE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1"/>
  </w:num>
  <w:num w:numId="3">
    <w:abstractNumId w:val="26"/>
  </w:num>
  <w:num w:numId="4">
    <w:abstractNumId w:val="8"/>
  </w:num>
  <w:num w:numId="5">
    <w:abstractNumId w:val="19"/>
  </w:num>
  <w:num w:numId="6">
    <w:abstractNumId w:val="0"/>
  </w:num>
  <w:num w:numId="7">
    <w:abstractNumId w:val="29"/>
  </w:num>
  <w:num w:numId="8">
    <w:abstractNumId w:val="28"/>
  </w:num>
  <w:num w:numId="9">
    <w:abstractNumId w:val="12"/>
  </w:num>
  <w:num w:numId="10">
    <w:abstractNumId w:val="30"/>
  </w:num>
  <w:num w:numId="11">
    <w:abstractNumId w:val="22"/>
  </w:num>
  <w:num w:numId="12">
    <w:abstractNumId w:val="10"/>
  </w:num>
  <w:num w:numId="13">
    <w:abstractNumId w:val="16"/>
  </w:num>
  <w:num w:numId="14">
    <w:abstractNumId w:val="2"/>
  </w:num>
  <w:num w:numId="15">
    <w:abstractNumId w:val="32"/>
  </w:num>
  <w:num w:numId="16">
    <w:abstractNumId w:val="14"/>
  </w:num>
  <w:num w:numId="17">
    <w:abstractNumId w:val="17"/>
  </w:num>
  <w:num w:numId="18">
    <w:abstractNumId w:val="24"/>
  </w:num>
  <w:num w:numId="19">
    <w:abstractNumId w:val="33"/>
  </w:num>
  <w:num w:numId="20">
    <w:abstractNumId w:val="27"/>
  </w:num>
  <w:num w:numId="21">
    <w:abstractNumId w:val="9"/>
  </w:num>
  <w:num w:numId="22">
    <w:abstractNumId w:val="6"/>
  </w:num>
  <w:num w:numId="23">
    <w:abstractNumId w:val="1"/>
  </w:num>
  <w:num w:numId="24">
    <w:abstractNumId w:val="21"/>
  </w:num>
  <w:num w:numId="25">
    <w:abstractNumId w:val="5"/>
  </w:num>
  <w:num w:numId="26">
    <w:abstractNumId w:val="4"/>
  </w:num>
  <w:num w:numId="27">
    <w:abstractNumId w:val="25"/>
  </w:num>
  <w:num w:numId="28">
    <w:abstractNumId w:val="13"/>
  </w:num>
  <w:num w:numId="29">
    <w:abstractNumId w:val="11"/>
  </w:num>
  <w:num w:numId="30">
    <w:abstractNumId w:val="18"/>
  </w:num>
  <w:num w:numId="31">
    <w:abstractNumId w:val="3"/>
  </w:num>
  <w:num w:numId="32">
    <w:abstractNumId w:val="20"/>
  </w:num>
  <w:num w:numId="33">
    <w:abstractNumId w:val="7"/>
  </w:num>
  <w:num w:numId="34">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60"/>
    <w:rsid w:val="0000051E"/>
    <w:rsid w:val="00000F99"/>
    <w:rsid w:val="0000177A"/>
    <w:rsid w:val="00001C2A"/>
    <w:rsid w:val="00003041"/>
    <w:rsid w:val="000034E3"/>
    <w:rsid w:val="00003B29"/>
    <w:rsid w:val="00003FDF"/>
    <w:rsid w:val="00004734"/>
    <w:rsid w:val="00004A12"/>
    <w:rsid w:val="00006697"/>
    <w:rsid w:val="000075C2"/>
    <w:rsid w:val="00007F33"/>
    <w:rsid w:val="00007F6E"/>
    <w:rsid w:val="00010E0E"/>
    <w:rsid w:val="000122AD"/>
    <w:rsid w:val="000124CD"/>
    <w:rsid w:val="0001320E"/>
    <w:rsid w:val="00013467"/>
    <w:rsid w:val="0001529A"/>
    <w:rsid w:val="00015E47"/>
    <w:rsid w:val="00016341"/>
    <w:rsid w:val="00016829"/>
    <w:rsid w:val="000169B3"/>
    <w:rsid w:val="00016B43"/>
    <w:rsid w:val="00016D5C"/>
    <w:rsid w:val="00017073"/>
    <w:rsid w:val="0001776B"/>
    <w:rsid w:val="000201D9"/>
    <w:rsid w:val="00020420"/>
    <w:rsid w:val="000231A3"/>
    <w:rsid w:val="000233D9"/>
    <w:rsid w:val="00023740"/>
    <w:rsid w:val="00023FB6"/>
    <w:rsid w:val="00024581"/>
    <w:rsid w:val="00024596"/>
    <w:rsid w:val="000303CF"/>
    <w:rsid w:val="00030497"/>
    <w:rsid w:val="0003085F"/>
    <w:rsid w:val="00030FF0"/>
    <w:rsid w:val="00031825"/>
    <w:rsid w:val="000328A4"/>
    <w:rsid w:val="000349E8"/>
    <w:rsid w:val="00034A13"/>
    <w:rsid w:val="000370CF"/>
    <w:rsid w:val="00037602"/>
    <w:rsid w:val="00040651"/>
    <w:rsid w:val="00042E9A"/>
    <w:rsid w:val="00044A9D"/>
    <w:rsid w:val="0004562B"/>
    <w:rsid w:val="000501E1"/>
    <w:rsid w:val="00050CF8"/>
    <w:rsid w:val="00050D4D"/>
    <w:rsid w:val="00052A4A"/>
    <w:rsid w:val="000548E4"/>
    <w:rsid w:val="00055DD7"/>
    <w:rsid w:val="00056363"/>
    <w:rsid w:val="00056580"/>
    <w:rsid w:val="0005672B"/>
    <w:rsid w:val="000611D8"/>
    <w:rsid w:val="00061587"/>
    <w:rsid w:val="00061EA5"/>
    <w:rsid w:val="00062611"/>
    <w:rsid w:val="00062671"/>
    <w:rsid w:val="00062D4D"/>
    <w:rsid w:val="000631E1"/>
    <w:rsid w:val="000653AD"/>
    <w:rsid w:val="00066237"/>
    <w:rsid w:val="0006685B"/>
    <w:rsid w:val="00066CCC"/>
    <w:rsid w:val="00070057"/>
    <w:rsid w:val="00070DB3"/>
    <w:rsid w:val="00071924"/>
    <w:rsid w:val="00072EE1"/>
    <w:rsid w:val="00073CDD"/>
    <w:rsid w:val="00073DE8"/>
    <w:rsid w:val="000745CD"/>
    <w:rsid w:val="00074F08"/>
    <w:rsid w:val="00076098"/>
    <w:rsid w:val="000771A4"/>
    <w:rsid w:val="0007745B"/>
    <w:rsid w:val="00080345"/>
    <w:rsid w:val="000809E6"/>
    <w:rsid w:val="00081A86"/>
    <w:rsid w:val="000832D5"/>
    <w:rsid w:val="00083560"/>
    <w:rsid w:val="00083DD1"/>
    <w:rsid w:val="00086BBD"/>
    <w:rsid w:val="00091B7E"/>
    <w:rsid w:val="000930A6"/>
    <w:rsid w:val="00093C4F"/>
    <w:rsid w:val="00095F54"/>
    <w:rsid w:val="00096314"/>
    <w:rsid w:val="00097D67"/>
    <w:rsid w:val="000A01CC"/>
    <w:rsid w:val="000A14A6"/>
    <w:rsid w:val="000A1518"/>
    <w:rsid w:val="000A21B7"/>
    <w:rsid w:val="000A2294"/>
    <w:rsid w:val="000A2957"/>
    <w:rsid w:val="000A3C3F"/>
    <w:rsid w:val="000A44F8"/>
    <w:rsid w:val="000A492F"/>
    <w:rsid w:val="000A5E22"/>
    <w:rsid w:val="000A662B"/>
    <w:rsid w:val="000A6D86"/>
    <w:rsid w:val="000B1608"/>
    <w:rsid w:val="000B1F80"/>
    <w:rsid w:val="000B3927"/>
    <w:rsid w:val="000B4425"/>
    <w:rsid w:val="000B45EB"/>
    <w:rsid w:val="000B4B16"/>
    <w:rsid w:val="000B5168"/>
    <w:rsid w:val="000B53A9"/>
    <w:rsid w:val="000B584C"/>
    <w:rsid w:val="000B675F"/>
    <w:rsid w:val="000B67E3"/>
    <w:rsid w:val="000B7311"/>
    <w:rsid w:val="000C1D3C"/>
    <w:rsid w:val="000C28C3"/>
    <w:rsid w:val="000C28D0"/>
    <w:rsid w:val="000C2E1C"/>
    <w:rsid w:val="000C35B6"/>
    <w:rsid w:val="000C3C21"/>
    <w:rsid w:val="000C3F03"/>
    <w:rsid w:val="000C4395"/>
    <w:rsid w:val="000C55E9"/>
    <w:rsid w:val="000C5E85"/>
    <w:rsid w:val="000C6B12"/>
    <w:rsid w:val="000C7C70"/>
    <w:rsid w:val="000C7D31"/>
    <w:rsid w:val="000D02D4"/>
    <w:rsid w:val="000D1A5F"/>
    <w:rsid w:val="000D1AEE"/>
    <w:rsid w:val="000D2917"/>
    <w:rsid w:val="000D48C3"/>
    <w:rsid w:val="000D61CA"/>
    <w:rsid w:val="000D7E51"/>
    <w:rsid w:val="000D7E8B"/>
    <w:rsid w:val="000E1EBA"/>
    <w:rsid w:val="000E42EC"/>
    <w:rsid w:val="000E55AF"/>
    <w:rsid w:val="000E58D6"/>
    <w:rsid w:val="000E6AD4"/>
    <w:rsid w:val="000E6F68"/>
    <w:rsid w:val="000F13C5"/>
    <w:rsid w:val="000F54D3"/>
    <w:rsid w:val="000F5E84"/>
    <w:rsid w:val="000F6FB5"/>
    <w:rsid w:val="000F76DD"/>
    <w:rsid w:val="000F7A08"/>
    <w:rsid w:val="001000A3"/>
    <w:rsid w:val="00100D16"/>
    <w:rsid w:val="00101046"/>
    <w:rsid w:val="00102A50"/>
    <w:rsid w:val="00104188"/>
    <w:rsid w:val="001050B4"/>
    <w:rsid w:val="00105DEF"/>
    <w:rsid w:val="001069A7"/>
    <w:rsid w:val="00106E16"/>
    <w:rsid w:val="001103E2"/>
    <w:rsid w:val="00110D6B"/>
    <w:rsid w:val="00111AF7"/>
    <w:rsid w:val="00112A82"/>
    <w:rsid w:val="00113E4F"/>
    <w:rsid w:val="001145C5"/>
    <w:rsid w:val="00114DF5"/>
    <w:rsid w:val="00115154"/>
    <w:rsid w:val="00117A1F"/>
    <w:rsid w:val="00117DF4"/>
    <w:rsid w:val="00120761"/>
    <w:rsid w:val="00122868"/>
    <w:rsid w:val="00122E39"/>
    <w:rsid w:val="00123315"/>
    <w:rsid w:val="00123E23"/>
    <w:rsid w:val="00124CE0"/>
    <w:rsid w:val="001261CB"/>
    <w:rsid w:val="001310DA"/>
    <w:rsid w:val="00132464"/>
    <w:rsid w:val="001328C5"/>
    <w:rsid w:val="00133F2D"/>
    <w:rsid w:val="00134075"/>
    <w:rsid w:val="00134169"/>
    <w:rsid w:val="0013458E"/>
    <w:rsid w:val="001345BF"/>
    <w:rsid w:val="00135336"/>
    <w:rsid w:val="00135E3D"/>
    <w:rsid w:val="00140119"/>
    <w:rsid w:val="001402CD"/>
    <w:rsid w:val="00141EFB"/>
    <w:rsid w:val="00141F78"/>
    <w:rsid w:val="001431F8"/>
    <w:rsid w:val="00143BA6"/>
    <w:rsid w:val="00144BE9"/>
    <w:rsid w:val="001458FC"/>
    <w:rsid w:val="0014609D"/>
    <w:rsid w:val="00147266"/>
    <w:rsid w:val="00147860"/>
    <w:rsid w:val="001478FB"/>
    <w:rsid w:val="0015069B"/>
    <w:rsid w:val="00150C94"/>
    <w:rsid w:val="00150DDF"/>
    <w:rsid w:val="0015118D"/>
    <w:rsid w:val="001511F2"/>
    <w:rsid w:val="0015213D"/>
    <w:rsid w:val="00152993"/>
    <w:rsid w:val="00152D2C"/>
    <w:rsid w:val="001535F5"/>
    <w:rsid w:val="0015569A"/>
    <w:rsid w:val="00155E38"/>
    <w:rsid w:val="00155E64"/>
    <w:rsid w:val="00157236"/>
    <w:rsid w:val="00162108"/>
    <w:rsid w:val="001627A9"/>
    <w:rsid w:val="00162B9D"/>
    <w:rsid w:val="00163F30"/>
    <w:rsid w:val="0016494C"/>
    <w:rsid w:val="0016497B"/>
    <w:rsid w:val="00165641"/>
    <w:rsid w:val="00167232"/>
    <w:rsid w:val="00167917"/>
    <w:rsid w:val="001706F9"/>
    <w:rsid w:val="00170ABF"/>
    <w:rsid w:val="00170C8A"/>
    <w:rsid w:val="00171423"/>
    <w:rsid w:val="00172906"/>
    <w:rsid w:val="00175B7F"/>
    <w:rsid w:val="001764C8"/>
    <w:rsid w:val="0017684B"/>
    <w:rsid w:val="00176D9E"/>
    <w:rsid w:val="0017782E"/>
    <w:rsid w:val="00180740"/>
    <w:rsid w:val="00181D68"/>
    <w:rsid w:val="00182380"/>
    <w:rsid w:val="001826CA"/>
    <w:rsid w:val="00183BFA"/>
    <w:rsid w:val="00184849"/>
    <w:rsid w:val="0018529F"/>
    <w:rsid w:val="00185870"/>
    <w:rsid w:val="00190528"/>
    <w:rsid w:val="00194006"/>
    <w:rsid w:val="00194ABA"/>
    <w:rsid w:val="00195EF4"/>
    <w:rsid w:val="0019612D"/>
    <w:rsid w:val="00196362"/>
    <w:rsid w:val="00196A2C"/>
    <w:rsid w:val="00196B75"/>
    <w:rsid w:val="0019745E"/>
    <w:rsid w:val="00197D3D"/>
    <w:rsid w:val="00197E00"/>
    <w:rsid w:val="001A035F"/>
    <w:rsid w:val="001A1127"/>
    <w:rsid w:val="001A1358"/>
    <w:rsid w:val="001A16E3"/>
    <w:rsid w:val="001A1C44"/>
    <w:rsid w:val="001A209B"/>
    <w:rsid w:val="001A483D"/>
    <w:rsid w:val="001A5684"/>
    <w:rsid w:val="001A6939"/>
    <w:rsid w:val="001B025A"/>
    <w:rsid w:val="001B0530"/>
    <w:rsid w:val="001B113E"/>
    <w:rsid w:val="001B2920"/>
    <w:rsid w:val="001B3093"/>
    <w:rsid w:val="001B447B"/>
    <w:rsid w:val="001B502E"/>
    <w:rsid w:val="001B5262"/>
    <w:rsid w:val="001B539D"/>
    <w:rsid w:val="001B55EA"/>
    <w:rsid w:val="001B7E0D"/>
    <w:rsid w:val="001C0A4A"/>
    <w:rsid w:val="001C0E8C"/>
    <w:rsid w:val="001C16EB"/>
    <w:rsid w:val="001C2268"/>
    <w:rsid w:val="001C4477"/>
    <w:rsid w:val="001C47DB"/>
    <w:rsid w:val="001C60D1"/>
    <w:rsid w:val="001C705F"/>
    <w:rsid w:val="001D0048"/>
    <w:rsid w:val="001D158F"/>
    <w:rsid w:val="001D29AE"/>
    <w:rsid w:val="001D2D87"/>
    <w:rsid w:val="001D3251"/>
    <w:rsid w:val="001D392E"/>
    <w:rsid w:val="001D4BC8"/>
    <w:rsid w:val="001D53F5"/>
    <w:rsid w:val="001D6C54"/>
    <w:rsid w:val="001D6F80"/>
    <w:rsid w:val="001D6F8E"/>
    <w:rsid w:val="001D758A"/>
    <w:rsid w:val="001E010D"/>
    <w:rsid w:val="001E0130"/>
    <w:rsid w:val="001E0E81"/>
    <w:rsid w:val="001E1DAB"/>
    <w:rsid w:val="001E241F"/>
    <w:rsid w:val="001E2903"/>
    <w:rsid w:val="001E550A"/>
    <w:rsid w:val="001E6175"/>
    <w:rsid w:val="001E65B6"/>
    <w:rsid w:val="001E70DA"/>
    <w:rsid w:val="001E74E8"/>
    <w:rsid w:val="001F235E"/>
    <w:rsid w:val="001F3430"/>
    <w:rsid w:val="001F4895"/>
    <w:rsid w:val="001F6F4E"/>
    <w:rsid w:val="001F727D"/>
    <w:rsid w:val="001F774C"/>
    <w:rsid w:val="00202CAB"/>
    <w:rsid w:val="00202E7F"/>
    <w:rsid w:val="00203143"/>
    <w:rsid w:val="00203806"/>
    <w:rsid w:val="002044F1"/>
    <w:rsid w:val="002079FD"/>
    <w:rsid w:val="00210ADC"/>
    <w:rsid w:val="0021126C"/>
    <w:rsid w:val="00211F35"/>
    <w:rsid w:val="0021298E"/>
    <w:rsid w:val="00213900"/>
    <w:rsid w:val="002149B9"/>
    <w:rsid w:val="00214CB1"/>
    <w:rsid w:val="00220DCE"/>
    <w:rsid w:val="00221195"/>
    <w:rsid w:val="00222738"/>
    <w:rsid w:val="00223E97"/>
    <w:rsid w:val="00225A33"/>
    <w:rsid w:val="002279E0"/>
    <w:rsid w:val="00230C5B"/>
    <w:rsid w:val="002324B2"/>
    <w:rsid w:val="0023255D"/>
    <w:rsid w:val="00232D5F"/>
    <w:rsid w:val="00233188"/>
    <w:rsid w:val="00233685"/>
    <w:rsid w:val="002336ED"/>
    <w:rsid w:val="00233DD7"/>
    <w:rsid w:val="00233EDD"/>
    <w:rsid w:val="00235349"/>
    <w:rsid w:val="0023551A"/>
    <w:rsid w:val="002357B6"/>
    <w:rsid w:val="00235BF6"/>
    <w:rsid w:val="00235F05"/>
    <w:rsid w:val="00236A7C"/>
    <w:rsid w:val="0023702E"/>
    <w:rsid w:val="00237C97"/>
    <w:rsid w:val="0024006E"/>
    <w:rsid w:val="002413C0"/>
    <w:rsid w:val="00241509"/>
    <w:rsid w:val="00241900"/>
    <w:rsid w:val="002435C3"/>
    <w:rsid w:val="00243696"/>
    <w:rsid w:val="0024377D"/>
    <w:rsid w:val="00244014"/>
    <w:rsid w:val="0024409C"/>
    <w:rsid w:val="00245109"/>
    <w:rsid w:val="00246308"/>
    <w:rsid w:val="0024639E"/>
    <w:rsid w:val="002463BD"/>
    <w:rsid w:val="002473FF"/>
    <w:rsid w:val="00251903"/>
    <w:rsid w:val="00252B08"/>
    <w:rsid w:val="00253889"/>
    <w:rsid w:val="00253ABC"/>
    <w:rsid w:val="002542A9"/>
    <w:rsid w:val="00254EB2"/>
    <w:rsid w:val="00255248"/>
    <w:rsid w:val="002560BE"/>
    <w:rsid w:val="00256410"/>
    <w:rsid w:val="002575E6"/>
    <w:rsid w:val="0026103F"/>
    <w:rsid w:val="0026279B"/>
    <w:rsid w:val="002644BF"/>
    <w:rsid w:val="002647EF"/>
    <w:rsid w:val="00264A08"/>
    <w:rsid w:val="00264AB1"/>
    <w:rsid w:val="00266101"/>
    <w:rsid w:val="002662E0"/>
    <w:rsid w:val="002667A9"/>
    <w:rsid w:val="00266B28"/>
    <w:rsid w:val="002679DA"/>
    <w:rsid w:val="00270006"/>
    <w:rsid w:val="0027118D"/>
    <w:rsid w:val="002712BE"/>
    <w:rsid w:val="002716AA"/>
    <w:rsid w:val="00271C38"/>
    <w:rsid w:val="0027290C"/>
    <w:rsid w:val="00273508"/>
    <w:rsid w:val="0027400C"/>
    <w:rsid w:val="0027470F"/>
    <w:rsid w:val="002761CE"/>
    <w:rsid w:val="00276DAE"/>
    <w:rsid w:val="002778D7"/>
    <w:rsid w:val="0028034D"/>
    <w:rsid w:val="00281114"/>
    <w:rsid w:val="00281CAA"/>
    <w:rsid w:val="0028208E"/>
    <w:rsid w:val="002845CB"/>
    <w:rsid w:val="00284D06"/>
    <w:rsid w:val="00285F9B"/>
    <w:rsid w:val="0028648F"/>
    <w:rsid w:val="002875F3"/>
    <w:rsid w:val="002907FD"/>
    <w:rsid w:val="0029203F"/>
    <w:rsid w:val="00293710"/>
    <w:rsid w:val="0029385C"/>
    <w:rsid w:val="00293B55"/>
    <w:rsid w:val="00294705"/>
    <w:rsid w:val="00295095"/>
    <w:rsid w:val="002957DE"/>
    <w:rsid w:val="00295D12"/>
    <w:rsid w:val="0029715B"/>
    <w:rsid w:val="0029771B"/>
    <w:rsid w:val="00297835"/>
    <w:rsid w:val="00297B0F"/>
    <w:rsid w:val="00297E32"/>
    <w:rsid w:val="002A090B"/>
    <w:rsid w:val="002A0D81"/>
    <w:rsid w:val="002A116A"/>
    <w:rsid w:val="002A2019"/>
    <w:rsid w:val="002A2B5C"/>
    <w:rsid w:val="002A38B8"/>
    <w:rsid w:val="002A4D4F"/>
    <w:rsid w:val="002A5334"/>
    <w:rsid w:val="002A630F"/>
    <w:rsid w:val="002A6DCB"/>
    <w:rsid w:val="002B0462"/>
    <w:rsid w:val="002B05BC"/>
    <w:rsid w:val="002B0681"/>
    <w:rsid w:val="002B07AC"/>
    <w:rsid w:val="002B1C96"/>
    <w:rsid w:val="002B1F3A"/>
    <w:rsid w:val="002B3601"/>
    <w:rsid w:val="002B37B8"/>
    <w:rsid w:val="002B3FE5"/>
    <w:rsid w:val="002B591E"/>
    <w:rsid w:val="002B61E0"/>
    <w:rsid w:val="002B7C66"/>
    <w:rsid w:val="002B7F7A"/>
    <w:rsid w:val="002C0798"/>
    <w:rsid w:val="002C1010"/>
    <w:rsid w:val="002C1891"/>
    <w:rsid w:val="002C253D"/>
    <w:rsid w:val="002C62AF"/>
    <w:rsid w:val="002D004D"/>
    <w:rsid w:val="002D1A98"/>
    <w:rsid w:val="002D2580"/>
    <w:rsid w:val="002D3FD9"/>
    <w:rsid w:val="002D4B9A"/>
    <w:rsid w:val="002D575A"/>
    <w:rsid w:val="002D5CFB"/>
    <w:rsid w:val="002D6378"/>
    <w:rsid w:val="002D667F"/>
    <w:rsid w:val="002D67AA"/>
    <w:rsid w:val="002D69A1"/>
    <w:rsid w:val="002E0638"/>
    <w:rsid w:val="002E1D84"/>
    <w:rsid w:val="002E20D1"/>
    <w:rsid w:val="002E3A2B"/>
    <w:rsid w:val="002E3C40"/>
    <w:rsid w:val="002E3DEB"/>
    <w:rsid w:val="002E43E1"/>
    <w:rsid w:val="002E46EB"/>
    <w:rsid w:val="002E494B"/>
    <w:rsid w:val="002E5BC6"/>
    <w:rsid w:val="002E5EC9"/>
    <w:rsid w:val="002E6408"/>
    <w:rsid w:val="002E70F8"/>
    <w:rsid w:val="002F04CC"/>
    <w:rsid w:val="002F0C2C"/>
    <w:rsid w:val="002F161E"/>
    <w:rsid w:val="002F1DA6"/>
    <w:rsid w:val="002F229E"/>
    <w:rsid w:val="002F24B8"/>
    <w:rsid w:val="002F2BC2"/>
    <w:rsid w:val="002F3460"/>
    <w:rsid w:val="002F37D9"/>
    <w:rsid w:val="002F41D0"/>
    <w:rsid w:val="002F46DD"/>
    <w:rsid w:val="002F47F2"/>
    <w:rsid w:val="002F4AD1"/>
    <w:rsid w:val="002F618F"/>
    <w:rsid w:val="002F6407"/>
    <w:rsid w:val="002F6593"/>
    <w:rsid w:val="002F6C99"/>
    <w:rsid w:val="002F7559"/>
    <w:rsid w:val="002F79E5"/>
    <w:rsid w:val="003028F1"/>
    <w:rsid w:val="0030362F"/>
    <w:rsid w:val="003050A7"/>
    <w:rsid w:val="00305690"/>
    <w:rsid w:val="00305744"/>
    <w:rsid w:val="00305EE8"/>
    <w:rsid w:val="00305FD4"/>
    <w:rsid w:val="003063CF"/>
    <w:rsid w:val="00306D2B"/>
    <w:rsid w:val="00306D85"/>
    <w:rsid w:val="00307E43"/>
    <w:rsid w:val="00307FFD"/>
    <w:rsid w:val="00312003"/>
    <w:rsid w:val="00312B2A"/>
    <w:rsid w:val="00313E0E"/>
    <w:rsid w:val="003155A4"/>
    <w:rsid w:val="003160AA"/>
    <w:rsid w:val="003171F9"/>
    <w:rsid w:val="00317A53"/>
    <w:rsid w:val="00320CFD"/>
    <w:rsid w:val="003213DA"/>
    <w:rsid w:val="0032140C"/>
    <w:rsid w:val="00321DDF"/>
    <w:rsid w:val="0032260D"/>
    <w:rsid w:val="003227EC"/>
    <w:rsid w:val="00322A23"/>
    <w:rsid w:val="00322B49"/>
    <w:rsid w:val="0032317E"/>
    <w:rsid w:val="00323F56"/>
    <w:rsid w:val="003248B1"/>
    <w:rsid w:val="00325CE0"/>
    <w:rsid w:val="00326EBC"/>
    <w:rsid w:val="00327115"/>
    <w:rsid w:val="003327B5"/>
    <w:rsid w:val="00332BC8"/>
    <w:rsid w:val="00333AD8"/>
    <w:rsid w:val="00334435"/>
    <w:rsid w:val="00334B35"/>
    <w:rsid w:val="00334C07"/>
    <w:rsid w:val="0033546D"/>
    <w:rsid w:val="0033569C"/>
    <w:rsid w:val="003362B9"/>
    <w:rsid w:val="003365F9"/>
    <w:rsid w:val="00336BCA"/>
    <w:rsid w:val="00336C8C"/>
    <w:rsid w:val="003373DF"/>
    <w:rsid w:val="00337617"/>
    <w:rsid w:val="00340477"/>
    <w:rsid w:val="00341D9E"/>
    <w:rsid w:val="00341F5F"/>
    <w:rsid w:val="003422D5"/>
    <w:rsid w:val="0034581F"/>
    <w:rsid w:val="00345CBC"/>
    <w:rsid w:val="00347FBE"/>
    <w:rsid w:val="003510E4"/>
    <w:rsid w:val="00352835"/>
    <w:rsid w:val="00352984"/>
    <w:rsid w:val="003530D9"/>
    <w:rsid w:val="00353BCD"/>
    <w:rsid w:val="003540C8"/>
    <w:rsid w:val="00354E41"/>
    <w:rsid w:val="0035596C"/>
    <w:rsid w:val="00355C57"/>
    <w:rsid w:val="00356E35"/>
    <w:rsid w:val="003571FC"/>
    <w:rsid w:val="0036058F"/>
    <w:rsid w:val="00360CFB"/>
    <w:rsid w:val="00362A61"/>
    <w:rsid w:val="003640C4"/>
    <w:rsid w:val="003642BD"/>
    <w:rsid w:val="00364AD3"/>
    <w:rsid w:val="003654D6"/>
    <w:rsid w:val="003661EF"/>
    <w:rsid w:val="00366A60"/>
    <w:rsid w:val="003677AC"/>
    <w:rsid w:val="00367841"/>
    <w:rsid w:val="00371214"/>
    <w:rsid w:val="003732F1"/>
    <w:rsid w:val="00373C1D"/>
    <w:rsid w:val="00373FCD"/>
    <w:rsid w:val="00374FD5"/>
    <w:rsid w:val="0037594A"/>
    <w:rsid w:val="00375EEB"/>
    <w:rsid w:val="00376A88"/>
    <w:rsid w:val="0037792D"/>
    <w:rsid w:val="00377E32"/>
    <w:rsid w:val="003811E4"/>
    <w:rsid w:val="00381735"/>
    <w:rsid w:val="003817FF"/>
    <w:rsid w:val="00382105"/>
    <w:rsid w:val="003822A6"/>
    <w:rsid w:val="00386068"/>
    <w:rsid w:val="00386C74"/>
    <w:rsid w:val="00387008"/>
    <w:rsid w:val="00390242"/>
    <w:rsid w:val="00390555"/>
    <w:rsid w:val="00391005"/>
    <w:rsid w:val="00391DED"/>
    <w:rsid w:val="00392DC3"/>
    <w:rsid w:val="0039416E"/>
    <w:rsid w:val="00394595"/>
    <w:rsid w:val="003945C6"/>
    <w:rsid w:val="00394726"/>
    <w:rsid w:val="00394A1B"/>
    <w:rsid w:val="00395AE4"/>
    <w:rsid w:val="003A0328"/>
    <w:rsid w:val="003A0B34"/>
    <w:rsid w:val="003A3261"/>
    <w:rsid w:val="003A35EE"/>
    <w:rsid w:val="003A3905"/>
    <w:rsid w:val="003A48DB"/>
    <w:rsid w:val="003A5794"/>
    <w:rsid w:val="003A5BB3"/>
    <w:rsid w:val="003B0B26"/>
    <w:rsid w:val="003B1983"/>
    <w:rsid w:val="003B19BE"/>
    <w:rsid w:val="003B3874"/>
    <w:rsid w:val="003B38E1"/>
    <w:rsid w:val="003B4E51"/>
    <w:rsid w:val="003B5B79"/>
    <w:rsid w:val="003B5C98"/>
    <w:rsid w:val="003B6CCF"/>
    <w:rsid w:val="003C0948"/>
    <w:rsid w:val="003C2473"/>
    <w:rsid w:val="003C263E"/>
    <w:rsid w:val="003C2A3F"/>
    <w:rsid w:val="003C3778"/>
    <w:rsid w:val="003C3CD7"/>
    <w:rsid w:val="003C52A9"/>
    <w:rsid w:val="003C5F16"/>
    <w:rsid w:val="003C6106"/>
    <w:rsid w:val="003C6B60"/>
    <w:rsid w:val="003C7453"/>
    <w:rsid w:val="003C7EC7"/>
    <w:rsid w:val="003D035D"/>
    <w:rsid w:val="003D05B5"/>
    <w:rsid w:val="003D0CF8"/>
    <w:rsid w:val="003D133D"/>
    <w:rsid w:val="003D14C5"/>
    <w:rsid w:val="003D250E"/>
    <w:rsid w:val="003D2EE0"/>
    <w:rsid w:val="003D4711"/>
    <w:rsid w:val="003D6647"/>
    <w:rsid w:val="003E211E"/>
    <w:rsid w:val="003E2B7C"/>
    <w:rsid w:val="003E2BF1"/>
    <w:rsid w:val="003E33CE"/>
    <w:rsid w:val="003E34D1"/>
    <w:rsid w:val="003E4B89"/>
    <w:rsid w:val="003E4C16"/>
    <w:rsid w:val="003E4D3A"/>
    <w:rsid w:val="003E6B81"/>
    <w:rsid w:val="003E752D"/>
    <w:rsid w:val="003F319F"/>
    <w:rsid w:val="003F33B1"/>
    <w:rsid w:val="003F3E08"/>
    <w:rsid w:val="003F50C4"/>
    <w:rsid w:val="003F65F1"/>
    <w:rsid w:val="003F6609"/>
    <w:rsid w:val="003F7CD2"/>
    <w:rsid w:val="0040028A"/>
    <w:rsid w:val="00400720"/>
    <w:rsid w:val="00400F72"/>
    <w:rsid w:val="00401175"/>
    <w:rsid w:val="0040300F"/>
    <w:rsid w:val="004038F8"/>
    <w:rsid w:val="004045C4"/>
    <w:rsid w:val="0040643D"/>
    <w:rsid w:val="0040686D"/>
    <w:rsid w:val="00407644"/>
    <w:rsid w:val="004077D7"/>
    <w:rsid w:val="00407A09"/>
    <w:rsid w:val="004101ED"/>
    <w:rsid w:val="00412AE7"/>
    <w:rsid w:val="004130AE"/>
    <w:rsid w:val="00413263"/>
    <w:rsid w:val="00414339"/>
    <w:rsid w:val="00414520"/>
    <w:rsid w:val="004145E3"/>
    <w:rsid w:val="00414A69"/>
    <w:rsid w:val="0041552C"/>
    <w:rsid w:val="0041571D"/>
    <w:rsid w:val="00416111"/>
    <w:rsid w:val="00420EF0"/>
    <w:rsid w:val="00421206"/>
    <w:rsid w:val="004213A7"/>
    <w:rsid w:val="00421A20"/>
    <w:rsid w:val="00422560"/>
    <w:rsid w:val="00422A9B"/>
    <w:rsid w:val="00423C14"/>
    <w:rsid w:val="00423EEC"/>
    <w:rsid w:val="0042513F"/>
    <w:rsid w:val="00426D6E"/>
    <w:rsid w:val="00427E9E"/>
    <w:rsid w:val="00432801"/>
    <w:rsid w:val="004336E5"/>
    <w:rsid w:val="0043667F"/>
    <w:rsid w:val="00436826"/>
    <w:rsid w:val="00436B34"/>
    <w:rsid w:val="00436D4E"/>
    <w:rsid w:val="0043764E"/>
    <w:rsid w:val="0044174F"/>
    <w:rsid w:val="00443B8B"/>
    <w:rsid w:val="00443D04"/>
    <w:rsid w:val="004441B4"/>
    <w:rsid w:val="00444A8E"/>
    <w:rsid w:val="0044503E"/>
    <w:rsid w:val="00445182"/>
    <w:rsid w:val="00445B03"/>
    <w:rsid w:val="00445D5E"/>
    <w:rsid w:val="00446160"/>
    <w:rsid w:val="00446F5D"/>
    <w:rsid w:val="0044725F"/>
    <w:rsid w:val="00447A99"/>
    <w:rsid w:val="00447C23"/>
    <w:rsid w:val="0045075E"/>
    <w:rsid w:val="00450C94"/>
    <w:rsid w:val="004512D4"/>
    <w:rsid w:val="00452D41"/>
    <w:rsid w:val="0045362B"/>
    <w:rsid w:val="00453D88"/>
    <w:rsid w:val="00454454"/>
    <w:rsid w:val="004554E1"/>
    <w:rsid w:val="00455858"/>
    <w:rsid w:val="00455EED"/>
    <w:rsid w:val="004567D2"/>
    <w:rsid w:val="004571D0"/>
    <w:rsid w:val="0045738A"/>
    <w:rsid w:val="0046147E"/>
    <w:rsid w:val="00461491"/>
    <w:rsid w:val="004614D6"/>
    <w:rsid w:val="004623E9"/>
    <w:rsid w:val="00466E58"/>
    <w:rsid w:val="00467764"/>
    <w:rsid w:val="00467F8C"/>
    <w:rsid w:val="00470823"/>
    <w:rsid w:val="00470D3E"/>
    <w:rsid w:val="00470D86"/>
    <w:rsid w:val="00471ACE"/>
    <w:rsid w:val="004721BC"/>
    <w:rsid w:val="00473ED1"/>
    <w:rsid w:val="004747E8"/>
    <w:rsid w:val="00474ADA"/>
    <w:rsid w:val="004755BE"/>
    <w:rsid w:val="00475BB1"/>
    <w:rsid w:val="00475F21"/>
    <w:rsid w:val="0047781D"/>
    <w:rsid w:val="00481AC2"/>
    <w:rsid w:val="004822CA"/>
    <w:rsid w:val="00482894"/>
    <w:rsid w:val="00482D0A"/>
    <w:rsid w:val="004837A0"/>
    <w:rsid w:val="00483C8D"/>
    <w:rsid w:val="00483F7F"/>
    <w:rsid w:val="00484D77"/>
    <w:rsid w:val="00491C34"/>
    <w:rsid w:val="00493D04"/>
    <w:rsid w:val="00493F7B"/>
    <w:rsid w:val="0049763D"/>
    <w:rsid w:val="004A17B6"/>
    <w:rsid w:val="004A23A5"/>
    <w:rsid w:val="004A24A3"/>
    <w:rsid w:val="004A25BF"/>
    <w:rsid w:val="004A2A94"/>
    <w:rsid w:val="004A2BBB"/>
    <w:rsid w:val="004A461F"/>
    <w:rsid w:val="004A4D3C"/>
    <w:rsid w:val="004A62C7"/>
    <w:rsid w:val="004A7A28"/>
    <w:rsid w:val="004A7AD9"/>
    <w:rsid w:val="004B09D5"/>
    <w:rsid w:val="004B1947"/>
    <w:rsid w:val="004B3867"/>
    <w:rsid w:val="004B59AA"/>
    <w:rsid w:val="004B5FA9"/>
    <w:rsid w:val="004B657B"/>
    <w:rsid w:val="004B65FD"/>
    <w:rsid w:val="004B72F2"/>
    <w:rsid w:val="004C0B0E"/>
    <w:rsid w:val="004C191F"/>
    <w:rsid w:val="004C26EC"/>
    <w:rsid w:val="004C2812"/>
    <w:rsid w:val="004C2D8C"/>
    <w:rsid w:val="004C3C55"/>
    <w:rsid w:val="004C49D7"/>
    <w:rsid w:val="004C5CD2"/>
    <w:rsid w:val="004C6EA3"/>
    <w:rsid w:val="004D008C"/>
    <w:rsid w:val="004D29B2"/>
    <w:rsid w:val="004D2C53"/>
    <w:rsid w:val="004D36DC"/>
    <w:rsid w:val="004D40B5"/>
    <w:rsid w:val="004D41B3"/>
    <w:rsid w:val="004D4410"/>
    <w:rsid w:val="004D4843"/>
    <w:rsid w:val="004D5F34"/>
    <w:rsid w:val="004D6F36"/>
    <w:rsid w:val="004E0417"/>
    <w:rsid w:val="004E06F9"/>
    <w:rsid w:val="004E08C0"/>
    <w:rsid w:val="004E0CD1"/>
    <w:rsid w:val="004E5450"/>
    <w:rsid w:val="004E556D"/>
    <w:rsid w:val="004E617D"/>
    <w:rsid w:val="004E78EF"/>
    <w:rsid w:val="004F30A0"/>
    <w:rsid w:val="004F39A6"/>
    <w:rsid w:val="004F39E0"/>
    <w:rsid w:val="004F50ED"/>
    <w:rsid w:val="004F52B9"/>
    <w:rsid w:val="004F60BA"/>
    <w:rsid w:val="004F63F2"/>
    <w:rsid w:val="005006CF"/>
    <w:rsid w:val="00501B70"/>
    <w:rsid w:val="00502557"/>
    <w:rsid w:val="0050368D"/>
    <w:rsid w:val="00505DFC"/>
    <w:rsid w:val="0050612D"/>
    <w:rsid w:val="00507E3A"/>
    <w:rsid w:val="005109B9"/>
    <w:rsid w:val="00510F82"/>
    <w:rsid w:val="00512946"/>
    <w:rsid w:val="00512FB1"/>
    <w:rsid w:val="00512FD9"/>
    <w:rsid w:val="00513869"/>
    <w:rsid w:val="00513D1B"/>
    <w:rsid w:val="00514569"/>
    <w:rsid w:val="00514A56"/>
    <w:rsid w:val="00515162"/>
    <w:rsid w:val="00517476"/>
    <w:rsid w:val="00520821"/>
    <w:rsid w:val="005211BE"/>
    <w:rsid w:val="00521649"/>
    <w:rsid w:val="00521A76"/>
    <w:rsid w:val="00522069"/>
    <w:rsid w:val="00522399"/>
    <w:rsid w:val="005224E7"/>
    <w:rsid w:val="00522700"/>
    <w:rsid w:val="005250ED"/>
    <w:rsid w:val="00525234"/>
    <w:rsid w:val="00525C1C"/>
    <w:rsid w:val="00526B01"/>
    <w:rsid w:val="00527F12"/>
    <w:rsid w:val="00527FF5"/>
    <w:rsid w:val="00530AC9"/>
    <w:rsid w:val="00533A03"/>
    <w:rsid w:val="00533B0A"/>
    <w:rsid w:val="005348FE"/>
    <w:rsid w:val="00535039"/>
    <w:rsid w:val="005353D2"/>
    <w:rsid w:val="00535F45"/>
    <w:rsid w:val="0053613B"/>
    <w:rsid w:val="005364E8"/>
    <w:rsid w:val="00536958"/>
    <w:rsid w:val="005370BC"/>
    <w:rsid w:val="0054041F"/>
    <w:rsid w:val="0054203B"/>
    <w:rsid w:val="00542663"/>
    <w:rsid w:val="00542E23"/>
    <w:rsid w:val="0054491D"/>
    <w:rsid w:val="00547C16"/>
    <w:rsid w:val="00551BE2"/>
    <w:rsid w:val="005534DF"/>
    <w:rsid w:val="0055467B"/>
    <w:rsid w:val="005554D8"/>
    <w:rsid w:val="00556C00"/>
    <w:rsid w:val="00557CA6"/>
    <w:rsid w:val="00560CCC"/>
    <w:rsid w:val="0056216E"/>
    <w:rsid w:val="0056217F"/>
    <w:rsid w:val="00562256"/>
    <w:rsid w:val="00562AF3"/>
    <w:rsid w:val="00562C60"/>
    <w:rsid w:val="0056336C"/>
    <w:rsid w:val="00563A6A"/>
    <w:rsid w:val="00564AE1"/>
    <w:rsid w:val="0056500E"/>
    <w:rsid w:val="00565ED5"/>
    <w:rsid w:val="005674C6"/>
    <w:rsid w:val="00567699"/>
    <w:rsid w:val="00567C89"/>
    <w:rsid w:val="00570A90"/>
    <w:rsid w:val="00570AC6"/>
    <w:rsid w:val="00571206"/>
    <w:rsid w:val="005724F2"/>
    <w:rsid w:val="00572779"/>
    <w:rsid w:val="00573BD7"/>
    <w:rsid w:val="00573C96"/>
    <w:rsid w:val="005768F9"/>
    <w:rsid w:val="00576DA7"/>
    <w:rsid w:val="00580058"/>
    <w:rsid w:val="00580A52"/>
    <w:rsid w:val="00581848"/>
    <w:rsid w:val="00581BE8"/>
    <w:rsid w:val="00582577"/>
    <w:rsid w:val="0058281A"/>
    <w:rsid w:val="00583201"/>
    <w:rsid w:val="0058404A"/>
    <w:rsid w:val="00585A45"/>
    <w:rsid w:val="00586622"/>
    <w:rsid w:val="00587EE2"/>
    <w:rsid w:val="005900E7"/>
    <w:rsid w:val="005906AF"/>
    <w:rsid w:val="00591FF7"/>
    <w:rsid w:val="00592093"/>
    <w:rsid w:val="0059221C"/>
    <w:rsid w:val="0059246F"/>
    <w:rsid w:val="00594C60"/>
    <w:rsid w:val="00596526"/>
    <w:rsid w:val="00596789"/>
    <w:rsid w:val="00597084"/>
    <w:rsid w:val="00597DA6"/>
    <w:rsid w:val="005A1654"/>
    <w:rsid w:val="005A1B7C"/>
    <w:rsid w:val="005A1E11"/>
    <w:rsid w:val="005A20CE"/>
    <w:rsid w:val="005A20DC"/>
    <w:rsid w:val="005A2E3C"/>
    <w:rsid w:val="005A2F08"/>
    <w:rsid w:val="005A33B4"/>
    <w:rsid w:val="005A33F2"/>
    <w:rsid w:val="005A4399"/>
    <w:rsid w:val="005A5727"/>
    <w:rsid w:val="005A60EA"/>
    <w:rsid w:val="005A622C"/>
    <w:rsid w:val="005A65EE"/>
    <w:rsid w:val="005A7F86"/>
    <w:rsid w:val="005B0630"/>
    <w:rsid w:val="005B2092"/>
    <w:rsid w:val="005B22D3"/>
    <w:rsid w:val="005B32F7"/>
    <w:rsid w:val="005B3E48"/>
    <w:rsid w:val="005B41C9"/>
    <w:rsid w:val="005B4991"/>
    <w:rsid w:val="005B4A40"/>
    <w:rsid w:val="005C04B5"/>
    <w:rsid w:val="005C10D4"/>
    <w:rsid w:val="005C37C8"/>
    <w:rsid w:val="005C3F07"/>
    <w:rsid w:val="005C53F3"/>
    <w:rsid w:val="005C5735"/>
    <w:rsid w:val="005C736F"/>
    <w:rsid w:val="005C7C2B"/>
    <w:rsid w:val="005C7ECE"/>
    <w:rsid w:val="005D0648"/>
    <w:rsid w:val="005D15C8"/>
    <w:rsid w:val="005D2C7A"/>
    <w:rsid w:val="005D2C81"/>
    <w:rsid w:val="005D2E74"/>
    <w:rsid w:val="005D4D03"/>
    <w:rsid w:val="005D5C11"/>
    <w:rsid w:val="005D6828"/>
    <w:rsid w:val="005D77DF"/>
    <w:rsid w:val="005D780F"/>
    <w:rsid w:val="005E0894"/>
    <w:rsid w:val="005E26C3"/>
    <w:rsid w:val="005E29D5"/>
    <w:rsid w:val="005E2AF3"/>
    <w:rsid w:val="005E3458"/>
    <w:rsid w:val="005E4B4E"/>
    <w:rsid w:val="005E6E41"/>
    <w:rsid w:val="005E70DE"/>
    <w:rsid w:val="005E7F8C"/>
    <w:rsid w:val="005F04E0"/>
    <w:rsid w:val="005F0BD6"/>
    <w:rsid w:val="005F154C"/>
    <w:rsid w:val="005F1CE8"/>
    <w:rsid w:val="005F2241"/>
    <w:rsid w:val="005F3362"/>
    <w:rsid w:val="005F36B4"/>
    <w:rsid w:val="005F39C9"/>
    <w:rsid w:val="005F45C7"/>
    <w:rsid w:val="005F5FA8"/>
    <w:rsid w:val="005F72A2"/>
    <w:rsid w:val="005F7689"/>
    <w:rsid w:val="00601F51"/>
    <w:rsid w:val="00604C85"/>
    <w:rsid w:val="00604E91"/>
    <w:rsid w:val="006053FA"/>
    <w:rsid w:val="0060593A"/>
    <w:rsid w:val="00605D04"/>
    <w:rsid w:val="00605E3A"/>
    <w:rsid w:val="00606697"/>
    <w:rsid w:val="0061039D"/>
    <w:rsid w:val="00611CCA"/>
    <w:rsid w:val="00611D98"/>
    <w:rsid w:val="00614599"/>
    <w:rsid w:val="006155E7"/>
    <w:rsid w:val="0061571F"/>
    <w:rsid w:val="00615A6A"/>
    <w:rsid w:val="00616D0A"/>
    <w:rsid w:val="00616F52"/>
    <w:rsid w:val="00617BC0"/>
    <w:rsid w:val="00620EB0"/>
    <w:rsid w:val="00621766"/>
    <w:rsid w:val="006220CB"/>
    <w:rsid w:val="006227B6"/>
    <w:rsid w:val="00622C8B"/>
    <w:rsid w:val="00622CD1"/>
    <w:rsid w:val="0062642B"/>
    <w:rsid w:val="006266DF"/>
    <w:rsid w:val="00626D2D"/>
    <w:rsid w:val="00630787"/>
    <w:rsid w:val="00631D09"/>
    <w:rsid w:val="0063248F"/>
    <w:rsid w:val="006327B3"/>
    <w:rsid w:val="00633402"/>
    <w:rsid w:val="00633455"/>
    <w:rsid w:val="00633901"/>
    <w:rsid w:val="006348B4"/>
    <w:rsid w:val="0063543A"/>
    <w:rsid w:val="00635779"/>
    <w:rsid w:val="00636014"/>
    <w:rsid w:val="00636224"/>
    <w:rsid w:val="006372E3"/>
    <w:rsid w:val="00640E8F"/>
    <w:rsid w:val="00640F50"/>
    <w:rsid w:val="00642515"/>
    <w:rsid w:val="006429EA"/>
    <w:rsid w:val="00642F2C"/>
    <w:rsid w:val="0064331B"/>
    <w:rsid w:val="006438B1"/>
    <w:rsid w:val="00643BCA"/>
    <w:rsid w:val="00643E50"/>
    <w:rsid w:val="00643FF4"/>
    <w:rsid w:val="00647A6F"/>
    <w:rsid w:val="00650CEB"/>
    <w:rsid w:val="00650E4E"/>
    <w:rsid w:val="00650FA3"/>
    <w:rsid w:val="00651370"/>
    <w:rsid w:val="00651974"/>
    <w:rsid w:val="00652DD7"/>
    <w:rsid w:val="00653593"/>
    <w:rsid w:val="006539E4"/>
    <w:rsid w:val="00653F61"/>
    <w:rsid w:val="00655839"/>
    <w:rsid w:val="006566CB"/>
    <w:rsid w:val="0066087E"/>
    <w:rsid w:val="006617FD"/>
    <w:rsid w:val="006619C7"/>
    <w:rsid w:val="00662CB9"/>
    <w:rsid w:val="00664157"/>
    <w:rsid w:val="006658F9"/>
    <w:rsid w:val="0067061B"/>
    <w:rsid w:val="006706DE"/>
    <w:rsid w:val="00670743"/>
    <w:rsid w:val="0067126A"/>
    <w:rsid w:val="0067136B"/>
    <w:rsid w:val="006741B3"/>
    <w:rsid w:val="006741E6"/>
    <w:rsid w:val="00676FAA"/>
    <w:rsid w:val="00677C41"/>
    <w:rsid w:val="00680B3A"/>
    <w:rsid w:val="00682CA9"/>
    <w:rsid w:val="00683211"/>
    <w:rsid w:val="00683669"/>
    <w:rsid w:val="00684089"/>
    <w:rsid w:val="00684CBE"/>
    <w:rsid w:val="00684E9D"/>
    <w:rsid w:val="006854DC"/>
    <w:rsid w:val="0068590C"/>
    <w:rsid w:val="00685A43"/>
    <w:rsid w:val="00685D21"/>
    <w:rsid w:val="00686A8F"/>
    <w:rsid w:val="006878C5"/>
    <w:rsid w:val="00687B8D"/>
    <w:rsid w:val="00692F98"/>
    <w:rsid w:val="00693AEC"/>
    <w:rsid w:val="0069512E"/>
    <w:rsid w:val="00696411"/>
    <w:rsid w:val="006A0415"/>
    <w:rsid w:val="006A0CBF"/>
    <w:rsid w:val="006A136B"/>
    <w:rsid w:val="006A166C"/>
    <w:rsid w:val="006A1CA7"/>
    <w:rsid w:val="006A1CE3"/>
    <w:rsid w:val="006A40B3"/>
    <w:rsid w:val="006A4AA0"/>
    <w:rsid w:val="006A4CFA"/>
    <w:rsid w:val="006A6169"/>
    <w:rsid w:val="006A72FC"/>
    <w:rsid w:val="006A72FF"/>
    <w:rsid w:val="006A77E0"/>
    <w:rsid w:val="006A7DFB"/>
    <w:rsid w:val="006B1CA8"/>
    <w:rsid w:val="006B2D75"/>
    <w:rsid w:val="006B2F3A"/>
    <w:rsid w:val="006B2F4B"/>
    <w:rsid w:val="006B3D51"/>
    <w:rsid w:val="006B5608"/>
    <w:rsid w:val="006B6E8D"/>
    <w:rsid w:val="006C0567"/>
    <w:rsid w:val="006C13EB"/>
    <w:rsid w:val="006C21B2"/>
    <w:rsid w:val="006C21B7"/>
    <w:rsid w:val="006C2372"/>
    <w:rsid w:val="006C29D3"/>
    <w:rsid w:val="006C3997"/>
    <w:rsid w:val="006C722E"/>
    <w:rsid w:val="006C7CF6"/>
    <w:rsid w:val="006D10F1"/>
    <w:rsid w:val="006D11C7"/>
    <w:rsid w:val="006D11FA"/>
    <w:rsid w:val="006D21D3"/>
    <w:rsid w:val="006D23D2"/>
    <w:rsid w:val="006D2457"/>
    <w:rsid w:val="006D2CBD"/>
    <w:rsid w:val="006D3B88"/>
    <w:rsid w:val="006D499B"/>
    <w:rsid w:val="006D51E4"/>
    <w:rsid w:val="006D55CD"/>
    <w:rsid w:val="006D6055"/>
    <w:rsid w:val="006D60F6"/>
    <w:rsid w:val="006D6D63"/>
    <w:rsid w:val="006D7062"/>
    <w:rsid w:val="006E03C4"/>
    <w:rsid w:val="006E0987"/>
    <w:rsid w:val="006E31D1"/>
    <w:rsid w:val="006E3614"/>
    <w:rsid w:val="006E4013"/>
    <w:rsid w:val="006E4CBC"/>
    <w:rsid w:val="006E4CBF"/>
    <w:rsid w:val="006E5A69"/>
    <w:rsid w:val="006E7372"/>
    <w:rsid w:val="006E7D8B"/>
    <w:rsid w:val="006F0F19"/>
    <w:rsid w:val="006F1A01"/>
    <w:rsid w:val="006F1DF0"/>
    <w:rsid w:val="006F2CAC"/>
    <w:rsid w:val="006F3C92"/>
    <w:rsid w:val="006F52F4"/>
    <w:rsid w:val="006F5859"/>
    <w:rsid w:val="006F5F52"/>
    <w:rsid w:val="006F6A01"/>
    <w:rsid w:val="006F6CB6"/>
    <w:rsid w:val="0070092D"/>
    <w:rsid w:val="0070118A"/>
    <w:rsid w:val="00703FA8"/>
    <w:rsid w:val="007049CC"/>
    <w:rsid w:val="00711F1F"/>
    <w:rsid w:val="00712158"/>
    <w:rsid w:val="007134A5"/>
    <w:rsid w:val="00713D09"/>
    <w:rsid w:val="00714B53"/>
    <w:rsid w:val="0071506B"/>
    <w:rsid w:val="00717009"/>
    <w:rsid w:val="00720192"/>
    <w:rsid w:val="00720FD5"/>
    <w:rsid w:val="00721B28"/>
    <w:rsid w:val="007220CD"/>
    <w:rsid w:val="00722192"/>
    <w:rsid w:val="007229A6"/>
    <w:rsid w:val="00722BCE"/>
    <w:rsid w:val="00723AA0"/>
    <w:rsid w:val="00725574"/>
    <w:rsid w:val="00725A90"/>
    <w:rsid w:val="00725CD2"/>
    <w:rsid w:val="007260DE"/>
    <w:rsid w:val="007279F4"/>
    <w:rsid w:val="00730190"/>
    <w:rsid w:val="00730940"/>
    <w:rsid w:val="00731372"/>
    <w:rsid w:val="007314DF"/>
    <w:rsid w:val="00731700"/>
    <w:rsid w:val="00732116"/>
    <w:rsid w:val="00733B8C"/>
    <w:rsid w:val="00734364"/>
    <w:rsid w:val="00734829"/>
    <w:rsid w:val="00734CF0"/>
    <w:rsid w:val="00736165"/>
    <w:rsid w:val="0073663C"/>
    <w:rsid w:val="007367AF"/>
    <w:rsid w:val="00737829"/>
    <w:rsid w:val="0074138F"/>
    <w:rsid w:val="00742240"/>
    <w:rsid w:val="0074317A"/>
    <w:rsid w:val="00743283"/>
    <w:rsid w:val="007458C4"/>
    <w:rsid w:val="0075006E"/>
    <w:rsid w:val="0075070B"/>
    <w:rsid w:val="00750975"/>
    <w:rsid w:val="00750A01"/>
    <w:rsid w:val="00751E61"/>
    <w:rsid w:val="007523DB"/>
    <w:rsid w:val="007526D1"/>
    <w:rsid w:val="00752747"/>
    <w:rsid w:val="00753A32"/>
    <w:rsid w:val="007545BE"/>
    <w:rsid w:val="00754B39"/>
    <w:rsid w:val="00755625"/>
    <w:rsid w:val="007617A5"/>
    <w:rsid w:val="00762658"/>
    <w:rsid w:val="0076399D"/>
    <w:rsid w:val="00764D4E"/>
    <w:rsid w:val="0076520C"/>
    <w:rsid w:val="007655EA"/>
    <w:rsid w:val="00765AD9"/>
    <w:rsid w:val="00765E8C"/>
    <w:rsid w:val="00766DD1"/>
    <w:rsid w:val="007670AF"/>
    <w:rsid w:val="00767B83"/>
    <w:rsid w:val="0077002E"/>
    <w:rsid w:val="00773799"/>
    <w:rsid w:val="00776312"/>
    <w:rsid w:val="00783B16"/>
    <w:rsid w:val="00784633"/>
    <w:rsid w:val="00785E2C"/>
    <w:rsid w:val="00786F18"/>
    <w:rsid w:val="00787013"/>
    <w:rsid w:val="0078730C"/>
    <w:rsid w:val="00787D88"/>
    <w:rsid w:val="00787F2F"/>
    <w:rsid w:val="00790DF5"/>
    <w:rsid w:val="0079156F"/>
    <w:rsid w:val="00792422"/>
    <w:rsid w:val="0079346A"/>
    <w:rsid w:val="007940E6"/>
    <w:rsid w:val="00795D4F"/>
    <w:rsid w:val="00796A22"/>
    <w:rsid w:val="00797706"/>
    <w:rsid w:val="0079788A"/>
    <w:rsid w:val="007A14FF"/>
    <w:rsid w:val="007A4467"/>
    <w:rsid w:val="007A4919"/>
    <w:rsid w:val="007A50A3"/>
    <w:rsid w:val="007A607B"/>
    <w:rsid w:val="007A6452"/>
    <w:rsid w:val="007A6B8D"/>
    <w:rsid w:val="007A72AC"/>
    <w:rsid w:val="007B062A"/>
    <w:rsid w:val="007B08B0"/>
    <w:rsid w:val="007B0C6A"/>
    <w:rsid w:val="007B0D66"/>
    <w:rsid w:val="007B1982"/>
    <w:rsid w:val="007B4706"/>
    <w:rsid w:val="007B4803"/>
    <w:rsid w:val="007B55F4"/>
    <w:rsid w:val="007B5E90"/>
    <w:rsid w:val="007B698C"/>
    <w:rsid w:val="007B6ECD"/>
    <w:rsid w:val="007B764D"/>
    <w:rsid w:val="007C0B61"/>
    <w:rsid w:val="007C0B8E"/>
    <w:rsid w:val="007C0F7A"/>
    <w:rsid w:val="007C10C0"/>
    <w:rsid w:val="007C173C"/>
    <w:rsid w:val="007C1E16"/>
    <w:rsid w:val="007C3B14"/>
    <w:rsid w:val="007C3BB2"/>
    <w:rsid w:val="007C409E"/>
    <w:rsid w:val="007C4568"/>
    <w:rsid w:val="007C5DE4"/>
    <w:rsid w:val="007C61BF"/>
    <w:rsid w:val="007C638C"/>
    <w:rsid w:val="007C6553"/>
    <w:rsid w:val="007C6E7F"/>
    <w:rsid w:val="007D07B5"/>
    <w:rsid w:val="007D1694"/>
    <w:rsid w:val="007D1963"/>
    <w:rsid w:val="007D4220"/>
    <w:rsid w:val="007D560E"/>
    <w:rsid w:val="007D5A12"/>
    <w:rsid w:val="007E132E"/>
    <w:rsid w:val="007E2D53"/>
    <w:rsid w:val="007E2E7D"/>
    <w:rsid w:val="007E2EBA"/>
    <w:rsid w:val="007E4686"/>
    <w:rsid w:val="007E476C"/>
    <w:rsid w:val="007E54BC"/>
    <w:rsid w:val="007E5F58"/>
    <w:rsid w:val="007E6AB2"/>
    <w:rsid w:val="007E7146"/>
    <w:rsid w:val="007E786F"/>
    <w:rsid w:val="007F039D"/>
    <w:rsid w:val="007F0722"/>
    <w:rsid w:val="007F1AB6"/>
    <w:rsid w:val="007F3CA5"/>
    <w:rsid w:val="007F3CFB"/>
    <w:rsid w:val="007F44F1"/>
    <w:rsid w:val="007F56BA"/>
    <w:rsid w:val="007F5947"/>
    <w:rsid w:val="007F5B40"/>
    <w:rsid w:val="007F688A"/>
    <w:rsid w:val="007F7353"/>
    <w:rsid w:val="007F73F6"/>
    <w:rsid w:val="00800203"/>
    <w:rsid w:val="0080044D"/>
    <w:rsid w:val="008009E9"/>
    <w:rsid w:val="0080167F"/>
    <w:rsid w:val="00801D46"/>
    <w:rsid w:val="00802137"/>
    <w:rsid w:val="00802859"/>
    <w:rsid w:val="00804235"/>
    <w:rsid w:val="00805663"/>
    <w:rsid w:val="008063D1"/>
    <w:rsid w:val="00806CAD"/>
    <w:rsid w:val="008074E0"/>
    <w:rsid w:val="00807B13"/>
    <w:rsid w:val="00811543"/>
    <w:rsid w:val="00817653"/>
    <w:rsid w:val="00817B03"/>
    <w:rsid w:val="00817C5D"/>
    <w:rsid w:val="00820F21"/>
    <w:rsid w:val="00821460"/>
    <w:rsid w:val="008216F4"/>
    <w:rsid w:val="00821736"/>
    <w:rsid w:val="0082291D"/>
    <w:rsid w:val="008229B6"/>
    <w:rsid w:val="0082311B"/>
    <w:rsid w:val="008238A1"/>
    <w:rsid w:val="00824754"/>
    <w:rsid w:val="008249D9"/>
    <w:rsid w:val="00825F60"/>
    <w:rsid w:val="0082709B"/>
    <w:rsid w:val="00831DC5"/>
    <w:rsid w:val="00834112"/>
    <w:rsid w:val="00834239"/>
    <w:rsid w:val="008360A6"/>
    <w:rsid w:val="0083779B"/>
    <w:rsid w:val="00837814"/>
    <w:rsid w:val="008403A8"/>
    <w:rsid w:val="00840D39"/>
    <w:rsid w:val="00842493"/>
    <w:rsid w:val="008428AF"/>
    <w:rsid w:val="00843048"/>
    <w:rsid w:val="00844A22"/>
    <w:rsid w:val="00844B63"/>
    <w:rsid w:val="008451AB"/>
    <w:rsid w:val="0084545D"/>
    <w:rsid w:val="00845D33"/>
    <w:rsid w:val="00845FAE"/>
    <w:rsid w:val="00850624"/>
    <w:rsid w:val="00850AF2"/>
    <w:rsid w:val="00851B7B"/>
    <w:rsid w:val="008525B0"/>
    <w:rsid w:val="00852953"/>
    <w:rsid w:val="00852C80"/>
    <w:rsid w:val="0085304D"/>
    <w:rsid w:val="00854869"/>
    <w:rsid w:val="00857BD0"/>
    <w:rsid w:val="0086219F"/>
    <w:rsid w:val="0086313C"/>
    <w:rsid w:val="00863300"/>
    <w:rsid w:val="00863EBE"/>
    <w:rsid w:val="008654B4"/>
    <w:rsid w:val="00865770"/>
    <w:rsid w:val="008663DB"/>
    <w:rsid w:val="0086662B"/>
    <w:rsid w:val="00866D69"/>
    <w:rsid w:val="0087370D"/>
    <w:rsid w:val="008746F9"/>
    <w:rsid w:val="00874BAF"/>
    <w:rsid w:val="00877250"/>
    <w:rsid w:val="008773BD"/>
    <w:rsid w:val="008775E2"/>
    <w:rsid w:val="00877A59"/>
    <w:rsid w:val="0088045A"/>
    <w:rsid w:val="008825CF"/>
    <w:rsid w:val="00883567"/>
    <w:rsid w:val="00884CD7"/>
    <w:rsid w:val="00884D2B"/>
    <w:rsid w:val="008853A1"/>
    <w:rsid w:val="00885551"/>
    <w:rsid w:val="00885844"/>
    <w:rsid w:val="00885FB2"/>
    <w:rsid w:val="00886B1C"/>
    <w:rsid w:val="008876D6"/>
    <w:rsid w:val="00891C92"/>
    <w:rsid w:val="00894FAA"/>
    <w:rsid w:val="00895145"/>
    <w:rsid w:val="008962AC"/>
    <w:rsid w:val="00896F39"/>
    <w:rsid w:val="008A0C9E"/>
    <w:rsid w:val="008A262C"/>
    <w:rsid w:val="008A4249"/>
    <w:rsid w:val="008A590D"/>
    <w:rsid w:val="008A6757"/>
    <w:rsid w:val="008A67EF"/>
    <w:rsid w:val="008A708D"/>
    <w:rsid w:val="008A71B3"/>
    <w:rsid w:val="008B00BF"/>
    <w:rsid w:val="008B02F6"/>
    <w:rsid w:val="008B0A79"/>
    <w:rsid w:val="008B15BD"/>
    <w:rsid w:val="008B36B5"/>
    <w:rsid w:val="008B406D"/>
    <w:rsid w:val="008B4731"/>
    <w:rsid w:val="008B4B06"/>
    <w:rsid w:val="008B51BB"/>
    <w:rsid w:val="008B5C31"/>
    <w:rsid w:val="008B66C7"/>
    <w:rsid w:val="008B7D3F"/>
    <w:rsid w:val="008C004B"/>
    <w:rsid w:val="008C01A7"/>
    <w:rsid w:val="008C09EB"/>
    <w:rsid w:val="008C0EAB"/>
    <w:rsid w:val="008C19EE"/>
    <w:rsid w:val="008C27AF"/>
    <w:rsid w:val="008C348B"/>
    <w:rsid w:val="008C364C"/>
    <w:rsid w:val="008C479B"/>
    <w:rsid w:val="008C58C6"/>
    <w:rsid w:val="008C6D70"/>
    <w:rsid w:val="008C6E7D"/>
    <w:rsid w:val="008C7442"/>
    <w:rsid w:val="008D0842"/>
    <w:rsid w:val="008D08C2"/>
    <w:rsid w:val="008D09A7"/>
    <w:rsid w:val="008D16A1"/>
    <w:rsid w:val="008D2326"/>
    <w:rsid w:val="008D2B36"/>
    <w:rsid w:val="008D2E5B"/>
    <w:rsid w:val="008D2E9E"/>
    <w:rsid w:val="008D47A2"/>
    <w:rsid w:val="008D61CF"/>
    <w:rsid w:val="008D6368"/>
    <w:rsid w:val="008D72A4"/>
    <w:rsid w:val="008D7802"/>
    <w:rsid w:val="008D7C10"/>
    <w:rsid w:val="008E1CF0"/>
    <w:rsid w:val="008E2586"/>
    <w:rsid w:val="008E4B87"/>
    <w:rsid w:val="008E6D90"/>
    <w:rsid w:val="008E7F85"/>
    <w:rsid w:val="008F0131"/>
    <w:rsid w:val="008F01E1"/>
    <w:rsid w:val="008F1A60"/>
    <w:rsid w:val="008F38BC"/>
    <w:rsid w:val="008F3CD1"/>
    <w:rsid w:val="008F4E8F"/>
    <w:rsid w:val="008F6082"/>
    <w:rsid w:val="009000FE"/>
    <w:rsid w:val="00900EE2"/>
    <w:rsid w:val="00901CA8"/>
    <w:rsid w:val="009036B0"/>
    <w:rsid w:val="00904E3A"/>
    <w:rsid w:val="00905771"/>
    <w:rsid w:val="0090591F"/>
    <w:rsid w:val="00906E41"/>
    <w:rsid w:val="00910E5D"/>
    <w:rsid w:val="009122B7"/>
    <w:rsid w:val="009123BF"/>
    <w:rsid w:val="00913165"/>
    <w:rsid w:val="00913653"/>
    <w:rsid w:val="00913FCB"/>
    <w:rsid w:val="00915319"/>
    <w:rsid w:val="009169A6"/>
    <w:rsid w:val="00916CE1"/>
    <w:rsid w:val="00916D06"/>
    <w:rsid w:val="00916E88"/>
    <w:rsid w:val="00917E83"/>
    <w:rsid w:val="00920929"/>
    <w:rsid w:val="009209B9"/>
    <w:rsid w:val="009211B4"/>
    <w:rsid w:val="009215FC"/>
    <w:rsid w:val="00921E3E"/>
    <w:rsid w:val="00922622"/>
    <w:rsid w:val="00922BD7"/>
    <w:rsid w:val="0092360D"/>
    <w:rsid w:val="00923889"/>
    <w:rsid w:val="00923BF3"/>
    <w:rsid w:val="00924575"/>
    <w:rsid w:val="00924C42"/>
    <w:rsid w:val="009254A1"/>
    <w:rsid w:val="00926A82"/>
    <w:rsid w:val="009271C3"/>
    <w:rsid w:val="00930177"/>
    <w:rsid w:val="0093159E"/>
    <w:rsid w:val="00931BC1"/>
    <w:rsid w:val="00932B77"/>
    <w:rsid w:val="00932FB9"/>
    <w:rsid w:val="00933A82"/>
    <w:rsid w:val="009346B2"/>
    <w:rsid w:val="009350F6"/>
    <w:rsid w:val="009357AD"/>
    <w:rsid w:val="009358CE"/>
    <w:rsid w:val="00935C30"/>
    <w:rsid w:val="00936B57"/>
    <w:rsid w:val="009403C9"/>
    <w:rsid w:val="00940EB6"/>
    <w:rsid w:val="00941865"/>
    <w:rsid w:val="00941B89"/>
    <w:rsid w:val="00941F0D"/>
    <w:rsid w:val="0094226F"/>
    <w:rsid w:val="00942293"/>
    <w:rsid w:val="0094281F"/>
    <w:rsid w:val="00945960"/>
    <w:rsid w:val="0094692E"/>
    <w:rsid w:val="00947A5F"/>
    <w:rsid w:val="0095151D"/>
    <w:rsid w:val="00951E3C"/>
    <w:rsid w:val="0095349F"/>
    <w:rsid w:val="009544D1"/>
    <w:rsid w:val="009550C2"/>
    <w:rsid w:val="00955B88"/>
    <w:rsid w:val="009568EB"/>
    <w:rsid w:val="00956A85"/>
    <w:rsid w:val="00961C7C"/>
    <w:rsid w:val="00961F09"/>
    <w:rsid w:val="009638FA"/>
    <w:rsid w:val="0096406E"/>
    <w:rsid w:val="00964454"/>
    <w:rsid w:val="00964725"/>
    <w:rsid w:val="0096562D"/>
    <w:rsid w:val="00965D06"/>
    <w:rsid w:val="00966B84"/>
    <w:rsid w:val="0096706D"/>
    <w:rsid w:val="00970C68"/>
    <w:rsid w:val="0097446E"/>
    <w:rsid w:val="00974B7A"/>
    <w:rsid w:val="00975F8B"/>
    <w:rsid w:val="00976197"/>
    <w:rsid w:val="0097692D"/>
    <w:rsid w:val="009772E7"/>
    <w:rsid w:val="00977397"/>
    <w:rsid w:val="00977D3B"/>
    <w:rsid w:val="00981507"/>
    <w:rsid w:val="00981933"/>
    <w:rsid w:val="00981B23"/>
    <w:rsid w:val="00981CF1"/>
    <w:rsid w:val="00982725"/>
    <w:rsid w:val="009849DA"/>
    <w:rsid w:val="0098541B"/>
    <w:rsid w:val="00990480"/>
    <w:rsid w:val="00991226"/>
    <w:rsid w:val="00992CE9"/>
    <w:rsid w:val="00993335"/>
    <w:rsid w:val="00995832"/>
    <w:rsid w:val="00995C1E"/>
    <w:rsid w:val="00996AAC"/>
    <w:rsid w:val="00997B75"/>
    <w:rsid w:val="009A05CC"/>
    <w:rsid w:val="009A1683"/>
    <w:rsid w:val="009A2869"/>
    <w:rsid w:val="009A3E28"/>
    <w:rsid w:val="009A3F87"/>
    <w:rsid w:val="009A408A"/>
    <w:rsid w:val="009A47FF"/>
    <w:rsid w:val="009A50E6"/>
    <w:rsid w:val="009A68C7"/>
    <w:rsid w:val="009A6BD7"/>
    <w:rsid w:val="009A790D"/>
    <w:rsid w:val="009A7D1C"/>
    <w:rsid w:val="009B0824"/>
    <w:rsid w:val="009B22D6"/>
    <w:rsid w:val="009B2784"/>
    <w:rsid w:val="009B5FE8"/>
    <w:rsid w:val="009B7AB2"/>
    <w:rsid w:val="009C1508"/>
    <w:rsid w:val="009C1A94"/>
    <w:rsid w:val="009C4549"/>
    <w:rsid w:val="009C5E3D"/>
    <w:rsid w:val="009C63FD"/>
    <w:rsid w:val="009C65BC"/>
    <w:rsid w:val="009D01BF"/>
    <w:rsid w:val="009D12B5"/>
    <w:rsid w:val="009D28B2"/>
    <w:rsid w:val="009D335B"/>
    <w:rsid w:val="009D6587"/>
    <w:rsid w:val="009D6B23"/>
    <w:rsid w:val="009D6CFE"/>
    <w:rsid w:val="009D7255"/>
    <w:rsid w:val="009D743F"/>
    <w:rsid w:val="009D7B79"/>
    <w:rsid w:val="009E045E"/>
    <w:rsid w:val="009E180E"/>
    <w:rsid w:val="009E28D5"/>
    <w:rsid w:val="009E5C55"/>
    <w:rsid w:val="009E7C79"/>
    <w:rsid w:val="009F0079"/>
    <w:rsid w:val="009F008C"/>
    <w:rsid w:val="009F0D1B"/>
    <w:rsid w:val="009F2D68"/>
    <w:rsid w:val="009F394F"/>
    <w:rsid w:val="009F5549"/>
    <w:rsid w:val="009F5B3D"/>
    <w:rsid w:val="00A00A68"/>
    <w:rsid w:val="00A00ACC"/>
    <w:rsid w:val="00A01D14"/>
    <w:rsid w:val="00A02B0E"/>
    <w:rsid w:val="00A02C24"/>
    <w:rsid w:val="00A02FAD"/>
    <w:rsid w:val="00A03EE9"/>
    <w:rsid w:val="00A0484E"/>
    <w:rsid w:val="00A058DF"/>
    <w:rsid w:val="00A104BB"/>
    <w:rsid w:val="00A11182"/>
    <w:rsid w:val="00A1363B"/>
    <w:rsid w:val="00A139C8"/>
    <w:rsid w:val="00A13CA3"/>
    <w:rsid w:val="00A13ED4"/>
    <w:rsid w:val="00A13EDB"/>
    <w:rsid w:val="00A13F40"/>
    <w:rsid w:val="00A13FDA"/>
    <w:rsid w:val="00A14BB7"/>
    <w:rsid w:val="00A14E96"/>
    <w:rsid w:val="00A1641A"/>
    <w:rsid w:val="00A206A0"/>
    <w:rsid w:val="00A213F6"/>
    <w:rsid w:val="00A22485"/>
    <w:rsid w:val="00A23D81"/>
    <w:rsid w:val="00A24278"/>
    <w:rsid w:val="00A24F44"/>
    <w:rsid w:val="00A25EBD"/>
    <w:rsid w:val="00A3043F"/>
    <w:rsid w:val="00A32864"/>
    <w:rsid w:val="00A3677C"/>
    <w:rsid w:val="00A36A78"/>
    <w:rsid w:val="00A371EE"/>
    <w:rsid w:val="00A37F75"/>
    <w:rsid w:val="00A404BD"/>
    <w:rsid w:val="00A409B1"/>
    <w:rsid w:val="00A417EA"/>
    <w:rsid w:val="00A41DD6"/>
    <w:rsid w:val="00A42A60"/>
    <w:rsid w:val="00A42D8B"/>
    <w:rsid w:val="00A462C0"/>
    <w:rsid w:val="00A50480"/>
    <w:rsid w:val="00A50DC2"/>
    <w:rsid w:val="00A516E2"/>
    <w:rsid w:val="00A5227F"/>
    <w:rsid w:val="00A5319C"/>
    <w:rsid w:val="00A53DD7"/>
    <w:rsid w:val="00A54194"/>
    <w:rsid w:val="00A54C03"/>
    <w:rsid w:val="00A5619B"/>
    <w:rsid w:val="00A56FFA"/>
    <w:rsid w:val="00A57621"/>
    <w:rsid w:val="00A609CC"/>
    <w:rsid w:val="00A609DD"/>
    <w:rsid w:val="00A60F4D"/>
    <w:rsid w:val="00A62415"/>
    <w:rsid w:val="00A62A74"/>
    <w:rsid w:val="00A6336E"/>
    <w:rsid w:val="00A63514"/>
    <w:rsid w:val="00A6367C"/>
    <w:rsid w:val="00A63E14"/>
    <w:rsid w:val="00A63E3C"/>
    <w:rsid w:val="00A65BCB"/>
    <w:rsid w:val="00A6659F"/>
    <w:rsid w:val="00A67009"/>
    <w:rsid w:val="00A707FF"/>
    <w:rsid w:val="00A71A41"/>
    <w:rsid w:val="00A72220"/>
    <w:rsid w:val="00A737BB"/>
    <w:rsid w:val="00A7423F"/>
    <w:rsid w:val="00A74431"/>
    <w:rsid w:val="00A76C6A"/>
    <w:rsid w:val="00A77233"/>
    <w:rsid w:val="00A81086"/>
    <w:rsid w:val="00A81214"/>
    <w:rsid w:val="00A82212"/>
    <w:rsid w:val="00A8282B"/>
    <w:rsid w:val="00A83A37"/>
    <w:rsid w:val="00A83AAC"/>
    <w:rsid w:val="00A85130"/>
    <w:rsid w:val="00A85F21"/>
    <w:rsid w:val="00A86796"/>
    <w:rsid w:val="00A8793D"/>
    <w:rsid w:val="00A902E4"/>
    <w:rsid w:val="00A90EF4"/>
    <w:rsid w:val="00A9318E"/>
    <w:rsid w:val="00A934A6"/>
    <w:rsid w:val="00A9444C"/>
    <w:rsid w:val="00A9574C"/>
    <w:rsid w:val="00A96CD7"/>
    <w:rsid w:val="00A97923"/>
    <w:rsid w:val="00AA0283"/>
    <w:rsid w:val="00AA118D"/>
    <w:rsid w:val="00AA245B"/>
    <w:rsid w:val="00AA322C"/>
    <w:rsid w:val="00AA4218"/>
    <w:rsid w:val="00AA5AF3"/>
    <w:rsid w:val="00AA60A3"/>
    <w:rsid w:val="00AA6DF9"/>
    <w:rsid w:val="00AB01BF"/>
    <w:rsid w:val="00AB0BE9"/>
    <w:rsid w:val="00AB1404"/>
    <w:rsid w:val="00AB2DDA"/>
    <w:rsid w:val="00AB3DF2"/>
    <w:rsid w:val="00AB5754"/>
    <w:rsid w:val="00AC0DD4"/>
    <w:rsid w:val="00AC0F87"/>
    <w:rsid w:val="00AC22F4"/>
    <w:rsid w:val="00AC41FA"/>
    <w:rsid w:val="00AC513C"/>
    <w:rsid w:val="00AC69F2"/>
    <w:rsid w:val="00AC6DE9"/>
    <w:rsid w:val="00AC6E53"/>
    <w:rsid w:val="00AC76C8"/>
    <w:rsid w:val="00AC7C48"/>
    <w:rsid w:val="00AC7FD7"/>
    <w:rsid w:val="00AD04BD"/>
    <w:rsid w:val="00AD080B"/>
    <w:rsid w:val="00AD0E59"/>
    <w:rsid w:val="00AD1A09"/>
    <w:rsid w:val="00AD23BF"/>
    <w:rsid w:val="00AD2A78"/>
    <w:rsid w:val="00AD32BE"/>
    <w:rsid w:val="00AD390A"/>
    <w:rsid w:val="00AD4C84"/>
    <w:rsid w:val="00AD4C86"/>
    <w:rsid w:val="00AD58AE"/>
    <w:rsid w:val="00AD5BF5"/>
    <w:rsid w:val="00AD6E8C"/>
    <w:rsid w:val="00AD7973"/>
    <w:rsid w:val="00AD7EB6"/>
    <w:rsid w:val="00AE0882"/>
    <w:rsid w:val="00AE1138"/>
    <w:rsid w:val="00AE24D0"/>
    <w:rsid w:val="00AE34D7"/>
    <w:rsid w:val="00AE39EC"/>
    <w:rsid w:val="00AE3F83"/>
    <w:rsid w:val="00AE439B"/>
    <w:rsid w:val="00AE7042"/>
    <w:rsid w:val="00AF07E8"/>
    <w:rsid w:val="00AF2532"/>
    <w:rsid w:val="00AF2AB8"/>
    <w:rsid w:val="00AF3D54"/>
    <w:rsid w:val="00AF59AA"/>
    <w:rsid w:val="00AF5BB5"/>
    <w:rsid w:val="00AF78C1"/>
    <w:rsid w:val="00B00971"/>
    <w:rsid w:val="00B0266F"/>
    <w:rsid w:val="00B07185"/>
    <w:rsid w:val="00B071FA"/>
    <w:rsid w:val="00B07351"/>
    <w:rsid w:val="00B079E8"/>
    <w:rsid w:val="00B10F0B"/>
    <w:rsid w:val="00B1146D"/>
    <w:rsid w:val="00B11CDF"/>
    <w:rsid w:val="00B11F59"/>
    <w:rsid w:val="00B12780"/>
    <w:rsid w:val="00B13F04"/>
    <w:rsid w:val="00B145C7"/>
    <w:rsid w:val="00B14CA3"/>
    <w:rsid w:val="00B14CD7"/>
    <w:rsid w:val="00B14F45"/>
    <w:rsid w:val="00B2058D"/>
    <w:rsid w:val="00B20D6D"/>
    <w:rsid w:val="00B21720"/>
    <w:rsid w:val="00B237B6"/>
    <w:rsid w:val="00B23DC4"/>
    <w:rsid w:val="00B24422"/>
    <w:rsid w:val="00B24B71"/>
    <w:rsid w:val="00B254F4"/>
    <w:rsid w:val="00B2552D"/>
    <w:rsid w:val="00B25D3E"/>
    <w:rsid w:val="00B25FEF"/>
    <w:rsid w:val="00B26595"/>
    <w:rsid w:val="00B30055"/>
    <w:rsid w:val="00B30372"/>
    <w:rsid w:val="00B307D1"/>
    <w:rsid w:val="00B31857"/>
    <w:rsid w:val="00B3249C"/>
    <w:rsid w:val="00B32F7A"/>
    <w:rsid w:val="00B35874"/>
    <w:rsid w:val="00B35A00"/>
    <w:rsid w:val="00B377E8"/>
    <w:rsid w:val="00B40087"/>
    <w:rsid w:val="00B40204"/>
    <w:rsid w:val="00B420B0"/>
    <w:rsid w:val="00B42376"/>
    <w:rsid w:val="00B4268E"/>
    <w:rsid w:val="00B42AE7"/>
    <w:rsid w:val="00B444ED"/>
    <w:rsid w:val="00B445F3"/>
    <w:rsid w:val="00B44627"/>
    <w:rsid w:val="00B446DD"/>
    <w:rsid w:val="00B44775"/>
    <w:rsid w:val="00B45E9D"/>
    <w:rsid w:val="00B46C02"/>
    <w:rsid w:val="00B47AB5"/>
    <w:rsid w:val="00B500B3"/>
    <w:rsid w:val="00B51983"/>
    <w:rsid w:val="00B54BD3"/>
    <w:rsid w:val="00B54CD3"/>
    <w:rsid w:val="00B5702F"/>
    <w:rsid w:val="00B57CCC"/>
    <w:rsid w:val="00B613BF"/>
    <w:rsid w:val="00B61694"/>
    <w:rsid w:val="00B61C81"/>
    <w:rsid w:val="00B62BB4"/>
    <w:rsid w:val="00B62D99"/>
    <w:rsid w:val="00B64113"/>
    <w:rsid w:val="00B65CC7"/>
    <w:rsid w:val="00B661CB"/>
    <w:rsid w:val="00B66310"/>
    <w:rsid w:val="00B66CCB"/>
    <w:rsid w:val="00B67D2D"/>
    <w:rsid w:val="00B70E5A"/>
    <w:rsid w:val="00B70E98"/>
    <w:rsid w:val="00B717E3"/>
    <w:rsid w:val="00B7184C"/>
    <w:rsid w:val="00B71B3A"/>
    <w:rsid w:val="00B73024"/>
    <w:rsid w:val="00B734AF"/>
    <w:rsid w:val="00B740B7"/>
    <w:rsid w:val="00B741E4"/>
    <w:rsid w:val="00B75C35"/>
    <w:rsid w:val="00B77471"/>
    <w:rsid w:val="00B775BC"/>
    <w:rsid w:val="00B801C6"/>
    <w:rsid w:val="00B802AF"/>
    <w:rsid w:val="00B810BA"/>
    <w:rsid w:val="00B814EA"/>
    <w:rsid w:val="00B81E5B"/>
    <w:rsid w:val="00B830AB"/>
    <w:rsid w:val="00B84169"/>
    <w:rsid w:val="00B845DB"/>
    <w:rsid w:val="00B85795"/>
    <w:rsid w:val="00B85E33"/>
    <w:rsid w:val="00B86A03"/>
    <w:rsid w:val="00B90B15"/>
    <w:rsid w:val="00B92B94"/>
    <w:rsid w:val="00B953CE"/>
    <w:rsid w:val="00B9692A"/>
    <w:rsid w:val="00B96D7A"/>
    <w:rsid w:val="00B97FC1"/>
    <w:rsid w:val="00BA14BC"/>
    <w:rsid w:val="00BA25CF"/>
    <w:rsid w:val="00BA4933"/>
    <w:rsid w:val="00BA4CE3"/>
    <w:rsid w:val="00BA4E8F"/>
    <w:rsid w:val="00BA5C6D"/>
    <w:rsid w:val="00BA6AFF"/>
    <w:rsid w:val="00BA6CED"/>
    <w:rsid w:val="00BB0226"/>
    <w:rsid w:val="00BB0E44"/>
    <w:rsid w:val="00BB2034"/>
    <w:rsid w:val="00BB2147"/>
    <w:rsid w:val="00BB2C23"/>
    <w:rsid w:val="00BB485B"/>
    <w:rsid w:val="00BB4B5F"/>
    <w:rsid w:val="00BB5326"/>
    <w:rsid w:val="00BB55E1"/>
    <w:rsid w:val="00BB5EF0"/>
    <w:rsid w:val="00BB6529"/>
    <w:rsid w:val="00BB67F9"/>
    <w:rsid w:val="00BB6BE4"/>
    <w:rsid w:val="00BB796C"/>
    <w:rsid w:val="00BC08BB"/>
    <w:rsid w:val="00BC1B28"/>
    <w:rsid w:val="00BC29D1"/>
    <w:rsid w:val="00BC509E"/>
    <w:rsid w:val="00BC5AB5"/>
    <w:rsid w:val="00BC5B40"/>
    <w:rsid w:val="00BC6094"/>
    <w:rsid w:val="00BC6385"/>
    <w:rsid w:val="00BD112A"/>
    <w:rsid w:val="00BD1A38"/>
    <w:rsid w:val="00BD1CCD"/>
    <w:rsid w:val="00BD24A1"/>
    <w:rsid w:val="00BD2A11"/>
    <w:rsid w:val="00BD2CE3"/>
    <w:rsid w:val="00BD2E00"/>
    <w:rsid w:val="00BD4537"/>
    <w:rsid w:val="00BD51AF"/>
    <w:rsid w:val="00BD5DFA"/>
    <w:rsid w:val="00BD6BA6"/>
    <w:rsid w:val="00BE0824"/>
    <w:rsid w:val="00BE0EED"/>
    <w:rsid w:val="00BE10B7"/>
    <w:rsid w:val="00BE11EA"/>
    <w:rsid w:val="00BE47CB"/>
    <w:rsid w:val="00BE6CE1"/>
    <w:rsid w:val="00BE6F7F"/>
    <w:rsid w:val="00BE70AE"/>
    <w:rsid w:val="00BE7D57"/>
    <w:rsid w:val="00BF27F5"/>
    <w:rsid w:val="00BF2A8C"/>
    <w:rsid w:val="00BF341C"/>
    <w:rsid w:val="00BF373C"/>
    <w:rsid w:val="00BF3B22"/>
    <w:rsid w:val="00BF5419"/>
    <w:rsid w:val="00BF5F0F"/>
    <w:rsid w:val="00BF63EB"/>
    <w:rsid w:val="00BF65FB"/>
    <w:rsid w:val="00BF6F28"/>
    <w:rsid w:val="00C007E2"/>
    <w:rsid w:val="00C01881"/>
    <w:rsid w:val="00C01C3C"/>
    <w:rsid w:val="00C020B5"/>
    <w:rsid w:val="00C0255C"/>
    <w:rsid w:val="00C02F25"/>
    <w:rsid w:val="00C02FCC"/>
    <w:rsid w:val="00C0360A"/>
    <w:rsid w:val="00C044FB"/>
    <w:rsid w:val="00C065A6"/>
    <w:rsid w:val="00C0682E"/>
    <w:rsid w:val="00C0751B"/>
    <w:rsid w:val="00C10EEE"/>
    <w:rsid w:val="00C113B2"/>
    <w:rsid w:val="00C11527"/>
    <w:rsid w:val="00C12FE1"/>
    <w:rsid w:val="00C14094"/>
    <w:rsid w:val="00C14431"/>
    <w:rsid w:val="00C14A96"/>
    <w:rsid w:val="00C15538"/>
    <w:rsid w:val="00C15FE5"/>
    <w:rsid w:val="00C172BC"/>
    <w:rsid w:val="00C1738E"/>
    <w:rsid w:val="00C177FF"/>
    <w:rsid w:val="00C17BFD"/>
    <w:rsid w:val="00C17CD7"/>
    <w:rsid w:val="00C17F0A"/>
    <w:rsid w:val="00C20678"/>
    <w:rsid w:val="00C20DDC"/>
    <w:rsid w:val="00C212D7"/>
    <w:rsid w:val="00C212DD"/>
    <w:rsid w:val="00C21658"/>
    <w:rsid w:val="00C2230C"/>
    <w:rsid w:val="00C23622"/>
    <w:rsid w:val="00C24103"/>
    <w:rsid w:val="00C2527D"/>
    <w:rsid w:val="00C26D4F"/>
    <w:rsid w:val="00C32144"/>
    <w:rsid w:val="00C33F44"/>
    <w:rsid w:val="00C345F3"/>
    <w:rsid w:val="00C34C3D"/>
    <w:rsid w:val="00C36F07"/>
    <w:rsid w:val="00C37399"/>
    <w:rsid w:val="00C403D9"/>
    <w:rsid w:val="00C40793"/>
    <w:rsid w:val="00C40917"/>
    <w:rsid w:val="00C42C8F"/>
    <w:rsid w:val="00C44E4D"/>
    <w:rsid w:val="00C47555"/>
    <w:rsid w:val="00C47E64"/>
    <w:rsid w:val="00C50292"/>
    <w:rsid w:val="00C50339"/>
    <w:rsid w:val="00C51839"/>
    <w:rsid w:val="00C523EE"/>
    <w:rsid w:val="00C53984"/>
    <w:rsid w:val="00C54C1C"/>
    <w:rsid w:val="00C561AA"/>
    <w:rsid w:val="00C565D7"/>
    <w:rsid w:val="00C56A19"/>
    <w:rsid w:val="00C5711B"/>
    <w:rsid w:val="00C57BE6"/>
    <w:rsid w:val="00C60492"/>
    <w:rsid w:val="00C605FE"/>
    <w:rsid w:val="00C61A76"/>
    <w:rsid w:val="00C621A4"/>
    <w:rsid w:val="00C62EF7"/>
    <w:rsid w:val="00C6389E"/>
    <w:rsid w:val="00C638AC"/>
    <w:rsid w:val="00C650F9"/>
    <w:rsid w:val="00C661A3"/>
    <w:rsid w:val="00C66DD0"/>
    <w:rsid w:val="00C67127"/>
    <w:rsid w:val="00C67CB0"/>
    <w:rsid w:val="00C702C0"/>
    <w:rsid w:val="00C706D2"/>
    <w:rsid w:val="00C70739"/>
    <w:rsid w:val="00C715B2"/>
    <w:rsid w:val="00C71970"/>
    <w:rsid w:val="00C71BDD"/>
    <w:rsid w:val="00C71CA2"/>
    <w:rsid w:val="00C71E49"/>
    <w:rsid w:val="00C72A8C"/>
    <w:rsid w:val="00C73B70"/>
    <w:rsid w:val="00C74463"/>
    <w:rsid w:val="00C7555B"/>
    <w:rsid w:val="00C75676"/>
    <w:rsid w:val="00C75F56"/>
    <w:rsid w:val="00C75FFD"/>
    <w:rsid w:val="00C76148"/>
    <w:rsid w:val="00C774DF"/>
    <w:rsid w:val="00C779F9"/>
    <w:rsid w:val="00C80515"/>
    <w:rsid w:val="00C805B0"/>
    <w:rsid w:val="00C80AEF"/>
    <w:rsid w:val="00C82385"/>
    <w:rsid w:val="00C82537"/>
    <w:rsid w:val="00C8557E"/>
    <w:rsid w:val="00C86D11"/>
    <w:rsid w:val="00C878B7"/>
    <w:rsid w:val="00C87F1F"/>
    <w:rsid w:val="00C906AB"/>
    <w:rsid w:val="00C92AA4"/>
    <w:rsid w:val="00C9420D"/>
    <w:rsid w:val="00C95584"/>
    <w:rsid w:val="00C95F06"/>
    <w:rsid w:val="00CA148D"/>
    <w:rsid w:val="00CA1F0E"/>
    <w:rsid w:val="00CA3548"/>
    <w:rsid w:val="00CA4527"/>
    <w:rsid w:val="00CA4623"/>
    <w:rsid w:val="00CA5C69"/>
    <w:rsid w:val="00CA5CB6"/>
    <w:rsid w:val="00CA6E06"/>
    <w:rsid w:val="00CB088B"/>
    <w:rsid w:val="00CB1A97"/>
    <w:rsid w:val="00CB3F01"/>
    <w:rsid w:val="00CB5544"/>
    <w:rsid w:val="00CB5BC5"/>
    <w:rsid w:val="00CB739C"/>
    <w:rsid w:val="00CB79FF"/>
    <w:rsid w:val="00CB7C47"/>
    <w:rsid w:val="00CB7D64"/>
    <w:rsid w:val="00CC0534"/>
    <w:rsid w:val="00CC0D16"/>
    <w:rsid w:val="00CC1D5D"/>
    <w:rsid w:val="00CC225E"/>
    <w:rsid w:val="00CC2827"/>
    <w:rsid w:val="00CC2998"/>
    <w:rsid w:val="00CC407F"/>
    <w:rsid w:val="00CC44F0"/>
    <w:rsid w:val="00CC5729"/>
    <w:rsid w:val="00CC650B"/>
    <w:rsid w:val="00CC6FF9"/>
    <w:rsid w:val="00CC7B67"/>
    <w:rsid w:val="00CD1293"/>
    <w:rsid w:val="00CD29C2"/>
    <w:rsid w:val="00CD3BE4"/>
    <w:rsid w:val="00CD3DC5"/>
    <w:rsid w:val="00CD4304"/>
    <w:rsid w:val="00CD48D9"/>
    <w:rsid w:val="00CD5A86"/>
    <w:rsid w:val="00CD7A73"/>
    <w:rsid w:val="00CE04A7"/>
    <w:rsid w:val="00CE2A53"/>
    <w:rsid w:val="00CE2DEB"/>
    <w:rsid w:val="00CE4539"/>
    <w:rsid w:val="00CE576C"/>
    <w:rsid w:val="00CE6F94"/>
    <w:rsid w:val="00CE743D"/>
    <w:rsid w:val="00CE7ABB"/>
    <w:rsid w:val="00CF0161"/>
    <w:rsid w:val="00CF1441"/>
    <w:rsid w:val="00CF18BD"/>
    <w:rsid w:val="00CF27BD"/>
    <w:rsid w:val="00CF2D67"/>
    <w:rsid w:val="00CF5964"/>
    <w:rsid w:val="00CF59AC"/>
    <w:rsid w:val="00CF687E"/>
    <w:rsid w:val="00CF73B0"/>
    <w:rsid w:val="00CF7D46"/>
    <w:rsid w:val="00D00597"/>
    <w:rsid w:val="00D00C2F"/>
    <w:rsid w:val="00D0286B"/>
    <w:rsid w:val="00D049D5"/>
    <w:rsid w:val="00D05138"/>
    <w:rsid w:val="00D0518F"/>
    <w:rsid w:val="00D06796"/>
    <w:rsid w:val="00D0747C"/>
    <w:rsid w:val="00D0785E"/>
    <w:rsid w:val="00D1124A"/>
    <w:rsid w:val="00D1158C"/>
    <w:rsid w:val="00D12CCF"/>
    <w:rsid w:val="00D16094"/>
    <w:rsid w:val="00D1781A"/>
    <w:rsid w:val="00D178BF"/>
    <w:rsid w:val="00D17E50"/>
    <w:rsid w:val="00D202FE"/>
    <w:rsid w:val="00D2233A"/>
    <w:rsid w:val="00D2239B"/>
    <w:rsid w:val="00D2286C"/>
    <w:rsid w:val="00D22AED"/>
    <w:rsid w:val="00D23FF0"/>
    <w:rsid w:val="00D241B1"/>
    <w:rsid w:val="00D2581A"/>
    <w:rsid w:val="00D25AB8"/>
    <w:rsid w:val="00D276B2"/>
    <w:rsid w:val="00D27885"/>
    <w:rsid w:val="00D278CD"/>
    <w:rsid w:val="00D30F4F"/>
    <w:rsid w:val="00D317B3"/>
    <w:rsid w:val="00D3247E"/>
    <w:rsid w:val="00D33620"/>
    <w:rsid w:val="00D33AFD"/>
    <w:rsid w:val="00D33B8F"/>
    <w:rsid w:val="00D342D6"/>
    <w:rsid w:val="00D3472B"/>
    <w:rsid w:val="00D34CB1"/>
    <w:rsid w:val="00D34E4F"/>
    <w:rsid w:val="00D35A42"/>
    <w:rsid w:val="00D35ECB"/>
    <w:rsid w:val="00D3722B"/>
    <w:rsid w:val="00D376E2"/>
    <w:rsid w:val="00D37FC1"/>
    <w:rsid w:val="00D41AE0"/>
    <w:rsid w:val="00D424A3"/>
    <w:rsid w:val="00D42B29"/>
    <w:rsid w:val="00D45025"/>
    <w:rsid w:val="00D4650C"/>
    <w:rsid w:val="00D475CD"/>
    <w:rsid w:val="00D50A08"/>
    <w:rsid w:val="00D50AD0"/>
    <w:rsid w:val="00D5369E"/>
    <w:rsid w:val="00D53A77"/>
    <w:rsid w:val="00D541DA"/>
    <w:rsid w:val="00D546BC"/>
    <w:rsid w:val="00D54752"/>
    <w:rsid w:val="00D561B2"/>
    <w:rsid w:val="00D56651"/>
    <w:rsid w:val="00D575B5"/>
    <w:rsid w:val="00D601B7"/>
    <w:rsid w:val="00D6059D"/>
    <w:rsid w:val="00D61255"/>
    <w:rsid w:val="00D61F4B"/>
    <w:rsid w:val="00D6229B"/>
    <w:rsid w:val="00D62FC6"/>
    <w:rsid w:val="00D63C1D"/>
    <w:rsid w:val="00D6448F"/>
    <w:rsid w:val="00D64560"/>
    <w:rsid w:val="00D67A90"/>
    <w:rsid w:val="00D67D2E"/>
    <w:rsid w:val="00D70F4C"/>
    <w:rsid w:val="00D714BE"/>
    <w:rsid w:val="00D71A30"/>
    <w:rsid w:val="00D7211A"/>
    <w:rsid w:val="00D72D11"/>
    <w:rsid w:val="00D768CB"/>
    <w:rsid w:val="00D80E3B"/>
    <w:rsid w:val="00D81A5D"/>
    <w:rsid w:val="00D831F5"/>
    <w:rsid w:val="00D83272"/>
    <w:rsid w:val="00D83D13"/>
    <w:rsid w:val="00D84A9D"/>
    <w:rsid w:val="00D8548D"/>
    <w:rsid w:val="00D85834"/>
    <w:rsid w:val="00D8614B"/>
    <w:rsid w:val="00D86DA8"/>
    <w:rsid w:val="00D9041B"/>
    <w:rsid w:val="00D905B9"/>
    <w:rsid w:val="00D905D2"/>
    <w:rsid w:val="00D91BE4"/>
    <w:rsid w:val="00D91E66"/>
    <w:rsid w:val="00D93CB9"/>
    <w:rsid w:val="00D947FE"/>
    <w:rsid w:val="00D94BB3"/>
    <w:rsid w:val="00D95392"/>
    <w:rsid w:val="00D96F3C"/>
    <w:rsid w:val="00DA0B32"/>
    <w:rsid w:val="00DA0DEE"/>
    <w:rsid w:val="00DA207C"/>
    <w:rsid w:val="00DA361B"/>
    <w:rsid w:val="00DA5C8C"/>
    <w:rsid w:val="00DA6449"/>
    <w:rsid w:val="00DB06F6"/>
    <w:rsid w:val="00DB207F"/>
    <w:rsid w:val="00DB2B8E"/>
    <w:rsid w:val="00DB32D5"/>
    <w:rsid w:val="00DB3E6A"/>
    <w:rsid w:val="00DB407E"/>
    <w:rsid w:val="00DB47DA"/>
    <w:rsid w:val="00DB4A13"/>
    <w:rsid w:val="00DB60C0"/>
    <w:rsid w:val="00DB62A1"/>
    <w:rsid w:val="00DC0415"/>
    <w:rsid w:val="00DC072D"/>
    <w:rsid w:val="00DC0FD2"/>
    <w:rsid w:val="00DC20AC"/>
    <w:rsid w:val="00DC42B4"/>
    <w:rsid w:val="00DC7303"/>
    <w:rsid w:val="00DC768A"/>
    <w:rsid w:val="00DC7EF1"/>
    <w:rsid w:val="00DD11A3"/>
    <w:rsid w:val="00DD186A"/>
    <w:rsid w:val="00DD204B"/>
    <w:rsid w:val="00DD226C"/>
    <w:rsid w:val="00DD289D"/>
    <w:rsid w:val="00DD2927"/>
    <w:rsid w:val="00DD4633"/>
    <w:rsid w:val="00DD4B84"/>
    <w:rsid w:val="00DD5694"/>
    <w:rsid w:val="00DD5C1B"/>
    <w:rsid w:val="00DD5CB4"/>
    <w:rsid w:val="00DD5F8D"/>
    <w:rsid w:val="00DD72B5"/>
    <w:rsid w:val="00DE0189"/>
    <w:rsid w:val="00DE0922"/>
    <w:rsid w:val="00DE1A1C"/>
    <w:rsid w:val="00DE1FA4"/>
    <w:rsid w:val="00DE31D2"/>
    <w:rsid w:val="00DE3269"/>
    <w:rsid w:val="00DE3B9A"/>
    <w:rsid w:val="00DE4767"/>
    <w:rsid w:val="00DE4F6D"/>
    <w:rsid w:val="00DE57AB"/>
    <w:rsid w:val="00DE5B39"/>
    <w:rsid w:val="00DE686B"/>
    <w:rsid w:val="00DE70CE"/>
    <w:rsid w:val="00DE79FF"/>
    <w:rsid w:val="00DE7FB4"/>
    <w:rsid w:val="00DF0D1C"/>
    <w:rsid w:val="00DF0E92"/>
    <w:rsid w:val="00DF156D"/>
    <w:rsid w:val="00DF193B"/>
    <w:rsid w:val="00DF19B9"/>
    <w:rsid w:val="00DF2AFA"/>
    <w:rsid w:val="00DF4946"/>
    <w:rsid w:val="00DF6237"/>
    <w:rsid w:val="00E01BC9"/>
    <w:rsid w:val="00E02009"/>
    <w:rsid w:val="00E021E2"/>
    <w:rsid w:val="00E03181"/>
    <w:rsid w:val="00E037A3"/>
    <w:rsid w:val="00E043B6"/>
    <w:rsid w:val="00E04E27"/>
    <w:rsid w:val="00E04EE2"/>
    <w:rsid w:val="00E06033"/>
    <w:rsid w:val="00E065D8"/>
    <w:rsid w:val="00E077FA"/>
    <w:rsid w:val="00E07894"/>
    <w:rsid w:val="00E079DC"/>
    <w:rsid w:val="00E07D22"/>
    <w:rsid w:val="00E100EE"/>
    <w:rsid w:val="00E1015E"/>
    <w:rsid w:val="00E11312"/>
    <w:rsid w:val="00E11B67"/>
    <w:rsid w:val="00E11DAA"/>
    <w:rsid w:val="00E12D5F"/>
    <w:rsid w:val="00E132F1"/>
    <w:rsid w:val="00E13360"/>
    <w:rsid w:val="00E1374E"/>
    <w:rsid w:val="00E144D0"/>
    <w:rsid w:val="00E14744"/>
    <w:rsid w:val="00E14F17"/>
    <w:rsid w:val="00E16D93"/>
    <w:rsid w:val="00E214C7"/>
    <w:rsid w:val="00E21DF3"/>
    <w:rsid w:val="00E222E4"/>
    <w:rsid w:val="00E23283"/>
    <w:rsid w:val="00E24625"/>
    <w:rsid w:val="00E2497B"/>
    <w:rsid w:val="00E2618A"/>
    <w:rsid w:val="00E26EC0"/>
    <w:rsid w:val="00E27EC5"/>
    <w:rsid w:val="00E27F4B"/>
    <w:rsid w:val="00E30AE9"/>
    <w:rsid w:val="00E30B53"/>
    <w:rsid w:val="00E325A4"/>
    <w:rsid w:val="00E33C72"/>
    <w:rsid w:val="00E34C27"/>
    <w:rsid w:val="00E358E3"/>
    <w:rsid w:val="00E360E8"/>
    <w:rsid w:val="00E3732F"/>
    <w:rsid w:val="00E37CC1"/>
    <w:rsid w:val="00E417C0"/>
    <w:rsid w:val="00E417CE"/>
    <w:rsid w:val="00E417D0"/>
    <w:rsid w:val="00E42E4B"/>
    <w:rsid w:val="00E436A2"/>
    <w:rsid w:val="00E439E1"/>
    <w:rsid w:val="00E443B1"/>
    <w:rsid w:val="00E449B4"/>
    <w:rsid w:val="00E45608"/>
    <w:rsid w:val="00E461E0"/>
    <w:rsid w:val="00E46295"/>
    <w:rsid w:val="00E46A8B"/>
    <w:rsid w:val="00E46C03"/>
    <w:rsid w:val="00E51B56"/>
    <w:rsid w:val="00E51B6B"/>
    <w:rsid w:val="00E52317"/>
    <w:rsid w:val="00E55608"/>
    <w:rsid w:val="00E605E3"/>
    <w:rsid w:val="00E606C6"/>
    <w:rsid w:val="00E6089E"/>
    <w:rsid w:val="00E614B7"/>
    <w:rsid w:val="00E61A54"/>
    <w:rsid w:val="00E62B33"/>
    <w:rsid w:val="00E62F3B"/>
    <w:rsid w:val="00E63EE4"/>
    <w:rsid w:val="00E65263"/>
    <w:rsid w:val="00E654F9"/>
    <w:rsid w:val="00E65604"/>
    <w:rsid w:val="00E66048"/>
    <w:rsid w:val="00E67D4D"/>
    <w:rsid w:val="00E70D1B"/>
    <w:rsid w:val="00E71EA8"/>
    <w:rsid w:val="00E721A8"/>
    <w:rsid w:val="00E73424"/>
    <w:rsid w:val="00E74B8F"/>
    <w:rsid w:val="00E75780"/>
    <w:rsid w:val="00E75A51"/>
    <w:rsid w:val="00E75E31"/>
    <w:rsid w:val="00E76168"/>
    <w:rsid w:val="00E767EE"/>
    <w:rsid w:val="00E8017F"/>
    <w:rsid w:val="00E80191"/>
    <w:rsid w:val="00E8096A"/>
    <w:rsid w:val="00E80A19"/>
    <w:rsid w:val="00E80EA8"/>
    <w:rsid w:val="00E818DE"/>
    <w:rsid w:val="00E828A5"/>
    <w:rsid w:val="00E830BA"/>
    <w:rsid w:val="00E85379"/>
    <w:rsid w:val="00E85ADF"/>
    <w:rsid w:val="00E87E2B"/>
    <w:rsid w:val="00E90140"/>
    <w:rsid w:val="00E90D0F"/>
    <w:rsid w:val="00E91641"/>
    <w:rsid w:val="00E916E6"/>
    <w:rsid w:val="00E91C3C"/>
    <w:rsid w:val="00E91CF0"/>
    <w:rsid w:val="00E91E00"/>
    <w:rsid w:val="00E91FB6"/>
    <w:rsid w:val="00E922FA"/>
    <w:rsid w:val="00E92D58"/>
    <w:rsid w:val="00E933DE"/>
    <w:rsid w:val="00E940BC"/>
    <w:rsid w:val="00E95069"/>
    <w:rsid w:val="00EA07A6"/>
    <w:rsid w:val="00EA115E"/>
    <w:rsid w:val="00EA20A7"/>
    <w:rsid w:val="00EA2B2E"/>
    <w:rsid w:val="00EA304C"/>
    <w:rsid w:val="00EA32CA"/>
    <w:rsid w:val="00EA4424"/>
    <w:rsid w:val="00EA54BB"/>
    <w:rsid w:val="00EA7BD1"/>
    <w:rsid w:val="00EB0CB9"/>
    <w:rsid w:val="00EB19BC"/>
    <w:rsid w:val="00EB7DC1"/>
    <w:rsid w:val="00EC1009"/>
    <w:rsid w:val="00EC24C6"/>
    <w:rsid w:val="00EC37E4"/>
    <w:rsid w:val="00EC42E8"/>
    <w:rsid w:val="00EC4C05"/>
    <w:rsid w:val="00EC4E55"/>
    <w:rsid w:val="00EC5978"/>
    <w:rsid w:val="00EC59E4"/>
    <w:rsid w:val="00EC6C08"/>
    <w:rsid w:val="00EC7037"/>
    <w:rsid w:val="00ED1478"/>
    <w:rsid w:val="00ED32ED"/>
    <w:rsid w:val="00ED4A3E"/>
    <w:rsid w:val="00ED4AAE"/>
    <w:rsid w:val="00ED6F8D"/>
    <w:rsid w:val="00ED7708"/>
    <w:rsid w:val="00ED7774"/>
    <w:rsid w:val="00EE0ACE"/>
    <w:rsid w:val="00EE0E31"/>
    <w:rsid w:val="00EE1A3C"/>
    <w:rsid w:val="00EE248A"/>
    <w:rsid w:val="00EE269C"/>
    <w:rsid w:val="00EE3979"/>
    <w:rsid w:val="00EE3AC1"/>
    <w:rsid w:val="00EE42EB"/>
    <w:rsid w:val="00EE4DD6"/>
    <w:rsid w:val="00EE59C9"/>
    <w:rsid w:val="00EE7685"/>
    <w:rsid w:val="00EE7B4B"/>
    <w:rsid w:val="00EF06D8"/>
    <w:rsid w:val="00EF1814"/>
    <w:rsid w:val="00EF2183"/>
    <w:rsid w:val="00EF2501"/>
    <w:rsid w:val="00EF278F"/>
    <w:rsid w:val="00EF372D"/>
    <w:rsid w:val="00EF4223"/>
    <w:rsid w:val="00EF73ED"/>
    <w:rsid w:val="00EF79D6"/>
    <w:rsid w:val="00F00263"/>
    <w:rsid w:val="00F019F0"/>
    <w:rsid w:val="00F0416C"/>
    <w:rsid w:val="00F046EF"/>
    <w:rsid w:val="00F04E9F"/>
    <w:rsid w:val="00F064C8"/>
    <w:rsid w:val="00F06ECB"/>
    <w:rsid w:val="00F07540"/>
    <w:rsid w:val="00F078C9"/>
    <w:rsid w:val="00F07BED"/>
    <w:rsid w:val="00F119BA"/>
    <w:rsid w:val="00F1284C"/>
    <w:rsid w:val="00F12D07"/>
    <w:rsid w:val="00F14032"/>
    <w:rsid w:val="00F161C5"/>
    <w:rsid w:val="00F16455"/>
    <w:rsid w:val="00F16CA0"/>
    <w:rsid w:val="00F201DC"/>
    <w:rsid w:val="00F20C91"/>
    <w:rsid w:val="00F22FC7"/>
    <w:rsid w:val="00F23D3E"/>
    <w:rsid w:val="00F24505"/>
    <w:rsid w:val="00F247AB"/>
    <w:rsid w:val="00F2577D"/>
    <w:rsid w:val="00F26054"/>
    <w:rsid w:val="00F2674A"/>
    <w:rsid w:val="00F26B80"/>
    <w:rsid w:val="00F2795E"/>
    <w:rsid w:val="00F30097"/>
    <w:rsid w:val="00F328DF"/>
    <w:rsid w:val="00F32909"/>
    <w:rsid w:val="00F3506F"/>
    <w:rsid w:val="00F3584C"/>
    <w:rsid w:val="00F360FA"/>
    <w:rsid w:val="00F37AB2"/>
    <w:rsid w:val="00F44ABE"/>
    <w:rsid w:val="00F44ECE"/>
    <w:rsid w:val="00F45079"/>
    <w:rsid w:val="00F457B8"/>
    <w:rsid w:val="00F46924"/>
    <w:rsid w:val="00F4703C"/>
    <w:rsid w:val="00F47760"/>
    <w:rsid w:val="00F4797A"/>
    <w:rsid w:val="00F47E0B"/>
    <w:rsid w:val="00F506A0"/>
    <w:rsid w:val="00F515E9"/>
    <w:rsid w:val="00F51BAE"/>
    <w:rsid w:val="00F52AF7"/>
    <w:rsid w:val="00F52B8F"/>
    <w:rsid w:val="00F52BC7"/>
    <w:rsid w:val="00F53353"/>
    <w:rsid w:val="00F53C2E"/>
    <w:rsid w:val="00F54D1A"/>
    <w:rsid w:val="00F54D50"/>
    <w:rsid w:val="00F55BC8"/>
    <w:rsid w:val="00F56180"/>
    <w:rsid w:val="00F57570"/>
    <w:rsid w:val="00F57783"/>
    <w:rsid w:val="00F578D2"/>
    <w:rsid w:val="00F60303"/>
    <w:rsid w:val="00F61ECF"/>
    <w:rsid w:val="00F62027"/>
    <w:rsid w:val="00F63F4E"/>
    <w:rsid w:val="00F65EC8"/>
    <w:rsid w:val="00F669A4"/>
    <w:rsid w:val="00F66E1B"/>
    <w:rsid w:val="00F7043F"/>
    <w:rsid w:val="00F70CFB"/>
    <w:rsid w:val="00F70E86"/>
    <w:rsid w:val="00F70F15"/>
    <w:rsid w:val="00F71D8F"/>
    <w:rsid w:val="00F73192"/>
    <w:rsid w:val="00F7401D"/>
    <w:rsid w:val="00F7760A"/>
    <w:rsid w:val="00F77861"/>
    <w:rsid w:val="00F80659"/>
    <w:rsid w:val="00F8165A"/>
    <w:rsid w:val="00F8285C"/>
    <w:rsid w:val="00F82AE3"/>
    <w:rsid w:val="00F83E11"/>
    <w:rsid w:val="00F83EAB"/>
    <w:rsid w:val="00F86357"/>
    <w:rsid w:val="00F86C18"/>
    <w:rsid w:val="00F86D3B"/>
    <w:rsid w:val="00F870FB"/>
    <w:rsid w:val="00F9114E"/>
    <w:rsid w:val="00F94581"/>
    <w:rsid w:val="00F9551D"/>
    <w:rsid w:val="00F9583D"/>
    <w:rsid w:val="00F965A3"/>
    <w:rsid w:val="00F9660B"/>
    <w:rsid w:val="00F97D04"/>
    <w:rsid w:val="00FA018B"/>
    <w:rsid w:val="00FA033D"/>
    <w:rsid w:val="00FA0479"/>
    <w:rsid w:val="00FA12E4"/>
    <w:rsid w:val="00FA14F4"/>
    <w:rsid w:val="00FA2B5B"/>
    <w:rsid w:val="00FA2D8D"/>
    <w:rsid w:val="00FA475E"/>
    <w:rsid w:val="00FA4B5E"/>
    <w:rsid w:val="00FA5D50"/>
    <w:rsid w:val="00FA6524"/>
    <w:rsid w:val="00FA7424"/>
    <w:rsid w:val="00FB050E"/>
    <w:rsid w:val="00FB121E"/>
    <w:rsid w:val="00FB1948"/>
    <w:rsid w:val="00FB3CEA"/>
    <w:rsid w:val="00FB4F2D"/>
    <w:rsid w:val="00FB5D41"/>
    <w:rsid w:val="00FB61B6"/>
    <w:rsid w:val="00FB7BFD"/>
    <w:rsid w:val="00FB7C26"/>
    <w:rsid w:val="00FB7DE0"/>
    <w:rsid w:val="00FC03A9"/>
    <w:rsid w:val="00FC26A4"/>
    <w:rsid w:val="00FC3827"/>
    <w:rsid w:val="00FC3A67"/>
    <w:rsid w:val="00FC3B36"/>
    <w:rsid w:val="00FC52D9"/>
    <w:rsid w:val="00FC555C"/>
    <w:rsid w:val="00FC5CAD"/>
    <w:rsid w:val="00FC6A20"/>
    <w:rsid w:val="00FC7918"/>
    <w:rsid w:val="00FC7C3C"/>
    <w:rsid w:val="00FD0897"/>
    <w:rsid w:val="00FD0BB6"/>
    <w:rsid w:val="00FD0EEE"/>
    <w:rsid w:val="00FD1E5A"/>
    <w:rsid w:val="00FD2EE4"/>
    <w:rsid w:val="00FD3147"/>
    <w:rsid w:val="00FD3E35"/>
    <w:rsid w:val="00FD5AC4"/>
    <w:rsid w:val="00FD652A"/>
    <w:rsid w:val="00FD672C"/>
    <w:rsid w:val="00FE0857"/>
    <w:rsid w:val="00FE0A9C"/>
    <w:rsid w:val="00FE0C3A"/>
    <w:rsid w:val="00FE1862"/>
    <w:rsid w:val="00FE2814"/>
    <w:rsid w:val="00FE28B8"/>
    <w:rsid w:val="00FE37E3"/>
    <w:rsid w:val="00FE3AE6"/>
    <w:rsid w:val="00FE6BD4"/>
    <w:rsid w:val="00FE74DB"/>
    <w:rsid w:val="00FE74F3"/>
    <w:rsid w:val="00FE774E"/>
    <w:rsid w:val="00FE7CA6"/>
    <w:rsid w:val="00FF03C5"/>
    <w:rsid w:val="00FF2C92"/>
    <w:rsid w:val="00FF32F3"/>
    <w:rsid w:val="00FF452A"/>
    <w:rsid w:val="00FF60BD"/>
    <w:rsid w:val="00FF614C"/>
    <w:rsid w:val="00FF61DE"/>
    <w:rsid w:val="00FF6871"/>
    <w:rsid w:val="00FF781F"/>
    <w:rsid w:val="00FF7C75"/>
    <w:rsid w:val="00FF7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ersonName"/>
  <w:smartTagType w:namespaceuri="urn:schemas-microsoft-com:office:smarttags" w:name="date"/>
  <w:smartTagType w:namespaceuri="urn:schemas-microsoft-com:office:smarttags" w:name="addres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1983"/>
    <w:rPr>
      <w:color w:val="0000FF"/>
      <w:u w:val="single"/>
    </w:rPr>
  </w:style>
  <w:style w:type="character" w:styleId="FollowedHyperlink">
    <w:name w:val="FollowedHyperlink"/>
    <w:rsid w:val="00857BD0"/>
    <w:rPr>
      <w:color w:val="800080"/>
      <w:u w:val="single"/>
    </w:rPr>
  </w:style>
  <w:style w:type="table" w:styleId="TableGrid">
    <w:name w:val="Table Grid"/>
    <w:basedOn w:val="TableNormal"/>
    <w:rsid w:val="00E020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5A33F2"/>
    <w:pPr>
      <w:tabs>
        <w:tab w:val="center" w:pos="4153"/>
        <w:tab w:val="right" w:pos="8306"/>
      </w:tabs>
    </w:pPr>
  </w:style>
  <w:style w:type="character" w:styleId="PageNumber">
    <w:name w:val="page number"/>
    <w:basedOn w:val="DefaultParagraphFont"/>
    <w:rsid w:val="005A33F2"/>
  </w:style>
  <w:style w:type="paragraph" w:styleId="Header">
    <w:name w:val="header"/>
    <w:basedOn w:val="Normal"/>
    <w:rsid w:val="006348B4"/>
    <w:pPr>
      <w:tabs>
        <w:tab w:val="center" w:pos="4153"/>
        <w:tab w:val="right" w:pos="8306"/>
      </w:tabs>
    </w:pPr>
  </w:style>
  <w:style w:type="paragraph" w:styleId="ListParagraph">
    <w:name w:val="List Paragraph"/>
    <w:basedOn w:val="Normal"/>
    <w:uiPriority w:val="34"/>
    <w:qFormat/>
    <w:rsid w:val="00E85379"/>
    <w:pPr>
      <w:ind w:left="720"/>
      <w:contextualSpacing/>
    </w:pPr>
  </w:style>
  <w:style w:type="paragraph" w:styleId="BalloonText">
    <w:name w:val="Balloon Text"/>
    <w:basedOn w:val="Normal"/>
    <w:link w:val="BalloonTextChar"/>
    <w:uiPriority w:val="99"/>
    <w:semiHidden/>
    <w:unhideWhenUsed/>
    <w:rsid w:val="00DC42B4"/>
    <w:rPr>
      <w:rFonts w:ascii="Tahoma" w:hAnsi="Tahoma" w:cs="Tahoma"/>
      <w:sz w:val="16"/>
      <w:szCs w:val="16"/>
    </w:rPr>
  </w:style>
  <w:style w:type="character" w:customStyle="1" w:styleId="BalloonTextChar">
    <w:name w:val="Balloon Text Char"/>
    <w:basedOn w:val="DefaultParagraphFont"/>
    <w:link w:val="BalloonText"/>
    <w:uiPriority w:val="99"/>
    <w:semiHidden/>
    <w:rsid w:val="00DC42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1983"/>
    <w:rPr>
      <w:color w:val="0000FF"/>
      <w:u w:val="single"/>
    </w:rPr>
  </w:style>
  <w:style w:type="character" w:styleId="FollowedHyperlink">
    <w:name w:val="FollowedHyperlink"/>
    <w:rsid w:val="00857BD0"/>
    <w:rPr>
      <w:color w:val="800080"/>
      <w:u w:val="single"/>
    </w:rPr>
  </w:style>
  <w:style w:type="table" w:styleId="TableGrid">
    <w:name w:val="Table Grid"/>
    <w:basedOn w:val="TableNormal"/>
    <w:rsid w:val="00E020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5A33F2"/>
    <w:pPr>
      <w:tabs>
        <w:tab w:val="center" w:pos="4153"/>
        <w:tab w:val="right" w:pos="8306"/>
      </w:tabs>
    </w:pPr>
  </w:style>
  <w:style w:type="character" w:styleId="PageNumber">
    <w:name w:val="page number"/>
    <w:basedOn w:val="DefaultParagraphFont"/>
    <w:rsid w:val="005A33F2"/>
  </w:style>
  <w:style w:type="paragraph" w:styleId="Header">
    <w:name w:val="header"/>
    <w:basedOn w:val="Normal"/>
    <w:rsid w:val="006348B4"/>
    <w:pPr>
      <w:tabs>
        <w:tab w:val="center" w:pos="4153"/>
        <w:tab w:val="right" w:pos="8306"/>
      </w:tabs>
    </w:pPr>
  </w:style>
  <w:style w:type="paragraph" w:styleId="ListParagraph">
    <w:name w:val="List Paragraph"/>
    <w:basedOn w:val="Normal"/>
    <w:uiPriority w:val="34"/>
    <w:qFormat/>
    <w:rsid w:val="00E85379"/>
    <w:pPr>
      <w:ind w:left="720"/>
      <w:contextualSpacing/>
    </w:pPr>
  </w:style>
  <w:style w:type="paragraph" w:styleId="BalloonText">
    <w:name w:val="Balloon Text"/>
    <w:basedOn w:val="Normal"/>
    <w:link w:val="BalloonTextChar"/>
    <w:uiPriority w:val="99"/>
    <w:semiHidden/>
    <w:unhideWhenUsed/>
    <w:rsid w:val="00DC42B4"/>
    <w:rPr>
      <w:rFonts w:ascii="Tahoma" w:hAnsi="Tahoma" w:cs="Tahoma"/>
      <w:sz w:val="16"/>
      <w:szCs w:val="16"/>
    </w:rPr>
  </w:style>
  <w:style w:type="character" w:customStyle="1" w:styleId="BalloonTextChar">
    <w:name w:val="Balloon Text Char"/>
    <w:basedOn w:val="DefaultParagraphFont"/>
    <w:link w:val="BalloonText"/>
    <w:uiPriority w:val="99"/>
    <w:semiHidden/>
    <w:rsid w:val="00DC42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1160">
      <w:bodyDiv w:val="1"/>
      <w:marLeft w:val="0"/>
      <w:marRight w:val="0"/>
      <w:marTop w:val="0"/>
      <w:marBottom w:val="0"/>
      <w:divBdr>
        <w:top w:val="none" w:sz="0" w:space="0" w:color="auto"/>
        <w:left w:val="none" w:sz="0" w:space="0" w:color="auto"/>
        <w:bottom w:val="none" w:sz="0" w:space="0" w:color="auto"/>
        <w:right w:val="none" w:sz="0" w:space="0" w:color="auto"/>
      </w:divBdr>
    </w:div>
    <w:div w:id="932978929">
      <w:bodyDiv w:val="1"/>
      <w:marLeft w:val="0"/>
      <w:marRight w:val="0"/>
      <w:marTop w:val="0"/>
      <w:marBottom w:val="0"/>
      <w:divBdr>
        <w:top w:val="none" w:sz="0" w:space="0" w:color="auto"/>
        <w:left w:val="none" w:sz="0" w:space="0" w:color="auto"/>
        <w:bottom w:val="none" w:sz="0" w:space="0" w:color="auto"/>
        <w:right w:val="none" w:sz="0" w:space="0" w:color="auto"/>
      </w:divBdr>
    </w:div>
    <w:div w:id="124560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drew.redding@bradford.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ndrew.redding@bradford.gov.uk" TargetMode="External"/><Relationship Id="rId4" Type="http://schemas.microsoft.com/office/2007/relationships/stylesWithEffects" Target="stylesWithEffects.xml"/><Relationship Id="rId9" Type="http://schemas.openxmlformats.org/officeDocument/2006/relationships/hyperlink" Target="http://councilminutes.bradford.gov.uk/wps/portal/!ut/p/c5/hY_NUoMwAISfpQ_QSUhogCMQ5KepglRouXQo1sgQkqogP09fHC9e1N3jzs5-CwqwWJafNS-7WslSgAMoyIn5dpRB7BFsxhYMjf2WYZsg6KMlP5IT_EU2_KcdgYILdV52clo1I1U2px59_JgdKIIzih5Cv_YiVyXeLhDrVhpT7DSwSvCRK9rKvSLa-zDDKtWf07s3S-Ntnw5Dx7avHWIz6a-Tifxyo08CjS7K-nXobBw5KyuJ6zHv-LBagfzr8w_KaKcbCyVzafyUaaaLv_M_Pt4Hqr2Aa3uYL82LfQNTWp8a/dl3/d3/L0lDU0lKSkpDZ3BSQ1NBISEvb0VvZ0FFSVFoakZFSUFBak9NNFJrb0lBSVFBIS80QzFiOVdfTnIwUkprQWxJSWlSLS83X0xHQUpWMDNFNjM4UDkwSTdUS0wzQTYyMDgxL2libS5pbnYvMjcyODE5MDgzOTQ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5356B-EA8B-46C9-BC7E-C149FF009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Pages>26</Pages>
  <Words>13083</Words>
  <Characters>68461</Characters>
  <Application>Microsoft Office Word</Application>
  <DocSecurity>0</DocSecurity>
  <Lines>570</Lines>
  <Paragraphs>162</Paragraphs>
  <ScaleCrop>false</ScaleCrop>
  <HeadingPairs>
    <vt:vector size="2" baseType="variant">
      <vt:variant>
        <vt:lpstr>Title</vt:lpstr>
      </vt:variant>
      <vt:variant>
        <vt:i4>1</vt:i4>
      </vt:variant>
    </vt:vector>
  </HeadingPairs>
  <TitlesOfParts>
    <vt:vector size="1" baseType="lpstr">
      <vt:lpstr>High Needs</vt:lpstr>
    </vt:vector>
  </TitlesOfParts>
  <Company>Serco-EB</Company>
  <LinksUpToDate>false</LinksUpToDate>
  <CharactersWithSpaces>81382</CharactersWithSpaces>
  <SharedDoc>false</SharedDoc>
  <HLinks>
    <vt:vector size="18" baseType="variant">
      <vt:variant>
        <vt:i4>2752528</vt:i4>
      </vt:variant>
      <vt:variant>
        <vt:i4>6</vt:i4>
      </vt:variant>
      <vt:variant>
        <vt:i4>0</vt:i4>
      </vt:variant>
      <vt:variant>
        <vt:i4>5</vt:i4>
      </vt:variant>
      <vt:variant>
        <vt:lpwstr>mailto:andrew.redding@bradford.gov.uk?subject=CONSULTATION%20RESPONSE%20FORM</vt:lpwstr>
      </vt:variant>
      <vt:variant>
        <vt:lpwstr/>
      </vt:variant>
      <vt:variant>
        <vt:i4>5636219</vt:i4>
      </vt:variant>
      <vt:variant>
        <vt:i4>3</vt:i4>
      </vt:variant>
      <vt:variant>
        <vt:i4>0</vt:i4>
      </vt:variant>
      <vt:variant>
        <vt:i4>5</vt:i4>
      </vt:variant>
      <vt:variant>
        <vt:lpwstr>mailto:sarah.north@bradford.gov.uk?subject=CONSULTATION%20RESPONSE%20FORM</vt:lpwstr>
      </vt:variant>
      <vt:variant>
        <vt:lpwstr/>
      </vt:variant>
      <vt:variant>
        <vt:i4>7995457</vt:i4>
      </vt:variant>
      <vt:variant>
        <vt:i4>0</vt:i4>
      </vt:variant>
      <vt:variant>
        <vt:i4>0</vt:i4>
      </vt:variant>
      <vt:variant>
        <vt:i4>5</vt:i4>
      </vt:variant>
      <vt:variant>
        <vt:lpwstr>mailto:andrew.redding@bradford.gov.uk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Needs</dc:title>
  <dc:subject/>
  <dc:creator>andrew.redding</dc:creator>
  <cp:keywords/>
  <dc:description/>
  <cp:lastModifiedBy>Andrew Redding</cp:lastModifiedBy>
  <cp:revision>520</cp:revision>
  <cp:lastPrinted>2014-10-06T11:44:00Z</cp:lastPrinted>
  <dcterms:created xsi:type="dcterms:W3CDTF">2014-09-23T10:26:00Z</dcterms:created>
  <dcterms:modified xsi:type="dcterms:W3CDTF">2014-10-17T13:39:00Z</dcterms:modified>
</cp:coreProperties>
</file>