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0DB" w:rsidRDefault="008040DB">
      <w:pPr>
        <w:rPr>
          <w:b/>
          <w:sz w:val="28"/>
          <w:szCs w:val="28"/>
        </w:rPr>
      </w:pPr>
    </w:p>
    <w:p w:rsidR="008040DB" w:rsidRDefault="008040DB">
      <w:pPr>
        <w:rPr>
          <w:b/>
          <w:sz w:val="28"/>
          <w:szCs w:val="28"/>
        </w:rPr>
      </w:pPr>
    </w:p>
    <w:p w:rsidR="008040DB" w:rsidRDefault="008040DB">
      <w:pPr>
        <w:rPr>
          <w:b/>
          <w:sz w:val="28"/>
          <w:szCs w:val="28"/>
        </w:rPr>
      </w:pPr>
    </w:p>
    <w:p w:rsidR="008040DB" w:rsidRDefault="008040DB">
      <w:pPr>
        <w:rPr>
          <w:b/>
          <w:sz w:val="28"/>
          <w:szCs w:val="28"/>
        </w:rPr>
      </w:pPr>
    </w:p>
    <w:p w:rsidR="008040DB" w:rsidRDefault="008040DB">
      <w:pPr>
        <w:rPr>
          <w:b/>
          <w:sz w:val="28"/>
          <w:szCs w:val="28"/>
        </w:rPr>
      </w:pPr>
    </w:p>
    <w:p w:rsidR="008040DB" w:rsidRDefault="008040DB">
      <w:pPr>
        <w:ind w:left="1701"/>
        <w:rPr>
          <w:b/>
          <w:sz w:val="48"/>
          <w:szCs w:val="48"/>
        </w:rPr>
      </w:pPr>
    </w:p>
    <w:p w:rsidR="008040DB" w:rsidRDefault="008040DB">
      <w:pPr>
        <w:ind w:left="1701"/>
        <w:rPr>
          <w:b/>
          <w:sz w:val="48"/>
          <w:szCs w:val="48"/>
        </w:rPr>
      </w:pPr>
    </w:p>
    <w:p w:rsidR="008040DB" w:rsidRDefault="008040DB">
      <w:pPr>
        <w:ind w:left="1701"/>
        <w:rPr>
          <w:b/>
          <w:sz w:val="56"/>
          <w:szCs w:val="56"/>
        </w:rPr>
      </w:pPr>
      <w:r>
        <w:rPr>
          <w:b/>
          <w:sz w:val="56"/>
          <w:szCs w:val="56"/>
        </w:rPr>
        <w:t xml:space="preserve">NEW GOVERNOR </w:t>
      </w:r>
      <w:r>
        <w:rPr>
          <w:b/>
          <w:sz w:val="56"/>
          <w:szCs w:val="56"/>
        </w:rPr>
        <w:br/>
        <w:t>FINANCE INDUCTION</w:t>
      </w:r>
    </w:p>
    <w:p w:rsidR="008040DB" w:rsidRDefault="008040DB">
      <w:pPr>
        <w:ind w:left="1701"/>
      </w:pPr>
    </w:p>
    <w:p w:rsidR="008040DB" w:rsidRDefault="008040DB">
      <w:pPr>
        <w:ind w:left="1701"/>
        <w:rPr>
          <w:sz w:val="22"/>
          <w:szCs w:val="22"/>
        </w:rPr>
      </w:pPr>
    </w:p>
    <w:p w:rsidR="008040DB" w:rsidRDefault="008040DB">
      <w:pPr>
        <w:ind w:left="1701"/>
        <w:rPr>
          <w:sz w:val="22"/>
          <w:szCs w:val="22"/>
        </w:rPr>
      </w:pPr>
    </w:p>
    <w:p w:rsidR="008040DB" w:rsidRDefault="008040DB">
      <w:pPr>
        <w:ind w:left="1701"/>
        <w:rPr>
          <w:sz w:val="22"/>
          <w:szCs w:val="22"/>
        </w:rPr>
      </w:pPr>
    </w:p>
    <w:p w:rsidR="008040DB" w:rsidRDefault="008040DB">
      <w:pPr>
        <w:ind w:left="1701"/>
        <w:rPr>
          <w:sz w:val="22"/>
          <w:szCs w:val="22"/>
        </w:rPr>
      </w:pPr>
    </w:p>
    <w:p w:rsidR="008040DB" w:rsidRDefault="008040DB">
      <w:pPr>
        <w:ind w:left="1701"/>
        <w:rPr>
          <w:sz w:val="22"/>
          <w:szCs w:val="22"/>
        </w:rPr>
      </w:pPr>
    </w:p>
    <w:p w:rsidR="008040DB" w:rsidRDefault="008040DB">
      <w:pPr>
        <w:ind w:left="1701"/>
        <w:rPr>
          <w:sz w:val="36"/>
          <w:szCs w:val="36"/>
        </w:rPr>
      </w:pPr>
      <w:smartTag w:uri="urn:schemas-microsoft-com:office:smarttags" w:element="PersonName">
        <w:r>
          <w:rPr>
            <w:sz w:val="36"/>
            <w:szCs w:val="36"/>
          </w:rPr>
          <w:t>School Funding Team</w:t>
        </w:r>
      </w:smartTag>
    </w:p>
    <w:p w:rsidR="008040DB" w:rsidRDefault="008040DB">
      <w:pPr>
        <w:ind w:left="1701"/>
        <w:rPr>
          <w:sz w:val="36"/>
          <w:szCs w:val="36"/>
        </w:rPr>
      </w:pPr>
      <w:r>
        <w:rPr>
          <w:sz w:val="36"/>
          <w:szCs w:val="36"/>
        </w:rPr>
        <w:t>Training Handbook</w:t>
      </w:r>
    </w:p>
    <w:p w:rsidR="008040DB" w:rsidRDefault="008040DB">
      <w:pPr>
        <w:ind w:left="1701"/>
        <w:rPr>
          <w:sz w:val="36"/>
          <w:szCs w:val="36"/>
        </w:rPr>
      </w:pPr>
    </w:p>
    <w:p w:rsidR="008040DB" w:rsidRDefault="008040DB">
      <w:pPr>
        <w:ind w:left="1701"/>
        <w:rPr>
          <w:sz w:val="36"/>
          <w:szCs w:val="36"/>
        </w:rPr>
      </w:pPr>
    </w:p>
    <w:p w:rsidR="008040DB" w:rsidRDefault="008040DB">
      <w:pPr>
        <w:ind w:left="1701"/>
        <w:rPr>
          <w:sz w:val="36"/>
          <w:szCs w:val="36"/>
        </w:rPr>
      </w:pPr>
    </w:p>
    <w:p w:rsidR="008040DB" w:rsidRDefault="008040DB">
      <w:pPr>
        <w:ind w:left="1701"/>
        <w:rPr>
          <w:sz w:val="36"/>
          <w:szCs w:val="36"/>
        </w:rPr>
      </w:pPr>
    </w:p>
    <w:p w:rsidR="004B0B00" w:rsidRDefault="004B0B00">
      <w:pPr>
        <w:ind w:left="1701"/>
        <w:rPr>
          <w:sz w:val="36"/>
          <w:szCs w:val="36"/>
        </w:rPr>
      </w:pPr>
    </w:p>
    <w:p w:rsidR="004B0B00" w:rsidRDefault="004B0B00">
      <w:pPr>
        <w:ind w:left="1701"/>
        <w:rPr>
          <w:sz w:val="36"/>
          <w:szCs w:val="36"/>
        </w:rPr>
      </w:pPr>
    </w:p>
    <w:p w:rsidR="004B0B00" w:rsidRDefault="004B0B00">
      <w:pPr>
        <w:ind w:left="1701"/>
        <w:rPr>
          <w:sz w:val="36"/>
          <w:szCs w:val="36"/>
        </w:rPr>
      </w:pPr>
    </w:p>
    <w:p w:rsidR="008040DB" w:rsidRDefault="008040DB">
      <w:pPr>
        <w:ind w:left="1701"/>
        <w:rPr>
          <w:sz w:val="36"/>
          <w:szCs w:val="36"/>
        </w:rPr>
      </w:pPr>
    </w:p>
    <w:p w:rsidR="008040DB" w:rsidRDefault="008040DB">
      <w:pPr>
        <w:ind w:left="1701"/>
        <w:rPr>
          <w:sz w:val="36"/>
          <w:szCs w:val="36"/>
        </w:rPr>
      </w:pPr>
    </w:p>
    <w:p w:rsidR="008040DB" w:rsidRDefault="008040DB">
      <w:pPr>
        <w:ind w:left="1701"/>
        <w:rPr>
          <w:sz w:val="36"/>
          <w:szCs w:val="36"/>
        </w:rPr>
      </w:pPr>
    </w:p>
    <w:p w:rsidR="008040DB" w:rsidRDefault="008040DB">
      <w:pPr>
        <w:ind w:left="1701"/>
      </w:pPr>
      <w:smartTag w:uri="urn:schemas-microsoft-com:office:smarttags" w:element="PersonName">
        <w:r>
          <w:t>School Funding Team</w:t>
        </w:r>
      </w:smartTag>
    </w:p>
    <w:p w:rsidR="008040DB" w:rsidRDefault="008040DB">
      <w:pPr>
        <w:ind w:left="1701"/>
      </w:pPr>
      <w:r>
        <w:t>City of Bradford Metropolitan District Council</w:t>
      </w:r>
      <w:r>
        <w:br/>
      </w:r>
      <w:r w:rsidR="004B0B00">
        <w:t>Department of Finance</w:t>
      </w:r>
      <w:r w:rsidR="004B0B00">
        <w:br/>
        <w:t>5</w:t>
      </w:r>
      <w:r w:rsidR="004B0B00" w:rsidRPr="004B0B00">
        <w:rPr>
          <w:vertAlign w:val="superscript"/>
        </w:rPr>
        <w:t>th</w:t>
      </w:r>
      <w:r w:rsidR="004B0B00">
        <w:t xml:space="preserve"> Floor North</w:t>
      </w:r>
      <w:r w:rsidR="004B0B00">
        <w:br/>
        <w:t>Britannia House</w:t>
      </w:r>
      <w:r w:rsidR="004B0B00">
        <w:br/>
        <w:t xml:space="preserve">Hall </w:t>
      </w:r>
      <w:proofErr w:type="spellStart"/>
      <w:r w:rsidR="004B0B00">
        <w:t>Ings</w:t>
      </w:r>
      <w:proofErr w:type="spellEnd"/>
      <w:r>
        <w:br/>
        <w:t>Bradford BD</w:t>
      </w:r>
      <w:r w:rsidR="004B0B00">
        <w:t>1 1HX</w:t>
      </w:r>
    </w:p>
    <w:p w:rsidR="004B0B00" w:rsidRDefault="004B0B00">
      <w:pPr>
        <w:ind w:left="1701"/>
      </w:pPr>
    </w:p>
    <w:p w:rsidR="008040DB" w:rsidRDefault="008040DB">
      <w:pPr>
        <w:ind w:left="1701"/>
      </w:pPr>
      <w:r>
        <w:t>May 201</w:t>
      </w:r>
      <w:r w:rsidR="004B0B00">
        <w:t>5</w:t>
      </w:r>
    </w:p>
    <w:p w:rsidR="008040DB" w:rsidRDefault="008040DB">
      <w:pPr>
        <w:ind w:left="1701"/>
      </w:pPr>
    </w:p>
    <w:p w:rsidR="008040DB" w:rsidRDefault="008040DB">
      <w:pPr>
        <w:ind w:left="1701"/>
      </w:pPr>
    </w:p>
    <w:p w:rsidR="008040DB" w:rsidRDefault="008040DB">
      <w:pPr>
        <w:ind w:left="1701"/>
      </w:pPr>
    </w:p>
    <w:p w:rsidR="008040DB" w:rsidRDefault="008040DB">
      <w:pPr>
        <w:ind w:left="1701"/>
      </w:pPr>
    </w:p>
    <w:p w:rsidR="008040DB" w:rsidRDefault="008040DB">
      <w:pPr>
        <w:ind w:left="1701"/>
      </w:pPr>
    </w:p>
    <w:p w:rsidR="008040DB" w:rsidRDefault="008040DB">
      <w:pPr>
        <w:rPr>
          <w:sz w:val="22"/>
          <w:szCs w:val="22"/>
        </w:rPr>
      </w:pPr>
    </w:p>
    <w:p w:rsidR="008040DB" w:rsidRDefault="008040DB">
      <w:pPr>
        <w:jc w:val="center"/>
        <w:rPr>
          <w:sz w:val="22"/>
          <w:szCs w:val="22"/>
        </w:rPr>
      </w:pPr>
    </w:p>
    <w:p w:rsidR="008040DB" w:rsidRDefault="008040DB"/>
    <w:p w:rsidR="008040DB" w:rsidRDefault="008040DB">
      <w:pPr>
        <w:jc w:val="center"/>
        <w:rPr>
          <w:b/>
        </w:rPr>
      </w:pPr>
      <w:r>
        <w:rPr>
          <w:sz w:val="22"/>
          <w:szCs w:val="22"/>
        </w:rPr>
        <w:br w:type="page"/>
      </w:r>
      <w:bookmarkStart w:id="0" w:name="_GoBack"/>
      <w:bookmarkEnd w:id="0"/>
    </w:p>
    <w:p w:rsidR="008040DB" w:rsidRDefault="008040DB">
      <w:pPr>
        <w:rPr>
          <w:b/>
          <w:sz w:val="48"/>
          <w:szCs w:val="48"/>
        </w:rPr>
      </w:pPr>
      <w:r>
        <w:rPr>
          <w:b/>
          <w:sz w:val="48"/>
          <w:szCs w:val="48"/>
        </w:rPr>
        <w:lastRenderedPageBreak/>
        <w:t>Contents</w:t>
      </w:r>
    </w:p>
    <w:p w:rsidR="008040DB" w:rsidRDefault="008040DB">
      <w:pPr>
        <w:rPr>
          <w:b/>
        </w:rPr>
      </w:pPr>
    </w:p>
    <w:p w:rsidR="008040DB" w:rsidRDefault="008040DB">
      <w:pPr>
        <w:rPr>
          <w:b/>
        </w:rPr>
      </w:pPr>
    </w:p>
    <w:p w:rsidR="008040DB" w:rsidRDefault="008040DB">
      <w:pPr>
        <w:jc w:val="center"/>
        <w:rPr>
          <w:b/>
          <w:sz w:val="22"/>
          <w:szCs w:val="22"/>
        </w:rPr>
      </w:pPr>
    </w:p>
    <w:p w:rsidR="008040DB" w:rsidRDefault="008040DB">
      <w:pPr>
        <w:rPr>
          <w:sz w:val="22"/>
          <w:szCs w:val="22"/>
        </w:rPr>
      </w:pPr>
      <w:r>
        <w:rPr>
          <w:sz w:val="22"/>
          <w:szCs w:val="22"/>
        </w:rPr>
        <w:t>1.</w:t>
      </w:r>
      <w:r>
        <w:rPr>
          <w:sz w:val="22"/>
          <w:szCs w:val="22"/>
        </w:rPr>
        <w:tab/>
        <w:t>Course Objectives and topics covered</w:t>
      </w:r>
    </w:p>
    <w:p w:rsidR="008040DB" w:rsidRDefault="008040DB">
      <w:pPr>
        <w:rPr>
          <w:sz w:val="22"/>
          <w:szCs w:val="22"/>
        </w:rPr>
      </w:pPr>
    </w:p>
    <w:p w:rsidR="008040DB" w:rsidRDefault="008040DB">
      <w:pPr>
        <w:rPr>
          <w:sz w:val="22"/>
          <w:szCs w:val="22"/>
        </w:rPr>
      </w:pPr>
    </w:p>
    <w:p w:rsidR="008040DB" w:rsidRDefault="008040DB">
      <w:pPr>
        <w:rPr>
          <w:sz w:val="22"/>
          <w:szCs w:val="22"/>
        </w:rPr>
      </w:pPr>
      <w:r>
        <w:rPr>
          <w:sz w:val="22"/>
          <w:szCs w:val="22"/>
        </w:rPr>
        <w:t>2.</w:t>
      </w:r>
      <w:r>
        <w:rPr>
          <w:sz w:val="22"/>
          <w:szCs w:val="22"/>
        </w:rPr>
        <w:tab/>
        <w:t>The Financial Year Cycle</w:t>
      </w:r>
    </w:p>
    <w:p w:rsidR="008040DB" w:rsidRDefault="008040DB">
      <w:pPr>
        <w:rPr>
          <w:sz w:val="22"/>
          <w:szCs w:val="22"/>
        </w:rPr>
      </w:pPr>
    </w:p>
    <w:p w:rsidR="008040DB" w:rsidRDefault="008040DB">
      <w:pPr>
        <w:rPr>
          <w:sz w:val="22"/>
          <w:szCs w:val="22"/>
        </w:rPr>
      </w:pPr>
    </w:p>
    <w:p w:rsidR="008040DB" w:rsidRDefault="008040DB">
      <w:pPr>
        <w:rPr>
          <w:sz w:val="22"/>
          <w:szCs w:val="22"/>
        </w:rPr>
      </w:pPr>
      <w:r>
        <w:rPr>
          <w:sz w:val="22"/>
          <w:szCs w:val="22"/>
        </w:rPr>
        <w:t xml:space="preserve">3. </w:t>
      </w:r>
      <w:r>
        <w:rPr>
          <w:sz w:val="22"/>
          <w:szCs w:val="22"/>
        </w:rPr>
        <w:tab/>
        <w:t xml:space="preserve">The </w:t>
      </w:r>
      <w:smartTag w:uri="urn:schemas-microsoft-com:office:smarttags" w:element="PersonName">
        <w:r>
          <w:rPr>
            <w:sz w:val="22"/>
            <w:szCs w:val="22"/>
          </w:rPr>
          <w:t>School Funding Team</w:t>
        </w:r>
      </w:smartTag>
      <w:r>
        <w:rPr>
          <w:sz w:val="22"/>
          <w:szCs w:val="22"/>
        </w:rPr>
        <w:t xml:space="preserve"> and Schools Forum</w:t>
      </w:r>
    </w:p>
    <w:p w:rsidR="008040DB" w:rsidRDefault="008040DB">
      <w:pPr>
        <w:rPr>
          <w:sz w:val="22"/>
          <w:szCs w:val="22"/>
        </w:rPr>
      </w:pPr>
    </w:p>
    <w:p w:rsidR="008040DB" w:rsidRDefault="008040DB">
      <w:pPr>
        <w:rPr>
          <w:sz w:val="22"/>
          <w:szCs w:val="22"/>
        </w:rPr>
      </w:pPr>
    </w:p>
    <w:p w:rsidR="008040DB" w:rsidRDefault="008040DB">
      <w:pPr>
        <w:rPr>
          <w:sz w:val="22"/>
          <w:szCs w:val="22"/>
        </w:rPr>
      </w:pPr>
      <w:r>
        <w:rPr>
          <w:sz w:val="22"/>
          <w:szCs w:val="22"/>
        </w:rPr>
        <w:t xml:space="preserve">4. </w:t>
      </w:r>
      <w:r>
        <w:rPr>
          <w:sz w:val="22"/>
          <w:szCs w:val="22"/>
        </w:rPr>
        <w:tab/>
        <w:t>Roles in Schools</w:t>
      </w:r>
    </w:p>
    <w:p w:rsidR="008040DB" w:rsidRDefault="008040DB">
      <w:pPr>
        <w:rPr>
          <w:sz w:val="22"/>
          <w:szCs w:val="22"/>
        </w:rPr>
      </w:pPr>
    </w:p>
    <w:p w:rsidR="008040DB" w:rsidRDefault="008040DB">
      <w:pPr>
        <w:rPr>
          <w:sz w:val="22"/>
          <w:szCs w:val="22"/>
        </w:rPr>
      </w:pPr>
    </w:p>
    <w:p w:rsidR="008040DB" w:rsidRDefault="008040DB">
      <w:pPr>
        <w:rPr>
          <w:sz w:val="22"/>
          <w:szCs w:val="22"/>
        </w:rPr>
      </w:pPr>
      <w:r>
        <w:rPr>
          <w:sz w:val="22"/>
          <w:szCs w:val="22"/>
        </w:rPr>
        <w:t>5.</w:t>
      </w:r>
      <w:r>
        <w:rPr>
          <w:sz w:val="22"/>
          <w:szCs w:val="22"/>
        </w:rPr>
        <w:tab/>
        <w:t>Funding for Schools</w:t>
      </w:r>
    </w:p>
    <w:p w:rsidR="008040DB" w:rsidRDefault="008040DB">
      <w:pPr>
        <w:rPr>
          <w:sz w:val="22"/>
          <w:szCs w:val="22"/>
        </w:rPr>
      </w:pPr>
    </w:p>
    <w:p w:rsidR="008040DB" w:rsidRDefault="008040DB">
      <w:pPr>
        <w:rPr>
          <w:sz w:val="22"/>
          <w:szCs w:val="22"/>
        </w:rPr>
      </w:pPr>
    </w:p>
    <w:p w:rsidR="008040DB" w:rsidRDefault="008040DB">
      <w:pPr>
        <w:rPr>
          <w:sz w:val="22"/>
          <w:szCs w:val="22"/>
        </w:rPr>
      </w:pPr>
      <w:r>
        <w:rPr>
          <w:sz w:val="22"/>
          <w:szCs w:val="22"/>
        </w:rPr>
        <w:t>6.</w:t>
      </w:r>
      <w:r>
        <w:rPr>
          <w:sz w:val="22"/>
          <w:szCs w:val="22"/>
        </w:rPr>
        <w:tab/>
        <w:t>Protocols</w:t>
      </w:r>
    </w:p>
    <w:p w:rsidR="008040DB" w:rsidRDefault="008040DB">
      <w:pPr>
        <w:rPr>
          <w:sz w:val="22"/>
          <w:szCs w:val="22"/>
        </w:rPr>
      </w:pPr>
    </w:p>
    <w:p w:rsidR="008040DB" w:rsidRDefault="008040DB">
      <w:pPr>
        <w:rPr>
          <w:sz w:val="22"/>
          <w:szCs w:val="22"/>
        </w:rPr>
      </w:pPr>
    </w:p>
    <w:p w:rsidR="008040DB" w:rsidRDefault="008040DB">
      <w:pPr>
        <w:rPr>
          <w:sz w:val="22"/>
          <w:szCs w:val="22"/>
        </w:rPr>
      </w:pPr>
      <w:r>
        <w:rPr>
          <w:sz w:val="22"/>
          <w:szCs w:val="22"/>
        </w:rPr>
        <w:t>7.</w:t>
      </w:r>
      <w:r>
        <w:rPr>
          <w:sz w:val="22"/>
          <w:szCs w:val="22"/>
        </w:rPr>
        <w:tab/>
        <w:t>Local Authority Returns</w:t>
      </w:r>
    </w:p>
    <w:p w:rsidR="008040DB" w:rsidRDefault="008040DB">
      <w:pPr>
        <w:rPr>
          <w:sz w:val="22"/>
          <w:szCs w:val="22"/>
        </w:rPr>
      </w:pPr>
    </w:p>
    <w:p w:rsidR="008040DB" w:rsidRDefault="008040DB">
      <w:pPr>
        <w:rPr>
          <w:sz w:val="22"/>
          <w:szCs w:val="22"/>
        </w:rPr>
      </w:pPr>
    </w:p>
    <w:p w:rsidR="008040DB" w:rsidRDefault="008040DB">
      <w:pPr>
        <w:rPr>
          <w:sz w:val="22"/>
          <w:szCs w:val="22"/>
        </w:rPr>
      </w:pPr>
      <w:r>
        <w:rPr>
          <w:sz w:val="22"/>
          <w:szCs w:val="22"/>
        </w:rPr>
        <w:t xml:space="preserve">8. </w:t>
      </w:r>
      <w:r>
        <w:rPr>
          <w:sz w:val="22"/>
          <w:szCs w:val="22"/>
        </w:rPr>
        <w:tab/>
        <w:t>Value for Money and Benchmarking</w:t>
      </w:r>
    </w:p>
    <w:p w:rsidR="008040DB" w:rsidRDefault="008040DB">
      <w:pPr>
        <w:rPr>
          <w:sz w:val="22"/>
          <w:szCs w:val="22"/>
        </w:rPr>
      </w:pPr>
    </w:p>
    <w:p w:rsidR="008040DB" w:rsidRDefault="008040DB">
      <w:pPr>
        <w:rPr>
          <w:sz w:val="22"/>
          <w:szCs w:val="22"/>
        </w:rPr>
      </w:pPr>
    </w:p>
    <w:p w:rsidR="008040DB" w:rsidRDefault="008040DB">
      <w:pPr>
        <w:rPr>
          <w:sz w:val="22"/>
          <w:szCs w:val="22"/>
        </w:rPr>
      </w:pPr>
      <w:r>
        <w:rPr>
          <w:sz w:val="22"/>
          <w:szCs w:val="22"/>
        </w:rPr>
        <w:t>9.</w:t>
      </w:r>
      <w:r>
        <w:rPr>
          <w:sz w:val="22"/>
          <w:szCs w:val="22"/>
        </w:rPr>
        <w:tab/>
        <w:t>Schools Financial Value Standard</w:t>
      </w:r>
    </w:p>
    <w:p w:rsidR="008040DB" w:rsidRDefault="008040DB">
      <w:pPr>
        <w:rPr>
          <w:sz w:val="22"/>
          <w:szCs w:val="22"/>
        </w:rPr>
      </w:pPr>
    </w:p>
    <w:p w:rsidR="008040DB" w:rsidRDefault="008040DB">
      <w:pPr>
        <w:rPr>
          <w:sz w:val="22"/>
          <w:szCs w:val="22"/>
        </w:rPr>
      </w:pPr>
    </w:p>
    <w:p w:rsidR="008040DB" w:rsidRDefault="008040DB">
      <w:pPr>
        <w:rPr>
          <w:sz w:val="22"/>
          <w:szCs w:val="22"/>
        </w:rPr>
      </w:pPr>
      <w:r>
        <w:rPr>
          <w:sz w:val="22"/>
          <w:szCs w:val="22"/>
        </w:rPr>
        <w:t>10.</w:t>
      </w:r>
      <w:r>
        <w:rPr>
          <w:sz w:val="22"/>
          <w:szCs w:val="22"/>
        </w:rPr>
        <w:tab/>
        <w:t>How to access guidance notes and other information</w:t>
      </w:r>
    </w:p>
    <w:p w:rsidR="008040DB" w:rsidRDefault="008040DB">
      <w:pPr>
        <w:rPr>
          <w:sz w:val="22"/>
          <w:szCs w:val="22"/>
        </w:rPr>
      </w:pPr>
    </w:p>
    <w:p w:rsidR="008040DB" w:rsidRDefault="008040DB">
      <w:pPr>
        <w:rPr>
          <w:sz w:val="22"/>
          <w:szCs w:val="22"/>
        </w:rPr>
      </w:pPr>
    </w:p>
    <w:p w:rsidR="008040DB" w:rsidRDefault="008040DB">
      <w:r>
        <w:br w:type="page"/>
      </w:r>
    </w:p>
    <w:p w:rsidR="008040DB" w:rsidRDefault="008040DB">
      <w:pPr>
        <w:rPr>
          <w:b/>
          <w:sz w:val="28"/>
          <w:szCs w:val="28"/>
        </w:rPr>
      </w:pPr>
      <w:r>
        <w:rPr>
          <w:sz w:val="22"/>
          <w:szCs w:val="22"/>
        </w:rPr>
        <w:lastRenderedPageBreak/>
        <w:br w:type="page"/>
      </w:r>
      <w:r>
        <w:rPr>
          <w:b/>
          <w:sz w:val="28"/>
          <w:szCs w:val="28"/>
        </w:rPr>
        <w:lastRenderedPageBreak/>
        <w:t>1.</w:t>
      </w:r>
      <w:r>
        <w:rPr>
          <w:b/>
          <w:sz w:val="28"/>
          <w:szCs w:val="28"/>
        </w:rPr>
        <w:tab/>
        <w:t>Course Objectives and topics covered</w:t>
      </w:r>
    </w:p>
    <w:p w:rsidR="008040DB" w:rsidRDefault="008040DB"/>
    <w:p w:rsidR="008040DB" w:rsidRDefault="008040DB">
      <w:pPr>
        <w:rPr>
          <w:sz w:val="22"/>
          <w:szCs w:val="22"/>
        </w:rPr>
      </w:pPr>
      <w:r>
        <w:rPr>
          <w:sz w:val="22"/>
          <w:szCs w:val="22"/>
        </w:rPr>
        <w:t>The purpose of finance induction training is to give new Governors:</w:t>
      </w:r>
    </w:p>
    <w:p w:rsidR="008040DB" w:rsidRDefault="008040DB">
      <w:pPr>
        <w:rPr>
          <w:sz w:val="22"/>
          <w:szCs w:val="22"/>
        </w:rPr>
      </w:pPr>
    </w:p>
    <w:p w:rsidR="008040DB" w:rsidRDefault="008040DB">
      <w:pPr>
        <w:numPr>
          <w:ilvl w:val="0"/>
          <w:numId w:val="1"/>
        </w:numPr>
        <w:rPr>
          <w:sz w:val="22"/>
          <w:szCs w:val="22"/>
        </w:rPr>
      </w:pPr>
      <w:r>
        <w:rPr>
          <w:sz w:val="22"/>
          <w:szCs w:val="22"/>
        </w:rPr>
        <w:t>an overview of the Financial Year Cycle within maintained schools;</w:t>
      </w:r>
    </w:p>
    <w:p w:rsidR="008040DB" w:rsidRDefault="008040DB">
      <w:pPr>
        <w:numPr>
          <w:ilvl w:val="0"/>
          <w:numId w:val="1"/>
        </w:numPr>
        <w:rPr>
          <w:sz w:val="22"/>
          <w:szCs w:val="22"/>
        </w:rPr>
      </w:pPr>
      <w:r>
        <w:rPr>
          <w:sz w:val="22"/>
          <w:szCs w:val="22"/>
        </w:rPr>
        <w:t>an awareness of where responsibilities lie for financial management;</w:t>
      </w:r>
    </w:p>
    <w:p w:rsidR="008040DB" w:rsidRDefault="008040DB">
      <w:pPr>
        <w:numPr>
          <w:ilvl w:val="0"/>
          <w:numId w:val="1"/>
        </w:numPr>
        <w:rPr>
          <w:sz w:val="22"/>
          <w:szCs w:val="22"/>
        </w:rPr>
      </w:pPr>
      <w:r>
        <w:rPr>
          <w:sz w:val="22"/>
          <w:szCs w:val="22"/>
        </w:rPr>
        <w:t>guidance on how to comply with regulatory requirements;</w:t>
      </w:r>
    </w:p>
    <w:p w:rsidR="008040DB" w:rsidRDefault="008040DB">
      <w:pPr>
        <w:numPr>
          <w:ilvl w:val="0"/>
          <w:numId w:val="1"/>
        </w:numPr>
        <w:rPr>
          <w:sz w:val="22"/>
          <w:szCs w:val="22"/>
        </w:rPr>
      </w:pPr>
      <w:r>
        <w:rPr>
          <w:sz w:val="22"/>
          <w:szCs w:val="22"/>
        </w:rPr>
        <w:t>a view on how accountability for spending public money is achieved.</w:t>
      </w:r>
    </w:p>
    <w:p w:rsidR="008040DB" w:rsidRDefault="008040DB">
      <w:pPr>
        <w:rPr>
          <w:sz w:val="22"/>
          <w:szCs w:val="22"/>
        </w:rPr>
      </w:pPr>
    </w:p>
    <w:p w:rsidR="008040DB" w:rsidRDefault="008040DB">
      <w:pPr>
        <w:rPr>
          <w:sz w:val="22"/>
          <w:szCs w:val="22"/>
        </w:rPr>
      </w:pPr>
    </w:p>
    <w:p w:rsidR="008040DB" w:rsidRDefault="008040DB">
      <w:pPr>
        <w:rPr>
          <w:sz w:val="22"/>
          <w:szCs w:val="22"/>
        </w:rPr>
      </w:pPr>
      <w:r>
        <w:rPr>
          <w:sz w:val="22"/>
          <w:szCs w:val="22"/>
        </w:rPr>
        <w:t>A summary of the following topics will be covered during this session.  More details on these topics and other areas of finance not covered in this session can be found on the Bradford Schools Online (BSO) website.</w:t>
      </w:r>
    </w:p>
    <w:p w:rsidR="008040DB" w:rsidRDefault="008040DB">
      <w:pPr>
        <w:rPr>
          <w:sz w:val="22"/>
          <w:szCs w:val="22"/>
        </w:rPr>
      </w:pPr>
    </w:p>
    <w:p w:rsidR="008040DB" w:rsidRDefault="008040DB">
      <w:pPr>
        <w:numPr>
          <w:ilvl w:val="0"/>
          <w:numId w:val="2"/>
        </w:numPr>
        <w:rPr>
          <w:sz w:val="22"/>
          <w:szCs w:val="22"/>
        </w:rPr>
      </w:pPr>
      <w:r>
        <w:rPr>
          <w:sz w:val="22"/>
          <w:szCs w:val="22"/>
        </w:rPr>
        <w:t>The Financial Year Cycle – what happens when</w:t>
      </w:r>
    </w:p>
    <w:p w:rsidR="008040DB" w:rsidRDefault="008040DB">
      <w:pPr>
        <w:numPr>
          <w:ilvl w:val="0"/>
          <w:numId w:val="2"/>
        </w:numPr>
        <w:rPr>
          <w:sz w:val="22"/>
          <w:szCs w:val="22"/>
        </w:rPr>
      </w:pPr>
      <w:r>
        <w:rPr>
          <w:sz w:val="22"/>
          <w:szCs w:val="22"/>
        </w:rPr>
        <w:t xml:space="preserve">Role of </w:t>
      </w:r>
      <w:smartTag w:uri="urn:schemas-microsoft-com:office:smarttags" w:element="PersonName">
        <w:r>
          <w:rPr>
            <w:sz w:val="22"/>
            <w:szCs w:val="22"/>
          </w:rPr>
          <w:t>School Funding Team</w:t>
        </w:r>
      </w:smartTag>
      <w:r>
        <w:rPr>
          <w:sz w:val="22"/>
          <w:szCs w:val="22"/>
        </w:rPr>
        <w:t xml:space="preserve"> within the Local Authority</w:t>
      </w:r>
    </w:p>
    <w:p w:rsidR="008040DB" w:rsidRDefault="008040DB">
      <w:pPr>
        <w:numPr>
          <w:ilvl w:val="0"/>
          <w:numId w:val="2"/>
        </w:numPr>
        <w:rPr>
          <w:sz w:val="22"/>
          <w:szCs w:val="22"/>
        </w:rPr>
      </w:pPr>
      <w:r>
        <w:rPr>
          <w:sz w:val="22"/>
          <w:szCs w:val="22"/>
        </w:rPr>
        <w:t>Roles in Schools – Governing Body, Finance Committee, Head Teacher</w:t>
      </w:r>
    </w:p>
    <w:p w:rsidR="008040DB" w:rsidRDefault="008040DB">
      <w:pPr>
        <w:numPr>
          <w:ilvl w:val="0"/>
          <w:numId w:val="2"/>
        </w:numPr>
        <w:rPr>
          <w:sz w:val="22"/>
          <w:szCs w:val="22"/>
        </w:rPr>
      </w:pPr>
      <w:r>
        <w:rPr>
          <w:sz w:val="22"/>
          <w:szCs w:val="22"/>
        </w:rPr>
        <w:t>Funding for Schools and Pupil Premium</w:t>
      </w:r>
    </w:p>
    <w:p w:rsidR="008040DB" w:rsidRDefault="008040DB">
      <w:pPr>
        <w:numPr>
          <w:ilvl w:val="0"/>
          <w:numId w:val="2"/>
        </w:numPr>
        <w:rPr>
          <w:sz w:val="22"/>
          <w:szCs w:val="22"/>
        </w:rPr>
      </w:pPr>
      <w:r>
        <w:rPr>
          <w:sz w:val="22"/>
          <w:szCs w:val="22"/>
        </w:rPr>
        <w:t>Protocols</w:t>
      </w:r>
    </w:p>
    <w:p w:rsidR="008040DB" w:rsidRDefault="008040DB">
      <w:pPr>
        <w:numPr>
          <w:ilvl w:val="0"/>
          <w:numId w:val="2"/>
        </w:numPr>
        <w:rPr>
          <w:sz w:val="22"/>
          <w:szCs w:val="22"/>
        </w:rPr>
      </w:pPr>
      <w:r>
        <w:rPr>
          <w:sz w:val="22"/>
          <w:szCs w:val="22"/>
        </w:rPr>
        <w:t>Understanding returns to the Local Authority</w:t>
      </w:r>
    </w:p>
    <w:p w:rsidR="008040DB" w:rsidRDefault="008040DB">
      <w:pPr>
        <w:numPr>
          <w:ilvl w:val="0"/>
          <w:numId w:val="2"/>
        </w:numPr>
        <w:rPr>
          <w:sz w:val="22"/>
          <w:szCs w:val="22"/>
        </w:rPr>
      </w:pPr>
      <w:r>
        <w:rPr>
          <w:sz w:val="22"/>
          <w:szCs w:val="22"/>
        </w:rPr>
        <w:t>Value for Money</w:t>
      </w:r>
    </w:p>
    <w:p w:rsidR="008040DB" w:rsidRDefault="008040DB">
      <w:pPr>
        <w:numPr>
          <w:ilvl w:val="0"/>
          <w:numId w:val="2"/>
        </w:numPr>
        <w:rPr>
          <w:sz w:val="22"/>
          <w:szCs w:val="22"/>
        </w:rPr>
      </w:pPr>
      <w:r>
        <w:rPr>
          <w:sz w:val="22"/>
          <w:szCs w:val="22"/>
        </w:rPr>
        <w:t>School Financial Value Statement</w:t>
      </w:r>
    </w:p>
    <w:p w:rsidR="008040DB" w:rsidRDefault="008040DB">
      <w:pPr>
        <w:rPr>
          <w:sz w:val="22"/>
          <w:szCs w:val="22"/>
        </w:rPr>
      </w:pPr>
    </w:p>
    <w:p w:rsidR="008040DB" w:rsidRDefault="008040DB">
      <w:pPr>
        <w:rPr>
          <w:sz w:val="22"/>
          <w:szCs w:val="22"/>
        </w:rPr>
      </w:pPr>
    </w:p>
    <w:p w:rsidR="008040DB" w:rsidRDefault="008040DB">
      <w:pPr>
        <w:rPr>
          <w:sz w:val="22"/>
          <w:szCs w:val="22"/>
        </w:rPr>
      </w:pPr>
    </w:p>
    <w:p w:rsidR="008040DB" w:rsidRDefault="008040DB">
      <w:pPr>
        <w:rPr>
          <w:sz w:val="22"/>
          <w:szCs w:val="22"/>
        </w:rPr>
      </w:pPr>
      <w:r>
        <w:rPr>
          <w:sz w:val="22"/>
          <w:szCs w:val="22"/>
        </w:rPr>
        <w:t>Governors wishing to learn and understand more about school finances can book onto the Effective Financial Governance course.  Contact Governor Services for information.</w:t>
      </w:r>
      <w:r>
        <w:rPr>
          <w:sz w:val="22"/>
          <w:szCs w:val="22"/>
        </w:rPr>
        <w:br w:type="page"/>
      </w:r>
    </w:p>
    <w:p w:rsidR="008040DB" w:rsidRDefault="008040DB">
      <w:pPr>
        <w:rPr>
          <w:b/>
          <w:sz w:val="28"/>
          <w:szCs w:val="28"/>
        </w:rPr>
      </w:pPr>
      <w:r>
        <w:rPr>
          <w:b/>
          <w:sz w:val="28"/>
          <w:szCs w:val="28"/>
        </w:rPr>
        <w:lastRenderedPageBreak/>
        <w:t>2.</w:t>
      </w:r>
      <w:r>
        <w:rPr>
          <w:b/>
          <w:sz w:val="28"/>
          <w:szCs w:val="28"/>
        </w:rPr>
        <w:tab/>
        <w:t>The Financial Year Cycle</w:t>
      </w:r>
    </w:p>
    <w:p w:rsidR="008040DB" w:rsidRDefault="008040DB"/>
    <w:p w:rsidR="008040DB" w:rsidRDefault="008040DB"/>
    <w:p w:rsidR="008040DB" w:rsidRDefault="00D01F35">
      <w:r>
        <w:rPr>
          <w:noProof/>
          <w:lang w:eastAsia="en-GB"/>
        </w:rPr>
        <w:drawing>
          <wp:inline distT="0" distB="0" distL="0" distR="0">
            <wp:extent cx="6057900" cy="40005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040DB" w:rsidRDefault="008040DB"/>
    <w:p w:rsidR="008040DB" w:rsidRDefault="008040DB"/>
    <w:p w:rsidR="008040DB" w:rsidRDefault="008040DB"/>
    <w:p w:rsidR="008040DB" w:rsidRDefault="008040DB"/>
    <w:p w:rsidR="008040DB" w:rsidRDefault="008040DB">
      <w:pPr>
        <w:rPr>
          <w:sz w:val="22"/>
          <w:szCs w:val="22"/>
        </w:rPr>
      </w:pPr>
    </w:p>
    <w:p w:rsidR="008040DB" w:rsidRDefault="008040DB">
      <w:pPr>
        <w:jc w:val="both"/>
        <w:rPr>
          <w:sz w:val="22"/>
          <w:szCs w:val="22"/>
        </w:rPr>
      </w:pPr>
      <w:r>
        <w:rPr>
          <w:sz w:val="22"/>
          <w:szCs w:val="22"/>
        </w:rPr>
        <w:t>The school funding framework is based on legislative provisions in sections 45-53 of the School Standards and Framework (SSAF) Act 1998 as amended by the Education Act 2002.*</w:t>
      </w:r>
    </w:p>
    <w:p w:rsidR="008040DB" w:rsidRDefault="008040DB">
      <w:pPr>
        <w:jc w:val="both"/>
        <w:rPr>
          <w:sz w:val="22"/>
          <w:szCs w:val="22"/>
        </w:rPr>
      </w:pPr>
    </w:p>
    <w:p w:rsidR="008040DB" w:rsidRDefault="008040DB">
      <w:pPr>
        <w:jc w:val="both"/>
        <w:rPr>
          <w:sz w:val="22"/>
          <w:szCs w:val="22"/>
        </w:rPr>
      </w:pPr>
      <w:r>
        <w:rPr>
          <w:sz w:val="22"/>
          <w:szCs w:val="22"/>
        </w:rPr>
        <w:t>The Government determines a national annual budget for Local Authorities, which includes a grant for the education of children called the Dedicated Schools Grant (DSG).  The Local Authority must allocate its entire DSG to their Schools Budget and distribute to individual maintained schools using a formula which accords with regulations made by the Secretary of State.  This is known as the Fair Funding Formula.</w:t>
      </w:r>
    </w:p>
    <w:p w:rsidR="008040DB" w:rsidRDefault="008040DB">
      <w:pPr>
        <w:jc w:val="both"/>
        <w:rPr>
          <w:sz w:val="22"/>
          <w:szCs w:val="22"/>
        </w:rPr>
      </w:pPr>
    </w:p>
    <w:p w:rsidR="008040DB" w:rsidRDefault="008040DB">
      <w:pPr>
        <w:jc w:val="both"/>
        <w:rPr>
          <w:sz w:val="22"/>
          <w:szCs w:val="22"/>
        </w:rPr>
      </w:pPr>
      <w:r>
        <w:rPr>
          <w:sz w:val="22"/>
          <w:szCs w:val="22"/>
        </w:rPr>
        <w:t xml:space="preserve">This budget share is then delegated to school governing bodies through a document called the Section 251 Budget Statement. </w:t>
      </w:r>
    </w:p>
    <w:p w:rsidR="008040DB" w:rsidRDefault="008040DB">
      <w:pPr>
        <w:jc w:val="both"/>
        <w:rPr>
          <w:sz w:val="22"/>
          <w:szCs w:val="22"/>
        </w:rPr>
      </w:pPr>
    </w:p>
    <w:p w:rsidR="008040DB" w:rsidRDefault="008040DB">
      <w:pPr>
        <w:jc w:val="both"/>
        <w:rPr>
          <w:sz w:val="22"/>
          <w:szCs w:val="22"/>
        </w:rPr>
      </w:pPr>
      <w:r>
        <w:rPr>
          <w:sz w:val="22"/>
          <w:szCs w:val="22"/>
        </w:rPr>
        <w:t>The Scheme for Financing Schools is a legal document governing the relationship between the Local Authority and schools in the management of delegated budgets.  The scheme describes the conditions for delegation of that financial and managerial responsibility to Governing Bodies of schools in order to remain accountable for public money.  This explains why annual budgets and other regulatory returns need to be submitted to the Local Authority.</w:t>
      </w:r>
    </w:p>
    <w:p w:rsidR="008040DB" w:rsidRDefault="008040DB">
      <w:pPr>
        <w:rPr>
          <w:sz w:val="22"/>
          <w:szCs w:val="22"/>
        </w:rPr>
      </w:pPr>
    </w:p>
    <w:p w:rsidR="008040DB" w:rsidRDefault="008040DB"/>
    <w:p w:rsidR="008040DB" w:rsidRDefault="008040DB"/>
    <w:p w:rsidR="008040DB" w:rsidRDefault="008040DB">
      <w:pPr>
        <w:rPr>
          <w:sz w:val="16"/>
          <w:szCs w:val="16"/>
        </w:rPr>
      </w:pPr>
      <w:r>
        <w:rPr>
          <w:sz w:val="16"/>
          <w:szCs w:val="16"/>
        </w:rPr>
        <w:t xml:space="preserve">* extract from Scheme for Financing Schools </w:t>
      </w:r>
      <w:r>
        <w:rPr>
          <w:sz w:val="16"/>
          <w:szCs w:val="16"/>
        </w:rPr>
        <w:br/>
      </w:r>
      <w:r>
        <w:rPr>
          <w:sz w:val="16"/>
          <w:szCs w:val="16"/>
        </w:rPr>
        <w:br w:type="page"/>
      </w:r>
    </w:p>
    <w:p w:rsidR="008040DB" w:rsidRDefault="008040DB">
      <w:pPr>
        <w:rPr>
          <w:b/>
          <w:sz w:val="28"/>
          <w:szCs w:val="28"/>
        </w:rPr>
      </w:pPr>
      <w:r>
        <w:rPr>
          <w:b/>
          <w:sz w:val="28"/>
          <w:szCs w:val="28"/>
        </w:rPr>
        <w:lastRenderedPageBreak/>
        <w:t xml:space="preserve">3. </w:t>
      </w:r>
      <w:r>
        <w:rPr>
          <w:b/>
          <w:sz w:val="28"/>
          <w:szCs w:val="28"/>
        </w:rPr>
        <w:tab/>
        <w:t xml:space="preserve">The </w:t>
      </w:r>
      <w:smartTag w:uri="urn:schemas-microsoft-com:office:smarttags" w:element="PersonName">
        <w:r>
          <w:rPr>
            <w:b/>
            <w:sz w:val="28"/>
            <w:szCs w:val="28"/>
          </w:rPr>
          <w:t>School Funding Team</w:t>
        </w:r>
      </w:smartTag>
      <w:r>
        <w:rPr>
          <w:b/>
          <w:sz w:val="28"/>
          <w:szCs w:val="28"/>
        </w:rPr>
        <w:t xml:space="preserve"> and Schools Forum</w:t>
      </w:r>
    </w:p>
    <w:p w:rsidR="008040DB" w:rsidRDefault="008040DB"/>
    <w:p w:rsidR="008040DB" w:rsidRDefault="008040DB">
      <w:pPr>
        <w:rPr>
          <w:sz w:val="22"/>
          <w:szCs w:val="22"/>
        </w:rPr>
      </w:pPr>
      <w:r>
        <w:rPr>
          <w:sz w:val="22"/>
          <w:szCs w:val="22"/>
        </w:rPr>
        <w:t xml:space="preserve">The </w:t>
      </w:r>
      <w:smartTag w:uri="urn:schemas-microsoft-com:office:smarttags" w:element="PersonName">
        <w:r>
          <w:rPr>
            <w:sz w:val="22"/>
            <w:szCs w:val="22"/>
          </w:rPr>
          <w:t>School Funding Team</w:t>
        </w:r>
      </w:smartTag>
      <w:r>
        <w:rPr>
          <w:sz w:val="22"/>
          <w:szCs w:val="22"/>
        </w:rPr>
        <w:t xml:space="preserve"> (SFT) is a part of the Department of Finance within the City of </w:t>
      </w:r>
      <w:smartTag w:uri="urn:schemas-microsoft-com:office:smarttags" w:element="place">
        <w:smartTag w:uri="urn:schemas-microsoft-com:office:smarttags" w:element="City">
          <w:r>
            <w:rPr>
              <w:sz w:val="22"/>
              <w:szCs w:val="22"/>
            </w:rPr>
            <w:t>Bradford Metropolitan District Council</w:t>
          </w:r>
        </w:smartTag>
      </w:smartTag>
      <w:r>
        <w:rPr>
          <w:sz w:val="22"/>
          <w:szCs w:val="22"/>
        </w:rPr>
        <w:t xml:space="preserve">, but is dedicated to supporting the provision of Education Services to schools. </w:t>
      </w:r>
    </w:p>
    <w:p w:rsidR="008040DB" w:rsidRDefault="008040DB">
      <w:pPr>
        <w:rPr>
          <w:sz w:val="22"/>
          <w:szCs w:val="22"/>
        </w:rPr>
      </w:pPr>
    </w:p>
    <w:p w:rsidR="008040DB" w:rsidRDefault="008040DB">
      <w:pPr>
        <w:numPr>
          <w:ilvl w:val="0"/>
          <w:numId w:val="3"/>
        </w:numPr>
        <w:rPr>
          <w:sz w:val="22"/>
          <w:szCs w:val="22"/>
        </w:rPr>
      </w:pPr>
      <w:r>
        <w:rPr>
          <w:sz w:val="22"/>
          <w:szCs w:val="22"/>
        </w:rPr>
        <w:t>SFT aims to continuously improve the financial management and controls in Bradford Schools via effective monitoring, support and challenge</w:t>
      </w:r>
    </w:p>
    <w:p w:rsidR="008040DB" w:rsidRDefault="008040DB">
      <w:pPr>
        <w:numPr>
          <w:ilvl w:val="0"/>
          <w:numId w:val="3"/>
        </w:numPr>
        <w:rPr>
          <w:sz w:val="22"/>
          <w:szCs w:val="22"/>
        </w:rPr>
      </w:pPr>
      <w:r>
        <w:rPr>
          <w:sz w:val="22"/>
          <w:szCs w:val="22"/>
        </w:rPr>
        <w:t>SFT aims to reduce the number of schools reporting deficits and excess surplus balances</w:t>
      </w:r>
    </w:p>
    <w:p w:rsidR="008040DB" w:rsidRDefault="008040DB">
      <w:pPr>
        <w:numPr>
          <w:ilvl w:val="0"/>
          <w:numId w:val="3"/>
        </w:numPr>
        <w:rPr>
          <w:sz w:val="22"/>
          <w:szCs w:val="22"/>
        </w:rPr>
      </w:pPr>
      <w:r>
        <w:rPr>
          <w:sz w:val="22"/>
          <w:szCs w:val="22"/>
        </w:rPr>
        <w:t>SFT provides a ‘helpdesk’ for schools on all aspects of school financial management and reporting</w:t>
      </w:r>
    </w:p>
    <w:p w:rsidR="008040DB" w:rsidRDefault="008040DB">
      <w:pPr>
        <w:numPr>
          <w:ilvl w:val="0"/>
          <w:numId w:val="3"/>
        </w:numPr>
        <w:rPr>
          <w:sz w:val="22"/>
          <w:szCs w:val="22"/>
        </w:rPr>
      </w:pPr>
      <w:r>
        <w:rPr>
          <w:sz w:val="22"/>
          <w:szCs w:val="22"/>
        </w:rPr>
        <w:t>SFT carries out school visits in line with ‘Protocol’ requirements</w:t>
      </w:r>
    </w:p>
    <w:p w:rsidR="008040DB" w:rsidRDefault="008040DB">
      <w:pPr>
        <w:numPr>
          <w:ilvl w:val="0"/>
          <w:numId w:val="3"/>
        </w:numPr>
        <w:rPr>
          <w:sz w:val="22"/>
          <w:szCs w:val="22"/>
        </w:rPr>
      </w:pPr>
      <w:r>
        <w:rPr>
          <w:sz w:val="22"/>
          <w:szCs w:val="22"/>
        </w:rPr>
        <w:t xml:space="preserve">SFT manages </w:t>
      </w:r>
      <w:smartTag w:uri="urn:schemas-microsoft-com:office:smarttags" w:element="place">
        <w:r>
          <w:rPr>
            <w:sz w:val="22"/>
            <w:szCs w:val="22"/>
          </w:rPr>
          <w:t>Bradford</w:t>
        </w:r>
      </w:smartTag>
      <w:r>
        <w:rPr>
          <w:sz w:val="22"/>
          <w:szCs w:val="22"/>
        </w:rPr>
        <w:t xml:space="preserve">’s </w:t>
      </w:r>
      <w:r>
        <w:rPr>
          <w:b/>
          <w:sz w:val="22"/>
          <w:szCs w:val="22"/>
        </w:rPr>
        <w:t>Schools Forum</w:t>
      </w:r>
      <w:r>
        <w:rPr>
          <w:sz w:val="22"/>
          <w:szCs w:val="22"/>
        </w:rPr>
        <w:t xml:space="preserve"> and the calculation of school delegated budgets</w:t>
      </w:r>
    </w:p>
    <w:p w:rsidR="008040DB" w:rsidRDefault="008040DB">
      <w:pPr>
        <w:rPr>
          <w:sz w:val="22"/>
          <w:szCs w:val="22"/>
        </w:rPr>
      </w:pPr>
    </w:p>
    <w:p w:rsidR="008040DB" w:rsidRDefault="008040DB">
      <w:pPr>
        <w:rPr>
          <w:sz w:val="22"/>
          <w:szCs w:val="22"/>
        </w:rPr>
      </w:pPr>
    </w:p>
    <w:p w:rsidR="008040DB" w:rsidRDefault="008040DB"/>
    <w:p w:rsidR="008040DB" w:rsidRDefault="008040DB">
      <w:pPr>
        <w:ind w:left="360"/>
        <w:rPr>
          <w:b/>
          <w:bCs/>
          <w:sz w:val="22"/>
          <w:szCs w:val="22"/>
        </w:rPr>
      </w:pPr>
      <w:r>
        <w:rPr>
          <w:b/>
          <w:bCs/>
          <w:sz w:val="22"/>
          <w:szCs w:val="22"/>
        </w:rPr>
        <w:t>What is the Schools Forum?</w:t>
      </w:r>
    </w:p>
    <w:p w:rsidR="008040DB" w:rsidRDefault="008040DB">
      <w:pPr>
        <w:ind w:left="360"/>
        <w:rPr>
          <w:b/>
          <w:bCs/>
          <w:sz w:val="22"/>
          <w:szCs w:val="22"/>
        </w:rPr>
      </w:pPr>
    </w:p>
    <w:p w:rsidR="008040DB" w:rsidRDefault="008040DB">
      <w:pPr>
        <w:numPr>
          <w:ilvl w:val="0"/>
          <w:numId w:val="12"/>
        </w:numPr>
        <w:jc w:val="both"/>
        <w:rPr>
          <w:sz w:val="22"/>
          <w:szCs w:val="22"/>
        </w:rPr>
      </w:pPr>
      <w:smartTag w:uri="urn:schemas-microsoft-com:office:smarttags" w:element="place">
        <w:r>
          <w:rPr>
            <w:sz w:val="22"/>
            <w:szCs w:val="22"/>
          </w:rPr>
          <w:t>Bradford</w:t>
        </w:r>
      </w:smartTag>
      <w:r>
        <w:rPr>
          <w:sz w:val="22"/>
          <w:szCs w:val="22"/>
        </w:rPr>
        <w:t>’s Schools Forum is a representative group of Head Teachers, Governors &amp; non-school members, established by statutory instruments issued by the Department for Education.</w:t>
      </w:r>
    </w:p>
    <w:p w:rsidR="008040DB" w:rsidRDefault="008040DB">
      <w:pPr>
        <w:ind w:left="360"/>
        <w:rPr>
          <w:sz w:val="22"/>
          <w:szCs w:val="22"/>
        </w:rPr>
      </w:pPr>
    </w:p>
    <w:p w:rsidR="008040DB" w:rsidRDefault="008040DB">
      <w:pPr>
        <w:ind w:left="360"/>
        <w:rPr>
          <w:b/>
          <w:bCs/>
          <w:sz w:val="22"/>
          <w:szCs w:val="22"/>
        </w:rPr>
      </w:pPr>
      <w:r>
        <w:rPr>
          <w:b/>
          <w:bCs/>
          <w:sz w:val="22"/>
          <w:szCs w:val="22"/>
        </w:rPr>
        <w:t>What does it do?</w:t>
      </w:r>
    </w:p>
    <w:p w:rsidR="008040DB" w:rsidRDefault="008040DB">
      <w:pPr>
        <w:rPr>
          <w:b/>
          <w:bCs/>
          <w:sz w:val="22"/>
          <w:szCs w:val="22"/>
        </w:rPr>
      </w:pPr>
    </w:p>
    <w:p w:rsidR="008040DB" w:rsidRDefault="008040DB">
      <w:pPr>
        <w:numPr>
          <w:ilvl w:val="0"/>
          <w:numId w:val="12"/>
        </w:numPr>
        <w:jc w:val="both"/>
        <w:rPr>
          <w:sz w:val="22"/>
          <w:szCs w:val="22"/>
        </w:rPr>
      </w:pPr>
      <w:r>
        <w:rPr>
          <w:sz w:val="22"/>
          <w:szCs w:val="22"/>
        </w:rPr>
        <w:t>Acts as a body for Local Authorities to consult on School Budget related issues, such as formula funding and provision for the education of pupils with High Needs</w:t>
      </w:r>
    </w:p>
    <w:p w:rsidR="008040DB" w:rsidRDefault="008040DB">
      <w:pPr>
        <w:numPr>
          <w:ilvl w:val="0"/>
          <w:numId w:val="12"/>
        </w:numPr>
        <w:jc w:val="both"/>
        <w:rPr>
          <w:sz w:val="22"/>
          <w:szCs w:val="22"/>
        </w:rPr>
      </w:pPr>
      <w:r>
        <w:rPr>
          <w:sz w:val="22"/>
          <w:szCs w:val="22"/>
        </w:rPr>
        <w:t>Agrees “the funding formula” and oversees formulae reviews (via the Formula Funding Working Group; FFWG and the Early Years Working Group; EYWG) and consultation with schools</w:t>
      </w:r>
    </w:p>
    <w:p w:rsidR="008040DB" w:rsidRDefault="008040DB">
      <w:pPr>
        <w:numPr>
          <w:ilvl w:val="0"/>
          <w:numId w:val="12"/>
        </w:numPr>
        <w:jc w:val="both"/>
        <w:rPr>
          <w:sz w:val="22"/>
          <w:szCs w:val="22"/>
        </w:rPr>
      </w:pPr>
      <w:r>
        <w:rPr>
          <w:sz w:val="22"/>
          <w:szCs w:val="22"/>
        </w:rPr>
        <w:t>Makes recommendations on the allocation of the Dedicated Schools Grant (DSG) on an annual basis. This includes agreeing ‘</w:t>
      </w:r>
      <w:proofErr w:type="spellStart"/>
      <w:r>
        <w:rPr>
          <w:sz w:val="22"/>
          <w:szCs w:val="22"/>
        </w:rPr>
        <w:t>topslices</w:t>
      </w:r>
      <w:proofErr w:type="spellEnd"/>
      <w:r>
        <w:rPr>
          <w:sz w:val="22"/>
          <w:szCs w:val="22"/>
        </w:rPr>
        <w:t>’ to school budgets for centrally managed funds and services that maintained schools can access</w:t>
      </w:r>
    </w:p>
    <w:p w:rsidR="008040DB" w:rsidRDefault="008040DB">
      <w:pPr>
        <w:numPr>
          <w:ilvl w:val="0"/>
          <w:numId w:val="12"/>
        </w:numPr>
        <w:jc w:val="both"/>
        <w:rPr>
          <w:sz w:val="22"/>
          <w:szCs w:val="22"/>
        </w:rPr>
      </w:pPr>
      <w:r>
        <w:rPr>
          <w:sz w:val="22"/>
          <w:szCs w:val="22"/>
        </w:rPr>
        <w:t>Manages and monitors school deficit and surplus budget processes, through the Schools Financial Performance Group; the SFPG</w:t>
      </w:r>
    </w:p>
    <w:p w:rsidR="008040DB" w:rsidRDefault="008040DB">
      <w:pPr>
        <w:numPr>
          <w:ilvl w:val="0"/>
          <w:numId w:val="12"/>
        </w:numPr>
      </w:pPr>
      <w:r>
        <w:rPr>
          <w:sz w:val="22"/>
          <w:szCs w:val="22"/>
        </w:rPr>
        <w:t xml:space="preserve">Consider changes in financial procedures and protocols, such as the Scheme for </w:t>
      </w:r>
      <w:smartTag w:uri="urn:schemas-microsoft-com:office:smarttags" w:element="place">
        <w:smartTag w:uri="urn:schemas-microsoft-com:office:smarttags" w:element="PlaceName">
          <w:r>
            <w:rPr>
              <w:sz w:val="22"/>
              <w:szCs w:val="22"/>
            </w:rPr>
            <w:t>Financing</w:t>
          </w:r>
        </w:smartTag>
        <w:r>
          <w:rPr>
            <w:sz w:val="22"/>
            <w:szCs w:val="22"/>
          </w:rPr>
          <w:t xml:space="preserve"> </w:t>
        </w:r>
        <w:smartTag w:uri="urn:schemas-microsoft-com:office:smarttags" w:element="PlaceType">
          <w:r>
            <w:rPr>
              <w:sz w:val="22"/>
              <w:szCs w:val="22"/>
            </w:rPr>
            <w:t>Schools</w:t>
          </w:r>
        </w:smartTag>
      </w:smartTag>
      <w:r>
        <w:rPr>
          <w:sz w:val="22"/>
          <w:szCs w:val="22"/>
        </w:rPr>
        <w:t xml:space="preserve"> or the Financial Classification of Schools, </w:t>
      </w:r>
      <w:r>
        <w:br w:type="page"/>
      </w:r>
    </w:p>
    <w:p w:rsidR="008040DB" w:rsidRDefault="008040DB">
      <w:pPr>
        <w:rPr>
          <w:b/>
          <w:sz w:val="28"/>
          <w:szCs w:val="28"/>
        </w:rPr>
      </w:pPr>
      <w:r>
        <w:rPr>
          <w:b/>
          <w:sz w:val="28"/>
          <w:szCs w:val="28"/>
        </w:rPr>
        <w:lastRenderedPageBreak/>
        <w:t xml:space="preserve">4. </w:t>
      </w:r>
      <w:r>
        <w:rPr>
          <w:b/>
          <w:sz w:val="28"/>
          <w:szCs w:val="28"/>
        </w:rPr>
        <w:tab/>
        <w:t>Roles in Schools</w:t>
      </w:r>
    </w:p>
    <w:p w:rsidR="008040DB" w:rsidRDefault="008040DB"/>
    <w:p w:rsidR="008040DB" w:rsidRDefault="008040DB"/>
    <w:p w:rsidR="008040DB" w:rsidRDefault="008040DB">
      <w:pPr>
        <w:rPr>
          <w:sz w:val="22"/>
          <w:szCs w:val="22"/>
        </w:rPr>
      </w:pPr>
    </w:p>
    <w:p w:rsidR="008040DB" w:rsidRDefault="008040DB">
      <w:pPr>
        <w:rPr>
          <w:b/>
          <w:bCs/>
          <w:sz w:val="22"/>
          <w:szCs w:val="22"/>
        </w:rPr>
      </w:pPr>
      <w:r>
        <w:rPr>
          <w:b/>
          <w:bCs/>
          <w:sz w:val="22"/>
          <w:szCs w:val="22"/>
        </w:rPr>
        <w:t>Governing Body</w:t>
      </w:r>
    </w:p>
    <w:p w:rsidR="008040DB" w:rsidRDefault="008040DB">
      <w:pPr>
        <w:rPr>
          <w:sz w:val="22"/>
          <w:szCs w:val="22"/>
        </w:rPr>
      </w:pPr>
    </w:p>
    <w:p w:rsidR="008040DB" w:rsidRDefault="008040DB">
      <w:pPr>
        <w:rPr>
          <w:sz w:val="22"/>
          <w:szCs w:val="22"/>
        </w:rPr>
      </w:pPr>
      <w:r>
        <w:rPr>
          <w:sz w:val="22"/>
          <w:szCs w:val="22"/>
        </w:rPr>
        <w:t>The role of the Governing Body is to:</w:t>
      </w:r>
    </w:p>
    <w:p w:rsidR="008040DB" w:rsidRDefault="008040DB">
      <w:pPr>
        <w:numPr>
          <w:ilvl w:val="0"/>
          <w:numId w:val="4"/>
        </w:numPr>
        <w:rPr>
          <w:sz w:val="22"/>
          <w:szCs w:val="22"/>
        </w:rPr>
      </w:pPr>
      <w:r>
        <w:rPr>
          <w:sz w:val="22"/>
          <w:szCs w:val="22"/>
        </w:rPr>
        <w:t>Provide “strategic direction”</w:t>
      </w:r>
    </w:p>
    <w:p w:rsidR="008040DB" w:rsidRDefault="008040DB">
      <w:pPr>
        <w:numPr>
          <w:ilvl w:val="0"/>
          <w:numId w:val="4"/>
        </w:numPr>
        <w:rPr>
          <w:sz w:val="22"/>
          <w:szCs w:val="22"/>
        </w:rPr>
      </w:pPr>
      <w:r>
        <w:rPr>
          <w:sz w:val="22"/>
          <w:szCs w:val="22"/>
        </w:rPr>
        <w:t>Meet statutory responsibilities</w:t>
      </w:r>
    </w:p>
    <w:p w:rsidR="008040DB" w:rsidRDefault="008040DB">
      <w:pPr>
        <w:numPr>
          <w:ilvl w:val="0"/>
          <w:numId w:val="4"/>
        </w:numPr>
        <w:rPr>
          <w:sz w:val="22"/>
          <w:szCs w:val="22"/>
        </w:rPr>
      </w:pPr>
      <w:r>
        <w:rPr>
          <w:sz w:val="22"/>
          <w:szCs w:val="22"/>
        </w:rPr>
        <w:t>Set the school financial (and educational) priorities</w:t>
      </w:r>
    </w:p>
    <w:p w:rsidR="008040DB" w:rsidRDefault="008040DB">
      <w:pPr>
        <w:numPr>
          <w:ilvl w:val="0"/>
          <w:numId w:val="4"/>
        </w:numPr>
        <w:rPr>
          <w:sz w:val="22"/>
          <w:szCs w:val="22"/>
        </w:rPr>
      </w:pPr>
      <w:r>
        <w:rPr>
          <w:sz w:val="22"/>
          <w:szCs w:val="22"/>
        </w:rPr>
        <w:t>Approve and monitor the annual budget (revenue and capital)</w:t>
      </w:r>
    </w:p>
    <w:p w:rsidR="008040DB" w:rsidRDefault="008040DB">
      <w:pPr>
        <w:numPr>
          <w:ilvl w:val="0"/>
          <w:numId w:val="4"/>
        </w:numPr>
        <w:rPr>
          <w:sz w:val="22"/>
          <w:szCs w:val="22"/>
        </w:rPr>
      </w:pPr>
      <w:r>
        <w:rPr>
          <w:sz w:val="22"/>
          <w:szCs w:val="22"/>
        </w:rPr>
        <w:t>Establish limits of delegated authority to the Head Teacher</w:t>
      </w:r>
    </w:p>
    <w:p w:rsidR="008040DB" w:rsidRDefault="008040DB">
      <w:pPr>
        <w:numPr>
          <w:ilvl w:val="0"/>
          <w:numId w:val="4"/>
        </w:numPr>
        <w:rPr>
          <w:sz w:val="22"/>
          <w:szCs w:val="22"/>
        </w:rPr>
      </w:pPr>
      <w:r>
        <w:rPr>
          <w:sz w:val="22"/>
          <w:szCs w:val="22"/>
        </w:rPr>
        <w:t xml:space="preserve">Ensure accurate financial </w:t>
      </w:r>
      <w:smartTag w:uri="urn:schemas-microsoft-com:office:smarttags" w:element="PersonName">
        <w:r>
          <w:rPr>
            <w:sz w:val="22"/>
            <w:szCs w:val="22"/>
          </w:rPr>
          <w:t>accounts</w:t>
        </w:r>
      </w:smartTag>
      <w:r>
        <w:rPr>
          <w:sz w:val="22"/>
          <w:szCs w:val="22"/>
        </w:rPr>
        <w:t xml:space="preserve"> are kept</w:t>
      </w:r>
    </w:p>
    <w:p w:rsidR="008040DB" w:rsidRDefault="008040DB">
      <w:pPr>
        <w:numPr>
          <w:ilvl w:val="0"/>
          <w:numId w:val="4"/>
        </w:numPr>
        <w:rPr>
          <w:sz w:val="22"/>
          <w:szCs w:val="22"/>
        </w:rPr>
      </w:pPr>
      <w:r>
        <w:rPr>
          <w:sz w:val="22"/>
          <w:szCs w:val="22"/>
        </w:rPr>
        <w:t>Determine school policies</w:t>
      </w:r>
    </w:p>
    <w:p w:rsidR="008040DB" w:rsidRDefault="008040DB">
      <w:pPr>
        <w:numPr>
          <w:ilvl w:val="0"/>
          <w:numId w:val="4"/>
        </w:numPr>
        <w:rPr>
          <w:sz w:val="22"/>
          <w:szCs w:val="22"/>
        </w:rPr>
      </w:pPr>
      <w:r>
        <w:rPr>
          <w:sz w:val="22"/>
          <w:szCs w:val="22"/>
        </w:rPr>
        <w:t>Participate in completing the Schools Financial Value Standard (SFVS)</w:t>
      </w:r>
    </w:p>
    <w:p w:rsidR="008040DB" w:rsidRDefault="008040DB">
      <w:pPr>
        <w:numPr>
          <w:ilvl w:val="0"/>
          <w:numId w:val="4"/>
        </w:numPr>
        <w:rPr>
          <w:sz w:val="22"/>
          <w:szCs w:val="22"/>
        </w:rPr>
      </w:pPr>
      <w:r>
        <w:rPr>
          <w:sz w:val="22"/>
          <w:szCs w:val="22"/>
        </w:rPr>
        <w:t>Act as a ‘critical friend’ to the Head Teacher by providing advice, challenge and support</w:t>
      </w:r>
    </w:p>
    <w:p w:rsidR="008040DB" w:rsidRDefault="008040DB">
      <w:pPr>
        <w:rPr>
          <w:sz w:val="22"/>
          <w:szCs w:val="22"/>
        </w:rPr>
      </w:pPr>
    </w:p>
    <w:p w:rsidR="008040DB" w:rsidRDefault="008040DB">
      <w:pPr>
        <w:rPr>
          <w:sz w:val="22"/>
          <w:szCs w:val="22"/>
        </w:rPr>
      </w:pPr>
    </w:p>
    <w:p w:rsidR="008040DB" w:rsidRDefault="008040DB">
      <w:pPr>
        <w:rPr>
          <w:b/>
          <w:bCs/>
          <w:sz w:val="22"/>
          <w:szCs w:val="22"/>
        </w:rPr>
      </w:pPr>
      <w:r>
        <w:rPr>
          <w:b/>
          <w:bCs/>
          <w:sz w:val="22"/>
          <w:szCs w:val="22"/>
        </w:rPr>
        <w:t>Finance Committee</w:t>
      </w:r>
    </w:p>
    <w:p w:rsidR="008040DB" w:rsidRDefault="008040DB">
      <w:pPr>
        <w:rPr>
          <w:b/>
          <w:bCs/>
          <w:sz w:val="22"/>
          <w:szCs w:val="22"/>
        </w:rPr>
      </w:pPr>
    </w:p>
    <w:p w:rsidR="008040DB" w:rsidRDefault="008040DB">
      <w:pPr>
        <w:rPr>
          <w:bCs/>
          <w:sz w:val="22"/>
          <w:szCs w:val="22"/>
        </w:rPr>
      </w:pPr>
      <w:r>
        <w:rPr>
          <w:bCs/>
          <w:sz w:val="22"/>
          <w:szCs w:val="22"/>
        </w:rPr>
        <w:t>The Finance Committee is a sub-committee of the main Governing Body.  The role of the finance committee is to:</w:t>
      </w:r>
    </w:p>
    <w:p w:rsidR="008040DB" w:rsidRDefault="008040DB">
      <w:pPr>
        <w:rPr>
          <w:bCs/>
          <w:sz w:val="22"/>
          <w:szCs w:val="22"/>
        </w:rPr>
      </w:pPr>
    </w:p>
    <w:p w:rsidR="008040DB" w:rsidRDefault="008040DB">
      <w:pPr>
        <w:numPr>
          <w:ilvl w:val="0"/>
          <w:numId w:val="5"/>
        </w:numPr>
        <w:rPr>
          <w:sz w:val="22"/>
          <w:szCs w:val="22"/>
        </w:rPr>
      </w:pPr>
      <w:r>
        <w:rPr>
          <w:sz w:val="22"/>
          <w:szCs w:val="22"/>
        </w:rPr>
        <w:t>Set financial priorities through the:</w:t>
      </w:r>
    </w:p>
    <w:p w:rsidR="008040DB" w:rsidRDefault="008040DB">
      <w:pPr>
        <w:numPr>
          <w:ilvl w:val="1"/>
          <w:numId w:val="9"/>
        </w:numPr>
        <w:rPr>
          <w:sz w:val="22"/>
          <w:szCs w:val="22"/>
        </w:rPr>
      </w:pPr>
      <w:r>
        <w:rPr>
          <w:sz w:val="22"/>
          <w:szCs w:val="22"/>
        </w:rPr>
        <w:t>School Development Plan</w:t>
      </w:r>
    </w:p>
    <w:p w:rsidR="008040DB" w:rsidRDefault="008040DB">
      <w:pPr>
        <w:numPr>
          <w:ilvl w:val="1"/>
          <w:numId w:val="9"/>
        </w:numPr>
        <w:rPr>
          <w:sz w:val="22"/>
          <w:szCs w:val="22"/>
        </w:rPr>
      </w:pPr>
      <w:r>
        <w:rPr>
          <w:sz w:val="22"/>
          <w:szCs w:val="22"/>
        </w:rPr>
        <w:t>3 Year Financial Plan (also known as Governor Approved Budget)</w:t>
      </w:r>
    </w:p>
    <w:p w:rsidR="008040DB" w:rsidRDefault="008040DB">
      <w:pPr>
        <w:numPr>
          <w:ilvl w:val="1"/>
          <w:numId w:val="9"/>
        </w:numPr>
        <w:rPr>
          <w:b/>
          <w:bCs/>
          <w:sz w:val="22"/>
          <w:szCs w:val="22"/>
        </w:rPr>
      </w:pPr>
      <w:r>
        <w:rPr>
          <w:sz w:val="22"/>
          <w:szCs w:val="22"/>
        </w:rPr>
        <w:t>Annual Budget</w:t>
      </w:r>
    </w:p>
    <w:p w:rsidR="008040DB" w:rsidRDefault="008040DB">
      <w:pPr>
        <w:numPr>
          <w:ilvl w:val="0"/>
          <w:numId w:val="5"/>
        </w:numPr>
        <w:rPr>
          <w:sz w:val="22"/>
          <w:szCs w:val="22"/>
        </w:rPr>
      </w:pPr>
      <w:r>
        <w:rPr>
          <w:sz w:val="22"/>
          <w:szCs w:val="22"/>
        </w:rPr>
        <w:t>Propose or decide how the school’s delegated funding should be spent</w:t>
      </w:r>
    </w:p>
    <w:p w:rsidR="008040DB" w:rsidRDefault="008040DB">
      <w:pPr>
        <w:numPr>
          <w:ilvl w:val="0"/>
          <w:numId w:val="5"/>
        </w:numPr>
        <w:rPr>
          <w:sz w:val="22"/>
          <w:szCs w:val="22"/>
        </w:rPr>
      </w:pPr>
      <w:r>
        <w:rPr>
          <w:sz w:val="22"/>
          <w:szCs w:val="22"/>
        </w:rPr>
        <w:t>Approve and monitor the annual budget</w:t>
      </w:r>
    </w:p>
    <w:p w:rsidR="008040DB" w:rsidRDefault="008040DB">
      <w:pPr>
        <w:numPr>
          <w:ilvl w:val="0"/>
          <w:numId w:val="5"/>
        </w:numPr>
        <w:rPr>
          <w:b/>
          <w:bCs/>
          <w:sz w:val="22"/>
          <w:szCs w:val="22"/>
        </w:rPr>
      </w:pPr>
      <w:r>
        <w:rPr>
          <w:sz w:val="22"/>
          <w:szCs w:val="22"/>
        </w:rPr>
        <w:t>Administer voluntary / private / company funds</w:t>
      </w:r>
    </w:p>
    <w:p w:rsidR="008040DB" w:rsidRDefault="008040DB">
      <w:pPr>
        <w:numPr>
          <w:ilvl w:val="0"/>
          <w:numId w:val="5"/>
        </w:numPr>
        <w:rPr>
          <w:sz w:val="22"/>
          <w:szCs w:val="22"/>
        </w:rPr>
      </w:pPr>
      <w:r>
        <w:rPr>
          <w:sz w:val="22"/>
          <w:szCs w:val="22"/>
        </w:rPr>
        <w:t>Evaluate the effectiveness of spending decisions and value for money</w:t>
      </w:r>
    </w:p>
    <w:p w:rsidR="008040DB" w:rsidRDefault="008040DB">
      <w:pPr>
        <w:numPr>
          <w:ilvl w:val="0"/>
          <w:numId w:val="5"/>
        </w:numPr>
        <w:rPr>
          <w:b/>
          <w:bCs/>
          <w:sz w:val="22"/>
          <w:szCs w:val="22"/>
        </w:rPr>
      </w:pPr>
      <w:r>
        <w:rPr>
          <w:sz w:val="22"/>
          <w:szCs w:val="22"/>
        </w:rPr>
        <w:t>Ensure the school complies with the LA financial regulations</w:t>
      </w:r>
    </w:p>
    <w:p w:rsidR="008040DB" w:rsidRDefault="008040DB">
      <w:pPr>
        <w:rPr>
          <w:b/>
          <w:bCs/>
          <w:sz w:val="22"/>
          <w:szCs w:val="22"/>
        </w:rPr>
      </w:pPr>
    </w:p>
    <w:p w:rsidR="008040DB" w:rsidRDefault="008040DB"/>
    <w:p w:rsidR="008040DB" w:rsidRDefault="008040DB">
      <w:r>
        <w:br w:type="page"/>
      </w:r>
    </w:p>
    <w:p w:rsidR="008040DB" w:rsidRDefault="008040DB">
      <w:pPr>
        <w:rPr>
          <w:b/>
          <w:sz w:val="28"/>
          <w:szCs w:val="28"/>
        </w:rPr>
      </w:pPr>
      <w:r>
        <w:rPr>
          <w:b/>
          <w:sz w:val="28"/>
          <w:szCs w:val="28"/>
        </w:rPr>
        <w:lastRenderedPageBreak/>
        <w:t>5.</w:t>
      </w:r>
      <w:r>
        <w:rPr>
          <w:b/>
          <w:sz w:val="28"/>
          <w:szCs w:val="28"/>
        </w:rPr>
        <w:tab/>
        <w:t>Funding for Schools</w:t>
      </w:r>
    </w:p>
    <w:p w:rsidR="008040DB" w:rsidRDefault="008040DB">
      <w:pPr>
        <w:rPr>
          <w:sz w:val="22"/>
          <w:szCs w:val="22"/>
        </w:rPr>
      </w:pPr>
    </w:p>
    <w:p w:rsidR="008040DB" w:rsidRDefault="008040DB">
      <w:pPr>
        <w:rPr>
          <w:rFonts w:cs="Arial"/>
          <w:sz w:val="22"/>
          <w:szCs w:val="22"/>
        </w:rPr>
      </w:pPr>
    </w:p>
    <w:p w:rsidR="008040DB" w:rsidRDefault="008040DB">
      <w:pPr>
        <w:jc w:val="both"/>
        <w:rPr>
          <w:rFonts w:cs="Arial"/>
          <w:sz w:val="22"/>
          <w:szCs w:val="22"/>
        </w:rPr>
      </w:pPr>
      <w:r>
        <w:rPr>
          <w:rFonts w:cs="Arial"/>
          <w:sz w:val="22"/>
          <w:szCs w:val="22"/>
        </w:rPr>
        <w:t>The funding allocated to schools each year by the Local Authority is a share of the Dedicated Schools Grant from the Government’s annual budget.</w:t>
      </w:r>
    </w:p>
    <w:p w:rsidR="008040DB" w:rsidRDefault="008040DB">
      <w:pPr>
        <w:jc w:val="both"/>
        <w:rPr>
          <w:rFonts w:cs="Arial"/>
          <w:sz w:val="22"/>
          <w:szCs w:val="22"/>
        </w:rPr>
      </w:pPr>
    </w:p>
    <w:p w:rsidR="008040DB" w:rsidRDefault="008040DB">
      <w:pPr>
        <w:jc w:val="both"/>
        <w:rPr>
          <w:rFonts w:cs="Arial"/>
          <w:sz w:val="22"/>
          <w:szCs w:val="22"/>
        </w:rPr>
      </w:pPr>
      <w:r>
        <w:rPr>
          <w:rFonts w:cs="Arial"/>
          <w:sz w:val="22"/>
          <w:szCs w:val="22"/>
        </w:rPr>
        <w:t xml:space="preserve">Bradford Council complies with the national funding formula which specifies how the funding is shared out amongst schools.  </w:t>
      </w:r>
    </w:p>
    <w:p w:rsidR="008040DB" w:rsidRDefault="008040DB">
      <w:pPr>
        <w:jc w:val="both"/>
        <w:rPr>
          <w:rFonts w:cs="Arial"/>
          <w:sz w:val="22"/>
          <w:szCs w:val="22"/>
        </w:rPr>
      </w:pPr>
    </w:p>
    <w:p w:rsidR="008040DB" w:rsidRDefault="008040DB">
      <w:pPr>
        <w:jc w:val="both"/>
        <w:rPr>
          <w:rFonts w:cs="Arial"/>
          <w:sz w:val="22"/>
          <w:szCs w:val="22"/>
        </w:rPr>
      </w:pPr>
      <w:r>
        <w:rPr>
          <w:rFonts w:cs="Arial"/>
          <w:sz w:val="22"/>
          <w:szCs w:val="22"/>
        </w:rPr>
        <w:t xml:space="preserve">The document detailing how this share is calculated is issued by the Local Authority to maintained schools in February each year and is called the </w:t>
      </w:r>
      <w:r>
        <w:rPr>
          <w:rFonts w:cs="Arial"/>
          <w:b/>
          <w:sz w:val="22"/>
          <w:szCs w:val="22"/>
        </w:rPr>
        <w:t>Section 251 Statement</w:t>
      </w:r>
      <w:r>
        <w:rPr>
          <w:rFonts w:cs="Arial"/>
          <w:sz w:val="22"/>
          <w:szCs w:val="22"/>
        </w:rPr>
        <w:t xml:space="preserve">. </w:t>
      </w:r>
    </w:p>
    <w:p w:rsidR="008040DB" w:rsidRDefault="008040DB">
      <w:pPr>
        <w:rPr>
          <w:rFonts w:cs="Arial"/>
          <w:sz w:val="22"/>
          <w:szCs w:val="22"/>
        </w:rPr>
      </w:pPr>
    </w:p>
    <w:p w:rsidR="008040DB" w:rsidRDefault="008040DB">
      <w:pPr>
        <w:rPr>
          <w:rFonts w:cs="Arial"/>
          <w:sz w:val="22"/>
          <w:szCs w:val="22"/>
        </w:rPr>
      </w:pPr>
    </w:p>
    <w:p w:rsidR="008040DB" w:rsidRDefault="008040DB">
      <w:pPr>
        <w:rPr>
          <w:rFonts w:cs="Arial"/>
          <w:b/>
          <w:bCs/>
          <w:sz w:val="22"/>
          <w:szCs w:val="22"/>
        </w:rPr>
      </w:pPr>
      <w:r>
        <w:rPr>
          <w:rFonts w:cs="Arial"/>
          <w:b/>
          <w:bCs/>
          <w:sz w:val="22"/>
          <w:szCs w:val="22"/>
        </w:rPr>
        <w:t>How funding is calculated</w:t>
      </w:r>
    </w:p>
    <w:p w:rsidR="008040DB" w:rsidRDefault="008040DB">
      <w:pPr>
        <w:rPr>
          <w:rFonts w:cs="Arial"/>
          <w:b/>
          <w:bCs/>
          <w:sz w:val="22"/>
          <w:szCs w:val="22"/>
        </w:rPr>
      </w:pPr>
    </w:p>
    <w:p w:rsidR="008040DB" w:rsidRDefault="008040DB">
      <w:pPr>
        <w:numPr>
          <w:ilvl w:val="0"/>
          <w:numId w:val="6"/>
        </w:numPr>
        <w:rPr>
          <w:rFonts w:cs="Arial"/>
          <w:sz w:val="22"/>
          <w:szCs w:val="22"/>
        </w:rPr>
      </w:pPr>
      <w:r>
        <w:rPr>
          <w:rFonts w:cs="Arial"/>
          <w:sz w:val="22"/>
          <w:szCs w:val="22"/>
        </w:rPr>
        <w:t>The majority of funding a school receives is based on pupil numbers – the more pupils on roll, the higher the funding.</w:t>
      </w:r>
    </w:p>
    <w:p w:rsidR="008040DB" w:rsidRDefault="008040DB">
      <w:pPr>
        <w:rPr>
          <w:rFonts w:cs="Arial"/>
          <w:sz w:val="22"/>
          <w:szCs w:val="22"/>
        </w:rPr>
      </w:pPr>
    </w:p>
    <w:p w:rsidR="008040DB" w:rsidRDefault="008040DB">
      <w:pPr>
        <w:numPr>
          <w:ilvl w:val="0"/>
          <w:numId w:val="6"/>
        </w:numPr>
        <w:rPr>
          <w:rFonts w:cs="Arial"/>
          <w:sz w:val="22"/>
          <w:szCs w:val="22"/>
        </w:rPr>
      </w:pPr>
      <w:r>
        <w:rPr>
          <w:rFonts w:cs="Arial"/>
          <w:bCs/>
          <w:sz w:val="22"/>
          <w:szCs w:val="22"/>
        </w:rPr>
        <w:t>Other factors contribute to a school’s funding allocation (these are shown separately on each S251 Budget Statement) and include:</w:t>
      </w:r>
    </w:p>
    <w:p w:rsidR="008040DB" w:rsidRDefault="008040DB">
      <w:pPr>
        <w:numPr>
          <w:ilvl w:val="1"/>
          <w:numId w:val="7"/>
        </w:numPr>
        <w:rPr>
          <w:rFonts w:cs="Arial"/>
          <w:sz w:val="22"/>
          <w:szCs w:val="22"/>
        </w:rPr>
      </w:pPr>
      <w:r>
        <w:rPr>
          <w:rFonts w:cs="Arial"/>
          <w:sz w:val="22"/>
          <w:szCs w:val="22"/>
        </w:rPr>
        <w:t>Deprivation levels (e.g. low income families, free school meals)</w:t>
      </w:r>
    </w:p>
    <w:p w:rsidR="008040DB" w:rsidRDefault="008040DB">
      <w:pPr>
        <w:numPr>
          <w:ilvl w:val="1"/>
          <w:numId w:val="7"/>
        </w:numPr>
        <w:rPr>
          <w:rFonts w:cs="Arial"/>
          <w:sz w:val="22"/>
          <w:szCs w:val="22"/>
        </w:rPr>
      </w:pPr>
      <w:r>
        <w:rPr>
          <w:rFonts w:cs="Arial"/>
          <w:sz w:val="22"/>
          <w:szCs w:val="22"/>
        </w:rPr>
        <w:t>High Needs</w:t>
      </w:r>
    </w:p>
    <w:p w:rsidR="008040DB" w:rsidRDefault="008040DB">
      <w:pPr>
        <w:numPr>
          <w:ilvl w:val="1"/>
          <w:numId w:val="7"/>
        </w:numPr>
        <w:rPr>
          <w:rFonts w:cs="Arial"/>
          <w:sz w:val="22"/>
          <w:szCs w:val="22"/>
        </w:rPr>
      </w:pPr>
      <w:r>
        <w:rPr>
          <w:rFonts w:cs="Arial"/>
          <w:sz w:val="22"/>
          <w:szCs w:val="22"/>
        </w:rPr>
        <w:t>Levels of mobility</w:t>
      </w:r>
    </w:p>
    <w:p w:rsidR="008040DB" w:rsidRDefault="008040DB">
      <w:pPr>
        <w:numPr>
          <w:ilvl w:val="1"/>
          <w:numId w:val="7"/>
        </w:numPr>
        <w:rPr>
          <w:rFonts w:cs="Arial"/>
          <w:sz w:val="22"/>
          <w:szCs w:val="22"/>
        </w:rPr>
      </w:pPr>
      <w:r>
        <w:rPr>
          <w:rFonts w:cs="Arial"/>
          <w:sz w:val="22"/>
          <w:szCs w:val="22"/>
        </w:rPr>
        <w:t>Pupil Prior attainment</w:t>
      </w:r>
    </w:p>
    <w:p w:rsidR="008040DB" w:rsidRDefault="008040DB">
      <w:pPr>
        <w:numPr>
          <w:ilvl w:val="1"/>
          <w:numId w:val="7"/>
        </w:numPr>
        <w:rPr>
          <w:rFonts w:cs="Arial"/>
          <w:sz w:val="22"/>
          <w:szCs w:val="22"/>
        </w:rPr>
      </w:pPr>
      <w:r>
        <w:rPr>
          <w:rFonts w:cs="Arial"/>
          <w:sz w:val="22"/>
          <w:szCs w:val="22"/>
        </w:rPr>
        <w:t>Rates (actual cost)</w:t>
      </w:r>
    </w:p>
    <w:p w:rsidR="008040DB" w:rsidRDefault="008040DB">
      <w:pPr>
        <w:rPr>
          <w:rFonts w:cs="Arial"/>
          <w:sz w:val="22"/>
          <w:szCs w:val="22"/>
        </w:rPr>
      </w:pPr>
    </w:p>
    <w:p w:rsidR="008040DB" w:rsidRDefault="008040DB">
      <w:pPr>
        <w:numPr>
          <w:ilvl w:val="0"/>
          <w:numId w:val="6"/>
        </w:numPr>
        <w:rPr>
          <w:rFonts w:cs="Arial"/>
          <w:sz w:val="22"/>
          <w:szCs w:val="22"/>
        </w:rPr>
      </w:pPr>
      <w:r>
        <w:rPr>
          <w:rFonts w:cs="Arial"/>
          <w:bCs/>
          <w:sz w:val="22"/>
          <w:szCs w:val="22"/>
        </w:rPr>
        <w:t>Funding is grouped together in types (CFR codes)</w:t>
      </w:r>
      <w:r>
        <w:rPr>
          <w:rFonts w:cs="Arial"/>
          <w:sz w:val="22"/>
          <w:szCs w:val="22"/>
        </w:rPr>
        <w:t>:</w:t>
      </w:r>
    </w:p>
    <w:p w:rsidR="008040DB" w:rsidRDefault="008040DB">
      <w:pPr>
        <w:numPr>
          <w:ilvl w:val="1"/>
          <w:numId w:val="8"/>
        </w:numPr>
        <w:rPr>
          <w:rFonts w:cs="Arial"/>
          <w:sz w:val="22"/>
          <w:szCs w:val="22"/>
        </w:rPr>
      </w:pPr>
      <w:r>
        <w:rPr>
          <w:rFonts w:cs="Arial"/>
          <w:sz w:val="22"/>
          <w:szCs w:val="22"/>
        </w:rPr>
        <w:t>I01 – Funds delegated by the Local Authority</w:t>
      </w:r>
    </w:p>
    <w:p w:rsidR="008040DB" w:rsidRDefault="008040DB">
      <w:pPr>
        <w:numPr>
          <w:ilvl w:val="1"/>
          <w:numId w:val="8"/>
        </w:numPr>
        <w:rPr>
          <w:rFonts w:cs="Arial"/>
          <w:sz w:val="22"/>
          <w:szCs w:val="22"/>
        </w:rPr>
      </w:pPr>
      <w:r>
        <w:rPr>
          <w:rFonts w:cs="Arial"/>
          <w:sz w:val="22"/>
          <w:szCs w:val="22"/>
        </w:rPr>
        <w:t>I02 – Funding for 6th Form Students</w:t>
      </w:r>
    </w:p>
    <w:p w:rsidR="008040DB" w:rsidRDefault="008040DB">
      <w:pPr>
        <w:numPr>
          <w:ilvl w:val="1"/>
          <w:numId w:val="8"/>
        </w:numPr>
        <w:rPr>
          <w:rFonts w:cs="Arial"/>
          <w:sz w:val="22"/>
          <w:szCs w:val="22"/>
        </w:rPr>
      </w:pPr>
      <w:r>
        <w:rPr>
          <w:rFonts w:cs="Arial"/>
          <w:sz w:val="22"/>
          <w:szCs w:val="22"/>
        </w:rPr>
        <w:t>I03 – High Needs Top Up Funding</w:t>
      </w:r>
    </w:p>
    <w:p w:rsidR="008040DB" w:rsidRDefault="008040DB">
      <w:pPr>
        <w:numPr>
          <w:ilvl w:val="1"/>
          <w:numId w:val="8"/>
        </w:numPr>
        <w:rPr>
          <w:rFonts w:cs="Arial"/>
          <w:sz w:val="22"/>
          <w:szCs w:val="22"/>
        </w:rPr>
      </w:pPr>
      <w:r>
        <w:rPr>
          <w:rFonts w:cs="Arial"/>
          <w:sz w:val="22"/>
          <w:szCs w:val="22"/>
        </w:rPr>
        <w:t>I05 - Pupil Premium</w:t>
      </w:r>
    </w:p>
    <w:p w:rsidR="008040DB" w:rsidRDefault="008040DB">
      <w:pPr>
        <w:rPr>
          <w:rFonts w:cs="Arial"/>
          <w:sz w:val="22"/>
          <w:szCs w:val="22"/>
        </w:rPr>
      </w:pPr>
    </w:p>
    <w:p w:rsidR="008040DB" w:rsidRDefault="008040DB">
      <w:pPr>
        <w:rPr>
          <w:rFonts w:cs="Arial"/>
          <w:b/>
          <w:bCs/>
          <w:sz w:val="22"/>
          <w:szCs w:val="22"/>
        </w:rPr>
      </w:pPr>
    </w:p>
    <w:p w:rsidR="008040DB" w:rsidRDefault="008040DB">
      <w:pPr>
        <w:rPr>
          <w:rFonts w:cs="Arial"/>
          <w:b/>
          <w:bCs/>
          <w:sz w:val="22"/>
          <w:szCs w:val="22"/>
        </w:rPr>
      </w:pPr>
      <w:r>
        <w:rPr>
          <w:rFonts w:cs="Arial"/>
          <w:b/>
          <w:bCs/>
          <w:sz w:val="22"/>
          <w:szCs w:val="22"/>
        </w:rPr>
        <w:t>Pupil Premium</w:t>
      </w:r>
    </w:p>
    <w:p w:rsidR="008040DB" w:rsidRDefault="008040DB">
      <w:pPr>
        <w:rPr>
          <w:rFonts w:cs="Arial"/>
          <w:sz w:val="22"/>
          <w:szCs w:val="22"/>
        </w:rPr>
      </w:pPr>
    </w:p>
    <w:p w:rsidR="008040DB" w:rsidRDefault="008040DB">
      <w:pPr>
        <w:autoSpaceDE w:val="0"/>
        <w:autoSpaceDN w:val="0"/>
        <w:adjustRightInd w:val="0"/>
        <w:jc w:val="both"/>
        <w:rPr>
          <w:rFonts w:cs="Arial"/>
          <w:sz w:val="22"/>
          <w:szCs w:val="22"/>
        </w:rPr>
      </w:pPr>
      <w:r>
        <w:rPr>
          <w:rFonts w:cs="Arial"/>
          <w:sz w:val="22"/>
          <w:szCs w:val="22"/>
        </w:rPr>
        <w:t>The Pupil Premium Grant is intended to reduce achievement gaps between advantaged and vulnerable pupils.  It is allocated to schools broadly on the basis of the number of pupils receiving Free School Meals.  Schools are free to spend it as they wish on eligible pupils</w:t>
      </w:r>
      <w:r>
        <w:rPr>
          <w:rFonts w:cs="Arial"/>
          <w:color w:val="FF0000"/>
          <w:sz w:val="22"/>
          <w:szCs w:val="22"/>
        </w:rPr>
        <w:t xml:space="preserve"> </w:t>
      </w:r>
      <w:r>
        <w:rPr>
          <w:rFonts w:cs="Arial"/>
          <w:sz w:val="22"/>
          <w:szCs w:val="22"/>
        </w:rPr>
        <w:t xml:space="preserve">but need to be able to demonstrate the expenditure is contributing to closing the performance gaps </w:t>
      </w:r>
    </w:p>
    <w:p w:rsidR="008040DB" w:rsidRDefault="008040DB">
      <w:pPr>
        <w:autoSpaceDE w:val="0"/>
        <w:autoSpaceDN w:val="0"/>
        <w:adjustRightInd w:val="0"/>
        <w:jc w:val="both"/>
        <w:rPr>
          <w:rFonts w:cs="Arial"/>
          <w:sz w:val="22"/>
          <w:szCs w:val="22"/>
        </w:rPr>
      </w:pPr>
    </w:p>
    <w:p w:rsidR="008040DB" w:rsidRDefault="008040DB">
      <w:pPr>
        <w:autoSpaceDE w:val="0"/>
        <w:autoSpaceDN w:val="0"/>
        <w:adjustRightInd w:val="0"/>
        <w:jc w:val="both"/>
        <w:rPr>
          <w:rFonts w:cs="Arial"/>
          <w:sz w:val="22"/>
          <w:szCs w:val="22"/>
        </w:rPr>
      </w:pPr>
      <w:r>
        <w:rPr>
          <w:rFonts w:cs="Arial"/>
          <w:sz w:val="22"/>
          <w:szCs w:val="22"/>
        </w:rPr>
        <w:t>Schools are expected to report on how they spend their Pupil Premium Grant for each academic year by publishing a report on their website,</w:t>
      </w:r>
    </w:p>
    <w:p w:rsidR="008040DB" w:rsidRDefault="008040DB">
      <w:pPr>
        <w:rPr>
          <w:rFonts w:cs="Arial"/>
          <w:sz w:val="22"/>
          <w:szCs w:val="22"/>
        </w:rPr>
      </w:pPr>
    </w:p>
    <w:p w:rsidR="008040DB" w:rsidRDefault="008040DB">
      <w:pPr>
        <w:rPr>
          <w:rFonts w:cs="Arial"/>
          <w:sz w:val="22"/>
          <w:szCs w:val="22"/>
        </w:rPr>
      </w:pPr>
    </w:p>
    <w:p w:rsidR="008040DB" w:rsidRDefault="008040DB">
      <w:pPr>
        <w:rPr>
          <w:rFonts w:cs="Arial"/>
          <w:b/>
          <w:bCs/>
          <w:sz w:val="22"/>
          <w:szCs w:val="22"/>
        </w:rPr>
      </w:pPr>
      <w:r>
        <w:rPr>
          <w:rFonts w:cs="Arial"/>
          <w:b/>
          <w:bCs/>
          <w:sz w:val="22"/>
          <w:szCs w:val="22"/>
        </w:rPr>
        <w:t>Primary PE &amp; Sports Grant</w:t>
      </w:r>
    </w:p>
    <w:p w:rsidR="008040DB" w:rsidRDefault="008040DB">
      <w:pPr>
        <w:shd w:val="clear" w:color="auto" w:fill="FFFFFF"/>
        <w:spacing w:before="100" w:beforeAutospacing="1" w:after="193"/>
        <w:jc w:val="both"/>
        <w:rPr>
          <w:rFonts w:cs="Arial"/>
          <w:color w:val="000000"/>
          <w:sz w:val="22"/>
          <w:szCs w:val="22"/>
          <w:lang w:val="en" w:eastAsia="en-GB"/>
        </w:rPr>
      </w:pPr>
      <w:r>
        <w:rPr>
          <w:rFonts w:cs="Arial"/>
          <w:color w:val="000000"/>
          <w:sz w:val="22"/>
          <w:szCs w:val="22"/>
          <w:lang w:val="en" w:eastAsia="en-GB"/>
        </w:rPr>
        <w:t xml:space="preserve">The government is providing additional funding for </w:t>
      </w:r>
      <w:r>
        <w:rPr>
          <w:rFonts w:cs="Arial"/>
          <w:sz w:val="22"/>
          <w:szCs w:val="22"/>
          <w:lang w:val="en" w:eastAsia="en-GB"/>
        </w:rPr>
        <w:t>3 a</w:t>
      </w:r>
      <w:r>
        <w:rPr>
          <w:rFonts w:cs="Arial"/>
          <w:color w:val="000000"/>
          <w:sz w:val="22"/>
          <w:szCs w:val="22"/>
          <w:lang w:val="en" w:eastAsia="en-GB"/>
        </w:rPr>
        <w:t xml:space="preserve">cademic years 2013 to 2014, 2014 to 2015 </w:t>
      </w:r>
      <w:r>
        <w:rPr>
          <w:rFonts w:cs="Arial"/>
          <w:sz w:val="22"/>
          <w:szCs w:val="22"/>
          <w:lang w:val="en" w:eastAsia="en-GB"/>
        </w:rPr>
        <w:t>and 2015-16</w:t>
      </w:r>
      <w:r>
        <w:rPr>
          <w:rFonts w:cs="Arial"/>
          <w:color w:val="FF0000"/>
          <w:sz w:val="22"/>
          <w:szCs w:val="22"/>
          <w:lang w:val="en" w:eastAsia="en-GB"/>
        </w:rPr>
        <w:t xml:space="preserve"> </w:t>
      </w:r>
      <w:r>
        <w:rPr>
          <w:rFonts w:cs="Arial"/>
          <w:color w:val="000000"/>
          <w:sz w:val="22"/>
          <w:szCs w:val="22"/>
          <w:lang w:val="en" w:eastAsia="en-GB"/>
        </w:rPr>
        <w:t>to improve provision of physical education (PE) and sport in primary schools. This funding can only be spent on provision of PE and sport in schools.</w:t>
      </w:r>
    </w:p>
    <w:p w:rsidR="008040DB" w:rsidRDefault="008040DB">
      <w:pPr>
        <w:autoSpaceDE w:val="0"/>
        <w:autoSpaceDN w:val="0"/>
        <w:adjustRightInd w:val="0"/>
        <w:jc w:val="both"/>
        <w:rPr>
          <w:rFonts w:cs="Arial"/>
          <w:sz w:val="22"/>
          <w:szCs w:val="22"/>
        </w:rPr>
      </w:pPr>
      <w:r>
        <w:rPr>
          <w:rFonts w:cs="Arial"/>
          <w:sz w:val="22"/>
          <w:szCs w:val="22"/>
        </w:rPr>
        <w:t>Schools will be expected to report on how they spend their PE &amp; Sports Grant for each academic year by publishing a report on their website. The report must include details on the impact this funding has on pupils’ PE and sport participation and attainment.</w:t>
      </w:r>
    </w:p>
    <w:p w:rsidR="008040DB" w:rsidRDefault="008040DB">
      <w:r>
        <w:br w:type="page"/>
      </w:r>
    </w:p>
    <w:p w:rsidR="008040DB" w:rsidRDefault="008040DB">
      <w:pPr>
        <w:rPr>
          <w:b/>
          <w:sz w:val="28"/>
          <w:szCs w:val="28"/>
        </w:rPr>
      </w:pPr>
      <w:r>
        <w:rPr>
          <w:b/>
          <w:sz w:val="28"/>
          <w:szCs w:val="28"/>
        </w:rPr>
        <w:lastRenderedPageBreak/>
        <w:t>6.</w:t>
      </w:r>
      <w:r>
        <w:rPr>
          <w:b/>
          <w:sz w:val="28"/>
          <w:szCs w:val="28"/>
        </w:rPr>
        <w:tab/>
        <w:t>Protocols</w:t>
      </w:r>
    </w:p>
    <w:p w:rsidR="008040DB" w:rsidRDefault="008040DB">
      <w:pPr>
        <w:rPr>
          <w:sz w:val="22"/>
          <w:szCs w:val="22"/>
        </w:rPr>
      </w:pPr>
    </w:p>
    <w:p w:rsidR="008040DB" w:rsidRDefault="008040DB">
      <w:pPr>
        <w:rPr>
          <w:sz w:val="22"/>
          <w:szCs w:val="22"/>
        </w:rPr>
      </w:pPr>
    </w:p>
    <w:p w:rsidR="008040DB" w:rsidRDefault="008040DB">
      <w:pPr>
        <w:rPr>
          <w:bCs/>
          <w:sz w:val="22"/>
          <w:szCs w:val="22"/>
        </w:rPr>
      </w:pPr>
      <w:r>
        <w:rPr>
          <w:bCs/>
          <w:sz w:val="22"/>
          <w:szCs w:val="22"/>
        </w:rPr>
        <w:t>There are 4 main protocols in operation:</w:t>
      </w:r>
    </w:p>
    <w:p w:rsidR="008040DB" w:rsidRDefault="008040DB">
      <w:pPr>
        <w:rPr>
          <w:bCs/>
          <w:sz w:val="22"/>
          <w:szCs w:val="22"/>
        </w:rPr>
      </w:pPr>
    </w:p>
    <w:p w:rsidR="008040DB" w:rsidRDefault="008040DB">
      <w:pPr>
        <w:rPr>
          <w:bCs/>
          <w:sz w:val="22"/>
          <w:szCs w:val="22"/>
        </w:rPr>
      </w:pPr>
    </w:p>
    <w:p w:rsidR="008040DB" w:rsidRDefault="008040DB">
      <w:pPr>
        <w:rPr>
          <w:b/>
          <w:bCs/>
          <w:sz w:val="22"/>
          <w:szCs w:val="22"/>
        </w:rPr>
      </w:pPr>
      <w:r>
        <w:rPr>
          <w:b/>
          <w:bCs/>
          <w:sz w:val="22"/>
          <w:szCs w:val="22"/>
        </w:rPr>
        <w:t>Financial Classification of Schools</w:t>
      </w:r>
    </w:p>
    <w:p w:rsidR="008040DB" w:rsidRDefault="008040DB">
      <w:pPr>
        <w:rPr>
          <w:bCs/>
          <w:sz w:val="22"/>
          <w:szCs w:val="22"/>
        </w:rPr>
      </w:pPr>
    </w:p>
    <w:p w:rsidR="008040DB" w:rsidRDefault="008040DB">
      <w:pPr>
        <w:jc w:val="both"/>
        <w:rPr>
          <w:sz w:val="22"/>
          <w:szCs w:val="22"/>
        </w:rPr>
      </w:pPr>
      <w:r>
        <w:rPr>
          <w:bCs/>
          <w:sz w:val="22"/>
          <w:szCs w:val="22"/>
        </w:rPr>
        <w:t>The Financial Classification protocol is used to identify those schools facing the highest level or financial challenge.  E</w:t>
      </w:r>
      <w:r>
        <w:rPr>
          <w:sz w:val="22"/>
          <w:szCs w:val="22"/>
        </w:rPr>
        <w:t xml:space="preserve">stablished in July 2006, the system operates to identify the degree to which schools are vulnerable to financial difficulties or deficit and to provide a framework for support and monitoring these schools. </w:t>
      </w:r>
    </w:p>
    <w:p w:rsidR="008040DB" w:rsidRDefault="008040DB">
      <w:pPr>
        <w:jc w:val="both"/>
        <w:rPr>
          <w:sz w:val="22"/>
          <w:szCs w:val="22"/>
        </w:rPr>
      </w:pPr>
    </w:p>
    <w:p w:rsidR="008040DB" w:rsidRDefault="008040DB">
      <w:pPr>
        <w:jc w:val="both"/>
        <w:rPr>
          <w:sz w:val="22"/>
          <w:szCs w:val="22"/>
        </w:rPr>
      </w:pPr>
      <w:r>
        <w:rPr>
          <w:sz w:val="22"/>
          <w:szCs w:val="22"/>
        </w:rPr>
        <w:t xml:space="preserve">Under the protocol, schools are split into 4 Categories. Schools in Category A receive the highest level of support and monitoring from the </w:t>
      </w:r>
      <w:smartTag w:uri="urn:schemas-microsoft-com:office:smarttags" w:element="PersonName">
        <w:r>
          <w:rPr>
            <w:sz w:val="22"/>
            <w:szCs w:val="22"/>
          </w:rPr>
          <w:t>School Funding Team</w:t>
        </w:r>
      </w:smartTag>
      <w:r>
        <w:rPr>
          <w:sz w:val="22"/>
          <w:szCs w:val="22"/>
        </w:rPr>
        <w:t xml:space="preserve"> and must also meet other requirements. Schools in Category B receive a regular level of support and must also meet other requirements similar to Category A schools. Schools in Category C receive a moderate level of support, with arithmetic checks of budget returns. Schools in Category D are subject to the lowest level of support.</w:t>
      </w:r>
    </w:p>
    <w:p w:rsidR="008040DB" w:rsidRDefault="008040DB">
      <w:pPr>
        <w:jc w:val="both"/>
        <w:rPr>
          <w:sz w:val="22"/>
          <w:szCs w:val="22"/>
        </w:rPr>
      </w:pPr>
    </w:p>
    <w:p w:rsidR="008040DB" w:rsidRDefault="008040DB">
      <w:pPr>
        <w:rPr>
          <w:bCs/>
          <w:sz w:val="22"/>
          <w:szCs w:val="22"/>
        </w:rPr>
      </w:pPr>
      <w:r>
        <w:rPr>
          <w:bCs/>
          <w:sz w:val="22"/>
          <w:szCs w:val="22"/>
        </w:rPr>
        <w:t>The calculation is done annually and is based on information submitted by schools:</w:t>
      </w:r>
    </w:p>
    <w:p w:rsidR="008040DB" w:rsidRDefault="008040DB">
      <w:pPr>
        <w:rPr>
          <w:bCs/>
          <w:sz w:val="22"/>
          <w:szCs w:val="22"/>
        </w:rPr>
      </w:pPr>
    </w:p>
    <w:p w:rsidR="008040DB" w:rsidRDefault="008040DB">
      <w:pPr>
        <w:numPr>
          <w:ilvl w:val="0"/>
          <w:numId w:val="10"/>
        </w:numPr>
        <w:rPr>
          <w:bCs/>
          <w:sz w:val="22"/>
          <w:szCs w:val="22"/>
        </w:rPr>
      </w:pPr>
      <w:r>
        <w:rPr>
          <w:bCs/>
          <w:sz w:val="22"/>
          <w:szCs w:val="22"/>
        </w:rPr>
        <w:t>Closing balances for last 2 financial years</w:t>
      </w:r>
    </w:p>
    <w:p w:rsidR="008040DB" w:rsidRDefault="008040DB">
      <w:pPr>
        <w:numPr>
          <w:ilvl w:val="0"/>
          <w:numId w:val="10"/>
        </w:numPr>
        <w:rPr>
          <w:bCs/>
          <w:sz w:val="22"/>
          <w:szCs w:val="22"/>
        </w:rPr>
      </w:pPr>
      <w:r>
        <w:rPr>
          <w:bCs/>
          <w:sz w:val="22"/>
          <w:szCs w:val="22"/>
        </w:rPr>
        <w:t xml:space="preserve">Forecast balances for next 3 financial years </w:t>
      </w:r>
    </w:p>
    <w:p w:rsidR="008040DB" w:rsidRDefault="008040DB">
      <w:pPr>
        <w:numPr>
          <w:ilvl w:val="0"/>
          <w:numId w:val="10"/>
        </w:numPr>
        <w:rPr>
          <w:bCs/>
          <w:sz w:val="22"/>
          <w:szCs w:val="22"/>
        </w:rPr>
      </w:pPr>
      <w:r>
        <w:rPr>
          <w:bCs/>
          <w:sz w:val="22"/>
          <w:szCs w:val="22"/>
        </w:rPr>
        <w:t>Accuracy of forecasting balance at Q3 compared to final actual balance</w:t>
      </w:r>
    </w:p>
    <w:p w:rsidR="008040DB" w:rsidRDefault="008040DB">
      <w:pPr>
        <w:rPr>
          <w:bCs/>
          <w:sz w:val="22"/>
          <w:szCs w:val="22"/>
        </w:rPr>
      </w:pPr>
    </w:p>
    <w:p w:rsidR="008040DB" w:rsidRDefault="008040DB">
      <w:pPr>
        <w:jc w:val="both"/>
        <w:rPr>
          <w:rFonts w:cs="Arial"/>
          <w:sz w:val="22"/>
          <w:szCs w:val="22"/>
        </w:rPr>
      </w:pPr>
      <w:r>
        <w:rPr>
          <w:rFonts w:cs="Arial"/>
          <w:sz w:val="22"/>
          <w:szCs w:val="22"/>
        </w:rPr>
        <w:t>Although calculated annually on an academic year basis. Schools may move between categories, year on year, depending on the information they submit each year.  Governors should be aware of the current classification of the school.</w:t>
      </w:r>
    </w:p>
    <w:p w:rsidR="008040DB" w:rsidRDefault="008040DB">
      <w:pPr>
        <w:jc w:val="both"/>
        <w:rPr>
          <w:rFonts w:cs="Arial"/>
          <w:sz w:val="22"/>
          <w:szCs w:val="22"/>
        </w:rPr>
      </w:pPr>
    </w:p>
    <w:p w:rsidR="008040DB" w:rsidRDefault="008040DB">
      <w:pPr>
        <w:jc w:val="both"/>
        <w:rPr>
          <w:rFonts w:cs="Arial"/>
          <w:sz w:val="22"/>
          <w:szCs w:val="22"/>
        </w:rPr>
      </w:pPr>
      <w:r>
        <w:rPr>
          <w:rFonts w:cs="Arial"/>
          <w:sz w:val="22"/>
          <w:szCs w:val="22"/>
        </w:rPr>
        <w:t xml:space="preserve">Once established, the Category of a school will not normally be re-calculated until the next academic year. However, where the circumstances or budget of a school significantly changes in year, the </w:t>
      </w:r>
      <w:smartTag w:uri="urn:schemas-microsoft-com:office:smarttags" w:element="PersonName">
        <w:r>
          <w:rPr>
            <w:rFonts w:cs="Arial"/>
            <w:sz w:val="22"/>
            <w:szCs w:val="22"/>
          </w:rPr>
          <w:t>School Funding Team</w:t>
        </w:r>
      </w:smartTag>
      <w:r>
        <w:rPr>
          <w:rFonts w:cs="Arial"/>
          <w:sz w:val="22"/>
          <w:szCs w:val="22"/>
        </w:rPr>
        <w:t xml:space="preserve"> will assess if any additional support is required, for example, where a school submits a quarterly monitoring report, which forecasts a deficit or a very small carry forward balance (below 1% of funding or £10,000). </w:t>
      </w:r>
    </w:p>
    <w:p w:rsidR="008040DB" w:rsidRDefault="008040DB">
      <w:pPr>
        <w:jc w:val="both"/>
        <w:rPr>
          <w:rFonts w:cs="Arial"/>
          <w:sz w:val="22"/>
          <w:szCs w:val="22"/>
        </w:rPr>
      </w:pPr>
    </w:p>
    <w:p w:rsidR="008040DB" w:rsidRDefault="008040DB">
      <w:pPr>
        <w:jc w:val="both"/>
        <w:rPr>
          <w:rFonts w:cs="Arial"/>
          <w:sz w:val="22"/>
          <w:szCs w:val="22"/>
        </w:rPr>
      </w:pPr>
      <w:r>
        <w:rPr>
          <w:rFonts w:cs="Arial"/>
          <w:sz w:val="22"/>
          <w:szCs w:val="22"/>
        </w:rPr>
        <w:t xml:space="preserve">Appeals from schools on their category are considered on an individual case basis, on the evidence submitted by the school. Acknowledging there may be exceptions, the </w:t>
      </w:r>
      <w:smartTag w:uri="urn:schemas-microsoft-com:office:smarttags" w:element="PersonName">
        <w:r>
          <w:rPr>
            <w:rFonts w:cs="Arial"/>
            <w:sz w:val="22"/>
            <w:szCs w:val="22"/>
          </w:rPr>
          <w:t>School Funding Team</w:t>
        </w:r>
      </w:smartTag>
      <w:r>
        <w:rPr>
          <w:rFonts w:cs="Arial"/>
          <w:sz w:val="22"/>
          <w:szCs w:val="22"/>
        </w:rPr>
        <w:t xml:space="preserve"> will consider any evidence a school wishes to submit. </w:t>
      </w:r>
    </w:p>
    <w:p w:rsidR="008040DB" w:rsidRDefault="008040DB">
      <w:pPr>
        <w:jc w:val="both"/>
        <w:rPr>
          <w:rFonts w:cs="Arial"/>
          <w:sz w:val="22"/>
          <w:szCs w:val="22"/>
        </w:rPr>
      </w:pPr>
    </w:p>
    <w:p w:rsidR="008040DB" w:rsidRDefault="008040DB">
      <w:pPr>
        <w:jc w:val="both"/>
        <w:rPr>
          <w:rFonts w:cs="Arial"/>
          <w:sz w:val="22"/>
          <w:szCs w:val="22"/>
        </w:rPr>
      </w:pPr>
      <w:r>
        <w:rPr>
          <w:rFonts w:cs="Arial"/>
          <w:sz w:val="22"/>
          <w:szCs w:val="22"/>
        </w:rPr>
        <w:t>For schools in Category A to C there is a requirement for a nominated Governor to attend the Effective Financial Governance course, where a member of a school’s current Governing Body has not been on this already, beginning from September 2013. Courses are run termly, but additional courses for specific schools can be run where requested. This course is available to all Governing Bodies regardless of Category.</w:t>
      </w:r>
    </w:p>
    <w:p w:rsidR="008040DB" w:rsidRDefault="008040DB">
      <w:pPr>
        <w:jc w:val="both"/>
        <w:rPr>
          <w:rFonts w:cs="Arial"/>
          <w:sz w:val="22"/>
          <w:szCs w:val="22"/>
        </w:rPr>
      </w:pPr>
    </w:p>
    <w:p w:rsidR="008040DB" w:rsidRDefault="008040DB">
      <w:pPr>
        <w:jc w:val="both"/>
        <w:rPr>
          <w:rFonts w:cs="Arial"/>
          <w:sz w:val="22"/>
          <w:szCs w:val="22"/>
        </w:rPr>
      </w:pPr>
      <w:r>
        <w:rPr>
          <w:rFonts w:cs="Arial"/>
          <w:sz w:val="22"/>
          <w:szCs w:val="22"/>
        </w:rPr>
        <w:t>The Financial Classification operates independently from the Light Touch Financial Monitoring Protocol (LTFM). The Classification allows more effective differentiation between levels of support to schools. The LTFM protocol primarily exists to provide an incentive for schools to submit required reports to the Local Authority by the stated deadlines.</w:t>
      </w:r>
    </w:p>
    <w:p w:rsidR="008040DB" w:rsidRDefault="008040DB">
      <w:pPr>
        <w:rPr>
          <w:rFonts w:cs="Arial"/>
          <w:sz w:val="22"/>
          <w:szCs w:val="22"/>
        </w:rPr>
      </w:pPr>
    </w:p>
    <w:p w:rsidR="008040DB" w:rsidRDefault="008040DB">
      <w:pPr>
        <w:rPr>
          <w:bCs/>
          <w:sz w:val="22"/>
          <w:szCs w:val="22"/>
        </w:rPr>
      </w:pPr>
    </w:p>
    <w:p w:rsidR="008040DB" w:rsidRDefault="008040DB">
      <w:pPr>
        <w:rPr>
          <w:bCs/>
          <w:sz w:val="22"/>
          <w:szCs w:val="22"/>
        </w:rPr>
      </w:pPr>
      <w:r>
        <w:rPr>
          <w:bCs/>
          <w:sz w:val="22"/>
          <w:szCs w:val="22"/>
        </w:rPr>
        <w:br w:type="page"/>
      </w:r>
    </w:p>
    <w:p w:rsidR="008040DB" w:rsidRDefault="008040DB">
      <w:pPr>
        <w:rPr>
          <w:b/>
          <w:bCs/>
          <w:sz w:val="22"/>
          <w:szCs w:val="22"/>
        </w:rPr>
      </w:pPr>
      <w:r>
        <w:rPr>
          <w:b/>
          <w:bCs/>
          <w:sz w:val="22"/>
          <w:szCs w:val="22"/>
        </w:rPr>
        <w:lastRenderedPageBreak/>
        <w:t>Light Touch Financial Monitoring Scorecard</w:t>
      </w:r>
    </w:p>
    <w:p w:rsidR="008040DB" w:rsidRDefault="008040DB">
      <w:pPr>
        <w:rPr>
          <w:bCs/>
          <w:sz w:val="22"/>
          <w:szCs w:val="22"/>
        </w:rPr>
      </w:pPr>
    </w:p>
    <w:p w:rsidR="008040DB" w:rsidRDefault="008040DB">
      <w:pPr>
        <w:jc w:val="both"/>
        <w:rPr>
          <w:sz w:val="22"/>
          <w:szCs w:val="22"/>
        </w:rPr>
      </w:pPr>
    </w:p>
    <w:p w:rsidR="008040DB" w:rsidRDefault="008040DB">
      <w:pPr>
        <w:jc w:val="both"/>
        <w:rPr>
          <w:rFonts w:cs="Arial"/>
          <w:sz w:val="22"/>
          <w:szCs w:val="22"/>
        </w:rPr>
      </w:pPr>
      <w:r>
        <w:rPr>
          <w:sz w:val="22"/>
          <w:szCs w:val="22"/>
        </w:rPr>
        <w:t xml:space="preserve">The Light Touch Financial Monitoring Scheme (LFTM; also known as ‘the Scorecard’) is a protocol that exists primarily to encourage the timeliness of reporting from schools to the Local Authority. </w:t>
      </w:r>
      <w:r>
        <w:rPr>
          <w:bCs/>
          <w:sz w:val="22"/>
          <w:szCs w:val="22"/>
        </w:rPr>
        <w:t xml:space="preserve">When regulatory returns are submitted late, or if those returns are inaccurate, then points are issued to school. </w:t>
      </w:r>
      <w:r>
        <w:rPr>
          <w:sz w:val="22"/>
          <w:szCs w:val="22"/>
        </w:rPr>
        <w:t xml:space="preserve">It is a </w:t>
      </w:r>
      <w:r>
        <w:rPr>
          <w:rFonts w:cs="Arial"/>
          <w:sz w:val="22"/>
          <w:szCs w:val="22"/>
        </w:rPr>
        <w:t xml:space="preserve">scoring system, </w:t>
      </w:r>
      <w:r>
        <w:rPr>
          <w:bCs/>
          <w:sz w:val="22"/>
          <w:szCs w:val="22"/>
        </w:rPr>
        <w:t xml:space="preserve">intended to highlight weaknesses in financial systems.  It is </w:t>
      </w:r>
      <w:r>
        <w:rPr>
          <w:rFonts w:cs="Arial"/>
          <w:sz w:val="22"/>
          <w:szCs w:val="22"/>
        </w:rPr>
        <w:t xml:space="preserve">used to distinguish between schools which can be monitored on a "light touch" basis and those schools requiring a more "watchful eye" approach. </w:t>
      </w:r>
    </w:p>
    <w:p w:rsidR="008040DB" w:rsidRDefault="008040DB">
      <w:pPr>
        <w:jc w:val="both"/>
        <w:rPr>
          <w:rFonts w:cs="Arial"/>
          <w:sz w:val="22"/>
          <w:szCs w:val="22"/>
        </w:rPr>
      </w:pPr>
    </w:p>
    <w:p w:rsidR="008040DB" w:rsidRDefault="008040DB">
      <w:pPr>
        <w:jc w:val="both"/>
        <w:rPr>
          <w:rFonts w:cs="Arial"/>
          <w:sz w:val="22"/>
          <w:szCs w:val="22"/>
        </w:rPr>
      </w:pPr>
      <w:r>
        <w:rPr>
          <w:rFonts w:cs="Arial"/>
          <w:sz w:val="22"/>
          <w:szCs w:val="22"/>
        </w:rPr>
        <w:t>Schools amass points, on an annual rolling programme, based on their scoring against the agreed criteria.  These criteria include meeting required deadline dates for the submission of key financial returns to the LA. Points are higher dependent on the importance of the return, for example, failure to submit a monthly VAT submittal incurs a 5 point penalty, where failure to submit the Year End Bank Reconciliation Return incurs 40 points.</w:t>
      </w:r>
    </w:p>
    <w:p w:rsidR="008040DB" w:rsidRDefault="008040DB">
      <w:pPr>
        <w:jc w:val="both"/>
        <w:rPr>
          <w:rFonts w:cs="Arial"/>
          <w:sz w:val="22"/>
          <w:szCs w:val="22"/>
        </w:rPr>
      </w:pPr>
    </w:p>
    <w:p w:rsidR="008040DB" w:rsidRDefault="008040DB">
      <w:pPr>
        <w:jc w:val="both"/>
        <w:rPr>
          <w:rFonts w:cs="Arial"/>
          <w:sz w:val="22"/>
          <w:szCs w:val="22"/>
        </w:rPr>
      </w:pPr>
      <w:r>
        <w:rPr>
          <w:rFonts w:cs="Arial"/>
          <w:sz w:val="22"/>
          <w:szCs w:val="22"/>
        </w:rPr>
        <w:t xml:space="preserve">Schools are split into 3 categories. Those scoring less than 20 points are placed in the “Green” category and between 21 and 39 points are placed in the “Amber” category. Schools scoring 40 points or more are classed as “Red” and are subject to “watchful eye” (monthly) monitoring.  </w:t>
      </w:r>
    </w:p>
    <w:p w:rsidR="008040DB" w:rsidRDefault="008040DB">
      <w:pPr>
        <w:jc w:val="both"/>
        <w:rPr>
          <w:rFonts w:cs="Arial"/>
          <w:sz w:val="22"/>
          <w:szCs w:val="22"/>
        </w:rPr>
      </w:pPr>
    </w:p>
    <w:p w:rsidR="008040DB" w:rsidRDefault="008040DB">
      <w:pPr>
        <w:pStyle w:val="BodyText"/>
        <w:jc w:val="both"/>
        <w:rPr>
          <w:rFonts w:ascii="Arial" w:hAnsi="Arial" w:cs="Arial"/>
          <w:sz w:val="22"/>
          <w:szCs w:val="22"/>
        </w:rPr>
      </w:pPr>
      <w:r>
        <w:rPr>
          <w:rFonts w:ascii="Arial" w:hAnsi="Arial" w:cs="Arial"/>
          <w:sz w:val="22"/>
          <w:szCs w:val="22"/>
        </w:rPr>
        <w:t>The scoring system has been designed to:</w:t>
      </w:r>
    </w:p>
    <w:p w:rsidR="008040DB" w:rsidRDefault="008040DB">
      <w:pPr>
        <w:jc w:val="both"/>
        <w:rPr>
          <w:rFonts w:cs="Arial"/>
          <w:sz w:val="22"/>
          <w:szCs w:val="22"/>
        </w:rPr>
      </w:pPr>
    </w:p>
    <w:p w:rsidR="008040DB" w:rsidRDefault="008040DB">
      <w:pPr>
        <w:numPr>
          <w:ilvl w:val="0"/>
          <w:numId w:val="30"/>
        </w:numPr>
        <w:jc w:val="both"/>
        <w:rPr>
          <w:rFonts w:cs="Arial"/>
          <w:sz w:val="22"/>
          <w:szCs w:val="22"/>
        </w:rPr>
      </w:pPr>
      <w:r>
        <w:rPr>
          <w:rFonts w:cs="Arial"/>
          <w:b/>
          <w:sz w:val="22"/>
          <w:szCs w:val="22"/>
        </w:rPr>
        <w:t>Be Simple</w:t>
      </w:r>
      <w:r>
        <w:rPr>
          <w:rFonts w:cs="Arial"/>
          <w:sz w:val="22"/>
          <w:szCs w:val="22"/>
        </w:rPr>
        <w:t xml:space="preserve">, in that the number of factors which are used to assess the “financial health” of a school are constructed in a way which enables schools to readily remember them, </w:t>
      </w:r>
    </w:p>
    <w:p w:rsidR="008040DB" w:rsidRDefault="008040DB">
      <w:pPr>
        <w:jc w:val="both"/>
        <w:rPr>
          <w:rFonts w:cs="Arial"/>
          <w:sz w:val="22"/>
          <w:szCs w:val="22"/>
        </w:rPr>
      </w:pPr>
    </w:p>
    <w:p w:rsidR="008040DB" w:rsidRDefault="008040DB">
      <w:pPr>
        <w:numPr>
          <w:ilvl w:val="0"/>
          <w:numId w:val="30"/>
        </w:numPr>
        <w:jc w:val="both"/>
        <w:rPr>
          <w:rFonts w:cs="Arial"/>
          <w:sz w:val="22"/>
          <w:szCs w:val="22"/>
        </w:rPr>
      </w:pPr>
      <w:r>
        <w:rPr>
          <w:rFonts w:cs="Arial"/>
          <w:b/>
          <w:sz w:val="22"/>
          <w:szCs w:val="22"/>
        </w:rPr>
        <w:t xml:space="preserve">Be Transparent, </w:t>
      </w:r>
      <w:r>
        <w:rPr>
          <w:rFonts w:cs="Arial"/>
          <w:sz w:val="22"/>
          <w:szCs w:val="22"/>
        </w:rPr>
        <w:t xml:space="preserve">in that each school is made aware of the scoring system and is notified regularly of its score. </w:t>
      </w:r>
    </w:p>
    <w:p w:rsidR="008040DB" w:rsidRDefault="008040DB">
      <w:pPr>
        <w:jc w:val="both"/>
        <w:rPr>
          <w:rFonts w:cs="Arial"/>
          <w:sz w:val="22"/>
          <w:szCs w:val="22"/>
        </w:rPr>
      </w:pPr>
    </w:p>
    <w:p w:rsidR="008040DB" w:rsidRDefault="008040DB">
      <w:pPr>
        <w:numPr>
          <w:ilvl w:val="0"/>
          <w:numId w:val="30"/>
        </w:numPr>
        <w:rPr>
          <w:rFonts w:cs="Arial"/>
          <w:sz w:val="22"/>
          <w:szCs w:val="22"/>
        </w:rPr>
      </w:pPr>
      <w:r>
        <w:rPr>
          <w:rFonts w:cs="Arial"/>
          <w:b/>
          <w:sz w:val="22"/>
          <w:szCs w:val="22"/>
        </w:rPr>
        <w:t>Be Measurable,</w:t>
      </w:r>
      <w:r>
        <w:rPr>
          <w:rFonts w:cs="Arial"/>
          <w:sz w:val="22"/>
          <w:szCs w:val="22"/>
        </w:rPr>
        <w:t xml:space="preserve"> scoring is done on an entirely objective basis to minimise disputes.</w:t>
      </w:r>
    </w:p>
    <w:p w:rsidR="008040DB" w:rsidRDefault="008040DB">
      <w:pPr>
        <w:jc w:val="both"/>
        <w:rPr>
          <w:rFonts w:cs="Arial"/>
          <w:sz w:val="22"/>
          <w:szCs w:val="22"/>
        </w:rPr>
      </w:pPr>
    </w:p>
    <w:p w:rsidR="008040DB" w:rsidRDefault="008040DB">
      <w:pPr>
        <w:numPr>
          <w:ilvl w:val="0"/>
          <w:numId w:val="30"/>
        </w:numPr>
        <w:jc w:val="both"/>
        <w:rPr>
          <w:rFonts w:cs="Arial"/>
          <w:sz w:val="22"/>
          <w:szCs w:val="22"/>
        </w:rPr>
      </w:pPr>
      <w:r>
        <w:rPr>
          <w:rFonts w:cs="Arial"/>
          <w:b/>
          <w:sz w:val="22"/>
          <w:szCs w:val="22"/>
        </w:rPr>
        <w:t>Allow schools to take corrective action</w:t>
      </w:r>
    </w:p>
    <w:p w:rsidR="008040DB" w:rsidRDefault="008040DB">
      <w:pPr>
        <w:jc w:val="both"/>
        <w:rPr>
          <w:rFonts w:cs="Arial"/>
          <w:sz w:val="22"/>
          <w:szCs w:val="22"/>
        </w:rPr>
      </w:pPr>
    </w:p>
    <w:p w:rsidR="008040DB" w:rsidRDefault="008040DB">
      <w:pPr>
        <w:tabs>
          <w:tab w:val="left" w:pos="1701"/>
        </w:tabs>
        <w:ind w:firstLine="567"/>
        <w:jc w:val="both"/>
        <w:rPr>
          <w:rFonts w:cs="Arial"/>
          <w:sz w:val="22"/>
          <w:szCs w:val="22"/>
        </w:rPr>
      </w:pPr>
      <w:r>
        <w:rPr>
          <w:rFonts w:cs="Arial"/>
          <w:sz w:val="22"/>
          <w:szCs w:val="22"/>
        </w:rPr>
        <w:t>Green</w:t>
      </w:r>
      <w:r>
        <w:rPr>
          <w:rFonts w:cs="Arial"/>
          <w:sz w:val="22"/>
          <w:szCs w:val="22"/>
        </w:rPr>
        <w:tab/>
        <w:t>fewer than 20 points - “light touch” monitoring operates</w:t>
      </w:r>
    </w:p>
    <w:p w:rsidR="008040DB" w:rsidRDefault="008040DB">
      <w:pPr>
        <w:tabs>
          <w:tab w:val="left" w:pos="1701"/>
        </w:tabs>
        <w:ind w:firstLine="567"/>
        <w:jc w:val="both"/>
        <w:rPr>
          <w:rFonts w:cs="Arial"/>
          <w:sz w:val="22"/>
          <w:szCs w:val="22"/>
        </w:rPr>
      </w:pPr>
    </w:p>
    <w:p w:rsidR="008040DB" w:rsidRDefault="008040DB">
      <w:pPr>
        <w:tabs>
          <w:tab w:val="left" w:pos="1701"/>
        </w:tabs>
        <w:ind w:left="1701" w:hanging="1134"/>
        <w:jc w:val="both"/>
        <w:rPr>
          <w:rFonts w:cs="Arial"/>
          <w:sz w:val="22"/>
          <w:szCs w:val="22"/>
        </w:rPr>
      </w:pPr>
      <w:r>
        <w:rPr>
          <w:rFonts w:cs="Arial"/>
          <w:sz w:val="22"/>
          <w:szCs w:val="22"/>
        </w:rPr>
        <w:t xml:space="preserve">Amber </w:t>
      </w:r>
      <w:r>
        <w:rPr>
          <w:rFonts w:cs="Arial"/>
          <w:sz w:val="22"/>
          <w:szCs w:val="22"/>
        </w:rPr>
        <w:tab/>
        <w:t>at least 20, but fewer than 40 points - the school is notified that a critical number of points has accumulated and is advised to redress the situation</w:t>
      </w:r>
    </w:p>
    <w:p w:rsidR="008040DB" w:rsidRDefault="008040DB">
      <w:pPr>
        <w:tabs>
          <w:tab w:val="left" w:pos="1701"/>
        </w:tabs>
        <w:ind w:left="1701" w:hanging="1134"/>
        <w:jc w:val="both"/>
        <w:rPr>
          <w:rFonts w:cs="Arial"/>
          <w:sz w:val="22"/>
          <w:szCs w:val="22"/>
        </w:rPr>
      </w:pPr>
    </w:p>
    <w:p w:rsidR="008040DB" w:rsidRDefault="008040DB">
      <w:pPr>
        <w:tabs>
          <w:tab w:val="left" w:pos="1701"/>
        </w:tabs>
        <w:ind w:firstLine="567"/>
        <w:jc w:val="both"/>
        <w:rPr>
          <w:rFonts w:cs="Arial"/>
          <w:sz w:val="22"/>
          <w:szCs w:val="22"/>
        </w:rPr>
      </w:pPr>
      <w:r>
        <w:rPr>
          <w:rFonts w:cs="Arial"/>
          <w:sz w:val="22"/>
          <w:szCs w:val="22"/>
        </w:rPr>
        <w:t xml:space="preserve">Red </w:t>
      </w:r>
      <w:r>
        <w:rPr>
          <w:rFonts w:cs="Arial"/>
          <w:sz w:val="22"/>
          <w:szCs w:val="22"/>
        </w:rPr>
        <w:tab/>
        <w:t xml:space="preserve">40 points or more - “watchful eye” monitoring is in place </w:t>
      </w:r>
    </w:p>
    <w:p w:rsidR="008040DB" w:rsidRDefault="008040DB">
      <w:pPr>
        <w:jc w:val="both"/>
        <w:rPr>
          <w:rFonts w:cs="Arial"/>
          <w:sz w:val="22"/>
          <w:szCs w:val="22"/>
        </w:rPr>
      </w:pPr>
    </w:p>
    <w:p w:rsidR="008040DB" w:rsidRDefault="008040DB">
      <w:pPr>
        <w:jc w:val="both"/>
        <w:rPr>
          <w:bCs/>
          <w:iCs/>
          <w:sz w:val="22"/>
          <w:szCs w:val="22"/>
        </w:rPr>
      </w:pPr>
      <w:r>
        <w:rPr>
          <w:rFonts w:cs="Arial"/>
          <w:sz w:val="22"/>
          <w:szCs w:val="22"/>
        </w:rPr>
        <w:t>The scoring system is updated at the end of every Quarter and the scorecard is published for schools to access. As t</w:t>
      </w:r>
      <w:r>
        <w:rPr>
          <w:bCs/>
          <w:iCs/>
          <w:sz w:val="22"/>
          <w:szCs w:val="22"/>
        </w:rPr>
        <w:t>he calculation is done quarterly, the Finance Committee should expect to see the Scorecard position of the school each quarter.</w:t>
      </w:r>
    </w:p>
    <w:p w:rsidR="008040DB" w:rsidRDefault="008040DB">
      <w:pPr>
        <w:jc w:val="both"/>
        <w:rPr>
          <w:b/>
          <w:bCs/>
          <w:sz w:val="22"/>
          <w:szCs w:val="22"/>
        </w:rPr>
      </w:pPr>
      <w:r>
        <w:rPr>
          <w:bCs/>
          <w:iCs/>
          <w:sz w:val="22"/>
          <w:szCs w:val="22"/>
        </w:rPr>
        <w:br w:type="page"/>
      </w:r>
      <w:r>
        <w:rPr>
          <w:b/>
          <w:bCs/>
          <w:sz w:val="22"/>
          <w:szCs w:val="22"/>
        </w:rPr>
        <w:lastRenderedPageBreak/>
        <w:t>Surplus Balance Protocol (also known as Intended Use of Balances or IUB)</w:t>
      </w:r>
    </w:p>
    <w:p w:rsidR="008040DB" w:rsidRDefault="008040DB">
      <w:pPr>
        <w:rPr>
          <w:b/>
          <w:bCs/>
          <w:sz w:val="22"/>
          <w:szCs w:val="22"/>
        </w:rPr>
      </w:pPr>
    </w:p>
    <w:p w:rsidR="008040DB" w:rsidRDefault="008040DB">
      <w:pPr>
        <w:jc w:val="both"/>
        <w:rPr>
          <w:sz w:val="22"/>
          <w:szCs w:val="22"/>
        </w:rPr>
      </w:pPr>
    </w:p>
    <w:p w:rsidR="008040DB" w:rsidRDefault="008040DB">
      <w:pPr>
        <w:jc w:val="both"/>
        <w:rPr>
          <w:sz w:val="22"/>
          <w:szCs w:val="22"/>
        </w:rPr>
      </w:pPr>
      <w:r>
        <w:rPr>
          <w:sz w:val="22"/>
          <w:szCs w:val="22"/>
        </w:rPr>
        <w:t xml:space="preserve">It is sound financial management for schools to retain a small reserve from year to year. In tighter financial times, it is important that school budgets remain resilient. However, this must be balanced against a duty to maximise the spending of resources, targeted correctly, to improve outcomes for children. </w:t>
      </w:r>
    </w:p>
    <w:p w:rsidR="008040DB" w:rsidRDefault="008040DB">
      <w:pPr>
        <w:ind w:left="720"/>
        <w:jc w:val="both"/>
        <w:rPr>
          <w:sz w:val="22"/>
          <w:szCs w:val="22"/>
        </w:rPr>
      </w:pPr>
    </w:p>
    <w:p w:rsidR="008040DB" w:rsidRDefault="008040DB">
      <w:pPr>
        <w:jc w:val="both"/>
        <w:rPr>
          <w:sz w:val="22"/>
          <w:szCs w:val="22"/>
        </w:rPr>
      </w:pPr>
      <w:r>
        <w:rPr>
          <w:sz w:val="22"/>
          <w:szCs w:val="22"/>
        </w:rPr>
        <w:t>The holding of an ‘excess’ revenue balance i.e. a balance above what is deemed an acceptable reserve, should be exceptional rather than a normal feature of a school’s budget management. The key purpose behind the approach is to require schools to maximise the spending of their revenue resources in the year in which these are allocated.</w:t>
      </w:r>
    </w:p>
    <w:p w:rsidR="008040DB" w:rsidRDefault="008040DB">
      <w:pPr>
        <w:jc w:val="both"/>
        <w:rPr>
          <w:rFonts w:ascii="Helvetica" w:hAnsi="Helvetica"/>
          <w:sz w:val="22"/>
          <w:szCs w:val="22"/>
          <w:lang w:val="en"/>
        </w:rPr>
      </w:pPr>
    </w:p>
    <w:p w:rsidR="008040DB" w:rsidRDefault="008040DB">
      <w:pPr>
        <w:jc w:val="both"/>
        <w:rPr>
          <w:rFonts w:ascii="Helvetica" w:hAnsi="Helvetica"/>
          <w:sz w:val="22"/>
          <w:szCs w:val="22"/>
          <w:lang w:val="en"/>
        </w:rPr>
      </w:pPr>
      <w:r>
        <w:rPr>
          <w:rFonts w:ascii="Helvetica" w:hAnsi="Helvetica"/>
          <w:sz w:val="22"/>
          <w:szCs w:val="22"/>
          <w:lang w:val="en"/>
        </w:rPr>
        <w:t xml:space="preserve">The Surplus Balances Protocol (also known as the ‘Intended Use of Balances’) describes the process to be followed by schools with carry forward balances in excess of the thresholds set by the Authority at the end of each financial year. The Scheme for Financing Schools provides for Local Authorities to </w:t>
      </w:r>
      <w:proofErr w:type="spellStart"/>
      <w:r>
        <w:rPr>
          <w:rFonts w:ascii="Helvetica" w:hAnsi="Helvetica"/>
          <w:sz w:val="22"/>
          <w:szCs w:val="22"/>
          <w:lang w:val="en"/>
        </w:rPr>
        <w:t>clawback</w:t>
      </w:r>
      <w:proofErr w:type="spellEnd"/>
      <w:r>
        <w:rPr>
          <w:rFonts w:ascii="Helvetica" w:hAnsi="Helvetica"/>
          <w:sz w:val="22"/>
          <w:szCs w:val="22"/>
          <w:lang w:val="en"/>
        </w:rPr>
        <w:t xml:space="preserve"> excessive balances from schools, where these balances have not been properly assigned.</w:t>
      </w:r>
    </w:p>
    <w:p w:rsidR="008040DB" w:rsidRDefault="008040DB">
      <w:pPr>
        <w:jc w:val="both"/>
        <w:rPr>
          <w:rFonts w:ascii="Helvetica" w:hAnsi="Helvetica"/>
          <w:sz w:val="22"/>
          <w:szCs w:val="22"/>
          <w:lang w:val="en"/>
        </w:rPr>
      </w:pPr>
    </w:p>
    <w:p w:rsidR="008040DB" w:rsidRDefault="008040DB">
      <w:pPr>
        <w:jc w:val="both"/>
        <w:rPr>
          <w:rFonts w:ascii="Helvetica" w:hAnsi="Helvetica"/>
          <w:sz w:val="22"/>
          <w:szCs w:val="22"/>
          <w:lang w:val="en"/>
        </w:rPr>
      </w:pPr>
      <w:r>
        <w:rPr>
          <w:rFonts w:ascii="Helvetica" w:hAnsi="Helvetica"/>
          <w:sz w:val="22"/>
          <w:szCs w:val="22"/>
          <w:lang w:val="en"/>
        </w:rPr>
        <w:t>Excess balance thresholds are calculated as a percentage of the I01 to I05 Funding received by schools in the S251 Funding Statement issued in March.  From the 2013-14 financial year:</w:t>
      </w:r>
    </w:p>
    <w:p w:rsidR="008040DB" w:rsidRDefault="008040DB">
      <w:pPr>
        <w:jc w:val="both"/>
        <w:rPr>
          <w:rFonts w:ascii="Helvetica" w:hAnsi="Helvetica"/>
          <w:sz w:val="22"/>
          <w:szCs w:val="22"/>
          <w:lang w:val="en"/>
        </w:rPr>
      </w:pPr>
    </w:p>
    <w:p w:rsidR="008040DB" w:rsidRDefault="008040DB">
      <w:pPr>
        <w:numPr>
          <w:ilvl w:val="0"/>
          <w:numId w:val="26"/>
        </w:numPr>
        <w:rPr>
          <w:sz w:val="22"/>
          <w:szCs w:val="22"/>
        </w:rPr>
      </w:pPr>
      <w:r>
        <w:rPr>
          <w:bCs/>
          <w:sz w:val="22"/>
          <w:szCs w:val="22"/>
        </w:rPr>
        <w:t>Primary</w:t>
      </w:r>
      <w:r>
        <w:rPr>
          <w:sz w:val="22"/>
          <w:szCs w:val="22"/>
        </w:rPr>
        <w:t xml:space="preserve">, Nursery, Special schools and Pupil Referral Units can hold up to 6% or £60,000 (whichever is greater) </w:t>
      </w:r>
    </w:p>
    <w:p w:rsidR="008040DB" w:rsidRDefault="008040DB">
      <w:pPr>
        <w:numPr>
          <w:ilvl w:val="0"/>
          <w:numId w:val="26"/>
        </w:numPr>
        <w:jc w:val="both"/>
        <w:rPr>
          <w:sz w:val="22"/>
          <w:szCs w:val="22"/>
        </w:rPr>
      </w:pPr>
      <w:r>
        <w:rPr>
          <w:sz w:val="22"/>
          <w:szCs w:val="22"/>
        </w:rPr>
        <w:t>Secondary schools can hold 4%.</w:t>
      </w:r>
    </w:p>
    <w:p w:rsidR="008040DB" w:rsidRDefault="008040DB">
      <w:pPr>
        <w:jc w:val="both"/>
        <w:rPr>
          <w:rFonts w:ascii="Helvetica" w:hAnsi="Helvetica"/>
          <w:sz w:val="22"/>
          <w:szCs w:val="22"/>
          <w:lang w:val="en"/>
        </w:rPr>
      </w:pPr>
    </w:p>
    <w:p w:rsidR="008040DB" w:rsidRDefault="008040DB">
      <w:pPr>
        <w:jc w:val="both"/>
        <w:rPr>
          <w:sz w:val="22"/>
          <w:szCs w:val="22"/>
        </w:rPr>
      </w:pPr>
      <w:r>
        <w:rPr>
          <w:bCs/>
          <w:sz w:val="22"/>
          <w:szCs w:val="22"/>
        </w:rPr>
        <w:t>Ideally, s</w:t>
      </w:r>
      <w:r>
        <w:rPr>
          <w:sz w:val="22"/>
          <w:szCs w:val="22"/>
        </w:rPr>
        <w:t xml:space="preserve">chools should utilise </w:t>
      </w:r>
      <w:r>
        <w:rPr>
          <w:bCs/>
          <w:sz w:val="22"/>
          <w:szCs w:val="22"/>
        </w:rPr>
        <w:t>excess</w:t>
      </w:r>
      <w:r>
        <w:rPr>
          <w:sz w:val="22"/>
          <w:szCs w:val="22"/>
        </w:rPr>
        <w:t xml:space="preserve"> funds in-year on School Development Plan priorities and resources to improve standards.  However, when schools wish to carry forward </w:t>
      </w:r>
      <w:r>
        <w:rPr>
          <w:bCs/>
          <w:sz w:val="22"/>
          <w:szCs w:val="22"/>
        </w:rPr>
        <w:t>excess</w:t>
      </w:r>
      <w:r>
        <w:rPr>
          <w:sz w:val="22"/>
          <w:szCs w:val="22"/>
        </w:rPr>
        <w:t xml:space="preserve"> funds to the next financial year for a specific or longer-term purpose, there are restrictions on the type of purpose permissible.  An example of this would be a revenue contribution to an agreed capital scheme. </w:t>
      </w:r>
    </w:p>
    <w:p w:rsidR="008040DB" w:rsidRDefault="008040DB">
      <w:pPr>
        <w:jc w:val="both"/>
        <w:rPr>
          <w:sz w:val="22"/>
          <w:szCs w:val="22"/>
        </w:rPr>
      </w:pPr>
    </w:p>
    <w:p w:rsidR="008040DB" w:rsidRDefault="008040DB">
      <w:pPr>
        <w:jc w:val="both"/>
        <w:rPr>
          <w:sz w:val="22"/>
          <w:szCs w:val="22"/>
        </w:rPr>
      </w:pPr>
      <w:r>
        <w:rPr>
          <w:sz w:val="22"/>
          <w:szCs w:val="22"/>
        </w:rPr>
        <w:t xml:space="preserve">Where schools fail to utilise excess balances in year, fail to submit schemes for approval or submit schemes that do not meet the criteria for approval, the excess balance may be subject to </w:t>
      </w:r>
      <w:proofErr w:type="spellStart"/>
      <w:r>
        <w:rPr>
          <w:sz w:val="22"/>
          <w:szCs w:val="22"/>
        </w:rPr>
        <w:t>clawback</w:t>
      </w:r>
      <w:proofErr w:type="spellEnd"/>
      <w:r>
        <w:rPr>
          <w:sz w:val="22"/>
          <w:szCs w:val="22"/>
        </w:rPr>
        <w:t xml:space="preserve">. </w:t>
      </w:r>
    </w:p>
    <w:p w:rsidR="008040DB" w:rsidRDefault="008040DB">
      <w:pPr>
        <w:jc w:val="both"/>
        <w:rPr>
          <w:sz w:val="22"/>
          <w:szCs w:val="22"/>
        </w:rPr>
      </w:pPr>
    </w:p>
    <w:p w:rsidR="008040DB" w:rsidRDefault="008040DB">
      <w:pPr>
        <w:rPr>
          <w:sz w:val="22"/>
          <w:szCs w:val="22"/>
        </w:rPr>
      </w:pPr>
    </w:p>
    <w:p w:rsidR="008040DB" w:rsidRDefault="008040DB">
      <w:pPr>
        <w:jc w:val="center"/>
        <w:rPr>
          <w:b/>
          <w:sz w:val="22"/>
          <w:szCs w:val="22"/>
        </w:rPr>
      </w:pPr>
      <w:r>
        <w:rPr>
          <w:b/>
          <w:iCs/>
          <w:sz w:val="22"/>
          <w:szCs w:val="22"/>
        </w:rPr>
        <w:t xml:space="preserve">Schools failing to adhere to the protocol may risk </w:t>
      </w:r>
      <w:proofErr w:type="spellStart"/>
      <w:r>
        <w:rPr>
          <w:b/>
          <w:iCs/>
          <w:sz w:val="22"/>
          <w:szCs w:val="22"/>
        </w:rPr>
        <w:t>clawback</w:t>
      </w:r>
      <w:proofErr w:type="spellEnd"/>
      <w:r>
        <w:rPr>
          <w:b/>
          <w:iCs/>
          <w:sz w:val="22"/>
          <w:szCs w:val="22"/>
        </w:rPr>
        <w:t xml:space="preserve"> of excess funds</w:t>
      </w:r>
      <w:r>
        <w:rPr>
          <w:b/>
          <w:sz w:val="22"/>
          <w:szCs w:val="22"/>
        </w:rPr>
        <w:t>.</w:t>
      </w:r>
    </w:p>
    <w:p w:rsidR="008040DB" w:rsidRDefault="008040DB">
      <w:pPr>
        <w:jc w:val="center"/>
        <w:rPr>
          <w:b/>
          <w:sz w:val="22"/>
          <w:szCs w:val="22"/>
        </w:rPr>
      </w:pPr>
    </w:p>
    <w:p w:rsidR="008040DB" w:rsidRDefault="008040DB">
      <w:pPr>
        <w:rPr>
          <w:b/>
          <w:bCs/>
          <w:sz w:val="22"/>
          <w:szCs w:val="22"/>
        </w:rPr>
      </w:pPr>
      <w:r>
        <w:rPr>
          <w:b/>
          <w:bCs/>
          <w:sz w:val="22"/>
          <w:szCs w:val="22"/>
        </w:rPr>
        <w:t>Identifying an excess balance</w:t>
      </w:r>
    </w:p>
    <w:p w:rsidR="008040DB" w:rsidRDefault="008040DB">
      <w:pPr>
        <w:rPr>
          <w:sz w:val="22"/>
          <w:szCs w:val="22"/>
        </w:rPr>
      </w:pPr>
    </w:p>
    <w:p w:rsidR="008040DB" w:rsidRDefault="008040DB">
      <w:pPr>
        <w:rPr>
          <w:sz w:val="22"/>
          <w:szCs w:val="22"/>
        </w:rPr>
      </w:pPr>
      <w:r>
        <w:rPr>
          <w:sz w:val="22"/>
          <w:szCs w:val="22"/>
        </w:rPr>
        <w:t xml:space="preserve">To support in managing balances a letter is sent to the Head Teacher and Chair of Governors of each school in April, informing them of the maximum reserve figure for that financial year. This is based on the S251 funding. </w:t>
      </w:r>
    </w:p>
    <w:p w:rsidR="008040DB" w:rsidRDefault="008040DB">
      <w:pPr>
        <w:rPr>
          <w:sz w:val="22"/>
          <w:szCs w:val="22"/>
        </w:rPr>
      </w:pPr>
    </w:p>
    <w:p w:rsidR="008040DB" w:rsidRDefault="008040DB">
      <w:pPr>
        <w:rPr>
          <w:sz w:val="22"/>
          <w:szCs w:val="22"/>
        </w:rPr>
      </w:pPr>
      <w:r>
        <w:rPr>
          <w:sz w:val="22"/>
          <w:szCs w:val="22"/>
        </w:rPr>
        <w:t xml:space="preserve">The </w:t>
      </w:r>
      <w:r>
        <w:rPr>
          <w:sz w:val="22"/>
          <w:szCs w:val="22"/>
          <w:u w:val="single"/>
        </w:rPr>
        <w:t>Governor Approved Budget template</w:t>
      </w:r>
      <w:r>
        <w:rPr>
          <w:sz w:val="22"/>
          <w:szCs w:val="22"/>
        </w:rPr>
        <w:t xml:space="preserve"> includes an alert to inform governors if the projected surplus balances exceed the threshold allowed.  </w:t>
      </w:r>
    </w:p>
    <w:p w:rsidR="008040DB" w:rsidRDefault="008040DB">
      <w:pPr>
        <w:rPr>
          <w:sz w:val="22"/>
          <w:szCs w:val="22"/>
        </w:rPr>
      </w:pPr>
    </w:p>
    <w:p w:rsidR="008040DB" w:rsidRDefault="008040DB">
      <w:pPr>
        <w:rPr>
          <w:sz w:val="22"/>
          <w:szCs w:val="22"/>
        </w:rPr>
      </w:pPr>
      <w:r>
        <w:rPr>
          <w:sz w:val="22"/>
          <w:szCs w:val="22"/>
        </w:rPr>
        <w:t xml:space="preserve">The </w:t>
      </w:r>
      <w:r>
        <w:rPr>
          <w:sz w:val="22"/>
          <w:szCs w:val="22"/>
          <w:u w:val="single"/>
        </w:rPr>
        <w:t>Quarterly Budget Monitoring template</w:t>
      </w:r>
      <w:r>
        <w:rPr>
          <w:sz w:val="22"/>
          <w:szCs w:val="22"/>
        </w:rPr>
        <w:t xml:space="preserve"> also includes an alert to inform governors if the projected surplus balance exceeds the threshold and by how much in terms of both percentage and value. </w:t>
      </w:r>
    </w:p>
    <w:p w:rsidR="008040DB" w:rsidRDefault="008040DB">
      <w:pPr>
        <w:rPr>
          <w:sz w:val="22"/>
          <w:szCs w:val="22"/>
        </w:rPr>
      </w:pPr>
    </w:p>
    <w:p w:rsidR="008040DB" w:rsidRDefault="008040DB">
      <w:pPr>
        <w:rPr>
          <w:sz w:val="22"/>
          <w:szCs w:val="22"/>
        </w:rPr>
      </w:pPr>
      <w:r>
        <w:rPr>
          <w:sz w:val="22"/>
          <w:szCs w:val="22"/>
        </w:rPr>
        <w:t>Governors should check these alerts when reviewing and approving returns and agree appropriate action.</w:t>
      </w:r>
    </w:p>
    <w:p w:rsidR="008040DB" w:rsidRDefault="008040DB">
      <w:pPr>
        <w:rPr>
          <w:b/>
          <w:bCs/>
          <w:sz w:val="22"/>
          <w:szCs w:val="22"/>
        </w:rPr>
      </w:pPr>
      <w:r>
        <w:rPr>
          <w:sz w:val="22"/>
          <w:szCs w:val="22"/>
        </w:rPr>
        <w:br w:type="page"/>
      </w:r>
    </w:p>
    <w:p w:rsidR="008040DB" w:rsidRDefault="008040DB">
      <w:pPr>
        <w:rPr>
          <w:rFonts w:cs="Arial"/>
          <w:b/>
          <w:sz w:val="22"/>
          <w:szCs w:val="22"/>
        </w:rPr>
      </w:pPr>
      <w:r>
        <w:rPr>
          <w:rFonts w:cs="Arial"/>
          <w:b/>
          <w:bCs/>
          <w:sz w:val="22"/>
          <w:szCs w:val="22"/>
        </w:rPr>
        <w:lastRenderedPageBreak/>
        <w:t>Deficit Budget Protocol</w:t>
      </w:r>
      <w:r>
        <w:rPr>
          <w:rFonts w:cs="Arial"/>
          <w:b/>
          <w:sz w:val="22"/>
          <w:szCs w:val="22"/>
        </w:rPr>
        <w:t xml:space="preserve"> </w:t>
      </w:r>
    </w:p>
    <w:p w:rsidR="008040DB" w:rsidRDefault="008040DB">
      <w:pPr>
        <w:rPr>
          <w:rFonts w:cs="Arial"/>
          <w:sz w:val="22"/>
          <w:szCs w:val="22"/>
        </w:rPr>
      </w:pPr>
    </w:p>
    <w:p w:rsidR="008040DB" w:rsidRDefault="008040DB">
      <w:pPr>
        <w:rPr>
          <w:rFonts w:cs="Arial"/>
          <w:sz w:val="22"/>
          <w:szCs w:val="22"/>
        </w:rPr>
      </w:pPr>
    </w:p>
    <w:p w:rsidR="008040DB" w:rsidRDefault="008040DB">
      <w:pPr>
        <w:rPr>
          <w:rFonts w:cs="Arial"/>
          <w:sz w:val="22"/>
          <w:szCs w:val="22"/>
        </w:rPr>
      </w:pPr>
      <w:r>
        <w:rPr>
          <w:rFonts w:cs="Arial"/>
          <w:sz w:val="22"/>
          <w:szCs w:val="22"/>
        </w:rPr>
        <w:t>The Deficit Budget Protocol describes the process to be followed where schools forecast they are unable to balance their budget and project a deficit position at the end of the financial year.</w:t>
      </w:r>
    </w:p>
    <w:p w:rsidR="008040DB" w:rsidRDefault="008040DB">
      <w:pPr>
        <w:rPr>
          <w:rFonts w:cs="Arial"/>
          <w:sz w:val="22"/>
          <w:szCs w:val="22"/>
        </w:rPr>
      </w:pPr>
    </w:p>
    <w:p w:rsidR="008040DB" w:rsidRDefault="008040DB">
      <w:pPr>
        <w:rPr>
          <w:snapToGrid w:val="0"/>
        </w:rPr>
      </w:pPr>
      <w:r>
        <w:rPr>
          <w:rFonts w:cs="Arial"/>
          <w:sz w:val="22"/>
          <w:szCs w:val="22"/>
        </w:rPr>
        <w:t xml:space="preserve">The Bradford Local Authority operates a ‘zero tolerance’ style stance to deficits, so if a school identifies a deficit balance at any point during the year they </w:t>
      </w:r>
      <w:r>
        <w:rPr>
          <w:rFonts w:cs="Arial"/>
          <w:bCs/>
          <w:sz w:val="22"/>
          <w:szCs w:val="22"/>
        </w:rPr>
        <w:t>must</w:t>
      </w:r>
      <w:r>
        <w:rPr>
          <w:rFonts w:cs="Arial"/>
          <w:sz w:val="22"/>
          <w:szCs w:val="22"/>
        </w:rPr>
        <w:t xml:space="preserve"> contact </w:t>
      </w:r>
      <w:smartTag w:uri="urn:schemas-microsoft-com:office:smarttags" w:element="PersonName">
        <w:r>
          <w:rPr>
            <w:rFonts w:cs="Arial"/>
            <w:sz w:val="22"/>
            <w:szCs w:val="22"/>
          </w:rPr>
          <w:t>School Funding Team</w:t>
        </w:r>
      </w:smartTag>
      <w:r>
        <w:rPr>
          <w:rFonts w:cs="Arial"/>
          <w:sz w:val="22"/>
          <w:szCs w:val="22"/>
        </w:rPr>
        <w:t xml:space="preserve"> immediately.  If the school cannot produce a plan which achieves a balanced budget position, the LA will work with the school to produce a repayment plan which achieves a balanced budget whilst ensuring the progress of pupils is not compromised.</w:t>
      </w:r>
      <w:r>
        <w:rPr>
          <w:snapToGrid w:val="0"/>
        </w:rPr>
        <w:t xml:space="preserve"> </w:t>
      </w:r>
    </w:p>
    <w:p w:rsidR="008040DB" w:rsidRDefault="008040DB">
      <w:pPr>
        <w:widowControl w:val="0"/>
        <w:jc w:val="both"/>
        <w:outlineLvl w:val="0"/>
        <w:rPr>
          <w:snapToGrid w:val="0"/>
          <w:sz w:val="22"/>
          <w:szCs w:val="22"/>
        </w:rPr>
      </w:pPr>
    </w:p>
    <w:p w:rsidR="008040DB" w:rsidRDefault="008040DB">
      <w:pPr>
        <w:widowControl w:val="0"/>
        <w:jc w:val="both"/>
        <w:rPr>
          <w:snapToGrid w:val="0"/>
          <w:sz w:val="22"/>
          <w:szCs w:val="22"/>
        </w:rPr>
      </w:pPr>
      <w:r>
        <w:rPr>
          <w:snapToGrid w:val="0"/>
          <w:sz w:val="22"/>
          <w:szCs w:val="22"/>
        </w:rPr>
        <w:t>Where a school submits a budget to the LA which indicates a deficit, the school must apply to the Local Authority. Approval will only be given within certain parameters and the normal period for repayment is 3 years or less.  Under exceptional circumstances the Authority will have the discretion to extend this period to 5 years.</w:t>
      </w:r>
    </w:p>
    <w:p w:rsidR="008040DB" w:rsidRDefault="008040DB">
      <w:pPr>
        <w:widowControl w:val="0"/>
        <w:jc w:val="both"/>
        <w:rPr>
          <w:snapToGrid w:val="0"/>
          <w:sz w:val="22"/>
          <w:szCs w:val="22"/>
        </w:rPr>
      </w:pPr>
    </w:p>
    <w:p w:rsidR="008040DB" w:rsidRDefault="008040DB">
      <w:pPr>
        <w:widowControl w:val="0"/>
        <w:jc w:val="both"/>
        <w:rPr>
          <w:snapToGrid w:val="0"/>
          <w:sz w:val="22"/>
          <w:szCs w:val="22"/>
        </w:rPr>
      </w:pPr>
      <w:r>
        <w:rPr>
          <w:snapToGrid w:val="0"/>
          <w:sz w:val="22"/>
          <w:szCs w:val="22"/>
        </w:rPr>
        <w:t>During the repayment period, should there be any variations to the repayment plan, the school is required to submit a revised repayment plan to be resubmitted for approval.</w:t>
      </w:r>
    </w:p>
    <w:p w:rsidR="008040DB" w:rsidRDefault="008040DB">
      <w:pPr>
        <w:widowControl w:val="0"/>
        <w:jc w:val="both"/>
        <w:rPr>
          <w:snapToGrid w:val="0"/>
          <w:sz w:val="22"/>
          <w:szCs w:val="22"/>
        </w:rPr>
      </w:pPr>
    </w:p>
    <w:p w:rsidR="008040DB" w:rsidRDefault="008040DB">
      <w:pPr>
        <w:widowControl w:val="0"/>
        <w:jc w:val="both"/>
        <w:rPr>
          <w:snapToGrid w:val="0"/>
          <w:sz w:val="22"/>
          <w:szCs w:val="22"/>
        </w:rPr>
      </w:pPr>
      <w:r>
        <w:rPr>
          <w:snapToGrid w:val="0"/>
          <w:sz w:val="22"/>
          <w:szCs w:val="22"/>
        </w:rPr>
        <w:t xml:space="preserve">The LA cannot write off the deficit balance of any school. Subject to the approval of the Schools Forum, additional funding to support schools in financial difficulty may come from a de-delegated contingency fund from the Dedicated Schools Grant for mainstream schools or from a central budget within the Dedicated Schools Grant for special schools and PRUs. At the end of any financial year, where any school has a deficit balance, this will be carried forward to the following year. </w:t>
      </w:r>
    </w:p>
    <w:p w:rsidR="008040DB" w:rsidRDefault="008040DB">
      <w:pPr>
        <w:widowControl w:val="0"/>
        <w:ind w:left="720"/>
        <w:jc w:val="both"/>
        <w:rPr>
          <w:snapToGrid w:val="0"/>
        </w:rPr>
      </w:pPr>
    </w:p>
    <w:p w:rsidR="008040DB" w:rsidRDefault="008040DB">
      <w:r>
        <w:br w:type="page"/>
      </w:r>
    </w:p>
    <w:p w:rsidR="008040DB" w:rsidRDefault="008040DB">
      <w:pPr>
        <w:rPr>
          <w:b/>
          <w:sz w:val="28"/>
          <w:szCs w:val="28"/>
        </w:rPr>
      </w:pPr>
      <w:r>
        <w:rPr>
          <w:b/>
          <w:sz w:val="28"/>
          <w:szCs w:val="28"/>
        </w:rPr>
        <w:lastRenderedPageBreak/>
        <w:t>7.</w:t>
      </w:r>
      <w:r>
        <w:rPr>
          <w:b/>
          <w:sz w:val="28"/>
          <w:szCs w:val="28"/>
        </w:rPr>
        <w:tab/>
        <w:t>Local Authority Returns</w:t>
      </w:r>
    </w:p>
    <w:p w:rsidR="008040DB" w:rsidRDefault="008040DB"/>
    <w:p w:rsidR="008040DB" w:rsidRDefault="008040DB">
      <w:pPr>
        <w:rPr>
          <w:sz w:val="22"/>
          <w:szCs w:val="22"/>
        </w:rPr>
      </w:pPr>
    </w:p>
    <w:p w:rsidR="008040DB" w:rsidRDefault="008040DB">
      <w:pPr>
        <w:rPr>
          <w:sz w:val="22"/>
          <w:szCs w:val="22"/>
        </w:rPr>
      </w:pPr>
      <w:r>
        <w:rPr>
          <w:sz w:val="22"/>
          <w:szCs w:val="22"/>
        </w:rPr>
        <w:t>There are many key activities and dates in any financial year as shown in the Financial Cycle.  Below are the significant returns required by the Local Authority and the deadline dates by which they must be submitted:</w:t>
      </w:r>
    </w:p>
    <w:p w:rsidR="008040DB" w:rsidRDefault="008040DB"/>
    <w:tbl>
      <w:tblPr>
        <w:tblW w:w="9102" w:type="dxa"/>
        <w:tblCellSpacing w:w="0" w:type="dxa"/>
        <w:tblCellMar>
          <w:left w:w="0" w:type="dxa"/>
          <w:right w:w="0" w:type="dxa"/>
        </w:tblCellMar>
        <w:tblLook w:val="0000" w:firstRow="0" w:lastRow="0" w:firstColumn="0" w:lastColumn="0" w:noHBand="0" w:noVBand="0"/>
      </w:tblPr>
      <w:tblGrid>
        <w:gridCol w:w="4992"/>
        <w:gridCol w:w="4110"/>
      </w:tblGrid>
      <w:tr w:rsidR="008040DB">
        <w:trPr>
          <w:trHeight w:val="360"/>
          <w:tblCellSpacing w:w="0" w:type="dxa"/>
        </w:trPr>
        <w:tc>
          <w:tcPr>
            <w:tcW w:w="4992" w:type="dxa"/>
            <w:tcBorders>
              <w:top w:val="single" w:sz="12" w:space="0" w:color="000000"/>
              <w:left w:val="single" w:sz="12" w:space="0" w:color="000000"/>
              <w:bottom w:val="single" w:sz="4" w:space="0" w:color="000000"/>
              <w:right w:val="single" w:sz="4" w:space="0" w:color="000000"/>
            </w:tcBorders>
          </w:tcPr>
          <w:p w:rsidR="008040DB" w:rsidRDefault="008040DB">
            <w:pPr>
              <w:spacing w:before="120"/>
              <w:jc w:val="center"/>
            </w:pPr>
            <w:r>
              <w:rPr>
                <w:b/>
                <w:bCs/>
              </w:rPr>
              <w:t>Return</w:t>
            </w:r>
          </w:p>
        </w:tc>
        <w:tc>
          <w:tcPr>
            <w:tcW w:w="4110" w:type="dxa"/>
            <w:tcBorders>
              <w:top w:val="single" w:sz="12" w:space="0" w:color="000000"/>
              <w:left w:val="single" w:sz="4" w:space="0" w:color="000000"/>
              <w:bottom w:val="single" w:sz="4" w:space="0" w:color="000000"/>
              <w:right w:val="single" w:sz="12" w:space="0" w:color="000000"/>
            </w:tcBorders>
          </w:tcPr>
          <w:p w:rsidR="008040DB" w:rsidRDefault="008040DB">
            <w:pPr>
              <w:spacing w:before="120"/>
              <w:jc w:val="center"/>
            </w:pPr>
            <w:r>
              <w:rPr>
                <w:b/>
                <w:bCs/>
              </w:rPr>
              <w:t>Date to be submitted to LA each year</w:t>
            </w:r>
          </w:p>
        </w:tc>
      </w:tr>
      <w:tr w:rsidR="008040DB">
        <w:trPr>
          <w:trHeight w:val="360"/>
          <w:tblCellSpacing w:w="0" w:type="dxa"/>
        </w:trPr>
        <w:tc>
          <w:tcPr>
            <w:tcW w:w="4992" w:type="dxa"/>
            <w:tcBorders>
              <w:top w:val="single" w:sz="4" w:space="0" w:color="000000"/>
              <w:left w:val="single" w:sz="12" w:space="0" w:color="000000"/>
              <w:bottom w:val="single" w:sz="4" w:space="0" w:color="000000"/>
              <w:right w:val="single" w:sz="4" w:space="0" w:color="000000"/>
            </w:tcBorders>
          </w:tcPr>
          <w:p w:rsidR="008040DB" w:rsidRDefault="008040DB">
            <w:pPr>
              <w:spacing w:before="120"/>
            </w:pPr>
            <w:r>
              <w:t>Governor Approved Budget</w:t>
            </w:r>
          </w:p>
        </w:tc>
        <w:tc>
          <w:tcPr>
            <w:tcW w:w="4110" w:type="dxa"/>
            <w:tcBorders>
              <w:top w:val="single" w:sz="4" w:space="0" w:color="000000"/>
              <w:left w:val="single" w:sz="4" w:space="0" w:color="000000"/>
              <w:bottom w:val="single" w:sz="4" w:space="0" w:color="000000"/>
              <w:right w:val="single" w:sz="12" w:space="0" w:color="000000"/>
            </w:tcBorders>
          </w:tcPr>
          <w:p w:rsidR="008040DB" w:rsidRDefault="008040DB">
            <w:pPr>
              <w:spacing w:before="120"/>
            </w:pPr>
            <w:r>
              <w:t>15 May</w:t>
            </w:r>
          </w:p>
        </w:tc>
      </w:tr>
      <w:tr w:rsidR="008040DB">
        <w:trPr>
          <w:trHeight w:val="360"/>
          <w:tblCellSpacing w:w="0" w:type="dxa"/>
        </w:trPr>
        <w:tc>
          <w:tcPr>
            <w:tcW w:w="4992" w:type="dxa"/>
            <w:tcBorders>
              <w:top w:val="single" w:sz="4" w:space="0" w:color="000000"/>
              <w:left w:val="single" w:sz="12" w:space="0" w:color="000000"/>
              <w:bottom w:val="single" w:sz="4" w:space="0" w:color="000000"/>
              <w:right w:val="single" w:sz="4" w:space="0" w:color="000000"/>
            </w:tcBorders>
          </w:tcPr>
          <w:p w:rsidR="008040DB" w:rsidRDefault="008040DB">
            <w:pPr>
              <w:spacing w:before="120"/>
            </w:pPr>
            <w:r>
              <w:t>Q1 Budget Monitor &amp; Bank Reconciliation</w:t>
            </w:r>
          </w:p>
        </w:tc>
        <w:tc>
          <w:tcPr>
            <w:tcW w:w="4110" w:type="dxa"/>
            <w:tcBorders>
              <w:top w:val="single" w:sz="4" w:space="0" w:color="000000"/>
              <w:left w:val="single" w:sz="4" w:space="0" w:color="000000"/>
              <w:bottom w:val="single" w:sz="4" w:space="0" w:color="000000"/>
              <w:right w:val="single" w:sz="12" w:space="0" w:color="000000"/>
            </w:tcBorders>
          </w:tcPr>
          <w:p w:rsidR="008040DB" w:rsidRDefault="008040DB">
            <w:pPr>
              <w:spacing w:before="120"/>
            </w:pPr>
            <w:r>
              <w:t xml:space="preserve">31 July </w:t>
            </w:r>
          </w:p>
        </w:tc>
      </w:tr>
      <w:tr w:rsidR="008040DB">
        <w:trPr>
          <w:trHeight w:val="360"/>
          <w:tblCellSpacing w:w="0" w:type="dxa"/>
        </w:trPr>
        <w:tc>
          <w:tcPr>
            <w:tcW w:w="4992" w:type="dxa"/>
            <w:tcBorders>
              <w:top w:val="single" w:sz="4" w:space="0" w:color="000000"/>
              <w:left w:val="single" w:sz="12" w:space="0" w:color="000000"/>
              <w:bottom w:val="single" w:sz="4" w:space="0" w:color="000000"/>
              <w:right w:val="single" w:sz="4" w:space="0" w:color="000000"/>
            </w:tcBorders>
          </w:tcPr>
          <w:p w:rsidR="008040DB" w:rsidRDefault="008040DB">
            <w:pPr>
              <w:spacing w:before="120"/>
            </w:pPr>
            <w:r>
              <w:t>Q2 Budget Monitor &amp; Bank Reconciliation</w:t>
            </w:r>
          </w:p>
        </w:tc>
        <w:tc>
          <w:tcPr>
            <w:tcW w:w="4110" w:type="dxa"/>
            <w:tcBorders>
              <w:top w:val="single" w:sz="4" w:space="0" w:color="000000"/>
              <w:left w:val="single" w:sz="4" w:space="0" w:color="000000"/>
              <w:bottom w:val="single" w:sz="4" w:space="0" w:color="000000"/>
              <w:right w:val="single" w:sz="12" w:space="0" w:color="000000"/>
            </w:tcBorders>
          </w:tcPr>
          <w:p w:rsidR="008040DB" w:rsidRDefault="008040DB">
            <w:pPr>
              <w:spacing w:before="120"/>
            </w:pPr>
            <w:r>
              <w:t xml:space="preserve">31 October </w:t>
            </w:r>
          </w:p>
        </w:tc>
      </w:tr>
      <w:tr w:rsidR="008040DB">
        <w:trPr>
          <w:trHeight w:val="360"/>
          <w:tblCellSpacing w:w="0" w:type="dxa"/>
        </w:trPr>
        <w:tc>
          <w:tcPr>
            <w:tcW w:w="4992" w:type="dxa"/>
            <w:tcBorders>
              <w:top w:val="single" w:sz="4" w:space="0" w:color="000000"/>
              <w:left w:val="single" w:sz="12" w:space="0" w:color="000000"/>
              <w:bottom w:val="single" w:sz="4" w:space="0" w:color="000000"/>
              <w:right w:val="single" w:sz="4" w:space="0" w:color="000000"/>
            </w:tcBorders>
          </w:tcPr>
          <w:p w:rsidR="008040DB" w:rsidRDefault="008040DB">
            <w:pPr>
              <w:spacing w:before="120"/>
            </w:pPr>
            <w:r>
              <w:t>Q3 Budget Monitor &amp; Bank Reconciliation</w:t>
            </w:r>
          </w:p>
        </w:tc>
        <w:tc>
          <w:tcPr>
            <w:tcW w:w="4110" w:type="dxa"/>
            <w:tcBorders>
              <w:top w:val="single" w:sz="4" w:space="0" w:color="000000"/>
              <w:left w:val="single" w:sz="4" w:space="0" w:color="000000"/>
              <w:bottom w:val="single" w:sz="4" w:space="0" w:color="000000"/>
              <w:right w:val="single" w:sz="12" w:space="0" w:color="000000"/>
            </w:tcBorders>
          </w:tcPr>
          <w:p w:rsidR="008040DB" w:rsidRDefault="008040DB">
            <w:pPr>
              <w:spacing w:before="120"/>
            </w:pPr>
            <w:r>
              <w:t>31 January</w:t>
            </w:r>
          </w:p>
        </w:tc>
      </w:tr>
      <w:tr w:rsidR="008040DB">
        <w:trPr>
          <w:trHeight w:val="360"/>
          <w:tblCellSpacing w:w="0" w:type="dxa"/>
        </w:trPr>
        <w:tc>
          <w:tcPr>
            <w:tcW w:w="4992" w:type="dxa"/>
            <w:tcBorders>
              <w:top w:val="single" w:sz="4" w:space="0" w:color="000000"/>
              <w:left w:val="single" w:sz="12" w:space="0" w:color="000000"/>
              <w:bottom w:val="single" w:sz="4" w:space="0" w:color="000000"/>
              <w:right w:val="single" w:sz="4" w:space="0" w:color="000000"/>
            </w:tcBorders>
          </w:tcPr>
          <w:p w:rsidR="008040DB" w:rsidRDefault="008040DB">
            <w:pPr>
              <w:spacing w:before="120"/>
            </w:pPr>
            <w:r>
              <w:t xml:space="preserve">Q4/Year End Bank Reconciliation </w:t>
            </w:r>
          </w:p>
        </w:tc>
        <w:tc>
          <w:tcPr>
            <w:tcW w:w="4110" w:type="dxa"/>
            <w:tcBorders>
              <w:top w:val="single" w:sz="4" w:space="0" w:color="000000"/>
              <w:left w:val="single" w:sz="4" w:space="0" w:color="000000"/>
              <w:bottom w:val="single" w:sz="4" w:space="0" w:color="000000"/>
              <w:right w:val="single" w:sz="12" w:space="0" w:color="000000"/>
            </w:tcBorders>
          </w:tcPr>
          <w:p w:rsidR="008040DB" w:rsidRDefault="008040DB">
            <w:pPr>
              <w:spacing w:before="120"/>
            </w:pPr>
            <w:r>
              <w:t>April (exact date confirmed Spring Term)</w:t>
            </w:r>
          </w:p>
        </w:tc>
      </w:tr>
      <w:tr w:rsidR="008040DB">
        <w:trPr>
          <w:trHeight w:val="855"/>
          <w:tblCellSpacing w:w="0" w:type="dxa"/>
        </w:trPr>
        <w:tc>
          <w:tcPr>
            <w:tcW w:w="4992" w:type="dxa"/>
            <w:tcBorders>
              <w:top w:val="single" w:sz="4" w:space="0" w:color="000000"/>
              <w:left w:val="single" w:sz="12" w:space="0" w:color="000000"/>
              <w:bottom w:val="single" w:sz="4" w:space="0" w:color="000000"/>
              <w:right w:val="single" w:sz="4" w:space="0" w:color="000000"/>
            </w:tcBorders>
          </w:tcPr>
          <w:p w:rsidR="008040DB" w:rsidRDefault="008040DB">
            <w:pPr>
              <w:spacing w:before="120"/>
            </w:pPr>
            <w:r>
              <w:t>Intended Use of Balances Documents (excess surplus balance information) where required</w:t>
            </w:r>
          </w:p>
          <w:p w:rsidR="008040DB" w:rsidRDefault="008040DB">
            <w:pPr>
              <w:spacing w:before="120"/>
            </w:pPr>
            <w:r>
              <w:t>Schools Financial Value Standard</w:t>
            </w:r>
          </w:p>
        </w:tc>
        <w:tc>
          <w:tcPr>
            <w:tcW w:w="4110" w:type="dxa"/>
            <w:tcBorders>
              <w:top w:val="single" w:sz="4" w:space="0" w:color="000000"/>
              <w:left w:val="single" w:sz="4" w:space="0" w:color="000000"/>
              <w:bottom w:val="single" w:sz="4" w:space="0" w:color="000000"/>
              <w:right w:val="single" w:sz="12" w:space="0" w:color="000000"/>
            </w:tcBorders>
          </w:tcPr>
          <w:p w:rsidR="008040DB" w:rsidRDefault="008040DB">
            <w:pPr>
              <w:spacing w:before="120"/>
            </w:pPr>
            <w:r>
              <w:rPr>
                <w:bCs/>
              </w:rPr>
              <w:t>31 March</w:t>
            </w:r>
            <w:r>
              <w:t xml:space="preserve"> </w:t>
            </w:r>
            <w:r>
              <w:br/>
            </w:r>
          </w:p>
          <w:p w:rsidR="008040DB" w:rsidRDefault="008040DB">
            <w:pPr>
              <w:spacing w:before="120"/>
              <w:rPr>
                <w:bCs/>
              </w:rPr>
            </w:pPr>
            <w:r>
              <w:rPr>
                <w:bCs/>
              </w:rPr>
              <w:t>31 March</w:t>
            </w:r>
            <w:r>
              <w:t xml:space="preserve"> </w:t>
            </w:r>
          </w:p>
        </w:tc>
      </w:tr>
      <w:tr w:rsidR="008040DB">
        <w:trPr>
          <w:trHeight w:val="540"/>
          <w:tblCellSpacing w:w="0" w:type="dxa"/>
        </w:trPr>
        <w:tc>
          <w:tcPr>
            <w:tcW w:w="4992" w:type="dxa"/>
            <w:tcBorders>
              <w:top w:val="single" w:sz="4" w:space="0" w:color="000000"/>
              <w:left w:val="single" w:sz="12" w:space="0" w:color="000000"/>
              <w:bottom w:val="single" w:sz="12" w:space="0" w:color="000000"/>
              <w:right w:val="single" w:sz="4" w:space="0" w:color="000000"/>
            </w:tcBorders>
          </w:tcPr>
          <w:p w:rsidR="008040DB" w:rsidRDefault="008040DB">
            <w:pPr>
              <w:spacing w:before="120"/>
            </w:pPr>
            <w:r>
              <w:t>Consistent Financial Report (Annual Return to DFE)</w:t>
            </w:r>
          </w:p>
        </w:tc>
        <w:tc>
          <w:tcPr>
            <w:tcW w:w="4110" w:type="dxa"/>
            <w:tcBorders>
              <w:top w:val="single" w:sz="4" w:space="0" w:color="000000"/>
              <w:left w:val="single" w:sz="4" w:space="0" w:color="000000"/>
              <w:bottom w:val="single" w:sz="12" w:space="0" w:color="000000"/>
              <w:right w:val="single" w:sz="12" w:space="0" w:color="000000"/>
            </w:tcBorders>
          </w:tcPr>
          <w:p w:rsidR="008040DB" w:rsidRDefault="008040DB">
            <w:pPr>
              <w:spacing w:before="120"/>
            </w:pPr>
            <w:r>
              <w:t>June (exact date confirmed Spring Term)</w:t>
            </w:r>
          </w:p>
        </w:tc>
      </w:tr>
    </w:tbl>
    <w:p w:rsidR="008040DB" w:rsidRDefault="008040DB"/>
    <w:p w:rsidR="008040DB" w:rsidRDefault="008040DB">
      <w:pPr>
        <w:rPr>
          <w:sz w:val="22"/>
          <w:szCs w:val="22"/>
        </w:rPr>
      </w:pPr>
    </w:p>
    <w:p w:rsidR="008040DB" w:rsidRDefault="008040DB">
      <w:pPr>
        <w:rPr>
          <w:sz w:val="22"/>
          <w:szCs w:val="22"/>
        </w:rPr>
      </w:pPr>
      <w:r>
        <w:rPr>
          <w:b/>
          <w:bCs/>
          <w:sz w:val="22"/>
          <w:szCs w:val="22"/>
        </w:rPr>
        <w:t>The Budget Monitor records the following information</w:t>
      </w:r>
      <w:r>
        <w:rPr>
          <w:sz w:val="22"/>
          <w:szCs w:val="22"/>
        </w:rPr>
        <w:t>:</w:t>
      </w:r>
    </w:p>
    <w:p w:rsidR="008040DB" w:rsidRDefault="008040DB">
      <w:pPr>
        <w:rPr>
          <w:sz w:val="22"/>
          <w:szCs w:val="22"/>
        </w:rPr>
      </w:pPr>
    </w:p>
    <w:p w:rsidR="008040DB" w:rsidRDefault="008040DB">
      <w:pPr>
        <w:numPr>
          <w:ilvl w:val="0"/>
          <w:numId w:val="13"/>
        </w:numPr>
        <w:rPr>
          <w:sz w:val="22"/>
          <w:szCs w:val="22"/>
        </w:rPr>
      </w:pPr>
      <w:r>
        <w:rPr>
          <w:sz w:val="22"/>
          <w:szCs w:val="22"/>
        </w:rPr>
        <w:t>Outturn from previous financial year</w:t>
      </w:r>
    </w:p>
    <w:p w:rsidR="008040DB" w:rsidRDefault="008040DB">
      <w:pPr>
        <w:numPr>
          <w:ilvl w:val="0"/>
          <w:numId w:val="13"/>
        </w:numPr>
        <w:rPr>
          <w:sz w:val="22"/>
          <w:szCs w:val="22"/>
        </w:rPr>
      </w:pPr>
      <w:r>
        <w:rPr>
          <w:sz w:val="22"/>
          <w:szCs w:val="22"/>
        </w:rPr>
        <w:t>Original Governor Approved Budget</w:t>
      </w:r>
    </w:p>
    <w:p w:rsidR="008040DB" w:rsidRDefault="008040DB">
      <w:pPr>
        <w:numPr>
          <w:ilvl w:val="0"/>
          <w:numId w:val="13"/>
        </w:numPr>
        <w:rPr>
          <w:sz w:val="22"/>
          <w:szCs w:val="22"/>
        </w:rPr>
      </w:pPr>
      <w:r>
        <w:rPr>
          <w:sz w:val="22"/>
          <w:szCs w:val="22"/>
        </w:rPr>
        <w:t>Governor Approved Revised Budget (if applicable)</w:t>
      </w:r>
    </w:p>
    <w:p w:rsidR="008040DB" w:rsidRDefault="008040DB">
      <w:pPr>
        <w:numPr>
          <w:ilvl w:val="0"/>
          <w:numId w:val="13"/>
        </w:numPr>
        <w:rPr>
          <w:sz w:val="22"/>
          <w:szCs w:val="22"/>
        </w:rPr>
      </w:pPr>
      <w:r>
        <w:rPr>
          <w:sz w:val="22"/>
          <w:szCs w:val="22"/>
        </w:rPr>
        <w:t>Spend to date (end of each quarterly period)</w:t>
      </w:r>
    </w:p>
    <w:p w:rsidR="008040DB" w:rsidRDefault="008040DB">
      <w:pPr>
        <w:numPr>
          <w:ilvl w:val="0"/>
          <w:numId w:val="13"/>
        </w:numPr>
        <w:rPr>
          <w:sz w:val="22"/>
          <w:szCs w:val="22"/>
        </w:rPr>
      </w:pPr>
      <w:r>
        <w:rPr>
          <w:sz w:val="22"/>
          <w:szCs w:val="22"/>
        </w:rPr>
        <w:t>Forecasted Spend</w:t>
      </w:r>
    </w:p>
    <w:p w:rsidR="008040DB" w:rsidRDefault="008040DB">
      <w:pPr>
        <w:numPr>
          <w:ilvl w:val="0"/>
          <w:numId w:val="13"/>
        </w:numPr>
        <w:rPr>
          <w:sz w:val="22"/>
          <w:szCs w:val="22"/>
        </w:rPr>
      </w:pPr>
      <w:r>
        <w:rPr>
          <w:sz w:val="22"/>
          <w:szCs w:val="22"/>
        </w:rPr>
        <w:t>Projected Outturn – balance remaining at the end of the financial year</w:t>
      </w:r>
    </w:p>
    <w:p w:rsidR="008040DB" w:rsidRDefault="008040DB">
      <w:pPr>
        <w:numPr>
          <w:ilvl w:val="0"/>
          <w:numId w:val="13"/>
        </w:numPr>
        <w:rPr>
          <w:sz w:val="22"/>
          <w:szCs w:val="22"/>
        </w:rPr>
      </w:pPr>
      <w:r>
        <w:rPr>
          <w:sz w:val="22"/>
          <w:szCs w:val="22"/>
        </w:rPr>
        <w:t>Outturn (balance) in relation to the excess surplus balance threshold</w:t>
      </w:r>
    </w:p>
    <w:p w:rsidR="008040DB" w:rsidRDefault="008040DB">
      <w:pPr>
        <w:numPr>
          <w:ilvl w:val="0"/>
          <w:numId w:val="13"/>
        </w:numPr>
        <w:rPr>
          <w:sz w:val="22"/>
          <w:szCs w:val="22"/>
        </w:rPr>
      </w:pPr>
    </w:p>
    <w:p w:rsidR="008040DB" w:rsidRDefault="008040DB">
      <w:pPr>
        <w:rPr>
          <w:b/>
          <w:iCs/>
          <w:sz w:val="22"/>
          <w:szCs w:val="22"/>
        </w:rPr>
      </w:pPr>
      <w:r>
        <w:rPr>
          <w:b/>
          <w:iCs/>
          <w:sz w:val="22"/>
          <w:szCs w:val="22"/>
        </w:rPr>
        <w:t xml:space="preserve">The Governing Body should expect to see the Quarterly Budget Monitor each term before it is submitted to the LA </w:t>
      </w:r>
    </w:p>
    <w:p w:rsidR="008040DB" w:rsidRDefault="008040DB">
      <w:pPr>
        <w:rPr>
          <w:sz w:val="22"/>
          <w:szCs w:val="22"/>
        </w:rPr>
      </w:pPr>
    </w:p>
    <w:p w:rsidR="008040DB" w:rsidRDefault="008040DB">
      <w:pPr>
        <w:rPr>
          <w:sz w:val="22"/>
          <w:szCs w:val="22"/>
        </w:rPr>
      </w:pPr>
    </w:p>
    <w:p w:rsidR="008040DB" w:rsidRDefault="008040DB">
      <w:pPr>
        <w:rPr>
          <w:sz w:val="22"/>
          <w:szCs w:val="22"/>
        </w:rPr>
      </w:pPr>
    </w:p>
    <w:p w:rsidR="008040DB" w:rsidRDefault="008040DB">
      <w:pPr>
        <w:rPr>
          <w:b/>
          <w:sz w:val="22"/>
          <w:szCs w:val="22"/>
        </w:rPr>
      </w:pPr>
      <w:r>
        <w:rPr>
          <w:b/>
          <w:sz w:val="22"/>
          <w:szCs w:val="22"/>
        </w:rPr>
        <w:t>The Annual Consistent Financial Reporting (CFR) Return</w:t>
      </w:r>
    </w:p>
    <w:p w:rsidR="008040DB" w:rsidRDefault="008040DB">
      <w:pPr>
        <w:rPr>
          <w:sz w:val="22"/>
          <w:szCs w:val="22"/>
        </w:rPr>
      </w:pPr>
    </w:p>
    <w:p w:rsidR="008040DB" w:rsidRDefault="008040DB">
      <w:pPr>
        <w:numPr>
          <w:ilvl w:val="0"/>
          <w:numId w:val="14"/>
        </w:numPr>
        <w:jc w:val="both"/>
        <w:rPr>
          <w:sz w:val="22"/>
          <w:szCs w:val="22"/>
        </w:rPr>
      </w:pPr>
      <w:r>
        <w:rPr>
          <w:sz w:val="22"/>
          <w:szCs w:val="22"/>
        </w:rPr>
        <w:t xml:space="preserve">Once the financial year has closed and the school and the LA have agreed on the closing balance, all LA Schools must submit an annual return in the CFR coding format. This is a uniform coding framework in use by all maintained schools in </w:t>
      </w:r>
      <w:smartTag w:uri="urn:schemas-microsoft-com:office:smarttags" w:element="country-region">
        <w:smartTag w:uri="urn:schemas-microsoft-com:office:smarttags" w:element="place">
          <w:r>
            <w:rPr>
              <w:sz w:val="22"/>
              <w:szCs w:val="22"/>
            </w:rPr>
            <w:t>England</w:t>
          </w:r>
        </w:smartTag>
      </w:smartTag>
      <w:r>
        <w:rPr>
          <w:sz w:val="22"/>
          <w:szCs w:val="22"/>
        </w:rPr>
        <w:t>.</w:t>
      </w:r>
    </w:p>
    <w:p w:rsidR="008040DB" w:rsidRDefault="008040DB">
      <w:pPr>
        <w:numPr>
          <w:ilvl w:val="0"/>
          <w:numId w:val="15"/>
        </w:numPr>
        <w:jc w:val="both"/>
        <w:rPr>
          <w:sz w:val="22"/>
          <w:szCs w:val="22"/>
        </w:rPr>
      </w:pPr>
      <w:r>
        <w:rPr>
          <w:sz w:val="22"/>
          <w:szCs w:val="22"/>
        </w:rPr>
        <w:t>The return details the total funding, income, expenditure and balances recorded for the school for the financial year</w:t>
      </w:r>
    </w:p>
    <w:p w:rsidR="008040DB" w:rsidRDefault="008040DB">
      <w:pPr>
        <w:numPr>
          <w:ilvl w:val="0"/>
          <w:numId w:val="16"/>
        </w:numPr>
        <w:jc w:val="both"/>
        <w:rPr>
          <w:sz w:val="22"/>
          <w:szCs w:val="22"/>
        </w:rPr>
      </w:pPr>
      <w:r>
        <w:rPr>
          <w:sz w:val="22"/>
          <w:szCs w:val="22"/>
        </w:rPr>
        <w:t>The return is submitted to the DFE via the COLLECT website</w:t>
      </w:r>
    </w:p>
    <w:p w:rsidR="008040DB" w:rsidRDefault="008040DB">
      <w:pPr>
        <w:numPr>
          <w:ilvl w:val="0"/>
          <w:numId w:val="17"/>
        </w:numPr>
        <w:jc w:val="both"/>
        <w:rPr>
          <w:sz w:val="22"/>
          <w:szCs w:val="22"/>
        </w:rPr>
      </w:pPr>
      <w:r>
        <w:rPr>
          <w:sz w:val="22"/>
          <w:szCs w:val="22"/>
        </w:rPr>
        <w:t>The exact deadline for submission varies each year but usually falls in early June</w:t>
      </w:r>
    </w:p>
    <w:p w:rsidR="008040DB" w:rsidRDefault="008040DB">
      <w:pPr>
        <w:rPr>
          <w:sz w:val="22"/>
          <w:szCs w:val="22"/>
        </w:rPr>
      </w:pPr>
    </w:p>
    <w:p w:rsidR="008040DB" w:rsidRDefault="008040DB">
      <w:pPr>
        <w:rPr>
          <w:b/>
          <w:bCs/>
          <w:sz w:val="22"/>
          <w:szCs w:val="22"/>
        </w:rPr>
      </w:pPr>
      <w:r>
        <w:rPr>
          <w:b/>
          <w:bCs/>
          <w:sz w:val="22"/>
          <w:szCs w:val="22"/>
        </w:rPr>
        <w:t>What is the CFR Return used for?</w:t>
      </w:r>
    </w:p>
    <w:p w:rsidR="008040DB" w:rsidRDefault="008040DB">
      <w:pPr>
        <w:rPr>
          <w:b/>
          <w:bCs/>
          <w:sz w:val="22"/>
          <w:szCs w:val="22"/>
        </w:rPr>
      </w:pPr>
    </w:p>
    <w:p w:rsidR="008040DB" w:rsidRDefault="008040DB">
      <w:pPr>
        <w:numPr>
          <w:ilvl w:val="0"/>
          <w:numId w:val="18"/>
        </w:numPr>
        <w:rPr>
          <w:sz w:val="22"/>
          <w:szCs w:val="22"/>
        </w:rPr>
      </w:pPr>
      <w:r>
        <w:rPr>
          <w:sz w:val="22"/>
          <w:szCs w:val="22"/>
        </w:rPr>
        <w:t>Both the LA and the DFE use the data to produce benchmarking  information</w:t>
      </w:r>
    </w:p>
    <w:p w:rsidR="008040DB" w:rsidRDefault="008040DB">
      <w:pPr>
        <w:numPr>
          <w:ilvl w:val="0"/>
          <w:numId w:val="19"/>
        </w:numPr>
        <w:rPr>
          <w:sz w:val="22"/>
          <w:szCs w:val="22"/>
        </w:rPr>
      </w:pPr>
      <w:r>
        <w:rPr>
          <w:sz w:val="22"/>
          <w:szCs w:val="22"/>
        </w:rPr>
        <w:t xml:space="preserve">The LA also uses the data to determine the Financial Classification of Schools category for each </w:t>
      </w:r>
      <w:smartTag w:uri="urn:schemas-microsoft-com:office:smarttags" w:element="place">
        <w:smartTag w:uri="urn:schemas-microsoft-com:office:smarttags" w:element="PlaceName">
          <w:r>
            <w:rPr>
              <w:sz w:val="22"/>
              <w:szCs w:val="22"/>
            </w:rPr>
            <w:t>Bradford</w:t>
          </w:r>
        </w:smartTag>
        <w:r>
          <w:rPr>
            <w:sz w:val="22"/>
            <w:szCs w:val="22"/>
          </w:rPr>
          <w:t xml:space="preserve"> </w:t>
        </w:r>
        <w:smartTag w:uri="urn:schemas-microsoft-com:office:smarttags" w:element="PlaceType">
          <w:r>
            <w:rPr>
              <w:sz w:val="22"/>
              <w:szCs w:val="22"/>
            </w:rPr>
            <w:t>School</w:t>
          </w:r>
        </w:smartTag>
      </w:smartTag>
    </w:p>
    <w:p w:rsidR="008040DB" w:rsidRDefault="008040DB">
      <w:pPr>
        <w:rPr>
          <w:sz w:val="22"/>
          <w:szCs w:val="22"/>
        </w:rPr>
      </w:pPr>
    </w:p>
    <w:p w:rsidR="008040DB" w:rsidRDefault="008040DB">
      <w:pPr>
        <w:rPr>
          <w:b/>
          <w:sz w:val="22"/>
          <w:szCs w:val="22"/>
        </w:rPr>
      </w:pPr>
    </w:p>
    <w:p w:rsidR="008040DB" w:rsidRDefault="008040DB">
      <w:pPr>
        <w:rPr>
          <w:b/>
          <w:sz w:val="22"/>
          <w:szCs w:val="22"/>
        </w:rPr>
      </w:pPr>
    </w:p>
    <w:p w:rsidR="008040DB" w:rsidRDefault="008040DB">
      <w:pPr>
        <w:rPr>
          <w:b/>
          <w:sz w:val="22"/>
          <w:szCs w:val="22"/>
        </w:rPr>
      </w:pPr>
    </w:p>
    <w:p w:rsidR="008040DB" w:rsidRDefault="008040DB">
      <w:pPr>
        <w:rPr>
          <w:b/>
          <w:sz w:val="22"/>
          <w:szCs w:val="22"/>
        </w:rPr>
      </w:pPr>
      <w:r>
        <w:rPr>
          <w:b/>
          <w:sz w:val="22"/>
          <w:szCs w:val="22"/>
        </w:rPr>
        <w:t>VAT Monthly Submittals</w:t>
      </w:r>
    </w:p>
    <w:p w:rsidR="008040DB" w:rsidRDefault="008040DB">
      <w:pPr>
        <w:rPr>
          <w:sz w:val="22"/>
          <w:szCs w:val="22"/>
        </w:rPr>
      </w:pPr>
    </w:p>
    <w:p w:rsidR="008040DB" w:rsidRDefault="008040DB">
      <w:pPr>
        <w:rPr>
          <w:sz w:val="22"/>
          <w:szCs w:val="22"/>
        </w:rPr>
      </w:pPr>
    </w:p>
    <w:p w:rsidR="008040DB" w:rsidRDefault="008040DB">
      <w:pPr>
        <w:jc w:val="both"/>
        <w:rPr>
          <w:sz w:val="22"/>
          <w:szCs w:val="22"/>
        </w:rPr>
      </w:pPr>
      <w:r>
        <w:rPr>
          <w:sz w:val="22"/>
          <w:szCs w:val="22"/>
        </w:rPr>
        <w:t xml:space="preserve">Even though the responsibility for the day-to-day management of the school’s financial affairs has been devolved to Governors, the school remains part of the Council with regard to VAT accountability.  As a result, a maintained school is not required to register for VAT in its own right, but shares the Bradford Council’s VAT registration.  </w:t>
      </w:r>
    </w:p>
    <w:p w:rsidR="008040DB" w:rsidRDefault="008040DB">
      <w:pPr>
        <w:rPr>
          <w:sz w:val="22"/>
          <w:szCs w:val="22"/>
        </w:rPr>
      </w:pPr>
    </w:p>
    <w:p w:rsidR="008040DB" w:rsidRDefault="008040DB">
      <w:pPr>
        <w:jc w:val="both"/>
        <w:rPr>
          <w:sz w:val="22"/>
          <w:szCs w:val="22"/>
        </w:rPr>
      </w:pPr>
      <w:r>
        <w:rPr>
          <w:sz w:val="22"/>
          <w:szCs w:val="22"/>
        </w:rPr>
        <w:t>VAT is a complex area, subject to constant legislative and case law changes.  Schools are responsible for correctly recording and accounting for the differing categories of VAT on their internal financial systems.  From these financial records they provide a monthly VAT return to the Local Authority, called a VAT Submittal.</w:t>
      </w:r>
    </w:p>
    <w:p w:rsidR="008040DB" w:rsidRDefault="008040DB">
      <w:pPr>
        <w:rPr>
          <w:sz w:val="22"/>
          <w:szCs w:val="22"/>
        </w:rPr>
      </w:pPr>
    </w:p>
    <w:p w:rsidR="008040DB" w:rsidRDefault="008040DB">
      <w:pPr>
        <w:jc w:val="both"/>
        <w:rPr>
          <w:sz w:val="22"/>
          <w:szCs w:val="22"/>
        </w:rPr>
      </w:pPr>
      <w:r>
        <w:rPr>
          <w:sz w:val="22"/>
          <w:szCs w:val="22"/>
        </w:rPr>
        <w:t>Local Authorities operate under special VAT regulations contained in Section 33 of the VAT Act 1994.  Most businesses can only recover VAT when it relates to their taxable business activities, but the Local Authority is able to recover all VAT relating to ‘non-business’ activities.  Non-business activities are those undertaken as part of the statutory duty to provide free education to school-aged children.</w:t>
      </w:r>
    </w:p>
    <w:p w:rsidR="008040DB" w:rsidRDefault="008040DB">
      <w:pPr>
        <w:rPr>
          <w:sz w:val="22"/>
          <w:szCs w:val="22"/>
        </w:rPr>
      </w:pPr>
    </w:p>
    <w:p w:rsidR="008040DB" w:rsidRDefault="008040DB">
      <w:pPr>
        <w:jc w:val="both"/>
        <w:rPr>
          <w:sz w:val="22"/>
          <w:szCs w:val="22"/>
        </w:rPr>
      </w:pPr>
      <w:r>
        <w:rPr>
          <w:sz w:val="22"/>
          <w:szCs w:val="22"/>
        </w:rPr>
        <w:t>The only restriction placed on the Local Authority’s recovery of VAT is on expenditure related to Exempt activities.  VAT legislation allows Local Authorities ‘Partial Exemption’ if Exempt activities are less than 5% of the VAT recovered.</w:t>
      </w:r>
    </w:p>
    <w:p w:rsidR="008040DB" w:rsidRDefault="008040DB">
      <w:pPr>
        <w:rPr>
          <w:sz w:val="22"/>
          <w:szCs w:val="22"/>
        </w:rPr>
      </w:pPr>
    </w:p>
    <w:p w:rsidR="008040DB" w:rsidRDefault="008040DB">
      <w:pPr>
        <w:jc w:val="both"/>
        <w:rPr>
          <w:sz w:val="22"/>
          <w:szCs w:val="22"/>
        </w:rPr>
      </w:pPr>
      <w:r>
        <w:rPr>
          <w:sz w:val="22"/>
          <w:szCs w:val="22"/>
        </w:rPr>
        <w:t xml:space="preserve">Examples of Exempt activities include lettings, rental or leases of land and buildings, adult education and certain sports lettings.  All of the VAT incurred on purchases related to supporting these activities count towards the 5% limit.  This includes capital expenditure and purchases made by central departments whose costs are re-charged to these services.  </w:t>
      </w:r>
    </w:p>
    <w:p w:rsidR="008040DB" w:rsidRDefault="008040DB">
      <w:pPr>
        <w:rPr>
          <w:sz w:val="22"/>
          <w:szCs w:val="22"/>
        </w:rPr>
      </w:pPr>
    </w:p>
    <w:p w:rsidR="008040DB" w:rsidRDefault="008040DB">
      <w:pPr>
        <w:jc w:val="both"/>
        <w:rPr>
          <w:sz w:val="22"/>
          <w:szCs w:val="22"/>
        </w:rPr>
      </w:pPr>
      <w:r>
        <w:rPr>
          <w:sz w:val="22"/>
          <w:szCs w:val="22"/>
        </w:rPr>
        <w:t>For this reason, schools must comply with Financial Regulation 11, and liaise with the Bradford Council’s VAT Office on any capital proposals (including bids for external funding and partnership working).  In view of the significant potential for Exempt activities resulting from capital projects generating Exempt activities, the VAT implications for the authority and the school must be fully appraised before the project goes ahead</w:t>
      </w:r>
    </w:p>
    <w:p w:rsidR="008040DB" w:rsidRDefault="008040DB">
      <w:pPr>
        <w:rPr>
          <w:sz w:val="22"/>
          <w:szCs w:val="22"/>
        </w:rPr>
      </w:pPr>
    </w:p>
    <w:p w:rsidR="008040DB" w:rsidRDefault="008040DB">
      <w:pPr>
        <w:tabs>
          <w:tab w:val="left" w:pos="600"/>
        </w:tabs>
        <w:jc w:val="both"/>
        <w:rPr>
          <w:sz w:val="22"/>
          <w:szCs w:val="22"/>
        </w:rPr>
      </w:pPr>
      <w:r>
        <w:rPr>
          <w:sz w:val="22"/>
          <w:szCs w:val="22"/>
        </w:rPr>
        <w:t>In addition, schools are responsible for their own ‘unofficial’ funds, as these do not fall under Bradford Council’s VAT registration. A school might find itself liable to VAT registration if its school fund income exceeds the annual VAT threshold (£8</w:t>
      </w:r>
      <w:r w:rsidR="00BF733C">
        <w:rPr>
          <w:sz w:val="22"/>
          <w:szCs w:val="22"/>
        </w:rPr>
        <w:t>2</w:t>
      </w:r>
      <w:r>
        <w:rPr>
          <w:sz w:val="22"/>
          <w:szCs w:val="22"/>
        </w:rPr>
        <w:t>,000 at April 201</w:t>
      </w:r>
      <w:r w:rsidR="00BF733C">
        <w:rPr>
          <w:sz w:val="22"/>
          <w:szCs w:val="22"/>
        </w:rPr>
        <w:t>5</w:t>
      </w:r>
      <w:r>
        <w:rPr>
          <w:sz w:val="22"/>
          <w:szCs w:val="22"/>
        </w:rPr>
        <w:t>).</w:t>
      </w:r>
    </w:p>
    <w:p w:rsidR="008040DB" w:rsidRDefault="008040DB">
      <w:pPr>
        <w:tabs>
          <w:tab w:val="left" w:pos="600"/>
        </w:tabs>
        <w:rPr>
          <w:sz w:val="22"/>
          <w:szCs w:val="22"/>
        </w:rPr>
      </w:pPr>
    </w:p>
    <w:p w:rsidR="008040DB" w:rsidRDefault="008040DB">
      <w:pPr>
        <w:tabs>
          <w:tab w:val="left" w:pos="600"/>
        </w:tabs>
      </w:pPr>
    </w:p>
    <w:p w:rsidR="008040DB" w:rsidRDefault="008040DB">
      <w:r>
        <w:rPr>
          <w:sz w:val="22"/>
          <w:szCs w:val="22"/>
        </w:rPr>
        <w:br/>
      </w:r>
      <w:r>
        <w:rPr>
          <w:sz w:val="22"/>
          <w:szCs w:val="22"/>
        </w:rPr>
        <w:br w:type="page"/>
      </w:r>
    </w:p>
    <w:p w:rsidR="008040DB" w:rsidRDefault="008040DB">
      <w:pPr>
        <w:rPr>
          <w:b/>
          <w:sz w:val="28"/>
          <w:szCs w:val="28"/>
        </w:rPr>
      </w:pPr>
      <w:r>
        <w:rPr>
          <w:b/>
          <w:sz w:val="28"/>
          <w:szCs w:val="28"/>
        </w:rPr>
        <w:lastRenderedPageBreak/>
        <w:t xml:space="preserve">8. </w:t>
      </w:r>
      <w:r>
        <w:rPr>
          <w:b/>
          <w:sz w:val="28"/>
          <w:szCs w:val="28"/>
        </w:rPr>
        <w:tab/>
        <w:t>Value for Money and Benchmarking</w:t>
      </w:r>
    </w:p>
    <w:p w:rsidR="008040DB" w:rsidRDefault="008040DB"/>
    <w:p w:rsidR="008040DB" w:rsidRDefault="008040DB"/>
    <w:p w:rsidR="008040DB" w:rsidRDefault="008040DB">
      <w:pPr>
        <w:rPr>
          <w:sz w:val="22"/>
          <w:szCs w:val="22"/>
        </w:rPr>
      </w:pPr>
    </w:p>
    <w:p w:rsidR="008040DB" w:rsidRDefault="008040DB">
      <w:pPr>
        <w:jc w:val="both"/>
        <w:rPr>
          <w:bCs/>
          <w:iCs/>
          <w:sz w:val="22"/>
          <w:szCs w:val="22"/>
        </w:rPr>
      </w:pPr>
      <w:r>
        <w:rPr>
          <w:bCs/>
          <w:iCs/>
          <w:sz w:val="22"/>
          <w:szCs w:val="22"/>
        </w:rPr>
        <w:t xml:space="preserve">With the current economic climate, the Department for Education expects schools to make savings through increased effectiveness and value for money.  Further information is available on the </w:t>
      </w:r>
      <w:proofErr w:type="spellStart"/>
      <w:r>
        <w:rPr>
          <w:bCs/>
          <w:iCs/>
          <w:sz w:val="22"/>
          <w:szCs w:val="22"/>
        </w:rPr>
        <w:t>DfE</w:t>
      </w:r>
      <w:proofErr w:type="spellEnd"/>
      <w:r>
        <w:rPr>
          <w:bCs/>
          <w:iCs/>
          <w:sz w:val="22"/>
          <w:szCs w:val="22"/>
        </w:rPr>
        <w:t xml:space="preserve"> website, but the principles are:</w:t>
      </w:r>
    </w:p>
    <w:p w:rsidR="008040DB" w:rsidRDefault="008040DB">
      <w:pPr>
        <w:rPr>
          <w:bCs/>
          <w:iCs/>
          <w:sz w:val="22"/>
          <w:szCs w:val="22"/>
        </w:rPr>
      </w:pPr>
    </w:p>
    <w:p w:rsidR="008040DB" w:rsidRDefault="008040DB">
      <w:pPr>
        <w:numPr>
          <w:ilvl w:val="0"/>
          <w:numId w:val="11"/>
        </w:numPr>
        <w:jc w:val="both"/>
        <w:rPr>
          <w:sz w:val="22"/>
          <w:szCs w:val="22"/>
        </w:rPr>
      </w:pPr>
      <w:r>
        <w:rPr>
          <w:sz w:val="22"/>
          <w:szCs w:val="22"/>
        </w:rPr>
        <w:t>Schools should consider how they can collaborate with each other to help towards achieving savings. By collaborating on both a formal and informal basis, schools can raise standards and maintain local provision</w:t>
      </w:r>
    </w:p>
    <w:p w:rsidR="008040DB" w:rsidRDefault="008040DB">
      <w:pPr>
        <w:rPr>
          <w:sz w:val="22"/>
          <w:szCs w:val="22"/>
        </w:rPr>
      </w:pPr>
    </w:p>
    <w:p w:rsidR="008040DB" w:rsidRDefault="008040DB">
      <w:pPr>
        <w:numPr>
          <w:ilvl w:val="0"/>
          <w:numId w:val="11"/>
        </w:numPr>
        <w:jc w:val="both"/>
        <w:rPr>
          <w:sz w:val="22"/>
          <w:szCs w:val="22"/>
        </w:rPr>
      </w:pPr>
      <w:r>
        <w:rPr>
          <w:sz w:val="22"/>
          <w:szCs w:val="22"/>
        </w:rPr>
        <w:t>Schools working together can generate efficiencies by providing an opportunity to pool funding, purchase goods and services jointly, share staff, functions, facilities and technology across sites.</w:t>
      </w:r>
    </w:p>
    <w:p w:rsidR="008040DB" w:rsidRDefault="008040DB">
      <w:pPr>
        <w:rPr>
          <w:sz w:val="22"/>
          <w:szCs w:val="22"/>
        </w:rPr>
      </w:pPr>
    </w:p>
    <w:p w:rsidR="008040DB" w:rsidRDefault="008040DB">
      <w:pPr>
        <w:numPr>
          <w:ilvl w:val="0"/>
          <w:numId w:val="11"/>
        </w:numPr>
        <w:jc w:val="both"/>
        <w:rPr>
          <w:sz w:val="22"/>
          <w:szCs w:val="22"/>
        </w:rPr>
      </w:pPr>
      <w:r>
        <w:rPr>
          <w:sz w:val="22"/>
          <w:szCs w:val="22"/>
        </w:rPr>
        <w:t xml:space="preserve">Value for money is not simply buying goods and services for the cheapest rate. It is </w:t>
      </w:r>
      <w:r>
        <w:rPr>
          <w:b/>
          <w:sz w:val="22"/>
          <w:szCs w:val="22"/>
        </w:rPr>
        <w:t xml:space="preserve">maximising resources, improving efficiency and utilising budgets </w:t>
      </w:r>
      <w:r>
        <w:rPr>
          <w:sz w:val="22"/>
          <w:szCs w:val="22"/>
        </w:rPr>
        <w:t>effectively to directly improve the teaching and learning of pupils</w:t>
      </w:r>
    </w:p>
    <w:p w:rsidR="008040DB" w:rsidRDefault="008040DB">
      <w:pPr>
        <w:rPr>
          <w:sz w:val="22"/>
          <w:szCs w:val="22"/>
        </w:rPr>
      </w:pPr>
    </w:p>
    <w:p w:rsidR="008040DB" w:rsidRDefault="008040DB">
      <w:pPr>
        <w:numPr>
          <w:ilvl w:val="0"/>
          <w:numId w:val="11"/>
        </w:numPr>
        <w:jc w:val="both"/>
        <w:rPr>
          <w:sz w:val="22"/>
          <w:szCs w:val="22"/>
        </w:rPr>
      </w:pPr>
      <w:r>
        <w:rPr>
          <w:sz w:val="22"/>
          <w:szCs w:val="22"/>
        </w:rPr>
        <w:t>Benchmarking can help schools identify where their spend is significantly different to other similar schools and where savings and efficiencies could be introduced, thus achieving greater value for money</w:t>
      </w:r>
    </w:p>
    <w:p w:rsidR="008040DB" w:rsidRDefault="008040DB">
      <w:pPr>
        <w:rPr>
          <w:sz w:val="22"/>
          <w:szCs w:val="22"/>
        </w:rPr>
      </w:pPr>
    </w:p>
    <w:p w:rsidR="008040DB" w:rsidRDefault="008040DB">
      <w:pPr>
        <w:jc w:val="both"/>
        <w:rPr>
          <w:b/>
          <w:sz w:val="22"/>
          <w:szCs w:val="22"/>
        </w:rPr>
      </w:pPr>
    </w:p>
    <w:p w:rsidR="008040DB" w:rsidRDefault="008040DB">
      <w:pPr>
        <w:jc w:val="both"/>
        <w:rPr>
          <w:rFonts w:cs="Arial"/>
          <w:b/>
          <w:sz w:val="22"/>
          <w:szCs w:val="22"/>
        </w:rPr>
      </w:pPr>
      <w:r>
        <w:rPr>
          <w:b/>
          <w:sz w:val="22"/>
          <w:szCs w:val="22"/>
        </w:rPr>
        <w:t>Local</w:t>
      </w:r>
      <w:r>
        <w:rPr>
          <w:rFonts w:cs="Arial"/>
          <w:b/>
          <w:sz w:val="22"/>
          <w:szCs w:val="22"/>
        </w:rPr>
        <w:t xml:space="preserve"> Benchmarking </w:t>
      </w:r>
    </w:p>
    <w:p w:rsidR="008040DB" w:rsidRDefault="008040DB">
      <w:pPr>
        <w:jc w:val="both"/>
        <w:rPr>
          <w:rFonts w:cs="Arial"/>
          <w:sz w:val="22"/>
          <w:szCs w:val="22"/>
        </w:rPr>
      </w:pPr>
      <w:r>
        <w:rPr>
          <w:rFonts w:cs="Arial"/>
          <w:sz w:val="22"/>
          <w:szCs w:val="22"/>
        </w:rPr>
        <w:t xml:space="preserve">The </w:t>
      </w:r>
      <w:smartTag w:uri="urn:schemas-microsoft-com:office:smarttags" w:element="PersonName">
        <w:r>
          <w:rPr>
            <w:rFonts w:cs="Arial"/>
            <w:sz w:val="22"/>
            <w:szCs w:val="22"/>
          </w:rPr>
          <w:t>School Funding Team</w:t>
        </w:r>
      </w:smartTag>
      <w:r>
        <w:rPr>
          <w:rFonts w:cs="Arial"/>
          <w:sz w:val="22"/>
          <w:szCs w:val="22"/>
        </w:rPr>
        <w:t xml:space="preserve"> provides a local benchmarking tool which is available in the secure area of Bradford Schools Online.  This consists of a </w:t>
      </w:r>
      <w:proofErr w:type="spellStart"/>
      <w:r>
        <w:rPr>
          <w:rFonts w:cs="Arial"/>
          <w:sz w:val="22"/>
          <w:szCs w:val="22"/>
        </w:rPr>
        <w:t>spreadsheet</w:t>
      </w:r>
      <w:proofErr w:type="spellEnd"/>
      <w:r>
        <w:rPr>
          <w:rFonts w:cs="Arial"/>
          <w:sz w:val="22"/>
          <w:szCs w:val="22"/>
        </w:rPr>
        <w:t xml:space="preserve"> allowing the school to view a comparison of its income and expenditure against other schools, either in pre-determined clusters, by size, phase or a specifically chosen school.</w:t>
      </w:r>
    </w:p>
    <w:p w:rsidR="008040DB" w:rsidRDefault="008040DB">
      <w:pPr>
        <w:jc w:val="both"/>
        <w:rPr>
          <w:rFonts w:cs="Arial"/>
          <w:sz w:val="22"/>
          <w:szCs w:val="22"/>
        </w:rPr>
      </w:pPr>
    </w:p>
    <w:p w:rsidR="008040DB" w:rsidRDefault="008040DB">
      <w:pPr>
        <w:rPr>
          <w:rFonts w:cs="Arial"/>
          <w:color w:val="333333"/>
          <w:sz w:val="22"/>
          <w:szCs w:val="22"/>
        </w:rPr>
      </w:pPr>
      <w:r>
        <w:rPr>
          <w:rFonts w:cs="Arial"/>
          <w:color w:val="333333"/>
          <w:sz w:val="22"/>
          <w:szCs w:val="22"/>
        </w:rPr>
        <w:t xml:space="preserve">The purpose of benchmarking is to improve performance by identifying where changes can be made in either what is done or how things are done.  </w:t>
      </w:r>
      <w:r>
        <w:rPr>
          <w:rFonts w:cs="Arial"/>
          <w:sz w:val="22"/>
          <w:szCs w:val="22"/>
        </w:rPr>
        <w:t>It is not used solely to reduce costs, but to focus on continuous improvement of the effectiveness of your expenditure by allowing you to identify areas and set realistic targets for improvement.</w:t>
      </w:r>
      <w:r>
        <w:rPr>
          <w:rFonts w:cs="Arial"/>
          <w:color w:val="333333"/>
          <w:sz w:val="22"/>
          <w:szCs w:val="22"/>
        </w:rPr>
        <w:br/>
      </w:r>
      <w:r>
        <w:rPr>
          <w:rFonts w:cs="Arial"/>
          <w:color w:val="333333"/>
          <w:sz w:val="22"/>
          <w:szCs w:val="22"/>
        </w:rPr>
        <w:br/>
        <w:t xml:space="preserve">Financial benchmarking can provide schools with the evidence they need to identify significant differences in resource management, which may suggest there is scope to do things better, to improve efficiency, reduce costs or identify potential savings.  </w:t>
      </w:r>
    </w:p>
    <w:p w:rsidR="008040DB" w:rsidRDefault="008040DB">
      <w:pPr>
        <w:jc w:val="both"/>
        <w:rPr>
          <w:rFonts w:cs="Arial"/>
          <w:color w:val="333333"/>
          <w:sz w:val="22"/>
          <w:szCs w:val="22"/>
        </w:rPr>
      </w:pPr>
    </w:p>
    <w:p w:rsidR="008040DB" w:rsidRDefault="008040DB">
      <w:pPr>
        <w:jc w:val="both"/>
        <w:rPr>
          <w:rFonts w:cs="Arial"/>
          <w:b/>
          <w:sz w:val="22"/>
          <w:szCs w:val="22"/>
        </w:rPr>
      </w:pPr>
      <w:r>
        <w:rPr>
          <w:rFonts w:cs="Arial"/>
          <w:color w:val="333333"/>
          <w:sz w:val="22"/>
          <w:szCs w:val="22"/>
        </w:rPr>
        <w:t xml:space="preserve">There may be very good reasons for high or low performance figures, such as the composition of the staff, the abilities of the pupils, or the age or the quality of the premises. What is important is that school management staff and Governors review the differences between the school and other institutions, and find out the reasons for them. </w:t>
      </w:r>
      <w:r>
        <w:rPr>
          <w:rFonts w:cs="Arial"/>
          <w:color w:val="333333"/>
          <w:sz w:val="22"/>
          <w:szCs w:val="22"/>
        </w:rPr>
        <w:br/>
      </w:r>
      <w:r>
        <w:rPr>
          <w:rFonts w:cs="Arial"/>
          <w:color w:val="333333"/>
          <w:sz w:val="22"/>
          <w:szCs w:val="22"/>
        </w:rPr>
        <w:br/>
      </w:r>
    </w:p>
    <w:p w:rsidR="008040DB" w:rsidRDefault="008040DB">
      <w:pPr>
        <w:jc w:val="both"/>
        <w:rPr>
          <w:rFonts w:cs="Arial"/>
          <w:b/>
          <w:sz w:val="22"/>
          <w:szCs w:val="22"/>
        </w:rPr>
      </w:pPr>
      <w:r>
        <w:rPr>
          <w:rFonts w:cs="Arial"/>
          <w:b/>
          <w:sz w:val="22"/>
          <w:szCs w:val="22"/>
        </w:rPr>
        <w:t xml:space="preserve">National Benchmarking </w:t>
      </w:r>
    </w:p>
    <w:p w:rsidR="008040DB" w:rsidRDefault="008040DB">
      <w:pPr>
        <w:jc w:val="both"/>
        <w:rPr>
          <w:rFonts w:cs="Arial"/>
          <w:sz w:val="22"/>
          <w:szCs w:val="22"/>
        </w:rPr>
      </w:pPr>
      <w:r>
        <w:rPr>
          <w:rFonts w:cs="Arial"/>
          <w:sz w:val="22"/>
          <w:szCs w:val="22"/>
        </w:rPr>
        <w:t xml:space="preserve">In addition to the local benchmarking toolkit provided by </w:t>
      </w:r>
      <w:smartTag w:uri="urn:schemas-microsoft-com:office:smarttags" w:element="PersonName">
        <w:smartTag w:uri="urn:schemas-microsoft-com:office:smarttags" w:element="PersonName">
          <w:r>
            <w:rPr>
              <w:rFonts w:cs="Arial"/>
              <w:sz w:val="22"/>
              <w:szCs w:val="22"/>
            </w:rPr>
            <w:t>School Funding</w:t>
          </w:r>
        </w:smartTag>
        <w:r>
          <w:rPr>
            <w:rFonts w:cs="Arial"/>
            <w:sz w:val="22"/>
            <w:szCs w:val="22"/>
          </w:rPr>
          <w:t xml:space="preserve"> Team</w:t>
        </w:r>
      </w:smartTag>
      <w:r>
        <w:rPr>
          <w:rFonts w:cs="Arial"/>
          <w:sz w:val="22"/>
          <w:szCs w:val="22"/>
        </w:rPr>
        <w:t>, schools can benchmark against similar schools on a national level through the Department for Education website.</w:t>
      </w:r>
    </w:p>
    <w:p w:rsidR="008040DB" w:rsidRDefault="008040DB">
      <w:pPr>
        <w:rPr>
          <w:sz w:val="22"/>
          <w:szCs w:val="22"/>
        </w:rPr>
      </w:pPr>
    </w:p>
    <w:p w:rsidR="008040DB" w:rsidRDefault="008040DB">
      <w:pPr>
        <w:rPr>
          <w:sz w:val="22"/>
          <w:szCs w:val="22"/>
        </w:rPr>
      </w:pPr>
    </w:p>
    <w:p w:rsidR="008040DB" w:rsidRDefault="008040DB">
      <w:pPr>
        <w:rPr>
          <w:sz w:val="22"/>
          <w:szCs w:val="22"/>
        </w:rPr>
      </w:pPr>
      <w:r>
        <w:rPr>
          <w:sz w:val="22"/>
          <w:szCs w:val="22"/>
        </w:rPr>
        <w:br w:type="page"/>
      </w:r>
    </w:p>
    <w:p w:rsidR="008040DB" w:rsidRDefault="008040DB">
      <w:pPr>
        <w:rPr>
          <w:b/>
          <w:sz w:val="28"/>
          <w:szCs w:val="28"/>
        </w:rPr>
      </w:pPr>
      <w:r>
        <w:rPr>
          <w:b/>
          <w:sz w:val="28"/>
          <w:szCs w:val="28"/>
        </w:rPr>
        <w:lastRenderedPageBreak/>
        <w:t>9.</w:t>
      </w:r>
      <w:r>
        <w:rPr>
          <w:b/>
          <w:sz w:val="28"/>
          <w:szCs w:val="28"/>
        </w:rPr>
        <w:tab/>
        <w:t>Schools Financial Value Standard (SFVS)</w:t>
      </w:r>
    </w:p>
    <w:p w:rsidR="008040DB" w:rsidRDefault="008040DB"/>
    <w:p w:rsidR="008040DB" w:rsidRDefault="008040DB">
      <w:pPr>
        <w:rPr>
          <w:sz w:val="22"/>
          <w:szCs w:val="22"/>
        </w:rPr>
      </w:pPr>
    </w:p>
    <w:p w:rsidR="008040DB" w:rsidRDefault="008040DB">
      <w:pPr>
        <w:jc w:val="both"/>
        <w:rPr>
          <w:color w:val="000000"/>
          <w:sz w:val="22"/>
          <w:szCs w:val="22"/>
          <w:lang w:val="en"/>
        </w:rPr>
      </w:pPr>
      <w:r>
        <w:rPr>
          <w:color w:val="000000"/>
          <w:sz w:val="22"/>
          <w:szCs w:val="22"/>
          <w:lang w:val="en"/>
        </w:rPr>
        <w:t>The Schools Financial Value Standard (SFVS) has been designed in conjunction with schools to assist them in managing their finances and to give assurance that they have secure financial management in place.  Governing bodies have formal responsibility for the financial management of their schools, and so the standard is primarily aimed at governors.</w:t>
      </w:r>
    </w:p>
    <w:p w:rsidR="008040DB" w:rsidRDefault="008040DB">
      <w:pPr>
        <w:jc w:val="both"/>
        <w:rPr>
          <w:color w:val="000000"/>
          <w:sz w:val="22"/>
          <w:szCs w:val="22"/>
          <w:lang w:val="en"/>
        </w:rPr>
      </w:pPr>
    </w:p>
    <w:p w:rsidR="00620DD8" w:rsidRDefault="008040DB">
      <w:pPr>
        <w:jc w:val="both"/>
        <w:rPr>
          <w:sz w:val="22"/>
          <w:szCs w:val="22"/>
        </w:rPr>
      </w:pPr>
      <w:r>
        <w:rPr>
          <w:sz w:val="22"/>
          <w:szCs w:val="22"/>
        </w:rPr>
        <w:t xml:space="preserve">The Department for Education website </w:t>
      </w:r>
      <w:r w:rsidR="00620DD8">
        <w:rPr>
          <w:sz w:val="22"/>
          <w:szCs w:val="22"/>
        </w:rPr>
        <w:t>provides a downloadable template for the SFVS assessment form</w:t>
      </w:r>
      <w:r w:rsidR="00BF733C">
        <w:rPr>
          <w:sz w:val="22"/>
          <w:szCs w:val="22"/>
        </w:rPr>
        <w:t>.  Support Notes are available in a separate downloadable document that provides clarification of the questions and examples of good practice.</w:t>
      </w:r>
    </w:p>
    <w:p w:rsidR="00BF733C" w:rsidRDefault="00BF733C">
      <w:pPr>
        <w:jc w:val="both"/>
      </w:pPr>
    </w:p>
    <w:p w:rsidR="00BF733C" w:rsidRDefault="008040DB">
      <w:pPr>
        <w:jc w:val="both"/>
        <w:rPr>
          <w:bCs/>
          <w:sz w:val="22"/>
          <w:szCs w:val="22"/>
        </w:rPr>
      </w:pPr>
      <w:r>
        <w:rPr>
          <w:bCs/>
          <w:sz w:val="22"/>
          <w:szCs w:val="22"/>
        </w:rPr>
        <w:t xml:space="preserve">SFVS is not externally assessed, so submissions are reviewed by Bradford Council Audit team who report back to the Department for Education.  </w:t>
      </w:r>
    </w:p>
    <w:p w:rsidR="00BF733C" w:rsidRDefault="00BF733C">
      <w:pPr>
        <w:jc w:val="both"/>
        <w:rPr>
          <w:bCs/>
          <w:sz w:val="22"/>
          <w:szCs w:val="22"/>
        </w:rPr>
      </w:pPr>
    </w:p>
    <w:p w:rsidR="008040DB" w:rsidRDefault="008040DB">
      <w:pPr>
        <w:jc w:val="both"/>
        <w:rPr>
          <w:sz w:val="22"/>
          <w:szCs w:val="22"/>
        </w:rPr>
      </w:pPr>
      <w:r>
        <w:rPr>
          <w:sz w:val="22"/>
          <w:szCs w:val="22"/>
          <w:lang w:val="en"/>
        </w:rPr>
        <w:t xml:space="preserve">The Local Authority will use schools’ SFVS returns to inform their program of financial assessment and audit. </w:t>
      </w:r>
      <w:r>
        <w:rPr>
          <w:sz w:val="22"/>
          <w:szCs w:val="22"/>
        </w:rPr>
        <w:t xml:space="preserve">SFVS is </w:t>
      </w:r>
      <w:r>
        <w:rPr>
          <w:sz w:val="22"/>
          <w:szCs w:val="22"/>
          <w:u w:val="single"/>
        </w:rPr>
        <w:t>mandatory</w:t>
      </w:r>
      <w:r>
        <w:rPr>
          <w:sz w:val="22"/>
          <w:szCs w:val="22"/>
        </w:rPr>
        <w:t xml:space="preserve"> and all maintained schools are expected to comply. Failure to do so could lead to the issue of a Notice of Concern and to withdrawal of budget delegation.</w:t>
      </w:r>
    </w:p>
    <w:p w:rsidR="008040DB" w:rsidRDefault="008040DB">
      <w:pPr>
        <w:rPr>
          <w:sz w:val="22"/>
          <w:szCs w:val="22"/>
        </w:rPr>
      </w:pPr>
    </w:p>
    <w:p w:rsidR="008040DB" w:rsidRDefault="008040DB">
      <w:pPr>
        <w:rPr>
          <w:b/>
          <w:bCs/>
          <w:sz w:val="22"/>
          <w:szCs w:val="22"/>
        </w:rPr>
      </w:pPr>
      <w:r>
        <w:rPr>
          <w:b/>
          <w:bCs/>
          <w:sz w:val="22"/>
          <w:szCs w:val="22"/>
        </w:rPr>
        <w:t xml:space="preserve">Maintained schools are required to complete the SFVS once a year. The completed form must be submitted to </w:t>
      </w:r>
      <w:smartTag w:uri="urn:schemas-microsoft-com:office:smarttags" w:element="PersonName">
        <w:r>
          <w:rPr>
            <w:b/>
            <w:bCs/>
            <w:sz w:val="22"/>
            <w:szCs w:val="22"/>
          </w:rPr>
          <w:t>School Funding Team</w:t>
        </w:r>
      </w:smartTag>
      <w:r>
        <w:rPr>
          <w:b/>
          <w:bCs/>
          <w:sz w:val="22"/>
          <w:szCs w:val="22"/>
        </w:rPr>
        <w:t xml:space="preserve"> by 31 March each year. </w:t>
      </w:r>
    </w:p>
    <w:p w:rsidR="008040DB" w:rsidRDefault="008040DB"/>
    <w:p w:rsidR="008040DB" w:rsidRDefault="008040DB"/>
    <w:p w:rsidR="008040DB" w:rsidRDefault="008040DB">
      <w:pPr>
        <w:rPr>
          <w:b/>
          <w:sz w:val="28"/>
          <w:szCs w:val="28"/>
        </w:rPr>
      </w:pPr>
      <w:r>
        <w:br w:type="page"/>
      </w:r>
      <w:r>
        <w:rPr>
          <w:b/>
          <w:sz w:val="28"/>
          <w:szCs w:val="28"/>
        </w:rPr>
        <w:lastRenderedPageBreak/>
        <w:t>10.</w:t>
      </w:r>
      <w:r>
        <w:rPr>
          <w:b/>
          <w:sz w:val="28"/>
          <w:szCs w:val="28"/>
        </w:rPr>
        <w:tab/>
        <w:t>How to access guidance notes and other information</w:t>
      </w:r>
    </w:p>
    <w:p w:rsidR="008040DB" w:rsidRDefault="008040DB"/>
    <w:p w:rsidR="008040DB" w:rsidRDefault="008040DB"/>
    <w:p w:rsidR="008040DB" w:rsidRDefault="008040DB">
      <w:pPr>
        <w:rPr>
          <w:sz w:val="22"/>
          <w:szCs w:val="22"/>
        </w:rPr>
      </w:pPr>
      <w:r>
        <w:rPr>
          <w:sz w:val="22"/>
          <w:szCs w:val="22"/>
        </w:rPr>
        <w:t>Further detailed information is available via the Bradford Schools Online (BSO) website</w:t>
      </w:r>
    </w:p>
    <w:p w:rsidR="008040DB" w:rsidRDefault="008040DB">
      <w:pPr>
        <w:rPr>
          <w:sz w:val="22"/>
          <w:szCs w:val="22"/>
        </w:rPr>
      </w:pPr>
    </w:p>
    <w:p w:rsidR="008040DB" w:rsidRDefault="008040DB">
      <w:pPr>
        <w:jc w:val="center"/>
        <w:rPr>
          <w:b/>
          <w:bCs/>
          <w:sz w:val="22"/>
          <w:szCs w:val="22"/>
        </w:rPr>
      </w:pPr>
      <w:r>
        <w:rPr>
          <w:b/>
          <w:bCs/>
          <w:sz w:val="22"/>
          <w:szCs w:val="22"/>
        </w:rPr>
        <w:t>Website address</w:t>
      </w:r>
      <w:r>
        <w:rPr>
          <w:sz w:val="22"/>
          <w:szCs w:val="22"/>
        </w:rPr>
        <w:t xml:space="preserve">: </w:t>
      </w:r>
      <w:hyperlink r:id="rId13" w:tgtFrame="_parent" w:history="1">
        <w:r>
          <w:rPr>
            <w:rStyle w:val="Hyperlink"/>
            <w:b/>
            <w:bCs/>
            <w:sz w:val="22"/>
            <w:szCs w:val="22"/>
          </w:rPr>
          <w:t>https://bso.bradford.gov.uk/schools/home.aspx</w:t>
        </w:r>
      </w:hyperlink>
    </w:p>
    <w:p w:rsidR="008040DB" w:rsidRDefault="008040DB">
      <w:pPr>
        <w:rPr>
          <w:sz w:val="22"/>
          <w:szCs w:val="22"/>
        </w:rPr>
      </w:pPr>
    </w:p>
    <w:p w:rsidR="008040DB" w:rsidRDefault="008040DB">
      <w:pPr>
        <w:rPr>
          <w:sz w:val="22"/>
          <w:szCs w:val="22"/>
        </w:rPr>
      </w:pPr>
      <w:r>
        <w:rPr>
          <w:sz w:val="22"/>
          <w:szCs w:val="22"/>
        </w:rPr>
        <w:t xml:space="preserve">From the home page go to: </w:t>
      </w:r>
    </w:p>
    <w:p w:rsidR="008040DB" w:rsidRDefault="008040DB">
      <w:pPr>
        <w:rPr>
          <w:sz w:val="22"/>
          <w:szCs w:val="22"/>
        </w:rPr>
      </w:pPr>
    </w:p>
    <w:p w:rsidR="008040DB" w:rsidRDefault="008040DB">
      <w:pPr>
        <w:rPr>
          <w:sz w:val="22"/>
          <w:szCs w:val="22"/>
        </w:rPr>
      </w:pPr>
      <w:r>
        <w:rPr>
          <w:b/>
          <w:bCs/>
          <w:sz w:val="22"/>
          <w:szCs w:val="22"/>
        </w:rPr>
        <w:t>Site Content – Finance – SFT Guidance – School Governor Induction Documentation</w:t>
      </w:r>
    </w:p>
    <w:p w:rsidR="008040DB" w:rsidRDefault="008040DB">
      <w:pPr>
        <w:rPr>
          <w:sz w:val="22"/>
          <w:szCs w:val="22"/>
        </w:rPr>
      </w:pPr>
    </w:p>
    <w:p w:rsidR="008040DB" w:rsidRDefault="008040DB">
      <w:pPr>
        <w:rPr>
          <w:sz w:val="22"/>
          <w:szCs w:val="22"/>
        </w:rPr>
      </w:pPr>
      <w:r>
        <w:rPr>
          <w:sz w:val="22"/>
          <w:szCs w:val="22"/>
        </w:rPr>
        <w:t>We recommend you look through these in order to cement your understanding of the information provided today and expand on the session notes</w:t>
      </w:r>
    </w:p>
    <w:p w:rsidR="008040DB" w:rsidRDefault="008040DB">
      <w:pPr>
        <w:rPr>
          <w:sz w:val="22"/>
          <w:szCs w:val="22"/>
        </w:rPr>
      </w:pPr>
    </w:p>
    <w:p w:rsidR="008040DB" w:rsidRDefault="008040DB">
      <w:pPr>
        <w:rPr>
          <w:sz w:val="22"/>
          <w:szCs w:val="22"/>
        </w:rPr>
      </w:pPr>
      <w:r>
        <w:rPr>
          <w:sz w:val="22"/>
          <w:szCs w:val="22"/>
        </w:rPr>
        <w:t>You may wish to revisit information once each term to ensure you are up to date with any changes in policy. Since the introduction of the Coalition Government there have been a number of changes and we anticipate further changes will take place. We endeavour to ensure the most up to date information available is placed on BSO.</w:t>
      </w:r>
    </w:p>
    <w:p w:rsidR="008040DB" w:rsidRDefault="008040DB">
      <w:pPr>
        <w:rPr>
          <w:sz w:val="22"/>
          <w:szCs w:val="22"/>
        </w:rPr>
      </w:pPr>
    </w:p>
    <w:p w:rsidR="008040DB" w:rsidRDefault="008040DB">
      <w:pPr>
        <w:rPr>
          <w:sz w:val="22"/>
          <w:szCs w:val="22"/>
        </w:rPr>
      </w:pPr>
    </w:p>
    <w:p w:rsidR="008040DB" w:rsidRDefault="008040DB">
      <w:pPr>
        <w:rPr>
          <w:sz w:val="22"/>
          <w:szCs w:val="22"/>
        </w:rPr>
      </w:pPr>
      <w:r>
        <w:rPr>
          <w:sz w:val="22"/>
          <w:szCs w:val="22"/>
        </w:rPr>
        <w:t>Documents available to view and download:</w:t>
      </w:r>
    </w:p>
    <w:p w:rsidR="008040DB" w:rsidRDefault="008040DB">
      <w:pPr>
        <w:rPr>
          <w:sz w:val="22"/>
          <w:szCs w:val="22"/>
        </w:rPr>
      </w:pPr>
    </w:p>
    <w:p w:rsidR="008040DB" w:rsidRDefault="008040DB">
      <w:pPr>
        <w:numPr>
          <w:ilvl w:val="0"/>
          <w:numId w:val="20"/>
        </w:numPr>
        <w:rPr>
          <w:sz w:val="22"/>
          <w:szCs w:val="22"/>
        </w:rPr>
      </w:pPr>
      <w:r>
        <w:rPr>
          <w:sz w:val="22"/>
          <w:szCs w:val="22"/>
        </w:rPr>
        <w:t>Role of the Governing Body</w:t>
      </w:r>
    </w:p>
    <w:p w:rsidR="008040DB" w:rsidRDefault="008040DB">
      <w:pPr>
        <w:numPr>
          <w:ilvl w:val="0"/>
          <w:numId w:val="20"/>
        </w:numPr>
        <w:rPr>
          <w:sz w:val="22"/>
          <w:szCs w:val="22"/>
        </w:rPr>
      </w:pPr>
      <w:r>
        <w:rPr>
          <w:sz w:val="22"/>
          <w:szCs w:val="22"/>
        </w:rPr>
        <w:t>Governance &amp; Accountability</w:t>
      </w:r>
    </w:p>
    <w:p w:rsidR="008040DB" w:rsidRDefault="008040DB">
      <w:pPr>
        <w:numPr>
          <w:ilvl w:val="0"/>
          <w:numId w:val="20"/>
        </w:numPr>
        <w:rPr>
          <w:sz w:val="22"/>
          <w:szCs w:val="22"/>
        </w:rPr>
      </w:pPr>
      <w:r>
        <w:rPr>
          <w:sz w:val="22"/>
          <w:szCs w:val="22"/>
        </w:rPr>
        <w:t>HCSS Strategic Financial Planning Guide</w:t>
      </w:r>
    </w:p>
    <w:p w:rsidR="008040DB" w:rsidRDefault="008040DB">
      <w:pPr>
        <w:numPr>
          <w:ilvl w:val="0"/>
          <w:numId w:val="20"/>
        </w:numPr>
        <w:rPr>
          <w:sz w:val="22"/>
          <w:szCs w:val="22"/>
        </w:rPr>
      </w:pPr>
      <w:r>
        <w:rPr>
          <w:sz w:val="22"/>
          <w:szCs w:val="22"/>
        </w:rPr>
        <w:t>Audit Commission-Keeping Your Balance</w:t>
      </w:r>
    </w:p>
    <w:p w:rsidR="008040DB" w:rsidRDefault="008040DB">
      <w:pPr>
        <w:numPr>
          <w:ilvl w:val="0"/>
          <w:numId w:val="20"/>
        </w:numPr>
        <w:rPr>
          <w:sz w:val="22"/>
          <w:szCs w:val="22"/>
        </w:rPr>
      </w:pPr>
      <w:proofErr w:type="spellStart"/>
      <w:r>
        <w:rPr>
          <w:sz w:val="22"/>
          <w:szCs w:val="22"/>
        </w:rPr>
        <w:t>DfE</w:t>
      </w:r>
      <w:proofErr w:type="spellEnd"/>
      <w:r>
        <w:rPr>
          <w:sz w:val="22"/>
          <w:szCs w:val="22"/>
        </w:rPr>
        <w:t xml:space="preserve"> Efficiencies Report June 2013</w:t>
      </w:r>
    </w:p>
    <w:p w:rsidR="008040DB" w:rsidRDefault="008040DB">
      <w:pPr>
        <w:numPr>
          <w:ilvl w:val="0"/>
          <w:numId w:val="20"/>
        </w:numPr>
        <w:rPr>
          <w:sz w:val="22"/>
          <w:szCs w:val="22"/>
        </w:rPr>
      </w:pPr>
      <w:r>
        <w:rPr>
          <w:sz w:val="22"/>
          <w:szCs w:val="22"/>
        </w:rPr>
        <w:t>Benchmarking (example)</w:t>
      </w:r>
    </w:p>
    <w:p w:rsidR="008040DB" w:rsidRDefault="008040DB">
      <w:pPr>
        <w:numPr>
          <w:ilvl w:val="0"/>
          <w:numId w:val="20"/>
        </w:numPr>
        <w:rPr>
          <w:sz w:val="22"/>
          <w:szCs w:val="22"/>
        </w:rPr>
      </w:pPr>
      <w:r>
        <w:rPr>
          <w:sz w:val="22"/>
          <w:szCs w:val="22"/>
        </w:rPr>
        <w:t>The Effective Financial Governance Course</w:t>
      </w:r>
    </w:p>
    <w:p w:rsidR="008040DB" w:rsidRDefault="008040DB">
      <w:pPr>
        <w:numPr>
          <w:ilvl w:val="0"/>
          <w:numId w:val="20"/>
        </w:numPr>
        <w:rPr>
          <w:sz w:val="22"/>
          <w:szCs w:val="22"/>
        </w:rPr>
      </w:pPr>
      <w:r>
        <w:rPr>
          <w:sz w:val="22"/>
          <w:szCs w:val="22"/>
        </w:rPr>
        <w:t>Efficiency &amp; Value for Money</w:t>
      </w:r>
    </w:p>
    <w:p w:rsidR="008040DB" w:rsidRDefault="008040DB">
      <w:pPr>
        <w:numPr>
          <w:ilvl w:val="0"/>
          <w:numId w:val="20"/>
        </w:numPr>
        <w:rPr>
          <w:sz w:val="22"/>
          <w:szCs w:val="22"/>
        </w:rPr>
      </w:pPr>
      <w:r>
        <w:rPr>
          <w:sz w:val="22"/>
          <w:szCs w:val="22"/>
        </w:rPr>
        <w:t>Governor Approved Budget (Example)</w:t>
      </w:r>
    </w:p>
    <w:p w:rsidR="008040DB" w:rsidRDefault="008040DB">
      <w:pPr>
        <w:numPr>
          <w:ilvl w:val="0"/>
          <w:numId w:val="20"/>
        </w:numPr>
        <w:rPr>
          <w:sz w:val="22"/>
          <w:szCs w:val="22"/>
        </w:rPr>
      </w:pPr>
      <w:r>
        <w:rPr>
          <w:sz w:val="22"/>
          <w:szCs w:val="22"/>
        </w:rPr>
        <w:t>CFR Report (Example)</w:t>
      </w:r>
    </w:p>
    <w:p w:rsidR="008040DB" w:rsidRDefault="008040DB">
      <w:pPr>
        <w:numPr>
          <w:ilvl w:val="0"/>
          <w:numId w:val="20"/>
        </w:numPr>
        <w:rPr>
          <w:sz w:val="22"/>
          <w:szCs w:val="22"/>
        </w:rPr>
      </w:pPr>
      <w:r>
        <w:rPr>
          <w:sz w:val="22"/>
          <w:szCs w:val="22"/>
        </w:rPr>
        <w:t>SFVS –Schools Financial Value Standard</w:t>
      </w:r>
    </w:p>
    <w:p w:rsidR="008040DB" w:rsidRDefault="008040DB">
      <w:pPr>
        <w:numPr>
          <w:ilvl w:val="0"/>
          <w:numId w:val="20"/>
        </w:numPr>
        <w:rPr>
          <w:sz w:val="22"/>
          <w:szCs w:val="22"/>
        </w:rPr>
      </w:pPr>
      <w:r>
        <w:rPr>
          <w:sz w:val="22"/>
          <w:szCs w:val="22"/>
        </w:rPr>
        <w:t>Documents to request for your school</w:t>
      </w:r>
    </w:p>
    <w:p w:rsidR="008040DB" w:rsidRDefault="008040DB">
      <w:pPr>
        <w:numPr>
          <w:ilvl w:val="0"/>
          <w:numId w:val="20"/>
        </w:numPr>
        <w:rPr>
          <w:sz w:val="22"/>
          <w:szCs w:val="22"/>
        </w:rPr>
      </w:pPr>
      <w:r>
        <w:rPr>
          <w:sz w:val="22"/>
          <w:szCs w:val="22"/>
        </w:rPr>
        <w:t>Glossary of Key Terms</w:t>
      </w:r>
    </w:p>
    <w:p w:rsidR="008040DB" w:rsidRDefault="008040DB">
      <w:pPr>
        <w:numPr>
          <w:ilvl w:val="0"/>
          <w:numId w:val="20"/>
        </w:numPr>
        <w:rPr>
          <w:sz w:val="22"/>
          <w:szCs w:val="22"/>
        </w:rPr>
      </w:pPr>
      <w:r>
        <w:rPr>
          <w:sz w:val="22"/>
          <w:szCs w:val="22"/>
        </w:rPr>
        <w:t>Useful Websites</w:t>
      </w:r>
    </w:p>
    <w:p w:rsidR="008040DB" w:rsidRDefault="008040DB">
      <w:pPr>
        <w:numPr>
          <w:ilvl w:val="0"/>
          <w:numId w:val="20"/>
        </w:numPr>
        <w:rPr>
          <w:sz w:val="22"/>
          <w:szCs w:val="22"/>
        </w:rPr>
      </w:pPr>
      <w:smartTag w:uri="urn:schemas-microsoft-com:office:smarttags" w:element="PersonName">
        <w:r>
          <w:rPr>
            <w:sz w:val="22"/>
            <w:szCs w:val="22"/>
          </w:rPr>
          <w:t>School Funding Team</w:t>
        </w:r>
      </w:smartTag>
      <w:r>
        <w:rPr>
          <w:sz w:val="22"/>
          <w:szCs w:val="22"/>
        </w:rPr>
        <w:t xml:space="preserve"> Contacts</w:t>
      </w:r>
    </w:p>
    <w:p w:rsidR="008040DB" w:rsidRDefault="008040DB">
      <w:pPr>
        <w:numPr>
          <w:ilvl w:val="0"/>
          <w:numId w:val="20"/>
        </w:numPr>
        <w:rPr>
          <w:sz w:val="22"/>
          <w:szCs w:val="22"/>
        </w:rPr>
      </w:pPr>
      <w:r>
        <w:rPr>
          <w:sz w:val="22"/>
          <w:szCs w:val="22"/>
        </w:rPr>
        <w:t>BSO Document Navigation</w:t>
      </w:r>
    </w:p>
    <w:p w:rsidR="008040DB" w:rsidRDefault="008040DB">
      <w:pPr>
        <w:numPr>
          <w:ilvl w:val="0"/>
          <w:numId w:val="20"/>
        </w:numPr>
        <w:rPr>
          <w:sz w:val="22"/>
          <w:szCs w:val="22"/>
        </w:rPr>
      </w:pPr>
      <w:r>
        <w:rPr>
          <w:sz w:val="22"/>
          <w:szCs w:val="22"/>
        </w:rPr>
        <w:t>Schools Balances Deficits &amp; Surpluses</w:t>
      </w:r>
    </w:p>
    <w:p w:rsidR="008040DB" w:rsidRDefault="008040DB">
      <w:pPr>
        <w:numPr>
          <w:ilvl w:val="0"/>
          <w:numId w:val="20"/>
        </w:numPr>
        <w:rPr>
          <w:sz w:val="22"/>
          <w:szCs w:val="22"/>
        </w:rPr>
      </w:pPr>
      <w:r>
        <w:rPr>
          <w:sz w:val="22"/>
          <w:szCs w:val="22"/>
        </w:rPr>
        <w:t>Schools Forum</w:t>
      </w:r>
    </w:p>
    <w:p w:rsidR="008040DB" w:rsidRDefault="008040DB">
      <w:pPr>
        <w:numPr>
          <w:ilvl w:val="0"/>
          <w:numId w:val="20"/>
        </w:numPr>
        <w:rPr>
          <w:sz w:val="22"/>
          <w:szCs w:val="22"/>
        </w:rPr>
      </w:pPr>
      <w:r>
        <w:rPr>
          <w:sz w:val="22"/>
          <w:szCs w:val="22"/>
        </w:rPr>
        <w:t>Protocols &amp; Statutory Framework</w:t>
      </w:r>
    </w:p>
    <w:p w:rsidR="008040DB" w:rsidRDefault="008040DB">
      <w:pPr>
        <w:numPr>
          <w:ilvl w:val="0"/>
          <w:numId w:val="20"/>
        </w:numPr>
        <w:rPr>
          <w:sz w:val="22"/>
          <w:szCs w:val="22"/>
        </w:rPr>
      </w:pPr>
      <w:r>
        <w:rPr>
          <w:sz w:val="22"/>
          <w:szCs w:val="22"/>
        </w:rPr>
        <w:t xml:space="preserve">Training Session </w:t>
      </w:r>
      <w:proofErr w:type="spellStart"/>
      <w:r>
        <w:rPr>
          <w:sz w:val="22"/>
          <w:szCs w:val="22"/>
        </w:rPr>
        <w:t>Powerpoint</w:t>
      </w:r>
      <w:proofErr w:type="spellEnd"/>
      <w:r>
        <w:rPr>
          <w:sz w:val="22"/>
          <w:szCs w:val="22"/>
        </w:rPr>
        <w:t xml:space="preserve"> presentation</w:t>
      </w:r>
    </w:p>
    <w:p w:rsidR="008040DB" w:rsidRDefault="008040DB">
      <w:pPr>
        <w:numPr>
          <w:ilvl w:val="0"/>
          <w:numId w:val="20"/>
        </w:numPr>
        <w:rPr>
          <w:sz w:val="22"/>
          <w:szCs w:val="22"/>
        </w:rPr>
      </w:pPr>
      <w:r>
        <w:rPr>
          <w:sz w:val="22"/>
          <w:szCs w:val="22"/>
        </w:rPr>
        <w:t>New Governor Finance Induction Training Handbook</w:t>
      </w:r>
    </w:p>
    <w:p w:rsidR="008040DB" w:rsidRDefault="008040DB">
      <w:pPr>
        <w:numPr>
          <w:ilvl w:val="0"/>
          <w:numId w:val="20"/>
        </w:numPr>
        <w:rPr>
          <w:sz w:val="22"/>
          <w:szCs w:val="22"/>
        </w:rPr>
      </w:pPr>
      <w:r>
        <w:rPr>
          <w:sz w:val="22"/>
          <w:szCs w:val="22"/>
        </w:rPr>
        <w:t>Accounting for VAT</w:t>
      </w:r>
    </w:p>
    <w:p w:rsidR="008040DB" w:rsidRDefault="008040DB">
      <w:pPr>
        <w:numPr>
          <w:ilvl w:val="0"/>
          <w:numId w:val="20"/>
        </w:numPr>
        <w:rPr>
          <w:sz w:val="22"/>
          <w:szCs w:val="22"/>
        </w:rPr>
      </w:pPr>
      <w:r>
        <w:rPr>
          <w:sz w:val="22"/>
          <w:szCs w:val="22"/>
        </w:rPr>
        <w:t>Timetable of Key Dates</w:t>
      </w:r>
    </w:p>
    <w:p w:rsidR="008040DB" w:rsidRDefault="008040DB">
      <w:pPr>
        <w:rPr>
          <w:sz w:val="22"/>
          <w:szCs w:val="22"/>
        </w:rPr>
      </w:pPr>
    </w:p>
    <w:p w:rsidR="008040DB" w:rsidRDefault="008040DB"/>
    <w:sectPr w:rsidR="008040DB">
      <w:footerReference w:type="default" r:id="rId14"/>
      <w:headerReference w:type="first" r:id="rId15"/>
      <w:footerReference w:type="first" r:id="rId16"/>
      <w:pgSz w:w="11906" w:h="16838" w:code="9"/>
      <w:pgMar w:top="851" w:right="1418" w:bottom="1191"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DD8" w:rsidRDefault="00620DD8">
      <w:r>
        <w:separator/>
      </w:r>
    </w:p>
  </w:endnote>
  <w:endnote w:type="continuationSeparator" w:id="0">
    <w:p w:rsidR="00620DD8" w:rsidRDefault="0062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D8" w:rsidRDefault="00154BA2">
    <w:pPr>
      <w:pStyle w:val="Foo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N:\School Funding Team\SFT\Controlled Documents\School Funding Team Live Documents\Training\SFT079 Handbook - New Governor Finance Induction.docx</w:t>
    </w:r>
    <w:r>
      <w:rPr>
        <w:sz w:val="18"/>
        <w:szCs w:val="18"/>
      </w:rPr>
      <w:fldChar w:fldCharType="end"/>
    </w:r>
    <w:r w:rsidR="00620DD8">
      <w:rPr>
        <w:sz w:val="18"/>
        <w:szCs w:val="18"/>
      </w:rPr>
      <w:t xml:space="preserve">  Version </w:t>
    </w:r>
    <w:proofErr w:type="gramStart"/>
    <w:r w:rsidR="00620DD8">
      <w:rPr>
        <w:sz w:val="18"/>
        <w:szCs w:val="18"/>
      </w:rPr>
      <w:t>2  Issue</w:t>
    </w:r>
    <w:proofErr w:type="gramEnd"/>
    <w:r>
      <w:rPr>
        <w:sz w:val="18"/>
        <w:szCs w:val="18"/>
      </w:rPr>
      <w:t xml:space="preserve"> d</w:t>
    </w:r>
    <w:r w:rsidR="00620DD8">
      <w:rPr>
        <w:sz w:val="18"/>
        <w:szCs w:val="18"/>
      </w:rPr>
      <w:t xml:space="preserve">ate </w:t>
    </w:r>
    <w:r w:rsidR="00522788">
      <w:rPr>
        <w:sz w:val="18"/>
        <w:szCs w:val="18"/>
      </w:rPr>
      <w:t>1 May 2015</w:t>
    </w:r>
    <w:r w:rsidR="00620DD8">
      <w:rPr>
        <w:sz w:val="18"/>
        <w:szCs w:val="18"/>
      </w:rPr>
      <w:t xml:space="preserve">  Page </w:t>
    </w:r>
    <w:r w:rsidR="00620DD8">
      <w:rPr>
        <w:sz w:val="18"/>
        <w:szCs w:val="18"/>
      </w:rPr>
      <w:fldChar w:fldCharType="begin"/>
    </w:r>
    <w:r w:rsidR="00620DD8">
      <w:rPr>
        <w:sz w:val="18"/>
        <w:szCs w:val="18"/>
      </w:rPr>
      <w:instrText xml:space="preserve"> PAGE </w:instrText>
    </w:r>
    <w:r w:rsidR="00620DD8">
      <w:rPr>
        <w:sz w:val="18"/>
        <w:szCs w:val="18"/>
      </w:rPr>
      <w:fldChar w:fldCharType="separate"/>
    </w:r>
    <w:r w:rsidR="001E5CC1">
      <w:rPr>
        <w:noProof/>
        <w:sz w:val="18"/>
        <w:szCs w:val="18"/>
      </w:rPr>
      <w:t>2</w:t>
    </w:r>
    <w:r w:rsidR="00620DD8">
      <w:rPr>
        <w:sz w:val="18"/>
        <w:szCs w:val="18"/>
      </w:rPr>
      <w:fldChar w:fldCharType="end"/>
    </w:r>
    <w:r w:rsidR="00620DD8">
      <w:rPr>
        <w:sz w:val="18"/>
        <w:szCs w:val="18"/>
      </w:rPr>
      <w:t xml:space="preserve"> of </w:t>
    </w:r>
    <w:r w:rsidR="00620DD8">
      <w:rPr>
        <w:sz w:val="18"/>
        <w:szCs w:val="18"/>
      </w:rPr>
      <w:fldChar w:fldCharType="begin"/>
    </w:r>
    <w:r w:rsidR="00620DD8">
      <w:rPr>
        <w:sz w:val="18"/>
        <w:szCs w:val="18"/>
      </w:rPr>
      <w:instrText xml:space="preserve"> NUMPAGES </w:instrText>
    </w:r>
    <w:r w:rsidR="00620DD8">
      <w:rPr>
        <w:sz w:val="18"/>
        <w:szCs w:val="18"/>
      </w:rPr>
      <w:fldChar w:fldCharType="separate"/>
    </w:r>
    <w:r w:rsidR="001E5CC1">
      <w:rPr>
        <w:noProof/>
        <w:sz w:val="18"/>
        <w:szCs w:val="18"/>
      </w:rPr>
      <w:t>18</w:t>
    </w:r>
    <w:r w:rsidR="00620DD8">
      <w:rPr>
        <w:sz w:val="18"/>
        <w:szCs w:val="18"/>
      </w:rPr>
      <w:fldChar w:fldCharType="end"/>
    </w:r>
  </w:p>
  <w:p w:rsidR="00620DD8" w:rsidRDefault="00620DD8">
    <w:pPr>
      <w:pStyle w:val="Footer"/>
      <w:tabs>
        <w:tab w:val="right" w:pos="9070"/>
      </w:tabs>
      <w:rPr>
        <w:sz w:val="18"/>
        <w:szCs w:val="18"/>
      </w:rPr>
    </w:pPr>
  </w:p>
  <w:p w:rsidR="00620DD8" w:rsidRDefault="00620D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D8" w:rsidRPr="004B0B00" w:rsidRDefault="00154BA2" w:rsidP="004B0B00">
    <w:pPr>
      <w:pStyle w:val="Foo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N:\School Funding Team\SFT\Controlled Documents\School Funding Team Live Documents\Training\SFT079 Handbook - New Governor Finance Induction.docx</w:t>
    </w:r>
    <w:r>
      <w:rPr>
        <w:sz w:val="18"/>
        <w:szCs w:val="18"/>
      </w:rPr>
      <w:fldChar w:fldCharType="end"/>
    </w:r>
    <w:r>
      <w:rPr>
        <w:sz w:val="18"/>
        <w:szCs w:val="18"/>
      </w:rPr>
      <w:t xml:space="preserve"> Version </w:t>
    </w:r>
    <w:proofErr w:type="gramStart"/>
    <w:r>
      <w:rPr>
        <w:sz w:val="18"/>
        <w:szCs w:val="18"/>
      </w:rPr>
      <w:t>2  Issue</w:t>
    </w:r>
    <w:proofErr w:type="gramEnd"/>
    <w:r>
      <w:rPr>
        <w:sz w:val="18"/>
        <w:szCs w:val="18"/>
      </w:rPr>
      <w:t xml:space="preserve"> d</w:t>
    </w:r>
    <w:r w:rsidR="00620DD8">
      <w:rPr>
        <w:sz w:val="18"/>
        <w:szCs w:val="18"/>
      </w:rPr>
      <w:t xml:space="preserve">ate </w:t>
    </w:r>
    <w:r w:rsidR="00522788">
      <w:rPr>
        <w:sz w:val="18"/>
        <w:szCs w:val="18"/>
      </w:rPr>
      <w:t>1 May 2015</w:t>
    </w:r>
    <w:r w:rsidR="00620DD8">
      <w:rPr>
        <w:sz w:val="18"/>
        <w:szCs w:val="18"/>
      </w:rPr>
      <w:t xml:space="preserve">  Page </w:t>
    </w:r>
    <w:r w:rsidR="00620DD8">
      <w:rPr>
        <w:sz w:val="18"/>
        <w:szCs w:val="18"/>
      </w:rPr>
      <w:fldChar w:fldCharType="begin"/>
    </w:r>
    <w:r w:rsidR="00620DD8">
      <w:rPr>
        <w:sz w:val="18"/>
        <w:szCs w:val="18"/>
      </w:rPr>
      <w:instrText xml:space="preserve"> PAGE </w:instrText>
    </w:r>
    <w:r w:rsidR="00620DD8">
      <w:rPr>
        <w:sz w:val="18"/>
        <w:szCs w:val="18"/>
      </w:rPr>
      <w:fldChar w:fldCharType="separate"/>
    </w:r>
    <w:r w:rsidR="001E5CC1">
      <w:rPr>
        <w:noProof/>
        <w:sz w:val="18"/>
        <w:szCs w:val="18"/>
      </w:rPr>
      <w:t>1</w:t>
    </w:r>
    <w:r w:rsidR="00620DD8">
      <w:rPr>
        <w:sz w:val="18"/>
        <w:szCs w:val="18"/>
      </w:rPr>
      <w:fldChar w:fldCharType="end"/>
    </w:r>
    <w:r w:rsidR="00620DD8">
      <w:rPr>
        <w:sz w:val="18"/>
        <w:szCs w:val="18"/>
      </w:rPr>
      <w:t xml:space="preserve"> of </w:t>
    </w:r>
    <w:r w:rsidR="00620DD8">
      <w:rPr>
        <w:sz w:val="18"/>
        <w:szCs w:val="18"/>
      </w:rPr>
      <w:fldChar w:fldCharType="begin"/>
    </w:r>
    <w:r w:rsidR="00620DD8">
      <w:rPr>
        <w:sz w:val="18"/>
        <w:szCs w:val="18"/>
      </w:rPr>
      <w:instrText xml:space="preserve"> NUMPAGES </w:instrText>
    </w:r>
    <w:r w:rsidR="00620DD8">
      <w:rPr>
        <w:sz w:val="18"/>
        <w:szCs w:val="18"/>
      </w:rPr>
      <w:fldChar w:fldCharType="separate"/>
    </w:r>
    <w:r w:rsidR="001E5CC1">
      <w:rPr>
        <w:noProof/>
        <w:sz w:val="18"/>
        <w:szCs w:val="18"/>
      </w:rPr>
      <w:t>18</w:t>
    </w:r>
    <w:r w:rsidR="00620DD8">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DD8" w:rsidRDefault="00620DD8">
      <w:r>
        <w:separator/>
      </w:r>
    </w:p>
  </w:footnote>
  <w:footnote w:type="continuationSeparator" w:id="0">
    <w:p w:rsidR="00620DD8" w:rsidRDefault="00620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D8" w:rsidRDefault="00620DD8">
    <w:pPr>
      <w:pStyle w:val="Header"/>
    </w:pPr>
    <w:r>
      <w:rPr>
        <w:noProof/>
        <w:lang w:eastAsia="en-GB"/>
      </w:rPr>
      <w:drawing>
        <wp:inline distT="0" distB="0" distL="0" distR="0">
          <wp:extent cx="6680200" cy="649605"/>
          <wp:effectExtent l="0" t="0" r="6350" b="0"/>
          <wp:docPr id="2" name="Picture 2" descr="banne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0" cy="6496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234E"/>
    <w:multiLevelType w:val="hybridMultilevel"/>
    <w:tmpl w:val="2F52C51A"/>
    <w:lvl w:ilvl="0" w:tplc="ECD08C88">
      <w:start w:val="1"/>
      <w:numFmt w:val="bullet"/>
      <w:lvlText w:val="•"/>
      <w:lvlJc w:val="left"/>
      <w:pPr>
        <w:tabs>
          <w:tab w:val="num" w:pos="720"/>
        </w:tabs>
        <w:ind w:left="720" w:hanging="360"/>
      </w:pPr>
      <w:rPr>
        <w:rFonts w:ascii="Times New Roman" w:hAnsi="Times New Roman" w:hint="default"/>
      </w:rPr>
    </w:lvl>
    <w:lvl w:ilvl="1" w:tplc="BCDE2F56" w:tentative="1">
      <w:start w:val="1"/>
      <w:numFmt w:val="bullet"/>
      <w:lvlText w:val="•"/>
      <w:lvlJc w:val="left"/>
      <w:pPr>
        <w:tabs>
          <w:tab w:val="num" w:pos="1440"/>
        </w:tabs>
        <w:ind w:left="1440" w:hanging="360"/>
      </w:pPr>
      <w:rPr>
        <w:rFonts w:ascii="Times New Roman" w:hAnsi="Times New Roman" w:hint="default"/>
      </w:rPr>
    </w:lvl>
    <w:lvl w:ilvl="2" w:tplc="5F4A051C" w:tentative="1">
      <w:start w:val="1"/>
      <w:numFmt w:val="bullet"/>
      <w:lvlText w:val="•"/>
      <w:lvlJc w:val="left"/>
      <w:pPr>
        <w:tabs>
          <w:tab w:val="num" w:pos="2160"/>
        </w:tabs>
        <w:ind w:left="2160" w:hanging="360"/>
      </w:pPr>
      <w:rPr>
        <w:rFonts w:ascii="Times New Roman" w:hAnsi="Times New Roman" w:hint="default"/>
      </w:rPr>
    </w:lvl>
    <w:lvl w:ilvl="3" w:tplc="5BF8B73E" w:tentative="1">
      <w:start w:val="1"/>
      <w:numFmt w:val="bullet"/>
      <w:lvlText w:val="•"/>
      <w:lvlJc w:val="left"/>
      <w:pPr>
        <w:tabs>
          <w:tab w:val="num" w:pos="2880"/>
        </w:tabs>
        <w:ind w:left="2880" w:hanging="360"/>
      </w:pPr>
      <w:rPr>
        <w:rFonts w:ascii="Times New Roman" w:hAnsi="Times New Roman" w:hint="default"/>
      </w:rPr>
    </w:lvl>
    <w:lvl w:ilvl="4" w:tplc="3C9801E4" w:tentative="1">
      <w:start w:val="1"/>
      <w:numFmt w:val="bullet"/>
      <w:lvlText w:val="•"/>
      <w:lvlJc w:val="left"/>
      <w:pPr>
        <w:tabs>
          <w:tab w:val="num" w:pos="3600"/>
        </w:tabs>
        <w:ind w:left="3600" w:hanging="360"/>
      </w:pPr>
      <w:rPr>
        <w:rFonts w:ascii="Times New Roman" w:hAnsi="Times New Roman" w:hint="default"/>
      </w:rPr>
    </w:lvl>
    <w:lvl w:ilvl="5" w:tplc="D7DE1048" w:tentative="1">
      <w:start w:val="1"/>
      <w:numFmt w:val="bullet"/>
      <w:lvlText w:val="•"/>
      <w:lvlJc w:val="left"/>
      <w:pPr>
        <w:tabs>
          <w:tab w:val="num" w:pos="4320"/>
        </w:tabs>
        <w:ind w:left="4320" w:hanging="360"/>
      </w:pPr>
      <w:rPr>
        <w:rFonts w:ascii="Times New Roman" w:hAnsi="Times New Roman" w:hint="default"/>
      </w:rPr>
    </w:lvl>
    <w:lvl w:ilvl="6" w:tplc="043239DC" w:tentative="1">
      <w:start w:val="1"/>
      <w:numFmt w:val="bullet"/>
      <w:lvlText w:val="•"/>
      <w:lvlJc w:val="left"/>
      <w:pPr>
        <w:tabs>
          <w:tab w:val="num" w:pos="5040"/>
        </w:tabs>
        <w:ind w:left="5040" w:hanging="360"/>
      </w:pPr>
      <w:rPr>
        <w:rFonts w:ascii="Times New Roman" w:hAnsi="Times New Roman" w:hint="default"/>
      </w:rPr>
    </w:lvl>
    <w:lvl w:ilvl="7" w:tplc="FA0C368A" w:tentative="1">
      <w:start w:val="1"/>
      <w:numFmt w:val="bullet"/>
      <w:lvlText w:val="•"/>
      <w:lvlJc w:val="left"/>
      <w:pPr>
        <w:tabs>
          <w:tab w:val="num" w:pos="5760"/>
        </w:tabs>
        <w:ind w:left="5760" w:hanging="360"/>
      </w:pPr>
      <w:rPr>
        <w:rFonts w:ascii="Times New Roman" w:hAnsi="Times New Roman" w:hint="default"/>
      </w:rPr>
    </w:lvl>
    <w:lvl w:ilvl="8" w:tplc="9480A00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2363D8"/>
    <w:multiLevelType w:val="hybridMultilevel"/>
    <w:tmpl w:val="68F4DADE"/>
    <w:lvl w:ilvl="0" w:tplc="8EB2C8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19CB37E3"/>
    <w:multiLevelType w:val="hybridMultilevel"/>
    <w:tmpl w:val="7F8CA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E06BB7"/>
    <w:multiLevelType w:val="hybridMultilevel"/>
    <w:tmpl w:val="2DD4A57C"/>
    <w:lvl w:ilvl="0" w:tplc="8EB2C8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B8D1AA6"/>
    <w:multiLevelType w:val="singleLevel"/>
    <w:tmpl w:val="2D52F4A6"/>
    <w:lvl w:ilvl="0">
      <w:start w:val="1"/>
      <w:numFmt w:val="lowerRoman"/>
      <w:lvlText w:val="(%1)"/>
      <w:lvlJc w:val="left"/>
      <w:pPr>
        <w:tabs>
          <w:tab w:val="num" w:pos="1440"/>
        </w:tabs>
        <w:ind w:left="1440" w:hanging="720"/>
      </w:pPr>
      <w:rPr>
        <w:rFonts w:hint="default"/>
      </w:rPr>
    </w:lvl>
  </w:abstractNum>
  <w:abstractNum w:abstractNumId="5">
    <w:nsid w:val="1BB65CC4"/>
    <w:multiLevelType w:val="hybridMultilevel"/>
    <w:tmpl w:val="EEBA09C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C726ECE"/>
    <w:multiLevelType w:val="hybridMultilevel"/>
    <w:tmpl w:val="50E26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1C81AFD"/>
    <w:multiLevelType w:val="hybridMultilevel"/>
    <w:tmpl w:val="323EE4A2"/>
    <w:lvl w:ilvl="0" w:tplc="8EB2C81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3AF293A"/>
    <w:multiLevelType w:val="hybridMultilevel"/>
    <w:tmpl w:val="82D45E56"/>
    <w:lvl w:ilvl="0" w:tplc="60A61DB6">
      <w:start w:val="1"/>
      <w:numFmt w:val="bullet"/>
      <w:lvlText w:val="•"/>
      <w:lvlJc w:val="left"/>
      <w:pPr>
        <w:tabs>
          <w:tab w:val="num" w:pos="720"/>
        </w:tabs>
        <w:ind w:left="720" w:hanging="360"/>
      </w:pPr>
      <w:rPr>
        <w:rFonts w:ascii="Times New Roman" w:hAnsi="Times New Roman" w:hint="default"/>
      </w:rPr>
    </w:lvl>
    <w:lvl w:ilvl="1" w:tplc="26A2A18A" w:tentative="1">
      <w:start w:val="1"/>
      <w:numFmt w:val="bullet"/>
      <w:lvlText w:val="•"/>
      <w:lvlJc w:val="left"/>
      <w:pPr>
        <w:tabs>
          <w:tab w:val="num" w:pos="1440"/>
        </w:tabs>
        <w:ind w:left="1440" w:hanging="360"/>
      </w:pPr>
      <w:rPr>
        <w:rFonts w:ascii="Times New Roman" w:hAnsi="Times New Roman" w:hint="default"/>
      </w:rPr>
    </w:lvl>
    <w:lvl w:ilvl="2" w:tplc="AABA37D4" w:tentative="1">
      <w:start w:val="1"/>
      <w:numFmt w:val="bullet"/>
      <w:lvlText w:val="•"/>
      <w:lvlJc w:val="left"/>
      <w:pPr>
        <w:tabs>
          <w:tab w:val="num" w:pos="2160"/>
        </w:tabs>
        <w:ind w:left="2160" w:hanging="360"/>
      </w:pPr>
      <w:rPr>
        <w:rFonts w:ascii="Times New Roman" w:hAnsi="Times New Roman" w:hint="default"/>
      </w:rPr>
    </w:lvl>
    <w:lvl w:ilvl="3" w:tplc="4D54E082" w:tentative="1">
      <w:start w:val="1"/>
      <w:numFmt w:val="bullet"/>
      <w:lvlText w:val="•"/>
      <w:lvlJc w:val="left"/>
      <w:pPr>
        <w:tabs>
          <w:tab w:val="num" w:pos="2880"/>
        </w:tabs>
        <w:ind w:left="2880" w:hanging="360"/>
      </w:pPr>
      <w:rPr>
        <w:rFonts w:ascii="Times New Roman" w:hAnsi="Times New Roman" w:hint="default"/>
      </w:rPr>
    </w:lvl>
    <w:lvl w:ilvl="4" w:tplc="8BDAAB88" w:tentative="1">
      <w:start w:val="1"/>
      <w:numFmt w:val="bullet"/>
      <w:lvlText w:val="•"/>
      <w:lvlJc w:val="left"/>
      <w:pPr>
        <w:tabs>
          <w:tab w:val="num" w:pos="3600"/>
        </w:tabs>
        <w:ind w:left="3600" w:hanging="360"/>
      </w:pPr>
      <w:rPr>
        <w:rFonts w:ascii="Times New Roman" w:hAnsi="Times New Roman" w:hint="default"/>
      </w:rPr>
    </w:lvl>
    <w:lvl w:ilvl="5" w:tplc="F0EAE76A" w:tentative="1">
      <w:start w:val="1"/>
      <w:numFmt w:val="bullet"/>
      <w:lvlText w:val="•"/>
      <w:lvlJc w:val="left"/>
      <w:pPr>
        <w:tabs>
          <w:tab w:val="num" w:pos="4320"/>
        </w:tabs>
        <w:ind w:left="4320" w:hanging="360"/>
      </w:pPr>
      <w:rPr>
        <w:rFonts w:ascii="Times New Roman" w:hAnsi="Times New Roman" w:hint="default"/>
      </w:rPr>
    </w:lvl>
    <w:lvl w:ilvl="6" w:tplc="83C21CC6" w:tentative="1">
      <w:start w:val="1"/>
      <w:numFmt w:val="bullet"/>
      <w:lvlText w:val="•"/>
      <w:lvlJc w:val="left"/>
      <w:pPr>
        <w:tabs>
          <w:tab w:val="num" w:pos="5040"/>
        </w:tabs>
        <w:ind w:left="5040" w:hanging="360"/>
      </w:pPr>
      <w:rPr>
        <w:rFonts w:ascii="Times New Roman" w:hAnsi="Times New Roman" w:hint="default"/>
      </w:rPr>
    </w:lvl>
    <w:lvl w:ilvl="7" w:tplc="3344051E" w:tentative="1">
      <w:start w:val="1"/>
      <w:numFmt w:val="bullet"/>
      <w:lvlText w:val="•"/>
      <w:lvlJc w:val="left"/>
      <w:pPr>
        <w:tabs>
          <w:tab w:val="num" w:pos="5760"/>
        </w:tabs>
        <w:ind w:left="5760" w:hanging="360"/>
      </w:pPr>
      <w:rPr>
        <w:rFonts w:ascii="Times New Roman" w:hAnsi="Times New Roman" w:hint="default"/>
      </w:rPr>
    </w:lvl>
    <w:lvl w:ilvl="8" w:tplc="C8B6A9DC" w:tentative="1">
      <w:start w:val="1"/>
      <w:numFmt w:val="bullet"/>
      <w:lvlText w:val="•"/>
      <w:lvlJc w:val="left"/>
      <w:pPr>
        <w:tabs>
          <w:tab w:val="num" w:pos="6480"/>
        </w:tabs>
        <w:ind w:left="6480" w:hanging="360"/>
      </w:pPr>
      <w:rPr>
        <w:rFonts w:ascii="Times New Roman" w:hAnsi="Times New Roman" w:hint="default"/>
      </w:rPr>
    </w:lvl>
  </w:abstractNum>
  <w:abstractNum w:abstractNumId="9">
    <w:nsid w:val="25CD598E"/>
    <w:multiLevelType w:val="hybridMultilevel"/>
    <w:tmpl w:val="DBDAD2FC"/>
    <w:lvl w:ilvl="0" w:tplc="8EB2C8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648483D"/>
    <w:multiLevelType w:val="hybridMultilevel"/>
    <w:tmpl w:val="1D465F74"/>
    <w:lvl w:ilvl="0" w:tplc="5CF23764">
      <w:start w:val="1"/>
      <w:numFmt w:val="bullet"/>
      <w:lvlText w:val="•"/>
      <w:lvlJc w:val="left"/>
      <w:pPr>
        <w:tabs>
          <w:tab w:val="num" w:pos="720"/>
        </w:tabs>
        <w:ind w:left="720" w:hanging="360"/>
      </w:pPr>
      <w:rPr>
        <w:rFonts w:ascii="Times New Roman" w:hAnsi="Times New Roman" w:hint="default"/>
      </w:rPr>
    </w:lvl>
    <w:lvl w:ilvl="1" w:tplc="4D02B9FC" w:tentative="1">
      <w:start w:val="1"/>
      <w:numFmt w:val="bullet"/>
      <w:lvlText w:val="•"/>
      <w:lvlJc w:val="left"/>
      <w:pPr>
        <w:tabs>
          <w:tab w:val="num" w:pos="1440"/>
        </w:tabs>
        <w:ind w:left="1440" w:hanging="360"/>
      </w:pPr>
      <w:rPr>
        <w:rFonts w:ascii="Times New Roman" w:hAnsi="Times New Roman" w:hint="default"/>
      </w:rPr>
    </w:lvl>
    <w:lvl w:ilvl="2" w:tplc="67884A94" w:tentative="1">
      <w:start w:val="1"/>
      <w:numFmt w:val="bullet"/>
      <w:lvlText w:val="•"/>
      <w:lvlJc w:val="left"/>
      <w:pPr>
        <w:tabs>
          <w:tab w:val="num" w:pos="2160"/>
        </w:tabs>
        <w:ind w:left="2160" w:hanging="360"/>
      </w:pPr>
      <w:rPr>
        <w:rFonts w:ascii="Times New Roman" w:hAnsi="Times New Roman" w:hint="default"/>
      </w:rPr>
    </w:lvl>
    <w:lvl w:ilvl="3" w:tplc="80E8E22A" w:tentative="1">
      <w:start w:val="1"/>
      <w:numFmt w:val="bullet"/>
      <w:lvlText w:val="•"/>
      <w:lvlJc w:val="left"/>
      <w:pPr>
        <w:tabs>
          <w:tab w:val="num" w:pos="2880"/>
        </w:tabs>
        <w:ind w:left="2880" w:hanging="360"/>
      </w:pPr>
      <w:rPr>
        <w:rFonts w:ascii="Times New Roman" w:hAnsi="Times New Roman" w:hint="default"/>
      </w:rPr>
    </w:lvl>
    <w:lvl w:ilvl="4" w:tplc="0930B7B0" w:tentative="1">
      <w:start w:val="1"/>
      <w:numFmt w:val="bullet"/>
      <w:lvlText w:val="•"/>
      <w:lvlJc w:val="left"/>
      <w:pPr>
        <w:tabs>
          <w:tab w:val="num" w:pos="3600"/>
        </w:tabs>
        <w:ind w:left="3600" w:hanging="360"/>
      </w:pPr>
      <w:rPr>
        <w:rFonts w:ascii="Times New Roman" w:hAnsi="Times New Roman" w:hint="default"/>
      </w:rPr>
    </w:lvl>
    <w:lvl w:ilvl="5" w:tplc="897E0F58" w:tentative="1">
      <w:start w:val="1"/>
      <w:numFmt w:val="bullet"/>
      <w:lvlText w:val="•"/>
      <w:lvlJc w:val="left"/>
      <w:pPr>
        <w:tabs>
          <w:tab w:val="num" w:pos="4320"/>
        </w:tabs>
        <w:ind w:left="4320" w:hanging="360"/>
      </w:pPr>
      <w:rPr>
        <w:rFonts w:ascii="Times New Roman" w:hAnsi="Times New Roman" w:hint="default"/>
      </w:rPr>
    </w:lvl>
    <w:lvl w:ilvl="6" w:tplc="FC1A1290" w:tentative="1">
      <w:start w:val="1"/>
      <w:numFmt w:val="bullet"/>
      <w:lvlText w:val="•"/>
      <w:lvlJc w:val="left"/>
      <w:pPr>
        <w:tabs>
          <w:tab w:val="num" w:pos="5040"/>
        </w:tabs>
        <w:ind w:left="5040" w:hanging="360"/>
      </w:pPr>
      <w:rPr>
        <w:rFonts w:ascii="Times New Roman" w:hAnsi="Times New Roman" w:hint="default"/>
      </w:rPr>
    </w:lvl>
    <w:lvl w:ilvl="7" w:tplc="9EA00A0E" w:tentative="1">
      <w:start w:val="1"/>
      <w:numFmt w:val="bullet"/>
      <w:lvlText w:val="•"/>
      <w:lvlJc w:val="left"/>
      <w:pPr>
        <w:tabs>
          <w:tab w:val="num" w:pos="5760"/>
        </w:tabs>
        <w:ind w:left="5760" w:hanging="360"/>
      </w:pPr>
      <w:rPr>
        <w:rFonts w:ascii="Times New Roman" w:hAnsi="Times New Roman" w:hint="default"/>
      </w:rPr>
    </w:lvl>
    <w:lvl w:ilvl="8" w:tplc="19AC35A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7482B6C"/>
    <w:multiLevelType w:val="hybridMultilevel"/>
    <w:tmpl w:val="FF341E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C723DD"/>
    <w:multiLevelType w:val="hybridMultilevel"/>
    <w:tmpl w:val="02665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EC322A3"/>
    <w:multiLevelType w:val="hybridMultilevel"/>
    <w:tmpl w:val="E3DC0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3602A3D"/>
    <w:multiLevelType w:val="hybridMultilevel"/>
    <w:tmpl w:val="23D05474"/>
    <w:lvl w:ilvl="0" w:tplc="8EB2C81E">
      <w:start w:val="1"/>
      <w:numFmt w:val="bullet"/>
      <w:lvlText w:val=""/>
      <w:lvlJc w:val="left"/>
      <w:pPr>
        <w:tabs>
          <w:tab w:val="num" w:pos="720"/>
        </w:tabs>
        <w:ind w:left="720" w:hanging="360"/>
      </w:pPr>
      <w:rPr>
        <w:rFonts w:ascii="Symbol" w:hAnsi="Symbol" w:hint="default"/>
      </w:rPr>
    </w:lvl>
    <w:lvl w:ilvl="1" w:tplc="EFD8E7A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61B786B"/>
    <w:multiLevelType w:val="hybridMultilevel"/>
    <w:tmpl w:val="0630BBC8"/>
    <w:lvl w:ilvl="0" w:tplc="8EB2C81E">
      <w:start w:val="1"/>
      <w:numFmt w:val="bullet"/>
      <w:lvlText w:val=""/>
      <w:lvlJc w:val="left"/>
      <w:pPr>
        <w:tabs>
          <w:tab w:val="num" w:pos="720"/>
        </w:tabs>
        <w:ind w:left="720" w:hanging="360"/>
      </w:pPr>
      <w:rPr>
        <w:rFonts w:ascii="Symbol" w:hAnsi="Symbol" w:hint="default"/>
      </w:rPr>
    </w:lvl>
    <w:lvl w:ilvl="1" w:tplc="EFD8E7A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7F33045"/>
    <w:multiLevelType w:val="hybridMultilevel"/>
    <w:tmpl w:val="EC867EEA"/>
    <w:lvl w:ilvl="0" w:tplc="8EB2C81E">
      <w:start w:val="1"/>
      <w:numFmt w:val="bullet"/>
      <w:lvlText w:val=""/>
      <w:lvlJc w:val="left"/>
      <w:pPr>
        <w:tabs>
          <w:tab w:val="num" w:pos="720"/>
        </w:tabs>
        <w:ind w:left="720" w:hanging="360"/>
      </w:pPr>
      <w:rPr>
        <w:rFonts w:ascii="Symbol" w:hAnsi="Symbol" w:hint="default"/>
      </w:rPr>
    </w:lvl>
    <w:lvl w:ilvl="1" w:tplc="EFD8E7A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D007C49"/>
    <w:multiLevelType w:val="hybridMultilevel"/>
    <w:tmpl w:val="B5841828"/>
    <w:lvl w:ilvl="0" w:tplc="8EB2C8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D076506"/>
    <w:multiLevelType w:val="hybridMultilevel"/>
    <w:tmpl w:val="C5922C4E"/>
    <w:lvl w:ilvl="0" w:tplc="0096C572">
      <w:start w:val="1"/>
      <w:numFmt w:val="bullet"/>
      <w:lvlText w:val="•"/>
      <w:lvlJc w:val="left"/>
      <w:pPr>
        <w:tabs>
          <w:tab w:val="num" w:pos="720"/>
        </w:tabs>
        <w:ind w:left="720" w:hanging="360"/>
      </w:pPr>
      <w:rPr>
        <w:rFonts w:ascii="Times New Roman" w:hAnsi="Times New Roman" w:hint="default"/>
      </w:rPr>
    </w:lvl>
    <w:lvl w:ilvl="1" w:tplc="34F4DFD0" w:tentative="1">
      <w:start w:val="1"/>
      <w:numFmt w:val="bullet"/>
      <w:lvlText w:val="•"/>
      <w:lvlJc w:val="left"/>
      <w:pPr>
        <w:tabs>
          <w:tab w:val="num" w:pos="1440"/>
        </w:tabs>
        <w:ind w:left="1440" w:hanging="360"/>
      </w:pPr>
      <w:rPr>
        <w:rFonts w:ascii="Times New Roman" w:hAnsi="Times New Roman" w:hint="default"/>
      </w:rPr>
    </w:lvl>
    <w:lvl w:ilvl="2" w:tplc="DE1C9046" w:tentative="1">
      <w:start w:val="1"/>
      <w:numFmt w:val="bullet"/>
      <w:lvlText w:val="•"/>
      <w:lvlJc w:val="left"/>
      <w:pPr>
        <w:tabs>
          <w:tab w:val="num" w:pos="2160"/>
        </w:tabs>
        <w:ind w:left="2160" w:hanging="360"/>
      </w:pPr>
      <w:rPr>
        <w:rFonts w:ascii="Times New Roman" w:hAnsi="Times New Roman" w:hint="default"/>
      </w:rPr>
    </w:lvl>
    <w:lvl w:ilvl="3" w:tplc="60E0F072" w:tentative="1">
      <w:start w:val="1"/>
      <w:numFmt w:val="bullet"/>
      <w:lvlText w:val="•"/>
      <w:lvlJc w:val="left"/>
      <w:pPr>
        <w:tabs>
          <w:tab w:val="num" w:pos="2880"/>
        </w:tabs>
        <w:ind w:left="2880" w:hanging="360"/>
      </w:pPr>
      <w:rPr>
        <w:rFonts w:ascii="Times New Roman" w:hAnsi="Times New Roman" w:hint="default"/>
      </w:rPr>
    </w:lvl>
    <w:lvl w:ilvl="4" w:tplc="DDA6E46C" w:tentative="1">
      <w:start w:val="1"/>
      <w:numFmt w:val="bullet"/>
      <w:lvlText w:val="•"/>
      <w:lvlJc w:val="left"/>
      <w:pPr>
        <w:tabs>
          <w:tab w:val="num" w:pos="3600"/>
        </w:tabs>
        <w:ind w:left="3600" w:hanging="360"/>
      </w:pPr>
      <w:rPr>
        <w:rFonts w:ascii="Times New Roman" w:hAnsi="Times New Roman" w:hint="default"/>
      </w:rPr>
    </w:lvl>
    <w:lvl w:ilvl="5" w:tplc="B76E6516" w:tentative="1">
      <w:start w:val="1"/>
      <w:numFmt w:val="bullet"/>
      <w:lvlText w:val="•"/>
      <w:lvlJc w:val="left"/>
      <w:pPr>
        <w:tabs>
          <w:tab w:val="num" w:pos="4320"/>
        </w:tabs>
        <w:ind w:left="4320" w:hanging="360"/>
      </w:pPr>
      <w:rPr>
        <w:rFonts w:ascii="Times New Roman" w:hAnsi="Times New Roman" w:hint="default"/>
      </w:rPr>
    </w:lvl>
    <w:lvl w:ilvl="6" w:tplc="82C0A5BC" w:tentative="1">
      <w:start w:val="1"/>
      <w:numFmt w:val="bullet"/>
      <w:lvlText w:val="•"/>
      <w:lvlJc w:val="left"/>
      <w:pPr>
        <w:tabs>
          <w:tab w:val="num" w:pos="5040"/>
        </w:tabs>
        <w:ind w:left="5040" w:hanging="360"/>
      </w:pPr>
      <w:rPr>
        <w:rFonts w:ascii="Times New Roman" w:hAnsi="Times New Roman" w:hint="default"/>
      </w:rPr>
    </w:lvl>
    <w:lvl w:ilvl="7" w:tplc="B1324FD0" w:tentative="1">
      <w:start w:val="1"/>
      <w:numFmt w:val="bullet"/>
      <w:lvlText w:val="•"/>
      <w:lvlJc w:val="left"/>
      <w:pPr>
        <w:tabs>
          <w:tab w:val="num" w:pos="5760"/>
        </w:tabs>
        <w:ind w:left="5760" w:hanging="360"/>
      </w:pPr>
      <w:rPr>
        <w:rFonts w:ascii="Times New Roman" w:hAnsi="Times New Roman" w:hint="default"/>
      </w:rPr>
    </w:lvl>
    <w:lvl w:ilvl="8" w:tplc="482639E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41B7414"/>
    <w:multiLevelType w:val="hybridMultilevel"/>
    <w:tmpl w:val="012C424E"/>
    <w:lvl w:ilvl="0" w:tplc="8EB2C81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50C97E5F"/>
    <w:multiLevelType w:val="hybridMultilevel"/>
    <w:tmpl w:val="C10A3C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nsid w:val="5AF40D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5B144C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C677389"/>
    <w:multiLevelType w:val="singleLevel"/>
    <w:tmpl w:val="08090001"/>
    <w:lvl w:ilvl="0">
      <w:start w:val="1"/>
      <w:numFmt w:val="bullet"/>
      <w:lvlText w:val=""/>
      <w:lvlJc w:val="left"/>
      <w:pPr>
        <w:ind w:left="720" w:hanging="360"/>
      </w:pPr>
      <w:rPr>
        <w:rFonts w:ascii="Symbol" w:hAnsi="Symbol" w:hint="default"/>
      </w:rPr>
    </w:lvl>
  </w:abstractNum>
  <w:abstractNum w:abstractNumId="24">
    <w:nsid w:val="6D5B785A"/>
    <w:multiLevelType w:val="hybridMultilevel"/>
    <w:tmpl w:val="D62A8076"/>
    <w:lvl w:ilvl="0" w:tplc="D97E51C8">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3D58AB"/>
    <w:multiLevelType w:val="hybridMultilevel"/>
    <w:tmpl w:val="C3228888"/>
    <w:lvl w:ilvl="0" w:tplc="5E74E6DA">
      <w:start w:val="1"/>
      <w:numFmt w:val="bullet"/>
      <w:lvlText w:val="•"/>
      <w:lvlJc w:val="left"/>
      <w:pPr>
        <w:tabs>
          <w:tab w:val="num" w:pos="720"/>
        </w:tabs>
        <w:ind w:left="720" w:hanging="360"/>
      </w:pPr>
      <w:rPr>
        <w:rFonts w:ascii="Times New Roman" w:hAnsi="Times New Roman" w:hint="default"/>
      </w:rPr>
    </w:lvl>
    <w:lvl w:ilvl="1" w:tplc="B680DBC6" w:tentative="1">
      <w:start w:val="1"/>
      <w:numFmt w:val="bullet"/>
      <w:lvlText w:val="•"/>
      <w:lvlJc w:val="left"/>
      <w:pPr>
        <w:tabs>
          <w:tab w:val="num" w:pos="1440"/>
        </w:tabs>
        <w:ind w:left="1440" w:hanging="360"/>
      </w:pPr>
      <w:rPr>
        <w:rFonts w:ascii="Times New Roman" w:hAnsi="Times New Roman" w:hint="default"/>
      </w:rPr>
    </w:lvl>
    <w:lvl w:ilvl="2" w:tplc="B4FCB002" w:tentative="1">
      <w:start w:val="1"/>
      <w:numFmt w:val="bullet"/>
      <w:lvlText w:val="•"/>
      <w:lvlJc w:val="left"/>
      <w:pPr>
        <w:tabs>
          <w:tab w:val="num" w:pos="2160"/>
        </w:tabs>
        <w:ind w:left="2160" w:hanging="360"/>
      </w:pPr>
      <w:rPr>
        <w:rFonts w:ascii="Times New Roman" w:hAnsi="Times New Roman" w:hint="default"/>
      </w:rPr>
    </w:lvl>
    <w:lvl w:ilvl="3" w:tplc="CD3AB75E" w:tentative="1">
      <w:start w:val="1"/>
      <w:numFmt w:val="bullet"/>
      <w:lvlText w:val="•"/>
      <w:lvlJc w:val="left"/>
      <w:pPr>
        <w:tabs>
          <w:tab w:val="num" w:pos="2880"/>
        </w:tabs>
        <w:ind w:left="2880" w:hanging="360"/>
      </w:pPr>
      <w:rPr>
        <w:rFonts w:ascii="Times New Roman" w:hAnsi="Times New Roman" w:hint="default"/>
      </w:rPr>
    </w:lvl>
    <w:lvl w:ilvl="4" w:tplc="0370233A" w:tentative="1">
      <w:start w:val="1"/>
      <w:numFmt w:val="bullet"/>
      <w:lvlText w:val="•"/>
      <w:lvlJc w:val="left"/>
      <w:pPr>
        <w:tabs>
          <w:tab w:val="num" w:pos="3600"/>
        </w:tabs>
        <w:ind w:left="3600" w:hanging="360"/>
      </w:pPr>
      <w:rPr>
        <w:rFonts w:ascii="Times New Roman" w:hAnsi="Times New Roman" w:hint="default"/>
      </w:rPr>
    </w:lvl>
    <w:lvl w:ilvl="5" w:tplc="CD8C1064" w:tentative="1">
      <w:start w:val="1"/>
      <w:numFmt w:val="bullet"/>
      <w:lvlText w:val="•"/>
      <w:lvlJc w:val="left"/>
      <w:pPr>
        <w:tabs>
          <w:tab w:val="num" w:pos="4320"/>
        </w:tabs>
        <w:ind w:left="4320" w:hanging="360"/>
      </w:pPr>
      <w:rPr>
        <w:rFonts w:ascii="Times New Roman" w:hAnsi="Times New Roman" w:hint="default"/>
      </w:rPr>
    </w:lvl>
    <w:lvl w:ilvl="6" w:tplc="092C5158" w:tentative="1">
      <w:start w:val="1"/>
      <w:numFmt w:val="bullet"/>
      <w:lvlText w:val="•"/>
      <w:lvlJc w:val="left"/>
      <w:pPr>
        <w:tabs>
          <w:tab w:val="num" w:pos="5040"/>
        </w:tabs>
        <w:ind w:left="5040" w:hanging="360"/>
      </w:pPr>
      <w:rPr>
        <w:rFonts w:ascii="Times New Roman" w:hAnsi="Times New Roman" w:hint="default"/>
      </w:rPr>
    </w:lvl>
    <w:lvl w:ilvl="7" w:tplc="071C221C" w:tentative="1">
      <w:start w:val="1"/>
      <w:numFmt w:val="bullet"/>
      <w:lvlText w:val="•"/>
      <w:lvlJc w:val="left"/>
      <w:pPr>
        <w:tabs>
          <w:tab w:val="num" w:pos="5760"/>
        </w:tabs>
        <w:ind w:left="5760" w:hanging="360"/>
      </w:pPr>
      <w:rPr>
        <w:rFonts w:ascii="Times New Roman" w:hAnsi="Times New Roman" w:hint="default"/>
      </w:rPr>
    </w:lvl>
    <w:lvl w:ilvl="8" w:tplc="E520C18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2DF38D4"/>
    <w:multiLevelType w:val="multilevel"/>
    <w:tmpl w:val="DDDC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EB790C"/>
    <w:multiLevelType w:val="hybridMultilevel"/>
    <w:tmpl w:val="0D385E56"/>
    <w:lvl w:ilvl="0" w:tplc="612689C6">
      <w:start w:val="1"/>
      <w:numFmt w:val="bullet"/>
      <w:lvlText w:val="•"/>
      <w:lvlJc w:val="left"/>
      <w:pPr>
        <w:tabs>
          <w:tab w:val="num" w:pos="720"/>
        </w:tabs>
        <w:ind w:left="720" w:hanging="360"/>
      </w:pPr>
      <w:rPr>
        <w:rFonts w:ascii="Times New Roman" w:hAnsi="Times New Roman" w:hint="default"/>
      </w:rPr>
    </w:lvl>
    <w:lvl w:ilvl="1" w:tplc="FA6A6A12" w:tentative="1">
      <w:start w:val="1"/>
      <w:numFmt w:val="bullet"/>
      <w:lvlText w:val="•"/>
      <w:lvlJc w:val="left"/>
      <w:pPr>
        <w:tabs>
          <w:tab w:val="num" w:pos="1440"/>
        </w:tabs>
        <w:ind w:left="1440" w:hanging="360"/>
      </w:pPr>
      <w:rPr>
        <w:rFonts w:ascii="Times New Roman" w:hAnsi="Times New Roman" w:hint="default"/>
      </w:rPr>
    </w:lvl>
    <w:lvl w:ilvl="2" w:tplc="BCEAEB3A" w:tentative="1">
      <w:start w:val="1"/>
      <w:numFmt w:val="bullet"/>
      <w:lvlText w:val="•"/>
      <w:lvlJc w:val="left"/>
      <w:pPr>
        <w:tabs>
          <w:tab w:val="num" w:pos="2160"/>
        </w:tabs>
        <w:ind w:left="2160" w:hanging="360"/>
      </w:pPr>
      <w:rPr>
        <w:rFonts w:ascii="Times New Roman" w:hAnsi="Times New Roman" w:hint="default"/>
      </w:rPr>
    </w:lvl>
    <w:lvl w:ilvl="3" w:tplc="C694B948" w:tentative="1">
      <w:start w:val="1"/>
      <w:numFmt w:val="bullet"/>
      <w:lvlText w:val="•"/>
      <w:lvlJc w:val="left"/>
      <w:pPr>
        <w:tabs>
          <w:tab w:val="num" w:pos="2880"/>
        </w:tabs>
        <w:ind w:left="2880" w:hanging="360"/>
      </w:pPr>
      <w:rPr>
        <w:rFonts w:ascii="Times New Roman" w:hAnsi="Times New Roman" w:hint="default"/>
      </w:rPr>
    </w:lvl>
    <w:lvl w:ilvl="4" w:tplc="87EE5EDE" w:tentative="1">
      <w:start w:val="1"/>
      <w:numFmt w:val="bullet"/>
      <w:lvlText w:val="•"/>
      <w:lvlJc w:val="left"/>
      <w:pPr>
        <w:tabs>
          <w:tab w:val="num" w:pos="3600"/>
        </w:tabs>
        <w:ind w:left="3600" w:hanging="360"/>
      </w:pPr>
      <w:rPr>
        <w:rFonts w:ascii="Times New Roman" w:hAnsi="Times New Roman" w:hint="default"/>
      </w:rPr>
    </w:lvl>
    <w:lvl w:ilvl="5" w:tplc="E6AC036A" w:tentative="1">
      <w:start w:val="1"/>
      <w:numFmt w:val="bullet"/>
      <w:lvlText w:val="•"/>
      <w:lvlJc w:val="left"/>
      <w:pPr>
        <w:tabs>
          <w:tab w:val="num" w:pos="4320"/>
        </w:tabs>
        <w:ind w:left="4320" w:hanging="360"/>
      </w:pPr>
      <w:rPr>
        <w:rFonts w:ascii="Times New Roman" w:hAnsi="Times New Roman" w:hint="default"/>
      </w:rPr>
    </w:lvl>
    <w:lvl w:ilvl="6" w:tplc="4B5A3E2A" w:tentative="1">
      <w:start w:val="1"/>
      <w:numFmt w:val="bullet"/>
      <w:lvlText w:val="•"/>
      <w:lvlJc w:val="left"/>
      <w:pPr>
        <w:tabs>
          <w:tab w:val="num" w:pos="5040"/>
        </w:tabs>
        <w:ind w:left="5040" w:hanging="360"/>
      </w:pPr>
      <w:rPr>
        <w:rFonts w:ascii="Times New Roman" w:hAnsi="Times New Roman" w:hint="default"/>
      </w:rPr>
    </w:lvl>
    <w:lvl w:ilvl="7" w:tplc="381E29E4" w:tentative="1">
      <w:start w:val="1"/>
      <w:numFmt w:val="bullet"/>
      <w:lvlText w:val="•"/>
      <w:lvlJc w:val="left"/>
      <w:pPr>
        <w:tabs>
          <w:tab w:val="num" w:pos="5760"/>
        </w:tabs>
        <w:ind w:left="5760" w:hanging="360"/>
      </w:pPr>
      <w:rPr>
        <w:rFonts w:ascii="Times New Roman" w:hAnsi="Times New Roman" w:hint="default"/>
      </w:rPr>
    </w:lvl>
    <w:lvl w:ilvl="8" w:tplc="9E3CF1C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7A65D48"/>
    <w:multiLevelType w:val="hybridMultilevel"/>
    <w:tmpl w:val="B9F6CC10"/>
    <w:lvl w:ilvl="0" w:tplc="F7F05258">
      <w:start w:val="1"/>
      <w:numFmt w:val="bullet"/>
      <w:lvlText w:val="•"/>
      <w:lvlJc w:val="left"/>
      <w:pPr>
        <w:tabs>
          <w:tab w:val="num" w:pos="720"/>
        </w:tabs>
        <w:ind w:left="720" w:hanging="360"/>
      </w:pPr>
      <w:rPr>
        <w:rFonts w:ascii="Times New Roman" w:hAnsi="Times New Roman" w:hint="default"/>
      </w:rPr>
    </w:lvl>
    <w:lvl w:ilvl="1" w:tplc="656C4856" w:tentative="1">
      <w:start w:val="1"/>
      <w:numFmt w:val="bullet"/>
      <w:lvlText w:val="•"/>
      <w:lvlJc w:val="left"/>
      <w:pPr>
        <w:tabs>
          <w:tab w:val="num" w:pos="1440"/>
        </w:tabs>
        <w:ind w:left="1440" w:hanging="360"/>
      </w:pPr>
      <w:rPr>
        <w:rFonts w:ascii="Times New Roman" w:hAnsi="Times New Roman" w:hint="default"/>
      </w:rPr>
    </w:lvl>
    <w:lvl w:ilvl="2" w:tplc="9ACAD57A" w:tentative="1">
      <w:start w:val="1"/>
      <w:numFmt w:val="bullet"/>
      <w:lvlText w:val="•"/>
      <w:lvlJc w:val="left"/>
      <w:pPr>
        <w:tabs>
          <w:tab w:val="num" w:pos="2160"/>
        </w:tabs>
        <w:ind w:left="2160" w:hanging="360"/>
      </w:pPr>
      <w:rPr>
        <w:rFonts w:ascii="Times New Roman" w:hAnsi="Times New Roman" w:hint="default"/>
      </w:rPr>
    </w:lvl>
    <w:lvl w:ilvl="3" w:tplc="5A667DB2" w:tentative="1">
      <w:start w:val="1"/>
      <w:numFmt w:val="bullet"/>
      <w:lvlText w:val="•"/>
      <w:lvlJc w:val="left"/>
      <w:pPr>
        <w:tabs>
          <w:tab w:val="num" w:pos="2880"/>
        </w:tabs>
        <w:ind w:left="2880" w:hanging="360"/>
      </w:pPr>
      <w:rPr>
        <w:rFonts w:ascii="Times New Roman" w:hAnsi="Times New Roman" w:hint="default"/>
      </w:rPr>
    </w:lvl>
    <w:lvl w:ilvl="4" w:tplc="986265AC" w:tentative="1">
      <w:start w:val="1"/>
      <w:numFmt w:val="bullet"/>
      <w:lvlText w:val="•"/>
      <w:lvlJc w:val="left"/>
      <w:pPr>
        <w:tabs>
          <w:tab w:val="num" w:pos="3600"/>
        </w:tabs>
        <w:ind w:left="3600" w:hanging="360"/>
      </w:pPr>
      <w:rPr>
        <w:rFonts w:ascii="Times New Roman" w:hAnsi="Times New Roman" w:hint="default"/>
      </w:rPr>
    </w:lvl>
    <w:lvl w:ilvl="5" w:tplc="F338588C" w:tentative="1">
      <w:start w:val="1"/>
      <w:numFmt w:val="bullet"/>
      <w:lvlText w:val="•"/>
      <w:lvlJc w:val="left"/>
      <w:pPr>
        <w:tabs>
          <w:tab w:val="num" w:pos="4320"/>
        </w:tabs>
        <w:ind w:left="4320" w:hanging="360"/>
      </w:pPr>
      <w:rPr>
        <w:rFonts w:ascii="Times New Roman" w:hAnsi="Times New Roman" w:hint="default"/>
      </w:rPr>
    </w:lvl>
    <w:lvl w:ilvl="6" w:tplc="59DA76BC" w:tentative="1">
      <w:start w:val="1"/>
      <w:numFmt w:val="bullet"/>
      <w:lvlText w:val="•"/>
      <w:lvlJc w:val="left"/>
      <w:pPr>
        <w:tabs>
          <w:tab w:val="num" w:pos="5040"/>
        </w:tabs>
        <w:ind w:left="5040" w:hanging="360"/>
      </w:pPr>
      <w:rPr>
        <w:rFonts w:ascii="Times New Roman" w:hAnsi="Times New Roman" w:hint="default"/>
      </w:rPr>
    </w:lvl>
    <w:lvl w:ilvl="7" w:tplc="844243EC" w:tentative="1">
      <w:start w:val="1"/>
      <w:numFmt w:val="bullet"/>
      <w:lvlText w:val="•"/>
      <w:lvlJc w:val="left"/>
      <w:pPr>
        <w:tabs>
          <w:tab w:val="num" w:pos="5760"/>
        </w:tabs>
        <w:ind w:left="5760" w:hanging="360"/>
      </w:pPr>
      <w:rPr>
        <w:rFonts w:ascii="Times New Roman" w:hAnsi="Times New Roman" w:hint="default"/>
      </w:rPr>
    </w:lvl>
    <w:lvl w:ilvl="8" w:tplc="438A5C6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CB34550"/>
    <w:multiLevelType w:val="hybridMultilevel"/>
    <w:tmpl w:val="9DECDF40"/>
    <w:lvl w:ilvl="0" w:tplc="3F9A572A">
      <w:start w:val="1"/>
      <w:numFmt w:val="bullet"/>
      <w:lvlText w:val="•"/>
      <w:lvlJc w:val="left"/>
      <w:pPr>
        <w:tabs>
          <w:tab w:val="num" w:pos="720"/>
        </w:tabs>
        <w:ind w:left="720" w:hanging="360"/>
      </w:pPr>
      <w:rPr>
        <w:rFonts w:ascii="Times New Roman" w:hAnsi="Times New Roman" w:hint="default"/>
      </w:rPr>
    </w:lvl>
    <w:lvl w:ilvl="1" w:tplc="554E26A4" w:tentative="1">
      <w:start w:val="1"/>
      <w:numFmt w:val="bullet"/>
      <w:lvlText w:val="•"/>
      <w:lvlJc w:val="left"/>
      <w:pPr>
        <w:tabs>
          <w:tab w:val="num" w:pos="1440"/>
        </w:tabs>
        <w:ind w:left="1440" w:hanging="360"/>
      </w:pPr>
      <w:rPr>
        <w:rFonts w:ascii="Times New Roman" w:hAnsi="Times New Roman" w:hint="default"/>
      </w:rPr>
    </w:lvl>
    <w:lvl w:ilvl="2" w:tplc="E97A86AC" w:tentative="1">
      <w:start w:val="1"/>
      <w:numFmt w:val="bullet"/>
      <w:lvlText w:val="•"/>
      <w:lvlJc w:val="left"/>
      <w:pPr>
        <w:tabs>
          <w:tab w:val="num" w:pos="2160"/>
        </w:tabs>
        <w:ind w:left="2160" w:hanging="360"/>
      </w:pPr>
      <w:rPr>
        <w:rFonts w:ascii="Times New Roman" w:hAnsi="Times New Roman" w:hint="default"/>
      </w:rPr>
    </w:lvl>
    <w:lvl w:ilvl="3" w:tplc="10F024E4" w:tentative="1">
      <w:start w:val="1"/>
      <w:numFmt w:val="bullet"/>
      <w:lvlText w:val="•"/>
      <w:lvlJc w:val="left"/>
      <w:pPr>
        <w:tabs>
          <w:tab w:val="num" w:pos="2880"/>
        </w:tabs>
        <w:ind w:left="2880" w:hanging="360"/>
      </w:pPr>
      <w:rPr>
        <w:rFonts w:ascii="Times New Roman" w:hAnsi="Times New Roman" w:hint="default"/>
      </w:rPr>
    </w:lvl>
    <w:lvl w:ilvl="4" w:tplc="84D666C8" w:tentative="1">
      <w:start w:val="1"/>
      <w:numFmt w:val="bullet"/>
      <w:lvlText w:val="•"/>
      <w:lvlJc w:val="left"/>
      <w:pPr>
        <w:tabs>
          <w:tab w:val="num" w:pos="3600"/>
        </w:tabs>
        <w:ind w:left="3600" w:hanging="360"/>
      </w:pPr>
      <w:rPr>
        <w:rFonts w:ascii="Times New Roman" w:hAnsi="Times New Roman" w:hint="default"/>
      </w:rPr>
    </w:lvl>
    <w:lvl w:ilvl="5" w:tplc="8B0A7A48" w:tentative="1">
      <w:start w:val="1"/>
      <w:numFmt w:val="bullet"/>
      <w:lvlText w:val="•"/>
      <w:lvlJc w:val="left"/>
      <w:pPr>
        <w:tabs>
          <w:tab w:val="num" w:pos="4320"/>
        </w:tabs>
        <w:ind w:left="4320" w:hanging="360"/>
      </w:pPr>
      <w:rPr>
        <w:rFonts w:ascii="Times New Roman" w:hAnsi="Times New Roman" w:hint="default"/>
      </w:rPr>
    </w:lvl>
    <w:lvl w:ilvl="6" w:tplc="9190D790" w:tentative="1">
      <w:start w:val="1"/>
      <w:numFmt w:val="bullet"/>
      <w:lvlText w:val="•"/>
      <w:lvlJc w:val="left"/>
      <w:pPr>
        <w:tabs>
          <w:tab w:val="num" w:pos="5040"/>
        </w:tabs>
        <w:ind w:left="5040" w:hanging="360"/>
      </w:pPr>
      <w:rPr>
        <w:rFonts w:ascii="Times New Roman" w:hAnsi="Times New Roman" w:hint="default"/>
      </w:rPr>
    </w:lvl>
    <w:lvl w:ilvl="7" w:tplc="68969C16" w:tentative="1">
      <w:start w:val="1"/>
      <w:numFmt w:val="bullet"/>
      <w:lvlText w:val="•"/>
      <w:lvlJc w:val="left"/>
      <w:pPr>
        <w:tabs>
          <w:tab w:val="num" w:pos="5760"/>
        </w:tabs>
        <w:ind w:left="5760" w:hanging="360"/>
      </w:pPr>
      <w:rPr>
        <w:rFonts w:ascii="Times New Roman" w:hAnsi="Times New Roman" w:hint="default"/>
      </w:rPr>
    </w:lvl>
    <w:lvl w:ilvl="8" w:tplc="82BCD6D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D2C57FF"/>
    <w:multiLevelType w:val="hybridMultilevel"/>
    <w:tmpl w:val="46127E1C"/>
    <w:lvl w:ilvl="0" w:tplc="9DAA2C36">
      <w:start w:val="1"/>
      <w:numFmt w:val="bullet"/>
      <w:lvlText w:val="•"/>
      <w:lvlJc w:val="left"/>
      <w:pPr>
        <w:tabs>
          <w:tab w:val="num" w:pos="720"/>
        </w:tabs>
        <w:ind w:left="720" w:hanging="360"/>
      </w:pPr>
      <w:rPr>
        <w:rFonts w:ascii="Times New Roman" w:hAnsi="Times New Roman" w:hint="default"/>
      </w:rPr>
    </w:lvl>
    <w:lvl w:ilvl="1" w:tplc="987A2176" w:tentative="1">
      <w:start w:val="1"/>
      <w:numFmt w:val="bullet"/>
      <w:lvlText w:val="•"/>
      <w:lvlJc w:val="left"/>
      <w:pPr>
        <w:tabs>
          <w:tab w:val="num" w:pos="1440"/>
        </w:tabs>
        <w:ind w:left="1440" w:hanging="360"/>
      </w:pPr>
      <w:rPr>
        <w:rFonts w:ascii="Times New Roman" w:hAnsi="Times New Roman" w:hint="default"/>
      </w:rPr>
    </w:lvl>
    <w:lvl w:ilvl="2" w:tplc="043256C2" w:tentative="1">
      <w:start w:val="1"/>
      <w:numFmt w:val="bullet"/>
      <w:lvlText w:val="•"/>
      <w:lvlJc w:val="left"/>
      <w:pPr>
        <w:tabs>
          <w:tab w:val="num" w:pos="2160"/>
        </w:tabs>
        <w:ind w:left="2160" w:hanging="360"/>
      </w:pPr>
      <w:rPr>
        <w:rFonts w:ascii="Times New Roman" w:hAnsi="Times New Roman" w:hint="default"/>
      </w:rPr>
    </w:lvl>
    <w:lvl w:ilvl="3" w:tplc="BEB001E0" w:tentative="1">
      <w:start w:val="1"/>
      <w:numFmt w:val="bullet"/>
      <w:lvlText w:val="•"/>
      <w:lvlJc w:val="left"/>
      <w:pPr>
        <w:tabs>
          <w:tab w:val="num" w:pos="2880"/>
        </w:tabs>
        <w:ind w:left="2880" w:hanging="360"/>
      </w:pPr>
      <w:rPr>
        <w:rFonts w:ascii="Times New Roman" w:hAnsi="Times New Roman" w:hint="default"/>
      </w:rPr>
    </w:lvl>
    <w:lvl w:ilvl="4" w:tplc="62E2DCFE" w:tentative="1">
      <w:start w:val="1"/>
      <w:numFmt w:val="bullet"/>
      <w:lvlText w:val="•"/>
      <w:lvlJc w:val="left"/>
      <w:pPr>
        <w:tabs>
          <w:tab w:val="num" w:pos="3600"/>
        </w:tabs>
        <w:ind w:left="3600" w:hanging="360"/>
      </w:pPr>
      <w:rPr>
        <w:rFonts w:ascii="Times New Roman" w:hAnsi="Times New Roman" w:hint="default"/>
      </w:rPr>
    </w:lvl>
    <w:lvl w:ilvl="5" w:tplc="B39CFEC8" w:tentative="1">
      <w:start w:val="1"/>
      <w:numFmt w:val="bullet"/>
      <w:lvlText w:val="•"/>
      <w:lvlJc w:val="left"/>
      <w:pPr>
        <w:tabs>
          <w:tab w:val="num" w:pos="4320"/>
        </w:tabs>
        <w:ind w:left="4320" w:hanging="360"/>
      </w:pPr>
      <w:rPr>
        <w:rFonts w:ascii="Times New Roman" w:hAnsi="Times New Roman" w:hint="default"/>
      </w:rPr>
    </w:lvl>
    <w:lvl w:ilvl="6" w:tplc="E446E150" w:tentative="1">
      <w:start w:val="1"/>
      <w:numFmt w:val="bullet"/>
      <w:lvlText w:val="•"/>
      <w:lvlJc w:val="left"/>
      <w:pPr>
        <w:tabs>
          <w:tab w:val="num" w:pos="5040"/>
        </w:tabs>
        <w:ind w:left="5040" w:hanging="360"/>
      </w:pPr>
      <w:rPr>
        <w:rFonts w:ascii="Times New Roman" w:hAnsi="Times New Roman" w:hint="default"/>
      </w:rPr>
    </w:lvl>
    <w:lvl w:ilvl="7" w:tplc="45649492" w:tentative="1">
      <w:start w:val="1"/>
      <w:numFmt w:val="bullet"/>
      <w:lvlText w:val="•"/>
      <w:lvlJc w:val="left"/>
      <w:pPr>
        <w:tabs>
          <w:tab w:val="num" w:pos="5760"/>
        </w:tabs>
        <w:ind w:left="5760" w:hanging="360"/>
      </w:pPr>
      <w:rPr>
        <w:rFonts w:ascii="Times New Roman" w:hAnsi="Times New Roman" w:hint="default"/>
      </w:rPr>
    </w:lvl>
    <w:lvl w:ilvl="8" w:tplc="20908652"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2"/>
  </w:num>
  <w:num w:numId="3">
    <w:abstractNumId w:val="2"/>
  </w:num>
  <w:num w:numId="4">
    <w:abstractNumId w:val="1"/>
  </w:num>
  <w:num w:numId="5">
    <w:abstractNumId w:val="3"/>
  </w:num>
  <w:num w:numId="6">
    <w:abstractNumId w:val="9"/>
  </w:num>
  <w:num w:numId="7">
    <w:abstractNumId w:val="16"/>
  </w:num>
  <w:num w:numId="8">
    <w:abstractNumId w:val="15"/>
  </w:num>
  <w:num w:numId="9">
    <w:abstractNumId w:val="14"/>
  </w:num>
  <w:num w:numId="10">
    <w:abstractNumId w:val="7"/>
  </w:num>
  <w:num w:numId="11">
    <w:abstractNumId w:val="17"/>
  </w:num>
  <w:num w:numId="12">
    <w:abstractNumId w:val="19"/>
  </w:num>
  <w:num w:numId="13">
    <w:abstractNumId w:val="28"/>
  </w:num>
  <w:num w:numId="14">
    <w:abstractNumId w:val="8"/>
  </w:num>
  <w:num w:numId="15">
    <w:abstractNumId w:val="25"/>
  </w:num>
  <w:num w:numId="16">
    <w:abstractNumId w:val="29"/>
  </w:num>
  <w:num w:numId="17">
    <w:abstractNumId w:val="0"/>
  </w:num>
  <w:num w:numId="18">
    <w:abstractNumId w:val="10"/>
  </w:num>
  <w:num w:numId="19">
    <w:abstractNumId w:val="27"/>
  </w:num>
  <w:num w:numId="20">
    <w:abstractNumId w:val="30"/>
  </w:num>
  <w:num w:numId="21">
    <w:abstractNumId w:val="18"/>
  </w:num>
  <w:num w:numId="22">
    <w:abstractNumId w:val="5"/>
  </w:num>
  <w:num w:numId="23">
    <w:abstractNumId w:val="11"/>
  </w:num>
  <w:num w:numId="24">
    <w:abstractNumId w:val="21"/>
  </w:num>
  <w:num w:numId="25">
    <w:abstractNumId w:val="22"/>
  </w:num>
  <w:num w:numId="26">
    <w:abstractNumId w:val="23"/>
  </w:num>
  <w:num w:numId="27">
    <w:abstractNumId w:val="24"/>
  </w:num>
  <w:num w:numId="28">
    <w:abstractNumId w:val="20"/>
  </w:num>
  <w:num w:numId="29">
    <w:abstractNumId w:val="4"/>
  </w:num>
  <w:num w:numId="30">
    <w:abstractNumId w:val="13"/>
  </w:num>
  <w:num w:numId="31">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7C"/>
    <w:rsid w:val="00154BA2"/>
    <w:rsid w:val="001E5CC1"/>
    <w:rsid w:val="002549EE"/>
    <w:rsid w:val="004B0B00"/>
    <w:rsid w:val="00522788"/>
    <w:rsid w:val="00620DD8"/>
    <w:rsid w:val="008040DB"/>
    <w:rsid w:val="00821568"/>
    <w:rsid w:val="008908F1"/>
    <w:rsid w:val="00BF733C"/>
    <w:rsid w:val="00C2147C"/>
    <w:rsid w:val="00D01F35"/>
    <w:rsid w:val="00D21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link w:val="Heading1Char"/>
    <w:qFormat/>
    <w:pPr>
      <w:keepNext/>
      <w:outlineLvl w:val="0"/>
    </w:pPr>
    <w:rPr>
      <w:rFonts w:ascii="Palatino" w:hAnsi="Palatino"/>
      <w:b/>
      <w:sz w:val="22"/>
    </w:rPr>
  </w:style>
  <w:style w:type="paragraph" w:styleId="Heading4">
    <w:name w:val="heading 4"/>
    <w:basedOn w:val="Normal"/>
    <w:next w:val="Normal"/>
    <w:link w:val="Heading4Char"/>
    <w:qFormat/>
    <w:pPr>
      <w:keepNext/>
      <w:outlineLvl w:val="3"/>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styleId="NormalWeb">
    <w:name w:val="Normal (Web)"/>
    <w:basedOn w:val="Normal"/>
    <w:uiPriority w:val="99"/>
    <w:pPr>
      <w:spacing w:after="122"/>
    </w:pPr>
    <w:rPr>
      <w:rFonts w:ascii="Times New Roman" w:hAnsi="Times New Roman"/>
      <w:sz w:val="24"/>
      <w:szCs w:val="24"/>
      <w:lang w:eastAsia="en-GB"/>
    </w:rPr>
  </w:style>
  <w:style w:type="character" w:customStyle="1" w:styleId="Heading1Char">
    <w:name w:val="Heading 1 Char"/>
    <w:link w:val="Heading1"/>
    <w:rPr>
      <w:rFonts w:ascii="Palatino" w:hAnsi="Palatino"/>
      <w:b/>
      <w:sz w:val="22"/>
      <w:lang w:eastAsia="en-US"/>
    </w:rPr>
  </w:style>
  <w:style w:type="character" w:customStyle="1" w:styleId="Heading4Char">
    <w:name w:val="Heading 4 Char"/>
    <w:link w:val="Heading4"/>
    <w:rPr>
      <w:rFonts w:ascii="Palatino" w:hAnsi="Palatino"/>
      <w:b/>
      <w:sz w:val="22"/>
      <w:lang w:eastAsia="en-US"/>
    </w:rPr>
  </w:style>
  <w:style w:type="paragraph" w:styleId="BodyText">
    <w:name w:val="Body Text"/>
    <w:basedOn w:val="Normal"/>
    <w:link w:val="BodyTextChar"/>
    <w:rPr>
      <w:rFonts w:ascii="Palatino" w:hAnsi="Palatino"/>
    </w:rPr>
  </w:style>
  <w:style w:type="character" w:customStyle="1" w:styleId="BodyTextChar">
    <w:name w:val="Body Text Char"/>
    <w:link w:val="BodyText"/>
    <w:rPr>
      <w:rFonts w:ascii="Palatino" w:hAnsi="Palatino"/>
      <w:lang w:eastAsia="en-US"/>
    </w:rPr>
  </w:style>
  <w:style w:type="character" w:customStyle="1" w:styleId="FooterChar">
    <w:name w:val="Footer Char"/>
    <w:link w:val="Footer"/>
    <w:uiPriority w:val="99"/>
    <w:rPr>
      <w:rFonts w:ascii="Arial" w:hAnsi="Arial"/>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Paragraph">
    <w:name w:val="List Paragraph"/>
    <w:basedOn w:val="Normal"/>
    <w:uiPriority w:val="34"/>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link w:val="Heading1Char"/>
    <w:qFormat/>
    <w:pPr>
      <w:keepNext/>
      <w:outlineLvl w:val="0"/>
    </w:pPr>
    <w:rPr>
      <w:rFonts w:ascii="Palatino" w:hAnsi="Palatino"/>
      <w:b/>
      <w:sz w:val="22"/>
    </w:rPr>
  </w:style>
  <w:style w:type="paragraph" w:styleId="Heading4">
    <w:name w:val="heading 4"/>
    <w:basedOn w:val="Normal"/>
    <w:next w:val="Normal"/>
    <w:link w:val="Heading4Char"/>
    <w:qFormat/>
    <w:pPr>
      <w:keepNext/>
      <w:outlineLvl w:val="3"/>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styleId="NormalWeb">
    <w:name w:val="Normal (Web)"/>
    <w:basedOn w:val="Normal"/>
    <w:uiPriority w:val="99"/>
    <w:pPr>
      <w:spacing w:after="122"/>
    </w:pPr>
    <w:rPr>
      <w:rFonts w:ascii="Times New Roman" w:hAnsi="Times New Roman"/>
      <w:sz w:val="24"/>
      <w:szCs w:val="24"/>
      <w:lang w:eastAsia="en-GB"/>
    </w:rPr>
  </w:style>
  <w:style w:type="character" w:customStyle="1" w:styleId="Heading1Char">
    <w:name w:val="Heading 1 Char"/>
    <w:link w:val="Heading1"/>
    <w:rPr>
      <w:rFonts w:ascii="Palatino" w:hAnsi="Palatino"/>
      <w:b/>
      <w:sz w:val="22"/>
      <w:lang w:eastAsia="en-US"/>
    </w:rPr>
  </w:style>
  <w:style w:type="character" w:customStyle="1" w:styleId="Heading4Char">
    <w:name w:val="Heading 4 Char"/>
    <w:link w:val="Heading4"/>
    <w:rPr>
      <w:rFonts w:ascii="Palatino" w:hAnsi="Palatino"/>
      <w:b/>
      <w:sz w:val="22"/>
      <w:lang w:eastAsia="en-US"/>
    </w:rPr>
  </w:style>
  <w:style w:type="paragraph" w:styleId="BodyText">
    <w:name w:val="Body Text"/>
    <w:basedOn w:val="Normal"/>
    <w:link w:val="BodyTextChar"/>
    <w:rPr>
      <w:rFonts w:ascii="Palatino" w:hAnsi="Palatino"/>
    </w:rPr>
  </w:style>
  <w:style w:type="character" w:customStyle="1" w:styleId="BodyTextChar">
    <w:name w:val="Body Text Char"/>
    <w:link w:val="BodyText"/>
    <w:rPr>
      <w:rFonts w:ascii="Palatino" w:hAnsi="Palatino"/>
      <w:lang w:eastAsia="en-US"/>
    </w:rPr>
  </w:style>
  <w:style w:type="character" w:customStyle="1" w:styleId="FooterChar">
    <w:name w:val="Footer Char"/>
    <w:link w:val="Footer"/>
    <w:uiPriority w:val="99"/>
    <w:rPr>
      <w:rFonts w:ascii="Arial" w:hAnsi="Arial"/>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38400">
      <w:bodyDiv w:val="1"/>
      <w:marLeft w:val="0"/>
      <w:marRight w:val="0"/>
      <w:marTop w:val="0"/>
      <w:marBottom w:val="0"/>
      <w:divBdr>
        <w:top w:val="none" w:sz="0" w:space="0" w:color="auto"/>
        <w:left w:val="none" w:sz="0" w:space="0" w:color="auto"/>
        <w:bottom w:val="none" w:sz="0" w:space="0" w:color="auto"/>
        <w:right w:val="none" w:sz="0" w:space="0" w:color="auto"/>
      </w:divBdr>
      <w:divsChild>
        <w:div w:id="586578479">
          <w:marLeft w:val="0"/>
          <w:marRight w:val="0"/>
          <w:marTop w:val="0"/>
          <w:marBottom w:val="0"/>
          <w:divBdr>
            <w:top w:val="none" w:sz="0" w:space="0" w:color="auto"/>
            <w:left w:val="none" w:sz="0" w:space="0" w:color="auto"/>
            <w:bottom w:val="none" w:sz="0" w:space="0" w:color="auto"/>
            <w:right w:val="none" w:sz="0" w:space="0" w:color="auto"/>
          </w:divBdr>
        </w:div>
      </w:divsChild>
    </w:div>
    <w:div w:id="445123413">
      <w:bodyDiv w:val="1"/>
      <w:marLeft w:val="0"/>
      <w:marRight w:val="0"/>
      <w:marTop w:val="0"/>
      <w:marBottom w:val="0"/>
      <w:divBdr>
        <w:top w:val="none" w:sz="0" w:space="0" w:color="auto"/>
        <w:left w:val="none" w:sz="0" w:space="0" w:color="auto"/>
        <w:bottom w:val="none" w:sz="0" w:space="0" w:color="auto"/>
        <w:right w:val="none" w:sz="0" w:space="0" w:color="auto"/>
      </w:divBdr>
    </w:div>
    <w:div w:id="783161276">
      <w:bodyDiv w:val="1"/>
      <w:marLeft w:val="0"/>
      <w:marRight w:val="0"/>
      <w:marTop w:val="0"/>
      <w:marBottom w:val="0"/>
      <w:divBdr>
        <w:top w:val="none" w:sz="0" w:space="0" w:color="auto"/>
        <w:left w:val="none" w:sz="0" w:space="0" w:color="auto"/>
        <w:bottom w:val="none" w:sz="0" w:space="0" w:color="auto"/>
        <w:right w:val="none" w:sz="0" w:space="0" w:color="auto"/>
      </w:divBdr>
      <w:divsChild>
        <w:div w:id="1137265487">
          <w:marLeft w:val="0"/>
          <w:marRight w:val="0"/>
          <w:marTop w:val="0"/>
          <w:marBottom w:val="0"/>
          <w:divBdr>
            <w:top w:val="none" w:sz="0" w:space="0" w:color="auto"/>
            <w:left w:val="none" w:sz="0" w:space="0" w:color="auto"/>
            <w:bottom w:val="none" w:sz="0" w:space="0" w:color="auto"/>
            <w:right w:val="none" w:sz="0" w:space="0" w:color="auto"/>
          </w:divBdr>
        </w:div>
      </w:divsChild>
    </w:div>
    <w:div w:id="820730226">
      <w:bodyDiv w:val="1"/>
      <w:marLeft w:val="0"/>
      <w:marRight w:val="0"/>
      <w:marTop w:val="0"/>
      <w:marBottom w:val="0"/>
      <w:divBdr>
        <w:top w:val="none" w:sz="0" w:space="0" w:color="auto"/>
        <w:left w:val="none" w:sz="0" w:space="0" w:color="auto"/>
        <w:bottom w:val="none" w:sz="0" w:space="0" w:color="auto"/>
        <w:right w:val="none" w:sz="0" w:space="0" w:color="auto"/>
      </w:divBdr>
      <w:divsChild>
        <w:div w:id="19013291">
          <w:marLeft w:val="0"/>
          <w:marRight w:val="0"/>
          <w:marTop w:val="0"/>
          <w:marBottom w:val="0"/>
          <w:divBdr>
            <w:top w:val="none" w:sz="0" w:space="0" w:color="auto"/>
            <w:left w:val="none" w:sz="0" w:space="0" w:color="auto"/>
            <w:bottom w:val="none" w:sz="0" w:space="0" w:color="auto"/>
            <w:right w:val="none" w:sz="0" w:space="0" w:color="auto"/>
          </w:divBdr>
        </w:div>
        <w:div w:id="347175433">
          <w:marLeft w:val="0"/>
          <w:marRight w:val="0"/>
          <w:marTop w:val="0"/>
          <w:marBottom w:val="0"/>
          <w:divBdr>
            <w:top w:val="none" w:sz="0" w:space="0" w:color="auto"/>
            <w:left w:val="none" w:sz="0" w:space="0" w:color="auto"/>
            <w:bottom w:val="none" w:sz="0" w:space="0" w:color="auto"/>
            <w:right w:val="none" w:sz="0" w:space="0" w:color="auto"/>
          </w:divBdr>
        </w:div>
        <w:div w:id="349142900">
          <w:marLeft w:val="0"/>
          <w:marRight w:val="0"/>
          <w:marTop w:val="0"/>
          <w:marBottom w:val="0"/>
          <w:divBdr>
            <w:top w:val="none" w:sz="0" w:space="0" w:color="auto"/>
            <w:left w:val="none" w:sz="0" w:space="0" w:color="auto"/>
            <w:bottom w:val="none" w:sz="0" w:space="0" w:color="auto"/>
            <w:right w:val="none" w:sz="0" w:space="0" w:color="auto"/>
          </w:divBdr>
        </w:div>
        <w:div w:id="364721784">
          <w:marLeft w:val="0"/>
          <w:marRight w:val="0"/>
          <w:marTop w:val="0"/>
          <w:marBottom w:val="0"/>
          <w:divBdr>
            <w:top w:val="none" w:sz="0" w:space="0" w:color="auto"/>
            <w:left w:val="none" w:sz="0" w:space="0" w:color="auto"/>
            <w:bottom w:val="none" w:sz="0" w:space="0" w:color="auto"/>
            <w:right w:val="none" w:sz="0" w:space="0" w:color="auto"/>
          </w:divBdr>
        </w:div>
        <w:div w:id="615792583">
          <w:marLeft w:val="0"/>
          <w:marRight w:val="0"/>
          <w:marTop w:val="0"/>
          <w:marBottom w:val="0"/>
          <w:divBdr>
            <w:top w:val="none" w:sz="0" w:space="0" w:color="auto"/>
            <w:left w:val="none" w:sz="0" w:space="0" w:color="auto"/>
            <w:bottom w:val="none" w:sz="0" w:space="0" w:color="auto"/>
            <w:right w:val="none" w:sz="0" w:space="0" w:color="auto"/>
          </w:divBdr>
        </w:div>
        <w:div w:id="627198984">
          <w:marLeft w:val="0"/>
          <w:marRight w:val="0"/>
          <w:marTop w:val="0"/>
          <w:marBottom w:val="0"/>
          <w:divBdr>
            <w:top w:val="none" w:sz="0" w:space="0" w:color="auto"/>
            <w:left w:val="none" w:sz="0" w:space="0" w:color="auto"/>
            <w:bottom w:val="none" w:sz="0" w:space="0" w:color="auto"/>
            <w:right w:val="none" w:sz="0" w:space="0" w:color="auto"/>
          </w:divBdr>
        </w:div>
        <w:div w:id="674646120">
          <w:marLeft w:val="0"/>
          <w:marRight w:val="0"/>
          <w:marTop w:val="0"/>
          <w:marBottom w:val="0"/>
          <w:divBdr>
            <w:top w:val="none" w:sz="0" w:space="0" w:color="auto"/>
            <w:left w:val="none" w:sz="0" w:space="0" w:color="auto"/>
            <w:bottom w:val="none" w:sz="0" w:space="0" w:color="auto"/>
            <w:right w:val="none" w:sz="0" w:space="0" w:color="auto"/>
          </w:divBdr>
        </w:div>
        <w:div w:id="763766876">
          <w:marLeft w:val="0"/>
          <w:marRight w:val="0"/>
          <w:marTop w:val="0"/>
          <w:marBottom w:val="0"/>
          <w:divBdr>
            <w:top w:val="none" w:sz="0" w:space="0" w:color="auto"/>
            <w:left w:val="none" w:sz="0" w:space="0" w:color="auto"/>
            <w:bottom w:val="none" w:sz="0" w:space="0" w:color="auto"/>
            <w:right w:val="none" w:sz="0" w:space="0" w:color="auto"/>
          </w:divBdr>
        </w:div>
        <w:div w:id="1077482781">
          <w:marLeft w:val="0"/>
          <w:marRight w:val="0"/>
          <w:marTop w:val="0"/>
          <w:marBottom w:val="0"/>
          <w:divBdr>
            <w:top w:val="none" w:sz="0" w:space="0" w:color="auto"/>
            <w:left w:val="none" w:sz="0" w:space="0" w:color="auto"/>
            <w:bottom w:val="none" w:sz="0" w:space="0" w:color="auto"/>
            <w:right w:val="none" w:sz="0" w:space="0" w:color="auto"/>
          </w:divBdr>
        </w:div>
        <w:div w:id="1099987010">
          <w:marLeft w:val="0"/>
          <w:marRight w:val="0"/>
          <w:marTop w:val="0"/>
          <w:marBottom w:val="0"/>
          <w:divBdr>
            <w:top w:val="none" w:sz="0" w:space="0" w:color="auto"/>
            <w:left w:val="none" w:sz="0" w:space="0" w:color="auto"/>
            <w:bottom w:val="none" w:sz="0" w:space="0" w:color="auto"/>
            <w:right w:val="none" w:sz="0" w:space="0" w:color="auto"/>
          </w:divBdr>
        </w:div>
        <w:div w:id="1228686012">
          <w:marLeft w:val="0"/>
          <w:marRight w:val="0"/>
          <w:marTop w:val="0"/>
          <w:marBottom w:val="0"/>
          <w:divBdr>
            <w:top w:val="none" w:sz="0" w:space="0" w:color="auto"/>
            <w:left w:val="none" w:sz="0" w:space="0" w:color="auto"/>
            <w:bottom w:val="none" w:sz="0" w:space="0" w:color="auto"/>
            <w:right w:val="none" w:sz="0" w:space="0" w:color="auto"/>
          </w:divBdr>
        </w:div>
        <w:div w:id="1246650869">
          <w:marLeft w:val="0"/>
          <w:marRight w:val="0"/>
          <w:marTop w:val="0"/>
          <w:marBottom w:val="0"/>
          <w:divBdr>
            <w:top w:val="none" w:sz="0" w:space="0" w:color="auto"/>
            <w:left w:val="none" w:sz="0" w:space="0" w:color="auto"/>
            <w:bottom w:val="none" w:sz="0" w:space="0" w:color="auto"/>
            <w:right w:val="none" w:sz="0" w:space="0" w:color="auto"/>
          </w:divBdr>
        </w:div>
        <w:div w:id="1427576258">
          <w:marLeft w:val="0"/>
          <w:marRight w:val="0"/>
          <w:marTop w:val="0"/>
          <w:marBottom w:val="0"/>
          <w:divBdr>
            <w:top w:val="none" w:sz="0" w:space="0" w:color="auto"/>
            <w:left w:val="none" w:sz="0" w:space="0" w:color="auto"/>
            <w:bottom w:val="none" w:sz="0" w:space="0" w:color="auto"/>
            <w:right w:val="none" w:sz="0" w:space="0" w:color="auto"/>
          </w:divBdr>
        </w:div>
        <w:div w:id="1540967106">
          <w:marLeft w:val="0"/>
          <w:marRight w:val="0"/>
          <w:marTop w:val="0"/>
          <w:marBottom w:val="0"/>
          <w:divBdr>
            <w:top w:val="none" w:sz="0" w:space="0" w:color="auto"/>
            <w:left w:val="none" w:sz="0" w:space="0" w:color="auto"/>
            <w:bottom w:val="none" w:sz="0" w:space="0" w:color="auto"/>
            <w:right w:val="none" w:sz="0" w:space="0" w:color="auto"/>
          </w:divBdr>
        </w:div>
        <w:div w:id="1708066803">
          <w:marLeft w:val="0"/>
          <w:marRight w:val="0"/>
          <w:marTop w:val="0"/>
          <w:marBottom w:val="0"/>
          <w:divBdr>
            <w:top w:val="none" w:sz="0" w:space="0" w:color="auto"/>
            <w:left w:val="none" w:sz="0" w:space="0" w:color="auto"/>
            <w:bottom w:val="none" w:sz="0" w:space="0" w:color="auto"/>
            <w:right w:val="none" w:sz="0" w:space="0" w:color="auto"/>
          </w:divBdr>
        </w:div>
        <w:div w:id="1708677279">
          <w:marLeft w:val="0"/>
          <w:marRight w:val="0"/>
          <w:marTop w:val="0"/>
          <w:marBottom w:val="0"/>
          <w:divBdr>
            <w:top w:val="none" w:sz="0" w:space="0" w:color="auto"/>
            <w:left w:val="none" w:sz="0" w:space="0" w:color="auto"/>
            <w:bottom w:val="none" w:sz="0" w:space="0" w:color="auto"/>
            <w:right w:val="none" w:sz="0" w:space="0" w:color="auto"/>
          </w:divBdr>
        </w:div>
        <w:div w:id="1814372966">
          <w:marLeft w:val="0"/>
          <w:marRight w:val="0"/>
          <w:marTop w:val="0"/>
          <w:marBottom w:val="0"/>
          <w:divBdr>
            <w:top w:val="none" w:sz="0" w:space="0" w:color="auto"/>
            <w:left w:val="none" w:sz="0" w:space="0" w:color="auto"/>
            <w:bottom w:val="none" w:sz="0" w:space="0" w:color="auto"/>
            <w:right w:val="none" w:sz="0" w:space="0" w:color="auto"/>
          </w:divBdr>
        </w:div>
        <w:div w:id="1965110590">
          <w:marLeft w:val="0"/>
          <w:marRight w:val="0"/>
          <w:marTop w:val="0"/>
          <w:marBottom w:val="0"/>
          <w:divBdr>
            <w:top w:val="none" w:sz="0" w:space="0" w:color="auto"/>
            <w:left w:val="none" w:sz="0" w:space="0" w:color="auto"/>
            <w:bottom w:val="none" w:sz="0" w:space="0" w:color="auto"/>
            <w:right w:val="none" w:sz="0" w:space="0" w:color="auto"/>
          </w:divBdr>
        </w:div>
        <w:div w:id="2037807507">
          <w:marLeft w:val="0"/>
          <w:marRight w:val="0"/>
          <w:marTop w:val="0"/>
          <w:marBottom w:val="0"/>
          <w:divBdr>
            <w:top w:val="none" w:sz="0" w:space="0" w:color="auto"/>
            <w:left w:val="none" w:sz="0" w:space="0" w:color="auto"/>
            <w:bottom w:val="none" w:sz="0" w:space="0" w:color="auto"/>
            <w:right w:val="none" w:sz="0" w:space="0" w:color="auto"/>
          </w:divBdr>
        </w:div>
      </w:divsChild>
    </w:div>
    <w:div w:id="875578373">
      <w:bodyDiv w:val="1"/>
      <w:marLeft w:val="0"/>
      <w:marRight w:val="0"/>
      <w:marTop w:val="0"/>
      <w:marBottom w:val="0"/>
      <w:divBdr>
        <w:top w:val="none" w:sz="0" w:space="0" w:color="auto"/>
        <w:left w:val="none" w:sz="0" w:space="0" w:color="auto"/>
        <w:bottom w:val="none" w:sz="0" w:space="0" w:color="auto"/>
        <w:right w:val="none" w:sz="0" w:space="0" w:color="auto"/>
      </w:divBdr>
      <w:divsChild>
        <w:div w:id="847526180">
          <w:marLeft w:val="0"/>
          <w:marRight w:val="0"/>
          <w:marTop w:val="0"/>
          <w:marBottom w:val="0"/>
          <w:divBdr>
            <w:top w:val="none" w:sz="0" w:space="0" w:color="auto"/>
            <w:left w:val="none" w:sz="0" w:space="0" w:color="auto"/>
            <w:bottom w:val="none" w:sz="0" w:space="0" w:color="auto"/>
            <w:right w:val="none" w:sz="0" w:space="0" w:color="auto"/>
          </w:divBdr>
          <w:divsChild>
            <w:div w:id="1542857945">
              <w:marLeft w:val="0"/>
              <w:marRight w:val="0"/>
              <w:marTop w:val="0"/>
              <w:marBottom w:val="0"/>
              <w:divBdr>
                <w:top w:val="none" w:sz="0" w:space="0" w:color="auto"/>
                <w:left w:val="none" w:sz="0" w:space="0" w:color="auto"/>
                <w:bottom w:val="none" w:sz="0" w:space="0" w:color="auto"/>
                <w:right w:val="none" w:sz="0" w:space="0" w:color="auto"/>
              </w:divBdr>
              <w:divsChild>
                <w:div w:id="2031491079">
                  <w:marLeft w:val="0"/>
                  <w:marRight w:val="0"/>
                  <w:marTop w:val="0"/>
                  <w:marBottom w:val="0"/>
                  <w:divBdr>
                    <w:top w:val="none" w:sz="0" w:space="0" w:color="auto"/>
                    <w:left w:val="none" w:sz="0" w:space="0" w:color="auto"/>
                    <w:bottom w:val="none" w:sz="0" w:space="0" w:color="auto"/>
                    <w:right w:val="none" w:sz="0" w:space="0" w:color="auto"/>
                  </w:divBdr>
                  <w:divsChild>
                    <w:div w:id="1598247224">
                      <w:marLeft w:val="0"/>
                      <w:marRight w:val="0"/>
                      <w:marTop w:val="0"/>
                      <w:marBottom w:val="0"/>
                      <w:divBdr>
                        <w:top w:val="none" w:sz="0" w:space="0" w:color="auto"/>
                        <w:left w:val="none" w:sz="0" w:space="0" w:color="auto"/>
                        <w:bottom w:val="none" w:sz="0" w:space="0" w:color="auto"/>
                        <w:right w:val="none" w:sz="0" w:space="0" w:color="auto"/>
                      </w:divBdr>
                      <w:divsChild>
                        <w:div w:id="1911042794">
                          <w:marLeft w:val="0"/>
                          <w:marRight w:val="0"/>
                          <w:marTop w:val="0"/>
                          <w:marBottom w:val="0"/>
                          <w:divBdr>
                            <w:top w:val="none" w:sz="0" w:space="0" w:color="auto"/>
                            <w:left w:val="none" w:sz="0" w:space="0" w:color="auto"/>
                            <w:bottom w:val="none" w:sz="0" w:space="0" w:color="auto"/>
                            <w:right w:val="none" w:sz="0" w:space="0" w:color="auto"/>
                          </w:divBdr>
                          <w:divsChild>
                            <w:div w:id="16565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915660">
      <w:bodyDiv w:val="1"/>
      <w:marLeft w:val="0"/>
      <w:marRight w:val="0"/>
      <w:marTop w:val="0"/>
      <w:marBottom w:val="0"/>
      <w:divBdr>
        <w:top w:val="none" w:sz="0" w:space="0" w:color="auto"/>
        <w:left w:val="none" w:sz="0" w:space="0" w:color="auto"/>
        <w:bottom w:val="none" w:sz="0" w:space="0" w:color="auto"/>
        <w:right w:val="none" w:sz="0" w:space="0" w:color="auto"/>
      </w:divBdr>
      <w:divsChild>
        <w:div w:id="54162842">
          <w:marLeft w:val="0"/>
          <w:marRight w:val="0"/>
          <w:marTop w:val="0"/>
          <w:marBottom w:val="0"/>
          <w:divBdr>
            <w:top w:val="none" w:sz="0" w:space="0" w:color="auto"/>
            <w:left w:val="none" w:sz="0" w:space="0" w:color="auto"/>
            <w:bottom w:val="none" w:sz="0" w:space="0" w:color="auto"/>
            <w:right w:val="none" w:sz="0" w:space="0" w:color="auto"/>
          </w:divBdr>
          <w:divsChild>
            <w:div w:id="112409770">
              <w:marLeft w:val="0"/>
              <w:marRight w:val="0"/>
              <w:marTop w:val="0"/>
              <w:marBottom w:val="0"/>
              <w:divBdr>
                <w:top w:val="none" w:sz="0" w:space="0" w:color="auto"/>
                <w:left w:val="none" w:sz="0" w:space="0" w:color="auto"/>
                <w:bottom w:val="none" w:sz="0" w:space="0" w:color="auto"/>
                <w:right w:val="none" w:sz="0" w:space="0" w:color="auto"/>
              </w:divBdr>
            </w:div>
            <w:div w:id="141317255">
              <w:marLeft w:val="0"/>
              <w:marRight w:val="0"/>
              <w:marTop w:val="0"/>
              <w:marBottom w:val="0"/>
              <w:divBdr>
                <w:top w:val="none" w:sz="0" w:space="0" w:color="auto"/>
                <w:left w:val="none" w:sz="0" w:space="0" w:color="auto"/>
                <w:bottom w:val="none" w:sz="0" w:space="0" w:color="auto"/>
                <w:right w:val="none" w:sz="0" w:space="0" w:color="auto"/>
              </w:divBdr>
            </w:div>
            <w:div w:id="276570593">
              <w:marLeft w:val="0"/>
              <w:marRight w:val="0"/>
              <w:marTop w:val="0"/>
              <w:marBottom w:val="0"/>
              <w:divBdr>
                <w:top w:val="none" w:sz="0" w:space="0" w:color="auto"/>
                <w:left w:val="none" w:sz="0" w:space="0" w:color="auto"/>
                <w:bottom w:val="none" w:sz="0" w:space="0" w:color="auto"/>
                <w:right w:val="none" w:sz="0" w:space="0" w:color="auto"/>
              </w:divBdr>
            </w:div>
            <w:div w:id="974217379">
              <w:marLeft w:val="0"/>
              <w:marRight w:val="0"/>
              <w:marTop w:val="0"/>
              <w:marBottom w:val="0"/>
              <w:divBdr>
                <w:top w:val="none" w:sz="0" w:space="0" w:color="auto"/>
                <w:left w:val="none" w:sz="0" w:space="0" w:color="auto"/>
                <w:bottom w:val="none" w:sz="0" w:space="0" w:color="auto"/>
                <w:right w:val="none" w:sz="0" w:space="0" w:color="auto"/>
              </w:divBdr>
            </w:div>
            <w:div w:id="1021512301">
              <w:marLeft w:val="0"/>
              <w:marRight w:val="0"/>
              <w:marTop w:val="0"/>
              <w:marBottom w:val="0"/>
              <w:divBdr>
                <w:top w:val="none" w:sz="0" w:space="0" w:color="auto"/>
                <w:left w:val="none" w:sz="0" w:space="0" w:color="auto"/>
                <w:bottom w:val="none" w:sz="0" w:space="0" w:color="auto"/>
                <w:right w:val="none" w:sz="0" w:space="0" w:color="auto"/>
              </w:divBdr>
            </w:div>
            <w:div w:id="1095201513">
              <w:marLeft w:val="0"/>
              <w:marRight w:val="0"/>
              <w:marTop w:val="0"/>
              <w:marBottom w:val="0"/>
              <w:divBdr>
                <w:top w:val="none" w:sz="0" w:space="0" w:color="auto"/>
                <w:left w:val="none" w:sz="0" w:space="0" w:color="auto"/>
                <w:bottom w:val="none" w:sz="0" w:space="0" w:color="auto"/>
                <w:right w:val="none" w:sz="0" w:space="0" w:color="auto"/>
              </w:divBdr>
            </w:div>
            <w:div w:id="1434016813">
              <w:marLeft w:val="0"/>
              <w:marRight w:val="0"/>
              <w:marTop w:val="0"/>
              <w:marBottom w:val="0"/>
              <w:divBdr>
                <w:top w:val="none" w:sz="0" w:space="0" w:color="auto"/>
                <w:left w:val="none" w:sz="0" w:space="0" w:color="auto"/>
                <w:bottom w:val="none" w:sz="0" w:space="0" w:color="auto"/>
                <w:right w:val="none" w:sz="0" w:space="0" w:color="auto"/>
              </w:divBdr>
            </w:div>
            <w:div w:id="1594389067">
              <w:marLeft w:val="0"/>
              <w:marRight w:val="0"/>
              <w:marTop w:val="0"/>
              <w:marBottom w:val="0"/>
              <w:divBdr>
                <w:top w:val="none" w:sz="0" w:space="0" w:color="auto"/>
                <w:left w:val="none" w:sz="0" w:space="0" w:color="auto"/>
                <w:bottom w:val="none" w:sz="0" w:space="0" w:color="auto"/>
                <w:right w:val="none" w:sz="0" w:space="0" w:color="auto"/>
              </w:divBdr>
            </w:div>
            <w:div w:id="1679691133">
              <w:marLeft w:val="0"/>
              <w:marRight w:val="0"/>
              <w:marTop w:val="0"/>
              <w:marBottom w:val="0"/>
              <w:divBdr>
                <w:top w:val="none" w:sz="0" w:space="0" w:color="auto"/>
                <w:left w:val="none" w:sz="0" w:space="0" w:color="auto"/>
                <w:bottom w:val="none" w:sz="0" w:space="0" w:color="auto"/>
                <w:right w:val="none" w:sz="0" w:space="0" w:color="auto"/>
              </w:divBdr>
            </w:div>
            <w:div w:id="1682973650">
              <w:marLeft w:val="0"/>
              <w:marRight w:val="0"/>
              <w:marTop w:val="0"/>
              <w:marBottom w:val="0"/>
              <w:divBdr>
                <w:top w:val="none" w:sz="0" w:space="0" w:color="auto"/>
                <w:left w:val="none" w:sz="0" w:space="0" w:color="auto"/>
                <w:bottom w:val="none" w:sz="0" w:space="0" w:color="auto"/>
                <w:right w:val="none" w:sz="0" w:space="0" w:color="auto"/>
              </w:divBdr>
            </w:div>
            <w:div w:id="19364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878">
      <w:bodyDiv w:val="1"/>
      <w:marLeft w:val="0"/>
      <w:marRight w:val="0"/>
      <w:marTop w:val="0"/>
      <w:marBottom w:val="0"/>
      <w:divBdr>
        <w:top w:val="none" w:sz="0" w:space="0" w:color="auto"/>
        <w:left w:val="none" w:sz="0" w:space="0" w:color="auto"/>
        <w:bottom w:val="none" w:sz="0" w:space="0" w:color="auto"/>
        <w:right w:val="none" w:sz="0" w:space="0" w:color="auto"/>
      </w:divBdr>
      <w:divsChild>
        <w:div w:id="396586103">
          <w:marLeft w:val="0"/>
          <w:marRight w:val="0"/>
          <w:marTop w:val="0"/>
          <w:marBottom w:val="0"/>
          <w:divBdr>
            <w:top w:val="none" w:sz="0" w:space="0" w:color="auto"/>
            <w:left w:val="none" w:sz="0" w:space="0" w:color="auto"/>
            <w:bottom w:val="none" w:sz="0" w:space="0" w:color="auto"/>
            <w:right w:val="none" w:sz="0" w:space="0" w:color="auto"/>
          </w:divBdr>
          <w:divsChild>
            <w:div w:id="808548755">
              <w:marLeft w:val="0"/>
              <w:marRight w:val="386"/>
              <w:marTop w:val="0"/>
              <w:marBottom w:val="514"/>
              <w:divBdr>
                <w:top w:val="none" w:sz="0" w:space="0" w:color="auto"/>
                <w:left w:val="none" w:sz="0" w:space="0" w:color="auto"/>
                <w:bottom w:val="none" w:sz="0" w:space="0" w:color="auto"/>
                <w:right w:val="none" w:sz="0" w:space="0" w:color="auto"/>
              </w:divBdr>
              <w:divsChild>
                <w:div w:id="8497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28271">
      <w:bodyDiv w:val="1"/>
      <w:marLeft w:val="0"/>
      <w:marRight w:val="0"/>
      <w:marTop w:val="0"/>
      <w:marBottom w:val="0"/>
      <w:divBdr>
        <w:top w:val="none" w:sz="0" w:space="0" w:color="auto"/>
        <w:left w:val="none" w:sz="0" w:space="0" w:color="auto"/>
        <w:bottom w:val="none" w:sz="0" w:space="0" w:color="auto"/>
        <w:right w:val="none" w:sz="0" w:space="0" w:color="auto"/>
      </w:divBdr>
    </w:div>
    <w:div w:id="1117332778">
      <w:bodyDiv w:val="1"/>
      <w:marLeft w:val="0"/>
      <w:marRight w:val="0"/>
      <w:marTop w:val="0"/>
      <w:marBottom w:val="0"/>
      <w:divBdr>
        <w:top w:val="none" w:sz="0" w:space="0" w:color="auto"/>
        <w:left w:val="none" w:sz="0" w:space="0" w:color="auto"/>
        <w:bottom w:val="none" w:sz="0" w:space="0" w:color="auto"/>
        <w:right w:val="none" w:sz="0" w:space="0" w:color="auto"/>
      </w:divBdr>
      <w:divsChild>
        <w:div w:id="1537890702">
          <w:marLeft w:val="0"/>
          <w:marRight w:val="0"/>
          <w:marTop w:val="0"/>
          <w:marBottom w:val="0"/>
          <w:divBdr>
            <w:top w:val="none" w:sz="0" w:space="0" w:color="auto"/>
            <w:left w:val="none" w:sz="0" w:space="0" w:color="auto"/>
            <w:bottom w:val="none" w:sz="0" w:space="0" w:color="auto"/>
            <w:right w:val="none" w:sz="0" w:space="0" w:color="auto"/>
          </w:divBdr>
          <w:divsChild>
            <w:div w:id="760682293">
              <w:marLeft w:val="0"/>
              <w:marRight w:val="0"/>
              <w:marTop w:val="0"/>
              <w:marBottom w:val="0"/>
              <w:divBdr>
                <w:top w:val="none" w:sz="0" w:space="0" w:color="auto"/>
                <w:left w:val="none" w:sz="0" w:space="0" w:color="auto"/>
                <w:bottom w:val="none" w:sz="0" w:space="0" w:color="auto"/>
                <w:right w:val="none" w:sz="0" w:space="0" w:color="auto"/>
              </w:divBdr>
              <w:divsChild>
                <w:div w:id="1717390259">
                  <w:marLeft w:val="0"/>
                  <w:marRight w:val="0"/>
                  <w:marTop w:val="0"/>
                  <w:marBottom w:val="0"/>
                  <w:divBdr>
                    <w:top w:val="none" w:sz="0" w:space="0" w:color="auto"/>
                    <w:left w:val="none" w:sz="0" w:space="0" w:color="auto"/>
                    <w:bottom w:val="none" w:sz="0" w:space="0" w:color="auto"/>
                    <w:right w:val="none" w:sz="0" w:space="0" w:color="auto"/>
                  </w:divBdr>
                  <w:divsChild>
                    <w:div w:id="911354752">
                      <w:marLeft w:val="0"/>
                      <w:marRight w:val="0"/>
                      <w:marTop w:val="0"/>
                      <w:marBottom w:val="0"/>
                      <w:divBdr>
                        <w:top w:val="none" w:sz="0" w:space="0" w:color="auto"/>
                        <w:left w:val="none" w:sz="0" w:space="0" w:color="auto"/>
                        <w:bottom w:val="none" w:sz="0" w:space="0" w:color="auto"/>
                        <w:right w:val="none" w:sz="0" w:space="0" w:color="auto"/>
                      </w:divBdr>
                      <w:divsChild>
                        <w:div w:id="1429736420">
                          <w:marLeft w:val="0"/>
                          <w:marRight w:val="0"/>
                          <w:marTop w:val="0"/>
                          <w:marBottom w:val="0"/>
                          <w:divBdr>
                            <w:top w:val="none" w:sz="0" w:space="0" w:color="auto"/>
                            <w:left w:val="none" w:sz="0" w:space="0" w:color="auto"/>
                            <w:bottom w:val="none" w:sz="0" w:space="0" w:color="auto"/>
                            <w:right w:val="none" w:sz="0" w:space="0" w:color="auto"/>
                          </w:divBdr>
                          <w:divsChild>
                            <w:div w:id="12554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34300">
      <w:bodyDiv w:val="1"/>
      <w:marLeft w:val="0"/>
      <w:marRight w:val="0"/>
      <w:marTop w:val="0"/>
      <w:marBottom w:val="0"/>
      <w:divBdr>
        <w:top w:val="none" w:sz="0" w:space="0" w:color="auto"/>
        <w:left w:val="none" w:sz="0" w:space="0" w:color="auto"/>
        <w:bottom w:val="none" w:sz="0" w:space="0" w:color="auto"/>
        <w:right w:val="none" w:sz="0" w:space="0" w:color="auto"/>
      </w:divBdr>
      <w:divsChild>
        <w:div w:id="131293783">
          <w:marLeft w:val="0"/>
          <w:marRight w:val="0"/>
          <w:marTop w:val="0"/>
          <w:marBottom w:val="0"/>
          <w:divBdr>
            <w:top w:val="none" w:sz="0" w:space="0" w:color="auto"/>
            <w:left w:val="none" w:sz="0" w:space="0" w:color="auto"/>
            <w:bottom w:val="none" w:sz="0" w:space="0" w:color="auto"/>
            <w:right w:val="none" w:sz="0" w:space="0" w:color="auto"/>
          </w:divBdr>
        </w:div>
      </w:divsChild>
    </w:div>
    <w:div w:id="1385907427">
      <w:bodyDiv w:val="1"/>
      <w:marLeft w:val="0"/>
      <w:marRight w:val="0"/>
      <w:marTop w:val="0"/>
      <w:marBottom w:val="0"/>
      <w:divBdr>
        <w:top w:val="none" w:sz="0" w:space="0" w:color="auto"/>
        <w:left w:val="none" w:sz="0" w:space="0" w:color="auto"/>
        <w:bottom w:val="none" w:sz="0" w:space="0" w:color="auto"/>
        <w:right w:val="none" w:sz="0" w:space="0" w:color="auto"/>
      </w:divBdr>
      <w:divsChild>
        <w:div w:id="1916355447">
          <w:marLeft w:val="0"/>
          <w:marRight w:val="0"/>
          <w:marTop w:val="0"/>
          <w:marBottom w:val="0"/>
          <w:divBdr>
            <w:top w:val="none" w:sz="0" w:space="0" w:color="auto"/>
            <w:left w:val="none" w:sz="0" w:space="0" w:color="auto"/>
            <w:bottom w:val="none" w:sz="0" w:space="0" w:color="auto"/>
            <w:right w:val="none" w:sz="0" w:space="0" w:color="auto"/>
          </w:divBdr>
          <w:divsChild>
            <w:div w:id="6443460">
              <w:marLeft w:val="0"/>
              <w:marRight w:val="0"/>
              <w:marTop w:val="0"/>
              <w:marBottom w:val="0"/>
              <w:divBdr>
                <w:top w:val="none" w:sz="0" w:space="0" w:color="auto"/>
                <w:left w:val="none" w:sz="0" w:space="0" w:color="auto"/>
                <w:bottom w:val="none" w:sz="0" w:space="0" w:color="auto"/>
                <w:right w:val="none" w:sz="0" w:space="0" w:color="auto"/>
              </w:divBdr>
            </w:div>
            <w:div w:id="298269592">
              <w:marLeft w:val="0"/>
              <w:marRight w:val="0"/>
              <w:marTop w:val="0"/>
              <w:marBottom w:val="0"/>
              <w:divBdr>
                <w:top w:val="none" w:sz="0" w:space="0" w:color="auto"/>
                <w:left w:val="none" w:sz="0" w:space="0" w:color="auto"/>
                <w:bottom w:val="none" w:sz="0" w:space="0" w:color="auto"/>
                <w:right w:val="none" w:sz="0" w:space="0" w:color="auto"/>
              </w:divBdr>
            </w:div>
            <w:div w:id="592325655">
              <w:marLeft w:val="0"/>
              <w:marRight w:val="0"/>
              <w:marTop w:val="0"/>
              <w:marBottom w:val="0"/>
              <w:divBdr>
                <w:top w:val="none" w:sz="0" w:space="0" w:color="auto"/>
                <w:left w:val="none" w:sz="0" w:space="0" w:color="auto"/>
                <w:bottom w:val="none" w:sz="0" w:space="0" w:color="auto"/>
                <w:right w:val="none" w:sz="0" w:space="0" w:color="auto"/>
              </w:divBdr>
            </w:div>
            <w:div w:id="662509494">
              <w:marLeft w:val="0"/>
              <w:marRight w:val="0"/>
              <w:marTop w:val="0"/>
              <w:marBottom w:val="0"/>
              <w:divBdr>
                <w:top w:val="none" w:sz="0" w:space="0" w:color="auto"/>
                <w:left w:val="none" w:sz="0" w:space="0" w:color="auto"/>
                <w:bottom w:val="none" w:sz="0" w:space="0" w:color="auto"/>
                <w:right w:val="none" w:sz="0" w:space="0" w:color="auto"/>
              </w:divBdr>
            </w:div>
            <w:div w:id="1308703831">
              <w:marLeft w:val="0"/>
              <w:marRight w:val="0"/>
              <w:marTop w:val="0"/>
              <w:marBottom w:val="0"/>
              <w:divBdr>
                <w:top w:val="none" w:sz="0" w:space="0" w:color="auto"/>
                <w:left w:val="none" w:sz="0" w:space="0" w:color="auto"/>
                <w:bottom w:val="none" w:sz="0" w:space="0" w:color="auto"/>
                <w:right w:val="none" w:sz="0" w:space="0" w:color="auto"/>
              </w:divBdr>
            </w:div>
            <w:div w:id="1398017115">
              <w:marLeft w:val="0"/>
              <w:marRight w:val="0"/>
              <w:marTop w:val="0"/>
              <w:marBottom w:val="0"/>
              <w:divBdr>
                <w:top w:val="none" w:sz="0" w:space="0" w:color="auto"/>
                <w:left w:val="none" w:sz="0" w:space="0" w:color="auto"/>
                <w:bottom w:val="none" w:sz="0" w:space="0" w:color="auto"/>
                <w:right w:val="none" w:sz="0" w:space="0" w:color="auto"/>
              </w:divBdr>
            </w:div>
            <w:div w:id="20440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00616">
      <w:bodyDiv w:val="1"/>
      <w:marLeft w:val="0"/>
      <w:marRight w:val="0"/>
      <w:marTop w:val="0"/>
      <w:marBottom w:val="0"/>
      <w:divBdr>
        <w:top w:val="none" w:sz="0" w:space="0" w:color="auto"/>
        <w:left w:val="none" w:sz="0" w:space="0" w:color="auto"/>
        <w:bottom w:val="none" w:sz="0" w:space="0" w:color="auto"/>
        <w:right w:val="none" w:sz="0" w:space="0" w:color="auto"/>
      </w:divBdr>
      <w:divsChild>
        <w:div w:id="519465129">
          <w:marLeft w:val="0"/>
          <w:marRight w:val="0"/>
          <w:marTop w:val="0"/>
          <w:marBottom w:val="0"/>
          <w:divBdr>
            <w:top w:val="none" w:sz="0" w:space="0" w:color="auto"/>
            <w:left w:val="none" w:sz="0" w:space="0" w:color="auto"/>
            <w:bottom w:val="none" w:sz="0" w:space="0" w:color="auto"/>
            <w:right w:val="none" w:sz="0" w:space="0" w:color="auto"/>
          </w:divBdr>
        </w:div>
      </w:divsChild>
    </w:div>
    <w:div w:id="1456748661">
      <w:bodyDiv w:val="1"/>
      <w:marLeft w:val="0"/>
      <w:marRight w:val="0"/>
      <w:marTop w:val="0"/>
      <w:marBottom w:val="0"/>
      <w:divBdr>
        <w:top w:val="none" w:sz="0" w:space="0" w:color="auto"/>
        <w:left w:val="none" w:sz="0" w:space="0" w:color="auto"/>
        <w:bottom w:val="none" w:sz="0" w:space="0" w:color="auto"/>
        <w:right w:val="none" w:sz="0" w:space="0" w:color="auto"/>
      </w:divBdr>
    </w:div>
    <w:div w:id="1493257540">
      <w:bodyDiv w:val="1"/>
      <w:marLeft w:val="0"/>
      <w:marRight w:val="0"/>
      <w:marTop w:val="0"/>
      <w:marBottom w:val="0"/>
      <w:divBdr>
        <w:top w:val="none" w:sz="0" w:space="0" w:color="auto"/>
        <w:left w:val="none" w:sz="0" w:space="0" w:color="auto"/>
        <w:bottom w:val="none" w:sz="0" w:space="0" w:color="auto"/>
        <w:right w:val="none" w:sz="0" w:space="0" w:color="auto"/>
      </w:divBdr>
      <w:divsChild>
        <w:div w:id="80420565">
          <w:marLeft w:val="0"/>
          <w:marRight w:val="0"/>
          <w:marTop w:val="0"/>
          <w:marBottom w:val="0"/>
          <w:divBdr>
            <w:top w:val="none" w:sz="0" w:space="0" w:color="auto"/>
            <w:left w:val="none" w:sz="0" w:space="0" w:color="auto"/>
            <w:bottom w:val="none" w:sz="0" w:space="0" w:color="auto"/>
            <w:right w:val="none" w:sz="0" w:space="0" w:color="auto"/>
          </w:divBdr>
          <w:divsChild>
            <w:div w:id="531772556">
              <w:marLeft w:val="0"/>
              <w:marRight w:val="0"/>
              <w:marTop w:val="0"/>
              <w:marBottom w:val="0"/>
              <w:divBdr>
                <w:top w:val="none" w:sz="0" w:space="0" w:color="auto"/>
                <w:left w:val="none" w:sz="0" w:space="0" w:color="auto"/>
                <w:bottom w:val="none" w:sz="0" w:space="0" w:color="auto"/>
                <w:right w:val="none" w:sz="0" w:space="0" w:color="auto"/>
              </w:divBdr>
            </w:div>
            <w:div w:id="13097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2124">
      <w:bodyDiv w:val="1"/>
      <w:marLeft w:val="0"/>
      <w:marRight w:val="0"/>
      <w:marTop w:val="0"/>
      <w:marBottom w:val="0"/>
      <w:divBdr>
        <w:top w:val="none" w:sz="0" w:space="0" w:color="auto"/>
        <w:left w:val="none" w:sz="0" w:space="0" w:color="auto"/>
        <w:bottom w:val="none" w:sz="0" w:space="0" w:color="auto"/>
        <w:right w:val="none" w:sz="0" w:space="0" w:color="auto"/>
      </w:divBdr>
      <w:divsChild>
        <w:div w:id="1027682196">
          <w:marLeft w:val="0"/>
          <w:marRight w:val="0"/>
          <w:marTop w:val="0"/>
          <w:marBottom w:val="0"/>
          <w:divBdr>
            <w:top w:val="none" w:sz="0" w:space="0" w:color="auto"/>
            <w:left w:val="none" w:sz="0" w:space="0" w:color="auto"/>
            <w:bottom w:val="none" w:sz="0" w:space="0" w:color="auto"/>
            <w:right w:val="none" w:sz="0" w:space="0" w:color="auto"/>
          </w:divBdr>
          <w:divsChild>
            <w:div w:id="29233267">
              <w:marLeft w:val="0"/>
              <w:marRight w:val="0"/>
              <w:marTop w:val="0"/>
              <w:marBottom w:val="0"/>
              <w:divBdr>
                <w:top w:val="none" w:sz="0" w:space="0" w:color="auto"/>
                <w:left w:val="none" w:sz="0" w:space="0" w:color="auto"/>
                <w:bottom w:val="none" w:sz="0" w:space="0" w:color="auto"/>
                <w:right w:val="none" w:sz="0" w:space="0" w:color="auto"/>
              </w:divBdr>
            </w:div>
            <w:div w:id="182401361">
              <w:marLeft w:val="0"/>
              <w:marRight w:val="0"/>
              <w:marTop w:val="0"/>
              <w:marBottom w:val="0"/>
              <w:divBdr>
                <w:top w:val="none" w:sz="0" w:space="0" w:color="auto"/>
                <w:left w:val="none" w:sz="0" w:space="0" w:color="auto"/>
                <w:bottom w:val="none" w:sz="0" w:space="0" w:color="auto"/>
                <w:right w:val="none" w:sz="0" w:space="0" w:color="auto"/>
              </w:divBdr>
            </w:div>
            <w:div w:id="322975734">
              <w:marLeft w:val="0"/>
              <w:marRight w:val="0"/>
              <w:marTop w:val="0"/>
              <w:marBottom w:val="0"/>
              <w:divBdr>
                <w:top w:val="none" w:sz="0" w:space="0" w:color="auto"/>
                <w:left w:val="none" w:sz="0" w:space="0" w:color="auto"/>
                <w:bottom w:val="none" w:sz="0" w:space="0" w:color="auto"/>
                <w:right w:val="none" w:sz="0" w:space="0" w:color="auto"/>
              </w:divBdr>
            </w:div>
            <w:div w:id="641884692">
              <w:marLeft w:val="0"/>
              <w:marRight w:val="0"/>
              <w:marTop w:val="0"/>
              <w:marBottom w:val="0"/>
              <w:divBdr>
                <w:top w:val="none" w:sz="0" w:space="0" w:color="auto"/>
                <w:left w:val="none" w:sz="0" w:space="0" w:color="auto"/>
                <w:bottom w:val="none" w:sz="0" w:space="0" w:color="auto"/>
                <w:right w:val="none" w:sz="0" w:space="0" w:color="auto"/>
              </w:divBdr>
            </w:div>
            <w:div w:id="756485600">
              <w:marLeft w:val="0"/>
              <w:marRight w:val="0"/>
              <w:marTop w:val="0"/>
              <w:marBottom w:val="0"/>
              <w:divBdr>
                <w:top w:val="none" w:sz="0" w:space="0" w:color="auto"/>
                <w:left w:val="none" w:sz="0" w:space="0" w:color="auto"/>
                <w:bottom w:val="none" w:sz="0" w:space="0" w:color="auto"/>
                <w:right w:val="none" w:sz="0" w:space="0" w:color="auto"/>
              </w:divBdr>
            </w:div>
            <w:div w:id="907761961">
              <w:marLeft w:val="0"/>
              <w:marRight w:val="0"/>
              <w:marTop w:val="0"/>
              <w:marBottom w:val="0"/>
              <w:divBdr>
                <w:top w:val="none" w:sz="0" w:space="0" w:color="auto"/>
                <w:left w:val="none" w:sz="0" w:space="0" w:color="auto"/>
                <w:bottom w:val="none" w:sz="0" w:space="0" w:color="auto"/>
                <w:right w:val="none" w:sz="0" w:space="0" w:color="auto"/>
              </w:divBdr>
            </w:div>
            <w:div w:id="1404793207">
              <w:marLeft w:val="0"/>
              <w:marRight w:val="0"/>
              <w:marTop w:val="0"/>
              <w:marBottom w:val="0"/>
              <w:divBdr>
                <w:top w:val="none" w:sz="0" w:space="0" w:color="auto"/>
                <w:left w:val="none" w:sz="0" w:space="0" w:color="auto"/>
                <w:bottom w:val="none" w:sz="0" w:space="0" w:color="auto"/>
                <w:right w:val="none" w:sz="0" w:space="0" w:color="auto"/>
              </w:divBdr>
            </w:div>
            <w:div w:id="1434591828">
              <w:marLeft w:val="0"/>
              <w:marRight w:val="0"/>
              <w:marTop w:val="0"/>
              <w:marBottom w:val="0"/>
              <w:divBdr>
                <w:top w:val="none" w:sz="0" w:space="0" w:color="auto"/>
                <w:left w:val="none" w:sz="0" w:space="0" w:color="auto"/>
                <w:bottom w:val="none" w:sz="0" w:space="0" w:color="auto"/>
                <w:right w:val="none" w:sz="0" w:space="0" w:color="auto"/>
              </w:divBdr>
            </w:div>
            <w:div w:id="1737046793">
              <w:marLeft w:val="0"/>
              <w:marRight w:val="0"/>
              <w:marTop w:val="0"/>
              <w:marBottom w:val="0"/>
              <w:divBdr>
                <w:top w:val="none" w:sz="0" w:space="0" w:color="auto"/>
                <w:left w:val="none" w:sz="0" w:space="0" w:color="auto"/>
                <w:bottom w:val="none" w:sz="0" w:space="0" w:color="auto"/>
                <w:right w:val="none" w:sz="0" w:space="0" w:color="auto"/>
              </w:divBdr>
            </w:div>
            <w:div w:id="1873030715">
              <w:marLeft w:val="0"/>
              <w:marRight w:val="0"/>
              <w:marTop w:val="0"/>
              <w:marBottom w:val="0"/>
              <w:divBdr>
                <w:top w:val="none" w:sz="0" w:space="0" w:color="auto"/>
                <w:left w:val="none" w:sz="0" w:space="0" w:color="auto"/>
                <w:bottom w:val="none" w:sz="0" w:space="0" w:color="auto"/>
                <w:right w:val="none" w:sz="0" w:space="0" w:color="auto"/>
              </w:divBdr>
            </w:div>
            <w:div w:id="2024361956">
              <w:marLeft w:val="0"/>
              <w:marRight w:val="0"/>
              <w:marTop w:val="0"/>
              <w:marBottom w:val="0"/>
              <w:divBdr>
                <w:top w:val="none" w:sz="0" w:space="0" w:color="auto"/>
                <w:left w:val="none" w:sz="0" w:space="0" w:color="auto"/>
                <w:bottom w:val="none" w:sz="0" w:space="0" w:color="auto"/>
                <w:right w:val="none" w:sz="0" w:space="0" w:color="auto"/>
              </w:divBdr>
            </w:div>
            <w:div w:id="20426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sChild>
        <w:div w:id="448017087">
          <w:marLeft w:val="0"/>
          <w:marRight w:val="0"/>
          <w:marTop w:val="0"/>
          <w:marBottom w:val="0"/>
          <w:divBdr>
            <w:top w:val="none" w:sz="0" w:space="0" w:color="auto"/>
            <w:left w:val="none" w:sz="0" w:space="0" w:color="auto"/>
            <w:bottom w:val="none" w:sz="0" w:space="0" w:color="auto"/>
            <w:right w:val="none" w:sz="0" w:space="0" w:color="auto"/>
          </w:divBdr>
        </w:div>
      </w:divsChild>
    </w:div>
    <w:div w:id="1591115510">
      <w:bodyDiv w:val="1"/>
      <w:marLeft w:val="0"/>
      <w:marRight w:val="0"/>
      <w:marTop w:val="0"/>
      <w:marBottom w:val="0"/>
      <w:divBdr>
        <w:top w:val="none" w:sz="0" w:space="0" w:color="auto"/>
        <w:left w:val="none" w:sz="0" w:space="0" w:color="auto"/>
        <w:bottom w:val="none" w:sz="0" w:space="0" w:color="auto"/>
        <w:right w:val="none" w:sz="0" w:space="0" w:color="auto"/>
      </w:divBdr>
    </w:div>
    <w:div w:id="1595479444">
      <w:bodyDiv w:val="1"/>
      <w:marLeft w:val="0"/>
      <w:marRight w:val="0"/>
      <w:marTop w:val="0"/>
      <w:marBottom w:val="0"/>
      <w:divBdr>
        <w:top w:val="none" w:sz="0" w:space="0" w:color="auto"/>
        <w:left w:val="none" w:sz="0" w:space="0" w:color="auto"/>
        <w:bottom w:val="none" w:sz="0" w:space="0" w:color="auto"/>
        <w:right w:val="none" w:sz="0" w:space="0" w:color="auto"/>
      </w:divBdr>
      <w:divsChild>
        <w:div w:id="1525709224">
          <w:marLeft w:val="0"/>
          <w:marRight w:val="0"/>
          <w:marTop w:val="0"/>
          <w:marBottom w:val="0"/>
          <w:divBdr>
            <w:top w:val="none" w:sz="0" w:space="0" w:color="auto"/>
            <w:left w:val="none" w:sz="0" w:space="0" w:color="auto"/>
            <w:bottom w:val="none" w:sz="0" w:space="0" w:color="auto"/>
            <w:right w:val="none" w:sz="0" w:space="0" w:color="auto"/>
          </w:divBdr>
          <w:divsChild>
            <w:div w:id="847715505">
              <w:marLeft w:val="0"/>
              <w:marRight w:val="0"/>
              <w:marTop w:val="0"/>
              <w:marBottom w:val="0"/>
              <w:divBdr>
                <w:top w:val="none" w:sz="0" w:space="0" w:color="auto"/>
                <w:left w:val="none" w:sz="0" w:space="0" w:color="auto"/>
                <w:bottom w:val="none" w:sz="0" w:space="0" w:color="auto"/>
                <w:right w:val="none" w:sz="0" w:space="0" w:color="auto"/>
              </w:divBdr>
            </w:div>
            <w:div w:id="13143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2272">
      <w:bodyDiv w:val="1"/>
      <w:marLeft w:val="0"/>
      <w:marRight w:val="0"/>
      <w:marTop w:val="0"/>
      <w:marBottom w:val="0"/>
      <w:divBdr>
        <w:top w:val="none" w:sz="0" w:space="0" w:color="auto"/>
        <w:left w:val="none" w:sz="0" w:space="0" w:color="auto"/>
        <w:bottom w:val="none" w:sz="0" w:space="0" w:color="auto"/>
        <w:right w:val="none" w:sz="0" w:space="0" w:color="auto"/>
      </w:divBdr>
      <w:divsChild>
        <w:div w:id="280263741">
          <w:marLeft w:val="0"/>
          <w:marRight w:val="0"/>
          <w:marTop w:val="0"/>
          <w:marBottom w:val="0"/>
          <w:divBdr>
            <w:top w:val="none" w:sz="0" w:space="0" w:color="auto"/>
            <w:left w:val="none" w:sz="0" w:space="0" w:color="auto"/>
            <w:bottom w:val="none" w:sz="0" w:space="0" w:color="auto"/>
            <w:right w:val="none" w:sz="0" w:space="0" w:color="auto"/>
          </w:divBdr>
          <w:divsChild>
            <w:div w:id="968784308">
              <w:marLeft w:val="0"/>
              <w:marRight w:val="0"/>
              <w:marTop w:val="0"/>
              <w:marBottom w:val="0"/>
              <w:divBdr>
                <w:top w:val="none" w:sz="0" w:space="0" w:color="auto"/>
                <w:left w:val="none" w:sz="0" w:space="0" w:color="auto"/>
                <w:bottom w:val="none" w:sz="0" w:space="0" w:color="auto"/>
                <w:right w:val="none" w:sz="0" w:space="0" w:color="auto"/>
              </w:divBdr>
              <w:divsChild>
                <w:div w:id="276910377">
                  <w:marLeft w:val="0"/>
                  <w:marRight w:val="0"/>
                  <w:marTop w:val="0"/>
                  <w:marBottom w:val="0"/>
                  <w:divBdr>
                    <w:top w:val="none" w:sz="0" w:space="0" w:color="auto"/>
                    <w:left w:val="none" w:sz="0" w:space="0" w:color="auto"/>
                    <w:bottom w:val="none" w:sz="0" w:space="0" w:color="auto"/>
                    <w:right w:val="none" w:sz="0" w:space="0" w:color="auto"/>
                  </w:divBdr>
                  <w:divsChild>
                    <w:div w:id="1049913298">
                      <w:marLeft w:val="0"/>
                      <w:marRight w:val="0"/>
                      <w:marTop w:val="0"/>
                      <w:marBottom w:val="0"/>
                      <w:divBdr>
                        <w:top w:val="none" w:sz="0" w:space="0" w:color="auto"/>
                        <w:left w:val="none" w:sz="0" w:space="0" w:color="auto"/>
                        <w:bottom w:val="none" w:sz="0" w:space="0" w:color="auto"/>
                        <w:right w:val="none" w:sz="0" w:space="0" w:color="auto"/>
                      </w:divBdr>
                      <w:divsChild>
                        <w:div w:id="653264851">
                          <w:marLeft w:val="0"/>
                          <w:marRight w:val="0"/>
                          <w:marTop w:val="0"/>
                          <w:marBottom w:val="0"/>
                          <w:divBdr>
                            <w:top w:val="none" w:sz="0" w:space="0" w:color="auto"/>
                            <w:left w:val="none" w:sz="0" w:space="0" w:color="auto"/>
                            <w:bottom w:val="none" w:sz="0" w:space="0" w:color="auto"/>
                            <w:right w:val="none" w:sz="0" w:space="0" w:color="auto"/>
                          </w:divBdr>
                          <w:divsChild>
                            <w:div w:id="13407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352553">
      <w:bodyDiv w:val="1"/>
      <w:marLeft w:val="0"/>
      <w:marRight w:val="0"/>
      <w:marTop w:val="0"/>
      <w:marBottom w:val="0"/>
      <w:divBdr>
        <w:top w:val="none" w:sz="0" w:space="0" w:color="auto"/>
        <w:left w:val="none" w:sz="0" w:space="0" w:color="auto"/>
        <w:bottom w:val="none" w:sz="0" w:space="0" w:color="auto"/>
        <w:right w:val="none" w:sz="0" w:space="0" w:color="auto"/>
      </w:divBdr>
    </w:div>
    <w:div w:id="1946378740">
      <w:bodyDiv w:val="1"/>
      <w:marLeft w:val="0"/>
      <w:marRight w:val="0"/>
      <w:marTop w:val="0"/>
      <w:marBottom w:val="0"/>
      <w:divBdr>
        <w:top w:val="none" w:sz="0" w:space="0" w:color="auto"/>
        <w:left w:val="none" w:sz="0" w:space="0" w:color="auto"/>
        <w:bottom w:val="none" w:sz="0" w:space="0" w:color="auto"/>
        <w:right w:val="none" w:sz="0" w:space="0" w:color="auto"/>
      </w:divBdr>
      <w:divsChild>
        <w:div w:id="173423209">
          <w:marLeft w:val="0"/>
          <w:marRight w:val="0"/>
          <w:marTop w:val="0"/>
          <w:marBottom w:val="0"/>
          <w:divBdr>
            <w:top w:val="none" w:sz="0" w:space="0" w:color="auto"/>
            <w:left w:val="none" w:sz="0" w:space="0" w:color="auto"/>
            <w:bottom w:val="none" w:sz="0" w:space="0" w:color="auto"/>
            <w:right w:val="none" w:sz="0" w:space="0" w:color="auto"/>
          </w:divBdr>
          <w:divsChild>
            <w:div w:id="1114517585">
              <w:marLeft w:val="0"/>
              <w:marRight w:val="0"/>
              <w:marTop w:val="0"/>
              <w:marBottom w:val="0"/>
              <w:divBdr>
                <w:top w:val="none" w:sz="0" w:space="0" w:color="auto"/>
                <w:left w:val="none" w:sz="0" w:space="0" w:color="auto"/>
                <w:bottom w:val="none" w:sz="0" w:space="0" w:color="auto"/>
                <w:right w:val="none" w:sz="0" w:space="0" w:color="auto"/>
              </w:divBdr>
            </w:div>
            <w:div w:id="18316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9634">
      <w:bodyDiv w:val="1"/>
      <w:marLeft w:val="0"/>
      <w:marRight w:val="0"/>
      <w:marTop w:val="0"/>
      <w:marBottom w:val="0"/>
      <w:divBdr>
        <w:top w:val="none" w:sz="0" w:space="0" w:color="auto"/>
        <w:left w:val="none" w:sz="0" w:space="0" w:color="auto"/>
        <w:bottom w:val="none" w:sz="0" w:space="0" w:color="auto"/>
        <w:right w:val="none" w:sz="0" w:space="0" w:color="auto"/>
      </w:divBdr>
      <w:divsChild>
        <w:div w:id="536509999">
          <w:marLeft w:val="0"/>
          <w:marRight w:val="0"/>
          <w:marTop w:val="0"/>
          <w:marBottom w:val="0"/>
          <w:divBdr>
            <w:top w:val="none" w:sz="0" w:space="0" w:color="auto"/>
            <w:left w:val="none" w:sz="0" w:space="0" w:color="auto"/>
            <w:bottom w:val="none" w:sz="0" w:space="0" w:color="auto"/>
            <w:right w:val="none" w:sz="0" w:space="0" w:color="auto"/>
          </w:divBdr>
          <w:divsChild>
            <w:div w:id="632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7321">
      <w:bodyDiv w:val="1"/>
      <w:marLeft w:val="0"/>
      <w:marRight w:val="0"/>
      <w:marTop w:val="0"/>
      <w:marBottom w:val="0"/>
      <w:divBdr>
        <w:top w:val="none" w:sz="0" w:space="0" w:color="auto"/>
        <w:left w:val="none" w:sz="0" w:space="0" w:color="auto"/>
        <w:bottom w:val="none" w:sz="0" w:space="0" w:color="auto"/>
        <w:right w:val="none" w:sz="0" w:space="0" w:color="auto"/>
      </w:divBdr>
      <w:divsChild>
        <w:div w:id="797525587">
          <w:marLeft w:val="0"/>
          <w:marRight w:val="0"/>
          <w:marTop w:val="0"/>
          <w:marBottom w:val="0"/>
          <w:divBdr>
            <w:top w:val="none" w:sz="0" w:space="0" w:color="auto"/>
            <w:left w:val="none" w:sz="0" w:space="0" w:color="auto"/>
            <w:bottom w:val="none" w:sz="0" w:space="0" w:color="auto"/>
            <w:right w:val="none" w:sz="0" w:space="0" w:color="auto"/>
          </w:divBdr>
          <w:divsChild>
            <w:div w:id="65302625">
              <w:marLeft w:val="0"/>
              <w:marRight w:val="0"/>
              <w:marTop w:val="0"/>
              <w:marBottom w:val="0"/>
              <w:divBdr>
                <w:top w:val="none" w:sz="0" w:space="0" w:color="auto"/>
                <w:left w:val="none" w:sz="0" w:space="0" w:color="auto"/>
                <w:bottom w:val="none" w:sz="0" w:space="0" w:color="auto"/>
                <w:right w:val="none" w:sz="0" w:space="0" w:color="auto"/>
              </w:divBdr>
            </w:div>
            <w:div w:id="255986761">
              <w:marLeft w:val="0"/>
              <w:marRight w:val="0"/>
              <w:marTop w:val="0"/>
              <w:marBottom w:val="0"/>
              <w:divBdr>
                <w:top w:val="none" w:sz="0" w:space="0" w:color="auto"/>
                <w:left w:val="none" w:sz="0" w:space="0" w:color="auto"/>
                <w:bottom w:val="none" w:sz="0" w:space="0" w:color="auto"/>
                <w:right w:val="none" w:sz="0" w:space="0" w:color="auto"/>
              </w:divBdr>
            </w:div>
            <w:div w:id="260600880">
              <w:marLeft w:val="0"/>
              <w:marRight w:val="0"/>
              <w:marTop w:val="0"/>
              <w:marBottom w:val="0"/>
              <w:divBdr>
                <w:top w:val="none" w:sz="0" w:space="0" w:color="auto"/>
                <w:left w:val="none" w:sz="0" w:space="0" w:color="auto"/>
                <w:bottom w:val="none" w:sz="0" w:space="0" w:color="auto"/>
                <w:right w:val="none" w:sz="0" w:space="0" w:color="auto"/>
              </w:divBdr>
            </w:div>
            <w:div w:id="369841208">
              <w:marLeft w:val="0"/>
              <w:marRight w:val="0"/>
              <w:marTop w:val="0"/>
              <w:marBottom w:val="0"/>
              <w:divBdr>
                <w:top w:val="none" w:sz="0" w:space="0" w:color="auto"/>
                <w:left w:val="none" w:sz="0" w:space="0" w:color="auto"/>
                <w:bottom w:val="none" w:sz="0" w:space="0" w:color="auto"/>
                <w:right w:val="none" w:sz="0" w:space="0" w:color="auto"/>
              </w:divBdr>
            </w:div>
            <w:div w:id="890533937">
              <w:marLeft w:val="0"/>
              <w:marRight w:val="0"/>
              <w:marTop w:val="0"/>
              <w:marBottom w:val="0"/>
              <w:divBdr>
                <w:top w:val="none" w:sz="0" w:space="0" w:color="auto"/>
                <w:left w:val="none" w:sz="0" w:space="0" w:color="auto"/>
                <w:bottom w:val="none" w:sz="0" w:space="0" w:color="auto"/>
                <w:right w:val="none" w:sz="0" w:space="0" w:color="auto"/>
              </w:divBdr>
            </w:div>
            <w:div w:id="1072586127">
              <w:marLeft w:val="0"/>
              <w:marRight w:val="0"/>
              <w:marTop w:val="0"/>
              <w:marBottom w:val="0"/>
              <w:divBdr>
                <w:top w:val="none" w:sz="0" w:space="0" w:color="auto"/>
                <w:left w:val="none" w:sz="0" w:space="0" w:color="auto"/>
                <w:bottom w:val="none" w:sz="0" w:space="0" w:color="auto"/>
                <w:right w:val="none" w:sz="0" w:space="0" w:color="auto"/>
              </w:divBdr>
            </w:div>
            <w:div w:id="1101610113">
              <w:marLeft w:val="0"/>
              <w:marRight w:val="0"/>
              <w:marTop w:val="0"/>
              <w:marBottom w:val="0"/>
              <w:divBdr>
                <w:top w:val="none" w:sz="0" w:space="0" w:color="auto"/>
                <w:left w:val="none" w:sz="0" w:space="0" w:color="auto"/>
                <w:bottom w:val="none" w:sz="0" w:space="0" w:color="auto"/>
                <w:right w:val="none" w:sz="0" w:space="0" w:color="auto"/>
              </w:divBdr>
            </w:div>
            <w:div w:id="1349911770">
              <w:marLeft w:val="0"/>
              <w:marRight w:val="0"/>
              <w:marTop w:val="0"/>
              <w:marBottom w:val="0"/>
              <w:divBdr>
                <w:top w:val="none" w:sz="0" w:space="0" w:color="auto"/>
                <w:left w:val="none" w:sz="0" w:space="0" w:color="auto"/>
                <w:bottom w:val="none" w:sz="0" w:space="0" w:color="auto"/>
                <w:right w:val="none" w:sz="0" w:space="0" w:color="auto"/>
              </w:divBdr>
            </w:div>
            <w:div w:id="1478262340">
              <w:marLeft w:val="0"/>
              <w:marRight w:val="0"/>
              <w:marTop w:val="0"/>
              <w:marBottom w:val="0"/>
              <w:divBdr>
                <w:top w:val="none" w:sz="0" w:space="0" w:color="auto"/>
                <w:left w:val="none" w:sz="0" w:space="0" w:color="auto"/>
                <w:bottom w:val="none" w:sz="0" w:space="0" w:color="auto"/>
                <w:right w:val="none" w:sz="0" w:space="0" w:color="auto"/>
              </w:divBdr>
            </w:div>
            <w:div w:id="1550145724">
              <w:marLeft w:val="0"/>
              <w:marRight w:val="0"/>
              <w:marTop w:val="0"/>
              <w:marBottom w:val="0"/>
              <w:divBdr>
                <w:top w:val="none" w:sz="0" w:space="0" w:color="auto"/>
                <w:left w:val="none" w:sz="0" w:space="0" w:color="auto"/>
                <w:bottom w:val="none" w:sz="0" w:space="0" w:color="auto"/>
                <w:right w:val="none" w:sz="0" w:space="0" w:color="auto"/>
              </w:divBdr>
            </w:div>
            <w:div w:id="2004157097">
              <w:marLeft w:val="0"/>
              <w:marRight w:val="0"/>
              <w:marTop w:val="0"/>
              <w:marBottom w:val="0"/>
              <w:divBdr>
                <w:top w:val="none" w:sz="0" w:space="0" w:color="auto"/>
                <w:left w:val="none" w:sz="0" w:space="0" w:color="auto"/>
                <w:bottom w:val="none" w:sz="0" w:space="0" w:color="auto"/>
                <w:right w:val="none" w:sz="0" w:space="0" w:color="auto"/>
              </w:divBdr>
            </w:div>
            <w:div w:id="2030371783">
              <w:marLeft w:val="0"/>
              <w:marRight w:val="0"/>
              <w:marTop w:val="0"/>
              <w:marBottom w:val="0"/>
              <w:divBdr>
                <w:top w:val="none" w:sz="0" w:space="0" w:color="auto"/>
                <w:left w:val="none" w:sz="0" w:space="0" w:color="auto"/>
                <w:bottom w:val="none" w:sz="0" w:space="0" w:color="auto"/>
                <w:right w:val="none" w:sz="0" w:space="0" w:color="auto"/>
              </w:divBdr>
            </w:div>
            <w:div w:id="20926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2930">
      <w:bodyDiv w:val="1"/>
      <w:marLeft w:val="0"/>
      <w:marRight w:val="0"/>
      <w:marTop w:val="0"/>
      <w:marBottom w:val="0"/>
      <w:divBdr>
        <w:top w:val="none" w:sz="0" w:space="0" w:color="auto"/>
        <w:left w:val="none" w:sz="0" w:space="0" w:color="auto"/>
        <w:bottom w:val="none" w:sz="0" w:space="0" w:color="auto"/>
        <w:right w:val="none" w:sz="0" w:space="0" w:color="auto"/>
      </w:divBdr>
      <w:divsChild>
        <w:div w:id="1469710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bso.bradford.gov.uk/schools/home.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rley.broadbent\Local%20Settings\Temporary%20Internet%20Files\OLKC6\ESWS%20Let.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10793D-59EB-4640-BEE3-BA38297C1195}" type="doc">
      <dgm:prSet loTypeId="urn:microsoft.com/office/officeart/2005/8/layout/cycle1" loCatId="cycle" qsTypeId="urn:microsoft.com/office/officeart/2005/8/quickstyle/simple1" qsCatId="simple" csTypeId="urn:microsoft.com/office/officeart/2005/8/colors/accent1_2" csCatId="accent1" phldr="1"/>
      <dgm:spPr/>
    </dgm:pt>
    <dgm:pt modelId="{72EAD20E-D9FC-4901-81E3-7B7EFB10AA61}">
      <dgm:prSet/>
      <dgm:spPr/>
      <dgm:t>
        <a:bodyPr/>
        <a:lstStyle/>
        <a:p>
          <a:pPr marR="0" algn="l" rtl="0"/>
          <a:r>
            <a:rPr lang="en-GB" b="1" i="0" u="none" strike="noStrike" baseline="0" smtClean="0">
              <a:solidFill>
                <a:srgbClr val="000000"/>
              </a:solidFill>
              <a:latin typeface="Calibri"/>
            </a:rPr>
            <a:t>Spring Term</a:t>
          </a:r>
        </a:p>
        <a:p>
          <a:pPr marR="0" algn="l" rtl="0"/>
          <a:r>
            <a:rPr lang="en-GB" b="0" i="0" u="none" strike="noStrike" baseline="0" smtClean="0">
              <a:solidFill>
                <a:srgbClr val="000000"/>
              </a:solidFill>
              <a:latin typeface="Calibri"/>
            </a:rPr>
            <a:t>S251 Budget Statement issued</a:t>
          </a:r>
        </a:p>
        <a:p>
          <a:pPr marR="0" algn="l" rtl="0"/>
          <a:r>
            <a:rPr lang="en-GB" b="0" i="0" u="none" strike="noStrike" baseline="0" smtClean="0">
              <a:solidFill>
                <a:srgbClr val="000000"/>
              </a:solidFill>
              <a:latin typeface="Calibri"/>
            </a:rPr>
            <a:t>Q3 Budget Monitor &amp; Bank Reconciliation</a:t>
          </a:r>
        </a:p>
        <a:p>
          <a:pPr marR="0" algn="l" rtl="0"/>
          <a:r>
            <a:rPr lang="en-GB" b="0" i="0" u="none" strike="noStrike" baseline="0" smtClean="0">
              <a:solidFill>
                <a:srgbClr val="000000"/>
              </a:solidFill>
              <a:latin typeface="Calibri"/>
            </a:rPr>
            <a:t>Jan to March Advances payments</a:t>
          </a:r>
        </a:p>
        <a:p>
          <a:pPr marR="0" algn="l" rtl="0"/>
          <a:r>
            <a:rPr lang="en-GB" b="0" i="0" u="none" strike="noStrike" baseline="0" smtClean="0">
              <a:solidFill>
                <a:srgbClr val="000000"/>
              </a:solidFill>
              <a:latin typeface="Calibri"/>
            </a:rPr>
            <a:t>Preparation for Year End</a:t>
          </a:r>
        </a:p>
        <a:p>
          <a:pPr marR="0" algn="l" rtl="0"/>
          <a:r>
            <a:rPr lang="en-GB" b="0" i="0" u="none" strike="noStrike" baseline="0" smtClean="0">
              <a:solidFill>
                <a:srgbClr val="000000"/>
              </a:solidFill>
              <a:latin typeface="Calibri"/>
            </a:rPr>
            <a:t>Deadline for SFVS</a:t>
          </a:r>
        </a:p>
        <a:p>
          <a:pPr marR="0" algn="l" rtl="0"/>
          <a:r>
            <a:rPr lang="en-GB" b="0" i="0" u="none" strike="noStrike" baseline="0" smtClean="0">
              <a:solidFill>
                <a:srgbClr val="000000"/>
              </a:solidFill>
              <a:latin typeface="Calibri"/>
            </a:rPr>
            <a:t>Deadline for Intended Use of </a:t>
          </a:r>
        </a:p>
        <a:p>
          <a:pPr marR="0" algn="l" rtl="0"/>
          <a:r>
            <a:rPr lang="en-GB" b="0" i="0" u="none" strike="noStrike" baseline="0" smtClean="0">
              <a:solidFill>
                <a:srgbClr val="000000"/>
              </a:solidFill>
              <a:latin typeface="Calibri"/>
            </a:rPr>
            <a:t>Balances</a:t>
          </a:r>
        </a:p>
        <a:p>
          <a:pPr marR="0" algn="l" rtl="0"/>
          <a:r>
            <a:rPr lang="en-GB" b="0" i="0" u="none" strike="noStrike" baseline="0" smtClean="0">
              <a:solidFill>
                <a:srgbClr val="000000"/>
              </a:solidFill>
              <a:latin typeface="Calibri"/>
            </a:rPr>
            <a:t>Termly Census – Free School Meals</a:t>
          </a:r>
        </a:p>
        <a:p>
          <a:pPr marR="0" algn="l" rtl="0"/>
          <a:r>
            <a:rPr lang="en-GB" b="0" i="0" u="none" strike="noStrike" baseline="0" smtClean="0">
              <a:solidFill>
                <a:srgbClr val="000000"/>
              </a:solidFill>
              <a:latin typeface="Calibri"/>
            </a:rPr>
            <a:t>Q4 Scorecard published</a:t>
          </a:r>
        </a:p>
        <a:p>
          <a:pPr marR="0" algn="l" rtl="0"/>
          <a:r>
            <a:rPr lang="en-GB" b="0" i="0" u="none" strike="noStrike" baseline="0" smtClean="0">
              <a:solidFill>
                <a:srgbClr val="000000"/>
              </a:solidFill>
              <a:latin typeface="Calibri"/>
            </a:rPr>
            <a:t> </a:t>
          </a:r>
          <a:endParaRPr lang="en-GB" smtClean="0"/>
        </a:p>
      </dgm:t>
    </dgm:pt>
    <dgm:pt modelId="{B3583DF9-0EA9-4102-A97C-BD10D350FD1A}" type="parTrans" cxnId="{DEF7F5E3-9397-494F-AEB2-2D610F14018B}">
      <dgm:prSet/>
      <dgm:spPr/>
      <dgm:t>
        <a:bodyPr/>
        <a:lstStyle/>
        <a:p>
          <a:endParaRPr lang="en-GB"/>
        </a:p>
      </dgm:t>
    </dgm:pt>
    <dgm:pt modelId="{59A1BDDB-9E28-4417-A18D-C97BD92EC21E}" type="sibTrans" cxnId="{DEF7F5E3-9397-494F-AEB2-2D610F14018B}">
      <dgm:prSet/>
      <dgm:spPr/>
      <dgm:t>
        <a:bodyPr/>
        <a:lstStyle/>
        <a:p>
          <a:endParaRPr lang="en-GB"/>
        </a:p>
      </dgm:t>
    </dgm:pt>
    <dgm:pt modelId="{7482B250-86D5-46BA-9C28-FAB9D6678D97}">
      <dgm:prSet/>
      <dgm:spPr/>
      <dgm:t>
        <a:bodyPr/>
        <a:lstStyle/>
        <a:p>
          <a:pPr marR="0" algn="l" rtl="0"/>
          <a:r>
            <a:rPr lang="en-GB" b="1" i="0" u="none" strike="noStrike" baseline="0" smtClean="0">
              <a:solidFill>
                <a:srgbClr val="000000"/>
              </a:solidFill>
              <a:latin typeface="Calibri"/>
            </a:rPr>
            <a:t>Summer Term</a:t>
          </a:r>
        </a:p>
        <a:p>
          <a:pPr marR="0" algn="l" rtl="0"/>
          <a:r>
            <a:rPr lang="en-GB" b="0" i="0" u="none" strike="noStrike" baseline="0" smtClean="0">
              <a:solidFill>
                <a:srgbClr val="000000"/>
              </a:solidFill>
              <a:latin typeface="Calibri"/>
            </a:rPr>
            <a:t>Completion of Year End</a:t>
          </a:r>
        </a:p>
        <a:p>
          <a:pPr marR="0" algn="l" rtl="0"/>
          <a:r>
            <a:rPr lang="en-GB" b="0" i="0" u="none" strike="noStrike" baseline="0" smtClean="0">
              <a:solidFill>
                <a:srgbClr val="000000"/>
              </a:solidFill>
              <a:latin typeface="Calibri"/>
            </a:rPr>
            <a:t>Final Balances confirmed</a:t>
          </a:r>
        </a:p>
        <a:p>
          <a:pPr marR="0" algn="l" rtl="0"/>
          <a:r>
            <a:rPr lang="en-GB" b="0" i="0" u="none" strike="noStrike" baseline="0" smtClean="0">
              <a:solidFill>
                <a:srgbClr val="000000"/>
              </a:solidFill>
              <a:latin typeface="Calibri"/>
            </a:rPr>
            <a:t>Submission of 3 Yr Governor Approved Budget</a:t>
          </a:r>
        </a:p>
        <a:p>
          <a:pPr marR="0" algn="l" rtl="0"/>
          <a:r>
            <a:rPr lang="en-GB" b="0" i="0" u="none" strike="noStrike" baseline="0" smtClean="0">
              <a:solidFill>
                <a:srgbClr val="000000"/>
              </a:solidFill>
              <a:latin typeface="Calibri"/>
            </a:rPr>
            <a:t>Classification for next academic year issued</a:t>
          </a:r>
        </a:p>
        <a:p>
          <a:pPr marR="0" algn="l" rtl="0"/>
          <a:r>
            <a:rPr lang="en-GB" b="0" i="0" u="none" strike="noStrike" baseline="0" smtClean="0">
              <a:solidFill>
                <a:srgbClr val="000000"/>
              </a:solidFill>
              <a:latin typeface="Calibri"/>
            </a:rPr>
            <a:t>Q1 Scorecard published</a:t>
          </a:r>
        </a:p>
        <a:p>
          <a:pPr marR="0" algn="l" rtl="0"/>
          <a:r>
            <a:rPr lang="en-GB" b="0" i="0" u="none" strike="noStrike" baseline="0" smtClean="0">
              <a:solidFill>
                <a:srgbClr val="000000"/>
              </a:solidFill>
              <a:latin typeface="Calibri"/>
            </a:rPr>
            <a:t>IUB threshold confirmed with HT &amp; CoG</a:t>
          </a:r>
        </a:p>
        <a:p>
          <a:pPr marR="0" algn="l" rtl="0"/>
          <a:r>
            <a:rPr lang="en-GB" b="0" i="0" u="none" strike="noStrike" baseline="0" smtClean="0">
              <a:solidFill>
                <a:srgbClr val="000000"/>
              </a:solidFill>
              <a:latin typeface="Calibri"/>
            </a:rPr>
            <a:t>Annual CFR submitted to DFE</a:t>
          </a:r>
        </a:p>
        <a:p>
          <a:pPr marR="0" algn="l" rtl="0"/>
          <a:r>
            <a:rPr lang="en-GB" b="0" i="0" u="none" strike="noStrike" baseline="0" smtClean="0">
              <a:solidFill>
                <a:srgbClr val="000000"/>
              </a:solidFill>
              <a:latin typeface="Calibri"/>
            </a:rPr>
            <a:t>Q1 Budget Monitor &amp; Bank Reconciliation</a:t>
          </a:r>
        </a:p>
        <a:p>
          <a:pPr marR="0" algn="l" rtl="0"/>
          <a:r>
            <a:rPr lang="en-GB" b="0" i="0" u="none" strike="noStrike" baseline="0" smtClean="0">
              <a:solidFill>
                <a:srgbClr val="000000"/>
              </a:solidFill>
              <a:latin typeface="Calibri"/>
            </a:rPr>
            <a:t>Local Benchmarking Data issued </a:t>
          </a:r>
        </a:p>
        <a:p>
          <a:pPr marR="0" algn="l" rtl="0"/>
          <a:r>
            <a:rPr lang="en-GB" b="0" i="0" u="none" strike="noStrike" baseline="0" smtClean="0">
              <a:solidFill>
                <a:srgbClr val="000000"/>
              </a:solidFill>
              <a:latin typeface="Calibri"/>
            </a:rPr>
            <a:t>April to August Advances payments</a:t>
          </a:r>
        </a:p>
        <a:p>
          <a:pPr marR="0" algn="l" rtl="0"/>
          <a:r>
            <a:rPr lang="en-GB" b="0" i="0" u="none" strike="noStrike" baseline="0" smtClean="0">
              <a:solidFill>
                <a:srgbClr val="000000"/>
              </a:solidFill>
              <a:latin typeface="Calibri"/>
            </a:rPr>
            <a:t>Termly Census </a:t>
          </a:r>
        </a:p>
      </dgm:t>
    </dgm:pt>
    <dgm:pt modelId="{E0B624A1-7A79-4E8E-A89A-636642B0B60F}" type="parTrans" cxnId="{E1F2AE58-CFE0-40AD-97AE-775D6E5E15C6}">
      <dgm:prSet/>
      <dgm:spPr/>
      <dgm:t>
        <a:bodyPr/>
        <a:lstStyle/>
        <a:p>
          <a:endParaRPr lang="en-GB"/>
        </a:p>
      </dgm:t>
    </dgm:pt>
    <dgm:pt modelId="{1D07781C-E733-40BE-97AF-468FABDD8A57}" type="sibTrans" cxnId="{E1F2AE58-CFE0-40AD-97AE-775D6E5E15C6}">
      <dgm:prSet/>
      <dgm:spPr/>
      <dgm:t>
        <a:bodyPr/>
        <a:lstStyle/>
        <a:p>
          <a:endParaRPr lang="en-GB"/>
        </a:p>
      </dgm:t>
    </dgm:pt>
    <dgm:pt modelId="{E4866AB1-9093-42E3-B1C3-AEB685E2A57B}">
      <dgm:prSet/>
      <dgm:spPr/>
      <dgm:t>
        <a:bodyPr/>
        <a:lstStyle/>
        <a:p>
          <a:pPr marR="0" algn="l" rtl="0"/>
          <a:r>
            <a:rPr lang="en-GB" b="1" i="0" u="none" strike="noStrike" baseline="0" smtClean="0">
              <a:solidFill>
                <a:srgbClr val="000000"/>
              </a:solidFill>
              <a:latin typeface="Calibri"/>
            </a:rPr>
            <a:t>Autumn Term</a:t>
          </a:r>
        </a:p>
        <a:p>
          <a:pPr marR="0" algn="l" rtl="0"/>
          <a:r>
            <a:rPr lang="en-GB" b="0" i="0" u="none" strike="noStrike" baseline="0" smtClean="0">
              <a:solidFill>
                <a:srgbClr val="000000"/>
              </a:solidFill>
              <a:latin typeface="Calibri"/>
            </a:rPr>
            <a:t>Termly Census – Pupil numbers</a:t>
          </a:r>
        </a:p>
        <a:p>
          <a:pPr marR="0" algn="l" rtl="0"/>
          <a:r>
            <a:rPr lang="en-GB" b="0" i="0" u="none" strike="noStrike" baseline="0" smtClean="0">
              <a:solidFill>
                <a:srgbClr val="000000"/>
              </a:solidFill>
              <a:latin typeface="Calibri"/>
            </a:rPr>
            <a:t>Q2 Budget Monitor &amp; Bank Reconciliation </a:t>
          </a:r>
        </a:p>
        <a:p>
          <a:pPr marR="0" algn="l" rtl="0"/>
          <a:r>
            <a:rPr lang="en-GB" b="0" i="0" u="none" strike="noStrike" baseline="0" smtClean="0">
              <a:solidFill>
                <a:srgbClr val="000000"/>
              </a:solidFill>
              <a:latin typeface="Calibri"/>
            </a:rPr>
            <a:t>Sept to December Advances payments</a:t>
          </a:r>
        </a:p>
        <a:p>
          <a:pPr marR="0" algn="l" rtl="0"/>
          <a:r>
            <a:rPr lang="en-GB" b="0" i="0" u="none" strike="noStrike" baseline="0" smtClean="0">
              <a:solidFill>
                <a:srgbClr val="000000"/>
              </a:solidFill>
              <a:latin typeface="Calibri"/>
            </a:rPr>
            <a:t>DFE Outturn Statement issued</a:t>
          </a:r>
        </a:p>
        <a:p>
          <a:pPr marR="0" algn="l" rtl="0"/>
          <a:r>
            <a:rPr lang="en-GB" b="0" i="0" u="none" strike="noStrike" baseline="0" smtClean="0">
              <a:solidFill>
                <a:srgbClr val="000000"/>
              </a:solidFill>
              <a:latin typeface="Calibri"/>
            </a:rPr>
            <a:t>Reminder letter re IUB threshold to HT &amp; CoG</a:t>
          </a:r>
        </a:p>
        <a:p>
          <a:pPr marR="0" algn="l" rtl="0"/>
          <a:r>
            <a:rPr lang="en-GB" b="0" i="0" u="none" strike="noStrike" baseline="0" smtClean="0">
              <a:solidFill>
                <a:srgbClr val="000000"/>
              </a:solidFill>
              <a:latin typeface="Calibri"/>
            </a:rPr>
            <a:t>Q2 &amp; Q3 Scorecards published</a:t>
          </a:r>
        </a:p>
        <a:p>
          <a:pPr marR="0" algn="l" rtl="0"/>
          <a:endParaRPr lang="en-GB" b="0" i="0" u="none" strike="noStrike" baseline="0" smtClean="0">
            <a:solidFill>
              <a:srgbClr val="000000"/>
            </a:solidFill>
            <a:latin typeface="Calibri"/>
          </a:endParaRPr>
        </a:p>
      </dgm:t>
    </dgm:pt>
    <dgm:pt modelId="{6E5CF602-DA29-4F6B-B0D4-14B66C0ED64D}" type="parTrans" cxnId="{61959BA2-EEC4-47DD-93EF-382C9935E4B2}">
      <dgm:prSet/>
      <dgm:spPr/>
      <dgm:t>
        <a:bodyPr/>
        <a:lstStyle/>
        <a:p>
          <a:endParaRPr lang="en-GB"/>
        </a:p>
      </dgm:t>
    </dgm:pt>
    <dgm:pt modelId="{2872EB77-1A45-4DCD-8202-241180118951}" type="sibTrans" cxnId="{61959BA2-EEC4-47DD-93EF-382C9935E4B2}">
      <dgm:prSet/>
      <dgm:spPr/>
      <dgm:t>
        <a:bodyPr/>
        <a:lstStyle/>
        <a:p>
          <a:endParaRPr lang="en-GB"/>
        </a:p>
      </dgm:t>
    </dgm:pt>
    <dgm:pt modelId="{F30EDBEC-6A9C-4971-A1CC-146E515AAE48}" type="pres">
      <dgm:prSet presAssocID="{8E10793D-59EB-4640-BEE3-BA38297C1195}" presName="cycle" presStyleCnt="0">
        <dgm:presLayoutVars>
          <dgm:dir/>
          <dgm:resizeHandles val="exact"/>
        </dgm:presLayoutVars>
      </dgm:prSet>
      <dgm:spPr/>
    </dgm:pt>
    <dgm:pt modelId="{D6CAF290-240E-4771-A1E8-1DF2DE374B6D}" type="pres">
      <dgm:prSet presAssocID="{72EAD20E-D9FC-4901-81E3-7B7EFB10AA61}" presName="dummy" presStyleCnt="0"/>
      <dgm:spPr/>
    </dgm:pt>
    <dgm:pt modelId="{AD2AC1CB-454C-4D03-A5A4-D462E6006A6B}" type="pres">
      <dgm:prSet presAssocID="{72EAD20E-D9FC-4901-81E3-7B7EFB10AA61}" presName="node" presStyleLbl="revTx" presStyleIdx="0" presStyleCnt="3">
        <dgm:presLayoutVars>
          <dgm:bulletEnabled val="1"/>
        </dgm:presLayoutVars>
      </dgm:prSet>
      <dgm:spPr/>
      <dgm:t>
        <a:bodyPr/>
        <a:lstStyle/>
        <a:p>
          <a:endParaRPr lang="en-GB"/>
        </a:p>
      </dgm:t>
    </dgm:pt>
    <dgm:pt modelId="{B96AC962-1AAA-4DE5-A852-226CE184CC9D}" type="pres">
      <dgm:prSet presAssocID="{59A1BDDB-9E28-4417-A18D-C97BD92EC21E}" presName="sibTrans" presStyleLbl="node1" presStyleIdx="0" presStyleCnt="3" custLinFactNeighborX="-892" custLinFactNeighborY="-5130"/>
      <dgm:spPr/>
      <dgm:t>
        <a:bodyPr/>
        <a:lstStyle/>
        <a:p>
          <a:endParaRPr lang="en-GB"/>
        </a:p>
      </dgm:t>
    </dgm:pt>
    <dgm:pt modelId="{459720D9-F327-4DE1-9360-94C47675AA6A}" type="pres">
      <dgm:prSet presAssocID="{7482B250-86D5-46BA-9C28-FAB9D6678D97}" presName="dummy" presStyleCnt="0"/>
      <dgm:spPr/>
    </dgm:pt>
    <dgm:pt modelId="{680B90A0-C7AA-48EE-B49B-1E764D5420C7}" type="pres">
      <dgm:prSet presAssocID="{7482B250-86D5-46BA-9C28-FAB9D6678D97}" presName="node" presStyleLbl="revTx" presStyleIdx="1" presStyleCnt="3">
        <dgm:presLayoutVars>
          <dgm:bulletEnabled val="1"/>
        </dgm:presLayoutVars>
      </dgm:prSet>
      <dgm:spPr/>
      <dgm:t>
        <a:bodyPr/>
        <a:lstStyle/>
        <a:p>
          <a:endParaRPr lang="en-GB"/>
        </a:p>
      </dgm:t>
    </dgm:pt>
    <dgm:pt modelId="{3BB53A70-8C89-47BB-A166-0FF53B02601B}" type="pres">
      <dgm:prSet presAssocID="{1D07781C-E733-40BE-97AF-468FABDD8A57}" presName="sibTrans" presStyleLbl="node1" presStyleIdx="1" presStyleCnt="3" custScaleX="135132" custLinFactNeighborX="-669" custLinFactNeighborY="-9368"/>
      <dgm:spPr/>
      <dgm:t>
        <a:bodyPr/>
        <a:lstStyle/>
        <a:p>
          <a:endParaRPr lang="en-GB"/>
        </a:p>
      </dgm:t>
    </dgm:pt>
    <dgm:pt modelId="{DCF3C55C-2599-4090-BDEB-100B9DF27828}" type="pres">
      <dgm:prSet presAssocID="{E4866AB1-9093-42E3-B1C3-AEB685E2A57B}" presName="dummy" presStyleCnt="0"/>
      <dgm:spPr/>
    </dgm:pt>
    <dgm:pt modelId="{5481BBCF-8362-4D2C-9F2E-E918F581143D}" type="pres">
      <dgm:prSet presAssocID="{E4866AB1-9093-42E3-B1C3-AEB685E2A57B}" presName="node" presStyleLbl="revTx" presStyleIdx="2" presStyleCnt="3">
        <dgm:presLayoutVars>
          <dgm:bulletEnabled val="1"/>
        </dgm:presLayoutVars>
      </dgm:prSet>
      <dgm:spPr/>
      <dgm:t>
        <a:bodyPr/>
        <a:lstStyle/>
        <a:p>
          <a:endParaRPr lang="en-GB"/>
        </a:p>
      </dgm:t>
    </dgm:pt>
    <dgm:pt modelId="{0699A7CC-D506-4D1E-A8F1-B2530F017178}" type="pres">
      <dgm:prSet presAssocID="{2872EB77-1A45-4DCD-8202-241180118951}" presName="sibTrans" presStyleLbl="node1" presStyleIdx="2" presStyleCnt="3"/>
      <dgm:spPr/>
      <dgm:t>
        <a:bodyPr/>
        <a:lstStyle/>
        <a:p>
          <a:endParaRPr lang="en-GB"/>
        </a:p>
      </dgm:t>
    </dgm:pt>
  </dgm:ptLst>
  <dgm:cxnLst>
    <dgm:cxn modelId="{61959BA2-EEC4-47DD-93EF-382C9935E4B2}" srcId="{8E10793D-59EB-4640-BEE3-BA38297C1195}" destId="{E4866AB1-9093-42E3-B1C3-AEB685E2A57B}" srcOrd="2" destOrd="0" parTransId="{6E5CF602-DA29-4F6B-B0D4-14B66C0ED64D}" sibTransId="{2872EB77-1A45-4DCD-8202-241180118951}"/>
    <dgm:cxn modelId="{8B08C45E-E4F2-460A-9FC5-6BBE12F8EA9A}" type="presOf" srcId="{72EAD20E-D9FC-4901-81E3-7B7EFB10AA61}" destId="{AD2AC1CB-454C-4D03-A5A4-D462E6006A6B}" srcOrd="0" destOrd="0" presId="urn:microsoft.com/office/officeart/2005/8/layout/cycle1"/>
    <dgm:cxn modelId="{ED40C54F-2472-4390-9177-AFC3F8308EA6}" type="presOf" srcId="{8E10793D-59EB-4640-BEE3-BA38297C1195}" destId="{F30EDBEC-6A9C-4971-A1CC-146E515AAE48}" srcOrd="0" destOrd="0" presId="urn:microsoft.com/office/officeart/2005/8/layout/cycle1"/>
    <dgm:cxn modelId="{606CA305-C580-4FD4-AEB7-FFD1E5C499EC}" type="presOf" srcId="{59A1BDDB-9E28-4417-A18D-C97BD92EC21E}" destId="{B96AC962-1AAA-4DE5-A852-226CE184CC9D}" srcOrd="0" destOrd="0" presId="urn:microsoft.com/office/officeart/2005/8/layout/cycle1"/>
    <dgm:cxn modelId="{CBEA83D4-0DC5-4A5C-8F96-94EE13E02BF6}" type="presOf" srcId="{E4866AB1-9093-42E3-B1C3-AEB685E2A57B}" destId="{5481BBCF-8362-4D2C-9F2E-E918F581143D}" srcOrd="0" destOrd="0" presId="urn:microsoft.com/office/officeart/2005/8/layout/cycle1"/>
    <dgm:cxn modelId="{9C89A5D3-D0DD-42D7-BB61-2D160BC0091D}" type="presOf" srcId="{2872EB77-1A45-4DCD-8202-241180118951}" destId="{0699A7CC-D506-4D1E-A8F1-B2530F017178}" srcOrd="0" destOrd="0" presId="urn:microsoft.com/office/officeart/2005/8/layout/cycle1"/>
    <dgm:cxn modelId="{FD055D17-62D2-46CF-AA53-3B5A5AC2DF95}" type="presOf" srcId="{7482B250-86D5-46BA-9C28-FAB9D6678D97}" destId="{680B90A0-C7AA-48EE-B49B-1E764D5420C7}" srcOrd="0" destOrd="0" presId="urn:microsoft.com/office/officeart/2005/8/layout/cycle1"/>
    <dgm:cxn modelId="{DEF7F5E3-9397-494F-AEB2-2D610F14018B}" srcId="{8E10793D-59EB-4640-BEE3-BA38297C1195}" destId="{72EAD20E-D9FC-4901-81E3-7B7EFB10AA61}" srcOrd="0" destOrd="0" parTransId="{B3583DF9-0EA9-4102-A97C-BD10D350FD1A}" sibTransId="{59A1BDDB-9E28-4417-A18D-C97BD92EC21E}"/>
    <dgm:cxn modelId="{E1F2AE58-CFE0-40AD-97AE-775D6E5E15C6}" srcId="{8E10793D-59EB-4640-BEE3-BA38297C1195}" destId="{7482B250-86D5-46BA-9C28-FAB9D6678D97}" srcOrd="1" destOrd="0" parTransId="{E0B624A1-7A79-4E8E-A89A-636642B0B60F}" sibTransId="{1D07781C-E733-40BE-97AF-468FABDD8A57}"/>
    <dgm:cxn modelId="{70462C19-99BA-484E-8188-2E714AC2A59F}" type="presOf" srcId="{1D07781C-E733-40BE-97AF-468FABDD8A57}" destId="{3BB53A70-8C89-47BB-A166-0FF53B02601B}" srcOrd="0" destOrd="0" presId="urn:microsoft.com/office/officeart/2005/8/layout/cycle1"/>
    <dgm:cxn modelId="{DD2CBA1E-8BA8-446D-8780-EA882184CB9B}" type="presParOf" srcId="{F30EDBEC-6A9C-4971-A1CC-146E515AAE48}" destId="{D6CAF290-240E-4771-A1E8-1DF2DE374B6D}" srcOrd="0" destOrd="0" presId="urn:microsoft.com/office/officeart/2005/8/layout/cycle1"/>
    <dgm:cxn modelId="{6DCC17EC-BB30-4FC0-8B20-1BE6F08A9E8E}" type="presParOf" srcId="{F30EDBEC-6A9C-4971-A1CC-146E515AAE48}" destId="{AD2AC1CB-454C-4D03-A5A4-D462E6006A6B}" srcOrd="1" destOrd="0" presId="urn:microsoft.com/office/officeart/2005/8/layout/cycle1"/>
    <dgm:cxn modelId="{4BFB0FD2-CEA2-423B-BDB2-58B0F6354CB2}" type="presParOf" srcId="{F30EDBEC-6A9C-4971-A1CC-146E515AAE48}" destId="{B96AC962-1AAA-4DE5-A852-226CE184CC9D}" srcOrd="2" destOrd="0" presId="urn:microsoft.com/office/officeart/2005/8/layout/cycle1"/>
    <dgm:cxn modelId="{2EEBF01F-8C75-469E-A4D2-CF6AF5407C42}" type="presParOf" srcId="{F30EDBEC-6A9C-4971-A1CC-146E515AAE48}" destId="{459720D9-F327-4DE1-9360-94C47675AA6A}" srcOrd="3" destOrd="0" presId="urn:microsoft.com/office/officeart/2005/8/layout/cycle1"/>
    <dgm:cxn modelId="{BF9C5053-B499-4C4A-9D3D-AF2893F7FB77}" type="presParOf" srcId="{F30EDBEC-6A9C-4971-A1CC-146E515AAE48}" destId="{680B90A0-C7AA-48EE-B49B-1E764D5420C7}" srcOrd="4" destOrd="0" presId="urn:microsoft.com/office/officeart/2005/8/layout/cycle1"/>
    <dgm:cxn modelId="{83BA054C-85E8-450E-90CB-EEDDA163D0ED}" type="presParOf" srcId="{F30EDBEC-6A9C-4971-A1CC-146E515AAE48}" destId="{3BB53A70-8C89-47BB-A166-0FF53B02601B}" srcOrd="5" destOrd="0" presId="urn:microsoft.com/office/officeart/2005/8/layout/cycle1"/>
    <dgm:cxn modelId="{72DBC803-8022-499C-ACDD-FE6E50002DFE}" type="presParOf" srcId="{F30EDBEC-6A9C-4971-A1CC-146E515AAE48}" destId="{DCF3C55C-2599-4090-BDEB-100B9DF27828}" srcOrd="6" destOrd="0" presId="urn:microsoft.com/office/officeart/2005/8/layout/cycle1"/>
    <dgm:cxn modelId="{7F57B27F-21C3-4924-9DCE-D57CCA47E12C}" type="presParOf" srcId="{F30EDBEC-6A9C-4971-A1CC-146E515AAE48}" destId="{5481BBCF-8362-4D2C-9F2E-E918F581143D}" srcOrd="7" destOrd="0" presId="urn:microsoft.com/office/officeart/2005/8/layout/cycle1"/>
    <dgm:cxn modelId="{FE2C677A-EF0F-46CE-9378-0E5A01E0F9E2}" type="presParOf" srcId="{F30EDBEC-6A9C-4971-A1CC-146E515AAE48}" destId="{0699A7CC-D506-4D1E-A8F1-B2530F017178}" srcOrd="8" destOrd="0" presId="urn:microsoft.com/office/officeart/2005/8/layout/cycle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AC1CB-454C-4D03-A5A4-D462E6006A6B}">
      <dsp:nvSpPr>
        <dsp:cNvPr id="0" name=""/>
        <dsp:cNvSpPr/>
      </dsp:nvSpPr>
      <dsp:spPr>
        <a:xfrm>
          <a:off x="3542290" y="295368"/>
          <a:ext cx="1508559" cy="15085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R="0" lvl="0" algn="l" defTabSz="266700" rtl="0">
            <a:lnSpc>
              <a:spcPct val="90000"/>
            </a:lnSpc>
            <a:spcBef>
              <a:spcPct val="0"/>
            </a:spcBef>
            <a:spcAft>
              <a:spcPct val="35000"/>
            </a:spcAft>
          </a:pPr>
          <a:r>
            <a:rPr lang="en-GB" sz="600" b="1" i="0" u="none" strike="noStrike" kern="1200" baseline="0" smtClean="0">
              <a:solidFill>
                <a:srgbClr val="000000"/>
              </a:solidFill>
              <a:latin typeface="Calibri"/>
            </a:rPr>
            <a:t>Spring Term</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S251 Budget Statement issued</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Q3 Budget Monitor &amp; Bank Reconciliation</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Jan to March Advances payments</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Preparation for Year End</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Deadline for SFVS</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Deadline for Intended Use of </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Balances</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Termly Census – Free School Meals</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Q4 Scorecard published</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 </a:t>
          </a:r>
          <a:endParaRPr lang="en-GB" sz="600" kern="1200" smtClean="0"/>
        </a:p>
      </dsp:txBody>
      <dsp:txXfrm>
        <a:off x="3542290" y="295368"/>
        <a:ext cx="1508559" cy="1508559"/>
      </dsp:txXfrm>
    </dsp:sp>
    <dsp:sp modelId="{B96AC962-1AAA-4DE5-A852-226CE184CC9D}">
      <dsp:nvSpPr>
        <dsp:cNvPr id="0" name=""/>
        <dsp:cNvSpPr/>
      </dsp:nvSpPr>
      <dsp:spPr>
        <a:xfrm>
          <a:off x="1214747" y="-183770"/>
          <a:ext cx="3564808" cy="3564808"/>
        </a:xfrm>
        <a:prstGeom prst="circularArrow">
          <a:avLst>
            <a:gd name="adj1" fmla="val 8252"/>
            <a:gd name="adj2" fmla="val 576421"/>
            <a:gd name="adj3" fmla="val 2962463"/>
            <a:gd name="adj4" fmla="val 52656"/>
            <a:gd name="adj5" fmla="val 962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0B90A0-C7AA-48EE-B49B-1E764D5420C7}">
      <dsp:nvSpPr>
        <dsp:cNvPr id="0" name=""/>
        <dsp:cNvSpPr/>
      </dsp:nvSpPr>
      <dsp:spPr>
        <a:xfrm>
          <a:off x="2274670" y="2490950"/>
          <a:ext cx="1508559" cy="15085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R="0" lvl="0" algn="l" defTabSz="266700" rtl="0">
            <a:lnSpc>
              <a:spcPct val="90000"/>
            </a:lnSpc>
            <a:spcBef>
              <a:spcPct val="0"/>
            </a:spcBef>
            <a:spcAft>
              <a:spcPct val="35000"/>
            </a:spcAft>
          </a:pPr>
          <a:r>
            <a:rPr lang="en-GB" sz="600" b="1" i="0" u="none" strike="noStrike" kern="1200" baseline="0" smtClean="0">
              <a:solidFill>
                <a:srgbClr val="000000"/>
              </a:solidFill>
              <a:latin typeface="Calibri"/>
            </a:rPr>
            <a:t>Summer Term</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Completion of Year End</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Final Balances confirmed</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Submission of 3 Yr Governor Approved Budget</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Classification for next academic year issued</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Q1 Scorecard published</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IUB threshold confirmed with HT &amp; CoG</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Annual CFR submitted to DFE</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Q1 Budget Monitor &amp; Bank Reconciliation</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Local Benchmarking Data issued </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April to August Advances payments</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Termly Census </a:t>
          </a:r>
        </a:p>
      </dsp:txBody>
      <dsp:txXfrm>
        <a:off x="2274670" y="2490950"/>
        <a:ext cx="1508559" cy="1508559"/>
      </dsp:txXfrm>
    </dsp:sp>
    <dsp:sp modelId="{3BB53A70-8C89-47BB-A166-0FF53B02601B}">
      <dsp:nvSpPr>
        <dsp:cNvPr id="0" name=""/>
        <dsp:cNvSpPr/>
      </dsp:nvSpPr>
      <dsp:spPr>
        <a:xfrm>
          <a:off x="596502" y="-334846"/>
          <a:ext cx="4817197" cy="3564808"/>
        </a:xfrm>
        <a:prstGeom prst="circularArrow">
          <a:avLst>
            <a:gd name="adj1" fmla="val 8252"/>
            <a:gd name="adj2" fmla="val 576421"/>
            <a:gd name="adj3" fmla="val 10170923"/>
            <a:gd name="adj4" fmla="val 7261116"/>
            <a:gd name="adj5" fmla="val 962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81BBCF-8362-4D2C-9F2E-E918F581143D}">
      <dsp:nvSpPr>
        <dsp:cNvPr id="0" name=""/>
        <dsp:cNvSpPr/>
      </dsp:nvSpPr>
      <dsp:spPr>
        <a:xfrm>
          <a:off x="1007050" y="295368"/>
          <a:ext cx="1508559" cy="15085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R="0" lvl="0" algn="l" defTabSz="266700" rtl="0">
            <a:lnSpc>
              <a:spcPct val="90000"/>
            </a:lnSpc>
            <a:spcBef>
              <a:spcPct val="0"/>
            </a:spcBef>
            <a:spcAft>
              <a:spcPct val="35000"/>
            </a:spcAft>
          </a:pPr>
          <a:r>
            <a:rPr lang="en-GB" sz="600" b="1" i="0" u="none" strike="noStrike" kern="1200" baseline="0" smtClean="0">
              <a:solidFill>
                <a:srgbClr val="000000"/>
              </a:solidFill>
              <a:latin typeface="Calibri"/>
            </a:rPr>
            <a:t>Autumn Term</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Termly Census – Pupil numbers</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Q2 Budget Monitor &amp; Bank Reconciliation </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Sept to December Advances payments</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DFE Outturn Statement issued</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Reminder letter re IUB threshold to HT &amp; CoG</a:t>
          </a:r>
        </a:p>
        <a:p>
          <a:pPr marR="0" lvl="0" algn="l" defTabSz="266700" rtl="0">
            <a:lnSpc>
              <a:spcPct val="90000"/>
            </a:lnSpc>
            <a:spcBef>
              <a:spcPct val="0"/>
            </a:spcBef>
            <a:spcAft>
              <a:spcPct val="35000"/>
            </a:spcAft>
          </a:pPr>
          <a:r>
            <a:rPr lang="en-GB" sz="600" b="0" i="0" u="none" strike="noStrike" kern="1200" baseline="0" smtClean="0">
              <a:solidFill>
                <a:srgbClr val="000000"/>
              </a:solidFill>
              <a:latin typeface="Calibri"/>
            </a:rPr>
            <a:t>Q2 &amp; Q3 Scorecards published</a:t>
          </a:r>
        </a:p>
        <a:p>
          <a:pPr marR="0" lvl="0" algn="l" defTabSz="266700" rtl="0">
            <a:lnSpc>
              <a:spcPct val="90000"/>
            </a:lnSpc>
            <a:spcBef>
              <a:spcPct val="0"/>
            </a:spcBef>
            <a:spcAft>
              <a:spcPct val="35000"/>
            </a:spcAft>
          </a:pPr>
          <a:endParaRPr lang="en-GB" sz="600" b="0" i="0" u="none" strike="noStrike" kern="1200" baseline="0" smtClean="0">
            <a:solidFill>
              <a:srgbClr val="000000"/>
            </a:solidFill>
            <a:latin typeface="Calibri"/>
          </a:endParaRPr>
        </a:p>
      </dsp:txBody>
      <dsp:txXfrm>
        <a:off x="1007050" y="295368"/>
        <a:ext cx="1508559" cy="1508559"/>
      </dsp:txXfrm>
    </dsp:sp>
    <dsp:sp modelId="{0699A7CC-D506-4D1E-A8F1-B2530F017178}">
      <dsp:nvSpPr>
        <dsp:cNvPr id="0" name=""/>
        <dsp:cNvSpPr/>
      </dsp:nvSpPr>
      <dsp:spPr>
        <a:xfrm>
          <a:off x="1246545" y="-895"/>
          <a:ext cx="3564808" cy="3564808"/>
        </a:xfrm>
        <a:prstGeom prst="circularArrow">
          <a:avLst>
            <a:gd name="adj1" fmla="val 8252"/>
            <a:gd name="adj2" fmla="val 576421"/>
            <a:gd name="adj3" fmla="val 16855420"/>
            <a:gd name="adj4" fmla="val 14968159"/>
            <a:gd name="adj5" fmla="val 962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ESWS Let</Template>
  <TotalTime>3</TotalTime>
  <Pages>18</Pages>
  <Words>4247</Words>
  <Characters>23324</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Bradford Education</Company>
  <LinksUpToDate>false</LinksUpToDate>
  <CharactersWithSpaces>27516</CharactersWithSpaces>
  <SharedDoc>false</SharedDoc>
  <HLinks>
    <vt:vector size="6" baseType="variant">
      <vt:variant>
        <vt:i4>5111809</vt:i4>
      </vt:variant>
      <vt:variant>
        <vt:i4>3</vt:i4>
      </vt:variant>
      <vt:variant>
        <vt:i4>0</vt:i4>
      </vt:variant>
      <vt:variant>
        <vt:i4>5</vt:i4>
      </vt:variant>
      <vt:variant>
        <vt:lpwstr>https://bso.bradford.gov.uk/schools/home.aspx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Broadbent</dc:creator>
  <cp:keywords/>
  <cp:lastModifiedBy>Shirley Broadbent</cp:lastModifiedBy>
  <cp:revision>5</cp:revision>
  <cp:lastPrinted>2014-10-21T10:02:00Z</cp:lastPrinted>
  <dcterms:created xsi:type="dcterms:W3CDTF">2015-04-30T13:54:00Z</dcterms:created>
  <dcterms:modified xsi:type="dcterms:W3CDTF">2015-05-01T09:51:00Z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