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0410" w14:textId="77777777" w:rsidR="00466C3E" w:rsidRDefault="00466C3E">
      <w:pPr>
        <w:rPr>
          <w:b/>
          <w:sz w:val="28"/>
          <w:szCs w:val="28"/>
        </w:rPr>
      </w:pPr>
    </w:p>
    <w:p w14:paraId="065A6BCF" w14:textId="77777777" w:rsidR="00307AD1" w:rsidRPr="00307AD1" w:rsidRDefault="00307AD1" w:rsidP="00387628">
      <w:pPr>
        <w:rPr>
          <w:b/>
          <w:sz w:val="24"/>
          <w:szCs w:val="24"/>
        </w:rPr>
      </w:pPr>
      <w:r w:rsidRPr="00307AD1">
        <w:rPr>
          <w:b/>
          <w:sz w:val="24"/>
          <w:szCs w:val="24"/>
        </w:rPr>
        <w:t>Full Budget Share – things to consider</w:t>
      </w:r>
    </w:p>
    <w:p w14:paraId="55E6A024" w14:textId="77777777" w:rsidR="00307AD1" w:rsidRPr="00307AD1" w:rsidRDefault="00307AD1" w:rsidP="00307AD1">
      <w:pPr>
        <w:jc w:val="both"/>
        <w:rPr>
          <w:rFonts w:cs="Arial"/>
          <w:b/>
        </w:rPr>
      </w:pPr>
    </w:p>
    <w:p w14:paraId="0B9A6AE9" w14:textId="77777777" w:rsidR="00307AD1" w:rsidRPr="00307AD1" w:rsidRDefault="00307AD1" w:rsidP="00307AD1">
      <w:pPr>
        <w:jc w:val="both"/>
        <w:rPr>
          <w:rFonts w:cs="Arial"/>
        </w:rPr>
      </w:pPr>
      <w:r w:rsidRPr="00307AD1">
        <w:rPr>
          <w:rFonts w:cs="Arial"/>
        </w:rPr>
        <w:t xml:space="preserve">All schools in Bradford have their own bank accounts. Under the Scheme for Financing Schools (“The Scheme”), a school has the option to have the majority of its Council-led funding paid, by monthly instalments, directly into their bank account. This is known as ‘Full Budget Share’. </w:t>
      </w:r>
    </w:p>
    <w:p w14:paraId="3E041A5A" w14:textId="77777777" w:rsidR="00307AD1" w:rsidRPr="00307AD1" w:rsidRDefault="00307AD1" w:rsidP="00307AD1">
      <w:pPr>
        <w:jc w:val="both"/>
        <w:rPr>
          <w:rFonts w:cs="Arial"/>
        </w:rPr>
      </w:pPr>
    </w:p>
    <w:p w14:paraId="3E73C0E4" w14:textId="228E059B" w:rsidR="00307AD1" w:rsidRPr="00307AD1" w:rsidRDefault="00307AD1" w:rsidP="00307AD1">
      <w:pPr>
        <w:jc w:val="both"/>
        <w:rPr>
          <w:rFonts w:cs="Arial"/>
        </w:rPr>
      </w:pPr>
      <w:r w:rsidRPr="00307AD1">
        <w:rPr>
          <w:rFonts w:cs="Arial"/>
        </w:rPr>
        <w:t>The difference between the 2 options is in the treatment of payroll costs.</w:t>
      </w:r>
    </w:p>
    <w:p w14:paraId="79BBCEA1" w14:textId="77777777" w:rsidR="00307AD1" w:rsidRPr="00307AD1" w:rsidRDefault="00307AD1" w:rsidP="00307AD1">
      <w:pPr>
        <w:jc w:val="both"/>
        <w:rPr>
          <w:rFonts w:cs="Arial"/>
          <w:b/>
        </w:rPr>
      </w:pPr>
    </w:p>
    <w:p w14:paraId="34F2F498" w14:textId="468F2752" w:rsidR="00307AD1" w:rsidRPr="00307AD1" w:rsidRDefault="00307AD1" w:rsidP="00307AD1">
      <w:pPr>
        <w:jc w:val="both"/>
        <w:rPr>
          <w:rFonts w:cs="Arial"/>
        </w:rPr>
      </w:pPr>
      <w:r w:rsidRPr="00307AD1">
        <w:rPr>
          <w:rFonts w:cs="Arial"/>
          <w:b/>
          <w:i/>
        </w:rPr>
        <w:t>Part Budget Share</w:t>
      </w:r>
      <w:r w:rsidRPr="00307AD1">
        <w:rPr>
          <w:rFonts w:cs="Arial"/>
        </w:rPr>
        <w:t xml:space="preserve"> – a school has the cost of their salaries paid on their behalf by the Council</w:t>
      </w:r>
      <w:r w:rsidR="00A40DC9">
        <w:rPr>
          <w:rFonts w:cs="Arial"/>
        </w:rPr>
        <w:t>.</w:t>
      </w:r>
      <w:r w:rsidRPr="00307AD1">
        <w:rPr>
          <w:rFonts w:cs="Arial"/>
        </w:rPr>
        <w:t xml:space="preserve"> The cost of salaries identified in the school’s budget</w:t>
      </w:r>
      <w:r w:rsidR="00A40DC9">
        <w:rPr>
          <w:rFonts w:cs="Arial"/>
        </w:rPr>
        <w:t xml:space="preserve"> is</w:t>
      </w:r>
      <w:r w:rsidRPr="00307AD1">
        <w:rPr>
          <w:rFonts w:cs="Arial"/>
        </w:rPr>
        <w:t xml:space="preserve"> withheld by the Council. The remaining budget for all other </w:t>
      </w:r>
      <w:r w:rsidR="00387628" w:rsidRPr="00307AD1">
        <w:rPr>
          <w:rFonts w:cs="Arial"/>
        </w:rPr>
        <w:t>non-staffing</w:t>
      </w:r>
      <w:r w:rsidRPr="00307AD1">
        <w:rPr>
          <w:rFonts w:cs="Arial"/>
        </w:rPr>
        <w:t xml:space="preserve"> costs is paid into the school’s bank account on a monthly basis for the school to manage.</w:t>
      </w:r>
    </w:p>
    <w:p w14:paraId="679E39AB" w14:textId="77777777" w:rsidR="00307AD1" w:rsidRPr="00307AD1" w:rsidRDefault="00307AD1" w:rsidP="00307AD1">
      <w:pPr>
        <w:jc w:val="both"/>
        <w:rPr>
          <w:rFonts w:cs="Arial"/>
        </w:rPr>
      </w:pPr>
    </w:p>
    <w:p w14:paraId="3C1735C7" w14:textId="225C3BD2" w:rsidR="00307AD1" w:rsidRPr="00307AD1" w:rsidRDefault="00307AD1" w:rsidP="00307AD1">
      <w:pPr>
        <w:jc w:val="both"/>
        <w:rPr>
          <w:rFonts w:cs="Arial"/>
        </w:rPr>
      </w:pPr>
      <w:r w:rsidRPr="00307AD1">
        <w:rPr>
          <w:rFonts w:cs="Arial"/>
          <w:b/>
          <w:i/>
        </w:rPr>
        <w:t>Full Budget Share</w:t>
      </w:r>
      <w:r w:rsidRPr="00307AD1">
        <w:rPr>
          <w:rFonts w:cs="Arial"/>
        </w:rPr>
        <w:t xml:space="preserve"> - a school has chosen to pay all of their staff salaries costs via their own bank account. This means that the full value of the school’s Council-led funding is paid to the school in monthly instalments. Payroll costs are </w:t>
      </w:r>
      <w:r w:rsidR="00514FEF">
        <w:rPr>
          <w:rFonts w:cs="Arial"/>
        </w:rPr>
        <w:t xml:space="preserve">then </w:t>
      </w:r>
      <w:r w:rsidRPr="00307AD1">
        <w:rPr>
          <w:rFonts w:cs="Arial"/>
        </w:rPr>
        <w:t>charged directly to the school’s bank account.</w:t>
      </w:r>
    </w:p>
    <w:p w14:paraId="6176F945" w14:textId="77777777" w:rsidR="00307AD1" w:rsidRPr="00307AD1" w:rsidRDefault="00307AD1" w:rsidP="00307AD1">
      <w:pPr>
        <w:jc w:val="both"/>
        <w:rPr>
          <w:rFonts w:cs="Arial"/>
        </w:rPr>
      </w:pPr>
    </w:p>
    <w:p w14:paraId="2C45AE13" w14:textId="77777777" w:rsidR="00307AD1" w:rsidRPr="00307AD1" w:rsidRDefault="00307AD1" w:rsidP="00307AD1">
      <w:pPr>
        <w:jc w:val="both"/>
        <w:rPr>
          <w:rFonts w:cs="Arial"/>
        </w:rPr>
      </w:pPr>
      <w:r w:rsidRPr="00307AD1">
        <w:rPr>
          <w:rFonts w:cs="Arial"/>
        </w:rPr>
        <w:t>Please note that business rates, PFI and de-delegated items are managed centrally by the Council under both part and full budget share options.</w:t>
      </w:r>
    </w:p>
    <w:p w14:paraId="0833D8DC" w14:textId="77777777" w:rsidR="00307AD1" w:rsidRPr="00307AD1" w:rsidRDefault="00307AD1" w:rsidP="00307AD1">
      <w:pPr>
        <w:jc w:val="both"/>
        <w:rPr>
          <w:rFonts w:cs="Arial"/>
        </w:rPr>
      </w:pPr>
    </w:p>
    <w:p w14:paraId="3E86AEB4" w14:textId="77777777" w:rsidR="00B7490A" w:rsidRDefault="00307AD1" w:rsidP="00307AD1">
      <w:pPr>
        <w:jc w:val="both"/>
        <w:rPr>
          <w:rFonts w:cs="Arial"/>
        </w:rPr>
      </w:pPr>
      <w:r w:rsidRPr="00307AD1">
        <w:rPr>
          <w:rFonts w:cs="Arial"/>
        </w:rPr>
        <w:t xml:space="preserve">The Full Budget Share option does require more involvement from the school in managing payments and cash flow. However, it can offer advantages, including more control over the cash budget of the school and </w:t>
      </w:r>
      <w:r w:rsidR="00B7490A">
        <w:rPr>
          <w:rFonts w:cs="Arial"/>
        </w:rPr>
        <w:t xml:space="preserve">the </w:t>
      </w:r>
      <w:r w:rsidRPr="00307AD1">
        <w:rPr>
          <w:rFonts w:cs="Arial"/>
        </w:rPr>
        <w:t>potential for increased interest, as more money is held in the school’s bank account</w:t>
      </w:r>
      <w:r w:rsidR="00B7490A">
        <w:rPr>
          <w:rFonts w:cs="Arial"/>
        </w:rPr>
        <w:t xml:space="preserve">. </w:t>
      </w:r>
    </w:p>
    <w:p w14:paraId="48132E1D" w14:textId="728EB4CE" w:rsidR="00307AD1" w:rsidRPr="00307AD1" w:rsidRDefault="00B7490A" w:rsidP="00307AD1">
      <w:pPr>
        <w:jc w:val="both"/>
        <w:rPr>
          <w:rFonts w:cs="Arial"/>
        </w:rPr>
      </w:pPr>
      <w:r>
        <w:rPr>
          <w:rFonts w:cs="Arial"/>
        </w:rPr>
        <w:br/>
      </w:r>
      <w:r w:rsidR="00307AD1" w:rsidRPr="00307AD1">
        <w:rPr>
          <w:rFonts w:cs="Arial"/>
        </w:rPr>
        <w:t>The main practical features of a full budget share account are:</w:t>
      </w:r>
    </w:p>
    <w:p w14:paraId="22DCDF3C" w14:textId="77777777" w:rsidR="00307AD1" w:rsidRPr="00307AD1" w:rsidRDefault="00307AD1" w:rsidP="00307AD1">
      <w:pPr>
        <w:jc w:val="both"/>
        <w:rPr>
          <w:rFonts w:cs="Arial"/>
        </w:rPr>
      </w:pPr>
    </w:p>
    <w:p w14:paraId="0E6CCC54" w14:textId="77777777" w:rsidR="00307AD1" w:rsidRPr="00307AD1" w:rsidRDefault="00307AD1" w:rsidP="00307AD1">
      <w:pPr>
        <w:numPr>
          <w:ilvl w:val="0"/>
          <w:numId w:val="4"/>
        </w:numPr>
        <w:tabs>
          <w:tab w:val="num" w:pos="-3600"/>
        </w:tabs>
        <w:ind w:left="360"/>
        <w:jc w:val="both"/>
        <w:rPr>
          <w:rFonts w:cs="Arial"/>
        </w:rPr>
      </w:pPr>
      <w:r w:rsidRPr="00307AD1">
        <w:rPr>
          <w:rFonts w:cs="Arial"/>
        </w:rPr>
        <w:t>Bank advances are paid to the school in 13 payments. Any increase/decrease in funding will be accounted for in these payments over the year.</w:t>
      </w:r>
    </w:p>
    <w:p w14:paraId="7EE76996" w14:textId="77777777" w:rsidR="00307AD1" w:rsidRPr="00307AD1" w:rsidRDefault="00307AD1" w:rsidP="00307AD1">
      <w:pPr>
        <w:jc w:val="both"/>
        <w:rPr>
          <w:rFonts w:cs="Arial"/>
        </w:rPr>
      </w:pPr>
    </w:p>
    <w:p w14:paraId="0ECA8CBE" w14:textId="69922608" w:rsidR="00307AD1" w:rsidRPr="00307AD1" w:rsidRDefault="00307AD1" w:rsidP="00307AD1">
      <w:pPr>
        <w:numPr>
          <w:ilvl w:val="0"/>
          <w:numId w:val="4"/>
        </w:numPr>
        <w:tabs>
          <w:tab w:val="num" w:pos="-2520"/>
        </w:tabs>
        <w:ind w:left="360"/>
        <w:jc w:val="both"/>
        <w:rPr>
          <w:rFonts w:cs="Arial"/>
        </w:rPr>
      </w:pPr>
      <w:r w:rsidRPr="00307AD1">
        <w:rPr>
          <w:rFonts w:cs="Arial"/>
        </w:rPr>
        <w:t xml:space="preserve">The school is responsible for paying all its invoices and only a small number of central journals will be posted, including business rates, PFI and contributions to de-delegated funds agreed by the Schools Forum. These are managed centrally and journalled to the school’s cost centre (to be replicated on the school’s finance system).  </w:t>
      </w:r>
    </w:p>
    <w:p w14:paraId="0B860235" w14:textId="77777777" w:rsidR="00307AD1" w:rsidRPr="00307AD1" w:rsidRDefault="00307AD1" w:rsidP="00307AD1">
      <w:pPr>
        <w:jc w:val="both"/>
        <w:rPr>
          <w:rFonts w:cs="Arial"/>
        </w:rPr>
      </w:pPr>
    </w:p>
    <w:p w14:paraId="2F0F7309" w14:textId="77777777" w:rsidR="00307AD1" w:rsidRPr="00307AD1" w:rsidRDefault="00307AD1" w:rsidP="00307AD1">
      <w:pPr>
        <w:numPr>
          <w:ilvl w:val="0"/>
          <w:numId w:val="4"/>
        </w:numPr>
        <w:tabs>
          <w:tab w:val="num" w:pos="-1800"/>
        </w:tabs>
        <w:ind w:left="360"/>
        <w:jc w:val="both"/>
        <w:rPr>
          <w:rFonts w:cs="Arial"/>
        </w:rPr>
      </w:pPr>
      <w:r w:rsidRPr="00307AD1">
        <w:rPr>
          <w:rFonts w:cs="Arial"/>
        </w:rPr>
        <w:t xml:space="preserve">Payroll costs are charged directly to the school’s bank account i.e. the school is responsible for paying their own payroll (managed either by Bradford Council payroll or another provider).  </w:t>
      </w:r>
    </w:p>
    <w:p w14:paraId="7EBCFA8E" w14:textId="77777777" w:rsidR="00307AD1" w:rsidRPr="00307AD1" w:rsidRDefault="00307AD1" w:rsidP="00307AD1">
      <w:pPr>
        <w:jc w:val="both"/>
        <w:rPr>
          <w:rFonts w:cs="Arial"/>
        </w:rPr>
      </w:pPr>
    </w:p>
    <w:p w14:paraId="32E51512" w14:textId="77777777" w:rsidR="00307AD1" w:rsidRPr="00307AD1" w:rsidRDefault="00307AD1" w:rsidP="00307AD1">
      <w:pPr>
        <w:numPr>
          <w:ilvl w:val="0"/>
          <w:numId w:val="4"/>
        </w:numPr>
        <w:tabs>
          <w:tab w:val="num" w:pos="-1440"/>
        </w:tabs>
        <w:ind w:left="360"/>
        <w:jc w:val="both"/>
        <w:rPr>
          <w:rFonts w:cs="Arial"/>
        </w:rPr>
      </w:pPr>
      <w:r w:rsidRPr="00307AD1">
        <w:rPr>
          <w:rFonts w:cs="Arial"/>
        </w:rPr>
        <w:t>Any interest earned from bank account balances is retained by the school.</w:t>
      </w:r>
    </w:p>
    <w:p w14:paraId="19661434" w14:textId="77777777" w:rsidR="00307AD1" w:rsidRPr="00307AD1" w:rsidRDefault="00307AD1" w:rsidP="00307AD1">
      <w:pPr>
        <w:jc w:val="both"/>
        <w:rPr>
          <w:rFonts w:cs="Arial"/>
        </w:rPr>
      </w:pPr>
    </w:p>
    <w:p w14:paraId="7C21DF5C" w14:textId="2A1403B4" w:rsidR="00307AD1" w:rsidRPr="00307AD1" w:rsidRDefault="00B7490A" w:rsidP="00307AD1">
      <w:pPr>
        <w:numPr>
          <w:ilvl w:val="0"/>
          <w:numId w:val="4"/>
        </w:numPr>
        <w:tabs>
          <w:tab w:val="num" w:pos="-1080"/>
        </w:tabs>
        <w:ind w:left="360"/>
        <w:jc w:val="both"/>
        <w:rPr>
          <w:rFonts w:cs="Arial"/>
        </w:rPr>
      </w:pPr>
      <w:r>
        <w:rPr>
          <w:rFonts w:cs="Arial"/>
        </w:rPr>
        <w:t>S</w:t>
      </w:r>
      <w:r w:rsidR="00307AD1" w:rsidRPr="00307AD1">
        <w:rPr>
          <w:rFonts w:cs="Arial"/>
        </w:rPr>
        <w:t>chool</w:t>
      </w:r>
      <w:r>
        <w:rPr>
          <w:rFonts w:cs="Arial"/>
        </w:rPr>
        <w:t>s</w:t>
      </w:r>
      <w:r w:rsidR="00307AD1" w:rsidRPr="00307AD1">
        <w:rPr>
          <w:rFonts w:cs="Arial"/>
        </w:rPr>
        <w:t xml:space="preserve"> must monitor cash flow </w:t>
      </w:r>
      <w:r w:rsidRPr="00307AD1">
        <w:rPr>
          <w:rFonts w:cs="Arial"/>
        </w:rPr>
        <w:t>vigorousl</w:t>
      </w:r>
      <w:r>
        <w:rPr>
          <w:rFonts w:cs="Arial"/>
        </w:rPr>
        <w:t>y</w:t>
      </w:r>
      <w:r w:rsidR="004F6A21">
        <w:rPr>
          <w:rFonts w:cs="Arial"/>
        </w:rPr>
        <w:t>. T</w:t>
      </w:r>
      <w:r w:rsidR="00307AD1" w:rsidRPr="00307AD1">
        <w:rPr>
          <w:rFonts w:cs="Arial"/>
        </w:rPr>
        <w:t xml:space="preserve">he bank account is not allowed to go into overdraft position.  </w:t>
      </w:r>
    </w:p>
    <w:p w14:paraId="3A82CFC6" w14:textId="77777777" w:rsidR="00307AD1" w:rsidRPr="00307AD1" w:rsidRDefault="00307AD1" w:rsidP="00307AD1">
      <w:pPr>
        <w:jc w:val="both"/>
        <w:rPr>
          <w:rFonts w:cs="Arial"/>
        </w:rPr>
      </w:pPr>
    </w:p>
    <w:p w14:paraId="4769A271" w14:textId="77777777" w:rsidR="00307AD1" w:rsidRPr="00307AD1" w:rsidRDefault="00307AD1" w:rsidP="00307AD1">
      <w:pPr>
        <w:numPr>
          <w:ilvl w:val="0"/>
          <w:numId w:val="4"/>
        </w:numPr>
        <w:tabs>
          <w:tab w:val="num" w:pos="-720"/>
        </w:tabs>
        <w:ind w:left="360"/>
        <w:jc w:val="both"/>
        <w:rPr>
          <w:rFonts w:cs="Arial"/>
        </w:rPr>
      </w:pPr>
      <w:r w:rsidRPr="00307AD1">
        <w:rPr>
          <w:rFonts w:cs="Arial"/>
        </w:rPr>
        <w:t>On the bank reconciliation return the payroll costs must be shown, whereas on a part budget share returns E01 – E07 costs are excluded.</w:t>
      </w:r>
    </w:p>
    <w:p w14:paraId="3A8995C7" w14:textId="77777777" w:rsidR="00307AD1" w:rsidRPr="00307AD1" w:rsidRDefault="00307AD1" w:rsidP="00307AD1">
      <w:pPr>
        <w:jc w:val="both"/>
        <w:rPr>
          <w:rFonts w:cs="Arial"/>
        </w:rPr>
      </w:pPr>
    </w:p>
    <w:p w14:paraId="4B43CD22" w14:textId="39214A71" w:rsidR="00307AD1" w:rsidRPr="00307AD1" w:rsidRDefault="00307AD1" w:rsidP="00307AD1">
      <w:pPr>
        <w:numPr>
          <w:ilvl w:val="0"/>
          <w:numId w:val="4"/>
        </w:numPr>
        <w:tabs>
          <w:tab w:val="num" w:pos="-360"/>
        </w:tabs>
        <w:ind w:left="360"/>
        <w:jc w:val="both"/>
        <w:rPr>
          <w:rFonts w:cs="Arial"/>
        </w:rPr>
      </w:pPr>
      <w:r w:rsidRPr="00307AD1">
        <w:rPr>
          <w:rFonts w:cs="Arial"/>
        </w:rPr>
        <w:t>For schools using Council payroll</w:t>
      </w:r>
      <w:r w:rsidR="00BF036A">
        <w:rPr>
          <w:rFonts w:cs="Arial"/>
        </w:rPr>
        <w:t>,</w:t>
      </w:r>
      <w:r w:rsidRPr="00307AD1">
        <w:rPr>
          <w:rFonts w:cs="Arial"/>
        </w:rPr>
        <w:t xml:space="preserve"> direct deductions are made from the bank account </w:t>
      </w:r>
      <w:r w:rsidR="00A563A7">
        <w:rPr>
          <w:rFonts w:cs="Arial"/>
        </w:rPr>
        <w:t xml:space="preserve">or paid by </w:t>
      </w:r>
      <w:r w:rsidR="001A0AF9">
        <w:rPr>
          <w:rFonts w:cs="Arial"/>
        </w:rPr>
        <w:t>BACS</w:t>
      </w:r>
      <w:r w:rsidR="00A563A7">
        <w:rPr>
          <w:rFonts w:cs="Arial"/>
        </w:rPr>
        <w:t xml:space="preserve"> </w:t>
      </w:r>
      <w:r w:rsidRPr="00307AD1">
        <w:rPr>
          <w:rFonts w:cs="Arial"/>
        </w:rPr>
        <w:t>each month. The school must ensure that the bank account has sufficient funds to cover these amounts.</w:t>
      </w:r>
    </w:p>
    <w:p w14:paraId="03216307" w14:textId="77777777" w:rsidR="00307AD1" w:rsidRPr="00307AD1" w:rsidRDefault="00307AD1" w:rsidP="00307AD1">
      <w:pPr>
        <w:jc w:val="both"/>
        <w:rPr>
          <w:rFonts w:cs="Arial"/>
        </w:rPr>
      </w:pPr>
    </w:p>
    <w:p w14:paraId="32E0B692" w14:textId="0B96B867" w:rsidR="00307AD1" w:rsidRPr="00307AD1" w:rsidRDefault="00307AD1" w:rsidP="00307AD1">
      <w:pPr>
        <w:numPr>
          <w:ilvl w:val="0"/>
          <w:numId w:val="4"/>
        </w:numPr>
        <w:tabs>
          <w:tab w:val="num" w:pos="0"/>
        </w:tabs>
        <w:ind w:left="360"/>
        <w:jc w:val="both"/>
        <w:rPr>
          <w:rFonts w:cs="Arial"/>
        </w:rPr>
      </w:pPr>
      <w:r w:rsidRPr="00307AD1">
        <w:rPr>
          <w:rFonts w:cs="Arial"/>
          <w:u w:val="single"/>
        </w:rPr>
        <w:t>All staff</w:t>
      </w:r>
      <w:r w:rsidRPr="00307AD1">
        <w:rPr>
          <w:rFonts w:cs="Arial"/>
        </w:rPr>
        <w:t xml:space="preserve"> must move to monthly pay</w:t>
      </w:r>
      <w:r w:rsidR="004C10BD">
        <w:rPr>
          <w:rFonts w:cs="Arial"/>
        </w:rPr>
        <w:t>,</w:t>
      </w:r>
      <w:r w:rsidRPr="00307AD1">
        <w:rPr>
          <w:rFonts w:cs="Arial"/>
        </w:rPr>
        <w:t xml:space="preserve"> b</w:t>
      </w:r>
      <w:r w:rsidR="00387628">
        <w:rPr>
          <w:rFonts w:cs="Arial"/>
        </w:rPr>
        <w:t xml:space="preserve">y the end of the financial year before moving to </w:t>
      </w:r>
      <w:r w:rsidR="00A563A7">
        <w:rPr>
          <w:rFonts w:cs="Arial"/>
        </w:rPr>
        <w:t>F</w:t>
      </w:r>
      <w:r w:rsidR="00387628">
        <w:rPr>
          <w:rFonts w:cs="Arial"/>
        </w:rPr>
        <w:t xml:space="preserve">ull </w:t>
      </w:r>
      <w:r w:rsidR="00A563A7">
        <w:rPr>
          <w:rFonts w:cs="Arial"/>
        </w:rPr>
        <w:t>B</w:t>
      </w:r>
      <w:r w:rsidR="00387628">
        <w:rPr>
          <w:rFonts w:cs="Arial"/>
        </w:rPr>
        <w:t xml:space="preserve">udget </w:t>
      </w:r>
      <w:r w:rsidR="00A563A7">
        <w:rPr>
          <w:rFonts w:cs="Arial"/>
        </w:rPr>
        <w:t>S</w:t>
      </w:r>
      <w:r w:rsidR="00387628">
        <w:rPr>
          <w:rFonts w:cs="Arial"/>
        </w:rPr>
        <w:t>hare</w:t>
      </w:r>
      <w:r w:rsidR="004C10BD">
        <w:rPr>
          <w:rFonts w:cs="Arial"/>
        </w:rPr>
        <w:t>,</w:t>
      </w:r>
      <w:r w:rsidR="00387628">
        <w:rPr>
          <w:rFonts w:cs="Arial"/>
        </w:rPr>
        <w:t xml:space="preserve"> </w:t>
      </w:r>
      <w:r w:rsidRPr="00307AD1">
        <w:rPr>
          <w:rFonts w:cs="Arial"/>
        </w:rPr>
        <w:t xml:space="preserve">to minimise the number of payroll calculations and payments through </w:t>
      </w:r>
      <w:r w:rsidR="00A40DC9">
        <w:rPr>
          <w:rFonts w:cs="Arial"/>
        </w:rPr>
        <w:t xml:space="preserve">the </w:t>
      </w:r>
      <w:r w:rsidRPr="00307AD1">
        <w:rPr>
          <w:rFonts w:cs="Arial"/>
        </w:rPr>
        <w:t>bank account.</w:t>
      </w:r>
    </w:p>
    <w:p w14:paraId="71C8CD44" w14:textId="77777777" w:rsidR="00307AD1" w:rsidRPr="00307AD1" w:rsidRDefault="00307AD1" w:rsidP="00307AD1">
      <w:pPr>
        <w:ind w:left="360"/>
        <w:jc w:val="both"/>
        <w:rPr>
          <w:rFonts w:cs="Arial"/>
        </w:rPr>
      </w:pPr>
    </w:p>
    <w:p w14:paraId="697362CE" w14:textId="0E6410EA" w:rsidR="00466C3E" w:rsidRPr="00BD1FEA" w:rsidRDefault="00307AD1" w:rsidP="00BD1FEA">
      <w:pPr>
        <w:numPr>
          <w:ilvl w:val="0"/>
          <w:numId w:val="4"/>
        </w:numPr>
        <w:tabs>
          <w:tab w:val="num" w:pos="0"/>
        </w:tabs>
        <w:ind w:left="360"/>
        <w:jc w:val="both"/>
        <w:rPr>
          <w:rFonts w:cs="Arial"/>
        </w:rPr>
      </w:pPr>
      <w:r w:rsidRPr="00307AD1">
        <w:rPr>
          <w:rFonts w:cs="Arial"/>
        </w:rPr>
        <w:t>We advise that schools obtain internet banking facilities (‘View Only’ function is sufficient) for timely completion of bank reconciliation.  A paragraph in the Guide to Financial Procedures gives further guidance on the security of internet banking.</w:t>
      </w:r>
    </w:p>
    <w:p w14:paraId="0A394772" w14:textId="77777777" w:rsidR="006B369E" w:rsidRDefault="006B369E">
      <w:pPr>
        <w:jc w:val="both"/>
        <w:rPr>
          <w:rFonts w:cs="Arial"/>
          <w:sz w:val="22"/>
          <w:szCs w:val="22"/>
        </w:rPr>
      </w:pPr>
    </w:p>
    <w:p w14:paraId="49D95121" w14:textId="6A767305" w:rsidR="00B754BC" w:rsidRPr="00BD1FEA" w:rsidRDefault="00CD2B35" w:rsidP="00BD1FEA">
      <w:pPr>
        <w:jc w:val="both"/>
        <w:rPr>
          <w:rFonts w:cs="Arial"/>
        </w:rPr>
      </w:pPr>
      <w:r w:rsidRPr="00BD1FEA">
        <w:rPr>
          <w:rFonts w:cs="Arial"/>
        </w:rPr>
        <w:t>Where a school wishes to change their option of budget share, it may only do so from the beginning of the financial year and must submit a request in writing to the School Funding Team by 1 January. Full Governing Body Approval must be obtained. </w:t>
      </w:r>
      <w:r w:rsidR="00B754BC" w:rsidRPr="00BD1FEA">
        <w:rPr>
          <w:rFonts w:cs="Arial"/>
        </w:rPr>
        <w:t>If you would like to discuss the Full Budget Share</w:t>
      </w:r>
      <w:r w:rsidR="006B369E" w:rsidRPr="00BD1FEA">
        <w:rPr>
          <w:rFonts w:cs="Arial"/>
        </w:rPr>
        <w:t xml:space="preserve"> and </w:t>
      </w:r>
      <w:r w:rsidR="00B754BC" w:rsidRPr="00BD1FEA">
        <w:rPr>
          <w:rFonts w:cs="Arial"/>
        </w:rPr>
        <w:t>Part Budget Share option</w:t>
      </w:r>
      <w:r w:rsidR="006B369E" w:rsidRPr="00BD1FEA">
        <w:rPr>
          <w:rFonts w:cs="Arial"/>
        </w:rPr>
        <w:t>s</w:t>
      </w:r>
      <w:r w:rsidR="00B754BC" w:rsidRPr="00BD1FEA">
        <w:rPr>
          <w:rFonts w:cs="Arial"/>
        </w:rPr>
        <w:t>, please contact your School Funding Team Officer</w:t>
      </w:r>
      <w:r w:rsidR="00C35B8D">
        <w:rPr>
          <w:rFonts w:cs="Arial"/>
        </w:rPr>
        <w:t xml:space="preserve">. </w:t>
      </w:r>
    </w:p>
    <w:sectPr w:rsidR="00B754BC" w:rsidRPr="00BD1FEA" w:rsidSect="00B7490A">
      <w:headerReference w:type="first" r:id="rId7"/>
      <w:pgSz w:w="11906" w:h="16838" w:code="9"/>
      <w:pgMar w:top="1134" w:right="1134" w:bottom="1134"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7759" w14:textId="77777777" w:rsidR="00466C3E" w:rsidRDefault="00466C3E">
      <w:r>
        <w:separator/>
      </w:r>
    </w:p>
  </w:endnote>
  <w:endnote w:type="continuationSeparator" w:id="0">
    <w:p w14:paraId="4C96F5A9" w14:textId="77777777" w:rsidR="00466C3E" w:rsidRDefault="0046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1AA3" w14:textId="77777777" w:rsidR="00466C3E" w:rsidRDefault="00466C3E">
      <w:r>
        <w:separator/>
      </w:r>
    </w:p>
  </w:footnote>
  <w:footnote w:type="continuationSeparator" w:id="0">
    <w:p w14:paraId="6AB5B90D" w14:textId="77777777" w:rsidR="00466C3E" w:rsidRDefault="0046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09F1" w14:textId="77777777" w:rsidR="00466C3E" w:rsidRDefault="00EE089D" w:rsidP="00EE089D">
    <w:pPr>
      <w:pStyle w:val="Header"/>
      <w:jc w:val="right"/>
    </w:pPr>
    <w:r>
      <w:rPr>
        <w:rFonts w:cs="Arial"/>
        <w:noProof/>
      </w:rPr>
      <w:drawing>
        <wp:inline distT="0" distB="0" distL="0" distR="0" wp14:anchorId="2F99D01D" wp14:editId="3AD1C4EC">
          <wp:extent cx="3028950" cy="847725"/>
          <wp:effectExtent l="0" t="0" r="0" b="9525"/>
          <wp:docPr id="2" name="Picture 2"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C8E"/>
    <w:multiLevelType w:val="hybridMultilevel"/>
    <w:tmpl w:val="6526E6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D719D3"/>
    <w:multiLevelType w:val="hybridMultilevel"/>
    <w:tmpl w:val="EEB432CC"/>
    <w:lvl w:ilvl="0" w:tplc="3996852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0B52E0"/>
    <w:multiLevelType w:val="hybridMultilevel"/>
    <w:tmpl w:val="3FF0342C"/>
    <w:lvl w:ilvl="0" w:tplc="20C46D4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D5306D"/>
    <w:multiLevelType w:val="hybridMultilevel"/>
    <w:tmpl w:val="FC168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604CE9"/>
    <w:multiLevelType w:val="hybridMultilevel"/>
    <w:tmpl w:val="87928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3092748">
    <w:abstractNumId w:val="1"/>
  </w:num>
  <w:num w:numId="2" w16cid:durableId="1952005437">
    <w:abstractNumId w:val="2"/>
  </w:num>
  <w:num w:numId="3" w16cid:durableId="97218637">
    <w:abstractNumId w:val="4"/>
  </w:num>
  <w:num w:numId="4" w16cid:durableId="496113879">
    <w:abstractNumId w:val="0"/>
  </w:num>
  <w:num w:numId="5" w16cid:durableId="88896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6F"/>
    <w:rsid w:val="0003564A"/>
    <w:rsid w:val="0005206D"/>
    <w:rsid w:val="0006042B"/>
    <w:rsid w:val="000E5F14"/>
    <w:rsid w:val="00165F77"/>
    <w:rsid w:val="001A0AF9"/>
    <w:rsid w:val="002022E5"/>
    <w:rsid w:val="00210C0E"/>
    <w:rsid w:val="002D474F"/>
    <w:rsid w:val="00307AD1"/>
    <w:rsid w:val="00335C65"/>
    <w:rsid w:val="00375CFB"/>
    <w:rsid w:val="00387628"/>
    <w:rsid w:val="003A22DA"/>
    <w:rsid w:val="003B3B8D"/>
    <w:rsid w:val="003B408A"/>
    <w:rsid w:val="0042445A"/>
    <w:rsid w:val="0042604F"/>
    <w:rsid w:val="00452E7B"/>
    <w:rsid w:val="00466C3E"/>
    <w:rsid w:val="004C10BD"/>
    <w:rsid w:val="004F6A21"/>
    <w:rsid w:val="00512210"/>
    <w:rsid w:val="00514FEF"/>
    <w:rsid w:val="00525A98"/>
    <w:rsid w:val="00567FC4"/>
    <w:rsid w:val="00633D47"/>
    <w:rsid w:val="00680481"/>
    <w:rsid w:val="006B369E"/>
    <w:rsid w:val="0072054E"/>
    <w:rsid w:val="00730B20"/>
    <w:rsid w:val="007E7A3B"/>
    <w:rsid w:val="00827ACF"/>
    <w:rsid w:val="008343E8"/>
    <w:rsid w:val="00871C67"/>
    <w:rsid w:val="008770EA"/>
    <w:rsid w:val="00891329"/>
    <w:rsid w:val="009176AB"/>
    <w:rsid w:val="00A37C41"/>
    <w:rsid w:val="00A40DC9"/>
    <w:rsid w:val="00A47D6F"/>
    <w:rsid w:val="00A563A7"/>
    <w:rsid w:val="00A96793"/>
    <w:rsid w:val="00AC3E04"/>
    <w:rsid w:val="00AD12A9"/>
    <w:rsid w:val="00AE52DF"/>
    <w:rsid w:val="00B32784"/>
    <w:rsid w:val="00B7490A"/>
    <w:rsid w:val="00B754BC"/>
    <w:rsid w:val="00B920FB"/>
    <w:rsid w:val="00BD1FEA"/>
    <w:rsid w:val="00BF036A"/>
    <w:rsid w:val="00C017AD"/>
    <w:rsid w:val="00C12A19"/>
    <w:rsid w:val="00C35B8D"/>
    <w:rsid w:val="00C40B70"/>
    <w:rsid w:val="00C55874"/>
    <w:rsid w:val="00C570BF"/>
    <w:rsid w:val="00C83880"/>
    <w:rsid w:val="00C8733E"/>
    <w:rsid w:val="00CB6001"/>
    <w:rsid w:val="00CD2B35"/>
    <w:rsid w:val="00CE372C"/>
    <w:rsid w:val="00CF69A8"/>
    <w:rsid w:val="00D11451"/>
    <w:rsid w:val="00D5139D"/>
    <w:rsid w:val="00D92C96"/>
    <w:rsid w:val="00DC2F67"/>
    <w:rsid w:val="00DF0523"/>
    <w:rsid w:val="00EB6C6F"/>
    <w:rsid w:val="00EE089D"/>
    <w:rsid w:val="00F14CF8"/>
    <w:rsid w:val="00F46418"/>
    <w:rsid w:val="00F71DD1"/>
    <w:rsid w:val="00F95C6F"/>
    <w:rsid w:val="00F96741"/>
    <w:rsid w:val="00FF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011A87"/>
  <w15:docId w15:val="{E0DD128D-52F9-4C50-843F-4B815D20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66C3E"/>
    <w:rPr>
      <w:rFonts w:ascii="Tahoma" w:hAnsi="Tahoma" w:cs="Tahoma"/>
      <w:sz w:val="16"/>
      <w:szCs w:val="16"/>
    </w:rPr>
  </w:style>
  <w:style w:type="character" w:customStyle="1" w:styleId="BalloonTextChar">
    <w:name w:val="Balloon Text Char"/>
    <w:basedOn w:val="DefaultParagraphFont"/>
    <w:link w:val="BalloonText"/>
    <w:rsid w:val="00466C3E"/>
    <w:rPr>
      <w:rFonts w:ascii="Tahoma" w:hAnsi="Tahoma" w:cs="Tahoma"/>
      <w:sz w:val="16"/>
      <w:szCs w:val="16"/>
      <w:lang w:eastAsia="en-US"/>
    </w:rPr>
  </w:style>
  <w:style w:type="character" w:styleId="UnresolvedMention">
    <w:name w:val="Unresolved Mention"/>
    <w:basedOn w:val="DefaultParagraphFont"/>
    <w:uiPriority w:val="99"/>
    <w:semiHidden/>
    <w:unhideWhenUsed/>
    <w:rsid w:val="0063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82462">
      <w:bodyDiv w:val="1"/>
      <w:marLeft w:val="0"/>
      <w:marRight w:val="0"/>
      <w:marTop w:val="0"/>
      <w:marBottom w:val="0"/>
      <w:divBdr>
        <w:top w:val="none" w:sz="0" w:space="0" w:color="auto"/>
        <w:left w:val="none" w:sz="0" w:space="0" w:color="auto"/>
        <w:bottom w:val="none" w:sz="0" w:space="0" w:color="auto"/>
        <w:right w:val="none" w:sz="0" w:space="0" w:color="auto"/>
      </w:divBdr>
      <w:divsChild>
        <w:div w:id="414936323">
          <w:marLeft w:val="0"/>
          <w:marRight w:val="0"/>
          <w:marTop w:val="129"/>
          <w:marBottom w:val="0"/>
          <w:divBdr>
            <w:top w:val="none" w:sz="0" w:space="0" w:color="auto"/>
            <w:left w:val="none" w:sz="0" w:space="0" w:color="auto"/>
            <w:bottom w:val="none" w:sz="0" w:space="0" w:color="auto"/>
            <w:right w:val="none" w:sz="0" w:space="0" w:color="auto"/>
          </w:divBdr>
          <w:divsChild>
            <w:div w:id="1485777640">
              <w:marLeft w:val="0"/>
              <w:marRight w:val="0"/>
              <w:marTop w:val="0"/>
              <w:marBottom w:val="0"/>
              <w:divBdr>
                <w:top w:val="none" w:sz="0" w:space="0" w:color="auto"/>
                <w:left w:val="none" w:sz="0" w:space="0" w:color="auto"/>
                <w:bottom w:val="none" w:sz="0" w:space="0" w:color="auto"/>
                <w:right w:val="none" w:sz="0" w:space="0" w:color="auto"/>
              </w:divBdr>
              <w:divsChild>
                <w:div w:id="493494286">
                  <w:marLeft w:val="0"/>
                  <w:marRight w:val="0"/>
                  <w:marTop w:val="0"/>
                  <w:marBottom w:val="0"/>
                  <w:divBdr>
                    <w:top w:val="none" w:sz="0" w:space="0" w:color="auto"/>
                    <w:left w:val="none" w:sz="0" w:space="0" w:color="auto"/>
                    <w:bottom w:val="none" w:sz="0" w:space="0" w:color="auto"/>
                    <w:right w:val="none" w:sz="0" w:space="0" w:color="auto"/>
                  </w:divBdr>
                  <w:divsChild>
                    <w:div w:id="917060793">
                      <w:marLeft w:val="0"/>
                      <w:marRight w:val="0"/>
                      <w:marTop w:val="0"/>
                      <w:marBottom w:val="0"/>
                      <w:divBdr>
                        <w:top w:val="none" w:sz="0" w:space="0" w:color="auto"/>
                        <w:left w:val="none" w:sz="0" w:space="0" w:color="auto"/>
                        <w:bottom w:val="none" w:sz="0" w:space="0" w:color="auto"/>
                        <w:right w:val="none" w:sz="0" w:space="0" w:color="auto"/>
                      </w:divBdr>
                      <w:divsChild>
                        <w:div w:id="1478959635">
                          <w:marLeft w:val="0"/>
                          <w:marRight w:val="0"/>
                          <w:marTop w:val="0"/>
                          <w:marBottom w:val="0"/>
                          <w:divBdr>
                            <w:top w:val="none" w:sz="0" w:space="0" w:color="auto"/>
                            <w:left w:val="none" w:sz="0" w:space="0" w:color="auto"/>
                            <w:bottom w:val="none" w:sz="0" w:space="0" w:color="auto"/>
                            <w:right w:val="none" w:sz="0" w:space="0" w:color="auto"/>
                          </w:divBdr>
                          <w:divsChild>
                            <w:div w:id="325863735">
                              <w:marLeft w:val="0"/>
                              <w:marRight w:val="0"/>
                              <w:marTop w:val="0"/>
                              <w:marBottom w:val="0"/>
                              <w:divBdr>
                                <w:top w:val="none" w:sz="0" w:space="0" w:color="auto"/>
                                <w:left w:val="none" w:sz="0" w:space="0" w:color="auto"/>
                                <w:bottom w:val="none" w:sz="0" w:space="0" w:color="auto"/>
                                <w:right w:val="none" w:sz="0" w:space="0" w:color="auto"/>
                              </w:divBdr>
                              <w:divsChild>
                                <w:div w:id="11687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2DACB.7DFC79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ley.broadbent\Local%20Settings\Temporary%20Internet%20Files\OLKC6\ESWS%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ESWS Let</Template>
  <TotalTime>135</TotalTime>
  <Pages>1</Pages>
  <Words>583</Words>
  <Characters>2959</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Education Technology Service</vt:lpstr>
    </vt:vector>
  </TitlesOfParts>
  <Company>Bradford Education</Company>
  <LinksUpToDate>false</LinksUpToDate>
  <CharactersWithSpaces>3521</CharactersWithSpaces>
  <SharedDoc>false</SharedDoc>
  <HLinks>
    <vt:vector size="6" baseType="variant">
      <vt:variant>
        <vt:i4>589825</vt:i4>
      </vt:variant>
      <vt:variant>
        <vt:i4>0</vt:i4>
      </vt:variant>
      <vt:variant>
        <vt:i4>0</vt:i4>
      </vt:variant>
      <vt:variant>
        <vt:i4>5</vt:i4>
      </vt:variant>
      <vt:variant>
        <vt:lpwstr>../../../Quality Management/Controlled Documents and Document Register/School Funding Team/Guidance/SF001p Guide to Financial Procedures.doc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Technology Service</dc:title>
  <dc:subject/>
  <dc:creator>Broadbent</dc:creator>
  <cp:keywords/>
  <cp:lastModifiedBy>Lynda Steventon</cp:lastModifiedBy>
  <cp:revision>58</cp:revision>
  <cp:lastPrinted>2011-08-02T08:04:00Z</cp:lastPrinted>
  <dcterms:created xsi:type="dcterms:W3CDTF">2026-02-17T13:00:00Z</dcterms:created>
  <dcterms:modified xsi:type="dcterms:W3CDTF">2026-02-20T11:26:00Z</dcterms:modified>
  <cp:contentStatus/>
</cp:coreProperties>
</file>