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83FB" w14:textId="77777777" w:rsidR="005A270A" w:rsidRDefault="005A270A">
      <w:pPr>
        <w:rPr>
          <w:sz w:val="22"/>
          <w:szCs w:val="22"/>
        </w:rPr>
      </w:pPr>
    </w:p>
    <w:p w14:paraId="4A20009C" w14:textId="77777777" w:rsidR="005A270A" w:rsidRDefault="005A270A">
      <w:pPr>
        <w:tabs>
          <w:tab w:val="right" w:pos="8505"/>
        </w:tabs>
        <w:rPr>
          <w:sz w:val="22"/>
          <w:szCs w:val="22"/>
        </w:rPr>
      </w:pPr>
    </w:p>
    <w:p w14:paraId="0058F880" w14:textId="77777777" w:rsidR="00AC38ED" w:rsidRDefault="00AC38ED">
      <w:pPr>
        <w:rPr>
          <w:b/>
          <w:sz w:val="28"/>
          <w:szCs w:val="28"/>
        </w:rPr>
      </w:pPr>
    </w:p>
    <w:p w14:paraId="48C44500" w14:textId="4FE431D8" w:rsidR="005A270A" w:rsidRDefault="005A270A">
      <w:pPr>
        <w:rPr>
          <w:b/>
          <w:sz w:val="28"/>
          <w:szCs w:val="28"/>
        </w:rPr>
      </w:pPr>
      <w:r>
        <w:rPr>
          <w:b/>
          <w:sz w:val="28"/>
          <w:szCs w:val="28"/>
        </w:rPr>
        <w:t>Light Touch Financial Monitoring (LTFM)</w:t>
      </w:r>
    </w:p>
    <w:p w14:paraId="2C97F328" w14:textId="77777777" w:rsidR="005A270A" w:rsidRDefault="005A270A">
      <w:pPr>
        <w:rPr>
          <w:rFonts w:cs="Arial"/>
          <w:b/>
          <w:sz w:val="22"/>
          <w:szCs w:val="22"/>
        </w:rPr>
      </w:pPr>
    </w:p>
    <w:p w14:paraId="5C581D6C" w14:textId="77777777" w:rsidR="005A270A" w:rsidRDefault="005A270A">
      <w:pPr>
        <w:jc w:val="both"/>
        <w:rPr>
          <w:rFonts w:cs="Arial"/>
          <w:b/>
          <w:sz w:val="22"/>
          <w:szCs w:val="22"/>
        </w:rPr>
      </w:pPr>
    </w:p>
    <w:p w14:paraId="3B6D948C" w14:textId="77777777" w:rsidR="005A270A" w:rsidRDefault="005A270A">
      <w:pPr>
        <w:jc w:val="both"/>
        <w:rPr>
          <w:rFonts w:cs="Arial"/>
          <w:b/>
          <w:sz w:val="22"/>
          <w:szCs w:val="22"/>
        </w:rPr>
      </w:pPr>
      <w:r>
        <w:rPr>
          <w:rFonts w:cs="Arial"/>
          <w:b/>
          <w:sz w:val="22"/>
          <w:szCs w:val="22"/>
        </w:rPr>
        <w:t>Summary</w:t>
      </w:r>
    </w:p>
    <w:p w14:paraId="75E8904E" w14:textId="77777777" w:rsidR="005A270A" w:rsidRDefault="005A270A">
      <w:pPr>
        <w:jc w:val="both"/>
        <w:rPr>
          <w:rFonts w:cs="Arial"/>
          <w:b/>
          <w:sz w:val="22"/>
          <w:szCs w:val="22"/>
        </w:rPr>
      </w:pPr>
    </w:p>
    <w:p w14:paraId="75F4EB2E" w14:textId="77777777" w:rsidR="005A270A" w:rsidRDefault="005A270A">
      <w:pPr>
        <w:jc w:val="both"/>
        <w:rPr>
          <w:rFonts w:cs="Arial"/>
          <w:sz w:val="22"/>
          <w:szCs w:val="22"/>
        </w:rPr>
      </w:pPr>
      <w:r>
        <w:rPr>
          <w:rFonts w:cs="Arial"/>
          <w:sz w:val="22"/>
          <w:szCs w:val="22"/>
        </w:rPr>
        <w:t xml:space="preserve">The Light Touch Financial Monitoring Scheme (LFTM; also known as ‘the Scorecard’) is a protocol that exists primarily to encourage timeliness and quality of reporting from schools to the Local Authority. It is a scoring system, which is used to distinguish between schools monitored on a "light touch" basis and those schools requiring a more "watchful eye" approach. </w:t>
      </w:r>
    </w:p>
    <w:p w14:paraId="4FEF44D0" w14:textId="77777777" w:rsidR="005A270A" w:rsidRDefault="005A270A">
      <w:pPr>
        <w:jc w:val="both"/>
        <w:rPr>
          <w:rFonts w:cs="Arial"/>
          <w:sz w:val="22"/>
          <w:szCs w:val="22"/>
        </w:rPr>
      </w:pPr>
    </w:p>
    <w:p w14:paraId="292FB834" w14:textId="77777777" w:rsidR="005A270A" w:rsidRDefault="005A270A">
      <w:pPr>
        <w:jc w:val="both"/>
        <w:rPr>
          <w:rFonts w:cs="Arial"/>
          <w:sz w:val="22"/>
          <w:szCs w:val="22"/>
        </w:rPr>
      </w:pPr>
      <w:r>
        <w:rPr>
          <w:rFonts w:cs="Arial"/>
          <w:sz w:val="22"/>
          <w:szCs w:val="22"/>
        </w:rPr>
        <w:t>Schools amass points, on a rolling programme, based on their scoring against the agreed criteria, which include meeting required dates for the submission of key financial returns to the LA. Schools are split into 3 categories. Schools scoring fewer than 20 points are placed in the “Green” category and are subject to “light touch” monitoring. Schools scoring at least 20, but fewer than 40 points, are placed in the “Amber” category and are subject to a greater degree of monitoring and challenge</w:t>
      </w:r>
      <w:r w:rsidR="00856184">
        <w:rPr>
          <w:rFonts w:cs="Arial"/>
          <w:sz w:val="22"/>
          <w:szCs w:val="22"/>
        </w:rPr>
        <w:t>s</w:t>
      </w:r>
      <w:r>
        <w:rPr>
          <w:rFonts w:cs="Arial"/>
          <w:sz w:val="22"/>
          <w:szCs w:val="22"/>
        </w:rPr>
        <w:t xml:space="preserve">. Schools scoring 40 points or more are classed as “Red” and are subject to “watchful eye” (monthly) monitoring.  The scoring system is updated at the end of every </w:t>
      </w:r>
      <w:proofErr w:type="gramStart"/>
      <w:r>
        <w:rPr>
          <w:rFonts w:cs="Arial"/>
          <w:sz w:val="22"/>
          <w:szCs w:val="22"/>
        </w:rPr>
        <w:t>quarter</w:t>
      </w:r>
      <w:proofErr w:type="gramEnd"/>
      <w:r>
        <w:rPr>
          <w:rFonts w:cs="Arial"/>
          <w:sz w:val="22"/>
          <w:szCs w:val="22"/>
        </w:rPr>
        <w:t xml:space="preserve"> and the scorecard is published for schools to access.</w:t>
      </w:r>
    </w:p>
    <w:p w14:paraId="26BA7829" w14:textId="77777777" w:rsidR="005A270A" w:rsidRDefault="005A270A">
      <w:pPr>
        <w:jc w:val="both"/>
        <w:rPr>
          <w:rFonts w:cs="Arial"/>
          <w:sz w:val="22"/>
          <w:szCs w:val="22"/>
        </w:rPr>
      </w:pPr>
    </w:p>
    <w:p w14:paraId="5AA08B7E" w14:textId="77777777" w:rsidR="005A270A" w:rsidRDefault="005A270A">
      <w:pPr>
        <w:jc w:val="both"/>
        <w:rPr>
          <w:rFonts w:cs="Arial"/>
          <w:b/>
          <w:sz w:val="22"/>
          <w:szCs w:val="22"/>
        </w:rPr>
      </w:pPr>
      <w:r>
        <w:rPr>
          <w:rFonts w:cs="Arial"/>
          <w:b/>
          <w:sz w:val="22"/>
          <w:szCs w:val="22"/>
        </w:rPr>
        <w:t>Scoring System</w:t>
      </w:r>
    </w:p>
    <w:p w14:paraId="5C144F5E" w14:textId="77777777" w:rsidR="005A270A" w:rsidRDefault="005A270A">
      <w:pPr>
        <w:jc w:val="both"/>
        <w:rPr>
          <w:rFonts w:cs="Arial"/>
          <w:b/>
          <w:sz w:val="22"/>
          <w:szCs w:val="22"/>
        </w:rPr>
      </w:pPr>
    </w:p>
    <w:p w14:paraId="1235A6E3" w14:textId="77777777" w:rsidR="005A270A" w:rsidRDefault="005A270A">
      <w:pPr>
        <w:pStyle w:val="BodyText"/>
        <w:jc w:val="both"/>
        <w:rPr>
          <w:rFonts w:ascii="Arial" w:hAnsi="Arial" w:cs="Arial"/>
          <w:sz w:val="22"/>
          <w:szCs w:val="22"/>
        </w:rPr>
      </w:pPr>
      <w:r>
        <w:rPr>
          <w:rFonts w:ascii="Arial" w:hAnsi="Arial" w:cs="Arial"/>
          <w:sz w:val="22"/>
          <w:szCs w:val="22"/>
        </w:rPr>
        <w:t>The scoring system has been designed to:</w:t>
      </w:r>
    </w:p>
    <w:p w14:paraId="2F500EDC" w14:textId="77777777" w:rsidR="005A270A" w:rsidRDefault="005A270A">
      <w:pPr>
        <w:jc w:val="both"/>
        <w:rPr>
          <w:rFonts w:cs="Arial"/>
          <w:sz w:val="22"/>
          <w:szCs w:val="22"/>
        </w:rPr>
      </w:pPr>
    </w:p>
    <w:p w14:paraId="2D56D0D6" w14:textId="77777777" w:rsidR="005A270A" w:rsidRDefault="005A270A">
      <w:pPr>
        <w:numPr>
          <w:ilvl w:val="0"/>
          <w:numId w:val="4"/>
        </w:numPr>
        <w:jc w:val="both"/>
        <w:rPr>
          <w:rFonts w:cs="Arial"/>
          <w:sz w:val="22"/>
          <w:szCs w:val="22"/>
        </w:rPr>
      </w:pPr>
      <w:r>
        <w:rPr>
          <w:rFonts w:cs="Arial"/>
          <w:b/>
          <w:sz w:val="22"/>
          <w:szCs w:val="22"/>
        </w:rPr>
        <w:t>Be Simple</w:t>
      </w:r>
      <w:r>
        <w:rPr>
          <w:rFonts w:cs="Arial"/>
          <w:sz w:val="22"/>
          <w:szCs w:val="22"/>
        </w:rPr>
        <w:t xml:space="preserve">, in that the number of factors which are used to assess the “financial health” of a school are constructed in a way which enables schools to readily remember them, </w:t>
      </w:r>
    </w:p>
    <w:p w14:paraId="76965D15" w14:textId="77777777" w:rsidR="005A270A" w:rsidRDefault="005A270A">
      <w:pPr>
        <w:jc w:val="both"/>
        <w:rPr>
          <w:rFonts w:cs="Arial"/>
          <w:sz w:val="22"/>
          <w:szCs w:val="22"/>
        </w:rPr>
      </w:pPr>
    </w:p>
    <w:p w14:paraId="017DE971" w14:textId="77777777" w:rsidR="005A270A" w:rsidRDefault="005A270A">
      <w:pPr>
        <w:numPr>
          <w:ilvl w:val="0"/>
          <w:numId w:val="5"/>
        </w:numPr>
        <w:jc w:val="both"/>
        <w:rPr>
          <w:rFonts w:cs="Arial"/>
          <w:sz w:val="22"/>
          <w:szCs w:val="22"/>
        </w:rPr>
      </w:pPr>
      <w:r>
        <w:rPr>
          <w:rFonts w:cs="Arial"/>
          <w:b/>
          <w:sz w:val="22"/>
          <w:szCs w:val="22"/>
        </w:rPr>
        <w:t xml:space="preserve">Be Transparent, </w:t>
      </w:r>
      <w:r>
        <w:rPr>
          <w:rFonts w:cs="Arial"/>
          <w:sz w:val="22"/>
          <w:szCs w:val="22"/>
        </w:rPr>
        <w:t xml:space="preserve">in that each school is made aware of the scoring system and is notified regularly of its score. </w:t>
      </w:r>
    </w:p>
    <w:p w14:paraId="56713C70" w14:textId="77777777" w:rsidR="005A270A" w:rsidRDefault="005A270A">
      <w:pPr>
        <w:jc w:val="both"/>
        <w:rPr>
          <w:rFonts w:cs="Arial"/>
          <w:sz w:val="22"/>
          <w:szCs w:val="22"/>
        </w:rPr>
      </w:pPr>
    </w:p>
    <w:p w14:paraId="51286ADB" w14:textId="77777777" w:rsidR="005A270A" w:rsidRDefault="005A270A">
      <w:pPr>
        <w:numPr>
          <w:ilvl w:val="0"/>
          <w:numId w:val="6"/>
        </w:numPr>
        <w:jc w:val="both"/>
        <w:rPr>
          <w:rFonts w:cs="Arial"/>
          <w:sz w:val="22"/>
          <w:szCs w:val="22"/>
        </w:rPr>
      </w:pPr>
      <w:r>
        <w:rPr>
          <w:rFonts w:cs="Arial"/>
          <w:b/>
          <w:sz w:val="22"/>
          <w:szCs w:val="22"/>
        </w:rPr>
        <w:t>Be Measurable,</w:t>
      </w:r>
      <w:r>
        <w:rPr>
          <w:rFonts w:cs="Arial"/>
          <w:sz w:val="22"/>
          <w:szCs w:val="22"/>
        </w:rPr>
        <w:t xml:space="preserve"> scoring is done on an entirely objective basis to minimise disputes. </w:t>
      </w:r>
    </w:p>
    <w:p w14:paraId="16983485" w14:textId="77777777" w:rsidR="005A270A" w:rsidRDefault="005A270A">
      <w:pPr>
        <w:jc w:val="both"/>
        <w:rPr>
          <w:rFonts w:cs="Arial"/>
          <w:sz w:val="22"/>
          <w:szCs w:val="22"/>
        </w:rPr>
      </w:pPr>
    </w:p>
    <w:p w14:paraId="68238770" w14:textId="77777777" w:rsidR="005A270A" w:rsidRDefault="005A270A">
      <w:pPr>
        <w:numPr>
          <w:ilvl w:val="0"/>
          <w:numId w:val="11"/>
        </w:numPr>
        <w:jc w:val="both"/>
        <w:rPr>
          <w:rFonts w:cs="Arial"/>
          <w:sz w:val="22"/>
          <w:szCs w:val="22"/>
        </w:rPr>
      </w:pPr>
      <w:r>
        <w:rPr>
          <w:rFonts w:cs="Arial"/>
          <w:b/>
          <w:sz w:val="22"/>
          <w:szCs w:val="22"/>
        </w:rPr>
        <w:t>Allow schools to take corrective action</w:t>
      </w:r>
    </w:p>
    <w:p w14:paraId="360FCB93" w14:textId="77777777" w:rsidR="005A270A" w:rsidRDefault="005A270A">
      <w:pPr>
        <w:jc w:val="both"/>
        <w:rPr>
          <w:rFonts w:cs="Arial"/>
          <w:sz w:val="22"/>
          <w:szCs w:val="22"/>
        </w:rPr>
      </w:pPr>
    </w:p>
    <w:p w14:paraId="170191DC" w14:textId="77777777" w:rsidR="005A270A" w:rsidRDefault="005A270A">
      <w:pPr>
        <w:tabs>
          <w:tab w:val="left" w:pos="1701"/>
        </w:tabs>
        <w:ind w:firstLine="567"/>
        <w:jc w:val="both"/>
        <w:rPr>
          <w:rFonts w:cs="Arial"/>
          <w:sz w:val="22"/>
          <w:szCs w:val="22"/>
        </w:rPr>
      </w:pPr>
      <w:r>
        <w:rPr>
          <w:rFonts w:cs="Arial"/>
          <w:sz w:val="22"/>
          <w:szCs w:val="22"/>
        </w:rPr>
        <w:t>Green</w:t>
      </w:r>
      <w:r>
        <w:rPr>
          <w:rFonts w:cs="Arial"/>
          <w:sz w:val="22"/>
          <w:szCs w:val="22"/>
        </w:rPr>
        <w:tab/>
        <w:t>fewer than 20 points - “light touch” monitoring operates</w:t>
      </w:r>
    </w:p>
    <w:p w14:paraId="32455507" w14:textId="77777777" w:rsidR="005A270A" w:rsidRDefault="005A270A">
      <w:pPr>
        <w:tabs>
          <w:tab w:val="left" w:pos="1701"/>
        </w:tabs>
        <w:ind w:firstLine="567"/>
        <w:jc w:val="both"/>
        <w:rPr>
          <w:rFonts w:cs="Arial"/>
          <w:sz w:val="22"/>
          <w:szCs w:val="22"/>
        </w:rPr>
      </w:pPr>
    </w:p>
    <w:p w14:paraId="28DBB88C" w14:textId="77777777" w:rsidR="005A270A" w:rsidRDefault="005A270A">
      <w:pPr>
        <w:tabs>
          <w:tab w:val="left" w:pos="1701"/>
        </w:tabs>
        <w:ind w:left="1701" w:hanging="1134"/>
        <w:jc w:val="both"/>
        <w:rPr>
          <w:rFonts w:cs="Arial"/>
          <w:sz w:val="22"/>
          <w:szCs w:val="22"/>
        </w:rPr>
      </w:pPr>
      <w:r>
        <w:rPr>
          <w:rFonts w:cs="Arial"/>
          <w:sz w:val="22"/>
          <w:szCs w:val="22"/>
        </w:rPr>
        <w:t xml:space="preserve">Amber </w:t>
      </w:r>
      <w:r>
        <w:rPr>
          <w:rFonts w:cs="Arial"/>
          <w:sz w:val="22"/>
          <w:szCs w:val="22"/>
        </w:rPr>
        <w:tab/>
        <w:t>at least 20, but fewer than 40 points - the school is notified that a critical number of points has accumulated and is advised to redress the situation</w:t>
      </w:r>
    </w:p>
    <w:p w14:paraId="1043A5E2" w14:textId="77777777" w:rsidR="005A270A" w:rsidRDefault="005A270A">
      <w:pPr>
        <w:tabs>
          <w:tab w:val="left" w:pos="1701"/>
        </w:tabs>
        <w:ind w:left="1701" w:hanging="1134"/>
        <w:jc w:val="both"/>
        <w:rPr>
          <w:rFonts w:cs="Arial"/>
          <w:sz w:val="22"/>
          <w:szCs w:val="22"/>
        </w:rPr>
      </w:pPr>
    </w:p>
    <w:p w14:paraId="0E3F8C79" w14:textId="77777777" w:rsidR="005A270A" w:rsidRDefault="005A270A">
      <w:pPr>
        <w:tabs>
          <w:tab w:val="left" w:pos="1701"/>
        </w:tabs>
        <w:ind w:firstLine="567"/>
        <w:jc w:val="both"/>
        <w:rPr>
          <w:rFonts w:cs="Arial"/>
          <w:sz w:val="22"/>
          <w:szCs w:val="22"/>
        </w:rPr>
      </w:pPr>
      <w:r>
        <w:rPr>
          <w:rFonts w:cs="Arial"/>
          <w:sz w:val="22"/>
          <w:szCs w:val="22"/>
        </w:rPr>
        <w:t xml:space="preserve">Red </w:t>
      </w:r>
      <w:r>
        <w:rPr>
          <w:rFonts w:cs="Arial"/>
          <w:sz w:val="22"/>
          <w:szCs w:val="22"/>
        </w:rPr>
        <w:tab/>
        <w:t xml:space="preserve">40 points or more - “watchful eye” monitoring is in place </w:t>
      </w:r>
    </w:p>
    <w:p w14:paraId="35CAC480" w14:textId="77777777" w:rsidR="00AC38ED" w:rsidRDefault="00AC38ED">
      <w:pPr>
        <w:tabs>
          <w:tab w:val="left" w:pos="1701"/>
        </w:tabs>
        <w:ind w:firstLine="567"/>
        <w:jc w:val="both"/>
        <w:rPr>
          <w:rFonts w:cs="Arial"/>
          <w:sz w:val="22"/>
          <w:szCs w:val="22"/>
        </w:rPr>
      </w:pPr>
    </w:p>
    <w:p w14:paraId="5EE38929" w14:textId="77777777" w:rsidR="00AC38ED" w:rsidRDefault="00AC38ED">
      <w:pPr>
        <w:tabs>
          <w:tab w:val="left" w:pos="1701"/>
        </w:tabs>
        <w:ind w:firstLine="567"/>
        <w:jc w:val="both"/>
        <w:rPr>
          <w:rFonts w:cs="Arial"/>
          <w:sz w:val="22"/>
          <w:szCs w:val="22"/>
        </w:rPr>
      </w:pPr>
    </w:p>
    <w:p w14:paraId="77524C2C" w14:textId="77777777" w:rsidR="00AC38ED" w:rsidRDefault="00AC38ED">
      <w:pPr>
        <w:tabs>
          <w:tab w:val="left" w:pos="1701"/>
        </w:tabs>
        <w:ind w:firstLine="567"/>
        <w:jc w:val="both"/>
        <w:rPr>
          <w:rFonts w:cs="Arial"/>
          <w:sz w:val="22"/>
          <w:szCs w:val="22"/>
        </w:rPr>
      </w:pPr>
    </w:p>
    <w:p w14:paraId="7DAA3C22" w14:textId="77777777" w:rsidR="00AC38ED" w:rsidRDefault="00AC38ED">
      <w:pPr>
        <w:tabs>
          <w:tab w:val="left" w:pos="1701"/>
        </w:tabs>
        <w:ind w:firstLine="567"/>
        <w:jc w:val="both"/>
        <w:rPr>
          <w:rFonts w:cs="Arial"/>
          <w:sz w:val="22"/>
          <w:szCs w:val="22"/>
        </w:rPr>
      </w:pPr>
    </w:p>
    <w:p w14:paraId="3AC46995" w14:textId="77777777" w:rsidR="00AC38ED" w:rsidRDefault="00AC38ED">
      <w:pPr>
        <w:tabs>
          <w:tab w:val="left" w:pos="1701"/>
        </w:tabs>
        <w:ind w:firstLine="567"/>
        <w:jc w:val="both"/>
        <w:rPr>
          <w:rFonts w:cs="Arial"/>
          <w:sz w:val="22"/>
          <w:szCs w:val="22"/>
        </w:rPr>
      </w:pPr>
    </w:p>
    <w:p w14:paraId="299705F8" w14:textId="77777777" w:rsidR="00AC38ED" w:rsidRDefault="00AC38ED">
      <w:pPr>
        <w:tabs>
          <w:tab w:val="left" w:pos="1701"/>
        </w:tabs>
        <w:ind w:firstLine="567"/>
        <w:jc w:val="both"/>
        <w:rPr>
          <w:rFonts w:cs="Arial"/>
          <w:sz w:val="22"/>
          <w:szCs w:val="22"/>
        </w:rPr>
      </w:pPr>
    </w:p>
    <w:p w14:paraId="488D97F4" w14:textId="77777777" w:rsidR="00AC38ED" w:rsidRDefault="00AC38ED">
      <w:pPr>
        <w:tabs>
          <w:tab w:val="left" w:pos="1701"/>
        </w:tabs>
        <w:ind w:firstLine="567"/>
        <w:jc w:val="both"/>
        <w:rPr>
          <w:rFonts w:cs="Arial"/>
          <w:sz w:val="22"/>
          <w:szCs w:val="22"/>
        </w:rPr>
      </w:pPr>
    </w:p>
    <w:p w14:paraId="7D46D0E4" w14:textId="77777777" w:rsidR="00AC38ED" w:rsidRDefault="00AC38ED">
      <w:pPr>
        <w:tabs>
          <w:tab w:val="left" w:pos="1701"/>
        </w:tabs>
        <w:ind w:firstLine="567"/>
        <w:jc w:val="both"/>
        <w:rPr>
          <w:rFonts w:cs="Arial"/>
          <w:sz w:val="22"/>
          <w:szCs w:val="22"/>
        </w:rPr>
      </w:pPr>
    </w:p>
    <w:p w14:paraId="36FCA85E" w14:textId="77777777" w:rsidR="005A270A" w:rsidRDefault="005A270A">
      <w:pPr>
        <w:pStyle w:val="Heading1"/>
        <w:jc w:val="both"/>
        <w:rPr>
          <w:rFonts w:ascii="Arial" w:hAnsi="Arial" w:cs="Arial"/>
          <w:szCs w:val="22"/>
        </w:rPr>
      </w:pPr>
    </w:p>
    <w:p w14:paraId="15D3F0A6" w14:textId="77777777" w:rsidR="005A270A" w:rsidRDefault="005A270A">
      <w:pPr>
        <w:pStyle w:val="Heading1"/>
        <w:jc w:val="both"/>
        <w:rPr>
          <w:rFonts w:ascii="Arial" w:hAnsi="Arial" w:cs="Arial"/>
          <w:szCs w:val="22"/>
        </w:rPr>
      </w:pPr>
    </w:p>
    <w:p w14:paraId="7EC3C341" w14:textId="77777777" w:rsidR="005A270A" w:rsidRDefault="005A270A">
      <w:pPr>
        <w:pStyle w:val="Heading1"/>
        <w:jc w:val="both"/>
        <w:rPr>
          <w:rFonts w:ascii="Arial" w:hAnsi="Arial" w:cs="Arial"/>
          <w:szCs w:val="22"/>
        </w:rPr>
      </w:pPr>
      <w:r>
        <w:rPr>
          <w:rFonts w:ascii="Arial" w:hAnsi="Arial" w:cs="Arial"/>
          <w:szCs w:val="22"/>
        </w:rPr>
        <w:t>Where a School is in the GREEN Category</w:t>
      </w:r>
    </w:p>
    <w:p w14:paraId="3726823C" w14:textId="77777777" w:rsidR="005A270A" w:rsidRDefault="005A270A">
      <w:pPr>
        <w:pStyle w:val="Heading4"/>
        <w:jc w:val="both"/>
        <w:rPr>
          <w:rFonts w:ascii="Arial" w:hAnsi="Arial" w:cs="Arial"/>
          <w:szCs w:val="22"/>
        </w:rPr>
      </w:pPr>
    </w:p>
    <w:p w14:paraId="5B5F07BE" w14:textId="77777777" w:rsidR="005A270A" w:rsidRDefault="005A270A">
      <w:pPr>
        <w:jc w:val="both"/>
        <w:rPr>
          <w:rFonts w:cs="Arial"/>
          <w:sz w:val="22"/>
          <w:szCs w:val="22"/>
        </w:rPr>
      </w:pPr>
      <w:r>
        <w:rPr>
          <w:rFonts w:cs="Arial"/>
          <w:sz w:val="22"/>
          <w:szCs w:val="22"/>
        </w:rPr>
        <w:t>“Light Touch Monitoring” will apply</w:t>
      </w:r>
    </w:p>
    <w:p w14:paraId="67B8FCF5" w14:textId="20C8BC15" w:rsidR="005A270A" w:rsidRDefault="005A270A">
      <w:pPr>
        <w:jc w:val="both"/>
      </w:pPr>
    </w:p>
    <w:p w14:paraId="3ECD234A" w14:textId="77777777" w:rsidR="005A270A" w:rsidRDefault="005A270A">
      <w:pPr>
        <w:pStyle w:val="Heading1"/>
        <w:jc w:val="both"/>
        <w:rPr>
          <w:rFonts w:ascii="Arial" w:hAnsi="Arial" w:cs="Arial"/>
          <w:szCs w:val="22"/>
        </w:rPr>
      </w:pPr>
      <w:r>
        <w:rPr>
          <w:rFonts w:ascii="Arial" w:hAnsi="Arial" w:cs="Arial"/>
          <w:szCs w:val="22"/>
        </w:rPr>
        <w:t>Where a School enters the AMBER Category</w:t>
      </w:r>
    </w:p>
    <w:p w14:paraId="5ECF9104" w14:textId="77777777" w:rsidR="005A270A" w:rsidRDefault="005A270A">
      <w:pPr>
        <w:pStyle w:val="Heading4"/>
        <w:jc w:val="both"/>
        <w:rPr>
          <w:rFonts w:ascii="Arial" w:hAnsi="Arial" w:cs="Arial"/>
          <w:szCs w:val="22"/>
        </w:rPr>
      </w:pPr>
    </w:p>
    <w:p w14:paraId="5BFB3D10" w14:textId="77777777" w:rsidR="005A270A" w:rsidRDefault="005A270A">
      <w:pPr>
        <w:pStyle w:val="Heading4"/>
        <w:jc w:val="both"/>
        <w:rPr>
          <w:rFonts w:ascii="Arial" w:hAnsi="Arial" w:cs="Arial"/>
          <w:b w:val="0"/>
          <w:szCs w:val="22"/>
        </w:rPr>
      </w:pPr>
      <w:r>
        <w:rPr>
          <w:rFonts w:ascii="Arial" w:hAnsi="Arial" w:cs="Arial"/>
          <w:b w:val="0"/>
          <w:szCs w:val="22"/>
        </w:rPr>
        <w:t>A school is placed in the Amber category if it exceeds 20 points. The School is contacted by letter to the Head and Chair of Governors to:</w:t>
      </w:r>
    </w:p>
    <w:p w14:paraId="50627D42" w14:textId="77777777" w:rsidR="005A270A" w:rsidRDefault="005A270A"/>
    <w:p w14:paraId="6D6C1CC6" w14:textId="77777777" w:rsidR="005A270A" w:rsidRDefault="005A270A">
      <w:pPr>
        <w:numPr>
          <w:ilvl w:val="0"/>
          <w:numId w:val="10"/>
        </w:numPr>
        <w:tabs>
          <w:tab w:val="left" w:pos="1040"/>
        </w:tabs>
        <w:jc w:val="both"/>
        <w:rPr>
          <w:rFonts w:cs="Arial"/>
          <w:sz w:val="22"/>
          <w:szCs w:val="22"/>
        </w:rPr>
      </w:pPr>
      <w:r>
        <w:rPr>
          <w:rFonts w:cs="Arial"/>
          <w:sz w:val="22"/>
          <w:szCs w:val="22"/>
        </w:rPr>
        <w:t xml:space="preserve">investigate and identify issues </w:t>
      </w:r>
    </w:p>
    <w:p w14:paraId="6798C2ED" w14:textId="77777777" w:rsidR="005A270A" w:rsidRDefault="005A270A">
      <w:pPr>
        <w:numPr>
          <w:ilvl w:val="0"/>
          <w:numId w:val="10"/>
        </w:numPr>
        <w:tabs>
          <w:tab w:val="left" w:pos="1040"/>
        </w:tabs>
        <w:jc w:val="both"/>
        <w:rPr>
          <w:rFonts w:cs="Arial"/>
          <w:sz w:val="22"/>
          <w:szCs w:val="22"/>
        </w:rPr>
      </w:pPr>
      <w:r>
        <w:rPr>
          <w:rFonts w:cs="Arial"/>
          <w:sz w:val="22"/>
          <w:szCs w:val="22"/>
        </w:rPr>
        <w:t xml:space="preserve">to identify an agreed plan of action to improve the school’s financial health. The school will be expected to take appropriate action as a self-managing school to address the issues in the plan of action. This might include: </w:t>
      </w:r>
    </w:p>
    <w:p w14:paraId="6A7AE69F" w14:textId="77777777" w:rsidR="005A270A" w:rsidRDefault="005A270A">
      <w:pPr>
        <w:numPr>
          <w:ilvl w:val="0"/>
          <w:numId w:val="7"/>
        </w:numPr>
        <w:tabs>
          <w:tab w:val="num" w:pos="1134"/>
        </w:tabs>
        <w:ind w:left="1134" w:right="567" w:hanging="425"/>
        <w:jc w:val="both"/>
        <w:rPr>
          <w:rFonts w:cs="Arial"/>
          <w:sz w:val="22"/>
          <w:szCs w:val="22"/>
        </w:rPr>
      </w:pPr>
      <w:r>
        <w:rPr>
          <w:rFonts w:cs="Arial"/>
          <w:sz w:val="22"/>
          <w:szCs w:val="22"/>
        </w:rPr>
        <w:t xml:space="preserve">A review of </w:t>
      </w:r>
      <w:r w:rsidR="00A65CE1">
        <w:rPr>
          <w:rFonts w:cs="Arial"/>
          <w:sz w:val="22"/>
          <w:szCs w:val="22"/>
        </w:rPr>
        <w:t xml:space="preserve">the </w:t>
      </w:r>
      <w:r>
        <w:rPr>
          <w:rFonts w:cs="Arial"/>
          <w:sz w:val="22"/>
          <w:szCs w:val="22"/>
        </w:rPr>
        <w:t>school</w:t>
      </w:r>
      <w:r w:rsidR="00A65CE1">
        <w:rPr>
          <w:rFonts w:cs="Arial"/>
          <w:sz w:val="22"/>
          <w:szCs w:val="22"/>
        </w:rPr>
        <w:t>’</w:t>
      </w:r>
      <w:r>
        <w:rPr>
          <w:rFonts w:cs="Arial"/>
          <w:sz w:val="22"/>
          <w:szCs w:val="22"/>
        </w:rPr>
        <w:t>s financial procedures to ensure good practice is being adhered to</w:t>
      </w:r>
    </w:p>
    <w:p w14:paraId="07EE4A84" w14:textId="77777777" w:rsidR="005A270A" w:rsidRDefault="005A270A">
      <w:pPr>
        <w:numPr>
          <w:ilvl w:val="0"/>
          <w:numId w:val="7"/>
        </w:numPr>
        <w:tabs>
          <w:tab w:val="num" w:pos="1134"/>
        </w:tabs>
        <w:ind w:left="1134" w:right="567" w:hanging="425"/>
        <w:jc w:val="both"/>
        <w:rPr>
          <w:rFonts w:cs="Arial"/>
          <w:sz w:val="22"/>
          <w:szCs w:val="22"/>
        </w:rPr>
      </w:pPr>
      <w:r>
        <w:rPr>
          <w:rFonts w:cs="Arial"/>
          <w:sz w:val="22"/>
          <w:szCs w:val="22"/>
        </w:rPr>
        <w:t>Review of capacity available at the school or that adequate cover arrangements are in place for sickness or other absence</w:t>
      </w:r>
    </w:p>
    <w:p w14:paraId="5BAD5AE1" w14:textId="77777777" w:rsidR="005A270A" w:rsidRDefault="005A270A">
      <w:pPr>
        <w:numPr>
          <w:ilvl w:val="0"/>
          <w:numId w:val="7"/>
        </w:numPr>
        <w:tabs>
          <w:tab w:val="num" w:pos="1134"/>
        </w:tabs>
        <w:ind w:left="1134" w:right="567" w:hanging="425"/>
        <w:jc w:val="both"/>
        <w:rPr>
          <w:rFonts w:cs="Arial"/>
          <w:sz w:val="22"/>
          <w:szCs w:val="22"/>
        </w:rPr>
      </w:pPr>
      <w:r>
        <w:rPr>
          <w:rFonts w:cs="Arial"/>
          <w:sz w:val="22"/>
          <w:szCs w:val="22"/>
        </w:rPr>
        <w:t>Training or re-training on topics such as financial procedures or IT software applications</w:t>
      </w:r>
    </w:p>
    <w:p w14:paraId="24845B08" w14:textId="77777777" w:rsidR="005A270A" w:rsidRDefault="005A270A">
      <w:pPr>
        <w:numPr>
          <w:ilvl w:val="0"/>
          <w:numId w:val="7"/>
        </w:numPr>
        <w:tabs>
          <w:tab w:val="num" w:pos="1134"/>
        </w:tabs>
        <w:ind w:left="1134" w:right="567" w:hanging="425"/>
        <w:jc w:val="both"/>
        <w:rPr>
          <w:rFonts w:cs="Arial"/>
          <w:sz w:val="22"/>
          <w:szCs w:val="22"/>
        </w:rPr>
      </w:pPr>
      <w:r>
        <w:rPr>
          <w:rFonts w:cs="Arial"/>
          <w:sz w:val="22"/>
          <w:szCs w:val="22"/>
        </w:rPr>
        <w:t xml:space="preserve">Linking </w:t>
      </w:r>
      <w:proofErr w:type="gramStart"/>
      <w:r>
        <w:rPr>
          <w:rFonts w:cs="Arial"/>
          <w:sz w:val="22"/>
          <w:szCs w:val="22"/>
        </w:rPr>
        <w:t>in to</w:t>
      </w:r>
      <w:proofErr w:type="gramEnd"/>
      <w:r>
        <w:rPr>
          <w:rFonts w:cs="Arial"/>
          <w:sz w:val="22"/>
          <w:szCs w:val="22"/>
        </w:rPr>
        <w:t xml:space="preserve"> a mentor school from its cluster</w:t>
      </w:r>
    </w:p>
    <w:p w14:paraId="04A50DF6" w14:textId="77777777" w:rsidR="005A270A" w:rsidRDefault="005A270A">
      <w:pPr>
        <w:numPr>
          <w:ilvl w:val="0"/>
          <w:numId w:val="7"/>
        </w:numPr>
        <w:tabs>
          <w:tab w:val="num" w:pos="1134"/>
        </w:tabs>
        <w:ind w:left="1134" w:right="567" w:hanging="425"/>
        <w:jc w:val="both"/>
        <w:rPr>
          <w:rFonts w:cs="Arial"/>
          <w:sz w:val="22"/>
          <w:szCs w:val="22"/>
        </w:rPr>
      </w:pPr>
      <w:r>
        <w:rPr>
          <w:rFonts w:cs="Arial"/>
          <w:sz w:val="22"/>
          <w:szCs w:val="22"/>
        </w:rPr>
        <w:t>Appointing a financial bursar</w:t>
      </w:r>
    </w:p>
    <w:p w14:paraId="4B1557DB" w14:textId="77777777" w:rsidR="005A270A" w:rsidRDefault="005A270A">
      <w:pPr>
        <w:jc w:val="both"/>
        <w:rPr>
          <w:rFonts w:cs="Arial"/>
          <w:b/>
          <w:sz w:val="22"/>
          <w:szCs w:val="22"/>
        </w:rPr>
      </w:pPr>
      <w:r>
        <w:rPr>
          <w:sz w:val="22"/>
          <w:szCs w:val="22"/>
        </w:rPr>
        <w:t xml:space="preserve">   </w:t>
      </w:r>
    </w:p>
    <w:p w14:paraId="0CD83CF6" w14:textId="77777777" w:rsidR="005A270A" w:rsidRDefault="005A270A">
      <w:pPr>
        <w:pStyle w:val="Heading4"/>
        <w:jc w:val="both"/>
        <w:rPr>
          <w:rFonts w:ascii="Arial" w:hAnsi="Arial" w:cs="Arial"/>
          <w:szCs w:val="22"/>
        </w:rPr>
      </w:pPr>
      <w:r>
        <w:rPr>
          <w:rFonts w:ascii="Arial" w:hAnsi="Arial" w:cs="Arial"/>
          <w:szCs w:val="22"/>
        </w:rPr>
        <w:t xml:space="preserve">Where a School enters the RED Category  </w:t>
      </w:r>
    </w:p>
    <w:p w14:paraId="5EA75905" w14:textId="77777777" w:rsidR="005A270A" w:rsidRDefault="005A270A">
      <w:pPr>
        <w:jc w:val="both"/>
        <w:rPr>
          <w:rFonts w:cs="Arial"/>
          <w:sz w:val="22"/>
          <w:szCs w:val="22"/>
        </w:rPr>
      </w:pPr>
    </w:p>
    <w:p w14:paraId="550F02BC" w14:textId="77777777" w:rsidR="005A270A" w:rsidRDefault="005A270A">
      <w:pPr>
        <w:jc w:val="both"/>
        <w:rPr>
          <w:rFonts w:cs="Arial"/>
          <w:sz w:val="22"/>
          <w:szCs w:val="22"/>
        </w:rPr>
      </w:pPr>
      <w:r>
        <w:rPr>
          <w:rFonts w:cs="Arial"/>
          <w:sz w:val="22"/>
          <w:szCs w:val="22"/>
        </w:rPr>
        <w:t xml:space="preserve">A school is placed in the Red “watchful eye” category if it exceeds 40 points </w:t>
      </w:r>
    </w:p>
    <w:p w14:paraId="3BE8D20B" w14:textId="77777777" w:rsidR="005A270A" w:rsidRDefault="005A270A">
      <w:pPr>
        <w:jc w:val="both"/>
        <w:rPr>
          <w:rFonts w:cs="Arial"/>
          <w:sz w:val="22"/>
          <w:szCs w:val="22"/>
        </w:rPr>
      </w:pPr>
    </w:p>
    <w:p w14:paraId="6DCED17A" w14:textId="77777777" w:rsidR="005A270A" w:rsidRDefault="005A270A">
      <w:pPr>
        <w:numPr>
          <w:ilvl w:val="0"/>
          <w:numId w:val="8"/>
        </w:numPr>
        <w:jc w:val="both"/>
        <w:rPr>
          <w:rFonts w:cs="Arial"/>
          <w:sz w:val="22"/>
          <w:szCs w:val="22"/>
        </w:rPr>
      </w:pPr>
      <w:r>
        <w:rPr>
          <w:rFonts w:cs="Arial"/>
          <w:sz w:val="22"/>
          <w:szCs w:val="22"/>
        </w:rPr>
        <w:t>A meeting may be arranged with the School to support and challenge the issues that have not been resolved at the Amber stage.</w:t>
      </w:r>
    </w:p>
    <w:p w14:paraId="32471B39" w14:textId="77777777" w:rsidR="005A270A" w:rsidRDefault="005A270A">
      <w:pPr>
        <w:numPr>
          <w:ilvl w:val="0"/>
          <w:numId w:val="8"/>
        </w:numPr>
        <w:jc w:val="both"/>
        <w:rPr>
          <w:rFonts w:cs="Arial"/>
          <w:sz w:val="22"/>
          <w:szCs w:val="22"/>
        </w:rPr>
      </w:pPr>
      <w:r>
        <w:rPr>
          <w:rFonts w:cs="Arial"/>
          <w:sz w:val="22"/>
          <w:szCs w:val="22"/>
        </w:rPr>
        <w:t>The school may then be subject to ‘watchful eye’ monitoring (i.e. monthly)</w:t>
      </w:r>
    </w:p>
    <w:p w14:paraId="6CEC34BE" w14:textId="77777777" w:rsidR="005A270A" w:rsidRDefault="005A270A">
      <w:pPr>
        <w:numPr>
          <w:ilvl w:val="0"/>
          <w:numId w:val="8"/>
        </w:numPr>
        <w:jc w:val="both"/>
        <w:rPr>
          <w:rFonts w:cs="Arial"/>
          <w:sz w:val="22"/>
          <w:szCs w:val="22"/>
        </w:rPr>
      </w:pPr>
      <w:r>
        <w:rPr>
          <w:rFonts w:cs="Arial"/>
          <w:sz w:val="22"/>
          <w:szCs w:val="22"/>
        </w:rPr>
        <w:t>The Local Authority may issue a Notice of Concern, which may place further formal restrictions on the school in support of improving the current position and ensuring minimum reporting requirements are met</w:t>
      </w:r>
    </w:p>
    <w:p w14:paraId="3CB05176" w14:textId="77777777" w:rsidR="005A270A" w:rsidRDefault="005A270A">
      <w:pPr>
        <w:numPr>
          <w:ilvl w:val="0"/>
          <w:numId w:val="8"/>
        </w:numPr>
        <w:jc w:val="both"/>
        <w:rPr>
          <w:rFonts w:cs="Arial"/>
          <w:sz w:val="22"/>
          <w:szCs w:val="22"/>
        </w:rPr>
      </w:pPr>
      <w:r>
        <w:rPr>
          <w:rFonts w:cs="Arial"/>
          <w:sz w:val="22"/>
          <w:szCs w:val="22"/>
        </w:rPr>
        <w:t xml:space="preserve">If the Notice of Concern is not successful in securing improvement, there is an “escalation” process with the removal of delegation as an absolute last resort. </w:t>
      </w:r>
    </w:p>
    <w:p w14:paraId="53320032" w14:textId="77777777" w:rsidR="005A270A" w:rsidRDefault="005A270A">
      <w:pPr>
        <w:jc w:val="both"/>
        <w:rPr>
          <w:rFonts w:cs="Arial"/>
          <w:sz w:val="22"/>
          <w:szCs w:val="22"/>
        </w:rPr>
      </w:pPr>
    </w:p>
    <w:p w14:paraId="403E6052" w14:textId="77777777" w:rsidR="005A270A" w:rsidRDefault="005A270A">
      <w:pPr>
        <w:jc w:val="both"/>
        <w:rPr>
          <w:rFonts w:cs="Arial"/>
          <w:sz w:val="22"/>
          <w:szCs w:val="22"/>
        </w:rPr>
      </w:pPr>
    </w:p>
    <w:p w14:paraId="340201AE" w14:textId="77777777" w:rsidR="005A270A" w:rsidRDefault="005A270A">
      <w:pPr>
        <w:pStyle w:val="Heading1"/>
        <w:jc w:val="both"/>
        <w:rPr>
          <w:rFonts w:ascii="Arial" w:hAnsi="Arial" w:cs="Arial"/>
          <w:szCs w:val="22"/>
        </w:rPr>
      </w:pPr>
      <w:r>
        <w:rPr>
          <w:rFonts w:ascii="Arial" w:hAnsi="Arial" w:cs="Arial"/>
          <w:szCs w:val="22"/>
        </w:rPr>
        <w:t>Administration Arrangements</w:t>
      </w:r>
    </w:p>
    <w:p w14:paraId="4C074C86" w14:textId="77777777" w:rsidR="005A270A" w:rsidRDefault="005A270A">
      <w:pPr>
        <w:rPr>
          <w:sz w:val="22"/>
          <w:szCs w:val="22"/>
        </w:rPr>
      </w:pPr>
    </w:p>
    <w:p w14:paraId="4F0F8220" w14:textId="77777777" w:rsidR="005A270A" w:rsidRDefault="005A270A">
      <w:pPr>
        <w:numPr>
          <w:ilvl w:val="0"/>
          <w:numId w:val="9"/>
        </w:numPr>
        <w:jc w:val="both"/>
        <w:rPr>
          <w:rFonts w:cs="Arial"/>
          <w:sz w:val="22"/>
          <w:szCs w:val="22"/>
        </w:rPr>
      </w:pPr>
      <w:r>
        <w:rPr>
          <w:rFonts w:cs="Arial"/>
          <w:sz w:val="22"/>
          <w:szCs w:val="22"/>
        </w:rPr>
        <w:t xml:space="preserve">The scorecard operates on a quarterly rolling programme i.e. the scoring is based on the last four quarters. </w:t>
      </w:r>
    </w:p>
    <w:p w14:paraId="20FFF07A" w14:textId="77777777" w:rsidR="005A270A" w:rsidRDefault="005A270A">
      <w:pPr>
        <w:numPr>
          <w:ilvl w:val="0"/>
          <w:numId w:val="9"/>
        </w:numPr>
        <w:tabs>
          <w:tab w:val="left" w:pos="1040"/>
        </w:tabs>
        <w:jc w:val="both"/>
        <w:rPr>
          <w:rFonts w:cs="Arial"/>
          <w:sz w:val="22"/>
          <w:szCs w:val="22"/>
        </w:rPr>
      </w:pPr>
      <w:r>
        <w:rPr>
          <w:rFonts w:cs="Arial"/>
          <w:sz w:val="22"/>
          <w:szCs w:val="22"/>
        </w:rPr>
        <w:t xml:space="preserve">Each school </w:t>
      </w:r>
      <w:r w:rsidR="00A65CE1">
        <w:rPr>
          <w:rFonts w:cs="Arial"/>
          <w:sz w:val="22"/>
          <w:szCs w:val="22"/>
        </w:rPr>
        <w:t>is issued with</w:t>
      </w:r>
      <w:r>
        <w:rPr>
          <w:rFonts w:cs="Arial"/>
          <w:sz w:val="22"/>
          <w:szCs w:val="22"/>
        </w:rPr>
        <w:t xml:space="preserve"> a scorecard on quarterly basis (this is placed in the secure area of the Bradford Schools Online website for schools to access; schools can only access the scorecard for their school)  </w:t>
      </w:r>
    </w:p>
    <w:p w14:paraId="15B92C8C" w14:textId="77777777" w:rsidR="005A270A" w:rsidRDefault="005A270A">
      <w:pPr>
        <w:numPr>
          <w:ilvl w:val="0"/>
          <w:numId w:val="9"/>
        </w:numPr>
        <w:jc w:val="both"/>
        <w:rPr>
          <w:rFonts w:cs="Arial"/>
          <w:sz w:val="22"/>
          <w:szCs w:val="22"/>
        </w:rPr>
      </w:pPr>
      <w:r>
        <w:rPr>
          <w:rFonts w:cs="Arial"/>
          <w:sz w:val="22"/>
          <w:szCs w:val="22"/>
        </w:rPr>
        <w:t>The score of each school is monitored and, when trigger positions are reached, the school is notified of any change to reporting requirements.</w:t>
      </w:r>
    </w:p>
    <w:p w14:paraId="7BEEC17C" w14:textId="77777777" w:rsidR="005A270A" w:rsidRDefault="005A270A">
      <w:pPr>
        <w:numPr>
          <w:ilvl w:val="0"/>
          <w:numId w:val="9"/>
        </w:numPr>
        <w:jc w:val="both"/>
        <w:rPr>
          <w:rFonts w:cs="Arial"/>
          <w:sz w:val="22"/>
          <w:szCs w:val="22"/>
        </w:rPr>
      </w:pPr>
      <w:r>
        <w:rPr>
          <w:rFonts w:cs="Arial"/>
          <w:sz w:val="22"/>
          <w:szCs w:val="22"/>
        </w:rPr>
        <w:t>The School is expected to present the Scorecard at Governor’s meetings.</w:t>
      </w:r>
    </w:p>
    <w:p w14:paraId="1181AEF5" w14:textId="77777777" w:rsidR="005A270A" w:rsidRDefault="005A270A">
      <w:pPr>
        <w:numPr>
          <w:ilvl w:val="0"/>
          <w:numId w:val="9"/>
        </w:numPr>
        <w:tabs>
          <w:tab w:val="left" w:pos="1040"/>
        </w:tabs>
        <w:jc w:val="both"/>
        <w:rPr>
          <w:rFonts w:cs="Arial"/>
          <w:sz w:val="22"/>
          <w:szCs w:val="22"/>
        </w:rPr>
      </w:pPr>
      <w:r>
        <w:rPr>
          <w:rFonts w:cs="Arial"/>
          <w:sz w:val="22"/>
          <w:szCs w:val="22"/>
        </w:rPr>
        <w:t xml:space="preserve">Scorecards may also be shared with the </w:t>
      </w:r>
      <w:r w:rsidR="00803243">
        <w:rPr>
          <w:rFonts w:cs="Arial"/>
          <w:sz w:val="22"/>
          <w:szCs w:val="22"/>
        </w:rPr>
        <w:t>Achievement Service</w:t>
      </w:r>
    </w:p>
    <w:p w14:paraId="372198B0" w14:textId="77777777" w:rsidR="005A270A" w:rsidRDefault="005A270A">
      <w:pPr>
        <w:jc w:val="both"/>
        <w:rPr>
          <w:rFonts w:cs="Arial"/>
          <w:sz w:val="22"/>
          <w:szCs w:val="22"/>
        </w:rPr>
      </w:pPr>
    </w:p>
    <w:p w14:paraId="1EEB6DCF" w14:textId="77777777" w:rsidR="005A270A" w:rsidRDefault="005A270A">
      <w:pPr>
        <w:pStyle w:val="Footer"/>
        <w:rPr>
          <w:b/>
          <w:sz w:val="22"/>
          <w:szCs w:val="22"/>
        </w:rPr>
      </w:pPr>
      <w:r>
        <w:br w:type="page"/>
      </w:r>
      <w:r>
        <w:rPr>
          <w:b/>
          <w:sz w:val="22"/>
          <w:szCs w:val="22"/>
        </w:rPr>
        <w:lastRenderedPageBreak/>
        <w:t>LIGHT TOUCH FINANCIAL MONITORING (LTFM) – SCORING SYSTEM</w:t>
      </w:r>
    </w:p>
    <w:p w14:paraId="48E057D2" w14:textId="77777777" w:rsidR="005A270A" w:rsidRDefault="005A270A">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840"/>
        <w:gridCol w:w="1188"/>
      </w:tblGrid>
      <w:tr w:rsidR="005A270A" w:rsidRPr="005A270A" w14:paraId="43F89432" w14:textId="77777777" w:rsidTr="005A270A">
        <w:tc>
          <w:tcPr>
            <w:tcW w:w="828" w:type="dxa"/>
            <w:tcBorders>
              <w:bottom w:val="nil"/>
              <w:right w:val="single" w:sz="4" w:space="0" w:color="auto"/>
            </w:tcBorders>
          </w:tcPr>
          <w:p w14:paraId="6195E0EA" w14:textId="77777777" w:rsidR="005A270A" w:rsidRPr="005A270A" w:rsidRDefault="005A270A" w:rsidP="005A270A">
            <w:pPr>
              <w:jc w:val="center"/>
              <w:rPr>
                <w:rFonts w:cs="Arial"/>
                <w:b/>
                <w:szCs w:val="22"/>
              </w:rPr>
            </w:pPr>
            <w:r w:rsidRPr="005A270A">
              <w:rPr>
                <w:rFonts w:cs="Arial"/>
                <w:b/>
                <w:szCs w:val="22"/>
              </w:rPr>
              <w:t>Ref</w:t>
            </w:r>
          </w:p>
        </w:tc>
        <w:tc>
          <w:tcPr>
            <w:tcW w:w="6840" w:type="dxa"/>
            <w:tcBorders>
              <w:left w:val="single" w:sz="4" w:space="0" w:color="auto"/>
              <w:bottom w:val="nil"/>
              <w:right w:val="single" w:sz="4" w:space="0" w:color="auto"/>
            </w:tcBorders>
          </w:tcPr>
          <w:p w14:paraId="4DE251BD" w14:textId="77777777" w:rsidR="005A270A" w:rsidRPr="005A270A" w:rsidRDefault="005A270A" w:rsidP="005A270A">
            <w:pPr>
              <w:ind w:left="360"/>
              <w:jc w:val="center"/>
              <w:rPr>
                <w:rFonts w:cs="Arial"/>
                <w:b/>
                <w:szCs w:val="22"/>
              </w:rPr>
            </w:pPr>
            <w:r w:rsidRPr="005A270A">
              <w:rPr>
                <w:rFonts w:cs="Arial"/>
                <w:b/>
                <w:szCs w:val="22"/>
              </w:rPr>
              <w:t>Detail</w:t>
            </w:r>
          </w:p>
        </w:tc>
        <w:tc>
          <w:tcPr>
            <w:tcW w:w="1188" w:type="dxa"/>
            <w:tcBorders>
              <w:left w:val="single" w:sz="4" w:space="0" w:color="auto"/>
              <w:bottom w:val="nil"/>
            </w:tcBorders>
          </w:tcPr>
          <w:p w14:paraId="7E66AC9A" w14:textId="77777777" w:rsidR="005A270A" w:rsidRPr="005A270A" w:rsidRDefault="005A270A" w:rsidP="005A270A">
            <w:pPr>
              <w:jc w:val="center"/>
              <w:rPr>
                <w:rFonts w:cs="Arial"/>
                <w:b/>
                <w:szCs w:val="22"/>
              </w:rPr>
            </w:pPr>
            <w:r w:rsidRPr="005A270A">
              <w:rPr>
                <w:rFonts w:cs="Arial"/>
                <w:b/>
                <w:szCs w:val="22"/>
              </w:rPr>
              <w:t>Points</w:t>
            </w:r>
          </w:p>
        </w:tc>
      </w:tr>
      <w:tr w:rsidR="005A270A" w:rsidRPr="005A270A" w14:paraId="313B05DA" w14:textId="77777777" w:rsidTr="005A270A">
        <w:trPr>
          <w:trHeight w:val="172"/>
        </w:trPr>
        <w:tc>
          <w:tcPr>
            <w:tcW w:w="828" w:type="dxa"/>
            <w:tcBorders>
              <w:top w:val="nil"/>
              <w:right w:val="single" w:sz="4" w:space="0" w:color="auto"/>
            </w:tcBorders>
          </w:tcPr>
          <w:p w14:paraId="325A0C92" w14:textId="77777777" w:rsidR="005A270A" w:rsidRPr="005A270A" w:rsidRDefault="005A270A">
            <w:pPr>
              <w:rPr>
                <w:rFonts w:cs="Arial"/>
                <w:b/>
                <w:szCs w:val="22"/>
              </w:rPr>
            </w:pPr>
          </w:p>
        </w:tc>
        <w:tc>
          <w:tcPr>
            <w:tcW w:w="6840" w:type="dxa"/>
            <w:tcBorders>
              <w:top w:val="nil"/>
              <w:left w:val="single" w:sz="4" w:space="0" w:color="auto"/>
              <w:right w:val="single" w:sz="4" w:space="0" w:color="auto"/>
            </w:tcBorders>
          </w:tcPr>
          <w:p w14:paraId="43A0FEAD" w14:textId="77777777" w:rsidR="005A270A" w:rsidRPr="005A270A" w:rsidRDefault="005A270A" w:rsidP="005A270A">
            <w:pPr>
              <w:ind w:left="360"/>
              <w:rPr>
                <w:rFonts w:cs="Arial"/>
                <w:b/>
                <w:szCs w:val="22"/>
              </w:rPr>
            </w:pPr>
          </w:p>
        </w:tc>
        <w:tc>
          <w:tcPr>
            <w:tcW w:w="1188" w:type="dxa"/>
            <w:tcBorders>
              <w:top w:val="nil"/>
              <w:left w:val="single" w:sz="4" w:space="0" w:color="auto"/>
            </w:tcBorders>
          </w:tcPr>
          <w:p w14:paraId="1257112F" w14:textId="77777777" w:rsidR="005A270A" w:rsidRPr="005A270A" w:rsidRDefault="005A270A" w:rsidP="005A270A">
            <w:pPr>
              <w:jc w:val="center"/>
              <w:rPr>
                <w:rFonts w:cs="Arial"/>
                <w:b/>
                <w:szCs w:val="22"/>
              </w:rPr>
            </w:pPr>
          </w:p>
        </w:tc>
      </w:tr>
      <w:tr w:rsidR="005A270A" w:rsidRPr="005A270A" w14:paraId="0CDBA255" w14:textId="77777777" w:rsidTr="005A270A">
        <w:trPr>
          <w:trHeight w:val="240"/>
        </w:trPr>
        <w:tc>
          <w:tcPr>
            <w:tcW w:w="828" w:type="dxa"/>
          </w:tcPr>
          <w:p w14:paraId="405C4480" w14:textId="77777777" w:rsidR="005A270A" w:rsidRPr="005A270A" w:rsidRDefault="005A270A">
            <w:pPr>
              <w:rPr>
                <w:rFonts w:cs="Arial"/>
                <w:b/>
                <w:szCs w:val="22"/>
              </w:rPr>
            </w:pPr>
            <w:r w:rsidRPr="005A270A">
              <w:rPr>
                <w:rFonts w:cs="Arial"/>
                <w:b/>
                <w:szCs w:val="22"/>
              </w:rPr>
              <w:t>1</w:t>
            </w:r>
          </w:p>
        </w:tc>
        <w:tc>
          <w:tcPr>
            <w:tcW w:w="6840" w:type="dxa"/>
          </w:tcPr>
          <w:p w14:paraId="2EBCC734" w14:textId="77777777" w:rsidR="005A270A" w:rsidRPr="005A270A" w:rsidRDefault="005A270A">
            <w:pPr>
              <w:rPr>
                <w:rFonts w:cs="Arial"/>
                <w:b/>
                <w:szCs w:val="22"/>
              </w:rPr>
            </w:pPr>
            <w:r w:rsidRPr="005A270A">
              <w:rPr>
                <w:rFonts w:cs="Arial"/>
                <w:b/>
                <w:szCs w:val="22"/>
              </w:rPr>
              <w:t>GOVERNING BODY APPROVED BUDGETS</w:t>
            </w:r>
          </w:p>
        </w:tc>
        <w:tc>
          <w:tcPr>
            <w:tcW w:w="1188" w:type="dxa"/>
          </w:tcPr>
          <w:p w14:paraId="1B32F487" w14:textId="77777777" w:rsidR="005A270A" w:rsidRPr="005A270A" w:rsidRDefault="005A270A">
            <w:pPr>
              <w:rPr>
                <w:rFonts w:cs="Arial"/>
                <w:szCs w:val="22"/>
              </w:rPr>
            </w:pPr>
          </w:p>
        </w:tc>
      </w:tr>
      <w:tr w:rsidR="005A270A" w:rsidRPr="005A270A" w14:paraId="793BF323" w14:textId="77777777" w:rsidTr="005A270A">
        <w:tc>
          <w:tcPr>
            <w:tcW w:w="828" w:type="dxa"/>
          </w:tcPr>
          <w:p w14:paraId="60EF4EB3" w14:textId="77777777" w:rsidR="005A270A" w:rsidRPr="005A270A" w:rsidRDefault="005A270A">
            <w:pPr>
              <w:rPr>
                <w:rFonts w:cs="Arial"/>
                <w:szCs w:val="22"/>
              </w:rPr>
            </w:pPr>
            <w:r w:rsidRPr="005A270A">
              <w:rPr>
                <w:rFonts w:cs="Arial"/>
                <w:szCs w:val="22"/>
              </w:rPr>
              <w:t>1.1</w:t>
            </w:r>
          </w:p>
        </w:tc>
        <w:tc>
          <w:tcPr>
            <w:tcW w:w="6840" w:type="dxa"/>
          </w:tcPr>
          <w:p w14:paraId="57AB0F3A" w14:textId="77777777" w:rsidR="005A270A" w:rsidRPr="005A270A" w:rsidRDefault="005A270A">
            <w:pPr>
              <w:rPr>
                <w:rFonts w:cs="Arial"/>
                <w:szCs w:val="22"/>
              </w:rPr>
            </w:pPr>
            <w:r w:rsidRPr="005A270A">
              <w:rPr>
                <w:rFonts w:cs="Arial"/>
                <w:szCs w:val="22"/>
              </w:rPr>
              <w:t>Governing Body Approved Budget not received by 15 May</w:t>
            </w:r>
          </w:p>
        </w:tc>
        <w:tc>
          <w:tcPr>
            <w:tcW w:w="1188" w:type="dxa"/>
          </w:tcPr>
          <w:p w14:paraId="58741AFB" w14:textId="77777777" w:rsidR="005A270A" w:rsidRPr="005A270A" w:rsidRDefault="005A270A" w:rsidP="005A270A">
            <w:pPr>
              <w:jc w:val="center"/>
              <w:rPr>
                <w:rFonts w:cs="Arial"/>
                <w:szCs w:val="22"/>
              </w:rPr>
            </w:pPr>
            <w:r w:rsidRPr="005A270A">
              <w:rPr>
                <w:rFonts w:cs="Arial"/>
                <w:szCs w:val="22"/>
              </w:rPr>
              <w:t>5</w:t>
            </w:r>
          </w:p>
        </w:tc>
      </w:tr>
      <w:tr w:rsidR="005A270A" w:rsidRPr="005A270A" w14:paraId="55D6F34D" w14:textId="77777777" w:rsidTr="005A270A">
        <w:tc>
          <w:tcPr>
            <w:tcW w:w="828" w:type="dxa"/>
          </w:tcPr>
          <w:p w14:paraId="0BEB6B65" w14:textId="77777777" w:rsidR="005A270A" w:rsidRPr="005A270A" w:rsidRDefault="005A270A">
            <w:pPr>
              <w:rPr>
                <w:rFonts w:cs="Arial"/>
                <w:szCs w:val="22"/>
              </w:rPr>
            </w:pPr>
            <w:r w:rsidRPr="005A270A">
              <w:rPr>
                <w:rFonts w:cs="Arial"/>
                <w:szCs w:val="22"/>
              </w:rPr>
              <w:t>1.2</w:t>
            </w:r>
          </w:p>
        </w:tc>
        <w:tc>
          <w:tcPr>
            <w:tcW w:w="6840" w:type="dxa"/>
          </w:tcPr>
          <w:p w14:paraId="6183C7E6" w14:textId="77777777" w:rsidR="005A270A" w:rsidRPr="005A270A" w:rsidRDefault="005A270A">
            <w:pPr>
              <w:rPr>
                <w:rFonts w:cs="Arial"/>
                <w:szCs w:val="22"/>
              </w:rPr>
            </w:pPr>
            <w:r w:rsidRPr="005A270A">
              <w:rPr>
                <w:rFonts w:cs="Arial"/>
                <w:szCs w:val="22"/>
              </w:rPr>
              <w:t>Governing Body Approved Budget not received by 30 June</w:t>
            </w:r>
          </w:p>
        </w:tc>
        <w:tc>
          <w:tcPr>
            <w:tcW w:w="1188" w:type="dxa"/>
          </w:tcPr>
          <w:p w14:paraId="1798A3F7" w14:textId="77777777" w:rsidR="005A270A" w:rsidRPr="005A270A" w:rsidRDefault="005A270A" w:rsidP="005A270A">
            <w:pPr>
              <w:jc w:val="center"/>
              <w:rPr>
                <w:rFonts w:cs="Arial"/>
                <w:szCs w:val="22"/>
              </w:rPr>
            </w:pPr>
            <w:r w:rsidRPr="005A270A">
              <w:rPr>
                <w:rFonts w:cs="Arial"/>
                <w:szCs w:val="22"/>
              </w:rPr>
              <w:t>35</w:t>
            </w:r>
          </w:p>
        </w:tc>
      </w:tr>
      <w:tr w:rsidR="005A270A" w:rsidRPr="005A270A" w14:paraId="4A7D500F" w14:textId="77777777" w:rsidTr="005A270A">
        <w:tc>
          <w:tcPr>
            <w:tcW w:w="828" w:type="dxa"/>
          </w:tcPr>
          <w:p w14:paraId="3240B022" w14:textId="77777777" w:rsidR="005A270A" w:rsidRPr="005A270A" w:rsidRDefault="005A270A">
            <w:pPr>
              <w:rPr>
                <w:rFonts w:cs="Arial"/>
                <w:szCs w:val="22"/>
              </w:rPr>
            </w:pPr>
            <w:r w:rsidRPr="005A270A">
              <w:rPr>
                <w:rFonts w:cs="Arial"/>
                <w:szCs w:val="22"/>
              </w:rPr>
              <w:t>1.3</w:t>
            </w:r>
          </w:p>
        </w:tc>
        <w:tc>
          <w:tcPr>
            <w:tcW w:w="6840" w:type="dxa"/>
          </w:tcPr>
          <w:p w14:paraId="76B1D60D" w14:textId="77777777" w:rsidR="005A270A" w:rsidRPr="005A270A" w:rsidRDefault="005A270A">
            <w:pPr>
              <w:rPr>
                <w:rFonts w:cs="Arial"/>
                <w:szCs w:val="22"/>
              </w:rPr>
            </w:pPr>
            <w:r w:rsidRPr="005A270A">
              <w:rPr>
                <w:rFonts w:cs="Arial"/>
                <w:szCs w:val="22"/>
              </w:rPr>
              <w:t>Subsequent receipt of Governing Body Approved Budget</w:t>
            </w:r>
          </w:p>
        </w:tc>
        <w:tc>
          <w:tcPr>
            <w:tcW w:w="1188" w:type="dxa"/>
          </w:tcPr>
          <w:p w14:paraId="1F6D986D" w14:textId="77777777" w:rsidR="005A270A" w:rsidRPr="005A270A" w:rsidRDefault="005A270A" w:rsidP="005A270A">
            <w:pPr>
              <w:jc w:val="center"/>
              <w:rPr>
                <w:rFonts w:cs="Arial"/>
                <w:szCs w:val="22"/>
              </w:rPr>
            </w:pPr>
            <w:r w:rsidRPr="005A270A">
              <w:rPr>
                <w:rFonts w:cs="Arial"/>
                <w:szCs w:val="22"/>
              </w:rPr>
              <w:t>-25</w:t>
            </w:r>
          </w:p>
        </w:tc>
      </w:tr>
      <w:tr w:rsidR="005A270A" w:rsidRPr="005A270A" w14:paraId="774D5601" w14:textId="77777777" w:rsidTr="005A270A">
        <w:tc>
          <w:tcPr>
            <w:tcW w:w="828" w:type="dxa"/>
          </w:tcPr>
          <w:p w14:paraId="44752DB6" w14:textId="77777777" w:rsidR="005A270A" w:rsidRPr="005A270A" w:rsidRDefault="005A270A">
            <w:pPr>
              <w:rPr>
                <w:rFonts w:cs="Arial"/>
                <w:szCs w:val="22"/>
              </w:rPr>
            </w:pPr>
            <w:r w:rsidRPr="005A270A">
              <w:rPr>
                <w:rFonts w:cs="Arial"/>
                <w:szCs w:val="22"/>
              </w:rPr>
              <w:t>1.4</w:t>
            </w:r>
          </w:p>
        </w:tc>
        <w:tc>
          <w:tcPr>
            <w:tcW w:w="6840" w:type="dxa"/>
          </w:tcPr>
          <w:p w14:paraId="5E6765EC" w14:textId="5F19B2BB" w:rsidR="005A270A" w:rsidRPr="005A270A" w:rsidRDefault="005A270A">
            <w:pPr>
              <w:rPr>
                <w:rFonts w:cs="Arial"/>
                <w:szCs w:val="22"/>
              </w:rPr>
            </w:pPr>
            <w:r w:rsidRPr="005A270A">
              <w:rPr>
                <w:rFonts w:cs="Arial"/>
                <w:szCs w:val="22"/>
              </w:rPr>
              <w:t>2</w:t>
            </w:r>
            <w:r w:rsidR="00553F7B" w:rsidRPr="00553F7B">
              <w:rPr>
                <w:rFonts w:cs="Arial"/>
                <w:szCs w:val="22"/>
                <w:vertAlign w:val="superscript"/>
              </w:rPr>
              <w:t>nd</w:t>
            </w:r>
            <w:r w:rsidR="00553F7B">
              <w:rPr>
                <w:rFonts w:cs="Arial"/>
                <w:szCs w:val="22"/>
              </w:rPr>
              <w:t xml:space="preserve"> </w:t>
            </w:r>
            <w:r w:rsidRPr="005A270A">
              <w:rPr>
                <w:rFonts w:cs="Arial"/>
                <w:szCs w:val="22"/>
              </w:rPr>
              <w:t>and 3</w:t>
            </w:r>
            <w:r w:rsidRPr="005A270A">
              <w:rPr>
                <w:rFonts w:cs="Arial"/>
                <w:szCs w:val="22"/>
                <w:vertAlign w:val="superscript"/>
              </w:rPr>
              <w:t>rd</w:t>
            </w:r>
            <w:r w:rsidRPr="005A270A">
              <w:rPr>
                <w:rFonts w:cs="Arial"/>
                <w:szCs w:val="22"/>
              </w:rPr>
              <w:t xml:space="preserve"> Year Budget not received by 30 June </w:t>
            </w:r>
          </w:p>
        </w:tc>
        <w:tc>
          <w:tcPr>
            <w:tcW w:w="1188" w:type="dxa"/>
          </w:tcPr>
          <w:p w14:paraId="3FBE0186" w14:textId="77777777" w:rsidR="005A270A" w:rsidRPr="005A270A" w:rsidRDefault="005A270A" w:rsidP="005A270A">
            <w:pPr>
              <w:jc w:val="center"/>
              <w:rPr>
                <w:rFonts w:cs="Arial"/>
                <w:szCs w:val="22"/>
              </w:rPr>
            </w:pPr>
            <w:r w:rsidRPr="005A270A">
              <w:rPr>
                <w:rFonts w:cs="Arial"/>
                <w:szCs w:val="22"/>
              </w:rPr>
              <w:t>15</w:t>
            </w:r>
          </w:p>
        </w:tc>
      </w:tr>
      <w:tr w:rsidR="005A270A" w:rsidRPr="005A270A" w14:paraId="4776F497" w14:textId="77777777" w:rsidTr="005A270A">
        <w:tc>
          <w:tcPr>
            <w:tcW w:w="828" w:type="dxa"/>
            <w:tcBorders>
              <w:bottom w:val="single" w:sz="4" w:space="0" w:color="auto"/>
            </w:tcBorders>
          </w:tcPr>
          <w:p w14:paraId="6CE96CE1" w14:textId="77777777" w:rsidR="005A270A" w:rsidRPr="005A270A" w:rsidRDefault="005A270A">
            <w:pPr>
              <w:rPr>
                <w:rFonts w:cs="Arial"/>
                <w:szCs w:val="22"/>
              </w:rPr>
            </w:pPr>
            <w:r w:rsidRPr="005A270A">
              <w:rPr>
                <w:rFonts w:cs="Arial"/>
                <w:szCs w:val="22"/>
              </w:rPr>
              <w:t>1.5</w:t>
            </w:r>
          </w:p>
        </w:tc>
        <w:tc>
          <w:tcPr>
            <w:tcW w:w="6840" w:type="dxa"/>
            <w:tcBorders>
              <w:bottom w:val="single" w:sz="4" w:space="0" w:color="auto"/>
            </w:tcBorders>
          </w:tcPr>
          <w:p w14:paraId="5202F224" w14:textId="77777777" w:rsidR="005A270A" w:rsidRPr="005A270A" w:rsidRDefault="005A270A">
            <w:pPr>
              <w:rPr>
                <w:rFonts w:cs="Arial"/>
                <w:szCs w:val="22"/>
              </w:rPr>
            </w:pPr>
            <w:r w:rsidRPr="005A270A">
              <w:rPr>
                <w:rFonts w:cs="Arial"/>
                <w:szCs w:val="22"/>
              </w:rPr>
              <w:t>Subsequent receipt of 2</w:t>
            </w:r>
            <w:r w:rsidRPr="005A270A">
              <w:rPr>
                <w:rFonts w:cs="Arial"/>
                <w:szCs w:val="22"/>
                <w:vertAlign w:val="superscript"/>
              </w:rPr>
              <w:t>nd</w:t>
            </w:r>
            <w:r w:rsidRPr="005A270A">
              <w:rPr>
                <w:rFonts w:cs="Arial"/>
                <w:szCs w:val="22"/>
              </w:rPr>
              <w:t xml:space="preserve"> and 3</w:t>
            </w:r>
            <w:r w:rsidRPr="005A270A">
              <w:rPr>
                <w:rFonts w:cs="Arial"/>
                <w:szCs w:val="22"/>
                <w:vertAlign w:val="superscript"/>
              </w:rPr>
              <w:t>rd</w:t>
            </w:r>
            <w:r w:rsidRPr="005A270A">
              <w:rPr>
                <w:rFonts w:cs="Arial"/>
                <w:szCs w:val="22"/>
              </w:rPr>
              <w:t xml:space="preserve"> year budget </w:t>
            </w:r>
          </w:p>
        </w:tc>
        <w:tc>
          <w:tcPr>
            <w:tcW w:w="1188" w:type="dxa"/>
            <w:tcBorders>
              <w:bottom w:val="single" w:sz="4" w:space="0" w:color="auto"/>
            </w:tcBorders>
          </w:tcPr>
          <w:p w14:paraId="56103966" w14:textId="77777777" w:rsidR="005A270A" w:rsidRPr="005A270A" w:rsidRDefault="005A270A" w:rsidP="005A270A">
            <w:pPr>
              <w:jc w:val="center"/>
              <w:rPr>
                <w:rFonts w:cs="Arial"/>
                <w:szCs w:val="22"/>
              </w:rPr>
            </w:pPr>
            <w:r w:rsidRPr="005A270A">
              <w:rPr>
                <w:rFonts w:cs="Arial"/>
                <w:szCs w:val="22"/>
              </w:rPr>
              <w:t>-5</w:t>
            </w:r>
          </w:p>
        </w:tc>
      </w:tr>
      <w:tr w:rsidR="005A270A" w:rsidRPr="005A270A" w14:paraId="1AF9E9FC" w14:textId="77777777" w:rsidTr="005A270A">
        <w:tc>
          <w:tcPr>
            <w:tcW w:w="828" w:type="dxa"/>
            <w:tcBorders>
              <w:bottom w:val="nil"/>
              <w:right w:val="nil"/>
            </w:tcBorders>
          </w:tcPr>
          <w:p w14:paraId="39922C55" w14:textId="77777777" w:rsidR="005A270A" w:rsidRPr="005A270A" w:rsidRDefault="005A270A">
            <w:pPr>
              <w:rPr>
                <w:rFonts w:cs="Arial"/>
                <w:szCs w:val="22"/>
              </w:rPr>
            </w:pPr>
          </w:p>
        </w:tc>
        <w:tc>
          <w:tcPr>
            <w:tcW w:w="6840" w:type="dxa"/>
            <w:tcBorders>
              <w:left w:val="nil"/>
              <w:bottom w:val="nil"/>
              <w:right w:val="nil"/>
            </w:tcBorders>
          </w:tcPr>
          <w:p w14:paraId="37BB8CCD" w14:textId="77777777" w:rsidR="005A270A" w:rsidRPr="005A270A" w:rsidRDefault="005A270A">
            <w:pPr>
              <w:rPr>
                <w:rFonts w:cs="Arial"/>
                <w:szCs w:val="22"/>
              </w:rPr>
            </w:pPr>
          </w:p>
        </w:tc>
        <w:tc>
          <w:tcPr>
            <w:tcW w:w="1188" w:type="dxa"/>
            <w:tcBorders>
              <w:left w:val="nil"/>
              <w:bottom w:val="nil"/>
            </w:tcBorders>
          </w:tcPr>
          <w:p w14:paraId="311558BC" w14:textId="77777777" w:rsidR="005A270A" w:rsidRPr="005A270A" w:rsidRDefault="005A270A" w:rsidP="005A270A">
            <w:pPr>
              <w:jc w:val="center"/>
              <w:rPr>
                <w:rFonts w:cs="Arial"/>
                <w:szCs w:val="22"/>
              </w:rPr>
            </w:pPr>
          </w:p>
        </w:tc>
      </w:tr>
      <w:tr w:rsidR="005A270A" w:rsidRPr="005A270A" w14:paraId="628A9BA0" w14:textId="77777777" w:rsidTr="005A270A">
        <w:tc>
          <w:tcPr>
            <w:tcW w:w="828" w:type="dxa"/>
            <w:tcBorders>
              <w:top w:val="nil"/>
              <w:right w:val="nil"/>
            </w:tcBorders>
          </w:tcPr>
          <w:p w14:paraId="0092192E" w14:textId="77777777" w:rsidR="005A270A" w:rsidRPr="005A270A" w:rsidRDefault="005A270A">
            <w:pPr>
              <w:rPr>
                <w:rFonts w:cs="Arial"/>
                <w:szCs w:val="22"/>
              </w:rPr>
            </w:pPr>
          </w:p>
        </w:tc>
        <w:tc>
          <w:tcPr>
            <w:tcW w:w="6840" w:type="dxa"/>
            <w:tcBorders>
              <w:top w:val="nil"/>
              <w:left w:val="nil"/>
              <w:right w:val="nil"/>
            </w:tcBorders>
          </w:tcPr>
          <w:p w14:paraId="7FDCA8C3" w14:textId="77777777" w:rsidR="005A270A" w:rsidRPr="005A270A" w:rsidRDefault="005A270A">
            <w:pPr>
              <w:rPr>
                <w:rFonts w:cs="Arial"/>
                <w:szCs w:val="22"/>
              </w:rPr>
            </w:pPr>
          </w:p>
        </w:tc>
        <w:tc>
          <w:tcPr>
            <w:tcW w:w="1188" w:type="dxa"/>
            <w:tcBorders>
              <w:top w:val="nil"/>
              <w:left w:val="nil"/>
            </w:tcBorders>
          </w:tcPr>
          <w:p w14:paraId="4F4343BD" w14:textId="77777777" w:rsidR="005A270A" w:rsidRPr="005A270A" w:rsidRDefault="005A270A" w:rsidP="005A270A">
            <w:pPr>
              <w:jc w:val="center"/>
              <w:rPr>
                <w:rFonts w:cs="Arial"/>
                <w:szCs w:val="22"/>
              </w:rPr>
            </w:pPr>
          </w:p>
        </w:tc>
      </w:tr>
      <w:tr w:rsidR="005A270A" w:rsidRPr="005A270A" w14:paraId="54A3EEE2" w14:textId="77777777" w:rsidTr="005A270A">
        <w:tc>
          <w:tcPr>
            <w:tcW w:w="828" w:type="dxa"/>
          </w:tcPr>
          <w:p w14:paraId="7A812D87" w14:textId="77777777" w:rsidR="005A270A" w:rsidRPr="005A270A" w:rsidRDefault="005A270A">
            <w:pPr>
              <w:rPr>
                <w:rFonts w:cs="Arial"/>
                <w:b/>
                <w:szCs w:val="22"/>
              </w:rPr>
            </w:pPr>
            <w:r w:rsidRPr="005A270A">
              <w:rPr>
                <w:rFonts w:cs="Arial"/>
                <w:b/>
                <w:szCs w:val="22"/>
              </w:rPr>
              <w:t>2</w:t>
            </w:r>
          </w:p>
        </w:tc>
        <w:tc>
          <w:tcPr>
            <w:tcW w:w="6840" w:type="dxa"/>
          </w:tcPr>
          <w:p w14:paraId="48BC7D2B" w14:textId="77777777" w:rsidR="005A270A" w:rsidRPr="005A270A" w:rsidRDefault="005A270A">
            <w:pPr>
              <w:rPr>
                <w:rFonts w:cs="Arial"/>
                <w:b/>
                <w:szCs w:val="22"/>
              </w:rPr>
            </w:pPr>
            <w:r w:rsidRPr="005A270A">
              <w:rPr>
                <w:rFonts w:cs="Arial"/>
                <w:b/>
                <w:szCs w:val="22"/>
              </w:rPr>
              <w:t>FINANCIAL MONITORING REPORTS</w:t>
            </w:r>
          </w:p>
        </w:tc>
        <w:tc>
          <w:tcPr>
            <w:tcW w:w="1188" w:type="dxa"/>
          </w:tcPr>
          <w:p w14:paraId="021AAE78" w14:textId="77777777" w:rsidR="005A270A" w:rsidRPr="005A270A" w:rsidRDefault="005A270A" w:rsidP="005A270A">
            <w:pPr>
              <w:jc w:val="center"/>
              <w:rPr>
                <w:rFonts w:cs="Arial"/>
                <w:szCs w:val="22"/>
              </w:rPr>
            </w:pPr>
          </w:p>
        </w:tc>
      </w:tr>
      <w:tr w:rsidR="005A270A" w:rsidRPr="005A270A" w14:paraId="294BC251" w14:textId="77777777" w:rsidTr="005A270A">
        <w:tc>
          <w:tcPr>
            <w:tcW w:w="828" w:type="dxa"/>
          </w:tcPr>
          <w:p w14:paraId="30104446" w14:textId="77777777" w:rsidR="005A270A" w:rsidRPr="005A270A" w:rsidRDefault="005A270A">
            <w:pPr>
              <w:rPr>
                <w:rFonts w:cs="Arial"/>
                <w:szCs w:val="22"/>
              </w:rPr>
            </w:pPr>
            <w:r w:rsidRPr="005A270A">
              <w:rPr>
                <w:rFonts w:cs="Arial"/>
                <w:szCs w:val="22"/>
              </w:rPr>
              <w:t>2.1</w:t>
            </w:r>
          </w:p>
        </w:tc>
        <w:tc>
          <w:tcPr>
            <w:tcW w:w="6840" w:type="dxa"/>
          </w:tcPr>
          <w:p w14:paraId="7B17F8AF" w14:textId="77EAA4BE" w:rsidR="005A270A" w:rsidRPr="005A270A" w:rsidRDefault="005A270A">
            <w:pPr>
              <w:rPr>
                <w:rFonts w:cs="Arial"/>
                <w:szCs w:val="22"/>
              </w:rPr>
            </w:pPr>
            <w:r w:rsidRPr="005A270A">
              <w:rPr>
                <w:rFonts w:cs="Arial"/>
                <w:szCs w:val="22"/>
              </w:rPr>
              <w:t xml:space="preserve">Quarterly Monitoring Report not received by 31 July (Quarter 1), </w:t>
            </w:r>
            <w:r w:rsidR="00553F7B">
              <w:rPr>
                <w:rFonts w:cs="Arial"/>
                <w:szCs w:val="22"/>
              </w:rPr>
              <w:br/>
            </w:r>
            <w:r w:rsidRPr="005A270A">
              <w:rPr>
                <w:rFonts w:cs="Arial"/>
                <w:szCs w:val="22"/>
              </w:rPr>
              <w:t>31</w:t>
            </w:r>
            <w:r w:rsidRPr="005A270A">
              <w:rPr>
                <w:rFonts w:cs="Arial"/>
                <w:szCs w:val="22"/>
                <w:vertAlign w:val="superscript"/>
              </w:rPr>
              <w:t xml:space="preserve"> </w:t>
            </w:r>
            <w:r w:rsidRPr="005A270A">
              <w:rPr>
                <w:rFonts w:cs="Arial"/>
                <w:szCs w:val="22"/>
              </w:rPr>
              <w:t xml:space="preserve">October (Quarter 2), 31 January (Quarter 3) </w:t>
            </w:r>
          </w:p>
        </w:tc>
        <w:tc>
          <w:tcPr>
            <w:tcW w:w="1188" w:type="dxa"/>
          </w:tcPr>
          <w:p w14:paraId="61AC47CF" w14:textId="77777777" w:rsidR="005A270A" w:rsidRPr="005A270A" w:rsidRDefault="005A270A" w:rsidP="005A270A">
            <w:pPr>
              <w:jc w:val="center"/>
              <w:rPr>
                <w:rFonts w:cs="Arial"/>
                <w:szCs w:val="22"/>
              </w:rPr>
            </w:pPr>
            <w:r w:rsidRPr="005A270A">
              <w:rPr>
                <w:rFonts w:cs="Arial"/>
                <w:szCs w:val="22"/>
              </w:rPr>
              <w:t>5</w:t>
            </w:r>
          </w:p>
        </w:tc>
      </w:tr>
      <w:tr w:rsidR="005A270A" w:rsidRPr="005A270A" w14:paraId="6254BA6A" w14:textId="77777777" w:rsidTr="005A270A">
        <w:tc>
          <w:tcPr>
            <w:tcW w:w="828" w:type="dxa"/>
          </w:tcPr>
          <w:p w14:paraId="5A6A6967" w14:textId="77777777" w:rsidR="005A270A" w:rsidRPr="005A270A" w:rsidRDefault="005A270A">
            <w:pPr>
              <w:rPr>
                <w:rFonts w:cs="Arial"/>
                <w:szCs w:val="22"/>
              </w:rPr>
            </w:pPr>
            <w:r w:rsidRPr="005A270A">
              <w:rPr>
                <w:rFonts w:cs="Arial"/>
                <w:szCs w:val="22"/>
              </w:rPr>
              <w:t>2.2</w:t>
            </w:r>
          </w:p>
        </w:tc>
        <w:tc>
          <w:tcPr>
            <w:tcW w:w="6840" w:type="dxa"/>
          </w:tcPr>
          <w:p w14:paraId="3F5A754D" w14:textId="77777777" w:rsidR="005A270A" w:rsidRPr="005A270A" w:rsidRDefault="005A270A">
            <w:pPr>
              <w:rPr>
                <w:rFonts w:cs="Arial"/>
                <w:szCs w:val="22"/>
              </w:rPr>
            </w:pPr>
            <w:r w:rsidRPr="005A270A">
              <w:rPr>
                <w:rFonts w:cs="Arial"/>
                <w:szCs w:val="22"/>
              </w:rPr>
              <w:t>Consecutive Monitoring Reports not received by due date (s).</w:t>
            </w:r>
          </w:p>
        </w:tc>
        <w:tc>
          <w:tcPr>
            <w:tcW w:w="1188" w:type="dxa"/>
          </w:tcPr>
          <w:p w14:paraId="0C52DF7F" w14:textId="77777777" w:rsidR="005A270A" w:rsidRPr="005A270A" w:rsidRDefault="005A270A" w:rsidP="005A270A">
            <w:pPr>
              <w:jc w:val="center"/>
              <w:rPr>
                <w:rFonts w:cs="Arial"/>
                <w:szCs w:val="22"/>
              </w:rPr>
            </w:pPr>
            <w:r w:rsidRPr="005A270A">
              <w:rPr>
                <w:rFonts w:cs="Arial"/>
                <w:szCs w:val="22"/>
              </w:rPr>
              <w:t>35</w:t>
            </w:r>
          </w:p>
        </w:tc>
      </w:tr>
      <w:tr w:rsidR="005A270A" w:rsidRPr="005A270A" w14:paraId="6725FB35" w14:textId="77777777" w:rsidTr="005A270A">
        <w:tc>
          <w:tcPr>
            <w:tcW w:w="828" w:type="dxa"/>
          </w:tcPr>
          <w:p w14:paraId="678065F2" w14:textId="77777777" w:rsidR="005A270A" w:rsidRPr="005A270A" w:rsidRDefault="005A270A">
            <w:pPr>
              <w:rPr>
                <w:rFonts w:cs="Arial"/>
                <w:szCs w:val="22"/>
              </w:rPr>
            </w:pPr>
            <w:r w:rsidRPr="005A270A">
              <w:rPr>
                <w:rFonts w:cs="Arial"/>
                <w:szCs w:val="22"/>
              </w:rPr>
              <w:t>2.3</w:t>
            </w:r>
          </w:p>
        </w:tc>
        <w:tc>
          <w:tcPr>
            <w:tcW w:w="6840" w:type="dxa"/>
          </w:tcPr>
          <w:p w14:paraId="43D3F544" w14:textId="77777777" w:rsidR="005A270A" w:rsidRPr="005A270A" w:rsidRDefault="005A270A">
            <w:pPr>
              <w:rPr>
                <w:rFonts w:cs="Arial"/>
                <w:szCs w:val="22"/>
              </w:rPr>
            </w:pPr>
            <w:r w:rsidRPr="005A270A">
              <w:rPr>
                <w:rFonts w:cs="Arial"/>
                <w:szCs w:val="22"/>
              </w:rPr>
              <w:t>Subsequent receipt of outstanding Monitoring Report</w:t>
            </w:r>
          </w:p>
        </w:tc>
        <w:tc>
          <w:tcPr>
            <w:tcW w:w="1188" w:type="dxa"/>
          </w:tcPr>
          <w:p w14:paraId="35751150" w14:textId="77777777" w:rsidR="005A270A" w:rsidRPr="005A270A" w:rsidRDefault="005A270A" w:rsidP="005A270A">
            <w:pPr>
              <w:jc w:val="center"/>
              <w:rPr>
                <w:rFonts w:cs="Arial"/>
                <w:szCs w:val="22"/>
              </w:rPr>
            </w:pPr>
            <w:r w:rsidRPr="005A270A">
              <w:rPr>
                <w:rFonts w:cs="Arial"/>
                <w:szCs w:val="22"/>
              </w:rPr>
              <w:t>-20</w:t>
            </w:r>
          </w:p>
        </w:tc>
      </w:tr>
      <w:tr w:rsidR="005A270A" w:rsidRPr="005A270A" w14:paraId="396DD87C" w14:textId="77777777" w:rsidTr="005A270A">
        <w:tc>
          <w:tcPr>
            <w:tcW w:w="828" w:type="dxa"/>
            <w:tcBorders>
              <w:bottom w:val="single" w:sz="4" w:space="0" w:color="auto"/>
            </w:tcBorders>
          </w:tcPr>
          <w:p w14:paraId="37231598" w14:textId="77777777" w:rsidR="005A270A" w:rsidRPr="005A270A" w:rsidRDefault="005A270A">
            <w:pPr>
              <w:rPr>
                <w:rFonts w:cs="Arial"/>
                <w:szCs w:val="22"/>
              </w:rPr>
            </w:pPr>
            <w:r w:rsidRPr="005A270A">
              <w:rPr>
                <w:rFonts w:cs="Arial"/>
                <w:szCs w:val="22"/>
              </w:rPr>
              <w:t>2.4</w:t>
            </w:r>
          </w:p>
        </w:tc>
        <w:tc>
          <w:tcPr>
            <w:tcW w:w="6840" w:type="dxa"/>
            <w:tcBorders>
              <w:bottom w:val="single" w:sz="4" w:space="0" w:color="auto"/>
            </w:tcBorders>
          </w:tcPr>
          <w:p w14:paraId="58002CED" w14:textId="77777777" w:rsidR="005A270A" w:rsidRPr="005A270A" w:rsidRDefault="005A270A">
            <w:pPr>
              <w:rPr>
                <w:rFonts w:cs="Arial"/>
                <w:szCs w:val="22"/>
              </w:rPr>
            </w:pPr>
            <w:r w:rsidRPr="005A270A">
              <w:rPr>
                <w:rFonts w:cs="Arial"/>
                <w:szCs w:val="22"/>
              </w:rPr>
              <w:t xml:space="preserve">“Proposed </w:t>
            </w:r>
            <w:smartTag w:uri="urn:schemas-microsoft-com:office:smarttags" w:element="stockticker">
              <w:r w:rsidRPr="005A270A">
                <w:rPr>
                  <w:rFonts w:cs="Arial"/>
                  <w:szCs w:val="22"/>
                </w:rPr>
                <w:t>CFR</w:t>
              </w:r>
            </w:smartTag>
            <w:r w:rsidRPr="005A270A">
              <w:rPr>
                <w:rFonts w:cs="Arial"/>
                <w:szCs w:val="22"/>
              </w:rPr>
              <w:t xml:space="preserve"> Report” not submitted with Quarterly Monitoring  Report </w:t>
            </w:r>
          </w:p>
        </w:tc>
        <w:tc>
          <w:tcPr>
            <w:tcW w:w="1188" w:type="dxa"/>
            <w:tcBorders>
              <w:bottom w:val="single" w:sz="4" w:space="0" w:color="auto"/>
            </w:tcBorders>
          </w:tcPr>
          <w:p w14:paraId="19C86F98" w14:textId="77777777" w:rsidR="005A270A" w:rsidRPr="005A270A" w:rsidRDefault="005A270A" w:rsidP="005A270A">
            <w:pPr>
              <w:jc w:val="center"/>
              <w:rPr>
                <w:rFonts w:cs="Arial"/>
                <w:szCs w:val="22"/>
              </w:rPr>
            </w:pPr>
            <w:r w:rsidRPr="005A270A">
              <w:rPr>
                <w:rFonts w:cs="Arial"/>
                <w:szCs w:val="22"/>
              </w:rPr>
              <w:t>5</w:t>
            </w:r>
          </w:p>
        </w:tc>
      </w:tr>
      <w:tr w:rsidR="005A270A" w:rsidRPr="005A270A" w14:paraId="2A750028" w14:textId="77777777" w:rsidTr="005A270A">
        <w:tc>
          <w:tcPr>
            <w:tcW w:w="828" w:type="dxa"/>
            <w:tcBorders>
              <w:bottom w:val="nil"/>
              <w:right w:val="nil"/>
            </w:tcBorders>
          </w:tcPr>
          <w:p w14:paraId="4616E4B7" w14:textId="77777777" w:rsidR="005A270A" w:rsidRPr="005A270A" w:rsidRDefault="005A270A">
            <w:pPr>
              <w:rPr>
                <w:rFonts w:cs="Arial"/>
                <w:szCs w:val="22"/>
              </w:rPr>
            </w:pPr>
          </w:p>
        </w:tc>
        <w:tc>
          <w:tcPr>
            <w:tcW w:w="6840" w:type="dxa"/>
            <w:tcBorders>
              <w:left w:val="nil"/>
              <w:bottom w:val="nil"/>
              <w:right w:val="nil"/>
            </w:tcBorders>
          </w:tcPr>
          <w:p w14:paraId="775107E2" w14:textId="77777777" w:rsidR="005A270A" w:rsidRPr="005A270A" w:rsidRDefault="005A270A">
            <w:pPr>
              <w:rPr>
                <w:rFonts w:cs="Arial"/>
                <w:szCs w:val="22"/>
              </w:rPr>
            </w:pPr>
          </w:p>
        </w:tc>
        <w:tc>
          <w:tcPr>
            <w:tcW w:w="1188" w:type="dxa"/>
            <w:tcBorders>
              <w:left w:val="nil"/>
              <w:bottom w:val="nil"/>
            </w:tcBorders>
          </w:tcPr>
          <w:p w14:paraId="7AA86D46" w14:textId="77777777" w:rsidR="005A270A" w:rsidRPr="005A270A" w:rsidRDefault="005A270A" w:rsidP="005A270A">
            <w:pPr>
              <w:jc w:val="center"/>
              <w:rPr>
                <w:rFonts w:cs="Arial"/>
                <w:szCs w:val="22"/>
              </w:rPr>
            </w:pPr>
          </w:p>
        </w:tc>
      </w:tr>
      <w:tr w:rsidR="005A270A" w:rsidRPr="005A270A" w14:paraId="7A16E488" w14:textId="77777777" w:rsidTr="005A270A">
        <w:tc>
          <w:tcPr>
            <w:tcW w:w="828" w:type="dxa"/>
            <w:tcBorders>
              <w:top w:val="nil"/>
              <w:right w:val="nil"/>
            </w:tcBorders>
          </w:tcPr>
          <w:p w14:paraId="6593BD65" w14:textId="77777777" w:rsidR="005A270A" w:rsidRPr="005A270A" w:rsidRDefault="005A270A">
            <w:pPr>
              <w:rPr>
                <w:rFonts w:cs="Arial"/>
                <w:szCs w:val="22"/>
              </w:rPr>
            </w:pPr>
          </w:p>
        </w:tc>
        <w:tc>
          <w:tcPr>
            <w:tcW w:w="6840" w:type="dxa"/>
            <w:tcBorders>
              <w:top w:val="nil"/>
              <w:left w:val="nil"/>
              <w:right w:val="nil"/>
            </w:tcBorders>
          </w:tcPr>
          <w:p w14:paraId="6FD5B4BD" w14:textId="77777777" w:rsidR="005A270A" w:rsidRPr="005A270A" w:rsidRDefault="005A270A">
            <w:pPr>
              <w:rPr>
                <w:rFonts w:cs="Arial"/>
                <w:szCs w:val="22"/>
              </w:rPr>
            </w:pPr>
          </w:p>
        </w:tc>
        <w:tc>
          <w:tcPr>
            <w:tcW w:w="1188" w:type="dxa"/>
            <w:tcBorders>
              <w:top w:val="nil"/>
              <w:left w:val="nil"/>
            </w:tcBorders>
          </w:tcPr>
          <w:p w14:paraId="7483A9D2" w14:textId="77777777" w:rsidR="005A270A" w:rsidRPr="005A270A" w:rsidRDefault="005A270A" w:rsidP="005A270A">
            <w:pPr>
              <w:jc w:val="center"/>
              <w:rPr>
                <w:rFonts w:cs="Arial"/>
                <w:szCs w:val="22"/>
              </w:rPr>
            </w:pPr>
          </w:p>
        </w:tc>
      </w:tr>
      <w:tr w:rsidR="005A270A" w:rsidRPr="005A270A" w14:paraId="1F7EA359" w14:textId="77777777" w:rsidTr="005A270A">
        <w:tc>
          <w:tcPr>
            <w:tcW w:w="828" w:type="dxa"/>
          </w:tcPr>
          <w:p w14:paraId="5B4A305D" w14:textId="77777777" w:rsidR="005A270A" w:rsidRPr="005A270A" w:rsidRDefault="005A270A">
            <w:pPr>
              <w:rPr>
                <w:rFonts w:cs="Arial"/>
                <w:b/>
                <w:szCs w:val="22"/>
              </w:rPr>
            </w:pPr>
            <w:r w:rsidRPr="005A270A">
              <w:rPr>
                <w:rFonts w:cs="Arial"/>
                <w:b/>
                <w:szCs w:val="22"/>
              </w:rPr>
              <w:t>3</w:t>
            </w:r>
          </w:p>
        </w:tc>
        <w:tc>
          <w:tcPr>
            <w:tcW w:w="6840" w:type="dxa"/>
          </w:tcPr>
          <w:p w14:paraId="482E3C79" w14:textId="77777777" w:rsidR="005A270A" w:rsidRPr="005A270A" w:rsidRDefault="005A270A">
            <w:pPr>
              <w:rPr>
                <w:rFonts w:cs="Arial"/>
                <w:b/>
                <w:szCs w:val="22"/>
              </w:rPr>
            </w:pPr>
            <w:r w:rsidRPr="005A270A">
              <w:rPr>
                <w:rFonts w:cs="Arial"/>
                <w:b/>
                <w:szCs w:val="22"/>
              </w:rPr>
              <w:t>BANK RECONCILIATION RETURNS</w:t>
            </w:r>
          </w:p>
        </w:tc>
        <w:tc>
          <w:tcPr>
            <w:tcW w:w="1188" w:type="dxa"/>
          </w:tcPr>
          <w:p w14:paraId="30D2BBE2" w14:textId="77777777" w:rsidR="005A270A" w:rsidRPr="005A270A" w:rsidRDefault="005A270A" w:rsidP="005A270A">
            <w:pPr>
              <w:jc w:val="center"/>
              <w:rPr>
                <w:rFonts w:cs="Arial"/>
                <w:szCs w:val="22"/>
              </w:rPr>
            </w:pPr>
          </w:p>
        </w:tc>
      </w:tr>
      <w:tr w:rsidR="005A270A" w:rsidRPr="005A270A" w14:paraId="7C5D2EBD" w14:textId="77777777" w:rsidTr="005A270A">
        <w:tc>
          <w:tcPr>
            <w:tcW w:w="828" w:type="dxa"/>
          </w:tcPr>
          <w:p w14:paraId="584D436E" w14:textId="77777777" w:rsidR="005A270A" w:rsidRPr="005A270A" w:rsidRDefault="005A270A">
            <w:pPr>
              <w:rPr>
                <w:rFonts w:cs="Arial"/>
                <w:szCs w:val="22"/>
              </w:rPr>
            </w:pPr>
            <w:r w:rsidRPr="005A270A">
              <w:rPr>
                <w:rFonts w:cs="Arial"/>
                <w:szCs w:val="22"/>
              </w:rPr>
              <w:t>3.1</w:t>
            </w:r>
          </w:p>
        </w:tc>
        <w:tc>
          <w:tcPr>
            <w:tcW w:w="6840" w:type="dxa"/>
          </w:tcPr>
          <w:p w14:paraId="2720B259" w14:textId="77777777" w:rsidR="005A270A" w:rsidRPr="005A270A" w:rsidRDefault="005A270A">
            <w:pPr>
              <w:rPr>
                <w:rFonts w:cs="Arial"/>
                <w:szCs w:val="22"/>
              </w:rPr>
            </w:pPr>
            <w:r w:rsidRPr="005A270A">
              <w:rPr>
                <w:rFonts w:cs="Arial"/>
                <w:szCs w:val="22"/>
              </w:rPr>
              <w:t>Quarterly Bank Reconciliation Return not received by 31 July (Quarter 1), 31 October (Quarter 2), 31 January (Quarter 3)</w:t>
            </w:r>
          </w:p>
        </w:tc>
        <w:tc>
          <w:tcPr>
            <w:tcW w:w="1188" w:type="dxa"/>
          </w:tcPr>
          <w:p w14:paraId="2C66BC93" w14:textId="77777777" w:rsidR="005A270A" w:rsidRPr="005A270A" w:rsidRDefault="005A270A" w:rsidP="005A270A">
            <w:pPr>
              <w:jc w:val="center"/>
              <w:rPr>
                <w:rFonts w:cs="Arial"/>
                <w:szCs w:val="22"/>
              </w:rPr>
            </w:pPr>
            <w:r w:rsidRPr="005A270A">
              <w:rPr>
                <w:rFonts w:cs="Arial"/>
                <w:szCs w:val="22"/>
              </w:rPr>
              <w:t>5</w:t>
            </w:r>
          </w:p>
        </w:tc>
      </w:tr>
      <w:tr w:rsidR="005A270A" w:rsidRPr="005A270A" w14:paraId="1D77D77B" w14:textId="77777777" w:rsidTr="005A270A">
        <w:tc>
          <w:tcPr>
            <w:tcW w:w="828" w:type="dxa"/>
          </w:tcPr>
          <w:p w14:paraId="1DD6F29C" w14:textId="77777777" w:rsidR="005A270A" w:rsidRPr="005A270A" w:rsidRDefault="005A270A">
            <w:pPr>
              <w:rPr>
                <w:rFonts w:cs="Arial"/>
                <w:szCs w:val="22"/>
              </w:rPr>
            </w:pPr>
            <w:r w:rsidRPr="005A270A">
              <w:rPr>
                <w:rFonts w:cs="Arial"/>
                <w:szCs w:val="22"/>
              </w:rPr>
              <w:t>3.2</w:t>
            </w:r>
          </w:p>
        </w:tc>
        <w:tc>
          <w:tcPr>
            <w:tcW w:w="6840" w:type="dxa"/>
          </w:tcPr>
          <w:p w14:paraId="5A261E84" w14:textId="77777777" w:rsidR="005A270A" w:rsidRPr="005A270A" w:rsidRDefault="005A270A">
            <w:pPr>
              <w:rPr>
                <w:rFonts w:cs="Arial"/>
                <w:szCs w:val="22"/>
              </w:rPr>
            </w:pPr>
            <w:r w:rsidRPr="005A270A">
              <w:rPr>
                <w:rFonts w:cs="Arial"/>
                <w:szCs w:val="22"/>
              </w:rPr>
              <w:t>Consecutive Bank Reconciliation Return not received by due date (s)</w:t>
            </w:r>
          </w:p>
        </w:tc>
        <w:tc>
          <w:tcPr>
            <w:tcW w:w="1188" w:type="dxa"/>
          </w:tcPr>
          <w:p w14:paraId="036D919D" w14:textId="77777777" w:rsidR="005A270A" w:rsidRPr="005A270A" w:rsidRDefault="005A270A" w:rsidP="005A270A">
            <w:pPr>
              <w:jc w:val="center"/>
              <w:rPr>
                <w:rFonts w:cs="Arial"/>
                <w:szCs w:val="22"/>
              </w:rPr>
            </w:pPr>
            <w:r w:rsidRPr="005A270A">
              <w:rPr>
                <w:rFonts w:cs="Arial"/>
                <w:szCs w:val="22"/>
              </w:rPr>
              <w:t>35</w:t>
            </w:r>
          </w:p>
        </w:tc>
      </w:tr>
      <w:tr w:rsidR="005A270A" w:rsidRPr="005A270A" w14:paraId="5CC9FCAE" w14:textId="77777777" w:rsidTr="005A270A">
        <w:tc>
          <w:tcPr>
            <w:tcW w:w="828" w:type="dxa"/>
          </w:tcPr>
          <w:p w14:paraId="199239F1" w14:textId="77777777" w:rsidR="005A270A" w:rsidRPr="005A270A" w:rsidRDefault="005A270A">
            <w:pPr>
              <w:rPr>
                <w:rFonts w:cs="Arial"/>
                <w:szCs w:val="22"/>
              </w:rPr>
            </w:pPr>
            <w:r w:rsidRPr="005A270A">
              <w:rPr>
                <w:rFonts w:cs="Arial"/>
                <w:szCs w:val="22"/>
              </w:rPr>
              <w:t>3.3</w:t>
            </w:r>
          </w:p>
        </w:tc>
        <w:tc>
          <w:tcPr>
            <w:tcW w:w="6840" w:type="dxa"/>
          </w:tcPr>
          <w:p w14:paraId="19C58521" w14:textId="77777777" w:rsidR="005A270A" w:rsidRPr="005A270A" w:rsidRDefault="005A270A">
            <w:pPr>
              <w:rPr>
                <w:rFonts w:cs="Arial"/>
                <w:szCs w:val="22"/>
              </w:rPr>
            </w:pPr>
            <w:r w:rsidRPr="005A270A">
              <w:rPr>
                <w:rFonts w:cs="Arial"/>
                <w:szCs w:val="22"/>
              </w:rPr>
              <w:t xml:space="preserve">Subsequent receipt of outstanding Bank Reconciliation Return </w:t>
            </w:r>
          </w:p>
        </w:tc>
        <w:tc>
          <w:tcPr>
            <w:tcW w:w="1188" w:type="dxa"/>
          </w:tcPr>
          <w:p w14:paraId="49910DC4" w14:textId="77777777" w:rsidR="005A270A" w:rsidRPr="005A270A" w:rsidRDefault="005A270A" w:rsidP="005A270A">
            <w:pPr>
              <w:jc w:val="center"/>
              <w:rPr>
                <w:rFonts w:cs="Arial"/>
                <w:szCs w:val="22"/>
              </w:rPr>
            </w:pPr>
            <w:r w:rsidRPr="005A270A">
              <w:rPr>
                <w:rFonts w:cs="Arial"/>
                <w:szCs w:val="22"/>
              </w:rPr>
              <w:t>-20</w:t>
            </w:r>
          </w:p>
        </w:tc>
      </w:tr>
      <w:tr w:rsidR="00263BD4" w:rsidRPr="005A270A" w14:paraId="6262CC93" w14:textId="77777777" w:rsidTr="005A270A">
        <w:tc>
          <w:tcPr>
            <w:tcW w:w="828" w:type="dxa"/>
          </w:tcPr>
          <w:p w14:paraId="4DDAA60F" w14:textId="7FEADA7D" w:rsidR="00263BD4" w:rsidRPr="00553F7B" w:rsidRDefault="00263BD4">
            <w:pPr>
              <w:rPr>
                <w:rFonts w:cs="Arial"/>
                <w:szCs w:val="22"/>
              </w:rPr>
            </w:pPr>
            <w:r w:rsidRPr="00553F7B">
              <w:rPr>
                <w:rFonts w:cs="Arial"/>
                <w:szCs w:val="22"/>
              </w:rPr>
              <w:t>3.4</w:t>
            </w:r>
          </w:p>
        </w:tc>
        <w:tc>
          <w:tcPr>
            <w:tcW w:w="6840" w:type="dxa"/>
          </w:tcPr>
          <w:p w14:paraId="58217752" w14:textId="0540C312" w:rsidR="00263BD4" w:rsidRPr="00553F7B" w:rsidRDefault="00263BD4">
            <w:pPr>
              <w:rPr>
                <w:rFonts w:cs="Arial"/>
                <w:szCs w:val="22"/>
              </w:rPr>
            </w:pPr>
            <w:r w:rsidRPr="00553F7B">
              <w:rPr>
                <w:rFonts w:cs="Arial"/>
                <w:szCs w:val="22"/>
              </w:rPr>
              <w:t xml:space="preserve">January Bank Reconciliation Return not received by </w:t>
            </w:r>
            <w:r w:rsidR="00BC345A">
              <w:rPr>
                <w:rFonts w:cs="Arial"/>
                <w:szCs w:val="22"/>
              </w:rPr>
              <w:t>16</w:t>
            </w:r>
            <w:r w:rsidRPr="00553F7B">
              <w:rPr>
                <w:rFonts w:cs="Arial"/>
                <w:szCs w:val="22"/>
              </w:rPr>
              <w:t xml:space="preserve"> February</w:t>
            </w:r>
          </w:p>
        </w:tc>
        <w:tc>
          <w:tcPr>
            <w:tcW w:w="1188" w:type="dxa"/>
          </w:tcPr>
          <w:p w14:paraId="16EB77E2" w14:textId="51BAAEEB" w:rsidR="00263BD4" w:rsidRPr="00553F7B" w:rsidRDefault="00263BD4" w:rsidP="005A270A">
            <w:pPr>
              <w:jc w:val="center"/>
              <w:rPr>
                <w:rFonts w:cs="Arial"/>
                <w:szCs w:val="22"/>
              </w:rPr>
            </w:pPr>
            <w:r w:rsidRPr="00553F7B">
              <w:rPr>
                <w:rFonts w:cs="Arial"/>
                <w:szCs w:val="22"/>
              </w:rPr>
              <w:t>5</w:t>
            </w:r>
          </w:p>
        </w:tc>
      </w:tr>
      <w:tr w:rsidR="00263BD4" w:rsidRPr="005A270A" w14:paraId="36B8EA62" w14:textId="77777777" w:rsidTr="005A270A">
        <w:tc>
          <w:tcPr>
            <w:tcW w:w="828" w:type="dxa"/>
          </w:tcPr>
          <w:p w14:paraId="2C2D8DA3" w14:textId="37831EB1" w:rsidR="00263BD4" w:rsidRPr="00553F7B" w:rsidRDefault="00263BD4">
            <w:pPr>
              <w:rPr>
                <w:rFonts w:cs="Arial"/>
                <w:szCs w:val="22"/>
              </w:rPr>
            </w:pPr>
            <w:r w:rsidRPr="00553F7B">
              <w:rPr>
                <w:rFonts w:cs="Arial"/>
                <w:szCs w:val="22"/>
              </w:rPr>
              <w:t>3.5</w:t>
            </w:r>
          </w:p>
        </w:tc>
        <w:tc>
          <w:tcPr>
            <w:tcW w:w="6840" w:type="dxa"/>
          </w:tcPr>
          <w:p w14:paraId="6A9F7E54" w14:textId="238360EB" w:rsidR="00263BD4" w:rsidRPr="00553F7B" w:rsidRDefault="00263BD4">
            <w:pPr>
              <w:rPr>
                <w:rFonts w:cs="Arial"/>
                <w:szCs w:val="22"/>
              </w:rPr>
            </w:pPr>
            <w:r w:rsidRPr="00553F7B">
              <w:rPr>
                <w:rFonts w:cs="Arial"/>
                <w:szCs w:val="22"/>
              </w:rPr>
              <w:t xml:space="preserve">February Bank Reconciliation Return not received by </w:t>
            </w:r>
            <w:r w:rsidR="00BC345A">
              <w:rPr>
                <w:rFonts w:cs="Arial"/>
                <w:szCs w:val="22"/>
              </w:rPr>
              <w:t>16</w:t>
            </w:r>
            <w:r w:rsidRPr="00553F7B">
              <w:rPr>
                <w:rFonts w:cs="Arial"/>
                <w:szCs w:val="22"/>
              </w:rPr>
              <w:t xml:space="preserve"> March</w:t>
            </w:r>
          </w:p>
        </w:tc>
        <w:tc>
          <w:tcPr>
            <w:tcW w:w="1188" w:type="dxa"/>
          </w:tcPr>
          <w:p w14:paraId="03BE4DBC" w14:textId="40C99DC6" w:rsidR="00263BD4" w:rsidRPr="00553F7B" w:rsidRDefault="00263BD4" w:rsidP="005A270A">
            <w:pPr>
              <w:jc w:val="center"/>
              <w:rPr>
                <w:rFonts w:cs="Arial"/>
                <w:szCs w:val="22"/>
              </w:rPr>
            </w:pPr>
            <w:r w:rsidRPr="00553F7B">
              <w:rPr>
                <w:rFonts w:cs="Arial"/>
                <w:szCs w:val="22"/>
              </w:rPr>
              <w:t>5</w:t>
            </w:r>
          </w:p>
        </w:tc>
      </w:tr>
      <w:tr w:rsidR="005A270A" w:rsidRPr="005A270A" w14:paraId="1DACCD14" w14:textId="77777777" w:rsidTr="005A270A">
        <w:tc>
          <w:tcPr>
            <w:tcW w:w="828" w:type="dxa"/>
          </w:tcPr>
          <w:p w14:paraId="4BEF8F4E" w14:textId="25D772FD" w:rsidR="005A270A" w:rsidRPr="00553F7B" w:rsidRDefault="005A270A">
            <w:pPr>
              <w:rPr>
                <w:rFonts w:cs="Arial"/>
                <w:szCs w:val="22"/>
              </w:rPr>
            </w:pPr>
            <w:r w:rsidRPr="00553F7B">
              <w:rPr>
                <w:rFonts w:cs="Arial"/>
                <w:szCs w:val="22"/>
              </w:rPr>
              <w:t>3.</w:t>
            </w:r>
            <w:r w:rsidR="00263BD4" w:rsidRPr="00553F7B">
              <w:rPr>
                <w:rFonts w:cs="Arial"/>
                <w:szCs w:val="22"/>
              </w:rPr>
              <w:t>6</w:t>
            </w:r>
          </w:p>
        </w:tc>
        <w:tc>
          <w:tcPr>
            <w:tcW w:w="6840" w:type="dxa"/>
          </w:tcPr>
          <w:p w14:paraId="405972FC" w14:textId="480D52C5" w:rsidR="005A270A" w:rsidRPr="00553F7B" w:rsidRDefault="005A270A">
            <w:pPr>
              <w:rPr>
                <w:rFonts w:cs="Arial"/>
                <w:szCs w:val="22"/>
              </w:rPr>
            </w:pPr>
            <w:r w:rsidRPr="00553F7B">
              <w:rPr>
                <w:rFonts w:cs="Arial"/>
                <w:szCs w:val="22"/>
              </w:rPr>
              <w:t>Late receipt of Final Year End Bank Reconciliation Return, showing transactions up to</w:t>
            </w:r>
            <w:r w:rsidR="00553F7B" w:rsidRPr="00553F7B">
              <w:rPr>
                <w:rFonts w:cs="Arial"/>
                <w:szCs w:val="22"/>
              </w:rPr>
              <w:t xml:space="preserve"> date agreed by Local Authority.</w:t>
            </w:r>
            <w:r w:rsidRPr="00553F7B">
              <w:rPr>
                <w:rFonts w:cs="Arial"/>
                <w:i/>
                <w:szCs w:val="22"/>
              </w:rPr>
              <w:t>(with no deduction of 20 points for subsequent receipt of report)</w:t>
            </w:r>
            <w:r w:rsidRPr="00553F7B">
              <w:rPr>
                <w:rFonts w:cs="Arial"/>
                <w:szCs w:val="22"/>
              </w:rPr>
              <w:t xml:space="preserve"> </w:t>
            </w:r>
          </w:p>
        </w:tc>
        <w:tc>
          <w:tcPr>
            <w:tcW w:w="1188" w:type="dxa"/>
          </w:tcPr>
          <w:p w14:paraId="429D0A9C" w14:textId="77777777" w:rsidR="005A270A" w:rsidRPr="00553F7B" w:rsidRDefault="005A270A" w:rsidP="005A270A">
            <w:pPr>
              <w:jc w:val="center"/>
              <w:rPr>
                <w:rFonts w:cs="Arial"/>
                <w:szCs w:val="22"/>
              </w:rPr>
            </w:pPr>
            <w:r w:rsidRPr="00553F7B">
              <w:rPr>
                <w:rFonts w:cs="Arial"/>
                <w:szCs w:val="22"/>
              </w:rPr>
              <w:t>40</w:t>
            </w:r>
          </w:p>
        </w:tc>
      </w:tr>
      <w:tr w:rsidR="005A270A" w:rsidRPr="005A270A" w14:paraId="2B9FBCA3" w14:textId="77777777" w:rsidTr="005A270A">
        <w:tc>
          <w:tcPr>
            <w:tcW w:w="828" w:type="dxa"/>
          </w:tcPr>
          <w:p w14:paraId="094439E8" w14:textId="542A869C" w:rsidR="005A270A" w:rsidRPr="005A270A" w:rsidRDefault="005A270A">
            <w:pPr>
              <w:rPr>
                <w:rFonts w:cs="Arial"/>
                <w:szCs w:val="22"/>
              </w:rPr>
            </w:pPr>
            <w:r w:rsidRPr="005A270A">
              <w:rPr>
                <w:rFonts w:cs="Arial"/>
                <w:szCs w:val="22"/>
              </w:rPr>
              <w:t>3.</w:t>
            </w:r>
            <w:r w:rsidR="00263BD4">
              <w:rPr>
                <w:rFonts w:cs="Arial"/>
                <w:szCs w:val="22"/>
              </w:rPr>
              <w:t>7</w:t>
            </w:r>
          </w:p>
        </w:tc>
        <w:tc>
          <w:tcPr>
            <w:tcW w:w="6840" w:type="dxa"/>
          </w:tcPr>
          <w:p w14:paraId="196E3141" w14:textId="7FBF140A" w:rsidR="005A270A" w:rsidRPr="005A270A" w:rsidRDefault="005A270A">
            <w:pPr>
              <w:rPr>
                <w:rFonts w:cs="Arial"/>
                <w:szCs w:val="22"/>
              </w:rPr>
            </w:pPr>
            <w:r w:rsidRPr="005A270A">
              <w:rPr>
                <w:rFonts w:cs="Arial"/>
                <w:szCs w:val="22"/>
              </w:rPr>
              <w:t>Submission of a Bank Reconciliation Return, which does not balance</w:t>
            </w:r>
          </w:p>
        </w:tc>
        <w:tc>
          <w:tcPr>
            <w:tcW w:w="1188" w:type="dxa"/>
          </w:tcPr>
          <w:p w14:paraId="33645864" w14:textId="77777777" w:rsidR="005A270A" w:rsidRPr="005A270A" w:rsidRDefault="005A270A" w:rsidP="005A270A">
            <w:pPr>
              <w:jc w:val="center"/>
              <w:rPr>
                <w:rFonts w:cs="Arial"/>
                <w:szCs w:val="22"/>
              </w:rPr>
            </w:pPr>
            <w:r w:rsidRPr="005A270A">
              <w:rPr>
                <w:rFonts w:cs="Arial"/>
                <w:szCs w:val="22"/>
              </w:rPr>
              <w:t>15</w:t>
            </w:r>
          </w:p>
        </w:tc>
      </w:tr>
      <w:tr w:rsidR="005A270A" w:rsidRPr="005A270A" w14:paraId="5D9A109B" w14:textId="77777777" w:rsidTr="005A270A">
        <w:tc>
          <w:tcPr>
            <w:tcW w:w="828" w:type="dxa"/>
            <w:tcBorders>
              <w:bottom w:val="single" w:sz="4" w:space="0" w:color="auto"/>
            </w:tcBorders>
          </w:tcPr>
          <w:p w14:paraId="2A14778F" w14:textId="4C33DB64" w:rsidR="005A270A" w:rsidRPr="005A270A" w:rsidRDefault="005A270A">
            <w:pPr>
              <w:rPr>
                <w:rFonts w:cs="Arial"/>
                <w:szCs w:val="22"/>
              </w:rPr>
            </w:pPr>
            <w:r w:rsidRPr="005A270A">
              <w:rPr>
                <w:rFonts w:cs="Arial"/>
                <w:szCs w:val="22"/>
              </w:rPr>
              <w:t>3.</w:t>
            </w:r>
            <w:r w:rsidR="00263BD4">
              <w:rPr>
                <w:rFonts w:cs="Arial"/>
                <w:szCs w:val="22"/>
              </w:rPr>
              <w:t>8</w:t>
            </w:r>
          </w:p>
        </w:tc>
        <w:tc>
          <w:tcPr>
            <w:tcW w:w="6840" w:type="dxa"/>
            <w:tcBorders>
              <w:bottom w:val="single" w:sz="4" w:space="0" w:color="auto"/>
            </w:tcBorders>
          </w:tcPr>
          <w:p w14:paraId="6E3B6138" w14:textId="77777777" w:rsidR="005A270A" w:rsidRPr="005A270A" w:rsidRDefault="005A270A">
            <w:pPr>
              <w:rPr>
                <w:rFonts w:cs="Arial"/>
                <w:szCs w:val="22"/>
              </w:rPr>
            </w:pPr>
            <w:r w:rsidRPr="005A270A">
              <w:rPr>
                <w:rFonts w:cs="Arial"/>
                <w:szCs w:val="22"/>
              </w:rPr>
              <w:t>Subsequent submission of a balanced Bank Reconciliation Return</w:t>
            </w:r>
          </w:p>
        </w:tc>
        <w:tc>
          <w:tcPr>
            <w:tcW w:w="1188" w:type="dxa"/>
            <w:tcBorders>
              <w:bottom w:val="single" w:sz="4" w:space="0" w:color="auto"/>
            </w:tcBorders>
          </w:tcPr>
          <w:p w14:paraId="770D8AFD" w14:textId="77777777" w:rsidR="005A270A" w:rsidRPr="005A270A" w:rsidRDefault="005A270A" w:rsidP="005A270A">
            <w:pPr>
              <w:jc w:val="center"/>
              <w:rPr>
                <w:rFonts w:cs="Arial"/>
                <w:szCs w:val="22"/>
              </w:rPr>
            </w:pPr>
            <w:r w:rsidRPr="005A270A">
              <w:rPr>
                <w:rFonts w:cs="Arial"/>
                <w:szCs w:val="22"/>
              </w:rPr>
              <w:t>-10</w:t>
            </w:r>
          </w:p>
        </w:tc>
      </w:tr>
      <w:tr w:rsidR="005A270A" w:rsidRPr="005A270A" w14:paraId="611C6775" w14:textId="77777777" w:rsidTr="005A270A">
        <w:tc>
          <w:tcPr>
            <w:tcW w:w="828" w:type="dxa"/>
            <w:tcBorders>
              <w:bottom w:val="nil"/>
              <w:right w:val="nil"/>
            </w:tcBorders>
          </w:tcPr>
          <w:p w14:paraId="7A7BFE85" w14:textId="77777777" w:rsidR="005A270A" w:rsidRPr="005A270A" w:rsidRDefault="005A270A">
            <w:pPr>
              <w:rPr>
                <w:rFonts w:cs="Arial"/>
                <w:b/>
                <w:i/>
                <w:szCs w:val="22"/>
              </w:rPr>
            </w:pPr>
          </w:p>
        </w:tc>
        <w:tc>
          <w:tcPr>
            <w:tcW w:w="6840" w:type="dxa"/>
            <w:tcBorders>
              <w:left w:val="nil"/>
              <w:bottom w:val="nil"/>
              <w:right w:val="nil"/>
            </w:tcBorders>
          </w:tcPr>
          <w:p w14:paraId="01E029F5" w14:textId="77777777" w:rsidR="005A270A" w:rsidRPr="005A270A" w:rsidRDefault="005A270A">
            <w:pPr>
              <w:rPr>
                <w:rFonts w:cs="Arial"/>
                <w:b/>
                <w:i/>
                <w:szCs w:val="22"/>
              </w:rPr>
            </w:pPr>
          </w:p>
        </w:tc>
        <w:tc>
          <w:tcPr>
            <w:tcW w:w="1188" w:type="dxa"/>
            <w:tcBorders>
              <w:left w:val="nil"/>
              <w:bottom w:val="nil"/>
            </w:tcBorders>
          </w:tcPr>
          <w:p w14:paraId="0FB65660" w14:textId="77777777" w:rsidR="005A270A" w:rsidRPr="005A270A" w:rsidRDefault="005A270A" w:rsidP="005A270A">
            <w:pPr>
              <w:jc w:val="center"/>
              <w:rPr>
                <w:rFonts w:cs="Arial"/>
                <w:b/>
                <w:i/>
                <w:szCs w:val="22"/>
              </w:rPr>
            </w:pPr>
          </w:p>
        </w:tc>
      </w:tr>
      <w:tr w:rsidR="005A270A" w:rsidRPr="005A270A" w14:paraId="05601785" w14:textId="77777777" w:rsidTr="005A270A">
        <w:tc>
          <w:tcPr>
            <w:tcW w:w="828" w:type="dxa"/>
            <w:tcBorders>
              <w:top w:val="nil"/>
              <w:right w:val="nil"/>
            </w:tcBorders>
          </w:tcPr>
          <w:p w14:paraId="19B9E865" w14:textId="77777777" w:rsidR="005A270A" w:rsidRPr="005A270A" w:rsidRDefault="005A270A">
            <w:pPr>
              <w:rPr>
                <w:rFonts w:cs="Arial"/>
                <w:szCs w:val="22"/>
              </w:rPr>
            </w:pPr>
          </w:p>
        </w:tc>
        <w:tc>
          <w:tcPr>
            <w:tcW w:w="6840" w:type="dxa"/>
            <w:tcBorders>
              <w:top w:val="nil"/>
              <w:left w:val="nil"/>
              <w:right w:val="nil"/>
            </w:tcBorders>
          </w:tcPr>
          <w:p w14:paraId="0C152BF5" w14:textId="77777777" w:rsidR="005A270A" w:rsidRPr="005A270A" w:rsidRDefault="005A270A">
            <w:pPr>
              <w:rPr>
                <w:rFonts w:cs="Arial"/>
                <w:szCs w:val="22"/>
              </w:rPr>
            </w:pPr>
          </w:p>
        </w:tc>
        <w:tc>
          <w:tcPr>
            <w:tcW w:w="1188" w:type="dxa"/>
            <w:tcBorders>
              <w:top w:val="nil"/>
              <w:left w:val="nil"/>
            </w:tcBorders>
          </w:tcPr>
          <w:p w14:paraId="23441180" w14:textId="77777777" w:rsidR="005A270A" w:rsidRPr="005A270A" w:rsidRDefault="005A270A" w:rsidP="005A270A">
            <w:pPr>
              <w:jc w:val="center"/>
              <w:rPr>
                <w:rFonts w:cs="Arial"/>
                <w:szCs w:val="22"/>
              </w:rPr>
            </w:pPr>
          </w:p>
        </w:tc>
      </w:tr>
      <w:tr w:rsidR="005A270A" w:rsidRPr="005A270A" w14:paraId="69A706DD" w14:textId="77777777" w:rsidTr="005A270A">
        <w:tc>
          <w:tcPr>
            <w:tcW w:w="828" w:type="dxa"/>
          </w:tcPr>
          <w:p w14:paraId="52730FC0" w14:textId="77777777" w:rsidR="005A270A" w:rsidRPr="005A270A" w:rsidRDefault="005A270A">
            <w:pPr>
              <w:rPr>
                <w:rFonts w:cs="Arial"/>
                <w:b/>
                <w:szCs w:val="22"/>
              </w:rPr>
            </w:pPr>
            <w:r w:rsidRPr="005A270A">
              <w:rPr>
                <w:rFonts w:cs="Arial"/>
                <w:b/>
                <w:szCs w:val="22"/>
              </w:rPr>
              <w:t>4</w:t>
            </w:r>
          </w:p>
        </w:tc>
        <w:tc>
          <w:tcPr>
            <w:tcW w:w="6840" w:type="dxa"/>
          </w:tcPr>
          <w:p w14:paraId="233008B3" w14:textId="77777777" w:rsidR="005A270A" w:rsidRPr="005A270A" w:rsidRDefault="005A270A">
            <w:pPr>
              <w:rPr>
                <w:rFonts w:cs="Arial"/>
                <w:b/>
                <w:szCs w:val="22"/>
              </w:rPr>
            </w:pPr>
            <w:r w:rsidRPr="005A270A">
              <w:rPr>
                <w:rFonts w:cs="Arial"/>
                <w:b/>
                <w:szCs w:val="22"/>
              </w:rPr>
              <w:t xml:space="preserve">VAT SUBMITTAL REPORTS </w:t>
            </w:r>
          </w:p>
        </w:tc>
        <w:tc>
          <w:tcPr>
            <w:tcW w:w="1188" w:type="dxa"/>
          </w:tcPr>
          <w:p w14:paraId="04CA8D9A" w14:textId="77777777" w:rsidR="005A270A" w:rsidRPr="005A270A" w:rsidRDefault="005A270A" w:rsidP="005A270A">
            <w:pPr>
              <w:jc w:val="center"/>
              <w:rPr>
                <w:rFonts w:cs="Arial"/>
                <w:szCs w:val="22"/>
              </w:rPr>
            </w:pPr>
          </w:p>
        </w:tc>
      </w:tr>
      <w:tr w:rsidR="005A270A" w:rsidRPr="005A270A" w14:paraId="590922F1" w14:textId="77777777" w:rsidTr="005A270A">
        <w:tc>
          <w:tcPr>
            <w:tcW w:w="828" w:type="dxa"/>
            <w:tcBorders>
              <w:bottom w:val="single" w:sz="4" w:space="0" w:color="auto"/>
            </w:tcBorders>
          </w:tcPr>
          <w:p w14:paraId="47BF35C9" w14:textId="77777777" w:rsidR="005A270A" w:rsidRPr="005A270A" w:rsidRDefault="005A270A">
            <w:pPr>
              <w:rPr>
                <w:rFonts w:cs="Arial"/>
                <w:szCs w:val="22"/>
              </w:rPr>
            </w:pPr>
            <w:r w:rsidRPr="005A270A">
              <w:rPr>
                <w:rFonts w:cs="Arial"/>
                <w:szCs w:val="22"/>
              </w:rPr>
              <w:t>4.1</w:t>
            </w:r>
          </w:p>
        </w:tc>
        <w:tc>
          <w:tcPr>
            <w:tcW w:w="6840" w:type="dxa"/>
            <w:tcBorders>
              <w:bottom w:val="single" w:sz="4" w:space="0" w:color="auto"/>
            </w:tcBorders>
          </w:tcPr>
          <w:p w14:paraId="0D7F3045" w14:textId="77777777" w:rsidR="005A270A" w:rsidRPr="005A270A" w:rsidRDefault="005A270A">
            <w:pPr>
              <w:rPr>
                <w:rFonts w:cs="Arial"/>
                <w:szCs w:val="22"/>
              </w:rPr>
            </w:pPr>
            <w:r w:rsidRPr="005A270A">
              <w:rPr>
                <w:rFonts w:cs="Arial"/>
                <w:szCs w:val="22"/>
              </w:rPr>
              <w:t>VAT Submittal Report not received within 10 days of month end as required by HMRC.</w:t>
            </w:r>
          </w:p>
          <w:p w14:paraId="636B8F25" w14:textId="29E67F57" w:rsidR="005A270A" w:rsidRPr="005A270A" w:rsidRDefault="005A270A">
            <w:pPr>
              <w:rPr>
                <w:rFonts w:cs="Arial"/>
                <w:szCs w:val="22"/>
              </w:rPr>
            </w:pPr>
            <w:r w:rsidRPr="005A270A">
              <w:rPr>
                <w:rFonts w:cs="Arial"/>
                <w:szCs w:val="22"/>
              </w:rPr>
              <w:t>* Note - this does not apply for July Reports</w:t>
            </w:r>
            <w:r w:rsidR="00553F7B">
              <w:rPr>
                <w:rFonts w:cs="Arial"/>
                <w:szCs w:val="22"/>
              </w:rPr>
              <w:t>.</w:t>
            </w:r>
            <w:r w:rsidRPr="005A270A">
              <w:rPr>
                <w:rFonts w:cs="Arial"/>
                <w:szCs w:val="22"/>
              </w:rPr>
              <w:t xml:space="preserve"> Please see the additional note at the end of this document regarding  VAT Short Summary Reports </w:t>
            </w:r>
          </w:p>
        </w:tc>
        <w:tc>
          <w:tcPr>
            <w:tcW w:w="1188" w:type="dxa"/>
            <w:tcBorders>
              <w:bottom w:val="single" w:sz="4" w:space="0" w:color="auto"/>
            </w:tcBorders>
          </w:tcPr>
          <w:p w14:paraId="305F749B" w14:textId="77777777" w:rsidR="005A270A" w:rsidRPr="005A270A" w:rsidRDefault="005A270A" w:rsidP="005A270A">
            <w:pPr>
              <w:jc w:val="center"/>
              <w:rPr>
                <w:rFonts w:cs="Arial"/>
                <w:szCs w:val="22"/>
              </w:rPr>
            </w:pPr>
            <w:r w:rsidRPr="005A270A">
              <w:rPr>
                <w:rFonts w:cs="Arial"/>
                <w:szCs w:val="22"/>
              </w:rPr>
              <w:t>5</w:t>
            </w:r>
          </w:p>
        </w:tc>
      </w:tr>
      <w:tr w:rsidR="00553F7B" w:rsidRPr="005A270A" w14:paraId="1DC3DAF4" w14:textId="77777777" w:rsidTr="005A270A">
        <w:tc>
          <w:tcPr>
            <w:tcW w:w="828" w:type="dxa"/>
            <w:tcBorders>
              <w:bottom w:val="single" w:sz="4" w:space="0" w:color="auto"/>
            </w:tcBorders>
          </w:tcPr>
          <w:p w14:paraId="06C16D74" w14:textId="02DB71A0" w:rsidR="00553F7B" w:rsidRPr="005A270A" w:rsidRDefault="00553F7B">
            <w:pPr>
              <w:rPr>
                <w:rFonts w:cs="Arial"/>
                <w:szCs w:val="22"/>
              </w:rPr>
            </w:pPr>
            <w:r>
              <w:rPr>
                <w:rFonts w:cs="Arial"/>
                <w:szCs w:val="22"/>
              </w:rPr>
              <w:t>4.2</w:t>
            </w:r>
          </w:p>
        </w:tc>
        <w:tc>
          <w:tcPr>
            <w:tcW w:w="6840" w:type="dxa"/>
            <w:tcBorders>
              <w:bottom w:val="single" w:sz="4" w:space="0" w:color="auto"/>
            </w:tcBorders>
          </w:tcPr>
          <w:p w14:paraId="45909CC9" w14:textId="6E88E575" w:rsidR="00553F7B" w:rsidRPr="005A270A" w:rsidRDefault="00553F7B">
            <w:pPr>
              <w:rPr>
                <w:rFonts w:cs="Arial"/>
                <w:szCs w:val="22"/>
              </w:rPr>
            </w:pPr>
            <w:r>
              <w:rPr>
                <w:rFonts w:cs="Arial"/>
                <w:szCs w:val="22"/>
              </w:rPr>
              <w:t>March VAT Short Summary Report not received by date set by Local Authority</w:t>
            </w:r>
          </w:p>
        </w:tc>
        <w:tc>
          <w:tcPr>
            <w:tcW w:w="1188" w:type="dxa"/>
            <w:tcBorders>
              <w:bottom w:val="single" w:sz="4" w:space="0" w:color="auto"/>
            </w:tcBorders>
          </w:tcPr>
          <w:p w14:paraId="57DB93D9" w14:textId="14D79A50" w:rsidR="00553F7B" w:rsidRPr="005A270A" w:rsidRDefault="00553F7B" w:rsidP="005A270A">
            <w:pPr>
              <w:jc w:val="center"/>
              <w:rPr>
                <w:rFonts w:cs="Arial"/>
                <w:szCs w:val="22"/>
              </w:rPr>
            </w:pPr>
            <w:r>
              <w:rPr>
                <w:rFonts w:cs="Arial"/>
                <w:szCs w:val="22"/>
              </w:rPr>
              <w:t>5</w:t>
            </w:r>
          </w:p>
        </w:tc>
      </w:tr>
      <w:tr w:rsidR="00553F7B" w:rsidRPr="005A270A" w14:paraId="1EC93D7A" w14:textId="77777777" w:rsidTr="005A270A">
        <w:tc>
          <w:tcPr>
            <w:tcW w:w="828" w:type="dxa"/>
            <w:tcBorders>
              <w:bottom w:val="single" w:sz="4" w:space="0" w:color="auto"/>
            </w:tcBorders>
          </w:tcPr>
          <w:p w14:paraId="200A3EDC" w14:textId="490AF193" w:rsidR="00553F7B" w:rsidRDefault="00553F7B">
            <w:pPr>
              <w:rPr>
                <w:rFonts w:cs="Arial"/>
                <w:szCs w:val="22"/>
              </w:rPr>
            </w:pPr>
            <w:r>
              <w:rPr>
                <w:rFonts w:cs="Arial"/>
                <w:szCs w:val="22"/>
              </w:rPr>
              <w:t>4..3</w:t>
            </w:r>
          </w:p>
        </w:tc>
        <w:tc>
          <w:tcPr>
            <w:tcW w:w="6840" w:type="dxa"/>
            <w:tcBorders>
              <w:bottom w:val="single" w:sz="4" w:space="0" w:color="auto"/>
            </w:tcBorders>
          </w:tcPr>
          <w:p w14:paraId="441A4BC6" w14:textId="5B733D1F" w:rsidR="00553F7B" w:rsidRDefault="00553F7B">
            <w:pPr>
              <w:rPr>
                <w:rFonts w:cs="Arial"/>
                <w:szCs w:val="22"/>
              </w:rPr>
            </w:pPr>
            <w:r>
              <w:rPr>
                <w:rFonts w:cs="Arial"/>
                <w:szCs w:val="22"/>
              </w:rPr>
              <w:t>March VAT Submittal Report not received by date set by Local Authority</w:t>
            </w:r>
          </w:p>
        </w:tc>
        <w:tc>
          <w:tcPr>
            <w:tcW w:w="1188" w:type="dxa"/>
            <w:tcBorders>
              <w:bottom w:val="single" w:sz="4" w:space="0" w:color="auto"/>
            </w:tcBorders>
          </w:tcPr>
          <w:p w14:paraId="3FD9BA34" w14:textId="6EFCC372" w:rsidR="00553F7B" w:rsidRDefault="00553F7B" w:rsidP="005A270A">
            <w:pPr>
              <w:jc w:val="center"/>
              <w:rPr>
                <w:rFonts w:cs="Arial"/>
                <w:szCs w:val="22"/>
              </w:rPr>
            </w:pPr>
            <w:r>
              <w:rPr>
                <w:rFonts w:cs="Arial"/>
                <w:szCs w:val="22"/>
              </w:rPr>
              <w:t>5</w:t>
            </w:r>
          </w:p>
        </w:tc>
      </w:tr>
      <w:tr w:rsidR="005A270A" w:rsidRPr="005A270A" w14:paraId="5A645A4B" w14:textId="77777777" w:rsidTr="005A270A">
        <w:tc>
          <w:tcPr>
            <w:tcW w:w="828" w:type="dxa"/>
            <w:tcBorders>
              <w:bottom w:val="nil"/>
              <w:right w:val="nil"/>
            </w:tcBorders>
          </w:tcPr>
          <w:p w14:paraId="4E8E6013" w14:textId="77777777" w:rsidR="005A270A" w:rsidRPr="005A270A" w:rsidRDefault="005A270A">
            <w:pPr>
              <w:rPr>
                <w:rFonts w:cs="Arial"/>
                <w:szCs w:val="22"/>
              </w:rPr>
            </w:pPr>
          </w:p>
        </w:tc>
        <w:tc>
          <w:tcPr>
            <w:tcW w:w="6840" w:type="dxa"/>
            <w:tcBorders>
              <w:left w:val="nil"/>
              <w:bottom w:val="nil"/>
              <w:right w:val="nil"/>
            </w:tcBorders>
          </w:tcPr>
          <w:p w14:paraId="4708A1A7" w14:textId="77777777" w:rsidR="005A270A" w:rsidRPr="005A270A" w:rsidRDefault="005A270A">
            <w:pPr>
              <w:rPr>
                <w:rFonts w:cs="Arial"/>
                <w:szCs w:val="22"/>
              </w:rPr>
            </w:pPr>
          </w:p>
        </w:tc>
        <w:tc>
          <w:tcPr>
            <w:tcW w:w="1188" w:type="dxa"/>
            <w:tcBorders>
              <w:left w:val="nil"/>
              <w:bottom w:val="nil"/>
            </w:tcBorders>
          </w:tcPr>
          <w:p w14:paraId="312E5AF6" w14:textId="77777777" w:rsidR="005A270A" w:rsidRPr="005A270A" w:rsidRDefault="005A270A" w:rsidP="005A270A">
            <w:pPr>
              <w:jc w:val="center"/>
              <w:rPr>
                <w:rFonts w:cs="Arial"/>
                <w:szCs w:val="22"/>
              </w:rPr>
            </w:pPr>
          </w:p>
        </w:tc>
      </w:tr>
      <w:tr w:rsidR="005A270A" w:rsidRPr="005A270A" w14:paraId="64BB1B89" w14:textId="77777777" w:rsidTr="005A270A">
        <w:tc>
          <w:tcPr>
            <w:tcW w:w="828" w:type="dxa"/>
            <w:tcBorders>
              <w:top w:val="nil"/>
              <w:right w:val="nil"/>
            </w:tcBorders>
          </w:tcPr>
          <w:p w14:paraId="56E8E1A9" w14:textId="77777777" w:rsidR="005A270A" w:rsidRPr="005A270A" w:rsidRDefault="005A270A">
            <w:pPr>
              <w:rPr>
                <w:rFonts w:cs="Arial"/>
                <w:szCs w:val="22"/>
              </w:rPr>
            </w:pPr>
          </w:p>
        </w:tc>
        <w:tc>
          <w:tcPr>
            <w:tcW w:w="6840" w:type="dxa"/>
            <w:tcBorders>
              <w:top w:val="nil"/>
              <w:left w:val="nil"/>
              <w:right w:val="nil"/>
            </w:tcBorders>
          </w:tcPr>
          <w:p w14:paraId="3F25F83F" w14:textId="77777777" w:rsidR="005A270A" w:rsidRPr="005A270A" w:rsidRDefault="005A270A">
            <w:pPr>
              <w:rPr>
                <w:rFonts w:cs="Arial"/>
                <w:szCs w:val="22"/>
              </w:rPr>
            </w:pPr>
          </w:p>
        </w:tc>
        <w:tc>
          <w:tcPr>
            <w:tcW w:w="1188" w:type="dxa"/>
            <w:tcBorders>
              <w:top w:val="nil"/>
              <w:left w:val="nil"/>
            </w:tcBorders>
          </w:tcPr>
          <w:p w14:paraId="2EB15949" w14:textId="77777777" w:rsidR="005A270A" w:rsidRPr="005A270A" w:rsidRDefault="005A270A" w:rsidP="005A270A">
            <w:pPr>
              <w:jc w:val="center"/>
              <w:rPr>
                <w:rFonts w:cs="Arial"/>
                <w:szCs w:val="22"/>
              </w:rPr>
            </w:pPr>
          </w:p>
        </w:tc>
      </w:tr>
      <w:tr w:rsidR="005A270A" w:rsidRPr="005A270A" w14:paraId="0E31C4BC" w14:textId="77777777" w:rsidTr="005A270A">
        <w:tc>
          <w:tcPr>
            <w:tcW w:w="828" w:type="dxa"/>
          </w:tcPr>
          <w:p w14:paraId="791C44B0" w14:textId="77777777" w:rsidR="005A270A" w:rsidRPr="005A270A" w:rsidRDefault="005A270A">
            <w:pPr>
              <w:rPr>
                <w:rFonts w:cs="Arial"/>
                <w:b/>
                <w:color w:val="000000"/>
                <w:szCs w:val="22"/>
              </w:rPr>
            </w:pPr>
            <w:r w:rsidRPr="005A270A">
              <w:rPr>
                <w:rFonts w:cs="Arial"/>
                <w:b/>
                <w:color w:val="000000"/>
                <w:szCs w:val="22"/>
              </w:rPr>
              <w:t>5</w:t>
            </w:r>
          </w:p>
        </w:tc>
        <w:tc>
          <w:tcPr>
            <w:tcW w:w="6840" w:type="dxa"/>
          </w:tcPr>
          <w:p w14:paraId="4C83FFAF" w14:textId="77777777" w:rsidR="005A270A" w:rsidRPr="005A270A" w:rsidRDefault="005A270A">
            <w:pPr>
              <w:rPr>
                <w:rFonts w:cs="Arial"/>
                <w:b/>
                <w:color w:val="000000"/>
                <w:szCs w:val="22"/>
              </w:rPr>
            </w:pPr>
            <w:r w:rsidRPr="005A270A">
              <w:rPr>
                <w:rFonts w:cs="Arial"/>
                <w:b/>
                <w:color w:val="000000"/>
                <w:szCs w:val="22"/>
              </w:rPr>
              <w:t xml:space="preserve">VOLUNTARY &amp; PRIVATE FUNDS (Including School Companies) </w:t>
            </w:r>
          </w:p>
        </w:tc>
        <w:tc>
          <w:tcPr>
            <w:tcW w:w="1188" w:type="dxa"/>
          </w:tcPr>
          <w:p w14:paraId="7EF4BE34" w14:textId="77777777" w:rsidR="005A270A" w:rsidRPr="005A270A" w:rsidRDefault="005A270A" w:rsidP="005A270A">
            <w:pPr>
              <w:jc w:val="center"/>
              <w:rPr>
                <w:rFonts w:cs="Arial"/>
                <w:color w:val="000000"/>
                <w:szCs w:val="22"/>
              </w:rPr>
            </w:pPr>
          </w:p>
        </w:tc>
      </w:tr>
      <w:tr w:rsidR="005A270A" w:rsidRPr="005A270A" w14:paraId="720E7BCF" w14:textId="77777777" w:rsidTr="005A270A">
        <w:tc>
          <w:tcPr>
            <w:tcW w:w="828" w:type="dxa"/>
          </w:tcPr>
          <w:p w14:paraId="26550CE2" w14:textId="77777777" w:rsidR="005A270A" w:rsidRPr="005A270A" w:rsidRDefault="005A270A">
            <w:pPr>
              <w:rPr>
                <w:rFonts w:cs="Arial"/>
                <w:color w:val="000000"/>
                <w:szCs w:val="22"/>
              </w:rPr>
            </w:pPr>
            <w:r w:rsidRPr="005A270A">
              <w:rPr>
                <w:rFonts w:cs="Arial"/>
                <w:color w:val="000000"/>
                <w:szCs w:val="22"/>
              </w:rPr>
              <w:t>5.1</w:t>
            </w:r>
          </w:p>
        </w:tc>
        <w:tc>
          <w:tcPr>
            <w:tcW w:w="6840" w:type="dxa"/>
          </w:tcPr>
          <w:p w14:paraId="27DBF080" w14:textId="77777777" w:rsidR="005A270A" w:rsidRPr="005A270A" w:rsidRDefault="005A270A">
            <w:pPr>
              <w:rPr>
                <w:rFonts w:cs="Arial"/>
                <w:color w:val="000000"/>
                <w:szCs w:val="22"/>
              </w:rPr>
            </w:pPr>
            <w:r w:rsidRPr="005A270A">
              <w:rPr>
                <w:rFonts w:cs="Arial"/>
                <w:color w:val="000000"/>
                <w:szCs w:val="22"/>
              </w:rPr>
              <w:t xml:space="preserve">An audit certificate or a copy of audited accounts, for the previous financial or academic year, not received by the end of December, for every voluntary &amp; private fund (including School Companies) the Governing Body is responsible for </w:t>
            </w:r>
          </w:p>
        </w:tc>
        <w:tc>
          <w:tcPr>
            <w:tcW w:w="1188" w:type="dxa"/>
          </w:tcPr>
          <w:p w14:paraId="3BA63365" w14:textId="77777777" w:rsidR="005A270A" w:rsidRPr="005A270A" w:rsidRDefault="005A270A" w:rsidP="005A270A">
            <w:pPr>
              <w:jc w:val="center"/>
              <w:rPr>
                <w:rFonts w:cs="Arial"/>
                <w:color w:val="000000"/>
                <w:szCs w:val="22"/>
              </w:rPr>
            </w:pPr>
            <w:r w:rsidRPr="005A270A">
              <w:rPr>
                <w:rFonts w:cs="Arial"/>
                <w:color w:val="000000"/>
                <w:szCs w:val="22"/>
              </w:rPr>
              <w:t>10</w:t>
            </w:r>
          </w:p>
        </w:tc>
      </w:tr>
      <w:tr w:rsidR="005A270A" w:rsidRPr="005A270A" w14:paraId="4DA92B9D" w14:textId="77777777" w:rsidTr="005A270A">
        <w:tc>
          <w:tcPr>
            <w:tcW w:w="828" w:type="dxa"/>
            <w:tcBorders>
              <w:bottom w:val="single" w:sz="4" w:space="0" w:color="auto"/>
            </w:tcBorders>
          </w:tcPr>
          <w:p w14:paraId="30B0B766" w14:textId="77777777" w:rsidR="005A270A" w:rsidRPr="005A270A" w:rsidRDefault="005A270A">
            <w:pPr>
              <w:rPr>
                <w:rFonts w:cs="Arial"/>
                <w:color w:val="000000"/>
                <w:szCs w:val="22"/>
              </w:rPr>
            </w:pPr>
            <w:r w:rsidRPr="005A270A">
              <w:rPr>
                <w:rFonts w:cs="Arial"/>
                <w:color w:val="000000"/>
                <w:szCs w:val="22"/>
              </w:rPr>
              <w:t>5.2</w:t>
            </w:r>
          </w:p>
        </w:tc>
        <w:tc>
          <w:tcPr>
            <w:tcW w:w="6840" w:type="dxa"/>
            <w:tcBorders>
              <w:bottom w:val="single" w:sz="4" w:space="0" w:color="auto"/>
            </w:tcBorders>
          </w:tcPr>
          <w:p w14:paraId="06789FFF" w14:textId="77777777" w:rsidR="005A270A" w:rsidRPr="005A270A" w:rsidRDefault="005A270A">
            <w:pPr>
              <w:rPr>
                <w:rFonts w:cs="Arial"/>
                <w:color w:val="000000"/>
                <w:szCs w:val="22"/>
              </w:rPr>
            </w:pPr>
            <w:r w:rsidRPr="005A270A">
              <w:rPr>
                <w:rFonts w:cs="Arial"/>
                <w:color w:val="000000"/>
                <w:szCs w:val="22"/>
              </w:rPr>
              <w:t>Subsequent receipt of an audit certificate or annual audited accounts</w:t>
            </w:r>
          </w:p>
        </w:tc>
        <w:tc>
          <w:tcPr>
            <w:tcW w:w="1188" w:type="dxa"/>
            <w:tcBorders>
              <w:bottom w:val="single" w:sz="4" w:space="0" w:color="auto"/>
            </w:tcBorders>
          </w:tcPr>
          <w:p w14:paraId="5C9EA83E" w14:textId="77777777" w:rsidR="005A270A" w:rsidRPr="005A270A" w:rsidRDefault="005A270A" w:rsidP="005A270A">
            <w:pPr>
              <w:jc w:val="center"/>
              <w:rPr>
                <w:rFonts w:cs="Arial"/>
                <w:color w:val="000000"/>
                <w:szCs w:val="22"/>
              </w:rPr>
            </w:pPr>
            <w:r w:rsidRPr="005A270A">
              <w:rPr>
                <w:rFonts w:cs="Arial"/>
                <w:color w:val="000000"/>
                <w:szCs w:val="22"/>
              </w:rPr>
              <w:t>-5</w:t>
            </w:r>
          </w:p>
        </w:tc>
      </w:tr>
      <w:tr w:rsidR="005A270A" w:rsidRPr="005A270A" w14:paraId="482567CE" w14:textId="77777777" w:rsidTr="005A270A">
        <w:tc>
          <w:tcPr>
            <w:tcW w:w="828" w:type="dxa"/>
            <w:tcBorders>
              <w:bottom w:val="nil"/>
              <w:right w:val="nil"/>
            </w:tcBorders>
          </w:tcPr>
          <w:p w14:paraId="6DFAFEBF" w14:textId="77777777" w:rsidR="005A270A" w:rsidRPr="005A270A" w:rsidRDefault="005A270A">
            <w:pPr>
              <w:rPr>
                <w:rFonts w:cs="Arial"/>
                <w:szCs w:val="22"/>
              </w:rPr>
            </w:pPr>
          </w:p>
        </w:tc>
        <w:tc>
          <w:tcPr>
            <w:tcW w:w="6840" w:type="dxa"/>
            <w:tcBorders>
              <w:left w:val="nil"/>
              <w:bottom w:val="nil"/>
              <w:right w:val="nil"/>
            </w:tcBorders>
          </w:tcPr>
          <w:p w14:paraId="510BE7FC" w14:textId="77777777" w:rsidR="005A270A" w:rsidRPr="005A270A" w:rsidRDefault="005A270A">
            <w:pPr>
              <w:rPr>
                <w:rFonts w:cs="Arial"/>
                <w:szCs w:val="22"/>
              </w:rPr>
            </w:pPr>
          </w:p>
        </w:tc>
        <w:tc>
          <w:tcPr>
            <w:tcW w:w="1188" w:type="dxa"/>
            <w:tcBorders>
              <w:left w:val="nil"/>
              <w:bottom w:val="nil"/>
            </w:tcBorders>
          </w:tcPr>
          <w:p w14:paraId="50CF9F77" w14:textId="77777777" w:rsidR="005A270A" w:rsidRPr="005A270A" w:rsidRDefault="005A270A" w:rsidP="005A270A">
            <w:pPr>
              <w:jc w:val="center"/>
              <w:rPr>
                <w:rFonts w:cs="Arial"/>
                <w:szCs w:val="22"/>
              </w:rPr>
            </w:pPr>
          </w:p>
        </w:tc>
      </w:tr>
      <w:tr w:rsidR="005A270A" w:rsidRPr="005A270A" w14:paraId="06F86BD8" w14:textId="77777777" w:rsidTr="005A270A">
        <w:tc>
          <w:tcPr>
            <w:tcW w:w="828" w:type="dxa"/>
            <w:tcBorders>
              <w:top w:val="nil"/>
              <w:right w:val="nil"/>
            </w:tcBorders>
          </w:tcPr>
          <w:p w14:paraId="5E0C1FED" w14:textId="77777777" w:rsidR="005A270A" w:rsidRPr="005A270A" w:rsidRDefault="005A270A">
            <w:pPr>
              <w:rPr>
                <w:rFonts w:cs="Arial"/>
                <w:szCs w:val="22"/>
              </w:rPr>
            </w:pPr>
          </w:p>
        </w:tc>
        <w:tc>
          <w:tcPr>
            <w:tcW w:w="6840" w:type="dxa"/>
            <w:tcBorders>
              <w:top w:val="nil"/>
              <w:left w:val="nil"/>
              <w:right w:val="nil"/>
            </w:tcBorders>
          </w:tcPr>
          <w:p w14:paraId="1231BBFD" w14:textId="77777777" w:rsidR="005A270A" w:rsidRPr="005A270A" w:rsidRDefault="005A270A">
            <w:pPr>
              <w:rPr>
                <w:rFonts w:cs="Arial"/>
                <w:szCs w:val="22"/>
              </w:rPr>
            </w:pPr>
          </w:p>
        </w:tc>
        <w:tc>
          <w:tcPr>
            <w:tcW w:w="1188" w:type="dxa"/>
            <w:tcBorders>
              <w:top w:val="nil"/>
              <w:left w:val="nil"/>
            </w:tcBorders>
          </w:tcPr>
          <w:p w14:paraId="19059A2D" w14:textId="77777777" w:rsidR="005A270A" w:rsidRPr="005A270A" w:rsidRDefault="005A270A" w:rsidP="005A270A">
            <w:pPr>
              <w:jc w:val="center"/>
              <w:rPr>
                <w:rFonts w:cs="Arial"/>
                <w:szCs w:val="22"/>
              </w:rPr>
            </w:pPr>
          </w:p>
        </w:tc>
      </w:tr>
      <w:tr w:rsidR="005A270A" w:rsidRPr="005A270A" w14:paraId="3261CE72" w14:textId="77777777" w:rsidTr="005A270A">
        <w:tc>
          <w:tcPr>
            <w:tcW w:w="828" w:type="dxa"/>
          </w:tcPr>
          <w:p w14:paraId="034DF97E" w14:textId="77777777" w:rsidR="005A270A" w:rsidRPr="005A270A" w:rsidRDefault="005A270A">
            <w:pPr>
              <w:rPr>
                <w:rFonts w:cs="Arial"/>
                <w:b/>
                <w:szCs w:val="22"/>
              </w:rPr>
            </w:pPr>
            <w:r w:rsidRPr="005A270A">
              <w:rPr>
                <w:rFonts w:cs="Arial"/>
                <w:b/>
                <w:szCs w:val="22"/>
              </w:rPr>
              <w:t>6</w:t>
            </w:r>
          </w:p>
        </w:tc>
        <w:tc>
          <w:tcPr>
            <w:tcW w:w="6840" w:type="dxa"/>
          </w:tcPr>
          <w:p w14:paraId="6168F6D7" w14:textId="77777777" w:rsidR="005A270A" w:rsidRPr="005A270A" w:rsidRDefault="005A270A">
            <w:pPr>
              <w:rPr>
                <w:rFonts w:cs="Arial"/>
                <w:b/>
                <w:szCs w:val="22"/>
              </w:rPr>
            </w:pPr>
            <w:r w:rsidRPr="005A270A">
              <w:rPr>
                <w:rFonts w:cs="Arial"/>
                <w:b/>
                <w:szCs w:val="22"/>
              </w:rPr>
              <w:t xml:space="preserve">FINAL </w:t>
            </w:r>
            <w:smartTag w:uri="urn:schemas-microsoft-com:office:smarttags" w:element="stockticker">
              <w:r w:rsidRPr="005A270A">
                <w:rPr>
                  <w:rFonts w:cs="Arial"/>
                  <w:b/>
                  <w:szCs w:val="22"/>
                </w:rPr>
                <w:t>CFR</w:t>
              </w:r>
            </w:smartTag>
            <w:r w:rsidRPr="005A270A">
              <w:rPr>
                <w:rFonts w:cs="Arial"/>
                <w:b/>
                <w:szCs w:val="22"/>
              </w:rPr>
              <w:t xml:space="preserve"> RETURN </w:t>
            </w:r>
          </w:p>
        </w:tc>
        <w:tc>
          <w:tcPr>
            <w:tcW w:w="1188" w:type="dxa"/>
          </w:tcPr>
          <w:p w14:paraId="12D28C6C" w14:textId="77777777" w:rsidR="005A270A" w:rsidRPr="005A270A" w:rsidRDefault="005A270A" w:rsidP="005A270A">
            <w:pPr>
              <w:jc w:val="center"/>
              <w:rPr>
                <w:rFonts w:cs="Arial"/>
                <w:szCs w:val="22"/>
              </w:rPr>
            </w:pPr>
          </w:p>
        </w:tc>
      </w:tr>
      <w:tr w:rsidR="005A270A" w:rsidRPr="005A270A" w14:paraId="478FC6A5" w14:textId="77777777" w:rsidTr="005A270A">
        <w:tc>
          <w:tcPr>
            <w:tcW w:w="828" w:type="dxa"/>
          </w:tcPr>
          <w:p w14:paraId="6D39C2A1" w14:textId="77777777" w:rsidR="005A270A" w:rsidRPr="005A270A" w:rsidRDefault="005A270A">
            <w:pPr>
              <w:rPr>
                <w:rFonts w:cs="Arial"/>
                <w:szCs w:val="22"/>
              </w:rPr>
            </w:pPr>
            <w:r w:rsidRPr="005A270A">
              <w:rPr>
                <w:rFonts w:cs="Arial"/>
                <w:szCs w:val="22"/>
              </w:rPr>
              <w:t xml:space="preserve">6.1 </w:t>
            </w:r>
          </w:p>
        </w:tc>
        <w:tc>
          <w:tcPr>
            <w:tcW w:w="6840" w:type="dxa"/>
          </w:tcPr>
          <w:p w14:paraId="5BEC84CF" w14:textId="77777777" w:rsidR="005A270A" w:rsidRPr="005A270A" w:rsidRDefault="005A270A">
            <w:pPr>
              <w:rPr>
                <w:rFonts w:cs="Arial"/>
                <w:szCs w:val="22"/>
              </w:rPr>
            </w:pPr>
            <w:r w:rsidRPr="005A270A">
              <w:rPr>
                <w:rFonts w:cs="Arial"/>
                <w:szCs w:val="22"/>
              </w:rPr>
              <w:t xml:space="preserve">Failure to submit Final </w:t>
            </w:r>
            <w:smartTag w:uri="urn:schemas-microsoft-com:office:smarttags" w:element="stockticker">
              <w:r w:rsidRPr="005A270A">
                <w:rPr>
                  <w:rFonts w:cs="Arial"/>
                  <w:szCs w:val="22"/>
                </w:rPr>
                <w:t>CFR</w:t>
              </w:r>
            </w:smartTag>
            <w:r w:rsidRPr="005A270A">
              <w:rPr>
                <w:rFonts w:cs="Arial"/>
                <w:szCs w:val="22"/>
              </w:rPr>
              <w:t xml:space="preserve"> Return by the date set by the Local Authority</w:t>
            </w:r>
          </w:p>
        </w:tc>
        <w:tc>
          <w:tcPr>
            <w:tcW w:w="1188" w:type="dxa"/>
          </w:tcPr>
          <w:p w14:paraId="1BAFEFD0" w14:textId="77777777" w:rsidR="005A270A" w:rsidRPr="005A270A" w:rsidRDefault="005A270A" w:rsidP="005A270A">
            <w:pPr>
              <w:jc w:val="center"/>
              <w:rPr>
                <w:rFonts w:cs="Arial"/>
                <w:szCs w:val="22"/>
              </w:rPr>
            </w:pPr>
            <w:r w:rsidRPr="005A270A">
              <w:rPr>
                <w:rFonts w:cs="Arial"/>
                <w:szCs w:val="22"/>
              </w:rPr>
              <w:t>10</w:t>
            </w:r>
          </w:p>
        </w:tc>
      </w:tr>
      <w:tr w:rsidR="005A270A" w:rsidRPr="005A270A" w14:paraId="324E0956" w14:textId="77777777" w:rsidTr="005A270A">
        <w:tc>
          <w:tcPr>
            <w:tcW w:w="828" w:type="dxa"/>
          </w:tcPr>
          <w:p w14:paraId="71C477BD" w14:textId="77777777" w:rsidR="005A270A" w:rsidRPr="005A270A" w:rsidRDefault="005A270A">
            <w:pPr>
              <w:rPr>
                <w:rFonts w:cs="Arial"/>
                <w:szCs w:val="22"/>
              </w:rPr>
            </w:pPr>
            <w:r w:rsidRPr="005A270A">
              <w:rPr>
                <w:rFonts w:cs="Arial"/>
                <w:szCs w:val="22"/>
              </w:rPr>
              <w:t>6.2</w:t>
            </w:r>
          </w:p>
        </w:tc>
        <w:tc>
          <w:tcPr>
            <w:tcW w:w="6840" w:type="dxa"/>
          </w:tcPr>
          <w:p w14:paraId="193278A9" w14:textId="77777777" w:rsidR="005A270A" w:rsidRPr="005A270A" w:rsidRDefault="005A270A">
            <w:pPr>
              <w:rPr>
                <w:rFonts w:cs="Arial"/>
                <w:szCs w:val="22"/>
              </w:rPr>
            </w:pPr>
            <w:r w:rsidRPr="005A270A">
              <w:rPr>
                <w:rFonts w:cs="Arial"/>
                <w:szCs w:val="22"/>
              </w:rPr>
              <w:t xml:space="preserve">Failure to submit Final </w:t>
            </w:r>
            <w:smartTag w:uri="urn:schemas-microsoft-com:office:smarttags" w:element="stockticker">
              <w:r w:rsidRPr="005A270A">
                <w:rPr>
                  <w:rFonts w:cs="Arial"/>
                  <w:szCs w:val="22"/>
                </w:rPr>
                <w:t>CFR</w:t>
              </w:r>
            </w:smartTag>
            <w:r w:rsidRPr="005A270A">
              <w:rPr>
                <w:rFonts w:cs="Arial"/>
                <w:szCs w:val="22"/>
              </w:rPr>
              <w:t xml:space="preserve"> Return two weeks before the DfE deadline </w:t>
            </w:r>
          </w:p>
        </w:tc>
        <w:tc>
          <w:tcPr>
            <w:tcW w:w="1188" w:type="dxa"/>
          </w:tcPr>
          <w:p w14:paraId="404BAD8E" w14:textId="77777777" w:rsidR="005A270A" w:rsidRPr="005A270A" w:rsidRDefault="005A270A" w:rsidP="005A270A">
            <w:pPr>
              <w:jc w:val="center"/>
              <w:rPr>
                <w:rFonts w:cs="Arial"/>
                <w:szCs w:val="22"/>
              </w:rPr>
            </w:pPr>
            <w:r w:rsidRPr="005A270A">
              <w:rPr>
                <w:rFonts w:cs="Arial"/>
                <w:szCs w:val="22"/>
              </w:rPr>
              <w:t>20</w:t>
            </w:r>
          </w:p>
        </w:tc>
      </w:tr>
      <w:tr w:rsidR="005A270A" w:rsidRPr="005A270A" w14:paraId="74E7071D" w14:textId="77777777" w:rsidTr="005A270A">
        <w:tc>
          <w:tcPr>
            <w:tcW w:w="828" w:type="dxa"/>
            <w:tcBorders>
              <w:bottom w:val="single" w:sz="4" w:space="0" w:color="auto"/>
            </w:tcBorders>
          </w:tcPr>
          <w:p w14:paraId="76C8FF88" w14:textId="77777777" w:rsidR="005A270A" w:rsidRPr="005A270A" w:rsidRDefault="005A270A">
            <w:pPr>
              <w:rPr>
                <w:rFonts w:cs="Arial"/>
                <w:szCs w:val="22"/>
              </w:rPr>
            </w:pPr>
            <w:r w:rsidRPr="005A270A">
              <w:rPr>
                <w:rFonts w:cs="Arial"/>
                <w:szCs w:val="22"/>
              </w:rPr>
              <w:t>6.3</w:t>
            </w:r>
          </w:p>
        </w:tc>
        <w:tc>
          <w:tcPr>
            <w:tcW w:w="6840" w:type="dxa"/>
            <w:tcBorders>
              <w:bottom w:val="single" w:sz="4" w:space="0" w:color="auto"/>
            </w:tcBorders>
          </w:tcPr>
          <w:p w14:paraId="17FFF5B3" w14:textId="77777777" w:rsidR="005A270A" w:rsidRPr="005A270A" w:rsidRDefault="005A270A" w:rsidP="005A270A">
            <w:pPr>
              <w:jc w:val="both"/>
              <w:rPr>
                <w:rFonts w:cs="Arial"/>
                <w:szCs w:val="22"/>
              </w:rPr>
            </w:pPr>
            <w:r w:rsidRPr="005A270A">
              <w:rPr>
                <w:rFonts w:cs="Arial"/>
                <w:szCs w:val="22"/>
              </w:rPr>
              <w:t>Failure to submit a return that can be approved by the Authority without intervention</w:t>
            </w:r>
          </w:p>
        </w:tc>
        <w:tc>
          <w:tcPr>
            <w:tcW w:w="1188" w:type="dxa"/>
            <w:tcBorders>
              <w:bottom w:val="single" w:sz="4" w:space="0" w:color="auto"/>
            </w:tcBorders>
          </w:tcPr>
          <w:p w14:paraId="5181A014" w14:textId="77777777" w:rsidR="005A270A" w:rsidRPr="005A270A" w:rsidRDefault="005A270A" w:rsidP="005A270A">
            <w:pPr>
              <w:jc w:val="center"/>
              <w:rPr>
                <w:rFonts w:cs="Arial"/>
                <w:szCs w:val="22"/>
              </w:rPr>
            </w:pPr>
            <w:r w:rsidRPr="005A270A">
              <w:rPr>
                <w:rFonts w:cs="Arial"/>
                <w:szCs w:val="22"/>
              </w:rPr>
              <w:t>10</w:t>
            </w:r>
          </w:p>
        </w:tc>
      </w:tr>
      <w:tr w:rsidR="005A270A" w:rsidRPr="005A270A" w14:paraId="7DC346A1" w14:textId="77777777" w:rsidTr="005A270A">
        <w:tc>
          <w:tcPr>
            <w:tcW w:w="828" w:type="dxa"/>
            <w:tcBorders>
              <w:bottom w:val="nil"/>
              <w:right w:val="nil"/>
            </w:tcBorders>
          </w:tcPr>
          <w:p w14:paraId="5E08DA4C" w14:textId="77777777" w:rsidR="005A270A" w:rsidRPr="005A270A" w:rsidRDefault="005A270A">
            <w:pPr>
              <w:rPr>
                <w:rFonts w:cs="Arial"/>
                <w:szCs w:val="22"/>
              </w:rPr>
            </w:pPr>
          </w:p>
        </w:tc>
        <w:tc>
          <w:tcPr>
            <w:tcW w:w="6840" w:type="dxa"/>
            <w:tcBorders>
              <w:left w:val="nil"/>
              <w:bottom w:val="nil"/>
              <w:right w:val="nil"/>
            </w:tcBorders>
          </w:tcPr>
          <w:p w14:paraId="28A6692B" w14:textId="77777777" w:rsidR="00C71C44" w:rsidRDefault="00C71C44">
            <w:pPr>
              <w:rPr>
                <w:rFonts w:cs="Arial"/>
                <w:szCs w:val="22"/>
              </w:rPr>
            </w:pPr>
          </w:p>
          <w:p w14:paraId="14AB6BB4" w14:textId="77777777" w:rsidR="00C71C44" w:rsidRPr="005A270A" w:rsidRDefault="00C71C44">
            <w:pPr>
              <w:rPr>
                <w:rFonts w:cs="Arial"/>
                <w:szCs w:val="22"/>
              </w:rPr>
            </w:pPr>
          </w:p>
        </w:tc>
        <w:tc>
          <w:tcPr>
            <w:tcW w:w="1188" w:type="dxa"/>
            <w:tcBorders>
              <w:left w:val="nil"/>
              <w:bottom w:val="nil"/>
            </w:tcBorders>
          </w:tcPr>
          <w:p w14:paraId="0F4FA6EB" w14:textId="77777777" w:rsidR="005A270A" w:rsidRPr="005A270A" w:rsidRDefault="005A270A" w:rsidP="005A270A">
            <w:pPr>
              <w:jc w:val="center"/>
              <w:rPr>
                <w:rFonts w:cs="Arial"/>
                <w:szCs w:val="22"/>
              </w:rPr>
            </w:pPr>
          </w:p>
        </w:tc>
      </w:tr>
      <w:tr w:rsidR="005A270A" w:rsidRPr="005A270A" w14:paraId="585CA689" w14:textId="77777777" w:rsidTr="005A270A">
        <w:tc>
          <w:tcPr>
            <w:tcW w:w="828" w:type="dxa"/>
            <w:tcBorders>
              <w:top w:val="nil"/>
              <w:right w:val="nil"/>
            </w:tcBorders>
          </w:tcPr>
          <w:p w14:paraId="477996B5" w14:textId="77777777" w:rsidR="005A270A" w:rsidRPr="005A270A" w:rsidRDefault="005A270A">
            <w:pPr>
              <w:rPr>
                <w:rFonts w:cs="Arial"/>
                <w:color w:val="000000"/>
                <w:szCs w:val="22"/>
              </w:rPr>
            </w:pPr>
          </w:p>
        </w:tc>
        <w:tc>
          <w:tcPr>
            <w:tcW w:w="6840" w:type="dxa"/>
            <w:tcBorders>
              <w:top w:val="nil"/>
              <w:left w:val="nil"/>
              <w:right w:val="nil"/>
            </w:tcBorders>
          </w:tcPr>
          <w:p w14:paraId="1E978049" w14:textId="77777777" w:rsidR="005A270A" w:rsidRPr="005A270A" w:rsidRDefault="005A270A">
            <w:pPr>
              <w:rPr>
                <w:rFonts w:cs="Arial"/>
                <w:color w:val="000000"/>
                <w:szCs w:val="22"/>
              </w:rPr>
            </w:pPr>
          </w:p>
        </w:tc>
        <w:tc>
          <w:tcPr>
            <w:tcW w:w="1188" w:type="dxa"/>
            <w:tcBorders>
              <w:top w:val="nil"/>
              <w:left w:val="nil"/>
            </w:tcBorders>
          </w:tcPr>
          <w:p w14:paraId="352144E4" w14:textId="77777777" w:rsidR="005A270A" w:rsidRPr="005A270A" w:rsidRDefault="005A270A" w:rsidP="005A270A">
            <w:pPr>
              <w:jc w:val="center"/>
              <w:rPr>
                <w:rFonts w:cs="Arial"/>
                <w:color w:val="000000"/>
                <w:szCs w:val="22"/>
              </w:rPr>
            </w:pPr>
          </w:p>
        </w:tc>
      </w:tr>
      <w:tr w:rsidR="005A270A" w:rsidRPr="005A270A" w14:paraId="412B27E1" w14:textId="77777777" w:rsidTr="005A270A">
        <w:tc>
          <w:tcPr>
            <w:tcW w:w="828" w:type="dxa"/>
          </w:tcPr>
          <w:p w14:paraId="756DA916" w14:textId="77777777" w:rsidR="005A270A" w:rsidRPr="005A270A" w:rsidRDefault="005A270A">
            <w:pPr>
              <w:rPr>
                <w:rFonts w:cs="Arial"/>
                <w:b/>
                <w:color w:val="000000"/>
                <w:szCs w:val="22"/>
              </w:rPr>
            </w:pPr>
            <w:r w:rsidRPr="005A270A">
              <w:rPr>
                <w:rFonts w:cs="Arial"/>
                <w:b/>
                <w:color w:val="000000"/>
                <w:szCs w:val="22"/>
              </w:rPr>
              <w:lastRenderedPageBreak/>
              <w:t>7</w:t>
            </w:r>
          </w:p>
        </w:tc>
        <w:tc>
          <w:tcPr>
            <w:tcW w:w="6840" w:type="dxa"/>
          </w:tcPr>
          <w:p w14:paraId="0AFCB099" w14:textId="77777777" w:rsidR="005A270A" w:rsidRPr="005A270A" w:rsidRDefault="005A270A">
            <w:pPr>
              <w:rPr>
                <w:rFonts w:cs="Arial"/>
                <w:b/>
                <w:color w:val="000000"/>
                <w:szCs w:val="22"/>
              </w:rPr>
            </w:pPr>
            <w:r w:rsidRPr="005A270A">
              <w:rPr>
                <w:rFonts w:cs="Arial"/>
                <w:b/>
                <w:color w:val="000000"/>
                <w:szCs w:val="22"/>
              </w:rPr>
              <w:t>SCHOOLS FINANCIAL VALUE STANDARD (SFVS)</w:t>
            </w:r>
          </w:p>
        </w:tc>
        <w:tc>
          <w:tcPr>
            <w:tcW w:w="1188" w:type="dxa"/>
          </w:tcPr>
          <w:p w14:paraId="1B0F9DF3" w14:textId="77777777" w:rsidR="005A270A" w:rsidRPr="005A270A" w:rsidRDefault="005A270A" w:rsidP="005A270A">
            <w:pPr>
              <w:jc w:val="center"/>
              <w:rPr>
                <w:rFonts w:cs="Arial"/>
                <w:color w:val="000000"/>
                <w:szCs w:val="22"/>
              </w:rPr>
            </w:pPr>
          </w:p>
        </w:tc>
      </w:tr>
      <w:tr w:rsidR="005A270A" w:rsidRPr="005A270A" w14:paraId="653337CC" w14:textId="77777777" w:rsidTr="005A270A">
        <w:tc>
          <w:tcPr>
            <w:tcW w:w="828" w:type="dxa"/>
          </w:tcPr>
          <w:p w14:paraId="2FA5A9D9" w14:textId="77777777" w:rsidR="005A270A" w:rsidRPr="005A270A" w:rsidRDefault="005A270A">
            <w:pPr>
              <w:rPr>
                <w:rFonts w:cs="Arial"/>
                <w:color w:val="000000"/>
                <w:szCs w:val="22"/>
              </w:rPr>
            </w:pPr>
            <w:r w:rsidRPr="005A270A">
              <w:rPr>
                <w:rFonts w:cs="Arial"/>
                <w:color w:val="000000"/>
                <w:szCs w:val="22"/>
              </w:rPr>
              <w:t>7.1</w:t>
            </w:r>
          </w:p>
        </w:tc>
        <w:tc>
          <w:tcPr>
            <w:tcW w:w="6840" w:type="dxa"/>
          </w:tcPr>
          <w:p w14:paraId="0171ABC6" w14:textId="77777777" w:rsidR="005A270A" w:rsidRPr="005A270A" w:rsidRDefault="005A270A">
            <w:pPr>
              <w:rPr>
                <w:rFonts w:cs="Arial"/>
                <w:color w:val="000000"/>
                <w:szCs w:val="22"/>
              </w:rPr>
            </w:pPr>
            <w:r w:rsidRPr="005A270A">
              <w:rPr>
                <w:rFonts w:cs="Arial"/>
                <w:color w:val="000000"/>
                <w:szCs w:val="22"/>
              </w:rPr>
              <w:t xml:space="preserve">Failure to submit an authorised SFVS Statement to the LA by 30 April </w:t>
            </w:r>
          </w:p>
        </w:tc>
        <w:tc>
          <w:tcPr>
            <w:tcW w:w="1188" w:type="dxa"/>
          </w:tcPr>
          <w:p w14:paraId="00D7786A" w14:textId="77777777" w:rsidR="005A270A" w:rsidRPr="005A270A" w:rsidRDefault="005A270A" w:rsidP="005A270A">
            <w:pPr>
              <w:jc w:val="center"/>
              <w:rPr>
                <w:rFonts w:cs="Arial"/>
                <w:color w:val="000000"/>
                <w:szCs w:val="22"/>
              </w:rPr>
            </w:pPr>
            <w:r w:rsidRPr="005A270A">
              <w:rPr>
                <w:rFonts w:cs="Arial"/>
                <w:color w:val="000000"/>
                <w:szCs w:val="22"/>
              </w:rPr>
              <w:t>40</w:t>
            </w:r>
          </w:p>
        </w:tc>
      </w:tr>
      <w:tr w:rsidR="005A270A" w:rsidRPr="005A270A" w14:paraId="4B62A247" w14:textId="77777777" w:rsidTr="005A270A">
        <w:tc>
          <w:tcPr>
            <w:tcW w:w="828" w:type="dxa"/>
          </w:tcPr>
          <w:p w14:paraId="78F088C6" w14:textId="77777777" w:rsidR="005A270A" w:rsidRPr="005A270A" w:rsidRDefault="005A270A">
            <w:pPr>
              <w:rPr>
                <w:rFonts w:cs="Arial"/>
                <w:color w:val="000000"/>
                <w:szCs w:val="22"/>
              </w:rPr>
            </w:pPr>
            <w:r w:rsidRPr="005A270A">
              <w:rPr>
                <w:rFonts w:cs="Arial"/>
                <w:color w:val="000000"/>
                <w:szCs w:val="22"/>
              </w:rPr>
              <w:t>7.2</w:t>
            </w:r>
          </w:p>
        </w:tc>
        <w:tc>
          <w:tcPr>
            <w:tcW w:w="6840" w:type="dxa"/>
          </w:tcPr>
          <w:p w14:paraId="3EBC0898" w14:textId="77777777" w:rsidR="005A270A" w:rsidRPr="005A270A" w:rsidRDefault="005A270A">
            <w:pPr>
              <w:rPr>
                <w:rFonts w:cs="Arial"/>
                <w:color w:val="000000"/>
                <w:szCs w:val="22"/>
              </w:rPr>
            </w:pPr>
            <w:r w:rsidRPr="005A270A">
              <w:rPr>
                <w:rFonts w:cs="Arial"/>
                <w:color w:val="000000"/>
                <w:szCs w:val="22"/>
              </w:rPr>
              <w:t>Subsequent receipt of an authorised SFVS Statement</w:t>
            </w:r>
          </w:p>
        </w:tc>
        <w:tc>
          <w:tcPr>
            <w:tcW w:w="1188" w:type="dxa"/>
          </w:tcPr>
          <w:p w14:paraId="4EA28204" w14:textId="77777777" w:rsidR="005A270A" w:rsidRPr="005A270A" w:rsidRDefault="005A270A" w:rsidP="005A270A">
            <w:pPr>
              <w:jc w:val="center"/>
              <w:rPr>
                <w:rFonts w:cs="Arial"/>
                <w:color w:val="000000"/>
                <w:szCs w:val="22"/>
              </w:rPr>
            </w:pPr>
            <w:r w:rsidRPr="005A270A">
              <w:rPr>
                <w:rFonts w:cs="Arial"/>
                <w:color w:val="000000"/>
                <w:szCs w:val="22"/>
              </w:rPr>
              <w:t>-15</w:t>
            </w:r>
          </w:p>
        </w:tc>
      </w:tr>
      <w:tr w:rsidR="00AC38ED" w:rsidRPr="005A270A" w14:paraId="7D8A02E1" w14:textId="77777777" w:rsidTr="00AC38ED">
        <w:trPr>
          <w:trHeight w:val="551"/>
        </w:trPr>
        <w:tc>
          <w:tcPr>
            <w:tcW w:w="8856" w:type="dxa"/>
            <w:gridSpan w:val="3"/>
          </w:tcPr>
          <w:p w14:paraId="013F897C" w14:textId="77777777" w:rsidR="00AC38ED" w:rsidRPr="005A270A" w:rsidRDefault="00AC38ED" w:rsidP="005A270A">
            <w:pPr>
              <w:jc w:val="center"/>
              <w:rPr>
                <w:rFonts w:cs="Arial"/>
                <w:color w:val="000000"/>
                <w:szCs w:val="22"/>
              </w:rPr>
            </w:pPr>
          </w:p>
        </w:tc>
      </w:tr>
    </w:tbl>
    <w:p w14:paraId="21F85AEE" w14:textId="77777777" w:rsidR="005A270A" w:rsidRDefault="005A270A">
      <w:pPr>
        <w:rPr>
          <w:rFonts w:cs="Arial"/>
          <w:szCs w:val="22"/>
        </w:rPr>
      </w:pPr>
    </w:p>
    <w:p w14:paraId="4FC52DD5" w14:textId="77777777" w:rsidR="005A270A" w:rsidRDefault="005A270A">
      <w:pPr>
        <w:rPr>
          <w:rFonts w:cs="Arial"/>
          <w:b/>
          <w:sz w:val="22"/>
          <w:szCs w:val="22"/>
          <w:u w:val="single"/>
        </w:rPr>
      </w:pPr>
      <w:r>
        <w:rPr>
          <w:rFonts w:cs="Arial"/>
          <w:b/>
          <w:sz w:val="22"/>
          <w:szCs w:val="22"/>
          <w:u w:val="single"/>
        </w:rPr>
        <w:t xml:space="preserve">Additional Note – Submission of VAT Submittal Reports </w:t>
      </w:r>
    </w:p>
    <w:p w14:paraId="5A7C2842" w14:textId="77777777" w:rsidR="005A270A" w:rsidRDefault="005A270A">
      <w:pPr>
        <w:rPr>
          <w:rFonts w:cs="Arial"/>
          <w:sz w:val="22"/>
          <w:szCs w:val="22"/>
        </w:rPr>
      </w:pPr>
    </w:p>
    <w:p w14:paraId="68214AAF" w14:textId="6ED3706B" w:rsidR="005A270A" w:rsidRDefault="005A270A">
      <w:pPr>
        <w:jc w:val="both"/>
        <w:rPr>
          <w:rFonts w:cs="Arial"/>
          <w:sz w:val="22"/>
          <w:szCs w:val="22"/>
        </w:rPr>
      </w:pPr>
      <w:r>
        <w:rPr>
          <w:rFonts w:cs="Arial"/>
          <w:sz w:val="22"/>
          <w:szCs w:val="22"/>
        </w:rPr>
        <w:t xml:space="preserve">In addition to the </w:t>
      </w:r>
      <w:r w:rsidR="00856184">
        <w:rPr>
          <w:rFonts w:cs="Arial"/>
          <w:sz w:val="22"/>
          <w:szCs w:val="22"/>
        </w:rPr>
        <w:t>summer</w:t>
      </w:r>
      <w:r>
        <w:rPr>
          <w:rFonts w:cs="Arial"/>
          <w:sz w:val="22"/>
          <w:szCs w:val="22"/>
        </w:rPr>
        <w:t xml:space="preserve"> </w:t>
      </w:r>
      <w:r w:rsidR="00553F7B">
        <w:rPr>
          <w:rFonts w:cs="Arial"/>
          <w:sz w:val="22"/>
          <w:szCs w:val="22"/>
        </w:rPr>
        <w:t xml:space="preserve">school </w:t>
      </w:r>
      <w:r>
        <w:rPr>
          <w:rFonts w:cs="Arial"/>
          <w:sz w:val="22"/>
          <w:szCs w:val="22"/>
        </w:rPr>
        <w:t>holidays</w:t>
      </w:r>
      <w:r w:rsidR="00854170">
        <w:rPr>
          <w:rFonts w:cs="Arial"/>
          <w:sz w:val="22"/>
          <w:szCs w:val="22"/>
        </w:rPr>
        <w:t xml:space="preserve"> in July</w:t>
      </w:r>
      <w:r>
        <w:rPr>
          <w:rFonts w:cs="Arial"/>
          <w:sz w:val="22"/>
          <w:szCs w:val="22"/>
        </w:rPr>
        <w:t xml:space="preserve">, when scorecard points are not allocated, there may be other occasions when school holiday closure dates conflict with VAT Submittal deadlines and staff may not be in school to submit a VAT return before the deadline date. </w:t>
      </w:r>
    </w:p>
    <w:p w14:paraId="603B0C31" w14:textId="77777777" w:rsidR="005A270A" w:rsidRDefault="005A270A">
      <w:pPr>
        <w:jc w:val="both"/>
        <w:rPr>
          <w:rFonts w:cs="Arial"/>
          <w:sz w:val="22"/>
          <w:szCs w:val="22"/>
        </w:rPr>
      </w:pPr>
    </w:p>
    <w:p w14:paraId="544F8DDD" w14:textId="77777777" w:rsidR="005A270A" w:rsidRDefault="005A270A">
      <w:pPr>
        <w:jc w:val="both"/>
        <w:rPr>
          <w:rFonts w:cs="Arial"/>
          <w:sz w:val="22"/>
          <w:szCs w:val="22"/>
        </w:rPr>
      </w:pPr>
      <w:r>
        <w:rPr>
          <w:rFonts w:cs="Arial"/>
          <w:sz w:val="22"/>
          <w:szCs w:val="22"/>
        </w:rPr>
        <w:t xml:space="preserve">On all these occasions schools should initially submit to </w:t>
      </w:r>
      <w:smartTag w:uri="urn:schemas-microsoft-com:office:smarttags" w:element="PersonName">
        <w:smartTag w:uri="urn:schemas-microsoft-com:office:smarttags" w:element="PersonName">
          <w:r>
            <w:rPr>
              <w:rFonts w:cs="Arial"/>
              <w:sz w:val="22"/>
              <w:szCs w:val="22"/>
            </w:rPr>
            <w:t>School Funding</w:t>
          </w:r>
        </w:smartTag>
        <w:r>
          <w:rPr>
            <w:rFonts w:cs="Arial"/>
            <w:sz w:val="22"/>
            <w:szCs w:val="22"/>
          </w:rPr>
          <w:t xml:space="preserve"> Team</w:t>
        </w:r>
      </w:smartTag>
      <w:r>
        <w:rPr>
          <w:rFonts w:cs="Arial"/>
          <w:sz w:val="22"/>
          <w:szCs w:val="22"/>
        </w:rPr>
        <w:t xml:space="preserve"> a “VAT Short Summary Report” at the end of the day the school closes. Scorecard Points will not be allocated where a school submits a Short Summary Report in advance of the normal VAT deadline.</w:t>
      </w:r>
    </w:p>
    <w:p w14:paraId="0B023DDE" w14:textId="77777777" w:rsidR="005A270A" w:rsidRDefault="005A270A">
      <w:pPr>
        <w:jc w:val="both"/>
        <w:rPr>
          <w:rFonts w:cs="Arial"/>
          <w:sz w:val="22"/>
          <w:szCs w:val="22"/>
        </w:rPr>
      </w:pPr>
    </w:p>
    <w:p w14:paraId="700C144F" w14:textId="77777777" w:rsidR="005A270A" w:rsidRDefault="005A270A">
      <w:pPr>
        <w:jc w:val="both"/>
        <w:rPr>
          <w:rFonts w:cs="Arial"/>
          <w:b/>
          <w:sz w:val="22"/>
          <w:szCs w:val="22"/>
        </w:rPr>
      </w:pPr>
      <w:r>
        <w:rPr>
          <w:rFonts w:cs="Arial"/>
          <w:b/>
          <w:sz w:val="22"/>
          <w:szCs w:val="22"/>
        </w:rPr>
        <w:t>However, a school must only submit a Short Summary Report if no further transactions will be processed on the school’s finance system that month.</w:t>
      </w:r>
    </w:p>
    <w:p w14:paraId="1A74106A" w14:textId="77777777" w:rsidR="005A270A" w:rsidRDefault="005A270A">
      <w:pPr>
        <w:jc w:val="both"/>
        <w:rPr>
          <w:rFonts w:cs="Arial"/>
          <w:sz w:val="22"/>
          <w:szCs w:val="22"/>
        </w:rPr>
      </w:pPr>
    </w:p>
    <w:p w14:paraId="71A673C5" w14:textId="77777777" w:rsidR="005A270A" w:rsidRDefault="005A270A">
      <w:pPr>
        <w:jc w:val="both"/>
        <w:rPr>
          <w:rFonts w:cs="Arial"/>
          <w:b/>
          <w:sz w:val="22"/>
          <w:szCs w:val="22"/>
        </w:rPr>
      </w:pPr>
      <w:r>
        <w:rPr>
          <w:rFonts w:cs="Arial"/>
          <w:b/>
          <w:sz w:val="22"/>
          <w:szCs w:val="22"/>
        </w:rPr>
        <w:t xml:space="preserve">Please also note that even if a school submits a VAT Short Summary Report the school must still submit a fully authorised VAT Submittal to </w:t>
      </w:r>
      <w:smartTag w:uri="urn:schemas-microsoft-com:office:smarttags" w:element="PersonName">
        <w:smartTag w:uri="urn:schemas-microsoft-com:office:smarttags" w:element="PersonName">
          <w:r>
            <w:rPr>
              <w:rFonts w:cs="Arial"/>
              <w:b/>
              <w:sz w:val="22"/>
              <w:szCs w:val="22"/>
            </w:rPr>
            <w:t>School Funding</w:t>
          </w:r>
        </w:smartTag>
        <w:r>
          <w:rPr>
            <w:rFonts w:cs="Arial"/>
            <w:b/>
            <w:sz w:val="22"/>
            <w:szCs w:val="22"/>
          </w:rPr>
          <w:t xml:space="preserve"> Team</w:t>
        </w:r>
      </w:smartTag>
      <w:r>
        <w:rPr>
          <w:rFonts w:cs="Arial"/>
          <w:b/>
          <w:sz w:val="22"/>
          <w:szCs w:val="22"/>
        </w:rPr>
        <w:t xml:space="preserve"> once the school returns after the holidays. Please ensure the VAT Submittal Report is run on the return day before</w:t>
      </w:r>
      <w:r>
        <w:rPr>
          <w:rFonts w:cs="Arial"/>
          <w:b/>
          <w:i/>
          <w:sz w:val="22"/>
          <w:szCs w:val="22"/>
        </w:rPr>
        <w:t xml:space="preserve"> </w:t>
      </w:r>
      <w:r>
        <w:rPr>
          <w:rFonts w:cs="Arial"/>
          <w:b/>
          <w:sz w:val="22"/>
          <w:szCs w:val="22"/>
        </w:rPr>
        <w:t xml:space="preserve">any transactions are entered into </w:t>
      </w:r>
      <w:smartTag w:uri="urn:schemas-microsoft-com:office:smarttags" w:element="stockticker">
        <w:r>
          <w:rPr>
            <w:rFonts w:cs="Arial"/>
            <w:b/>
            <w:sz w:val="22"/>
            <w:szCs w:val="22"/>
          </w:rPr>
          <w:t>FMS</w:t>
        </w:r>
      </w:smartTag>
      <w:r>
        <w:rPr>
          <w:rFonts w:cs="Arial"/>
          <w:b/>
          <w:sz w:val="22"/>
          <w:szCs w:val="22"/>
        </w:rPr>
        <w:t>6.  This will ensure that the figures on the VAT Submittal are the same as those on the VAT Short Summary.</w:t>
      </w:r>
    </w:p>
    <w:p w14:paraId="19B42E6D" w14:textId="77777777" w:rsidR="005A270A" w:rsidRDefault="005A270A">
      <w:pPr>
        <w:jc w:val="both"/>
        <w:rPr>
          <w:rFonts w:cs="Arial"/>
          <w:sz w:val="22"/>
          <w:szCs w:val="22"/>
        </w:rPr>
      </w:pPr>
    </w:p>
    <w:p w14:paraId="3065C7C4" w14:textId="77777777" w:rsidR="005A270A" w:rsidRDefault="005A270A">
      <w:pPr>
        <w:jc w:val="both"/>
        <w:rPr>
          <w:rFonts w:cs="Arial"/>
          <w:sz w:val="22"/>
          <w:szCs w:val="22"/>
        </w:rPr>
      </w:pPr>
      <w:r>
        <w:rPr>
          <w:rFonts w:cs="Arial"/>
          <w:sz w:val="22"/>
          <w:szCs w:val="22"/>
        </w:rPr>
        <w:t xml:space="preserve">Further guidance on how to print a VAT Short Summary in </w:t>
      </w:r>
      <w:smartTag w:uri="urn:schemas-microsoft-com:office:smarttags" w:element="stockticker">
        <w:r>
          <w:rPr>
            <w:rFonts w:cs="Arial"/>
            <w:sz w:val="22"/>
            <w:szCs w:val="22"/>
          </w:rPr>
          <w:t>FMS</w:t>
        </w:r>
      </w:smartTag>
      <w:r>
        <w:rPr>
          <w:rFonts w:cs="Arial"/>
          <w:sz w:val="22"/>
          <w:szCs w:val="22"/>
        </w:rPr>
        <w:t>6 is available on Bradford Schools Online.</w:t>
      </w:r>
    </w:p>
    <w:p w14:paraId="4BAD7E92" w14:textId="77777777" w:rsidR="005A270A" w:rsidRDefault="005A270A">
      <w:pPr>
        <w:rPr>
          <w:rFonts w:cs="Arial"/>
          <w:sz w:val="22"/>
          <w:szCs w:val="22"/>
        </w:rPr>
      </w:pPr>
    </w:p>
    <w:p w14:paraId="59DD951C" w14:textId="77777777" w:rsidR="005A270A" w:rsidRDefault="005A270A">
      <w:pPr>
        <w:rPr>
          <w:rFonts w:cs="Arial"/>
          <w:b/>
          <w:color w:val="000000"/>
          <w:sz w:val="22"/>
          <w:szCs w:val="22"/>
          <w:u w:val="single"/>
        </w:rPr>
      </w:pPr>
      <w:r>
        <w:rPr>
          <w:rFonts w:cs="Arial"/>
          <w:b/>
          <w:color w:val="000000"/>
          <w:sz w:val="22"/>
          <w:szCs w:val="22"/>
          <w:u w:val="single"/>
        </w:rPr>
        <w:t xml:space="preserve">Additional Note – Voluntary &amp; Private Funds (Including School Companies) </w:t>
      </w:r>
    </w:p>
    <w:p w14:paraId="24AE267E" w14:textId="77777777" w:rsidR="005A270A" w:rsidRDefault="005A270A">
      <w:pPr>
        <w:rPr>
          <w:rFonts w:cs="Arial"/>
          <w:color w:val="000000"/>
          <w:sz w:val="22"/>
          <w:szCs w:val="22"/>
        </w:rPr>
      </w:pPr>
    </w:p>
    <w:p w14:paraId="48078903" w14:textId="77777777" w:rsidR="005A270A" w:rsidRDefault="005A270A">
      <w:pPr>
        <w:jc w:val="both"/>
        <w:rPr>
          <w:rFonts w:cs="Arial"/>
          <w:color w:val="000000"/>
          <w:sz w:val="22"/>
          <w:szCs w:val="22"/>
        </w:rPr>
      </w:pPr>
      <w:r>
        <w:rPr>
          <w:snapToGrid w:val="0"/>
          <w:color w:val="000000"/>
          <w:sz w:val="22"/>
          <w:szCs w:val="22"/>
        </w:rPr>
        <w:t xml:space="preserve">The Scheme for </w:t>
      </w:r>
      <w:smartTag w:uri="urn:schemas-microsoft-com:office:smarttags" w:element="place">
        <w:smartTag w:uri="urn:schemas-microsoft-com:office:smarttags" w:element="PlaceName">
          <w:r>
            <w:rPr>
              <w:snapToGrid w:val="0"/>
              <w:color w:val="000000"/>
              <w:sz w:val="22"/>
              <w:szCs w:val="22"/>
            </w:rPr>
            <w:t>Financing</w:t>
          </w:r>
        </w:smartTag>
        <w:r>
          <w:rPr>
            <w:snapToGrid w:val="0"/>
            <w:color w:val="000000"/>
            <w:sz w:val="22"/>
            <w:szCs w:val="22"/>
          </w:rPr>
          <w:t xml:space="preserve"> </w:t>
        </w:r>
        <w:smartTag w:uri="urn:schemas-microsoft-com:office:smarttags" w:element="PlaceType">
          <w:r>
            <w:rPr>
              <w:snapToGrid w:val="0"/>
              <w:color w:val="000000"/>
              <w:sz w:val="22"/>
              <w:szCs w:val="22"/>
            </w:rPr>
            <w:t>School</w:t>
          </w:r>
        </w:smartTag>
      </w:smartTag>
      <w:r>
        <w:rPr>
          <w:snapToGrid w:val="0"/>
          <w:color w:val="000000"/>
          <w:sz w:val="22"/>
          <w:szCs w:val="22"/>
        </w:rPr>
        <w:t xml:space="preserve"> states that a Governing Body must submit to the Local Authority audit certificates in respect of </w:t>
      </w:r>
      <w:r>
        <w:rPr>
          <w:b/>
          <w:snapToGrid w:val="0"/>
          <w:color w:val="000000"/>
          <w:sz w:val="22"/>
          <w:szCs w:val="22"/>
        </w:rPr>
        <w:t>all</w:t>
      </w:r>
      <w:r>
        <w:rPr>
          <w:snapToGrid w:val="0"/>
          <w:color w:val="000000"/>
          <w:sz w:val="22"/>
          <w:szCs w:val="22"/>
        </w:rPr>
        <w:t xml:space="preserve"> voluntary and private funds (e.g. School Fund) accounts which it holds and of the accounts of any trading organisation controlled by the school. This includes the externally audited accounts of any Companies established by the school. As part of the annual year end closedown, the Local Authority now requires schools to provide information about these accounts in spreadsheet format, which enables the Authority to identify the separate private &amp; voluntary fund accounts held by each school. </w:t>
      </w:r>
      <w:proofErr w:type="gramStart"/>
      <w:r>
        <w:rPr>
          <w:snapToGrid w:val="0"/>
          <w:color w:val="000000"/>
          <w:sz w:val="22"/>
          <w:szCs w:val="22"/>
        </w:rPr>
        <w:t>This</w:t>
      </w:r>
      <w:proofErr w:type="gramEnd"/>
      <w:r>
        <w:rPr>
          <w:snapToGrid w:val="0"/>
          <w:color w:val="000000"/>
          <w:sz w:val="22"/>
          <w:szCs w:val="22"/>
        </w:rPr>
        <w:t xml:space="preserve"> however, does not replace the requirement for schools to submit an audit certificate, or a copy of audited accounts, on an annual basis for all private and voluntary fund accounts. </w:t>
      </w:r>
    </w:p>
    <w:p w14:paraId="64201EBD" w14:textId="77777777" w:rsidR="005A270A" w:rsidRDefault="005A270A">
      <w:pPr>
        <w:rPr>
          <w:rFonts w:cs="Arial"/>
          <w:color w:val="000000"/>
          <w:sz w:val="22"/>
          <w:szCs w:val="22"/>
        </w:rPr>
      </w:pPr>
    </w:p>
    <w:p w14:paraId="3F483305" w14:textId="77777777" w:rsidR="005A270A" w:rsidRDefault="005A270A">
      <w:pPr>
        <w:rPr>
          <w:rFonts w:cs="Arial"/>
          <w:b/>
          <w:color w:val="000000"/>
          <w:sz w:val="22"/>
          <w:szCs w:val="22"/>
          <w:u w:val="single"/>
        </w:rPr>
      </w:pPr>
      <w:r>
        <w:rPr>
          <w:rFonts w:cs="Arial"/>
          <w:b/>
          <w:color w:val="000000"/>
          <w:sz w:val="22"/>
          <w:szCs w:val="22"/>
          <w:u w:val="single"/>
        </w:rPr>
        <w:t>Additional Note – Schools Financial Value Standard</w:t>
      </w:r>
    </w:p>
    <w:p w14:paraId="4FDA120B" w14:textId="77777777" w:rsidR="005A270A" w:rsidRDefault="005A270A">
      <w:pPr>
        <w:rPr>
          <w:rFonts w:cs="Arial"/>
          <w:color w:val="000000"/>
          <w:sz w:val="22"/>
          <w:szCs w:val="22"/>
        </w:rPr>
      </w:pPr>
    </w:p>
    <w:p w14:paraId="7BF317EB" w14:textId="77777777" w:rsidR="005A270A" w:rsidRDefault="005A270A">
      <w:pPr>
        <w:jc w:val="both"/>
        <w:rPr>
          <w:color w:val="000000"/>
          <w:sz w:val="22"/>
          <w:szCs w:val="22"/>
        </w:rPr>
      </w:pPr>
      <w:r>
        <w:rPr>
          <w:color w:val="000000"/>
          <w:sz w:val="22"/>
          <w:szCs w:val="22"/>
        </w:rPr>
        <w:t xml:space="preserve">All maintained schools are required to submit to the Local Authority a completed authorised statement, which evidences that the school has complied with the requirements of the SFVS. This statement must be completed by schools on an annual basis by 31 March. Failure to submit an authorised statement will result in the allocation of 40 points, which will immediately place the school into the </w:t>
      </w:r>
      <w:smartTag w:uri="urn:schemas-microsoft-com:office:smarttags" w:element="stockticker">
        <w:r>
          <w:rPr>
            <w:color w:val="000000"/>
            <w:sz w:val="22"/>
            <w:szCs w:val="22"/>
          </w:rPr>
          <w:t>RED</w:t>
        </w:r>
      </w:smartTag>
      <w:r>
        <w:rPr>
          <w:color w:val="000000"/>
          <w:sz w:val="22"/>
          <w:szCs w:val="22"/>
        </w:rPr>
        <w:t xml:space="preserve"> category. 15 points will be removed for subsequent receipt, meaning that the school will be placed in at least the AMBER category for the remainder of the year. </w:t>
      </w:r>
    </w:p>
    <w:sectPr w:rsidR="005A270A">
      <w:headerReference w:type="first" r:id="rId7"/>
      <w:pgSz w:w="11906" w:h="16838" w:code="9"/>
      <w:pgMar w:top="1191" w:right="1418" w:bottom="119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A9EB" w14:textId="77777777" w:rsidR="00814E9C" w:rsidRDefault="00814E9C">
      <w:r>
        <w:separator/>
      </w:r>
    </w:p>
  </w:endnote>
  <w:endnote w:type="continuationSeparator" w:id="0">
    <w:p w14:paraId="21F8C650" w14:textId="77777777" w:rsidR="00814E9C" w:rsidRDefault="008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077F" w14:textId="77777777" w:rsidR="00814E9C" w:rsidRDefault="00814E9C">
      <w:r>
        <w:separator/>
      </w:r>
    </w:p>
  </w:footnote>
  <w:footnote w:type="continuationSeparator" w:id="0">
    <w:p w14:paraId="0B1F6D91" w14:textId="77777777" w:rsidR="00814E9C" w:rsidRDefault="008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DAE9" w14:textId="77777777" w:rsidR="005A270A" w:rsidRDefault="00A279F7" w:rsidP="0022757A">
    <w:pPr>
      <w:pStyle w:val="Header"/>
      <w:jc w:val="right"/>
    </w:pPr>
    <w:r w:rsidRPr="0022757A">
      <w:rPr>
        <w:rFonts w:cs="Arial"/>
        <w:noProof/>
        <w:lang w:eastAsia="en-GB"/>
      </w:rPr>
      <w:drawing>
        <wp:inline distT="0" distB="0" distL="0" distR="0" wp14:anchorId="25464B10" wp14:editId="14BA5A50">
          <wp:extent cx="3026410" cy="849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849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679"/>
    <w:multiLevelType w:val="hybridMultilevel"/>
    <w:tmpl w:val="F9E8EBCC"/>
    <w:lvl w:ilvl="0" w:tplc="F59864A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127CF7"/>
    <w:multiLevelType w:val="hybridMultilevel"/>
    <w:tmpl w:val="B66E0DBA"/>
    <w:lvl w:ilvl="0" w:tplc="3366159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41D719D3"/>
    <w:multiLevelType w:val="hybridMultilevel"/>
    <w:tmpl w:val="EEB432CC"/>
    <w:lvl w:ilvl="0" w:tplc="3996852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252ADF"/>
    <w:multiLevelType w:val="hybridMultilevel"/>
    <w:tmpl w:val="CFA6CC54"/>
    <w:lvl w:ilvl="0" w:tplc="A14EB16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BE08FD"/>
    <w:multiLevelType w:val="singleLevel"/>
    <w:tmpl w:val="81D2D0AC"/>
    <w:lvl w:ilvl="0">
      <w:start w:val="3"/>
      <w:numFmt w:val="bullet"/>
      <w:lvlText w:val="-"/>
      <w:lvlJc w:val="left"/>
      <w:pPr>
        <w:tabs>
          <w:tab w:val="num" w:pos="720"/>
        </w:tabs>
        <w:ind w:left="720" w:hanging="360"/>
      </w:pPr>
      <w:rPr>
        <w:rFonts w:ascii="Times New Roman" w:hAnsi="Times New Roman" w:hint="default"/>
      </w:rPr>
    </w:lvl>
  </w:abstractNum>
  <w:abstractNum w:abstractNumId="5" w15:restartNumberingAfterBreak="0">
    <w:nsid w:val="5AF40D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144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B0B52E0"/>
    <w:multiLevelType w:val="hybridMultilevel"/>
    <w:tmpl w:val="3FF0342C"/>
    <w:lvl w:ilvl="0" w:tplc="20C46D4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6773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5B785A"/>
    <w:multiLevelType w:val="hybridMultilevel"/>
    <w:tmpl w:val="D62A8076"/>
    <w:lvl w:ilvl="0" w:tplc="D97E51C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604CE9"/>
    <w:multiLevelType w:val="hybridMultilevel"/>
    <w:tmpl w:val="87928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3271104">
    <w:abstractNumId w:val="2"/>
  </w:num>
  <w:num w:numId="2" w16cid:durableId="1485975153">
    <w:abstractNumId w:val="7"/>
  </w:num>
  <w:num w:numId="3" w16cid:durableId="318534445">
    <w:abstractNumId w:val="10"/>
  </w:num>
  <w:num w:numId="4" w16cid:durableId="1639646536">
    <w:abstractNumId w:val="5"/>
  </w:num>
  <w:num w:numId="5" w16cid:durableId="1673988385">
    <w:abstractNumId w:val="6"/>
  </w:num>
  <w:num w:numId="6" w16cid:durableId="2021157699">
    <w:abstractNumId w:val="8"/>
  </w:num>
  <w:num w:numId="7" w16cid:durableId="1769696041">
    <w:abstractNumId w:val="4"/>
  </w:num>
  <w:num w:numId="8" w16cid:durableId="189609703">
    <w:abstractNumId w:val="0"/>
  </w:num>
  <w:num w:numId="9" w16cid:durableId="284624545">
    <w:abstractNumId w:val="3"/>
  </w:num>
  <w:num w:numId="10" w16cid:durableId="1281499171">
    <w:abstractNumId w:val="1"/>
  </w:num>
  <w:num w:numId="11" w16cid:durableId="327951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7A"/>
    <w:rsid w:val="001E6380"/>
    <w:rsid w:val="0022757A"/>
    <w:rsid w:val="00263BD4"/>
    <w:rsid w:val="003B00A6"/>
    <w:rsid w:val="0043380A"/>
    <w:rsid w:val="004919E9"/>
    <w:rsid w:val="004A61DC"/>
    <w:rsid w:val="0050074B"/>
    <w:rsid w:val="00553F7B"/>
    <w:rsid w:val="005A270A"/>
    <w:rsid w:val="00691B57"/>
    <w:rsid w:val="00752A3D"/>
    <w:rsid w:val="00793C07"/>
    <w:rsid w:val="00803243"/>
    <w:rsid w:val="00814E9C"/>
    <w:rsid w:val="00854170"/>
    <w:rsid w:val="00856184"/>
    <w:rsid w:val="009A50EE"/>
    <w:rsid w:val="009D52BD"/>
    <w:rsid w:val="00A20F44"/>
    <w:rsid w:val="00A279F7"/>
    <w:rsid w:val="00A65CE1"/>
    <w:rsid w:val="00A81C87"/>
    <w:rsid w:val="00AC38ED"/>
    <w:rsid w:val="00AE7F6D"/>
    <w:rsid w:val="00BC345A"/>
    <w:rsid w:val="00C71C44"/>
    <w:rsid w:val="00CF5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21F5AC07"/>
  <w15:chartTrackingRefBased/>
  <w15:docId w15:val="{169CFF2E-A769-4CC4-9DF9-318DFC67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rFonts w:ascii="Palatino" w:hAnsi="Palatino"/>
      <w:b/>
      <w:sz w:val="22"/>
    </w:rPr>
  </w:style>
  <w:style w:type="paragraph" w:styleId="Heading4">
    <w:name w:val="heading 4"/>
    <w:basedOn w:val="Normal"/>
    <w:next w:val="Normal"/>
    <w:qFormat/>
    <w:pPr>
      <w:keepNext/>
      <w:outlineLvl w:val="3"/>
    </w:pPr>
    <w:rPr>
      <w:rFonts w:ascii="Palatino" w:hAnsi="Palatino"/>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Palatino" w:hAnsi="Palatino"/>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782462">
      <w:bodyDiv w:val="1"/>
      <w:marLeft w:val="0"/>
      <w:marRight w:val="0"/>
      <w:marTop w:val="0"/>
      <w:marBottom w:val="0"/>
      <w:divBdr>
        <w:top w:val="none" w:sz="0" w:space="0" w:color="auto"/>
        <w:left w:val="none" w:sz="0" w:space="0" w:color="auto"/>
        <w:bottom w:val="none" w:sz="0" w:space="0" w:color="auto"/>
        <w:right w:val="none" w:sz="0" w:space="0" w:color="auto"/>
      </w:divBdr>
      <w:divsChild>
        <w:div w:id="414936323">
          <w:marLeft w:val="0"/>
          <w:marRight w:val="0"/>
          <w:marTop w:val="129"/>
          <w:marBottom w:val="0"/>
          <w:divBdr>
            <w:top w:val="none" w:sz="0" w:space="0" w:color="auto"/>
            <w:left w:val="none" w:sz="0" w:space="0" w:color="auto"/>
            <w:bottom w:val="none" w:sz="0" w:space="0" w:color="auto"/>
            <w:right w:val="none" w:sz="0" w:space="0" w:color="auto"/>
          </w:divBdr>
          <w:divsChild>
            <w:div w:id="1485777640">
              <w:marLeft w:val="0"/>
              <w:marRight w:val="0"/>
              <w:marTop w:val="0"/>
              <w:marBottom w:val="0"/>
              <w:divBdr>
                <w:top w:val="none" w:sz="0" w:space="0" w:color="auto"/>
                <w:left w:val="none" w:sz="0" w:space="0" w:color="auto"/>
                <w:bottom w:val="none" w:sz="0" w:space="0" w:color="auto"/>
                <w:right w:val="none" w:sz="0" w:space="0" w:color="auto"/>
              </w:divBdr>
              <w:divsChild>
                <w:div w:id="493494286">
                  <w:marLeft w:val="0"/>
                  <w:marRight w:val="0"/>
                  <w:marTop w:val="0"/>
                  <w:marBottom w:val="0"/>
                  <w:divBdr>
                    <w:top w:val="none" w:sz="0" w:space="0" w:color="auto"/>
                    <w:left w:val="none" w:sz="0" w:space="0" w:color="auto"/>
                    <w:bottom w:val="none" w:sz="0" w:space="0" w:color="auto"/>
                    <w:right w:val="none" w:sz="0" w:space="0" w:color="auto"/>
                  </w:divBdr>
                  <w:divsChild>
                    <w:div w:id="917060793">
                      <w:marLeft w:val="0"/>
                      <w:marRight w:val="0"/>
                      <w:marTop w:val="0"/>
                      <w:marBottom w:val="0"/>
                      <w:divBdr>
                        <w:top w:val="none" w:sz="0" w:space="0" w:color="auto"/>
                        <w:left w:val="none" w:sz="0" w:space="0" w:color="auto"/>
                        <w:bottom w:val="none" w:sz="0" w:space="0" w:color="auto"/>
                        <w:right w:val="none" w:sz="0" w:space="0" w:color="auto"/>
                      </w:divBdr>
                      <w:divsChild>
                        <w:div w:id="1478959635">
                          <w:marLeft w:val="0"/>
                          <w:marRight w:val="0"/>
                          <w:marTop w:val="0"/>
                          <w:marBottom w:val="0"/>
                          <w:divBdr>
                            <w:top w:val="none" w:sz="0" w:space="0" w:color="auto"/>
                            <w:left w:val="none" w:sz="0" w:space="0" w:color="auto"/>
                            <w:bottom w:val="none" w:sz="0" w:space="0" w:color="auto"/>
                            <w:right w:val="none" w:sz="0" w:space="0" w:color="auto"/>
                          </w:divBdr>
                          <w:divsChild>
                            <w:div w:id="325863735">
                              <w:marLeft w:val="0"/>
                              <w:marRight w:val="0"/>
                              <w:marTop w:val="0"/>
                              <w:marBottom w:val="0"/>
                              <w:divBdr>
                                <w:top w:val="none" w:sz="0" w:space="0" w:color="auto"/>
                                <w:left w:val="none" w:sz="0" w:space="0" w:color="auto"/>
                                <w:bottom w:val="none" w:sz="0" w:space="0" w:color="auto"/>
                                <w:right w:val="none" w:sz="0" w:space="0" w:color="auto"/>
                              </w:divBdr>
                              <w:divsChild>
                                <w:div w:id="11687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irley.broadbent\Local%20Settings\Temporary%20Internet%20Files\OLKC6\ESWS%20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ESWS Let</Template>
  <TotalTime>227</TotalTime>
  <Pages>4</Pages>
  <Words>1594</Words>
  <Characters>8034</Characters>
  <Application>Microsoft Office Word</Application>
  <DocSecurity>0</DocSecurity>
  <Lines>306</Lines>
  <Paragraphs>146</Paragraphs>
  <ScaleCrop>false</ScaleCrop>
  <HeadingPairs>
    <vt:vector size="2" baseType="variant">
      <vt:variant>
        <vt:lpstr>Title</vt:lpstr>
      </vt:variant>
      <vt:variant>
        <vt:i4>1</vt:i4>
      </vt:variant>
    </vt:vector>
  </HeadingPairs>
  <TitlesOfParts>
    <vt:vector size="1" baseType="lpstr">
      <vt:lpstr>Education Technology Service</vt:lpstr>
    </vt:vector>
  </TitlesOfParts>
  <Company>Bradford Education</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Technology Service</dc:title>
  <dc:subject/>
  <dc:creator>Broadbent</dc:creator>
  <cp:keywords/>
  <cp:lastModifiedBy>Lynda Steventon</cp:lastModifiedBy>
  <cp:revision>9</cp:revision>
  <cp:lastPrinted>2014-02-05T09:04:00Z</cp:lastPrinted>
  <dcterms:created xsi:type="dcterms:W3CDTF">2025-11-05T16:03:00Z</dcterms:created>
  <dcterms:modified xsi:type="dcterms:W3CDTF">2025-11-11T16:01:00Z</dcterms:modified>
  <cp:contentStatus/>
</cp:coreProperties>
</file>