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D93F" w14:textId="6C3506EB" w:rsidR="00F828EB" w:rsidRPr="008C1464" w:rsidRDefault="00F828EB" w:rsidP="00F828EB">
      <w:pPr>
        <w:rPr>
          <w:color w:val="005192"/>
          <w:sz w:val="48"/>
          <w:szCs w:val="48"/>
        </w:rPr>
      </w:pPr>
      <w:r w:rsidRPr="00F828EB">
        <w:rPr>
          <w:noProof/>
          <w:color w:val="005192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27AEFB4" wp14:editId="114A94D9">
            <wp:simplePos x="0" y="0"/>
            <wp:positionH relativeFrom="column">
              <wp:posOffset>7493000</wp:posOffset>
            </wp:positionH>
            <wp:positionV relativeFrom="paragraph">
              <wp:posOffset>0</wp:posOffset>
            </wp:positionV>
            <wp:extent cx="2454910" cy="1433195"/>
            <wp:effectExtent l="0" t="0" r="2540" b="0"/>
            <wp:wrapTight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5192"/>
          <w:sz w:val="48"/>
          <w:szCs w:val="48"/>
        </w:rPr>
        <w:t>How to</w:t>
      </w:r>
      <w:r w:rsidR="00766B75">
        <w:rPr>
          <w:color w:val="005192"/>
          <w:sz w:val="48"/>
          <w:szCs w:val="48"/>
        </w:rPr>
        <w:t xml:space="preserve"> sup</w:t>
      </w:r>
      <w:r w:rsidR="00365697">
        <w:rPr>
          <w:color w:val="005192"/>
          <w:sz w:val="48"/>
          <w:szCs w:val="48"/>
        </w:rPr>
        <w:t>port transition int</w:t>
      </w:r>
      <w:r w:rsidR="00E570BA">
        <w:rPr>
          <w:color w:val="005192"/>
          <w:sz w:val="48"/>
          <w:szCs w:val="48"/>
        </w:rPr>
        <w:t>o Reception.</w:t>
      </w:r>
    </w:p>
    <w:p w14:paraId="7F993394" w14:textId="77777777" w:rsidR="00F828EB" w:rsidRPr="008C1464" w:rsidRDefault="00F828EB" w:rsidP="00F828EB">
      <w:pPr>
        <w:rPr>
          <w:sz w:val="24"/>
        </w:rPr>
      </w:pPr>
    </w:p>
    <w:p w14:paraId="335CB1F9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14:paraId="06246504" w14:textId="0F7A7FA4" w:rsidR="00F828EB" w:rsidRPr="002900AF" w:rsidRDefault="00F828EB" w:rsidP="00F828EB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 xml:space="preserve">This is to support children with SEND to make a positive transition </w:t>
      </w:r>
      <w:r w:rsidR="0083011B">
        <w:rPr>
          <w:sz w:val="24"/>
        </w:rPr>
        <w:t>into</w:t>
      </w:r>
      <w:r w:rsidR="00766B75">
        <w:rPr>
          <w:sz w:val="24"/>
        </w:rPr>
        <w:t xml:space="preserve"> </w:t>
      </w:r>
      <w:r w:rsidR="00994B7B">
        <w:rPr>
          <w:sz w:val="24"/>
        </w:rPr>
        <w:t>Reception</w:t>
      </w:r>
      <w:r w:rsidR="00FD314E">
        <w:rPr>
          <w:sz w:val="24"/>
        </w:rPr>
        <w:t>.</w:t>
      </w:r>
    </w:p>
    <w:p w14:paraId="3D440FD6" w14:textId="00C05B14" w:rsidR="00F828EB" w:rsidRPr="002900AF" w:rsidRDefault="00F828EB" w:rsidP="00F828EB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This is beneficial because children with SEND will be well-regulated and ready to learn in their new</w:t>
      </w:r>
      <w:r w:rsidR="00766B75">
        <w:rPr>
          <w:sz w:val="24"/>
        </w:rPr>
        <w:t xml:space="preserve"> </w:t>
      </w:r>
      <w:r w:rsidR="00994B7B">
        <w:rPr>
          <w:sz w:val="24"/>
        </w:rPr>
        <w:t>setting</w:t>
      </w:r>
      <w:r w:rsidR="0083011B">
        <w:rPr>
          <w:sz w:val="24"/>
        </w:rPr>
        <w:t>.</w:t>
      </w:r>
    </w:p>
    <w:p w14:paraId="77206639" w14:textId="77777777" w:rsidR="00F828EB" w:rsidRPr="00474C1A" w:rsidRDefault="00F828EB" w:rsidP="00F828EB">
      <w:pPr>
        <w:spacing w:line="360" w:lineRule="auto"/>
        <w:rPr>
          <w:color w:val="767171"/>
          <w:sz w:val="16"/>
          <w:szCs w:val="16"/>
        </w:rPr>
      </w:pPr>
    </w:p>
    <w:p w14:paraId="30FE7E9C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You will need:</w:t>
      </w:r>
    </w:p>
    <w:p w14:paraId="2E4C01B6" w14:textId="5709C601" w:rsidR="00F828EB" w:rsidRPr="006B4F5F" w:rsidRDefault="00A56C36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</w:t>
      </w:r>
      <w:r w:rsidR="00F828EB">
        <w:rPr>
          <w:sz w:val="24"/>
        </w:rPr>
        <w:t>ransition</w:t>
      </w:r>
      <w:r>
        <w:rPr>
          <w:sz w:val="24"/>
        </w:rPr>
        <w:t xml:space="preserve"> into Reception</w:t>
      </w:r>
      <w:r w:rsidR="00F828EB">
        <w:rPr>
          <w:sz w:val="24"/>
        </w:rPr>
        <w:t xml:space="preserve"> checklist. </w:t>
      </w:r>
    </w:p>
    <w:p w14:paraId="34EA7132" w14:textId="77777777" w:rsidR="00F828EB" w:rsidRDefault="00F828EB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Time to action the transition checklist.</w:t>
      </w:r>
    </w:p>
    <w:p w14:paraId="210548FB" w14:textId="77777777" w:rsidR="00F828EB" w:rsidRPr="00A463F1" w:rsidRDefault="00F828EB" w:rsidP="00F828EB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Resources to action the transition checklist. </w:t>
      </w:r>
    </w:p>
    <w:p w14:paraId="62CD9967" w14:textId="77777777" w:rsidR="00F828EB" w:rsidRPr="00474C1A" w:rsidRDefault="00F828EB" w:rsidP="00F828EB">
      <w:pPr>
        <w:spacing w:line="360" w:lineRule="auto"/>
        <w:rPr>
          <w:sz w:val="16"/>
          <w:szCs w:val="16"/>
        </w:rPr>
      </w:pPr>
    </w:p>
    <w:p w14:paraId="0482E48E" w14:textId="77777777" w:rsidR="00F828EB" w:rsidRPr="008E42E8" w:rsidRDefault="00F828EB" w:rsidP="00F828EB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How?</w:t>
      </w:r>
    </w:p>
    <w:p w14:paraId="0CE41D5E" w14:textId="6245D8DE" w:rsidR="00A56C36" w:rsidRPr="00A56C36" w:rsidRDefault="00A56C36" w:rsidP="00A56C36">
      <w:pPr>
        <w:numPr>
          <w:ilvl w:val="0"/>
          <w:numId w:val="10"/>
        </w:numPr>
        <w:spacing w:line="360" w:lineRule="auto"/>
        <w:ind w:left="714" w:hanging="357"/>
        <w:rPr>
          <w:rFonts w:cs="Arial"/>
          <w:sz w:val="24"/>
        </w:rPr>
      </w:pPr>
      <w:r w:rsidRPr="00A56C36">
        <w:rPr>
          <w:rFonts w:cs="Arial"/>
          <w:sz w:val="24"/>
        </w:rPr>
        <w:t>Meet with parents / carers (if the child is at home or in a PVI).</w:t>
      </w:r>
    </w:p>
    <w:p w14:paraId="3B48CA08" w14:textId="77777777" w:rsidR="00A56C36" w:rsidRPr="00A56C36" w:rsidRDefault="00A56C36" w:rsidP="00A56C36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A56C36">
        <w:rPr>
          <w:rFonts w:ascii="Arial" w:hAnsi="Arial" w:cs="Arial"/>
        </w:rPr>
        <w:t xml:space="preserve">Communicate with settings e.g. childminder, private day nursery, pre-school. </w:t>
      </w:r>
    </w:p>
    <w:p w14:paraId="727B672D" w14:textId="77777777" w:rsidR="00A56C36" w:rsidRPr="00A56C36" w:rsidRDefault="00A56C36" w:rsidP="00A56C36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A56C36">
        <w:rPr>
          <w:rFonts w:ascii="Arial" w:hAnsi="Arial" w:cs="Arial"/>
        </w:rPr>
        <w:t xml:space="preserve">Select which ‘Transition Support’ actions are required for the individual children e.g. a child with physical / medical needs may require different transition support to a child with communication and interaction needs. </w:t>
      </w:r>
    </w:p>
    <w:p w14:paraId="03321420" w14:textId="77777777" w:rsidR="00A56C36" w:rsidRPr="00A56C36" w:rsidRDefault="00A56C36" w:rsidP="00A56C36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A56C36">
        <w:rPr>
          <w:rFonts w:ascii="Arial" w:hAnsi="Arial" w:cs="Arial"/>
        </w:rPr>
        <w:t xml:space="preserve">Action the transition checklist. </w:t>
      </w:r>
    </w:p>
    <w:p w14:paraId="3A26243F" w14:textId="77777777" w:rsidR="00F828EB" w:rsidRDefault="00F828EB" w:rsidP="00F828EB">
      <w:pPr>
        <w:rPr>
          <w:rFonts w:cs="Arial"/>
          <w:b/>
          <w:sz w:val="24"/>
        </w:rPr>
      </w:pPr>
    </w:p>
    <w:p w14:paraId="644969AA" w14:textId="194D6B60" w:rsidR="00F828EB" w:rsidRDefault="00F828EB" w:rsidP="00F828EB">
      <w:pPr>
        <w:rPr>
          <w:rFonts w:cs="Arial"/>
          <w:b/>
          <w:sz w:val="24"/>
        </w:rPr>
      </w:pPr>
      <w:r w:rsidRPr="00E82572">
        <w:rPr>
          <w:rFonts w:cs="Arial"/>
          <w:b/>
          <w:sz w:val="24"/>
        </w:rPr>
        <w:lastRenderedPageBreak/>
        <w:t xml:space="preserve">Summer Term </w:t>
      </w:r>
    </w:p>
    <w:p w14:paraId="6A2C93C7" w14:textId="77777777" w:rsidR="00A56C36" w:rsidRDefault="00A56C36" w:rsidP="00F828EB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112"/>
        <w:gridCol w:w="5117"/>
        <w:gridCol w:w="1920"/>
      </w:tblGrid>
      <w:tr w:rsidR="00A56C36" w:rsidRPr="00655CFC" w14:paraId="011BDA2C" w14:textId="77777777" w:rsidTr="006706E3">
        <w:trPr>
          <w:trHeight w:val="68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88041C" w14:textId="566CF30A" w:rsidR="00A56C36" w:rsidRPr="00655CFC" w:rsidRDefault="006706E3" w:rsidP="00F84D0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56C36" w:rsidRPr="00655CFC">
              <w:rPr>
                <w:b/>
              </w:rPr>
              <w:t>Transition Support</w:t>
            </w:r>
            <w:r w:rsidR="00A56C36" w:rsidRPr="00DE18D4">
              <w:rPr>
                <w:b/>
                <w:bCs/>
              </w:rPr>
              <w:t xml:space="preserve"> for Children at Home </w:t>
            </w:r>
            <w:r w:rsidR="00A56C36" w:rsidRPr="00365697">
              <w:t>(select the actions appropriate to the child</w:t>
            </w:r>
            <w:r w:rsidR="00A56C36">
              <w:t>ren</w:t>
            </w:r>
            <w:r w:rsidR="00A56C36" w:rsidRPr="00365697">
              <w:t xml:space="preserve">).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A128854" w14:textId="77777777" w:rsidR="00A56C36" w:rsidRPr="00655CFC" w:rsidRDefault="00A56C36" w:rsidP="00F84D07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04D667" w14:textId="77777777" w:rsidR="00A56C36" w:rsidRPr="00655CFC" w:rsidRDefault="00A56C36" w:rsidP="00F84D07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A23017" w14:textId="77777777" w:rsidR="00A56C36" w:rsidRPr="00655CFC" w:rsidRDefault="00A56C36" w:rsidP="00F84D07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A56C36" w:rsidRPr="001540D2" w14:paraId="23DD3765" w14:textId="77777777" w:rsidTr="006706E3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682F" w14:textId="72FE790E" w:rsidR="00A56C36" w:rsidRPr="00655CFC" w:rsidRDefault="006706E3" w:rsidP="00F84D07">
            <w:proofErr w:type="spellStart"/>
            <w:r>
              <w:t>1a</w:t>
            </w:r>
            <w:proofErr w:type="spellEnd"/>
            <w:r>
              <w:t xml:space="preserve">. </w:t>
            </w:r>
            <w:r w:rsidR="00A56C36">
              <w:t>Arrange a home visit or for the family to visit school.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8E44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BF14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181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</w:tr>
      <w:tr w:rsidR="00A56C36" w:rsidRPr="001540D2" w14:paraId="7224C9F0" w14:textId="77777777" w:rsidTr="006706E3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5E2" w14:textId="32C1D6FB" w:rsidR="00A56C36" w:rsidRPr="00655CFC" w:rsidRDefault="006706E3" w:rsidP="00F84D07">
            <w:proofErr w:type="spellStart"/>
            <w:r>
              <w:t>1b</w:t>
            </w:r>
            <w:proofErr w:type="spellEnd"/>
            <w:r>
              <w:t xml:space="preserve">. </w:t>
            </w:r>
            <w:r w:rsidR="00A56C36" w:rsidRPr="00655CFC">
              <w:t>Start a ‘Celebratory Profile’ for each child with SEND.</w:t>
            </w:r>
            <w:r w:rsidR="00A56C36">
              <w:t xml:space="preserve"> Remember to ask about professionals who are involved with the child and seek permission for information to be shared between services. </w:t>
            </w:r>
            <w:r w:rsidR="00A56C36" w:rsidRPr="00361E43">
              <w:t>Gather information about favourite toys, interests, motivating activities and calming strategies.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826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5D2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616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</w:tr>
      <w:tr w:rsidR="00A56C36" w:rsidRPr="001540D2" w14:paraId="56AE5DB1" w14:textId="77777777" w:rsidTr="006706E3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520" w14:textId="577C15D7" w:rsidR="00A56C36" w:rsidRPr="00655CFC" w:rsidRDefault="006706E3" w:rsidP="00F84D07">
            <w:proofErr w:type="spellStart"/>
            <w:r>
              <w:t>1c</w:t>
            </w:r>
            <w:proofErr w:type="spellEnd"/>
            <w:r>
              <w:t xml:space="preserve">. </w:t>
            </w:r>
            <w:r w:rsidR="00A56C36" w:rsidRPr="00655CFC">
              <w:t>Talk to the parents / carer</w:t>
            </w:r>
            <w:r w:rsidR="00A56C36">
              <w:t>s</w:t>
            </w:r>
            <w:r w:rsidR="00A56C36" w:rsidRPr="00655CFC">
              <w:t xml:space="preserve"> a</w:t>
            </w:r>
            <w:r w:rsidR="00A56C36">
              <w:t>bout retaining a familiar bag, packed lunch box</w:t>
            </w:r>
            <w:r w:rsidR="00A56C36" w:rsidRPr="00655CFC">
              <w:t xml:space="preserve"> etc.</w:t>
            </w:r>
            <w:r w:rsidR="00A56C36">
              <w:t xml:space="preserve"> Wash new clothes to make them smell of home. Cut out labels which may be irritating. Discuss reasonable adjustments to uniform e.g. tracksuit bottoms instead of formal trousers.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86B1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2BBD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9D0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</w:tr>
      <w:tr w:rsidR="00A56C36" w:rsidRPr="001540D2" w14:paraId="068425B0" w14:textId="77777777" w:rsidTr="006706E3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3653" w14:textId="546E4A91" w:rsidR="00A56C36" w:rsidRPr="00655CFC" w:rsidRDefault="006706E3" w:rsidP="00F84D07">
            <w:proofErr w:type="spellStart"/>
            <w:r w:rsidRPr="006706E3">
              <w:t>1d</w:t>
            </w:r>
            <w:proofErr w:type="spellEnd"/>
            <w:r w:rsidRPr="006706E3">
              <w:t xml:space="preserve">. Discuss new routines with the parents / carers. Explain possible reasonable adjustments e.g. gradually increasing the time spent at </w:t>
            </w:r>
            <w:r>
              <w:t>Reception</w:t>
            </w:r>
            <w:r w:rsidRPr="006706E3">
              <w:t xml:space="preserve">. Agree a transitional object to bring to </w:t>
            </w:r>
            <w:r>
              <w:t>Reception</w:t>
            </w:r>
            <w:r w:rsidRPr="006706E3">
              <w:t xml:space="preserve"> each day.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4FC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3B0D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CCE" w14:textId="77777777" w:rsidR="00A56C36" w:rsidRPr="001540D2" w:rsidRDefault="00A56C36" w:rsidP="00F84D07">
            <w:pPr>
              <w:rPr>
                <w:color w:val="808080" w:themeColor="background1" w:themeShade="80"/>
              </w:rPr>
            </w:pPr>
          </w:p>
        </w:tc>
      </w:tr>
    </w:tbl>
    <w:p w14:paraId="44D12C4B" w14:textId="77777777" w:rsidR="00A56C36" w:rsidRDefault="00A56C36" w:rsidP="00F828EB">
      <w:pPr>
        <w:rPr>
          <w:rFonts w:cs="Arial"/>
          <w:i/>
          <w:color w:val="808080" w:themeColor="background1" w:themeShade="80"/>
          <w:sz w:val="24"/>
        </w:rPr>
      </w:pPr>
    </w:p>
    <w:p w14:paraId="6F67845C" w14:textId="63FE9DD3" w:rsidR="00E711A4" w:rsidRDefault="00E711A4">
      <w:r>
        <w:br w:type="page"/>
      </w:r>
    </w:p>
    <w:p w14:paraId="39F99160" w14:textId="77777777" w:rsidR="00F828EB" w:rsidRDefault="00F828EB" w:rsidP="00F828E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54"/>
        <w:gridCol w:w="5117"/>
        <w:gridCol w:w="1920"/>
      </w:tblGrid>
      <w:tr w:rsidR="00E711A4" w:rsidRPr="00655CFC" w14:paraId="37EF4484" w14:textId="77777777" w:rsidTr="006706E3">
        <w:trPr>
          <w:trHeight w:val="687"/>
        </w:trPr>
        <w:tc>
          <w:tcPr>
            <w:tcW w:w="5949" w:type="dxa"/>
            <w:shd w:val="clear" w:color="auto" w:fill="FFD966" w:themeFill="accent4" w:themeFillTint="99"/>
            <w:vAlign w:val="center"/>
            <w:hideMark/>
          </w:tcPr>
          <w:p w14:paraId="5D65B64B" w14:textId="32CD1900" w:rsidR="00E711A4" w:rsidRPr="00655CFC" w:rsidRDefault="006706E3" w:rsidP="00F84D0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E711A4" w:rsidRPr="00655CFC">
              <w:rPr>
                <w:b/>
              </w:rPr>
              <w:t>Transition Support</w:t>
            </w:r>
            <w:r w:rsidR="00E711A4">
              <w:rPr>
                <w:b/>
              </w:rPr>
              <w:t xml:space="preserve"> for Children at </w:t>
            </w:r>
            <w:r w:rsidR="0096712D">
              <w:rPr>
                <w:b/>
              </w:rPr>
              <w:t xml:space="preserve">Different School Nurseries, </w:t>
            </w:r>
            <w:r w:rsidR="00E711A4">
              <w:rPr>
                <w:b/>
              </w:rPr>
              <w:t>PVIs or Childminders</w:t>
            </w:r>
            <w:r w:rsidR="00E711A4" w:rsidRPr="00365697">
              <w:t xml:space="preserve"> (select the actions appropriate to the child or cohort).</w:t>
            </w:r>
          </w:p>
        </w:tc>
        <w:tc>
          <w:tcPr>
            <w:tcW w:w="2254" w:type="dxa"/>
            <w:shd w:val="clear" w:color="auto" w:fill="FFD966" w:themeFill="accent4" w:themeFillTint="99"/>
            <w:vAlign w:val="center"/>
            <w:hideMark/>
          </w:tcPr>
          <w:p w14:paraId="220F5276" w14:textId="77777777" w:rsidR="00E711A4" w:rsidRPr="00655CFC" w:rsidRDefault="00E711A4" w:rsidP="00F84D07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shd w:val="clear" w:color="auto" w:fill="FFD966" w:themeFill="accent4" w:themeFillTint="99"/>
            <w:vAlign w:val="center"/>
            <w:hideMark/>
          </w:tcPr>
          <w:p w14:paraId="40DB2BF8" w14:textId="77777777" w:rsidR="00E711A4" w:rsidRPr="00655CFC" w:rsidRDefault="00E711A4" w:rsidP="00F84D07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shd w:val="clear" w:color="auto" w:fill="FFD966" w:themeFill="accent4" w:themeFillTint="99"/>
            <w:vAlign w:val="center"/>
            <w:hideMark/>
          </w:tcPr>
          <w:p w14:paraId="33329E4A" w14:textId="77777777" w:rsidR="00E711A4" w:rsidRPr="00655CFC" w:rsidRDefault="00E711A4" w:rsidP="00F84D07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E711A4" w:rsidRPr="001540D2" w14:paraId="77D86BF0" w14:textId="77777777" w:rsidTr="006706E3">
        <w:trPr>
          <w:trHeight w:val="1134"/>
        </w:trPr>
        <w:tc>
          <w:tcPr>
            <w:tcW w:w="5949" w:type="dxa"/>
            <w:vAlign w:val="center"/>
          </w:tcPr>
          <w:p w14:paraId="7124484D" w14:textId="03022046" w:rsidR="00E711A4" w:rsidRDefault="006706E3" w:rsidP="00F84D07">
            <w:proofErr w:type="spellStart"/>
            <w:r>
              <w:t>2a</w:t>
            </w:r>
            <w:proofErr w:type="spellEnd"/>
            <w:r>
              <w:t xml:space="preserve">. </w:t>
            </w:r>
            <w:r w:rsidR="0096712D">
              <w:t>Gain</w:t>
            </w:r>
            <w:r w:rsidR="00E711A4">
              <w:t xml:space="preserve"> parent / carer consent for the </w:t>
            </w:r>
            <w:r w:rsidR="0096712D">
              <w:t xml:space="preserve">current setting </w:t>
            </w:r>
            <w:r w:rsidR="00E711A4">
              <w:t>to share information with Reception.</w:t>
            </w:r>
          </w:p>
        </w:tc>
        <w:tc>
          <w:tcPr>
            <w:tcW w:w="2254" w:type="dxa"/>
            <w:vAlign w:val="center"/>
          </w:tcPr>
          <w:p w14:paraId="17F6B5B3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6EA55417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5797DBCF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</w:tr>
      <w:tr w:rsidR="00E711A4" w:rsidRPr="001540D2" w14:paraId="31C43B08" w14:textId="77777777" w:rsidTr="006706E3">
        <w:trPr>
          <w:trHeight w:val="1134"/>
        </w:trPr>
        <w:tc>
          <w:tcPr>
            <w:tcW w:w="5949" w:type="dxa"/>
            <w:vAlign w:val="center"/>
          </w:tcPr>
          <w:p w14:paraId="44B1CAED" w14:textId="0053C582" w:rsidR="00E711A4" w:rsidRPr="00655CFC" w:rsidRDefault="006706E3" w:rsidP="00F84D07">
            <w:proofErr w:type="spellStart"/>
            <w:r>
              <w:t>2b</w:t>
            </w:r>
            <w:proofErr w:type="spellEnd"/>
            <w:r>
              <w:t xml:space="preserve">. </w:t>
            </w:r>
            <w:r w:rsidR="00E711A4">
              <w:t xml:space="preserve">Speak to </w:t>
            </w:r>
            <w:r w:rsidR="0096712D">
              <w:t xml:space="preserve">the current setting </w:t>
            </w:r>
            <w:r w:rsidR="00E711A4">
              <w:t xml:space="preserve">to gather initial information and to arrange to visit the setting. </w:t>
            </w:r>
          </w:p>
        </w:tc>
        <w:tc>
          <w:tcPr>
            <w:tcW w:w="2254" w:type="dxa"/>
            <w:vAlign w:val="center"/>
          </w:tcPr>
          <w:p w14:paraId="73C2BFEF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114A2BDD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65817076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</w:tr>
      <w:tr w:rsidR="00E711A4" w:rsidRPr="001540D2" w14:paraId="4E145A8A" w14:textId="77777777" w:rsidTr="006706E3">
        <w:trPr>
          <w:trHeight w:val="1134"/>
        </w:trPr>
        <w:tc>
          <w:tcPr>
            <w:tcW w:w="5949" w:type="dxa"/>
            <w:vAlign w:val="center"/>
            <w:hideMark/>
          </w:tcPr>
          <w:p w14:paraId="5019656A" w14:textId="3D3E503E" w:rsidR="00E711A4" w:rsidRPr="00655CFC" w:rsidRDefault="006706E3" w:rsidP="00F84D07">
            <w:proofErr w:type="spellStart"/>
            <w:r>
              <w:t>2c</w:t>
            </w:r>
            <w:proofErr w:type="spellEnd"/>
            <w:r>
              <w:t xml:space="preserve">. </w:t>
            </w:r>
            <w:r w:rsidR="00E711A4">
              <w:t>Ask the practitioners at the</w:t>
            </w:r>
            <w:r w:rsidR="0096712D">
              <w:t xml:space="preserve"> current setting </w:t>
            </w:r>
            <w:r w:rsidR="00E711A4">
              <w:t xml:space="preserve">about what stage they are at in the graduated approach and ask for assessment data e.g. EYDJ. </w:t>
            </w:r>
          </w:p>
        </w:tc>
        <w:tc>
          <w:tcPr>
            <w:tcW w:w="2254" w:type="dxa"/>
            <w:vAlign w:val="center"/>
          </w:tcPr>
          <w:p w14:paraId="79548698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3ABC756C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6AF181FB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</w:tr>
      <w:tr w:rsidR="00E711A4" w:rsidRPr="001540D2" w14:paraId="3A8845CF" w14:textId="77777777" w:rsidTr="006706E3">
        <w:trPr>
          <w:trHeight w:val="1134"/>
        </w:trPr>
        <w:tc>
          <w:tcPr>
            <w:tcW w:w="5949" w:type="dxa"/>
            <w:vAlign w:val="center"/>
            <w:hideMark/>
          </w:tcPr>
          <w:p w14:paraId="7DE250BF" w14:textId="36E3035F" w:rsidR="00E711A4" w:rsidRPr="00655CFC" w:rsidRDefault="006706E3" w:rsidP="00F84D07">
            <w:proofErr w:type="spellStart"/>
            <w:r>
              <w:t>2d</w:t>
            </w:r>
            <w:proofErr w:type="spellEnd"/>
            <w:r>
              <w:t xml:space="preserve">. </w:t>
            </w:r>
            <w:r w:rsidR="00E711A4">
              <w:t xml:space="preserve">Ask the practitioners at the </w:t>
            </w:r>
            <w:r w:rsidR="0096712D">
              <w:t xml:space="preserve">current setting </w:t>
            </w:r>
            <w:r w:rsidR="00E711A4">
              <w:t xml:space="preserve">about the </w:t>
            </w:r>
            <w:r w:rsidR="00E711A4" w:rsidRPr="00655CFC">
              <w:t>routines</w:t>
            </w:r>
            <w:r w:rsidR="00E711A4">
              <w:t>, favoured activities, calming strategies etc.</w:t>
            </w:r>
          </w:p>
        </w:tc>
        <w:tc>
          <w:tcPr>
            <w:tcW w:w="2254" w:type="dxa"/>
            <w:vAlign w:val="center"/>
          </w:tcPr>
          <w:p w14:paraId="6E40AFD0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42A5A54A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67C2E2EB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</w:tr>
      <w:tr w:rsidR="0096712D" w:rsidRPr="001540D2" w14:paraId="68283733" w14:textId="77777777" w:rsidTr="006706E3">
        <w:trPr>
          <w:trHeight w:val="1134"/>
        </w:trPr>
        <w:tc>
          <w:tcPr>
            <w:tcW w:w="5949" w:type="dxa"/>
            <w:vAlign w:val="center"/>
          </w:tcPr>
          <w:p w14:paraId="659A33D6" w14:textId="6B00A231" w:rsidR="0096712D" w:rsidRPr="00655CFC" w:rsidRDefault="006706E3" w:rsidP="00F84D07">
            <w:proofErr w:type="spellStart"/>
            <w:r>
              <w:t>2e</w:t>
            </w:r>
            <w:proofErr w:type="spellEnd"/>
            <w:r>
              <w:t xml:space="preserve">. </w:t>
            </w:r>
            <w:r w:rsidR="0096712D" w:rsidRPr="008D2B14">
              <w:t>To support communication</w:t>
            </w:r>
            <w:r w:rsidR="0096712D">
              <w:t xml:space="preserve">, ask the current setting how the child communicates in their current setting </w:t>
            </w:r>
            <w:r w:rsidR="0096712D" w:rsidRPr="00655CFC">
              <w:t xml:space="preserve">e.g. </w:t>
            </w:r>
            <w:r w:rsidR="0096712D">
              <w:t xml:space="preserve">Makaton, </w:t>
            </w:r>
            <w:r w:rsidR="0096712D" w:rsidRPr="00655CFC">
              <w:t>objects of reference, ‘now and next’</w:t>
            </w:r>
            <w:r w:rsidR="0096712D">
              <w:t xml:space="preserve"> and self-help strips.</w:t>
            </w:r>
          </w:p>
        </w:tc>
        <w:tc>
          <w:tcPr>
            <w:tcW w:w="2254" w:type="dxa"/>
            <w:vAlign w:val="center"/>
          </w:tcPr>
          <w:p w14:paraId="67C3750D" w14:textId="77777777" w:rsidR="0096712D" w:rsidRPr="001540D2" w:rsidRDefault="0096712D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506E6B88" w14:textId="77777777" w:rsidR="0096712D" w:rsidRPr="001540D2" w:rsidRDefault="0096712D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37202B41" w14:textId="77777777" w:rsidR="0096712D" w:rsidRPr="001540D2" w:rsidRDefault="0096712D" w:rsidP="00F84D07">
            <w:pPr>
              <w:rPr>
                <w:color w:val="808080" w:themeColor="background1" w:themeShade="80"/>
              </w:rPr>
            </w:pPr>
          </w:p>
        </w:tc>
      </w:tr>
      <w:tr w:rsidR="00E711A4" w:rsidRPr="001540D2" w14:paraId="07AA65C9" w14:textId="77777777" w:rsidTr="006706E3">
        <w:trPr>
          <w:trHeight w:val="1134"/>
        </w:trPr>
        <w:tc>
          <w:tcPr>
            <w:tcW w:w="5949" w:type="dxa"/>
            <w:vAlign w:val="center"/>
            <w:hideMark/>
          </w:tcPr>
          <w:p w14:paraId="18EAFA62" w14:textId="76F58E4A" w:rsidR="00E711A4" w:rsidRPr="00655CFC" w:rsidRDefault="006706E3" w:rsidP="00F84D07">
            <w:proofErr w:type="spellStart"/>
            <w:r>
              <w:t>2f</w:t>
            </w:r>
            <w:proofErr w:type="spellEnd"/>
            <w:r>
              <w:t xml:space="preserve">. </w:t>
            </w:r>
            <w:r w:rsidR="00E711A4" w:rsidRPr="00655CFC">
              <w:t>Meet with the parents / carers to complete the ‘Celebratory Profiles’.</w:t>
            </w:r>
            <w:r w:rsidR="00E711A4">
              <w:t xml:space="preserve"> Make sure that information is gathered from parents / carers about toileting, feeding and medical needs. </w:t>
            </w:r>
            <w:r w:rsidR="00E711A4" w:rsidRPr="00361E43">
              <w:t>Gather information about favourite toys, interests, motivating activities and calming strategies.</w:t>
            </w:r>
          </w:p>
        </w:tc>
        <w:tc>
          <w:tcPr>
            <w:tcW w:w="2254" w:type="dxa"/>
            <w:vAlign w:val="center"/>
          </w:tcPr>
          <w:p w14:paraId="09942F76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  <w:vAlign w:val="center"/>
          </w:tcPr>
          <w:p w14:paraId="14ED7BA4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  <w:vAlign w:val="center"/>
          </w:tcPr>
          <w:p w14:paraId="75ACF7C6" w14:textId="77777777" w:rsidR="00E711A4" w:rsidRPr="001540D2" w:rsidRDefault="00E711A4" w:rsidP="00F84D07">
            <w:pPr>
              <w:rPr>
                <w:color w:val="808080" w:themeColor="background1" w:themeShade="80"/>
              </w:rPr>
            </w:pPr>
          </w:p>
        </w:tc>
      </w:tr>
      <w:tr w:rsidR="00E711A4" w:rsidRPr="00655CFC" w14:paraId="44668A89" w14:textId="77777777" w:rsidTr="006706E3">
        <w:trPr>
          <w:trHeight w:val="1134"/>
        </w:trPr>
        <w:tc>
          <w:tcPr>
            <w:tcW w:w="5949" w:type="dxa"/>
            <w:vAlign w:val="center"/>
          </w:tcPr>
          <w:p w14:paraId="2F0F976D" w14:textId="192CA022" w:rsidR="00E711A4" w:rsidRPr="00805CA5" w:rsidRDefault="006706E3" w:rsidP="00F84D07">
            <w:pPr>
              <w:rPr>
                <w:b/>
                <w:bCs/>
              </w:rPr>
            </w:pPr>
            <w:proofErr w:type="spellStart"/>
            <w:r>
              <w:lastRenderedPageBreak/>
              <w:t>2g</w:t>
            </w:r>
            <w:proofErr w:type="spellEnd"/>
            <w:r>
              <w:t xml:space="preserve">. </w:t>
            </w:r>
            <w:r w:rsidR="00E711A4" w:rsidRPr="00655CFC">
              <w:t>Talk to the parents / carer</w:t>
            </w:r>
            <w:r w:rsidR="00E711A4">
              <w:t>s</w:t>
            </w:r>
            <w:r w:rsidR="00E711A4" w:rsidRPr="00655CFC">
              <w:t xml:space="preserve"> a</w:t>
            </w:r>
            <w:r w:rsidR="00E711A4">
              <w:t>bout retaining a familiar bag, packed lunch box</w:t>
            </w:r>
            <w:r w:rsidR="00E711A4" w:rsidRPr="00655CFC">
              <w:t xml:space="preserve"> etc.</w:t>
            </w:r>
            <w:r w:rsidR="00E711A4">
              <w:t xml:space="preserve"> Wash new clothes to soften them and make it smell of home. Cut out labels which may be irritating. Discuss reasonable adjustments to </w:t>
            </w:r>
            <w:r>
              <w:t>Reception</w:t>
            </w:r>
            <w:r w:rsidR="00E711A4">
              <w:t xml:space="preserve"> uniform e.g. tracksuit bottoms instead of formal trousers.</w:t>
            </w:r>
          </w:p>
        </w:tc>
        <w:tc>
          <w:tcPr>
            <w:tcW w:w="2254" w:type="dxa"/>
            <w:vAlign w:val="center"/>
          </w:tcPr>
          <w:p w14:paraId="04310E69" w14:textId="77777777" w:rsidR="00E711A4" w:rsidRPr="00655CFC" w:rsidRDefault="00E711A4" w:rsidP="00F84D07"/>
        </w:tc>
        <w:tc>
          <w:tcPr>
            <w:tcW w:w="5117" w:type="dxa"/>
            <w:vAlign w:val="center"/>
          </w:tcPr>
          <w:p w14:paraId="69029581" w14:textId="77777777" w:rsidR="00E711A4" w:rsidRPr="00655CFC" w:rsidRDefault="00E711A4" w:rsidP="00F84D07"/>
        </w:tc>
        <w:tc>
          <w:tcPr>
            <w:tcW w:w="1920" w:type="dxa"/>
            <w:vAlign w:val="center"/>
          </w:tcPr>
          <w:p w14:paraId="232E5B05" w14:textId="77777777" w:rsidR="00E711A4" w:rsidRPr="00655CFC" w:rsidRDefault="00E711A4" w:rsidP="00F84D07"/>
        </w:tc>
      </w:tr>
      <w:tr w:rsidR="00E711A4" w:rsidRPr="00655CFC" w14:paraId="2DDC6826" w14:textId="77777777" w:rsidTr="006706E3">
        <w:trPr>
          <w:trHeight w:val="1134"/>
        </w:trPr>
        <w:tc>
          <w:tcPr>
            <w:tcW w:w="5949" w:type="dxa"/>
            <w:vAlign w:val="center"/>
          </w:tcPr>
          <w:p w14:paraId="2CDD7AB2" w14:textId="078D78B5" w:rsidR="00E711A4" w:rsidRPr="00361E43" w:rsidRDefault="006706E3" w:rsidP="00F84D07">
            <w:proofErr w:type="spellStart"/>
            <w:r w:rsidRPr="006706E3">
              <w:t>2h</w:t>
            </w:r>
            <w:proofErr w:type="spellEnd"/>
            <w:r w:rsidRPr="006706E3">
              <w:t>. Discuss new routines with the parents / carers. Explain possible reasonable adjustments. Agree a transitional object to bring to Nursery each day.</w:t>
            </w:r>
          </w:p>
        </w:tc>
        <w:tc>
          <w:tcPr>
            <w:tcW w:w="2254" w:type="dxa"/>
            <w:vAlign w:val="center"/>
          </w:tcPr>
          <w:p w14:paraId="47B8B8BC" w14:textId="77777777" w:rsidR="00E711A4" w:rsidRPr="00655CFC" w:rsidRDefault="00E711A4" w:rsidP="00F84D07"/>
        </w:tc>
        <w:tc>
          <w:tcPr>
            <w:tcW w:w="5117" w:type="dxa"/>
            <w:vAlign w:val="center"/>
          </w:tcPr>
          <w:p w14:paraId="1493D55F" w14:textId="77777777" w:rsidR="00E711A4" w:rsidRPr="00655CFC" w:rsidRDefault="00E711A4" w:rsidP="00F84D07"/>
        </w:tc>
        <w:tc>
          <w:tcPr>
            <w:tcW w:w="1920" w:type="dxa"/>
            <w:vAlign w:val="center"/>
          </w:tcPr>
          <w:p w14:paraId="066D6586" w14:textId="77777777" w:rsidR="00E711A4" w:rsidRPr="00655CFC" w:rsidRDefault="00E711A4" w:rsidP="00F84D07"/>
        </w:tc>
      </w:tr>
    </w:tbl>
    <w:p w14:paraId="23B5C1EC" w14:textId="77777777" w:rsidR="00D561C3" w:rsidRDefault="00D561C3" w:rsidP="00D561C3">
      <w:pPr>
        <w:spacing w:before="100" w:beforeAutospacing="1" w:after="100" w:afterAutospacing="1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2254"/>
        <w:gridCol w:w="5117"/>
        <w:gridCol w:w="1920"/>
      </w:tblGrid>
      <w:tr w:rsidR="00D561C3" w:rsidRPr="00655CFC" w14:paraId="6267D3F9" w14:textId="77777777" w:rsidTr="00F84D07">
        <w:trPr>
          <w:trHeight w:val="687"/>
        </w:trPr>
        <w:tc>
          <w:tcPr>
            <w:tcW w:w="5949" w:type="dxa"/>
            <w:shd w:val="clear" w:color="auto" w:fill="A8D08D" w:themeFill="accent6" w:themeFillTint="99"/>
            <w:hideMark/>
          </w:tcPr>
          <w:p w14:paraId="0EDD401F" w14:textId="38D0E341" w:rsidR="00D561C3" w:rsidRPr="00655CFC" w:rsidRDefault="006706E3" w:rsidP="00F84D0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D561C3" w:rsidRPr="00655CFC">
              <w:rPr>
                <w:b/>
              </w:rPr>
              <w:t>Transition Support</w:t>
            </w:r>
            <w:r w:rsidR="00D561C3">
              <w:rPr>
                <w:b/>
              </w:rPr>
              <w:t xml:space="preserve"> for All Children</w:t>
            </w:r>
            <w:r w:rsidR="00D561C3" w:rsidRPr="00365697">
              <w:t xml:space="preserve"> (select the actions appropriate to the child or cohort).</w:t>
            </w:r>
          </w:p>
        </w:tc>
        <w:tc>
          <w:tcPr>
            <w:tcW w:w="2254" w:type="dxa"/>
            <w:shd w:val="clear" w:color="auto" w:fill="A8D08D" w:themeFill="accent6" w:themeFillTint="99"/>
            <w:hideMark/>
          </w:tcPr>
          <w:p w14:paraId="58F1A061" w14:textId="77777777" w:rsidR="00D561C3" w:rsidRPr="00655CFC" w:rsidRDefault="00D561C3" w:rsidP="00F84D07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117" w:type="dxa"/>
            <w:shd w:val="clear" w:color="auto" w:fill="A8D08D" w:themeFill="accent6" w:themeFillTint="99"/>
            <w:hideMark/>
          </w:tcPr>
          <w:p w14:paraId="48A28F24" w14:textId="77777777" w:rsidR="00D561C3" w:rsidRPr="00655CFC" w:rsidRDefault="00D561C3" w:rsidP="00F84D07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920" w:type="dxa"/>
            <w:shd w:val="clear" w:color="auto" w:fill="A8D08D" w:themeFill="accent6" w:themeFillTint="99"/>
            <w:hideMark/>
          </w:tcPr>
          <w:p w14:paraId="1F5A331E" w14:textId="77777777" w:rsidR="00D561C3" w:rsidRPr="00655CFC" w:rsidRDefault="00D561C3" w:rsidP="00F84D07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D561C3" w:rsidRPr="001540D2" w14:paraId="0B389975" w14:textId="77777777" w:rsidTr="00F84D07">
        <w:trPr>
          <w:trHeight w:val="1134"/>
        </w:trPr>
        <w:tc>
          <w:tcPr>
            <w:tcW w:w="5949" w:type="dxa"/>
            <w:hideMark/>
          </w:tcPr>
          <w:p w14:paraId="443BDBA3" w14:textId="570ECAB3" w:rsidR="00D561C3" w:rsidRPr="007477E6" w:rsidRDefault="006706E3" w:rsidP="00F84D07">
            <w:proofErr w:type="spellStart"/>
            <w:r>
              <w:t>3a</w:t>
            </w:r>
            <w:proofErr w:type="spellEnd"/>
            <w:r>
              <w:t xml:space="preserve">. </w:t>
            </w:r>
            <w:r w:rsidR="00D561C3" w:rsidRPr="00361E43">
              <w:t>Discuss</w:t>
            </w:r>
            <w:r w:rsidR="00D561C3">
              <w:t xml:space="preserve"> the needs of the cohort with the </w:t>
            </w:r>
            <w:r w:rsidR="004774F6">
              <w:t xml:space="preserve">EY staff team / </w:t>
            </w:r>
            <w:r w:rsidR="00D561C3">
              <w:t xml:space="preserve">SENCo / SLT. Think about resources, </w:t>
            </w:r>
            <w:proofErr w:type="gramStart"/>
            <w:r w:rsidR="00D561C3">
              <w:t>training</w:t>
            </w:r>
            <w:proofErr w:type="gramEnd"/>
            <w:r w:rsidR="00D561C3">
              <w:t xml:space="preserve"> and advice from other professionals. </w:t>
            </w:r>
            <w:r w:rsidR="00D561C3" w:rsidRPr="00361E43">
              <w:t xml:space="preserve">Book on courses </w:t>
            </w:r>
            <w:r w:rsidR="00D561C3">
              <w:t>through</w:t>
            </w:r>
            <w:r w:rsidR="00D561C3" w:rsidRPr="00361E43">
              <w:t xml:space="preserve"> </w:t>
            </w:r>
            <w:proofErr w:type="spellStart"/>
            <w:r w:rsidR="00D561C3" w:rsidRPr="00361E43">
              <w:t>Skills4Bradford</w:t>
            </w:r>
            <w:proofErr w:type="spellEnd"/>
            <w:r w:rsidR="00D561C3" w:rsidRPr="00361E43">
              <w:t xml:space="preserve"> or other providers. Speak to </w:t>
            </w:r>
            <w:r w:rsidR="00D561C3">
              <w:t>your</w:t>
            </w:r>
            <w:r w:rsidR="00D561C3" w:rsidRPr="00361E43">
              <w:t xml:space="preserve"> SCIL link teacher</w:t>
            </w:r>
            <w:r w:rsidR="00D561C3">
              <w:t xml:space="preserve"> who can signpost support</w:t>
            </w:r>
            <w:r w:rsidR="00D561C3" w:rsidRPr="00361E43">
              <w:t>.</w:t>
            </w:r>
          </w:p>
        </w:tc>
        <w:tc>
          <w:tcPr>
            <w:tcW w:w="2254" w:type="dxa"/>
          </w:tcPr>
          <w:p w14:paraId="4765D06F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</w:tcPr>
          <w:p w14:paraId="27FA1276" w14:textId="77777777" w:rsidR="00D561C3" w:rsidRPr="007477E6" w:rsidRDefault="00D561C3" w:rsidP="00F84D07">
            <w:pPr>
              <w:rPr>
                <w:color w:val="808080" w:themeColor="background1" w:themeShade="80"/>
              </w:rPr>
            </w:pPr>
          </w:p>
          <w:p w14:paraId="3FA2EE11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</w:tcPr>
          <w:p w14:paraId="6893DAAA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</w:tr>
      <w:tr w:rsidR="00D561C3" w:rsidRPr="001540D2" w14:paraId="57E6F23C" w14:textId="77777777" w:rsidTr="00F84D07">
        <w:trPr>
          <w:trHeight w:val="1134"/>
        </w:trPr>
        <w:tc>
          <w:tcPr>
            <w:tcW w:w="5949" w:type="dxa"/>
            <w:shd w:val="clear" w:color="auto" w:fill="auto"/>
          </w:tcPr>
          <w:p w14:paraId="1563CDFC" w14:textId="26A7CEB5" w:rsidR="00D561C3" w:rsidRPr="008A0163" w:rsidRDefault="006706E3" w:rsidP="00F84D07">
            <w:pPr>
              <w:rPr>
                <w:rFonts w:cs="Arial"/>
                <w:szCs w:val="22"/>
              </w:rPr>
            </w:pPr>
            <w:proofErr w:type="spellStart"/>
            <w:r>
              <w:t>3b</w:t>
            </w:r>
            <w:proofErr w:type="spellEnd"/>
            <w:r>
              <w:t xml:space="preserve">. </w:t>
            </w:r>
            <w:r w:rsidR="00D561C3">
              <w:t xml:space="preserve">Contact specialist teams who are involved with individual children to seek advice on adapting the </w:t>
            </w:r>
            <w:proofErr w:type="gramStart"/>
            <w:r w:rsidR="00D561C3">
              <w:rPr>
                <w:rFonts w:cs="Arial"/>
                <w:szCs w:val="22"/>
              </w:rPr>
              <w:t>Reception</w:t>
            </w:r>
            <w:proofErr w:type="gramEnd"/>
            <w:r w:rsidR="00D561C3" w:rsidRPr="008A0163">
              <w:rPr>
                <w:rFonts w:cs="Arial"/>
                <w:szCs w:val="22"/>
              </w:rPr>
              <w:t xml:space="preserve"> environment to support physical and sensory needs:</w:t>
            </w:r>
          </w:p>
          <w:p w14:paraId="30E20408" w14:textId="77777777" w:rsidR="00D561C3" w:rsidRPr="009F2841" w:rsidRDefault="00D561C3" w:rsidP="00F84D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Support Team for Deaf Children</w:t>
            </w:r>
          </w:p>
          <w:p w14:paraId="69C16552" w14:textId="77777777" w:rsidR="00D561C3" w:rsidRPr="009F2841" w:rsidRDefault="00D561C3" w:rsidP="00F84D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Multi-sensory Impairment Service</w:t>
            </w:r>
          </w:p>
          <w:p w14:paraId="3B58E064" w14:textId="77777777" w:rsidR="00D561C3" w:rsidRPr="009F2841" w:rsidRDefault="00D561C3" w:rsidP="00F84D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2841">
              <w:rPr>
                <w:rFonts w:ascii="Arial" w:hAnsi="Arial" w:cs="Arial"/>
                <w:sz w:val="22"/>
                <w:szCs w:val="22"/>
              </w:rPr>
              <w:t>Vision Impairment team</w:t>
            </w:r>
          </w:p>
          <w:p w14:paraId="5BA541DB" w14:textId="77777777" w:rsidR="00D561C3" w:rsidRPr="007477E6" w:rsidRDefault="00D561C3" w:rsidP="00F84D07">
            <w:pPr>
              <w:pStyle w:val="ListParagraph"/>
              <w:numPr>
                <w:ilvl w:val="0"/>
                <w:numId w:val="12"/>
              </w:numPr>
            </w:pPr>
            <w:r w:rsidRPr="009F2841">
              <w:rPr>
                <w:rFonts w:ascii="Arial" w:hAnsi="Arial" w:cs="Arial"/>
                <w:sz w:val="22"/>
                <w:szCs w:val="22"/>
              </w:rPr>
              <w:t>Physical Needs Service</w:t>
            </w:r>
          </w:p>
        </w:tc>
        <w:tc>
          <w:tcPr>
            <w:tcW w:w="2254" w:type="dxa"/>
          </w:tcPr>
          <w:p w14:paraId="6DDC4D1E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</w:tcPr>
          <w:p w14:paraId="37875A94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</w:tcPr>
          <w:p w14:paraId="5EAAC225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</w:tr>
      <w:tr w:rsidR="00D561C3" w14:paraId="6211A9FD" w14:textId="77777777" w:rsidTr="00F84D07">
        <w:trPr>
          <w:trHeight w:val="1134"/>
        </w:trPr>
        <w:tc>
          <w:tcPr>
            <w:tcW w:w="5949" w:type="dxa"/>
          </w:tcPr>
          <w:p w14:paraId="51E7DE1C" w14:textId="139AFFC4" w:rsidR="00D561C3" w:rsidRPr="00942F68" w:rsidRDefault="006706E3" w:rsidP="00F84D07">
            <w:pPr>
              <w:rPr>
                <w:highlight w:val="cyan"/>
              </w:rPr>
            </w:pPr>
            <w:proofErr w:type="spellStart"/>
            <w:r>
              <w:t>3c</w:t>
            </w:r>
            <w:proofErr w:type="spellEnd"/>
            <w:r>
              <w:t xml:space="preserve">. </w:t>
            </w:r>
            <w:r w:rsidR="00D561C3" w:rsidRPr="007477E6">
              <w:t xml:space="preserve">Provide a transition booklet with photographs of key members of staff and the setting. See ‘My New </w:t>
            </w:r>
            <w:r w:rsidR="00D561C3">
              <w:t>Setting’</w:t>
            </w:r>
            <w:r w:rsidR="00D561C3" w:rsidRPr="007477E6">
              <w:t xml:space="preserve"> template.</w:t>
            </w:r>
          </w:p>
        </w:tc>
        <w:tc>
          <w:tcPr>
            <w:tcW w:w="2254" w:type="dxa"/>
          </w:tcPr>
          <w:p w14:paraId="4740AABE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5117" w:type="dxa"/>
          </w:tcPr>
          <w:p w14:paraId="16E31B4F" w14:textId="77777777" w:rsidR="00D561C3" w:rsidRPr="001540D2" w:rsidRDefault="00D561C3" w:rsidP="00F84D07">
            <w:pPr>
              <w:rPr>
                <w:color w:val="808080" w:themeColor="background1" w:themeShade="80"/>
              </w:rPr>
            </w:pPr>
          </w:p>
        </w:tc>
        <w:tc>
          <w:tcPr>
            <w:tcW w:w="1920" w:type="dxa"/>
          </w:tcPr>
          <w:p w14:paraId="219B68D6" w14:textId="77777777" w:rsidR="00D561C3" w:rsidRDefault="00D561C3" w:rsidP="00F84D07">
            <w:pPr>
              <w:rPr>
                <w:color w:val="808080" w:themeColor="background1" w:themeShade="80"/>
              </w:rPr>
            </w:pPr>
          </w:p>
        </w:tc>
      </w:tr>
      <w:tr w:rsidR="00D561C3" w:rsidRPr="00655CFC" w14:paraId="58C52DFF" w14:textId="77777777" w:rsidTr="00F84D07">
        <w:trPr>
          <w:trHeight w:val="1134"/>
        </w:trPr>
        <w:tc>
          <w:tcPr>
            <w:tcW w:w="5949" w:type="dxa"/>
            <w:hideMark/>
          </w:tcPr>
          <w:p w14:paraId="5AB33D5A" w14:textId="574C3CDD" w:rsidR="00D561C3" w:rsidRPr="00FB1942" w:rsidRDefault="006706E3" w:rsidP="00F84D07">
            <w:proofErr w:type="spellStart"/>
            <w:r>
              <w:t>3d</w:t>
            </w:r>
            <w:proofErr w:type="spellEnd"/>
            <w:r>
              <w:t xml:space="preserve">. </w:t>
            </w:r>
            <w:r w:rsidR="00D561C3" w:rsidRPr="00FB1942">
              <w:t xml:space="preserve">Adapt the </w:t>
            </w:r>
            <w:r w:rsidR="00465D28">
              <w:t>Reception</w:t>
            </w:r>
            <w:r w:rsidR="00D561C3" w:rsidRPr="00FB1942">
              <w:t xml:space="preserve"> learning environment to incorporate favoured toys </w:t>
            </w:r>
            <w:r w:rsidR="00D561C3">
              <w:t>and</w:t>
            </w:r>
            <w:r w:rsidR="00D561C3" w:rsidRPr="00FB1942">
              <w:t xml:space="preserve"> motivating activities </w:t>
            </w:r>
            <w:r w:rsidR="00D561C3">
              <w:t>that reflect the interests of the cohort</w:t>
            </w:r>
            <w:r w:rsidR="00D561C3" w:rsidRPr="00FB1942">
              <w:t>.</w:t>
            </w:r>
          </w:p>
        </w:tc>
        <w:tc>
          <w:tcPr>
            <w:tcW w:w="2254" w:type="dxa"/>
          </w:tcPr>
          <w:p w14:paraId="29459BDC" w14:textId="77777777" w:rsidR="00D561C3" w:rsidRPr="00655CFC" w:rsidRDefault="00D561C3" w:rsidP="00F84D07"/>
        </w:tc>
        <w:tc>
          <w:tcPr>
            <w:tcW w:w="5117" w:type="dxa"/>
          </w:tcPr>
          <w:p w14:paraId="6E790B8E" w14:textId="77777777" w:rsidR="00D561C3" w:rsidRPr="00655CFC" w:rsidRDefault="00D561C3" w:rsidP="00F84D07"/>
        </w:tc>
        <w:tc>
          <w:tcPr>
            <w:tcW w:w="1920" w:type="dxa"/>
          </w:tcPr>
          <w:p w14:paraId="34BD2F1D" w14:textId="77777777" w:rsidR="00D561C3" w:rsidRPr="00655CFC" w:rsidRDefault="00D561C3" w:rsidP="00F84D07"/>
        </w:tc>
      </w:tr>
      <w:tr w:rsidR="00D561C3" w:rsidRPr="00655CFC" w14:paraId="358E2412" w14:textId="77777777" w:rsidTr="00F84D07">
        <w:trPr>
          <w:trHeight w:val="1134"/>
        </w:trPr>
        <w:tc>
          <w:tcPr>
            <w:tcW w:w="5949" w:type="dxa"/>
            <w:shd w:val="clear" w:color="auto" w:fill="auto"/>
            <w:hideMark/>
          </w:tcPr>
          <w:p w14:paraId="1F826DE6" w14:textId="1141FCD6" w:rsidR="00D561C3" w:rsidRPr="00942F68" w:rsidRDefault="006706E3" w:rsidP="00F84D07">
            <w:pPr>
              <w:rPr>
                <w:highlight w:val="cyan"/>
              </w:rPr>
            </w:pPr>
            <w:proofErr w:type="spellStart"/>
            <w:r>
              <w:t>3e</w:t>
            </w:r>
            <w:proofErr w:type="spellEnd"/>
            <w:r>
              <w:t xml:space="preserve">. </w:t>
            </w:r>
            <w:r w:rsidR="00D561C3" w:rsidRPr="007477E6">
              <w:t xml:space="preserve">Create a </w:t>
            </w:r>
            <w:r w:rsidR="00D561C3">
              <w:t>comfortable, quiet,</w:t>
            </w:r>
            <w:r w:rsidR="00D561C3" w:rsidRPr="007477E6">
              <w:t xml:space="preserve"> safe area </w:t>
            </w:r>
            <w:r w:rsidR="00D561C3">
              <w:t xml:space="preserve">within </w:t>
            </w:r>
            <w:r w:rsidR="00465D28">
              <w:t>Reception</w:t>
            </w:r>
            <w:r w:rsidR="00D561C3">
              <w:t xml:space="preserve"> </w:t>
            </w:r>
            <w:r w:rsidR="00D561C3" w:rsidRPr="007477E6">
              <w:t>to support regulation.</w:t>
            </w:r>
          </w:p>
        </w:tc>
        <w:tc>
          <w:tcPr>
            <w:tcW w:w="2254" w:type="dxa"/>
          </w:tcPr>
          <w:p w14:paraId="69BED75C" w14:textId="77777777" w:rsidR="00D561C3" w:rsidRPr="00655CFC" w:rsidRDefault="00D561C3" w:rsidP="00F84D07"/>
        </w:tc>
        <w:tc>
          <w:tcPr>
            <w:tcW w:w="5117" w:type="dxa"/>
          </w:tcPr>
          <w:p w14:paraId="5958D736" w14:textId="77777777" w:rsidR="00D561C3" w:rsidRPr="00655CFC" w:rsidRDefault="00D561C3" w:rsidP="00F84D07"/>
        </w:tc>
        <w:tc>
          <w:tcPr>
            <w:tcW w:w="1920" w:type="dxa"/>
          </w:tcPr>
          <w:p w14:paraId="404516F2" w14:textId="77777777" w:rsidR="00D561C3" w:rsidRPr="00655CFC" w:rsidRDefault="00D561C3" w:rsidP="00F84D07"/>
        </w:tc>
      </w:tr>
      <w:tr w:rsidR="00D561C3" w:rsidRPr="00655CFC" w14:paraId="10D2654C" w14:textId="77777777" w:rsidTr="00F84D07">
        <w:trPr>
          <w:trHeight w:val="1134"/>
        </w:trPr>
        <w:tc>
          <w:tcPr>
            <w:tcW w:w="5949" w:type="dxa"/>
            <w:hideMark/>
          </w:tcPr>
          <w:p w14:paraId="290A9E6F" w14:textId="0B51BF1E" w:rsidR="00D561C3" w:rsidRPr="007477E6" w:rsidRDefault="006706E3" w:rsidP="00F84D07">
            <w:proofErr w:type="spellStart"/>
            <w:r>
              <w:t>3f</w:t>
            </w:r>
            <w:proofErr w:type="spellEnd"/>
            <w:r>
              <w:t xml:space="preserve">. </w:t>
            </w:r>
            <w:r w:rsidR="00D561C3">
              <w:t>Ensure strategies are in place to support speech, language, and communication e.g. Makaton,</w:t>
            </w:r>
            <w:r w:rsidR="00D561C3" w:rsidRPr="007477E6">
              <w:t xml:space="preserve"> objects of reference, ‘now and next’ and self-help strips such as visual sequences for handwashing next to sinks.</w:t>
            </w:r>
          </w:p>
        </w:tc>
        <w:tc>
          <w:tcPr>
            <w:tcW w:w="2254" w:type="dxa"/>
          </w:tcPr>
          <w:p w14:paraId="176CBE47" w14:textId="77777777" w:rsidR="00D561C3" w:rsidRPr="00655CFC" w:rsidRDefault="00D561C3" w:rsidP="00F84D07"/>
        </w:tc>
        <w:tc>
          <w:tcPr>
            <w:tcW w:w="5117" w:type="dxa"/>
          </w:tcPr>
          <w:p w14:paraId="41CC54E1" w14:textId="77777777" w:rsidR="00D561C3" w:rsidRPr="00655CFC" w:rsidRDefault="00D561C3" w:rsidP="00F84D07"/>
        </w:tc>
        <w:tc>
          <w:tcPr>
            <w:tcW w:w="1920" w:type="dxa"/>
          </w:tcPr>
          <w:p w14:paraId="56E10039" w14:textId="77777777" w:rsidR="00D561C3" w:rsidRPr="00655CFC" w:rsidRDefault="00D561C3" w:rsidP="00F84D07"/>
        </w:tc>
      </w:tr>
      <w:tr w:rsidR="00D561C3" w:rsidRPr="00655CFC" w14:paraId="1769C171" w14:textId="77777777" w:rsidTr="00F84D07">
        <w:trPr>
          <w:trHeight w:val="1134"/>
        </w:trPr>
        <w:tc>
          <w:tcPr>
            <w:tcW w:w="5949" w:type="dxa"/>
            <w:hideMark/>
          </w:tcPr>
          <w:p w14:paraId="7284DF3C" w14:textId="4A4F6DC6" w:rsidR="00D561C3" w:rsidRPr="007477E6" w:rsidRDefault="006706E3" w:rsidP="00F84D07">
            <w:proofErr w:type="spellStart"/>
            <w:r>
              <w:t>3g</w:t>
            </w:r>
            <w:proofErr w:type="spellEnd"/>
            <w:r>
              <w:t xml:space="preserve">. </w:t>
            </w:r>
            <w:r w:rsidR="00D561C3">
              <w:t>Invite</w:t>
            </w:r>
            <w:r w:rsidR="00465D28">
              <w:t xml:space="preserve"> ‘new to school’</w:t>
            </w:r>
            <w:r w:rsidR="00D561C3">
              <w:t xml:space="preserve"> families to visit </w:t>
            </w:r>
            <w:r w:rsidR="00465D28">
              <w:t>Reception</w:t>
            </w:r>
            <w:r w:rsidR="00D561C3" w:rsidRPr="007477E6">
              <w:t xml:space="preserve"> when there are just new starters and the ‘receiving’ staff in the room e.g. after school.</w:t>
            </w:r>
          </w:p>
        </w:tc>
        <w:tc>
          <w:tcPr>
            <w:tcW w:w="2254" w:type="dxa"/>
          </w:tcPr>
          <w:p w14:paraId="6E74FDB3" w14:textId="77777777" w:rsidR="00D561C3" w:rsidRPr="00655CFC" w:rsidRDefault="00D561C3" w:rsidP="00F84D07"/>
        </w:tc>
        <w:tc>
          <w:tcPr>
            <w:tcW w:w="5117" w:type="dxa"/>
          </w:tcPr>
          <w:p w14:paraId="1935B471" w14:textId="77777777" w:rsidR="00D561C3" w:rsidRPr="00655CFC" w:rsidRDefault="00D561C3" w:rsidP="00F84D07"/>
        </w:tc>
        <w:tc>
          <w:tcPr>
            <w:tcW w:w="1920" w:type="dxa"/>
          </w:tcPr>
          <w:p w14:paraId="3C5802A1" w14:textId="77777777" w:rsidR="00D561C3" w:rsidRPr="00655CFC" w:rsidRDefault="00D561C3" w:rsidP="00F84D07"/>
        </w:tc>
      </w:tr>
      <w:tr w:rsidR="00D561C3" w:rsidRPr="00655CFC" w14:paraId="0DA55367" w14:textId="77777777" w:rsidTr="00F84D07">
        <w:trPr>
          <w:trHeight w:val="1134"/>
        </w:trPr>
        <w:tc>
          <w:tcPr>
            <w:tcW w:w="5949" w:type="dxa"/>
          </w:tcPr>
          <w:p w14:paraId="4F2ED58E" w14:textId="78B06389" w:rsidR="00D561C3" w:rsidRPr="007477E6" w:rsidRDefault="006706E3" w:rsidP="00F84D07">
            <w:proofErr w:type="spellStart"/>
            <w:r>
              <w:t>3h</w:t>
            </w:r>
            <w:proofErr w:type="spellEnd"/>
            <w:r>
              <w:t xml:space="preserve">. </w:t>
            </w:r>
            <w:r w:rsidR="00465D28">
              <w:t>For child</w:t>
            </w:r>
            <w:r w:rsidR="008B5323">
              <w:t>(</w:t>
            </w:r>
            <w:r w:rsidR="00465D28">
              <w:t>re</w:t>
            </w:r>
            <w:r>
              <w:t>n)</w:t>
            </w:r>
            <w:r w:rsidR="00465D28">
              <w:t xml:space="preserve"> in school Nursery plan regular visits to Reception (indoor and outdoor provision). ‘Receiving’ staff should also visit the child</w:t>
            </w:r>
            <w:r w:rsidR="008B5323">
              <w:t>(ren)</w:t>
            </w:r>
            <w:r w:rsidR="00465D28">
              <w:t xml:space="preserve"> in the Nursery environment. </w:t>
            </w:r>
          </w:p>
        </w:tc>
        <w:tc>
          <w:tcPr>
            <w:tcW w:w="2254" w:type="dxa"/>
          </w:tcPr>
          <w:p w14:paraId="52C389B1" w14:textId="77777777" w:rsidR="00D561C3" w:rsidRPr="00655CFC" w:rsidRDefault="00D561C3" w:rsidP="00F84D07"/>
        </w:tc>
        <w:tc>
          <w:tcPr>
            <w:tcW w:w="5117" w:type="dxa"/>
          </w:tcPr>
          <w:p w14:paraId="328634BA" w14:textId="77777777" w:rsidR="00D561C3" w:rsidRPr="00655CFC" w:rsidRDefault="00D561C3" w:rsidP="00F84D07"/>
        </w:tc>
        <w:tc>
          <w:tcPr>
            <w:tcW w:w="1920" w:type="dxa"/>
          </w:tcPr>
          <w:p w14:paraId="61A18CD9" w14:textId="77777777" w:rsidR="00D561C3" w:rsidRPr="00655CFC" w:rsidRDefault="00D561C3" w:rsidP="00F84D07"/>
        </w:tc>
      </w:tr>
      <w:tr w:rsidR="00D561C3" w:rsidRPr="00655CFC" w14:paraId="3723D55E" w14:textId="77777777" w:rsidTr="00F84D07">
        <w:trPr>
          <w:trHeight w:val="1134"/>
        </w:trPr>
        <w:tc>
          <w:tcPr>
            <w:tcW w:w="5949" w:type="dxa"/>
            <w:hideMark/>
          </w:tcPr>
          <w:p w14:paraId="1A7D3F7B" w14:textId="63B0B247" w:rsidR="00D561C3" w:rsidRPr="00942F68" w:rsidRDefault="006706E3" w:rsidP="00F84D07">
            <w:pPr>
              <w:rPr>
                <w:highlight w:val="cyan"/>
              </w:rPr>
            </w:pPr>
            <w:proofErr w:type="spellStart"/>
            <w:r>
              <w:t>3i</w:t>
            </w:r>
            <w:proofErr w:type="spellEnd"/>
            <w:r>
              <w:t xml:space="preserve">. </w:t>
            </w:r>
            <w:r w:rsidR="00D561C3" w:rsidRPr="007477E6">
              <w:t xml:space="preserve">Speak to SLT about school sending a ‘keep in touch’ card, </w:t>
            </w:r>
            <w:proofErr w:type="gramStart"/>
            <w:r w:rsidR="00D561C3" w:rsidRPr="007477E6">
              <w:t>letter</w:t>
            </w:r>
            <w:proofErr w:type="gramEnd"/>
            <w:r w:rsidR="00D561C3" w:rsidRPr="007477E6">
              <w:t xml:space="preserve"> or email at the end of the holidays.</w:t>
            </w:r>
          </w:p>
        </w:tc>
        <w:tc>
          <w:tcPr>
            <w:tcW w:w="2254" w:type="dxa"/>
          </w:tcPr>
          <w:p w14:paraId="51F919D7" w14:textId="77777777" w:rsidR="00D561C3" w:rsidRPr="00655CFC" w:rsidRDefault="00D561C3" w:rsidP="00F84D07"/>
        </w:tc>
        <w:tc>
          <w:tcPr>
            <w:tcW w:w="5117" w:type="dxa"/>
          </w:tcPr>
          <w:p w14:paraId="5C6123DF" w14:textId="77777777" w:rsidR="00D561C3" w:rsidRPr="00655CFC" w:rsidRDefault="00D561C3" w:rsidP="00F84D07"/>
        </w:tc>
        <w:tc>
          <w:tcPr>
            <w:tcW w:w="1920" w:type="dxa"/>
          </w:tcPr>
          <w:p w14:paraId="15AA08E4" w14:textId="77777777" w:rsidR="00D561C3" w:rsidRPr="00655CFC" w:rsidRDefault="00D561C3" w:rsidP="00F84D07"/>
        </w:tc>
      </w:tr>
    </w:tbl>
    <w:p w14:paraId="74BD3603" w14:textId="77777777" w:rsidR="00D561C3" w:rsidRPr="00E82572" w:rsidRDefault="00D561C3" w:rsidP="00D561C3">
      <w:pPr>
        <w:spacing w:before="100" w:beforeAutospacing="1" w:after="100" w:afterAutospacing="1"/>
        <w:rPr>
          <w:b/>
        </w:rPr>
      </w:pPr>
      <w:r w:rsidRPr="00E82572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5386"/>
        <w:gridCol w:w="1637"/>
      </w:tblGrid>
      <w:tr w:rsidR="00D561C3" w:rsidRPr="00655CFC" w14:paraId="77DA4563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DFA24" w14:textId="21B16918" w:rsidR="00D561C3" w:rsidRPr="00655CFC" w:rsidRDefault="006706E3" w:rsidP="00F84D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561C3" w:rsidRPr="00655CFC">
              <w:rPr>
                <w:b/>
              </w:rPr>
              <w:t>Transition Support</w:t>
            </w:r>
            <w:r w:rsidR="00D561C3">
              <w:rPr>
                <w:b/>
              </w:rPr>
              <w:t xml:space="preserve"> </w:t>
            </w:r>
            <w:r w:rsidR="00D561C3" w:rsidRPr="00365697">
              <w:t>(select the actions appropriate to the child or cohort).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020408" w14:textId="77777777" w:rsidR="00D561C3" w:rsidRPr="00655CFC" w:rsidRDefault="00D561C3" w:rsidP="00F84D07">
            <w:pPr>
              <w:rPr>
                <w:b/>
              </w:rPr>
            </w:pPr>
            <w:r w:rsidRPr="00655CFC">
              <w:rPr>
                <w:b/>
              </w:rPr>
              <w:t>Who is involved?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16F49" w14:textId="77777777" w:rsidR="00D561C3" w:rsidRPr="00655CFC" w:rsidRDefault="00D561C3" w:rsidP="00F84D07">
            <w:pPr>
              <w:rPr>
                <w:b/>
              </w:rPr>
            </w:pPr>
            <w:r w:rsidRPr="00655CFC">
              <w:rPr>
                <w:b/>
              </w:rPr>
              <w:t>What? When?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F72F30" w14:textId="77777777" w:rsidR="00D561C3" w:rsidRPr="00655CFC" w:rsidRDefault="00D561C3" w:rsidP="00F84D07">
            <w:pPr>
              <w:rPr>
                <w:b/>
              </w:rPr>
            </w:pPr>
            <w:r w:rsidRPr="00655CFC">
              <w:rPr>
                <w:b/>
              </w:rPr>
              <w:t>Date Completed</w:t>
            </w:r>
          </w:p>
        </w:tc>
      </w:tr>
      <w:tr w:rsidR="00D561C3" w:rsidRPr="00655CFC" w14:paraId="4639B578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D809" w14:textId="22AC0685" w:rsidR="00D561C3" w:rsidRPr="00655CFC" w:rsidRDefault="006706E3" w:rsidP="00F84D07">
            <w:proofErr w:type="spellStart"/>
            <w:r>
              <w:t>4a</w:t>
            </w:r>
            <w:proofErr w:type="spellEnd"/>
            <w:r>
              <w:t xml:space="preserve">. </w:t>
            </w:r>
            <w:r w:rsidR="00D561C3">
              <w:t>Plan settling-</w:t>
            </w:r>
            <w:r w:rsidR="00D561C3" w:rsidRPr="00655CFC">
              <w:t xml:space="preserve">in </w:t>
            </w:r>
            <w:r w:rsidR="00D561C3">
              <w:t xml:space="preserve">for the first two weeks </w:t>
            </w:r>
            <w:r w:rsidR="00D561C3" w:rsidRPr="00655CFC">
              <w:t xml:space="preserve">with familiar play-based, child-led activities. </w:t>
            </w:r>
            <w:r w:rsidR="00D561C3">
              <w:t>Remember to include activities that are motivating to the children with SEND.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87E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E99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85F" w14:textId="77777777" w:rsidR="00D561C3" w:rsidRPr="00655CFC" w:rsidRDefault="00D561C3" w:rsidP="00F84D07"/>
        </w:tc>
      </w:tr>
      <w:tr w:rsidR="00D561C3" w:rsidRPr="00655CFC" w14:paraId="75EB4A95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9815" w14:textId="47C68E5D" w:rsidR="00D561C3" w:rsidRDefault="006706E3" w:rsidP="00F84D07">
            <w:proofErr w:type="spellStart"/>
            <w:r>
              <w:t>4b</w:t>
            </w:r>
            <w:proofErr w:type="spellEnd"/>
            <w:r>
              <w:t xml:space="preserve">. </w:t>
            </w:r>
            <w:r w:rsidR="00D561C3" w:rsidRPr="009F2841">
              <w:t>Identify a key adult to ‘meet and greet’ children with SEND.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F26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69E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C83C" w14:textId="77777777" w:rsidR="00D561C3" w:rsidRPr="00655CFC" w:rsidRDefault="00D561C3" w:rsidP="00F84D07"/>
        </w:tc>
      </w:tr>
      <w:tr w:rsidR="00D561C3" w:rsidRPr="00655CFC" w14:paraId="69AE698D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D73" w14:textId="1FCBD990" w:rsidR="00D561C3" w:rsidRPr="00655CFC" w:rsidRDefault="006706E3" w:rsidP="00F84D07">
            <w:proofErr w:type="spellStart"/>
            <w:r>
              <w:t>4c</w:t>
            </w:r>
            <w:proofErr w:type="spellEnd"/>
            <w:r>
              <w:t xml:space="preserve">. </w:t>
            </w:r>
            <w:r w:rsidR="00D561C3">
              <w:t xml:space="preserve">Model how to use the resources in the areas of provision – choose, </w:t>
            </w:r>
            <w:proofErr w:type="gramStart"/>
            <w:r w:rsidR="00D561C3">
              <w:t>use</w:t>
            </w:r>
            <w:proofErr w:type="gramEnd"/>
            <w:r w:rsidR="00D561C3">
              <w:t xml:space="preserve"> and put it away.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06A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1F7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A4E" w14:textId="77777777" w:rsidR="00D561C3" w:rsidRPr="00655CFC" w:rsidRDefault="00D561C3" w:rsidP="00F84D07"/>
        </w:tc>
      </w:tr>
      <w:tr w:rsidR="00D561C3" w:rsidRPr="00655CFC" w14:paraId="58E200F0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08B" w14:textId="11C8FDA2" w:rsidR="00D561C3" w:rsidRPr="00655CFC" w:rsidRDefault="006706E3" w:rsidP="00F84D07">
            <w:proofErr w:type="spellStart"/>
            <w:r>
              <w:t>4d</w:t>
            </w:r>
            <w:proofErr w:type="spellEnd"/>
            <w:r>
              <w:t xml:space="preserve">. </w:t>
            </w:r>
            <w:r w:rsidR="00D561C3" w:rsidRPr="00655CFC">
              <w:t>Plan shorter whole class learning and/or s</w:t>
            </w:r>
            <w:r w:rsidR="00D561C3">
              <w:t>mall group activities.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3B09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961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4887" w14:textId="77777777" w:rsidR="00D561C3" w:rsidRPr="00655CFC" w:rsidRDefault="00D561C3" w:rsidP="00F84D07"/>
        </w:tc>
      </w:tr>
      <w:tr w:rsidR="00D561C3" w:rsidRPr="00655CFC" w14:paraId="24B7F7E3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E33C" w14:textId="4252B7FC" w:rsidR="00D561C3" w:rsidRPr="00655CFC" w:rsidRDefault="006706E3" w:rsidP="00F84D07">
            <w:proofErr w:type="spellStart"/>
            <w:r>
              <w:t>4e</w:t>
            </w:r>
            <w:proofErr w:type="spellEnd"/>
            <w:r>
              <w:t xml:space="preserve">. </w:t>
            </w:r>
            <w:r w:rsidR="00D561C3" w:rsidRPr="009F2841">
              <w:t>Monitor well-being and involvement.</w:t>
            </w:r>
            <w:r w:rsidR="00D561C3">
              <w:t xml:space="preserve"> Observe the child(ren) in their new </w:t>
            </w:r>
            <w:r w:rsidR="00D561C3" w:rsidRPr="00655CFC">
              <w:t>learning environment. What have you learnt?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5740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62A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F306" w14:textId="77777777" w:rsidR="00D561C3" w:rsidRPr="00655CFC" w:rsidRDefault="00D561C3" w:rsidP="00F84D07"/>
        </w:tc>
      </w:tr>
      <w:tr w:rsidR="00D561C3" w:rsidRPr="00655CFC" w14:paraId="6A975588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69D" w14:textId="2CD16FC9" w:rsidR="00D561C3" w:rsidRPr="00655CFC" w:rsidRDefault="006706E3" w:rsidP="00F84D07">
            <w:proofErr w:type="spellStart"/>
            <w:r>
              <w:t>4f</w:t>
            </w:r>
            <w:proofErr w:type="spellEnd"/>
            <w:r>
              <w:t xml:space="preserve">. </w:t>
            </w:r>
            <w:r w:rsidR="00D561C3" w:rsidRPr="00655CFC">
              <w:t xml:space="preserve">Select and use suitable assessment tool(s) – EYDJ / Leuven Scale / ERIC </w:t>
            </w:r>
            <w:r w:rsidR="00D561C3">
              <w:t xml:space="preserve">Toileting </w:t>
            </w:r>
            <w:proofErr w:type="gramStart"/>
            <w:r w:rsidR="00D561C3">
              <w:t>Checklist.</w:t>
            </w:r>
            <w:r w:rsidR="00D561C3" w:rsidRPr="00655CFC"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2E2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DBD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C3E" w14:textId="77777777" w:rsidR="00D561C3" w:rsidRPr="00655CFC" w:rsidRDefault="00D561C3" w:rsidP="00F84D07"/>
        </w:tc>
      </w:tr>
      <w:tr w:rsidR="00D561C3" w:rsidRPr="00655CFC" w14:paraId="6A3BAFA5" w14:textId="77777777" w:rsidTr="006706E3">
        <w:trPr>
          <w:trHeight w:val="8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888" w14:textId="714E5D92" w:rsidR="00D561C3" w:rsidRPr="00655CFC" w:rsidRDefault="006706E3" w:rsidP="00F84D07">
            <w:proofErr w:type="spellStart"/>
            <w:r>
              <w:t>4g</w:t>
            </w:r>
            <w:proofErr w:type="spellEnd"/>
            <w:r>
              <w:t xml:space="preserve">. </w:t>
            </w:r>
            <w:r w:rsidR="00D561C3" w:rsidRPr="00655CFC">
              <w:t xml:space="preserve">Review </w:t>
            </w:r>
            <w:r w:rsidR="00D561C3">
              <w:t>each child’s</w:t>
            </w:r>
            <w:r w:rsidR="00D561C3" w:rsidRPr="00655CFC">
              <w:t xml:space="preserve"> ‘Celebratory Profile’. </w:t>
            </w:r>
            <w:r w:rsidR="00D561C3" w:rsidRPr="006F1ED6">
              <w:t>Meet with the parent</w:t>
            </w:r>
            <w:r w:rsidR="00D561C3">
              <w:t>s</w:t>
            </w:r>
            <w:r w:rsidR="00D561C3" w:rsidRPr="006F1ED6">
              <w:t xml:space="preserve"> / carers to update the</w:t>
            </w:r>
            <w:r w:rsidR="00D561C3">
              <w:t xml:space="preserve"> parent voice on the</w:t>
            </w:r>
            <w:r w:rsidR="00D561C3" w:rsidRPr="006F1ED6">
              <w:t xml:space="preserve"> ‘Celebratory Profile’.</w:t>
            </w:r>
            <w:r w:rsidR="00807E42">
              <w:t xml:space="preserve"> </w:t>
            </w:r>
            <w:r w:rsidR="00807E42" w:rsidRPr="00807E42">
              <w:t>Share positive experiences with the family using photos to celebrate success.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D95A" w14:textId="77777777" w:rsidR="00D561C3" w:rsidRPr="00655CFC" w:rsidRDefault="00D561C3" w:rsidP="00F84D07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369" w14:textId="77777777" w:rsidR="00D561C3" w:rsidRPr="00655CFC" w:rsidRDefault="00D561C3" w:rsidP="00F84D07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216" w14:textId="77777777" w:rsidR="00D561C3" w:rsidRPr="00655CFC" w:rsidRDefault="00D561C3" w:rsidP="00F84D07"/>
        </w:tc>
      </w:tr>
    </w:tbl>
    <w:p w14:paraId="3C6D3AEA" w14:textId="77777777" w:rsidR="00FB1942" w:rsidRDefault="00FB1942" w:rsidP="00F828EB">
      <w:pPr>
        <w:spacing w:before="100" w:beforeAutospacing="1" w:after="100" w:afterAutospacing="1"/>
        <w:rPr>
          <w:b/>
        </w:rPr>
      </w:pPr>
    </w:p>
    <w:p w14:paraId="79067DE6" w14:textId="77777777" w:rsidR="00DC63B2" w:rsidRPr="008E42E8" w:rsidRDefault="00DC63B2" w:rsidP="00DC63B2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 xml:space="preserve">Things </w:t>
      </w:r>
      <w:r w:rsidR="00DB08D0">
        <w:rPr>
          <w:b/>
          <w:color w:val="005192"/>
          <w:sz w:val="24"/>
        </w:rPr>
        <w:t>to n</w:t>
      </w:r>
      <w:r w:rsidRPr="008E42E8">
        <w:rPr>
          <w:b/>
          <w:color w:val="005192"/>
          <w:sz w:val="24"/>
        </w:rPr>
        <w:t>ote</w:t>
      </w:r>
      <w:r w:rsidR="00DB08D0">
        <w:rPr>
          <w:b/>
          <w:color w:val="005192"/>
          <w:sz w:val="24"/>
        </w:rPr>
        <w:t>:</w:t>
      </w:r>
    </w:p>
    <w:p w14:paraId="164F4581" w14:textId="77777777" w:rsidR="00C877C0" w:rsidRPr="00C877C0" w:rsidRDefault="00C877C0" w:rsidP="00C877C0">
      <w:pPr>
        <w:spacing w:before="120" w:line="360" w:lineRule="auto"/>
        <w:rPr>
          <w:b/>
          <w:sz w:val="24"/>
        </w:rPr>
      </w:pPr>
      <w:r w:rsidRPr="00C877C0">
        <w:rPr>
          <w:b/>
          <w:sz w:val="24"/>
        </w:rPr>
        <w:t>This is part of the Transition Toolkit.</w:t>
      </w:r>
    </w:p>
    <w:p w14:paraId="7A2A2A45" w14:textId="77777777" w:rsidR="00C877C0" w:rsidRPr="00C877C0" w:rsidRDefault="00C877C0" w:rsidP="00C877C0">
      <w:pPr>
        <w:pStyle w:val="ListParagraph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</w:rPr>
        <w:t>HS How to support transitions into new settings or year groups (Early Years)</w:t>
      </w:r>
    </w:p>
    <w:p w14:paraId="3EA4930D" w14:textId="77777777" w:rsidR="00C877C0" w:rsidRPr="00C877C0" w:rsidRDefault="00C877C0" w:rsidP="00C877C0">
      <w:pPr>
        <w:pStyle w:val="ListParagraph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</w:rPr>
        <w:t>T Celebratory Profile</w:t>
      </w:r>
    </w:p>
    <w:p w14:paraId="4AAA2879" w14:textId="77777777" w:rsidR="00C877C0" w:rsidRPr="00C877C0" w:rsidRDefault="00C877C0" w:rsidP="00C877C0">
      <w:pPr>
        <w:pStyle w:val="ListParagraph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</w:rPr>
        <w:t>T How to create a ‘My New Classroom / Setting’ document to share with children and parent / carers</w:t>
      </w:r>
    </w:p>
    <w:p w14:paraId="7CDF801F" w14:textId="304C3FAE" w:rsidR="00C877C0" w:rsidRPr="00C877C0" w:rsidRDefault="00C877C0" w:rsidP="00C877C0">
      <w:pPr>
        <w:pStyle w:val="ListParagraph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</w:rPr>
        <w:t>4.1 T How to support transition into a PVI or Childminder</w:t>
      </w:r>
    </w:p>
    <w:p w14:paraId="2543211F" w14:textId="5A0E6A52" w:rsidR="00C877C0" w:rsidRPr="00C877C0" w:rsidRDefault="00C877C0" w:rsidP="00C877C0">
      <w:pPr>
        <w:pStyle w:val="ListParagraph"/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</w:rPr>
        <w:t xml:space="preserve">4.2 T How to support transition into </w:t>
      </w:r>
      <w:proofErr w:type="gramStart"/>
      <w:r w:rsidRPr="00C877C0">
        <w:rPr>
          <w:rFonts w:ascii="Arial" w:hAnsi="Arial" w:cs="Arial"/>
          <w:bCs/>
        </w:rPr>
        <w:t>Nursery</w:t>
      </w:r>
      <w:proofErr w:type="gramEnd"/>
      <w:r w:rsidRPr="00C877C0">
        <w:rPr>
          <w:rFonts w:ascii="Arial" w:hAnsi="Arial" w:cs="Arial"/>
          <w:bCs/>
        </w:rPr>
        <w:t xml:space="preserve"> </w:t>
      </w:r>
    </w:p>
    <w:p w14:paraId="1B5A5F7B" w14:textId="77777777" w:rsidR="00C877C0" w:rsidRPr="00C877C0" w:rsidRDefault="00C877C0" w:rsidP="00C877C0">
      <w:pPr>
        <w:pStyle w:val="ListParagraph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  <w:color w:val="0070C0"/>
        </w:rPr>
        <w:t>T How to support transition into Reception</w:t>
      </w:r>
    </w:p>
    <w:p w14:paraId="750DB484" w14:textId="77777777" w:rsidR="00C877C0" w:rsidRPr="00C877C0" w:rsidRDefault="00C877C0" w:rsidP="00C877C0">
      <w:pPr>
        <w:pStyle w:val="ListParagraph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</w:rPr>
      </w:pPr>
      <w:r w:rsidRPr="00C877C0">
        <w:rPr>
          <w:rFonts w:ascii="Arial" w:hAnsi="Arial" w:cs="Arial"/>
          <w:bCs/>
        </w:rPr>
        <w:t>T How to support transition into Year 1</w:t>
      </w:r>
    </w:p>
    <w:p w14:paraId="4E50F2AF" w14:textId="6CE01185" w:rsidR="00C349B0" w:rsidRPr="00D2703F" w:rsidRDefault="00DC63B2" w:rsidP="00D2703F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D151B" wp14:editId="435FA990">
                <wp:simplePos x="0" y="0"/>
                <wp:positionH relativeFrom="column">
                  <wp:posOffset>-140335</wp:posOffset>
                </wp:positionH>
                <wp:positionV relativeFrom="paragraph">
                  <wp:posOffset>4551680</wp:posOffset>
                </wp:positionV>
                <wp:extent cx="6515100" cy="831215"/>
                <wp:effectExtent l="0" t="5080" r="9525" b="19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C168" w14:textId="77777777" w:rsidR="00DC63B2" w:rsidRPr="002102A1" w:rsidRDefault="00DC63B2" w:rsidP="00DC63B2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 w:rsidRPr="002102A1">
                              <w:rPr>
                                <w:b/>
                                <w:color w:val="005192"/>
                                <w:sz w:val="24"/>
                              </w:rPr>
                              <w:t>Evidence base</w:t>
                            </w: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– informed by </w:t>
                            </w:r>
                          </w:p>
                          <w:p w14:paraId="2DCE79E4" w14:textId="77777777" w:rsidR="00DC63B2" w:rsidRDefault="00DC63B2" w:rsidP="00DC63B2"/>
                          <w:p w14:paraId="6526E1C3" w14:textId="77777777" w:rsidR="00DC63B2" w:rsidRPr="00FF4160" w:rsidRDefault="00DC63B2" w:rsidP="00DC63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 “Title” Resource type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D151B" id="AutoShape 8" o:spid="_x0000_s1026" style="position:absolute;margin-left:-11.05pt;margin-top:358.4pt;width:513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" fillcolor="#eaeaea" stroked="f">
                <v:textbox>
                  <w:txbxContent>
                    <w:p w14:paraId="247EC168" w14:textId="77777777" w:rsidR="00DC63B2" w:rsidRPr="002102A1" w:rsidRDefault="00DC63B2" w:rsidP="00DC63B2">
                      <w:pPr>
                        <w:rPr>
                          <w:b/>
                          <w:color w:val="005192"/>
                          <w:sz w:val="24"/>
                        </w:rPr>
                      </w:pPr>
                      <w:r w:rsidRPr="002102A1">
                        <w:rPr>
                          <w:b/>
                          <w:color w:val="005192"/>
                          <w:sz w:val="24"/>
                        </w:rPr>
                        <w:t>Evidence base</w:t>
                      </w:r>
                      <w:r>
                        <w:rPr>
                          <w:b/>
                          <w:color w:val="005192"/>
                          <w:sz w:val="24"/>
                        </w:rPr>
                        <w:t xml:space="preserve"> – informed by </w:t>
                      </w:r>
                    </w:p>
                    <w:p w14:paraId="2DCE79E4" w14:textId="77777777" w:rsidR="00DC63B2" w:rsidRDefault="00DC63B2" w:rsidP="00DC63B2"/>
                    <w:p w14:paraId="6526E1C3" w14:textId="77777777" w:rsidR="00DC63B2" w:rsidRPr="00FF4160" w:rsidRDefault="00DC63B2" w:rsidP="00DC63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Author “Title” Resource type YYYY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49B0" w:rsidRPr="00D2703F" w:rsidSect="00474C1A">
      <w:headerReference w:type="default" r:id="rId12"/>
      <w:footerReference w:type="even" r:id="rId13"/>
      <w:footerReference w:type="default" r:id="rId14"/>
      <w:type w:val="continuous"/>
      <w:pgSz w:w="16838" w:h="11906" w:orient="landscape" w:code="9"/>
      <w:pgMar w:top="851" w:right="1021" w:bottom="851" w:left="567" w:header="709" w:footer="43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914" w14:textId="77777777" w:rsidR="00C349B0" w:rsidRDefault="00C349B0">
      <w:r>
        <w:separator/>
      </w:r>
    </w:p>
  </w:endnote>
  <w:endnote w:type="continuationSeparator" w:id="0">
    <w:p w14:paraId="7B331E03" w14:textId="77777777"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2FFF" w14:textId="77777777"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D3562" w14:textId="77777777"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587" w14:textId="7660CD8C"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>Created May 202</w:t>
    </w:r>
    <w:r w:rsidR="00162234">
      <w:rPr>
        <w:rFonts w:ascii="Arial" w:eastAsia="MS PGothic" w:hAnsi="Arial" w:cs="Arial"/>
        <w:color w:val="000000"/>
        <w:kern w:val="24"/>
        <w:sz w:val="14"/>
        <w:szCs w:val="14"/>
      </w:rPr>
      <w:t>4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F828EB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162234">
      <w:rPr>
        <w:rFonts w:ascii="Arial" w:eastAsia="MS PGothic" w:hAnsi="Arial" w:cs="Arial"/>
        <w:color w:val="000000"/>
        <w:kern w:val="24"/>
        <w:sz w:val="14"/>
        <w:szCs w:val="14"/>
      </w:rPr>
      <w:t>MG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203DD4">
      <w:rPr>
        <w:rStyle w:val="PageNumber"/>
        <w:rFonts w:ascii="Arial" w:hAnsi="Arial" w:cs="Arial"/>
        <w:noProof/>
        <w:sz w:val="14"/>
        <w:szCs w:val="14"/>
      </w:rPr>
      <w:t>5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r w:rsidR="00F072E5">
      <w:rPr>
        <w:rStyle w:val="PageNumber"/>
        <w:rFonts w:ascii="Arial" w:hAnsi="Arial" w:cs="Arial"/>
        <w:sz w:val="14"/>
        <w:szCs w:val="14"/>
      </w:rPr>
      <w:t>6</w:t>
    </w:r>
  </w:p>
  <w:p w14:paraId="6B231D71" w14:textId="77777777"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7421" w14:textId="77777777" w:rsidR="00C349B0" w:rsidRDefault="00C349B0">
      <w:r>
        <w:separator/>
      </w:r>
    </w:p>
  </w:footnote>
  <w:footnote w:type="continuationSeparator" w:id="0">
    <w:p w14:paraId="5C526060" w14:textId="77777777"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D7F7" w14:textId="77777777"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AE94DD6" wp14:editId="235BE721">
          <wp:simplePos x="0" y="0"/>
          <wp:positionH relativeFrom="column">
            <wp:posOffset>7057209</wp:posOffset>
          </wp:positionH>
          <wp:positionV relativeFrom="page">
            <wp:posOffset>458470</wp:posOffset>
          </wp:positionV>
          <wp:extent cx="2818130" cy="778510"/>
          <wp:effectExtent l="0" t="0" r="0" b="0"/>
          <wp:wrapSquare wrapText="bothSides"/>
          <wp:docPr id="7" name="Picture 7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p w14:paraId="4A44EAC8" w14:textId="77777777"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BEB568" wp14:editId="0A421726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r w:rsidR="00D84022">
      <w:rPr>
        <w:color w:val="005192"/>
        <w:sz w:val="96"/>
        <w:szCs w:val="96"/>
      </w:rPr>
      <w:t>Template</w:t>
    </w:r>
  </w:p>
  <w:p w14:paraId="50EFE282" w14:textId="77777777"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proofErr w:type="gramStart"/>
    <w:r w:rsidR="000779EA">
      <w:rPr>
        <w:color w:val="005192"/>
        <w:sz w:val="24"/>
        <w:szCs w:val="22"/>
      </w:rPr>
      <w:t>And</w:t>
    </w:r>
    <w:proofErr w:type="gramEnd"/>
    <w:r w:rsidR="000779EA">
      <w:rPr>
        <w:color w:val="005192"/>
        <w:sz w:val="24"/>
        <w:szCs w:val="22"/>
      </w:rPr>
      <w:t xml:space="preserve"> </w:t>
    </w:r>
    <w:r>
      <w:rPr>
        <w:color w:val="005192"/>
        <w:sz w:val="24"/>
        <w:szCs w:val="22"/>
      </w:rPr>
      <w:t>Support Service</w:t>
    </w:r>
  </w:p>
  <w:p w14:paraId="1DD165A1" w14:textId="77777777" w:rsidR="008E42E8" w:rsidRPr="00C349B0" w:rsidRDefault="008E42E8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D18"/>
    <w:multiLevelType w:val="hybridMultilevel"/>
    <w:tmpl w:val="8BC2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21959D0"/>
    <w:multiLevelType w:val="hybridMultilevel"/>
    <w:tmpl w:val="7B98F8F4"/>
    <w:lvl w:ilvl="0" w:tplc="6DC6C8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5310"/>
    <w:multiLevelType w:val="hybridMultilevel"/>
    <w:tmpl w:val="1E120B00"/>
    <w:lvl w:ilvl="0" w:tplc="6DC6C8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72530"/>
    <w:multiLevelType w:val="hybridMultilevel"/>
    <w:tmpl w:val="B1267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972ED"/>
    <w:multiLevelType w:val="hybridMultilevel"/>
    <w:tmpl w:val="058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C4C78"/>
    <w:multiLevelType w:val="hybridMultilevel"/>
    <w:tmpl w:val="FA9E372E"/>
    <w:lvl w:ilvl="0" w:tplc="6DC6C870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22AF7"/>
    <w:multiLevelType w:val="hybridMultilevel"/>
    <w:tmpl w:val="F0F48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60406">
    <w:abstractNumId w:val="1"/>
  </w:num>
  <w:num w:numId="2" w16cid:durableId="234515623">
    <w:abstractNumId w:val="5"/>
  </w:num>
  <w:num w:numId="3" w16cid:durableId="836386614">
    <w:abstractNumId w:val="11"/>
  </w:num>
  <w:num w:numId="4" w16cid:durableId="676814602">
    <w:abstractNumId w:val="2"/>
  </w:num>
  <w:num w:numId="5" w16cid:durableId="932208725">
    <w:abstractNumId w:val="8"/>
  </w:num>
  <w:num w:numId="6" w16cid:durableId="449133068">
    <w:abstractNumId w:val="4"/>
  </w:num>
  <w:num w:numId="7" w16cid:durableId="351303112">
    <w:abstractNumId w:val="6"/>
  </w:num>
  <w:num w:numId="8" w16cid:durableId="813445959">
    <w:abstractNumId w:val="15"/>
  </w:num>
  <w:num w:numId="9" w16cid:durableId="12923802">
    <w:abstractNumId w:val="3"/>
  </w:num>
  <w:num w:numId="10" w16cid:durableId="732238602">
    <w:abstractNumId w:val="12"/>
  </w:num>
  <w:num w:numId="11" w16cid:durableId="1616904367">
    <w:abstractNumId w:val="13"/>
  </w:num>
  <w:num w:numId="12" w16cid:durableId="1778408033">
    <w:abstractNumId w:val="0"/>
  </w:num>
  <w:num w:numId="13" w16cid:durableId="1223516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8984878">
    <w:abstractNumId w:val="14"/>
  </w:num>
  <w:num w:numId="15" w16cid:durableId="1158575537">
    <w:abstractNumId w:val="10"/>
  </w:num>
  <w:num w:numId="16" w16cid:durableId="242566947">
    <w:abstractNumId w:val="9"/>
  </w:num>
  <w:num w:numId="17" w16cid:durableId="652221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75759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2234"/>
    <w:rsid w:val="00166B2E"/>
    <w:rsid w:val="0016750C"/>
    <w:rsid w:val="001771AA"/>
    <w:rsid w:val="00186A17"/>
    <w:rsid w:val="00187DC9"/>
    <w:rsid w:val="0019185A"/>
    <w:rsid w:val="001B2F8E"/>
    <w:rsid w:val="001C6B5D"/>
    <w:rsid w:val="00203DD4"/>
    <w:rsid w:val="00204AB7"/>
    <w:rsid w:val="002102A1"/>
    <w:rsid w:val="00217062"/>
    <w:rsid w:val="00222898"/>
    <w:rsid w:val="00224E5B"/>
    <w:rsid w:val="00236264"/>
    <w:rsid w:val="002546DC"/>
    <w:rsid w:val="00254810"/>
    <w:rsid w:val="002655B3"/>
    <w:rsid w:val="00284CCE"/>
    <w:rsid w:val="002900AF"/>
    <w:rsid w:val="002A7C83"/>
    <w:rsid w:val="002C3604"/>
    <w:rsid w:val="002C3CC3"/>
    <w:rsid w:val="002D635F"/>
    <w:rsid w:val="002E16D6"/>
    <w:rsid w:val="00306E7F"/>
    <w:rsid w:val="00316FF1"/>
    <w:rsid w:val="0033062A"/>
    <w:rsid w:val="00363246"/>
    <w:rsid w:val="00365697"/>
    <w:rsid w:val="0038449B"/>
    <w:rsid w:val="0039681C"/>
    <w:rsid w:val="003B2A3F"/>
    <w:rsid w:val="003C5C93"/>
    <w:rsid w:val="003D1804"/>
    <w:rsid w:val="003D5108"/>
    <w:rsid w:val="003D5ACE"/>
    <w:rsid w:val="003D6F38"/>
    <w:rsid w:val="003E20D1"/>
    <w:rsid w:val="0040076B"/>
    <w:rsid w:val="0041530A"/>
    <w:rsid w:val="00465D28"/>
    <w:rsid w:val="00474C1A"/>
    <w:rsid w:val="004774F6"/>
    <w:rsid w:val="00480557"/>
    <w:rsid w:val="00484967"/>
    <w:rsid w:val="004948D4"/>
    <w:rsid w:val="00495F00"/>
    <w:rsid w:val="004A4092"/>
    <w:rsid w:val="004A459D"/>
    <w:rsid w:val="004B283A"/>
    <w:rsid w:val="004E3FB1"/>
    <w:rsid w:val="004E7780"/>
    <w:rsid w:val="00500AA4"/>
    <w:rsid w:val="00505663"/>
    <w:rsid w:val="00505712"/>
    <w:rsid w:val="00530CF6"/>
    <w:rsid w:val="00556828"/>
    <w:rsid w:val="00572D79"/>
    <w:rsid w:val="005750A8"/>
    <w:rsid w:val="00584597"/>
    <w:rsid w:val="00587E81"/>
    <w:rsid w:val="0059316C"/>
    <w:rsid w:val="00595D1D"/>
    <w:rsid w:val="005A53F3"/>
    <w:rsid w:val="005B5176"/>
    <w:rsid w:val="005C66A0"/>
    <w:rsid w:val="005D5840"/>
    <w:rsid w:val="006061B8"/>
    <w:rsid w:val="006439D1"/>
    <w:rsid w:val="006706E3"/>
    <w:rsid w:val="006759EE"/>
    <w:rsid w:val="00680F4B"/>
    <w:rsid w:val="00684E3D"/>
    <w:rsid w:val="00685FD3"/>
    <w:rsid w:val="0069535D"/>
    <w:rsid w:val="006C6F66"/>
    <w:rsid w:val="00706C34"/>
    <w:rsid w:val="00710071"/>
    <w:rsid w:val="007144BB"/>
    <w:rsid w:val="00721320"/>
    <w:rsid w:val="00730564"/>
    <w:rsid w:val="0073347D"/>
    <w:rsid w:val="00737485"/>
    <w:rsid w:val="00740829"/>
    <w:rsid w:val="00747450"/>
    <w:rsid w:val="007477E6"/>
    <w:rsid w:val="00755F28"/>
    <w:rsid w:val="00760854"/>
    <w:rsid w:val="00766B75"/>
    <w:rsid w:val="00767C87"/>
    <w:rsid w:val="00772D85"/>
    <w:rsid w:val="00786187"/>
    <w:rsid w:val="00791393"/>
    <w:rsid w:val="007A4818"/>
    <w:rsid w:val="007B1638"/>
    <w:rsid w:val="007B7DB4"/>
    <w:rsid w:val="007D4EB9"/>
    <w:rsid w:val="007E46C5"/>
    <w:rsid w:val="007F645A"/>
    <w:rsid w:val="00805CA5"/>
    <w:rsid w:val="00807E42"/>
    <w:rsid w:val="0083011B"/>
    <w:rsid w:val="00857C9C"/>
    <w:rsid w:val="00880612"/>
    <w:rsid w:val="008A0163"/>
    <w:rsid w:val="008B5323"/>
    <w:rsid w:val="008C1464"/>
    <w:rsid w:val="008C35D7"/>
    <w:rsid w:val="008D3D07"/>
    <w:rsid w:val="008E22C8"/>
    <w:rsid w:val="008E42E8"/>
    <w:rsid w:val="008E4724"/>
    <w:rsid w:val="009011A4"/>
    <w:rsid w:val="009163B1"/>
    <w:rsid w:val="0091642D"/>
    <w:rsid w:val="009252A8"/>
    <w:rsid w:val="00930D12"/>
    <w:rsid w:val="00941883"/>
    <w:rsid w:val="00942F68"/>
    <w:rsid w:val="009474D2"/>
    <w:rsid w:val="0096618B"/>
    <w:rsid w:val="0096712D"/>
    <w:rsid w:val="00983AF5"/>
    <w:rsid w:val="00994B7B"/>
    <w:rsid w:val="009A5817"/>
    <w:rsid w:val="009B2F47"/>
    <w:rsid w:val="00A04967"/>
    <w:rsid w:val="00A065BF"/>
    <w:rsid w:val="00A17A91"/>
    <w:rsid w:val="00A202FC"/>
    <w:rsid w:val="00A21631"/>
    <w:rsid w:val="00A56C36"/>
    <w:rsid w:val="00AA5A01"/>
    <w:rsid w:val="00AB4BA3"/>
    <w:rsid w:val="00AB668C"/>
    <w:rsid w:val="00AC4CD7"/>
    <w:rsid w:val="00AC68EB"/>
    <w:rsid w:val="00AE30E1"/>
    <w:rsid w:val="00B064B1"/>
    <w:rsid w:val="00B24647"/>
    <w:rsid w:val="00B5449F"/>
    <w:rsid w:val="00B65F70"/>
    <w:rsid w:val="00B76FDD"/>
    <w:rsid w:val="00B95CC5"/>
    <w:rsid w:val="00BC43EC"/>
    <w:rsid w:val="00BD2E6C"/>
    <w:rsid w:val="00BF6ADA"/>
    <w:rsid w:val="00C01808"/>
    <w:rsid w:val="00C12079"/>
    <w:rsid w:val="00C13719"/>
    <w:rsid w:val="00C1494E"/>
    <w:rsid w:val="00C30355"/>
    <w:rsid w:val="00C349B0"/>
    <w:rsid w:val="00C358D7"/>
    <w:rsid w:val="00C40448"/>
    <w:rsid w:val="00C4200A"/>
    <w:rsid w:val="00C71A58"/>
    <w:rsid w:val="00C877C0"/>
    <w:rsid w:val="00C941F8"/>
    <w:rsid w:val="00CC21F3"/>
    <w:rsid w:val="00CE6553"/>
    <w:rsid w:val="00D10CF5"/>
    <w:rsid w:val="00D2703F"/>
    <w:rsid w:val="00D27600"/>
    <w:rsid w:val="00D30FFB"/>
    <w:rsid w:val="00D34891"/>
    <w:rsid w:val="00D55370"/>
    <w:rsid w:val="00D56063"/>
    <w:rsid w:val="00D561C3"/>
    <w:rsid w:val="00D61167"/>
    <w:rsid w:val="00D72DC5"/>
    <w:rsid w:val="00D84022"/>
    <w:rsid w:val="00DA0283"/>
    <w:rsid w:val="00DA1776"/>
    <w:rsid w:val="00DB08D0"/>
    <w:rsid w:val="00DC4B2A"/>
    <w:rsid w:val="00DC63B2"/>
    <w:rsid w:val="00DE18D4"/>
    <w:rsid w:val="00DE241E"/>
    <w:rsid w:val="00DE62B3"/>
    <w:rsid w:val="00DF25B6"/>
    <w:rsid w:val="00DF561A"/>
    <w:rsid w:val="00E006C4"/>
    <w:rsid w:val="00E12D63"/>
    <w:rsid w:val="00E26C4C"/>
    <w:rsid w:val="00E2717E"/>
    <w:rsid w:val="00E40FCE"/>
    <w:rsid w:val="00E570BA"/>
    <w:rsid w:val="00E711A4"/>
    <w:rsid w:val="00E7267A"/>
    <w:rsid w:val="00E73BA4"/>
    <w:rsid w:val="00EB1C06"/>
    <w:rsid w:val="00EC4DB1"/>
    <w:rsid w:val="00ED5E3D"/>
    <w:rsid w:val="00ED719C"/>
    <w:rsid w:val="00EE1C0E"/>
    <w:rsid w:val="00EF2983"/>
    <w:rsid w:val="00F03124"/>
    <w:rsid w:val="00F072E5"/>
    <w:rsid w:val="00F66332"/>
    <w:rsid w:val="00F74D2C"/>
    <w:rsid w:val="00F828EB"/>
    <w:rsid w:val="00F95E7D"/>
    <w:rsid w:val="00FA0BFD"/>
    <w:rsid w:val="00FA10C5"/>
    <w:rsid w:val="00FB1942"/>
    <w:rsid w:val="00FC4F77"/>
    <w:rsid w:val="00FD1136"/>
    <w:rsid w:val="00FD314E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340D9198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DBCC-D36D-4E4D-A030-31A7B12AE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1003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Rachel James</cp:lastModifiedBy>
  <cp:revision>22</cp:revision>
  <cp:lastPrinted>2022-05-06T09:32:00Z</cp:lastPrinted>
  <dcterms:created xsi:type="dcterms:W3CDTF">2024-05-07T09:15:00Z</dcterms:created>
  <dcterms:modified xsi:type="dcterms:W3CDTF">2024-05-08T20:04:00Z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