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Scheduled Courses</w:t>
      </w:r>
      <w:r w:rsidR="00317CED">
        <w:rPr>
          <w:rFonts w:ascii="Arial" w:hAnsi="Arial" w:cs="Arial"/>
          <w:b/>
          <w:bCs/>
          <w:noProof/>
          <w:sz w:val="36"/>
          <w:szCs w:val="36"/>
        </w:rPr>
        <w:t xml:space="preserve"> 2021</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E76FEF"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07/12/21</w:t>
            </w:r>
          </w:p>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3.30pm-5.30pm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E76FEF"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14/12/21</w:t>
            </w:r>
          </w:p>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9.00am-12.00pm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£90</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C73850">
        <w:tc>
          <w:tcPr>
            <w:tcW w:w="10562" w:type="dxa"/>
            <w:gridSpan w:val="2"/>
            <w:shd w:val="clear" w:color="auto" w:fill="auto"/>
          </w:tcPr>
          <w:p w:rsidR="00FB7B68" w:rsidRPr="009B6371" w:rsidRDefault="00FB7B68" w:rsidP="00C73850">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FB7B68" w:rsidRDefault="00FB7B68" w:rsidP="00C73850">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FB7B68" w:rsidRPr="00FB7B68" w:rsidRDefault="00FB7B68" w:rsidP="00C73850">
            <w:pPr>
              <w:rPr>
                <w:rFonts w:ascii="Arial" w:hAnsi="Arial" w:cs="Arial"/>
                <w:sz w:val="22"/>
                <w:szCs w:val="22"/>
                <w:bdr w:val="none" w:sz="0" w:space="0" w:color="auto" w:frame="1"/>
              </w:rPr>
            </w:pPr>
            <w:r w:rsidRPr="00FB7B68">
              <w:rPr>
                <w:rFonts w:ascii="Arial" w:hAnsi="Arial" w:cs="Arial"/>
                <w:sz w:val="22"/>
                <w:szCs w:val="22"/>
                <w:bdr w:val="none" w:sz="0" w:space="0" w:color="auto" w:frame="1"/>
              </w:rPr>
              <w:t>This</w:t>
            </w:r>
            <w:r w:rsidRPr="00FB7B68">
              <w:rPr>
                <w:rFonts w:ascii="Arial" w:hAnsi="Arial" w:cs="Arial"/>
                <w:sz w:val="20"/>
                <w:szCs w:val="20"/>
                <w:bdr w:val="none" w:sz="0" w:space="0" w:color="auto" w:frame="1"/>
              </w:rPr>
              <w:t xml:space="preserve"> </w:t>
            </w:r>
            <w:r w:rsidRPr="00B245CF">
              <w:rPr>
                <w:rFonts w:ascii="Arial" w:hAnsi="Arial" w:cs="Arial"/>
                <w:sz w:val="20"/>
                <w:szCs w:val="20"/>
                <w:bdr w:val="none" w:sz="0" w:space="0" w:color="auto" w:frame="1"/>
              </w:rPr>
              <w:t>course is run Virtually</w:t>
            </w:r>
          </w:p>
          <w:p w:rsidR="00FB7B68" w:rsidRDefault="00FB7B68" w:rsidP="00C73850">
            <w:pPr>
              <w:rPr>
                <w:rFonts w:ascii="Arial" w:hAnsi="Arial" w:cs="Arial"/>
                <w:color w:val="000000"/>
                <w:sz w:val="22"/>
                <w:szCs w:val="22"/>
              </w:rPr>
            </w:pPr>
          </w:p>
          <w:p w:rsidR="00FB7B68" w:rsidRPr="00B425E7" w:rsidRDefault="00FB7B68" w:rsidP="00C73850">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C73850">
            <w:pPr>
              <w:rPr>
                <w:rFonts w:ascii="Arial" w:hAnsi="Arial" w:cs="Arial"/>
              </w:rPr>
            </w:pPr>
            <w:r w:rsidRPr="0087126A">
              <w:rPr>
                <w:rFonts w:ascii="Arial" w:hAnsi="Arial" w:cs="Arial"/>
              </w:rPr>
              <w:t>£60 per person</w:t>
            </w:r>
          </w:p>
        </w:tc>
      </w:tr>
      <w:tr w:rsidR="00FB7B68" w:rsidRPr="00FB7B68"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C73850">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C73850">
        <w:tc>
          <w:tcPr>
            <w:tcW w:w="10562" w:type="dxa"/>
            <w:gridSpan w:val="2"/>
            <w:shd w:val="clear" w:color="auto" w:fill="auto"/>
          </w:tcPr>
          <w:p w:rsidR="00FB7B68" w:rsidRPr="009B6371" w:rsidRDefault="00FB7B68" w:rsidP="00C73850">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C73850">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055876" w:rsidRPr="00055876" w:rsidRDefault="00055876" w:rsidP="00C73850">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FB7B68" w:rsidRPr="00FB7B68" w:rsidRDefault="00FB7B68" w:rsidP="00C73850">
            <w:pPr>
              <w:rPr>
                <w:rFonts w:ascii="Arial" w:hAnsi="Arial" w:cs="Arial"/>
                <w:sz w:val="22"/>
                <w:szCs w:val="22"/>
                <w:bdr w:val="none" w:sz="0" w:space="0" w:color="auto" w:frame="1"/>
              </w:rPr>
            </w:pPr>
            <w:r w:rsidRPr="00FB7B68">
              <w:rPr>
                <w:rFonts w:ascii="Arial" w:hAnsi="Arial" w:cs="Arial"/>
                <w:sz w:val="22"/>
                <w:szCs w:val="22"/>
                <w:bdr w:val="none" w:sz="0" w:space="0" w:color="auto" w:frame="1"/>
              </w:rPr>
              <w:t>This</w:t>
            </w:r>
            <w:r w:rsidRPr="00FB7B68">
              <w:rPr>
                <w:rFonts w:ascii="Arial" w:hAnsi="Arial" w:cs="Arial"/>
                <w:sz w:val="20"/>
                <w:szCs w:val="20"/>
                <w:bdr w:val="none" w:sz="0" w:space="0" w:color="auto" w:frame="1"/>
              </w:rPr>
              <w:t xml:space="preserve"> </w:t>
            </w:r>
            <w:r w:rsidRPr="00B245CF">
              <w:rPr>
                <w:rFonts w:ascii="Arial" w:hAnsi="Arial" w:cs="Arial"/>
                <w:sz w:val="20"/>
                <w:szCs w:val="20"/>
                <w:bdr w:val="none" w:sz="0" w:space="0" w:color="auto" w:frame="1"/>
              </w:rPr>
              <w:t>course is run Virtually</w:t>
            </w:r>
          </w:p>
          <w:p w:rsidR="00FB7B68" w:rsidRPr="00B425E7" w:rsidRDefault="00FB7B68" w:rsidP="00C73850">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C73850">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6024"/>
        <w:gridCol w:w="1232"/>
        <w:gridCol w:w="1231"/>
      </w:tblGrid>
      <w:tr w:rsidR="0028417C" w:rsidTr="0087126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6024"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232"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231"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87126A">
        <w:tc>
          <w:tcPr>
            <w:tcW w:w="961" w:type="dxa"/>
          </w:tcPr>
          <w:p w:rsidR="00F16ABB" w:rsidRDefault="00E76FEF" w:rsidP="00B0341F">
            <w:pPr>
              <w:jc w:val="center"/>
              <w:rPr>
                <w:rFonts w:ascii="Arial" w:hAnsi="Arial" w:cs="Arial"/>
                <w:color w:val="000000"/>
                <w:sz w:val="22"/>
                <w:szCs w:val="22"/>
              </w:rPr>
            </w:pPr>
            <w:r>
              <w:rPr>
                <w:rFonts w:ascii="Arial" w:hAnsi="Arial" w:cs="Arial"/>
                <w:color w:val="000000"/>
                <w:sz w:val="22"/>
                <w:szCs w:val="22"/>
              </w:rPr>
              <w:t>5</w:t>
            </w:r>
          </w:p>
        </w:tc>
        <w:tc>
          <w:tcPr>
            <w:tcW w:w="6024"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232" w:type="dxa"/>
          </w:tcPr>
          <w:p w:rsidR="00F16ABB" w:rsidRDefault="00F16ABB" w:rsidP="006C4186">
            <w:pPr>
              <w:rPr>
                <w:rFonts w:ascii="Arial" w:hAnsi="Arial" w:cs="Arial"/>
                <w:color w:val="000000"/>
                <w:sz w:val="20"/>
                <w:szCs w:val="20"/>
              </w:rPr>
            </w:pPr>
            <w:r>
              <w:rPr>
                <w:rFonts w:ascii="Arial" w:hAnsi="Arial" w:cs="Arial"/>
                <w:color w:val="000000"/>
                <w:sz w:val="20"/>
                <w:szCs w:val="20"/>
              </w:rPr>
              <w:t xml:space="preserve">30/11/21 </w:t>
            </w:r>
            <w:r w:rsidRPr="00F16ABB">
              <w:rPr>
                <w:rFonts w:ascii="Arial" w:hAnsi="Arial" w:cs="Arial"/>
                <w:color w:val="000000"/>
                <w:sz w:val="18"/>
                <w:szCs w:val="18"/>
              </w:rPr>
              <w:t>3.30pm-5.00pm</w:t>
            </w:r>
          </w:p>
        </w:tc>
        <w:tc>
          <w:tcPr>
            <w:tcW w:w="1231" w:type="dxa"/>
          </w:tcPr>
          <w:p w:rsidR="00F16ABB" w:rsidRDefault="00F16ABB" w:rsidP="006C4186">
            <w:pPr>
              <w:rPr>
                <w:rFonts w:ascii="Arial" w:hAnsi="Arial" w:cs="Arial"/>
                <w:color w:val="000000"/>
                <w:sz w:val="22"/>
                <w:szCs w:val="22"/>
              </w:rPr>
            </w:pPr>
            <w:r>
              <w:rPr>
                <w:rFonts w:ascii="Arial" w:hAnsi="Arial" w:cs="Arial"/>
                <w:color w:val="000000"/>
                <w:sz w:val="22"/>
                <w:szCs w:val="22"/>
              </w:rPr>
              <w:t>£45</w:t>
            </w:r>
          </w:p>
        </w:tc>
      </w:tr>
    </w:tbl>
    <w:p w:rsidR="0028417C" w:rsidRPr="00D042CF" w:rsidRDefault="0028417C"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C73850">
        <w:tc>
          <w:tcPr>
            <w:tcW w:w="10562" w:type="dxa"/>
            <w:gridSpan w:val="2"/>
            <w:shd w:val="clear" w:color="auto" w:fill="auto"/>
          </w:tcPr>
          <w:p w:rsidR="00F16ABB" w:rsidRPr="009B6371" w:rsidRDefault="00F16ABB" w:rsidP="00C7385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C73850">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C73850">
            <w:pPr>
              <w:rPr>
                <w:rFonts w:ascii="Arial" w:hAnsi="Arial" w:cs="Arial"/>
                <w:color w:val="808080" w:themeColor="background1" w:themeShade="80"/>
              </w:rPr>
            </w:pPr>
          </w:p>
        </w:tc>
        <w:tc>
          <w:tcPr>
            <w:tcW w:w="8043" w:type="dxa"/>
            <w:shd w:val="clear" w:color="auto" w:fill="auto"/>
          </w:tcPr>
          <w:p w:rsidR="00F16ABB" w:rsidRPr="007E08F9" w:rsidRDefault="00F16ABB" w:rsidP="00C73850">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C73850">
            <w:pPr>
              <w:rPr>
                <w:rFonts w:ascii="Arial" w:hAnsi="Arial" w:cs="Arial"/>
                <w:color w:val="808080" w:themeColor="background1" w:themeShade="80"/>
              </w:rPr>
            </w:pPr>
          </w:p>
        </w:tc>
        <w:tc>
          <w:tcPr>
            <w:tcW w:w="8043" w:type="dxa"/>
            <w:shd w:val="clear" w:color="auto" w:fill="auto"/>
          </w:tcPr>
          <w:p w:rsidR="00F16ABB" w:rsidRPr="00F16ABB" w:rsidRDefault="00F16ABB" w:rsidP="00C73850">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C73850">
            <w:pPr>
              <w:rPr>
                <w:rFonts w:ascii="Arial" w:hAnsi="Arial" w:cs="Arial"/>
              </w:rPr>
            </w:pPr>
            <w:r>
              <w:rPr>
                <w:rFonts w:ascii="Arial" w:hAnsi="Arial" w:cs="Arial"/>
              </w:rPr>
              <w:t>Rachel Porter</w:t>
            </w:r>
          </w:p>
        </w:tc>
      </w:tr>
    </w:tbl>
    <w:p w:rsidR="00F61440" w:rsidRDefault="00F61440"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61440" w:rsidRDefault="00F61440"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043CE4" w:rsidTr="0087126A">
        <w:tc>
          <w:tcPr>
            <w:tcW w:w="1129" w:type="dxa"/>
          </w:tcPr>
          <w:p w:rsidR="00043CE4" w:rsidRDefault="00E76FEF" w:rsidP="00B0341F">
            <w:pPr>
              <w:jc w:val="center"/>
              <w:rPr>
                <w:rFonts w:ascii="Arial" w:hAnsi="Arial" w:cs="Arial"/>
                <w:color w:val="000000"/>
                <w:sz w:val="22"/>
                <w:szCs w:val="22"/>
              </w:rPr>
            </w:pPr>
            <w:r>
              <w:rPr>
                <w:rFonts w:ascii="Arial" w:hAnsi="Arial" w:cs="Arial"/>
                <w:color w:val="000000"/>
                <w:sz w:val="22"/>
                <w:szCs w:val="22"/>
              </w:rPr>
              <w:t>6</w:t>
            </w:r>
          </w:p>
        </w:tc>
        <w:tc>
          <w:tcPr>
            <w:tcW w:w="5817" w:type="dxa"/>
          </w:tcPr>
          <w:p w:rsidR="00043CE4" w:rsidRPr="00D96F0E" w:rsidRDefault="00043CE4">
            <w:pPr>
              <w:rPr>
                <w:rFonts w:ascii="Arial" w:hAnsi="Arial" w:cs="Arial"/>
                <w:sz w:val="22"/>
                <w:szCs w:val="22"/>
              </w:rPr>
            </w:pPr>
            <w:r>
              <w:rPr>
                <w:rFonts w:ascii="Arial" w:hAnsi="Arial" w:cs="Arial"/>
                <w:sz w:val="22"/>
                <w:szCs w:val="22"/>
              </w:rPr>
              <w:t>The Multi-Sensory Literacy (MSL) Course – 4 day course</w:t>
            </w:r>
            <w:r w:rsidR="00197142">
              <w:rPr>
                <w:rFonts w:ascii="Arial" w:hAnsi="Arial" w:cs="Arial"/>
                <w:sz w:val="22"/>
                <w:szCs w:val="22"/>
              </w:rPr>
              <w:t xml:space="preserve"> - Pilot</w:t>
            </w:r>
          </w:p>
        </w:tc>
        <w:tc>
          <w:tcPr>
            <w:tcW w:w="1665" w:type="dxa"/>
          </w:tcPr>
          <w:p w:rsidR="00043CE4" w:rsidRDefault="00043CE4">
            <w:pPr>
              <w:rPr>
                <w:rFonts w:ascii="Arial" w:hAnsi="Arial" w:cs="Arial"/>
                <w:sz w:val="20"/>
                <w:szCs w:val="20"/>
              </w:rPr>
            </w:pPr>
            <w:r>
              <w:rPr>
                <w:rFonts w:ascii="Arial" w:hAnsi="Arial" w:cs="Arial"/>
                <w:sz w:val="20"/>
                <w:szCs w:val="20"/>
              </w:rPr>
              <w:t>25/11/21</w:t>
            </w:r>
          </w:p>
          <w:p w:rsidR="00043CE4" w:rsidRPr="00043CE4" w:rsidRDefault="00043CE4">
            <w:pPr>
              <w:rPr>
                <w:rFonts w:ascii="Arial" w:hAnsi="Arial" w:cs="Arial"/>
                <w:sz w:val="18"/>
                <w:szCs w:val="18"/>
              </w:rPr>
            </w:pPr>
            <w:r w:rsidRPr="00043CE4">
              <w:rPr>
                <w:rFonts w:ascii="Arial" w:hAnsi="Arial" w:cs="Arial"/>
                <w:sz w:val="18"/>
                <w:szCs w:val="18"/>
              </w:rPr>
              <w:t>9am-12.30pm</w:t>
            </w:r>
          </w:p>
        </w:tc>
        <w:tc>
          <w:tcPr>
            <w:tcW w:w="1595" w:type="dxa"/>
          </w:tcPr>
          <w:p w:rsidR="00043CE4" w:rsidRPr="005E3FF2" w:rsidRDefault="00197142">
            <w:pPr>
              <w:rPr>
                <w:rFonts w:ascii="Arial" w:hAnsi="Arial" w:cs="Arial"/>
              </w:rPr>
            </w:pPr>
            <w:r>
              <w:rPr>
                <w:rFonts w:ascii="Arial" w:hAnsi="Arial" w:cs="Arial"/>
              </w:rPr>
              <w:t>FREE</w:t>
            </w:r>
          </w:p>
        </w:tc>
      </w:tr>
      <w:tr w:rsidR="00F46BF6" w:rsidTr="0087126A">
        <w:tc>
          <w:tcPr>
            <w:tcW w:w="1129" w:type="dxa"/>
          </w:tcPr>
          <w:p w:rsidR="00F46BF6" w:rsidRDefault="00E76FEF" w:rsidP="00B0341F">
            <w:pPr>
              <w:jc w:val="center"/>
              <w:rPr>
                <w:rFonts w:ascii="Arial" w:hAnsi="Arial" w:cs="Arial"/>
                <w:color w:val="000000"/>
                <w:sz w:val="22"/>
                <w:szCs w:val="22"/>
              </w:rPr>
            </w:pPr>
            <w:r>
              <w:rPr>
                <w:rFonts w:ascii="Arial" w:hAnsi="Arial" w:cs="Arial"/>
                <w:color w:val="000000"/>
                <w:sz w:val="22"/>
                <w:szCs w:val="22"/>
              </w:rPr>
              <w:t>7</w:t>
            </w:r>
          </w:p>
        </w:tc>
        <w:tc>
          <w:tcPr>
            <w:tcW w:w="5817" w:type="dxa"/>
          </w:tcPr>
          <w:p w:rsidR="00F46BF6" w:rsidRDefault="00F46BF6">
            <w:pPr>
              <w:rPr>
                <w:rFonts w:ascii="Arial" w:hAnsi="Arial" w:cs="Arial"/>
                <w:sz w:val="22"/>
                <w:szCs w:val="22"/>
              </w:rPr>
            </w:pPr>
            <w:r>
              <w:rPr>
                <w:rFonts w:ascii="Arial" w:hAnsi="Arial" w:cs="Arial"/>
                <w:sz w:val="22"/>
                <w:szCs w:val="22"/>
              </w:rPr>
              <w:t>Supporting pupils with Maths difficulties KS1-40 – 1 course 2 days</w:t>
            </w:r>
          </w:p>
        </w:tc>
        <w:tc>
          <w:tcPr>
            <w:tcW w:w="1665" w:type="dxa"/>
          </w:tcPr>
          <w:p w:rsidR="00F46BF6" w:rsidRDefault="00F46BF6">
            <w:pPr>
              <w:rPr>
                <w:rFonts w:ascii="Arial" w:hAnsi="Arial" w:cs="Arial"/>
                <w:sz w:val="20"/>
                <w:szCs w:val="20"/>
              </w:rPr>
            </w:pPr>
            <w:r>
              <w:rPr>
                <w:rFonts w:ascii="Arial" w:hAnsi="Arial" w:cs="Arial"/>
                <w:sz w:val="20"/>
                <w:szCs w:val="20"/>
              </w:rPr>
              <w:t>08/12/21</w:t>
            </w:r>
          </w:p>
          <w:p w:rsidR="00F46BF6" w:rsidRPr="00F46BF6" w:rsidRDefault="00F46BF6">
            <w:pPr>
              <w:rPr>
                <w:rFonts w:ascii="Arial" w:hAnsi="Arial" w:cs="Arial"/>
                <w:sz w:val="18"/>
                <w:szCs w:val="18"/>
              </w:rPr>
            </w:pPr>
            <w:r w:rsidRPr="00F46BF6">
              <w:rPr>
                <w:rFonts w:ascii="Arial" w:hAnsi="Arial" w:cs="Arial"/>
                <w:sz w:val="18"/>
                <w:szCs w:val="18"/>
              </w:rPr>
              <w:t>9am-11am</w:t>
            </w:r>
          </w:p>
        </w:tc>
        <w:tc>
          <w:tcPr>
            <w:tcW w:w="1595" w:type="dxa"/>
          </w:tcPr>
          <w:p w:rsidR="00F46BF6" w:rsidRDefault="00F46BF6">
            <w:pPr>
              <w:rPr>
                <w:rFonts w:ascii="Arial" w:hAnsi="Arial" w:cs="Arial"/>
              </w:rPr>
            </w:pPr>
            <w:r>
              <w:rPr>
                <w:rFonts w:ascii="Arial" w:hAnsi="Arial" w:cs="Arial"/>
              </w:rPr>
              <w:t>£120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43CE4" w:rsidRPr="009B6371" w:rsidTr="00C73850">
        <w:tc>
          <w:tcPr>
            <w:tcW w:w="10562" w:type="dxa"/>
            <w:gridSpan w:val="2"/>
            <w:shd w:val="clear" w:color="auto" w:fill="auto"/>
          </w:tcPr>
          <w:p w:rsidR="00043CE4" w:rsidRPr="009B6371" w:rsidRDefault="00043CE4" w:rsidP="00C73850">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43CE4" w:rsidRPr="001C1CE3"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43CE4" w:rsidRPr="001B777F" w:rsidRDefault="001B777F" w:rsidP="00C73850">
            <w:pPr>
              <w:rPr>
                <w:rFonts w:ascii="Arial" w:hAnsi="Arial" w:cs="Arial"/>
                <w:b/>
                <w:sz w:val="28"/>
                <w:szCs w:val="28"/>
              </w:rPr>
            </w:pPr>
            <w:r w:rsidRPr="001B777F">
              <w:rPr>
                <w:rFonts w:ascii="Arial" w:hAnsi="Arial" w:cs="Arial"/>
                <w:b/>
                <w:sz w:val="28"/>
                <w:szCs w:val="28"/>
              </w:rPr>
              <w:t>The Multi-Sensory Literacy (MSL) Course – 4 day course</w:t>
            </w:r>
          </w:p>
        </w:tc>
      </w:tr>
      <w:tr w:rsidR="00043CE4" w:rsidRPr="009C79F1"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43CE4" w:rsidRPr="007F6E27" w:rsidRDefault="00043CE4" w:rsidP="00C73850">
            <w:pPr>
              <w:rPr>
                <w:rFonts w:ascii="Arial" w:hAnsi="Arial" w:cs="Arial"/>
                <w:color w:val="808080" w:themeColor="background1" w:themeShade="80"/>
              </w:rPr>
            </w:pPr>
          </w:p>
        </w:tc>
        <w:tc>
          <w:tcPr>
            <w:tcW w:w="8043" w:type="dxa"/>
            <w:shd w:val="clear" w:color="auto" w:fill="auto"/>
          </w:tcPr>
          <w:p w:rsidR="00043CE4" w:rsidRPr="009D2F62" w:rsidRDefault="00043CE4" w:rsidP="00C73850">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46BF6" w:rsidRDefault="00043CE4" w:rsidP="00C73850">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043CE4" w:rsidRPr="009C79F1" w:rsidRDefault="00043CE4" w:rsidP="00C73850">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43CE4"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43CE4" w:rsidRDefault="00197142" w:rsidP="00197142">
            <w:pPr>
              <w:rPr>
                <w:rFonts w:ascii="Arial" w:hAnsi="Arial" w:cs="Arial"/>
              </w:rPr>
            </w:pPr>
            <w:r>
              <w:rPr>
                <w:rFonts w:ascii="Arial" w:hAnsi="Arial" w:cs="Arial"/>
              </w:rPr>
              <w:t>free</w:t>
            </w:r>
          </w:p>
        </w:tc>
      </w:tr>
      <w:tr w:rsidR="00043CE4" w:rsidRPr="007E08F9"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43CE4" w:rsidRPr="00043CE4" w:rsidRDefault="00043CE4" w:rsidP="00C73850">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043CE4" w:rsidRPr="007E08F9"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43CE4" w:rsidRPr="007E08F9" w:rsidRDefault="00043CE4" w:rsidP="00C73850">
            <w:pPr>
              <w:rPr>
                <w:rFonts w:ascii="Arial" w:hAnsi="Arial" w:cs="Arial"/>
              </w:rPr>
            </w:pPr>
            <w:r>
              <w:rPr>
                <w:rFonts w:ascii="Arial" w:hAnsi="Arial" w:cs="Arial"/>
              </w:rPr>
              <w:t>A Specialist Teacher</w:t>
            </w:r>
          </w:p>
        </w:tc>
      </w:tr>
    </w:tbl>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C73850">
        <w:tc>
          <w:tcPr>
            <w:tcW w:w="10562" w:type="dxa"/>
            <w:gridSpan w:val="2"/>
            <w:shd w:val="clear" w:color="auto" w:fill="auto"/>
          </w:tcPr>
          <w:p w:rsidR="00F46BF6" w:rsidRPr="009B6371" w:rsidRDefault="00F46BF6" w:rsidP="00C73850">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F46BF6" w:rsidRPr="001C1CE3"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C73850">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C73850">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C73850">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C73850">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A508A5">
            <w:pPr>
              <w:jc w:val="center"/>
              <w:rPr>
                <w:rFonts w:ascii="Arial" w:hAnsi="Arial" w:cs="Arial"/>
                <w:color w:val="000000"/>
                <w:sz w:val="22"/>
                <w:szCs w:val="22"/>
              </w:rPr>
            </w:pPr>
            <w:r>
              <w:rPr>
                <w:rFonts w:ascii="Arial" w:hAnsi="Arial" w:cs="Arial"/>
                <w:color w:val="000000"/>
                <w:sz w:val="22"/>
                <w:szCs w:val="22"/>
              </w:rPr>
              <w:t>1</w:t>
            </w:r>
            <w:r w:rsidR="00881F7C">
              <w:rPr>
                <w:rFonts w:ascii="Arial" w:hAnsi="Arial" w:cs="Arial"/>
                <w:color w:val="000000"/>
                <w:sz w:val="22"/>
                <w:szCs w:val="22"/>
              </w:rPr>
              <w:t>5</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763D4C" w:rsidRDefault="005E3FF2" w:rsidP="00A508A5">
            <w:pPr>
              <w:rPr>
                <w:rFonts w:ascii="Arial" w:hAnsi="Arial" w:cs="Arial"/>
                <w:sz w:val="18"/>
                <w:szCs w:val="18"/>
              </w:rPr>
            </w:pPr>
            <w:r>
              <w:rPr>
                <w:rFonts w:ascii="Arial" w:hAnsi="Arial" w:cs="Arial"/>
                <w:sz w:val="22"/>
                <w:szCs w:val="22"/>
              </w:rPr>
              <w:t>13/12/</w:t>
            </w:r>
            <w:r w:rsidR="00A508A5" w:rsidRPr="002354E5">
              <w:rPr>
                <w:rFonts w:ascii="Arial" w:hAnsi="Arial" w:cs="Arial"/>
                <w:sz w:val="22"/>
                <w:szCs w:val="22"/>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881F7C" w:rsidP="00A508A5">
            <w:pPr>
              <w:jc w:val="center"/>
              <w:rPr>
                <w:rFonts w:ascii="Arial" w:hAnsi="Arial" w:cs="Arial"/>
                <w:color w:val="000000"/>
                <w:sz w:val="22"/>
                <w:szCs w:val="22"/>
              </w:rPr>
            </w:pPr>
            <w:r>
              <w:rPr>
                <w:rFonts w:ascii="Arial" w:hAnsi="Arial" w:cs="Arial"/>
                <w:color w:val="000000"/>
                <w:sz w:val="22"/>
                <w:szCs w:val="22"/>
              </w:rPr>
              <w:t>16</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Default="005E3FF2"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13/12/</w:t>
            </w:r>
            <w:r w:rsidR="00A508A5" w:rsidRPr="002354E5">
              <w:rPr>
                <w:rFonts w:ascii="Arial" w:hAnsi="Arial" w:cs="Arial"/>
                <w:sz w:val="22"/>
                <w:szCs w:val="22"/>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881F7C">
              <w:rPr>
                <w:rFonts w:ascii="Arial" w:hAnsi="Arial" w:cs="Arial"/>
                <w:color w:val="000000"/>
                <w:sz w:val="22"/>
                <w:szCs w:val="22"/>
              </w:rPr>
              <w:t>6</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B94217" w:rsidRDefault="004A67F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TBA</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Pr="00317CED"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B0341F" w:rsidRPr="00317CED"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E7" w:rsidRDefault="00B425E7">
      <w:r>
        <w:separator/>
      </w:r>
    </w:p>
  </w:endnote>
  <w:endnote w:type="continuationSeparator" w:id="0">
    <w:p w:rsidR="00B425E7" w:rsidRDefault="00B4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E7" w:rsidRDefault="00B425E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7F1E4F">
      <w:rPr>
        <w:rStyle w:val="PageNumber"/>
        <w:rFonts w:ascii="Arial" w:hAnsi="Arial" w:cs="Arial"/>
        <w:noProof/>
        <w:sz w:val="20"/>
        <w:szCs w:val="20"/>
      </w:rPr>
      <w:t>9</w:t>
    </w:r>
    <w:r w:rsidRPr="00B15E27">
      <w:rPr>
        <w:rStyle w:val="PageNumber"/>
        <w:rFonts w:ascii="Arial" w:hAnsi="Arial" w:cs="Arial"/>
        <w:sz w:val="20"/>
        <w:szCs w:val="20"/>
      </w:rPr>
      <w:fldChar w:fldCharType="end"/>
    </w:r>
    <w:r w:rsidR="00317CED">
      <w:rPr>
        <w:rStyle w:val="PageNumber"/>
        <w:rFonts w:ascii="Arial" w:hAnsi="Arial" w:cs="Arial"/>
        <w:sz w:val="20"/>
        <w:szCs w:val="20"/>
      </w:rPr>
      <w:t xml:space="preserve"> of 9</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20/21   </w:t>
    </w:r>
    <w:r>
      <w:rPr>
        <w:rStyle w:val="PageNumber"/>
        <w:rFonts w:ascii="Arial" w:hAnsi="Arial" w:cs="Arial"/>
        <w:sz w:val="20"/>
        <w:szCs w:val="20"/>
      </w:rPr>
      <w:t xml:space="preserve">Version </w:t>
    </w:r>
    <w:r w:rsidR="00317CED">
      <w:rPr>
        <w:rStyle w:val="PageNumber"/>
        <w:rFonts w:ascii="Arial" w:hAnsi="Arial" w:cs="Arial"/>
        <w:sz w:val="20"/>
        <w:szCs w:val="20"/>
      </w:rPr>
      <w:t>12.11</w:t>
    </w:r>
    <w:r>
      <w:rPr>
        <w:rStyle w:val="PageNumbe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E7" w:rsidRDefault="00B425E7">
      <w:r>
        <w:separator/>
      </w:r>
    </w:p>
  </w:footnote>
  <w:footnote w:type="continuationSeparator" w:id="0">
    <w:p w:rsidR="00B425E7" w:rsidRDefault="00B425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E7" w:rsidRDefault="00B425E7"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425E7" w:rsidTr="00EE3E9F">
      <w:tc>
        <w:tcPr>
          <w:tcW w:w="3353" w:type="dxa"/>
        </w:tcPr>
        <w:p w:rsidR="00B425E7" w:rsidRPr="00E166CF" w:rsidRDefault="00B425E7"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B425E7" w:rsidRPr="00E166CF" w:rsidRDefault="00B425E7"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B425E7" w:rsidRPr="00E166CF" w:rsidRDefault="00B425E7"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B425E7" w:rsidRDefault="00B425E7" w:rsidP="00E166CF">
          <w:pPr>
            <w:pStyle w:val="Header"/>
          </w:pPr>
          <w:r w:rsidRPr="00E166CF">
            <w:rPr>
              <w:rFonts w:asciiTheme="majorHAnsi" w:hAnsiTheme="majorHAnsi"/>
              <w:sz w:val="16"/>
              <w:szCs w:val="16"/>
            </w:rPr>
            <w:t>Princes Way, Bradford, BD1 1NN</w:t>
          </w:r>
        </w:p>
      </w:tc>
      <w:tc>
        <w:tcPr>
          <w:tcW w:w="3168" w:type="dxa"/>
        </w:tcPr>
        <w:p w:rsidR="00B425E7" w:rsidRDefault="00B425E7"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B425E7" w:rsidRDefault="00B425E7"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425E7" w:rsidRPr="00BA41BD" w:rsidRDefault="00B425E7"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1"/>
  </w:num>
  <w:num w:numId="4">
    <w:abstractNumId w:val="18"/>
  </w:num>
  <w:num w:numId="5">
    <w:abstractNumId w:val="9"/>
  </w:num>
  <w:num w:numId="6">
    <w:abstractNumId w:val="14"/>
  </w:num>
  <w:num w:numId="7">
    <w:abstractNumId w:val="15"/>
  </w:num>
  <w:num w:numId="8">
    <w:abstractNumId w:val="12"/>
  </w:num>
  <w:num w:numId="9">
    <w:abstractNumId w:val="3"/>
  </w:num>
  <w:num w:numId="10">
    <w:abstractNumId w:val="26"/>
  </w:num>
  <w:num w:numId="11">
    <w:abstractNumId w:val="16"/>
  </w:num>
  <w:num w:numId="12">
    <w:abstractNumId w:val="6"/>
  </w:num>
  <w:num w:numId="13">
    <w:abstractNumId w:val="7"/>
  </w:num>
  <w:num w:numId="14">
    <w:abstractNumId w:val="11"/>
  </w:num>
  <w:num w:numId="15">
    <w:abstractNumId w:val="25"/>
  </w:num>
  <w:num w:numId="16">
    <w:abstractNumId w:val="10"/>
  </w:num>
  <w:num w:numId="17">
    <w:abstractNumId w:val="20"/>
  </w:num>
  <w:num w:numId="18">
    <w:abstractNumId w:val="22"/>
  </w:num>
  <w:num w:numId="19">
    <w:abstractNumId w:val="19"/>
  </w:num>
  <w:num w:numId="20">
    <w:abstractNumId w:val="4"/>
  </w:num>
  <w:num w:numId="21">
    <w:abstractNumId w:val="23"/>
  </w:num>
  <w:num w:numId="22">
    <w:abstractNumId w:val="13"/>
  </w:num>
  <w:num w:numId="23">
    <w:abstractNumId w:val="17"/>
  </w:num>
  <w:num w:numId="24">
    <w:abstractNumId w:val="24"/>
  </w:num>
  <w:num w:numId="25">
    <w:abstractNumId w:val="8"/>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285A"/>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97142"/>
    <w:rsid w:val="001A1E3E"/>
    <w:rsid w:val="001B0ABF"/>
    <w:rsid w:val="001B777F"/>
    <w:rsid w:val="001B7E6C"/>
    <w:rsid w:val="001C3A88"/>
    <w:rsid w:val="001D03D2"/>
    <w:rsid w:val="001D04E3"/>
    <w:rsid w:val="001D3BA9"/>
    <w:rsid w:val="001D4162"/>
    <w:rsid w:val="001D4A58"/>
    <w:rsid w:val="001D4F9B"/>
    <w:rsid w:val="001D5D4D"/>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0707"/>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1E4F"/>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AF6512"/>
    <w:rsid w:val="00B013AB"/>
    <w:rsid w:val="00B02867"/>
    <w:rsid w:val="00B0341F"/>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76FEF"/>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4D429CA"/>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519E-94FE-429B-90C6-B2DC7BD8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1715</Words>
  <Characters>10240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79</cp:revision>
  <cp:lastPrinted>2018-10-03T13:20:00Z</cp:lastPrinted>
  <dcterms:created xsi:type="dcterms:W3CDTF">2021-02-05T09:23:00Z</dcterms:created>
  <dcterms:modified xsi:type="dcterms:W3CDTF">2021-11-12T08:19:00Z</dcterms:modified>
</cp:coreProperties>
</file>