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E45423">
      <w:pPr>
        <w:rPr>
          <w:b/>
          <w:bCs/>
          <w:sz w:val="28"/>
          <w:szCs w:val="28"/>
          <w:u w:val="single"/>
        </w:rPr>
      </w:pPr>
    </w:p>
    <w:p w:rsidR="00A82907" w:rsidRPr="0065342F" w:rsidRDefault="00A82907" w:rsidP="0065342F">
      <w:pPr>
        <w:jc w:val="center"/>
        <w:rPr>
          <w:sz w:val="28"/>
          <w:szCs w:val="28"/>
        </w:rPr>
      </w:pPr>
      <w:r>
        <w:rPr>
          <w:b/>
          <w:bCs/>
          <w:sz w:val="28"/>
          <w:szCs w:val="28"/>
          <w:u w:val="single"/>
        </w:rPr>
        <w:t>CONSULTATION &amp; INFORMATION ON PRIMARY &amp;</w:t>
      </w:r>
      <w:r w:rsidR="00BE1C46">
        <w:rPr>
          <w:b/>
          <w:bCs/>
          <w:sz w:val="28"/>
          <w:szCs w:val="28"/>
          <w:u w:val="single"/>
        </w:rPr>
        <w:t xml:space="preserve"> SECONDARY FUNDING FORMULA</w:t>
      </w:r>
      <w:r w:rsidR="002E52C9">
        <w:rPr>
          <w:b/>
          <w:bCs/>
          <w:sz w:val="28"/>
          <w:szCs w:val="28"/>
          <w:u w:val="single"/>
        </w:rPr>
        <w:t xml:space="preserve"> 2018/19</w:t>
      </w:r>
      <w:r>
        <w:rPr>
          <w:b/>
          <w:bCs/>
          <w:sz w:val="28"/>
          <w:szCs w:val="28"/>
          <w:u w:val="single"/>
        </w:rPr>
        <w:t xml:space="preserve"> FINANCIAL YEAR</w:t>
      </w:r>
    </w:p>
    <w:p w:rsidR="00AA5E6D" w:rsidRDefault="00AA5E6D"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rsidR="00A82907" w:rsidRDefault="00A82907" w:rsidP="000F069A">
      <w:pPr>
        <w:jc w:val="both"/>
        <w:rPr>
          <w:sz w:val="22"/>
          <w:szCs w:val="22"/>
        </w:rPr>
      </w:pPr>
    </w:p>
    <w:p w:rsidR="00DB2DFE" w:rsidRDefault="005A11D4" w:rsidP="008D16B2">
      <w:pPr>
        <w:pStyle w:val="ListParagraph"/>
        <w:numPr>
          <w:ilvl w:val="1"/>
          <w:numId w:val="21"/>
        </w:numPr>
        <w:jc w:val="both"/>
        <w:rPr>
          <w:bCs/>
          <w:sz w:val="22"/>
          <w:szCs w:val="22"/>
        </w:rPr>
      </w:pPr>
      <w:r w:rsidRPr="00533778">
        <w:rPr>
          <w:bCs/>
          <w:sz w:val="22"/>
          <w:szCs w:val="22"/>
        </w:rPr>
        <w:t>This document sets ou</w:t>
      </w:r>
      <w:r w:rsidR="00533778" w:rsidRPr="00533778">
        <w:rPr>
          <w:bCs/>
          <w:sz w:val="22"/>
          <w:szCs w:val="22"/>
        </w:rPr>
        <w:t>t the Authority’s proposals for:</w:t>
      </w:r>
    </w:p>
    <w:p w:rsidR="00DB2DFE" w:rsidRDefault="00DB2DFE" w:rsidP="00DB2DFE">
      <w:pPr>
        <w:pStyle w:val="ListParagraph"/>
        <w:ind w:left="360"/>
        <w:jc w:val="both"/>
        <w:rPr>
          <w:bCs/>
          <w:sz w:val="22"/>
          <w:szCs w:val="22"/>
        </w:rPr>
      </w:pPr>
    </w:p>
    <w:p w:rsidR="00533778" w:rsidRDefault="00533778" w:rsidP="008D16B2">
      <w:pPr>
        <w:pStyle w:val="ListParagraph"/>
        <w:numPr>
          <w:ilvl w:val="0"/>
          <w:numId w:val="20"/>
        </w:numPr>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B84783">
        <w:rPr>
          <w:sz w:val="22"/>
          <w:szCs w:val="22"/>
        </w:rPr>
        <w:t xml:space="preserve"> (pre-16)</w:t>
      </w:r>
      <w:r w:rsidR="005A11D4" w:rsidRPr="00DB2DFE">
        <w:rPr>
          <w:sz w:val="22"/>
          <w:szCs w:val="22"/>
        </w:rPr>
        <w:t xml:space="preserve"> schools and academies</w:t>
      </w:r>
      <w:r w:rsidRPr="00DB2DFE">
        <w:rPr>
          <w:sz w:val="22"/>
          <w:szCs w:val="22"/>
        </w:rPr>
        <w:t xml:space="preserve"> in Bradford</w:t>
      </w:r>
      <w:r w:rsidR="00116EDE" w:rsidRPr="00DB2DFE">
        <w:rPr>
          <w:sz w:val="22"/>
          <w:szCs w:val="22"/>
        </w:rPr>
        <w:t xml:space="preserve"> for the 2018/19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 proposals is given in paragraph 2.</w:t>
      </w:r>
    </w:p>
    <w:p w:rsidR="00DB2DFE" w:rsidRPr="00DB2DFE" w:rsidRDefault="00DB2DFE" w:rsidP="00DB2DFE">
      <w:pPr>
        <w:pStyle w:val="ListParagraph"/>
        <w:jc w:val="both"/>
        <w:rPr>
          <w:sz w:val="22"/>
          <w:szCs w:val="22"/>
        </w:rPr>
      </w:pPr>
    </w:p>
    <w:p w:rsidR="00533778" w:rsidRPr="00DB2DFE" w:rsidRDefault="00533778" w:rsidP="008D16B2">
      <w:pPr>
        <w:pStyle w:val="ListParagraph"/>
        <w:numPr>
          <w:ilvl w:val="0"/>
          <w:numId w:val="20"/>
        </w:numPr>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centrally retained funds within the Schools Block of the Dedicated Schools Grant</w:t>
      </w:r>
      <w:r w:rsidRPr="00DB2DFE">
        <w:rPr>
          <w:sz w:val="22"/>
          <w:szCs w:val="22"/>
        </w:rPr>
        <w:t xml:space="preserve"> (DSG), including from the Growth Fund</w:t>
      </w:r>
      <w:r w:rsidR="00116EDE" w:rsidRPr="00DB2DFE">
        <w:rPr>
          <w:sz w:val="22"/>
          <w:szCs w:val="22"/>
        </w:rPr>
        <w:t xml:space="preserve">. </w:t>
      </w:r>
    </w:p>
    <w:p w:rsidR="00533778" w:rsidRDefault="00533778" w:rsidP="00533778">
      <w:pPr>
        <w:pStyle w:val="ListParagraph"/>
        <w:jc w:val="both"/>
        <w:rPr>
          <w:bCs/>
          <w:sz w:val="22"/>
          <w:szCs w:val="22"/>
        </w:rPr>
      </w:pPr>
    </w:p>
    <w:p w:rsidR="005A11D4" w:rsidRDefault="009E75B1" w:rsidP="009E75B1">
      <w:pPr>
        <w:jc w:val="both"/>
        <w:rPr>
          <w:bCs/>
          <w:sz w:val="22"/>
          <w:szCs w:val="22"/>
        </w:rPr>
      </w:pPr>
      <w:r>
        <w:rPr>
          <w:bCs/>
          <w:sz w:val="22"/>
          <w:szCs w:val="22"/>
        </w:rPr>
        <w:t xml:space="preserve">1.2 </w:t>
      </w:r>
      <w:r w:rsidR="00116EDE" w:rsidRPr="009E75B1">
        <w:rPr>
          <w:bCs/>
          <w:sz w:val="22"/>
          <w:szCs w:val="22"/>
        </w:rPr>
        <w:t>This document also asks for feedback</w:t>
      </w:r>
      <w:r w:rsidR="00CD6FEE" w:rsidRPr="009E75B1">
        <w:rPr>
          <w:bCs/>
          <w:sz w:val="22"/>
          <w:szCs w:val="22"/>
        </w:rPr>
        <w:t>, for consideration by Bradford’s Schools Forum,</w:t>
      </w:r>
      <w:r w:rsidR="00116EDE" w:rsidRPr="009E75B1">
        <w:rPr>
          <w:bCs/>
          <w:sz w:val="22"/>
          <w:szCs w:val="22"/>
        </w:rPr>
        <w:t xml:space="preserve"> on the continuation</w:t>
      </w:r>
      <w:r w:rsidR="00993A67" w:rsidRPr="009E75B1">
        <w:rPr>
          <w:bCs/>
          <w:sz w:val="22"/>
          <w:szCs w:val="22"/>
        </w:rPr>
        <w:t xml:space="preserve"> </w:t>
      </w:r>
      <w:r w:rsidR="00533778" w:rsidRPr="009E75B1">
        <w:rPr>
          <w:bCs/>
          <w:sz w:val="22"/>
          <w:szCs w:val="22"/>
        </w:rPr>
        <w:t>for the 2018/19 financial year</w:t>
      </w:r>
      <w:r w:rsidR="00116EDE" w:rsidRPr="009E75B1">
        <w:rPr>
          <w:bCs/>
          <w:sz w:val="22"/>
          <w:szCs w:val="22"/>
        </w:rPr>
        <w:t xml:space="preserve"> of funds de-delegated from maintaine</w:t>
      </w:r>
      <w:r w:rsidR="00533778" w:rsidRPr="009E75B1">
        <w:rPr>
          <w:bCs/>
          <w:sz w:val="22"/>
          <w:szCs w:val="22"/>
        </w:rPr>
        <w:t xml:space="preserve">d primary and secondary </w:t>
      </w:r>
      <w:r w:rsidR="00CD6FEE" w:rsidRPr="009E75B1">
        <w:rPr>
          <w:bCs/>
          <w:sz w:val="22"/>
          <w:szCs w:val="22"/>
        </w:rPr>
        <w:t>schools.</w:t>
      </w:r>
    </w:p>
    <w:p w:rsidR="007E0957" w:rsidRDefault="007E0957" w:rsidP="009E75B1">
      <w:pPr>
        <w:jc w:val="both"/>
        <w:rPr>
          <w:bCs/>
          <w:sz w:val="22"/>
          <w:szCs w:val="22"/>
        </w:rPr>
      </w:pPr>
    </w:p>
    <w:p w:rsidR="00757744" w:rsidRDefault="00757744" w:rsidP="009E75B1">
      <w:pPr>
        <w:jc w:val="both"/>
        <w:rPr>
          <w:bCs/>
          <w:sz w:val="22"/>
          <w:szCs w:val="22"/>
        </w:rPr>
      </w:pPr>
      <w:r>
        <w:rPr>
          <w:bCs/>
          <w:sz w:val="22"/>
          <w:szCs w:val="22"/>
        </w:rPr>
        <w:t>1.3</w:t>
      </w:r>
      <w:r w:rsidRPr="00757744">
        <w:rPr>
          <w:bCs/>
          <w:sz w:val="22"/>
          <w:szCs w:val="22"/>
        </w:rPr>
        <w:t xml:space="preserve"> The deadline for responses to this consultation is </w:t>
      </w:r>
      <w:r w:rsidR="00F611DB" w:rsidRPr="00F611DB">
        <w:rPr>
          <w:b/>
          <w:bCs/>
          <w:sz w:val="22"/>
          <w:szCs w:val="22"/>
        </w:rPr>
        <w:t>Monday 4 December 2017</w:t>
      </w:r>
      <w:r w:rsidRPr="00757744">
        <w:rPr>
          <w:bCs/>
          <w:sz w:val="22"/>
          <w:szCs w:val="22"/>
        </w:rPr>
        <w:t xml:space="preserve">. An analysis of responses received </w:t>
      </w:r>
      <w:r w:rsidR="00F611DB">
        <w:rPr>
          <w:bCs/>
          <w:sz w:val="22"/>
          <w:szCs w:val="22"/>
        </w:rPr>
        <w:t xml:space="preserve">will </w:t>
      </w:r>
      <w:r w:rsidRPr="00757744">
        <w:rPr>
          <w:bCs/>
          <w:sz w:val="22"/>
          <w:szCs w:val="22"/>
        </w:rPr>
        <w:t>be discussed at the Schools Forum meeting</w:t>
      </w:r>
      <w:r w:rsidR="00F611DB">
        <w:rPr>
          <w:bCs/>
          <w:sz w:val="22"/>
          <w:szCs w:val="22"/>
        </w:rPr>
        <w:t xml:space="preserve"> on 6 December</w:t>
      </w:r>
      <w:r w:rsidRPr="00757744">
        <w:rPr>
          <w:bCs/>
          <w:sz w:val="22"/>
          <w:szCs w:val="22"/>
        </w:rPr>
        <w:t xml:space="preserve">. Please address all questions and responses to Andrew Redding 01274 432678 </w:t>
      </w:r>
      <w:hyperlink r:id="rId9" w:history="1">
        <w:r w:rsidRPr="00757744">
          <w:rPr>
            <w:bCs/>
            <w:sz w:val="22"/>
            <w:szCs w:val="22"/>
          </w:rPr>
          <w:t>andrew.redding@bradford.gov.uk</w:t>
        </w:r>
      </w:hyperlink>
      <w:r w:rsidRPr="00757744">
        <w:rPr>
          <w:bCs/>
          <w:sz w:val="22"/>
          <w:szCs w:val="22"/>
        </w:rPr>
        <w:t>. A respons</w:t>
      </w:r>
      <w:r w:rsidR="006F390A">
        <w:rPr>
          <w:bCs/>
          <w:sz w:val="22"/>
          <w:szCs w:val="22"/>
        </w:rPr>
        <w:t xml:space="preserve">e form is included at </w:t>
      </w:r>
      <w:r w:rsidR="006F390A" w:rsidRPr="00DF7A27">
        <w:rPr>
          <w:bCs/>
          <w:color w:val="000000" w:themeColor="text1"/>
          <w:sz w:val="22"/>
          <w:szCs w:val="22"/>
        </w:rPr>
        <w:t xml:space="preserve">Appendix </w:t>
      </w:r>
      <w:r w:rsidR="00CF55F0" w:rsidRPr="00DF7A27">
        <w:rPr>
          <w:bCs/>
          <w:color w:val="000000" w:themeColor="text1"/>
          <w:sz w:val="22"/>
          <w:szCs w:val="22"/>
        </w:rPr>
        <w:t>4</w:t>
      </w:r>
      <w:r w:rsidR="00F611DB" w:rsidRPr="00DF7A27">
        <w:rPr>
          <w:bCs/>
          <w:color w:val="000000" w:themeColor="text1"/>
          <w:sz w:val="22"/>
          <w:szCs w:val="22"/>
        </w:rPr>
        <w:t>.</w:t>
      </w:r>
    </w:p>
    <w:p w:rsidR="00D557AF" w:rsidRDefault="00D557AF" w:rsidP="009E75B1">
      <w:pPr>
        <w:jc w:val="both"/>
        <w:rPr>
          <w:bCs/>
          <w:sz w:val="22"/>
          <w:szCs w:val="22"/>
        </w:rPr>
      </w:pPr>
    </w:p>
    <w:p w:rsidR="00D557AF" w:rsidRDefault="00025B51" w:rsidP="009E75B1">
      <w:pPr>
        <w:jc w:val="both"/>
        <w:rPr>
          <w:bCs/>
          <w:color w:val="FF0000"/>
          <w:sz w:val="22"/>
          <w:szCs w:val="22"/>
        </w:rPr>
      </w:pPr>
      <w:r w:rsidRPr="00042E2E">
        <w:rPr>
          <w:bCs/>
          <w:sz w:val="22"/>
          <w:szCs w:val="22"/>
        </w:rPr>
        <w:t>1.4 Two simple</w:t>
      </w:r>
      <w:r w:rsidR="00D557AF" w:rsidRPr="00042E2E">
        <w:rPr>
          <w:bCs/>
          <w:sz w:val="22"/>
          <w:szCs w:val="22"/>
        </w:rPr>
        <w:t xml:space="preserve"> ‘</w:t>
      </w:r>
      <w:r w:rsidR="00C618C5" w:rsidRPr="00042E2E">
        <w:rPr>
          <w:bCs/>
          <w:sz w:val="22"/>
          <w:szCs w:val="22"/>
        </w:rPr>
        <w:t>road show</w:t>
      </w:r>
      <w:r w:rsidR="00D557AF" w:rsidRPr="00042E2E">
        <w:rPr>
          <w:bCs/>
          <w:sz w:val="22"/>
          <w:szCs w:val="22"/>
        </w:rPr>
        <w:t>’ events have been arranged to give colleagues</w:t>
      </w:r>
      <w:bookmarkStart w:id="0" w:name="_GoBack"/>
      <w:bookmarkEnd w:id="0"/>
      <w:r w:rsidR="00D557AF" w:rsidRPr="00042E2E">
        <w:rPr>
          <w:bCs/>
          <w:sz w:val="22"/>
          <w:szCs w:val="22"/>
        </w:rPr>
        <w:t xml:space="preserve"> the opportunity to listen to the proposals and to ask questions and give feedback directly. Please email </w:t>
      </w:r>
      <w:hyperlink r:id="rId10" w:history="1">
        <w:r w:rsidR="00D557AF" w:rsidRPr="00753D25">
          <w:rPr>
            <w:rStyle w:val="Hyperlink"/>
            <w:bCs/>
            <w:sz w:val="22"/>
            <w:szCs w:val="22"/>
          </w:rPr>
          <w:t>andrew.redding@bradford.gov.uk</w:t>
        </w:r>
      </w:hyperlink>
      <w:r w:rsidR="00D557AF">
        <w:rPr>
          <w:bCs/>
          <w:color w:val="FF0000"/>
          <w:sz w:val="22"/>
          <w:szCs w:val="22"/>
        </w:rPr>
        <w:t xml:space="preserve"> </w:t>
      </w:r>
      <w:r w:rsidR="00D557AF" w:rsidRPr="00042E2E">
        <w:rPr>
          <w:bCs/>
          <w:sz w:val="22"/>
          <w:szCs w:val="22"/>
        </w:rPr>
        <w:t>to book onto one of the following events:</w:t>
      </w:r>
    </w:p>
    <w:p w:rsidR="00D557AF" w:rsidRPr="00042E2E" w:rsidRDefault="00D557AF" w:rsidP="009E75B1">
      <w:pPr>
        <w:jc w:val="both"/>
        <w:rPr>
          <w:bCs/>
          <w:sz w:val="22"/>
          <w:szCs w:val="22"/>
        </w:rPr>
      </w:pPr>
    </w:p>
    <w:p w:rsidR="00D557AF" w:rsidRPr="00042E2E" w:rsidRDefault="00863B4A" w:rsidP="008D16B2">
      <w:pPr>
        <w:pStyle w:val="ListParagraph"/>
        <w:numPr>
          <w:ilvl w:val="0"/>
          <w:numId w:val="26"/>
        </w:numPr>
        <w:jc w:val="both"/>
        <w:rPr>
          <w:bCs/>
          <w:sz w:val="22"/>
          <w:szCs w:val="22"/>
        </w:rPr>
      </w:pPr>
      <w:r w:rsidRPr="00042E2E">
        <w:rPr>
          <w:bCs/>
          <w:sz w:val="22"/>
          <w:szCs w:val="22"/>
        </w:rPr>
        <w:t xml:space="preserve">Monday 13 November, 1:30pm – </w:t>
      </w:r>
      <w:r w:rsidR="00042E2E">
        <w:rPr>
          <w:bCs/>
          <w:sz w:val="22"/>
          <w:szCs w:val="22"/>
        </w:rPr>
        <w:t>3:30pm, Margaret McMillan Towers</w:t>
      </w:r>
    </w:p>
    <w:p w:rsidR="00863B4A" w:rsidRPr="00042E2E" w:rsidRDefault="00863B4A" w:rsidP="00863B4A">
      <w:pPr>
        <w:pStyle w:val="ListParagraph"/>
        <w:jc w:val="both"/>
        <w:rPr>
          <w:bCs/>
          <w:sz w:val="22"/>
          <w:szCs w:val="22"/>
        </w:rPr>
      </w:pPr>
    </w:p>
    <w:p w:rsidR="00863B4A" w:rsidRPr="00042E2E" w:rsidRDefault="00863B4A" w:rsidP="008D16B2">
      <w:pPr>
        <w:pStyle w:val="ListParagraph"/>
        <w:numPr>
          <w:ilvl w:val="0"/>
          <w:numId w:val="26"/>
        </w:numPr>
        <w:jc w:val="both"/>
        <w:rPr>
          <w:bCs/>
          <w:sz w:val="22"/>
          <w:szCs w:val="22"/>
        </w:rPr>
      </w:pPr>
      <w:r w:rsidRPr="00042E2E">
        <w:rPr>
          <w:bCs/>
          <w:sz w:val="22"/>
          <w:szCs w:val="22"/>
        </w:rPr>
        <w:t>Thursday 23 November, 1:30pm – 3:30pm, Margaret McMillan Towers</w:t>
      </w:r>
    </w:p>
    <w:p w:rsidR="00757744" w:rsidRDefault="00757744" w:rsidP="009E75B1">
      <w:pPr>
        <w:jc w:val="both"/>
        <w:rPr>
          <w:bCs/>
          <w:sz w:val="22"/>
          <w:szCs w:val="22"/>
        </w:rPr>
      </w:pPr>
    </w:p>
    <w:p w:rsidR="007E0957" w:rsidRDefault="00D557AF" w:rsidP="009E75B1">
      <w:pPr>
        <w:jc w:val="both"/>
        <w:rPr>
          <w:bCs/>
          <w:sz w:val="22"/>
          <w:szCs w:val="22"/>
        </w:rPr>
      </w:pPr>
      <w:r>
        <w:rPr>
          <w:bCs/>
          <w:sz w:val="22"/>
          <w:szCs w:val="22"/>
        </w:rPr>
        <w:t>1.5</w:t>
      </w:r>
      <w:r w:rsidR="007E0957">
        <w:rPr>
          <w:bCs/>
          <w:sz w:val="22"/>
          <w:szCs w:val="22"/>
        </w:rPr>
        <w:t xml:space="preserve"> Please note that separate consultation document</w:t>
      </w:r>
      <w:r w:rsidR="00E13396">
        <w:rPr>
          <w:bCs/>
          <w:sz w:val="22"/>
          <w:szCs w:val="22"/>
        </w:rPr>
        <w:t xml:space="preserve">s, </w:t>
      </w:r>
      <w:r w:rsidR="007E0957">
        <w:rPr>
          <w:bCs/>
          <w:sz w:val="22"/>
          <w:szCs w:val="22"/>
        </w:rPr>
        <w:t>on Early Years and High Needs Block funding for 2018</w:t>
      </w:r>
      <w:r w:rsidR="00757744">
        <w:rPr>
          <w:bCs/>
          <w:sz w:val="22"/>
          <w:szCs w:val="22"/>
        </w:rPr>
        <w:t>/</w:t>
      </w:r>
      <w:r w:rsidR="007E0957">
        <w:rPr>
          <w:bCs/>
          <w:sz w:val="22"/>
          <w:szCs w:val="22"/>
        </w:rPr>
        <w:t>19</w:t>
      </w:r>
      <w:r w:rsidR="00E13396">
        <w:rPr>
          <w:bCs/>
          <w:sz w:val="22"/>
          <w:szCs w:val="22"/>
        </w:rPr>
        <w:t>, are published on Bradford Schools Online</w:t>
      </w:r>
      <w:r w:rsidR="007E0957">
        <w:rPr>
          <w:bCs/>
          <w:sz w:val="22"/>
          <w:szCs w:val="22"/>
        </w:rPr>
        <w:t xml:space="preserve">. These consultations can be accessed </w:t>
      </w:r>
      <w:hyperlink r:id="rId11" w:history="1">
        <w:r w:rsidR="007E0957" w:rsidRPr="007E0957">
          <w:rPr>
            <w:rStyle w:val="Hyperlink"/>
            <w:bCs/>
            <w:sz w:val="22"/>
            <w:szCs w:val="22"/>
          </w:rPr>
          <w:t>here</w:t>
        </w:r>
      </w:hyperlink>
      <w:r w:rsidR="007E0957">
        <w:rPr>
          <w:bCs/>
          <w:sz w:val="22"/>
          <w:szCs w:val="22"/>
        </w:rPr>
        <w:t>.</w:t>
      </w:r>
    </w:p>
    <w:p w:rsidR="005A11D4" w:rsidRDefault="005A11D4" w:rsidP="00F84E9C">
      <w:pPr>
        <w:jc w:val="both"/>
        <w:rPr>
          <w:bCs/>
          <w:sz w:val="22"/>
          <w:szCs w:val="22"/>
        </w:rPr>
      </w:pPr>
    </w:p>
    <w:p w:rsidR="009E75B1" w:rsidRPr="00E760A0" w:rsidRDefault="009E75B1" w:rsidP="00E760A0">
      <w:pPr>
        <w:jc w:val="both"/>
        <w:rPr>
          <w:sz w:val="22"/>
          <w:szCs w:val="22"/>
        </w:rPr>
      </w:pPr>
      <w:r w:rsidRPr="009E75B1">
        <w:rPr>
          <w:bCs/>
          <w:sz w:val="22"/>
          <w:szCs w:val="22"/>
        </w:rPr>
        <w:t>1.</w:t>
      </w:r>
      <w:r w:rsidR="00D557AF">
        <w:rPr>
          <w:bCs/>
          <w:sz w:val="22"/>
          <w:szCs w:val="22"/>
        </w:rPr>
        <w:t>6</w:t>
      </w:r>
      <w:r>
        <w:rPr>
          <w:bCs/>
          <w:sz w:val="22"/>
          <w:szCs w:val="22"/>
        </w:rPr>
        <w:t xml:space="preserve"> </w:t>
      </w:r>
      <w:r w:rsidR="00533778" w:rsidRPr="009E75B1">
        <w:rPr>
          <w:bCs/>
          <w:sz w:val="22"/>
          <w:szCs w:val="22"/>
        </w:rPr>
        <w:t>The</w:t>
      </w:r>
      <w:r w:rsidR="00A82907" w:rsidRPr="009E75B1">
        <w:rPr>
          <w:bCs/>
          <w:sz w:val="22"/>
          <w:szCs w:val="22"/>
        </w:rPr>
        <w:t xml:space="preserve"> message “DO NOT PANIC” has b</w:t>
      </w:r>
      <w:r w:rsidR="005A7B23" w:rsidRPr="009E75B1">
        <w:rPr>
          <w:bCs/>
          <w:sz w:val="22"/>
          <w:szCs w:val="22"/>
        </w:rPr>
        <w:t xml:space="preserve">een communicated </w:t>
      </w:r>
      <w:r w:rsidR="00533778" w:rsidRPr="009E75B1">
        <w:rPr>
          <w:bCs/>
          <w:sz w:val="22"/>
          <w:szCs w:val="22"/>
        </w:rPr>
        <w:t>in our</w:t>
      </w:r>
      <w:r w:rsidR="00BB51CB" w:rsidRPr="009E75B1">
        <w:rPr>
          <w:bCs/>
          <w:sz w:val="22"/>
          <w:szCs w:val="22"/>
        </w:rPr>
        <w:t xml:space="preserve"> con</w:t>
      </w:r>
      <w:r w:rsidR="00533778" w:rsidRPr="009E75B1">
        <w:rPr>
          <w:bCs/>
          <w:sz w:val="22"/>
          <w:szCs w:val="22"/>
        </w:rPr>
        <w:t>sultations in recent years. This</w:t>
      </w:r>
      <w:r w:rsidR="00BB51CB" w:rsidRPr="009E75B1">
        <w:rPr>
          <w:bCs/>
          <w:sz w:val="22"/>
          <w:szCs w:val="22"/>
        </w:rPr>
        <w:t xml:space="preserve"> remains an </w:t>
      </w:r>
      <w:r w:rsidR="00A82907" w:rsidRPr="009E75B1">
        <w:rPr>
          <w:bCs/>
          <w:sz w:val="22"/>
          <w:szCs w:val="22"/>
        </w:rPr>
        <w:t>important</w:t>
      </w:r>
      <w:r w:rsidR="00533778" w:rsidRPr="009E75B1">
        <w:rPr>
          <w:bCs/>
          <w:sz w:val="22"/>
          <w:szCs w:val="22"/>
        </w:rPr>
        <w:t xml:space="preserve"> message</w:t>
      </w:r>
      <w:r w:rsidR="00A82907" w:rsidRPr="009E75B1">
        <w:rPr>
          <w:bCs/>
          <w:sz w:val="22"/>
          <w:szCs w:val="22"/>
        </w:rPr>
        <w:t xml:space="preserve"> </w:t>
      </w:r>
      <w:r w:rsidR="001855CD" w:rsidRPr="009E75B1">
        <w:rPr>
          <w:bCs/>
          <w:sz w:val="22"/>
          <w:szCs w:val="22"/>
        </w:rPr>
        <w:t xml:space="preserve">in this year’s </w:t>
      </w:r>
      <w:r w:rsidR="00757744">
        <w:rPr>
          <w:bCs/>
          <w:sz w:val="22"/>
          <w:szCs w:val="22"/>
        </w:rPr>
        <w:t xml:space="preserve">primary and secondary mainstream funding </w:t>
      </w:r>
      <w:r w:rsidR="001855CD" w:rsidRPr="009E75B1">
        <w:rPr>
          <w:bCs/>
          <w:sz w:val="22"/>
          <w:szCs w:val="22"/>
        </w:rPr>
        <w:t>consultation. T</w:t>
      </w:r>
      <w:r w:rsidR="00A82907" w:rsidRPr="009E75B1">
        <w:rPr>
          <w:bCs/>
          <w:sz w:val="22"/>
          <w:szCs w:val="22"/>
        </w:rPr>
        <w:t>he Minimum Funding Guarantee (MFG) will continue</w:t>
      </w:r>
      <w:r w:rsidR="00BB51CB" w:rsidRPr="009E75B1">
        <w:rPr>
          <w:bCs/>
          <w:sz w:val="22"/>
          <w:szCs w:val="22"/>
        </w:rPr>
        <w:t xml:space="preserve"> </w:t>
      </w:r>
      <w:r w:rsidR="00A82907" w:rsidRPr="009E75B1">
        <w:rPr>
          <w:bCs/>
          <w:sz w:val="22"/>
          <w:szCs w:val="22"/>
        </w:rPr>
        <w:t>to protec</w:t>
      </w:r>
      <w:r w:rsidR="00A47430">
        <w:rPr>
          <w:bCs/>
          <w:sz w:val="22"/>
          <w:szCs w:val="22"/>
        </w:rPr>
        <w:t>t schools and academies against</w:t>
      </w:r>
      <w:r w:rsidR="00CF4A34" w:rsidRPr="009E75B1">
        <w:rPr>
          <w:bCs/>
          <w:sz w:val="22"/>
          <w:szCs w:val="22"/>
        </w:rPr>
        <w:t xml:space="preserve"> </w:t>
      </w:r>
      <w:r w:rsidR="00A82907" w:rsidRPr="009E75B1">
        <w:rPr>
          <w:bCs/>
          <w:sz w:val="22"/>
          <w:szCs w:val="22"/>
        </w:rPr>
        <w:t>sha</w:t>
      </w:r>
      <w:r w:rsidR="00F73B85" w:rsidRPr="009E75B1">
        <w:rPr>
          <w:bCs/>
          <w:sz w:val="22"/>
          <w:szCs w:val="22"/>
        </w:rPr>
        <w:t xml:space="preserve">rp reductions in </w:t>
      </w:r>
      <w:r w:rsidR="005B01CF">
        <w:rPr>
          <w:bCs/>
          <w:sz w:val="22"/>
          <w:szCs w:val="22"/>
        </w:rPr>
        <w:t>per pupil funding</w:t>
      </w:r>
      <w:r w:rsidR="00A47430">
        <w:rPr>
          <w:bCs/>
          <w:sz w:val="22"/>
          <w:szCs w:val="22"/>
        </w:rPr>
        <w:t xml:space="preserve"> due to formula or data changes</w:t>
      </w:r>
      <w:r w:rsidR="00F05570" w:rsidRPr="009E75B1">
        <w:rPr>
          <w:sz w:val="22"/>
          <w:szCs w:val="22"/>
        </w:rPr>
        <w:t>.</w:t>
      </w:r>
      <w:r w:rsidR="00533778" w:rsidRPr="009E75B1">
        <w:rPr>
          <w:sz w:val="22"/>
          <w:szCs w:val="22"/>
        </w:rPr>
        <w:t xml:space="preserve"> The level of MFG provided is </w:t>
      </w:r>
      <w:r w:rsidR="00162BA4">
        <w:rPr>
          <w:sz w:val="22"/>
          <w:szCs w:val="22"/>
        </w:rPr>
        <w:t>one of the 6</w:t>
      </w:r>
      <w:r w:rsidRPr="009E75B1">
        <w:rPr>
          <w:sz w:val="22"/>
          <w:szCs w:val="22"/>
        </w:rPr>
        <w:t xml:space="preserve"> key decisions that must be made</w:t>
      </w:r>
      <w:r w:rsidR="00AB4130">
        <w:rPr>
          <w:sz w:val="22"/>
          <w:szCs w:val="22"/>
        </w:rPr>
        <w:t xml:space="preserve"> for 2018/19, summarised in paragraph 2.</w:t>
      </w:r>
    </w:p>
    <w:p w:rsidR="009E75B1" w:rsidRPr="009E75B1" w:rsidRDefault="009E75B1" w:rsidP="009E75B1">
      <w:pPr>
        <w:rPr>
          <w:color w:val="FF0000"/>
        </w:rPr>
      </w:pPr>
    </w:p>
    <w:p w:rsidR="00BB51CB" w:rsidRDefault="00D557AF" w:rsidP="000F069A">
      <w:pPr>
        <w:jc w:val="both"/>
        <w:rPr>
          <w:sz w:val="22"/>
          <w:szCs w:val="22"/>
        </w:rPr>
      </w:pPr>
      <w:r>
        <w:rPr>
          <w:sz w:val="22"/>
          <w:szCs w:val="22"/>
        </w:rPr>
        <w:t>1.7</w:t>
      </w:r>
      <w:r w:rsidR="00533778" w:rsidRPr="00E760A0">
        <w:rPr>
          <w:sz w:val="22"/>
          <w:szCs w:val="22"/>
        </w:rPr>
        <w:t xml:space="preserve"> </w:t>
      </w:r>
      <w:r w:rsidR="00E760A0" w:rsidRPr="00E760A0">
        <w:rPr>
          <w:sz w:val="22"/>
          <w:szCs w:val="22"/>
        </w:rPr>
        <w:t>However, w</w:t>
      </w:r>
      <w:r w:rsidR="00CF4A34" w:rsidRPr="00E760A0">
        <w:rPr>
          <w:sz w:val="22"/>
          <w:szCs w:val="22"/>
        </w:rPr>
        <w:t xml:space="preserve">e are entering a </w:t>
      </w:r>
      <w:r w:rsidR="00BB51CB" w:rsidRPr="00E760A0">
        <w:rPr>
          <w:sz w:val="22"/>
          <w:szCs w:val="22"/>
        </w:rPr>
        <w:t>period of change, the most significant being the establishment of a National Funding Formula</w:t>
      </w:r>
      <w:r w:rsidR="00E760A0">
        <w:rPr>
          <w:sz w:val="22"/>
          <w:szCs w:val="22"/>
        </w:rPr>
        <w:t xml:space="preserve"> (NFF)</w:t>
      </w:r>
      <w:r w:rsidR="00BB51CB" w:rsidRPr="00E760A0">
        <w:rPr>
          <w:sz w:val="22"/>
          <w:szCs w:val="22"/>
        </w:rPr>
        <w:t xml:space="preserve"> for the</w:t>
      </w:r>
      <w:r w:rsidR="00761C6C">
        <w:rPr>
          <w:sz w:val="22"/>
          <w:szCs w:val="22"/>
        </w:rPr>
        <w:t xml:space="preserve"> calculation of</w:t>
      </w:r>
      <w:r w:rsidR="00BB51CB" w:rsidRPr="00E760A0">
        <w:rPr>
          <w:sz w:val="22"/>
          <w:szCs w:val="22"/>
        </w:rPr>
        <w:t xml:space="preserve"> primary and secondary mainstream budget shares</w:t>
      </w:r>
      <w:r w:rsidR="002D3CDD" w:rsidRPr="00E760A0">
        <w:rPr>
          <w:sz w:val="22"/>
          <w:szCs w:val="22"/>
        </w:rPr>
        <w:t xml:space="preserve">. </w:t>
      </w:r>
      <w:r w:rsidR="00E760A0">
        <w:rPr>
          <w:sz w:val="22"/>
          <w:szCs w:val="22"/>
        </w:rPr>
        <w:t>Following previous rounds of consultation, in March and December 2016, the Government has now announced the</w:t>
      </w:r>
      <w:r w:rsidR="00761C6C">
        <w:rPr>
          <w:sz w:val="22"/>
          <w:szCs w:val="22"/>
        </w:rPr>
        <w:t xml:space="preserve"> final</w:t>
      </w:r>
      <w:r w:rsidR="00E760A0">
        <w:rPr>
          <w:sz w:val="22"/>
          <w:szCs w:val="22"/>
        </w:rPr>
        <w:t xml:space="preserve"> construction of the NFF, which will be implemented in its ‘hard’ form from April 2020, notwithstand</w:t>
      </w:r>
      <w:r w:rsidR="00761C6C">
        <w:rPr>
          <w:sz w:val="22"/>
          <w:szCs w:val="22"/>
        </w:rPr>
        <w:t>ing that the Government has</w:t>
      </w:r>
      <w:r w:rsidR="00E760A0">
        <w:rPr>
          <w:sz w:val="22"/>
          <w:szCs w:val="22"/>
        </w:rPr>
        <w:t xml:space="preserve"> indicated that there are aspects of this NFF that will continue to be reviewed prior to April 2020</w:t>
      </w:r>
      <w:r w:rsidR="00534616">
        <w:rPr>
          <w:sz w:val="22"/>
          <w:szCs w:val="22"/>
        </w:rPr>
        <w:t xml:space="preserve">. </w:t>
      </w:r>
      <w:r w:rsidR="00761C6C">
        <w:rPr>
          <w:sz w:val="22"/>
          <w:szCs w:val="22"/>
        </w:rPr>
        <w:t>This means that t</w:t>
      </w:r>
      <w:r w:rsidR="00534616">
        <w:rPr>
          <w:sz w:val="22"/>
          <w:szCs w:val="22"/>
        </w:rPr>
        <w:t>he Local Authority will retain operational responsibility for the funding formula in Bradford for 2018/19 and 2019/20. At April 2020</w:t>
      </w:r>
      <w:r w:rsidR="00761C6C">
        <w:rPr>
          <w:sz w:val="22"/>
          <w:szCs w:val="22"/>
        </w:rPr>
        <w:t>,</w:t>
      </w:r>
      <w:r w:rsidR="00757744">
        <w:rPr>
          <w:sz w:val="22"/>
          <w:szCs w:val="22"/>
        </w:rPr>
        <w:t xml:space="preserve"> this</w:t>
      </w:r>
      <w:r w:rsidR="00534616">
        <w:rPr>
          <w:sz w:val="22"/>
          <w:szCs w:val="22"/>
        </w:rPr>
        <w:t xml:space="preserve"> responsibility will pass to the Government through NFF.</w:t>
      </w:r>
      <w:r w:rsidR="0014627D">
        <w:rPr>
          <w:sz w:val="22"/>
          <w:szCs w:val="22"/>
        </w:rPr>
        <w:t xml:space="preserve"> The Government’s announcements and modelling can be accessed </w:t>
      </w:r>
      <w:hyperlink r:id="rId12" w:history="1">
        <w:r w:rsidR="0014627D" w:rsidRPr="0014627D">
          <w:rPr>
            <w:rStyle w:val="Hyperlink"/>
            <w:sz w:val="22"/>
            <w:szCs w:val="22"/>
          </w:rPr>
          <w:t>here</w:t>
        </w:r>
      </w:hyperlink>
      <w:r w:rsidR="0014627D">
        <w:rPr>
          <w:sz w:val="22"/>
          <w:szCs w:val="22"/>
        </w:rPr>
        <w:t>.</w:t>
      </w:r>
      <w:r w:rsidR="00BB1E24">
        <w:rPr>
          <w:sz w:val="22"/>
          <w:szCs w:val="22"/>
        </w:rPr>
        <w:t xml:space="preserve"> A briefing note of the impact of the final NFF can be viewed within the reports presented to the Schools Forum on 18 October </w:t>
      </w:r>
      <w:hyperlink r:id="rId13" w:history="1">
        <w:r w:rsidR="00BB1E24" w:rsidRPr="00BB1E24">
          <w:rPr>
            <w:rStyle w:val="Hyperlink"/>
            <w:sz w:val="22"/>
            <w:szCs w:val="22"/>
          </w:rPr>
          <w:t>here</w:t>
        </w:r>
      </w:hyperlink>
      <w:r w:rsidR="00B84783">
        <w:rPr>
          <w:sz w:val="22"/>
          <w:szCs w:val="22"/>
        </w:rPr>
        <w:t>.</w:t>
      </w:r>
      <w:r w:rsidR="00EA4972">
        <w:rPr>
          <w:sz w:val="22"/>
          <w:szCs w:val="22"/>
        </w:rPr>
        <w:t xml:space="preserve"> A summary is given later in this document.</w:t>
      </w:r>
    </w:p>
    <w:p w:rsidR="00534616" w:rsidRDefault="00534616" w:rsidP="000F069A">
      <w:pPr>
        <w:jc w:val="both"/>
        <w:rPr>
          <w:sz w:val="22"/>
          <w:szCs w:val="22"/>
        </w:rPr>
      </w:pPr>
    </w:p>
    <w:p w:rsidR="00534616" w:rsidRDefault="00D557AF" w:rsidP="000F069A">
      <w:pPr>
        <w:jc w:val="both"/>
        <w:rPr>
          <w:sz w:val="22"/>
          <w:szCs w:val="22"/>
        </w:rPr>
      </w:pPr>
      <w:r>
        <w:rPr>
          <w:sz w:val="22"/>
          <w:szCs w:val="22"/>
        </w:rPr>
        <w:t>1.8</w:t>
      </w:r>
      <w:r w:rsidR="00534616">
        <w:rPr>
          <w:sz w:val="22"/>
          <w:szCs w:val="22"/>
        </w:rPr>
        <w:t xml:space="preserve"> In early 2017, alongside 2017/18 financial year budget information, the Authority provided schools and academies with an explanation of the impact of NFF as was then proposed</w:t>
      </w:r>
      <w:r w:rsidR="00761C6C">
        <w:rPr>
          <w:sz w:val="22"/>
          <w:szCs w:val="22"/>
        </w:rPr>
        <w:t xml:space="preserve"> in the December 2016 </w:t>
      </w:r>
      <w:r w:rsidR="00761C6C">
        <w:rPr>
          <w:sz w:val="22"/>
          <w:szCs w:val="22"/>
        </w:rPr>
        <w:lastRenderedPageBreak/>
        <w:t>consultation round, as well as</w:t>
      </w:r>
      <w:r w:rsidR="00056ECA">
        <w:rPr>
          <w:sz w:val="22"/>
          <w:szCs w:val="22"/>
        </w:rPr>
        <w:t xml:space="preserve"> a</w:t>
      </w:r>
      <w:r w:rsidR="00761C6C">
        <w:rPr>
          <w:sz w:val="22"/>
          <w:szCs w:val="22"/>
        </w:rPr>
        <w:t xml:space="preserve"> </w:t>
      </w:r>
      <w:hyperlink r:id="rId14" w:history="1">
        <w:r w:rsidR="00761C6C" w:rsidRPr="00056ECA">
          <w:rPr>
            <w:rStyle w:val="Hyperlink"/>
            <w:sz w:val="22"/>
            <w:szCs w:val="22"/>
          </w:rPr>
          <w:t>ready reckoner</w:t>
        </w:r>
      </w:hyperlink>
      <w:r w:rsidR="00761C6C">
        <w:rPr>
          <w:sz w:val="22"/>
          <w:szCs w:val="22"/>
        </w:rPr>
        <w:t xml:space="preserve"> for schools and academies to see the possible impact.</w:t>
      </w:r>
      <w:r w:rsidR="00757744">
        <w:rPr>
          <w:sz w:val="22"/>
          <w:szCs w:val="22"/>
        </w:rPr>
        <w:t xml:space="preserve"> This information has</w:t>
      </w:r>
      <w:r w:rsidR="00FD0451">
        <w:rPr>
          <w:sz w:val="22"/>
          <w:szCs w:val="22"/>
        </w:rPr>
        <w:t xml:space="preserve"> been superseded by the most recent announcement.</w:t>
      </w:r>
    </w:p>
    <w:p w:rsidR="00761C6C" w:rsidRDefault="00761C6C" w:rsidP="000F069A">
      <w:pPr>
        <w:jc w:val="both"/>
        <w:rPr>
          <w:sz w:val="22"/>
          <w:szCs w:val="22"/>
        </w:rPr>
      </w:pPr>
    </w:p>
    <w:p w:rsidR="00761C6C" w:rsidRDefault="00D557AF" w:rsidP="000F069A">
      <w:pPr>
        <w:jc w:val="both"/>
        <w:rPr>
          <w:sz w:val="22"/>
          <w:szCs w:val="22"/>
        </w:rPr>
      </w:pPr>
      <w:r>
        <w:rPr>
          <w:sz w:val="22"/>
          <w:szCs w:val="22"/>
        </w:rPr>
        <w:t>1.9</w:t>
      </w:r>
      <w:r w:rsidR="00761C6C">
        <w:rPr>
          <w:sz w:val="22"/>
          <w:szCs w:val="22"/>
        </w:rPr>
        <w:t xml:space="preserve"> The transition to NFF featured strongly in Bradford Schools Forum’s deliberations and decision making on the allocation of the 2017/18 Dedicated Schools Grant. The key decisions that were made in 2017/18</w:t>
      </w:r>
      <w:r w:rsidR="00757744">
        <w:rPr>
          <w:sz w:val="22"/>
          <w:szCs w:val="22"/>
        </w:rPr>
        <w:t xml:space="preserve"> </w:t>
      </w:r>
      <w:r w:rsidR="00761C6C">
        <w:rPr>
          <w:sz w:val="22"/>
          <w:szCs w:val="22"/>
        </w:rPr>
        <w:t>were:</w:t>
      </w:r>
    </w:p>
    <w:p w:rsidR="00761C6C" w:rsidRDefault="00761C6C" w:rsidP="000F069A">
      <w:pPr>
        <w:jc w:val="both"/>
        <w:rPr>
          <w:sz w:val="22"/>
          <w:szCs w:val="22"/>
        </w:rPr>
      </w:pPr>
    </w:p>
    <w:p w:rsidR="00761C6C" w:rsidRDefault="00761C6C" w:rsidP="008D16B2">
      <w:pPr>
        <w:pStyle w:val="ListParagraph"/>
        <w:numPr>
          <w:ilvl w:val="0"/>
          <w:numId w:val="22"/>
        </w:numPr>
        <w:jc w:val="both"/>
        <w:rPr>
          <w:sz w:val="22"/>
          <w:szCs w:val="22"/>
        </w:rPr>
      </w:pPr>
      <w:r>
        <w:rPr>
          <w:sz w:val="22"/>
          <w:szCs w:val="22"/>
        </w:rPr>
        <w:t>The continuation of our current funding formula, not adjusting any formula</w:t>
      </w:r>
      <w:r w:rsidR="0018771A">
        <w:rPr>
          <w:sz w:val="22"/>
          <w:szCs w:val="22"/>
        </w:rPr>
        <w:t xml:space="preserve"> factor out of line with the</w:t>
      </w:r>
      <w:r>
        <w:rPr>
          <w:sz w:val="22"/>
          <w:szCs w:val="22"/>
        </w:rPr>
        <w:t xml:space="preserve"> direction of travel</w:t>
      </w:r>
      <w:r w:rsidR="0018771A">
        <w:rPr>
          <w:sz w:val="22"/>
          <w:szCs w:val="22"/>
        </w:rPr>
        <w:t xml:space="preserve"> towards NFF</w:t>
      </w:r>
      <w:r>
        <w:rPr>
          <w:sz w:val="22"/>
          <w:szCs w:val="22"/>
        </w:rPr>
        <w:t>.</w:t>
      </w:r>
    </w:p>
    <w:p w:rsidR="00761C6C" w:rsidRDefault="00761C6C" w:rsidP="00761C6C">
      <w:pPr>
        <w:pStyle w:val="ListParagraph"/>
        <w:jc w:val="both"/>
        <w:rPr>
          <w:sz w:val="22"/>
          <w:szCs w:val="22"/>
        </w:rPr>
      </w:pPr>
    </w:p>
    <w:p w:rsidR="00761C6C" w:rsidRDefault="00857875" w:rsidP="008D16B2">
      <w:pPr>
        <w:pStyle w:val="ListParagraph"/>
        <w:numPr>
          <w:ilvl w:val="0"/>
          <w:numId w:val="22"/>
        </w:numPr>
        <w:jc w:val="both"/>
        <w:rPr>
          <w:sz w:val="22"/>
          <w:szCs w:val="22"/>
        </w:rPr>
      </w:pPr>
      <w:r>
        <w:rPr>
          <w:sz w:val="22"/>
          <w:szCs w:val="22"/>
        </w:rPr>
        <w:t>Continuation of the M</w:t>
      </w:r>
      <w:r w:rsidR="0018771A">
        <w:rPr>
          <w:sz w:val="22"/>
          <w:szCs w:val="22"/>
        </w:rPr>
        <w:t>FG set nationally at minus 1.5% i.e. per pupil funding for individual schools and academies could not reduce by more than 1.5%.</w:t>
      </w:r>
    </w:p>
    <w:p w:rsidR="00857875" w:rsidRDefault="00857875" w:rsidP="00857875">
      <w:pPr>
        <w:pStyle w:val="ListParagraph"/>
        <w:jc w:val="both"/>
        <w:rPr>
          <w:sz w:val="22"/>
          <w:szCs w:val="22"/>
        </w:rPr>
      </w:pPr>
    </w:p>
    <w:p w:rsidR="0018771A" w:rsidRPr="00757744" w:rsidRDefault="00857875" w:rsidP="008D16B2">
      <w:pPr>
        <w:pStyle w:val="ListParagraph"/>
        <w:numPr>
          <w:ilvl w:val="0"/>
          <w:numId w:val="22"/>
        </w:numPr>
        <w:jc w:val="both"/>
        <w:rPr>
          <w:sz w:val="22"/>
          <w:szCs w:val="22"/>
        </w:rPr>
      </w:pPr>
      <w:r>
        <w:rPr>
          <w:sz w:val="22"/>
          <w:szCs w:val="22"/>
        </w:rPr>
        <w:t>The transfer of £5.7m from the Schools Block to the High Needs Block</w:t>
      </w:r>
      <w:r w:rsidR="0018771A">
        <w:rPr>
          <w:sz w:val="22"/>
          <w:szCs w:val="22"/>
        </w:rPr>
        <w:t>. As a result of this, the vast majority of schools and academies are funded at the MFG level in 2017/18.</w:t>
      </w:r>
    </w:p>
    <w:p w:rsidR="0018771A" w:rsidRDefault="0018771A" w:rsidP="008D16B2">
      <w:pPr>
        <w:pStyle w:val="ListParagraph"/>
        <w:numPr>
          <w:ilvl w:val="0"/>
          <w:numId w:val="22"/>
        </w:numPr>
        <w:jc w:val="both"/>
        <w:rPr>
          <w:sz w:val="22"/>
          <w:szCs w:val="22"/>
        </w:rPr>
      </w:pPr>
      <w:r>
        <w:rPr>
          <w:sz w:val="22"/>
          <w:szCs w:val="22"/>
        </w:rPr>
        <w:t>The establishment of clearer criteria for the allocation of Growth Funding to the secondary phase.</w:t>
      </w:r>
    </w:p>
    <w:p w:rsidR="0018771A" w:rsidRDefault="0018771A" w:rsidP="0018771A">
      <w:pPr>
        <w:pStyle w:val="ListParagraph"/>
        <w:jc w:val="both"/>
        <w:rPr>
          <w:sz w:val="22"/>
          <w:szCs w:val="22"/>
        </w:rPr>
      </w:pPr>
    </w:p>
    <w:p w:rsidR="0018771A" w:rsidRDefault="0018771A" w:rsidP="008D16B2">
      <w:pPr>
        <w:pStyle w:val="ListParagraph"/>
        <w:numPr>
          <w:ilvl w:val="0"/>
          <w:numId w:val="22"/>
        </w:numPr>
        <w:jc w:val="both"/>
        <w:rPr>
          <w:sz w:val="22"/>
          <w:szCs w:val="22"/>
        </w:rPr>
      </w:pPr>
      <w:r>
        <w:rPr>
          <w:sz w:val="22"/>
          <w:szCs w:val="22"/>
        </w:rPr>
        <w:t>The cessation of a number de-delegated funds for the maintained secondary sector, including the maternity / paternity insurance scheme.</w:t>
      </w:r>
    </w:p>
    <w:p w:rsidR="00F611DB" w:rsidRDefault="00F611DB" w:rsidP="00F611DB">
      <w:pPr>
        <w:pStyle w:val="ListParagraph"/>
        <w:jc w:val="both"/>
        <w:rPr>
          <w:sz w:val="22"/>
          <w:szCs w:val="22"/>
        </w:rPr>
      </w:pPr>
    </w:p>
    <w:p w:rsidR="00F611DB" w:rsidRPr="0018771A" w:rsidRDefault="00F611DB" w:rsidP="00F611DB">
      <w:pPr>
        <w:pStyle w:val="ListParagraph"/>
        <w:jc w:val="both"/>
        <w:rPr>
          <w:sz w:val="22"/>
          <w:szCs w:val="22"/>
        </w:rPr>
      </w:pPr>
    </w:p>
    <w:p w:rsidR="00F611DB" w:rsidRPr="00D912F3" w:rsidRDefault="00F611DB" w:rsidP="00F611DB">
      <w:pPr>
        <w:jc w:val="both"/>
        <w:rPr>
          <w:color w:val="4F81BD" w:themeColor="accent1"/>
          <w:sz w:val="22"/>
          <w:szCs w:val="22"/>
        </w:rPr>
      </w:pPr>
      <w:r w:rsidRPr="00D912F3">
        <w:rPr>
          <w:b/>
          <w:bCs/>
          <w:color w:val="4F81BD" w:themeColor="accent1"/>
          <w:sz w:val="22"/>
          <w:szCs w:val="22"/>
        </w:rPr>
        <w:t>2.</w:t>
      </w:r>
      <w:r w:rsidRPr="00D912F3">
        <w:rPr>
          <w:b/>
          <w:bCs/>
          <w:color w:val="4F81BD" w:themeColor="accent1"/>
          <w:sz w:val="22"/>
          <w:szCs w:val="22"/>
        </w:rPr>
        <w:tab/>
        <w:t>Summary of Formula Funding Proposals</w:t>
      </w:r>
      <w:r w:rsidR="00DA7D36" w:rsidRPr="00D912F3">
        <w:rPr>
          <w:b/>
          <w:bCs/>
          <w:color w:val="4F81BD" w:themeColor="accent1"/>
          <w:sz w:val="22"/>
          <w:szCs w:val="22"/>
        </w:rPr>
        <w:t xml:space="preserve"> for 2018/19</w:t>
      </w:r>
    </w:p>
    <w:p w:rsidR="00BB51CB" w:rsidRDefault="00BB51CB" w:rsidP="000F069A">
      <w:pPr>
        <w:jc w:val="both"/>
        <w:rPr>
          <w:color w:val="FF0000"/>
          <w:sz w:val="22"/>
          <w:szCs w:val="22"/>
        </w:rPr>
      </w:pPr>
    </w:p>
    <w:p w:rsidR="00F611DB" w:rsidRDefault="00F611DB" w:rsidP="000F069A">
      <w:pPr>
        <w:jc w:val="both"/>
        <w:rPr>
          <w:sz w:val="22"/>
          <w:szCs w:val="22"/>
        </w:rPr>
      </w:pPr>
      <w:r w:rsidRPr="00F611DB">
        <w:rPr>
          <w:sz w:val="22"/>
          <w:szCs w:val="22"/>
        </w:rPr>
        <w:t>2.1</w:t>
      </w:r>
      <w:r>
        <w:rPr>
          <w:sz w:val="22"/>
          <w:szCs w:val="22"/>
        </w:rPr>
        <w:t xml:space="preserve"> </w:t>
      </w:r>
      <w:r w:rsidRPr="009C6F65">
        <w:rPr>
          <w:b/>
          <w:sz w:val="22"/>
          <w:szCs w:val="22"/>
        </w:rPr>
        <w:t xml:space="preserve">There are </w:t>
      </w:r>
      <w:r w:rsidR="00162BA4" w:rsidRPr="009C6F65">
        <w:rPr>
          <w:b/>
          <w:sz w:val="22"/>
          <w:szCs w:val="22"/>
        </w:rPr>
        <w:t>6</w:t>
      </w:r>
      <w:r w:rsidRPr="009C6F65">
        <w:rPr>
          <w:b/>
          <w:sz w:val="22"/>
          <w:szCs w:val="22"/>
        </w:rPr>
        <w:t xml:space="preserve"> key decision</w:t>
      </w:r>
      <w:r w:rsidR="0011222D" w:rsidRPr="009C6F65">
        <w:rPr>
          <w:b/>
          <w:sz w:val="22"/>
          <w:szCs w:val="22"/>
        </w:rPr>
        <w:t>s</w:t>
      </w:r>
      <w:r>
        <w:rPr>
          <w:sz w:val="22"/>
          <w:szCs w:val="22"/>
        </w:rPr>
        <w:t xml:space="preserve"> to take regarding Bradford’s 2018/19 mainstream primary and secondary funding formula arrangements. These are:</w:t>
      </w:r>
    </w:p>
    <w:p w:rsidR="00F611DB" w:rsidRDefault="00F611DB" w:rsidP="000F069A">
      <w:pPr>
        <w:jc w:val="both"/>
        <w:rPr>
          <w:sz w:val="22"/>
          <w:szCs w:val="22"/>
        </w:rPr>
      </w:pPr>
    </w:p>
    <w:p w:rsidR="0011222D" w:rsidRPr="0011222D" w:rsidRDefault="005B4629" w:rsidP="008D16B2">
      <w:pPr>
        <w:numPr>
          <w:ilvl w:val="0"/>
          <w:numId w:val="23"/>
        </w:numPr>
        <w:ind w:left="720"/>
        <w:jc w:val="both"/>
        <w:rPr>
          <w:sz w:val="22"/>
          <w:szCs w:val="22"/>
        </w:rPr>
      </w:pPr>
      <w:r>
        <w:rPr>
          <w:sz w:val="22"/>
          <w:szCs w:val="22"/>
        </w:rPr>
        <w:t>Whether</w:t>
      </w:r>
      <w:r w:rsidR="0011222D">
        <w:rPr>
          <w:sz w:val="22"/>
          <w:szCs w:val="22"/>
        </w:rPr>
        <w:t xml:space="preserve"> we now </w:t>
      </w:r>
      <w:r w:rsidR="004D0C18">
        <w:rPr>
          <w:sz w:val="22"/>
          <w:szCs w:val="22"/>
        </w:rPr>
        <w:t xml:space="preserve">use </w:t>
      </w:r>
      <w:r w:rsidR="0011222D">
        <w:rPr>
          <w:sz w:val="22"/>
          <w:szCs w:val="22"/>
        </w:rPr>
        <w:t>the National Funding Formula</w:t>
      </w:r>
      <w:r w:rsidR="0011222D" w:rsidRPr="0011222D">
        <w:rPr>
          <w:sz w:val="22"/>
          <w:szCs w:val="22"/>
        </w:rPr>
        <w:t xml:space="preserve"> locally for the calculation of our primary</w:t>
      </w:r>
      <w:r w:rsidR="0011222D">
        <w:rPr>
          <w:sz w:val="22"/>
          <w:szCs w:val="22"/>
        </w:rPr>
        <w:t xml:space="preserve"> (reception to year 6)</w:t>
      </w:r>
      <w:r w:rsidR="0011222D" w:rsidRPr="0011222D">
        <w:rPr>
          <w:sz w:val="22"/>
          <w:szCs w:val="22"/>
        </w:rPr>
        <w:t xml:space="preserve"> and secondary</w:t>
      </w:r>
      <w:r w:rsidR="0011222D">
        <w:rPr>
          <w:sz w:val="22"/>
          <w:szCs w:val="22"/>
        </w:rPr>
        <w:t xml:space="preserve"> (pre 16)</w:t>
      </w:r>
      <w:r w:rsidR="0011222D" w:rsidRPr="0011222D">
        <w:rPr>
          <w:sz w:val="22"/>
          <w:szCs w:val="22"/>
        </w:rPr>
        <w:t xml:space="preserve"> school and academy budget shares from April 2018, or whether we stick to our current formula, or whether we do something in between or in transition leading up to hard NFF at April 2020. </w:t>
      </w:r>
    </w:p>
    <w:p w:rsidR="0011222D" w:rsidRPr="0011222D" w:rsidRDefault="0011222D" w:rsidP="00796962">
      <w:pPr>
        <w:ind w:left="720"/>
        <w:jc w:val="both"/>
        <w:rPr>
          <w:sz w:val="22"/>
          <w:szCs w:val="22"/>
        </w:rPr>
      </w:pPr>
    </w:p>
    <w:p w:rsidR="0011222D" w:rsidRPr="0011222D" w:rsidRDefault="0011222D" w:rsidP="008D16B2">
      <w:pPr>
        <w:numPr>
          <w:ilvl w:val="0"/>
          <w:numId w:val="23"/>
        </w:numPr>
        <w:ind w:left="720"/>
        <w:jc w:val="both"/>
        <w:rPr>
          <w:sz w:val="22"/>
          <w:szCs w:val="22"/>
        </w:rPr>
      </w:pPr>
      <w:r w:rsidRPr="0011222D">
        <w:rPr>
          <w:sz w:val="22"/>
          <w:szCs w:val="22"/>
        </w:rPr>
        <w:t>The value of Minimum Funding G</w:t>
      </w:r>
      <w:r>
        <w:rPr>
          <w:sz w:val="22"/>
          <w:szCs w:val="22"/>
        </w:rPr>
        <w:t>uarantee we provide in 2018/19. The Government permits this to be set between 0% and minus 1.5%.</w:t>
      </w:r>
      <w:r w:rsidRPr="0011222D">
        <w:rPr>
          <w:sz w:val="22"/>
          <w:szCs w:val="22"/>
        </w:rPr>
        <w:t xml:space="preserve"> 0% means that a school that has the same pupil numbers</w:t>
      </w:r>
      <w:r>
        <w:rPr>
          <w:sz w:val="22"/>
          <w:szCs w:val="22"/>
        </w:rPr>
        <w:t xml:space="preserve"> recorded in October 2017 as in October 2016</w:t>
      </w:r>
      <w:r w:rsidRPr="0011222D">
        <w:rPr>
          <w:sz w:val="22"/>
          <w:szCs w:val="22"/>
        </w:rPr>
        <w:t xml:space="preserve"> will receive the sam</w:t>
      </w:r>
      <w:r>
        <w:rPr>
          <w:sz w:val="22"/>
          <w:szCs w:val="22"/>
        </w:rPr>
        <w:t xml:space="preserve">e </w:t>
      </w:r>
      <w:r w:rsidR="005B4629">
        <w:rPr>
          <w:sz w:val="22"/>
          <w:szCs w:val="22"/>
        </w:rPr>
        <w:t xml:space="preserve">core </w:t>
      </w:r>
      <w:r>
        <w:rPr>
          <w:sz w:val="22"/>
          <w:szCs w:val="22"/>
        </w:rPr>
        <w:t>formula funding in 2018/19 as they received in 2017/18.</w:t>
      </w:r>
    </w:p>
    <w:p w:rsidR="0011222D" w:rsidRPr="0011222D" w:rsidRDefault="0011222D" w:rsidP="00796962">
      <w:pPr>
        <w:ind w:left="360"/>
        <w:jc w:val="both"/>
        <w:rPr>
          <w:sz w:val="22"/>
          <w:szCs w:val="22"/>
        </w:rPr>
      </w:pPr>
    </w:p>
    <w:p w:rsidR="0011222D" w:rsidRPr="0011222D" w:rsidRDefault="0011222D" w:rsidP="008D16B2">
      <w:pPr>
        <w:numPr>
          <w:ilvl w:val="0"/>
          <w:numId w:val="23"/>
        </w:numPr>
        <w:ind w:left="720"/>
        <w:jc w:val="both"/>
        <w:rPr>
          <w:sz w:val="22"/>
          <w:szCs w:val="22"/>
        </w:rPr>
      </w:pPr>
      <w:r w:rsidRPr="0011222D">
        <w:rPr>
          <w:sz w:val="22"/>
          <w:szCs w:val="22"/>
        </w:rPr>
        <w:t>The value of the ceiling we adopt, which will cap increases for schools</w:t>
      </w:r>
      <w:r>
        <w:rPr>
          <w:sz w:val="22"/>
          <w:szCs w:val="22"/>
        </w:rPr>
        <w:t xml:space="preserve"> and academies</w:t>
      </w:r>
      <w:r w:rsidRPr="0011222D">
        <w:rPr>
          <w:sz w:val="22"/>
          <w:szCs w:val="22"/>
        </w:rPr>
        <w:t xml:space="preserve"> that may be gaining from the 2018/19 formula funding approach</w:t>
      </w:r>
      <w:r w:rsidR="005B4629">
        <w:rPr>
          <w:sz w:val="22"/>
          <w:szCs w:val="22"/>
        </w:rPr>
        <w:t xml:space="preserve"> and / or NFF</w:t>
      </w:r>
      <w:r w:rsidRPr="0011222D">
        <w:rPr>
          <w:sz w:val="22"/>
          <w:szCs w:val="22"/>
        </w:rPr>
        <w:t>.</w:t>
      </w:r>
    </w:p>
    <w:p w:rsidR="0011222D" w:rsidRPr="0011222D" w:rsidRDefault="0011222D" w:rsidP="00796962">
      <w:pPr>
        <w:ind w:left="360"/>
        <w:jc w:val="both"/>
        <w:rPr>
          <w:sz w:val="22"/>
          <w:szCs w:val="22"/>
        </w:rPr>
      </w:pPr>
    </w:p>
    <w:p w:rsidR="0011222D" w:rsidRDefault="0011222D" w:rsidP="008D16B2">
      <w:pPr>
        <w:numPr>
          <w:ilvl w:val="0"/>
          <w:numId w:val="23"/>
        </w:numPr>
        <w:ind w:left="720"/>
        <w:jc w:val="both"/>
        <w:rPr>
          <w:sz w:val="22"/>
          <w:szCs w:val="22"/>
        </w:rPr>
      </w:pPr>
      <w:r w:rsidRPr="0011222D">
        <w:rPr>
          <w:sz w:val="22"/>
          <w:szCs w:val="22"/>
        </w:rPr>
        <w:t>The extent to which we begin transition to, or fully implement, th</w:t>
      </w:r>
      <w:r w:rsidR="00D9561A">
        <w:rPr>
          <w:sz w:val="22"/>
          <w:szCs w:val="22"/>
        </w:rPr>
        <w:t>e DfE’s new £3,500 (primary),</w:t>
      </w:r>
      <w:r w:rsidRPr="0011222D">
        <w:rPr>
          <w:sz w:val="22"/>
          <w:szCs w:val="22"/>
        </w:rPr>
        <w:t xml:space="preserve"> £4,800 (secondary)</w:t>
      </w:r>
      <w:r w:rsidR="00D9561A">
        <w:rPr>
          <w:sz w:val="22"/>
          <w:szCs w:val="22"/>
        </w:rPr>
        <w:t xml:space="preserve"> and £4,042 (all-through)</w:t>
      </w:r>
      <w:r w:rsidRPr="0011222D">
        <w:rPr>
          <w:sz w:val="22"/>
          <w:szCs w:val="22"/>
        </w:rPr>
        <w:t xml:space="preserve"> m</w:t>
      </w:r>
      <w:r>
        <w:rPr>
          <w:sz w:val="22"/>
          <w:szCs w:val="22"/>
        </w:rPr>
        <w:t xml:space="preserve">inimum per pupil funding floors that are </w:t>
      </w:r>
      <w:r w:rsidR="005B4629">
        <w:rPr>
          <w:sz w:val="22"/>
          <w:szCs w:val="22"/>
        </w:rPr>
        <w:t>contained</w:t>
      </w:r>
      <w:r>
        <w:rPr>
          <w:sz w:val="22"/>
          <w:szCs w:val="22"/>
        </w:rPr>
        <w:t xml:space="preserve"> within the</w:t>
      </w:r>
      <w:r w:rsidR="005B4629">
        <w:rPr>
          <w:sz w:val="22"/>
          <w:szCs w:val="22"/>
        </w:rPr>
        <w:t xml:space="preserve"> final</w:t>
      </w:r>
      <w:r>
        <w:rPr>
          <w:sz w:val="22"/>
          <w:szCs w:val="22"/>
        </w:rPr>
        <w:t xml:space="preserve"> NFF.</w:t>
      </w:r>
    </w:p>
    <w:p w:rsidR="00162BA4" w:rsidRDefault="00162BA4" w:rsidP="00162BA4">
      <w:pPr>
        <w:pStyle w:val="ListParagraph"/>
        <w:rPr>
          <w:sz w:val="22"/>
          <w:szCs w:val="22"/>
        </w:rPr>
      </w:pPr>
    </w:p>
    <w:p w:rsidR="00162BA4" w:rsidRPr="0011222D" w:rsidRDefault="00162BA4" w:rsidP="008D16B2">
      <w:pPr>
        <w:numPr>
          <w:ilvl w:val="0"/>
          <w:numId w:val="23"/>
        </w:numPr>
        <w:ind w:left="720"/>
        <w:jc w:val="both"/>
        <w:rPr>
          <w:sz w:val="22"/>
          <w:szCs w:val="22"/>
        </w:rPr>
      </w:pPr>
      <w:r>
        <w:rPr>
          <w:sz w:val="22"/>
          <w:szCs w:val="22"/>
        </w:rPr>
        <w:t>How we allocate any S</w:t>
      </w:r>
      <w:r w:rsidR="00C8665E">
        <w:rPr>
          <w:sz w:val="22"/>
          <w:szCs w:val="22"/>
        </w:rPr>
        <w:t>chools Block headroom that remains</w:t>
      </w:r>
      <w:r>
        <w:rPr>
          <w:sz w:val="22"/>
          <w:szCs w:val="22"/>
        </w:rPr>
        <w:t xml:space="preserve"> from the difference between the national minimum 0.5% per pupil increase ‘in respect of every school’</w:t>
      </w:r>
      <w:r w:rsidR="00C8665E">
        <w:rPr>
          <w:sz w:val="22"/>
          <w:szCs w:val="22"/>
        </w:rPr>
        <w:t xml:space="preserve">, that has been allocated into the Schools Block, </w:t>
      </w:r>
      <w:r w:rsidR="00E279C2">
        <w:rPr>
          <w:sz w:val="22"/>
          <w:szCs w:val="22"/>
        </w:rPr>
        <w:t>and a maximum M</w:t>
      </w:r>
      <w:r w:rsidR="00C8665E">
        <w:rPr>
          <w:sz w:val="22"/>
          <w:szCs w:val="22"/>
        </w:rPr>
        <w:t xml:space="preserve">FG </w:t>
      </w:r>
      <w:r w:rsidR="00E279C2">
        <w:rPr>
          <w:sz w:val="22"/>
          <w:szCs w:val="22"/>
        </w:rPr>
        <w:t>level set at 0%</w:t>
      </w:r>
      <w:r>
        <w:rPr>
          <w:sz w:val="22"/>
          <w:szCs w:val="22"/>
        </w:rPr>
        <w:t>.</w:t>
      </w:r>
    </w:p>
    <w:p w:rsidR="0011222D" w:rsidRPr="0011222D" w:rsidRDefault="0011222D" w:rsidP="00796962">
      <w:pPr>
        <w:ind w:left="360"/>
        <w:jc w:val="both"/>
        <w:rPr>
          <w:sz w:val="22"/>
          <w:szCs w:val="22"/>
        </w:rPr>
      </w:pPr>
    </w:p>
    <w:p w:rsidR="0011222D" w:rsidRPr="0011222D" w:rsidRDefault="0011222D" w:rsidP="008D16B2">
      <w:pPr>
        <w:numPr>
          <w:ilvl w:val="0"/>
          <w:numId w:val="23"/>
        </w:numPr>
        <w:ind w:left="720"/>
        <w:jc w:val="both"/>
        <w:rPr>
          <w:sz w:val="22"/>
          <w:szCs w:val="22"/>
        </w:rPr>
      </w:pPr>
      <w:r w:rsidRPr="0011222D">
        <w:rPr>
          <w:sz w:val="22"/>
          <w:szCs w:val="22"/>
        </w:rPr>
        <w:t>How we balance the High Needs Block where the NFF settlement</w:t>
      </w:r>
      <w:r>
        <w:rPr>
          <w:sz w:val="22"/>
          <w:szCs w:val="22"/>
        </w:rPr>
        <w:t xml:space="preserve"> for this Block</w:t>
      </w:r>
      <w:r w:rsidRPr="0011222D">
        <w:rPr>
          <w:sz w:val="22"/>
          <w:szCs w:val="22"/>
        </w:rPr>
        <w:t xml:space="preserve"> may not be sufficient to meet spending demand due to </w:t>
      </w:r>
      <w:r>
        <w:rPr>
          <w:sz w:val="22"/>
          <w:szCs w:val="22"/>
        </w:rPr>
        <w:t xml:space="preserve">NFF </w:t>
      </w:r>
      <w:r w:rsidRPr="0011222D">
        <w:rPr>
          <w:sz w:val="22"/>
          <w:szCs w:val="22"/>
        </w:rPr>
        <w:t>damping</w:t>
      </w:r>
      <w:r>
        <w:rPr>
          <w:sz w:val="22"/>
          <w:szCs w:val="22"/>
        </w:rPr>
        <w:t xml:space="preserve"> and transition</w:t>
      </w:r>
      <w:r w:rsidRPr="0011222D">
        <w:rPr>
          <w:sz w:val="22"/>
          <w:szCs w:val="22"/>
        </w:rPr>
        <w:t xml:space="preserve">. </w:t>
      </w:r>
    </w:p>
    <w:p w:rsidR="00F611DB" w:rsidRPr="00F611DB" w:rsidRDefault="00F611DB" w:rsidP="000F069A">
      <w:pPr>
        <w:jc w:val="both"/>
        <w:rPr>
          <w:sz w:val="22"/>
          <w:szCs w:val="22"/>
        </w:rPr>
      </w:pPr>
    </w:p>
    <w:p w:rsidR="00BB51CB" w:rsidRDefault="0011222D" w:rsidP="000F069A">
      <w:pPr>
        <w:jc w:val="both"/>
        <w:rPr>
          <w:sz w:val="22"/>
          <w:szCs w:val="22"/>
        </w:rPr>
      </w:pPr>
      <w:r>
        <w:rPr>
          <w:sz w:val="22"/>
          <w:szCs w:val="22"/>
        </w:rPr>
        <w:t xml:space="preserve">2.2 Depending </w:t>
      </w:r>
      <w:r w:rsidR="00FA5485">
        <w:rPr>
          <w:sz w:val="22"/>
          <w:szCs w:val="22"/>
        </w:rPr>
        <w:t>on what is decided, there are</w:t>
      </w:r>
      <w:r>
        <w:rPr>
          <w:sz w:val="22"/>
          <w:szCs w:val="22"/>
        </w:rPr>
        <w:t xml:space="preserve"> knock on consequences that must be thought through:</w:t>
      </w:r>
    </w:p>
    <w:p w:rsidR="0011222D" w:rsidRDefault="0011222D" w:rsidP="000F069A">
      <w:pPr>
        <w:jc w:val="both"/>
        <w:rPr>
          <w:sz w:val="22"/>
          <w:szCs w:val="22"/>
        </w:rPr>
      </w:pPr>
    </w:p>
    <w:p w:rsidR="0011222D" w:rsidRDefault="00DA7D36" w:rsidP="008D16B2">
      <w:pPr>
        <w:pStyle w:val="ListParagraph"/>
        <w:numPr>
          <w:ilvl w:val="0"/>
          <w:numId w:val="24"/>
        </w:numPr>
        <w:jc w:val="both"/>
        <w:rPr>
          <w:sz w:val="22"/>
          <w:szCs w:val="22"/>
        </w:rPr>
      </w:pPr>
      <w:r>
        <w:rPr>
          <w:sz w:val="22"/>
          <w:szCs w:val="22"/>
        </w:rPr>
        <w:t>NFF will affect our definition, and the values, of ‘notional SEN’ within primary and secondary formula allocations.</w:t>
      </w:r>
    </w:p>
    <w:p w:rsidR="00DA7D36" w:rsidRDefault="00DA7D36" w:rsidP="00DA7D36">
      <w:pPr>
        <w:pStyle w:val="ListParagraph"/>
        <w:jc w:val="both"/>
        <w:rPr>
          <w:sz w:val="22"/>
          <w:szCs w:val="22"/>
        </w:rPr>
      </w:pPr>
    </w:p>
    <w:p w:rsidR="00DA7D36" w:rsidRDefault="00DA7D36" w:rsidP="008D16B2">
      <w:pPr>
        <w:pStyle w:val="ListParagraph"/>
        <w:numPr>
          <w:ilvl w:val="0"/>
          <w:numId w:val="24"/>
        </w:numPr>
        <w:jc w:val="both"/>
        <w:rPr>
          <w:sz w:val="22"/>
          <w:szCs w:val="22"/>
        </w:rPr>
      </w:pPr>
      <w:r>
        <w:rPr>
          <w:sz w:val="22"/>
          <w:szCs w:val="22"/>
        </w:rPr>
        <w:t>NFF will also affect the values of SEN Floor allocations received by previously eligible schools and academies.</w:t>
      </w:r>
      <w:r w:rsidR="005B4629">
        <w:rPr>
          <w:sz w:val="22"/>
          <w:szCs w:val="22"/>
        </w:rPr>
        <w:t xml:space="preserve"> The SEN Floor is funded from the High Needs Block but references formula funding allocations within the Schools Block.</w:t>
      </w:r>
    </w:p>
    <w:p w:rsidR="00DA7D36" w:rsidRDefault="00DA7D36" w:rsidP="00DA7D36">
      <w:pPr>
        <w:pStyle w:val="ListParagraph"/>
        <w:jc w:val="both"/>
        <w:rPr>
          <w:sz w:val="22"/>
          <w:szCs w:val="22"/>
        </w:rPr>
      </w:pPr>
    </w:p>
    <w:p w:rsidR="00DA7D36" w:rsidRPr="00EA4972" w:rsidRDefault="00DA7D36" w:rsidP="008D16B2">
      <w:pPr>
        <w:pStyle w:val="ListParagraph"/>
        <w:numPr>
          <w:ilvl w:val="0"/>
          <w:numId w:val="24"/>
        </w:numPr>
        <w:jc w:val="both"/>
        <w:rPr>
          <w:sz w:val="22"/>
          <w:szCs w:val="22"/>
        </w:rPr>
      </w:pPr>
      <w:r>
        <w:rPr>
          <w:sz w:val="22"/>
          <w:szCs w:val="22"/>
        </w:rPr>
        <w:t>The scope of NFF does not yet cover all factors. There are current</w:t>
      </w:r>
      <w:r w:rsidR="004F39E1">
        <w:rPr>
          <w:sz w:val="22"/>
          <w:szCs w:val="22"/>
        </w:rPr>
        <w:t>ly</w:t>
      </w:r>
      <w:r>
        <w:rPr>
          <w:sz w:val="22"/>
          <w:szCs w:val="22"/>
        </w:rPr>
        <w:t xml:space="preserve"> no NFF solutions for the allocation of funding for the following:</w:t>
      </w:r>
    </w:p>
    <w:p w:rsidR="00DA7D36" w:rsidRDefault="00DA7D36" w:rsidP="008D16B2">
      <w:pPr>
        <w:pStyle w:val="ListParagraph"/>
        <w:numPr>
          <w:ilvl w:val="1"/>
          <w:numId w:val="24"/>
        </w:numPr>
        <w:jc w:val="both"/>
        <w:rPr>
          <w:sz w:val="22"/>
          <w:szCs w:val="22"/>
        </w:rPr>
      </w:pPr>
      <w:r>
        <w:rPr>
          <w:sz w:val="22"/>
          <w:szCs w:val="22"/>
        </w:rPr>
        <w:lastRenderedPageBreak/>
        <w:t>Pupil Mobility</w:t>
      </w:r>
    </w:p>
    <w:p w:rsidR="00DA7D36" w:rsidRDefault="00DA7D36" w:rsidP="008D16B2">
      <w:pPr>
        <w:pStyle w:val="ListParagraph"/>
        <w:numPr>
          <w:ilvl w:val="1"/>
          <w:numId w:val="24"/>
        </w:numPr>
        <w:jc w:val="both"/>
        <w:rPr>
          <w:sz w:val="22"/>
          <w:szCs w:val="22"/>
        </w:rPr>
      </w:pPr>
      <w:r>
        <w:rPr>
          <w:sz w:val="22"/>
          <w:szCs w:val="22"/>
        </w:rPr>
        <w:t>Business rates</w:t>
      </w:r>
    </w:p>
    <w:p w:rsidR="00DA7D36" w:rsidRDefault="00DA7D36" w:rsidP="008D16B2">
      <w:pPr>
        <w:pStyle w:val="ListParagraph"/>
        <w:numPr>
          <w:ilvl w:val="1"/>
          <w:numId w:val="24"/>
        </w:numPr>
        <w:jc w:val="both"/>
        <w:rPr>
          <w:sz w:val="22"/>
          <w:szCs w:val="22"/>
        </w:rPr>
      </w:pPr>
      <w:r>
        <w:rPr>
          <w:sz w:val="22"/>
          <w:szCs w:val="22"/>
        </w:rPr>
        <w:t>Split sites</w:t>
      </w:r>
    </w:p>
    <w:p w:rsidR="00DA7D36" w:rsidRDefault="00DA7D36" w:rsidP="008D16B2">
      <w:pPr>
        <w:pStyle w:val="ListParagraph"/>
        <w:numPr>
          <w:ilvl w:val="1"/>
          <w:numId w:val="24"/>
        </w:numPr>
        <w:jc w:val="both"/>
        <w:rPr>
          <w:sz w:val="22"/>
          <w:szCs w:val="22"/>
        </w:rPr>
      </w:pPr>
      <w:r>
        <w:rPr>
          <w:sz w:val="22"/>
          <w:szCs w:val="22"/>
        </w:rPr>
        <w:t>PFI (Building Schools For the Future)</w:t>
      </w:r>
    </w:p>
    <w:p w:rsidR="00DA7D36" w:rsidRDefault="00DA7D36" w:rsidP="008D16B2">
      <w:pPr>
        <w:pStyle w:val="ListParagraph"/>
        <w:numPr>
          <w:ilvl w:val="1"/>
          <w:numId w:val="24"/>
        </w:numPr>
        <w:jc w:val="both"/>
        <w:rPr>
          <w:sz w:val="22"/>
          <w:szCs w:val="22"/>
        </w:rPr>
      </w:pPr>
      <w:r>
        <w:rPr>
          <w:sz w:val="22"/>
          <w:szCs w:val="22"/>
        </w:rPr>
        <w:t>Growth Funding</w:t>
      </w:r>
    </w:p>
    <w:p w:rsidR="004F39E1" w:rsidRDefault="004F39E1" w:rsidP="004F39E1">
      <w:pPr>
        <w:jc w:val="both"/>
        <w:rPr>
          <w:sz w:val="22"/>
          <w:szCs w:val="22"/>
        </w:rPr>
      </w:pPr>
    </w:p>
    <w:p w:rsidR="004F39E1" w:rsidRDefault="004F39E1" w:rsidP="004F39E1">
      <w:pPr>
        <w:jc w:val="both"/>
        <w:rPr>
          <w:sz w:val="22"/>
          <w:szCs w:val="22"/>
        </w:rPr>
      </w:pPr>
      <w:r>
        <w:rPr>
          <w:sz w:val="22"/>
          <w:szCs w:val="22"/>
        </w:rPr>
        <w:t>2.</w:t>
      </w:r>
      <w:r w:rsidR="003F7031">
        <w:rPr>
          <w:sz w:val="22"/>
          <w:szCs w:val="22"/>
        </w:rPr>
        <w:t>3 Aga</w:t>
      </w:r>
      <w:r w:rsidR="00C06AC2">
        <w:rPr>
          <w:sz w:val="22"/>
          <w:szCs w:val="22"/>
        </w:rPr>
        <w:t>inst the 6</w:t>
      </w:r>
      <w:r w:rsidR="003F7031">
        <w:rPr>
          <w:sz w:val="22"/>
          <w:szCs w:val="22"/>
        </w:rPr>
        <w:t xml:space="preserve"> key decisions</w:t>
      </w:r>
      <w:r w:rsidR="00FA5485">
        <w:rPr>
          <w:sz w:val="22"/>
          <w:szCs w:val="22"/>
        </w:rPr>
        <w:t xml:space="preserve"> then</w:t>
      </w:r>
      <w:r w:rsidR="003F7031">
        <w:rPr>
          <w:sz w:val="22"/>
          <w:szCs w:val="22"/>
        </w:rPr>
        <w:t>,</w:t>
      </w:r>
      <w:r w:rsidR="00FA5485">
        <w:rPr>
          <w:sz w:val="22"/>
          <w:szCs w:val="22"/>
        </w:rPr>
        <w:t xml:space="preserve"> in summary,</w:t>
      </w:r>
      <w:r w:rsidR="003F7031">
        <w:rPr>
          <w:sz w:val="22"/>
          <w:szCs w:val="22"/>
        </w:rPr>
        <w:t xml:space="preserve"> the Authority</w:t>
      </w:r>
      <w:r>
        <w:rPr>
          <w:sz w:val="22"/>
          <w:szCs w:val="22"/>
        </w:rPr>
        <w:t xml:space="preserve"> propose</w:t>
      </w:r>
      <w:r w:rsidR="003F7031">
        <w:rPr>
          <w:sz w:val="22"/>
          <w:szCs w:val="22"/>
        </w:rPr>
        <w:t>s</w:t>
      </w:r>
      <w:r w:rsidR="00D5521B">
        <w:rPr>
          <w:sz w:val="22"/>
          <w:szCs w:val="22"/>
        </w:rPr>
        <w:t xml:space="preserve"> the following. Within</w:t>
      </w:r>
      <w:r w:rsidR="004D0664">
        <w:rPr>
          <w:sz w:val="22"/>
          <w:szCs w:val="22"/>
        </w:rPr>
        <w:t xml:space="preserve"> these proposals, we refer</w:t>
      </w:r>
      <w:r w:rsidR="00D5521B">
        <w:rPr>
          <w:sz w:val="22"/>
          <w:szCs w:val="22"/>
        </w:rPr>
        <w:t xml:space="preserve"> to ‘subject to </w:t>
      </w:r>
      <w:r w:rsidR="004D0664">
        <w:rPr>
          <w:sz w:val="22"/>
          <w:szCs w:val="22"/>
        </w:rPr>
        <w:t xml:space="preserve">final </w:t>
      </w:r>
      <w:r w:rsidR="00D5521B">
        <w:rPr>
          <w:sz w:val="22"/>
          <w:szCs w:val="22"/>
        </w:rPr>
        <w:t>affordability’</w:t>
      </w:r>
      <w:r w:rsidR="004D0C18">
        <w:rPr>
          <w:sz w:val="22"/>
          <w:szCs w:val="22"/>
        </w:rPr>
        <w:t xml:space="preserve">. The modelling </w:t>
      </w:r>
      <w:r w:rsidR="00D5521B">
        <w:rPr>
          <w:sz w:val="22"/>
          <w:szCs w:val="22"/>
        </w:rPr>
        <w:t xml:space="preserve">using the </w:t>
      </w:r>
      <w:r w:rsidR="00EA4ADA">
        <w:rPr>
          <w:sz w:val="22"/>
          <w:szCs w:val="22"/>
        </w:rPr>
        <w:t xml:space="preserve">existing </w:t>
      </w:r>
      <w:r w:rsidR="00D5521B">
        <w:rPr>
          <w:sz w:val="22"/>
          <w:szCs w:val="22"/>
        </w:rPr>
        <w:t>October 2016 Census</w:t>
      </w:r>
      <w:r w:rsidR="004D0C18">
        <w:rPr>
          <w:sz w:val="22"/>
          <w:szCs w:val="22"/>
        </w:rPr>
        <w:t xml:space="preserve"> dataset indicates that the starting</w:t>
      </w:r>
      <w:r w:rsidR="00D5521B">
        <w:rPr>
          <w:sz w:val="22"/>
          <w:szCs w:val="22"/>
        </w:rPr>
        <w:t xml:space="preserve"> proposals</w:t>
      </w:r>
      <w:r w:rsidR="004D0664">
        <w:rPr>
          <w:sz w:val="22"/>
          <w:szCs w:val="22"/>
        </w:rPr>
        <w:t xml:space="preserve"> listed below</w:t>
      </w:r>
      <w:r w:rsidR="00D5521B">
        <w:rPr>
          <w:sz w:val="22"/>
          <w:szCs w:val="22"/>
        </w:rPr>
        <w:t xml:space="preserve"> are fully affordable. However, the cost of formula funding in 2018/19 will change once the October 2017 Census dataset is used</w:t>
      </w:r>
      <w:r w:rsidR="004D0C18">
        <w:rPr>
          <w:sz w:val="22"/>
          <w:szCs w:val="22"/>
        </w:rPr>
        <w:t xml:space="preserve"> e.g. FSM%</w:t>
      </w:r>
      <w:r w:rsidR="00E33C74">
        <w:rPr>
          <w:sz w:val="22"/>
          <w:szCs w:val="22"/>
        </w:rPr>
        <w:t>s</w:t>
      </w:r>
      <w:r w:rsidR="004D0C18">
        <w:rPr>
          <w:sz w:val="22"/>
          <w:szCs w:val="22"/>
        </w:rPr>
        <w:t xml:space="preserve"> go up and down, prior attainment scores change</w:t>
      </w:r>
      <w:r w:rsidR="00D5521B">
        <w:rPr>
          <w:sz w:val="22"/>
          <w:szCs w:val="22"/>
        </w:rPr>
        <w:t>.</w:t>
      </w:r>
      <w:r w:rsidR="00E33C74">
        <w:rPr>
          <w:sz w:val="22"/>
          <w:szCs w:val="22"/>
        </w:rPr>
        <w:t xml:space="preserve"> We cannot currently accurately</w:t>
      </w:r>
      <w:r w:rsidR="00D5521B">
        <w:rPr>
          <w:sz w:val="22"/>
          <w:szCs w:val="22"/>
        </w:rPr>
        <w:t xml:space="preserve"> pre</w:t>
      </w:r>
      <w:r w:rsidR="00415519">
        <w:rPr>
          <w:sz w:val="22"/>
          <w:szCs w:val="22"/>
        </w:rPr>
        <w:t>dict what the</w:t>
      </w:r>
      <w:r w:rsidR="00E33C74">
        <w:rPr>
          <w:sz w:val="22"/>
          <w:szCs w:val="22"/>
        </w:rPr>
        <w:t xml:space="preserve"> change in cost will be; the cost</w:t>
      </w:r>
      <w:r w:rsidR="00D5521B">
        <w:rPr>
          <w:sz w:val="22"/>
          <w:szCs w:val="22"/>
        </w:rPr>
        <w:t xml:space="preserve"> won’t be confirmed until the dataset is released by the </w:t>
      </w:r>
      <w:proofErr w:type="spellStart"/>
      <w:r w:rsidR="00D5521B">
        <w:rPr>
          <w:sz w:val="22"/>
          <w:szCs w:val="22"/>
        </w:rPr>
        <w:t>DfE</w:t>
      </w:r>
      <w:proofErr w:type="spellEnd"/>
      <w:r w:rsidR="00D5521B">
        <w:rPr>
          <w:sz w:val="22"/>
          <w:szCs w:val="22"/>
        </w:rPr>
        <w:t xml:space="preserve"> in December. Therefore, in this consultation, we must place caveats and we also must ensure</w:t>
      </w:r>
      <w:r w:rsidR="00E33C74">
        <w:rPr>
          <w:sz w:val="22"/>
          <w:szCs w:val="22"/>
        </w:rPr>
        <w:t xml:space="preserve"> that</w:t>
      </w:r>
      <w:r w:rsidR="00D5521B">
        <w:rPr>
          <w:sz w:val="22"/>
          <w:szCs w:val="22"/>
        </w:rPr>
        <w:t xml:space="preserve"> schools are aware of the discussion and decision making processes that will take place should </w:t>
      </w:r>
      <w:r w:rsidR="00E33C74">
        <w:rPr>
          <w:sz w:val="22"/>
          <w:szCs w:val="22"/>
        </w:rPr>
        <w:t xml:space="preserve">the starting </w:t>
      </w:r>
      <w:r w:rsidR="00D5521B">
        <w:rPr>
          <w:sz w:val="22"/>
          <w:szCs w:val="22"/>
        </w:rPr>
        <w:t>proposals not be affordable within the 2018/19 envelop</w:t>
      </w:r>
      <w:r w:rsidR="00A17348">
        <w:rPr>
          <w:sz w:val="22"/>
          <w:szCs w:val="22"/>
        </w:rPr>
        <w:t>e</w:t>
      </w:r>
      <w:r w:rsidR="00D5521B">
        <w:rPr>
          <w:sz w:val="22"/>
          <w:szCs w:val="22"/>
        </w:rPr>
        <w:t>.</w:t>
      </w:r>
      <w:r w:rsidR="009460C7">
        <w:rPr>
          <w:sz w:val="22"/>
          <w:szCs w:val="22"/>
        </w:rPr>
        <w:t xml:space="preserve"> W</w:t>
      </w:r>
      <w:r w:rsidR="00415519">
        <w:rPr>
          <w:sz w:val="22"/>
          <w:szCs w:val="22"/>
        </w:rPr>
        <w:t xml:space="preserve">e rely on the </w:t>
      </w:r>
      <w:r w:rsidR="003468C2">
        <w:rPr>
          <w:sz w:val="22"/>
          <w:szCs w:val="22"/>
        </w:rPr>
        <w:t>on-going</w:t>
      </w:r>
      <w:r w:rsidR="00415519">
        <w:rPr>
          <w:sz w:val="22"/>
          <w:szCs w:val="22"/>
        </w:rPr>
        <w:t xml:space="preserve"> communication between schools and academies and their representatives on the Schools Forum.</w:t>
      </w:r>
    </w:p>
    <w:p w:rsidR="004F39E1" w:rsidRDefault="004F39E1" w:rsidP="004F39E1">
      <w:pPr>
        <w:jc w:val="both"/>
        <w:rPr>
          <w:sz w:val="22"/>
          <w:szCs w:val="22"/>
        </w:rPr>
      </w:pPr>
    </w:p>
    <w:p w:rsidR="002C77DB" w:rsidRDefault="002C77DB" w:rsidP="004F39E1">
      <w:pPr>
        <w:jc w:val="both"/>
        <w:rPr>
          <w:sz w:val="22"/>
          <w:szCs w:val="22"/>
        </w:rPr>
      </w:pPr>
    </w:p>
    <w:p w:rsidR="004F39E1" w:rsidRPr="004F39E1" w:rsidRDefault="004F39E1" w:rsidP="004F39E1">
      <w:pPr>
        <w:jc w:val="both"/>
        <w:rPr>
          <w:sz w:val="22"/>
          <w:szCs w:val="22"/>
          <w:u w:val="single"/>
        </w:rPr>
      </w:pPr>
      <w:r w:rsidRPr="004F39E1">
        <w:rPr>
          <w:sz w:val="22"/>
          <w:szCs w:val="22"/>
          <w:u w:val="single"/>
        </w:rPr>
        <w:t>Decision 1 –</w:t>
      </w:r>
      <w:r w:rsidR="0047152D">
        <w:rPr>
          <w:sz w:val="22"/>
          <w:szCs w:val="22"/>
          <w:u w:val="single"/>
        </w:rPr>
        <w:t xml:space="preserve"> W</w:t>
      </w:r>
      <w:r w:rsidRPr="004F39E1">
        <w:rPr>
          <w:sz w:val="22"/>
          <w:szCs w:val="22"/>
          <w:u w:val="single"/>
        </w:rPr>
        <w:t>hether to move to NFF at April 2018</w:t>
      </w:r>
    </w:p>
    <w:p w:rsidR="00F611DB" w:rsidRDefault="00F611DB" w:rsidP="000F069A">
      <w:pPr>
        <w:jc w:val="both"/>
        <w:rPr>
          <w:color w:val="FF0000"/>
          <w:sz w:val="22"/>
          <w:szCs w:val="22"/>
        </w:rPr>
      </w:pPr>
    </w:p>
    <w:p w:rsidR="00D557AF" w:rsidRDefault="00542192" w:rsidP="008D16B2">
      <w:pPr>
        <w:pStyle w:val="ListParagraph"/>
        <w:numPr>
          <w:ilvl w:val="0"/>
          <w:numId w:val="25"/>
        </w:numPr>
        <w:jc w:val="both"/>
        <w:rPr>
          <w:sz w:val="22"/>
          <w:szCs w:val="22"/>
        </w:rPr>
      </w:pPr>
      <w:r w:rsidRPr="002355B0">
        <w:rPr>
          <w:b/>
          <w:sz w:val="22"/>
          <w:szCs w:val="22"/>
        </w:rPr>
        <w:t>The Authority</w:t>
      </w:r>
      <w:r w:rsidR="00A044D6" w:rsidRPr="002355B0">
        <w:rPr>
          <w:b/>
          <w:sz w:val="22"/>
          <w:szCs w:val="22"/>
        </w:rPr>
        <w:t xml:space="preserve"> propose</w:t>
      </w:r>
      <w:r w:rsidRPr="002355B0">
        <w:rPr>
          <w:b/>
          <w:sz w:val="22"/>
          <w:szCs w:val="22"/>
        </w:rPr>
        <w:t>s</w:t>
      </w:r>
      <w:r w:rsidR="00D557AF" w:rsidRPr="002355B0">
        <w:rPr>
          <w:b/>
          <w:sz w:val="22"/>
          <w:szCs w:val="22"/>
        </w:rPr>
        <w:t xml:space="preserve"> to </w:t>
      </w:r>
      <w:r w:rsidR="00FA5485" w:rsidRPr="002355B0">
        <w:rPr>
          <w:b/>
          <w:sz w:val="22"/>
          <w:szCs w:val="22"/>
        </w:rPr>
        <w:t>‘</w:t>
      </w:r>
      <w:r w:rsidR="00D557AF" w:rsidRPr="002355B0">
        <w:rPr>
          <w:b/>
          <w:sz w:val="22"/>
          <w:szCs w:val="22"/>
        </w:rPr>
        <w:t>move to NFF</w:t>
      </w:r>
      <w:r w:rsidR="00FA5485" w:rsidRPr="002355B0">
        <w:rPr>
          <w:b/>
          <w:sz w:val="22"/>
          <w:szCs w:val="22"/>
        </w:rPr>
        <w:t>’</w:t>
      </w:r>
      <w:r w:rsidR="00D557AF" w:rsidRPr="002355B0">
        <w:rPr>
          <w:b/>
          <w:sz w:val="22"/>
          <w:szCs w:val="22"/>
        </w:rPr>
        <w:t xml:space="preserve"> at April 2018</w:t>
      </w:r>
      <w:r w:rsidR="00D557AF">
        <w:rPr>
          <w:sz w:val="22"/>
          <w:szCs w:val="22"/>
        </w:rPr>
        <w:t>, thereby using NFF</w:t>
      </w:r>
      <w:r w:rsidR="00FA5485">
        <w:rPr>
          <w:sz w:val="22"/>
          <w:szCs w:val="22"/>
        </w:rPr>
        <w:t xml:space="preserve"> to calculate</w:t>
      </w:r>
      <w:r w:rsidR="00D557AF">
        <w:rPr>
          <w:sz w:val="22"/>
          <w:szCs w:val="22"/>
        </w:rPr>
        <w:t xml:space="preserve"> individual formula funding budget shares for both the primary and secondary phases instead of </w:t>
      </w:r>
      <w:r w:rsidR="00F74659">
        <w:rPr>
          <w:sz w:val="22"/>
          <w:szCs w:val="22"/>
        </w:rPr>
        <w:t xml:space="preserve">using </w:t>
      </w:r>
      <w:r w:rsidR="00D557AF">
        <w:rPr>
          <w:sz w:val="22"/>
          <w:szCs w:val="22"/>
        </w:rPr>
        <w:t>our current local formula.</w:t>
      </w:r>
    </w:p>
    <w:p w:rsidR="00FA5485" w:rsidRDefault="00FA5485" w:rsidP="00FA5485">
      <w:pPr>
        <w:pStyle w:val="ListParagraph"/>
        <w:jc w:val="both"/>
        <w:rPr>
          <w:sz w:val="22"/>
          <w:szCs w:val="22"/>
        </w:rPr>
      </w:pPr>
    </w:p>
    <w:p w:rsidR="00F611DB" w:rsidRDefault="00D557AF" w:rsidP="008D16B2">
      <w:pPr>
        <w:pStyle w:val="ListParagraph"/>
        <w:numPr>
          <w:ilvl w:val="0"/>
          <w:numId w:val="25"/>
        </w:numPr>
        <w:jc w:val="both"/>
        <w:rPr>
          <w:sz w:val="22"/>
          <w:szCs w:val="22"/>
        </w:rPr>
      </w:pPr>
      <w:r>
        <w:rPr>
          <w:sz w:val="22"/>
          <w:szCs w:val="22"/>
        </w:rPr>
        <w:t>By ‘move to NFF’ we mean to replicate the NFF at individual school level as closely as possible within the constraints of a) the 2018/19 Finance Regulations</w:t>
      </w:r>
      <w:r w:rsidR="00FA5485">
        <w:rPr>
          <w:sz w:val="22"/>
          <w:szCs w:val="22"/>
        </w:rPr>
        <w:t xml:space="preserve"> and b)</w:t>
      </w:r>
      <w:r>
        <w:rPr>
          <w:sz w:val="22"/>
          <w:szCs w:val="22"/>
        </w:rPr>
        <w:t xml:space="preserve"> affordability within Bradford’</w:t>
      </w:r>
      <w:r w:rsidR="003123BF">
        <w:rPr>
          <w:sz w:val="22"/>
          <w:szCs w:val="22"/>
        </w:rPr>
        <w:t>s 2018/19 DSG envelop</w:t>
      </w:r>
      <w:r w:rsidR="00A17348">
        <w:rPr>
          <w:sz w:val="22"/>
          <w:szCs w:val="22"/>
        </w:rPr>
        <w:t>e</w:t>
      </w:r>
      <w:r w:rsidR="003123BF">
        <w:rPr>
          <w:sz w:val="22"/>
          <w:szCs w:val="22"/>
        </w:rPr>
        <w:t>.</w:t>
      </w:r>
      <w:r w:rsidR="00F74659">
        <w:rPr>
          <w:sz w:val="22"/>
          <w:szCs w:val="22"/>
        </w:rPr>
        <w:t xml:space="preserve"> Where the cost of formula funding for 2018/19 increases due to changes in the October 2017 Census dataset, to the extent that t</w:t>
      </w:r>
      <w:r w:rsidR="00FA224F">
        <w:rPr>
          <w:sz w:val="22"/>
          <w:szCs w:val="22"/>
        </w:rPr>
        <w:t>he Schools Block will</w:t>
      </w:r>
      <w:r w:rsidR="00F74659">
        <w:rPr>
          <w:sz w:val="22"/>
          <w:szCs w:val="22"/>
        </w:rPr>
        <w:t xml:space="preserve"> be overspent</w:t>
      </w:r>
      <w:r w:rsidR="00FA224F">
        <w:rPr>
          <w:sz w:val="22"/>
          <w:szCs w:val="22"/>
        </w:rPr>
        <w:t xml:space="preserve"> if the NFF is</w:t>
      </w:r>
      <w:r w:rsidR="00F74659">
        <w:rPr>
          <w:sz w:val="22"/>
          <w:szCs w:val="22"/>
        </w:rPr>
        <w:t xml:space="preserve"> fully implemented, the Authority will discuss the options for address</w:t>
      </w:r>
      <w:r w:rsidR="00FA224F">
        <w:rPr>
          <w:sz w:val="22"/>
          <w:szCs w:val="22"/>
        </w:rPr>
        <w:t>ing</w:t>
      </w:r>
      <w:r w:rsidR="00F74659">
        <w:rPr>
          <w:sz w:val="22"/>
          <w:szCs w:val="22"/>
        </w:rPr>
        <w:t xml:space="preserve"> this with the Schools Forum and will ask the Schools Forum for a recommendation on this matter</w:t>
      </w:r>
      <w:r w:rsidR="00FA224F">
        <w:rPr>
          <w:sz w:val="22"/>
          <w:szCs w:val="22"/>
        </w:rPr>
        <w:t xml:space="preserve"> in January 2018</w:t>
      </w:r>
      <w:r w:rsidR="00F74659">
        <w:rPr>
          <w:sz w:val="22"/>
          <w:szCs w:val="22"/>
        </w:rPr>
        <w:t>.</w:t>
      </w:r>
      <w:r w:rsidR="00167FF8">
        <w:rPr>
          <w:sz w:val="22"/>
          <w:szCs w:val="22"/>
        </w:rPr>
        <w:t xml:space="preserve"> This may mean that certain aspects of the NFF are scaled back.</w:t>
      </w:r>
    </w:p>
    <w:p w:rsidR="00F74659" w:rsidRDefault="00F74659" w:rsidP="00F74659">
      <w:pPr>
        <w:pStyle w:val="ListParagraph"/>
        <w:jc w:val="both"/>
        <w:rPr>
          <w:sz w:val="22"/>
          <w:szCs w:val="22"/>
        </w:rPr>
      </w:pPr>
    </w:p>
    <w:p w:rsidR="00F74659" w:rsidRDefault="00F74659" w:rsidP="008D16B2">
      <w:pPr>
        <w:pStyle w:val="ListParagraph"/>
        <w:numPr>
          <w:ilvl w:val="0"/>
          <w:numId w:val="25"/>
        </w:numPr>
        <w:jc w:val="both"/>
        <w:rPr>
          <w:sz w:val="22"/>
          <w:szCs w:val="22"/>
        </w:rPr>
      </w:pPr>
      <w:r>
        <w:rPr>
          <w:sz w:val="22"/>
          <w:szCs w:val="22"/>
        </w:rPr>
        <w:t>In managing affordability with the Schools Block,</w:t>
      </w:r>
      <w:r w:rsidR="00FA224F">
        <w:rPr>
          <w:sz w:val="22"/>
          <w:szCs w:val="22"/>
        </w:rPr>
        <w:t xml:space="preserve"> the Authority proposes</w:t>
      </w:r>
      <w:r>
        <w:rPr>
          <w:sz w:val="22"/>
          <w:szCs w:val="22"/>
        </w:rPr>
        <w:t xml:space="preserve"> effectively</w:t>
      </w:r>
      <w:r w:rsidR="00FA224F">
        <w:rPr>
          <w:sz w:val="22"/>
          <w:szCs w:val="22"/>
        </w:rPr>
        <w:t xml:space="preserve"> to</w:t>
      </w:r>
      <w:r>
        <w:rPr>
          <w:sz w:val="22"/>
          <w:szCs w:val="22"/>
        </w:rPr>
        <w:t xml:space="preserve"> ‘ring fence’ primary and secondary monies separately so that any over or under</w:t>
      </w:r>
      <w:r w:rsidR="00FA224F">
        <w:rPr>
          <w:sz w:val="22"/>
          <w:szCs w:val="22"/>
        </w:rPr>
        <w:t xml:space="preserve"> </w:t>
      </w:r>
      <w:r>
        <w:rPr>
          <w:sz w:val="22"/>
          <w:szCs w:val="22"/>
        </w:rPr>
        <w:t>spending</w:t>
      </w:r>
      <w:r w:rsidR="00FA224F">
        <w:rPr>
          <w:sz w:val="22"/>
          <w:szCs w:val="22"/>
        </w:rPr>
        <w:t>, and adjustment to correct this, is</w:t>
      </w:r>
      <w:r>
        <w:rPr>
          <w:sz w:val="22"/>
          <w:szCs w:val="22"/>
        </w:rPr>
        <w:t xml:space="preserve"> considered on a separate phase basis</w:t>
      </w:r>
      <w:r w:rsidR="007C3229">
        <w:rPr>
          <w:sz w:val="22"/>
          <w:szCs w:val="22"/>
        </w:rPr>
        <w:t xml:space="preserve"> and so that monies are not transferred between the phases where it is possible to avoid this. Please note that the values of MFG and ceiling must be set the same for both phases.</w:t>
      </w:r>
    </w:p>
    <w:p w:rsidR="00A17BDE" w:rsidRDefault="00A17BDE" w:rsidP="00A17BDE">
      <w:pPr>
        <w:pStyle w:val="ListParagraph"/>
        <w:jc w:val="both"/>
        <w:rPr>
          <w:sz w:val="22"/>
          <w:szCs w:val="22"/>
        </w:rPr>
      </w:pPr>
    </w:p>
    <w:p w:rsidR="00A17BDE" w:rsidRDefault="00A17BDE" w:rsidP="008D16B2">
      <w:pPr>
        <w:pStyle w:val="ListParagraph"/>
        <w:numPr>
          <w:ilvl w:val="0"/>
          <w:numId w:val="25"/>
        </w:numPr>
        <w:jc w:val="both"/>
        <w:rPr>
          <w:sz w:val="22"/>
          <w:szCs w:val="22"/>
        </w:rPr>
      </w:pPr>
      <w:r>
        <w:rPr>
          <w:sz w:val="22"/>
          <w:szCs w:val="22"/>
        </w:rPr>
        <w:t>Most of the additional detail in this consultation document focuses on</w:t>
      </w:r>
      <w:r w:rsidR="008B70E1">
        <w:rPr>
          <w:sz w:val="22"/>
          <w:szCs w:val="22"/>
        </w:rPr>
        <w:t xml:space="preserve"> explaining NFF and sets</w:t>
      </w:r>
      <w:r w:rsidR="00585BCB">
        <w:rPr>
          <w:sz w:val="22"/>
          <w:szCs w:val="22"/>
        </w:rPr>
        <w:t xml:space="preserve"> out </w:t>
      </w:r>
      <w:r>
        <w:rPr>
          <w:sz w:val="22"/>
          <w:szCs w:val="22"/>
        </w:rPr>
        <w:t>the cas</w:t>
      </w:r>
      <w:r w:rsidR="00585BCB">
        <w:rPr>
          <w:sz w:val="22"/>
          <w:szCs w:val="22"/>
        </w:rPr>
        <w:t>e for moving to this from</w:t>
      </w:r>
      <w:r>
        <w:rPr>
          <w:sz w:val="22"/>
          <w:szCs w:val="22"/>
        </w:rPr>
        <w:t xml:space="preserve"> April 2018.</w:t>
      </w:r>
    </w:p>
    <w:p w:rsidR="00FA5485" w:rsidRDefault="00FA5485" w:rsidP="00FA5485">
      <w:pPr>
        <w:jc w:val="both"/>
        <w:rPr>
          <w:sz w:val="22"/>
          <w:szCs w:val="22"/>
        </w:rPr>
      </w:pPr>
    </w:p>
    <w:p w:rsidR="000F64D4" w:rsidRPr="006D22C0" w:rsidRDefault="000F64D4" w:rsidP="00FA5485">
      <w:pPr>
        <w:jc w:val="both"/>
        <w:rPr>
          <w:b/>
          <w:bCs/>
          <w:color w:val="4F81BD" w:themeColor="accent1"/>
          <w:sz w:val="22"/>
          <w:szCs w:val="22"/>
        </w:rPr>
      </w:pPr>
      <w:r w:rsidRPr="006D22C0">
        <w:rPr>
          <w:b/>
          <w:bCs/>
          <w:color w:val="4F81BD" w:themeColor="accent1"/>
          <w:sz w:val="22"/>
          <w:szCs w:val="22"/>
        </w:rPr>
        <w:t>Question 1</w:t>
      </w:r>
      <w:r w:rsidR="006D22C0" w:rsidRPr="006D22C0">
        <w:rPr>
          <w:b/>
          <w:bCs/>
          <w:color w:val="4F81BD" w:themeColor="accent1"/>
          <w:sz w:val="22"/>
          <w:szCs w:val="22"/>
        </w:rPr>
        <w:t>: Do you agree with the proposal to ‘move to National Funding Formula’ at April 2018? If not, please explain why not.</w:t>
      </w:r>
    </w:p>
    <w:p w:rsidR="006D22C0" w:rsidRPr="006D22C0" w:rsidRDefault="006D22C0" w:rsidP="00FA5485">
      <w:pPr>
        <w:jc w:val="both"/>
        <w:rPr>
          <w:b/>
          <w:bCs/>
          <w:color w:val="4F81BD" w:themeColor="accent1"/>
          <w:sz w:val="22"/>
          <w:szCs w:val="22"/>
        </w:rPr>
      </w:pPr>
    </w:p>
    <w:p w:rsidR="000F64D4" w:rsidRPr="006D22C0" w:rsidRDefault="006D22C0" w:rsidP="00FA5485">
      <w:pPr>
        <w:jc w:val="both"/>
        <w:rPr>
          <w:b/>
          <w:bCs/>
          <w:color w:val="4F81BD" w:themeColor="accent1"/>
          <w:sz w:val="22"/>
          <w:szCs w:val="22"/>
        </w:rPr>
      </w:pPr>
      <w:r w:rsidRPr="006D22C0">
        <w:rPr>
          <w:b/>
          <w:bCs/>
          <w:color w:val="4F81BD" w:themeColor="accent1"/>
          <w:sz w:val="22"/>
          <w:szCs w:val="22"/>
        </w:rPr>
        <w:t>Question 2: Do you agree with earmarking Schools Block funding on a phase-specific basis? If not, please explain why not.</w:t>
      </w:r>
    </w:p>
    <w:p w:rsidR="000F64D4" w:rsidRDefault="000F64D4" w:rsidP="00FA5485">
      <w:pPr>
        <w:jc w:val="both"/>
        <w:rPr>
          <w:sz w:val="22"/>
          <w:szCs w:val="22"/>
        </w:rPr>
      </w:pPr>
    </w:p>
    <w:p w:rsidR="002C77DB" w:rsidRDefault="002C77DB" w:rsidP="00FA5485">
      <w:pPr>
        <w:jc w:val="both"/>
        <w:rPr>
          <w:sz w:val="22"/>
          <w:szCs w:val="22"/>
        </w:rPr>
      </w:pPr>
    </w:p>
    <w:p w:rsidR="00FA5485" w:rsidRPr="004F39E1" w:rsidRDefault="00FA5485" w:rsidP="00FA5485">
      <w:pPr>
        <w:jc w:val="both"/>
        <w:rPr>
          <w:sz w:val="22"/>
          <w:szCs w:val="22"/>
          <w:u w:val="single"/>
        </w:rPr>
      </w:pPr>
      <w:r>
        <w:rPr>
          <w:sz w:val="22"/>
          <w:szCs w:val="22"/>
          <w:u w:val="single"/>
        </w:rPr>
        <w:t>Decision 2</w:t>
      </w:r>
      <w:r w:rsidRPr="004F39E1">
        <w:rPr>
          <w:sz w:val="22"/>
          <w:szCs w:val="22"/>
          <w:u w:val="single"/>
        </w:rPr>
        <w:t xml:space="preserve"> – </w:t>
      </w:r>
      <w:r w:rsidR="001C1A91">
        <w:rPr>
          <w:sz w:val="22"/>
          <w:szCs w:val="22"/>
          <w:u w:val="single"/>
        </w:rPr>
        <w:t>The value of the Minimum Funding Guarantee in 2018/19</w:t>
      </w:r>
    </w:p>
    <w:p w:rsidR="00FA5485" w:rsidRPr="00FA5485" w:rsidRDefault="00FA5485" w:rsidP="00FA5485">
      <w:pPr>
        <w:jc w:val="both"/>
        <w:rPr>
          <w:sz w:val="22"/>
          <w:szCs w:val="22"/>
        </w:rPr>
      </w:pPr>
    </w:p>
    <w:p w:rsidR="00F611DB" w:rsidRDefault="001C1A91" w:rsidP="008D16B2">
      <w:pPr>
        <w:pStyle w:val="ListParagraph"/>
        <w:numPr>
          <w:ilvl w:val="0"/>
          <w:numId w:val="25"/>
        </w:numPr>
        <w:jc w:val="both"/>
        <w:rPr>
          <w:sz w:val="22"/>
          <w:szCs w:val="22"/>
        </w:rPr>
      </w:pPr>
      <w:r w:rsidRPr="002355B0">
        <w:rPr>
          <w:b/>
          <w:sz w:val="22"/>
          <w:szCs w:val="22"/>
        </w:rPr>
        <w:t xml:space="preserve">The Authority proposes to set the MFG at 0%, subject to </w:t>
      </w:r>
      <w:r w:rsidR="003E4B7C">
        <w:rPr>
          <w:b/>
          <w:sz w:val="22"/>
          <w:szCs w:val="22"/>
        </w:rPr>
        <w:t xml:space="preserve">final </w:t>
      </w:r>
      <w:r w:rsidRPr="002355B0">
        <w:rPr>
          <w:b/>
          <w:sz w:val="22"/>
          <w:szCs w:val="22"/>
        </w:rPr>
        <w:t>affordability,</w:t>
      </w:r>
      <w:r>
        <w:rPr>
          <w:sz w:val="22"/>
          <w:szCs w:val="22"/>
        </w:rPr>
        <w:t xml:space="preserve"> which will be confirmed once the cost of formula </w:t>
      </w:r>
      <w:r w:rsidR="003123BF">
        <w:rPr>
          <w:sz w:val="22"/>
          <w:szCs w:val="22"/>
        </w:rPr>
        <w:t>funding using the October 2017 C</w:t>
      </w:r>
      <w:r>
        <w:rPr>
          <w:sz w:val="22"/>
          <w:szCs w:val="22"/>
        </w:rPr>
        <w:t>ensus dataset is known.</w:t>
      </w:r>
      <w:r w:rsidR="003123BF">
        <w:rPr>
          <w:sz w:val="22"/>
          <w:szCs w:val="22"/>
        </w:rPr>
        <w:t xml:space="preserve"> Where 0% is not affordable, the Authority will discuss the options for addressing this with the Schools Forum and will ask the Schools Forum to make a recommendation on this matter.</w:t>
      </w:r>
      <w:r w:rsidR="00262E4F">
        <w:rPr>
          <w:sz w:val="22"/>
          <w:szCs w:val="22"/>
        </w:rPr>
        <w:t xml:space="preserve"> This may mean that the MFG is reduced towards or to minus 1.5%.</w:t>
      </w:r>
    </w:p>
    <w:p w:rsidR="005372C9" w:rsidRDefault="005372C9" w:rsidP="005372C9">
      <w:pPr>
        <w:pStyle w:val="ListParagraph"/>
        <w:jc w:val="both"/>
        <w:rPr>
          <w:sz w:val="22"/>
          <w:szCs w:val="22"/>
        </w:rPr>
      </w:pPr>
    </w:p>
    <w:p w:rsidR="002C77DB" w:rsidRPr="005372C9" w:rsidRDefault="005372C9" w:rsidP="008D16B2">
      <w:pPr>
        <w:pStyle w:val="ListParagraph"/>
        <w:numPr>
          <w:ilvl w:val="0"/>
          <w:numId w:val="25"/>
        </w:numPr>
        <w:jc w:val="both"/>
        <w:rPr>
          <w:sz w:val="22"/>
          <w:szCs w:val="22"/>
        </w:rPr>
      </w:pPr>
      <w:r>
        <w:rPr>
          <w:sz w:val="22"/>
          <w:szCs w:val="22"/>
        </w:rPr>
        <w:t>A 0% MFG would be</w:t>
      </w:r>
      <w:r w:rsidR="00996F09">
        <w:rPr>
          <w:sz w:val="22"/>
          <w:szCs w:val="22"/>
        </w:rPr>
        <w:t xml:space="preserve"> a</w:t>
      </w:r>
      <w:r>
        <w:rPr>
          <w:sz w:val="22"/>
          <w:szCs w:val="22"/>
        </w:rPr>
        <w:t xml:space="preserve"> </w:t>
      </w:r>
      <w:r w:rsidR="0038310F">
        <w:rPr>
          <w:sz w:val="22"/>
          <w:szCs w:val="22"/>
        </w:rPr>
        <w:t>significant</w:t>
      </w:r>
      <w:r>
        <w:rPr>
          <w:sz w:val="22"/>
          <w:szCs w:val="22"/>
        </w:rPr>
        <w:t xml:space="preserve"> </w:t>
      </w:r>
      <w:r w:rsidR="00996F09">
        <w:rPr>
          <w:sz w:val="22"/>
          <w:szCs w:val="22"/>
        </w:rPr>
        <w:t>improvement</w:t>
      </w:r>
      <w:r>
        <w:rPr>
          <w:sz w:val="22"/>
          <w:szCs w:val="22"/>
        </w:rPr>
        <w:t xml:space="preserve"> on the original MFG level for 2018/19</w:t>
      </w:r>
      <w:r w:rsidR="00996F09">
        <w:rPr>
          <w:sz w:val="22"/>
          <w:szCs w:val="22"/>
        </w:rPr>
        <w:t xml:space="preserve"> proposed by the </w:t>
      </w:r>
      <w:proofErr w:type="spellStart"/>
      <w:r w:rsidR="00996F09">
        <w:rPr>
          <w:sz w:val="22"/>
          <w:szCs w:val="22"/>
        </w:rPr>
        <w:t>DfE</w:t>
      </w:r>
      <w:proofErr w:type="spellEnd"/>
      <w:r w:rsidR="008F4A91">
        <w:rPr>
          <w:sz w:val="22"/>
          <w:szCs w:val="22"/>
        </w:rPr>
        <w:t xml:space="preserve">, which was minus </w:t>
      </w:r>
      <w:r>
        <w:rPr>
          <w:sz w:val="22"/>
          <w:szCs w:val="22"/>
        </w:rPr>
        <w:t>1.5%. If we are able to afford a 0% MFG</w:t>
      </w:r>
      <w:r w:rsidR="00996F09">
        <w:rPr>
          <w:sz w:val="22"/>
          <w:szCs w:val="22"/>
        </w:rPr>
        <w:t>,</w:t>
      </w:r>
      <w:r>
        <w:rPr>
          <w:sz w:val="22"/>
          <w:szCs w:val="22"/>
        </w:rPr>
        <w:t xml:space="preserve"> school allocations, in particular for the primary phase, will be improved on what was forecasted earlier in 2017 (and on what the HCSS Budget Software assumed).</w:t>
      </w:r>
    </w:p>
    <w:p w:rsidR="000F64D4" w:rsidRPr="006D22C0" w:rsidRDefault="000F64D4" w:rsidP="000F64D4">
      <w:pPr>
        <w:jc w:val="both"/>
        <w:rPr>
          <w:b/>
          <w:bCs/>
          <w:color w:val="4F81BD" w:themeColor="accent1"/>
          <w:sz w:val="22"/>
          <w:szCs w:val="22"/>
        </w:rPr>
      </w:pPr>
      <w:r w:rsidRPr="006D22C0">
        <w:rPr>
          <w:b/>
          <w:bCs/>
          <w:color w:val="4F81BD" w:themeColor="accent1"/>
          <w:sz w:val="22"/>
          <w:szCs w:val="22"/>
        </w:rPr>
        <w:lastRenderedPageBreak/>
        <w:t xml:space="preserve">Question 3: </w:t>
      </w:r>
      <w:r w:rsidR="006D22C0">
        <w:rPr>
          <w:b/>
          <w:bCs/>
          <w:color w:val="4F81BD" w:themeColor="accent1"/>
          <w:sz w:val="22"/>
          <w:szCs w:val="22"/>
        </w:rPr>
        <w:t xml:space="preserve">Do you agree </w:t>
      </w:r>
      <w:r w:rsidR="006D22C0" w:rsidRPr="006D22C0">
        <w:rPr>
          <w:b/>
          <w:bCs/>
          <w:color w:val="4F81BD" w:themeColor="accent1"/>
          <w:sz w:val="22"/>
          <w:szCs w:val="22"/>
        </w:rPr>
        <w:t>with the proposal to set the Minimum Funding Guarantee at 0% in 2018/19</w:t>
      </w:r>
      <w:r w:rsidR="006D22C0">
        <w:rPr>
          <w:b/>
          <w:bCs/>
          <w:color w:val="4F81BD" w:themeColor="accent1"/>
          <w:sz w:val="22"/>
          <w:szCs w:val="22"/>
        </w:rPr>
        <w:t>, subject to final affordability</w:t>
      </w:r>
      <w:r w:rsidR="006D22C0" w:rsidRPr="006D22C0">
        <w:rPr>
          <w:b/>
          <w:bCs/>
          <w:color w:val="4F81BD" w:themeColor="accent1"/>
          <w:sz w:val="22"/>
          <w:szCs w:val="22"/>
        </w:rPr>
        <w:t>? If not, please explain why not.</w:t>
      </w:r>
    </w:p>
    <w:p w:rsidR="006D22C0" w:rsidRDefault="006D22C0" w:rsidP="006D22C0">
      <w:pPr>
        <w:jc w:val="both"/>
        <w:rPr>
          <w:sz w:val="22"/>
          <w:szCs w:val="22"/>
        </w:rPr>
      </w:pPr>
    </w:p>
    <w:p w:rsidR="006D22C0" w:rsidRPr="006D22C0" w:rsidRDefault="006D22C0" w:rsidP="006D22C0">
      <w:pPr>
        <w:jc w:val="both"/>
        <w:rPr>
          <w:sz w:val="22"/>
          <w:szCs w:val="22"/>
        </w:rPr>
      </w:pPr>
    </w:p>
    <w:p w:rsidR="001C1A91" w:rsidRDefault="001C1A91" w:rsidP="001C1A91">
      <w:pPr>
        <w:jc w:val="both"/>
        <w:rPr>
          <w:sz w:val="22"/>
          <w:szCs w:val="22"/>
        </w:rPr>
      </w:pPr>
      <w:r>
        <w:rPr>
          <w:sz w:val="22"/>
          <w:szCs w:val="22"/>
          <w:u w:val="single"/>
        </w:rPr>
        <w:t>Decision 3</w:t>
      </w:r>
      <w:r w:rsidRPr="004F39E1">
        <w:rPr>
          <w:sz w:val="22"/>
          <w:szCs w:val="22"/>
          <w:u w:val="single"/>
        </w:rPr>
        <w:t xml:space="preserve"> – </w:t>
      </w:r>
      <w:r>
        <w:rPr>
          <w:sz w:val="22"/>
          <w:szCs w:val="22"/>
          <w:u w:val="single"/>
        </w:rPr>
        <w:t>The value Ceiling in 2018/19</w:t>
      </w:r>
    </w:p>
    <w:p w:rsidR="001C1A91" w:rsidRDefault="001C1A91" w:rsidP="001C1A91">
      <w:pPr>
        <w:jc w:val="both"/>
        <w:rPr>
          <w:sz w:val="22"/>
          <w:szCs w:val="22"/>
        </w:rPr>
      </w:pPr>
    </w:p>
    <w:p w:rsidR="003123BF" w:rsidRDefault="003123BF" w:rsidP="008D16B2">
      <w:pPr>
        <w:pStyle w:val="ListParagraph"/>
        <w:numPr>
          <w:ilvl w:val="0"/>
          <w:numId w:val="25"/>
        </w:numPr>
        <w:jc w:val="both"/>
        <w:rPr>
          <w:sz w:val="22"/>
          <w:szCs w:val="22"/>
        </w:rPr>
      </w:pPr>
      <w:r w:rsidRPr="002355B0">
        <w:rPr>
          <w:b/>
          <w:sz w:val="22"/>
          <w:szCs w:val="22"/>
        </w:rPr>
        <w:t xml:space="preserve">The Authority proposes to set the ceiling at </w:t>
      </w:r>
      <w:r w:rsidR="006D22C0">
        <w:rPr>
          <w:b/>
          <w:sz w:val="22"/>
          <w:szCs w:val="22"/>
        </w:rPr>
        <w:t xml:space="preserve">+ </w:t>
      </w:r>
      <w:r w:rsidRPr="002355B0">
        <w:rPr>
          <w:b/>
          <w:sz w:val="22"/>
          <w:szCs w:val="22"/>
        </w:rPr>
        <w:t>3%</w:t>
      </w:r>
      <w:r w:rsidR="00982A79">
        <w:rPr>
          <w:b/>
          <w:sz w:val="22"/>
          <w:szCs w:val="22"/>
        </w:rPr>
        <w:t xml:space="preserve"> per pupil</w:t>
      </w:r>
      <w:r w:rsidRPr="002355B0">
        <w:rPr>
          <w:b/>
          <w:sz w:val="22"/>
          <w:szCs w:val="22"/>
        </w:rPr>
        <w:t xml:space="preserve">, subject to </w:t>
      </w:r>
      <w:r w:rsidR="003E4B7C">
        <w:rPr>
          <w:b/>
          <w:sz w:val="22"/>
          <w:szCs w:val="22"/>
        </w:rPr>
        <w:t xml:space="preserve">final </w:t>
      </w:r>
      <w:r w:rsidRPr="002355B0">
        <w:rPr>
          <w:b/>
          <w:sz w:val="22"/>
          <w:szCs w:val="22"/>
        </w:rPr>
        <w:t>affordability</w:t>
      </w:r>
      <w:r>
        <w:rPr>
          <w:sz w:val="22"/>
          <w:szCs w:val="22"/>
        </w:rPr>
        <w:t>, meaning that any gain in a school’s or academy’s core formula funding per pupil will</w:t>
      </w:r>
      <w:r w:rsidR="00A7369E">
        <w:rPr>
          <w:sz w:val="22"/>
          <w:szCs w:val="22"/>
        </w:rPr>
        <w:t xml:space="preserve"> not</w:t>
      </w:r>
      <w:r>
        <w:rPr>
          <w:sz w:val="22"/>
          <w:szCs w:val="22"/>
        </w:rPr>
        <w:t xml:space="preserve"> be greater than 3% on 2017/18. Please note that the implementation of the DfE’s new minimum per pupil funding will override this ceiling, meaning that schools eligible for the new minimum may see increases in per pupil funding greater than 3%.</w:t>
      </w:r>
      <w:r w:rsidR="008C6A99">
        <w:rPr>
          <w:sz w:val="22"/>
          <w:szCs w:val="22"/>
        </w:rPr>
        <w:t xml:space="preserve"> Where 3% is not affordable, the Authority will discuss the options for addressing this with the Schools Forum and will ask the Schools Forum to make a recommendation on this matter. This may mean that the ceiling is reduced from 3%.</w:t>
      </w:r>
    </w:p>
    <w:p w:rsidR="000F64D4" w:rsidRPr="000F64D4" w:rsidRDefault="000F64D4" w:rsidP="000F64D4">
      <w:pPr>
        <w:jc w:val="both"/>
        <w:rPr>
          <w:sz w:val="22"/>
          <w:szCs w:val="22"/>
        </w:rPr>
      </w:pPr>
    </w:p>
    <w:p w:rsidR="006D22C0" w:rsidRP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4</w:t>
      </w:r>
      <w:r w:rsidRPr="006D22C0">
        <w:rPr>
          <w:b/>
          <w:bCs/>
          <w:color w:val="4F81BD" w:themeColor="accent1"/>
          <w:sz w:val="22"/>
          <w:szCs w:val="22"/>
        </w:rPr>
        <w:t xml:space="preserve">: </w:t>
      </w:r>
      <w:r>
        <w:rPr>
          <w:b/>
          <w:bCs/>
          <w:color w:val="4F81BD" w:themeColor="accent1"/>
          <w:sz w:val="22"/>
          <w:szCs w:val="22"/>
        </w:rPr>
        <w:t xml:space="preserve">Do you agree </w:t>
      </w:r>
      <w:r w:rsidRPr="006D22C0">
        <w:rPr>
          <w:b/>
          <w:bCs/>
          <w:color w:val="4F81BD" w:themeColor="accent1"/>
          <w:sz w:val="22"/>
          <w:szCs w:val="22"/>
        </w:rPr>
        <w:t>with the proposal to set the</w:t>
      </w:r>
      <w:r>
        <w:rPr>
          <w:b/>
          <w:bCs/>
          <w:color w:val="4F81BD" w:themeColor="accent1"/>
          <w:sz w:val="22"/>
          <w:szCs w:val="22"/>
        </w:rPr>
        <w:t xml:space="preserve"> Ceiling at + 3</w:t>
      </w:r>
      <w:r w:rsidRPr="006D22C0">
        <w:rPr>
          <w:b/>
          <w:bCs/>
          <w:color w:val="4F81BD" w:themeColor="accent1"/>
          <w:sz w:val="22"/>
          <w:szCs w:val="22"/>
        </w:rPr>
        <w:t>%</w:t>
      </w:r>
      <w:r w:rsidR="00982A79">
        <w:rPr>
          <w:b/>
          <w:bCs/>
          <w:color w:val="4F81BD" w:themeColor="accent1"/>
          <w:sz w:val="22"/>
          <w:szCs w:val="22"/>
        </w:rPr>
        <w:t xml:space="preserve"> per pupil</w:t>
      </w:r>
      <w:r w:rsidRPr="006D22C0">
        <w:rPr>
          <w:b/>
          <w:bCs/>
          <w:color w:val="4F81BD" w:themeColor="accent1"/>
          <w:sz w:val="22"/>
          <w:szCs w:val="22"/>
        </w:rPr>
        <w:t xml:space="preserve"> in 2018/19</w:t>
      </w:r>
      <w:r>
        <w:rPr>
          <w:b/>
          <w:bCs/>
          <w:color w:val="4F81BD" w:themeColor="accent1"/>
          <w:sz w:val="22"/>
          <w:szCs w:val="22"/>
        </w:rPr>
        <w:t>, subject to final affordability</w:t>
      </w:r>
      <w:r w:rsidRPr="006D22C0">
        <w:rPr>
          <w:b/>
          <w:bCs/>
          <w:color w:val="4F81BD" w:themeColor="accent1"/>
          <w:sz w:val="22"/>
          <w:szCs w:val="22"/>
        </w:rPr>
        <w:t>? If not, please explain why not.</w:t>
      </w:r>
    </w:p>
    <w:p w:rsidR="000F64D4" w:rsidRDefault="000F64D4" w:rsidP="000F64D4">
      <w:pPr>
        <w:jc w:val="both"/>
        <w:rPr>
          <w:sz w:val="22"/>
          <w:szCs w:val="22"/>
        </w:rPr>
      </w:pPr>
    </w:p>
    <w:p w:rsidR="000F64D4" w:rsidRPr="000F64D4" w:rsidRDefault="000F64D4" w:rsidP="000F64D4">
      <w:pPr>
        <w:jc w:val="both"/>
        <w:rPr>
          <w:sz w:val="22"/>
          <w:szCs w:val="22"/>
        </w:rPr>
      </w:pPr>
    </w:p>
    <w:p w:rsidR="003123BF" w:rsidRPr="003123BF" w:rsidRDefault="003123BF" w:rsidP="003123BF">
      <w:pPr>
        <w:pStyle w:val="ListParagraph"/>
        <w:ind w:left="0"/>
        <w:jc w:val="both"/>
        <w:rPr>
          <w:sz w:val="22"/>
          <w:szCs w:val="22"/>
          <w:u w:val="single"/>
        </w:rPr>
      </w:pPr>
      <w:r w:rsidRPr="003123BF">
        <w:rPr>
          <w:sz w:val="22"/>
          <w:szCs w:val="22"/>
          <w:u w:val="single"/>
        </w:rPr>
        <w:t xml:space="preserve">Decision 4 – The extent of implementation of the new </w:t>
      </w:r>
      <w:proofErr w:type="spellStart"/>
      <w:r w:rsidRPr="003123BF">
        <w:rPr>
          <w:sz w:val="22"/>
          <w:szCs w:val="22"/>
          <w:u w:val="single"/>
        </w:rPr>
        <w:t>DfE</w:t>
      </w:r>
      <w:proofErr w:type="spellEnd"/>
      <w:r w:rsidRPr="003123BF">
        <w:rPr>
          <w:sz w:val="22"/>
          <w:szCs w:val="22"/>
          <w:u w:val="single"/>
        </w:rPr>
        <w:t xml:space="preserve"> Minimum Per Pupil Funding Floors</w:t>
      </w:r>
      <w:r w:rsidR="004D1DF4">
        <w:rPr>
          <w:sz w:val="22"/>
          <w:szCs w:val="22"/>
          <w:u w:val="single"/>
        </w:rPr>
        <w:t xml:space="preserve"> in 2018/19</w:t>
      </w:r>
    </w:p>
    <w:p w:rsidR="00F611DB" w:rsidRPr="001C1A91" w:rsidRDefault="00F611DB" w:rsidP="001C1A91">
      <w:pPr>
        <w:pStyle w:val="ListParagraph"/>
        <w:jc w:val="both"/>
        <w:rPr>
          <w:sz w:val="22"/>
          <w:szCs w:val="22"/>
        </w:rPr>
      </w:pPr>
    </w:p>
    <w:p w:rsidR="00A7369E" w:rsidRDefault="003123BF" w:rsidP="008D16B2">
      <w:pPr>
        <w:pStyle w:val="ListParagraph"/>
        <w:numPr>
          <w:ilvl w:val="0"/>
          <w:numId w:val="25"/>
        </w:numPr>
        <w:jc w:val="both"/>
        <w:rPr>
          <w:sz w:val="22"/>
          <w:szCs w:val="22"/>
        </w:rPr>
      </w:pPr>
      <w:r w:rsidRPr="002355B0">
        <w:rPr>
          <w:b/>
          <w:sz w:val="22"/>
          <w:szCs w:val="22"/>
        </w:rPr>
        <w:t>The Authority proposes to fully implement the £3,500 (primary)</w:t>
      </w:r>
      <w:r w:rsidR="00A7369E" w:rsidRPr="002355B0">
        <w:rPr>
          <w:b/>
          <w:sz w:val="22"/>
          <w:szCs w:val="22"/>
        </w:rPr>
        <w:t>,</w:t>
      </w:r>
      <w:r w:rsidRPr="002355B0">
        <w:rPr>
          <w:b/>
          <w:sz w:val="22"/>
          <w:szCs w:val="22"/>
        </w:rPr>
        <w:t xml:space="preserve"> £4,800 (secondary)</w:t>
      </w:r>
      <w:r w:rsidR="00A7369E" w:rsidRPr="002355B0">
        <w:rPr>
          <w:b/>
          <w:sz w:val="22"/>
          <w:szCs w:val="22"/>
        </w:rPr>
        <w:t xml:space="preserve"> and £4,042 (all-through)</w:t>
      </w:r>
      <w:r w:rsidRPr="002355B0">
        <w:rPr>
          <w:b/>
          <w:sz w:val="22"/>
          <w:szCs w:val="22"/>
        </w:rPr>
        <w:t xml:space="preserve"> minimums for eligible schools, where this is affordable.</w:t>
      </w:r>
      <w:r>
        <w:rPr>
          <w:sz w:val="22"/>
          <w:szCs w:val="22"/>
        </w:rPr>
        <w:t xml:space="preserve"> Where this is not affordable i.e. this cannot be afforded</w:t>
      </w:r>
      <w:r w:rsidR="00A7369E">
        <w:rPr>
          <w:sz w:val="22"/>
          <w:szCs w:val="22"/>
        </w:rPr>
        <w:t xml:space="preserve"> within the phase</w:t>
      </w:r>
      <w:r>
        <w:rPr>
          <w:sz w:val="22"/>
          <w:szCs w:val="22"/>
        </w:rPr>
        <w:t xml:space="preserve"> without adjustment elsewhere e.g. in the value of the MFG, the Authority will discuss this with the Schools Forum and will ask the Forum to make a recommendation on this matter</w:t>
      </w:r>
      <w:r w:rsidR="00A7369E">
        <w:rPr>
          <w:sz w:val="22"/>
          <w:szCs w:val="22"/>
        </w:rPr>
        <w:t xml:space="preserve"> in January 2018.</w:t>
      </w:r>
      <w:r w:rsidR="005A45D8">
        <w:rPr>
          <w:sz w:val="22"/>
          <w:szCs w:val="22"/>
        </w:rPr>
        <w:t xml:space="preserve"> This may mean movement to the full minimums may be scaled back in 2018/19.</w:t>
      </w:r>
      <w:r w:rsidR="007368FF">
        <w:rPr>
          <w:sz w:val="22"/>
          <w:szCs w:val="22"/>
        </w:rPr>
        <w:t xml:space="preserve"> Please note that the Government has only funded at DSG level the minimums up to a transitional value in 2018/19. Therefore, full implementation of the minimums in 2018/19 will cost more than the </w:t>
      </w:r>
      <w:proofErr w:type="spellStart"/>
      <w:r w:rsidR="007368FF">
        <w:rPr>
          <w:sz w:val="22"/>
          <w:szCs w:val="22"/>
        </w:rPr>
        <w:t>DfE</w:t>
      </w:r>
      <w:proofErr w:type="spellEnd"/>
      <w:r w:rsidR="007368FF">
        <w:rPr>
          <w:sz w:val="22"/>
          <w:szCs w:val="22"/>
        </w:rPr>
        <w:t xml:space="preserve"> has specifically funded. </w:t>
      </w:r>
    </w:p>
    <w:p w:rsidR="00A7369E" w:rsidRDefault="00A7369E" w:rsidP="00A7369E">
      <w:pPr>
        <w:pStyle w:val="ListParagraph"/>
        <w:jc w:val="both"/>
        <w:rPr>
          <w:sz w:val="22"/>
          <w:szCs w:val="22"/>
        </w:rPr>
      </w:pPr>
    </w:p>
    <w:p w:rsidR="003F7031" w:rsidRDefault="00A7369E" w:rsidP="008D16B2">
      <w:pPr>
        <w:pStyle w:val="ListParagraph"/>
        <w:numPr>
          <w:ilvl w:val="0"/>
          <w:numId w:val="25"/>
        </w:numPr>
        <w:jc w:val="both"/>
        <w:rPr>
          <w:sz w:val="22"/>
          <w:szCs w:val="22"/>
        </w:rPr>
      </w:pPr>
      <w:r>
        <w:rPr>
          <w:sz w:val="22"/>
          <w:szCs w:val="22"/>
        </w:rPr>
        <w:t>Please note that the calculation of these</w:t>
      </w:r>
      <w:r w:rsidR="00C16045">
        <w:rPr>
          <w:sz w:val="22"/>
          <w:szCs w:val="22"/>
        </w:rPr>
        <w:t xml:space="preserve"> minimums</w:t>
      </w:r>
      <w:r>
        <w:rPr>
          <w:sz w:val="22"/>
          <w:szCs w:val="22"/>
        </w:rPr>
        <w:t xml:space="preserve"> under the NFF is different from the calculation permitted </w:t>
      </w:r>
      <w:r w:rsidR="00C16045">
        <w:rPr>
          <w:sz w:val="22"/>
          <w:szCs w:val="22"/>
        </w:rPr>
        <w:t xml:space="preserve">locally </w:t>
      </w:r>
      <w:r>
        <w:rPr>
          <w:sz w:val="22"/>
          <w:szCs w:val="22"/>
        </w:rPr>
        <w:t>by the 2018/19 Regulation</w:t>
      </w:r>
      <w:r w:rsidR="00793D22">
        <w:rPr>
          <w:sz w:val="22"/>
          <w:szCs w:val="22"/>
        </w:rPr>
        <w:t>s</w:t>
      </w:r>
      <w:r>
        <w:rPr>
          <w:sz w:val="22"/>
          <w:szCs w:val="22"/>
        </w:rPr>
        <w:t>. Therefore, we cannot completely replicate how this factor works under local conditions. However, we are permitted to app</w:t>
      </w:r>
      <w:r w:rsidR="00793D22">
        <w:rPr>
          <w:sz w:val="22"/>
          <w:szCs w:val="22"/>
        </w:rPr>
        <w:t>ly to the Secretary of State to</w:t>
      </w:r>
      <w:r>
        <w:rPr>
          <w:sz w:val="22"/>
          <w:szCs w:val="22"/>
        </w:rPr>
        <w:t xml:space="preserve"> adjust the calculation in specific circumstances. We propose to submit a request to the Secretary of State to exclude both the BSF factor and business rates from the calculation of these minimums.</w:t>
      </w:r>
    </w:p>
    <w:p w:rsidR="000F64D4" w:rsidRPr="000F64D4" w:rsidRDefault="000F64D4" w:rsidP="000F64D4">
      <w:pPr>
        <w:jc w:val="both"/>
        <w:rPr>
          <w:sz w:val="22"/>
          <w:szCs w:val="22"/>
        </w:rPr>
      </w:pPr>
    </w:p>
    <w:p w:rsidR="006D22C0" w:rsidRP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5</w:t>
      </w:r>
      <w:r w:rsidRPr="006D22C0">
        <w:rPr>
          <w:b/>
          <w:bCs/>
          <w:color w:val="4F81BD" w:themeColor="accent1"/>
          <w:sz w:val="22"/>
          <w:szCs w:val="22"/>
        </w:rPr>
        <w:t xml:space="preserve">: </w:t>
      </w:r>
      <w:r>
        <w:rPr>
          <w:b/>
          <w:bCs/>
          <w:color w:val="4F81BD" w:themeColor="accent1"/>
          <w:sz w:val="22"/>
          <w:szCs w:val="22"/>
        </w:rPr>
        <w:t xml:space="preserve">Do you agree </w:t>
      </w:r>
      <w:r w:rsidRPr="006D22C0">
        <w:rPr>
          <w:b/>
          <w:bCs/>
          <w:color w:val="4F81BD" w:themeColor="accent1"/>
          <w:sz w:val="22"/>
          <w:szCs w:val="22"/>
        </w:rPr>
        <w:t xml:space="preserve">with the proposal to </w:t>
      </w:r>
      <w:r>
        <w:rPr>
          <w:b/>
          <w:bCs/>
          <w:color w:val="4F81BD" w:themeColor="accent1"/>
          <w:sz w:val="22"/>
          <w:szCs w:val="22"/>
        </w:rPr>
        <w:t xml:space="preserve">seek to fully implement the DfE’s minimum per pupil funding floors </w:t>
      </w:r>
      <w:r w:rsidRPr="006D22C0">
        <w:rPr>
          <w:b/>
          <w:bCs/>
          <w:color w:val="4F81BD" w:themeColor="accent1"/>
          <w:sz w:val="22"/>
          <w:szCs w:val="22"/>
        </w:rPr>
        <w:t>in 2018/19</w:t>
      </w:r>
      <w:r>
        <w:rPr>
          <w:b/>
          <w:bCs/>
          <w:color w:val="4F81BD" w:themeColor="accent1"/>
          <w:sz w:val="22"/>
          <w:szCs w:val="22"/>
        </w:rPr>
        <w:t>, subject to final affordability</w:t>
      </w:r>
      <w:r w:rsidRPr="006D22C0">
        <w:rPr>
          <w:b/>
          <w:bCs/>
          <w:color w:val="4F81BD" w:themeColor="accent1"/>
          <w:sz w:val="22"/>
          <w:szCs w:val="22"/>
        </w:rPr>
        <w:t>? If not, please explain why not.</w:t>
      </w:r>
    </w:p>
    <w:p w:rsidR="000F64D4" w:rsidRDefault="000F64D4" w:rsidP="000F069A">
      <w:pPr>
        <w:jc w:val="both"/>
        <w:rPr>
          <w:sz w:val="22"/>
          <w:szCs w:val="22"/>
          <w:u w:val="single"/>
        </w:rPr>
      </w:pPr>
    </w:p>
    <w:p w:rsidR="000F64D4" w:rsidRDefault="000F64D4" w:rsidP="000F069A">
      <w:pPr>
        <w:jc w:val="both"/>
        <w:rPr>
          <w:sz w:val="22"/>
          <w:szCs w:val="22"/>
          <w:u w:val="single"/>
        </w:rPr>
      </w:pPr>
    </w:p>
    <w:p w:rsidR="00C06AC2" w:rsidRDefault="00C06AC2" w:rsidP="000F069A">
      <w:pPr>
        <w:jc w:val="both"/>
        <w:rPr>
          <w:sz w:val="22"/>
          <w:szCs w:val="22"/>
          <w:u w:val="single"/>
        </w:rPr>
      </w:pPr>
      <w:r>
        <w:rPr>
          <w:sz w:val="22"/>
          <w:szCs w:val="22"/>
          <w:u w:val="single"/>
        </w:rPr>
        <w:t>Decision 5</w:t>
      </w:r>
      <w:r w:rsidRPr="003123BF">
        <w:rPr>
          <w:sz w:val="22"/>
          <w:szCs w:val="22"/>
          <w:u w:val="single"/>
        </w:rPr>
        <w:t xml:space="preserve"> – </w:t>
      </w:r>
      <w:r>
        <w:rPr>
          <w:sz w:val="22"/>
          <w:szCs w:val="22"/>
          <w:u w:val="single"/>
        </w:rPr>
        <w:t xml:space="preserve">Remaining Schools Block Headroom due to the difference between </w:t>
      </w:r>
      <w:r w:rsidR="008B70E1">
        <w:rPr>
          <w:sz w:val="22"/>
          <w:szCs w:val="22"/>
          <w:u w:val="single"/>
        </w:rPr>
        <w:t xml:space="preserve">the </w:t>
      </w:r>
      <w:r>
        <w:rPr>
          <w:sz w:val="22"/>
          <w:szCs w:val="22"/>
          <w:u w:val="single"/>
        </w:rPr>
        <w:t>0.5%</w:t>
      </w:r>
      <w:r w:rsidR="004A6DD0">
        <w:rPr>
          <w:sz w:val="22"/>
          <w:szCs w:val="22"/>
          <w:u w:val="single"/>
        </w:rPr>
        <w:t xml:space="preserve"> national settlement</w:t>
      </w:r>
      <w:r>
        <w:rPr>
          <w:sz w:val="22"/>
          <w:szCs w:val="22"/>
          <w:u w:val="single"/>
        </w:rPr>
        <w:t xml:space="preserve"> and a 0% MFG</w:t>
      </w:r>
    </w:p>
    <w:p w:rsidR="00C06AC2" w:rsidRDefault="00C06AC2" w:rsidP="000F069A">
      <w:pPr>
        <w:jc w:val="both"/>
        <w:rPr>
          <w:sz w:val="22"/>
          <w:szCs w:val="22"/>
          <w:u w:val="single"/>
        </w:rPr>
      </w:pPr>
    </w:p>
    <w:p w:rsidR="006F7003" w:rsidRPr="00716549" w:rsidRDefault="006F7003" w:rsidP="008D16B2">
      <w:pPr>
        <w:pStyle w:val="ListParagraph"/>
        <w:numPr>
          <w:ilvl w:val="0"/>
          <w:numId w:val="28"/>
        </w:numPr>
        <w:jc w:val="both"/>
        <w:rPr>
          <w:sz w:val="22"/>
          <w:szCs w:val="22"/>
          <w:u w:val="single"/>
        </w:rPr>
      </w:pPr>
      <w:r>
        <w:rPr>
          <w:sz w:val="22"/>
          <w:szCs w:val="22"/>
        </w:rPr>
        <w:t>Under both Bradford’s current formula and NFF, the vast majority of primary schools and academies are funded on the MFG. Under 2018/19 Regulations, the best formula funding settlement that can be provided for these schools from the Schools Block is 0% (same allocation</w:t>
      </w:r>
      <w:r w:rsidR="00D36C20">
        <w:rPr>
          <w:sz w:val="22"/>
          <w:szCs w:val="22"/>
        </w:rPr>
        <w:t xml:space="preserve"> in 2018/19</w:t>
      </w:r>
      <w:r>
        <w:rPr>
          <w:sz w:val="22"/>
          <w:szCs w:val="22"/>
        </w:rPr>
        <w:t xml:space="preserve"> as 2017/18 where pupil numbers are the same). This means that, for the primary phase, there is the potential, subject to the cost of formula funding using the Octobe</w:t>
      </w:r>
      <w:r w:rsidR="002C77DB">
        <w:rPr>
          <w:sz w:val="22"/>
          <w:szCs w:val="22"/>
        </w:rPr>
        <w:t>r 2017 Census dataset, for there to be money unallocated</w:t>
      </w:r>
      <w:r>
        <w:rPr>
          <w:sz w:val="22"/>
          <w:szCs w:val="22"/>
        </w:rPr>
        <w:t xml:space="preserve"> within the Schools Block allocation, because the </w:t>
      </w:r>
      <w:proofErr w:type="spellStart"/>
      <w:r>
        <w:rPr>
          <w:sz w:val="22"/>
          <w:szCs w:val="22"/>
        </w:rPr>
        <w:t>DfE</w:t>
      </w:r>
      <w:proofErr w:type="spellEnd"/>
      <w:r>
        <w:rPr>
          <w:sz w:val="22"/>
          <w:szCs w:val="22"/>
        </w:rPr>
        <w:t xml:space="preserve"> has allocated 0.5% per pupil into the Schools Block in respect of these schools.</w:t>
      </w:r>
      <w:r w:rsidR="002C77DB">
        <w:rPr>
          <w:sz w:val="22"/>
          <w:szCs w:val="22"/>
        </w:rPr>
        <w:t xml:space="preserve"> </w:t>
      </w:r>
      <w:r w:rsidRPr="002C77DB">
        <w:rPr>
          <w:sz w:val="22"/>
          <w:szCs w:val="22"/>
        </w:rPr>
        <w:t>The position of the secondary phase is somewhat different, as 2/3rds of schools and academies are above the MFG.</w:t>
      </w:r>
    </w:p>
    <w:p w:rsidR="00716549" w:rsidRPr="00716549" w:rsidRDefault="00716549" w:rsidP="00716549">
      <w:pPr>
        <w:pStyle w:val="ListParagraph"/>
        <w:jc w:val="both"/>
        <w:rPr>
          <w:sz w:val="22"/>
          <w:szCs w:val="22"/>
          <w:u w:val="single"/>
        </w:rPr>
      </w:pPr>
    </w:p>
    <w:p w:rsidR="00716549" w:rsidRPr="00716549" w:rsidRDefault="00716549" w:rsidP="008D16B2">
      <w:pPr>
        <w:pStyle w:val="ListParagraph"/>
        <w:numPr>
          <w:ilvl w:val="0"/>
          <w:numId w:val="28"/>
        </w:numPr>
        <w:jc w:val="both"/>
        <w:rPr>
          <w:sz w:val="22"/>
          <w:szCs w:val="22"/>
        </w:rPr>
      </w:pPr>
      <w:r w:rsidRPr="00716549">
        <w:rPr>
          <w:sz w:val="22"/>
          <w:szCs w:val="22"/>
        </w:rPr>
        <w:t>Modelling</w:t>
      </w:r>
      <w:r>
        <w:rPr>
          <w:sz w:val="22"/>
          <w:szCs w:val="22"/>
        </w:rPr>
        <w:t xml:space="preserve"> strongly indicates that it will be </w:t>
      </w:r>
      <w:r w:rsidR="007C338E">
        <w:rPr>
          <w:sz w:val="22"/>
          <w:szCs w:val="22"/>
        </w:rPr>
        <w:t xml:space="preserve">very </w:t>
      </w:r>
      <w:r>
        <w:rPr>
          <w:sz w:val="22"/>
          <w:szCs w:val="22"/>
        </w:rPr>
        <w:t xml:space="preserve">difficult </w:t>
      </w:r>
      <w:r w:rsidR="007C338E">
        <w:rPr>
          <w:sz w:val="22"/>
          <w:szCs w:val="22"/>
        </w:rPr>
        <w:t>to allocate these monies by</w:t>
      </w:r>
      <w:r w:rsidR="008F29BA">
        <w:rPr>
          <w:sz w:val="22"/>
          <w:szCs w:val="22"/>
        </w:rPr>
        <w:t xml:space="preserve"> adjusting formulae, </w:t>
      </w:r>
      <w:r>
        <w:rPr>
          <w:sz w:val="22"/>
          <w:szCs w:val="22"/>
        </w:rPr>
        <w:t xml:space="preserve">so that the result is that a large number of primary schools are lifted </w:t>
      </w:r>
      <w:r w:rsidR="00B46B8A">
        <w:rPr>
          <w:sz w:val="22"/>
          <w:szCs w:val="22"/>
        </w:rPr>
        <w:t>off the MFG</w:t>
      </w:r>
      <w:r w:rsidR="00A7066E">
        <w:rPr>
          <w:sz w:val="22"/>
          <w:szCs w:val="22"/>
        </w:rPr>
        <w:t>,</w:t>
      </w:r>
      <w:r w:rsidR="007C338E">
        <w:rPr>
          <w:sz w:val="22"/>
          <w:szCs w:val="22"/>
        </w:rPr>
        <w:t xml:space="preserve"> whilst also</w:t>
      </w:r>
      <w:r w:rsidR="008F29BA">
        <w:rPr>
          <w:sz w:val="22"/>
          <w:szCs w:val="22"/>
        </w:rPr>
        <w:t xml:space="preserve"> keeping to </w:t>
      </w:r>
      <w:r>
        <w:rPr>
          <w:sz w:val="22"/>
          <w:szCs w:val="22"/>
        </w:rPr>
        <w:t>the key proposal o</w:t>
      </w:r>
      <w:r w:rsidR="007C338E">
        <w:rPr>
          <w:sz w:val="22"/>
          <w:szCs w:val="22"/>
        </w:rPr>
        <w:t>f moving to NFF</w:t>
      </w:r>
      <w:r w:rsidR="008F29BA">
        <w:rPr>
          <w:sz w:val="22"/>
          <w:szCs w:val="22"/>
        </w:rPr>
        <w:t xml:space="preserve"> and without</w:t>
      </w:r>
      <w:r w:rsidR="007C338E">
        <w:rPr>
          <w:sz w:val="22"/>
          <w:szCs w:val="22"/>
        </w:rPr>
        <w:t xml:space="preserve"> distorting our formula approach.</w:t>
      </w:r>
      <w:r>
        <w:rPr>
          <w:sz w:val="22"/>
          <w:szCs w:val="22"/>
        </w:rPr>
        <w:t xml:space="preserve"> </w:t>
      </w:r>
    </w:p>
    <w:p w:rsidR="002C77DB" w:rsidRPr="002C77DB" w:rsidRDefault="002C77DB" w:rsidP="002C77DB">
      <w:pPr>
        <w:pStyle w:val="ListParagraph"/>
        <w:jc w:val="both"/>
        <w:rPr>
          <w:sz w:val="22"/>
          <w:szCs w:val="22"/>
          <w:u w:val="single"/>
        </w:rPr>
      </w:pPr>
    </w:p>
    <w:p w:rsidR="002C77DB" w:rsidRPr="002C77DB" w:rsidRDefault="002C77DB" w:rsidP="008D16B2">
      <w:pPr>
        <w:pStyle w:val="ListParagraph"/>
        <w:numPr>
          <w:ilvl w:val="0"/>
          <w:numId w:val="28"/>
        </w:numPr>
        <w:jc w:val="both"/>
        <w:rPr>
          <w:sz w:val="22"/>
          <w:szCs w:val="22"/>
        </w:rPr>
      </w:pPr>
      <w:r w:rsidRPr="002C77DB">
        <w:rPr>
          <w:sz w:val="22"/>
          <w:szCs w:val="22"/>
        </w:rPr>
        <w:t xml:space="preserve">Initial feedback from </w:t>
      </w:r>
      <w:r>
        <w:rPr>
          <w:sz w:val="22"/>
          <w:szCs w:val="22"/>
        </w:rPr>
        <w:t xml:space="preserve">primary representatives on the Schools Forum is that </w:t>
      </w:r>
      <w:r w:rsidRPr="004276C6">
        <w:rPr>
          <w:b/>
          <w:sz w:val="22"/>
          <w:szCs w:val="22"/>
        </w:rPr>
        <w:t>primary schools and academies would welcome the earmarking of any unallocated monies in support of SEND cost pressures in schools that have lower levels of formula funding in relation to their proportion of children wi</w:t>
      </w:r>
      <w:r w:rsidR="00D36C20" w:rsidRPr="004276C6">
        <w:rPr>
          <w:b/>
          <w:sz w:val="22"/>
          <w:szCs w:val="22"/>
        </w:rPr>
        <w:t>th EHCPs</w:t>
      </w:r>
      <w:r w:rsidR="00D36C20">
        <w:rPr>
          <w:sz w:val="22"/>
          <w:szCs w:val="22"/>
        </w:rPr>
        <w:t>. The Schools Forum</w:t>
      </w:r>
      <w:r>
        <w:rPr>
          <w:sz w:val="22"/>
          <w:szCs w:val="22"/>
        </w:rPr>
        <w:t xml:space="preserve"> has asked the Authority to look at the options for the further development of the SEN Floor mechanism, which does already target additional High Needs </w:t>
      </w:r>
      <w:r>
        <w:rPr>
          <w:sz w:val="22"/>
          <w:szCs w:val="22"/>
        </w:rPr>
        <w:lastRenderedPageBreak/>
        <w:t>Block funding to low AEN high EHCP schools and academies. This proposal will be developed further over the autumn term.</w:t>
      </w:r>
      <w:r w:rsidR="00C81A87">
        <w:rPr>
          <w:sz w:val="22"/>
          <w:szCs w:val="22"/>
        </w:rPr>
        <w:t xml:space="preserve"> It would only be a temporary, possibly one off, arrangement.</w:t>
      </w:r>
      <w:r>
        <w:rPr>
          <w:sz w:val="22"/>
          <w:szCs w:val="22"/>
        </w:rPr>
        <w:t xml:space="preserve"> </w:t>
      </w:r>
      <w:r w:rsidR="00D36C20">
        <w:rPr>
          <w:sz w:val="22"/>
          <w:szCs w:val="22"/>
        </w:rPr>
        <w:t>To go ahead, t</w:t>
      </w:r>
      <w:r>
        <w:rPr>
          <w:sz w:val="22"/>
          <w:szCs w:val="22"/>
        </w:rPr>
        <w:t>his will require specific agreement by the Schools Forum for the transfer of Schools Block monies to the High Needs</w:t>
      </w:r>
      <w:r w:rsidR="00C81A87">
        <w:rPr>
          <w:sz w:val="22"/>
          <w:szCs w:val="22"/>
        </w:rPr>
        <w:t xml:space="preserve"> Block</w:t>
      </w:r>
      <w:r w:rsidR="003E3A6F">
        <w:rPr>
          <w:sz w:val="22"/>
          <w:szCs w:val="22"/>
        </w:rPr>
        <w:t>.</w:t>
      </w:r>
      <w:r>
        <w:rPr>
          <w:sz w:val="22"/>
          <w:szCs w:val="22"/>
        </w:rPr>
        <w:t xml:space="preserve"> However,</w:t>
      </w:r>
      <w:r w:rsidR="00D36C20">
        <w:rPr>
          <w:sz w:val="22"/>
          <w:szCs w:val="22"/>
        </w:rPr>
        <w:t xml:space="preserve"> to be clear,</w:t>
      </w:r>
      <w:r>
        <w:rPr>
          <w:sz w:val="22"/>
          <w:szCs w:val="22"/>
        </w:rPr>
        <w:t xml:space="preserve"> this transfer will be to enable additional spending in support of SEND in the primary phase, </w:t>
      </w:r>
      <w:r w:rsidR="00D36C20">
        <w:rPr>
          <w:sz w:val="22"/>
          <w:szCs w:val="22"/>
        </w:rPr>
        <w:t xml:space="preserve">not to act as </w:t>
      </w:r>
      <w:r>
        <w:rPr>
          <w:sz w:val="22"/>
          <w:szCs w:val="22"/>
        </w:rPr>
        <w:t>a contribution to gen</w:t>
      </w:r>
      <w:r w:rsidR="00F81919">
        <w:rPr>
          <w:sz w:val="22"/>
          <w:szCs w:val="22"/>
        </w:rPr>
        <w:t>eral cost pressures within the High Needs Block.</w:t>
      </w:r>
    </w:p>
    <w:p w:rsidR="00C06AC2" w:rsidRDefault="00C06AC2" w:rsidP="000F069A">
      <w:pPr>
        <w:jc w:val="both"/>
        <w:rPr>
          <w:sz w:val="22"/>
          <w:szCs w:val="22"/>
          <w:u w:val="single"/>
        </w:rPr>
      </w:pPr>
    </w:p>
    <w:p w:rsidR="006D22C0" w:rsidRP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6</w:t>
      </w:r>
      <w:r w:rsidRPr="006D22C0">
        <w:rPr>
          <w:b/>
          <w:bCs/>
          <w:color w:val="4F81BD" w:themeColor="accent1"/>
          <w:sz w:val="22"/>
          <w:szCs w:val="22"/>
        </w:rPr>
        <w:t xml:space="preserve">: </w:t>
      </w:r>
      <w:r>
        <w:rPr>
          <w:b/>
          <w:bCs/>
          <w:color w:val="4F81BD" w:themeColor="accent1"/>
          <w:sz w:val="22"/>
          <w:szCs w:val="22"/>
        </w:rPr>
        <w:t xml:space="preserve">Do you agree </w:t>
      </w:r>
      <w:r w:rsidRPr="006D22C0">
        <w:rPr>
          <w:b/>
          <w:bCs/>
          <w:color w:val="4F81BD" w:themeColor="accent1"/>
          <w:sz w:val="22"/>
          <w:szCs w:val="22"/>
        </w:rPr>
        <w:t>with the proposal</w:t>
      </w:r>
      <w:r>
        <w:rPr>
          <w:b/>
          <w:bCs/>
          <w:color w:val="4F81BD" w:themeColor="accent1"/>
          <w:sz w:val="22"/>
          <w:szCs w:val="22"/>
        </w:rPr>
        <w:t>, currently</w:t>
      </w:r>
      <w:r w:rsidRPr="006D22C0">
        <w:rPr>
          <w:b/>
          <w:bCs/>
          <w:color w:val="4F81BD" w:themeColor="accent1"/>
          <w:sz w:val="22"/>
          <w:szCs w:val="22"/>
        </w:rPr>
        <w:t xml:space="preserve"> </w:t>
      </w:r>
      <w:r>
        <w:rPr>
          <w:b/>
          <w:bCs/>
          <w:color w:val="4F81BD" w:themeColor="accent1"/>
          <w:sz w:val="22"/>
          <w:szCs w:val="22"/>
        </w:rPr>
        <w:t>in outline,</w:t>
      </w:r>
      <w:r w:rsidR="00A406F0">
        <w:rPr>
          <w:b/>
          <w:bCs/>
          <w:color w:val="4F81BD" w:themeColor="accent1"/>
          <w:sz w:val="22"/>
          <w:szCs w:val="22"/>
        </w:rPr>
        <w:t xml:space="preserve"> to earmark</w:t>
      </w:r>
      <w:r>
        <w:rPr>
          <w:b/>
          <w:bCs/>
          <w:color w:val="4F81BD" w:themeColor="accent1"/>
          <w:sz w:val="22"/>
          <w:szCs w:val="22"/>
        </w:rPr>
        <w:t xml:space="preserve"> unallocated primary phase Sc</w:t>
      </w:r>
      <w:r w:rsidR="0058304F">
        <w:rPr>
          <w:b/>
          <w:bCs/>
          <w:color w:val="4F81BD" w:themeColor="accent1"/>
          <w:sz w:val="22"/>
          <w:szCs w:val="22"/>
        </w:rPr>
        <w:t>hools Block monies to support</w:t>
      </w:r>
      <w:r>
        <w:rPr>
          <w:b/>
          <w:bCs/>
          <w:color w:val="4F81BD" w:themeColor="accent1"/>
          <w:sz w:val="22"/>
          <w:szCs w:val="22"/>
        </w:rPr>
        <w:t xml:space="preserve"> SEND costs in primary schools and academies</w:t>
      </w:r>
      <w:r w:rsidR="00DA6923">
        <w:rPr>
          <w:b/>
          <w:bCs/>
          <w:color w:val="4F81BD" w:themeColor="accent1"/>
          <w:sz w:val="22"/>
          <w:szCs w:val="22"/>
        </w:rPr>
        <w:t xml:space="preserve"> (</w:t>
      </w:r>
      <w:r w:rsidR="0058304F">
        <w:rPr>
          <w:b/>
          <w:bCs/>
          <w:color w:val="4F81BD" w:themeColor="accent1"/>
          <w:sz w:val="22"/>
          <w:szCs w:val="22"/>
        </w:rPr>
        <w:t>by enhancing</w:t>
      </w:r>
      <w:r w:rsidR="00DA6923">
        <w:rPr>
          <w:b/>
          <w:bCs/>
          <w:color w:val="4F81BD" w:themeColor="accent1"/>
          <w:sz w:val="22"/>
          <w:szCs w:val="22"/>
        </w:rPr>
        <w:t xml:space="preserve"> the SEN Floor)</w:t>
      </w:r>
      <w:r>
        <w:rPr>
          <w:b/>
          <w:bCs/>
          <w:color w:val="4F81BD" w:themeColor="accent1"/>
          <w:sz w:val="22"/>
          <w:szCs w:val="22"/>
        </w:rPr>
        <w:t>, understanding that this will require the transfer of these monies to the High Needs Block? If not, please explain why not.</w:t>
      </w:r>
    </w:p>
    <w:p w:rsidR="000F64D4" w:rsidRDefault="000F64D4" w:rsidP="000F069A">
      <w:pPr>
        <w:jc w:val="both"/>
        <w:rPr>
          <w:sz w:val="22"/>
          <w:szCs w:val="22"/>
          <w:u w:val="single"/>
        </w:rPr>
      </w:pPr>
    </w:p>
    <w:p w:rsidR="006D22C0" w:rsidRDefault="006D22C0" w:rsidP="000F069A">
      <w:pPr>
        <w:jc w:val="both"/>
        <w:rPr>
          <w:sz w:val="22"/>
          <w:szCs w:val="22"/>
          <w:u w:val="single"/>
        </w:rPr>
      </w:pPr>
    </w:p>
    <w:p w:rsidR="003123BF" w:rsidRDefault="006E1B62" w:rsidP="000F069A">
      <w:pPr>
        <w:jc w:val="both"/>
        <w:rPr>
          <w:sz w:val="22"/>
          <w:szCs w:val="22"/>
        </w:rPr>
      </w:pPr>
      <w:r>
        <w:rPr>
          <w:sz w:val="22"/>
          <w:szCs w:val="22"/>
          <w:u w:val="single"/>
        </w:rPr>
        <w:t xml:space="preserve">Decision </w:t>
      </w:r>
      <w:r w:rsidR="00C06AC2">
        <w:rPr>
          <w:sz w:val="22"/>
          <w:szCs w:val="22"/>
          <w:u w:val="single"/>
        </w:rPr>
        <w:t>6</w:t>
      </w:r>
      <w:r w:rsidRPr="003123BF">
        <w:rPr>
          <w:sz w:val="22"/>
          <w:szCs w:val="22"/>
          <w:u w:val="single"/>
        </w:rPr>
        <w:t xml:space="preserve"> – </w:t>
      </w:r>
      <w:r>
        <w:rPr>
          <w:sz w:val="22"/>
          <w:szCs w:val="22"/>
          <w:u w:val="single"/>
        </w:rPr>
        <w:t>High Needs Block and Schools Block Headroom</w:t>
      </w:r>
    </w:p>
    <w:p w:rsidR="006E1B62" w:rsidRDefault="006E1B62" w:rsidP="000F069A">
      <w:pPr>
        <w:jc w:val="both"/>
        <w:rPr>
          <w:sz w:val="22"/>
          <w:szCs w:val="22"/>
        </w:rPr>
      </w:pPr>
    </w:p>
    <w:p w:rsidR="00162BA4" w:rsidRDefault="00162BA4" w:rsidP="008D16B2">
      <w:pPr>
        <w:pStyle w:val="ListParagraph"/>
        <w:numPr>
          <w:ilvl w:val="0"/>
          <w:numId w:val="25"/>
        </w:numPr>
        <w:jc w:val="both"/>
        <w:rPr>
          <w:sz w:val="22"/>
          <w:szCs w:val="22"/>
        </w:rPr>
      </w:pPr>
      <w:r w:rsidRPr="00162BA4">
        <w:rPr>
          <w:sz w:val="22"/>
          <w:szCs w:val="22"/>
        </w:rPr>
        <w:t>Bradford gains from the new High Needs Blo</w:t>
      </w:r>
      <w:r>
        <w:rPr>
          <w:sz w:val="22"/>
          <w:szCs w:val="22"/>
        </w:rPr>
        <w:t>ck (HNB)</w:t>
      </w:r>
      <w:r w:rsidR="00F81919">
        <w:rPr>
          <w:sz w:val="22"/>
          <w:szCs w:val="22"/>
        </w:rPr>
        <w:t xml:space="preserve"> NFF</w:t>
      </w:r>
      <w:r>
        <w:rPr>
          <w:sz w:val="22"/>
          <w:szCs w:val="22"/>
        </w:rPr>
        <w:t xml:space="preserve"> formula</w:t>
      </w:r>
      <w:r w:rsidR="002563FA">
        <w:rPr>
          <w:sz w:val="22"/>
          <w:szCs w:val="22"/>
        </w:rPr>
        <w:t>,</w:t>
      </w:r>
      <w:r>
        <w:rPr>
          <w:sz w:val="22"/>
          <w:szCs w:val="22"/>
        </w:rPr>
        <w:t xml:space="preserve"> by £7.5m over 5 years, </w:t>
      </w:r>
      <w:r w:rsidRPr="00162BA4">
        <w:rPr>
          <w:sz w:val="22"/>
          <w:szCs w:val="22"/>
        </w:rPr>
        <w:t>assuming the continuation of</w:t>
      </w:r>
      <w:r>
        <w:rPr>
          <w:sz w:val="22"/>
          <w:szCs w:val="22"/>
        </w:rPr>
        <w:t xml:space="preserve"> </w:t>
      </w:r>
      <w:r w:rsidR="00F81919">
        <w:rPr>
          <w:sz w:val="22"/>
          <w:szCs w:val="22"/>
        </w:rPr>
        <w:t xml:space="preserve">capping </w:t>
      </w:r>
      <w:r>
        <w:rPr>
          <w:sz w:val="22"/>
          <w:szCs w:val="22"/>
        </w:rPr>
        <w:t xml:space="preserve">after 2019/20. </w:t>
      </w:r>
      <w:r w:rsidRPr="00162BA4">
        <w:rPr>
          <w:sz w:val="22"/>
          <w:szCs w:val="22"/>
        </w:rPr>
        <w:t>The NFF result is still heavily damped, with only 50% of the national HNB budget allocated on the basis of the new formula. 50% will be allocated on the basis of 2017/18 spending levels</w:t>
      </w:r>
      <w:r w:rsidR="00F81919">
        <w:rPr>
          <w:sz w:val="22"/>
          <w:szCs w:val="22"/>
        </w:rPr>
        <w:t>. Bradford’s gain if the HNB was allocated fully on formula would</w:t>
      </w:r>
      <w:r w:rsidRPr="00162BA4">
        <w:rPr>
          <w:sz w:val="22"/>
          <w:szCs w:val="22"/>
        </w:rPr>
        <w:t xml:space="preserve"> be</w:t>
      </w:r>
      <w:r w:rsidR="00F81919">
        <w:rPr>
          <w:sz w:val="22"/>
          <w:szCs w:val="22"/>
        </w:rPr>
        <w:t xml:space="preserve"> £15m vs. the £7.5m we are likely to receive</w:t>
      </w:r>
      <w:r w:rsidRPr="00162BA4">
        <w:rPr>
          <w:sz w:val="22"/>
          <w:szCs w:val="22"/>
        </w:rPr>
        <w:t xml:space="preserve">. The </w:t>
      </w:r>
      <w:proofErr w:type="spellStart"/>
      <w:r w:rsidRPr="00162BA4">
        <w:rPr>
          <w:sz w:val="22"/>
          <w:szCs w:val="22"/>
        </w:rPr>
        <w:t>DfE</w:t>
      </w:r>
      <w:proofErr w:type="spellEnd"/>
      <w:r w:rsidRPr="00162BA4">
        <w:rPr>
          <w:sz w:val="22"/>
          <w:szCs w:val="22"/>
        </w:rPr>
        <w:t xml:space="preserve"> does not indicate for how long 50% of the HNB will be based on historic spending.</w:t>
      </w:r>
    </w:p>
    <w:p w:rsidR="00F81919" w:rsidRDefault="00F81919" w:rsidP="00F81919">
      <w:pPr>
        <w:pStyle w:val="ListParagraph"/>
        <w:jc w:val="both"/>
        <w:rPr>
          <w:sz w:val="22"/>
          <w:szCs w:val="22"/>
        </w:rPr>
      </w:pPr>
    </w:p>
    <w:p w:rsidR="00F81919" w:rsidRDefault="00F81919" w:rsidP="008D16B2">
      <w:pPr>
        <w:pStyle w:val="ListParagraph"/>
        <w:numPr>
          <w:ilvl w:val="0"/>
          <w:numId w:val="25"/>
        </w:numPr>
        <w:jc w:val="both"/>
        <w:rPr>
          <w:sz w:val="22"/>
          <w:szCs w:val="22"/>
        </w:rPr>
      </w:pPr>
      <w:r>
        <w:rPr>
          <w:sz w:val="22"/>
          <w:szCs w:val="22"/>
        </w:rPr>
        <w:t>In this context, recognising the growth in SEND in Bradford</w:t>
      </w:r>
      <w:r w:rsidR="00661C8D">
        <w:rPr>
          <w:sz w:val="22"/>
          <w:szCs w:val="22"/>
        </w:rPr>
        <w:t xml:space="preserve"> (for example, the c. £1m annual growth in the cost of mainstream EHCPs</w:t>
      </w:r>
      <w:r w:rsidR="002563FA">
        <w:rPr>
          <w:sz w:val="22"/>
          <w:szCs w:val="22"/>
        </w:rPr>
        <w:t>, which if</w:t>
      </w:r>
      <w:r w:rsidR="00A82755">
        <w:rPr>
          <w:sz w:val="22"/>
          <w:szCs w:val="22"/>
        </w:rPr>
        <w:t xml:space="preserve"> </w:t>
      </w:r>
      <w:r w:rsidR="002563FA">
        <w:rPr>
          <w:sz w:val="22"/>
          <w:szCs w:val="22"/>
        </w:rPr>
        <w:t>continuing</w:t>
      </w:r>
      <w:r w:rsidR="00A82755">
        <w:rPr>
          <w:sz w:val="22"/>
          <w:szCs w:val="22"/>
        </w:rPr>
        <w:t xml:space="preserve"> would consume</w:t>
      </w:r>
      <w:r w:rsidR="002563FA">
        <w:rPr>
          <w:sz w:val="22"/>
          <w:szCs w:val="22"/>
        </w:rPr>
        <w:t xml:space="preserve"> in itself</w:t>
      </w:r>
      <w:r w:rsidR="00A82755">
        <w:rPr>
          <w:sz w:val="22"/>
          <w:szCs w:val="22"/>
        </w:rPr>
        <w:t xml:space="preserve"> £5m of the</w:t>
      </w:r>
      <w:r w:rsidR="002563FA">
        <w:rPr>
          <w:sz w:val="22"/>
          <w:szCs w:val="22"/>
        </w:rPr>
        <w:t xml:space="preserve"> £7.5m 5 year increase</w:t>
      </w:r>
      <w:r w:rsidR="00661C8D">
        <w:rPr>
          <w:sz w:val="22"/>
          <w:szCs w:val="22"/>
        </w:rPr>
        <w:t>)</w:t>
      </w:r>
      <w:r>
        <w:rPr>
          <w:sz w:val="22"/>
          <w:szCs w:val="22"/>
        </w:rPr>
        <w:t>, the financial position of the High Needs Block is incredibly challenging. Alongside the NFF, the position of the HNB, and review activity and consultation, will dominate the Schools Forum’s discussion</w:t>
      </w:r>
      <w:r w:rsidR="002563FA">
        <w:rPr>
          <w:sz w:val="22"/>
          <w:szCs w:val="22"/>
        </w:rPr>
        <w:t>s</w:t>
      </w:r>
      <w:r>
        <w:rPr>
          <w:sz w:val="22"/>
          <w:szCs w:val="22"/>
        </w:rPr>
        <w:t xml:space="preserve"> in the lead up to final decision making on the 2018/19 DSG allocation.</w:t>
      </w:r>
    </w:p>
    <w:p w:rsidR="00F81919" w:rsidRDefault="00F81919" w:rsidP="00F81919">
      <w:pPr>
        <w:pStyle w:val="ListParagraph"/>
        <w:jc w:val="both"/>
        <w:rPr>
          <w:sz w:val="22"/>
          <w:szCs w:val="22"/>
        </w:rPr>
      </w:pPr>
    </w:p>
    <w:p w:rsidR="00F81919" w:rsidRPr="00F81919" w:rsidRDefault="00F81919" w:rsidP="008D16B2">
      <w:pPr>
        <w:pStyle w:val="ListParagraph"/>
        <w:numPr>
          <w:ilvl w:val="0"/>
          <w:numId w:val="25"/>
        </w:numPr>
        <w:jc w:val="both"/>
        <w:rPr>
          <w:sz w:val="22"/>
          <w:szCs w:val="22"/>
        </w:rPr>
      </w:pPr>
      <w:r>
        <w:rPr>
          <w:sz w:val="22"/>
          <w:szCs w:val="22"/>
        </w:rPr>
        <w:t xml:space="preserve">It is important that readers of this consultation document </w:t>
      </w:r>
      <w:r w:rsidR="002563FA">
        <w:rPr>
          <w:sz w:val="22"/>
          <w:szCs w:val="22"/>
        </w:rPr>
        <w:t xml:space="preserve">understand </w:t>
      </w:r>
      <w:r>
        <w:rPr>
          <w:sz w:val="22"/>
          <w:szCs w:val="22"/>
        </w:rPr>
        <w:t>this</w:t>
      </w:r>
      <w:r w:rsidR="00661C8D">
        <w:rPr>
          <w:sz w:val="22"/>
          <w:szCs w:val="22"/>
        </w:rPr>
        <w:t xml:space="preserve"> position</w:t>
      </w:r>
      <w:r>
        <w:rPr>
          <w:sz w:val="22"/>
          <w:szCs w:val="22"/>
        </w:rPr>
        <w:t>.</w:t>
      </w:r>
      <w:r w:rsidR="00661C8D">
        <w:rPr>
          <w:sz w:val="22"/>
          <w:szCs w:val="22"/>
        </w:rPr>
        <w:t xml:space="preserve"> The Authority recognises the significant contribution that the Schools Block made to high needs provision</w:t>
      </w:r>
      <w:r w:rsidR="00DB354C">
        <w:rPr>
          <w:sz w:val="22"/>
          <w:szCs w:val="22"/>
        </w:rPr>
        <w:t xml:space="preserve"> in 2017/18</w:t>
      </w:r>
      <w:r w:rsidR="00661C8D">
        <w:rPr>
          <w:sz w:val="22"/>
          <w:szCs w:val="22"/>
        </w:rPr>
        <w:t xml:space="preserve">. </w:t>
      </w:r>
      <w:r w:rsidR="00661C8D" w:rsidRPr="00EA0495">
        <w:rPr>
          <w:b/>
          <w:sz w:val="22"/>
          <w:szCs w:val="22"/>
        </w:rPr>
        <w:t>We will engage with and take</w:t>
      </w:r>
      <w:r w:rsidR="00E75D34">
        <w:rPr>
          <w:b/>
          <w:sz w:val="22"/>
          <w:szCs w:val="22"/>
        </w:rPr>
        <w:t xml:space="preserve"> a clear steer</w:t>
      </w:r>
      <w:r w:rsidR="00661C8D" w:rsidRPr="00EA0495">
        <w:rPr>
          <w:b/>
          <w:sz w:val="22"/>
          <w:szCs w:val="22"/>
        </w:rPr>
        <w:t xml:space="preserve"> from the Schools Forum on the views of school colleagues about how to continue to manage </w:t>
      </w:r>
      <w:r w:rsidR="00DB354C" w:rsidRPr="00EA0495">
        <w:rPr>
          <w:b/>
          <w:sz w:val="22"/>
          <w:szCs w:val="22"/>
        </w:rPr>
        <w:t xml:space="preserve">high needs </w:t>
      </w:r>
      <w:r w:rsidR="00661C8D" w:rsidRPr="00EA0495">
        <w:rPr>
          <w:b/>
          <w:sz w:val="22"/>
          <w:szCs w:val="22"/>
        </w:rPr>
        <w:t>provision and pressures</w:t>
      </w:r>
      <w:r w:rsidR="00DB354C" w:rsidRPr="00EA0495">
        <w:rPr>
          <w:b/>
          <w:sz w:val="22"/>
          <w:szCs w:val="22"/>
        </w:rPr>
        <w:t xml:space="preserve"> without the context of a whole-school system wide financially challenging environment</w:t>
      </w:r>
      <w:r w:rsidR="00661C8D">
        <w:rPr>
          <w:sz w:val="22"/>
          <w:szCs w:val="22"/>
        </w:rPr>
        <w:t>.</w:t>
      </w:r>
      <w:r>
        <w:rPr>
          <w:sz w:val="22"/>
          <w:szCs w:val="22"/>
        </w:rPr>
        <w:t xml:space="preserve"> Under 2018/19 Regulations, authorities are permitted to transfer up to 0.5% of the Schools Block to the High Needs Block with the agreement of the Schools Forum following consultation with schools. 0.5% of our Schools Block is c. £2m. The possible transfer of Schools Block monies to the High Needs Block to effect decision 5</w:t>
      </w:r>
      <w:r w:rsidR="002563FA">
        <w:rPr>
          <w:sz w:val="22"/>
          <w:szCs w:val="22"/>
        </w:rPr>
        <w:t xml:space="preserve"> for the primary phase</w:t>
      </w:r>
      <w:r>
        <w:rPr>
          <w:sz w:val="22"/>
          <w:szCs w:val="22"/>
        </w:rPr>
        <w:t xml:space="preserve"> would be counted within the 0.5%.</w:t>
      </w:r>
    </w:p>
    <w:p w:rsidR="000F64D4" w:rsidRDefault="000F64D4" w:rsidP="004D1DF4">
      <w:pPr>
        <w:jc w:val="both"/>
        <w:rPr>
          <w:color w:val="FF0000"/>
          <w:sz w:val="22"/>
          <w:szCs w:val="22"/>
        </w:rPr>
      </w:pPr>
    </w:p>
    <w:p w:rsid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7</w:t>
      </w:r>
      <w:r w:rsidRPr="006D22C0">
        <w:rPr>
          <w:b/>
          <w:bCs/>
          <w:color w:val="4F81BD" w:themeColor="accent1"/>
          <w:sz w:val="22"/>
          <w:szCs w:val="22"/>
        </w:rPr>
        <w:t xml:space="preserve">: </w:t>
      </w:r>
      <w:r>
        <w:rPr>
          <w:b/>
          <w:bCs/>
          <w:color w:val="4F81BD" w:themeColor="accent1"/>
          <w:sz w:val="22"/>
          <w:szCs w:val="22"/>
        </w:rPr>
        <w:t>Do you have any comments or feedback</w:t>
      </w:r>
      <w:r w:rsidR="007E3193">
        <w:rPr>
          <w:b/>
          <w:bCs/>
          <w:color w:val="4F81BD" w:themeColor="accent1"/>
          <w:sz w:val="22"/>
          <w:szCs w:val="22"/>
        </w:rPr>
        <w:t xml:space="preserve"> you wish to be taken into consideration</w:t>
      </w:r>
      <w:r>
        <w:rPr>
          <w:b/>
          <w:bCs/>
          <w:color w:val="4F81BD" w:themeColor="accent1"/>
          <w:sz w:val="22"/>
          <w:szCs w:val="22"/>
        </w:rPr>
        <w:t xml:space="preserve"> on the position of the High Needs Block</w:t>
      </w:r>
      <w:r w:rsidR="007E3193">
        <w:rPr>
          <w:b/>
          <w:bCs/>
          <w:color w:val="4F81BD" w:themeColor="accent1"/>
          <w:sz w:val="22"/>
          <w:szCs w:val="22"/>
        </w:rPr>
        <w:t xml:space="preserve"> in 2018/19</w:t>
      </w:r>
      <w:r w:rsidR="00533785">
        <w:rPr>
          <w:b/>
          <w:bCs/>
          <w:color w:val="4F81BD" w:themeColor="accent1"/>
          <w:sz w:val="22"/>
          <w:szCs w:val="22"/>
        </w:rPr>
        <w:t xml:space="preserve"> and the relationship with mainstream formula funding</w:t>
      </w:r>
      <w:r>
        <w:rPr>
          <w:b/>
          <w:bCs/>
          <w:color w:val="4F81BD" w:themeColor="accent1"/>
          <w:sz w:val="22"/>
          <w:szCs w:val="22"/>
        </w:rPr>
        <w:t>?</w:t>
      </w:r>
    </w:p>
    <w:p w:rsidR="000F64D4" w:rsidRDefault="000F64D4" w:rsidP="004D1DF4">
      <w:pPr>
        <w:jc w:val="both"/>
        <w:rPr>
          <w:color w:val="FF0000"/>
          <w:sz w:val="22"/>
          <w:szCs w:val="22"/>
        </w:rPr>
      </w:pPr>
    </w:p>
    <w:p w:rsidR="003F7031" w:rsidRPr="006C39F5" w:rsidRDefault="004D1DF4" w:rsidP="004D1DF4">
      <w:pPr>
        <w:jc w:val="both"/>
        <w:rPr>
          <w:sz w:val="22"/>
          <w:szCs w:val="22"/>
        </w:rPr>
      </w:pPr>
      <w:r w:rsidRPr="006C39F5">
        <w:rPr>
          <w:sz w:val="22"/>
          <w:szCs w:val="22"/>
        </w:rPr>
        <w:t>2.4 For the knock on consequences</w:t>
      </w:r>
      <w:r w:rsidR="00EA0495" w:rsidRPr="006C39F5">
        <w:rPr>
          <w:sz w:val="22"/>
          <w:szCs w:val="22"/>
        </w:rPr>
        <w:t xml:space="preserve"> of these proposals,</w:t>
      </w:r>
      <w:r w:rsidRPr="006C39F5">
        <w:rPr>
          <w:sz w:val="22"/>
          <w:szCs w:val="22"/>
        </w:rPr>
        <w:t xml:space="preserve"> listed in paragraph 2.2</w:t>
      </w:r>
      <w:r w:rsidR="00B24DD2" w:rsidRPr="006C39F5">
        <w:rPr>
          <w:sz w:val="22"/>
          <w:szCs w:val="22"/>
        </w:rPr>
        <w:t>, the</w:t>
      </w:r>
      <w:r w:rsidR="003F7031" w:rsidRPr="006C39F5">
        <w:rPr>
          <w:sz w:val="22"/>
          <w:szCs w:val="22"/>
        </w:rPr>
        <w:t xml:space="preserve"> Authority proposes the following:</w:t>
      </w:r>
    </w:p>
    <w:p w:rsidR="004D1DF4" w:rsidRDefault="004D1DF4" w:rsidP="004D1DF4">
      <w:pPr>
        <w:jc w:val="both"/>
        <w:rPr>
          <w:color w:val="FF0000"/>
          <w:sz w:val="22"/>
          <w:szCs w:val="22"/>
        </w:rPr>
      </w:pPr>
    </w:p>
    <w:p w:rsidR="004D1DF4" w:rsidRPr="006C39F5" w:rsidRDefault="006C39F5" w:rsidP="006C39F5">
      <w:pPr>
        <w:jc w:val="both"/>
        <w:rPr>
          <w:sz w:val="22"/>
          <w:szCs w:val="22"/>
          <w:u w:val="single"/>
        </w:rPr>
      </w:pPr>
      <w:r w:rsidRPr="006C39F5">
        <w:rPr>
          <w:sz w:val="22"/>
          <w:szCs w:val="22"/>
          <w:u w:val="single"/>
        </w:rPr>
        <w:t>Notional SEN</w:t>
      </w:r>
    </w:p>
    <w:p w:rsidR="006C39F5" w:rsidRPr="006C39F5" w:rsidRDefault="006C39F5" w:rsidP="006C39F5">
      <w:pPr>
        <w:jc w:val="both"/>
        <w:rPr>
          <w:sz w:val="22"/>
          <w:szCs w:val="22"/>
        </w:rPr>
      </w:pPr>
    </w:p>
    <w:p w:rsidR="006C39F5" w:rsidRDefault="006C39F5" w:rsidP="008D16B2">
      <w:pPr>
        <w:pStyle w:val="ListParagraph"/>
        <w:numPr>
          <w:ilvl w:val="0"/>
          <w:numId w:val="25"/>
        </w:numPr>
        <w:jc w:val="both"/>
        <w:rPr>
          <w:sz w:val="22"/>
          <w:szCs w:val="22"/>
        </w:rPr>
      </w:pPr>
      <w:r w:rsidRPr="006C39F5">
        <w:rPr>
          <w:sz w:val="22"/>
          <w:szCs w:val="22"/>
        </w:rPr>
        <w:t>Local authorities are currently required to define for each primary and secondary school the value of formula funding that is ‘notionally’ allocated for SEND (for meeting the first £6,000 of needs for pupils with EHCPs and the needs of pupils without EHCPs).</w:t>
      </w:r>
      <w:r>
        <w:rPr>
          <w:sz w:val="22"/>
          <w:szCs w:val="22"/>
        </w:rPr>
        <w:t xml:space="preserve"> </w:t>
      </w:r>
      <w:r w:rsidRPr="006C39F5">
        <w:rPr>
          <w:sz w:val="22"/>
          <w:szCs w:val="22"/>
        </w:rPr>
        <w:t xml:space="preserve">The </w:t>
      </w:r>
      <w:proofErr w:type="spellStart"/>
      <w:r w:rsidRPr="006C39F5">
        <w:rPr>
          <w:sz w:val="22"/>
          <w:szCs w:val="22"/>
        </w:rPr>
        <w:t>DfE</w:t>
      </w:r>
      <w:proofErr w:type="spellEnd"/>
      <w:r w:rsidRPr="006C39F5">
        <w:rPr>
          <w:sz w:val="22"/>
          <w:szCs w:val="22"/>
        </w:rPr>
        <w:t xml:space="preserve"> has signalled that the local calculation of this will cease upon implementation of the hard National Funding Formula, where the </w:t>
      </w:r>
      <w:proofErr w:type="spellStart"/>
      <w:r w:rsidRPr="006C39F5">
        <w:rPr>
          <w:sz w:val="22"/>
          <w:szCs w:val="22"/>
        </w:rPr>
        <w:t>DfE</w:t>
      </w:r>
      <w:proofErr w:type="spellEnd"/>
      <w:r w:rsidRPr="006C39F5">
        <w:rPr>
          <w:sz w:val="22"/>
          <w:szCs w:val="22"/>
        </w:rPr>
        <w:t xml:space="preserve"> will be looking for other ways to define SEND funding resources.</w:t>
      </w:r>
    </w:p>
    <w:p w:rsidR="000F5D6E" w:rsidRDefault="000F5D6E" w:rsidP="000F5D6E">
      <w:pPr>
        <w:pStyle w:val="ListParagraph"/>
        <w:jc w:val="both"/>
        <w:rPr>
          <w:sz w:val="22"/>
          <w:szCs w:val="22"/>
        </w:rPr>
      </w:pPr>
    </w:p>
    <w:p w:rsidR="00D9470F" w:rsidRDefault="00EA409E" w:rsidP="008D16B2">
      <w:pPr>
        <w:pStyle w:val="ListParagraph"/>
        <w:numPr>
          <w:ilvl w:val="0"/>
          <w:numId w:val="25"/>
        </w:numPr>
        <w:jc w:val="both"/>
        <w:rPr>
          <w:sz w:val="22"/>
          <w:szCs w:val="22"/>
        </w:rPr>
      </w:pPr>
      <w:r>
        <w:rPr>
          <w:sz w:val="22"/>
          <w:szCs w:val="22"/>
        </w:rPr>
        <w:t xml:space="preserve">Our calculation has built up over time. </w:t>
      </w:r>
      <w:r w:rsidR="000F5D6E">
        <w:rPr>
          <w:sz w:val="22"/>
          <w:szCs w:val="22"/>
        </w:rPr>
        <w:t>How Bradford currently defines notional SEN</w:t>
      </w:r>
      <w:r w:rsidR="001F26C0">
        <w:rPr>
          <w:sz w:val="22"/>
          <w:szCs w:val="22"/>
        </w:rPr>
        <w:t xml:space="preserve"> (the %s of funding in each factor that make up this budget)</w:t>
      </w:r>
      <w:r w:rsidR="000F5D6E">
        <w:rPr>
          <w:sz w:val="22"/>
          <w:szCs w:val="22"/>
        </w:rPr>
        <w:t xml:space="preserve"> is shown in the table below.</w:t>
      </w:r>
    </w:p>
    <w:p w:rsidR="00D9470F" w:rsidRPr="00D9470F" w:rsidRDefault="00D9470F" w:rsidP="00D9470F">
      <w:pPr>
        <w:pStyle w:val="ListParagraph"/>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D210FF" w:rsidTr="00D210FF">
        <w:tc>
          <w:tcPr>
            <w:tcW w:w="6771" w:type="dxa"/>
          </w:tcPr>
          <w:p w:rsidR="00D210FF" w:rsidRPr="00D210FF" w:rsidRDefault="00D210FF" w:rsidP="000F5D6E">
            <w:pPr>
              <w:jc w:val="both"/>
              <w:rPr>
                <w:b/>
                <w:sz w:val="22"/>
                <w:szCs w:val="22"/>
              </w:rPr>
            </w:pPr>
            <w:r w:rsidRPr="00D210FF">
              <w:rPr>
                <w:b/>
                <w:sz w:val="22"/>
                <w:szCs w:val="22"/>
              </w:rPr>
              <w:t>Formula Factor</w:t>
            </w:r>
          </w:p>
        </w:tc>
        <w:tc>
          <w:tcPr>
            <w:tcW w:w="1984" w:type="dxa"/>
          </w:tcPr>
          <w:p w:rsidR="00D210FF" w:rsidRPr="00D210FF" w:rsidRDefault="00D210FF" w:rsidP="00D210FF">
            <w:pPr>
              <w:jc w:val="right"/>
              <w:rPr>
                <w:b/>
                <w:sz w:val="22"/>
                <w:szCs w:val="22"/>
              </w:rPr>
            </w:pPr>
            <w:r w:rsidRPr="00D210FF">
              <w:rPr>
                <w:b/>
                <w:sz w:val="22"/>
                <w:szCs w:val="22"/>
              </w:rPr>
              <w:t>% Primary</w:t>
            </w:r>
          </w:p>
        </w:tc>
        <w:tc>
          <w:tcPr>
            <w:tcW w:w="2143" w:type="dxa"/>
          </w:tcPr>
          <w:p w:rsidR="00D210FF" w:rsidRPr="00D210FF" w:rsidRDefault="00D210FF" w:rsidP="00D210FF">
            <w:pPr>
              <w:jc w:val="right"/>
              <w:rPr>
                <w:b/>
                <w:sz w:val="22"/>
                <w:szCs w:val="22"/>
              </w:rPr>
            </w:pPr>
            <w:r w:rsidRPr="00D210FF">
              <w:rPr>
                <w:b/>
                <w:sz w:val="22"/>
                <w:szCs w:val="22"/>
              </w:rPr>
              <w:t>% Secondary</w:t>
            </w:r>
          </w:p>
        </w:tc>
      </w:tr>
      <w:tr w:rsidR="00D210FF" w:rsidTr="00D210FF">
        <w:tc>
          <w:tcPr>
            <w:tcW w:w="6771" w:type="dxa"/>
          </w:tcPr>
          <w:p w:rsidR="00D210FF" w:rsidRDefault="001F26C0" w:rsidP="000F5D6E">
            <w:pPr>
              <w:jc w:val="both"/>
              <w:rPr>
                <w:sz w:val="22"/>
                <w:szCs w:val="22"/>
              </w:rPr>
            </w:pPr>
            <w:r>
              <w:rPr>
                <w:sz w:val="22"/>
                <w:szCs w:val="22"/>
              </w:rPr>
              <w:t>Prior Low Attainment</w:t>
            </w:r>
          </w:p>
        </w:tc>
        <w:tc>
          <w:tcPr>
            <w:tcW w:w="1984" w:type="dxa"/>
          </w:tcPr>
          <w:p w:rsidR="00D210FF" w:rsidRDefault="00705251" w:rsidP="00D210FF">
            <w:pPr>
              <w:jc w:val="right"/>
              <w:rPr>
                <w:sz w:val="22"/>
                <w:szCs w:val="22"/>
              </w:rPr>
            </w:pPr>
            <w:r>
              <w:rPr>
                <w:sz w:val="22"/>
                <w:szCs w:val="22"/>
              </w:rPr>
              <w:t>100%</w:t>
            </w:r>
          </w:p>
        </w:tc>
        <w:tc>
          <w:tcPr>
            <w:tcW w:w="2143" w:type="dxa"/>
          </w:tcPr>
          <w:p w:rsidR="00D210FF" w:rsidRDefault="00705251" w:rsidP="00D210FF">
            <w:pPr>
              <w:jc w:val="right"/>
              <w:rPr>
                <w:sz w:val="22"/>
                <w:szCs w:val="22"/>
              </w:rPr>
            </w:pPr>
            <w:r>
              <w:rPr>
                <w:sz w:val="22"/>
                <w:szCs w:val="22"/>
              </w:rPr>
              <w:t>100%</w:t>
            </w:r>
          </w:p>
        </w:tc>
      </w:tr>
      <w:tr w:rsidR="00D210FF" w:rsidTr="00D210FF">
        <w:tc>
          <w:tcPr>
            <w:tcW w:w="6771" w:type="dxa"/>
          </w:tcPr>
          <w:p w:rsidR="00D210FF" w:rsidRDefault="00EA6868" w:rsidP="000F5D6E">
            <w:pPr>
              <w:jc w:val="both"/>
              <w:rPr>
                <w:sz w:val="22"/>
                <w:szCs w:val="22"/>
              </w:rPr>
            </w:pPr>
            <w:r>
              <w:rPr>
                <w:sz w:val="22"/>
                <w:szCs w:val="22"/>
              </w:rPr>
              <w:t>Free School Meals Factor</w:t>
            </w:r>
          </w:p>
        </w:tc>
        <w:tc>
          <w:tcPr>
            <w:tcW w:w="1984" w:type="dxa"/>
          </w:tcPr>
          <w:p w:rsidR="00D210FF" w:rsidRDefault="008673F8" w:rsidP="00D210FF">
            <w:pPr>
              <w:jc w:val="right"/>
              <w:rPr>
                <w:sz w:val="22"/>
                <w:szCs w:val="22"/>
              </w:rPr>
            </w:pPr>
            <w:r>
              <w:rPr>
                <w:sz w:val="22"/>
                <w:szCs w:val="22"/>
              </w:rPr>
              <w:t>23.1%</w:t>
            </w:r>
          </w:p>
        </w:tc>
        <w:tc>
          <w:tcPr>
            <w:tcW w:w="2143" w:type="dxa"/>
          </w:tcPr>
          <w:p w:rsidR="00D210FF" w:rsidRDefault="00EA409E" w:rsidP="00D210FF">
            <w:pPr>
              <w:jc w:val="right"/>
              <w:rPr>
                <w:sz w:val="22"/>
                <w:szCs w:val="22"/>
              </w:rPr>
            </w:pPr>
            <w:r>
              <w:rPr>
                <w:sz w:val="22"/>
                <w:szCs w:val="22"/>
              </w:rPr>
              <w:t>10.2%</w:t>
            </w:r>
          </w:p>
        </w:tc>
      </w:tr>
      <w:tr w:rsidR="00D210FF" w:rsidTr="00D210FF">
        <w:tc>
          <w:tcPr>
            <w:tcW w:w="6771" w:type="dxa"/>
          </w:tcPr>
          <w:p w:rsidR="00D210FF" w:rsidRDefault="00EA6868" w:rsidP="000F5D6E">
            <w:pPr>
              <w:jc w:val="both"/>
              <w:rPr>
                <w:sz w:val="22"/>
                <w:szCs w:val="22"/>
              </w:rPr>
            </w:pPr>
            <w:r>
              <w:rPr>
                <w:sz w:val="22"/>
                <w:szCs w:val="22"/>
              </w:rPr>
              <w:t>IDACI Factor</w:t>
            </w:r>
          </w:p>
        </w:tc>
        <w:tc>
          <w:tcPr>
            <w:tcW w:w="1984" w:type="dxa"/>
          </w:tcPr>
          <w:p w:rsidR="00D210FF" w:rsidRDefault="008673F8" w:rsidP="00D210FF">
            <w:pPr>
              <w:jc w:val="right"/>
              <w:rPr>
                <w:sz w:val="22"/>
                <w:szCs w:val="22"/>
              </w:rPr>
            </w:pPr>
            <w:r>
              <w:rPr>
                <w:sz w:val="22"/>
                <w:szCs w:val="22"/>
              </w:rPr>
              <w:t>22.4%</w:t>
            </w:r>
          </w:p>
        </w:tc>
        <w:tc>
          <w:tcPr>
            <w:tcW w:w="2143" w:type="dxa"/>
          </w:tcPr>
          <w:p w:rsidR="00D210FF" w:rsidRDefault="00EA409E" w:rsidP="00D210FF">
            <w:pPr>
              <w:jc w:val="right"/>
              <w:rPr>
                <w:sz w:val="22"/>
                <w:szCs w:val="22"/>
              </w:rPr>
            </w:pPr>
            <w:r>
              <w:rPr>
                <w:sz w:val="22"/>
                <w:szCs w:val="22"/>
              </w:rPr>
              <w:t>19.2%</w:t>
            </w:r>
          </w:p>
        </w:tc>
      </w:tr>
      <w:tr w:rsidR="00D210FF" w:rsidTr="00D210FF">
        <w:tc>
          <w:tcPr>
            <w:tcW w:w="6771" w:type="dxa"/>
          </w:tcPr>
          <w:p w:rsidR="00D210FF" w:rsidRDefault="00EA6868" w:rsidP="000F5D6E">
            <w:pPr>
              <w:jc w:val="both"/>
              <w:rPr>
                <w:sz w:val="22"/>
                <w:szCs w:val="22"/>
              </w:rPr>
            </w:pPr>
            <w:r>
              <w:rPr>
                <w:sz w:val="22"/>
                <w:szCs w:val="22"/>
              </w:rPr>
              <w:t>Base £APP</w:t>
            </w:r>
          </w:p>
        </w:tc>
        <w:tc>
          <w:tcPr>
            <w:tcW w:w="1984" w:type="dxa"/>
          </w:tcPr>
          <w:p w:rsidR="00D210FF" w:rsidRDefault="008673F8" w:rsidP="00D210FF">
            <w:pPr>
              <w:jc w:val="right"/>
              <w:rPr>
                <w:sz w:val="22"/>
                <w:szCs w:val="22"/>
              </w:rPr>
            </w:pPr>
            <w:r>
              <w:rPr>
                <w:sz w:val="22"/>
                <w:szCs w:val="22"/>
              </w:rPr>
              <w:t>7.5%</w:t>
            </w:r>
          </w:p>
        </w:tc>
        <w:tc>
          <w:tcPr>
            <w:tcW w:w="2143" w:type="dxa"/>
          </w:tcPr>
          <w:p w:rsidR="00D210FF" w:rsidRDefault="00EA409E" w:rsidP="00D210FF">
            <w:pPr>
              <w:jc w:val="right"/>
              <w:rPr>
                <w:sz w:val="22"/>
                <w:szCs w:val="22"/>
              </w:rPr>
            </w:pPr>
            <w:r>
              <w:rPr>
                <w:sz w:val="22"/>
                <w:szCs w:val="22"/>
              </w:rPr>
              <w:t>6.3%</w:t>
            </w:r>
          </w:p>
        </w:tc>
      </w:tr>
    </w:tbl>
    <w:p w:rsidR="006C39F5" w:rsidRPr="00EA6868" w:rsidRDefault="006C39F5" w:rsidP="00EA6868">
      <w:pPr>
        <w:jc w:val="both"/>
        <w:rPr>
          <w:sz w:val="22"/>
          <w:szCs w:val="22"/>
        </w:rPr>
      </w:pPr>
    </w:p>
    <w:p w:rsidR="006C39F5" w:rsidRDefault="006C39F5" w:rsidP="008D16B2">
      <w:pPr>
        <w:pStyle w:val="ListParagraph"/>
        <w:numPr>
          <w:ilvl w:val="0"/>
          <w:numId w:val="29"/>
        </w:numPr>
        <w:jc w:val="both"/>
        <w:rPr>
          <w:sz w:val="22"/>
          <w:szCs w:val="22"/>
        </w:rPr>
      </w:pPr>
      <w:r w:rsidRPr="006C39F5">
        <w:rPr>
          <w:sz w:val="22"/>
          <w:szCs w:val="22"/>
        </w:rPr>
        <w:t>Under Bradford’s current notional SEN calculation</w:t>
      </w:r>
      <w:r w:rsidR="000F5D6E">
        <w:rPr>
          <w:sz w:val="22"/>
          <w:szCs w:val="22"/>
        </w:rPr>
        <w:t xml:space="preserve"> then,</w:t>
      </w:r>
      <w:r w:rsidRPr="006C39F5">
        <w:rPr>
          <w:sz w:val="22"/>
          <w:szCs w:val="22"/>
        </w:rPr>
        <w:t xml:space="preserve"> 100% of a school’s allocation under the SEND low prior attainment factor is considered to be allocated for supporting pupils with SEND, along with set percentages of other AEN factors and base £app funding. Due to the way that NFF re-focuses AEN formula funding, away from deprivation towards low prior attainment, and also significantly increases the proportion of funding that is allocated for low prior attainment, under our current calculation, the values of notional SEN allocations for schools will quite considerably increase in 2018/19 where we adopt NFF. This will be the case even though a school may receive (under a 0% MFG) the same total amount of formula funding. In this circumstance, we appreciate that schools will have mixed feelings about this change. However, the NFF is refocusing and increasing the targeting of SEND through low prior attainment. It can therefore, be said to be valid to ask schools to consider and to evidence how they are spending the full value of their prior attainment monies on the needs of their pupils.</w:t>
      </w:r>
    </w:p>
    <w:p w:rsidR="000F5D6E" w:rsidRPr="00F41BAA" w:rsidRDefault="000F5D6E" w:rsidP="000F5D6E">
      <w:pPr>
        <w:pStyle w:val="ListParagraph"/>
        <w:jc w:val="both"/>
        <w:rPr>
          <w:sz w:val="22"/>
          <w:szCs w:val="22"/>
        </w:rPr>
      </w:pPr>
    </w:p>
    <w:p w:rsidR="006C39F5" w:rsidRPr="006C39F5" w:rsidRDefault="006C39F5" w:rsidP="008D16B2">
      <w:pPr>
        <w:pStyle w:val="ListParagraph"/>
        <w:numPr>
          <w:ilvl w:val="0"/>
          <w:numId w:val="29"/>
        </w:numPr>
        <w:jc w:val="both"/>
        <w:rPr>
          <w:b/>
          <w:sz w:val="22"/>
          <w:szCs w:val="22"/>
        </w:rPr>
      </w:pPr>
      <w:r w:rsidRPr="006C39F5">
        <w:rPr>
          <w:b/>
          <w:sz w:val="22"/>
          <w:szCs w:val="22"/>
        </w:rPr>
        <w:t>We therefore, do not propose to alter how we define notional SEN where we move to NFF at April 2018</w:t>
      </w:r>
      <w:r>
        <w:rPr>
          <w:sz w:val="22"/>
          <w:szCs w:val="22"/>
        </w:rPr>
        <w:t>.</w:t>
      </w:r>
      <w:r w:rsidR="00D323D5">
        <w:rPr>
          <w:sz w:val="22"/>
          <w:szCs w:val="22"/>
        </w:rPr>
        <w:t xml:space="preserve"> All other elements being the same, schools will see their notional SEN allocations increase.</w:t>
      </w:r>
    </w:p>
    <w:p w:rsidR="006C39F5" w:rsidRDefault="006C39F5" w:rsidP="006C39F5">
      <w:pPr>
        <w:ind w:left="360"/>
        <w:jc w:val="both"/>
        <w:rPr>
          <w:sz w:val="22"/>
          <w:szCs w:val="22"/>
        </w:rPr>
      </w:pPr>
    </w:p>
    <w:p w:rsidR="006D22C0" w:rsidRP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8</w:t>
      </w:r>
      <w:r w:rsidRPr="006D22C0">
        <w:rPr>
          <w:b/>
          <w:bCs/>
          <w:color w:val="4F81BD" w:themeColor="accent1"/>
          <w:sz w:val="22"/>
          <w:szCs w:val="22"/>
        </w:rPr>
        <w:t xml:space="preserve">: </w:t>
      </w:r>
      <w:r>
        <w:rPr>
          <w:b/>
          <w:bCs/>
          <w:color w:val="4F81BD" w:themeColor="accent1"/>
          <w:sz w:val="22"/>
          <w:szCs w:val="22"/>
        </w:rPr>
        <w:t xml:space="preserve">Do you agree </w:t>
      </w:r>
      <w:r w:rsidRPr="006D22C0">
        <w:rPr>
          <w:b/>
          <w:bCs/>
          <w:color w:val="4F81BD" w:themeColor="accent1"/>
          <w:sz w:val="22"/>
          <w:szCs w:val="22"/>
        </w:rPr>
        <w:t>with the proposal</w:t>
      </w:r>
      <w:r>
        <w:rPr>
          <w:b/>
          <w:bCs/>
          <w:color w:val="4F81BD" w:themeColor="accent1"/>
          <w:sz w:val="22"/>
          <w:szCs w:val="22"/>
        </w:rPr>
        <w:t xml:space="preserve"> to continue with our current definition of notional SEN where we move to National Funding Formula? If not, please explain why not.</w:t>
      </w:r>
    </w:p>
    <w:p w:rsidR="000F64D4" w:rsidRDefault="000F64D4" w:rsidP="006C39F5">
      <w:pPr>
        <w:ind w:left="360"/>
        <w:jc w:val="both"/>
        <w:rPr>
          <w:sz w:val="22"/>
          <w:szCs w:val="22"/>
        </w:rPr>
      </w:pPr>
    </w:p>
    <w:p w:rsidR="006C39F5" w:rsidRPr="006C39F5" w:rsidRDefault="006C39F5" w:rsidP="006C39F5">
      <w:pPr>
        <w:ind w:left="360"/>
        <w:jc w:val="both"/>
        <w:rPr>
          <w:sz w:val="22"/>
          <w:szCs w:val="22"/>
        </w:rPr>
      </w:pPr>
    </w:p>
    <w:p w:rsidR="003F7031" w:rsidRPr="006C39F5" w:rsidRDefault="006C39F5" w:rsidP="000F069A">
      <w:pPr>
        <w:jc w:val="both"/>
        <w:rPr>
          <w:sz w:val="22"/>
          <w:szCs w:val="22"/>
          <w:u w:val="single"/>
        </w:rPr>
      </w:pPr>
      <w:r w:rsidRPr="006C39F5">
        <w:rPr>
          <w:sz w:val="22"/>
          <w:szCs w:val="22"/>
          <w:u w:val="single"/>
        </w:rPr>
        <w:t>SEN Floor</w:t>
      </w:r>
    </w:p>
    <w:p w:rsidR="003F7031" w:rsidRDefault="003F7031" w:rsidP="000F069A">
      <w:pPr>
        <w:jc w:val="both"/>
        <w:rPr>
          <w:color w:val="FF0000"/>
          <w:sz w:val="22"/>
          <w:szCs w:val="22"/>
        </w:rPr>
      </w:pPr>
    </w:p>
    <w:p w:rsidR="00872870" w:rsidRDefault="0061742E" w:rsidP="008D16B2">
      <w:pPr>
        <w:pStyle w:val="ListParagraph"/>
        <w:numPr>
          <w:ilvl w:val="0"/>
          <w:numId w:val="25"/>
        </w:numPr>
        <w:jc w:val="both"/>
        <w:rPr>
          <w:sz w:val="22"/>
          <w:szCs w:val="22"/>
        </w:rPr>
      </w:pPr>
      <w:r>
        <w:rPr>
          <w:sz w:val="22"/>
          <w:szCs w:val="22"/>
        </w:rPr>
        <w:t>T</w:t>
      </w:r>
      <w:r w:rsidR="008D30E7">
        <w:rPr>
          <w:sz w:val="22"/>
          <w:szCs w:val="22"/>
        </w:rPr>
        <w:t>he increase</w:t>
      </w:r>
      <w:r>
        <w:rPr>
          <w:sz w:val="22"/>
          <w:szCs w:val="22"/>
        </w:rPr>
        <w:t xml:space="preserve"> in the funding of low prior attainment</w:t>
      </w:r>
      <w:r w:rsidRPr="0061742E">
        <w:rPr>
          <w:sz w:val="22"/>
          <w:szCs w:val="22"/>
        </w:rPr>
        <w:t xml:space="preserve"> </w:t>
      </w:r>
      <w:r w:rsidR="008D30E7">
        <w:rPr>
          <w:sz w:val="22"/>
          <w:szCs w:val="22"/>
        </w:rPr>
        <w:t xml:space="preserve">under NFF </w:t>
      </w:r>
      <w:r w:rsidRPr="0061742E">
        <w:rPr>
          <w:sz w:val="22"/>
          <w:szCs w:val="22"/>
        </w:rPr>
        <w:t>will have a knock o</w:t>
      </w:r>
      <w:r>
        <w:rPr>
          <w:sz w:val="22"/>
          <w:szCs w:val="22"/>
        </w:rPr>
        <w:t>n consequence on the SEN Floor</w:t>
      </w:r>
      <w:r w:rsidR="00872870">
        <w:rPr>
          <w:sz w:val="22"/>
          <w:szCs w:val="22"/>
        </w:rPr>
        <w:t xml:space="preserve"> as </w:t>
      </w:r>
      <w:r w:rsidR="00872870" w:rsidRPr="00872870">
        <w:rPr>
          <w:sz w:val="22"/>
          <w:szCs w:val="22"/>
        </w:rPr>
        <w:t>the eligibility for the SEN Floor will significantly decrease. This will be the case even though a number of schools will not see any more funding in 2018/19 in total than they did in 2017/18.</w:t>
      </w:r>
    </w:p>
    <w:p w:rsidR="008D30E7" w:rsidRDefault="008D30E7" w:rsidP="008D30E7">
      <w:pPr>
        <w:pStyle w:val="ListParagraph"/>
        <w:jc w:val="both"/>
        <w:rPr>
          <w:sz w:val="22"/>
          <w:szCs w:val="22"/>
        </w:rPr>
      </w:pPr>
    </w:p>
    <w:p w:rsidR="000C0F0F" w:rsidRDefault="008D30E7" w:rsidP="008D16B2">
      <w:pPr>
        <w:pStyle w:val="ListParagraph"/>
        <w:numPr>
          <w:ilvl w:val="0"/>
          <w:numId w:val="25"/>
        </w:numPr>
        <w:jc w:val="both"/>
        <w:rPr>
          <w:sz w:val="22"/>
          <w:szCs w:val="22"/>
        </w:rPr>
      </w:pPr>
      <w:r>
        <w:rPr>
          <w:sz w:val="22"/>
          <w:szCs w:val="22"/>
        </w:rPr>
        <w:t xml:space="preserve">Our current SEN Floor </w:t>
      </w:r>
      <w:r w:rsidR="000C0F0F">
        <w:rPr>
          <w:sz w:val="22"/>
          <w:szCs w:val="22"/>
        </w:rPr>
        <w:t>provides a ‘top up’ where</w:t>
      </w:r>
      <w:r w:rsidR="000C0F0F" w:rsidRPr="000C0F0F">
        <w:rPr>
          <w:sz w:val="22"/>
          <w:szCs w:val="22"/>
        </w:rPr>
        <w:t xml:space="preserve"> </w:t>
      </w:r>
      <w:r w:rsidR="000C0F0F">
        <w:rPr>
          <w:sz w:val="22"/>
          <w:szCs w:val="22"/>
        </w:rPr>
        <w:t xml:space="preserve">the </w:t>
      </w:r>
      <w:r w:rsidR="000C0F0F" w:rsidRPr="000C0F0F">
        <w:rPr>
          <w:sz w:val="22"/>
          <w:szCs w:val="22"/>
        </w:rPr>
        <w:t xml:space="preserve">SEN formula does not allocate a minimum level of funding, after the cost of </w:t>
      </w:r>
      <w:r w:rsidR="000C0F0F">
        <w:rPr>
          <w:sz w:val="22"/>
          <w:szCs w:val="22"/>
        </w:rPr>
        <w:t>EHCPs</w:t>
      </w:r>
      <w:r w:rsidR="000C0F0F" w:rsidRPr="000C0F0F">
        <w:rPr>
          <w:sz w:val="22"/>
          <w:szCs w:val="22"/>
        </w:rPr>
        <w:t xml:space="preserve"> has been removed</w:t>
      </w:r>
      <w:r w:rsidR="000C0F0F">
        <w:rPr>
          <w:sz w:val="22"/>
          <w:szCs w:val="22"/>
        </w:rPr>
        <w:t xml:space="preserve">. This </w:t>
      </w:r>
      <w:r w:rsidR="00CA14DE">
        <w:rPr>
          <w:sz w:val="22"/>
          <w:szCs w:val="22"/>
        </w:rPr>
        <w:t xml:space="preserve">is </w:t>
      </w:r>
      <w:r w:rsidR="000C0F0F">
        <w:rPr>
          <w:sz w:val="22"/>
          <w:szCs w:val="22"/>
        </w:rPr>
        <w:t xml:space="preserve">re-calculated on a monthly basis for changes in EHCP positions. SEN formula funding is defined as the notional SEN in the table above but does </w:t>
      </w:r>
      <w:r w:rsidR="00CA14DE">
        <w:rPr>
          <w:sz w:val="22"/>
          <w:szCs w:val="22"/>
        </w:rPr>
        <w:t xml:space="preserve">not </w:t>
      </w:r>
      <w:r w:rsidR="000C0F0F">
        <w:rPr>
          <w:sz w:val="22"/>
          <w:szCs w:val="22"/>
        </w:rPr>
        <w:t>include 5.5%</w:t>
      </w:r>
      <w:r w:rsidR="00CA14DE">
        <w:rPr>
          <w:sz w:val="22"/>
          <w:szCs w:val="22"/>
        </w:rPr>
        <w:t xml:space="preserve"> (primary) / 4.5% (secondary)</w:t>
      </w:r>
      <w:r w:rsidR="000C0F0F">
        <w:rPr>
          <w:sz w:val="22"/>
          <w:szCs w:val="22"/>
        </w:rPr>
        <w:t xml:space="preserve"> of the Base £APP element. The floor tops up funding to these minimums:</w:t>
      </w:r>
    </w:p>
    <w:p w:rsidR="000C0F0F" w:rsidRDefault="000C0F0F" w:rsidP="000C0F0F">
      <w:pPr>
        <w:pStyle w:val="ListParagraph"/>
        <w:jc w:val="both"/>
        <w:rPr>
          <w:sz w:val="22"/>
          <w:szCs w:val="22"/>
        </w:rPr>
      </w:pPr>
    </w:p>
    <w:p w:rsidR="000C0F0F" w:rsidRDefault="000C0F0F" w:rsidP="008D16B2">
      <w:pPr>
        <w:pStyle w:val="ListParagraph"/>
        <w:numPr>
          <w:ilvl w:val="1"/>
          <w:numId w:val="25"/>
        </w:numPr>
        <w:jc w:val="both"/>
        <w:rPr>
          <w:sz w:val="22"/>
          <w:szCs w:val="22"/>
        </w:rPr>
      </w:pPr>
      <w:r>
        <w:rPr>
          <w:sz w:val="22"/>
          <w:szCs w:val="22"/>
        </w:rPr>
        <w:t>F</w:t>
      </w:r>
      <w:r w:rsidRPr="000C0F0F">
        <w:rPr>
          <w:sz w:val="22"/>
          <w:szCs w:val="22"/>
        </w:rPr>
        <w:t>or Primary schools and academies: £19,931 or £69.10 per pupil (whichever is greater)</w:t>
      </w:r>
    </w:p>
    <w:p w:rsidR="00CA14DE" w:rsidRPr="000C0F0F" w:rsidRDefault="00CA14DE" w:rsidP="00CA14DE">
      <w:pPr>
        <w:pStyle w:val="ListParagraph"/>
        <w:ind w:left="1440"/>
        <w:jc w:val="both"/>
        <w:rPr>
          <w:sz w:val="22"/>
          <w:szCs w:val="22"/>
        </w:rPr>
      </w:pPr>
    </w:p>
    <w:p w:rsidR="000C0F0F" w:rsidRPr="000C0F0F" w:rsidRDefault="000C0F0F" w:rsidP="008D16B2">
      <w:pPr>
        <w:pStyle w:val="ListParagraph"/>
        <w:numPr>
          <w:ilvl w:val="1"/>
          <w:numId w:val="25"/>
        </w:numPr>
        <w:jc w:val="both"/>
        <w:rPr>
          <w:sz w:val="22"/>
          <w:szCs w:val="22"/>
        </w:rPr>
      </w:pPr>
      <w:r>
        <w:rPr>
          <w:sz w:val="22"/>
          <w:szCs w:val="22"/>
        </w:rPr>
        <w:t>F</w:t>
      </w:r>
      <w:r w:rsidRPr="000C0F0F">
        <w:rPr>
          <w:sz w:val="22"/>
          <w:szCs w:val="22"/>
        </w:rPr>
        <w:t>or S</w:t>
      </w:r>
      <w:r>
        <w:rPr>
          <w:sz w:val="22"/>
          <w:szCs w:val="22"/>
        </w:rPr>
        <w:t>econdary schools and academies</w:t>
      </w:r>
      <w:r w:rsidRPr="000C0F0F">
        <w:rPr>
          <w:sz w:val="22"/>
          <w:szCs w:val="22"/>
        </w:rPr>
        <w:t xml:space="preserve"> £75,337 or £69.10 per pupil (whichever is greater)</w:t>
      </w:r>
    </w:p>
    <w:p w:rsidR="008D30E7" w:rsidRPr="000C0F0F" w:rsidRDefault="008D30E7" w:rsidP="000C0F0F">
      <w:pPr>
        <w:jc w:val="both"/>
        <w:rPr>
          <w:sz w:val="22"/>
          <w:szCs w:val="22"/>
        </w:rPr>
      </w:pPr>
    </w:p>
    <w:p w:rsidR="00872870" w:rsidRPr="00872870" w:rsidRDefault="00872870" w:rsidP="008D16B2">
      <w:pPr>
        <w:pStyle w:val="ListParagraph"/>
        <w:numPr>
          <w:ilvl w:val="0"/>
          <w:numId w:val="25"/>
        </w:numPr>
        <w:jc w:val="both"/>
        <w:rPr>
          <w:b/>
          <w:sz w:val="22"/>
          <w:szCs w:val="22"/>
        </w:rPr>
      </w:pPr>
      <w:r w:rsidRPr="00872870">
        <w:rPr>
          <w:b/>
          <w:sz w:val="22"/>
          <w:szCs w:val="22"/>
        </w:rPr>
        <w:t>The Authority</w:t>
      </w:r>
      <w:r>
        <w:rPr>
          <w:b/>
          <w:sz w:val="22"/>
          <w:szCs w:val="22"/>
        </w:rPr>
        <w:t>’s</w:t>
      </w:r>
      <w:r w:rsidRPr="00872870">
        <w:rPr>
          <w:b/>
          <w:sz w:val="22"/>
          <w:szCs w:val="22"/>
        </w:rPr>
        <w:t xml:space="preserve"> basic proposal is that we protect the values of SEN Floor allocations for individual schools and academies in 2018/19 that would otherwise be reduced. We propose that we ensure that schools and academies that are currently funded under the SEN Floor receive in 2018/19 at least the value of allocation they have received in 2017/18</w:t>
      </w:r>
      <w:r w:rsidR="00B769E3">
        <w:rPr>
          <w:b/>
          <w:sz w:val="22"/>
          <w:szCs w:val="22"/>
        </w:rPr>
        <w:t xml:space="preserve">, </w:t>
      </w:r>
      <w:r w:rsidR="003C3E23">
        <w:rPr>
          <w:b/>
          <w:sz w:val="22"/>
          <w:szCs w:val="22"/>
        </w:rPr>
        <w:t>pending further review for 2019/20.</w:t>
      </w:r>
    </w:p>
    <w:p w:rsidR="00872870" w:rsidRDefault="00872870" w:rsidP="00872870">
      <w:pPr>
        <w:pStyle w:val="ListParagraph"/>
        <w:jc w:val="both"/>
        <w:rPr>
          <w:sz w:val="22"/>
          <w:szCs w:val="22"/>
        </w:rPr>
      </w:pPr>
    </w:p>
    <w:p w:rsidR="00872870" w:rsidRDefault="00B769E3" w:rsidP="008D16B2">
      <w:pPr>
        <w:pStyle w:val="ListParagraph"/>
        <w:numPr>
          <w:ilvl w:val="0"/>
          <w:numId w:val="25"/>
        </w:numPr>
        <w:jc w:val="both"/>
        <w:rPr>
          <w:sz w:val="22"/>
          <w:szCs w:val="22"/>
        </w:rPr>
      </w:pPr>
      <w:r>
        <w:rPr>
          <w:sz w:val="22"/>
          <w:szCs w:val="22"/>
        </w:rPr>
        <w:t>Please</w:t>
      </w:r>
      <w:r w:rsidR="00872870" w:rsidRPr="00872870">
        <w:rPr>
          <w:sz w:val="22"/>
          <w:szCs w:val="22"/>
        </w:rPr>
        <w:t xml:space="preserve"> be aware</w:t>
      </w:r>
      <w:r w:rsidR="003C3E23">
        <w:rPr>
          <w:sz w:val="22"/>
          <w:szCs w:val="22"/>
        </w:rPr>
        <w:t>, under decision 5,</w:t>
      </w:r>
      <w:r w:rsidR="00872870" w:rsidRPr="00872870">
        <w:rPr>
          <w:sz w:val="22"/>
          <w:szCs w:val="22"/>
        </w:rPr>
        <w:t xml:space="preserve"> that the Schools Forum is currently considering whether further support for SEND can be provided for primary schools and academies through the Floor mechanism in 2018/19</w:t>
      </w:r>
      <w:r w:rsidR="003C3E23">
        <w:rPr>
          <w:sz w:val="22"/>
          <w:szCs w:val="22"/>
        </w:rPr>
        <w:t>, on a temporary possibly one off basis,</w:t>
      </w:r>
      <w:r w:rsidR="00872870" w:rsidRPr="00872870">
        <w:rPr>
          <w:sz w:val="22"/>
          <w:szCs w:val="22"/>
        </w:rPr>
        <w:t xml:space="preserve"> by using primary phase hea</w:t>
      </w:r>
      <w:r w:rsidR="003C3E23">
        <w:rPr>
          <w:sz w:val="22"/>
          <w:szCs w:val="22"/>
        </w:rPr>
        <w:t>droom within the Schools Block.</w:t>
      </w:r>
    </w:p>
    <w:p w:rsidR="000F1784" w:rsidRDefault="000F1784" w:rsidP="000F1784">
      <w:pPr>
        <w:jc w:val="both"/>
        <w:rPr>
          <w:sz w:val="22"/>
          <w:szCs w:val="22"/>
        </w:rPr>
      </w:pPr>
    </w:p>
    <w:p w:rsidR="006D22C0" w:rsidRP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9</w:t>
      </w:r>
      <w:r w:rsidRPr="006D22C0">
        <w:rPr>
          <w:b/>
          <w:bCs/>
          <w:color w:val="4F81BD" w:themeColor="accent1"/>
          <w:sz w:val="22"/>
          <w:szCs w:val="22"/>
        </w:rPr>
        <w:t xml:space="preserve">: </w:t>
      </w:r>
      <w:r>
        <w:rPr>
          <w:b/>
          <w:bCs/>
          <w:color w:val="4F81BD" w:themeColor="accent1"/>
          <w:sz w:val="22"/>
          <w:szCs w:val="22"/>
        </w:rPr>
        <w:t xml:space="preserve">Do you agree </w:t>
      </w:r>
      <w:r w:rsidRPr="006D22C0">
        <w:rPr>
          <w:b/>
          <w:bCs/>
          <w:color w:val="4F81BD" w:themeColor="accent1"/>
          <w:sz w:val="22"/>
          <w:szCs w:val="22"/>
        </w:rPr>
        <w:t>with the proposal</w:t>
      </w:r>
      <w:r>
        <w:rPr>
          <w:b/>
          <w:bCs/>
          <w:color w:val="4F81BD" w:themeColor="accent1"/>
          <w:sz w:val="22"/>
          <w:szCs w:val="22"/>
        </w:rPr>
        <w:t xml:space="preserve"> to protect SEN Floor allocations for individual schools and academies in 2018/19 at least at their 2017</w:t>
      </w:r>
      <w:r w:rsidR="00F41BAA">
        <w:rPr>
          <w:b/>
          <w:bCs/>
          <w:color w:val="4F81BD" w:themeColor="accent1"/>
          <w:sz w:val="22"/>
          <w:szCs w:val="22"/>
        </w:rPr>
        <w:t>/18</w:t>
      </w:r>
      <w:r>
        <w:rPr>
          <w:b/>
          <w:bCs/>
          <w:color w:val="4F81BD" w:themeColor="accent1"/>
          <w:sz w:val="22"/>
          <w:szCs w:val="22"/>
        </w:rPr>
        <w:t xml:space="preserve"> values? If not, please explain why not.</w:t>
      </w:r>
    </w:p>
    <w:p w:rsidR="000F1784" w:rsidRDefault="000F1784" w:rsidP="000F1784">
      <w:pPr>
        <w:jc w:val="both"/>
        <w:rPr>
          <w:sz w:val="22"/>
          <w:szCs w:val="22"/>
        </w:rPr>
      </w:pPr>
    </w:p>
    <w:p w:rsidR="000F1784" w:rsidRDefault="000F1784" w:rsidP="000F1784">
      <w:pPr>
        <w:jc w:val="both"/>
        <w:rPr>
          <w:sz w:val="22"/>
          <w:szCs w:val="22"/>
        </w:rPr>
      </w:pPr>
    </w:p>
    <w:p w:rsidR="000F1784" w:rsidRDefault="000F1784" w:rsidP="000F1784">
      <w:pPr>
        <w:jc w:val="both"/>
        <w:rPr>
          <w:sz w:val="22"/>
          <w:szCs w:val="22"/>
        </w:rPr>
      </w:pPr>
      <w:r>
        <w:rPr>
          <w:sz w:val="22"/>
          <w:szCs w:val="22"/>
          <w:u w:val="single"/>
        </w:rPr>
        <w:t>Factors Outside NFF Scope in 2018/19</w:t>
      </w:r>
    </w:p>
    <w:p w:rsidR="000F1784" w:rsidRDefault="000F1784" w:rsidP="000F1784">
      <w:pPr>
        <w:jc w:val="both"/>
        <w:rPr>
          <w:sz w:val="22"/>
          <w:szCs w:val="22"/>
        </w:rPr>
      </w:pPr>
    </w:p>
    <w:p w:rsidR="000F1784" w:rsidRPr="000F1784" w:rsidRDefault="000F1784" w:rsidP="008D16B2">
      <w:pPr>
        <w:pStyle w:val="ListParagraph"/>
        <w:numPr>
          <w:ilvl w:val="0"/>
          <w:numId w:val="30"/>
        </w:numPr>
        <w:jc w:val="both"/>
        <w:rPr>
          <w:b/>
          <w:sz w:val="22"/>
          <w:szCs w:val="22"/>
        </w:rPr>
      </w:pPr>
      <w:r w:rsidRPr="000F1784">
        <w:rPr>
          <w:b/>
          <w:sz w:val="22"/>
          <w:szCs w:val="22"/>
        </w:rPr>
        <w:t xml:space="preserve">We propose to continue our current 2017/18 formulae for the allocation of both split sites and pupil mobility. </w:t>
      </w:r>
      <w:r w:rsidRPr="000F1784">
        <w:rPr>
          <w:sz w:val="22"/>
          <w:szCs w:val="22"/>
        </w:rPr>
        <w:t>These factors will be updated for October 2017 Census data. The values of the formula factors will be the same.</w:t>
      </w:r>
    </w:p>
    <w:p w:rsidR="000F1784" w:rsidRDefault="000F1784" w:rsidP="000F1784">
      <w:pPr>
        <w:pStyle w:val="ListParagraph"/>
        <w:jc w:val="both"/>
        <w:rPr>
          <w:sz w:val="22"/>
          <w:szCs w:val="22"/>
        </w:rPr>
      </w:pPr>
    </w:p>
    <w:p w:rsidR="000F1784" w:rsidRDefault="000F1784" w:rsidP="008D16B2">
      <w:pPr>
        <w:pStyle w:val="ListParagraph"/>
        <w:numPr>
          <w:ilvl w:val="0"/>
          <w:numId w:val="30"/>
        </w:numPr>
        <w:jc w:val="both"/>
        <w:rPr>
          <w:b/>
          <w:sz w:val="22"/>
          <w:szCs w:val="22"/>
        </w:rPr>
      </w:pPr>
      <w:r w:rsidRPr="000F1784">
        <w:rPr>
          <w:b/>
          <w:sz w:val="22"/>
          <w:szCs w:val="22"/>
        </w:rPr>
        <w:t>Business rates will continue to be funded at actual cost.</w:t>
      </w:r>
    </w:p>
    <w:p w:rsidR="000F1784" w:rsidRPr="000F1784" w:rsidRDefault="000F1784" w:rsidP="000F1784">
      <w:pPr>
        <w:pStyle w:val="ListParagraph"/>
        <w:jc w:val="both"/>
        <w:rPr>
          <w:b/>
          <w:sz w:val="22"/>
          <w:szCs w:val="22"/>
        </w:rPr>
      </w:pPr>
    </w:p>
    <w:p w:rsidR="000F1784" w:rsidRDefault="000F1784" w:rsidP="008D16B2">
      <w:pPr>
        <w:pStyle w:val="ListParagraph"/>
        <w:numPr>
          <w:ilvl w:val="0"/>
          <w:numId w:val="30"/>
        </w:numPr>
        <w:jc w:val="both"/>
        <w:rPr>
          <w:b/>
          <w:sz w:val="22"/>
          <w:szCs w:val="22"/>
        </w:rPr>
      </w:pPr>
      <w:r>
        <w:rPr>
          <w:b/>
          <w:sz w:val="22"/>
          <w:szCs w:val="22"/>
        </w:rPr>
        <w:t xml:space="preserve">The approach </w:t>
      </w:r>
      <w:r w:rsidR="00B769E3">
        <w:rPr>
          <w:b/>
          <w:sz w:val="22"/>
          <w:szCs w:val="22"/>
        </w:rPr>
        <w:t>to Growth Funding is proposed to</w:t>
      </w:r>
      <w:r>
        <w:rPr>
          <w:b/>
          <w:sz w:val="22"/>
          <w:szCs w:val="22"/>
        </w:rPr>
        <w:t xml:space="preserve"> be as 2017/18 but the values per pupil funding wi</w:t>
      </w:r>
      <w:r w:rsidR="00B769E3">
        <w:rPr>
          <w:b/>
          <w:sz w:val="22"/>
          <w:szCs w:val="22"/>
        </w:rPr>
        <w:t>ll be aligned to the NFF values</w:t>
      </w:r>
      <w:r>
        <w:rPr>
          <w:b/>
          <w:sz w:val="22"/>
          <w:szCs w:val="22"/>
        </w:rPr>
        <w:t xml:space="preserve"> where we move to NFF at April 2018.</w:t>
      </w:r>
    </w:p>
    <w:p w:rsidR="00D9470F" w:rsidRPr="00CA14DE" w:rsidRDefault="00D9470F" w:rsidP="00D9470F">
      <w:pPr>
        <w:pStyle w:val="ListParagraph"/>
        <w:jc w:val="both"/>
        <w:rPr>
          <w:b/>
          <w:sz w:val="22"/>
          <w:szCs w:val="22"/>
        </w:rPr>
      </w:pPr>
    </w:p>
    <w:p w:rsidR="000F1784" w:rsidRPr="000F1784" w:rsidRDefault="000F1784" w:rsidP="008D16B2">
      <w:pPr>
        <w:pStyle w:val="ListParagraph"/>
        <w:numPr>
          <w:ilvl w:val="0"/>
          <w:numId w:val="30"/>
        </w:numPr>
        <w:jc w:val="both"/>
        <w:rPr>
          <w:b/>
          <w:sz w:val="22"/>
          <w:szCs w:val="22"/>
        </w:rPr>
      </w:pPr>
      <w:r>
        <w:rPr>
          <w:b/>
          <w:sz w:val="22"/>
          <w:szCs w:val="22"/>
        </w:rPr>
        <w:t>We propose to continue to pass through the specific BSF DSG affordability gap value</w:t>
      </w:r>
      <w:r w:rsidR="00B769E3">
        <w:rPr>
          <w:b/>
          <w:sz w:val="22"/>
          <w:szCs w:val="22"/>
        </w:rPr>
        <w:t>s</w:t>
      </w:r>
      <w:r>
        <w:rPr>
          <w:b/>
          <w:sz w:val="22"/>
          <w:szCs w:val="22"/>
        </w:rPr>
        <w:t xml:space="preserve"> using our current method but with an adjustment to ensure that the amounts passed on to academies by the EFA on an academic year basis are equivalent to the amounts that the Authority requires academies to pay back on a financial year basis. </w:t>
      </w:r>
      <w:r>
        <w:rPr>
          <w:sz w:val="22"/>
          <w:szCs w:val="22"/>
        </w:rPr>
        <w:t>We also propose to submit a disapplication request to the Secretary of State to ensure that this change does not consume growth that the MFG or ceiling would otherwise provide for an academy in 2018/19.</w:t>
      </w:r>
    </w:p>
    <w:p w:rsidR="000F64D4" w:rsidRDefault="000F64D4" w:rsidP="000F1784">
      <w:pPr>
        <w:jc w:val="both"/>
        <w:rPr>
          <w:sz w:val="22"/>
          <w:szCs w:val="22"/>
        </w:rPr>
      </w:pPr>
    </w:p>
    <w:p w:rsidR="006D22C0" w:rsidRPr="006D22C0" w:rsidRDefault="006D22C0" w:rsidP="006D22C0">
      <w:pPr>
        <w:jc w:val="both"/>
        <w:rPr>
          <w:b/>
          <w:bCs/>
          <w:color w:val="4F81BD" w:themeColor="accent1"/>
          <w:sz w:val="22"/>
          <w:szCs w:val="22"/>
        </w:rPr>
      </w:pPr>
      <w:r w:rsidRPr="006D22C0">
        <w:rPr>
          <w:b/>
          <w:bCs/>
          <w:color w:val="4F81BD" w:themeColor="accent1"/>
          <w:sz w:val="22"/>
          <w:szCs w:val="22"/>
        </w:rPr>
        <w:t xml:space="preserve">Question </w:t>
      </w:r>
      <w:r>
        <w:rPr>
          <w:b/>
          <w:bCs/>
          <w:color w:val="4F81BD" w:themeColor="accent1"/>
          <w:sz w:val="22"/>
          <w:szCs w:val="22"/>
        </w:rPr>
        <w:t>10</w:t>
      </w:r>
      <w:r w:rsidRPr="006D22C0">
        <w:rPr>
          <w:b/>
          <w:bCs/>
          <w:color w:val="4F81BD" w:themeColor="accent1"/>
          <w:sz w:val="22"/>
          <w:szCs w:val="22"/>
        </w:rPr>
        <w:t xml:space="preserve">: </w:t>
      </w:r>
      <w:r>
        <w:rPr>
          <w:b/>
          <w:bCs/>
          <w:color w:val="4F81BD" w:themeColor="accent1"/>
          <w:sz w:val="22"/>
          <w:szCs w:val="22"/>
        </w:rPr>
        <w:t xml:space="preserve">Do you agree </w:t>
      </w:r>
      <w:r w:rsidRPr="006D22C0">
        <w:rPr>
          <w:b/>
          <w:bCs/>
          <w:color w:val="4F81BD" w:themeColor="accent1"/>
          <w:sz w:val="22"/>
          <w:szCs w:val="22"/>
        </w:rPr>
        <w:t>with the proposal</w:t>
      </w:r>
      <w:r>
        <w:rPr>
          <w:b/>
          <w:bCs/>
          <w:color w:val="4F81BD" w:themeColor="accent1"/>
          <w:sz w:val="22"/>
          <w:szCs w:val="22"/>
        </w:rPr>
        <w:t xml:space="preserve"> to continue the approaches to the factors currently outside the scope of the National Funding Formula</w:t>
      </w:r>
      <w:r w:rsidR="00F41BAA">
        <w:rPr>
          <w:b/>
          <w:bCs/>
          <w:color w:val="4F81BD" w:themeColor="accent1"/>
          <w:sz w:val="22"/>
          <w:szCs w:val="22"/>
        </w:rPr>
        <w:t xml:space="preserve"> as set out</w:t>
      </w:r>
      <w:r>
        <w:rPr>
          <w:b/>
          <w:bCs/>
          <w:color w:val="4F81BD" w:themeColor="accent1"/>
          <w:sz w:val="22"/>
          <w:szCs w:val="22"/>
        </w:rPr>
        <w:t xml:space="preserve"> (split sites, </w:t>
      </w:r>
      <w:r w:rsidR="00F41BAA">
        <w:rPr>
          <w:b/>
          <w:bCs/>
          <w:color w:val="4F81BD" w:themeColor="accent1"/>
          <w:sz w:val="22"/>
          <w:szCs w:val="22"/>
        </w:rPr>
        <w:t xml:space="preserve">pupil </w:t>
      </w:r>
      <w:r>
        <w:rPr>
          <w:b/>
          <w:bCs/>
          <w:color w:val="4F81BD" w:themeColor="accent1"/>
          <w:sz w:val="22"/>
          <w:szCs w:val="22"/>
        </w:rPr>
        <w:t>mobility, business rates, Growth Funding, BSF DSG affordability gap)? If not, please explain why not.</w:t>
      </w:r>
    </w:p>
    <w:p w:rsidR="000F64D4" w:rsidRDefault="000F64D4" w:rsidP="000F1784">
      <w:pPr>
        <w:jc w:val="both"/>
        <w:rPr>
          <w:sz w:val="22"/>
          <w:szCs w:val="22"/>
        </w:rPr>
      </w:pPr>
    </w:p>
    <w:p w:rsidR="006D22C0" w:rsidRDefault="006D22C0" w:rsidP="00B24DD2">
      <w:pPr>
        <w:jc w:val="both"/>
        <w:rPr>
          <w:sz w:val="22"/>
          <w:szCs w:val="22"/>
        </w:rPr>
      </w:pPr>
    </w:p>
    <w:p w:rsidR="000E2564" w:rsidRPr="00D912F3" w:rsidRDefault="000E2564" w:rsidP="000E2564">
      <w:pPr>
        <w:jc w:val="both"/>
        <w:rPr>
          <w:b/>
          <w:bCs/>
          <w:color w:val="4F81BD" w:themeColor="accent1"/>
          <w:sz w:val="22"/>
          <w:szCs w:val="22"/>
        </w:rPr>
      </w:pPr>
      <w:r w:rsidRPr="00D912F3">
        <w:rPr>
          <w:b/>
          <w:bCs/>
          <w:color w:val="4F81BD" w:themeColor="accent1"/>
          <w:sz w:val="22"/>
          <w:szCs w:val="22"/>
        </w:rPr>
        <w:t>3.</w:t>
      </w:r>
      <w:r w:rsidRPr="00D912F3">
        <w:rPr>
          <w:b/>
          <w:bCs/>
          <w:color w:val="4F81BD" w:themeColor="accent1"/>
          <w:sz w:val="22"/>
          <w:szCs w:val="22"/>
        </w:rPr>
        <w:tab/>
        <w:t>More detail about National Funding Formula</w:t>
      </w:r>
      <w:r w:rsidR="00D912F3" w:rsidRPr="00D912F3">
        <w:rPr>
          <w:b/>
          <w:bCs/>
          <w:color w:val="4F81BD" w:themeColor="accent1"/>
          <w:sz w:val="22"/>
          <w:szCs w:val="22"/>
        </w:rPr>
        <w:t xml:space="preserve"> &amp; the proposal to use this from April 2018</w:t>
      </w:r>
    </w:p>
    <w:p w:rsidR="000E2564" w:rsidRDefault="000E2564" w:rsidP="000E2564">
      <w:pPr>
        <w:jc w:val="both"/>
        <w:rPr>
          <w:b/>
          <w:bCs/>
          <w:sz w:val="22"/>
          <w:szCs w:val="22"/>
        </w:rPr>
      </w:pPr>
    </w:p>
    <w:p w:rsidR="00D56A0C" w:rsidRPr="00D56A0C" w:rsidRDefault="00D56A0C" w:rsidP="00D56A0C">
      <w:pPr>
        <w:spacing w:after="200" w:line="276" w:lineRule="auto"/>
        <w:contextualSpacing/>
        <w:jc w:val="both"/>
        <w:rPr>
          <w:sz w:val="22"/>
          <w:szCs w:val="22"/>
        </w:rPr>
      </w:pPr>
      <w:r w:rsidRPr="00D56A0C">
        <w:rPr>
          <w:sz w:val="22"/>
          <w:szCs w:val="22"/>
        </w:rPr>
        <w:t>3.1 Our Dedicated Schools Grant (DSG) position, under a fully implemented National Funding Formula, changes as follows when compared against</w:t>
      </w:r>
      <w:r>
        <w:rPr>
          <w:sz w:val="22"/>
          <w:szCs w:val="22"/>
        </w:rPr>
        <w:t xml:space="preserve"> Bradford’s 2017/18 baseline.</w:t>
      </w:r>
    </w:p>
    <w:p w:rsidR="00D56A0C" w:rsidRPr="00D56A0C" w:rsidRDefault="00D56A0C" w:rsidP="008D16B2">
      <w:pPr>
        <w:pStyle w:val="ListParagraph"/>
        <w:numPr>
          <w:ilvl w:val="1"/>
          <w:numId w:val="27"/>
        </w:numPr>
        <w:spacing w:after="200" w:line="276" w:lineRule="auto"/>
        <w:contextualSpacing/>
        <w:jc w:val="both"/>
        <w:rPr>
          <w:sz w:val="22"/>
          <w:szCs w:val="22"/>
        </w:rPr>
      </w:pPr>
      <w:r w:rsidRPr="00D56A0C">
        <w:rPr>
          <w:sz w:val="22"/>
          <w:szCs w:val="22"/>
        </w:rPr>
        <w:t>Schools Block</w:t>
      </w:r>
      <w:r w:rsidRPr="00D56A0C">
        <w:rPr>
          <w:sz w:val="22"/>
          <w:szCs w:val="22"/>
        </w:rPr>
        <w:tab/>
      </w:r>
      <w:r w:rsidRPr="00D56A0C">
        <w:rPr>
          <w:sz w:val="22"/>
          <w:szCs w:val="22"/>
        </w:rPr>
        <w:tab/>
      </w:r>
      <w:r w:rsidRPr="00D56A0C">
        <w:rPr>
          <w:sz w:val="22"/>
          <w:szCs w:val="22"/>
        </w:rPr>
        <w:tab/>
      </w:r>
      <w:r w:rsidRPr="00D56A0C">
        <w:rPr>
          <w:sz w:val="22"/>
          <w:szCs w:val="22"/>
        </w:rPr>
        <w:tab/>
        <w:t>a gain of £6.5m on a baseline of £406.79m (+1.6%)</w:t>
      </w:r>
    </w:p>
    <w:p w:rsidR="00D56A0C" w:rsidRPr="00D56A0C" w:rsidRDefault="00D56A0C" w:rsidP="008D16B2">
      <w:pPr>
        <w:pStyle w:val="ListParagraph"/>
        <w:numPr>
          <w:ilvl w:val="1"/>
          <w:numId w:val="27"/>
        </w:numPr>
        <w:spacing w:after="200" w:line="276" w:lineRule="auto"/>
        <w:contextualSpacing/>
        <w:jc w:val="both"/>
        <w:rPr>
          <w:sz w:val="22"/>
          <w:szCs w:val="22"/>
        </w:rPr>
      </w:pPr>
      <w:r w:rsidRPr="00D56A0C">
        <w:rPr>
          <w:sz w:val="22"/>
          <w:szCs w:val="22"/>
        </w:rPr>
        <w:t>High Needs Block</w:t>
      </w:r>
      <w:r w:rsidRPr="00D56A0C">
        <w:rPr>
          <w:sz w:val="22"/>
          <w:szCs w:val="22"/>
        </w:rPr>
        <w:tab/>
      </w:r>
      <w:r w:rsidRPr="00D56A0C">
        <w:rPr>
          <w:sz w:val="22"/>
          <w:szCs w:val="22"/>
        </w:rPr>
        <w:tab/>
      </w:r>
      <w:r w:rsidRPr="00D56A0C">
        <w:rPr>
          <w:sz w:val="22"/>
          <w:szCs w:val="22"/>
        </w:rPr>
        <w:tab/>
        <w:t>a gain of £7.5m on a baseline of £63.84m (+11.8%)</w:t>
      </w:r>
    </w:p>
    <w:p w:rsidR="00D56A0C" w:rsidRPr="00D56A0C" w:rsidRDefault="00D56A0C" w:rsidP="008D16B2">
      <w:pPr>
        <w:pStyle w:val="ListParagraph"/>
        <w:numPr>
          <w:ilvl w:val="1"/>
          <w:numId w:val="27"/>
        </w:numPr>
        <w:spacing w:after="200" w:line="276" w:lineRule="auto"/>
        <w:contextualSpacing/>
        <w:jc w:val="both"/>
        <w:rPr>
          <w:sz w:val="22"/>
          <w:szCs w:val="22"/>
        </w:rPr>
      </w:pPr>
      <w:r w:rsidRPr="00D56A0C">
        <w:rPr>
          <w:sz w:val="22"/>
          <w:szCs w:val="22"/>
        </w:rPr>
        <w:t>Central Schools Block</w:t>
      </w:r>
      <w:r w:rsidRPr="00D56A0C">
        <w:rPr>
          <w:sz w:val="22"/>
          <w:szCs w:val="22"/>
        </w:rPr>
        <w:tab/>
      </w:r>
      <w:r w:rsidRPr="00D56A0C">
        <w:rPr>
          <w:sz w:val="22"/>
          <w:szCs w:val="22"/>
        </w:rPr>
        <w:tab/>
      </w:r>
      <w:r w:rsidRPr="00D56A0C">
        <w:rPr>
          <w:sz w:val="22"/>
          <w:szCs w:val="22"/>
        </w:rPr>
        <w:tab/>
        <w:t>a gain of £0.5m on a baseline of £2.33m (+21.7%)</w:t>
      </w:r>
    </w:p>
    <w:p w:rsidR="00D56A0C" w:rsidRDefault="00D56A0C" w:rsidP="00D56A0C">
      <w:pPr>
        <w:pStyle w:val="ListParagraph"/>
        <w:jc w:val="both"/>
        <w:rPr>
          <w:sz w:val="22"/>
          <w:szCs w:val="22"/>
        </w:rPr>
      </w:pPr>
      <w:r w:rsidRPr="00D56A0C">
        <w:rPr>
          <w:b/>
          <w:sz w:val="22"/>
          <w:szCs w:val="22"/>
        </w:rPr>
        <w:t>Total</w:t>
      </w:r>
      <w:r w:rsidRPr="00D56A0C">
        <w:rPr>
          <w:b/>
          <w:sz w:val="22"/>
          <w:szCs w:val="22"/>
        </w:rPr>
        <w:tab/>
      </w:r>
      <w:r w:rsidRPr="00D56A0C">
        <w:rPr>
          <w:b/>
          <w:sz w:val="22"/>
          <w:szCs w:val="22"/>
        </w:rPr>
        <w:tab/>
      </w:r>
      <w:r w:rsidRPr="00D56A0C">
        <w:rPr>
          <w:b/>
          <w:sz w:val="22"/>
          <w:szCs w:val="22"/>
        </w:rPr>
        <w:tab/>
      </w:r>
      <w:r w:rsidRPr="00D56A0C">
        <w:rPr>
          <w:b/>
          <w:sz w:val="22"/>
          <w:szCs w:val="22"/>
        </w:rPr>
        <w:tab/>
      </w:r>
      <w:r w:rsidRPr="00D56A0C">
        <w:rPr>
          <w:b/>
          <w:sz w:val="22"/>
          <w:szCs w:val="22"/>
        </w:rPr>
        <w:tab/>
        <w:t>a gain of £14.5m on a baseline of £472.96m (+3.1%)</w:t>
      </w:r>
    </w:p>
    <w:p w:rsidR="00D56A0C" w:rsidRDefault="00D56A0C" w:rsidP="00D56A0C">
      <w:pPr>
        <w:pStyle w:val="ListParagraph"/>
        <w:jc w:val="both"/>
        <w:rPr>
          <w:sz w:val="22"/>
          <w:szCs w:val="22"/>
        </w:rPr>
      </w:pPr>
    </w:p>
    <w:p w:rsidR="0023000C" w:rsidRPr="0023000C" w:rsidRDefault="0023000C" w:rsidP="0023000C">
      <w:pPr>
        <w:spacing w:after="200" w:line="276" w:lineRule="auto"/>
        <w:contextualSpacing/>
        <w:jc w:val="both"/>
        <w:rPr>
          <w:sz w:val="22"/>
          <w:szCs w:val="22"/>
        </w:rPr>
      </w:pPr>
      <w:r>
        <w:rPr>
          <w:sz w:val="22"/>
          <w:szCs w:val="22"/>
        </w:rPr>
        <w:t xml:space="preserve">3.2 </w:t>
      </w:r>
      <w:r w:rsidRPr="0023000C">
        <w:rPr>
          <w:sz w:val="22"/>
          <w:szCs w:val="22"/>
        </w:rPr>
        <w:t>The notable differences, when the final National Funding Formula (NFF) is com</w:t>
      </w:r>
      <w:r>
        <w:rPr>
          <w:sz w:val="22"/>
          <w:szCs w:val="22"/>
        </w:rPr>
        <w:t>pared against that which was pro</w:t>
      </w:r>
      <w:r w:rsidRPr="0023000C">
        <w:rPr>
          <w:sz w:val="22"/>
          <w:szCs w:val="22"/>
        </w:rPr>
        <w:t xml:space="preserve">posed by the </w:t>
      </w:r>
      <w:proofErr w:type="spellStart"/>
      <w:r w:rsidRPr="0023000C">
        <w:rPr>
          <w:sz w:val="22"/>
          <w:szCs w:val="22"/>
        </w:rPr>
        <w:t>DfE</w:t>
      </w:r>
      <w:proofErr w:type="spellEnd"/>
      <w:r w:rsidRPr="0023000C">
        <w:rPr>
          <w:sz w:val="22"/>
          <w:szCs w:val="22"/>
        </w:rPr>
        <w:t xml:space="preserve"> in its 2nd stage of consultation in December 2016, </w:t>
      </w:r>
      <w:r>
        <w:rPr>
          <w:sz w:val="22"/>
          <w:szCs w:val="22"/>
        </w:rPr>
        <w:t>relating</w:t>
      </w:r>
      <w:r w:rsidRPr="0023000C">
        <w:rPr>
          <w:sz w:val="22"/>
          <w:szCs w:val="22"/>
        </w:rPr>
        <w:t xml:space="preserve"> to the Schools Block:</w:t>
      </w:r>
    </w:p>
    <w:p w:rsidR="0023000C" w:rsidRDefault="0023000C" w:rsidP="0023000C">
      <w:pPr>
        <w:jc w:val="both"/>
      </w:pPr>
    </w:p>
    <w:p w:rsidR="0023000C" w:rsidRPr="0023000C" w:rsidRDefault="0023000C" w:rsidP="008D16B2">
      <w:pPr>
        <w:pStyle w:val="ListParagraph"/>
        <w:numPr>
          <w:ilvl w:val="0"/>
          <w:numId w:val="25"/>
        </w:numPr>
        <w:jc w:val="both"/>
        <w:rPr>
          <w:sz w:val="22"/>
          <w:szCs w:val="22"/>
        </w:rPr>
      </w:pPr>
      <w:r w:rsidRPr="0023000C">
        <w:rPr>
          <w:sz w:val="22"/>
          <w:szCs w:val="22"/>
        </w:rPr>
        <w:t>The ‘hard’ NFF will not be implemented until April 2020</w:t>
      </w:r>
      <w:r>
        <w:rPr>
          <w:sz w:val="22"/>
          <w:szCs w:val="22"/>
        </w:rPr>
        <w:t>.</w:t>
      </w:r>
    </w:p>
    <w:p w:rsidR="0023000C" w:rsidRPr="0023000C" w:rsidRDefault="0023000C" w:rsidP="0023000C">
      <w:pPr>
        <w:ind w:left="360"/>
        <w:jc w:val="both"/>
        <w:rPr>
          <w:sz w:val="22"/>
          <w:szCs w:val="22"/>
        </w:rPr>
      </w:pPr>
    </w:p>
    <w:p w:rsidR="0023000C" w:rsidRPr="0023000C" w:rsidRDefault="0023000C" w:rsidP="008D16B2">
      <w:pPr>
        <w:pStyle w:val="ListParagraph"/>
        <w:numPr>
          <w:ilvl w:val="0"/>
          <w:numId w:val="25"/>
        </w:numPr>
        <w:jc w:val="both"/>
        <w:rPr>
          <w:sz w:val="22"/>
          <w:szCs w:val="22"/>
        </w:rPr>
      </w:pPr>
      <w:r w:rsidRPr="0023000C">
        <w:rPr>
          <w:sz w:val="22"/>
          <w:szCs w:val="22"/>
        </w:rPr>
        <w:t>The negative 3% per pupil ‘floor’ for primary and secondary schools (the level losses would be capped at and would not exceed for individual schools) has been replaced by a positive 0.5% floor in 2018/19 and positive 1% in 2019/20, meaning that the NFF, at DSG level, does allow for funding growth for all schools of 0.5% in each of the next 2 financial years. This is the main positive change vs. the December consultation proposals, and it means that Bradford now gains rather than loses in the Schools Block. However, this does not mean that all schools will see a minimum 0.5% increase in their funding levels. Schools that are funded on the Minimum Funding Guarantee at best in 2018/19 will see a cash flat (0%) settlement.</w:t>
      </w:r>
    </w:p>
    <w:p w:rsidR="0023000C" w:rsidRPr="0023000C" w:rsidRDefault="0023000C" w:rsidP="0023000C">
      <w:pPr>
        <w:pStyle w:val="ListParagraph"/>
        <w:jc w:val="both"/>
        <w:rPr>
          <w:sz w:val="22"/>
          <w:szCs w:val="22"/>
        </w:rPr>
      </w:pPr>
    </w:p>
    <w:p w:rsidR="0023000C" w:rsidRPr="0023000C" w:rsidRDefault="0023000C" w:rsidP="008D16B2">
      <w:pPr>
        <w:pStyle w:val="ListParagraph"/>
        <w:numPr>
          <w:ilvl w:val="0"/>
          <w:numId w:val="25"/>
        </w:numPr>
        <w:jc w:val="both"/>
        <w:rPr>
          <w:sz w:val="22"/>
          <w:szCs w:val="22"/>
        </w:rPr>
      </w:pPr>
      <w:r w:rsidRPr="0023000C">
        <w:rPr>
          <w:sz w:val="22"/>
          <w:szCs w:val="22"/>
        </w:rPr>
        <w:t>There are new total per pupil funding minimums, which are designed especially to give schools with lower rates of formula funding (due to lower measures of AEN and deprivation) an improved minimum baseline.</w:t>
      </w:r>
    </w:p>
    <w:p w:rsidR="0023000C" w:rsidRPr="0023000C" w:rsidRDefault="0023000C" w:rsidP="0023000C">
      <w:pPr>
        <w:jc w:val="both"/>
        <w:rPr>
          <w:sz w:val="22"/>
          <w:szCs w:val="22"/>
        </w:rPr>
      </w:pPr>
    </w:p>
    <w:p w:rsidR="0023000C" w:rsidRDefault="0023000C" w:rsidP="008D16B2">
      <w:pPr>
        <w:pStyle w:val="ListParagraph"/>
        <w:numPr>
          <w:ilvl w:val="0"/>
          <w:numId w:val="25"/>
        </w:numPr>
        <w:jc w:val="both"/>
        <w:rPr>
          <w:sz w:val="22"/>
          <w:szCs w:val="22"/>
        </w:rPr>
      </w:pPr>
      <w:r w:rsidRPr="0023000C">
        <w:rPr>
          <w:sz w:val="22"/>
          <w:szCs w:val="22"/>
        </w:rPr>
        <w:t>The final NFF has increased the values of basic per pupil funding for primary (+ £35) and secondary schools (+£66 KS3; + £74 KS4) vs. that proposed in December 2016.</w:t>
      </w:r>
    </w:p>
    <w:p w:rsidR="0023000C" w:rsidRDefault="0023000C" w:rsidP="0023000C">
      <w:pPr>
        <w:pStyle w:val="ListParagraph"/>
        <w:jc w:val="both"/>
        <w:rPr>
          <w:sz w:val="22"/>
          <w:szCs w:val="22"/>
        </w:rPr>
      </w:pPr>
    </w:p>
    <w:p w:rsidR="0023000C" w:rsidRPr="00735BE5" w:rsidRDefault="0023000C" w:rsidP="00735BE5">
      <w:pPr>
        <w:jc w:val="both"/>
        <w:rPr>
          <w:sz w:val="22"/>
          <w:szCs w:val="22"/>
        </w:rPr>
      </w:pPr>
      <w:r w:rsidRPr="0023000C">
        <w:rPr>
          <w:sz w:val="22"/>
          <w:szCs w:val="22"/>
        </w:rPr>
        <w:t xml:space="preserve">3.3 In most other respects, the final NFF announced by </w:t>
      </w:r>
      <w:proofErr w:type="spellStart"/>
      <w:r w:rsidRPr="0023000C">
        <w:rPr>
          <w:sz w:val="22"/>
          <w:szCs w:val="22"/>
        </w:rPr>
        <w:t>DfE</w:t>
      </w:r>
      <w:proofErr w:type="spellEnd"/>
      <w:r w:rsidRPr="0023000C">
        <w:rPr>
          <w:sz w:val="22"/>
          <w:szCs w:val="22"/>
        </w:rPr>
        <w:t>, is the same or similar, or has the same or similar impact, as the NFF that was proposed back in December 2016. This means:</w:t>
      </w:r>
    </w:p>
    <w:p w:rsidR="0023000C" w:rsidRDefault="0023000C" w:rsidP="0023000C">
      <w:pPr>
        <w:jc w:val="both"/>
      </w:pPr>
    </w:p>
    <w:p w:rsidR="0023000C" w:rsidRDefault="0023000C" w:rsidP="008D16B2">
      <w:pPr>
        <w:pStyle w:val="ListParagraph"/>
        <w:numPr>
          <w:ilvl w:val="0"/>
          <w:numId w:val="25"/>
        </w:numPr>
        <w:jc w:val="both"/>
        <w:rPr>
          <w:sz w:val="22"/>
          <w:szCs w:val="22"/>
        </w:rPr>
      </w:pPr>
      <w:r w:rsidRPr="0023000C">
        <w:rPr>
          <w:sz w:val="22"/>
          <w:szCs w:val="22"/>
        </w:rPr>
        <w:t>There is the same retained focus on additional educational needs and deprivation funding, with this especially being focused on low prior attainment. The NFF allocates more (+£17.8m) for AEN in total than Bradford’s current formula.</w:t>
      </w:r>
    </w:p>
    <w:p w:rsidR="0023000C" w:rsidRPr="0023000C" w:rsidRDefault="0023000C" w:rsidP="0023000C">
      <w:pPr>
        <w:pStyle w:val="ListParagraph"/>
        <w:jc w:val="both"/>
        <w:rPr>
          <w:sz w:val="22"/>
          <w:szCs w:val="22"/>
        </w:rPr>
      </w:pPr>
    </w:p>
    <w:p w:rsidR="0023000C" w:rsidRPr="0023000C" w:rsidRDefault="0023000C" w:rsidP="008D16B2">
      <w:pPr>
        <w:pStyle w:val="ListParagraph"/>
        <w:numPr>
          <w:ilvl w:val="0"/>
          <w:numId w:val="25"/>
        </w:numPr>
        <w:jc w:val="both"/>
        <w:rPr>
          <w:sz w:val="22"/>
          <w:szCs w:val="22"/>
        </w:rPr>
      </w:pPr>
      <w:r w:rsidRPr="0023000C">
        <w:rPr>
          <w:sz w:val="22"/>
          <w:szCs w:val="22"/>
        </w:rPr>
        <w:t>A pupil mobility factor within the primary and secondary formula is confirmed.</w:t>
      </w:r>
    </w:p>
    <w:p w:rsidR="0023000C" w:rsidRPr="0023000C" w:rsidRDefault="0023000C" w:rsidP="0023000C">
      <w:pPr>
        <w:pStyle w:val="ListParagraph"/>
        <w:jc w:val="both"/>
        <w:rPr>
          <w:sz w:val="22"/>
          <w:szCs w:val="22"/>
        </w:rPr>
      </w:pPr>
    </w:p>
    <w:p w:rsidR="0023000C" w:rsidRDefault="0023000C" w:rsidP="008D16B2">
      <w:pPr>
        <w:pStyle w:val="ListParagraph"/>
        <w:numPr>
          <w:ilvl w:val="0"/>
          <w:numId w:val="25"/>
        </w:numPr>
        <w:jc w:val="both"/>
        <w:rPr>
          <w:sz w:val="22"/>
          <w:szCs w:val="22"/>
        </w:rPr>
      </w:pPr>
      <w:r w:rsidRPr="0023000C">
        <w:rPr>
          <w:sz w:val="22"/>
          <w:szCs w:val="22"/>
        </w:rPr>
        <w:t xml:space="preserve">There is the same reduction in the value of lump sum funding, with the NFF value set at £110,000 per school, which is £65,000 lower than Bradford’s current formula. This means that the unprotected NFF </w:t>
      </w:r>
      <w:r w:rsidRPr="0023000C">
        <w:rPr>
          <w:sz w:val="22"/>
          <w:szCs w:val="22"/>
        </w:rPr>
        <w:lastRenderedPageBreak/>
        <w:t xml:space="preserve">allocations for the vast majority of our primary schools and academies are reduced on Bradford’s current formula allocation. </w:t>
      </w:r>
    </w:p>
    <w:p w:rsidR="0023000C" w:rsidRPr="0023000C" w:rsidRDefault="0023000C" w:rsidP="0023000C">
      <w:pPr>
        <w:pStyle w:val="ListParagraph"/>
        <w:jc w:val="both"/>
        <w:rPr>
          <w:sz w:val="22"/>
          <w:szCs w:val="22"/>
        </w:rPr>
      </w:pPr>
    </w:p>
    <w:p w:rsidR="0023000C" w:rsidRPr="0023000C" w:rsidRDefault="0023000C" w:rsidP="008D16B2">
      <w:pPr>
        <w:pStyle w:val="ListParagraph"/>
        <w:numPr>
          <w:ilvl w:val="0"/>
          <w:numId w:val="25"/>
        </w:numPr>
        <w:jc w:val="both"/>
        <w:rPr>
          <w:sz w:val="22"/>
          <w:szCs w:val="22"/>
        </w:rPr>
      </w:pPr>
      <w:r w:rsidRPr="0023000C">
        <w:rPr>
          <w:sz w:val="22"/>
          <w:szCs w:val="22"/>
        </w:rPr>
        <w:t xml:space="preserve">The vast majority of our primary schools and academies are funded at their Minimum Funding Guarantee (MFG) level and therefore, the values of their allocations are dependent on the level at which the MFG is set. Current estimates indicate that </w:t>
      </w:r>
      <w:r w:rsidR="00735BE5">
        <w:rPr>
          <w:sz w:val="22"/>
          <w:szCs w:val="22"/>
        </w:rPr>
        <w:t>80</w:t>
      </w:r>
      <w:r w:rsidRPr="0023000C">
        <w:rPr>
          <w:sz w:val="22"/>
          <w:szCs w:val="22"/>
        </w:rPr>
        <w:t>% of primary schools / 33% of secondary schools will be on the MFG, if the NFF is implemented by us in 2018/19 with an MFG of 0%, with the total value of this protection being £7.37m (£6.46m of this to the primary sector). The funding of our primary sector, in particular, therefore, is vulnerable if Government policy in the future moves further towards the full NFF outcome by reducing the value of MFG protection. The Government has stated that no school will lose as a result of NFF. However, future governments may change from this policy.</w:t>
      </w:r>
    </w:p>
    <w:p w:rsidR="0023000C" w:rsidRPr="0023000C" w:rsidRDefault="0023000C" w:rsidP="0023000C">
      <w:pPr>
        <w:pStyle w:val="ListParagraph"/>
        <w:jc w:val="both"/>
        <w:rPr>
          <w:sz w:val="22"/>
          <w:szCs w:val="22"/>
        </w:rPr>
      </w:pPr>
    </w:p>
    <w:p w:rsidR="0023000C" w:rsidRPr="0023000C" w:rsidRDefault="0023000C" w:rsidP="008D16B2">
      <w:pPr>
        <w:pStyle w:val="ListParagraph"/>
        <w:numPr>
          <w:ilvl w:val="0"/>
          <w:numId w:val="25"/>
        </w:numPr>
        <w:jc w:val="both"/>
        <w:rPr>
          <w:sz w:val="22"/>
          <w:szCs w:val="22"/>
        </w:rPr>
      </w:pPr>
      <w:r w:rsidRPr="0023000C">
        <w:rPr>
          <w:sz w:val="22"/>
          <w:szCs w:val="22"/>
        </w:rPr>
        <w:t>Bradford’s secondary sector fares much better under NFF, with 2/3rds of secondary schools and academies gaining. This is due in particular to the £4,800 minimum but also the significant new focus on the funding of low prior attainment.</w:t>
      </w:r>
    </w:p>
    <w:p w:rsidR="0023000C" w:rsidRPr="0023000C" w:rsidRDefault="0023000C" w:rsidP="0023000C">
      <w:pPr>
        <w:pStyle w:val="ListParagraph"/>
        <w:jc w:val="both"/>
        <w:rPr>
          <w:sz w:val="22"/>
          <w:szCs w:val="22"/>
        </w:rPr>
      </w:pPr>
    </w:p>
    <w:p w:rsidR="0023000C" w:rsidRDefault="0023000C" w:rsidP="008D16B2">
      <w:pPr>
        <w:pStyle w:val="ListParagraph"/>
        <w:numPr>
          <w:ilvl w:val="0"/>
          <w:numId w:val="25"/>
        </w:numPr>
        <w:jc w:val="both"/>
        <w:rPr>
          <w:sz w:val="22"/>
          <w:szCs w:val="22"/>
        </w:rPr>
      </w:pPr>
      <w:r w:rsidRPr="0023000C">
        <w:rPr>
          <w:sz w:val="22"/>
          <w:szCs w:val="22"/>
        </w:rPr>
        <w:t>The NFF still does not fully compensate for the growth in costs (especially salaries costs) and therefore, there will still be further erosion in the value of formula funding in real terms. For clarity, this is not a technical formula issue. It is an issue that is arising as a result of the quantum of education funding falling behind as costs (of salaries and services) increase.</w:t>
      </w:r>
    </w:p>
    <w:p w:rsidR="00DD7EA2" w:rsidRDefault="00DD7EA2" w:rsidP="00DD7EA2">
      <w:pPr>
        <w:jc w:val="both"/>
        <w:rPr>
          <w:sz w:val="22"/>
          <w:szCs w:val="22"/>
        </w:rPr>
      </w:pPr>
    </w:p>
    <w:p w:rsidR="00DD7EA2" w:rsidRDefault="00252960" w:rsidP="00DD7EA2">
      <w:pPr>
        <w:jc w:val="both"/>
        <w:rPr>
          <w:sz w:val="22"/>
          <w:szCs w:val="22"/>
        </w:rPr>
      </w:pPr>
      <w:r>
        <w:rPr>
          <w:sz w:val="22"/>
          <w:szCs w:val="22"/>
        </w:rPr>
        <w:t>3.4</w:t>
      </w:r>
      <w:r w:rsidR="00DD7EA2" w:rsidRPr="00DD7EA2">
        <w:rPr>
          <w:sz w:val="22"/>
          <w:szCs w:val="22"/>
        </w:rPr>
        <w:t xml:space="preserve"> The extract below gives a more detailed analysis of the differences in formula factor values in the NFF compared against Bradford’s 2017/18 formula. This highlights how differences in allocations for individual schools are generated.</w:t>
      </w:r>
    </w:p>
    <w:p w:rsidR="00DD7EA2" w:rsidRDefault="00DD7EA2" w:rsidP="00DD7EA2">
      <w:pPr>
        <w:jc w:val="both"/>
        <w:rPr>
          <w:sz w:val="22"/>
          <w:szCs w:val="22"/>
        </w:rPr>
      </w:pPr>
    </w:p>
    <w:p w:rsidR="00794B13" w:rsidRPr="00DD7EA2" w:rsidRDefault="00794B13" w:rsidP="00DD7EA2">
      <w:pPr>
        <w:jc w:val="both"/>
        <w:rPr>
          <w:sz w:val="22"/>
          <w:szCs w:val="22"/>
        </w:rPr>
      </w:pPr>
    </w:p>
    <w:tbl>
      <w:tblPr>
        <w:tblW w:w="10490" w:type="dxa"/>
        <w:tblInd w:w="108" w:type="dxa"/>
        <w:tblLook w:val="04A0" w:firstRow="1" w:lastRow="0" w:firstColumn="1" w:lastColumn="0" w:noHBand="0" w:noVBand="1"/>
      </w:tblPr>
      <w:tblGrid>
        <w:gridCol w:w="3686"/>
        <w:gridCol w:w="1559"/>
        <w:gridCol w:w="1701"/>
        <w:gridCol w:w="1701"/>
        <w:gridCol w:w="1843"/>
      </w:tblGrid>
      <w:tr w:rsidR="00DD7EA2" w:rsidRPr="00C00051" w:rsidTr="00DD7EA2">
        <w:trPr>
          <w:trHeight w:val="225"/>
        </w:trPr>
        <w:tc>
          <w:tcPr>
            <w:tcW w:w="3686" w:type="dxa"/>
            <w:tcBorders>
              <w:top w:val="nil"/>
              <w:left w:val="nil"/>
              <w:bottom w:val="nil"/>
              <w:right w:val="nil"/>
            </w:tcBorders>
            <w:shd w:val="clear" w:color="auto" w:fill="auto"/>
            <w:noWrap/>
            <w:vAlign w:val="bottom"/>
            <w:hideMark/>
          </w:tcPr>
          <w:p w:rsidR="00DD7EA2" w:rsidRPr="00DD7EA2" w:rsidRDefault="00DD7EA2" w:rsidP="00440E63">
            <w:pPr>
              <w:jc w:val="right"/>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7EA2" w:rsidRPr="00DD7EA2" w:rsidRDefault="00DD7EA2" w:rsidP="00440E63">
            <w:pPr>
              <w:jc w:val="center"/>
              <w:rPr>
                <w:b/>
                <w:bCs/>
              </w:rPr>
            </w:pPr>
            <w:r w:rsidRPr="00DD7EA2">
              <w:rPr>
                <w:b/>
                <w:bCs/>
              </w:rPr>
              <w:t xml:space="preserve">2017/18 </w:t>
            </w:r>
            <w:proofErr w:type="spellStart"/>
            <w:r w:rsidRPr="00DD7EA2">
              <w:rPr>
                <w:b/>
                <w:bCs/>
              </w:rPr>
              <w:t>Bfd</w:t>
            </w:r>
            <w:proofErr w:type="spellEnd"/>
            <w:r w:rsidRPr="00DD7EA2">
              <w:rPr>
                <w:b/>
                <w:bCs/>
              </w:rPr>
              <w:t xml:space="preserve"> values</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7EA2" w:rsidRPr="00DD7EA2" w:rsidRDefault="00DD7EA2" w:rsidP="00440E63">
            <w:pPr>
              <w:jc w:val="center"/>
              <w:rPr>
                <w:b/>
                <w:bCs/>
              </w:rPr>
            </w:pPr>
            <w:r w:rsidRPr="00DD7EA2">
              <w:rPr>
                <w:b/>
                <w:bCs/>
              </w:rPr>
              <w:t xml:space="preserve">NFF Values Difference </w:t>
            </w:r>
          </w:p>
        </w:tc>
      </w:tr>
      <w:tr w:rsidR="00DD7EA2" w:rsidRPr="00C00051" w:rsidTr="00DD7EA2">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pPr>
              <w:rPr>
                <w:b/>
                <w:bCs/>
              </w:rPr>
            </w:pPr>
            <w:r w:rsidRPr="00DD7EA2">
              <w:rPr>
                <w:b/>
                <w:bCs/>
              </w:rPr>
              <w:t>Variable</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rPr>
                <w:b/>
                <w:bCs/>
              </w:rPr>
            </w:pPr>
            <w:r w:rsidRPr="00DD7EA2">
              <w:rPr>
                <w:b/>
                <w:bCs/>
              </w:rPr>
              <w:t>Primary</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rPr>
                <w:b/>
                <w:bCs/>
              </w:rPr>
            </w:pPr>
            <w:r w:rsidRPr="00DD7EA2">
              <w:rPr>
                <w:b/>
                <w:bCs/>
              </w:rPr>
              <w:t>Secondary</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rPr>
                <w:b/>
                <w:bCs/>
                <w:color w:val="000000"/>
              </w:rPr>
            </w:pPr>
            <w:r w:rsidRPr="00DD7EA2">
              <w:rPr>
                <w:b/>
                <w:bCs/>
                <w:color w:val="000000"/>
              </w:rPr>
              <w:t>Primary</w:t>
            </w:r>
          </w:p>
        </w:tc>
        <w:tc>
          <w:tcPr>
            <w:tcW w:w="1843"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rPr>
                <w:b/>
                <w:bCs/>
                <w:color w:val="000000"/>
              </w:rPr>
            </w:pPr>
            <w:r w:rsidRPr="00DD7EA2">
              <w:rPr>
                <w:b/>
                <w:bCs/>
                <w:color w:val="000000"/>
              </w:rPr>
              <w:t>Secondary</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Base APP (Reception / Key Stage 3)</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£2,796.67</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£4,019.66</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-£49.00</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-£155.72</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Base APP KS4</w:t>
            </w:r>
          </w:p>
        </w:tc>
        <w:tc>
          <w:tcPr>
            <w:tcW w:w="1559" w:type="dxa"/>
            <w:tcBorders>
              <w:top w:val="nil"/>
              <w:left w:val="nil"/>
              <w:bottom w:val="single" w:sz="4" w:space="0" w:color="auto"/>
              <w:right w:val="single" w:sz="4" w:space="0" w:color="auto"/>
            </w:tcBorders>
            <w:shd w:val="clear" w:color="000000" w:fill="D9D9D9"/>
            <w:noWrap/>
            <w:vAlign w:val="bottom"/>
            <w:hideMark/>
          </w:tcPr>
          <w:p w:rsidR="00DD7EA2" w:rsidRPr="00DD7EA2" w:rsidRDefault="00DD7EA2" w:rsidP="00440E63">
            <w:pPr>
              <w:jc w:val="right"/>
            </w:pPr>
            <w:r w:rsidRPr="00DD7EA2">
              <w:t> </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£4,256.79</w:t>
            </w:r>
          </w:p>
        </w:tc>
        <w:tc>
          <w:tcPr>
            <w:tcW w:w="1701" w:type="dxa"/>
            <w:tcBorders>
              <w:top w:val="nil"/>
              <w:left w:val="nil"/>
              <w:bottom w:val="single" w:sz="4" w:space="0" w:color="auto"/>
              <w:right w:val="single" w:sz="4" w:space="0" w:color="auto"/>
            </w:tcBorders>
            <w:shd w:val="clear" w:color="000000" w:fill="D9D9D9"/>
            <w:noWrap/>
            <w:vAlign w:val="bottom"/>
            <w:hideMark/>
          </w:tcPr>
          <w:p w:rsidR="00DD7EA2" w:rsidRPr="00DD7EA2" w:rsidRDefault="00DD7EA2" w:rsidP="00440E63">
            <w:pPr>
              <w:jc w:val="right"/>
              <w:rPr>
                <w:color w:val="000000"/>
              </w:rPr>
            </w:pPr>
            <w:r w:rsidRPr="00DD7EA2">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£130.28</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Lump Sum</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£175,000</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£175,000</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-£65,000</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-£65,000</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 FSM Ever 6</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£1,023.09</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£927.71</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-£482.96</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-£142.52</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 FSM Flat</w:t>
            </w:r>
          </w:p>
        </w:tc>
        <w:tc>
          <w:tcPr>
            <w:tcW w:w="1559" w:type="dxa"/>
            <w:tcBorders>
              <w:top w:val="nil"/>
              <w:left w:val="nil"/>
              <w:bottom w:val="single" w:sz="4" w:space="0" w:color="auto"/>
              <w:right w:val="single" w:sz="4" w:space="0" w:color="auto"/>
            </w:tcBorders>
            <w:shd w:val="clear" w:color="000000" w:fill="D9D9D9"/>
            <w:noWrap/>
            <w:vAlign w:val="bottom"/>
            <w:hideMark/>
          </w:tcPr>
          <w:p w:rsidR="00DD7EA2" w:rsidRPr="00DD7EA2" w:rsidRDefault="00DD7EA2" w:rsidP="00440E63">
            <w:pPr>
              <w:jc w:val="right"/>
            </w:pPr>
            <w:r w:rsidRPr="00DD7EA2">
              <w:t> </w:t>
            </w:r>
          </w:p>
        </w:tc>
        <w:tc>
          <w:tcPr>
            <w:tcW w:w="1701" w:type="dxa"/>
            <w:tcBorders>
              <w:top w:val="nil"/>
              <w:left w:val="nil"/>
              <w:bottom w:val="single" w:sz="4" w:space="0" w:color="auto"/>
              <w:right w:val="single" w:sz="4" w:space="0" w:color="auto"/>
            </w:tcBorders>
            <w:shd w:val="clear" w:color="000000" w:fill="D9D9D9"/>
            <w:noWrap/>
            <w:vAlign w:val="bottom"/>
            <w:hideMark/>
          </w:tcPr>
          <w:p w:rsidR="00DD7EA2" w:rsidRPr="00DD7EA2" w:rsidRDefault="00DD7EA2" w:rsidP="00440E63">
            <w:pPr>
              <w:jc w:val="right"/>
            </w:pPr>
            <w:r w:rsidRPr="00DD7EA2">
              <w:t>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£440.11</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£440.11</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IDACI F</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£324.96</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£426.54</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-£124.91</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-£136.47</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IDACI E</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£406.20</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£533.18</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-£166.14</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-£143.08</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IDACI D</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£487.44</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£639.81</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-£127.35</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-£124.69</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IDACI C</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£568.68</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£746.45</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-£178.58</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-£186.31</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IDACI B</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£731.16</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£959.72</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-£311.06</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-£359.57</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Deprivation IDACI A</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£893.64</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£1,172.99</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-£318.50</w:t>
            </w:r>
          </w:p>
        </w:tc>
        <w:tc>
          <w:tcPr>
            <w:tcW w:w="184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D7EA2" w:rsidRPr="00DD7EA2" w:rsidRDefault="00DD7EA2" w:rsidP="00440E63">
            <w:pPr>
              <w:jc w:val="right"/>
              <w:rPr>
                <w:color w:val="9C0006"/>
              </w:rPr>
            </w:pPr>
            <w:r w:rsidRPr="00DD7EA2">
              <w:rPr>
                <w:color w:val="9C0006"/>
              </w:rPr>
              <w:t>-£362.79</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English as an Additional Language</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£197.99</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£1,192.48</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£317.13</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£192.85</w:t>
            </w:r>
          </w:p>
        </w:tc>
      </w:tr>
      <w:tr w:rsidR="00DD7EA2" w:rsidRPr="00C00051" w:rsidTr="00DD7EA2">
        <w:trPr>
          <w:trHeight w:val="22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D7EA2" w:rsidRPr="00DD7EA2" w:rsidRDefault="00DD7EA2" w:rsidP="00440E63">
            <w:r w:rsidRPr="00DD7EA2">
              <w:t>Low Prior Attainment</w:t>
            </w:r>
          </w:p>
        </w:tc>
        <w:tc>
          <w:tcPr>
            <w:tcW w:w="1559"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£241.31</w:t>
            </w:r>
          </w:p>
        </w:tc>
        <w:tc>
          <w:tcPr>
            <w:tcW w:w="1701" w:type="dxa"/>
            <w:tcBorders>
              <w:top w:val="nil"/>
              <w:left w:val="nil"/>
              <w:bottom w:val="single" w:sz="4" w:space="0" w:color="auto"/>
              <w:right w:val="single" w:sz="4" w:space="0" w:color="auto"/>
            </w:tcBorders>
            <w:shd w:val="clear" w:color="auto" w:fill="auto"/>
            <w:noWrap/>
            <w:vAlign w:val="bottom"/>
            <w:hideMark/>
          </w:tcPr>
          <w:p w:rsidR="00DD7EA2" w:rsidRPr="00DD7EA2" w:rsidRDefault="00DD7EA2" w:rsidP="00440E63">
            <w:pPr>
              <w:jc w:val="right"/>
            </w:pPr>
            <w:r w:rsidRPr="00DD7EA2">
              <w:t>£494.40</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£808.95</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DD7EA2" w:rsidRPr="00DD7EA2" w:rsidRDefault="00DD7EA2" w:rsidP="00440E63">
            <w:pPr>
              <w:jc w:val="right"/>
              <w:rPr>
                <w:color w:val="006100"/>
              </w:rPr>
            </w:pPr>
            <w:r w:rsidRPr="00DD7EA2">
              <w:rPr>
                <w:color w:val="006100"/>
              </w:rPr>
              <w:t>£1,055.97</w:t>
            </w:r>
          </w:p>
        </w:tc>
      </w:tr>
    </w:tbl>
    <w:p w:rsidR="00DD7EA2" w:rsidRDefault="00DD7EA2" w:rsidP="00DD7EA2">
      <w:pPr>
        <w:rPr>
          <w:noProof/>
        </w:rPr>
      </w:pPr>
    </w:p>
    <w:p w:rsidR="00DD7EA2" w:rsidRDefault="00DD7EA2" w:rsidP="00DD7EA2">
      <w:pPr>
        <w:jc w:val="both"/>
        <w:rPr>
          <w:sz w:val="22"/>
          <w:szCs w:val="22"/>
        </w:rPr>
      </w:pPr>
      <w:r>
        <w:rPr>
          <w:sz w:val="22"/>
          <w:szCs w:val="22"/>
        </w:rPr>
        <w:t>3.</w:t>
      </w:r>
      <w:r w:rsidR="00252960">
        <w:rPr>
          <w:sz w:val="22"/>
          <w:szCs w:val="22"/>
        </w:rPr>
        <w:t>5</w:t>
      </w:r>
      <w:r w:rsidRPr="00DD7EA2">
        <w:rPr>
          <w:sz w:val="22"/>
          <w:szCs w:val="22"/>
        </w:rPr>
        <w:t xml:space="preserve"> </w:t>
      </w:r>
      <w:r>
        <w:rPr>
          <w:sz w:val="22"/>
          <w:szCs w:val="22"/>
        </w:rPr>
        <w:t xml:space="preserve">More detailed analysis of the overall impact of NFF is provided within the Schools Forum reports for 18 October meeting </w:t>
      </w:r>
      <w:hyperlink r:id="rId15" w:history="1">
        <w:r w:rsidRPr="00BB1E24">
          <w:rPr>
            <w:rStyle w:val="Hyperlink"/>
            <w:sz w:val="22"/>
            <w:szCs w:val="22"/>
          </w:rPr>
          <w:t>here</w:t>
        </w:r>
      </w:hyperlink>
      <w:r>
        <w:rPr>
          <w:sz w:val="22"/>
          <w:szCs w:val="22"/>
        </w:rPr>
        <w:t>.</w:t>
      </w:r>
    </w:p>
    <w:p w:rsidR="00A76826" w:rsidRPr="00A76826" w:rsidRDefault="00A76826" w:rsidP="00A76826">
      <w:pPr>
        <w:jc w:val="both"/>
        <w:rPr>
          <w:sz w:val="22"/>
          <w:szCs w:val="22"/>
        </w:rPr>
      </w:pPr>
    </w:p>
    <w:p w:rsidR="00252960" w:rsidRDefault="00252960" w:rsidP="00252960">
      <w:pPr>
        <w:jc w:val="both"/>
        <w:rPr>
          <w:sz w:val="22"/>
          <w:szCs w:val="22"/>
        </w:rPr>
      </w:pPr>
      <w:r>
        <w:rPr>
          <w:sz w:val="22"/>
          <w:szCs w:val="22"/>
        </w:rPr>
        <w:t>3.6</w:t>
      </w:r>
      <w:r w:rsidRPr="00A76826">
        <w:rPr>
          <w:sz w:val="22"/>
          <w:szCs w:val="22"/>
        </w:rPr>
        <w:t xml:space="preserve"> Pupil Premium is expected to continue on a cash flat basis as a separate grant. However, the </w:t>
      </w:r>
      <w:proofErr w:type="spellStart"/>
      <w:r w:rsidRPr="00A76826">
        <w:rPr>
          <w:sz w:val="22"/>
          <w:szCs w:val="22"/>
        </w:rPr>
        <w:t>DfE</w:t>
      </w:r>
      <w:proofErr w:type="spellEnd"/>
      <w:r w:rsidRPr="00A76826">
        <w:rPr>
          <w:sz w:val="22"/>
          <w:szCs w:val="22"/>
        </w:rPr>
        <w:t xml:space="preserve"> has confirmed that the rate of funding for Pupil Premium Plus, for Children Looked After, will increase in 2018/19 from £1,900 to £2,300.</w:t>
      </w:r>
      <w:r>
        <w:rPr>
          <w:sz w:val="22"/>
          <w:szCs w:val="22"/>
        </w:rPr>
        <w:t xml:space="preserve"> Final rates for 2018/19 are still to be published.</w:t>
      </w:r>
    </w:p>
    <w:p w:rsidR="00D52020" w:rsidRDefault="00D52020" w:rsidP="00252960">
      <w:pPr>
        <w:jc w:val="both"/>
        <w:rPr>
          <w:sz w:val="22"/>
          <w:szCs w:val="22"/>
        </w:rPr>
      </w:pPr>
    </w:p>
    <w:p w:rsidR="00081B87" w:rsidRDefault="00D52020" w:rsidP="00081B87">
      <w:pPr>
        <w:jc w:val="both"/>
        <w:rPr>
          <w:i/>
          <w:color w:val="000000" w:themeColor="text1"/>
        </w:rPr>
      </w:pPr>
      <w:r>
        <w:rPr>
          <w:sz w:val="22"/>
          <w:szCs w:val="22"/>
        </w:rPr>
        <w:t>3.7 The t</w:t>
      </w:r>
      <w:r w:rsidR="00081B87">
        <w:rPr>
          <w:sz w:val="22"/>
          <w:szCs w:val="22"/>
        </w:rPr>
        <w:t xml:space="preserve">able </w:t>
      </w:r>
      <w:r w:rsidR="00794B13">
        <w:rPr>
          <w:sz w:val="22"/>
          <w:szCs w:val="22"/>
        </w:rPr>
        <w:t>below</w:t>
      </w:r>
      <w:r>
        <w:rPr>
          <w:sz w:val="22"/>
          <w:szCs w:val="22"/>
        </w:rPr>
        <w:t xml:space="preserve"> sets out what ‘move to NFF’ (decision 1) means for individual formulae factors.</w:t>
      </w:r>
      <w:r w:rsidR="00081B87">
        <w:rPr>
          <w:sz w:val="22"/>
          <w:szCs w:val="22"/>
        </w:rPr>
        <w:t xml:space="preserve"> It compares our current formula, used in 2017/18, with the NFF variable value and also indicates where the use of the factor would alter e.g. a change in the IDACI band weighting. </w:t>
      </w:r>
      <w:r w:rsidR="00081B87" w:rsidRPr="00081B87">
        <w:rPr>
          <w:sz w:val="22"/>
          <w:szCs w:val="22"/>
        </w:rPr>
        <w:t>Please note that the NFF values include an Area Cost Adjustment (ACA) of 1.00016</w:t>
      </w:r>
      <w:r w:rsidR="00081B87">
        <w:rPr>
          <w:sz w:val="22"/>
          <w:szCs w:val="22"/>
        </w:rPr>
        <w:t xml:space="preserve"> (the ACA is not included in the values difference analysis in the table above).</w:t>
      </w:r>
    </w:p>
    <w:p w:rsidR="00081B87" w:rsidRDefault="00081B87" w:rsidP="00252960">
      <w:pPr>
        <w:jc w:val="both"/>
        <w:rPr>
          <w:sz w:val="22"/>
          <w:szCs w:val="22"/>
        </w:rPr>
      </w:pPr>
    </w:p>
    <w:p w:rsidR="00081B87" w:rsidRPr="00AE6C3A" w:rsidRDefault="00081B87" w:rsidP="00081B87">
      <w:pPr>
        <w:jc w:val="both"/>
      </w:pPr>
    </w:p>
    <w:tbl>
      <w:tblPr>
        <w:tblStyle w:val="TableGrid"/>
        <w:tblW w:w="0" w:type="auto"/>
        <w:tblLook w:val="04A0" w:firstRow="1" w:lastRow="0" w:firstColumn="1" w:lastColumn="0" w:noHBand="0" w:noVBand="1"/>
      </w:tblPr>
      <w:tblGrid>
        <w:gridCol w:w="3936"/>
        <w:gridCol w:w="1404"/>
        <w:gridCol w:w="1431"/>
        <w:gridCol w:w="3911"/>
      </w:tblGrid>
      <w:tr w:rsidR="00081B87" w:rsidTr="00440E63">
        <w:tc>
          <w:tcPr>
            <w:tcW w:w="3936" w:type="dxa"/>
          </w:tcPr>
          <w:p w:rsidR="00081B87" w:rsidRPr="00081B87" w:rsidRDefault="00081B87" w:rsidP="00440E63">
            <w:pPr>
              <w:jc w:val="both"/>
              <w:rPr>
                <w:b/>
                <w:sz w:val="22"/>
                <w:szCs w:val="22"/>
              </w:rPr>
            </w:pPr>
            <w:r w:rsidRPr="00081B87">
              <w:rPr>
                <w:b/>
                <w:sz w:val="22"/>
                <w:szCs w:val="22"/>
              </w:rPr>
              <w:t>Factor</w:t>
            </w:r>
          </w:p>
          <w:p w:rsidR="00081B87" w:rsidRPr="00081B87" w:rsidRDefault="00081B87" w:rsidP="00440E63">
            <w:pPr>
              <w:jc w:val="both"/>
              <w:rPr>
                <w:b/>
                <w:sz w:val="22"/>
                <w:szCs w:val="22"/>
              </w:rPr>
            </w:pPr>
          </w:p>
        </w:tc>
        <w:tc>
          <w:tcPr>
            <w:tcW w:w="1404" w:type="dxa"/>
          </w:tcPr>
          <w:p w:rsidR="00081B87" w:rsidRPr="00081B87" w:rsidRDefault="00081B87" w:rsidP="00440E63">
            <w:pPr>
              <w:jc w:val="right"/>
              <w:rPr>
                <w:b/>
                <w:color w:val="000000" w:themeColor="text1"/>
                <w:sz w:val="22"/>
                <w:szCs w:val="22"/>
              </w:rPr>
            </w:pPr>
            <w:r w:rsidRPr="00081B87">
              <w:rPr>
                <w:b/>
                <w:color w:val="000000" w:themeColor="text1"/>
                <w:sz w:val="22"/>
                <w:szCs w:val="22"/>
              </w:rPr>
              <w:t>Current £</w:t>
            </w:r>
          </w:p>
        </w:tc>
        <w:tc>
          <w:tcPr>
            <w:tcW w:w="1431" w:type="dxa"/>
          </w:tcPr>
          <w:p w:rsidR="00081B87" w:rsidRPr="00081B87" w:rsidRDefault="00081B87" w:rsidP="00440E63">
            <w:pPr>
              <w:jc w:val="right"/>
              <w:rPr>
                <w:b/>
                <w:color w:val="000000" w:themeColor="text1"/>
                <w:sz w:val="22"/>
                <w:szCs w:val="22"/>
              </w:rPr>
            </w:pPr>
            <w:r w:rsidRPr="00081B87">
              <w:rPr>
                <w:b/>
                <w:color w:val="000000" w:themeColor="text1"/>
                <w:sz w:val="22"/>
                <w:szCs w:val="22"/>
              </w:rPr>
              <w:t>NFF £</w:t>
            </w:r>
          </w:p>
        </w:tc>
        <w:tc>
          <w:tcPr>
            <w:tcW w:w="3911" w:type="dxa"/>
          </w:tcPr>
          <w:p w:rsidR="00081B87" w:rsidRPr="00081B87" w:rsidRDefault="00081B87" w:rsidP="00440E63">
            <w:pPr>
              <w:rPr>
                <w:b/>
                <w:color w:val="FF0000"/>
                <w:sz w:val="22"/>
                <w:szCs w:val="22"/>
              </w:rPr>
            </w:pPr>
            <w:r w:rsidRPr="00081B87">
              <w:rPr>
                <w:b/>
                <w:color w:val="000000" w:themeColor="text1"/>
                <w:sz w:val="22"/>
                <w:szCs w:val="22"/>
              </w:rPr>
              <w:t>Additional Explanation</w:t>
            </w:r>
            <w:r w:rsidR="00794B13">
              <w:rPr>
                <w:b/>
                <w:color w:val="000000" w:themeColor="text1"/>
                <w:sz w:val="22"/>
                <w:szCs w:val="22"/>
              </w:rPr>
              <w:t xml:space="preserve"> / Change</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Base £APP</w:t>
            </w:r>
          </w:p>
        </w:tc>
        <w:tc>
          <w:tcPr>
            <w:tcW w:w="1404" w:type="dxa"/>
          </w:tcPr>
          <w:p w:rsidR="00081B87" w:rsidRPr="00081B87" w:rsidRDefault="00081B87" w:rsidP="00440E63">
            <w:pPr>
              <w:jc w:val="right"/>
              <w:rPr>
                <w:sz w:val="22"/>
                <w:szCs w:val="22"/>
              </w:rPr>
            </w:pPr>
            <w:r w:rsidRPr="00081B87">
              <w:rPr>
                <w:sz w:val="22"/>
                <w:szCs w:val="22"/>
              </w:rPr>
              <w:t>£2,796.67</w:t>
            </w:r>
          </w:p>
        </w:tc>
        <w:tc>
          <w:tcPr>
            <w:tcW w:w="1431" w:type="dxa"/>
          </w:tcPr>
          <w:p w:rsidR="00081B87" w:rsidRPr="00081B87" w:rsidRDefault="00081B87" w:rsidP="00440E63">
            <w:pPr>
              <w:jc w:val="right"/>
              <w:rPr>
                <w:sz w:val="22"/>
                <w:szCs w:val="22"/>
              </w:rPr>
            </w:pPr>
            <w:r w:rsidRPr="00081B87">
              <w:rPr>
                <w:sz w:val="22"/>
                <w:szCs w:val="22"/>
              </w:rPr>
              <w:t>£2,747.44</w:t>
            </w:r>
          </w:p>
        </w:tc>
        <w:tc>
          <w:tcPr>
            <w:tcW w:w="3911" w:type="dxa"/>
          </w:tcPr>
          <w:p w:rsidR="00081B87" w:rsidRPr="00081B87" w:rsidRDefault="00081B87" w:rsidP="00440E63">
            <w:pPr>
              <w:rPr>
                <w:color w:val="FF0000"/>
                <w:sz w:val="22"/>
                <w:szCs w:val="22"/>
              </w:rPr>
            </w:pPr>
            <w:r w:rsidRPr="00081B87">
              <w:rPr>
                <w:color w:val="000000" w:themeColor="text1"/>
                <w:sz w:val="22"/>
                <w:szCs w:val="22"/>
              </w:rPr>
              <w:t>The reception uplift factor will cease.</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Key Stage 3 Base £APP</w:t>
            </w:r>
          </w:p>
        </w:tc>
        <w:tc>
          <w:tcPr>
            <w:tcW w:w="1404" w:type="dxa"/>
          </w:tcPr>
          <w:p w:rsidR="00081B87" w:rsidRPr="00081B87" w:rsidRDefault="00081B87" w:rsidP="00440E63">
            <w:pPr>
              <w:jc w:val="right"/>
              <w:rPr>
                <w:sz w:val="22"/>
                <w:szCs w:val="22"/>
              </w:rPr>
            </w:pPr>
            <w:r w:rsidRPr="00081B87">
              <w:rPr>
                <w:sz w:val="22"/>
                <w:szCs w:val="22"/>
              </w:rPr>
              <w:t>£4,019.66</w:t>
            </w:r>
          </w:p>
        </w:tc>
        <w:tc>
          <w:tcPr>
            <w:tcW w:w="1431" w:type="dxa"/>
          </w:tcPr>
          <w:p w:rsidR="00081B87" w:rsidRPr="00081B87" w:rsidRDefault="00081B87" w:rsidP="00440E63">
            <w:pPr>
              <w:jc w:val="right"/>
              <w:rPr>
                <w:sz w:val="22"/>
                <w:szCs w:val="22"/>
              </w:rPr>
            </w:pPr>
            <w:r w:rsidRPr="00081B87">
              <w:rPr>
                <w:sz w:val="22"/>
                <w:szCs w:val="22"/>
              </w:rPr>
              <w:t>£3,863.62</w:t>
            </w:r>
          </w:p>
        </w:tc>
        <w:tc>
          <w:tcPr>
            <w:tcW w:w="3911" w:type="dxa"/>
          </w:tcPr>
          <w:p w:rsidR="00081B87" w:rsidRPr="00081B87" w:rsidRDefault="00081B87" w:rsidP="00440E63">
            <w:pPr>
              <w:rPr>
                <w:color w:val="FF0000"/>
                <w:sz w:val="22"/>
                <w:szCs w:val="22"/>
              </w:rPr>
            </w:pP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Key Stage 4 Base £APP</w:t>
            </w:r>
          </w:p>
        </w:tc>
        <w:tc>
          <w:tcPr>
            <w:tcW w:w="1404" w:type="dxa"/>
          </w:tcPr>
          <w:p w:rsidR="00081B87" w:rsidRPr="00081B87" w:rsidRDefault="00081B87" w:rsidP="00440E63">
            <w:pPr>
              <w:jc w:val="right"/>
              <w:rPr>
                <w:sz w:val="22"/>
                <w:szCs w:val="22"/>
              </w:rPr>
            </w:pPr>
            <w:r w:rsidRPr="00081B87">
              <w:rPr>
                <w:sz w:val="22"/>
                <w:szCs w:val="22"/>
              </w:rPr>
              <w:t>£4.256.79</w:t>
            </w:r>
          </w:p>
        </w:tc>
        <w:tc>
          <w:tcPr>
            <w:tcW w:w="1431" w:type="dxa"/>
          </w:tcPr>
          <w:p w:rsidR="00081B87" w:rsidRPr="00081B87" w:rsidRDefault="00081B87" w:rsidP="00440E63">
            <w:pPr>
              <w:jc w:val="right"/>
              <w:rPr>
                <w:sz w:val="22"/>
                <w:szCs w:val="22"/>
              </w:rPr>
            </w:pPr>
            <w:r w:rsidRPr="00081B87">
              <w:rPr>
                <w:sz w:val="22"/>
                <w:szCs w:val="22"/>
              </w:rPr>
              <w:t>£4,386.70</w:t>
            </w:r>
          </w:p>
        </w:tc>
        <w:tc>
          <w:tcPr>
            <w:tcW w:w="3911" w:type="dxa"/>
          </w:tcPr>
          <w:p w:rsidR="00081B87" w:rsidRPr="00081B87" w:rsidRDefault="00081B87" w:rsidP="00440E63">
            <w:pPr>
              <w:rPr>
                <w:color w:val="FF0000"/>
                <w:sz w:val="22"/>
                <w:szCs w:val="22"/>
              </w:rPr>
            </w:pPr>
          </w:p>
        </w:tc>
      </w:tr>
      <w:tr w:rsidR="00081B87" w:rsidTr="00440E63">
        <w:tc>
          <w:tcPr>
            <w:tcW w:w="3936" w:type="dxa"/>
          </w:tcPr>
          <w:p w:rsidR="00081B87" w:rsidRPr="00081B87" w:rsidRDefault="00081B87" w:rsidP="00440E63">
            <w:pPr>
              <w:jc w:val="both"/>
              <w:rPr>
                <w:sz w:val="22"/>
                <w:szCs w:val="22"/>
              </w:rPr>
            </w:pPr>
            <w:r w:rsidRPr="00081B87">
              <w:rPr>
                <w:sz w:val="22"/>
                <w:szCs w:val="22"/>
              </w:rPr>
              <w:lastRenderedPageBreak/>
              <w:t>Lump Sum – Primary &amp; Secondary</w:t>
            </w:r>
          </w:p>
        </w:tc>
        <w:tc>
          <w:tcPr>
            <w:tcW w:w="1404" w:type="dxa"/>
          </w:tcPr>
          <w:p w:rsidR="00081B87" w:rsidRPr="00081B87" w:rsidRDefault="00081B87" w:rsidP="00440E63">
            <w:pPr>
              <w:jc w:val="right"/>
              <w:rPr>
                <w:sz w:val="22"/>
                <w:szCs w:val="22"/>
              </w:rPr>
            </w:pPr>
            <w:r w:rsidRPr="00081B87">
              <w:rPr>
                <w:sz w:val="22"/>
                <w:szCs w:val="22"/>
              </w:rPr>
              <w:t>£175,000</w:t>
            </w:r>
          </w:p>
        </w:tc>
        <w:tc>
          <w:tcPr>
            <w:tcW w:w="1431" w:type="dxa"/>
          </w:tcPr>
          <w:p w:rsidR="00081B87" w:rsidRPr="00081B87" w:rsidRDefault="00081B87" w:rsidP="00440E63">
            <w:pPr>
              <w:jc w:val="right"/>
              <w:rPr>
                <w:sz w:val="22"/>
                <w:szCs w:val="22"/>
              </w:rPr>
            </w:pPr>
            <w:r w:rsidRPr="00081B87">
              <w:rPr>
                <w:sz w:val="22"/>
                <w:szCs w:val="22"/>
              </w:rPr>
              <w:t>£110,017</w:t>
            </w:r>
          </w:p>
        </w:tc>
        <w:tc>
          <w:tcPr>
            <w:tcW w:w="3911" w:type="dxa"/>
          </w:tcPr>
          <w:p w:rsidR="00081B87" w:rsidRPr="00081B87" w:rsidRDefault="00081B87" w:rsidP="00440E63">
            <w:pPr>
              <w:rPr>
                <w:color w:val="FF0000"/>
                <w:sz w:val="22"/>
                <w:szCs w:val="22"/>
              </w:rPr>
            </w:pP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FSM Ever 6</w:t>
            </w:r>
          </w:p>
        </w:tc>
        <w:tc>
          <w:tcPr>
            <w:tcW w:w="1404" w:type="dxa"/>
          </w:tcPr>
          <w:p w:rsidR="00081B87" w:rsidRPr="00081B87" w:rsidRDefault="00081B87" w:rsidP="00440E63">
            <w:pPr>
              <w:jc w:val="right"/>
              <w:rPr>
                <w:sz w:val="22"/>
                <w:szCs w:val="22"/>
              </w:rPr>
            </w:pPr>
            <w:r w:rsidRPr="00081B87">
              <w:rPr>
                <w:sz w:val="22"/>
                <w:szCs w:val="22"/>
              </w:rPr>
              <w:t>£1,023.09</w:t>
            </w:r>
          </w:p>
        </w:tc>
        <w:tc>
          <w:tcPr>
            <w:tcW w:w="1431" w:type="dxa"/>
          </w:tcPr>
          <w:p w:rsidR="00081B87" w:rsidRPr="00081B87" w:rsidRDefault="00081B87" w:rsidP="00440E63">
            <w:pPr>
              <w:jc w:val="right"/>
              <w:rPr>
                <w:sz w:val="22"/>
                <w:szCs w:val="22"/>
              </w:rPr>
            </w:pPr>
            <w:r w:rsidRPr="00081B87">
              <w:rPr>
                <w:sz w:val="22"/>
                <w:szCs w:val="22"/>
              </w:rPr>
              <w:t>£540.09</w:t>
            </w:r>
          </w:p>
        </w:tc>
        <w:tc>
          <w:tcPr>
            <w:tcW w:w="3911" w:type="dxa"/>
          </w:tcPr>
          <w:p w:rsidR="00081B87" w:rsidRPr="00081B87" w:rsidRDefault="00081B87" w:rsidP="00440E63">
            <w:pPr>
              <w:rPr>
                <w:color w:val="FF0000"/>
                <w:sz w:val="22"/>
                <w:szCs w:val="22"/>
              </w:rPr>
            </w:pP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Flat FSM</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£440.07</w:t>
            </w:r>
          </w:p>
        </w:tc>
        <w:tc>
          <w:tcPr>
            <w:tcW w:w="3911" w:type="dxa"/>
          </w:tcPr>
          <w:p w:rsidR="00081B87" w:rsidRPr="00081B87" w:rsidRDefault="00081B87" w:rsidP="00440E63">
            <w:pPr>
              <w:rPr>
                <w:color w:val="FF0000"/>
                <w:sz w:val="22"/>
                <w:szCs w:val="22"/>
              </w:rPr>
            </w:pPr>
            <w:r w:rsidRPr="00081B87">
              <w:rPr>
                <w:color w:val="000000" w:themeColor="text1"/>
                <w:sz w:val="22"/>
                <w:szCs w:val="22"/>
              </w:rPr>
              <w:t>This is a new factor not previously used.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FSM Ever 6</w:t>
            </w:r>
          </w:p>
        </w:tc>
        <w:tc>
          <w:tcPr>
            <w:tcW w:w="1404" w:type="dxa"/>
          </w:tcPr>
          <w:p w:rsidR="00081B87" w:rsidRPr="00081B87" w:rsidRDefault="00081B87" w:rsidP="00440E63">
            <w:pPr>
              <w:jc w:val="right"/>
              <w:rPr>
                <w:sz w:val="22"/>
                <w:szCs w:val="22"/>
              </w:rPr>
            </w:pPr>
            <w:r w:rsidRPr="00081B87">
              <w:rPr>
                <w:sz w:val="22"/>
                <w:szCs w:val="22"/>
              </w:rPr>
              <w:t>£927.71</w:t>
            </w:r>
          </w:p>
        </w:tc>
        <w:tc>
          <w:tcPr>
            <w:tcW w:w="1431" w:type="dxa"/>
          </w:tcPr>
          <w:p w:rsidR="00081B87" w:rsidRPr="00081B87" w:rsidRDefault="00081B87" w:rsidP="00440E63">
            <w:pPr>
              <w:jc w:val="right"/>
              <w:rPr>
                <w:sz w:val="22"/>
                <w:szCs w:val="22"/>
              </w:rPr>
            </w:pPr>
            <w:r w:rsidRPr="00081B87">
              <w:rPr>
                <w:sz w:val="22"/>
                <w:szCs w:val="22"/>
              </w:rPr>
              <w:t>£785.13</w:t>
            </w:r>
          </w:p>
        </w:tc>
        <w:tc>
          <w:tcPr>
            <w:tcW w:w="3911" w:type="dxa"/>
          </w:tcPr>
          <w:p w:rsidR="00081B87" w:rsidRPr="00081B87" w:rsidRDefault="00081B87" w:rsidP="00440E63">
            <w:pPr>
              <w:rPr>
                <w:color w:val="FF0000"/>
                <w:sz w:val="22"/>
                <w:szCs w:val="22"/>
              </w:rPr>
            </w:pP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Flat FSM</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£440.07</w:t>
            </w:r>
          </w:p>
        </w:tc>
        <w:tc>
          <w:tcPr>
            <w:tcW w:w="3911" w:type="dxa"/>
          </w:tcPr>
          <w:p w:rsidR="00081B87" w:rsidRPr="00081B87" w:rsidRDefault="00081B87" w:rsidP="00440E63">
            <w:pPr>
              <w:rPr>
                <w:color w:val="FF0000"/>
                <w:sz w:val="22"/>
                <w:szCs w:val="22"/>
              </w:rPr>
            </w:pPr>
            <w:r w:rsidRPr="00081B87">
              <w:rPr>
                <w:color w:val="000000" w:themeColor="text1"/>
                <w:sz w:val="22"/>
                <w:szCs w:val="22"/>
              </w:rPr>
              <w:t>This is a new factor not previously used.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IDACI F</w:t>
            </w:r>
          </w:p>
        </w:tc>
        <w:tc>
          <w:tcPr>
            <w:tcW w:w="1404" w:type="dxa"/>
          </w:tcPr>
          <w:p w:rsidR="00081B87" w:rsidRPr="00081B87" w:rsidRDefault="00081B87" w:rsidP="00440E63">
            <w:pPr>
              <w:jc w:val="right"/>
              <w:rPr>
                <w:sz w:val="22"/>
                <w:szCs w:val="22"/>
              </w:rPr>
            </w:pPr>
            <w:r w:rsidRPr="00081B87">
              <w:rPr>
                <w:sz w:val="22"/>
                <w:szCs w:val="22"/>
              </w:rPr>
              <w:t>£324.96</w:t>
            </w:r>
          </w:p>
        </w:tc>
        <w:tc>
          <w:tcPr>
            <w:tcW w:w="1431" w:type="dxa"/>
          </w:tcPr>
          <w:p w:rsidR="00081B87" w:rsidRPr="00081B87" w:rsidRDefault="00081B87" w:rsidP="00440E63">
            <w:pPr>
              <w:jc w:val="right"/>
              <w:rPr>
                <w:sz w:val="22"/>
                <w:szCs w:val="22"/>
              </w:rPr>
            </w:pPr>
            <w:r w:rsidRPr="00081B87">
              <w:rPr>
                <w:sz w:val="22"/>
                <w:szCs w:val="22"/>
              </w:rPr>
              <w:t>£200.03</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IDACI E</w:t>
            </w:r>
          </w:p>
        </w:tc>
        <w:tc>
          <w:tcPr>
            <w:tcW w:w="1404" w:type="dxa"/>
          </w:tcPr>
          <w:p w:rsidR="00081B87" w:rsidRPr="00081B87" w:rsidRDefault="00081B87" w:rsidP="00440E63">
            <w:pPr>
              <w:jc w:val="right"/>
              <w:rPr>
                <w:sz w:val="22"/>
                <w:szCs w:val="22"/>
              </w:rPr>
            </w:pPr>
            <w:r w:rsidRPr="00081B87">
              <w:rPr>
                <w:sz w:val="22"/>
                <w:szCs w:val="22"/>
              </w:rPr>
              <w:t>£406.20</w:t>
            </w:r>
          </w:p>
        </w:tc>
        <w:tc>
          <w:tcPr>
            <w:tcW w:w="1431" w:type="dxa"/>
          </w:tcPr>
          <w:p w:rsidR="00081B87" w:rsidRPr="00081B87" w:rsidRDefault="00081B87" w:rsidP="00440E63">
            <w:pPr>
              <w:jc w:val="right"/>
              <w:rPr>
                <w:sz w:val="22"/>
                <w:szCs w:val="22"/>
              </w:rPr>
            </w:pPr>
            <w:r w:rsidRPr="00081B87">
              <w:rPr>
                <w:sz w:val="22"/>
                <w:szCs w:val="22"/>
              </w:rPr>
              <w:t>£240.04</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IDACI D</w:t>
            </w:r>
          </w:p>
        </w:tc>
        <w:tc>
          <w:tcPr>
            <w:tcW w:w="1404" w:type="dxa"/>
          </w:tcPr>
          <w:p w:rsidR="00081B87" w:rsidRPr="00081B87" w:rsidRDefault="00081B87" w:rsidP="00440E63">
            <w:pPr>
              <w:jc w:val="right"/>
              <w:rPr>
                <w:sz w:val="22"/>
                <w:szCs w:val="22"/>
              </w:rPr>
            </w:pPr>
            <w:r w:rsidRPr="00081B87">
              <w:rPr>
                <w:sz w:val="22"/>
                <w:szCs w:val="22"/>
              </w:rPr>
              <w:t>£487.44</w:t>
            </w:r>
          </w:p>
        </w:tc>
        <w:tc>
          <w:tcPr>
            <w:tcW w:w="1431" w:type="dxa"/>
          </w:tcPr>
          <w:p w:rsidR="00081B87" w:rsidRPr="00081B87" w:rsidRDefault="00081B87" w:rsidP="00440E63">
            <w:pPr>
              <w:jc w:val="right"/>
              <w:rPr>
                <w:sz w:val="22"/>
                <w:szCs w:val="22"/>
              </w:rPr>
            </w:pPr>
            <w:r w:rsidRPr="00081B87">
              <w:rPr>
                <w:sz w:val="22"/>
                <w:szCs w:val="22"/>
              </w:rPr>
              <w:t>£360.06</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IDACI C</w:t>
            </w:r>
          </w:p>
        </w:tc>
        <w:tc>
          <w:tcPr>
            <w:tcW w:w="1404" w:type="dxa"/>
          </w:tcPr>
          <w:p w:rsidR="00081B87" w:rsidRPr="00081B87" w:rsidRDefault="00081B87" w:rsidP="00440E63">
            <w:pPr>
              <w:jc w:val="right"/>
              <w:rPr>
                <w:sz w:val="22"/>
                <w:szCs w:val="22"/>
              </w:rPr>
            </w:pPr>
            <w:r w:rsidRPr="00081B87">
              <w:rPr>
                <w:sz w:val="22"/>
                <w:szCs w:val="22"/>
              </w:rPr>
              <w:t>£568.68</w:t>
            </w:r>
          </w:p>
        </w:tc>
        <w:tc>
          <w:tcPr>
            <w:tcW w:w="1431" w:type="dxa"/>
          </w:tcPr>
          <w:p w:rsidR="00081B87" w:rsidRPr="00081B87" w:rsidRDefault="00081B87" w:rsidP="00440E63">
            <w:pPr>
              <w:jc w:val="right"/>
              <w:rPr>
                <w:sz w:val="22"/>
                <w:szCs w:val="22"/>
              </w:rPr>
            </w:pPr>
            <w:r w:rsidRPr="00081B87">
              <w:rPr>
                <w:sz w:val="22"/>
                <w:szCs w:val="22"/>
              </w:rPr>
              <w:t>£390.06</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IDACI B</w:t>
            </w:r>
          </w:p>
        </w:tc>
        <w:tc>
          <w:tcPr>
            <w:tcW w:w="1404" w:type="dxa"/>
          </w:tcPr>
          <w:p w:rsidR="00081B87" w:rsidRPr="00081B87" w:rsidRDefault="00081B87" w:rsidP="00440E63">
            <w:pPr>
              <w:jc w:val="right"/>
              <w:rPr>
                <w:sz w:val="22"/>
                <w:szCs w:val="22"/>
              </w:rPr>
            </w:pPr>
            <w:r w:rsidRPr="00081B87">
              <w:rPr>
                <w:sz w:val="22"/>
                <w:szCs w:val="22"/>
              </w:rPr>
              <w:t>£731.16</w:t>
            </w:r>
          </w:p>
        </w:tc>
        <w:tc>
          <w:tcPr>
            <w:tcW w:w="1431" w:type="dxa"/>
          </w:tcPr>
          <w:p w:rsidR="00081B87" w:rsidRPr="00081B87" w:rsidRDefault="00081B87" w:rsidP="00440E63">
            <w:pPr>
              <w:jc w:val="right"/>
              <w:rPr>
                <w:sz w:val="22"/>
                <w:szCs w:val="22"/>
              </w:rPr>
            </w:pPr>
            <w:r w:rsidRPr="00081B87">
              <w:rPr>
                <w:sz w:val="22"/>
                <w:szCs w:val="22"/>
              </w:rPr>
              <w:t>£420.07</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Deprivation – IDACI A</w:t>
            </w:r>
          </w:p>
        </w:tc>
        <w:tc>
          <w:tcPr>
            <w:tcW w:w="1404" w:type="dxa"/>
          </w:tcPr>
          <w:p w:rsidR="00081B87" w:rsidRPr="00081B87" w:rsidRDefault="00081B87" w:rsidP="00440E63">
            <w:pPr>
              <w:jc w:val="right"/>
              <w:rPr>
                <w:sz w:val="22"/>
                <w:szCs w:val="22"/>
              </w:rPr>
            </w:pPr>
            <w:r w:rsidRPr="00081B87">
              <w:rPr>
                <w:sz w:val="22"/>
                <w:szCs w:val="22"/>
              </w:rPr>
              <w:t>£893.64</w:t>
            </w:r>
          </w:p>
        </w:tc>
        <w:tc>
          <w:tcPr>
            <w:tcW w:w="1431" w:type="dxa"/>
          </w:tcPr>
          <w:p w:rsidR="00081B87" w:rsidRPr="00081B87" w:rsidRDefault="00081B87" w:rsidP="00440E63">
            <w:pPr>
              <w:jc w:val="right"/>
              <w:rPr>
                <w:sz w:val="22"/>
                <w:szCs w:val="22"/>
              </w:rPr>
            </w:pPr>
            <w:r w:rsidRPr="00081B87">
              <w:rPr>
                <w:sz w:val="22"/>
                <w:szCs w:val="22"/>
              </w:rPr>
              <w:t>£575.09</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IDACI F</w:t>
            </w:r>
          </w:p>
        </w:tc>
        <w:tc>
          <w:tcPr>
            <w:tcW w:w="1404" w:type="dxa"/>
          </w:tcPr>
          <w:p w:rsidR="00081B87" w:rsidRPr="00081B87" w:rsidRDefault="00081B87" w:rsidP="00440E63">
            <w:pPr>
              <w:jc w:val="right"/>
              <w:rPr>
                <w:sz w:val="22"/>
                <w:szCs w:val="22"/>
              </w:rPr>
            </w:pPr>
            <w:r w:rsidRPr="00081B87">
              <w:rPr>
                <w:sz w:val="22"/>
                <w:szCs w:val="22"/>
              </w:rPr>
              <w:t>£426.54</w:t>
            </w:r>
          </w:p>
        </w:tc>
        <w:tc>
          <w:tcPr>
            <w:tcW w:w="1431" w:type="dxa"/>
          </w:tcPr>
          <w:p w:rsidR="00081B87" w:rsidRPr="00081B87" w:rsidRDefault="00081B87" w:rsidP="00440E63">
            <w:pPr>
              <w:jc w:val="right"/>
              <w:rPr>
                <w:sz w:val="22"/>
                <w:szCs w:val="22"/>
              </w:rPr>
            </w:pPr>
            <w:r w:rsidRPr="00081B87">
              <w:rPr>
                <w:sz w:val="22"/>
                <w:szCs w:val="22"/>
              </w:rPr>
              <w:t>£290.05</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IDACI E</w:t>
            </w:r>
          </w:p>
        </w:tc>
        <w:tc>
          <w:tcPr>
            <w:tcW w:w="1404" w:type="dxa"/>
          </w:tcPr>
          <w:p w:rsidR="00081B87" w:rsidRPr="00081B87" w:rsidRDefault="00081B87" w:rsidP="00440E63">
            <w:pPr>
              <w:jc w:val="right"/>
              <w:rPr>
                <w:sz w:val="22"/>
                <w:szCs w:val="22"/>
              </w:rPr>
            </w:pPr>
            <w:r w:rsidRPr="00081B87">
              <w:rPr>
                <w:sz w:val="22"/>
                <w:szCs w:val="22"/>
              </w:rPr>
              <w:t>£533.18</w:t>
            </w:r>
          </w:p>
        </w:tc>
        <w:tc>
          <w:tcPr>
            <w:tcW w:w="1431" w:type="dxa"/>
          </w:tcPr>
          <w:p w:rsidR="00081B87" w:rsidRPr="00081B87" w:rsidRDefault="00081B87" w:rsidP="00440E63">
            <w:pPr>
              <w:jc w:val="right"/>
              <w:rPr>
                <w:sz w:val="22"/>
                <w:szCs w:val="22"/>
              </w:rPr>
            </w:pPr>
            <w:r w:rsidRPr="00081B87">
              <w:rPr>
                <w:sz w:val="22"/>
                <w:szCs w:val="22"/>
              </w:rPr>
              <w:t>£390.06</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IDACI D</w:t>
            </w:r>
          </w:p>
        </w:tc>
        <w:tc>
          <w:tcPr>
            <w:tcW w:w="1404" w:type="dxa"/>
          </w:tcPr>
          <w:p w:rsidR="00081B87" w:rsidRPr="00081B87" w:rsidRDefault="00081B87" w:rsidP="00440E63">
            <w:pPr>
              <w:jc w:val="right"/>
              <w:rPr>
                <w:sz w:val="22"/>
                <w:szCs w:val="22"/>
              </w:rPr>
            </w:pPr>
            <w:r w:rsidRPr="00081B87">
              <w:rPr>
                <w:sz w:val="22"/>
                <w:szCs w:val="22"/>
              </w:rPr>
              <w:t>£639.81</w:t>
            </w:r>
          </w:p>
        </w:tc>
        <w:tc>
          <w:tcPr>
            <w:tcW w:w="1431" w:type="dxa"/>
          </w:tcPr>
          <w:p w:rsidR="00081B87" w:rsidRPr="00081B87" w:rsidRDefault="00081B87" w:rsidP="00440E63">
            <w:pPr>
              <w:jc w:val="right"/>
              <w:rPr>
                <w:sz w:val="22"/>
                <w:szCs w:val="22"/>
              </w:rPr>
            </w:pPr>
            <w:r w:rsidRPr="00081B87">
              <w:rPr>
                <w:sz w:val="22"/>
                <w:szCs w:val="22"/>
              </w:rPr>
              <w:t>£515.08</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IDACI C</w:t>
            </w:r>
          </w:p>
        </w:tc>
        <w:tc>
          <w:tcPr>
            <w:tcW w:w="1404" w:type="dxa"/>
          </w:tcPr>
          <w:p w:rsidR="00081B87" w:rsidRPr="00081B87" w:rsidRDefault="00081B87" w:rsidP="00440E63">
            <w:pPr>
              <w:jc w:val="right"/>
              <w:rPr>
                <w:sz w:val="22"/>
                <w:szCs w:val="22"/>
              </w:rPr>
            </w:pPr>
            <w:r w:rsidRPr="00081B87">
              <w:rPr>
                <w:sz w:val="22"/>
                <w:szCs w:val="22"/>
              </w:rPr>
              <w:t>£746.45</w:t>
            </w:r>
          </w:p>
        </w:tc>
        <w:tc>
          <w:tcPr>
            <w:tcW w:w="1431" w:type="dxa"/>
          </w:tcPr>
          <w:p w:rsidR="00081B87" w:rsidRPr="00081B87" w:rsidRDefault="00081B87" w:rsidP="00440E63">
            <w:pPr>
              <w:jc w:val="right"/>
              <w:rPr>
                <w:sz w:val="22"/>
                <w:szCs w:val="22"/>
              </w:rPr>
            </w:pPr>
            <w:r w:rsidRPr="00081B87">
              <w:rPr>
                <w:sz w:val="22"/>
                <w:szCs w:val="22"/>
              </w:rPr>
              <w:t>£560.09</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IDACI B</w:t>
            </w:r>
          </w:p>
        </w:tc>
        <w:tc>
          <w:tcPr>
            <w:tcW w:w="1404" w:type="dxa"/>
          </w:tcPr>
          <w:p w:rsidR="00081B87" w:rsidRPr="00081B87" w:rsidRDefault="00081B87" w:rsidP="00440E63">
            <w:pPr>
              <w:jc w:val="right"/>
              <w:rPr>
                <w:sz w:val="22"/>
                <w:szCs w:val="22"/>
              </w:rPr>
            </w:pPr>
            <w:r w:rsidRPr="00081B87">
              <w:rPr>
                <w:sz w:val="22"/>
                <w:szCs w:val="22"/>
              </w:rPr>
              <w:t>£959.72</w:t>
            </w:r>
          </w:p>
        </w:tc>
        <w:tc>
          <w:tcPr>
            <w:tcW w:w="1431" w:type="dxa"/>
          </w:tcPr>
          <w:p w:rsidR="00081B87" w:rsidRPr="00081B87" w:rsidRDefault="00081B87" w:rsidP="00440E63">
            <w:pPr>
              <w:jc w:val="right"/>
              <w:rPr>
                <w:sz w:val="22"/>
                <w:szCs w:val="22"/>
              </w:rPr>
            </w:pPr>
            <w:r w:rsidRPr="00081B87">
              <w:rPr>
                <w:sz w:val="22"/>
                <w:szCs w:val="22"/>
              </w:rPr>
              <w:t>£600.10</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Deprivation – IDACI A</w:t>
            </w:r>
          </w:p>
        </w:tc>
        <w:tc>
          <w:tcPr>
            <w:tcW w:w="1404" w:type="dxa"/>
          </w:tcPr>
          <w:p w:rsidR="00081B87" w:rsidRPr="00081B87" w:rsidRDefault="00081B87" w:rsidP="00440E63">
            <w:pPr>
              <w:jc w:val="right"/>
              <w:rPr>
                <w:sz w:val="22"/>
                <w:szCs w:val="22"/>
              </w:rPr>
            </w:pPr>
            <w:r w:rsidRPr="00081B87">
              <w:rPr>
                <w:sz w:val="22"/>
                <w:szCs w:val="22"/>
              </w:rPr>
              <w:t>£1,172.99</w:t>
            </w:r>
          </w:p>
        </w:tc>
        <w:tc>
          <w:tcPr>
            <w:tcW w:w="1431" w:type="dxa"/>
          </w:tcPr>
          <w:p w:rsidR="00081B87" w:rsidRPr="00081B87" w:rsidRDefault="00081B87" w:rsidP="00440E63">
            <w:pPr>
              <w:jc w:val="right"/>
              <w:rPr>
                <w:sz w:val="22"/>
                <w:szCs w:val="22"/>
              </w:rPr>
            </w:pPr>
            <w:r w:rsidRPr="00081B87">
              <w:rPr>
                <w:sz w:val="22"/>
                <w:szCs w:val="22"/>
              </w:rPr>
              <w:t>£810.13</w:t>
            </w:r>
          </w:p>
        </w:tc>
        <w:tc>
          <w:tcPr>
            <w:tcW w:w="3911" w:type="dxa"/>
          </w:tcPr>
          <w:p w:rsidR="00081B87" w:rsidRPr="00081B87" w:rsidRDefault="00081B87" w:rsidP="00440E63">
            <w:pPr>
              <w:rPr>
                <w:color w:val="FF0000"/>
                <w:sz w:val="22"/>
                <w:szCs w:val="22"/>
              </w:rPr>
            </w:pPr>
            <w:r w:rsidRPr="00081B87">
              <w:rPr>
                <w:color w:val="000000" w:themeColor="text1"/>
                <w:sz w:val="22"/>
                <w:szCs w:val="22"/>
              </w:rPr>
              <w:t>The bands (weightings) are adjusted.</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English as an Additional Language (3)</w:t>
            </w:r>
          </w:p>
        </w:tc>
        <w:tc>
          <w:tcPr>
            <w:tcW w:w="1404" w:type="dxa"/>
          </w:tcPr>
          <w:p w:rsidR="00081B87" w:rsidRPr="00081B87" w:rsidRDefault="00081B87" w:rsidP="00440E63">
            <w:pPr>
              <w:jc w:val="right"/>
              <w:rPr>
                <w:sz w:val="22"/>
                <w:szCs w:val="22"/>
              </w:rPr>
            </w:pPr>
            <w:r w:rsidRPr="00081B87">
              <w:rPr>
                <w:sz w:val="22"/>
                <w:szCs w:val="22"/>
              </w:rPr>
              <w:t>£197.99</w:t>
            </w:r>
          </w:p>
        </w:tc>
        <w:tc>
          <w:tcPr>
            <w:tcW w:w="1431" w:type="dxa"/>
          </w:tcPr>
          <w:p w:rsidR="00081B87" w:rsidRPr="00081B87" w:rsidRDefault="00081B87" w:rsidP="00440E63">
            <w:pPr>
              <w:jc w:val="right"/>
              <w:rPr>
                <w:sz w:val="22"/>
                <w:szCs w:val="22"/>
              </w:rPr>
            </w:pPr>
            <w:r w:rsidRPr="00081B87">
              <w:rPr>
                <w:sz w:val="22"/>
                <w:szCs w:val="22"/>
              </w:rPr>
              <w:t>£515.08</w:t>
            </w:r>
          </w:p>
        </w:tc>
        <w:tc>
          <w:tcPr>
            <w:tcW w:w="3911" w:type="dxa"/>
          </w:tcPr>
          <w:p w:rsidR="00081B87" w:rsidRPr="00081B87" w:rsidRDefault="00081B87" w:rsidP="00440E63">
            <w:pPr>
              <w:rPr>
                <w:color w:val="000000" w:themeColor="text1"/>
                <w:sz w:val="22"/>
                <w:szCs w:val="22"/>
              </w:rPr>
            </w:pPr>
            <w:r w:rsidRPr="00081B87">
              <w:rPr>
                <w:color w:val="000000" w:themeColor="text1"/>
                <w:sz w:val="22"/>
                <w:szCs w:val="22"/>
              </w:rPr>
              <w:t>There is no change in the data source – this is still EAL3.</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English as an Additional Language (3)</w:t>
            </w:r>
          </w:p>
        </w:tc>
        <w:tc>
          <w:tcPr>
            <w:tcW w:w="1404" w:type="dxa"/>
          </w:tcPr>
          <w:p w:rsidR="00081B87" w:rsidRPr="00081B87" w:rsidRDefault="00081B87" w:rsidP="00440E63">
            <w:pPr>
              <w:jc w:val="right"/>
              <w:rPr>
                <w:sz w:val="22"/>
                <w:szCs w:val="22"/>
              </w:rPr>
            </w:pPr>
            <w:r w:rsidRPr="00081B87">
              <w:rPr>
                <w:sz w:val="22"/>
                <w:szCs w:val="22"/>
              </w:rPr>
              <w:t>£1,192.48</w:t>
            </w:r>
          </w:p>
        </w:tc>
        <w:tc>
          <w:tcPr>
            <w:tcW w:w="1431" w:type="dxa"/>
          </w:tcPr>
          <w:p w:rsidR="00081B87" w:rsidRPr="00081B87" w:rsidRDefault="00081B87" w:rsidP="00440E63">
            <w:pPr>
              <w:jc w:val="right"/>
              <w:rPr>
                <w:sz w:val="22"/>
                <w:szCs w:val="22"/>
              </w:rPr>
            </w:pPr>
            <w:r w:rsidRPr="00081B87">
              <w:rPr>
                <w:sz w:val="22"/>
                <w:szCs w:val="22"/>
              </w:rPr>
              <w:t>£1,385.22</w:t>
            </w:r>
          </w:p>
        </w:tc>
        <w:tc>
          <w:tcPr>
            <w:tcW w:w="3911" w:type="dxa"/>
          </w:tcPr>
          <w:p w:rsidR="00081B87" w:rsidRPr="00081B87" w:rsidRDefault="00081B87" w:rsidP="00440E63">
            <w:pPr>
              <w:rPr>
                <w:color w:val="000000" w:themeColor="text1"/>
                <w:sz w:val="22"/>
                <w:szCs w:val="22"/>
              </w:rPr>
            </w:pPr>
            <w:r w:rsidRPr="00081B87">
              <w:rPr>
                <w:color w:val="000000" w:themeColor="text1"/>
                <w:sz w:val="22"/>
                <w:szCs w:val="22"/>
              </w:rPr>
              <w:t>There is no change in the data source – this is still EAL3.</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Low Prior Attainment *</w:t>
            </w:r>
          </w:p>
        </w:tc>
        <w:tc>
          <w:tcPr>
            <w:tcW w:w="1404" w:type="dxa"/>
          </w:tcPr>
          <w:p w:rsidR="00081B87" w:rsidRPr="00081B87" w:rsidRDefault="00081B87" w:rsidP="00440E63">
            <w:pPr>
              <w:jc w:val="right"/>
              <w:rPr>
                <w:sz w:val="22"/>
                <w:szCs w:val="22"/>
              </w:rPr>
            </w:pPr>
            <w:r w:rsidRPr="00081B87">
              <w:rPr>
                <w:sz w:val="22"/>
                <w:szCs w:val="22"/>
              </w:rPr>
              <w:t>£241.31</w:t>
            </w:r>
          </w:p>
        </w:tc>
        <w:tc>
          <w:tcPr>
            <w:tcW w:w="1431" w:type="dxa"/>
          </w:tcPr>
          <w:p w:rsidR="00081B87" w:rsidRPr="00081B87" w:rsidRDefault="00081B87" w:rsidP="00440E63">
            <w:pPr>
              <w:jc w:val="right"/>
              <w:rPr>
                <w:sz w:val="22"/>
                <w:szCs w:val="22"/>
              </w:rPr>
            </w:pPr>
            <w:r w:rsidRPr="00081B87">
              <w:rPr>
                <w:sz w:val="22"/>
                <w:szCs w:val="22"/>
              </w:rPr>
              <w:t>£1,050.17</w:t>
            </w:r>
          </w:p>
        </w:tc>
        <w:tc>
          <w:tcPr>
            <w:tcW w:w="3911" w:type="dxa"/>
          </w:tcPr>
          <w:p w:rsidR="00081B87" w:rsidRPr="00081B87" w:rsidRDefault="00081B87" w:rsidP="00440E63">
            <w:pPr>
              <w:rPr>
                <w:color w:val="FF0000"/>
                <w:sz w:val="22"/>
                <w:szCs w:val="22"/>
              </w:rPr>
            </w:pPr>
            <w:r w:rsidRPr="00081B87">
              <w:rPr>
                <w:color w:val="000000" w:themeColor="text1"/>
                <w:sz w:val="22"/>
                <w:szCs w:val="22"/>
              </w:rPr>
              <w:t>To implement NFF we will need to move from the &lt;73 data measure to &lt;78 and also remove the reduction weighting for c</w:t>
            </w:r>
            <w:r w:rsidR="00A851E8">
              <w:rPr>
                <w:color w:val="000000" w:themeColor="text1"/>
                <w:sz w:val="22"/>
                <w:szCs w:val="22"/>
              </w:rPr>
              <w:t>hildren tested under the old EY</w:t>
            </w:r>
            <w:r w:rsidRPr="00081B87">
              <w:rPr>
                <w:color w:val="000000" w:themeColor="text1"/>
                <w:sz w:val="22"/>
                <w:szCs w:val="22"/>
              </w:rPr>
              <w:t>F</w:t>
            </w:r>
            <w:r w:rsidR="00A851E8">
              <w:rPr>
                <w:color w:val="000000" w:themeColor="text1"/>
                <w:sz w:val="22"/>
                <w:szCs w:val="22"/>
              </w:rPr>
              <w:t>S</w:t>
            </w:r>
            <w:r w:rsidRPr="00081B87">
              <w:rPr>
                <w:color w:val="000000" w:themeColor="text1"/>
                <w:sz w:val="22"/>
                <w:szCs w:val="22"/>
              </w:rPr>
              <w:t xml:space="preserve">P. </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Low Prior Attainment *</w:t>
            </w:r>
          </w:p>
        </w:tc>
        <w:tc>
          <w:tcPr>
            <w:tcW w:w="1404" w:type="dxa"/>
          </w:tcPr>
          <w:p w:rsidR="00081B87" w:rsidRPr="00081B87" w:rsidRDefault="00081B87" w:rsidP="00440E63">
            <w:pPr>
              <w:jc w:val="right"/>
              <w:rPr>
                <w:sz w:val="22"/>
                <w:szCs w:val="22"/>
              </w:rPr>
            </w:pPr>
            <w:r w:rsidRPr="00081B87">
              <w:rPr>
                <w:sz w:val="22"/>
                <w:szCs w:val="22"/>
              </w:rPr>
              <w:t>£494.40</w:t>
            </w:r>
          </w:p>
        </w:tc>
        <w:tc>
          <w:tcPr>
            <w:tcW w:w="1431" w:type="dxa"/>
          </w:tcPr>
          <w:p w:rsidR="00081B87" w:rsidRPr="00081B87" w:rsidRDefault="00081B87" w:rsidP="00440E63">
            <w:pPr>
              <w:jc w:val="right"/>
              <w:rPr>
                <w:sz w:val="22"/>
                <w:szCs w:val="22"/>
              </w:rPr>
            </w:pPr>
            <w:r w:rsidRPr="00081B87">
              <w:rPr>
                <w:sz w:val="22"/>
                <w:szCs w:val="22"/>
              </w:rPr>
              <w:t>£1,550.25</w:t>
            </w:r>
          </w:p>
        </w:tc>
        <w:tc>
          <w:tcPr>
            <w:tcW w:w="3911" w:type="dxa"/>
          </w:tcPr>
          <w:p w:rsidR="00081B87" w:rsidRPr="00081B87" w:rsidRDefault="00081B87" w:rsidP="00440E63">
            <w:pPr>
              <w:rPr>
                <w:color w:val="FF0000"/>
                <w:sz w:val="22"/>
                <w:szCs w:val="22"/>
              </w:rPr>
            </w:pPr>
            <w:r w:rsidRPr="00081B87">
              <w:rPr>
                <w:color w:val="000000" w:themeColor="text1"/>
                <w:sz w:val="22"/>
                <w:szCs w:val="22"/>
              </w:rPr>
              <w:t xml:space="preserve">The </w:t>
            </w:r>
            <w:proofErr w:type="spellStart"/>
            <w:r w:rsidRPr="00081B87">
              <w:rPr>
                <w:color w:val="000000" w:themeColor="text1"/>
                <w:sz w:val="22"/>
                <w:szCs w:val="22"/>
              </w:rPr>
              <w:t>DfE</w:t>
            </w:r>
            <w:proofErr w:type="spellEnd"/>
            <w:r w:rsidRPr="00081B87">
              <w:rPr>
                <w:color w:val="000000" w:themeColor="text1"/>
                <w:sz w:val="22"/>
                <w:szCs w:val="22"/>
              </w:rPr>
              <w:t xml:space="preserve"> is to provide a new weighting for current year 7 pupils. This weighting will be provided in December. The 2017/18 year 7 weighting will carry forward for year 8 pupils.</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Minimum £APP *</w:t>
            </w:r>
          </w:p>
        </w:tc>
        <w:tc>
          <w:tcPr>
            <w:tcW w:w="1404" w:type="dxa"/>
          </w:tcPr>
          <w:p w:rsidR="00081B87" w:rsidRPr="00081B87" w:rsidRDefault="00081B87" w:rsidP="00440E63">
            <w:pPr>
              <w:jc w:val="right"/>
              <w:rPr>
                <w:sz w:val="22"/>
                <w:szCs w:val="22"/>
              </w:rPr>
            </w:pPr>
            <w:r w:rsidRPr="00081B87">
              <w:rPr>
                <w:sz w:val="22"/>
                <w:szCs w:val="22"/>
              </w:rPr>
              <w:t>£0</w:t>
            </w:r>
          </w:p>
        </w:tc>
        <w:tc>
          <w:tcPr>
            <w:tcW w:w="1431" w:type="dxa"/>
          </w:tcPr>
          <w:p w:rsidR="00081B87" w:rsidRPr="00081B87" w:rsidRDefault="00081B87" w:rsidP="00440E63">
            <w:pPr>
              <w:jc w:val="right"/>
              <w:rPr>
                <w:sz w:val="22"/>
                <w:szCs w:val="22"/>
              </w:rPr>
            </w:pPr>
            <w:r w:rsidRPr="00081B87">
              <w:rPr>
                <w:sz w:val="22"/>
                <w:szCs w:val="22"/>
              </w:rPr>
              <w:t>£3,500</w:t>
            </w:r>
          </w:p>
        </w:tc>
        <w:tc>
          <w:tcPr>
            <w:tcW w:w="3911" w:type="dxa"/>
          </w:tcPr>
          <w:p w:rsidR="00081B87" w:rsidRPr="00081B87" w:rsidRDefault="00081B87" w:rsidP="00440E63">
            <w:pPr>
              <w:rPr>
                <w:color w:val="000000" w:themeColor="text1"/>
                <w:sz w:val="22"/>
                <w:szCs w:val="22"/>
              </w:rPr>
            </w:pPr>
            <w:r w:rsidRPr="00081B87">
              <w:rPr>
                <w:color w:val="000000" w:themeColor="text1"/>
                <w:sz w:val="22"/>
                <w:szCs w:val="22"/>
              </w:rPr>
              <w:t>This is a new factor.  We currently anticipate implementation of a maximum value of £3,500 in 18/19. Will need an EFA disapplication request to exclude business rates.</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Minimum £APP *</w:t>
            </w:r>
          </w:p>
        </w:tc>
        <w:tc>
          <w:tcPr>
            <w:tcW w:w="1404" w:type="dxa"/>
          </w:tcPr>
          <w:p w:rsidR="00081B87" w:rsidRPr="00081B87" w:rsidRDefault="00081B87" w:rsidP="00440E63">
            <w:pPr>
              <w:jc w:val="right"/>
              <w:rPr>
                <w:sz w:val="22"/>
                <w:szCs w:val="22"/>
              </w:rPr>
            </w:pPr>
            <w:r w:rsidRPr="00081B87">
              <w:rPr>
                <w:sz w:val="22"/>
                <w:szCs w:val="22"/>
              </w:rPr>
              <w:t>£0</w:t>
            </w:r>
          </w:p>
        </w:tc>
        <w:tc>
          <w:tcPr>
            <w:tcW w:w="1431" w:type="dxa"/>
          </w:tcPr>
          <w:p w:rsidR="00081B87" w:rsidRPr="00081B87" w:rsidRDefault="00081B87" w:rsidP="00440E63">
            <w:pPr>
              <w:jc w:val="right"/>
              <w:rPr>
                <w:sz w:val="22"/>
                <w:szCs w:val="22"/>
              </w:rPr>
            </w:pPr>
            <w:r w:rsidRPr="00081B87">
              <w:rPr>
                <w:sz w:val="22"/>
                <w:szCs w:val="22"/>
              </w:rPr>
              <w:t>£4,800</w:t>
            </w:r>
          </w:p>
        </w:tc>
        <w:tc>
          <w:tcPr>
            <w:tcW w:w="3911" w:type="dxa"/>
          </w:tcPr>
          <w:p w:rsidR="00081B87" w:rsidRPr="00081B87" w:rsidRDefault="00081B87" w:rsidP="00440E63">
            <w:pPr>
              <w:rPr>
                <w:color w:val="000000" w:themeColor="text1"/>
                <w:sz w:val="22"/>
                <w:szCs w:val="22"/>
              </w:rPr>
            </w:pPr>
            <w:r w:rsidRPr="00081B87">
              <w:rPr>
                <w:color w:val="000000" w:themeColor="text1"/>
                <w:sz w:val="22"/>
                <w:szCs w:val="22"/>
              </w:rPr>
              <w:t>This is a new factor.  We currently anticipate implementation of a maximum value of £4,800 in 18/19. Will need an EFA disapplication request to exclude business rates and BSF.</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 Pupil Mobility</w:t>
            </w:r>
          </w:p>
        </w:tc>
        <w:tc>
          <w:tcPr>
            <w:tcW w:w="1404" w:type="dxa"/>
          </w:tcPr>
          <w:p w:rsidR="00081B87" w:rsidRPr="00081B87" w:rsidRDefault="00081B87" w:rsidP="00440E63">
            <w:pPr>
              <w:jc w:val="right"/>
              <w:rPr>
                <w:sz w:val="22"/>
                <w:szCs w:val="22"/>
              </w:rPr>
            </w:pPr>
            <w:r w:rsidRPr="00081B87">
              <w:rPr>
                <w:sz w:val="22"/>
                <w:szCs w:val="22"/>
              </w:rPr>
              <w:t>£1,608.19</w:t>
            </w:r>
          </w:p>
        </w:tc>
        <w:tc>
          <w:tcPr>
            <w:tcW w:w="1431" w:type="dxa"/>
          </w:tcPr>
          <w:p w:rsidR="00081B87" w:rsidRPr="00081B87" w:rsidRDefault="00081B87" w:rsidP="00440E63">
            <w:pPr>
              <w:jc w:val="right"/>
              <w:rPr>
                <w:sz w:val="22"/>
                <w:szCs w:val="22"/>
              </w:rPr>
            </w:pPr>
            <w:r w:rsidRPr="00081B87">
              <w:rPr>
                <w:sz w:val="22"/>
                <w:szCs w:val="22"/>
              </w:rPr>
              <w:t>£1,608.19</w:t>
            </w:r>
          </w:p>
        </w:tc>
        <w:tc>
          <w:tcPr>
            <w:tcW w:w="3911" w:type="dxa"/>
          </w:tcPr>
          <w:p w:rsidR="00081B87" w:rsidRPr="00081B87" w:rsidRDefault="00081B87" w:rsidP="00440E63">
            <w:pPr>
              <w:rPr>
                <w:color w:val="000000" w:themeColor="text1"/>
                <w:sz w:val="22"/>
                <w:szCs w:val="22"/>
              </w:rPr>
            </w:pPr>
            <w:r w:rsidRPr="00081B87">
              <w:rPr>
                <w:color w:val="000000" w:themeColor="text1"/>
                <w:sz w:val="22"/>
                <w:szCs w:val="22"/>
              </w:rPr>
              <w:t>There is no NFF solution. Our current formula will continue.</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Pupil Mobility</w:t>
            </w:r>
          </w:p>
        </w:tc>
        <w:tc>
          <w:tcPr>
            <w:tcW w:w="1404" w:type="dxa"/>
          </w:tcPr>
          <w:p w:rsidR="00081B87" w:rsidRPr="00081B87" w:rsidRDefault="00081B87" w:rsidP="00440E63">
            <w:pPr>
              <w:jc w:val="right"/>
              <w:rPr>
                <w:sz w:val="22"/>
                <w:szCs w:val="22"/>
              </w:rPr>
            </w:pPr>
            <w:r w:rsidRPr="00081B87">
              <w:rPr>
                <w:sz w:val="22"/>
                <w:szCs w:val="22"/>
              </w:rPr>
              <w:t>£1,915.87</w:t>
            </w:r>
          </w:p>
        </w:tc>
        <w:tc>
          <w:tcPr>
            <w:tcW w:w="1431" w:type="dxa"/>
          </w:tcPr>
          <w:p w:rsidR="00081B87" w:rsidRPr="00081B87" w:rsidRDefault="00081B87" w:rsidP="00440E63">
            <w:pPr>
              <w:jc w:val="right"/>
              <w:rPr>
                <w:sz w:val="22"/>
                <w:szCs w:val="22"/>
              </w:rPr>
            </w:pPr>
            <w:r w:rsidRPr="00081B87">
              <w:rPr>
                <w:sz w:val="22"/>
                <w:szCs w:val="22"/>
              </w:rPr>
              <w:t>£1,915.87</w:t>
            </w:r>
          </w:p>
        </w:tc>
        <w:tc>
          <w:tcPr>
            <w:tcW w:w="3911" w:type="dxa"/>
          </w:tcPr>
          <w:p w:rsidR="00081B87" w:rsidRPr="00081B87" w:rsidRDefault="00081B87" w:rsidP="00440E63">
            <w:pPr>
              <w:rPr>
                <w:color w:val="000000" w:themeColor="text1"/>
                <w:sz w:val="22"/>
                <w:szCs w:val="22"/>
              </w:rPr>
            </w:pPr>
            <w:r w:rsidRPr="00081B87">
              <w:rPr>
                <w:color w:val="000000" w:themeColor="text1"/>
                <w:sz w:val="22"/>
                <w:szCs w:val="22"/>
              </w:rPr>
              <w:t>There is no NFF solution. Our current formula will continue.</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&amp; Secondary – Business Rates</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440E63">
            <w:pPr>
              <w:rPr>
                <w:color w:val="FF0000"/>
                <w:sz w:val="22"/>
                <w:szCs w:val="22"/>
              </w:rPr>
            </w:pPr>
            <w:r w:rsidRPr="00081B87">
              <w:rPr>
                <w:color w:val="000000" w:themeColor="text1"/>
                <w:sz w:val="22"/>
                <w:szCs w:val="22"/>
              </w:rPr>
              <w:t>Continue to be funded at actual cost.</w:t>
            </w:r>
          </w:p>
        </w:tc>
      </w:tr>
      <w:tr w:rsidR="00081B87" w:rsidTr="00440E63">
        <w:tc>
          <w:tcPr>
            <w:tcW w:w="3936" w:type="dxa"/>
          </w:tcPr>
          <w:p w:rsidR="00081B87" w:rsidRPr="00081B87" w:rsidRDefault="00081B87" w:rsidP="00440E63">
            <w:pPr>
              <w:jc w:val="both"/>
              <w:rPr>
                <w:sz w:val="22"/>
                <w:szCs w:val="22"/>
              </w:rPr>
            </w:pPr>
            <w:r w:rsidRPr="00081B87">
              <w:rPr>
                <w:sz w:val="22"/>
                <w:szCs w:val="22"/>
              </w:rPr>
              <w:t>Primary &amp; Secondary – Split Sites</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440E63">
            <w:pPr>
              <w:rPr>
                <w:color w:val="FF0000"/>
                <w:sz w:val="22"/>
                <w:szCs w:val="22"/>
              </w:rPr>
            </w:pPr>
            <w:r w:rsidRPr="00081B87">
              <w:rPr>
                <w:color w:val="000000" w:themeColor="text1"/>
                <w:sz w:val="22"/>
                <w:szCs w:val="22"/>
              </w:rPr>
              <w:t>There is no NFF solution. Our current formula will continue.</w:t>
            </w:r>
          </w:p>
        </w:tc>
      </w:tr>
      <w:tr w:rsidR="00081B87" w:rsidTr="00440E63">
        <w:tc>
          <w:tcPr>
            <w:tcW w:w="3936" w:type="dxa"/>
          </w:tcPr>
          <w:p w:rsidR="00081B87" w:rsidRPr="00081B87" w:rsidRDefault="00081B87" w:rsidP="00440E63">
            <w:pPr>
              <w:jc w:val="both"/>
              <w:rPr>
                <w:sz w:val="22"/>
                <w:szCs w:val="22"/>
              </w:rPr>
            </w:pPr>
            <w:r w:rsidRPr="00081B87">
              <w:rPr>
                <w:sz w:val="22"/>
                <w:szCs w:val="22"/>
              </w:rPr>
              <w:t>Secondary – PFI (BSF)</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440E63">
            <w:pPr>
              <w:rPr>
                <w:color w:val="FF0000"/>
                <w:sz w:val="22"/>
                <w:szCs w:val="22"/>
              </w:rPr>
            </w:pPr>
            <w:r w:rsidRPr="00081B87">
              <w:rPr>
                <w:color w:val="000000" w:themeColor="text1"/>
                <w:sz w:val="22"/>
                <w:szCs w:val="22"/>
              </w:rPr>
              <w:t>Continue current methodology, but adjusting the allocation for academies to correct the EFA’s re-profiling of allocations on an academic year basis.</w:t>
            </w:r>
          </w:p>
        </w:tc>
      </w:tr>
      <w:tr w:rsidR="00081B87" w:rsidTr="00440E63">
        <w:tc>
          <w:tcPr>
            <w:tcW w:w="3936" w:type="dxa"/>
          </w:tcPr>
          <w:p w:rsidR="00081B87" w:rsidRPr="00081B87" w:rsidRDefault="00081B87" w:rsidP="00440E63">
            <w:pPr>
              <w:jc w:val="both"/>
              <w:rPr>
                <w:sz w:val="22"/>
                <w:szCs w:val="22"/>
              </w:rPr>
            </w:pPr>
            <w:r w:rsidRPr="00081B87">
              <w:rPr>
                <w:sz w:val="22"/>
                <w:szCs w:val="22"/>
              </w:rPr>
              <w:lastRenderedPageBreak/>
              <w:t>Minimum Funding Guarantee</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440E63">
            <w:pPr>
              <w:rPr>
                <w:color w:val="FF0000"/>
                <w:sz w:val="22"/>
                <w:szCs w:val="22"/>
              </w:rPr>
            </w:pPr>
            <w:r w:rsidRPr="00081B87">
              <w:rPr>
                <w:color w:val="000000" w:themeColor="text1"/>
                <w:sz w:val="22"/>
                <w:szCs w:val="22"/>
              </w:rPr>
              <w:t>Will be set between 0% and minus 1.5%</w:t>
            </w:r>
          </w:p>
        </w:tc>
      </w:tr>
      <w:tr w:rsidR="00081B87" w:rsidTr="00440E63">
        <w:tc>
          <w:tcPr>
            <w:tcW w:w="3936" w:type="dxa"/>
          </w:tcPr>
          <w:p w:rsidR="00081B87" w:rsidRPr="00081B87" w:rsidRDefault="00081B87" w:rsidP="00440E63">
            <w:pPr>
              <w:jc w:val="both"/>
              <w:rPr>
                <w:sz w:val="22"/>
                <w:szCs w:val="22"/>
              </w:rPr>
            </w:pPr>
            <w:r w:rsidRPr="00081B87">
              <w:rPr>
                <w:sz w:val="22"/>
                <w:szCs w:val="22"/>
              </w:rPr>
              <w:t>Ceiling</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440E63">
            <w:pPr>
              <w:rPr>
                <w:color w:val="FF0000"/>
                <w:sz w:val="22"/>
                <w:szCs w:val="22"/>
              </w:rPr>
            </w:pPr>
            <w:r w:rsidRPr="00081B87">
              <w:rPr>
                <w:color w:val="000000" w:themeColor="text1"/>
                <w:sz w:val="22"/>
                <w:szCs w:val="22"/>
              </w:rPr>
              <w:t>Will be set as a cap (not scaling) as now</w:t>
            </w:r>
            <w:r w:rsidR="00712F46">
              <w:rPr>
                <w:color w:val="000000" w:themeColor="text1"/>
                <w:sz w:val="22"/>
                <w:szCs w:val="22"/>
              </w:rPr>
              <w:t xml:space="preserve"> proposed at 3%</w:t>
            </w:r>
          </w:p>
        </w:tc>
      </w:tr>
      <w:tr w:rsidR="00081B87" w:rsidTr="00440E63">
        <w:tc>
          <w:tcPr>
            <w:tcW w:w="3936" w:type="dxa"/>
          </w:tcPr>
          <w:p w:rsidR="00081B87" w:rsidRPr="00081B87" w:rsidRDefault="00081B87" w:rsidP="00440E63">
            <w:pPr>
              <w:jc w:val="both"/>
              <w:rPr>
                <w:sz w:val="22"/>
                <w:szCs w:val="22"/>
              </w:rPr>
            </w:pPr>
            <w:r w:rsidRPr="00081B87">
              <w:rPr>
                <w:sz w:val="22"/>
                <w:szCs w:val="22"/>
              </w:rPr>
              <w:t>Notional SEN</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440E63">
            <w:pPr>
              <w:rPr>
                <w:color w:val="FF0000"/>
                <w:sz w:val="22"/>
                <w:szCs w:val="22"/>
              </w:rPr>
            </w:pPr>
            <w:r w:rsidRPr="00081B87">
              <w:rPr>
                <w:color w:val="000000" w:themeColor="text1"/>
                <w:sz w:val="22"/>
                <w:szCs w:val="22"/>
              </w:rPr>
              <w:t>The NFF will increase notional SEN values due to the additional targeting of low prior attainment i.e. a greater proportion of school’s budget will be calculated to be available for SEN / AEN.</w:t>
            </w:r>
          </w:p>
        </w:tc>
      </w:tr>
      <w:tr w:rsidR="00081B87" w:rsidTr="00440E63">
        <w:tc>
          <w:tcPr>
            <w:tcW w:w="3936" w:type="dxa"/>
          </w:tcPr>
          <w:p w:rsidR="00081B87" w:rsidRPr="00081B87" w:rsidRDefault="00081B87" w:rsidP="00440E63">
            <w:pPr>
              <w:jc w:val="both"/>
              <w:rPr>
                <w:sz w:val="22"/>
                <w:szCs w:val="22"/>
              </w:rPr>
            </w:pPr>
            <w:r w:rsidRPr="00081B87">
              <w:rPr>
                <w:sz w:val="22"/>
                <w:szCs w:val="22"/>
              </w:rPr>
              <w:t>SEN Funding Floor</w:t>
            </w:r>
          </w:p>
        </w:tc>
        <w:tc>
          <w:tcPr>
            <w:tcW w:w="1404" w:type="dxa"/>
          </w:tcPr>
          <w:p w:rsidR="00081B87" w:rsidRPr="00081B87" w:rsidRDefault="00081B87" w:rsidP="00440E63">
            <w:pPr>
              <w:jc w:val="right"/>
              <w:rPr>
                <w:sz w:val="22"/>
                <w:szCs w:val="22"/>
              </w:rPr>
            </w:pPr>
            <w:r w:rsidRPr="00081B87">
              <w:rPr>
                <w:sz w:val="22"/>
                <w:szCs w:val="22"/>
              </w:rPr>
              <w:t>n/a</w:t>
            </w:r>
          </w:p>
        </w:tc>
        <w:tc>
          <w:tcPr>
            <w:tcW w:w="1431" w:type="dxa"/>
          </w:tcPr>
          <w:p w:rsidR="00081B87" w:rsidRPr="00081B87" w:rsidRDefault="00081B87" w:rsidP="00440E63">
            <w:pPr>
              <w:jc w:val="right"/>
              <w:rPr>
                <w:sz w:val="22"/>
                <w:szCs w:val="22"/>
              </w:rPr>
            </w:pPr>
            <w:r w:rsidRPr="00081B87">
              <w:rPr>
                <w:sz w:val="22"/>
                <w:szCs w:val="22"/>
              </w:rPr>
              <w:t>n/a</w:t>
            </w:r>
          </w:p>
        </w:tc>
        <w:tc>
          <w:tcPr>
            <w:tcW w:w="3911" w:type="dxa"/>
          </w:tcPr>
          <w:p w:rsidR="00081B87" w:rsidRPr="00081B87" w:rsidRDefault="00081B87" w:rsidP="00712F46">
            <w:pPr>
              <w:rPr>
                <w:color w:val="FF0000"/>
                <w:sz w:val="22"/>
                <w:szCs w:val="22"/>
              </w:rPr>
            </w:pPr>
            <w:r w:rsidRPr="00081B87">
              <w:rPr>
                <w:color w:val="000000" w:themeColor="text1"/>
                <w:sz w:val="22"/>
                <w:szCs w:val="22"/>
              </w:rPr>
              <w:t xml:space="preserve">Due to the significant increase in low prior attainment funding, most schools will no longer receive SEN Floor funding. This is especially impactful on the primary phase. </w:t>
            </w:r>
            <w:r w:rsidR="00712F46">
              <w:rPr>
                <w:color w:val="000000" w:themeColor="text1"/>
                <w:sz w:val="22"/>
                <w:szCs w:val="22"/>
              </w:rPr>
              <w:t>I</w:t>
            </w:r>
            <w:r w:rsidRPr="00081B87">
              <w:rPr>
                <w:color w:val="000000" w:themeColor="text1"/>
                <w:sz w:val="22"/>
                <w:szCs w:val="22"/>
              </w:rPr>
              <w:t>t is proposed</w:t>
            </w:r>
            <w:r w:rsidR="00712F46">
              <w:rPr>
                <w:color w:val="000000" w:themeColor="text1"/>
                <w:sz w:val="22"/>
                <w:szCs w:val="22"/>
              </w:rPr>
              <w:t>, as a minimum,</w:t>
            </w:r>
            <w:r w:rsidRPr="00081B87">
              <w:rPr>
                <w:color w:val="000000" w:themeColor="text1"/>
                <w:sz w:val="22"/>
                <w:szCs w:val="22"/>
              </w:rPr>
              <w:t xml:space="preserve"> that we add a protection to ensure that schools receive at least their 2017/18 cash value of SEN Floor, pending review and further discussion.</w:t>
            </w:r>
          </w:p>
        </w:tc>
      </w:tr>
    </w:tbl>
    <w:p w:rsidR="00081B87" w:rsidRDefault="00081B87" w:rsidP="00081B87">
      <w:pPr>
        <w:jc w:val="both"/>
        <w:rPr>
          <w:i/>
          <w:color w:val="000000" w:themeColor="text1"/>
        </w:rPr>
      </w:pPr>
    </w:p>
    <w:p w:rsidR="00081B87" w:rsidRPr="00081B87" w:rsidRDefault="00081B87" w:rsidP="00081B87">
      <w:pPr>
        <w:jc w:val="both"/>
        <w:rPr>
          <w:i/>
          <w:color w:val="FF0000"/>
          <w:sz w:val="22"/>
          <w:szCs w:val="22"/>
        </w:rPr>
      </w:pPr>
      <w:r w:rsidRPr="00081B87">
        <w:rPr>
          <w:i/>
          <w:color w:val="000000" w:themeColor="text1"/>
          <w:sz w:val="22"/>
          <w:szCs w:val="22"/>
        </w:rPr>
        <w:t>* The Regulations for 2018/19 will not quite enable full replication of NFF as published on 14 September</w:t>
      </w:r>
      <w:r w:rsidR="005C51EA">
        <w:rPr>
          <w:i/>
          <w:color w:val="000000" w:themeColor="text1"/>
          <w:sz w:val="22"/>
          <w:szCs w:val="22"/>
        </w:rPr>
        <w:t xml:space="preserve"> 2018/19</w:t>
      </w:r>
      <w:r w:rsidRPr="00081B87">
        <w:rPr>
          <w:i/>
          <w:color w:val="000000" w:themeColor="text1"/>
          <w:sz w:val="22"/>
          <w:szCs w:val="22"/>
        </w:rPr>
        <w:t>.</w:t>
      </w:r>
    </w:p>
    <w:p w:rsidR="003134E7" w:rsidRDefault="003134E7" w:rsidP="003134E7">
      <w:pPr>
        <w:jc w:val="both"/>
        <w:rPr>
          <w:color w:val="000000" w:themeColor="text1"/>
          <w:sz w:val="22"/>
          <w:szCs w:val="22"/>
        </w:rPr>
      </w:pPr>
    </w:p>
    <w:p w:rsidR="003134E7" w:rsidRDefault="003134E7" w:rsidP="003134E7">
      <w:pPr>
        <w:jc w:val="both"/>
        <w:rPr>
          <w:sz w:val="22"/>
          <w:szCs w:val="22"/>
        </w:rPr>
      </w:pPr>
      <w:r>
        <w:rPr>
          <w:sz w:val="22"/>
          <w:szCs w:val="22"/>
        </w:rPr>
        <w:t>3.8 Just to reiterate, within</w:t>
      </w:r>
      <w:r w:rsidR="00170FE7">
        <w:rPr>
          <w:sz w:val="22"/>
          <w:szCs w:val="22"/>
        </w:rPr>
        <w:t xml:space="preserve"> our</w:t>
      </w:r>
      <w:r>
        <w:rPr>
          <w:sz w:val="22"/>
          <w:szCs w:val="22"/>
        </w:rPr>
        <w:t xml:space="preserve"> proposals, we refer to ‘subject to final affordability’. The modelling using the existing October 2016 Census dataset indicates that the starting proposals are affordable. However, the cost of formula funding in 2018/19 will change once the October 2017 Census dataset is used e.g. FSM%s go up and down, prior attainment scores change. We cannot currently accurately predict what the change in cost will be; the cost won’t be confirmed until the dataset is released by the </w:t>
      </w:r>
      <w:proofErr w:type="spellStart"/>
      <w:r>
        <w:rPr>
          <w:sz w:val="22"/>
          <w:szCs w:val="22"/>
        </w:rPr>
        <w:t>DfE</w:t>
      </w:r>
      <w:proofErr w:type="spellEnd"/>
      <w:r>
        <w:rPr>
          <w:sz w:val="22"/>
          <w:szCs w:val="22"/>
        </w:rPr>
        <w:t xml:space="preserve"> in December. Therefore, in this consultation, we must place caveats and we also must ensure that schools are aware of the discussion and decision making processes that will take place should the starting proposals not be affordable within the 2018/19 envelop</w:t>
      </w:r>
      <w:r w:rsidR="00F42AA2">
        <w:rPr>
          <w:sz w:val="22"/>
          <w:szCs w:val="22"/>
        </w:rPr>
        <w:t>e</w:t>
      </w:r>
      <w:r>
        <w:rPr>
          <w:sz w:val="22"/>
          <w:szCs w:val="22"/>
        </w:rPr>
        <w:t>. We rely on the on-going communication between schools and academies and their representatives on the Schools Forum.</w:t>
      </w:r>
    </w:p>
    <w:p w:rsidR="003134E7" w:rsidRDefault="003134E7" w:rsidP="003134E7">
      <w:pPr>
        <w:jc w:val="both"/>
        <w:rPr>
          <w:sz w:val="22"/>
          <w:szCs w:val="22"/>
        </w:rPr>
      </w:pPr>
    </w:p>
    <w:p w:rsidR="003134E7" w:rsidRPr="00D912F3" w:rsidRDefault="003134E7" w:rsidP="008D16B2">
      <w:pPr>
        <w:pStyle w:val="ListParagraph"/>
        <w:numPr>
          <w:ilvl w:val="0"/>
          <w:numId w:val="31"/>
        </w:numPr>
        <w:jc w:val="both"/>
        <w:rPr>
          <w:sz w:val="22"/>
          <w:szCs w:val="22"/>
        </w:rPr>
      </w:pPr>
      <w:r w:rsidRPr="00D912F3">
        <w:rPr>
          <w:sz w:val="22"/>
          <w:szCs w:val="22"/>
        </w:rPr>
        <w:t>Where the cost of formula funding for 2018/19 increases due to changes in the October 2017 Census dataset, to the extent that the Schools Block will be overspent if the NFF is fully implemented, the Authority will discuss the options for addressing this with the Schools Forum and will ask the Schools Forum for a recommendation on this matter in January 2018. This may mean that certain aspects of the NFF are scaled back.</w:t>
      </w:r>
    </w:p>
    <w:p w:rsidR="003134E7" w:rsidRDefault="003134E7" w:rsidP="003134E7">
      <w:pPr>
        <w:pStyle w:val="ListParagraph"/>
        <w:jc w:val="both"/>
        <w:rPr>
          <w:sz w:val="22"/>
          <w:szCs w:val="22"/>
        </w:rPr>
      </w:pPr>
    </w:p>
    <w:p w:rsidR="003134E7" w:rsidRDefault="003134E7" w:rsidP="008D16B2">
      <w:pPr>
        <w:pStyle w:val="ListParagraph"/>
        <w:numPr>
          <w:ilvl w:val="0"/>
          <w:numId w:val="25"/>
        </w:numPr>
        <w:jc w:val="both"/>
        <w:rPr>
          <w:sz w:val="22"/>
          <w:szCs w:val="22"/>
        </w:rPr>
      </w:pPr>
      <w:r>
        <w:rPr>
          <w:sz w:val="22"/>
          <w:szCs w:val="22"/>
        </w:rPr>
        <w:t>In managing affordability with</w:t>
      </w:r>
      <w:r w:rsidR="00DA36F5">
        <w:rPr>
          <w:sz w:val="22"/>
          <w:szCs w:val="22"/>
        </w:rPr>
        <w:t>in</w:t>
      </w:r>
      <w:r>
        <w:rPr>
          <w:sz w:val="22"/>
          <w:szCs w:val="22"/>
        </w:rPr>
        <w:t xml:space="preserve"> the Schools Block, the Authority proposes effectively to ‘ring fence’ primary and secondary monies separately so that any over or under spending, and adjustment to correct this, is considered on a separate phase basis and so that monies are not transferred between the phases where it is possible to avoid this. Please note that the values of MFG and ceiling must be set the same for both phases.</w:t>
      </w:r>
    </w:p>
    <w:p w:rsidR="003134E7" w:rsidRDefault="003134E7" w:rsidP="003134E7">
      <w:pPr>
        <w:jc w:val="both"/>
        <w:rPr>
          <w:color w:val="000000" w:themeColor="text1"/>
          <w:sz w:val="22"/>
          <w:szCs w:val="22"/>
        </w:rPr>
      </w:pPr>
    </w:p>
    <w:p w:rsidR="003134E7" w:rsidRPr="008C3C9A" w:rsidRDefault="003134E7" w:rsidP="003134E7">
      <w:pPr>
        <w:jc w:val="both"/>
        <w:rPr>
          <w:color w:val="000000" w:themeColor="text1"/>
          <w:sz w:val="22"/>
          <w:szCs w:val="22"/>
        </w:rPr>
      </w:pPr>
      <w:r w:rsidRPr="008C3C9A">
        <w:rPr>
          <w:color w:val="000000" w:themeColor="text1"/>
          <w:sz w:val="22"/>
          <w:szCs w:val="22"/>
        </w:rPr>
        <w:t>3</w:t>
      </w:r>
      <w:r>
        <w:rPr>
          <w:color w:val="000000" w:themeColor="text1"/>
          <w:sz w:val="22"/>
          <w:szCs w:val="22"/>
        </w:rPr>
        <w:t>.9</w:t>
      </w:r>
      <w:r w:rsidRPr="008C3C9A">
        <w:rPr>
          <w:color w:val="000000" w:themeColor="text1"/>
          <w:sz w:val="22"/>
          <w:szCs w:val="22"/>
        </w:rPr>
        <w:t xml:space="preserve"> </w:t>
      </w:r>
      <w:r w:rsidR="00170FE7">
        <w:rPr>
          <w:color w:val="000000" w:themeColor="text1"/>
          <w:sz w:val="22"/>
          <w:szCs w:val="22"/>
        </w:rPr>
        <w:t>For reference, o</w:t>
      </w:r>
      <w:r w:rsidRPr="008C3C9A">
        <w:rPr>
          <w:color w:val="000000" w:themeColor="text1"/>
          <w:sz w:val="22"/>
          <w:szCs w:val="22"/>
        </w:rPr>
        <w:t>ur split sites factor operates as follows:</w:t>
      </w:r>
    </w:p>
    <w:p w:rsidR="003134E7" w:rsidRPr="00BB51CB" w:rsidRDefault="003134E7" w:rsidP="003134E7">
      <w:pPr>
        <w:jc w:val="both"/>
        <w:rPr>
          <w:color w:val="FF0000"/>
          <w:sz w:val="22"/>
          <w:szCs w:val="22"/>
          <w:highlight w:val="yellow"/>
        </w:rPr>
      </w:pPr>
    </w:p>
    <w:p w:rsidR="003134E7" w:rsidRPr="008C3C9A" w:rsidRDefault="003134E7" w:rsidP="003134E7">
      <w:pPr>
        <w:jc w:val="both"/>
        <w:rPr>
          <w:color w:val="000000" w:themeColor="text1"/>
          <w:sz w:val="22"/>
          <w:szCs w:val="22"/>
        </w:rPr>
      </w:pPr>
      <w:r w:rsidRPr="008C3C9A">
        <w:rPr>
          <w:color w:val="000000" w:themeColor="text1"/>
          <w:sz w:val="22"/>
          <w:szCs w:val="22"/>
        </w:rPr>
        <w:t>a) The criteria used to define a split site are as follows:</w:t>
      </w:r>
    </w:p>
    <w:p w:rsidR="003134E7" w:rsidRPr="008C3C9A" w:rsidRDefault="003134E7" w:rsidP="003134E7">
      <w:pPr>
        <w:ind w:firstLine="720"/>
        <w:jc w:val="both"/>
        <w:rPr>
          <w:color w:val="000000" w:themeColor="text1"/>
          <w:sz w:val="12"/>
          <w:szCs w:val="12"/>
        </w:rPr>
      </w:pPr>
    </w:p>
    <w:p w:rsidR="003134E7" w:rsidRPr="008C3C9A" w:rsidRDefault="003134E7" w:rsidP="008D16B2">
      <w:pPr>
        <w:numPr>
          <w:ilvl w:val="0"/>
          <w:numId w:val="11"/>
        </w:numPr>
        <w:jc w:val="both"/>
        <w:rPr>
          <w:color w:val="000000" w:themeColor="text1"/>
          <w:sz w:val="22"/>
          <w:szCs w:val="22"/>
        </w:rPr>
      </w:pPr>
      <w:r w:rsidRPr="008C3C9A">
        <w:rPr>
          <w:i/>
          <w:iCs/>
          <w:color w:val="000000" w:themeColor="text1"/>
          <w:sz w:val="22"/>
          <w:szCs w:val="22"/>
        </w:rPr>
        <w:t>Essential</w:t>
      </w:r>
      <w:r w:rsidRPr="008C3C9A">
        <w:rPr>
          <w:color w:val="000000" w:themeColor="text1"/>
          <w:sz w:val="22"/>
          <w:szCs w:val="22"/>
        </w:rPr>
        <w:t xml:space="preserve"> - two or more distinctly separate campuses where there is no single continuous boundary and where the campuses are split by a through road.</w:t>
      </w:r>
    </w:p>
    <w:p w:rsidR="003134E7" w:rsidRPr="008C3C9A" w:rsidRDefault="003134E7" w:rsidP="008D16B2">
      <w:pPr>
        <w:numPr>
          <w:ilvl w:val="0"/>
          <w:numId w:val="11"/>
        </w:numPr>
        <w:jc w:val="both"/>
        <w:rPr>
          <w:color w:val="000000" w:themeColor="text1"/>
          <w:sz w:val="22"/>
          <w:szCs w:val="22"/>
        </w:rPr>
      </w:pPr>
      <w:r w:rsidRPr="008C3C9A">
        <w:rPr>
          <w:color w:val="000000" w:themeColor="text1"/>
          <w:sz w:val="22"/>
          <w:szCs w:val="22"/>
        </w:rPr>
        <w:t>Additional criteria (for weighting of funding):</w:t>
      </w:r>
    </w:p>
    <w:p w:rsidR="003134E7" w:rsidRPr="008C3C9A" w:rsidRDefault="003134E7" w:rsidP="003134E7">
      <w:pPr>
        <w:ind w:left="1080"/>
        <w:jc w:val="both"/>
        <w:rPr>
          <w:color w:val="000000" w:themeColor="text1"/>
          <w:sz w:val="22"/>
          <w:szCs w:val="22"/>
        </w:rPr>
      </w:pPr>
      <w:r w:rsidRPr="008C3C9A">
        <w:rPr>
          <w:i/>
          <w:iCs/>
          <w:color w:val="000000" w:themeColor="text1"/>
          <w:sz w:val="22"/>
          <w:szCs w:val="22"/>
        </w:rPr>
        <w:t>Category A</w:t>
      </w:r>
      <w:r w:rsidRPr="008C3C9A">
        <w:rPr>
          <w:color w:val="000000" w:themeColor="text1"/>
          <w:sz w:val="22"/>
          <w:szCs w:val="22"/>
        </w:rPr>
        <w:t xml:space="preserve"> - where it is impossible not to move a proportion (either 25% or 50%) of total school / academy pupils between the campuses within the school day</w:t>
      </w:r>
    </w:p>
    <w:p w:rsidR="003134E7" w:rsidRDefault="003134E7" w:rsidP="00440D16">
      <w:pPr>
        <w:ind w:left="1080"/>
        <w:jc w:val="both"/>
        <w:rPr>
          <w:color w:val="000000" w:themeColor="text1"/>
          <w:sz w:val="22"/>
          <w:szCs w:val="22"/>
        </w:rPr>
      </w:pPr>
      <w:r w:rsidRPr="008C3C9A">
        <w:rPr>
          <w:i/>
          <w:iCs/>
          <w:color w:val="000000" w:themeColor="text1"/>
          <w:sz w:val="22"/>
          <w:szCs w:val="22"/>
        </w:rPr>
        <w:t>Category B</w:t>
      </w:r>
      <w:r w:rsidRPr="008C3C9A">
        <w:rPr>
          <w:color w:val="000000" w:themeColor="text1"/>
          <w:sz w:val="22"/>
          <w:szCs w:val="22"/>
        </w:rPr>
        <w:t xml:space="preserve"> - where the campuses are more than 400 metres apart </w:t>
      </w:r>
    </w:p>
    <w:p w:rsidR="00680884" w:rsidRPr="008C3C9A" w:rsidRDefault="00680884" w:rsidP="00680884">
      <w:pPr>
        <w:jc w:val="both"/>
        <w:rPr>
          <w:color w:val="000000" w:themeColor="text1"/>
          <w:sz w:val="22"/>
          <w:szCs w:val="22"/>
        </w:rPr>
      </w:pPr>
    </w:p>
    <w:p w:rsidR="003134E7" w:rsidRDefault="003134E7" w:rsidP="003134E7">
      <w:pPr>
        <w:jc w:val="both"/>
        <w:rPr>
          <w:color w:val="000000" w:themeColor="text1"/>
          <w:sz w:val="22"/>
          <w:szCs w:val="22"/>
        </w:rPr>
      </w:pPr>
      <w:r w:rsidRPr="008C3C9A">
        <w:rPr>
          <w:color w:val="000000" w:themeColor="text1"/>
          <w:sz w:val="22"/>
          <w:szCs w:val="22"/>
        </w:rPr>
        <w:t>b) The criteria used to allocate funding to a school / academy operating across a split site based on the categories defined above, are as follows:</w:t>
      </w:r>
    </w:p>
    <w:p w:rsidR="00D9470F" w:rsidRPr="008C3C9A" w:rsidRDefault="00D9470F" w:rsidP="003134E7">
      <w:pPr>
        <w:jc w:val="both"/>
        <w:rPr>
          <w:color w:val="000000" w:themeColor="text1"/>
          <w:sz w:val="22"/>
          <w:szCs w:val="22"/>
        </w:rPr>
      </w:pPr>
    </w:p>
    <w:p w:rsidR="003134E7" w:rsidRPr="008C3C9A" w:rsidRDefault="003134E7" w:rsidP="003134E7">
      <w:pPr>
        <w:ind w:left="720"/>
        <w:jc w:val="both"/>
        <w:rPr>
          <w:color w:val="000000" w:themeColor="text1"/>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3134E7" w:rsidRPr="008C3C9A" w:rsidTr="00440E63">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134E7" w:rsidRPr="008C3C9A" w:rsidRDefault="003134E7" w:rsidP="00440E63">
            <w:pPr>
              <w:rPr>
                <w:b/>
                <w:bCs/>
                <w:color w:val="000000" w:themeColor="text1"/>
                <w:sz w:val="22"/>
                <w:szCs w:val="22"/>
              </w:rPr>
            </w:pPr>
            <w:r w:rsidRPr="008C3C9A">
              <w:rPr>
                <w:b/>
                <w:bCs/>
                <w:color w:val="000000" w:themeColor="text1"/>
                <w:sz w:val="22"/>
                <w:szCs w:val="22"/>
              </w:rPr>
              <w:lastRenderedPageBreak/>
              <w:t>Category</w:t>
            </w:r>
          </w:p>
        </w:tc>
        <w:tc>
          <w:tcPr>
            <w:tcW w:w="1548" w:type="dxa"/>
            <w:tcBorders>
              <w:top w:val="single" w:sz="4" w:space="0" w:color="auto"/>
              <w:left w:val="nil"/>
              <w:bottom w:val="single" w:sz="4" w:space="0" w:color="auto"/>
              <w:right w:val="nil"/>
            </w:tcBorders>
            <w:shd w:val="clear" w:color="auto" w:fill="FFFFFF"/>
            <w:noWrap/>
            <w:vAlign w:val="bottom"/>
          </w:tcPr>
          <w:p w:rsidR="003134E7" w:rsidRPr="008C3C9A" w:rsidRDefault="003134E7" w:rsidP="00440E63">
            <w:pPr>
              <w:jc w:val="right"/>
              <w:rPr>
                <w:b/>
                <w:bCs/>
                <w:color w:val="000000" w:themeColor="text1"/>
                <w:sz w:val="22"/>
                <w:szCs w:val="22"/>
              </w:rPr>
            </w:pPr>
            <w:r w:rsidRPr="008C3C9A">
              <w:rPr>
                <w:b/>
                <w:bCs/>
                <w:color w:val="000000" w:themeColor="text1"/>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3134E7" w:rsidRPr="008C3C9A" w:rsidRDefault="003134E7" w:rsidP="00440E63">
            <w:pPr>
              <w:jc w:val="right"/>
              <w:rPr>
                <w:b/>
                <w:bCs/>
                <w:color w:val="000000" w:themeColor="text1"/>
                <w:sz w:val="22"/>
                <w:szCs w:val="22"/>
              </w:rPr>
            </w:pPr>
            <w:r w:rsidRPr="008C3C9A">
              <w:rPr>
                <w:b/>
                <w:bCs/>
                <w:color w:val="000000" w:themeColor="text1"/>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3134E7" w:rsidRPr="008C3C9A" w:rsidRDefault="003134E7" w:rsidP="00440E63">
            <w:pPr>
              <w:jc w:val="right"/>
              <w:rPr>
                <w:b/>
                <w:bCs/>
                <w:color w:val="000000" w:themeColor="text1"/>
                <w:sz w:val="22"/>
                <w:szCs w:val="22"/>
              </w:rPr>
            </w:pPr>
            <w:r w:rsidRPr="008C3C9A">
              <w:rPr>
                <w:b/>
                <w:bCs/>
                <w:color w:val="000000" w:themeColor="text1"/>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3134E7" w:rsidRPr="008C3C9A" w:rsidRDefault="003134E7" w:rsidP="00440E63">
            <w:pPr>
              <w:jc w:val="right"/>
              <w:rPr>
                <w:b/>
                <w:bCs/>
                <w:color w:val="000000" w:themeColor="text1"/>
                <w:sz w:val="22"/>
                <w:szCs w:val="22"/>
              </w:rPr>
            </w:pPr>
            <w:r w:rsidRPr="008C3C9A">
              <w:rPr>
                <w:b/>
                <w:bCs/>
                <w:color w:val="000000" w:themeColor="text1"/>
                <w:sz w:val="22"/>
                <w:szCs w:val="22"/>
              </w:rPr>
              <w:t>Secondary APP</w:t>
            </w:r>
          </w:p>
        </w:tc>
      </w:tr>
      <w:tr w:rsidR="003134E7" w:rsidRPr="008C3C9A" w:rsidTr="00440E63">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3134E7" w:rsidRPr="008C3C9A" w:rsidRDefault="003134E7" w:rsidP="00440E63">
            <w:pPr>
              <w:rPr>
                <w:i/>
                <w:iCs/>
                <w:color w:val="000000" w:themeColor="text1"/>
                <w:sz w:val="22"/>
                <w:szCs w:val="22"/>
              </w:rPr>
            </w:pPr>
            <w:r w:rsidRPr="008C3C9A">
              <w:rPr>
                <w:i/>
                <w:iCs/>
                <w:color w:val="000000" w:themeColor="text1"/>
                <w:sz w:val="22"/>
                <w:szCs w:val="22"/>
              </w:rPr>
              <w:t>Essential</w:t>
            </w:r>
          </w:p>
        </w:tc>
        <w:tc>
          <w:tcPr>
            <w:tcW w:w="1548" w:type="dxa"/>
            <w:tcBorders>
              <w:top w:val="nil"/>
              <w:left w:val="nil"/>
              <w:bottom w:val="nil"/>
              <w:right w:val="nil"/>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8,514.75</w:t>
            </w:r>
          </w:p>
        </w:tc>
        <w:tc>
          <w:tcPr>
            <w:tcW w:w="1548" w:type="dxa"/>
            <w:tcBorders>
              <w:top w:val="nil"/>
              <w:left w:val="nil"/>
              <w:bottom w:val="nil"/>
              <w:right w:val="single" w:sz="4" w:space="0" w:color="auto"/>
            </w:tcBorders>
            <w:shd w:val="clear" w:color="auto" w:fill="FFFFFF"/>
            <w:noWrap/>
            <w:vAlign w:val="bottom"/>
          </w:tcPr>
          <w:p w:rsidR="003134E7" w:rsidRPr="008C3C9A" w:rsidRDefault="003134E7" w:rsidP="00440E63">
            <w:pPr>
              <w:jc w:val="right"/>
              <w:rPr>
                <w:color w:val="000000" w:themeColor="text1"/>
                <w:sz w:val="22"/>
                <w:szCs w:val="22"/>
              </w:rPr>
            </w:pPr>
            <w:r w:rsidRPr="008C3C9A">
              <w:rPr>
                <w:color w:val="000000" w:themeColor="text1"/>
                <w:sz w:val="22"/>
                <w:szCs w:val="22"/>
              </w:rPr>
              <w:t>0.00</w:t>
            </w:r>
          </w:p>
        </w:tc>
        <w:tc>
          <w:tcPr>
            <w:tcW w:w="1548" w:type="dxa"/>
            <w:tcBorders>
              <w:top w:val="nil"/>
              <w:left w:val="nil"/>
              <w:bottom w:val="nil"/>
              <w:right w:val="nil"/>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9,782.62</w:t>
            </w:r>
          </w:p>
        </w:tc>
        <w:tc>
          <w:tcPr>
            <w:tcW w:w="1548" w:type="dxa"/>
            <w:tcBorders>
              <w:top w:val="nil"/>
              <w:left w:val="nil"/>
              <w:bottom w:val="nil"/>
              <w:right w:val="single" w:sz="4" w:space="0" w:color="auto"/>
            </w:tcBorders>
            <w:shd w:val="clear" w:color="auto" w:fill="FFFFFF"/>
            <w:noWrap/>
            <w:vAlign w:val="bottom"/>
          </w:tcPr>
          <w:p w:rsidR="003134E7" w:rsidRPr="008C3C9A" w:rsidRDefault="003134E7" w:rsidP="00440E63">
            <w:pPr>
              <w:jc w:val="right"/>
              <w:rPr>
                <w:color w:val="000000" w:themeColor="text1"/>
                <w:sz w:val="22"/>
                <w:szCs w:val="22"/>
              </w:rPr>
            </w:pPr>
            <w:r w:rsidRPr="008C3C9A">
              <w:rPr>
                <w:color w:val="000000" w:themeColor="text1"/>
                <w:sz w:val="22"/>
                <w:szCs w:val="22"/>
              </w:rPr>
              <w:t>0</w:t>
            </w:r>
          </w:p>
        </w:tc>
      </w:tr>
      <w:tr w:rsidR="003134E7" w:rsidRPr="008C3C9A" w:rsidTr="00440E63">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3134E7" w:rsidRPr="008C3C9A" w:rsidRDefault="003134E7" w:rsidP="00440E63">
            <w:pPr>
              <w:rPr>
                <w:i/>
                <w:iCs/>
                <w:color w:val="000000" w:themeColor="text1"/>
                <w:sz w:val="22"/>
                <w:szCs w:val="22"/>
              </w:rPr>
            </w:pPr>
            <w:r w:rsidRPr="008C3C9A">
              <w:rPr>
                <w:i/>
                <w:iCs/>
                <w:color w:val="000000" w:themeColor="text1"/>
                <w:sz w:val="22"/>
                <w:szCs w:val="22"/>
              </w:rPr>
              <w:t>A</w:t>
            </w:r>
          </w:p>
        </w:tc>
        <w:tc>
          <w:tcPr>
            <w:tcW w:w="1548" w:type="dxa"/>
            <w:tcBorders>
              <w:top w:val="nil"/>
              <w:left w:val="nil"/>
              <w:bottom w:val="nil"/>
              <w:right w:val="nil"/>
            </w:tcBorders>
            <w:shd w:val="clear" w:color="auto" w:fill="FFFFFF"/>
            <w:noWrap/>
            <w:vAlign w:val="bottom"/>
          </w:tcPr>
          <w:p w:rsidR="003134E7" w:rsidRPr="008C3C9A" w:rsidRDefault="003134E7" w:rsidP="00440E63">
            <w:pPr>
              <w:jc w:val="right"/>
              <w:rPr>
                <w:color w:val="000000" w:themeColor="text1"/>
                <w:sz w:val="22"/>
                <w:szCs w:val="22"/>
              </w:rPr>
            </w:pPr>
            <w:r w:rsidRPr="008C3C9A">
              <w:rPr>
                <w:color w:val="000000" w:themeColor="text1"/>
                <w:sz w:val="22"/>
                <w:szCs w:val="22"/>
              </w:rPr>
              <w:t>0</w:t>
            </w:r>
          </w:p>
        </w:tc>
        <w:tc>
          <w:tcPr>
            <w:tcW w:w="1548" w:type="dxa"/>
            <w:tcBorders>
              <w:top w:val="nil"/>
              <w:left w:val="nil"/>
              <w:bottom w:val="nil"/>
              <w:right w:val="single" w:sz="4" w:space="0" w:color="auto"/>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107.73</w:t>
            </w:r>
          </w:p>
        </w:tc>
        <w:tc>
          <w:tcPr>
            <w:tcW w:w="1548" w:type="dxa"/>
            <w:tcBorders>
              <w:top w:val="nil"/>
              <w:left w:val="nil"/>
              <w:bottom w:val="nil"/>
              <w:right w:val="nil"/>
            </w:tcBorders>
            <w:shd w:val="clear" w:color="auto" w:fill="FFFFFF"/>
            <w:noWrap/>
            <w:vAlign w:val="bottom"/>
          </w:tcPr>
          <w:p w:rsidR="003134E7" w:rsidRPr="008C3C9A" w:rsidRDefault="003134E7" w:rsidP="00440E63">
            <w:pPr>
              <w:jc w:val="right"/>
              <w:rPr>
                <w:color w:val="000000" w:themeColor="text1"/>
                <w:sz w:val="22"/>
                <w:szCs w:val="22"/>
              </w:rPr>
            </w:pPr>
            <w:r w:rsidRPr="008C3C9A">
              <w:rPr>
                <w:color w:val="000000" w:themeColor="text1"/>
                <w:sz w:val="22"/>
                <w:szCs w:val="22"/>
              </w:rPr>
              <w:t>0</w:t>
            </w:r>
          </w:p>
        </w:tc>
        <w:tc>
          <w:tcPr>
            <w:tcW w:w="1548" w:type="dxa"/>
            <w:tcBorders>
              <w:top w:val="nil"/>
              <w:left w:val="nil"/>
              <w:bottom w:val="nil"/>
              <w:right w:val="single" w:sz="4" w:space="0" w:color="auto"/>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113.67</w:t>
            </w:r>
          </w:p>
        </w:tc>
      </w:tr>
      <w:tr w:rsidR="003134E7" w:rsidRPr="008C3C9A" w:rsidTr="00440E63">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3134E7" w:rsidRPr="008C3C9A" w:rsidRDefault="003134E7" w:rsidP="00440E63">
            <w:pPr>
              <w:rPr>
                <w:i/>
                <w:iCs/>
                <w:color w:val="000000" w:themeColor="text1"/>
                <w:sz w:val="22"/>
                <w:szCs w:val="22"/>
              </w:rPr>
            </w:pPr>
            <w:r w:rsidRPr="008C3C9A">
              <w:rPr>
                <w:i/>
                <w:iCs/>
                <w:color w:val="000000" w:themeColor="text1"/>
                <w:sz w:val="22"/>
                <w:szCs w:val="22"/>
              </w:rPr>
              <w:t>B</w:t>
            </w:r>
          </w:p>
        </w:tc>
        <w:tc>
          <w:tcPr>
            <w:tcW w:w="1548" w:type="dxa"/>
            <w:tcBorders>
              <w:top w:val="nil"/>
              <w:left w:val="nil"/>
              <w:bottom w:val="single" w:sz="4" w:space="0" w:color="auto"/>
              <w:right w:val="nil"/>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18,426.01</w:t>
            </w:r>
          </w:p>
        </w:tc>
        <w:tc>
          <w:tcPr>
            <w:tcW w:w="1548" w:type="dxa"/>
            <w:tcBorders>
              <w:top w:val="nil"/>
              <w:left w:val="nil"/>
              <w:bottom w:val="single" w:sz="4" w:space="0" w:color="auto"/>
              <w:right w:val="single" w:sz="4" w:space="0" w:color="auto"/>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9.15</w:t>
            </w:r>
          </w:p>
        </w:tc>
        <w:tc>
          <w:tcPr>
            <w:tcW w:w="1548" w:type="dxa"/>
            <w:tcBorders>
              <w:top w:val="nil"/>
              <w:left w:val="nil"/>
              <w:bottom w:val="single" w:sz="4" w:space="0" w:color="auto"/>
              <w:right w:val="nil"/>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20,558.87</w:t>
            </w:r>
          </w:p>
        </w:tc>
        <w:tc>
          <w:tcPr>
            <w:tcW w:w="1548" w:type="dxa"/>
            <w:tcBorders>
              <w:top w:val="nil"/>
              <w:left w:val="nil"/>
              <w:bottom w:val="single" w:sz="4" w:space="0" w:color="auto"/>
              <w:right w:val="single" w:sz="4" w:space="0" w:color="auto"/>
            </w:tcBorders>
            <w:shd w:val="clear" w:color="auto" w:fill="FFFFFF"/>
            <w:noWrap/>
            <w:vAlign w:val="bottom"/>
          </w:tcPr>
          <w:p w:rsidR="003134E7" w:rsidRPr="008C3C9A" w:rsidRDefault="003134E7" w:rsidP="00440E63">
            <w:pPr>
              <w:jc w:val="right"/>
              <w:rPr>
                <w:color w:val="000000" w:themeColor="text1"/>
                <w:sz w:val="22"/>
                <w:szCs w:val="22"/>
              </w:rPr>
            </w:pPr>
            <w:r>
              <w:rPr>
                <w:color w:val="000000" w:themeColor="text1"/>
                <w:sz w:val="22"/>
                <w:szCs w:val="22"/>
              </w:rPr>
              <w:t>£</w:t>
            </w:r>
            <w:r w:rsidRPr="008C3C9A">
              <w:rPr>
                <w:color w:val="000000" w:themeColor="text1"/>
                <w:sz w:val="22"/>
                <w:szCs w:val="22"/>
              </w:rPr>
              <w:t>12.78</w:t>
            </w:r>
          </w:p>
        </w:tc>
      </w:tr>
    </w:tbl>
    <w:p w:rsidR="003134E7" w:rsidRPr="00BB51CB" w:rsidRDefault="003134E7" w:rsidP="003134E7">
      <w:pPr>
        <w:jc w:val="both"/>
        <w:rPr>
          <w:color w:val="FF0000"/>
          <w:sz w:val="22"/>
          <w:szCs w:val="22"/>
          <w:u w:val="single"/>
        </w:rPr>
      </w:pPr>
    </w:p>
    <w:p w:rsidR="003134E7" w:rsidRPr="003134E7" w:rsidRDefault="003134E7" w:rsidP="008D16B2">
      <w:pPr>
        <w:numPr>
          <w:ilvl w:val="0"/>
          <w:numId w:val="11"/>
        </w:numPr>
        <w:jc w:val="both"/>
        <w:rPr>
          <w:iCs/>
          <w:color w:val="000000" w:themeColor="text1"/>
          <w:sz w:val="22"/>
          <w:szCs w:val="22"/>
        </w:rPr>
      </w:pPr>
      <w:r w:rsidRPr="003134E7">
        <w:rPr>
          <w:iCs/>
          <w:color w:val="000000" w:themeColor="text1"/>
          <w:sz w:val="22"/>
          <w:szCs w:val="22"/>
        </w:rPr>
        <w:t>Split sites funding is paid to all schools and academies that meet the above criteria.</w:t>
      </w:r>
    </w:p>
    <w:p w:rsidR="003134E7" w:rsidRPr="003134E7" w:rsidRDefault="003134E7" w:rsidP="008D16B2">
      <w:pPr>
        <w:numPr>
          <w:ilvl w:val="0"/>
          <w:numId w:val="11"/>
        </w:numPr>
        <w:jc w:val="both"/>
        <w:rPr>
          <w:iCs/>
          <w:color w:val="000000" w:themeColor="text1"/>
          <w:sz w:val="22"/>
          <w:szCs w:val="22"/>
        </w:rPr>
      </w:pPr>
      <w:r w:rsidRPr="003134E7">
        <w:rPr>
          <w:iCs/>
          <w:color w:val="000000" w:themeColor="text1"/>
          <w:sz w:val="22"/>
          <w:szCs w:val="22"/>
        </w:rPr>
        <w:t>Federated schools are not eligible for split sites funding.</w:t>
      </w:r>
    </w:p>
    <w:p w:rsidR="003134E7" w:rsidRPr="003134E7" w:rsidRDefault="003134E7" w:rsidP="008D16B2">
      <w:pPr>
        <w:numPr>
          <w:ilvl w:val="0"/>
          <w:numId w:val="11"/>
        </w:numPr>
        <w:jc w:val="both"/>
        <w:rPr>
          <w:iCs/>
          <w:color w:val="000000" w:themeColor="text1"/>
          <w:sz w:val="22"/>
          <w:szCs w:val="22"/>
        </w:rPr>
      </w:pPr>
      <w:r w:rsidRPr="003134E7">
        <w:rPr>
          <w:iCs/>
          <w:color w:val="000000" w:themeColor="text1"/>
          <w:sz w:val="22"/>
          <w:szCs w:val="22"/>
        </w:rPr>
        <w:t xml:space="preserve">Where 2 schools have amalgamated and the new school is operating across a split site, the school will not be eligible for split sites funding whilst it is in receipt of the additional lump sum (in the year immediately after amalgamation). </w:t>
      </w:r>
    </w:p>
    <w:p w:rsidR="003134E7" w:rsidRPr="003134E7" w:rsidRDefault="003134E7" w:rsidP="008D16B2">
      <w:pPr>
        <w:numPr>
          <w:ilvl w:val="0"/>
          <w:numId w:val="11"/>
        </w:numPr>
        <w:jc w:val="both"/>
        <w:rPr>
          <w:iCs/>
          <w:color w:val="000000" w:themeColor="text1"/>
          <w:sz w:val="22"/>
          <w:szCs w:val="22"/>
        </w:rPr>
      </w:pPr>
      <w:r w:rsidRPr="003134E7">
        <w:rPr>
          <w:iCs/>
          <w:color w:val="000000" w:themeColor="text1"/>
          <w:sz w:val="22"/>
          <w:szCs w:val="22"/>
        </w:rPr>
        <w:t>Funding is only applicable for Reception to Year 11 mainstream provision.</w:t>
      </w:r>
    </w:p>
    <w:p w:rsidR="003134E7" w:rsidRPr="003134E7" w:rsidRDefault="003134E7" w:rsidP="008D16B2">
      <w:pPr>
        <w:numPr>
          <w:ilvl w:val="0"/>
          <w:numId w:val="11"/>
        </w:numPr>
        <w:jc w:val="both"/>
        <w:rPr>
          <w:iCs/>
          <w:color w:val="000000" w:themeColor="text1"/>
          <w:sz w:val="22"/>
          <w:szCs w:val="22"/>
        </w:rPr>
      </w:pPr>
      <w:r w:rsidRPr="003134E7">
        <w:rPr>
          <w:iCs/>
          <w:color w:val="000000" w:themeColor="text1"/>
          <w:sz w:val="22"/>
          <w:szCs w:val="22"/>
        </w:rPr>
        <w:t>We would not expect split sites funding to apply to co-located or offsite behaviour centres.</w:t>
      </w:r>
    </w:p>
    <w:p w:rsidR="003134E7" w:rsidRPr="00BB51CB" w:rsidRDefault="003134E7" w:rsidP="003134E7">
      <w:pPr>
        <w:jc w:val="both"/>
        <w:rPr>
          <w:color w:val="FF0000"/>
          <w:sz w:val="22"/>
          <w:szCs w:val="22"/>
        </w:rPr>
      </w:pPr>
    </w:p>
    <w:p w:rsidR="003134E7" w:rsidRPr="003134E7" w:rsidRDefault="003134E7" w:rsidP="003134E7">
      <w:pPr>
        <w:jc w:val="both"/>
        <w:rPr>
          <w:color w:val="000000" w:themeColor="text1"/>
          <w:sz w:val="22"/>
          <w:szCs w:val="22"/>
        </w:rPr>
      </w:pPr>
      <w:r w:rsidRPr="008C3C9A">
        <w:rPr>
          <w:color w:val="000000" w:themeColor="text1"/>
          <w:sz w:val="22"/>
          <w:szCs w:val="22"/>
        </w:rPr>
        <w:t>3</w:t>
      </w:r>
      <w:r>
        <w:rPr>
          <w:color w:val="000000" w:themeColor="text1"/>
          <w:sz w:val="22"/>
          <w:szCs w:val="22"/>
        </w:rPr>
        <w:t>.10</w:t>
      </w:r>
      <w:r w:rsidRPr="008C3C9A">
        <w:rPr>
          <w:color w:val="000000" w:themeColor="text1"/>
          <w:sz w:val="22"/>
          <w:szCs w:val="22"/>
        </w:rPr>
        <w:t xml:space="preserve"> The factor in our secondary funding formula for Private Finance Initiative (PFI)</w:t>
      </w:r>
      <w:r w:rsidR="00440D16">
        <w:rPr>
          <w:color w:val="000000" w:themeColor="text1"/>
          <w:sz w:val="22"/>
          <w:szCs w:val="22"/>
        </w:rPr>
        <w:t xml:space="preserve"> / BSF</w:t>
      </w:r>
      <w:r w:rsidRPr="008C3C9A">
        <w:rPr>
          <w:color w:val="000000" w:themeColor="text1"/>
          <w:sz w:val="22"/>
          <w:szCs w:val="22"/>
        </w:rPr>
        <w:t xml:space="preserve"> contracts allocates the DSG’s contribution to the affordability gap of the Building Schools for the Future (BSF) programme for applicable schools / academies. The formula for splitting the total contribution between BSF sch</w:t>
      </w:r>
      <w:r>
        <w:rPr>
          <w:color w:val="000000" w:themeColor="text1"/>
          <w:sz w:val="22"/>
          <w:szCs w:val="22"/>
        </w:rPr>
        <w:t xml:space="preserve">ools / academies is as follows: </w:t>
      </w:r>
      <w:r w:rsidRPr="008C3C9A">
        <w:rPr>
          <w:i/>
          <w:iCs/>
          <w:color w:val="000000" w:themeColor="text1"/>
          <w:sz w:val="22"/>
          <w:szCs w:val="22"/>
        </w:rPr>
        <w:t>(Total affordability gap to be funded by the DSG / Total cost of school unitary charges) x Individual school’s unitary charge as a % of the total unitary charge</w:t>
      </w:r>
      <w:r>
        <w:rPr>
          <w:i/>
          <w:iCs/>
          <w:color w:val="000000" w:themeColor="text1"/>
          <w:sz w:val="22"/>
          <w:szCs w:val="22"/>
        </w:rPr>
        <w:t>.</w:t>
      </w:r>
    </w:p>
    <w:p w:rsidR="00872870" w:rsidRPr="00872870" w:rsidRDefault="00872870" w:rsidP="00872870">
      <w:pPr>
        <w:jc w:val="both"/>
        <w:rPr>
          <w:b/>
          <w:sz w:val="22"/>
          <w:szCs w:val="22"/>
        </w:rPr>
      </w:pPr>
    </w:p>
    <w:p w:rsidR="006C39F5" w:rsidRPr="00F37E6B" w:rsidRDefault="00440D16" w:rsidP="000F069A">
      <w:pPr>
        <w:jc w:val="both"/>
        <w:rPr>
          <w:sz w:val="22"/>
          <w:szCs w:val="22"/>
        </w:rPr>
      </w:pPr>
      <w:r>
        <w:rPr>
          <w:sz w:val="22"/>
          <w:szCs w:val="22"/>
        </w:rPr>
        <w:t>3.11</w:t>
      </w:r>
      <w:r w:rsidR="00D912F3" w:rsidRPr="00F37E6B">
        <w:rPr>
          <w:sz w:val="22"/>
          <w:szCs w:val="22"/>
        </w:rPr>
        <w:t xml:space="preserve"> For completeness of understanding, the following current aspects of the current formula funding framework remain in place in 2018/19:</w:t>
      </w:r>
    </w:p>
    <w:p w:rsidR="00D912F3" w:rsidRDefault="00D912F3" w:rsidP="000F069A">
      <w:pPr>
        <w:jc w:val="both"/>
        <w:rPr>
          <w:color w:val="FF0000"/>
          <w:sz w:val="22"/>
          <w:szCs w:val="22"/>
        </w:rPr>
      </w:pPr>
    </w:p>
    <w:p w:rsidR="00F37E6B" w:rsidRDefault="00F37E6B" w:rsidP="008D16B2">
      <w:pPr>
        <w:pStyle w:val="ListParagraph"/>
        <w:numPr>
          <w:ilvl w:val="0"/>
          <w:numId w:val="31"/>
        </w:numPr>
        <w:jc w:val="both"/>
        <w:rPr>
          <w:sz w:val="22"/>
          <w:szCs w:val="22"/>
        </w:rPr>
      </w:pPr>
      <w:r>
        <w:rPr>
          <w:sz w:val="22"/>
          <w:szCs w:val="22"/>
        </w:rPr>
        <w:t>DSG sourced formula funding allocations for primary (reception to year 6) and secondary (pre 16)</w:t>
      </w:r>
      <w:r w:rsidRPr="007F7AC2">
        <w:rPr>
          <w:sz w:val="22"/>
          <w:szCs w:val="22"/>
        </w:rPr>
        <w:t xml:space="preserve"> will be calculated on the October (2017) Census.</w:t>
      </w:r>
    </w:p>
    <w:p w:rsidR="00672AFD" w:rsidRDefault="00672AFD" w:rsidP="00672AFD">
      <w:pPr>
        <w:pStyle w:val="ListParagraph"/>
        <w:jc w:val="both"/>
        <w:rPr>
          <w:sz w:val="22"/>
          <w:szCs w:val="22"/>
        </w:rPr>
      </w:pPr>
    </w:p>
    <w:p w:rsidR="00672AFD" w:rsidRDefault="00672AFD" w:rsidP="008D16B2">
      <w:pPr>
        <w:pStyle w:val="ListParagraph"/>
        <w:numPr>
          <w:ilvl w:val="0"/>
          <w:numId w:val="31"/>
        </w:numPr>
        <w:jc w:val="both"/>
        <w:rPr>
          <w:sz w:val="22"/>
          <w:szCs w:val="22"/>
        </w:rPr>
      </w:pPr>
      <w:r w:rsidRPr="00DA22B7">
        <w:rPr>
          <w:sz w:val="22"/>
          <w:szCs w:val="22"/>
        </w:rPr>
        <w:t>Unlike formula funding, the Pupil Premium Grant is allocated on January Census pupil numbers.</w:t>
      </w:r>
    </w:p>
    <w:p w:rsidR="00F37E6B" w:rsidRPr="007F7AC2" w:rsidRDefault="00F37E6B" w:rsidP="00F37E6B">
      <w:pPr>
        <w:pStyle w:val="ListParagraph"/>
        <w:jc w:val="both"/>
        <w:rPr>
          <w:sz w:val="22"/>
          <w:szCs w:val="22"/>
        </w:rPr>
      </w:pPr>
    </w:p>
    <w:p w:rsidR="00F37E6B" w:rsidRDefault="00F37E6B" w:rsidP="008D16B2">
      <w:pPr>
        <w:pStyle w:val="ListParagraph"/>
        <w:numPr>
          <w:ilvl w:val="0"/>
          <w:numId w:val="31"/>
        </w:numPr>
        <w:jc w:val="both"/>
        <w:rPr>
          <w:sz w:val="22"/>
          <w:szCs w:val="22"/>
        </w:rPr>
      </w:pPr>
      <w:r w:rsidRPr="007F7AC2">
        <w:rPr>
          <w:sz w:val="22"/>
          <w:szCs w:val="22"/>
        </w:rPr>
        <w:t xml:space="preserve">Local authorities must allocate at least 80% of the delegated schools block funding through the pupil-led factors, which include the base amount per pupil, deprivation, prior attainment, English as an additional language, pupil mobility and looked after children factors. We allocated </w:t>
      </w:r>
      <w:r>
        <w:rPr>
          <w:sz w:val="22"/>
          <w:szCs w:val="22"/>
        </w:rPr>
        <w:t>88.90</w:t>
      </w:r>
      <w:r w:rsidRPr="007F7AC2">
        <w:rPr>
          <w:sz w:val="22"/>
          <w:szCs w:val="22"/>
        </w:rPr>
        <w:t>% of the delegated schools block funding via the pupil-led factors in 201</w:t>
      </w:r>
      <w:r>
        <w:rPr>
          <w:sz w:val="22"/>
          <w:szCs w:val="22"/>
        </w:rPr>
        <w:t>7/18</w:t>
      </w:r>
      <w:r w:rsidRPr="007F7AC2">
        <w:rPr>
          <w:sz w:val="22"/>
          <w:szCs w:val="22"/>
        </w:rPr>
        <w:t xml:space="preserve">, and the modelling included in this consultation indicates that we </w:t>
      </w:r>
      <w:r>
        <w:rPr>
          <w:sz w:val="22"/>
          <w:szCs w:val="22"/>
        </w:rPr>
        <w:t>continue at least at this % in 2018/19.</w:t>
      </w:r>
    </w:p>
    <w:p w:rsidR="00F37E6B" w:rsidRPr="007F7AC2" w:rsidRDefault="00F37E6B" w:rsidP="00F37E6B">
      <w:pPr>
        <w:pStyle w:val="ListParagraph"/>
        <w:jc w:val="both"/>
        <w:rPr>
          <w:sz w:val="22"/>
          <w:szCs w:val="22"/>
        </w:rPr>
      </w:pPr>
    </w:p>
    <w:p w:rsidR="00F37E6B" w:rsidRDefault="00F37E6B" w:rsidP="008D16B2">
      <w:pPr>
        <w:pStyle w:val="ListParagraph"/>
        <w:numPr>
          <w:ilvl w:val="0"/>
          <w:numId w:val="31"/>
        </w:numPr>
        <w:jc w:val="both"/>
        <w:rPr>
          <w:sz w:val="22"/>
          <w:szCs w:val="22"/>
        </w:rPr>
      </w:pPr>
      <w:r w:rsidRPr="004A5082">
        <w:rPr>
          <w:sz w:val="22"/>
          <w:szCs w:val="22"/>
        </w:rPr>
        <w:t>The Minimum Funding Guarantee (MFG) continues to be the only protection mechanism available for individual school and academy allocations.</w:t>
      </w:r>
    </w:p>
    <w:p w:rsidR="00F37E6B" w:rsidRPr="004A5082" w:rsidRDefault="00F37E6B" w:rsidP="00F37E6B">
      <w:pPr>
        <w:pStyle w:val="ListParagraph"/>
        <w:jc w:val="both"/>
        <w:rPr>
          <w:sz w:val="22"/>
          <w:szCs w:val="22"/>
        </w:rPr>
      </w:pPr>
    </w:p>
    <w:p w:rsidR="00F37E6B" w:rsidRDefault="00F37E6B" w:rsidP="008D16B2">
      <w:pPr>
        <w:pStyle w:val="ListParagraph"/>
        <w:numPr>
          <w:ilvl w:val="0"/>
          <w:numId w:val="31"/>
        </w:numPr>
        <w:jc w:val="both"/>
        <w:rPr>
          <w:sz w:val="22"/>
          <w:szCs w:val="22"/>
        </w:rPr>
      </w:pPr>
      <w:r w:rsidRPr="004A5082">
        <w:rPr>
          <w:sz w:val="22"/>
          <w:szCs w:val="22"/>
        </w:rPr>
        <w:t>The strict restrictions on centrally managed funds continue and no new central commitments are permitted without Secretary of State approval. This continues to ensure maximum delegation of the DSG to schools and academies at the start of the financial year.</w:t>
      </w:r>
    </w:p>
    <w:p w:rsidR="00672AFD" w:rsidRPr="004A5082" w:rsidRDefault="00672AFD" w:rsidP="00672AFD">
      <w:pPr>
        <w:pStyle w:val="ListParagraph"/>
        <w:jc w:val="both"/>
        <w:rPr>
          <w:sz w:val="22"/>
          <w:szCs w:val="22"/>
        </w:rPr>
      </w:pPr>
    </w:p>
    <w:p w:rsidR="00F37E6B" w:rsidRDefault="00F37E6B" w:rsidP="008D16B2">
      <w:pPr>
        <w:pStyle w:val="ListParagraph"/>
        <w:numPr>
          <w:ilvl w:val="0"/>
          <w:numId w:val="31"/>
        </w:numPr>
        <w:jc w:val="both"/>
        <w:rPr>
          <w:sz w:val="22"/>
          <w:szCs w:val="22"/>
        </w:rPr>
      </w:pPr>
      <w:r w:rsidRPr="004A5082">
        <w:rPr>
          <w:sz w:val="22"/>
          <w:szCs w:val="22"/>
        </w:rPr>
        <w:t>A small number of named ‘de-delegated’ funds are permitted for maintained schools. The decisions on the holding of ‘de-delegated’ funds will continue to be made by the Schools Forum annually on a phase by phase basis. Once these decisions are taken, they apply to all schools within ea</w:t>
      </w:r>
      <w:r w:rsidR="00672AFD">
        <w:rPr>
          <w:sz w:val="22"/>
          <w:szCs w:val="22"/>
        </w:rPr>
        <w:t xml:space="preserve">ch phase. </w:t>
      </w:r>
      <w:r w:rsidRPr="004A5082">
        <w:rPr>
          <w:sz w:val="22"/>
          <w:szCs w:val="22"/>
        </w:rPr>
        <w:t>De-delegation is not an option for academies and free schools, but where de-delegation has been agreed for maintained primary and secondary schools, the local authority may offer the service on a buy-back basis to academies and free schools.</w:t>
      </w:r>
    </w:p>
    <w:p w:rsidR="00672AFD" w:rsidRPr="004A5082" w:rsidRDefault="00672AFD" w:rsidP="00672AFD">
      <w:pPr>
        <w:pStyle w:val="ListParagraph"/>
        <w:jc w:val="both"/>
        <w:rPr>
          <w:sz w:val="22"/>
          <w:szCs w:val="22"/>
        </w:rPr>
      </w:pPr>
    </w:p>
    <w:p w:rsidR="00F37E6B" w:rsidRDefault="00F37E6B" w:rsidP="008D16B2">
      <w:pPr>
        <w:pStyle w:val="ListParagraph"/>
        <w:numPr>
          <w:ilvl w:val="0"/>
          <w:numId w:val="31"/>
        </w:numPr>
        <w:jc w:val="both"/>
        <w:rPr>
          <w:sz w:val="22"/>
          <w:szCs w:val="22"/>
        </w:rPr>
      </w:pPr>
      <w:r w:rsidRPr="00403787">
        <w:rPr>
          <w:sz w:val="22"/>
          <w:szCs w:val="22"/>
        </w:rPr>
        <w:t xml:space="preserve">A small number of named centrally managed funds are also still permitted, with these now being transferred into a newly established Central Schools Block. Funding for expanding schools and academies and bulge classes, as well as safeguarded salaries remaining from previous re-organisations, will continue to be funded </w:t>
      </w:r>
      <w:r>
        <w:rPr>
          <w:sz w:val="22"/>
          <w:szCs w:val="22"/>
        </w:rPr>
        <w:t xml:space="preserve">in year </w:t>
      </w:r>
      <w:r w:rsidRPr="00403787">
        <w:rPr>
          <w:sz w:val="22"/>
          <w:szCs w:val="22"/>
        </w:rPr>
        <w:t xml:space="preserve">as </w:t>
      </w:r>
      <w:r>
        <w:rPr>
          <w:sz w:val="22"/>
          <w:szCs w:val="22"/>
        </w:rPr>
        <w:t>“</w:t>
      </w:r>
      <w:r w:rsidRPr="00403787">
        <w:rPr>
          <w:sz w:val="22"/>
          <w:szCs w:val="22"/>
        </w:rPr>
        <w:t>contingency</w:t>
      </w:r>
      <w:r>
        <w:rPr>
          <w:sz w:val="22"/>
          <w:szCs w:val="22"/>
        </w:rPr>
        <w:t>”</w:t>
      </w:r>
      <w:r w:rsidRPr="00403787">
        <w:rPr>
          <w:sz w:val="22"/>
          <w:szCs w:val="22"/>
        </w:rPr>
        <w:t xml:space="preserve"> items.</w:t>
      </w:r>
    </w:p>
    <w:p w:rsidR="00672AFD" w:rsidRPr="00403787" w:rsidRDefault="00672AFD" w:rsidP="00672AFD">
      <w:pPr>
        <w:pStyle w:val="ListParagraph"/>
        <w:jc w:val="both"/>
        <w:rPr>
          <w:sz w:val="22"/>
          <w:szCs w:val="22"/>
        </w:rPr>
      </w:pPr>
    </w:p>
    <w:p w:rsidR="00F37E6B" w:rsidRDefault="00F37E6B" w:rsidP="008D16B2">
      <w:pPr>
        <w:pStyle w:val="ListParagraph"/>
        <w:numPr>
          <w:ilvl w:val="0"/>
          <w:numId w:val="31"/>
        </w:numPr>
        <w:jc w:val="both"/>
        <w:rPr>
          <w:sz w:val="22"/>
          <w:szCs w:val="22"/>
        </w:rPr>
      </w:pPr>
      <w:r w:rsidRPr="000250A7">
        <w:rPr>
          <w:sz w:val="22"/>
          <w:szCs w:val="22"/>
        </w:rPr>
        <w:t xml:space="preserve">The </w:t>
      </w:r>
      <w:r w:rsidR="00672AFD">
        <w:rPr>
          <w:sz w:val="22"/>
          <w:szCs w:val="22"/>
        </w:rPr>
        <w:t>existing</w:t>
      </w:r>
      <w:r w:rsidRPr="000250A7">
        <w:rPr>
          <w:sz w:val="22"/>
          <w:szCs w:val="22"/>
        </w:rPr>
        <w:t xml:space="preserve">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w:t>
      </w:r>
    </w:p>
    <w:p w:rsidR="00672AFD" w:rsidRPr="00672AFD" w:rsidRDefault="00672AFD" w:rsidP="00672AFD">
      <w:pPr>
        <w:jc w:val="both"/>
        <w:rPr>
          <w:sz w:val="22"/>
          <w:szCs w:val="22"/>
        </w:rPr>
      </w:pPr>
    </w:p>
    <w:p w:rsidR="00680884" w:rsidRPr="00D9470F" w:rsidRDefault="00F37E6B" w:rsidP="008D16B2">
      <w:pPr>
        <w:pStyle w:val="ListParagraph"/>
        <w:numPr>
          <w:ilvl w:val="0"/>
          <w:numId w:val="31"/>
        </w:numPr>
        <w:jc w:val="both"/>
        <w:rPr>
          <w:sz w:val="22"/>
          <w:szCs w:val="22"/>
        </w:rPr>
      </w:pPr>
      <w:r w:rsidRPr="008C3C9A">
        <w:rPr>
          <w:sz w:val="22"/>
          <w:szCs w:val="22"/>
        </w:rPr>
        <w:lastRenderedPageBreak/>
        <w:t>Allocations for academies and free schools will continue to be paid directly by the Education &amp; Skills Funding Agency (ESFA). The ESFA will use the pro-forma submitted by the Authority in January each year to calculate individual allocations.</w:t>
      </w:r>
    </w:p>
    <w:p w:rsidR="00680884" w:rsidRDefault="00680884" w:rsidP="000F069A">
      <w:pPr>
        <w:jc w:val="both"/>
        <w:rPr>
          <w:sz w:val="22"/>
          <w:szCs w:val="22"/>
        </w:rPr>
      </w:pPr>
    </w:p>
    <w:p w:rsidR="00680884" w:rsidRDefault="00680884" w:rsidP="000F069A">
      <w:pPr>
        <w:jc w:val="both"/>
        <w:rPr>
          <w:color w:val="FF0000"/>
          <w:sz w:val="22"/>
          <w:szCs w:val="22"/>
        </w:rPr>
      </w:pPr>
    </w:p>
    <w:p w:rsidR="00D912F3" w:rsidRPr="00D912F3" w:rsidRDefault="00D912F3" w:rsidP="00D912F3">
      <w:pPr>
        <w:jc w:val="both"/>
        <w:rPr>
          <w:b/>
          <w:bCs/>
          <w:color w:val="4F81BD" w:themeColor="accent1"/>
          <w:sz w:val="22"/>
          <w:szCs w:val="22"/>
        </w:rPr>
      </w:pPr>
      <w:r>
        <w:rPr>
          <w:b/>
          <w:bCs/>
          <w:color w:val="4F81BD" w:themeColor="accent1"/>
          <w:sz w:val="22"/>
          <w:szCs w:val="22"/>
        </w:rPr>
        <w:t>4</w:t>
      </w:r>
      <w:r w:rsidRPr="00D912F3">
        <w:rPr>
          <w:b/>
          <w:bCs/>
          <w:color w:val="4F81BD" w:themeColor="accent1"/>
          <w:sz w:val="22"/>
          <w:szCs w:val="22"/>
        </w:rPr>
        <w:t>.</w:t>
      </w:r>
      <w:r w:rsidRPr="00D912F3">
        <w:rPr>
          <w:b/>
          <w:bCs/>
          <w:color w:val="4F81BD" w:themeColor="accent1"/>
          <w:sz w:val="22"/>
          <w:szCs w:val="22"/>
        </w:rPr>
        <w:tab/>
      </w:r>
      <w:r>
        <w:rPr>
          <w:b/>
          <w:bCs/>
          <w:color w:val="4F81BD" w:themeColor="accent1"/>
          <w:sz w:val="22"/>
          <w:szCs w:val="22"/>
        </w:rPr>
        <w:t>The Case for moving to NFF</w:t>
      </w:r>
      <w:r w:rsidR="00491DD9">
        <w:rPr>
          <w:b/>
          <w:bCs/>
          <w:color w:val="4F81BD" w:themeColor="accent1"/>
          <w:sz w:val="22"/>
          <w:szCs w:val="22"/>
        </w:rPr>
        <w:t xml:space="preserve"> (decision 1)</w:t>
      </w:r>
      <w:r>
        <w:rPr>
          <w:b/>
          <w:bCs/>
          <w:color w:val="4F81BD" w:themeColor="accent1"/>
          <w:sz w:val="22"/>
          <w:szCs w:val="22"/>
        </w:rPr>
        <w:t xml:space="preserve"> and the rationale behind </w:t>
      </w:r>
      <w:r w:rsidR="009B40DF">
        <w:rPr>
          <w:b/>
          <w:bCs/>
          <w:color w:val="4F81BD" w:themeColor="accent1"/>
          <w:sz w:val="22"/>
          <w:szCs w:val="22"/>
        </w:rPr>
        <w:t xml:space="preserve">proposals for </w:t>
      </w:r>
      <w:r w:rsidR="00491DD9">
        <w:rPr>
          <w:b/>
          <w:bCs/>
          <w:color w:val="4F81BD" w:themeColor="accent1"/>
          <w:sz w:val="22"/>
          <w:szCs w:val="22"/>
        </w:rPr>
        <w:t>decisions 2, 3 and 4</w:t>
      </w:r>
    </w:p>
    <w:p w:rsidR="00A17BDE" w:rsidRDefault="00A17BDE" w:rsidP="00A17BDE">
      <w:pPr>
        <w:jc w:val="both"/>
        <w:rPr>
          <w:color w:val="FF0000"/>
          <w:sz w:val="22"/>
          <w:szCs w:val="22"/>
        </w:rPr>
      </w:pPr>
    </w:p>
    <w:p w:rsidR="00D912F3" w:rsidRPr="00122418" w:rsidRDefault="00D831B2" w:rsidP="008D16B2">
      <w:pPr>
        <w:pStyle w:val="ListParagraph"/>
        <w:numPr>
          <w:ilvl w:val="1"/>
          <w:numId w:val="32"/>
        </w:numPr>
        <w:jc w:val="both"/>
        <w:rPr>
          <w:sz w:val="22"/>
          <w:szCs w:val="22"/>
        </w:rPr>
      </w:pPr>
      <w:r>
        <w:rPr>
          <w:sz w:val="22"/>
          <w:szCs w:val="22"/>
        </w:rPr>
        <w:t>T</w:t>
      </w:r>
      <w:r w:rsidR="0055137B" w:rsidRPr="00122418">
        <w:rPr>
          <w:sz w:val="22"/>
          <w:szCs w:val="22"/>
        </w:rPr>
        <w:t>he case for moving to National Funding Formula at April 2018 can be summarised as follows:</w:t>
      </w:r>
    </w:p>
    <w:p w:rsidR="0055137B" w:rsidRDefault="0055137B" w:rsidP="00A17BDE">
      <w:pPr>
        <w:jc w:val="both"/>
        <w:rPr>
          <w:color w:val="FF0000"/>
          <w:sz w:val="22"/>
          <w:szCs w:val="22"/>
        </w:rPr>
      </w:pPr>
    </w:p>
    <w:p w:rsidR="00122418" w:rsidRDefault="00122418" w:rsidP="008D16B2">
      <w:pPr>
        <w:pStyle w:val="ListParagraph"/>
        <w:numPr>
          <w:ilvl w:val="0"/>
          <w:numId w:val="31"/>
        </w:numPr>
        <w:jc w:val="both"/>
        <w:rPr>
          <w:sz w:val="22"/>
          <w:szCs w:val="22"/>
        </w:rPr>
      </w:pPr>
      <w:r w:rsidRPr="00122418">
        <w:rPr>
          <w:sz w:val="22"/>
          <w:szCs w:val="22"/>
        </w:rPr>
        <w:t xml:space="preserve">The </w:t>
      </w:r>
      <w:proofErr w:type="spellStart"/>
      <w:r w:rsidRPr="00122418">
        <w:rPr>
          <w:sz w:val="22"/>
          <w:szCs w:val="22"/>
        </w:rPr>
        <w:t>DfE</w:t>
      </w:r>
      <w:proofErr w:type="spellEnd"/>
      <w:r w:rsidRPr="00122418">
        <w:rPr>
          <w:sz w:val="22"/>
          <w:szCs w:val="22"/>
        </w:rPr>
        <w:t xml:space="preserve"> has stated the expectation that authorities will move closer towards NFF over the next 2 years. The Financial Regulations have been adjusted for 2018/19 to </w:t>
      </w:r>
      <w:r w:rsidR="00F34E55">
        <w:rPr>
          <w:sz w:val="22"/>
          <w:szCs w:val="22"/>
        </w:rPr>
        <w:t xml:space="preserve">mostly </w:t>
      </w:r>
      <w:r w:rsidRPr="00122418">
        <w:rPr>
          <w:sz w:val="22"/>
          <w:szCs w:val="22"/>
        </w:rPr>
        <w:t xml:space="preserve">enable this. </w:t>
      </w:r>
      <w:r>
        <w:rPr>
          <w:sz w:val="22"/>
          <w:szCs w:val="22"/>
        </w:rPr>
        <w:t xml:space="preserve"> </w:t>
      </w:r>
      <w:r w:rsidRPr="00122418">
        <w:rPr>
          <w:sz w:val="22"/>
          <w:szCs w:val="22"/>
        </w:rPr>
        <w:t>It is likely to be much sim</w:t>
      </w:r>
      <w:r w:rsidR="008A4264">
        <w:rPr>
          <w:sz w:val="22"/>
          <w:szCs w:val="22"/>
        </w:rPr>
        <w:t>pler for schools to understand and</w:t>
      </w:r>
      <w:r w:rsidRPr="00122418">
        <w:rPr>
          <w:sz w:val="22"/>
          <w:szCs w:val="22"/>
        </w:rPr>
        <w:t xml:space="preserve"> </w:t>
      </w:r>
      <w:r>
        <w:rPr>
          <w:sz w:val="22"/>
          <w:szCs w:val="22"/>
        </w:rPr>
        <w:t>predict a</w:t>
      </w:r>
      <w:r w:rsidR="008A4264">
        <w:rPr>
          <w:sz w:val="22"/>
          <w:szCs w:val="22"/>
        </w:rPr>
        <w:t xml:space="preserve"> full</w:t>
      </w:r>
      <w:r w:rsidRPr="00122418">
        <w:rPr>
          <w:sz w:val="22"/>
          <w:szCs w:val="22"/>
        </w:rPr>
        <w:t xml:space="preserve"> implementation in 1 year vs. a </w:t>
      </w:r>
      <w:r w:rsidR="00D831B2">
        <w:rPr>
          <w:sz w:val="22"/>
          <w:szCs w:val="22"/>
        </w:rPr>
        <w:t xml:space="preserve">hybrid </w:t>
      </w:r>
      <w:r w:rsidRPr="00122418">
        <w:rPr>
          <w:sz w:val="22"/>
          <w:szCs w:val="22"/>
        </w:rPr>
        <w:t>im</w:t>
      </w:r>
      <w:r w:rsidR="008A4264">
        <w:rPr>
          <w:sz w:val="22"/>
          <w:szCs w:val="22"/>
        </w:rPr>
        <w:t>plementation, where factors</w:t>
      </w:r>
      <w:r w:rsidRPr="00122418">
        <w:rPr>
          <w:sz w:val="22"/>
          <w:szCs w:val="22"/>
        </w:rPr>
        <w:t xml:space="preserve"> continue to move after 2018/19. Notwithstanding that the </w:t>
      </w:r>
      <w:proofErr w:type="spellStart"/>
      <w:r w:rsidRPr="00122418">
        <w:rPr>
          <w:sz w:val="22"/>
          <w:szCs w:val="22"/>
        </w:rPr>
        <w:t>DfE</w:t>
      </w:r>
      <w:proofErr w:type="spellEnd"/>
      <w:r w:rsidRPr="00122418">
        <w:rPr>
          <w:sz w:val="22"/>
          <w:szCs w:val="22"/>
        </w:rPr>
        <w:t xml:space="preserve"> may review its own NFF before full implementation at April 2020.</w:t>
      </w:r>
      <w:r w:rsidR="00CF0BC8">
        <w:rPr>
          <w:sz w:val="22"/>
          <w:szCs w:val="22"/>
        </w:rPr>
        <w:t xml:space="preserve"> </w:t>
      </w:r>
      <w:r w:rsidR="004318F7">
        <w:rPr>
          <w:sz w:val="22"/>
          <w:szCs w:val="22"/>
        </w:rPr>
        <w:t>E</w:t>
      </w:r>
      <w:r w:rsidR="00CF0BC8">
        <w:rPr>
          <w:sz w:val="22"/>
          <w:szCs w:val="22"/>
        </w:rPr>
        <w:t>nabling schools to be clearer about their income in future years will help their budget planning.</w:t>
      </w:r>
    </w:p>
    <w:p w:rsidR="00122418" w:rsidRDefault="00122418" w:rsidP="004769FD">
      <w:pPr>
        <w:pStyle w:val="ListParagraph"/>
        <w:jc w:val="both"/>
        <w:rPr>
          <w:sz w:val="22"/>
          <w:szCs w:val="22"/>
        </w:rPr>
      </w:pPr>
    </w:p>
    <w:p w:rsidR="00122418" w:rsidRDefault="00122418" w:rsidP="008D16B2">
      <w:pPr>
        <w:pStyle w:val="ListParagraph"/>
        <w:numPr>
          <w:ilvl w:val="0"/>
          <w:numId w:val="31"/>
        </w:numPr>
        <w:jc w:val="both"/>
        <w:rPr>
          <w:sz w:val="22"/>
          <w:szCs w:val="22"/>
        </w:rPr>
      </w:pPr>
      <w:r>
        <w:rPr>
          <w:sz w:val="22"/>
          <w:szCs w:val="22"/>
        </w:rPr>
        <w:t>Since December 2016, the Authority has been talking to</w:t>
      </w:r>
      <w:r w:rsidRPr="00122418">
        <w:rPr>
          <w:sz w:val="22"/>
          <w:szCs w:val="22"/>
        </w:rPr>
        <w:t xml:space="preserve"> schools on the basis tha</w:t>
      </w:r>
      <w:r w:rsidR="00F34E55">
        <w:rPr>
          <w:sz w:val="22"/>
          <w:szCs w:val="22"/>
        </w:rPr>
        <w:t xml:space="preserve">t </w:t>
      </w:r>
      <w:r w:rsidR="00705619">
        <w:rPr>
          <w:sz w:val="22"/>
          <w:szCs w:val="22"/>
        </w:rPr>
        <w:t>NFF</w:t>
      </w:r>
      <w:r w:rsidR="00F34E55">
        <w:rPr>
          <w:sz w:val="22"/>
          <w:szCs w:val="22"/>
        </w:rPr>
        <w:t xml:space="preserve"> although in its hard form</w:t>
      </w:r>
      <w:r w:rsidRPr="00122418">
        <w:rPr>
          <w:sz w:val="22"/>
          <w:szCs w:val="22"/>
        </w:rPr>
        <w:t xml:space="preserve"> will not come in un</w:t>
      </w:r>
      <w:r w:rsidR="00705619">
        <w:rPr>
          <w:sz w:val="22"/>
          <w:szCs w:val="22"/>
        </w:rPr>
        <w:t>til April 2019 (now April 2020)</w:t>
      </w:r>
      <w:r w:rsidRPr="00122418">
        <w:rPr>
          <w:sz w:val="22"/>
          <w:szCs w:val="22"/>
        </w:rPr>
        <w:t xml:space="preserve"> will come in for Bradford at April 2018 due to the fact that we </w:t>
      </w:r>
      <w:r>
        <w:rPr>
          <w:sz w:val="22"/>
          <w:szCs w:val="22"/>
        </w:rPr>
        <w:t xml:space="preserve">are a </w:t>
      </w:r>
      <w:r w:rsidRPr="00122418">
        <w:rPr>
          <w:sz w:val="22"/>
          <w:szCs w:val="22"/>
        </w:rPr>
        <w:t>lose</w:t>
      </w:r>
      <w:r>
        <w:rPr>
          <w:sz w:val="22"/>
          <w:szCs w:val="22"/>
        </w:rPr>
        <w:t>r</w:t>
      </w:r>
      <w:r w:rsidRPr="00122418">
        <w:rPr>
          <w:sz w:val="22"/>
          <w:szCs w:val="22"/>
        </w:rPr>
        <w:t>. The Authority has provided forecasts for schools (including within the HCSS Budget Software) and academies for 2018/1</w:t>
      </w:r>
      <w:r>
        <w:rPr>
          <w:sz w:val="22"/>
          <w:szCs w:val="22"/>
        </w:rPr>
        <w:t xml:space="preserve">9 onwards on the basis that NFF </w:t>
      </w:r>
      <w:r w:rsidRPr="00122418">
        <w:rPr>
          <w:sz w:val="22"/>
          <w:szCs w:val="22"/>
        </w:rPr>
        <w:t>will be used to calculate individual budget shares</w:t>
      </w:r>
      <w:r>
        <w:rPr>
          <w:sz w:val="22"/>
          <w:szCs w:val="22"/>
        </w:rPr>
        <w:t>. S</w:t>
      </w:r>
      <w:r w:rsidRPr="00122418">
        <w:rPr>
          <w:sz w:val="22"/>
          <w:szCs w:val="22"/>
        </w:rPr>
        <w:t xml:space="preserve">chools have planned already on this basis. </w:t>
      </w:r>
    </w:p>
    <w:p w:rsidR="00122418" w:rsidRDefault="00122418" w:rsidP="004769FD">
      <w:pPr>
        <w:pStyle w:val="ListParagraph"/>
        <w:jc w:val="both"/>
        <w:rPr>
          <w:sz w:val="22"/>
          <w:szCs w:val="22"/>
        </w:rPr>
      </w:pPr>
    </w:p>
    <w:p w:rsidR="00122418" w:rsidRDefault="00122418" w:rsidP="008D16B2">
      <w:pPr>
        <w:pStyle w:val="ListParagraph"/>
        <w:numPr>
          <w:ilvl w:val="0"/>
          <w:numId w:val="31"/>
        </w:numPr>
        <w:jc w:val="both"/>
        <w:rPr>
          <w:sz w:val="22"/>
          <w:szCs w:val="22"/>
        </w:rPr>
      </w:pPr>
      <w:r w:rsidRPr="00122418">
        <w:rPr>
          <w:sz w:val="22"/>
          <w:szCs w:val="22"/>
        </w:rPr>
        <w:t>The final NFF is very similar to what</w:t>
      </w:r>
      <w:r>
        <w:rPr>
          <w:sz w:val="22"/>
          <w:szCs w:val="22"/>
        </w:rPr>
        <w:t xml:space="preserve"> was proposed in December 2016 so this means that our initial forecasting has given a good sight of the </w:t>
      </w:r>
      <w:r w:rsidR="00F34E55">
        <w:rPr>
          <w:sz w:val="22"/>
          <w:szCs w:val="22"/>
        </w:rPr>
        <w:t>impact.</w:t>
      </w:r>
    </w:p>
    <w:p w:rsidR="00122418" w:rsidRDefault="00122418" w:rsidP="004769FD">
      <w:pPr>
        <w:pStyle w:val="ListParagraph"/>
        <w:jc w:val="both"/>
        <w:rPr>
          <w:sz w:val="22"/>
          <w:szCs w:val="22"/>
        </w:rPr>
      </w:pPr>
    </w:p>
    <w:p w:rsidR="00F34E55" w:rsidRDefault="00F34E55" w:rsidP="008D16B2">
      <w:pPr>
        <w:pStyle w:val="ListParagraph"/>
        <w:numPr>
          <w:ilvl w:val="0"/>
          <w:numId w:val="31"/>
        </w:numPr>
        <w:jc w:val="both"/>
        <w:rPr>
          <w:sz w:val="22"/>
          <w:szCs w:val="22"/>
        </w:rPr>
      </w:pPr>
      <w:r>
        <w:rPr>
          <w:sz w:val="22"/>
          <w:szCs w:val="22"/>
        </w:rPr>
        <w:t xml:space="preserve">The </w:t>
      </w:r>
      <w:proofErr w:type="spellStart"/>
      <w:r>
        <w:rPr>
          <w:sz w:val="22"/>
          <w:szCs w:val="22"/>
        </w:rPr>
        <w:t>DfE</w:t>
      </w:r>
      <w:proofErr w:type="spellEnd"/>
      <w:r>
        <w:rPr>
          <w:sz w:val="22"/>
          <w:szCs w:val="22"/>
        </w:rPr>
        <w:t xml:space="preserve"> is allocating more money into our Schools Block. </w:t>
      </w:r>
      <w:r w:rsidR="00D831B2" w:rsidRPr="00D831B2">
        <w:rPr>
          <w:sz w:val="22"/>
          <w:szCs w:val="22"/>
        </w:rPr>
        <w:t>We need a way of allocating</w:t>
      </w:r>
      <w:r>
        <w:rPr>
          <w:sz w:val="22"/>
          <w:szCs w:val="22"/>
        </w:rPr>
        <w:t xml:space="preserve"> this is</w:t>
      </w:r>
      <w:r w:rsidR="00D831B2" w:rsidRPr="00D831B2">
        <w:rPr>
          <w:sz w:val="22"/>
          <w:szCs w:val="22"/>
        </w:rPr>
        <w:t xml:space="preserve"> in 2018/19 and 2019/20</w:t>
      </w:r>
      <w:r>
        <w:rPr>
          <w:sz w:val="22"/>
          <w:szCs w:val="22"/>
        </w:rPr>
        <w:t>. Much of this additional money</w:t>
      </w:r>
      <w:r w:rsidR="00D831B2" w:rsidRPr="00D831B2">
        <w:rPr>
          <w:sz w:val="22"/>
          <w:szCs w:val="22"/>
        </w:rPr>
        <w:t xml:space="preserve"> comes from the DfE’s implementation of the NFF at DSG level</w:t>
      </w:r>
      <w:r w:rsidR="00D831B2">
        <w:rPr>
          <w:sz w:val="22"/>
          <w:szCs w:val="22"/>
        </w:rPr>
        <w:t xml:space="preserve">. It </w:t>
      </w:r>
      <w:r>
        <w:rPr>
          <w:sz w:val="22"/>
          <w:szCs w:val="22"/>
        </w:rPr>
        <w:t>feels</w:t>
      </w:r>
      <w:r w:rsidR="00D831B2" w:rsidRPr="00D831B2">
        <w:rPr>
          <w:sz w:val="22"/>
          <w:szCs w:val="22"/>
        </w:rPr>
        <w:t xml:space="preserve"> logical</w:t>
      </w:r>
      <w:r w:rsidR="00CB2530">
        <w:rPr>
          <w:sz w:val="22"/>
          <w:szCs w:val="22"/>
        </w:rPr>
        <w:t xml:space="preserve"> therefore</w:t>
      </w:r>
      <w:r w:rsidR="0075514E">
        <w:rPr>
          <w:sz w:val="22"/>
          <w:szCs w:val="22"/>
        </w:rPr>
        <w:t xml:space="preserve">, </w:t>
      </w:r>
      <w:r w:rsidR="0075514E" w:rsidRPr="00D831B2">
        <w:rPr>
          <w:sz w:val="22"/>
          <w:szCs w:val="22"/>
        </w:rPr>
        <w:t>to</w:t>
      </w:r>
      <w:r w:rsidR="00D831B2" w:rsidRPr="00D831B2">
        <w:rPr>
          <w:sz w:val="22"/>
          <w:szCs w:val="22"/>
        </w:rPr>
        <w:t xml:space="preserve"> ‘pass this on’</w:t>
      </w:r>
      <w:r w:rsidR="00D831B2">
        <w:rPr>
          <w:sz w:val="22"/>
          <w:szCs w:val="22"/>
        </w:rPr>
        <w:t xml:space="preserve"> rather than seeking to find a</w:t>
      </w:r>
      <w:r>
        <w:rPr>
          <w:sz w:val="22"/>
          <w:szCs w:val="22"/>
        </w:rPr>
        <w:t xml:space="preserve"> way of allocating this money</w:t>
      </w:r>
      <w:r w:rsidR="00D831B2">
        <w:rPr>
          <w:sz w:val="22"/>
          <w:szCs w:val="22"/>
        </w:rPr>
        <w:t xml:space="preserve"> via our current formula or a hybrid approach</w:t>
      </w:r>
      <w:r w:rsidR="00D831B2" w:rsidRPr="00D831B2">
        <w:rPr>
          <w:sz w:val="22"/>
          <w:szCs w:val="22"/>
        </w:rPr>
        <w:t xml:space="preserve">. </w:t>
      </w:r>
      <w:r>
        <w:rPr>
          <w:sz w:val="22"/>
          <w:szCs w:val="22"/>
        </w:rPr>
        <w:t xml:space="preserve">In addition, </w:t>
      </w:r>
      <w:r w:rsidRPr="00F34E55">
        <w:rPr>
          <w:sz w:val="22"/>
          <w:szCs w:val="22"/>
        </w:rPr>
        <w:t>a</w:t>
      </w:r>
      <w:r w:rsidR="00D831B2" w:rsidRPr="00F34E55">
        <w:rPr>
          <w:sz w:val="22"/>
          <w:szCs w:val="22"/>
        </w:rPr>
        <w:t xml:space="preserve"> number of schools</w:t>
      </w:r>
      <w:r w:rsidR="00705619">
        <w:rPr>
          <w:sz w:val="22"/>
          <w:szCs w:val="22"/>
        </w:rPr>
        <w:t xml:space="preserve"> </w:t>
      </w:r>
      <w:r w:rsidR="00D831B2" w:rsidRPr="00F34E55">
        <w:rPr>
          <w:sz w:val="22"/>
          <w:szCs w:val="22"/>
        </w:rPr>
        <w:t>gain from the NFF</w:t>
      </w:r>
      <w:r w:rsidR="00705619">
        <w:rPr>
          <w:sz w:val="22"/>
          <w:szCs w:val="22"/>
        </w:rPr>
        <w:t>, including 2/3rds of the secondary sector</w:t>
      </w:r>
      <w:r>
        <w:rPr>
          <w:sz w:val="22"/>
          <w:szCs w:val="22"/>
        </w:rPr>
        <w:t>. I</w:t>
      </w:r>
      <w:r w:rsidR="00D831B2" w:rsidRPr="00F34E55">
        <w:rPr>
          <w:sz w:val="22"/>
          <w:szCs w:val="22"/>
        </w:rPr>
        <w:t xml:space="preserve">f we did not implement NFF at April 2018, the settlements for these </w:t>
      </w:r>
      <w:r w:rsidR="005372C9">
        <w:rPr>
          <w:sz w:val="22"/>
          <w:szCs w:val="22"/>
        </w:rPr>
        <w:t>schools may</w:t>
      </w:r>
      <w:r w:rsidR="00D831B2" w:rsidRPr="00F34E55">
        <w:rPr>
          <w:sz w:val="22"/>
          <w:szCs w:val="22"/>
        </w:rPr>
        <w:t xml:space="preserve"> be lower (some significantly) than the forecasts</w:t>
      </w:r>
      <w:r>
        <w:rPr>
          <w:sz w:val="22"/>
          <w:szCs w:val="22"/>
        </w:rPr>
        <w:t xml:space="preserve"> we have</w:t>
      </w:r>
      <w:r w:rsidR="00D831B2" w:rsidRPr="00F34E55">
        <w:rPr>
          <w:sz w:val="22"/>
          <w:szCs w:val="22"/>
        </w:rPr>
        <w:t xml:space="preserve"> previously published. The </w:t>
      </w:r>
      <w:proofErr w:type="spellStart"/>
      <w:r w:rsidR="00D831B2" w:rsidRPr="00F34E55">
        <w:rPr>
          <w:sz w:val="22"/>
          <w:szCs w:val="22"/>
        </w:rPr>
        <w:t>DfE</w:t>
      </w:r>
      <w:proofErr w:type="spellEnd"/>
      <w:r w:rsidR="00D831B2" w:rsidRPr="00F34E55">
        <w:rPr>
          <w:sz w:val="22"/>
          <w:szCs w:val="22"/>
        </w:rPr>
        <w:t xml:space="preserve"> has </w:t>
      </w:r>
      <w:r>
        <w:rPr>
          <w:sz w:val="22"/>
          <w:szCs w:val="22"/>
        </w:rPr>
        <w:t xml:space="preserve">also </w:t>
      </w:r>
      <w:r w:rsidR="00D831B2" w:rsidRPr="00F34E55">
        <w:rPr>
          <w:sz w:val="22"/>
          <w:szCs w:val="22"/>
        </w:rPr>
        <w:t>published notional allocations for schools under NFF for 2018/19 and has said that authorities have been given the funding to implement these up to a 3% ceiling. Therefore, schools will be able to challenge where NFF would allocate additional monies but where this is not being passed on. In such tight financial times, we would</w:t>
      </w:r>
      <w:r>
        <w:rPr>
          <w:sz w:val="22"/>
          <w:szCs w:val="22"/>
        </w:rPr>
        <w:t xml:space="preserve"> expect schools to challenge where this </w:t>
      </w:r>
      <w:r w:rsidR="00705619">
        <w:rPr>
          <w:sz w:val="22"/>
          <w:szCs w:val="22"/>
        </w:rPr>
        <w:t>has happened</w:t>
      </w:r>
      <w:r>
        <w:rPr>
          <w:sz w:val="22"/>
          <w:szCs w:val="22"/>
        </w:rPr>
        <w:t>.</w:t>
      </w:r>
      <w:r w:rsidR="00D831B2" w:rsidRPr="00F34E55">
        <w:rPr>
          <w:sz w:val="22"/>
          <w:szCs w:val="22"/>
        </w:rPr>
        <w:t xml:space="preserve"> The Authority therefore, would need to have a strong rationale for not </w:t>
      </w:r>
      <w:r w:rsidR="005372C9">
        <w:rPr>
          <w:sz w:val="22"/>
          <w:szCs w:val="22"/>
        </w:rPr>
        <w:t xml:space="preserve">quickly </w:t>
      </w:r>
      <w:r w:rsidR="00D831B2" w:rsidRPr="00F34E55">
        <w:rPr>
          <w:sz w:val="22"/>
          <w:szCs w:val="22"/>
        </w:rPr>
        <w:t xml:space="preserve">moving to NFF </w:t>
      </w:r>
      <w:r>
        <w:rPr>
          <w:sz w:val="22"/>
          <w:szCs w:val="22"/>
        </w:rPr>
        <w:t>i.e. the R</w:t>
      </w:r>
      <w:r w:rsidR="00D831B2" w:rsidRPr="00F34E55">
        <w:rPr>
          <w:sz w:val="22"/>
          <w:szCs w:val="22"/>
        </w:rPr>
        <w:t xml:space="preserve">egulations do not enable this, to do so would mean significant losses for some schools, we would be implementing change at very short notice. </w:t>
      </w:r>
      <w:r w:rsidR="00705619">
        <w:rPr>
          <w:sz w:val="22"/>
          <w:szCs w:val="22"/>
        </w:rPr>
        <w:t>Our assessment is</w:t>
      </w:r>
      <w:r w:rsidR="00D831B2" w:rsidRPr="00F34E55">
        <w:rPr>
          <w:sz w:val="22"/>
          <w:szCs w:val="22"/>
        </w:rPr>
        <w:t xml:space="preserve"> that none of these factors are in play</w:t>
      </w:r>
      <w:r>
        <w:rPr>
          <w:sz w:val="22"/>
          <w:szCs w:val="22"/>
        </w:rPr>
        <w:t>. However, as explained, a caveat must currently be given about how the move to NFF must operate within the constraints of affordability</w:t>
      </w:r>
      <w:r w:rsidR="00705619">
        <w:rPr>
          <w:sz w:val="22"/>
          <w:szCs w:val="22"/>
        </w:rPr>
        <w:t xml:space="preserve"> and this may require some scaling back of full implementation.</w:t>
      </w:r>
    </w:p>
    <w:p w:rsidR="00F34E55" w:rsidRDefault="00F34E55" w:rsidP="004769FD">
      <w:pPr>
        <w:pStyle w:val="ListParagraph"/>
        <w:jc w:val="both"/>
        <w:rPr>
          <w:sz w:val="22"/>
          <w:szCs w:val="22"/>
        </w:rPr>
      </w:pPr>
    </w:p>
    <w:p w:rsidR="00375DF9" w:rsidRDefault="00F34E55" w:rsidP="008D16B2">
      <w:pPr>
        <w:pStyle w:val="ListParagraph"/>
        <w:numPr>
          <w:ilvl w:val="0"/>
          <w:numId w:val="31"/>
        </w:numPr>
        <w:jc w:val="both"/>
        <w:rPr>
          <w:sz w:val="22"/>
          <w:szCs w:val="22"/>
        </w:rPr>
      </w:pPr>
      <w:r w:rsidRPr="00F34E55">
        <w:rPr>
          <w:sz w:val="22"/>
          <w:szCs w:val="22"/>
        </w:rPr>
        <w:t xml:space="preserve">The NFF significantly focuses additional funding on SEND low prior attainment. Given the pressure that sits within SEND provision, enabling school budgets </w:t>
      </w:r>
      <w:r w:rsidR="00705619">
        <w:rPr>
          <w:sz w:val="22"/>
          <w:szCs w:val="22"/>
        </w:rPr>
        <w:t xml:space="preserve">to find these increases </w:t>
      </w:r>
      <w:r w:rsidRPr="00F34E55">
        <w:rPr>
          <w:sz w:val="22"/>
          <w:szCs w:val="22"/>
        </w:rPr>
        <w:t>will likely be welcomed by schools.</w:t>
      </w:r>
    </w:p>
    <w:p w:rsidR="00375DF9" w:rsidRDefault="00375DF9" w:rsidP="004769FD">
      <w:pPr>
        <w:pStyle w:val="ListParagraph"/>
        <w:jc w:val="both"/>
        <w:rPr>
          <w:sz w:val="22"/>
          <w:szCs w:val="22"/>
        </w:rPr>
      </w:pPr>
    </w:p>
    <w:p w:rsidR="00375DF9" w:rsidRPr="00375DF9" w:rsidRDefault="00375DF9" w:rsidP="008D16B2">
      <w:pPr>
        <w:pStyle w:val="ListParagraph"/>
        <w:numPr>
          <w:ilvl w:val="0"/>
          <w:numId w:val="31"/>
        </w:numPr>
        <w:jc w:val="both"/>
        <w:rPr>
          <w:sz w:val="22"/>
          <w:szCs w:val="22"/>
        </w:rPr>
      </w:pPr>
      <w:r w:rsidRPr="00375DF9">
        <w:rPr>
          <w:sz w:val="22"/>
          <w:szCs w:val="22"/>
        </w:rPr>
        <w:t>Because most primary schools</w:t>
      </w:r>
      <w:r>
        <w:rPr>
          <w:sz w:val="22"/>
          <w:szCs w:val="22"/>
        </w:rPr>
        <w:t xml:space="preserve"> and academies</w:t>
      </w:r>
      <w:r w:rsidRPr="00375DF9">
        <w:rPr>
          <w:sz w:val="22"/>
          <w:szCs w:val="22"/>
        </w:rPr>
        <w:t xml:space="preserve"> are already on the MFG in this current year, and NFF will reduce their allocations</w:t>
      </w:r>
      <w:r w:rsidR="005372C9">
        <w:rPr>
          <w:sz w:val="22"/>
          <w:szCs w:val="22"/>
        </w:rPr>
        <w:t xml:space="preserve"> (mostly because of the £65,000 reduction in the value of the lump sum)</w:t>
      </w:r>
      <w:r>
        <w:rPr>
          <w:sz w:val="22"/>
          <w:szCs w:val="22"/>
        </w:rPr>
        <w:t xml:space="preserve">, most </w:t>
      </w:r>
      <w:r w:rsidRPr="00375DF9">
        <w:rPr>
          <w:sz w:val="22"/>
          <w:szCs w:val="22"/>
        </w:rPr>
        <w:t>will be on the MFG in 2018/19</w:t>
      </w:r>
      <w:r w:rsidR="005372C9">
        <w:rPr>
          <w:sz w:val="22"/>
          <w:szCs w:val="22"/>
        </w:rPr>
        <w:t>, but</w:t>
      </w:r>
      <w:r w:rsidRPr="00375DF9">
        <w:rPr>
          <w:sz w:val="22"/>
          <w:szCs w:val="22"/>
        </w:rPr>
        <w:t xml:space="preserve"> irrespective of the formula we use. However, there are pockets of gainers</w:t>
      </w:r>
      <w:r w:rsidR="005372C9">
        <w:rPr>
          <w:sz w:val="22"/>
          <w:szCs w:val="22"/>
        </w:rPr>
        <w:t xml:space="preserve"> in the primary sector</w:t>
      </w:r>
      <w:r w:rsidRPr="00375DF9">
        <w:rPr>
          <w:sz w:val="22"/>
          <w:szCs w:val="22"/>
        </w:rPr>
        <w:t xml:space="preserve"> and these gains would not be passed on unless we implemented NFF</w:t>
      </w:r>
      <w:r>
        <w:rPr>
          <w:sz w:val="22"/>
          <w:szCs w:val="22"/>
        </w:rPr>
        <w:t xml:space="preserve">. </w:t>
      </w:r>
      <w:r w:rsidRPr="00375DF9">
        <w:rPr>
          <w:sz w:val="22"/>
          <w:szCs w:val="22"/>
        </w:rPr>
        <w:t>For reference, the indicative MFG and Ceiling positions are summarised below:</w:t>
      </w:r>
    </w:p>
    <w:p w:rsidR="00375DF9" w:rsidRPr="00D020B7" w:rsidRDefault="00375DF9" w:rsidP="00375DF9">
      <w:pPr>
        <w:jc w:val="both"/>
      </w:pPr>
    </w:p>
    <w:tbl>
      <w:tblPr>
        <w:tblStyle w:val="TableGrid"/>
        <w:tblW w:w="0" w:type="auto"/>
        <w:tblInd w:w="360" w:type="dxa"/>
        <w:tblLook w:val="04A0" w:firstRow="1" w:lastRow="0" w:firstColumn="1" w:lastColumn="0" w:noHBand="0" w:noVBand="1"/>
      </w:tblPr>
      <w:tblGrid>
        <w:gridCol w:w="6836"/>
        <w:gridCol w:w="1701"/>
        <w:gridCol w:w="1785"/>
      </w:tblGrid>
      <w:tr w:rsidR="00375DF9" w:rsidTr="00440E63">
        <w:tc>
          <w:tcPr>
            <w:tcW w:w="6836" w:type="dxa"/>
          </w:tcPr>
          <w:p w:rsidR="00375DF9" w:rsidRPr="006E3B08" w:rsidRDefault="00375DF9" w:rsidP="00440E63">
            <w:pPr>
              <w:pStyle w:val="ListParagraph"/>
              <w:ind w:left="0"/>
              <w:jc w:val="both"/>
            </w:pPr>
          </w:p>
        </w:tc>
        <w:tc>
          <w:tcPr>
            <w:tcW w:w="1701" w:type="dxa"/>
          </w:tcPr>
          <w:p w:rsidR="00375DF9" w:rsidRPr="006E3B08" w:rsidRDefault="00375DF9" w:rsidP="00440E63">
            <w:pPr>
              <w:pStyle w:val="ListParagraph"/>
              <w:ind w:left="0"/>
              <w:jc w:val="right"/>
              <w:rPr>
                <w:b/>
              </w:rPr>
            </w:pPr>
            <w:r w:rsidRPr="006E3B08">
              <w:rPr>
                <w:b/>
              </w:rPr>
              <w:t>Primary (156)</w:t>
            </w:r>
          </w:p>
        </w:tc>
        <w:tc>
          <w:tcPr>
            <w:tcW w:w="1785" w:type="dxa"/>
          </w:tcPr>
          <w:p w:rsidR="00375DF9" w:rsidRPr="006E3B08" w:rsidRDefault="00375DF9" w:rsidP="00440E63">
            <w:pPr>
              <w:pStyle w:val="ListParagraph"/>
              <w:ind w:left="0"/>
              <w:jc w:val="right"/>
              <w:rPr>
                <w:b/>
              </w:rPr>
            </w:pPr>
            <w:r w:rsidRPr="006E3B08">
              <w:rPr>
                <w:b/>
              </w:rPr>
              <w:t>Secondary (33)</w:t>
            </w:r>
          </w:p>
        </w:tc>
      </w:tr>
      <w:tr w:rsidR="00375DF9" w:rsidTr="00440E63">
        <w:tc>
          <w:tcPr>
            <w:tcW w:w="6836" w:type="dxa"/>
          </w:tcPr>
          <w:p w:rsidR="00375DF9" w:rsidRPr="006E3B08" w:rsidRDefault="0075514E" w:rsidP="00440E63">
            <w:pPr>
              <w:pStyle w:val="ListParagraph"/>
              <w:ind w:left="0"/>
              <w:jc w:val="both"/>
            </w:pPr>
            <w:r>
              <w:t>U</w:t>
            </w:r>
            <w:r w:rsidR="00375DF9">
              <w:t xml:space="preserve">nder </w:t>
            </w:r>
            <w:r w:rsidR="00375DF9" w:rsidRPr="006E3B08">
              <w:t>Current Formula - No. on MFG (at 0%)</w:t>
            </w:r>
          </w:p>
        </w:tc>
        <w:tc>
          <w:tcPr>
            <w:tcW w:w="1701" w:type="dxa"/>
          </w:tcPr>
          <w:p w:rsidR="00375DF9" w:rsidRPr="006E3B08" w:rsidRDefault="00375DF9" w:rsidP="00440E63">
            <w:pPr>
              <w:pStyle w:val="ListParagraph"/>
              <w:ind w:left="0"/>
              <w:jc w:val="right"/>
            </w:pPr>
            <w:r w:rsidRPr="006E3B08">
              <w:t>143</w:t>
            </w:r>
          </w:p>
        </w:tc>
        <w:tc>
          <w:tcPr>
            <w:tcW w:w="1785" w:type="dxa"/>
          </w:tcPr>
          <w:p w:rsidR="00375DF9" w:rsidRPr="006E3B08" w:rsidRDefault="00375DF9" w:rsidP="00440E63">
            <w:pPr>
              <w:pStyle w:val="ListParagraph"/>
              <w:ind w:left="0"/>
              <w:jc w:val="right"/>
            </w:pPr>
            <w:r w:rsidRPr="006E3B08">
              <w:t>22</w:t>
            </w:r>
          </w:p>
        </w:tc>
      </w:tr>
      <w:tr w:rsidR="00375DF9" w:rsidTr="00440E63">
        <w:tc>
          <w:tcPr>
            <w:tcW w:w="6836" w:type="dxa"/>
          </w:tcPr>
          <w:p w:rsidR="00375DF9" w:rsidRPr="006E3B08" w:rsidRDefault="0075514E" w:rsidP="00440E63">
            <w:pPr>
              <w:pStyle w:val="ListParagraph"/>
              <w:ind w:left="0"/>
              <w:jc w:val="both"/>
            </w:pPr>
            <w:r>
              <w:t>U</w:t>
            </w:r>
            <w:r w:rsidR="00375DF9">
              <w:t xml:space="preserve">nder </w:t>
            </w:r>
            <w:r w:rsidR="00375DF9" w:rsidRPr="006E3B08">
              <w:t>NFF – No. of the MFG (at 0%)</w:t>
            </w:r>
          </w:p>
        </w:tc>
        <w:tc>
          <w:tcPr>
            <w:tcW w:w="1701" w:type="dxa"/>
          </w:tcPr>
          <w:p w:rsidR="00375DF9" w:rsidRPr="006E3B08" w:rsidRDefault="00375DF9" w:rsidP="00440E63">
            <w:pPr>
              <w:pStyle w:val="ListParagraph"/>
              <w:ind w:left="0"/>
              <w:jc w:val="right"/>
            </w:pPr>
            <w:r w:rsidRPr="006E3B08">
              <w:t>125</w:t>
            </w:r>
          </w:p>
        </w:tc>
        <w:tc>
          <w:tcPr>
            <w:tcW w:w="1785" w:type="dxa"/>
          </w:tcPr>
          <w:p w:rsidR="00375DF9" w:rsidRPr="006E3B08" w:rsidRDefault="00375DF9" w:rsidP="00440E63">
            <w:pPr>
              <w:pStyle w:val="ListParagraph"/>
              <w:ind w:left="0"/>
              <w:jc w:val="right"/>
            </w:pPr>
            <w:r w:rsidRPr="006E3B08">
              <w:t>11</w:t>
            </w:r>
          </w:p>
        </w:tc>
      </w:tr>
      <w:tr w:rsidR="00375DF9" w:rsidTr="00440E63">
        <w:tc>
          <w:tcPr>
            <w:tcW w:w="6836" w:type="dxa"/>
          </w:tcPr>
          <w:p w:rsidR="00375DF9" w:rsidRPr="006E3B08" w:rsidRDefault="0075514E" w:rsidP="00440E63">
            <w:pPr>
              <w:pStyle w:val="ListParagraph"/>
              <w:ind w:left="0"/>
              <w:jc w:val="both"/>
            </w:pPr>
            <w:r>
              <w:t>U</w:t>
            </w:r>
            <w:r w:rsidR="00375DF9">
              <w:t xml:space="preserve">nder </w:t>
            </w:r>
            <w:r w:rsidR="00375DF9" w:rsidRPr="006E3B08">
              <w:t>Current Formula - No. on Ceiling (at 3%)</w:t>
            </w:r>
          </w:p>
        </w:tc>
        <w:tc>
          <w:tcPr>
            <w:tcW w:w="1701" w:type="dxa"/>
          </w:tcPr>
          <w:p w:rsidR="00375DF9" w:rsidRPr="006E3B08" w:rsidRDefault="00375DF9" w:rsidP="00440E63">
            <w:pPr>
              <w:pStyle w:val="ListParagraph"/>
              <w:ind w:left="0"/>
              <w:jc w:val="right"/>
            </w:pPr>
            <w:r w:rsidRPr="006E3B08">
              <w:t>2</w:t>
            </w:r>
          </w:p>
        </w:tc>
        <w:tc>
          <w:tcPr>
            <w:tcW w:w="1785" w:type="dxa"/>
          </w:tcPr>
          <w:p w:rsidR="00375DF9" w:rsidRPr="006E3B08" w:rsidRDefault="00375DF9" w:rsidP="00440E63">
            <w:pPr>
              <w:pStyle w:val="ListParagraph"/>
              <w:ind w:left="0"/>
              <w:jc w:val="right"/>
            </w:pPr>
            <w:r w:rsidRPr="006E3B08">
              <w:t>1</w:t>
            </w:r>
          </w:p>
        </w:tc>
      </w:tr>
      <w:tr w:rsidR="00375DF9" w:rsidTr="00440E63">
        <w:tc>
          <w:tcPr>
            <w:tcW w:w="6836" w:type="dxa"/>
          </w:tcPr>
          <w:p w:rsidR="00375DF9" w:rsidRPr="006E3B08" w:rsidRDefault="0075514E" w:rsidP="00440E63">
            <w:pPr>
              <w:pStyle w:val="ListParagraph"/>
              <w:ind w:left="0"/>
              <w:jc w:val="both"/>
            </w:pPr>
            <w:r>
              <w:t>U</w:t>
            </w:r>
            <w:r w:rsidR="00375DF9">
              <w:t xml:space="preserve">nder </w:t>
            </w:r>
            <w:r w:rsidR="00375DF9" w:rsidRPr="006E3B08">
              <w:t>NFF - No. on Ceiling (at 3%)</w:t>
            </w:r>
          </w:p>
        </w:tc>
        <w:tc>
          <w:tcPr>
            <w:tcW w:w="1701" w:type="dxa"/>
          </w:tcPr>
          <w:p w:rsidR="00375DF9" w:rsidRPr="006E3B08" w:rsidRDefault="00375DF9" w:rsidP="00440E63">
            <w:pPr>
              <w:pStyle w:val="ListParagraph"/>
              <w:ind w:left="0"/>
              <w:jc w:val="right"/>
            </w:pPr>
            <w:r w:rsidRPr="006E3B08">
              <w:t>2</w:t>
            </w:r>
          </w:p>
        </w:tc>
        <w:tc>
          <w:tcPr>
            <w:tcW w:w="1785" w:type="dxa"/>
          </w:tcPr>
          <w:p w:rsidR="00375DF9" w:rsidRPr="006E3B08" w:rsidRDefault="00375DF9" w:rsidP="00440E63">
            <w:pPr>
              <w:pStyle w:val="ListParagraph"/>
              <w:ind w:left="0"/>
              <w:jc w:val="right"/>
            </w:pPr>
            <w:r w:rsidRPr="006E3B08">
              <w:t>3</w:t>
            </w:r>
          </w:p>
        </w:tc>
      </w:tr>
    </w:tbl>
    <w:p w:rsidR="004769FD" w:rsidRDefault="004769FD" w:rsidP="004769FD">
      <w:pPr>
        <w:spacing w:after="200" w:line="276" w:lineRule="auto"/>
        <w:contextualSpacing/>
        <w:jc w:val="both"/>
        <w:rPr>
          <w:sz w:val="22"/>
          <w:szCs w:val="22"/>
        </w:rPr>
      </w:pPr>
    </w:p>
    <w:p w:rsidR="004769FD" w:rsidRDefault="004769FD" w:rsidP="004769FD">
      <w:pPr>
        <w:spacing w:after="200" w:line="276" w:lineRule="auto"/>
        <w:contextualSpacing/>
        <w:jc w:val="both"/>
        <w:rPr>
          <w:sz w:val="22"/>
          <w:szCs w:val="22"/>
        </w:rPr>
      </w:pPr>
    </w:p>
    <w:p w:rsidR="00705619" w:rsidRPr="004769FD" w:rsidRDefault="004769FD" w:rsidP="004769FD">
      <w:pPr>
        <w:spacing w:after="200" w:line="276" w:lineRule="auto"/>
        <w:contextualSpacing/>
        <w:jc w:val="both"/>
        <w:rPr>
          <w:sz w:val="22"/>
          <w:szCs w:val="22"/>
        </w:rPr>
      </w:pPr>
      <w:r w:rsidRPr="004769FD">
        <w:rPr>
          <w:sz w:val="22"/>
          <w:szCs w:val="22"/>
        </w:rPr>
        <w:lastRenderedPageBreak/>
        <w:t xml:space="preserve">4.2 </w:t>
      </w:r>
      <w:r w:rsidR="007D4FA2">
        <w:rPr>
          <w:sz w:val="22"/>
          <w:szCs w:val="22"/>
        </w:rPr>
        <w:t>K</w:t>
      </w:r>
      <w:r w:rsidRPr="004769FD">
        <w:rPr>
          <w:sz w:val="22"/>
          <w:szCs w:val="22"/>
        </w:rPr>
        <w:t xml:space="preserve">ey </w:t>
      </w:r>
      <w:r w:rsidR="007D4FA2">
        <w:rPr>
          <w:sz w:val="22"/>
          <w:szCs w:val="22"/>
        </w:rPr>
        <w:t xml:space="preserve">thinking behind </w:t>
      </w:r>
      <w:r w:rsidR="00DB0894">
        <w:rPr>
          <w:sz w:val="22"/>
          <w:szCs w:val="22"/>
        </w:rPr>
        <w:t>proposals for</w:t>
      </w:r>
      <w:r w:rsidR="005D18A7">
        <w:rPr>
          <w:sz w:val="22"/>
          <w:szCs w:val="22"/>
        </w:rPr>
        <w:t xml:space="preserve"> d</w:t>
      </w:r>
      <w:r w:rsidR="00F3599F">
        <w:rPr>
          <w:sz w:val="22"/>
          <w:szCs w:val="22"/>
        </w:rPr>
        <w:t>ecisions 2, 3 and 4:</w:t>
      </w:r>
    </w:p>
    <w:p w:rsidR="004769FD" w:rsidRDefault="004769FD" w:rsidP="008D16B2">
      <w:pPr>
        <w:pStyle w:val="ListParagraph"/>
        <w:numPr>
          <w:ilvl w:val="0"/>
          <w:numId w:val="31"/>
        </w:numPr>
        <w:jc w:val="both"/>
        <w:rPr>
          <w:sz w:val="22"/>
          <w:szCs w:val="22"/>
        </w:rPr>
      </w:pPr>
      <w:r w:rsidRPr="004769FD">
        <w:rPr>
          <w:sz w:val="22"/>
          <w:szCs w:val="22"/>
        </w:rPr>
        <w:t>Decision 2</w:t>
      </w:r>
      <w:r>
        <w:rPr>
          <w:sz w:val="22"/>
          <w:szCs w:val="22"/>
        </w:rPr>
        <w:t xml:space="preserve"> (MFG level)</w:t>
      </w:r>
      <w:r w:rsidRPr="004769FD">
        <w:rPr>
          <w:sz w:val="22"/>
          <w:szCs w:val="22"/>
        </w:rPr>
        <w:t xml:space="preserve">: Our modelling previously published for schools was based on the DfE’s December 2016 proposal for the continuation of the MFG set at minus 1.5%. Therefore, setting an MFG at 0%, if affordable, will produce a better result for schools than previously published. However, this comes in the context of likely further wider release of the 1% pay cap in 2018/19. </w:t>
      </w:r>
      <w:r>
        <w:rPr>
          <w:sz w:val="22"/>
          <w:szCs w:val="22"/>
        </w:rPr>
        <w:t>The Authority would expect schools to seek a better minimum level of funding</w:t>
      </w:r>
      <w:r w:rsidR="007E477E">
        <w:rPr>
          <w:sz w:val="22"/>
          <w:szCs w:val="22"/>
        </w:rPr>
        <w:t xml:space="preserve"> from the Authority</w:t>
      </w:r>
      <w:r>
        <w:rPr>
          <w:sz w:val="22"/>
          <w:szCs w:val="22"/>
        </w:rPr>
        <w:t xml:space="preserve"> where this is possible in the light of this.</w:t>
      </w:r>
    </w:p>
    <w:p w:rsidR="004769FD" w:rsidRPr="004769FD" w:rsidRDefault="004769FD" w:rsidP="004769FD">
      <w:pPr>
        <w:pStyle w:val="ListParagraph"/>
        <w:jc w:val="both"/>
        <w:rPr>
          <w:sz w:val="22"/>
          <w:szCs w:val="22"/>
        </w:rPr>
      </w:pPr>
    </w:p>
    <w:p w:rsidR="007D4FA2" w:rsidRDefault="007D4FA2" w:rsidP="008D16B2">
      <w:pPr>
        <w:pStyle w:val="ListParagraph"/>
        <w:numPr>
          <w:ilvl w:val="0"/>
          <w:numId w:val="31"/>
        </w:numPr>
        <w:contextualSpacing/>
        <w:jc w:val="both"/>
        <w:rPr>
          <w:sz w:val="22"/>
          <w:szCs w:val="22"/>
        </w:rPr>
      </w:pPr>
      <w:r>
        <w:rPr>
          <w:sz w:val="22"/>
          <w:szCs w:val="22"/>
        </w:rPr>
        <w:t xml:space="preserve">Decision 3 (Ceiling): </w:t>
      </w:r>
      <w:r w:rsidRPr="007D4FA2">
        <w:rPr>
          <w:sz w:val="22"/>
          <w:szCs w:val="22"/>
        </w:rPr>
        <w:t xml:space="preserve">The </w:t>
      </w:r>
      <w:proofErr w:type="spellStart"/>
      <w:r w:rsidRPr="007D4FA2">
        <w:rPr>
          <w:sz w:val="22"/>
          <w:szCs w:val="22"/>
        </w:rPr>
        <w:t>DfE</w:t>
      </w:r>
      <w:proofErr w:type="spellEnd"/>
      <w:r w:rsidRPr="007D4FA2">
        <w:rPr>
          <w:sz w:val="22"/>
          <w:szCs w:val="22"/>
        </w:rPr>
        <w:t xml:space="preserve">, in its national DSG settlement for 2018/19, has capped gains for individual schools at </w:t>
      </w:r>
      <w:r>
        <w:rPr>
          <w:sz w:val="22"/>
          <w:szCs w:val="22"/>
        </w:rPr>
        <w:t xml:space="preserve">+ </w:t>
      </w:r>
      <w:r w:rsidRPr="007D4FA2">
        <w:rPr>
          <w:sz w:val="22"/>
          <w:szCs w:val="22"/>
        </w:rPr>
        <w:t>3% per pupil (before the implementation of the new minimum per pupil</w:t>
      </w:r>
      <w:r>
        <w:rPr>
          <w:sz w:val="22"/>
          <w:szCs w:val="22"/>
        </w:rPr>
        <w:t xml:space="preserve"> floors</w:t>
      </w:r>
      <w:r w:rsidRPr="007D4FA2">
        <w:rPr>
          <w:sz w:val="22"/>
          <w:szCs w:val="22"/>
        </w:rPr>
        <w:t xml:space="preserve">). It therefore, feels logical to propose a ceiling in Bradford’s formula of </w:t>
      </w:r>
      <w:r w:rsidR="007E477E">
        <w:rPr>
          <w:sz w:val="22"/>
          <w:szCs w:val="22"/>
        </w:rPr>
        <w:t>the same</w:t>
      </w:r>
      <w:r w:rsidRPr="007D4FA2">
        <w:rPr>
          <w:sz w:val="22"/>
          <w:szCs w:val="22"/>
        </w:rPr>
        <w:t>. This is also the ceiling value we used to calculate information for schools in early 2017</w:t>
      </w:r>
      <w:r>
        <w:rPr>
          <w:sz w:val="22"/>
          <w:szCs w:val="22"/>
        </w:rPr>
        <w:t xml:space="preserve"> so there is consistency.</w:t>
      </w:r>
    </w:p>
    <w:p w:rsidR="007D4FA2" w:rsidRPr="007D4FA2" w:rsidRDefault="007D4FA2" w:rsidP="007D4FA2">
      <w:pPr>
        <w:pStyle w:val="ListParagraph"/>
        <w:contextualSpacing/>
        <w:jc w:val="both"/>
        <w:rPr>
          <w:sz w:val="22"/>
          <w:szCs w:val="22"/>
        </w:rPr>
      </w:pPr>
    </w:p>
    <w:p w:rsidR="0062210B" w:rsidRPr="0062210B" w:rsidRDefault="0062210B" w:rsidP="008D16B2">
      <w:pPr>
        <w:pStyle w:val="ListParagraph"/>
        <w:numPr>
          <w:ilvl w:val="0"/>
          <w:numId w:val="31"/>
        </w:numPr>
        <w:contextualSpacing/>
        <w:jc w:val="both"/>
        <w:rPr>
          <w:sz w:val="22"/>
          <w:szCs w:val="22"/>
        </w:rPr>
      </w:pPr>
      <w:r>
        <w:rPr>
          <w:sz w:val="22"/>
          <w:szCs w:val="22"/>
        </w:rPr>
        <w:t>Decision</w:t>
      </w:r>
      <w:r w:rsidRPr="0062210B">
        <w:rPr>
          <w:sz w:val="22"/>
          <w:szCs w:val="22"/>
        </w:rPr>
        <w:t xml:space="preserve"> 4 (</w:t>
      </w:r>
      <w:proofErr w:type="spellStart"/>
      <w:r w:rsidRPr="0062210B">
        <w:rPr>
          <w:sz w:val="22"/>
          <w:szCs w:val="22"/>
        </w:rPr>
        <w:t>DfE</w:t>
      </w:r>
      <w:proofErr w:type="spellEnd"/>
      <w:r w:rsidRPr="0062210B">
        <w:rPr>
          <w:sz w:val="22"/>
          <w:szCs w:val="22"/>
        </w:rPr>
        <w:t xml:space="preserve"> minimum per pupil funding floors): </w:t>
      </w:r>
      <w:r>
        <w:rPr>
          <w:sz w:val="22"/>
          <w:szCs w:val="22"/>
        </w:rPr>
        <w:t>The inclusion of the</w:t>
      </w:r>
      <w:r w:rsidRPr="0062210B">
        <w:rPr>
          <w:sz w:val="22"/>
          <w:szCs w:val="22"/>
        </w:rPr>
        <w:t xml:space="preserve"> minimum</w:t>
      </w:r>
      <w:r>
        <w:rPr>
          <w:sz w:val="22"/>
          <w:szCs w:val="22"/>
        </w:rPr>
        <w:t>s</w:t>
      </w:r>
      <w:r w:rsidRPr="0062210B">
        <w:rPr>
          <w:sz w:val="22"/>
          <w:szCs w:val="22"/>
        </w:rPr>
        <w:t xml:space="preserve"> is an op</w:t>
      </w:r>
      <w:r>
        <w:rPr>
          <w:sz w:val="22"/>
          <w:szCs w:val="22"/>
        </w:rPr>
        <w:t>tional factor for 2018/19. However,</w:t>
      </w:r>
      <w:r w:rsidRPr="0062210B">
        <w:rPr>
          <w:sz w:val="22"/>
          <w:szCs w:val="22"/>
        </w:rPr>
        <w:t xml:space="preserve"> funding has been specifically allocated</w:t>
      </w:r>
      <w:r>
        <w:rPr>
          <w:sz w:val="22"/>
          <w:szCs w:val="22"/>
        </w:rPr>
        <w:t xml:space="preserve"> into the DSG for these</w:t>
      </w:r>
      <w:r w:rsidRPr="0062210B">
        <w:rPr>
          <w:sz w:val="22"/>
          <w:szCs w:val="22"/>
        </w:rPr>
        <w:t xml:space="preserve"> </w:t>
      </w:r>
      <w:r>
        <w:rPr>
          <w:sz w:val="22"/>
          <w:szCs w:val="22"/>
        </w:rPr>
        <w:t xml:space="preserve">and </w:t>
      </w:r>
      <w:r w:rsidRPr="0062210B">
        <w:rPr>
          <w:sz w:val="22"/>
          <w:szCs w:val="22"/>
        </w:rPr>
        <w:t>this funding</w:t>
      </w:r>
      <w:r>
        <w:rPr>
          <w:sz w:val="22"/>
          <w:szCs w:val="22"/>
        </w:rPr>
        <w:t xml:space="preserve"> will target</w:t>
      </w:r>
      <w:r w:rsidRPr="0062210B">
        <w:rPr>
          <w:sz w:val="22"/>
          <w:szCs w:val="22"/>
        </w:rPr>
        <w:t xml:space="preserve"> schools that do not rec</w:t>
      </w:r>
      <w:r>
        <w:rPr>
          <w:sz w:val="22"/>
          <w:szCs w:val="22"/>
        </w:rPr>
        <w:t xml:space="preserve">eive large sums of AEN funding. </w:t>
      </w:r>
      <w:r w:rsidRPr="0062210B">
        <w:rPr>
          <w:sz w:val="22"/>
          <w:szCs w:val="22"/>
        </w:rPr>
        <w:t xml:space="preserve">Setting the minimums at </w:t>
      </w:r>
      <w:r>
        <w:rPr>
          <w:sz w:val="22"/>
          <w:szCs w:val="22"/>
        </w:rPr>
        <w:t xml:space="preserve">a lower level e.g. </w:t>
      </w:r>
      <w:r w:rsidRPr="0062210B">
        <w:rPr>
          <w:sz w:val="22"/>
          <w:szCs w:val="22"/>
        </w:rPr>
        <w:t>£3,300 and £4,600, on indicative data, actually makes little difference to the allocations of</w:t>
      </w:r>
      <w:r>
        <w:rPr>
          <w:sz w:val="22"/>
          <w:szCs w:val="22"/>
        </w:rPr>
        <w:t xml:space="preserve"> schools and academies that are eligible for the</w:t>
      </w:r>
      <w:r w:rsidR="007E477E">
        <w:rPr>
          <w:sz w:val="22"/>
          <w:szCs w:val="22"/>
        </w:rPr>
        <w:t xml:space="preserve"> final full</w:t>
      </w:r>
      <w:r>
        <w:rPr>
          <w:sz w:val="22"/>
          <w:szCs w:val="22"/>
        </w:rPr>
        <w:t xml:space="preserve"> £3,500 and £4,800 floors.</w:t>
      </w:r>
      <w:r w:rsidRPr="0062210B">
        <w:rPr>
          <w:sz w:val="22"/>
          <w:szCs w:val="22"/>
        </w:rPr>
        <w:t xml:space="preserve"> The</w:t>
      </w:r>
      <w:r>
        <w:rPr>
          <w:sz w:val="22"/>
          <w:szCs w:val="22"/>
        </w:rPr>
        <w:t xml:space="preserve"> Authority’s</w:t>
      </w:r>
      <w:r w:rsidRPr="0062210B">
        <w:rPr>
          <w:sz w:val="22"/>
          <w:szCs w:val="22"/>
        </w:rPr>
        <w:t xml:space="preserve"> analysis indicates that there is immediate benefit to be had, espe</w:t>
      </w:r>
      <w:r>
        <w:rPr>
          <w:sz w:val="22"/>
          <w:szCs w:val="22"/>
        </w:rPr>
        <w:t>cially in the primary sector, in</w:t>
      </w:r>
      <w:r w:rsidRPr="0062210B">
        <w:rPr>
          <w:sz w:val="22"/>
          <w:szCs w:val="22"/>
        </w:rPr>
        <w:t xml:space="preserve"> moving to the full minimums in 2018/19 where we can afford to do so.</w:t>
      </w:r>
    </w:p>
    <w:p w:rsidR="004769FD" w:rsidRPr="004769FD" w:rsidRDefault="004769FD" w:rsidP="0062210B">
      <w:pPr>
        <w:pStyle w:val="ListParagraph"/>
        <w:jc w:val="both"/>
        <w:rPr>
          <w:sz w:val="22"/>
          <w:szCs w:val="22"/>
        </w:rPr>
      </w:pPr>
    </w:p>
    <w:p w:rsidR="004769FD" w:rsidRPr="007E477E" w:rsidRDefault="004769FD" w:rsidP="007E477E">
      <w:pPr>
        <w:spacing w:after="200" w:line="276" w:lineRule="auto"/>
        <w:contextualSpacing/>
        <w:jc w:val="both"/>
        <w:rPr>
          <w:sz w:val="22"/>
          <w:szCs w:val="22"/>
        </w:rPr>
      </w:pPr>
    </w:p>
    <w:p w:rsidR="007E477E" w:rsidRPr="00D912F3" w:rsidRDefault="007E477E" w:rsidP="007E477E">
      <w:pPr>
        <w:jc w:val="both"/>
        <w:rPr>
          <w:b/>
          <w:bCs/>
          <w:color w:val="4F81BD" w:themeColor="accent1"/>
          <w:sz w:val="22"/>
          <w:szCs w:val="22"/>
        </w:rPr>
      </w:pPr>
      <w:r>
        <w:rPr>
          <w:b/>
          <w:bCs/>
          <w:color w:val="4F81BD" w:themeColor="accent1"/>
          <w:sz w:val="22"/>
          <w:szCs w:val="22"/>
        </w:rPr>
        <w:t>5</w:t>
      </w:r>
      <w:r w:rsidRPr="00D912F3">
        <w:rPr>
          <w:b/>
          <w:bCs/>
          <w:color w:val="4F81BD" w:themeColor="accent1"/>
          <w:sz w:val="22"/>
          <w:szCs w:val="22"/>
        </w:rPr>
        <w:t>.</w:t>
      </w:r>
      <w:r w:rsidRPr="00D912F3">
        <w:rPr>
          <w:b/>
          <w:bCs/>
          <w:color w:val="4F81BD" w:themeColor="accent1"/>
          <w:sz w:val="22"/>
          <w:szCs w:val="22"/>
        </w:rPr>
        <w:tab/>
      </w:r>
      <w:r>
        <w:rPr>
          <w:b/>
          <w:bCs/>
          <w:color w:val="4F81BD" w:themeColor="accent1"/>
          <w:sz w:val="22"/>
          <w:szCs w:val="22"/>
        </w:rPr>
        <w:t xml:space="preserve">Consultation Impact Modelling </w:t>
      </w:r>
    </w:p>
    <w:p w:rsidR="004769FD" w:rsidRDefault="004769FD" w:rsidP="004769FD">
      <w:pPr>
        <w:contextualSpacing/>
        <w:jc w:val="both"/>
        <w:rPr>
          <w:sz w:val="22"/>
          <w:szCs w:val="22"/>
        </w:rPr>
      </w:pPr>
    </w:p>
    <w:p w:rsidR="006F390A" w:rsidRDefault="006F390A" w:rsidP="006F390A">
      <w:pPr>
        <w:contextualSpacing/>
        <w:jc w:val="both"/>
        <w:rPr>
          <w:sz w:val="22"/>
          <w:szCs w:val="22"/>
        </w:rPr>
      </w:pPr>
      <w:r>
        <w:rPr>
          <w:sz w:val="22"/>
          <w:szCs w:val="22"/>
        </w:rPr>
        <w:t>5.1 In the interests of seeking to illustrate as simply as possible for schools and academies the total impact of the proposals, we have provide</w:t>
      </w:r>
      <w:r w:rsidR="00F669EE">
        <w:rPr>
          <w:sz w:val="22"/>
          <w:szCs w:val="22"/>
        </w:rPr>
        <w:t>d</w:t>
      </w:r>
      <w:r>
        <w:rPr>
          <w:sz w:val="22"/>
          <w:szCs w:val="22"/>
        </w:rPr>
        <w:t xml:space="preserve"> a ‘single-sheet’ analysis. Please see Appendix 1.</w:t>
      </w:r>
      <w:r w:rsidR="00835B5A">
        <w:rPr>
          <w:sz w:val="22"/>
          <w:szCs w:val="22"/>
        </w:rPr>
        <w:t xml:space="preserve"> This </w:t>
      </w:r>
      <w:r w:rsidR="00D92184">
        <w:rPr>
          <w:sz w:val="22"/>
          <w:szCs w:val="22"/>
        </w:rPr>
        <w:t>analysis updates</w:t>
      </w:r>
      <w:r w:rsidR="00835B5A">
        <w:rPr>
          <w:sz w:val="22"/>
          <w:szCs w:val="22"/>
        </w:rPr>
        <w:t xml:space="preserve"> that published by the Authority in February 2017 on the impact of NFF.</w:t>
      </w:r>
      <w:r w:rsidR="00E424AF">
        <w:rPr>
          <w:sz w:val="22"/>
          <w:szCs w:val="22"/>
        </w:rPr>
        <w:t xml:space="preserve"> This modelling is best viewed on screen rather than printed off.</w:t>
      </w:r>
    </w:p>
    <w:p w:rsidR="002A70F4" w:rsidRDefault="002A70F4" w:rsidP="006F390A">
      <w:pPr>
        <w:contextualSpacing/>
        <w:jc w:val="both"/>
        <w:rPr>
          <w:sz w:val="22"/>
          <w:szCs w:val="22"/>
        </w:rPr>
      </w:pPr>
    </w:p>
    <w:p w:rsidR="002A70F4" w:rsidRDefault="002A70F4" w:rsidP="006F390A">
      <w:pPr>
        <w:contextualSpacing/>
        <w:jc w:val="both"/>
        <w:rPr>
          <w:sz w:val="22"/>
          <w:szCs w:val="22"/>
        </w:rPr>
      </w:pPr>
      <w:r>
        <w:rPr>
          <w:sz w:val="22"/>
          <w:szCs w:val="22"/>
        </w:rPr>
        <w:t xml:space="preserve">5.2 The </w:t>
      </w:r>
      <w:proofErr w:type="spellStart"/>
      <w:r>
        <w:rPr>
          <w:sz w:val="22"/>
          <w:szCs w:val="22"/>
        </w:rPr>
        <w:t>DfE</w:t>
      </w:r>
      <w:proofErr w:type="spellEnd"/>
      <w:r>
        <w:rPr>
          <w:sz w:val="22"/>
          <w:szCs w:val="22"/>
        </w:rPr>
        <w:t xml:space="preserve"> has also provided its own notional NFF impact modelling, which can be found </w:t>
      </w:r>
      <w:hyperlink r:id="rId16" w:history="1">
        <w:r w:rsidRPr="0014627D">
          <w:rPr>
            <w:rStyle w:val="Hyperlink"/>
            <w:sz w:val="22"/>
            <w:szCs w:val="22"/>
          </w:rPr>
          <w:t>here</w:t>
        </w:r>
      </w:hyperlink>
      <w:r>
        <w:rPr>
          <w:sz w:val="22"/>
          <w:szCs w:val="22"/>
        </w:rPr>
        <w:t xml:space="preserve">. </w:t>
      </w:r>
      <w:r w:rsidR="00C920FA">
        <w:rPr>
          <w:sz w:val="22"/>
          <w:szCs w:val="22"/>
        </w:rPr>
        <w:t>The modelling attached with our</w:t>
      </w:r>
      <w:r>
        <w:rPr>
          <w:sz w:val="22"/>
          <w:szCs w:val="22"/>
        </w:rPr>
        <w:t xml:space="preserve"> document more accurately reflects what can be replicated locally for NFF under 2018/19 Regulations. One of the key differences is the variance for schools and academies on the MFG between the notional 0.5% per pupil increase for these schools within the DfE’s modelling</w:t>
      </w:r>
      <w:r w:rsidR="00F669EE">
        <w:rPr>
          <w:sz w:val="22"/>
          <w:szCs w:val="22"/>
        </w:rPr>
        <w:t xml:space="preserve"> in 2018/19</w:t>
      </w:r>
      <w:r>
        <w:rPr>
          <w:sz w:val="22"/>
          <w:szCs w:val="22"/>
        </w:rPr>
        <w:t xml:space="preserve"> and the MFG set at 0% within the Authority’s modelling. </w:t>
      </w:r>
    </w:p>
    <w:p w:rsidR="006F390A" w:rsidRDefault="006F390A" w:rsidP="006F390A">
      <w:pPr>
        <w:contextualSpacing/>
        <w:jc w:val="both"/>
        <w:rPr>
          <w:sz w:val="22"/>
          <w:szCs w:val="22"/>
        </w:rPr>
      </w:pPr>
    </w:p>
    <w:p w:rsidR="00B55685" w:rsidRDefault="002A70F4" w:rsidP="00B55685">
      <w:pPr>
        <w:contextualSpacing/>
        <w:jc w:val="both"/>
        <w:rPr>
          <w:sz w:val="22"/>
          <w:szCs w:val="22"/>
        </w:rPr>
      </w:pPr>
      <w:r>
        <w:rPr>
          <w:sz w:val="22"/>
          <w:szCs w:val="22"/>
        </w:rPr>
        <w:t>5.3</w:t>
      </w:r>
      <w:r w:rsidR="006F390A">
        <w:rPr>
          <w:sz w:val="22"/>
          <w:szCs w:val="22"/>
        </w:rPr>
        <w:t xml:space="preserve"> </w:t>
      </w:r>
      <w:r w:rsidR="00B55685">
        <w:rPr>
          <w:sz w:val="22"/>
          <w:szCs w:val="22"/>
        </w:rPr>
        <w:t>Appendix 1</w:t>
      </w:r>
      <w:r w:rsidR="00F669EE">
        <w:rPr>
          <w:sz w:val="22"/>
          <w:szCs w:val="22"/>
        </w:rPr>
        <w:t xml:space="preserve"> attached</w:t>
      </w:r>
      <w:r w:rsidR="00B55685">
        <w:rPr>
          <w:sz w:val="22"/>
          <w:szCs w:val="22"/>
        </w:rPr>
        <w:t xml:space="preserve"> shows the difference between a financial year allocation calculated using our current</w:t>
      </w:r>
      <w:r w:rsidR="00511BD6">
        <w:rPr>
          <w:sz w:val="22"/>
          <w:szCs w:val="22"/>
        </w:rPr>
        <w:t xml:space="preserve"> 2017/18</w:t>
      </w:r>
      <w:r w:rsidR="00B55685">
        <w:rPr>
          <w:sz w:val="22"/>
          <w:szCs w:val="22"/>
        </w:rPr>
        <w:t xml:space="preserve"> funding formula and </w:t>
      </w:r>
      <w:r w:rsidR="00511BD6">
        <w:rPr>
          <w:sz w:val="22"/>
          <w:szCs w:val="22"/>
        </w:rPr>
        <w:t xml:space="preserve">that </w:t>
      </w:r>
      <w:r w:rsidR="009D5290">
        <w:rPr>
          <w:sz w:val="22"/>
          <w:szCs w:val="22"/>
        </w:rPr>
        <w:t>calculated using</w:t>
      </w:r>
      <w:r w:rsidR="00B55685">
        <w:rPr>
          <w:sz w:val="22"/>
          <w:szCs w:val="22"/>
        </w:rPr>
        <w:t xml:space="preserve"> National Funding Formula </w:t>
      </w:r>
      <w:r w:rsidR="00511BD6">
        <w:rPr>
          <w:sz w:val="22"/>
          <w:szCs w:val="22"/>
        </w:rPr>
        <w:t>(</w:t>
      </w:r>
      <w:r w:rsidR="00B55685">
        <w:rPr>
          <w:sz w:val="22"/>
          <w:szCs w:val="22"/>
        </w:rPr>
        <w:t>to the extent that we can replicate this under 2018/19 Regulations</w:t>
      </w:r>
      <w:r w:rsidR="00511BD6">
        <w:rPr>
          <w:sz w:val="22"/>
          <w:szCs w:val="22"/>
        </w:rPr>
        <w:t>)</w:t>
      </w:r>
      <w:r w:rsidR="00B55685">
        <w:rPr>
          <w:sz w:val="22"/>
          <w:szCs w:val="22"/>
        </w:rPr>
        <w:t>. Both are calculated under the same parameters:</w:t>
      </w:r>
    </w:p>
    <w:p w:rsidR="00B55685" w:rsidRDefault="00B55685" w:rsidP="00B55685">
      <w:pPr>
        <w:contextualSpacing/>
        <w:jc w:val="both"/>
        <w:rPr>
          <w:sz w:val="22"/>
          <w:szCs w:val="22"/>
        </w:rPr>
      </w:pPr>
    </w:p>
    <w:p w:rsidR="00B55685" w:rsidRDefault="006A6D58" w:rsidP="008D16B2">
      <w:pPr>
        <w:pStyle w:val="ListParagraph"/>
        <w:numPr>
          <w:ilvl w:val="0"/>
          <w:numId w:val="33"/>
        </w:numPr>
        <w:contextualSpacing/>
        <w:jc w:val="both"/>
        <w:rPr>
          <w:sz w:val="22"/>
          <w:szCs w:val="22"/>
        </w:rPr>
      </w:pPr>
      <w:r>
        <w:rPr>
          <w:sz w:val="22"/>
          <w:szCs w:val="22"/>
        </w:rPr>
        <w:t xml:space="preserve">Using </w:t>
      </w:r>
      <w:r w:rsidR="00B55685">
        <w:rPr>
          <w:sz w:val="22"/>
          <w:szCs w:val="22"/>
        </w:rPr>
        <w:t>October 2016 pupil numbers, adjusted in some schools for a) the cessation of the reception uplift in the primary sector under NFF, b) the transfer of resourced provision pupil back into main formula funding and c) additional grow</w:t>
      </w:r>
      <w:r w:rsidR="00965941">
        <w:rPr>
          <w:sz w:val="22"/>
          <w:szCs w:val="22"/>
        </w:rPr>
        <w:t>th</w:t>
      </w:r>
      <w:r w:rsidR="00B55685">
        <w:rPr>
          <w:sz w:val="22"/>
          <w:szCs w:val="22"/>
        </w:rPr>
        <w:t xml:space="preserve"> for newly establishing schools.</w:t>
      </w:r>
    </w:p>
    <w:p w:rsidR="00B55685" w:rsidRDefault="00B55685" w:rsidP="00B55685">
      <w:pPr>
        <w:pStyle w:val="ListParagraph"/>
        <w:contextualSpacing/>
        <w:jc w:val="both"/>
        <w:rPr>
          <w:sz w:val="22"/>
          <w:szCs w:val="22"/>
        </w:rPr>
      </w:pPr>
    </w:p>
    <w:p w:rsidR="00B55685" w:rsidRDefault="006A6D58" w:rsidP="008D16B2">
      <w:pPr>
        <w:pStyle w:val="ListParagraph"/>
        <w:numPr>
          <w:ilvl w:val="0"/>
          <w:numId w:val="33"/>
        </w:numPr>
        <w:contextualSpacing/>
        <w:jc w:val="both"/>
        <w:rPr>
          <w:sz w:val="22"/>
          <w:szCs w:val="22"/>
        </w:rPr>
      </w:pPr>
      <w:r>
        <w:rPr>
          <w:sz w:val="22"/>
          <w:szCs w:val="22"/>
        </w:rPr>
        <w:t xml:space="preserve">Using </w:t>
      </w:r>
      <w:r w:rsidR="00B55685">
        <w:rPr>
          <w:sz w:val="22"/>
          <w:szCs w:val="22"/>
        </w:rPr>
        <w:t>October 2016 data i.e. the data (such as FSM, EAL, IDACI) that was used to calculate 2017/18 financial year allocations.</w:t>
      </w:r>
    </w:p>
    <w:p w:rsidR="00B55685" w:rsidRDefault="00B55685" w:rsidP="00B55685">
      <w:pPr>
        <w:pStyle w:val="ListParagraph"/>
        <w:contextualSpacing/>
        <w:jc w:val="both"/>
        <w:rPr>
          <w:sz w:val="22"/>
          <w:szCs w:val="22"/>
        </w:rPr>
      </w:pPr>
    </w:p>
    <w:p w:rsidR="00B55685" w:rsidRDefault="006A6D58" w:rsidP="008D16B2">
      <w:pPr>
        <w:pStyle w:val="ListParagraph"/>
        <w:numPr>
          <w:ilvl w:val="0"/>
          <w:numId w:val="33"/>
        </w:numPr>
        <w:contextualSpacing/>
        <w:jc w:val="both"/>
        <w:rPr>
          <w:sz w:val="22"/>
          <w:szCs w:val="22"/>
        </w:rPr>
      </w:pPr>
      <w:r>
        <w:rPr>
          <w:sz w:val="22"/>
          <w:szCs w:val="22"/>
        </w:rPr>
        <w:t>On a</w:t>
      </w:r>
      <w:r w:rsidR="00B55685">
        <w:rPr>
          <w:sz w:val="22"/>
          <w:szCs w:val="22"/>
        </w:rPr>
        <w:t xml:space="preserve"> 0% Minimum Funding Guarantee.</w:t>
      </w:r>
    </w:p>
    <w:p w:rsidR="00B55685" w:rsidRDefault="00B55685" w:rsidP="00B55685">
      <w:pPr>
        <w:pStyle w:val="ListParagraph"/>
        <w:contextualSpacing/>
        <w:jc w:val="both"/>
        <w:rPr>
          <w:sz w:val="22"/>
          <w:szCs w:val="22"/>
        </w:rPr>
      </w:pPr>
    </w:p>
    <w:p w:rsidR="00B55685" w:rsidRDefault="006A6D58" w:rsidP="008D16B2">
      <w:pPr>
        <w:pStyle w:val="ListParagraph"/>
        <w:numPr>
          <w:ilvl w:val="0"/>
          <w:numId w:val="33"/>
        </w:numPr>
        <w:contextualSpacing/>
        <w:jc w:val="both"/>
        <w:rPr>
          <w:sz w:val="22"/>
          <w:szCs w:val="22"/>
        </w:rPr>
      </w:pPr>
      <w:r>
        <w:rPr>
          <w:sz w:val="22"/>
          <w:szCs w:val="22"/>
        </w:rPr>
        <w:t>On a</w:t>
      </w:r>
      <w:r w:rsidR="00B55685">
        <w:rPr>
          <w:sz w:val="22"/>
          <w:szCs w:val="22"/>
        </w:rPr>
        <w:t xml:space="preserve"> + 3% Ceiling.</w:t>
      </w:r>
    </w:p>
    <w:p w:rsidR="00B55685" w:rsidRDefault="00B55685" w:rsidP="00B55685">
      <w:pPr>
        <w:contextualSpacing/>
        <w:jc w:val="both"/>
        <w:rPr>
          <w:sz w:val="22"/>
          <w:szCs w:val="22"/>
        </w:rPr>
      </w:pPr>
    </w:p>
    <w:p w:rsidR="00B55685" w:rsidRDefault="00F669EE" w:rsidP="00B55685">
      <w:pPr>
        <w:contextualSpacing/>
        <w:jc w:val="both"/>
        <w:rPr>
          <w:sz w:val="22"/>
          <w:szCs w:val="22"/>
        </w:rPr>
      </w:pPr>
      <w:r>
        <w:rPr>
          <w:sz w:val="22"/>
          <w:szCs w:val="22"/>
        </w:rPr>
        <w:t>5.4</w:t>
      </w:r>
      <w:r w:rsidR="00B55685">
        <w:rPr>
          <w:sz w:val="22"/>
          <w:szCs w:val="22"/>
        </w:rPr>
        <w:t xml:space="preserve"> The National Funding Formula </w:t>
      </w:r>
      <w:r w:rsidR="00965941">
        <w:rPr>
          <w:sz w:val="22"/>
          <w:szCs w:val="22"/>
        </w:rPr>
        <w:t xml:space="preserve">indicative </w:t>
      </w:r>
      <w:r w:rsidR="00B55685">
        <w:rPr>
          <w:sz w:val="22"/>
          <w:szCs w:val="22"/>
        </w:rPr>
        <w:t>total assumes that the NFF</w:t>
      </w:r>
      <w:r w:rsidR="00965941">
        <w:rPr>
          <w:sz w:val="22"/>
          <w:szCs w:val="22"/>
        </w:rPr>
        <w:t>,</w:t>
      </w:r>
      <w:r w:rsidR="00B55685">
        <w:rPr>
          <w:sz w:val="22"/>
          <w:szCs w:val="22"/>
        </w:rPr>
        <w:t xml:space="preserve"> as set out earlier in this document</w:t>
      </w:r>
      <w:r w:rsidR="00965941">
        <w:rPr>
          <w:sz w:val="22"/>
          <w:szCs w:val="22"/>
        </w:rPr>
        <w:t>,</w:t>
      </w:r>
      <w:r w:rsidR="00B55685">
        <w:rPr>
          <w:sz w:val="22"/>
          <w:szCs w:val="22"/>
        </w:rPr>
        <w:t xml:space="preserve"> can be afforded in full and the DfE’s per pupil minimum floors can also be afforded in full</w:t>
      </w:r>
      <w:r w:rsidR="006A6D58">
        <w:rPr>
          <w:sz w:val="22"/>
          <w:szCs w:val="22"/>
        </w:rPr>
        <w:t xml:space="preserve"> at £3,500, £4,800 or £4,042</w:t>
      </w:r>
      <w:r w:rsidR="00B55685">
        <w:rPr>
          <w:sz w:val="22"/>
          <w:szCs w:val="22"/>
        </w:rPr>
        <w:t>.</w:t>
      </w:r>
      <w:r w:rsidR="00965941">
        <w:rPr>
          <w:sz w:val="22"/>
          <w:szCs w:val="22"/>
        </w:rPr>
        <w:t xml:space="preserve"> It also assumes that our disapplication requests referred to in the document will be accepted by the Secretary of State.</w:t>
      </w:r>
    </w:p>
    <w:p w:rsidR="00965941" w:rsidRDefault="00965941" w:rsidP="00B55685">
      <w:pPr>
        <w:contextualSpacing/>
        <w:jc w:val="both"/>
        <w:rPr>
          <w:sz w:val="22"/>
          <w:szCs w:val="22"/>
        </w:rPr>
      </w:pPr>
    </w:p>
    <w:p w:rsidR="00E424AF" w:rsidRDefault="00F669EE" w:rsidP="00B55685">
      <w:pPr>
        <w:contextualSpacing/>
        <w:jc w:val="both"/>
        <w:rPr>
          <w:sz w:val="22"/>
          <w:szCs w:val="22"/>
        </w:rPr>
      </w:pPr>
      <w:r>
        <w:rPr>
          <w:sz w:val="22"/>
          <w:szCs w:val="22"/>
        </w:rPr>
        <w:t>5.5</w:t>
      </w:r>
      <w:r w:rsidR="00965941">
        <w:rPr>
          <w:sz w:val="22"/>
          <w:szCs w:val="22"/>
        </w:rPr>
        <w:t xml:space="preserve"> All modelling uses the Authority’s APT data and baselines. We are aware that a number of academies have different (higher) baselines within their GAG Statements due to specific agreements with the E</w:t>
      </w:r>
      <w:r w:rsidR="006A6D58">
        <w:rPr>
          <w:sz w:val="22"/>
          <w:szCs w:val="22"/>
        </w:rPr>
        <w:t>S</w:t>
      </w:r>
      <w:r w:rsidR="00965941">
        <w:rPr>
          <w:sz w:val="22"/>
          <w:szCs w:val="22"/>
        </w:rPr>
        <w:t>FA about levels of protected funding. For the purposes of our consultation modelling we have excluded these additional amounts</w:t>
      </w:r>
      <w:r w:rsidR="006A6D58">
        <w:rPr>
          <w:sz w:val="22"/>
          <w:szCs w:val="22"/>
        </w:rPr>
        <w:t xml:space="preserve"> so that we compare like with like on the figures that the Authority recognises</w:t>
      </w:r>
      <w:r w:rsidR="00D97388">
        <w:rPr>
          <w:sz w:val="22"/>
          <w:szCs w:val="22"/>
        </w:rPr>
        <w:t xml:space="preserve"> and agrees.</w:t>
      </w:r>
    </w:p>
    <w:p w:rsidR="00965941" w:rsidRDefault="00965941" w:rsidP="00B55685">
      <w:pPr>
        <w:contextualSpacing/>
        <w:jc w:val="both"/>
        <w:rPr>
          <w:sz w:val="22"/>
          <w:szCs w:val="22"/>
        </w:rPr>
      </w:pPr>
      <w:r>
        <w:rPr>
          <w:sz w:val="22"/>
          <w:szCs w:val="22"/>
        </w:rPr>
        <w:lastRenderedPageBreak/>
        <w:t>5.</w:t>
      </w:r>
      <w:r w:rsidR="00F669EE">
        <w:rPr>
          <w:sz w:val="22"/>
          <w:szCs w:val="22"/>
        </w:rPr>
        <w:t>6</w:t>
      </w:r>
      <w:r w:rsidRPr="00FF0D14">
        <w:rPr>
          <w:b/>
          <w:sz w:val="22"/>
          <w:szCs w:val="22"/>
        </w:rPr>
        <w:t xml:space="preserve"> We must very clearly state that this modelling is published only for the purposes of enabling schools and academies to understand how the chang</w:t>
      </w:r>
      <w:r w:rsidR="003B6616">
        <w:rPr>
          <w:b/>
          <w:sz w:val="22"/>
          <w:szCs w:val="22"/>
        </w:rPr>
        <w:t xml:space="preserve">e to NFF, under the parameters </w:t>
      </w:r>
      <w:r w:rsidRPr="00FF0D14">
        <w:rPr>
          <w:b/>
          <w:sz w:val="22"/>
          <w:szCs w:val="22"/>
        </w:rPr>
        <w:t>set out, will affect their financial year formula funding</w:t>
      </w:r>
      <w:r w:rsidR="00FF0D14">
        <w:rPr>
          <w:b/>
          <w:sz w:val="22"/>
          <w:szCs w:val="22"/>
        </w:rPr>
        <w:t xml:space="preserve"> so that they are able to form a view and respond to this consultation</w:t>
      </w:r>
      <w:r w:rsidRPr="00FF0D14">
        <w:rPr>
          <w:b/>
          <w:sz w:val="22"/>
          <w:szCs w:val="22"/>
        </w:rPr>
        <w:t>. The modelling does not constitute indicative or final budgets for 2018/19</w:t>
      </w:r>
      <w:r>
        <w:rPr>
          <w:sz w:val="22"/>
          <w:szCs w:val="22"/>
        </w:rPr>
        <w:t>. The modelling makes no reference to:</w:t>
      </w:r>
    </w:p>
    <w:p w:rsidR="00965941" w:rsidRDefault="00965941" w:rsidP="00B55685">
      <w:pPr>
        <w:contextualSpacing/>
        <w:jc w:val="both"/>
        <w:rPr>
          <w:sz w:val="22"/>
          <w:szCs w:val="22"/>
        </w:rPr>
      </w:pPr>
    </w:p>
    <w:p w:rsidR="00965941" w:rsidRDefault="00965941" w:rsidP="008D16B2">
      <w:pPr>
        <w:pStyle w:val="ListParagraph"/>
        <w:numPr>
          <w:ilvl w:val="0"/>
          <w:numId w:val="34"/>
        </w:numPr>
        <w:contextualSpacing/>
        <w:jc w:val="both"/>
        <w:rPr>
          <w:sz w:val="22"/>
          <w:szCs w:val="22"/>
        </w:rPr>
      </w:pPr>
      <w:r>
        <w:rPr>
          <w:sz w:val="22"/>
          <w:szCs w:val="22"/>
        </w:rPr>
        <w:t>Changes in the number of pupils in schools that will be recorded in the October 2017 Census that will feed into 2018/19 allocations.</w:t>
      </w:r>
    </w:p>
    <w:p w:rsidR="00965941" w:rsidRDefault="00965941" w:rsidP="00965941">
      <w:pPr>
        <w:pStyle w:val="ListParagraph"/>
        <w:contextualSpacing/>
        <w:jc w:val="both"/>
        <w:rPr>
          <w:sz w:val="22"/>
          <w:szCs w:val="22"/>
        </w:rPr>
      </w:pPr>
    </w:p>
    <w:p w:rsidR="00965941" w:rsidRDefault="00965941" w:rsidP="008D16B2">
      <w:pPr>
        <w:pStyle w:val="ListParagraph"/>
        <w:numPr>
          <w:ilvl w:val="0"/>
          <w:numId w:val="34"/>
        </w:numPr>
        <w:contextualSpacing/>
        <w:jc w:val="both"/>
        <w:rPr>
          <w:sz w:val="22"/>
          <w:szCs w:val="22"/>
        </w:rPr>
      </w:pPr>
      <w:r>
        <w:rPr>
          <w:sz w:val="22"/>
          <w:szCs w:val="22"/>
        </w:rPr>
        <w:t>Change in data e.g. FSM% and prior attainment that will be sourced from the October 2017 Census data that will feed into 2018/19 allocations.</w:t>
      </w:r>
    </w:p>
    <w:p w:rsidR="00965941" w:rsidRDefault="00965941" w:rsidP="00965941">
      <w:pPr>
        <w:pStyle w:val="ListParagraph"/>
        <w:contextualSpacing/>
        <w:jc w:val="both"/>
        <w:rPr>
          <w:sz w:val="22"/>
          <w:szCs w:val="22"/>
        </w:rPr>
      </w:pPr>
    </w:p>
    <w:p w:rsidR="00965941" w:rsidRDefault="00965941" w:rsidP="008D16B2">
      <w:pPr>
        <w:pStyle w:val="ListParagraph"/>
        <w:numPr>
          <w:ilvl w:val="0"/>
          <w:numId w:val="34"/>
        </w:numPr>
        <w:contextualSpacing/>
        <w:jc w:val="both"/>
        <w:rPr>
          <w:sz w:val="22"/>
          <w:szCs w:val="22"/>
        </w:rPr>
      </w:pPr>
      <w:r>
        <w:rPr>
          <w:sz w:val="22"/>
          <w:szCs w:val="22"/>
        </w:rPr>
        <w:t>Any adjustment that might</w:t>
      </w:r>
      <w:r w:rsidR="00FF0D14">
        <w:rPr>
          <w:sz w:val="22"/>
          <w:szCs w:val="22"/>
        </w:rPr>
        <w:t xml:space="preserve"> be required </w:t>
      </w:r>
      <w:r>
        <w:rPr>
          <w:sz w:val="22"/>
          <w:szCs w:val="22"/>
        </w:rPr>
        <w:t>for the purposes of balancing the Schools Block / the DSG in 2018/19.</w:t>
      </w:r>
    </w:p>
    <w:p w:rsidR="00FF0D14" w:rsidRDefault="00FF0D14" w:rsidP="00FF0D14">
      <w:pPr>
        <w:pStyle w:val="ListParagraph"/>
        <w:contextualSpacing/>
        <w:jc w:val="both"/>
        <w:rPr>
          <w:sz w:val="22"/>
          <w:szCs w:val="22"/>
        </w:rPr>
      </w:pPr>
    </w:p>
    <w:p w:rsidR="00FF0D14" w:rsidRDefault="00F669EE" w:rsidP="00FF0D14">
      <w:pPr>
        <w:contextualSpacing/>
        <w:jc w:val="both"/>
        <w:rPr>
          <w:sz w:val="22"/>
          <w:szCs w:val="22"/>
        </w:rPr>
      </w:pPr>
      <w:r>
        <w:rPr>
          <w:sz w:val="22"/>
          <w:szCs w:val="22"/>
        </w:rPr>
        <w:t>5.7 A</w:t>
      </w:r>
      <w:r w:rsidR="00FF0D14">
        <w:rPr>
          <w:sz w:val="22"/>
          <w:szCs w:val="22"/>
        </w:rPr>
        <w:t xml:space="preserve"> column by column key is included in Appendix 1.</w:t>
      </w:r>
    </w:p>
    <w:p w:rsidR="00FF0D14" w:rsidRDefault="00FF0D14" w:rsidP="00FF0D14">
      <w:pPr>
        <w:contextualSpacing/>
        <w:jc w:val="both"/>
        <w:rPr>
          <w:sz w:val="22"/>
          <w:szCs w:val="22"/>
        </w:rPr>
      </w:pPr>
    </w:p>
    <w:p w:rsidR="00FF0D14" w:rsidRPr="00FF0D14" w:rsidRDefault="00F669EE" w:rsidP="00FF0D14">
      <w:pPr>
        <w:contextualSpacing/>
        <w:jc w:val="both"/>
        <w:rPr>
          <w:sz w:val="22"/>
          <w:szCs w:val="22"/>
        </w:rPr>
      </w:pPr>
      <w:r>
        <w:rPr>
          <w:sz w:val="22"/>
          <w:szCs w:val="22"/>
        </w:rPr>
        <w:t>5.8</w:t>
      </w:r>
      <w:r w:rsidR="00FF0D14">
        <w:rPr>
          <w:sz w:val="22"/>
          <w:szCs w:val="22"/>
        </w:rPr>
        <w:t xml:space="preserve"> As the level of Minimum Funding Guarantee is such an important decision in 2018/19 we have provided an additional model, Appendix 2, which shows the difference in the NFF-</w:t>
      </w:r>
      <w:r>
        <w:rPr>
          <w:sz w:val="22"/>
          <w:szCs w:val="22"/>
        </w:rPr>
        <w:t xml:space="preserve"> </w:t>
      </w:r>
      <w:r w:rsidR="00FF0D14">
        <w:rPr>
          <w:sz w:val="22"/>
          <w:szCs w:val="22"/>
        </w:rPr>
        <w:t>based allocation between a 0% and a minus 1.5% MFG.</w:t>
      </w:r>
      <w:r>
        <w:rPr>
          <w:sz w:val="22"/>
          <w:szCs w:val="22"/>
        </w:rPr>
        <w:t xml:space="preserve"> This will also allow schools to see the improvement in their formula funding result vs. the early 2017 </w:t>
      </w:r>
      <w:r w:rsidR="003B6616">
        <w:rPr>
          <w:sz w:val="22"/>
          <w:szCs w:val="22"/>
        </w:rPr>
        <w:t xml:space="preserve">ready reckoner </w:t>
      </w:r>
      <w:r>
        <w:rPr>
          <w:sz w:val="22"/>
          <w:szCs w:val="22"/>
        </w:rPr>
        <w:t>modelling when it was expected that the MFG would be set at minus 1.5% in 2018/19.</w:t>
      </w:r>
    </w:p>
    <w:p w:rsidR="00965941" w:rsidRDefault="00965941" w:rsidP="00B55685">
      <w:pPr>
        <w:contextualSpacing/>
        <w:jc w:val="both"/>
        <w:rPr>
          <w:sz w:val="22"/>
          <w:szCs w:val="22"/>
        </w:rPr>
      </w:pPr>
    </w:p>
    <w:p w:rsidR="00D279DD" w:rsidRPr="00D279DD" w:rsidRDefault="00D279DD" w:rsidP="00D279DD">
      <w:pPr>
        <w:jc w:val="both"/>
        <w:rPr>
          <w:sz w:val="22"/>
          <w:szCs w:val="22"/>
        </w:rPr>
      </w:pPr>
      <w:r>
        <w:rPr>
          <w:sz w:val="22"/>
          <w:szCs w:val="22"/>
        </w:rPr>
        <w:t xml:space="preserve">5.9 </w:t>
      </w:r>
      <w:r w:rsidR="00440E63" w:rsidRPr="00D279DD">
        <w:rPr>
          <w:sz w:val="22"/>
          <w:szCs w:val="22"/>
        </w:rPr>
        <w:t>Schools and academies are advised to</w:t>
      </w:r>
      <w:r w:rsidR="00E36CF1" w:rsidRPr="00D279DD">
        <w:rPr>
          <w:sz w:val="22"/>
          <w:szCs w:val="22"/>
        </w:rPr>
        <w:t xml:space="preserve"> </w:t>
      </w:r>
      <w:r w:rsidR="00440E63" w:rsidRPr="00D279DD">
        <w:rPr>
          <w:sz w:val="22"/>
          <w:szCs w:val="22"/>
        </w:rPr>
        <w:t xml:space="preserve">look at the information in Appendix 1 </w:t>
      </w:r>
      <w:r>
        <w:rPr>
          <w:sz w:val="22"/>
          <w:szCs w:val="22"/>
        </w:rPr>
        <w:t xml:space="preserve">and to compare this </w:t>
      </w:r>
      <w:r w:rsidR="00440E63" w:rsidRPr="00D279DD">
        <w:rPr>
          <w:sz w:val="22"/>
          <w:szCs w:val="22"/>
        </w:rPr>
        <w:t xml:space="preserve">with the </w:t>
      </w:r>
      <w:hyperlink r:id="rId17" w:history="1">
        <w:r w:rsidR="00440E63" w:rsidRPr="00D279DD">
          <w:rPr>
            <w:rStyle w:val="Hyperlink"/>
            <w:color w:val="auto"/>
            <w:sz w:val="22"/>
            <w:szCs w:val="22"/>
          </w:rPr>
          <w:t>ready reckoner</w:t>
        </w:r>
      </w:hyperlink>
      <w:r w:rsidR="00440E63" w:rsidRPr="00D279DD">
        <w:rPr>
          <w:sz w:val="22"/>
          <w:szCs w:val="22"/>
        </w:rPr>
        <w:t xml:space="preserve"> that was published early in 2017 to identify any difference in the impact of</w:t>
      </w:r>
      <w:r>
        <w:rPr>
          <w:sz w:val="22"/>
          <w:szCs w:val="22"/>
        </w:rPr>
        <w:t xml:space="preserve"> the final</w:t>
      </w:r>
      <w:r w:rsidR="00440E63" w:rsidRPr="00D279DD">
        <w:rPr>
          <w:sz w:val="22"/>
          <w:szCs w:val="22"/>
        </w:rPr>
        <w:t xml:space="preserve"> NFF</w:t>
      </w:r>
      <w:r>
        <w:rPr>
          <w:sz w:val="22"/>
          <w:szCs w:val="22"/>
        </w:rPr>
        <w:t xml:space="preserve"> vs. what has been previously set out and what is likely to have formed the basis of the school’s current 3-5 year budget planning</w:t>
      </w:r>
      <w:r w:rsidR="00440E63" w:rsidRPr="00D279DD">
        <w:rPr>
          <w:sz w:val="22"/>
          <w:szCs w:val="22"/>
        </w:rPr>
        <w:t xml:space="preserve">. </w:t>
      </w:r>
      <w:r w:rsidRPr="00D279DD">
        <w:rPr>
          <w:sz w:val="22"/>
          <w:szCs w:val="22"/>
        </w:rPr>
        <w:t>Apart from some smaller differences</w:t>
      </w:r>
      <w:r>
        <w:rPr>
          <w:sz w:val="22"/>
          <w:szCs w:val="22"/>
        </w:rPr>
        <w:t>,</w:t>
      </w:r>
      <w:r w:rsidRPr="00D279DD">
        <w:rPr>
          <w:sz w:val="22"/>
          <w:szCs w:val="22"/>
        </w:rPr>
        <w:t xml:space="preserve"> due to the increase in base per pupil funding and</w:t>
      </w:r>
      <w:r>
        <w:rPr>
          <w:sz w:val="22"/>
          <w:szCs w:val="22"/>
        </w:rPr>
        <w:t xml:space="preserve"> a minor tweak in IDACI </w:t>
      </w:r>
      <w:r w:rsidRPr="00D279DD">
        <w:rPr>
          <w:sz w:val="22"/>
          <w:szCs w:val="22"/>
        </w:rPr>
        <w:t>band c, t</w:t>
      </w:r>
      <w:r w:rsidR="00440E63" w:rsidRPr="00D279DD">
        <w:rPr>
          <w:sz w:val="22"/>
          <w:szCs w:val="22"/>
        </w:rPr>
        <w:t>he main reason</w:t>
      </w:r>
      <w:r w:rsidRPr="00D279DD">
        <w:rPr>
          <w:sz w:val="22"/>
          <w:szCs w:val="22"/>
        </w:rPr>
        <w:t xml:space="preserve">s for differences </w:t>
      </w:r>
      <w:r w:rsidR="00C17BBD">
        <w:rPr>
          <w:sz w:val="22"/>
          <w:szCs w:val="22"/>
        </w:rPr>
        <w:t>between Appendix 1 and the ready r</w:t>
      </w:r>
      <w:r>
        <w:rPr>
          <w:sz w:val="22"/>
          <w:szCs w:val="22"/>
        </w:rPr>
        <w:t xml:space="preserve">eckoner </w:t>
      </w:r>
      <w:r w:rsidRPr="00D279DD">
        <w:rPr>
          <w:sz w:val="22"/>
          <w:szCs w:val="22"/>
        </w:rPr>
        <w:t>are:</w:t>
      </w:r>
    </w:p>
    <w:p w:rsidR="00D279DD" w:rsidRDefault="00D279DD" w:rsidP="00D279DD">
      <w:pPr>
        <w:pStyle w:val="ListParagraph"/>
        <w:jc w:val="both"/>
        <w:rPr>
          <w:sz w:val="22"/>
          <w:szCs w:val="22"/>
        </w:rPr>
      </w:pPr>
    </w:p>
    <w:p w:rsidR="00D279DD" w:rsidRDefault="00D279DD" w:rsidP="008D16B2">
      <w:pPr>
        <w:pStyle w:val="ListParagraph"/>
        <w:numPr>
          <w:ilvl w:val="0"/>
          <w:numId w:val="34"/>
        </w:numPr>
        <w:contextualSpacing/>
        <w:jc w:val="both"/>
        <w:rPr>
          <w:sz w:val="22"/>
          <w:szCs w:val="22"/>
        </w:rPr>
      </w:pPr>
      <w:r>
        <w:rPr>
          <w:sz w:val="22"/>
          <w:szCs w:val="22"/>
        </w:rPr>
        <w:t xml:space="preserve">That </w:t>
      </w:r>
      <w:r w:rsidR="00440E63">
        <w:rPr>
          <w:sz w:val="22"/>
          <w:szCs w:val="22"/>
        </w:rPr>
        <w:t>the MFG</w:t>
      </w:r>
      <w:r>
        <w:rPr>
          <w:sz w:val="22"/>
          <w:szCs w:val="22"/>
        </w:rPr>
        <w:t xml:space="preserve"> is set at 0% in Appendix 1 whereas this was set at </w:t>
      </w:r>
      <w:r w:rsidR="00440E63">
        <w:rPr>
          <w:sz w:val="22"/>
          <w:szCs w:val="22"/>
        </w:rPr>
        <w:t xml:space="preserve">minus 1.5% within the ready </w:t>
      </w:r>
      <w:r>
        <w:rPr>
          <w:sz w:val="22"/>
          <w:szCs w:val="22"/>
        </w:rPr>
        <w:t>reckoner.</w:t>
      </w:r>
    </w:p>
    <w:p w:rsidR="00D279DD" w:rsidRDefault="00D279DD" w:rsidP="00D279DD">
      <w:pPr>
        <w:pStyle w:val="ListParagraph"/>
        <w:contextualSpacing/>
        <w:jc w:val="both"/>
        <w:rPr>
          <w:sz w:val="22"/>
          <w:szCs w:val="22"/>
        </w:rPr>
      </w:pPr>
    </w:p>
    <w:p w:rsidR="00440E63" w:rsidRDefault="00D279DD" w:rsidP="008D16B2">
      <w:pPr>
        <w:pStyle w:val="ListParagraph"/>
        <w:numPr>
          <w:ilvl w:val="0"/>
          <w:numId w:val="34"/>
        </w:numPr>
        <w:contextualSpacing/>
        <w:jc w:val="both"/>
        <w:rPr>
          <w:sz w:val="22"/>
          <w:szCs w:val="22"/>
        </w:rPr>
      </w:pPr>
      <w:r>
        <w:rPr>
          <w:sz w:val="22"/>
          <w:szCs w:val="22"/>
        </w:rPr>
        <w:t>For a smaller number of schools, the impact of the new minimum per pupil funding floor that was not within the D</w:t>
      </w:r>
      <w:r w:rsidR="0078576D">
        <w:rPr>
          <w:sz w:val="22"/>
          <w:szCs w:val="22"/>
        </w:rPr>
        <w:t>fE’s proposals in December 2016 and was not within the ready reckoner model.</w:t>
      </w:r>
    </w:p>
    <w:p w:rsidR="00D279DD" w:rsidRDefault="00D279DD" w:rsidP="00D279DD">
      <w:pPr>
        <w:pStyle w:val="ListParagraph"/>
        <w:contextualSpacing/>
        <w:jc w:val="both"/>
        <w:rPr>
          <w:sz w:val="22"/>
          <w:szCs w:val="22"/>
        </w:rPr>
      </w:pPr>
    </w:p>
    <w:p w:rsidR="00D143F8" w:rsidRPr="00D143F8" w:rsidRDefault="00D279DD" w:rsidP="00D143F8">
      <w:pPr>
        <w:pStyle w:val="ListParagraph"/>
        <w:numPr>
          <w:ilvl w:val="0"/>
          <w:numId w:val="34"/>
        </w:numPr>
        <w:contextualSpacing/>
        <w:jc w:val="both"/>
        <w:rPr>
          <w:sz w:val="22"/>
          <w:szCs w:val="22"/>
        </w:rPr>
      </w:pPr>
      <w:r>
        <w:rPr>
          <w:sz w:val="22"/>
          <w:szCs w:val="22"/>
        </w:rPr>
        <w:t>That the low prior attainment funding in the ready reckoner was still based on October 2015 data whereas Appendix 1 figures are now based on October 2016.</w:t>
      </w:r>
    </w:p>
    <w:p w:rsidR="00D279DD" w:rsidRDefault="00D279DD" w:rsidP="00D279DD">
      <w:pPr>
        <w:pStyle w:val="ListParagraph"/>
        <w:contextualSpacing/>
        <w:jc w:val="both"/>
        <w:rPr>
          <w:sz w:val="22"/>
          <w:szCs w:val="22"/>
        </w:rPr>
      </w:pPr>
    </w:p>
    <w:p w:rsidR="00D279DD" w:rsidRDefault="00D279DD" w:rsidP="00D279DD">
      <w:pPr>
        <w:contextualSpacing/>
        <w:jc w:val="both"/>
        <w:rPr>
          <w:sz w:val="22"/>
          <w:szCs w:val="22"/>
        </w:rPr>
      </w:pPr>
      <w:r>
        <w:rPr>
          <w:sz w:val="22"/>
          <w:szCs w:val="22"/>
        </w:rPr>
        <w:t>5.10 Schools and academies are then advised to identify in Appendix 1 whether</w:t>
      </w:r>
      <w:r w:rsidR="000316F2">
        <w:rPr>
          <w:sz w:val="22"/>
          <w:szCs w:val="22"/>
        </w:rPr>
        <w:t>, under NFF,</w:t>
      </w:r>
      <w:r>
        <w:rPr>
          <w:sz w:val="22"/>
          <w:szCs w:val="22"/>
        </w:rPr>
        <w:t xml:space="preserve"> they are funded on or above the MFG</w:t>
      </w:r>
      <w:r w:rsidR="008D16B2">
        <w:rPr>
          <w:sz w:val="22"/>
          <w:szCs w:val="22"/>
        </w:rPr>
        <w:t xml:space="preserve"> and the value of MFG if applicable</w:t>
      </w:r>
      <w:r>
        <w:rPr>
          <w:sz w:val="22"/>
          <w:szCs w:val="22"/>
        </w:rPr>
        <w:t>. If you are funded on the MFG, please then look at Appendix 2, wh</w:t>
      </w:r>
      <w:r w:rsidR="008D16B2">
        <w:rPr>
          <w:sz w:val="22"/>
          <w:szCs w:val="22"/>
        </w:rPr>
        <w:t>ich illustrates the difference i</w:t>
      </w:r>
      <w:r>
        <w:rPr>
          <w:sz w:val="22"/>
          <w:szCs w:val="22"/>
        </w:rPr>
        <w:t>n your school’s financial year allocation when the</w:t>
      </w:r>
      <w:r w:rsidR="008D16B2">
        <w:rPr>
          <w:sz w:val="22"/>
          <w:szCs w:val="22"/>
        </w:rPr>
        <w:t xml:space="preserve"> NFF is used but when the</w:t>
      </w:r>
      <w:r>
        <w:rPr>
          <w:sz w:val="22"/>
          <w:szCs w:val="22"/>
        </w:rPr>
        <w:t xml:space="preserve"> MFG is set at minus 1.5% rather than 0%.</w:t>
      </w:r>
      <w:r w:rsidR="000316F2">
        <w:rPr>
          <w:sz w:val="22"/>
          <w:szCs w:val="22"/>
        </w:rPr>
        <w:t xml:space="preserve"> This</w:t>
      </w:r>
      <w:r w:rsidR="004645D6">
        <w:rPr>
          <w:sz w:val="22"/>
          <w:szCs w:val="22"/>
        </w:rPr>
        <w:t xml:space="preserve"> gives sight of </w:t>
      </w:r>
      <w:r w:rsidR="000316F2">
        <w:rPr>
          <w:sz w:val="22"/>
          <w:szCs w:val="22"/>
        </w:rPr>
        <w:t>an illustrative ‘worst case s</w:t>
      </w:r>
      <w:r w:rsidR="004645D6">
        <w:rPr>
          <w:sz w:val="22"/>
          <w:szCs w:val="22"/>
        </w:rPr>
        <w:t>cenario’ before any changes in pupil numbers between October 2017 and October 2016 are factored in</w:t>
      </w:r>
      <w:r w:rsidR="00D143F8">
        <w:rPr>
          <w:sz w:val="22"/>
          <w:szCs w:val="22"/>
        </w:rPr>
        <w:t xml:space="preserve"> and is important in your response to decision 2.</w:t>
      </w:r>
    </w:p>
    <w:p w:rsidR="00433285" w:rsidRDefault="00433285" w:rsidP="00D279DD">
      <w:pPr>
        <w:contextualSpacing/>
        <w:jc w:val="both"/>
        <w:rPr>
          <w:sz w:val="22"/>
          <w:szCs w:val="22"/>
        </w:rPr>
      </w:pPr>
    </w:p>
    <w:p w:rsidR="00433285" w:rsidRDefault="00433285" w:rsidP="00D279DD">
      <w:pPr>
        <w:contextualSpacing/>
        <w:jc w:val="both"/>
        <w:rPr>
          <w:b/>
          <w:sz w:val="22"/>
          <w:szCs w:val="22"/>
        </w:rPr>
      </w:pPr>
      <w:r w:rsidRPr="00433285">
        <w:rPr>
          <w:b/>
          <w:sz w:val="22"/>
          <w:szCs w:val="22"/>
        </w:rPr>
        <w:t xml:space="preserve">5.11 The Authority is conscious that schools will wish to understand how the proposals set out in this document may affect their actual 2018/19 allocations </w:t>
      </w:r>
      <w:r w:rsidR="00FE5BBD">
        <w:rPr>
          <w:b/>
          <w:sz w:val="22"/>
          <w:szCs w:val="22"/>
        </w:rPr>
        <w:t>and what the figure may be when based o</w:t>
      </w:r>
      <w:r w:rsidRPr="00433285">
        <w:rPr>
          <w:b/>
          <w:sz w:val="22"/>
          <w:szCs w:val="22"/>
        </w:rPr>
        <w:t xml:space="preserve">n October 2017 Census data. We </w:t>
      </w:r>
      <w:r w:rsidR="00042E2E">
        <w:rPr>
          <w:b/>
          <w:sz w:val="22"/>
          <w:szCs w:val="22"/>
        </w:rPr>
        <w:t>have</w:t>
      </w:r>
      <w:r w:rsidRPr="00433285">
        <w:rPr>
          <w:b/>
          <w:sz w:val="22"/>
          <w:szCs w:val="22"/>
        </w:rPr>
        <w:t xml:space="preserve"> provide</w:t>
      </w:r>
      <w:r w:rsidR="00042E2E">
        <w:rPr>
          <w:b/>
          <w:sz w:val="22"/>
          <w:szCs w:val="22"/>
        </w:rPr>
        <w:t>d</w:t>
      </w:r>
      <w:r w:rsidRPr="00433285">
        <w:rPr>
          <w:b/>
          <w:sz w:val="22"/>
          <w:szCs w:val="22"/>
        </w:rPr>
        <w:t xml:space="preserve"> an updated ready reckoner, which will allow sch</w:t>
      </w:r>
      <w:r w:rsidR="00042E2E">
        <w:rPr>
          <w:b/>
          <w:sz w:val="22"/>
          <w:szCs w:val="22"/>
        </w:rPr>
        <w:t>ools</w:t>
      </w:r>
      <w:r w:rsidR="00FE5BBD">
        <w:rPr>
          <w:b/>
          <w:sz w:val="22"/>
          <w:szCs w:val="22"/>
        </w:rPr>
        <w:t xml:space="preserve"> to assess</w:t>
      </w:r>
      <w:r w:rsidRPr="00433285">
        <w:rPr>
          <w:b/>
          <w:sz w:val="22"/>
          <w:szCs w:val="22"/>
        </w:rPr>
        <w:t xml:space="preserve"> the possible implications for </w:t>
      </w:r>
      <w:r w:rsidR="00FE5BBD">
        <w:rPr>
          <w:b/>
          <w:sz w:val="22"/>
          <w:szCs w:val="22"/>
        </w:rPr>
        <w:t>their actual 2018/19</w:t>
      </w:r>
      <w:r w:rsidRPr="00433285">
        <w:rPr>
          <w:b/>
          <w:sz w:val="22"/>
          <w:szCs w:val="22"/>
        </w:rPr>
        <w:t xml:space="preserve"> funding</w:t>
      </w:r>
      <w:r w:rsidR="00910EC8">
        <w:rPr>
          <w:b/>
          <w:sz w:val="22"/>
          <w:szCs w:val="22"/>
        </w:rPr>
        <w:t xml:space="preserve"> and to calculate a model using October 2017 pupil numbers</w:t>
      </w:r>
      <w:r w:rsidRPr="00433285">
        <w:rPr>
          <w:b/>
          <w:sz w:val="22"/>
          <w:szCs w:val="22"/>
        </w:rPr>
        <w:t>.</w:t>
      </w:r>
    </w:p>
    <w:p w:rsidR="00C30410" w:rsidRPr="0023404C" w:rsidRDefault="00C30410" w:rsidP="00C30410">
      <w:pPr>
        <w:jc w:val="both"/>
        <w:rPr>
          <w:color w:val="000000"/>
          <w:sz w:val="22"/>
          <w:szCs w:val="22"/>
        </w:rPr>
      </w:pPr>
    </w:p>
    <w:p w:rsidR="00C30410" w:rsidRPr="0023404C" w:rsidRDefault="002E1A57" w:rsidP="00C30410">
      <w:pPr>
        <w:jc w:val="both"/>
        <w:rPr>
          <w:color w:val="000000"/>
          <w:sz w:val="22"/>
          <w:szCs w:val="22"/>
        </w:rPr>
      </w:pPr>
      <w:r>
        <w:rPr>
          <w:color w:val="000000"/>
          <w:sz w:val="22"/>
          <w:szCs w:val="22"/>
        </w:rPr>
        <w:t>5.12</w:t>
      </w:r>
      <w:r w:rsidR="00C30410" w:rsidRPr="0023404C">
        <w:rPr>
          <w:color w:val="000000"/>
          <w:sz w:val="22"/>
          <w:szCs w:val="22"/>
        </w:rPr>
        <w:t xml:space="preserve"> If you would like to discuss the modelling in more detail, or discuss the data on which allocations are calculated, please contact </w:t>
      </w:r>
      <w:r w:rsidR="00C30410">
        <w:rPr>
          <w:color w:val="000000"/>
          <w:sz w:val="22"/>
          <w:szCs w:val="22"/>
        </w:rPr>
        <w:t>Andrew Redding</w:t>
      </w:r>
    </w:p>
    <w:p w:rsidR="00C30410" w:rsidRPr="0023404C" w:rsidRDefault="00C30410" w:rsidP="00C30410">
      <w:pPr>
        <w:jc w:val="both"/>
        <w:rPr>
          <w:b/>
          <w:bCs/>
          <w:color w:val="0000FF"/>
          <w:sz w:val="22"/>
          <w:szCs w:val="22"/>
        </w:rPr>
      </w:pPr>
    </w:p>
    <w:p w:rsidR="00FC4826" w:rsidRDefault="00FC4826" w:rsidP="004574FB">
      <w:pPr>
        <w:jc w:val="both"/>
        <w:rPr>
          <w:b/>
          <w:bCs/>
          <w:color w:val="0000FF"/>
          <w:sz w:val="22"/>
          <w:szCs w:val="22"/>
        </w:rPr>
      </w:pPr>
    </w:p>
    <w:p w:rsidR="00A82907" w:rsidRPr="006F1F96" w:rsidRDefault="002E1A57" w:rsidP="004574FB">
      <w:pPr>
        <w:jc w:val="both"/>
        <w:rPr>
          <w:b/>
          <w:bCs/>
          <w:color w:val="4F81BD" w:themeColor="accent1"/>
          <w:sz w:val="22"/>
          <w:szCs w:val="22"/>
        </w:rPr>
      </w:pPr>
      <w:r w:rsidRPr="006F1F96">
        <w:rPr>
          <w:b/>
          <w:bCs/>
          <w:color w:val="4F81BD" w:themeColor="accent1"/>
          <w:sz w:val="22"/>
          <w:szCs w:val="22"/>
        </w:rPr>
        <w:t>6</w:t>
      </w:r>
      <w:r w:rsidR="00A82907" w:rsidRPr="006F1F96">
        <w:rPr>
          <w:b/>
          <w:bCs/>
          <w:color w:val="4F81BD" w:themeColor="accent1"/>
          <w:sz w:val="22"/>
          <w:szCs w:val="22"/>
        </w:rPr>
        <w:t>.</w:t>
      </w:r>
      <w:r w:rsidR="00A82907" w:rsidRPr="006F1F96">
        <w:rPr>
          <w:b/>
          <w:bCs/>
          <w:color w:val="4F81BD" w:themeColor="accent1"/>
          <w:sz w:val="22"/>
          <w:szCs w:val="22"/>
        </w:rPr>
        <w:tab/>
        <w:t>Maintained Scho</w:t>
      </w:r>
      <w:r w:rsidR="006E37FC" w:rsidRPr="006F1F96">
        <w:rPr>
          <w:b/>
          <w:bCs/>
          <w:color w:val="4F81BD" w:themeColor="accent1"/>
          <w:sz w:val="22"/>
          <w:szCs w:val="22"/>
        </w:rPr>
        <w:t xml:space="preserve">ols </w:t>
      </w:r>
      <w:r w:rsidR="00B45630" w:rsidRPr="006F1F96">
        <w:rPr>
          <w:b/>
          <w:bCs/>
          <w:color w:val="4F81BD" w:themeColor="accent1"/>
          <w:sz w:val="22"/>
          <w:szCs w:val="22"/>
        </w:rPr>
        <w:t>–</w:t>
      </w:r>
      <w:r w:rsidR="006E37FC" w:rsidRPr="006F1F96">
        <w:rPr>
          <w:b/>
          <w:bCs/>
          <w:color w:val="4F81BD" w:themeColor="accent1"/>
          <w:sz w:val="22"/>
          <w:szCs w:val="22"/>
        </w:rPr>
        <w:t xml:space="preserve"> </w:t>
      </w:r>
      <w:r w:rsidR="00B45630" w:rsidRPr="006F1F96">
        <w:rPr>
          <w:b/>
          <w:bCs/>
          <w:color w:val="4F81BD" w:themeColor="accent1"/>
          <w:sz w:val="22"/>
          <w:szCs w:val="22"/>
        </w:rPr>
        <w:t>2018/19 De-Delegated Funds</w:t>
      </w:r>
    </w:p>
    <w:p w:rsidR="00BE60FB" w:rsidRPr="006D3066" w:rsidRDefault="00BE60FB" w:rsidP="004574FB">
      <w:pPr>
        <w:jc w:val="both"/>
        <w:rPr>
          <w:sz w:val="22"/>
          <w:szCs w:val="22"/>
          <w:highlight w:val="yellow"/>
        </w:rPr>
      </w:pPr>
    </w:p>
    <w:p w:rsidR="00560288" w:rsidRPr="00560288" w:rsidRDefault="006F1F96" w:rsidP="004574FB">
      <w:pPr>
        <w:jc w:val="both"/>
        <w:rPr>
          <w:sz w:val="22"/>
          <w:szCs w:val="22"/>
        </w:rPr>
      </w:pPr>
      <w:r>
        <w:rPr>
          <w:sz w:val="22"/>
          <w:szCs w:val="22"/>
        </w:rPr>
        <w:t>6</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A82907" w:rsidRPr="00560288">
        <w:rPr>
          <w:sz w:val="22"/>
          <w:szCs w:val="22"/>
        </w:rPr>
        <w:t xml:space="preserve"> can be held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ensure maximum delegation of </w:t>
      </w:r>
      <w:r w:rsidR="00A82907" w:rsidRPr="00560288">
        <w:rPr>
          <w:sz w:val="22"/>
          <w:szCs w:val="22"/>
        </w:rPr>
        <w:lastRenderedPageBreak/>
        <w:t>the DSG to schools and academies at the start of each financial year. The Regulations do allow funding for certain types of expenditure to be ‘de-delegated’</w:t>
      </w:r>
      <w:r w:rsidR="00560288" w:rsidRPr="00560288">
        <w:rPr>
          <w:sz w:val="22"/>
          <w:szCs w:val="22"/>
        </w:rPr>
        <w:t xml:space="preserve">, or passed back, </w:t>
      </w:r>
      <w:r w:rsidR="00A82907" w:rsidRPr="00560288">
        <w:rPr>
          <w:sz w:val="22"/>
          <w:szCs w:val="22"/>
        </w:rPr>
        <w:t xml:space="preserve">from maintained school budgets to be managed centrally. This only applies to maintained schools (not academies or free schools) and the Schools Forum must agree to de-delegate on a phase specific basis, so Forum members representing primary and secondary maintained schools must decide separately for each phase whether the service should be </w:t>
      </w:r>
      <w:r w:rsidR="006002CB">
        <w:rPr>
          <w:sz w:val="22"/>
          <w:szCs w:val="22"/>
        </w:rPr>
        <w:t>funded</w:t>
      </w:r>
      <w:r w:rsidR="00A82907" w:rsidRPr="00560288">
        <w:rPr>
          <w:sz w:val="22"/>
          <w:szCs w:val="22"/>
        </w:rPr>
        <w:t xml:space="preserve"> centrally</w:t>
      </w:r>
      <w:r w:rsidR="006002CB">
        <w:rPr>
          <w:sz w:val="22"/>
          <w:szCs w:val="22"/>
        </w:rPr>
        <w:t xml:space="preserve"> by ‘</w:t>
      </w:r>
      <w:proofErr w:type="spellStart"/>
      <w:r w:rsidR="006002CB">
        <w:rPr>
          <w:sz w:val="22"/>
          <w:szCs w:val="22"/>
        </w:rPr>
        <w:t>topslice</w:t>
      </w:r>
      <w:proofErr w:type="spellEnd"/>
      <w:r w:rsidR="006002CB">
        <w:rPr>
          <w:sz w:val="22"/>
          <w:szCs w:val="22"/>
        </w:rPr>
        <w:t>’</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6F1F96" w:rsidP="004E6484">
      <w:pPr>
        <w:rPr>
          <w:sz w:val="22"/>
          <w:szCs w:val="22"/>
        </w:rPr>
      </w:pPr>
      <w:r>
        <w:rPr>
          <w:sz w:val="22"/>
          <w:szCs w:val="22"/>
        </w:rPr>
        <w:t>6</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Pr>
          <w:sz w:val="22"/>
          <w:szCs w:val="22"/>
        </w:rPr>
        <w:t xml:space="preserve">lished de-delegated funds </w:t>
      </w:r>
      <w:r w:rsidR="00A82907" w:rsidRPr="00560288">
        <w:rPr>
          <w:sz w:val="22"/>
          <w:szCs w:val="22"/>
        </w:rPr>
        <w:t>to:</w:t>
      </w:r>
    </w:p>
    <w:p w:rsidR="00D93B71" w:rsidRPr="00560288" w:rsidRDefault="00D93B71" w:rsidP="004E6484">
      <w:pPr>
        <w:rPr>
          <w:sz w:val="22"/>
          <w:szCs w:val="22"/>
        </w:rPr>
      </w:pPr>
    </w:p>
    <w:p w:rsidR="00A82907" w:rsidRDefault="00A82907" w:rsidP="008D16B2">
      <w:pPr>
        <w:numPr>
          <w:ilvl w:val="0"/>
          <w:numId w:val="2"/>
        </w:numPr>
        <w:jc w:val="both"/>
        <w:rPr>
          <w:sz w:val="22"/>
          <w:szCs w:val="22"/>
        </w:rPr>
      </w:pPr>
      <w:r w:rsidRPr="00560288">
        <w:rPr>
          <w:sz w:val="22"/>
          <w:szCs w:val="22"/>
        </w:rPr>
        <w:t>take advantage of the economies of scale brought about by central management and bulk purchase e.g. Fischer Family Trust subscriptions</w:t>
      </w:r>
    </w:p>
    <w:p w:rsidR="006F1F96" w:rsidRPr="00560288" w:rsidRDefault="006F1F96" w:rsidP="006F1F96">
      <w:pPr>
        <w:ind w:left="720"/>
        <w:jc w:val="both"/>
        <w:rPr>
          <w:sz w:val="22"/>
          <w:szCs w:val="22"/>
        </w:rPr>
      </w:pPr>
    </w:p>
    <w:p w:rsidR="00A82907" w:rsidRDefault="00A82907" w:rsidP="008D16B2">
      <w:pPr>
        <w:numPr>
          <w:ilvl w:val="0"/>
          <w:numId w:val="2"/>
        </w:numPr>
        <w:jc w:val="both"/>
        <w:rPr>
          <w:sz w:val="22"/>
          <w:szCs w:val="22"/>
        </w:rPr>
      </w:pPr>
      <w:r w:rsidRPr="00560288">
        <w:rPr>
          <w:sz w:val="22"/>
          <w:szCs w:val="22"/>
        </w:rPr>
        <w:t>provide services that schools would find difficult or less cost effective to replace on an individual basis e.g.</w:t>
      </w:r>
      <w:r w:rsidR="006E37FC" w:rsidRPr="00560288">
        <w:rPr>
          <w:sz w:val="22"/>
          <w:szCs w:val="22"/>
        </w:rPr>
        <w:t xml:space="preserve"> trade union facilities time</w:t>
      </w:r>
    </w:p>
    <w:p w:rsidR="006F1F96" w:rsidRPr="00560288" w:rsidRDefault="006F1F96" w:rsidP="006F1F96">
      <w:pPr>
        <w:ind w:left="720"/>
        <w:jc w:val="both"/>
        <w:rPr>
          <w:sz w:val="22"/>
          <w:szCs w:val="22"/>
        </w:rPr>
      </w:pPr>
    </w:p>
    <w:p w:rsidR="00A82907" w:rsidRPr="00560288" w:rsidRDefault="00A82907" w:rsidP="008D16B2">
      <w:pPr>
        <w:numPr>
          <w:ilvl w:val="0"/>
          <w:numId w:val="2"/>
        </w:numPr>
        <w:jc w:val="both"/>
        <w:rPr>
          <w:sz w:val="22"/>
          <w:szCs w:val="22"/>
        </w:rPr>
      </w:pPr>
      <w:r w:rsidRPr="00560288">
        <w:rPr>
          <w:sz w:val="22"/>
          <w:szCs w:val="22"/>
        </w:rPr>
        <w:t>protect schools, especially smaller schools, against unpredictable expenditure e.g. maternity and paternity costs</w:t>
      </w:r>
    </w:p>
    <w:p w:rsidR="005948AB" w:rsidRDefault="005948AB" w:rsidP="005948AB">
      <w:pPr>
        <w:jc w:val="both"/>
        <w:rPr>
          <w:sz w:val="22"/>
          <w:szCs w:val="22"/>
        </w:rPr>
      </w:pPr>
    </w:p>
    <w:p w:rsidR="005948AB" w:rsidRPr="005948AB" w:rsidRDefault="006F1F96" w:rsidP="005948AB">
      <w:pPr>
        <w:jc w:val="both"/>
        <w:rPr>
          <w:sz w:val="22"/>
          <w:szCs w:val="22"/>
        </w:rPr>
      </w:pPr>
      <w:r>
        <w:rPr>
          <w:sz w:val="22"/>
          <w:szCs w:val="22"/>
        </w:rPr>
        <w:t>6</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made to de-delegate </w:t>
      </w:r>
      <w:r w:rsidR="00A732D0">
        <w:rPr>
          <w:sz w:val="22"/>
          <w:szCs w:val="22"/>
        </w:rPr>
        <w:t>must be taken annually</w:t>
      </w:r>
      <w:r w:rsidR="006002CB">
        <w:rPr>
          <w:sz w:val="22"/>
          <w:szCs w:val="22"/>
        </w:rPr>
        <w:t xml:space="preserve"> and</w:t>
      </w:r>
      <w:r w:rsidR="005948AB" w:rsidRPr="005948AB">
        <w:rPr>
          <w:sz w:val="22"/>
          <w:szCs w:val="22"/>
        </w:rPr>
        <w:t xml:space="preserve"> new decisions ar</w:t>
      </w:r>
      <w:r w:rsidR="006002CB">
        <w:rPr>
          <w:sz w:val="22"/>
          <w:szCs w:val="22"/>
        </w:rPr>
        <w:t>e required for de-delegation in 2</w:t>
      </w:r>
      <w:r w:rsidR="00A732D0">
        <w:rPr>
          <w:sz w:val="22"/>
          <w:szCs w:val="22"/>
        </w:rPr>
        <w:t>018/19</w:t>
      </w:r>
      <w:r w:rsidR="005948AB" w:rsidRPr="005948AB">
        <w:rPr>
          <w:sz w:val="22"/>
          <w:szCs w:val="22"/>
        </w:rPr>
        <w:t>.</w:t>
      </w:r>
      <w:r w:rsidR="006002CB">
        <w:rPr>
          <w:sz w:val="22"/>
          <w:szCs w:val="22"/>
        </w:rPr>
        <w:t xml:space="preserve"> </w:t>
      </w:r>
      <w:r w:rsidR="00A732D0">
        <w:rPr>
          <w:sz w:val="22"/>
          <w:szCs w:val="22"/>
        </w:rPr>
        <w:t xml:space="preserve">The Schools Forum will further discuss </w:t>
      </w:r>
      <w:r w:rsidR="005948AB" w:rsidRPr="005948AB">
        <w:rPr>
          <w:sz w:val="22"/>
          <w:szCs w:val="22"/>
        </w:rPr>
        <w:t>the position of de-delega</w:t>
      </w:r>
      <w:r w:rsidR="00A732D0">
        <w:rPr>
          <w:sz w:val="22"/>
          <w:szCs w:val="22"/>
        </w:rPr>
        <w:t>ted funds over the autumn term and this document asks for your feedback so this can be considered.</w:t>
      </w:r>
      <w:r w:rsidR="008C02FF">
        <w:rPr>
          <w:sz w:val="22"/>
          <w:szCs w:val="22"/>
        </w:rPr>
        <w:t xml:space="preserve"> </w:t>
      </w:r>
      <w:r w:rsidR="008C02FF" w:rsidRPr="00560288">
        <w:rPr>
          <w:sz w:val="22"/>
          <w:szCs w:val="22"/>
        </w:rPr>
        <w:t xml:space="preserve">This consultation asks for views only on whether funds should continue to be de-delegated for the purposes listed below. Please be aware that the values of these funds, where de-delegation continues, will be considered further by the Schools Forum in the autumn term. We would expect the values of funds to match anticipated cost pressures and to reduce </w:t>
      </w:r>
      <w:r w:rsidR="008C02FF">
        <w:rPr>
          <w:sz w:val="22"/>
          <w:szCs w:val="22"/>
        </w:rPr>
        <w:t>from 2017/18</w:t>
      </w:r>
      <w:r w:rsidR="008C02FF" w:rsidRPr="00560288">
        <w:rPr>
          <w:sz w:val="22"/>
          <w:szCs w:val="22"/>
        </w:rPr>
        <w:t xml:space="preserve"> for the impact of maintained schools converting to academy status</w:t>
      </w:r>
    </w:p>
    <w:p w:rsidR="006110AD" w:rsidRDefault="006110AD" w:rsidP="002F7A8C">
      <w:pPr>
        <w:jc w:val="both"/>
        <w:rPr>
          <w:sz w:val="22"/>
          <w:szCs w:val="22"/>
          <w:highlight w:val="yellow"/>
        </w:rPr>
      </w:pPr>
    </w:p>
    <w:p w:rsidR="00A732D0" w:rsidRDefault="006F1F96" w:rsidP="00A732D0">
      <w:pPr>
        <w:spacing w:after="200" w:line="276" w:lineRule="auto"/>
        <w:contextualSpacing/>
        <w:jc w:val="both"/>
        <w:rPr>
          <w:sz w:val="22"/>
          <w:szCs w:val="22"/>
        </w:rPr>
      </w:pPr>
      <w:r>
        <w:rPr>
          <w:sz w:val="22"/>
          <w:szCs w:val="22"/>
        </w:rPr>
        <w:t>6</w:t>
      </w:r>
      <w:r w:rsidR="00A732D0" w:rsidRPr="00A732D0">
        <w:rPr>
          <w:sz w:val="22"/>
          <w:szCs w:val="22"/>
        </w:rPr>
        <w:t>.</w:t>
      </w:r>
      <w:r w:rsidR="00EE4C8C">
        <w:rPr>
          <w:sz w:val="22"/>
          <w:szCs w:val="22"/>
        </w:rPr>
        <w:t>4</w:t>
      </w:r>
      <w:r w:rsidR="00A732D0" w:rsidRPr="00A732D0">
        <w:rPr>
          <w:sz w:val="22"/>
          <w:szCs w:val="22"/>
        </w:rPr>
        <w:t xml:space="preserve"> </w:t>
      </w:r>
      <w:r w:rsidR="00A732D0">
        <w:rPr>
          <w:sz w:val="22"/>
          <w:szCs w:val="22"/>
        </w:rPr>
        <w:t>Maintained schools are reminded that:</w:t>
      </w:r>
    </w:p>
    <w:p w:rsidR="00221D83" w:rsidRDefault="00221D83" w:rsidP="00A732D0">
      <w:pPr>
        <w:spacing w:after="200" w:line="276" w:lineRule="auto"/>
        <w:contextualSpacing/>
        <w:jc w:val="both"/>
        <w:rPr>
          <w:sz w:val="22"/>
          <w:szCs w:val="22"/>
        </w:rPr>
      </w:pPr>
    </w:p>
    <w:p w:rsidR="00A732D0" w:rsidRDefault="00A732D0" w:rsidP="008D16B2">
      <w:pPr>
        <w:numPr>
          <w:ilvl w:val="0"/>
          <w:numId w:val="2"/>
        </w:numPr>
        <w:jc w:val="both"/>
        <w:rPr>
          <w:sz w:val="22"/>
          <w:szCs w:val="22"/>
        </w:rPr>
      </w:pPr>
      <w:r w:rsidRPr="00A732D0">
        <w:rPr>
          <w:sz w:val="22"/>
          <w:szCs w:val="22"/>
        </w:rPr>
        <w:t>Representatives of maintained secondary schools agreed in the 2017/18 DSG round to the cessation of de-delegation for the Maternity / Paternity ‘insurance’ scheme, Fischer Family Trust, Exceptional Circumstances and School Staff Public Duties and Suspensi</w:t>
      </w:r>
      <w:r>
        <w:rPr>
          <w:sz w:val="22"/>
          <w:szCs w:val="22"/>
        </w:rPr>
        <w:t>ons from the secondary phase. I</w:t>
      </w:r>
      <w:r w:rsidRPr="00A732D0">
        <w:rPr>
          <w:sz w:val="22"/>
          <w:szCs w:val="22"/>
        </w:rPr>
        <w:t>t is anticipated / assumed that the Forum will not wish to revisit this decision</w:t>
      </w:r>
      <w:r>
        <w:rPr>
          <w:sz w:val="22"/>
          <w:szCs w:val="22"/>
        </w:rPr>
        <w:t xml:space="preserve"> i.e. will not wish to begin de-delegation again for 2018/19</w:t>
      </w:r>
      <w:r w:rsidR="000F49E2">
        <w:rPr>
          <w:sz w:val="22"/>
          <w:szCs w:val="22"/>
        </w:rPr>
        <w:t xml:space="preserve"> for these purposes</w:t>
      </w:r>
      <w:r>
        <w:rPr>
          <w:sz w:val="22"/>
          <w:szCs w:val="22"/>
        </w:rPr>
        <w:t>.</w:t>
      </w:r>
    </w:p>
    <w:p w:rsidR="00A732D0" w:rsidRDefault="00A732D0" w:rsidP="00A732D0">
      <w:pPr>
        <w:ind w:left="720"/>
        <w:jc w:val="both"/>
        <w:rPr>
          <w:sz w:val="22"/>
          <w:szCs w:val="22"/>
        </w:rPr>
      </w:pPr>
    </w:p>
    <w:p w:rsidR="00076380" w:rsidRDefault="006D2D22" w:rsidP="008D16B2">
      <w:pPr>
        <w:pStyle w:val="ListParagraph"/>
        <w:numPr>
          <w:ilvl w:val="0"/>
          <w:numId w:val="2"/>
        </w:numPr>
        <w:spacing w:after="200" w:line="276" w:lineRule="auto"/>
        <w:contextualSpacing/>
        <w:jc w:val="both"/>
        <w:rPr>
          <w:sz w:val="22"/>
          <w:szCs w:val="22"/>
        </w:rPr>
      </w:pPr>
      <w:r>
        <w:rPr>
          <w:sz w:val="22"/>
          <w:szCs w:val="22"/>
        </w:rPr>
        <w:t xml:space="preserve">Within </w:t>
      </w:r>
      <w:r w:rsidR="00CD5E88" w:rsidRPr="00CD5E88">
        <w:rPr>
          <w:sz w:val="22"/>
          <w:szCs w:val="22"/>
        </w:rPr>
        <w:t>the SEND review and consultation</w:t>
      </w:r>
      <w:r w:rsidR="00CD5E88">
        <w:rPr>
          <w:sz w:val="22"/>
          <w:szCs w:val="22"/>
        </w:rPr>
        <w:t>, the ESBD School Support Team</w:t>
      </w:r>
      <w:r>
        <w:rPr>
          <w:sz w:val="22"/>
          <w:szCs w:val="22"/>
        </w:rPr>
        <w:t xml:space="preserve"> </w:t>
      </w:r>
      <w:r w:rsidR="009E6B7C">
        <w:rPr>
          <w:sz w:val="22"/>
          <w:szCs w:val="22"/>
        </w:rPr>
        <w:t>is proposed</w:t>
      </w:r>
      <w:r>
        <w:rPr>
          <w:sz w:val="22"/>
          <w:szCs w:val="22"/>
        </w:rPr>
        <w:t xml:space="preserve"> to amalgamate</w:t>
      </w:r>
      <w:r w:rsidR="00CD5E88" w:rsidRPr="00CD5E88">
        <w:rPr>
          <w:sz w:val="22"/>
          <w:szCs w:val="22"/>
        </w:rPr>
        <w:t xml:space="preserve"> into the Authority’s single traded support offer</w:t>
      </w:r>
      <w:r>
        <w:rPr>
          <w:sz w:val="22"/>
          <w:szCs w:val="22"/>
        </w:rPr>
        <w:t xml:space="preserve"> for specialist teaching services</w:t>
      </w:r>
      <w:r w:rsidR="00CD5E88" w:rsidRPr="00CD5E88">
        <w:rPr>
          <w:sz w:val="22"/>
          <w:szCs w:val="22"/>
        </w:rPr>
        <w:t xml:space="preserve">. As such, </w:t>
      </w:r>
      <w:r>
        <w:rPr>
          <w:sz w:val="22"/>
          <w:szCs w:val="22"/>
        </w:rPr>
        <w:t xml:space="preserve">subject to the outcomes of the consultation, separate de-delegation </w:t>
      </w:r>
      <w:r w:rsidR="00955311">
        <w:rPr>
          <w:sz w:val="22"/>
          <w:szCs w:val="22"/>
        </w:rPr>
        <w:t>may</w:t>
      </w:r>
      <w:r>
        <w:rPr>
          <w:sz w:val="22"/>
          <w:szCs w:val="22"/>
        </w:rPr>
        <w:t xml:space="preserve"> cease</w:t>
      </w:r>
      <w:r w:rsidR="00CD5E88" w:rsidRPr="00CD5E88">
        <w:rPr>
          <w:sz w:val="22"/>
          <w:szCs w:val="22"/>
        </w:rPr>
        <w:t>. Maintained schools will have the choice to buy into these services directly.</w:t>
      </w:r>
    </w:p>
    <w:p w:rsidR="00CD5E88" w:rsidRPr="00CD5E88" w:rsidRDefault="00CD5E88" w:rsidP="00CD5E88">
      <w:pPr>
        <w:pStyle w:val="ListParagraph"/>
        <w:spacing w:after="200" w:line="276" w:lineRule="auto"/>
        <w:contextualSpacing/>
        <w:jc w:val="both"/>
        <w:rPr>
          <w:sz w:val="22"/>
          <w:szCs w:val="22"/>
        </w:rPr>
      </w:pPr>
    </w:p>
    <w:p w:rsidR="00560288" w:rsidRPr="00560288" w:rsidRDefault="00560288" w:rsidP="008D16B2">
      <w:pPr>
        <w:pStyle w:val="ListParagraph"/>
        <w:numPr>
          <w:ilvl w:val="0"/>
          <w:numId w:val="14"/>
        </w:numPr>
        <w:jc w:val="both"/>
        <w:rPr>
          <w:vanish/>
          <w:sz w:val="22"/>
          <w:szCs w:val="22"/>
        </w:rPr>
      </w:pPr>
    </w:p>
    <w:p w:rsidR="00560288" w:rsidRPr="00560288" w:rsidRDefault="00560288" w:rsidP="008D16B2">
      <w:pPr>
        <w:pStyle w:val="ListParagraph"/>
        <w:numPr>
          <w:ilvl w:val="1"/>
          <w:numId w:val="14"/>
        </w:numPr>
        <w:jc w:val="both"/>
        <w:rPr>
          <w:vanish/>
          <w:sz w:val="22"/>
          <w:szCs w:val="22"/>
        </w:rPr>
      </w:pPr>
    </w:p>
    <w:p w:rsidR="00A82907" w:rsidRPr="00C30410" w:rsidRDefault="00955311" w:rsidP="00C30410">
      <w:pPr>
        <w:jc w:val="both"/>
        <w:rPr>
          <w:sz w:val="22"/>
          <w:szCs w:val="22"/>
        </w:rPr>
      </w:pPr>
      <w:r>
        <w:rPr>
          <w:sz w:val="22"/>
          <w:szCs w:val="22"/>
        </w:rPr>
        <w:t>6</w:t>
      </w:r>
      <w:r w:rsidR="00C30410">
        <w:rPr>
          <w:sz w:val="22"/>
          <w:szCs w:val="22"/>
        </w:rPr>
        <w:t xml:space="preserve">.5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227854" w:rsidRPr="00C30410">
        <w:rPr>
          <w:sz w:val="22"/>
          <w:szCs w:val="22"/>
        </w:rPr>
        <w:t xml:space="preserve"> in this financial year</w:t>
      </w:r>
      <w:r w:rsidR="00A82907" w:rsidRPr="00C30410">
        <w:rPr>
          <w:sz w:val="22"/>
          <w:szCs w:val="22"/>
        </w:rPr>
        <w:t>:</w:t>
      </w:r>
    </w:p>
    <w:p w:rsidR="008722A8" w:rsidRPr="00560288" w:rsidRDefault="008722A8" w:rsidP="008722A8">
      <w:pPr>
        <w:jc w:val="both"/>
        <w:rPr>
          <w:sz w:val="12"/>
          <w:szCs w:val="12"/>
        </w:rPr>
      </w:pPr>
    </w:p>
    <w:p w:rsidR="00800BED" w:rsidRPr="00560288" w:rsidRDefault="00CD5E88" w:rsidP="008D16B2">
      <w:pPr>
        <w:pStyle w:val="ListParagraph"/>
        <w:numPr>
          <w:ilvl w:val="0"/>
          <w:numId w:val="13"/>
        </w:numPr>
        <w:spacing w:after="120"/>
        <w:ind w:left="714" w:hanging="357"/>
        <w:jc w:val="both"/>
        <w:rPr>
          <w:sz w:val="22"/>
          <w:szCs w:val="22"/>
        </w:rPr>
      </w:pPr>
      <w:r>
        <w:rPr>
          <w:sz w:val="22"/>
          <w:szCs w:val="22"/>
        </w:rPr>
        <w:t xml:space="preserve">ESBD </w:t>
      </w:r>
      <w:r w:rsidR="00800BED" w:rsidRPr="00560288">
        <w:rPr>
          <w:sz w:val="22"/>
          <w:szCs w:val="22"/>
        </w:rPr>
        <w:t>School Support Team</w:t>
      </w:r>
      <w:r>
        <w:rPr>
          <w:sz w:val="22"/>
          <w:szCs w:val="22"/>
        </w:rPr>
        <w:t xml:space="preserve"> (primary only)</w:t>
      </w:r>
    </w:p>
    <w:p w:rsidR="00800BED" w:rsidRPr="005948AB" w:rsidRDefault="00800BED" w:rsidP="008D16B2">
      <w:pPr>
        <w:pStyle w:val="ListParagraph"/>
        <w:numPr>
          <w:ilvl w:val="0"/>
          <w:numId w:val="13"/>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p>
    <w:p w:rsidR="00800BED" w:rsidRPr="005948AB" w:rsidRDefault="00800BED" w:rsidP="008D16B2">
      <w:pPr>
        <w:pStyle w:val="ListParagraph"/>
        <w:numPr>
          <w:ilvl w:val="0"/>
          <w:numId w:val="13"/>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p>
    <w:p w:rsidR="00800BED" w:rsidRPr="005948AB" w:rsidRDefault="00800BED" w:rsidP="008D16B2">
      <w:pPr>
        <w:pStyle w:val="ListParagraph"/>
        <w:numPr>
          <w:ilvl w:val="0"/>
          <w:numId w:val="13"/>
        </w:numPr>
        <w:spacing w:after="120"/>
        <w:ind w:left="714" w:hanging="357"/>
        <w:jc w:val="both"/>
        <w:rPr>
          <w:sz w:val="22"/>
          <w:szCs w:val="22"/>
        </w:rPr>
      </w:pPr>
      <w:r w:rsidRPr="005948AB">
        <w:rPr>
          <w:sz w:val="22"/>
          <w:szCs w:val="22"/>
        </w:rPr>
        <w:t>School Maternity / Paternity ‘insurance’</w:t>
      </w:r>
      <w:r w:rsidR="00CD5E88">
        <w:rPr>
          <w:sz w:val="22"/>
          <w:szCs w:val="22"/>
        </w:rPr>
        <w:t xml:space="preserve"> (primary only for the full year)</w:t>
      </w:r>
    </w:p>
    <w:p w:rsidR="00800BED" w:rsidRPr="005948AB" w:rsidRDefault="00800BED" w:rsidP="008D16B2">
      <w:pPr>
        <w:pStyle w:val="ListParagraph"/>
        <w:numPr>
          <w:ilvl w:val="0"/>
          <w:numId w:val="13"/>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p>
    <w:p w:rsidR="000941F4" w:rsidRPr="005948AB" w:rsidRDefault="000941F4" w:rsidP="008D16B2">
      <w:pPr>
        <w:pStyle w:val="ListParagraph"/>
        <w:numPr>
          <w:ilvl w:val="0"/>
          <w:numId w:val="13"/>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p>
    <w:p w:rsidR="000941F4" w:rsidRPr="005948AB" w:rsidRDefault="000941F4" w:rsidP="008D16B2">
      <w:pPr>
        <w:pStyle w:val="ListParagraph"/>
        <w:numPr>
          <w:ilvl w:val="0"/>
          <w:numId w:val="13"/>
        </w:numPr>
        <w:jc w:val="both"/>
        <w:rPr>
          <w:sz w:val="22"/>
          <w:szCs w:val="22"/>
        </w:rPr>
      </w:pPr>
      <w:r w:rsidRPr="005948AB">
        <w:rPr>
          <w:sz w:val="22"/>
          <w:szCs w:val="22"/>
        </w:rPr>
        <w:t>School Staff Public Duties and Suspensions Fund</w:t>
      </w:r>
      <w:r w:rsidR="00CD5E88">
        <w:rPr>
          <w:sz w:val="22"/>
          <w:szCs w:val="22"/>
        </w:rPr>
        <w:t xml:space="preserve"> (primary only)</w:t>
      </w:r>
    </w:p>
    <w:p w:rsidR="00A82907" w:rsidRPr="006D3066" w:rsidRDefault="00A82907" w:rsidP="004574FB">
      <w:pPr>
        <w:jc w:val="both"/>
        <w:rPr>
          <w:sz w:val="22"/>
          <w:szCs w:val="22"/>
          <w:highlight w:val="yellow"/>
          <w:u w:val="single"/>
        </w:rPr>
      </w:pPr>
    </w:p>
    <w:p w:rsidR="00A82907" w:rsidRDefault="000941F4" w:rsidP="00DB4344">
      <w:pPr>
        <w:jc w:val="both"/>
        <w:rPr>
          <w:sz w:val="22"/>
          <w:szCs w:val="22"/>
        </w:rPr>
      </w:pPr>
      <w:r w:rsidRPr="005948AB">
        <w:rPr>
          <w:sz w:val="22"/>
          <w:szCs w:val="22"/>
        </w:rPr>
        <w:t>Further information on</w:t>
      </w:r>
      <w:r w:rsidR="00594A69" w:rsidRPr="005948AB">
        <w:rPr>
          <w:sz w:val="22"/>
          <w:szCs w:val="22"/>
        </w:rPr>
        <w:t xml:space="preserve"> </w:t>
      </w:r>
      <w:r w:rsidR="00305B67" w:rsidRPr="005948AB">
        <w:rPr>
          <w:sz w:val="22"/>
          <w:szCs w:val="22"/>
        </w:rPr>
        <w:t>these funds</w:t>
      </w:r>
      <w:r w:rsidR="00897FF1">
        <w:rPr>
          <w:sz w:val="22"/>
          <w:szCs w:val="22"/>
        </w:rPr>
        <w:t>, including values,</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0454BF">
        <w:rPr>
          <w:sz w:val="22"/>
          <w:szCs w:val="22"/>
        </w:rPr>
        <w:t>in Appendix 4</w:t>
      </w:r>
      <w:r w:rsidR="0010102A" w:rsidRPr="005948AB">
        <w:rPr>
          <w:sz w:val="22"/>
          <w:szCs w:val="22"/>
        </w:rPr>
        <w:t>.</w:t>
      </w:r>
    </w:p>
    <w:p w:rsidR="00560288" w:rsidRPr="006B7A47" w:rsidRDefault="00560288" w:rsidP="00DB4344">
      <w:pPr>
        <w:jc w:val="both"/>
        <w:rPr>
          <w:sz w:val="22"/>
          <w:szCs w:val="22"/>
        </w:rPr>
      </w:pPr>
    </w:p>
    <w:p w:rsidR="0021521E" w:rsidRDefault="003A61DE" w:rsidP="0021521E">
      <w:pPr>
        <w:jc w:val="both"/>
        <w:rPr>
          <w:sz w:val="22"/>
          <w:szCs w:val="22"/>
        </w:rPr>
      </w:pPr>
      <w:r>
        <w:rPr>
          <w:sz w:val="22"/>
          <w:szCs w:val="22"/>
        </w:rPr>
        <w:t>6</w:t>
      </w:r>
      <w:r w:rsidR="00305B67" w:rsidRPr="006B7A47">
        <w:rPr>
          <w:sz w:val="22"/>
          <w:szCs w:val="22"/>
        </w:rPr>
        <w:t>.</w:t>
      </w:r>
      <w:r w:rsidR="00EE4C8C">
        <w:rPr>
          <w:sz w:val="22"/>
          <w:szCs w:val="22"/>
        </w:rPr>
        <w:t>6</w:t>
      </w:r>
      <w:r w:rsidR="0021521E" w:rsidRPr="006B7A47">
        <w:rPr>
          <w:sz w:val="22"/>
          <w:szCs w:val="22"/>
        </w:rPr>
        <w:t xml:space="preserve"> </w:t>
      </w:r>
      <w:r w:rsidR="000E0DDF" w:rsidRPr="006B7A47">
        <w:rPr>
          <w:sz w:val="22"/>
          <w:szCs w:val="22"/>
        </w:rPr>
        <w:t>If funding is not de-delegated for the purposes listed above, then the</w:t>
      </w:r>
      <w:r w:rsidR="0021521E" w:rsidRPr="006B7A47">
        <w:rPr>
          <w:sz w:val="22"/>
          <w:szCs w:val="22"/>
        </w:rPr>
        <w:t xml:space="preserve"> funding </w:t>
      </w:r>
      <w:r w:rsidR="000E0DDF" w:rsidRPr="006B7A47">
        <w:rPr>
          <w:sz w:val="22"/>
          <w:szCs w:val="22"/>
        </w:rPr>
        <w:t>will</w:t>
      </w:r>
      <w:r w:rsidR="0021521E" w:rsidRPr="006B7A47">
        <w:rPr>
          <w:sz w:val="22"/>
          <w:szCs w:val="22"/>
        </w:rPr>
        <w:t xml:space="preserve"> remain within school budgets for schools to provide for the cost of services from their own resources</w:t>
      </w:r>
      <w:r w:rsidR="006002CB">
        <w:rPr>
          <w:sz w:val="22"/>
          <w:szCs w:val="22"/>
        </w:rPr>
        <w:t>, including purchasing services available through the Local Authority</w:t>
      </w:r>
      <w:r w:rsidR="0021521E" w:rsidRPr="006B7A47">
        <w:rPr>
          <w:sz w:val="22"/>
          <w:szCs w:val="22"/>
        </w:rPr>
        <w:t xml:space="preserve">. The Authority is aware that the views of individual schools may be influenced by the extent of value they feel they receive from accessing these funds currently. In making final recommendations, the Schools Forum will consider specific responses to this consultation along with the </w:t>
      </w:r>
      <w:r w:rsidR="0021521E" w:rsidRPr="006B7A47">
        <w:rPr>
          <w:sz w:val="22"/>
          <w:szCs w:val="22"/>
        </w:rPr>
        <w:lastRenderedPageBreak/>
        <w:t>overall most effective approach for maintained schools across the Distric</w:t>
      </w:r>
      <w:r w:rsidR="00001B1E" w:rsidRPr="006B7A47">
        <w:rPr>
          <w:sz w:val="22"/>
          <w:szCs w:val="22"/>
        </w:rPr>
        <w:t>t. Please contact</w:t>
      </w:r>
      <w:r w:rsidR="0021521E" w:rsidRPr="006B7A47">
        <w:rPr>
          <w:sz w:val="22"/>
          <w:szCs w:val="22"/>
        </w:rPr>
        <w:t xml:space="preserve"> your Schools Forum representatives if you have any specific comments on these funds.</w:t>
      </w:r>
    </w:p>
    <w:p w:rsidR="003A61DE" w:rsidRPr="006B7A47" w:rsidRDefault="003A61DE" w:rsidP="0021521E">
      <w:pPr>
        <w:jc w:val="both"/>
        <w:rPr>
          <w:sz w:val="22"/>
          <w:szCs w:val="22"/>
        </w:rPr>
      </w:pPr>
    </w:p>
    <w:p w:rsidR="003A61DE" w:rsidRPr="003A61DE" w:rsidRDefault="003A61DE" w:rsidP="004574FB">
      <w:pPr>
        <w:jc w:val="both"/>
        <w:rPr>
          <w:color w:val="000000" w:themeColor="text1"/>
          <w:sz w:val="22"/>
          <w:szCs w:val="22"/>
        </w:rPr>
      </w:pPr>
      <w:r w:rsidRPr="003A61DE">
        <w:rPr>
          <w:color w:val="000000" w:themeColor="text1"/>
          <w:sz w:val="22"/>
          <w:szCs w:val="22"/>
        </w:rPr>
        <w:t xml:space="preserve">6.7 </w:t>
      </w:r>
      <w:r>
        <w:rPr>
          <w:color w:val="000000" w:themeColor="text1"/>
          <w:sz w:val="22"/>
          <w:szCs w:val="22"/>
        </w:rPr>
        <w:t>For your awareness, the Schools Forum has asked the Authority to further assess the cost of de-delegation for Trade Union Facilities Time.</w:t>
      </w:r>
    </w:p>
    <w:p w:rsidR="003A61DE" w:rsidRDefault="003A61DE" w:rsidP="004574FB">
      <w:pPr>
        <w:jc w:val="both"/>
        <w:rPr>
          <w:b/>
          <w:bCs/>
          <w:color w:val="0000FF"/>
          <w:sz w:val="22"/>
          <w:szCs w:val="22"/>
        </w:rPr>
      </w:pPr>
    </w:p>
    <w:p w:rsidR="00A82907" w:rsidRPr="003A61DE" w:rsidRDefault="004F5868" w:rsidP="004574FB">
      <w:pPr>
        <w:jc w:val="both"/>
        <w:rPr>
          <w:b/>
          <w:bCs/>
          <w:color w:val="4F81BD" w:themeColor="accent1"/>
          <w:sz w:val="22"/>
          <w:szCs w:val="22"/>
        </w:rPr>
      </w:pPr>
      <w:r w:rsidRPr="003A61DE">
        <w:rPr>
          <w:b/>
          <w:bCs/>
          <w:color w:val="4F81BD" w:themeColor="accent1"/>
          <w:sz w:val="22"/>
          <w:szCs w:val="22"/>
        </w:rPr>
        <w:t xml:space="preserve">Question </w:t>
      </w:r>
      <w:r w:rsidR="003A61DE">
        <w:rPr>
          <w:b/>
          <w:bCs/>
          <w:color w:val="4F81BD" w:themeColor="accent1"/>
          <w:sz w:val="22"/>
          <w:szCs w:val="22"/>
        </w:rPr>
        <w:t>11</w:t>
      </w:r>
      <w:r w:rsidR="00A82907" w:rsidRPr="003A61DE">
        <w:rPr>
          <w:b/>
          <w:bCs/>
          <w:color w:val="4F81BD" w:themeColor="accent1"/>
          <w:sz w:val="22"/>
          <w:szCs w:val="22"/>
        </w:rPr>
        <w:t xml:space="preserve"> </w:t>
      </w:r>
      <w:r w:rsidR="00A43B77" w:rsidRPr="003A61DE">
        <w:rPr>
          <w:b/>
          <w:bCs/>
          <w:color w:val="4F81BD" w:themeColor="accent1"/>
          <w:sz w:val="22"/>
          <w:szCs w:val="22"/>
        </w:rPr>
        <w:t>–</w:t>
      </w:r>
      <w:r w:rsidR="00A82907" w:rsidRPr="003A61DE">
        <w:rPr>
          <w:b/>
          <w:bCs/>
          <w:color w:val="4F81BD" w:themeColor="accent1"/>
          <w:sz w:val="22"/>
          <w:szCs w:val="22"/>
        </w:rPr>
        <w:t xml:space="preserve"> </w:t>
      </w:r>
      <w:r w:rsidR="00A43B77" w:rsidRPr="003A61DE">
        <w:rPr>
          <w:b/>
          <w:bCs/>
          <w:color w:val="4F81BD" w:themeColor="accent1"/>
          <w:sz w:val="22"/>
          <w:szCs w:val="22"/>
        </w:rPr>
        <w:t>Should sums</w:t>
      </w:r>
      <w:r w:rsidR="00A82907" w:rsidRPr="003A61DE">
        <w:rPr>
          <w:b/>
          <w:bCs/>
          <w:color w:val="4F81BD" w:themeColor="accent1"/>
          <w:sz w:val="22"/>
          <w:szCs w:val="22"/>
        </w:rPr>
        <w:t xml:space="preserve"> continue </w:t>
      </w:r>
      <w:r w:rsidR="004E24FC" w:rsidRPr="003A61DE">
        <w:rPr>
          <w:b/>
          <w:bCs/>
          <w:color w:val="4F81BD" w:themeColor="accent1"/>
          <w:sz w:val="22"/>
          <w:szCs w:val="22"/>
        </w:rPr>
        <w:t xml:space="preserve">or cease </w:t>
      </w:r>
      <w:r w:rsidR="00A82907" w:rsidRPr="003A61DE">
        <w:rPr>
          <w:b/>
          <w:bCs/>
          <w:color w:val="4F81BD" w:themeColor="accent1"/>
          <w:sz w:val="22"/>
          <w:szCs w:val="22"/>
        </w:rPr>
        <w:t>to be de-delegated from maintained school budgets</w:t>
      </w:r>
      <w:r w:rsidR="00A43B77" w:rsidRPr="003A61DE">
        <w:rPr>
          <w:b/>
          <w:bCs/>
          <w:color w:val="4F81BD" w:themeColor="accent1"/>
          <w:sz w:val="22"/>
          <w:szCs w:val="22"/>
        </w:rPr>
        <w:t xml:space="preserve"> in 20</w:t>
      </w:r>
      <w:r w:rsidRPr="003A61DE">
        <w:rPr>
          <w:b/>
          <w:bCs/>
          <w:color w:val="4F81BD" w:themeColor="accent1"/>
          <w:sz w:val="22"/>
          <w:szCs w:val="22"/>
        </w:rPr>
        <w:t>18/19</w:t>
      </w:r>
      <w:r w:rsidR="008C4241" w:rsidRPr="003A61DE">
        <w:rPr>
          <w:b/>
          <w:bCs/>
          <w:color w:val="4F81BD" w:themeColor="accent1"/>
          <w:sz w:val="22"/>
          <w:szCs w:val="22"/>
        </w:rPr>
        <w:t xml:space="preserve"> for the purposes listed</w:t>
      </w:r>
      <w:r w:rsidR="00A43B77" w:rsidRPr="003A61DE">
        <w:rPr>
          <w:b/>
          <w:bCs/>
          <w:color w:val="4F81BD" w:themeColor="accent1"/>
          <w:sz w:val="22"/>
          <w:szCs w:val="22"/>
        </w:rPr>
        <w:t xml:space="preserve"> above?</w:t>
      </w:r>
      <w:r w:rsidR="004E24FC" w:rsidRPr="003A61DE">
        <w:rPr>
          <w:b/>
          <w:bCs/>
          <w:color w:val="4F81BD" w:themeColor="accent1"/>
          <w:sz w:val="22"/>
          <w:szCs w:val="22"/>
        </w:rPr>
        <w:t xml:space="preserve"> P</w:t>
      </w:r>
      <w:r w:rsidR="00A82907" w:rsidRPr="003A61DE">
        <w:rPr>
          <w:b/>
          <w:bCs/>
          <w:color w:val="4F81BD" w:themeColor="accent1"/>
          <w:sz w:val="22"/>
          <w:szCs w:val="22"/>
        </w:rPr>
        <w:t>le</w:t>
      </w:r>
      <w:r w:rsidR="004E24FC" w:rsidRPr="003A61DE">
        <w:rPr>
          <w:b/>
          <w:bCs/>
          <w:color w:val="4F81BD" w:themeColor="accent1"/>
          <w:sz w:val="22"/>
          <w:szCs w:val="22"/>
        </w:rPr>
        <w:t xml:space="preserve">ase </w:t>
      </w:r>
      <w:r w:rsidR="00305B67" w:rsidRPr="003A61DE">
        <w:rPr>
          <w:b/>
          <w:bCs/>
          <w:color w:val="4F81BD" w:themeColor="accent1"/>
          <w:sz w:val="22"/>
          <w:szCs w:val="22"/>
        </w:rPr>
        <w:t>explain</w:t>
      </w:r>
      <w:r w:rsidR="004E24FC" w:rsidRPr="003A61DE">
        <w:rPr>
          <w:b/>
          <w:bCs/>
          <w:color w:val="4F81BD" w:themeColor="accent1"/>
          <w:sz w:val="22"/>
          <w:szCs w:val="22"/>
        </w:rPr>
        <w:t xml:space="preserve"> the reasons why</w:t>
      </w:r>
      <w:r w:rsidR="003A61DE">
        <w:rPr>
          <w:b/>
          <w:bCs/>
          <w:color w:val="4F81BD" w:themeColor="accent1"/>
          <w:sz w:val="22"/>
          <w:szCs w:val="22"/>
        </w:rPr>
        <w:t xml:space="preserve"> if you believe that these should cease or change.</w:t>
      </w:r>
    </w:p>
    <w:p w:rsidR="004E24FC" w:rsidRPr="006D3066" w:rsidRDefault="004E24FC"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Pr="003A61DE" w:rsidRDefault="003A61DE" w:rsidP="006F3AB5">
      <w:pPr>
        <w:jc w:val="both"/>
        <w:rPr>
          <w:b/>
          <w:bCs/>
          <w:color w:val="4F81BD" w:themeColor="accent1"/>
          <w:sz w:val="22"/>
          <w:szCs w:val="22"/>
        </w:rPr>
      </w:pPr>
      <w:r w:rsidRPr="003A61DE">
        <w:rPr>
          <w:b/>
          <w:bCs/>
          <w:color w:val="4F81BD" w:themeColor="accent1"/>
          <w:sz w:val="22"/>
          <w:szCs w:val="22"/>
        </w:rPr>
        <w:t>7</w:t>
      </w:r>
      <w:r w:rsidR="0046442F" w:rsidRPr="003A61DE">
        <w:rPr>
          <w:b/>
          <w:bCs/>
          <w:color w:val="4F81BD" w:themeColor="accent1"/>
          <w:sz w:val="22"/>
          <w:szCs w:val="22"/>
        </w:rPr>
        <w:t>.</w:t>
      </w:r>
      <w:r w:rsidR="0046442F" w:rsidRPr="003A61DE">
        <w:rPr>
          <w:b/>
          <w:bCs/>
          <w:color w:val="4F81BD" w:themeColor="accent1"/>
          <w:sz w:val="22"/>
          <w:szCs w:val="22"/>
        </w:rPr>
        <w:tab/>
      </w:r>
      <w:r w:rsidR="004F5868" w:rsidRPr="003A61DE">
        <w:rPr>
          <w:b/>
          <w:bCs/>
          <w:color w:val="4F81BD" w:themeColor="accent1"/>
          <w:sz w:val="22"/>
          <w:szCs w:val="22"/>
        </w:rPr>
        <w:t xml:space="preserve">Other </w:t>
      </w:r>
      <w:r w:rsidR="0046442F" w:rsidRPr="003A61DE">
        <w:rPr>
          <w:b/>
          <w:bCs/>
          <w:color w:val="4F81BD" w:themeColor="accent1"/>
          <w:sz w:val="22"/>
          <w:szCs w:val="22"/>
        </w:rPr>
        <w:t>DSG Schools Block Centrally Managed Funds</w:t>
      </w:r>
    </w:p>
    <w:p w:rsidR="00A82907" w:rsidRPr="00D12A48" w:rsidRDefault="00A82907" w:rsidP="006F3AB5">
      <w:pPr>
        <w:jc w:val="both"/>
        <w:rPr>
          <w:b/>
          <w:bCs/>
          <w:sz w:val="22"/>
          <w:szCs w:val="22"/>
        </w:rPr>
      </w:pPr>
    </w:p>
    <w:p w:rsidR="00A82907" w:rsidRPr="00D12A48" w:rsidRDefault="003A61DE" w:rsidP="0040340B">
      <w:pPr>
        <w:jc w:val="both"/>
        <w:rPr>
          <w:sz w:val="22"/>
          <w:szCs w:val="22"/>
        </w:rPr>
      </w:pPr>
      <w:r>
        <w:rPr>
          <w:sz w:val="22"/>
          <w:szCs w:val="22"/>
        </w:rPr>
        <w:t>7</w:t>
      </w:r>
      <w:r w:rsidR="00A82907" w:rsidRPr="00D12A48">
        <w:rPr>
          <w:sz w:val="22"/>
          <w:szCs w:val="22"/>
        </w:rPr>
        <w:t xml:space="preserve">.1 The Finance Regulations </w:t>
      </w:r>
      <w:r w:rsidR="0046442F">
        <w:rPr>
          <w:sz w:val="22"/>
          <w:szCs w:val="22"/>
        </w:rPr>
        <w:t xml:space="preserve">continue to </w:t>
      </w:r>
      <w:r w:rsidR="00A82907" w:rsidRPr="00D12A48">
        <w:rPr>
          <w:sz w:val="22"/>
          <w:szCs w:val="22"/>
        </w:rPr>
        <w:t>significantly restrict the types of funds that can be held centrally w</w:t>
      </w:r>
      <w:r w:rsidR="0046442F">
        <w:rPr>
          <w:sz w:val="22"/>
          <w:szCs w:val="22"/>
        </w:rPr>
        <w:t>ithin the DSG. Where</w:t>
      </w:r>
      <w:r w:rsidR="00A82907" w:rsidRPr="00D12A48">
        <w:rPr>
          <w:sz w:val="22"/>
          <w:szCs w:val="22"/>
        </w:rPr>
        <w:t xml:space="preserve"> funds are held, the Regulations require that the criteria for accessing these are clear and have been agreed with the Schools Forum.</w:t>
      </w:r>
    </w:p>
    <w:p w:rsidR="00A82907" w:rsidRPr="00D12A48" w:rsidRDefault="00A82907" w:rsidP="00754C20">
      <w:pPr>
        <w:jc w:val="both"/>
        <w:rPr>
          <w:sz w:val="22"/>
          <w:szCs w:val="22"/>
        </w:rPr>
      </w:pPr>
    </w:p>
    <w:p w:rsidR="00A82907" w:rsidRPr="00D12A48" w:rsidRDefault="00C409AD" w:rsidP="008722A8">
      <w:pPr>
        <w:jc w:val="both"/>
        <w:rPr>
          <w:sz w:val="22"/>
          <w:szCs w:val="22"/>
        </w:rPr>
      </w:pPr>
      <w:r>
        <w:rPr>
          <w:sz w:val="22"/>
          <w:szCs w:val="22"/>
        </w:rPr>
        <w:t>7</w:t>
      </w:r>
      <w:r w:rsidR="00082F7B" w:rsidRPr="00D12A48">
        <w:rPr>
          <w:sz w:val="22"/>
          <w:szCs w:val="22"/>
        </w:rPr>
        <w:t>.2 In 201</w:t>
      </w:r>
      <w:r w:rsidR="004F5868">
        <w:rPr>
          <w:sz w:val="22"/>
          <w:szCs w:val="22"/>
        </w:rPr>
        <w:t>7</w:t>
      </w:r>
      <w:r w:rsidR="00082F7B" w:rsidRPr="00D12A48">
        <w:rPr>
          <w:sz w:val="22"/>
          <w:szCs w:val="22"/>
        </w:rPr>
        <w:t>/</w:t>
      </w:r>
      <w:r w:rsidR="004F5868">
        <w:rPr>
          <w:sz w:val="22"/>
          <w:szCs w:val="22"/>
        </w:rPr>
        <w:t>18</w:t>
      </w:r>
      <w:r w:rsidR="00A82907" w:rsidRPr="00D12A48">
        <w:rPr>
          <w:sz w:val="22"/>
          <w:szCs w:val="22"/>
        </w:rPr>
        <w:t>, the Schools Forum agreed to hold the following permitted funds</w:t>
      </w:r>
      <w:r w:rsidR="004F5868">
        <w:rPr>
          <w:sz w:val="22"/>
          <w:szCs w:val="22"/>
        </w:rPr>
        <w:t xml:space="preserve"> within the Schools Block</w:t>
      </w:r>
      <w:r w:rsidR="00A82907" w:rsidRPr="00D12A48">
        <w:rPr>
          <w:sz w:val="22"/>
          <w:szCs w:val="22"/>
        </w:rPr>
        <w:t>:</w:t>
      </w:r>
    </w:p>
    <w:p w:rsidR="008722A8" w:rsidRPr="00D12A48" w:rsidRDefault="008722A8" w:rsidP="008722A8">
      <w:pPr>
        <w:jc w:val="both"/>
        <w:rPr>
          <w:sz w:val="12"/>
          <w:szCs w:val="12"/>
        </w:rPr>
      </w:pPr>
    </w:p>
    <w:p w:rsidR="00A82907" w:rsidRPr="00D12A48" w:rsidRDefault="00A82907" w:rsidP="008D16B2">
      <w:pPr>
        <w:numPr>
          <w:ilvl w:val="0"/>
          <w:numId w:val="3"/>
        </w:numPr>
        <w:spacing w:after="120"/>
        <w:jc w:val="both"/>
        <w:rPr>
          <w:sz w:val="22"/>
          <w:szCs w:val="22"/>
        </w:rPr>
      </w:pPr>
      <w:r w:rsidRPr="00D12A48">
        <w:rPr>
          <w:sz w:val="22"/>
          <w:szCs w:val="22"/>
        </w:rPr>
        <w:t xml:space="preserve">A Growth Fund, to support </w:t>
      </w:r>
      <w:r w:rsidR="004F5868">
        <w:rPr>
          <w:sz w:val="22"/>
          <w:szCs w:val="22"/>
        </w:rPr>
        <w:t xml:space="preserve">both </w:t>
      </w:r>
      <w:r w:rsidRPr="00D12A48">
        <w:rPr>
          <w:sz w:val="22"/>
          <w:szCs w:val="22"/>
        </w:rPr>
        <w:t>schools and academies</w:t>
      </w:r>
      <w:r w:rsidR="00C31842">
        <w:rPr>
          <w:sz w:val="22"/>
          <w:szCs w:val="22"/>
        </w:rPr>
        <w:t xml:space="preserve"> expanding for basic-need purposes at the request of the Local Authority</w:t>
      </w:r>
      <w:r w:rsidR="004F5868">
        <w:rPr>
          <w:sz w:val="22"/>
          <w:szCs w:val="22"/>
        </w:rPr>
        <w:t>.</w:t>
      </w:r>
    </w:p>
    <w:p w:rsidR="00A82907" w:rsidRPr="00D12A48" w:rsidRDefault="00A82907" w:rsidP="008D16B2">
      <w:pPr>
        <w:numPr>
          <w:ilvl w:val="0"/>
          <w:numId w:val="3"/>
        </w:numPr>
        <w:spacing w:after="120"/>
        <w:jc w:val="both"/>
        <w:rPr>
          <w:sz w:val="22"/>
          <w:szCs w:val="22"/>
        </w:rPr>
      </w:pPr>
      <w:r w:rsidRPr="00D12A48">
        <w:rPr>
          <w:sz w:val="22"/>
          <w:szCs w:val="22"/>
        </w:rPr>
        <w:t>A ‘Costs of Re-Organisation’ Fund, which allocates funding to match the cost of safeguarded salaries</w:t>
      </w:r>
      <w:r w:rsidR="0046442F">
        <w:rPr>
          <w:sz w:val="22"/>
          <w:szCs w:val="22"/>
        </w:rPr>
        <w:t xml:space="preserve"> remaining</w:t>
      </w:r>
      <w:r w:rsidRPr="00D12A48">
        <w:rPr>
          <w:sz w:val="22"/>
          <w:szCs w:val="22"/>
        </w:rPr>
        <w:t xml:space="preserve"> in maintained </w:t>
      </w:r>
      <w:r w:rsidR="004F5868">
        <w:rPr>
          <w:sz w:val="22"/>
          <w:szCs w:val="22"/>
        </w:rPr>
        <w:t xml:space="preserve">primary and secondary </w:t>
      </w:r>
      <w:r w:rsidRPr="00D12A48">
        <w:rPr>
          <w:sz w:val="22"/>
          <w:szCs w:val="22"/>
        </w:rPr>
        <w:t>schools</w:t>
      </w:r>
      <w:r w:rsidR="004F5868">
        <w:rPr>
          <w:sz w:val="22"/>
          <w:szCs w:val="22"/>
        </w:rPr>
        <w:t xml:space="preserve"> only</w:t>
      </w:r>
      <w:r w:rsidRPr="00D12A48">
        <w:rPr>
          <w:sz w:val="22"/>
          <w:szCs w:val="22"/>
        </w:rPr>
        <w:t xml:space="preserve">, where it has been previously agreed that the Local Authority will support the cost. This Fund also will meet the cost of deficits of closing </w:t>
      </w:r>
      <w:r w:rsidR="004F5868">
        <w:rPr>
          <w:sz w:val="22"/>
          <w:szCs w:val="22"/>
        </w:rPr>
        <w:t>maintained primary s</w:t>
      </w:r>
      <w:r w:rsidRPr="00D12A48">
        <w:rPr>
          <w:sz w:val="22"/>
          <w:szCs w:val="22"/>
        </w:rPr>
        <w:t xml:space="preserve">chools or maintained </w:t>
      </w:r>
      <w:r w:rsidR="004F5868">
        <w:rPr>
          <w:sz w:val="22"/>
          <w:szCs w:val="22"/>
        </w:rPr>
        <w:t xml:space="preserve">primary </w:t>
      </w:r>
      <w:r w:rsidRPr="00D12A48">
        <w:rPr>
          <w:sz w:val="22"/>
          <w:szCs w:val="22"/>
        </w:rPr>
        <w:t>schools converting to academy status under a sponsored arrangement.</w:t>
      </w:r>
      <w:r w:rsidR="004F5868">
        <w:rPr>
          <w:sz w:val="22"/>
          <w:szCs w:val="22"/>
        </w:rPr>
        <w:t xml:space="preserve"> This is a de-delegated contingency fund.</w:t>
      </w:r>
    </w:p>
    <w:p w:rsidR="00A82907" w:rsidRPr="00D12A48" w:rsidRDefault="00A82907" w:rsidP="008D16B2">
      <w:pPr>
        <w:numPr>
          <w:ilvl w:val="0"/>
          <w:numId w:val="3"/>
        </w:numPr>
        <w:jc w:val="both"/>
        <w:rPr>
          <w:sz w:val="22"/>
          <w:szCs w:val="22"/>
        </w:rPr>
      </w:pPr>
      <w:r w:rsidRPr="00D12A48">
        <w:rPr>
          <w:sz w:val="22"/>
          <w:szCs w:val="22"/>
        </w:rPr>
        <w:t xml:space="preserve">An Exceptional Costs / Schools in Financial Difficult Fund for maintained </w:t>
      </w:r>
      <w:r w:rsidR="004F5868">
        <w:rPr>
          <w:sz w:val="22"/>
          <w:szCs w:val="22"/>
        </w:rPr>
        <w:t xml:space="preserve">primary </w:t>
      </w:r>
      <w:r w:rsidRPr="00D12A48">
        <w:rPr>
          <w:sz w:val="22"/>
          <w:szCs w:val="22"/>
        </w:rPr>
        <w:t>schools</w:t>
      </w:r>
      <w:r w:rsidR="004F5868">
        <w:rPr>
          <w:sz w:val="22"/>
          <w:szCs w:val="22"/>
        </w:rPr>
        <w:t xml:space="preserve"> only</w:t>
      </w:r>
      <w:r w:rsidRPr="00D12A48">
        <w:rPr>
          <w:sz w:val="22"/>
          <w:szCs w:val="22"/>
        </w:rPr>
        <w:t>.</w:t>
      </w:r>
      <w:r w:rsidR="004F5868">
        <w:rPr>
          <w:sz w:val="22"/>
          <w:szCs w:val="22"/>
        </w:rPr>
        <w:t xml:space="preserve"> This is a de-delegated contingency fund.</w:t>
      </w:r>
    </w:p>
    <w:p w:rsidR="00A82907" w:rsidRPr="00D12A48" w:rsidRDefault="00A82907" w:rsidP="00C7109B">
      <w:pPr>
        <w:jc w:val="both"/>
        <w:rPr>
          <w:sz w:val="22"/>
          <w:szCs w:val="22"/>
        </w:rPr>
      </w:pPr>
    </w:p>
    <w:p w:rsidR="00A82907" w:rsidRPr="00D12A48" w:rsidRDefault="00C409AD" w:rsidP="00C7109B">
      <w:pPr>
        <w:jc w:val="both"/>
        <w:rPr>
          <w:sz w:val="22"/>
          <w:szCs w:val="22"/>
        </w:rPr>
      </w:pPr>
      <w:r>
        <w:rPr>
          <w:sz w:val="22"/>
          <w:szCs w:val="22"/>
        </w:rPr>
        <w:t>7</w:t>
      </w:r>
      <w:r w:rsidR="00A82907" w:rsidRPr="00D12A48">
        <w:rPr>
          <w:sz w:val="22"/>
          <w:szCs w:val="22"/>
        </w:rPr>
        <w:t>.3 These funds support the achievement of the Bradford District’s educational priorities as follows:</w:t>
      </w:r>
    </w:p>
    <w:p w:rsidR="00A82907" w:rsidRPr="00D12A48" w:rsidRDefault="00A82907" w:rsidP="00C7109B">
      <w:pPr>
        <w:jc w:val="both"/>
        <w:rPr>
          <w:sz w:val="12"/>
          <w:szCs w:val="12"/>
        </w:rPr>
      </w:pPr>
    </w:p>
    <w:p w:rsidR="00A82907" w:rsidRPr="00D12A48" w:rsidRDefault="00A82907" w:rsidP="008D16B2">
      <w:pPr>
        <w:numPr>
          <w:ilvl w:val="0"/>
          <w:numId w:val="4"/>
        </w:numPr>
        <w:spacing w:after="120"/>
        <w:jc w:val="both"/>
        <w:rPr>
          <w:sz w:val="22"/>
          <w:szCs w:val="22"/>
        </w:rPr>
      </w:pPr>
      <w:r w:rsidRPr="00D12A48">
        <w:rPr>
          <w:sz w:val="22"/>
          <w:szCs w:val="22"/>
        </w:rPr>
        <w:t xml:space="preserve">Enable additional financial support to be provided, in a transparent and controlled way, to specific schools that may face difficult circumstances and unreasonable cost pressures. </w:t>
      </w:r>
    </w:p>
    <w:p w:rsidR="00A82907" w:rsidRPr="00D12A48" w:rsidRDefault="00A82907" w:rsidP="008D16B2">
      <w:pPr>
        <w:numPr>
          <w:ilvl w:val="0"/>
          <w:numId w:val="4"/>
        </w:numPr>
        <w:spacing w:after="120"/>
        <w:jc w:val="both"/>
        <w:rPr>
          <w:sz w:val="22"/>
          <w:szCs w:val="22"/>
        </w:rPr>
      </w:pPr>
      <w:r w:rsidRPr="00D12A48">
        <w:rPr>
          <w:sz w:val="22"/>
          <w:szCs w:val="22"/>
        </w:rPr>
        <w:t>Support schools that require immediate intervention around standards that may not be able to identify funds from their own budgets.</w:t>
      </w:r>
    </w:p>
    <w:p w:rsidR="00A82907" w:rsidRPr="00D12A48" w:rsidRDefault="00A82907" w:rsidP="008D16B2">
      <w:pPr>
        <w:numPr>
          <w:ilvl w:val="0"/>
          <w:numId w:val="4"/>
        </w:numPr>
        <w:spacing w:after="120"/>
        <w:jc w:val="both"/>
        <w:rPr>
          <w:sz w:val="22"/>
          <w:szCs w:val="22"/>
        </w:rPr>
      </w:pPr>
      <w:r w:rsidRPr="00D12A48">
        <w:rPr>
          <w:sz w:val="22"/>
          <w:szCs w:val="22"/>
        </w:rPr>
        <w:t xml:space="preserve">Support schools, academies and the Local Authority to manage more effectively the financial pressures brought by places expansion. </w:t>
      </w:r>
    </w:p>
    <w:p w:rsidR="00A82907" w:rsidRPr="00D12A48" w:rsidRDefault="00A82907" w:rsidP="008D16B2">
      <w:pPr>
        <w:numPr>
          <w:ilvl w:val="0"/>
          <w:numId w:val="4"/>
        </w:numPr>
        <w:ind w:left="714" w:hanging="357"/>
        <w:jc w:val="both"/>
        <w:rPr>
          <w:sz w:val="22"/>
          <w:szCs w:val="22"/>
        </w:rPr>
      </w:pPr>
      <w:r w:rsidRPr="00D12A48">
        <w:rPr>
          <w:sz w:val="22"/>
          <w:szCs w:val="22"/>
        </w:rPr>
        <w:t>Collectively, help to maintain a stable financial platform for schools and academies across the District, in support of raising standards.</w:t>
      </w:r>
    </w:p>
    <w:p w:rsidR="00A82907" w:rsidRPr="00D12A48" w:rsidRDefault="00A82907" w:rsidP="00245270">
      <w:pPr>
        <w:jc w:val="both"/>
        <w:rPr>
          <w:sz w:val="22"/>
          <w:szCs w:val="22"/>
        </w:rPr>
      </w:pPr>
    </w:p>
    <w:p w:rsidR="00A82907" w:rsidRPr="00D12A48" w:rsidRDefault="00C409AD" w:rsidP="00FF65F9">
      <w:pPr>
        <w:jc w:val="both"/>
        <w:rPr>
          <w:sz w:val="22"/>
          <w:szCs w:val="22"/>
        </w:rPr>
      </w:pPr>
      <w:r>
        <w:rPr>
          <w:sz w:val="22"/>
          <w:szCs w:val="22"/>
        </w:rPr>
        <w:t>7</w:t>
      </w:r>
      <w:r w:rsidR="002E2847" w:rsidRPr="00D12A48">
        <w:rPr>
          <w:sz w:val="22"/>
          <w:szCs w:val="22"/>
        </w:rPr>
        <w:t xml:space="preserve">.4 </w:t>
      </w:r>
      <w:r w:rsidR="00082F7B" w:rsidRPr="00D12A48">
        <w:rPr>
          <w:sz w:val="22"/>
          <w:szCs w:val="22"/>
        </w:rPr>
        <w:t>The propos</w:t>
      </w:r>
      <w:r w:rsidR="00A75659" w:rsidRPr="00D12A48">
        <w:rPr>
          <w:sz w:val="22"/>
          <w:szCs w:val="22"/>
        </w:rPr>
        <w:t xml:space="preserve">ed arrangements </w:t>
      </w:r>
      <w:r w:rsidR="004F5868">
        <w:rPr>
          <w:sz w:val="22"/>
          <w:szCs w:val="22"/>
        </w:rPr>
        <w:t>for 2018/19</w:t>
      </w:r>
      <w:r w:rsidR="00A748F3" w:rsidRPr="00D12A48">
        <w:rPr>
          <w:sz w:val="22"/>
          <w:szCs w:val="22"/>
        </w:rPr>
        <w:t xml:space="preserve"> are shown below and </w:t>
      </w:r>
      <w:r w:rsidR="00A75659" w:rsidRPr="00D12A48">
        <w:rPr>
          <w:sz w:val="22"/>
          <w:szCs w:val="22"/>
        </w:rPr>
        <w:t>are unchanged f</w:t>
      </w:r>
      <w:r w:rsidR="00082F7B" w:rsidRPr="00D12A48">
        <w:rPr>
          <w:sz w:val="22"/>
          <w:szCs w:val="22"/>
        </w:rPr>
        <w:t>r</w:t>
      </w:r>
      <w:r w:rsidR="00A75659" w:rsidRPr="00D12A48">
        <w:rPr>
          <w:sz w:val="22"/>
          <w:szCs w:val="22"/>
        </w:rPr>
        <w:t>om</w:t>
      </w:r>
      <w:r w:rsidR="00A748F3" w:rsidRPr="00D12A48">
        <w:rPr>
          <w:sz w:val="22"/>
          <w:szCs w:val="22"/>
        </w:rPr>
        <w:t xml:space="preserve"> this </w:t>
      </w:r>
      <w:r w:rsidR="00082F7B" w:rsidRPr="00D12A48">
        <w:rPr>
          <w:sz w:val="22"/>
          <w:szCs w:val="22"/>
        </w:rPr>
        <w:t>financial year</w:t>
      </w:r>
      <w:r>
        <w:rPr>
          <w:sz w:val="22"/>
          <w:szCs w:val="22"/>
        </w:rPr>
        <w:t>, with t</w:t>
      </w:r>
      <w:r w:rsidR="00804B5D">
        <w:rPr>
          <w:sz w:val="22"/>
          <w:szCs w:val="22"/>
        </w:rPr>
        <w:t>he exception of the amendment of</w:t>
      </w:r>
      <w:r>
        <w:rPr>
          <w:sz w:val="22"/>
          <w:szCs w:val="22"/>
        </w:rPr>
        <w:t xml:space="preserve"> the value of funding allocated by the Growth Fund where the National Funding Formula is used from April 2018. Where this is decided, the NFF base amounts per pupil will be used rather than the values in our current formula.</w:t>
      </w:r>
    </w:p>
    <w:p w:rsidR="00DD3FB7" w:rsidRDefault="00DD3FB7" w:rsidP="00FF65F9">
      <w:pPr>
        <w:jc w:val="both"/>
        <w:rPr>
          <w:sz w:val="22"/>
          <w:szCs w:val="22"/>
          <w:u w:val="single"/>
        </w:rPr>
      </w:pPr>
    </w:p>
    <w:p w:rsidR="00766C47" w:rsidRDefault="00082F7B" w:rsidP="00FF65F9">
      <w:pPr>
        <w:jc w:val="both"/>
        <w:rPr>
          <w:sz w:val="22"/>
          <w:szCs w:val="22"/>
          <w:u w:val="single"/>
        </w:rPr>
      </w:pPr>
      <w:r w:rsidRPr="00D12A48">
        <w:rPr>
          <w:sz w:val="22"/>
          <w:szCs w:val="22"/>
          <w:u w:val="single"/>
        </w:rPr>
        <w:t>Details of these funds in 201</w:t>
      </w:r>
      <w:r w:rsidR="004F5868">
        <w:rPr>
          <w:sz w:val="22"/>
          <w:szCs w:val="22"/>
          <w:u w:val="single"/>
        </w:rPr>
        <w:t>7/18</w:t>
      </w:r>
      <w:r w:rsidR="00A82907" w:rsidRPr="00D12A48">
        <w:rPr>
          <w:sz w:val="22"/>
          <w:szCs w:val="22"/>
          <w:u w:val="single"/>
        </w:rPr>
        <w:t xml:space="preserve"> and proposals for 201</w:t>
      </w:r>
      <w:r w:rsidR="004F5868">
        <w:rPr>
          <w:sz w:val="22"/>
          <w:szCs w:val="22"/>
          <w:u w:val="single"/>
        </w:rPr>
        <w:t>8/19</w:t>
      </w:r>
    </w:p>
    <w:p w:rsidR="00766C47" w:rsidRPr="00D12A48" w:rsidRDefault="00766C47" w:rsidP="00FF65F9">
      <w:pPr>
        <w:jc w:val="both"/>
        <w:rPr>
          <w:sz w:val="22"/>
          <w:szCs w:val="22"/>
          <w:u w:val="single"/>
        </w:rPr>
      </w:pPr>
    </w:p>
    <w:p w:rsidR="00A82907" w:rsidRPr="00D12A48" w:rsidRDefault="00270BE6" w:rsidP="00FF65F9">
      <w:pPr>
        <w:jc w:val="both"/>
        <w:rPr>
          <w:b/>
          <w:bCs/>
          <w:sz w:val="22"/>
          <w:szCs w:val="22"/>
        </w:rPr>
      </w:pPr>
      <w:r>
        <w:rPr>
          <w:sz w:val="22"/>
          <w:szCs w:val="22"/>
        </w:rPr>
        <w:t>7</w:t>
      </w:r>
      <w:r w:rsidR="00A82907" w:rsidRPr="00766C47">
        <w:rPr>
          <w:sz w:val="22"/>
          <w:szCs w:val="22"/>
        </w:rPr>
        <w:t xml:space="preserve">.5 </w:t>
      </w:r>
      <w:r w:rsidR="00A82907" w:rsidRPr="00766C47">
        <w:rPr>
          <w:sz w:val="22"/>
          <w:szCs w:val="22"/>
          <w:u w:val="single"/>
        </w:rPr>
        <w:t xml:space="preserve">The </w:t>
      </w:r>
      <w:r w:rsidR="00766C47">
        <w:rPr>
          <w:sz w:val="22"/>
          <w:szCs w:val="22"/>
          <w:u w:val="single"/>
        </w:rPr>
        <w:t>Ring-F</w:t>
      </w:r>
      <w:r w:rsidR="006C266C" w:rsidRPr="00766C47">
        <w:rPr>
          <w:sz w:val="22"/>
          <w:szCs w:val="22"/>
          <w:u w:val="single"/>
        </w:rPr>
        <w:t>enced</w:t>
      </w:r>
      <w:r w:rsidR="00A82907" w:rsidRPr="00766C47">
        <w:rPr>
          <w:sz w:val="22"/>
          <w:szCs w:val="22"/>
          <w:u w:val="single"/>
        </w:rPr>
        <w:t xml:space="preserve"> Growth Fund</w:t>
      </w:r>
    </w:p>
    <w:p w:rsidR="00A82907" w:rsidRPr="00D12A48" w:rsidRDefault="00A82907" w:rsidP="00FF65F9">
      <w:pPr>
        <w:jc w:val="both"/>
        <w:rPr>
          <w:sz w:val="22"/>
          <w:szCs w:val="22"/>
        </w:rPr>
      </w:pPr>
    </w:p>
    <w:p w:rsidR="004F5868" w:rsidRPr="006D3066" w:rsidRDefault="00A82907" w:rsidP="00FF65F9">
      <w:pPr>
        <w:jc w:val="both"/>
        <w:rPr>
          <w:sz w:val="22"/>
          <w:szCs w:val="22"/>
          <w:highlight w:val="yellow"/>
        </w:rPr>
      </w:pPr>
      <w:r w:rsidRPr="00E66ACE">
        <w:rPr>
          <w:sz w:val="22"/>
          <w:szCs w:val="22"/>
        </w:rPr>
        <w:t xml:space="preserve">The </w:t>
      </w:r>
      <w:r w:rsidR="00766C47">
        <w:rPr>
          <w:sz w:val="22"/>
          <w:szCs w:val="22"/>
        </w:rPr>
        <w:t xml:space="preserve">total </w:t>
      </w:r>
      <w:r w:rsidR="00082F7B" w:rsidRPr="00E66ACE">
        <w:rPr>
          <w:sz w:val="22"/>
          <w:szCs w:val="22"/>
        </w:rPr>
        <w:t>value of the Growth Fund in 201</w:t>
      </w:r>
      <w:r w:rsidR="004F5868">
        <w:rPr>
          <w:sz w:val="22"/>
          <w:szCs w:val="22"/>
        </w:rPr>
        <w:t>7/18</w:t>
      </w:r>
      <w:r w:rsidRPr="00E66ACE">
        <w:rPr>
          <w:sz w:val="22"/>
          <w:szCs w:val="22"/>
        </w:rPr>
        <w:t xml:space="preserve"> </w:t>
      </w:r>
      <w:r w:rsidRPr="00B91289">
        <w:rPr>
          <w:sz w:val="22"/>
          <w:szCs w:val="22"/>
        </w:rPr>
        <w:t>was £</w:t>
      </w:r>
      <w:r w:rsidR="00B91289" w:rsidRPr="00B91289">
        <w:rPr>
          <w:sz w:val="22"/>
          <w:szCs w:val="22"/>
        </w:rPr>
        <w:t>2.614</w:t>
      </w:r>
      <w:r w:rsidRPr="00B91289">
        <w:rPr>
          <w:sz w:val="22"/>
          <w:szCs w:val="22"/>
        </w:rPr>
        <w:t xml:space="preserve">m, </w:t>
      </w:r>
      <w:r w:rsidRPr="00E66ACE">
        <w:rPr>
          <w:sz w:val="22"/>
          <w:szCs w:val="22"/>
        </w:rPr>
        <w:t>broken</w:t>
      </w:r>
      <w:r w:rsidRPr="00D12A48">
        <w:rPr>
          <w:sz w:val="22"/>
          <w:szCs w:val="22"/>
        </w:rPr>
        <w:t xml:space="preserve"> d</w:t>
      </w:r>
      <w:r w:rsidR="00A748F3" w:rsidRPr="00D12A48">
        <w:rPr>
          <w:sz w:val="22"/>
          <w:szCs w:val="22"/>
        </w:rPr>
        <w:t>own between phases and types</w:t>
      </w:r>
      <w:r w:rsidRPr="00D12A48">
        <w:rPr>
          <w:sz w:val="22"/>
          <w:szCs w:val="22"/>
        </w:rPr>
        <w:t xml:space="preserve">,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6D3066">
        <w:trPr>
          <w:jc w:val="center"/>
        </w:trPr>
        <w:tc>
          <w:tcPr>
            <w:tcW w:w="4517" w:type="dxa"/>
          </w:tcPr>
          <w:p w:rsidR="00A82907" w:rsidRPr="006D3066" w:rsidRDefault="00A82907" w:rsidP="000A29A0">
            <w:pPr>
              <w:jc w:val="both"/>
              <w:rPr>
                <w:sz w:val="22"/>
                <w:szCs w:val="22"/>
                <w:highlight w:val="yellow"/>
              </w:rPr>
            </w:pPr>
          </w:p>
        </w:tc>
        <w:tc>
          <w:tcPr>
            <w:tcW w:w="1701" w:type="dxa"/>
            <w:shd w:val="clear" w:color="auto" w:fill="C0C0C0"/>
          </w:tcPr>
          <w:p w:rsidR="00A82907" w:rsidRPr="00D2724D" w:rsidRDefault="00A82907" w:rsidP="000A29A0">
            <w:pPr>
              <w:jc w:val="right"/>
              <w:rPr>
                <w:b/>
                <w:bCs/>
                <w:sz w:val="22"/>
                <w:szCs w:val="22"/>
                <w:highlight w:val="lightGray"/>
              </w:rPr>
            </w:pPr>
            <w:r w:rsidRPr="00D2724D">
              <w:rPr>
                <w:b/>
                <w:bCs/>
                <w:sz w:val="22"/>
                <w:szCs w:val="22"/>
                <w:highlight w:val="lightGray"/>
              </w:rPr>
              <w:t>Primary</w:t>
            </w:r>
          </w:p>
        </w:tc>
        <w:tc>
          <w:tcPr>
            <w:tcW w:w="1668" w:type="dxa"/>
            <w:shd w:val="clear" w:color="auto" w:fill="C0C0C0"/>
          </w:tcPr>
          <w:p w:rsidR="00A82907" w:rsidRPr="00D2724D" w:rsidRDefault="00A82907" w:rsidP="000A29A0">
            <w:pPr>
              <w:jc w:val="right"/>
              <w:rPr>
                <w:b/>
                <w:bCs/>
                <w:sz w:val="22"/>
                <w:szCs w:val="22"/>
                <w:highlight w:val="lightGray"/>
              </w:rPr>
            </w:pPr>
            <w:r w:rsidRPr="00D2724D">
              <w:rPr>
                <w:b/>
                <w:bCs/>
                <w:sz w:val="22"/>
                <w:szCs w:val="22"/>
                <w:highlight w:val="lightGray"/>
              </w:rPr>
              <w:t>Secondary</w:t>
            </w:r>
          </w:p>
        </w:tc>
        <w:tc>
          <w:tcPr>
            <w:tcW w:w="1414" w:type="dxa"/>
            <w:shd w:val="clear" w:color="auto" w:fill="C0C0C0"/>
          </w:tcPr>
          <w:p w:rsidR="00A82907" w:rsidRPr="00D2724D" w:rsidRDefault="00A82907" w:rsidP="000A29A0">
            <w:pPr>
              <w:jc w:val="right"/>
              <w:rPr>
                <w:b/>
                <w:bCs/>
                <w:sz w:val="22"/>
                <w:szCs w:val="22"/>
                <w:highlight w:val="lightGray"/>
              </w:rPr>
            </w:pPr>
            <w:r w:rsidRPr="00D2724D">
              <w:rPr>
                <w:b/>
                <w:bCs/>
                <w:sz w:val="22"/>
                <w:szCs w:val="22"/>
                <w:highlight w:val="lightGray"/>
              </w:rPr>
              <w:t>Total</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 xml:space="preserve">Existing Known Expansions </w:t>
            </w:r>
          </w:p>
        </w:tc>
        <w:tc>
          <w:tcPr>
            <w:tcW w:w="1701" w:type="dxa"/>
          </w:tcPr>
          <w:p w:rsidR="00A82907" w:rsidRPr="00E66ACE" w:rsidRDefault="003F4FC9" w:rsidP="00E66ACE">
            <w:pPr>
              <w:jc w:val="right"/>
              <w:rPr>
                <w:sz w:val="22"/>
                <w:szCs w:val="22"/>
              </w:rPr>
            </w:pPr>
            <w:r>
              <w:rPr>
                <w:sz w:val="22"/>
                <w:szCs w:val="22"/>
              </w:rPr>
              <w:t>£517,086</w:t>
            </w:r>
          </w:p>
        </w:tc>
        <w:tc>
          <w:tcPr>
            <w:tcW w:w="1668" w:type="dxa"/>
          </w:tcPr>
          <w:p w:rsidR="00A82907" w:rsidRPr="00E66ACE" w:rsidRDefault="002F3B00" w:rsidP="000A29A0">
            <w:pPr>
              <w:jc w:val="right"/>
              <w:rPr>
                <w:sz w:val="22"/>
                <w:szCs w:val="22"/>
              </w:rPr>
            </w:pPr>
            <w:r>
              <w:rPr>
                <w:sz w:val="22"/>
                <w:szCs w:val="22"/>
              </w:rPr>
              <w:t>£</w:t>
            </w:r>
            <w:r w:rsidR="00B91289">
              <w:rPr>
                <w:sz w:val="22"/>
                <w:szCs w:val="22"/>
              </w:rPr>
              <w:t>20,694</w:t>
            </w:r>
          </w:p>
        </w:tc>
        <w:tc>
          <w:tcPr>
            <w:tcW w:w="1414" w:type="dxa"/>
          </w:tcPr>
          <w:p w:rsidR="00A82907" w:rsidRPr="00E66ACE" w:rsidRDefault="002F3B00" w:rsidP="00E66ACE">
            <w:pPr>
              <w:jc w:val="right"/>
              <w:rPr>
                <w:sz w:val="22"/>
                <w:szCs w:val="22"/>
              </w:rPr>
            </w:pPr>
            <w:r>
              <w:rPr>
                <w:sz w:val="22"/>
                <w:szCs w:val="22"/>
              </w:rPr>
              <w:t>£537,780</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 xml:space="preserve">Existing Bulge Classes </w:t>
            </w:r>
          </w:p>
        </w:tc>
        <w:tc>
          <w:tcPr>
            <w:tcW w:w="1701" w:type="dxa"/>
          </w:tcPr>
          <w:p w:rsidR="00A82907" w:rsidRPr="00E66ACE" w:rsidRDefault="003F4FC9" w:rsidP="00E66ACE">
            <w:pPr>
              <w:jc w:val="right"/>
              <w:rPr>
                <w:sz w:val="22"/>
                <w:szCs w:val="22"/>
              </w:rPr>
            </w:pPr>
            <w:r>
              <w:rPr>
                <w:sz w:val="22"/>
                <w:szCs w:val="22"/>
              </w:rPr>
              <w:t>£211,580</w:t>
            </w:r>
          </w:p>
        </w:tc>
        <w:tc>
          <w:tcPr>
            <w:tcW w:w="1668" w:type="dxa"/>
          </w:tcPr>
          <w:p w:rsidR="00A82907" w:rsidRPr="00E66ACE" w:rsidRDefault="00B91289" w:rsidP="000A29A0">
            <w:pPr>
              <w:jc w:val="right"/>
              <w:rPr>
                <w:sz w:val="22"/>
                <w:szCs w:val="22"/>
              </w:rPr>
            </w:pPr>
            <w:r>
              <w:rPr>
                <w:sz w:val="22"/>
                <w:szCs w:val="22"/>
              </w:rPr>
              <w:t>£0</w:t>
            </w:r>
          </w:p>
        </w:tc>
        <w:tc>
          <w:tcPr>
            <w:tcW w:w="1414" w:type="dxa"/>
          </w:tcPr>
          <w:p w:rsidR="00A82907" w:rsidRPr="00E66ACE" w:rsidRDefault="002F3B00" w:rsidP="00E66ACE">
            <w:pPr>
              <w:jc w:val="right"/>
              <w:rPr>
                <w:sz w:val="22"/>
                <w:szCs w:val="22"/>
              </w:rPr>
            </w:pPr>
            <w:r>
              <w:rPr>
                <w:sz w:val="22"/>
                <w:szCs w:val="22"/>
              </w:rPr>
              <w:t>£211,580</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New Expansions</w:t>
            </w:r>
          </w:p>
        </w:tc>
        <w:tc>
          <w:tcPr>
            <w:tcW w:w="1701" w:type="dxa"/>
          </w:tcPr>
          <w:p w:rsidR="00A82907" w:rsidRPr="00E66ACE" w:rsidRDefault="003F4FC9" w:rsidP="00E66ACE">
            <w:pPr>
              <w:jc w:val="right"/>
              <w:rPr>
                <w:sz w:val="22"/>
                <w:szCs w:val="22"/>
              </w:rPr>
            </w:pPr>
            <w:r>
              <w:rPr>
                <w:sz w:val="22"/>
                <w:szCs w:val="22"/>
              </w:rPr>
              <w:t>£300,000</w:t>
            </w:r>
          </w:p>
        </w:tc>
        <w:tc>
          <w:tcPr>
            <w:tcW w:w="1668" w:type="dxa"/>
          </w:tcPr>
          <w:p w:rsidR="00A82907" w:rsidRPr="00E66ACE" w:rsidRDefault="00B91289" w:rsidP="00E66ACE">
            <w:pPr>
              <w:jc w:val="right"/>
              <w:rPr>
                <w:sz w:val="22"/>
                <w:szCs w:val="22"/>
              </w:rPr>
            </w:pPr>
            <w:r>
              <w:rPr>
                <w:sz w:val="22"/>
                <w:szCs w:val="22"/>
              </w:rPr>
              <w:t>£680,000</w:t>
            </w:r>
          </w:p>
        </w:tc>
        <w:tc>
          <w:tcPr>
            <w:tcW w:w="1414" w:type="dxa"/>
          </w:tcPr>
          <w:p w:rsidR="00A82907" w:rsidRPr="00E66ACE" w:rsidRDefault="002F3B00" w:rsidP="00E66ACE">
            <w:pPr>
              <w:jc w:val="right"/>
              <w:rPr>
                <w:sz w:val="22"/>
                <w:szCs w:val="22"/>
              </w:rPr>
            </w:pPr>
            <w:r>
              <w:rPr>
                <w:sz w:val="22"/>
                <w:szCs w:val="22"/>
              </w:rPr>
              <w:t>£980,000</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Pre-Opening Costs</w:t>
            </w:r>
          </w:p>
        </w:tc>
        <w:tc>
          <w:tcPr>
            <w:tcW w:w="1701" w:type="dxa"/>
          </w:tcPr>
          <w:p w:rsidR="00A82907" w:rsidRPr="00E66ACE" w:rsidRDefault="003F4FC9" w:rsidP="001E7C15">
            <w:pPr>
              <w:jc w:val="right"/>
              <w:rPr>
                <w:sz w:val="22"/>
                <w:szCs w:val="22"/>
              </w:rPr>
            </w:pPr>
            <w:r>
              <w:rPr>
                <w:sz w:val="22"/>
                <w:szCs w:val="22"/>
              </w:rPr>
              <w:t>£0</w:t>
            </w:r>
          </w:p>
        </w:tc>
        <w:tc>
          <w:tcPr>
            <w:tcW w:w="1668" w:type="dxa"/>
          </w:tcPr>
          <w:p w:rsidR="00A82907" w:rsidRPr="00E66ACE" w:rsidRDefault="003F4FC9" w:rsidP="00BC3612">
            <w:pPr>
              <w:jc w:val="right"/>
              <w:rPr>
                <w:sz w:val="22"/>
                <w:szCs w:val="22"/>
              </w:rPr>
            </w:pPr>
            <w:r>
              <w:rPr>
                <w:sz w:val="22"/>
                <w:szCs w:val="22"/>
              </w:rPr>
              <w:t>£0</w:t>
            </w:r>
          </w:p>
        </w:tc>
        <w:tc>
          <w:tcPr>
            <w:tcW w:w="1414" w:type="dxa"/>
          </w:tcPr>
          <w:p w:rsidR="00A82907" w:rsidRPr="00E66ACE" w:rsidRDefault="003F4FC9" w:rsidP="001E7C15">
            <w:pPr>
              <w:jc w:val="right"/>
              <w:rPr>
                <w:sz w:val="22"/>
                <w:szCs w:val="22"/>
              </w:rPr>
            </w:pPr>
            <w:r>
              <w:rPr>
                <w:sz w:val="22"/>
                <w:szCs w:val="22"/>
              </w:rPr>
              <w:t>£0</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Diseconomies of Scale</w:t>
            </w:r>
          </w:p>
        </w:tc>
        <w:tc>
          <w:tcPr>
            <w:tcW w:w="1701" w:type="dxa"/>
          </w:tcPr>
          <w:p w:rsidR="00A82907" w:rsidRPr="00E66ACE" w:rsidRDefault="003F4FC9" w:rsidP="001E7C15">
            <w:pPr>
              <w:jc w:val="right"/>
              <w:rPr>
                <w:sz w:val="22"/>
                <w:szCs w:val="22"/>
              </w:rPr>
            </w:pPr>
            <w:r>
              <w:rPr>
                <w:sz w:val="22"/>
                <w:szCs w:val="22"/>
              </w:rPr>
              <w:t>£60,416</w:t>
            </w:r>
          </w:p>
        </w:tc>
        <w:tc>
          <w:tcPr>
            <w:tcW w:w="1668" w:type="dxa"/>
          </w:tcPr>
          <w:p w:rsidR="00A82907" w:rsidRPr="00E66ACE" w:rsidRDefault="002F3B00" w:rsidP="00BC3612">
            <w:pPr>
              <w:jc w:val="right"/>
              <w:rPr>
                <w:sz w:val="22"/>
                <w:szCs w:val="22"/>
              </w:rPr>
            </w:pPr>
            <w:r>
              <w:rPr>
                <w:sz w:val="22"/>
                <w:szCs w:val="22"/>
              </w:rPr>
              <w:t>£8</w:t>
            </w:r>
            <w:r w:rsidR="00B91289">
              <w:rPr>
                <w:sz w:val="22"/>
                <w:szCs w:val="22"/>
              </w:rPr>
              <w:t>24,385</w:t>
            </w:r>
          </w:p>
        </w:tc>
        <w:tc>
          <w:tcPr>
            <w:tcW w:w="1414" w:type="dxa"/>
          </w:tcPr>
          <w:p w:rsidR="00A82907" w:rsidRPr="00E66ACE" w:rsidRDefault="002F3B00" w:rsidP="001E7C15">
            <w:pPr>
              <w:jc w:val="right"/>
              <w:rPr>
                <w:sz w:val="22"/>
                <w:szCs w:val="22"/>
              </w:rPr>
            </w:pPr>
            <w:r>
              <w:rPr>
                <w:sz w:val="22"/>
                <w:szCs w:val="22"/>
              </w:rPr>
              <w:t>£884,801</w:t>
            </w:r>
          </w:p>
        </w:tc>
      </w:tr>
      <w:tr w:rsidR="00A82907" w:rsidRPr="00E66ACE">
        <w:trPr>
          <w:jc w:val="center"/>
        </w:trPr>
        <w:tc>
          <w:tcPr>
            <w:tcW w:w="4517" w:type="dxa"/>
          </w:tcPr>
          <w:p w:rsidR="00A82907" w:rsidRPr="00E66ACE" w:rsidRDefault="004F5868" w:rsidP="000A29A0">
            <w:pPr>
              <w:jc w:val="both"/>
              <w:rPr>
                <w:b/>
                <w:bCs/>
                <w:sz w:val="22"/>
                <w:szCs w:val="22"/>
              </w:rPr>
            </w:pPr>
            <w:r>
              <w:rPr>
                <w:b/>
                <w:bCs/>
                <w:sz w:val="22"/>
                <w:szCs w:val="22"/>
              </w:rPr>
              <w:t>Total Value 2017</w:t>
            </w:r>
            <w:r w:rsidR="00A82907" w:rsidRPr="00E66ACE">
              <w:rPr>
                <w:b/>
                <w:bCs/>
                <w:sz w:val="22"/>
                <w:szCs w:val="22"/>
              </w:rPr>
              <w:t>/1</w:t>
            </w:r>
            <w:r>
              <w:rPr>
                <w:b/>
                <w:bCs/>
                <w:sz w:val="22"/>
                <w:szCs w:val="22"/>
              </w:rPr>
              <w:t>8</w:t>
            </w:r>
          </w:p>
        </w:tc>
        <w:tc>
          <w:tcPr>
            <w:tcW w:w="1701" w:type="dxa"/>
          </w:tcPr>
          <w:p w:rsidR="00A82907" w:rsidRPr="00E66ACE" w:rsidRDefault="003F4FC9" w:rsidP="00E66ACE">
            <w:pPr>
              <w:jc w:val="right"/>
              <w:rPr>
                <w:b/>
                <w:bCs/>
                <w:sz w:val="22"/>
                <w:szCs w:val="22"/>
              </w:rPr>
            </w:pPr>
            <w:r>
              <w:rPr>
                <w:b/>
                <w:bCs/>
                <w:sz w:val="22"/>
                <w:szCs w:val="22"/>
              </w:rPr>
              <w:t>£1,089,082</w:t>
            </w:r>
          </w:p>
        </w:tc>
        <w:tc>
          <w:tcPr>
            <w:tcW w:w="1668" w:type="dxa"/>
          </w:tcPr>
          <w:p w:rsidR="00A82907" w:rsidRPr="00E66ACE" w:rsidRDefault="00B91289" w:rsidP="00E66ACE">
            <w:pPr>
              <w:jc w:val="right"/>
              <w:rPr>
                <w:b/>
                <w:bCs/>
                <w:sz w:val="22"/>
                <w:szCs w:val="22"/>
              </w:rPr>
            </w:pPr>
            <w:r>
              <w:rPr>
                <w:b/>
                <w:bCs/>
                <w:sz w:val="22"/>
                <w:szCs w:val="22"/>
              </w:rPr>
              <w:t>£1,525,079</w:t>
            </w:r>
          </w:p>
        </w:tc>
        <w:tc>
          <w:tcPr>
            <w:tcW w:w="1414" w:type="dxa"/>
          </w:tcPr>
          <w:p w:rsidR="00A82907" w:rsidRPr="00E66ACE" w:rsidRDefault="00B91289" w:rsidP="00E66ACE">
            <w:pPr>
              <w:jc w:val="right"/>
              <w:rPr>
                <w:b/>
                <w:bCs/>
                <w:sz w:val="22"/>
                <w:szCs w:val="22"/>
              </w:rPr>
            </w:pPr>
            <w:r>
              <w:rPr>
                <w:b/>
                <w:bCs/>
                <w:sz w:val="22"/>
                <w:szCs w:val="22"/>
              </w:rPr>
              <w:t>£2,614,161</w:t>
            </w:r>
          </w:p>
        </w:tc>
      </w:tr>
    </w:tbl>
    <w:p w:rsidR="00A82907" w:rsidRDefault="00A82907" w:rsidP="00A97DDB">
      <w:pPr>
        <w:jc w:val="both"/>
        <w:rPr>
          <w:sz w:val="22"/>
          <w:szCs w:val="22"/>
        </w:rPr>
      </w:pPr>
      <w:r w:rsidRPr="00D12A48">
        <w:rPr>
          <w:sz w:val="22"/>
          <w:szCs w:val="22"/>
        </w:rPr>
        <w:lastRenderedPageBreak/>
        <w:t xml:space="preserve">The </w:t>
      </w:r>
      <w:r w:rsidR="00082F7B" w:rsidRPr="00D12A48">
        <w:rPr>
          <w:sz w:val="22"/>
          <w:szCs w:val="22"/>
        </w:rPr>
        <w:t>criteria</w:t>
      </w:r>
      <w:r w:rsidR="00944020">
        <w:rPr>
          <w:sz w:val="22"/>
          <w:szCs w:val="22"/>
        </w:rPr>
        <w:t xml:space="preserve"> proposed</w:t>
      </w:r>
      <w:r w:rsidR="00082F7B" w:rsidRPr="00D12A48">
        <w:rPr>
          <w:sz w:val="22"/>
          <w:szCs w:val="22"/>
        </w:rPr>
        <w:t xml:space="preserve"> for allocating</w:t>
      </w:r>
      <w:r w:rsidR="00C31842">
        <w:rPr>
          <w:sz w:val="22"/>
          <w:szCs w:val="22"/>
        </w:rPr>
        <w:t xml:space="preserve"> </w:t>
      </w:r>
      <w:r w:rsidR="004F5868">
        <w:rPr>
          <w:sz w:val="22"/>
          <w:szCs w:val="22"/>
        </w:rPr>
        <w:t>in 2018/19</w:t>
      </w:r>
      <w:r w:rsidR="00944020">
        <w:rPr>
          <w:sz w:val="22"/>
          <w:szCs w:val="22"/>
        </w:rPr>
        <w:t xml:space="preserve"> </w:t>
      </w:r>
      <w:r w:rsidR="00C31842">
        <w:rPr>
          <w:sz w:val="22"/>
          <w:szCs w:val="22"/>
        </w:rPr>
        <w:t>growth</w:t>
      </w:r>
      <w:r w:rsidR="00944020">
        <w:rPr>
          <w:sz w:val="22"/>
          <w:szCs w:val="22"/>
        </w:rPr>
        <w:t xml:space="preserve"> funding to newly establishing schools and acad</w:t>
      </w:r>
      <w:r w:rsidR="004F5868">
        <w:rPr>
          <w:sz w:val="22"/>
          <w:szCs w:val="22"/>
        </w:rPr>
        <w:t>emies are the same as in 2017/18</w:t>
      </w:r>
      <w:r w:rsidR="00D12A48" w:rsidRPr="007B4D68">
        <w:rPr>
          <w:sz w:val="22"/>
          <w:szCs w:val="22"/>
        </w:rPr>
        <w:t>:</w:t>
      </w:r>
    </w:p>
    <w:p w:rsidR="001C1F2D" w:rsidRDefault="001C1F2D" w:rsidP="00A97DDB">
      <w:pPr>
        <w:jc w:val="both"/>
        <w:rPr>
          <w:sz w:val="22"/>
          <w:szCs w:val="22"/>
        </w:rPr>
      </w:pPr>
    </w:p>
    <w:p w:rsidR="001C1F2D" w:rsidRPr="001C1F2D" w:rsidRDefault="001C1F2D" w:rsidP="008D16B2">
      <w:pPr>
        <w:numPr>
          <w:ilvl w:val="0"/>
          <w:numId w:val="5"/>
        </w:numPr>
        <w:jc w:val="both"/>
        <w:rPr>
          <w:b/>
          <w:bCs/>
          <w:sz w:val="22"/>
          <w:szCs w:val="22"/>
        </w:rPr>
      </w:pPr>
      <w:r w:rsidRPr="001C1F2D">
        <w:rPr>
          <w:bCs/>
          <w:sz w:val="22"/>
          <w:szCs w:val="22"/>
        </w:rPr>
        <w:t>Newly established School / Academy Provision additional support:</w:t>
      </w:r>
      <w:r w:rsidRPr="007B4D68">
        <w:rPr>
          <w:b/>
          <w:bCs/>
          <w:sz w:val="22"/>
          <w:szCs w:val="22"/>
        </w:rPr>
        <w:t xml:space="preserve"> </w:t>
      </w:r>
      <w:r w:rsidRPr="007B4D68">
        <w:rPr>
          <w:sz w:val="22"/>
          <w:szCs w:val="22"/>
        </w:rPr>
        <w:t>For basic need purposes, where a new school / academy is established by the Local Authority, or where an existing school / academy extends its provision into a new phase i.e. a Secondary school / academy establishes Primary-aged provision and vice versa, at the request of the Local Authority, and where the new school / academy does not yet have pupils in all planned year groups, the funding approach will be:</w:t>
      </w:r>
    </w:p>
    <w:p w:rsidR="001C1F2D" w:rsidRPr="007B4D68" w:rsidRDefault="001C1F2D" w:rsidP="001C1F2D">
      <w:pPr>
        <w:ind w:left="360"/>
        <w:jc w:val="both"/>
        <w:rPr>
          <w:b/>
          <w:bCs/>
          <w:sz w:val="22"/>
          <w:szCs w:val="22"/>
        </w:rPr>
      </w:pPr>
    </w:p>
    <w:p w:rsidR="001C1F2D" w:rsidRPr="001C1F2D" w:rsidRDefault="001C1F2D" w:rsidP="008D16B2">
      <w:pPr>
        <w:numPr>
          <w:ilvl w:val="1"/>
          <w:numId w:val="5"/>
        </w:numPr>
        <w:jc w:val="both"/>
        <w:rPr>
          <w:b/>
          <w:bCs/>
          <w:sz w:val="22"/>
          <w:szCs w:val="22"/>
        </w:rPr>
      </w:pPr>
      <w:r w:rsidRPr="007B4D68">
        <w:rPr>
          <w:sz w:val="22"/>
          <w:szCs w:val="22"/>
        </w:rPr>
        <w:t xml:space="preserve">Pre-Opening support </w:t>
      </w:r>
      <w:r w:rsidRPr="007B4D68">
        <w:rPr>
          <w:i/>
          <w:iCs/>
          <w:sz w:val="22"/>
          <w:szCs w:val="22"/>
        </w:rPr>
        <w:t>(this is not applicable to non basic need Free Schools):</w:t>
      </w:r>
      <w:r w:rsidRPr="007B4D68">
        <w:rPr>
          <w:sz w:val="22"/>
          <w:szCs w:val="22"/>
        </w:rPr>
        <w:t xml:space="preserve"> the Schools Forum will consider the allocation of a pre-opening budget based on previous methodologies but also taking account of the specific circumstances of the school / academy.</w:t>
      </w:r>
    </w:p>
    <w:p w:rsidR="001C1F2D" w:rsidRPr="007B4D68" w:rsidRDefault="001C1F2D" w:rsidP="001C1F2D">
      <w:pPr>
        <w:ind w:left="1080"/>
        <w:jc w:val="both"/>
        <w:rPr>
          <w:b/>
          <w:bCs/>
          <w:sz w:val="22"/>
          <w:szCs w:val="22"/>
        </w:rPr>
      </w:pPr>
    </w:p>
    <w:p w:rsidR="001C1F2D" w:rsidRPr="00C741FF" w:rsidRDefault="001C1F2D" w:rsidP="008D16B2">
      <w:pPr>
        <w:numPr>
          <w:ilvl w:val="1"/>
          <w:numId w:val="5"/>
        </w:numPr>
        <w:jc w:val="both"/>
        <w:rPr>
          <w:b/>
          <w:bCs/>
          <w:sz w:val="22"/>
          <w:szCs w:val="22"/>
        </w:rPr>
      </w:pPr>
      <w:r w:rsidRPr="007B4D68">
        <w:rPr>
          <w:sz w:val="22"/>
          <w:szCs w:val="22"/>
        </w:rPr>
        <w:t xml:space="preserve">Post-Opening support for diseconomies of scale </w:t>
      </w:r>
      <w:r w:rsidRPr="007B4D68">
        <w:rPr>
          <w:i/>
          <w:iCs/>
          <w:sz w:val="22"/>
          <w:szCs w:val="22"/>
        </w:rPr>
        <w:t>(this is not applicable to non basic need Free Schools</w:t>
      </w:r>
      <w:r w:rsidRPr="007B4D68">
        <w:rPr>
          <w:sz w:val="22"/>
          <w:szCs w:val="22"/>
        </w:rPr>
        <w:t xml:space="preserve">): the Schools Forum will consider the allocation of a budget based on previous </w:t>
      </w:r>
      <w:r w:rsidRPr="00C741FF">
        <w:rPr>
          <w:sz w:val="22"/>
          <w:szCs w:val="22"/>
        </w:rPr>
        <w:t>methodologies but also taking account the specific circumstances of the school / academy.</w:t>
      </w:r>
    </w:p>
    <w:p w:rsidR="001C1F2D" w:rsidRPr="00C741FF" w:rsidRDefault="001C1F2D" w:rsidP="001C1F2D">
      <w:pPr>
        <w:jc w:val="both"/>
        <w:rPr>
          <w:b/>
          <w:bCs/>
          <w:sz w:val="22"/>
          <w:szCs w:val="22"/>
        </w:rPr>
      </w:pPr>
    </w:p>
    <w:p w:rsidR="001C1F2D" w:rsidRPr="001C1F2D" w:rsidRDefault="001C1F2D" w:rsidP="008D16B2">
      <w:pPr>
        <w:pStyle w:val="ListParagraph"/>
        <w:numPr>
          <w:ilvl w:val="0"/>
          <w:numId w:val="17"/>
        </w:numPr>
        <w:jc w:val="both"/>
        <w:rPr>
          <w:b/>
          <w:bCs/>
          <w:sz w:val="22"/>
          <w:szCs w:val="22"/>
        </w:rPr>
      </w:pPr>
      <w:r w:rsidRPr="001C1F2D">
        <w:rPr>
          <w:bCs/>
          <w:sz w:val="22"/>
          <w:szCs w:val="22"/>
        </w:rPr>
        <w:t>Newly established School / Academy Provision revenue formula funding</w:t>
      </w:r>
      <w:r>
        <w:rPr>
          <w:bCs/>
          <w:sz w:val="22"/>
          <w:szCs w:val="22"/>
        </w:rPr>
        <w:t>:</w:t>
      </w:r>
      <w:r w:rsidRPr="00C741FF">
        <w:rPr>
          <w:sz w:val="22"/>
          <w:szCs w:val="22"/>
        </w:rPr>
        <w:t xml:space="preserve"> </w:t>
      </w:r>
      <w:r w:rsidRPr="00C741FF">
        <w:rPr>
          <w:i/>
          <w:iCs/>
          <w:sz w:val="22"/>
          <w:szCs w:val="22"/>
        </w:rPr>
        <w:t>(this does apply to non basic need Free Schools but only from the 2</w:t>
      </w:r>
      <w:r w:rsidRPr="00C741FF">
        <w:rPr>
          <w:i/>
          <w:iCs/>
          <w:sz w:val="22"/>
          <w:szCs w:val="22"/>
          <w:vertAlign w:val="superscript"/>
        </w:rPr>
        <w:t>nd</w:t>
      </w:r>
      <w:r w:rsidRPr="00C741FF">
        <w:rPr>
          <w:i/>
          <w:iCs/>
          <w:sz w:val="22"/>
          <w:szCs w:val="22"/>
        </w:rPr>
        <w:t xml:space="preserve"> year of establishment)</w:t>
      </w:r>
      <w:r w:rsidRPr="00C741FF">
        <w:rPr>
          <w:sz w:val="22"/>
          <w:szCs w:val="22"/>
        </w:rPr>
        <w:t xml:space="preserve">: in the first financial year the school / academy will receive a full calculation of formula funding for the number of children planned to be admitted in September, based on estimated data, for the proportion of the year that the school / academy is established (e.g. 7/12ths for a September opening). For technical purposes, this will not be an allocation from the Growth Fund, but a formula funding allocation via the agreed formula – the Local Authority will submit an application to the </w:t>
      </w:r>
      <w:r w:rsidR="002915A5">
        <w:rPr>
          <w:sz w:val="22"/>
          <w:szCs w:val="22"/>
        </w:rPr>
        <w:t>ESFA</w:t>
      </w:r>
      <w:r w:rsidRPr="00C741FF">
        <w:rPr>
          <w:sz w:val="22"/>
          <w:szCs w:val="22"/>
        </w:rPr>
        <w:t xml:space="preserve"> to vary pupil numbers on the basis of planned numbers. Any significant difference between estimated and actual intake numbers will be adjusted for retrospectively in the following financial year. In subsequent years, until all year groups are established, the school / academy will be funded on the basis outlined above, providing a full calculation of additional formula funding for the planned additional intake for the following September, with a retrospective adjustment where there are significant differences between estimated and actual intake numbers. </w:t>
      </w:r>
      <w:r w:rsidRPr="00C741FF">
        <w:rPr>
          <w:i/>
          <w:iCs/>
          <w:sz w:val="22"/>
          <w:szCs w:val="22"/>
        </w:rPr>
        <w:t xml:space="preserve">Please note that academy / free school will receive their allocations directly from the </w:t>
      </w:r>
      <w:r w:rsidR="002915A5">
        <w:rPr>
          <w:i/>
          <w:iCs/>
          <w:sz w:val="22"/>
          <w:szCs w:val="22"/>
        </w:rPr>
        <w:t>ESFA</w:t>
      </w:r>
      <w:r w:rsidRPr="00C741FF">
        <w:rPr>
          <w:i/>
          <w:iCs/>
          <w:sz w:val="22"/>
          <w:szCs w:val="22"/>
        </w:rPr>
        <w:t>, although these are still funded from the DSG.</w:t>
      </w:r>
    </w:p>
    <w:p w:rsidR="001C1F2D" w:rsidRDefault="001C1F2D" w:rsidP="00A97DDB">
      <w:pPr>
        <w:jc w:val="both"/>
        <w:rPr>
          <w:sz w:val="22"/>
          <w:szCs w:val="22"/>
          <w:highlight w:val="yellow"/>
        </w:rPr>
      </w:pPr>
    </w:p>
    <w:p w:rsidR="00944020" w:rsidRPr="00944020" w:rsidRDefault="00944020" w:rsidP="00A97DDB">
      <w:pPr>
        <w:jc w:val="both"/>
        <w:rPr>
          <w:sz w:val="22"/>
          <w:szCs w:val="22"/>
        </w:rPr>
      </w:pPr>
      <w:r w:rsidRPr="00D12A48">
        <w:rPr>
          <w:sz w:val="22"/>
          <w:szCs w:val="22"/>
        </w:rPr>
        <w:t>The criteria</w:t>
      </w:r>
      <w:r>
        <w:rPr>
          <w:sz w:val="22"/>
          <w:szCs w:val="22"/>
        </w:rPr>
        <w:t xml:space="preserve"> proposed</w:t>
      </w:r>
      <w:r w:rsidRPr="00D12A48">
        <w:rPr>
          <w:sz w:val="22"/>
          <w:szCs w:val="22"/>
        </w:rPr>
        <w:t xml:space="preserve"> for allocating</w:t>
      </w:r>
      <w:r>
        <w:rPr>
          <w:sz w:val="22"/>
          <w:szCs w:val="22"/>
        </w:rPr>
        <w:t xml:space="preserve"> growth</w:t>
      </w:r>
      <w:r w:rsidR="002915A5">
        <w:rPr>
          <w:sz w:val="22"/>
          <w:szCs w:val="22"/>
        </w:rPr>
        <w:t xml:space="preserve"> funding in 2018/19</w:t>
      </w:r>
      <w:r w:rsidRPr="00D12A48">
        <w:rPr>
          <w:sz w:val="22"/>
          <w:szCs w:val="22"/>
        </w:rPr>
        <w:t xml:space="preserve"> </w:t>
      </w:r>
      <w:r>
        <w:rPr>
          <w:sz w:val="22"/>
          <w:szCs w:val="22"/>
        </w:rPr>
        <w:t xml:space="preserve">to </w:t>
      </w:r>
      <w:r w:rsidR="004D0FE1">
        <w:rPr>
          <w:sz w:val="22"/>
          <w:szCs w:val="22"/>
        </w:rPr>
        <w:t>already</w:t>
      </w:r>
      <w:r>
        <w:rPr>
          <w:sz w:val="22"/>
          <w:szCs w:val="22"/>
        </w:rPr>
        <w:t xml:space="preserve"> established primary schools and primary academies</w:t>
      </w:r>
      <w:r w:rsidR="004D0FE1">
        <w:rPr>
          <w:sz w:val="22"/>
          <w:szCs w:val="22"/>
        </w:rPr>
        <w:t>,</w:t>
      </w:r>
      <w:r>
        <w:rPr>
          <w:sz w:val="22"/>
          <w:szCs w:val="22"/>
        </w:rPr>
        <w:t xml:space="preserve"> that have be</w:t>
      </w:r>
      <w:r w:rsidR="004D0FE1">
        <w:rPr>
          <w:sz w:val="22"/>
          <w:szCs w:val="22"/>
        </w:rPr>
        <w:t>e</w:t>
      </w:r>
      <w:r>
        <w:rPr>
          <w:sz w:val="22"/>
          <w:szCs w:val="22"/>
        </w:rPr>
        <w:t xml:space="preserve">n asked to increase their admission numbers, </w:t>
      </w:r>
      <w:r w:rsidR="002915A5">
        <w:rPr>
          <w:sz w:val="22"/>
          <w:szCs w:val="22"/>
        </w:rPr>
        <w:t>are the same as in 2017</w:t>
      </w:r>
      <w:r w:rsidRPr="00D12A48">
        <w:rPr>
          <w:sz w:val="22"/>
          <w:szCs w:val="22"/>
        </w:rPr>
        <w:t>/</w:t>
      </w:r>
      <w:r w:rsidR="002915A5">
        <w:rPr>
          <w:sz w:val="22"/>
          <w:szCs w:val="22"/>
        </w:rPr>
        <w:t>18</w:t>
      </w:r>
      <w:r w:rsidRPr="007B4D68">
        <w:rPr>
          <w:sz w:val="22"/>
          <w:szCs w:val="22"/>
        </w:rPr>
        <w:t>:</w:t>
      </w:r>
    </w:p>
    <w:p w:rsidR="00A82907" w:rsidRPr="006B6797" w:rsidRDefault="00A82907" w:rsidP="00A97DDB">
      <w:pPr>
        <w:jc w:val="both"/>
        <w:rPr>
          <w:b/>
          <w:bCs/>
          <w:color w:val="FF0000"/>
          <w:sz w:val="12"/>
          <w:szCs w:val="12"/>
        </w:rPr>
      </w:pPr>
    </w:p>
    <w:p w:rsidR="00391F12" w:rsidRPr="00C31842" w:rsidRDefault="00C741FF" w:rsidP="008D16B2">
      <w:pPr>
        <w:numPr>
          <w:ilvl w:val="0"/>
          <w:numId w:val="6"/>
        </w:numPr>
        <w:tabs>
          <w:tab w:val="clear" w:pos="0"/>
          <w:tab w:val="num" w:pos="-360"/>
        </w:tabs>
        <w:ind w:left="360"/>
        <w:jc w:val="both"/>
        <w:rPr>
          <w:bCs/>
          <w:sz w:val="22"/>
          <w:szCs w:val="22"/>
        </w:rPr>
      </w:pPr>
      <w:r w:rsidRPr="00C31842">
        <w:rPr>
          <w:bCs/>
          <w:sz w:val="22"/>
          <w:szCs w:val="22"/>
        </w:rPr>
        <w:t>PRIMARY s</w:t>
      </w:r>
      <w:r w:rsidR="00A82907" w:rsidRPr="00C31842">
        <w:rPr>
          <w:bCs/>
          <w:sz w:val="22"/>
          <w:szCs w:val="22"/>
        </w:rPr>
        <w:t>chools / academies permanently expanding by increasing the size of existing year groups</w:t>
      </w:r>
      <w:r w:rsidR="00A82907" w:rsidRPr="00C31842">
        <w:rPr>
          <w:sz w:val="22"/>
          <w:szCs w:val="22"/>
        </w:rPr>
        <w:t>:</w:t>
      </w:r>
    </w:p>
    <w:p w:rsidR="00CA1986" w:rsidRDefault="00CA1986" w:rsidP="00CA1986">
      <w:pPr>
        <w:ind w:left="360"/>
        <w:jc w:val="both"/>
        <w:rPr>
          <w:b/>
          <w:bCs/>
          <w:sz w:val="22"/>
          <w:szCs w:val="22"/>
        </w:rPr>
      </w:pPr>
    </w:p>
    <w:p w:rsidR="00CA1986" w:rsidRPr="00C741FF" w:rsidRDefault="00391F12" w:rsidP="008D16B2">
      <w:pPr>
        <w:pStyle w:val="ListParagraph"/>
        <w:numPr>
          <w:ilvl w:val="0"/>
          <w:numId w:val="16"/>
        </w:numPr>
        <w:jc w:val="both"/>
        <w:rPr>
          <w:b/>
          <w:bCs/>
          <w:sz w:val="22"/>
          <w:szCs w:val="22"/>
        </w:rPr>
      </w:pPr>
      <w:r w:rsidRPr="001760BA">
        <w:rPr>
          <w:sz w:val="22"/>
          <w:szCs w:val="22"/>
        </w:rPr>
        <w:t>Primary schools and academies</w:t>
      </w:r>
      <w:r w:rsidRPr="00C31842">
        <w:rPr>
          <w:sz w:val="22"/>
          <w:szCs w:val="22"/>
        </w:rPr>
        <w:t xml:space="preserve"> </w:t>
      </w:r>
      <w:r w:rsidR="00C31842" w:rsidRPr="00C31842">
        <w:rPr>
          <w:sz w:val="22"/>
          <w:szCs w:val="22"/>
        </w:rPr>
        <w:t>are normally</w:t>
      </w:r>
      <w:r w:rsidRPr="00C31842">
        <w:rPr>
          <w:sz w:val="22"/>
          <w:szCs w:val="22"/>
        </w:rPr>
        <w:t xml:space="preserve"> asked </w:t>
      </w:r>
      <w:r w:rsidR="00C31842" w:rsidRPr="00C31842">
        <w:rPr>
          <w:sz w:val="22"/>
          <w:szCs w:val="22"/>
        </w:rPr>
        <w:t>by the Local Authority</w:t>
      </w:r>
      <w:r w:rsidR="00056F28" w:rsidRPr="00C31842">
        <w:rPr>
          <w:sz w:val="22"/>
          <w:szCs w:val="22"/>
        </w:rPr>
        <w:t xml:space="preserve"> </w:t>
      </w:r>
      <w:r w:rsidRPr="00C31842">
        <w:rPr>
          <w:sz w:val="22"/>
          <w:szCs w:val="22"/>
        </w:rPr>
        <w:t>to expand by 0.5</w:t>
      </w:r>
      <w:r w:rsidR="00C31842" w:rsidRPr="00C31842">
        <w:rPr>
          <w:sz w:val="22"/>
          <w:szCs w:val="22"/>
        </w:rPr>
        <w:t xml:space="preserve"> FE</w:t>
      </w:r>
      <w:r w:rsidR="00C31842">
        <w:rPr>
          <w:sz w:val="22"/>
          <w:szCs w:val="22"/>
        </w:rPr>
        <w:t xml:space="preserve"> or 1 FE at any one time. G</w:t>
      </w:r>
      <w:r w:rsidRPr="00C31842">
        <w:rPr>
          <w:sz w:val="22"/>
          <w:szCs w:val="22"/>
        </w:rPr>
        <w:t xml:space="preserve">rowth funding </w:t>
      </w:r>
      <w:r w:rsidR="00C31842" w:rsidRPr="00C31842">
        <w:rPr>
          <w:sz w:val="22"/>
          <w:szCs w:val="22"/>
        </w:rPr>
        <w:t>is allocated so that the school or</w:t>
      </w:r>
      <w:r w:rsidRPr="00C31842">
        <w:rPr>
          <w:sz w:val="22"/>
          <w:szCs w:val="22"/>
        </w:rPr>
        <w:t xml:space="preserve"> academy</w:t>
      </w:r>
      <w:r w:rsidR="00C31842" w:rsidRPr="00C31842">
        <w:rPr>
          <w:sz w:val="22"/>
          <w:szCs w:val="22"/>
        </w:rPr>
        <w:t xml:space="preserve"> has the additional funds to establish a new class (or classes)</w:t>
      </w:r>
      <w:r w:rsidRPr="00C31842">
        <w:rPr>
          <w:sz w:val="22"/>
          <w:szCs w:val="22"/>
        </w:rPr>
        <w:t xml:space="preserve">. </w:t>
      </w:r>
      <w:r w:rsidR="00856D07">
        <w:rPr>
          <w:sz w:val="22"/>
          <w:szCs w:val="22"/>
        </w:rPr>
        <w:t>Funding is allocated as follows</w:t>
      </w:r>
      <w:r w:rsidR="00167AA9">
        <w:rPr>
          <w:sz w:val="22"/>
          <w:szCs w:val="22"/>
        </w:rPr>
        <w:t>:</w:t>
      </w:r>
    </w:p>
    <w:p w:rsidR="00C741FF" w:rsidRPr="00C741FF" w:rsidRDefault="00C741FF" w:rsidP="00C741FF">
      <w:pPr>
        <w:pStyle w:val="ListParagraph"/>
        <w:jc w:val="both"/>
        <w:rPr>
          <w:b/>
          <w:bCs/>
          <w:sz w:val="22"/>
          <w:szCs w:val="22"/>
        </w:rPr>
      </w:pPr>
    </w:p>
    <w:p w:rsidR="00391F12" w:rsidRPr="00270BE6" w:rsidRDefault="00391F12" w:rsidP="008D16B2">
      <w:pPr>
        <w:pStyle w:val="ListParagraph"/>
        <w:numPr>
          <w:ilvl w:val="1"/>
          <w:numId w:val="16"/>
        </w:numPr>
        <w:jc w:val="both"/>
        <w:rPr>
          <w:b/>
          <w:bCs/>
          <w:color w:val="000000" w:themeColor="text1"/>
          <w:sz w:val="22"/>
          <w:szCs w:val="22"/>
        </w:rPr>
      </w:pPr>
      <w:r w:rsidRPr="00391F12">
        <w:rPr>
          <w:sz w:val="22"/>
          <w:szCs w:val="22"/>
        </w:rPr>
        <w:t xml:space="preserve">For </w:t>
      </w:r>
      <w:r w:rsidRPr="001760BA">
        <w:rPr>
          <w:sz w:val="22"/>
          <w:szCs w:val="22"/>
        </w:rPr>
        <w:t>basic need purposes,</w:t>
      </w:r>
      <w:r w:rsidRPr="00391F12">
        <w:rPr>
          <w:sz w:val="22"/>
          <w:szCs w:val="22"/>
        </w:rPr>
        <w:t xml:space="preserve"> where an established primary school or academy is permanently expanding by increasing the size of existing year groups, and has already begun to expand before the start of the financial year, the additional allocation will be included within the school’s / academy’s initial budget. Funding is calculated on the diff</w:t>
      </w:r>
      <w:r w:rsidR="002915A5">
        <w:rPr>
          <w:sz w:val="22"/>
          <w:szCs w:val="22"/>
        </w:rPr>
        <w:t>erence between the October 2017</w:t>
      </w:r>
      <w:r w:rsidRPr="00391F12">
        <w:rPr>
          <w:sz w:val="22"/>
          <w:szCs w:val="22"/>
        </w:rPr>
        <w:t xml:space="preserve"> census pupil numbers and a calculation of the composite 5/12 </w:t>
      </w:r>
      <w:r w:rsidRPr="00270BE6">
        <w:rPr>
          <w:color w:val="000000" w:themeColor="text1"/>
          <w:sz w:val="22"/>
          <w:szCs w:val="22"/>
        </w:rPr>
        <w:t>+ 7/12 numbers, based on an estim</w:t>
      </w:r>
      <w:r w:rsidR="00030DD5" w:rsidRPr="00270BE6">
        <w:rPr>
          <w:color w:val="000000" w:themeColor="text1"/>
          <w:sz w:val="22"/>
          <w:szCs w:val="22"/>
        </w:rPr>
        <w:t>ate of the school’s October 2018</w:t>
      </w:r>
      <w:r w:rsidRPr="00270BE6">
        <w:rPr>
          <w:color w:val="000000" w:themeColor="text1"/>
          <w:sz w:val="22"/>
          <w:szCs w:val="22"/>
        </w:rPr>
        <w:t xml:space="preserve"> Census. The school will then be allocated 80% of the value of the</w:t>
      </w:r>
      <w:r w:rsidR="005D7BF5" w:rsidRPr="00270BE6">
        <w:rPr>
          <w:color w:val="000000" w:themeColor="text1"/>
          <w:sz w:val="22"/>
          <w:szCs w:val="22"/>
        </w:rPr>
        <w:t xml:space="preserve"> base amount per pupil</w:t>
      </w:r>
      <w:r w:rsidRPr="00270BE6">
        <w:rPr>
          <w:color w:val="000000" w:themeColor="text1"/>
          <w:sz w:val="22"/>
          <w:szCs w:val="22"/>
        </w:rPr>
        <w:t xml:space="preserve"> for the difference between the actual and the composite</w:t>
      </w:r>
      <w:r w:rsidR="002915A5" w:rsidRPr="00270BE6">
        <w:rPr>
          <w:color w:val="000000" w:themeColor="text1"/>
          <w:sz w:val="22"/>
          <w:szCs w:val="22"/>
        </w:rPr>
        <w:t xml:space="preserve"> calculation. On indicative 2018/19</w:t>
      </w:r>
      <w:r w:rsidRPr="00270BE6">
        <w:rPr>
          <w:color w:val="000000" w:themeColor="text1"/>
          <w:sz w:val="22"/>
          <w:szCs w:val="22"/>
        </w:rPr>
        <w:t xml:space="preserve"> </w:t>
      </w:r>
      <w:r w:rsidR="00015BB8" w:rsidRPr="00270BE6">
        <w:rPr>
          <w:color w:val="000000" w:themeColor="text1"/>
          <w:sz w:val="22"/>
          <w:szCs w:val="22"/>
        </w:rPr>
        <w:t xml:space="preserve">NFF-based </w:t>
      </w:r>
      <w:r w:rsidRPr="00270BE6">
        <w:rPr>
          <w:color w:val="000000" w:themeColor="text1"/>
          <w:sz w:val="22"/>
          <w:szCs w:val="22"/>
        </w:rPr>
        <w:t xml:space="preserve">values this would give </w:t>
      </w:r>
      <w:r w:rsidR="00ED68D6" w:rsidRPr="00270BE6">
        <w:rPr>
          <w:color w:val="000000" w:themeColor="text1"/>
          <w:sz w:val="22"/>
          <w:szCs w:val="22"/>
        </w:rPr>
        <w:t>£2,198</w:t>
      </w:r>
      <w:r w:rsidRPr="00270BE6">
        <w:rPr>
          <w:color w:val="000000" w:themeColor="text1"/>
          <w:sz w:val="22"/>
          <w:szCs w:val="22"/>
        </w:rPr>
        <w:t xml:space="preserve"> per pupil.</w:t>
      </w:r>
    </w:p>
    <w:p w:rsidR="00C31842" w:rsidRPr="00270BE6" w:rsidRDefault="00C31842" w:rsidP="00C31842">
      <w:pPr>
        <w:pStyle w:val="ListParagraph"/>
        <w:ind w:left="1440"/>
        <w:jc w:val="both"/>
        <w:rPr>
          <w:b/>
          <w:bCs/>
          <w:color w:val="000000" w:themeColor="text1"/>
          <w:sz w:val="22"/>
          <w:szCs w:val="22"/>
        </w:rPr>
      </w:pPr>
    </w:p>
    <w:p w:rsidR="00391F12" w:rsidRPr="001760BA" w:rsidRDefault="00391F12" w:rsidP="008D16B2">
      <w:pPr>
        <w:pStyle w:val="ListParagraph"/>
        <w:numPr>
          <w:ilvl w:val="1"/>
          <w:numId w:val="16"/>
        </w:numPr>
        <w:jc w:val="both"/>
        <w:rPr>
          <w:b/>
          <w:bCs/>
          <w:sz w:val="22"/>
          <w:szCs w:val="22"/>
        </w:rPr>
      </w:pPr>
      <w:r w:rsidRPr="00270BE6">
        <w:rPr>
          <w:color w:val="000000" w:themeColor="text1"/>
          <w:sz w:val="22"/>
          <w:szCs w:val="22"/>
        </w:rPr>
        <w:t>For basic need purposes,</w:t>
      </w:r>
      <w:r w:rsidR="00A02477" w:rsidRPr="00270BE6">
        <w:rPr>
          <w:color w:val="000000" w:themeColor="text1"/>
          <w:sz w:val="22"/>
          <w:szCs w:val="22"/>
        </w:rPr>
        <w:t xml:space="preserve"> where a primary school or primary</w:t>
      </w:r>
      <w:r w:rsidRPr="00270BE6">
        <w:rPr>
          <w:color w:val="000000" w:themeColor="text1"/>
          <w:sz w:val="22"/>
          <w:szCs w:val="22"/>
        </w:rPr>
        <w:t xml:space="preserve"> academy is permanently expanding by increasing the size of existing year groups for </w:t>
      </w:r>
      <w:r w:rsidR="002915A5" w:rsidRPr="00270BE6">
        <w:rPr>
          <w:color w:val="000000" w:themeColor="text1"/>
          <w:sz w:val="22"/>
          <w:szCs w:val="22"/>
        </w:rPr>
        <w:t>the first time in September 2018</w:t>
      </w:r>
      <w:r w:rsidRPr="00270BE6">
        <w:rPr>
          <w:color w:val="000000" w:themeColor="text1"/>
          <w:sz w:val="22"/>
          <w:szCs w:val="22"/>
        </w:rPr>
        <w:t xml:space="preserve">, </w:t>
      </w:r>
      <w:r w:rsidR="00CA1986" w:rsidRPr="00270BE6">
        <w:rPr>
          <w:color w:val="000000" w:themeColor="text1"/>
          <w:sz w:val="22"/>
          <w:szCs w:val="22"/>
        </w:rPr>
        <w:t xml:space="preserve">the school / academy is allocated 80% of the value of the base amount per pupil for the additional planned </w:t>
      </w:r>
      <w:r w:rsidR="00A02477" w:rsidRPr="00270BE6">
        <w:rPr>
          <w:color w:val="000000" w:themeColor="text1"/>
          <w:sz w:val="22"/>
          <w:szCs w:val="22"/>
        </w:rPr>
        <w:t>intake number, for the applicable</w:t>
      </w:r>
      <w:r w:rsidR="00CA1986" w:rsidRPr="00270BE6">
        <w:rPr>
          <w:color w:val="000000" w:themeColor="text1"/>
          <w:sz w:val="22"/>
          <w:szCs w:val="22"/>
        </w:rPr>
        <w:t xml:space="preserve"> proportion of the year (</w:t>
      </w:r>
      <w:r w:rsidR="00A02477" w:rsidRPr="00270BE6">
        <w:rPr>
          <w:color w:val="000000" w:themeColor="text1"/>
          <w:sz w:val="22"/>
          <w:szCs w:val="22"/>
        </w:rPr>
        <w:t xml:space="preserve">for September expansions this is </w:t>
      </w:r>
      <w:r w:rsidR="00CA1986" w:rsidRPr="00270BE6">
        <w:rPr>
          <w:color w:val="000000" w:themeColor="text1"/>
          <w:sz w:val="22"/>
          <w:szCs w:val="22"/>
        </w:rPr>
        <w:t xml:space="preserve">7/12ths). On </w:t>
      </w:r>
      <w:r w:rsidR="00030DD5" w:rsidRPr="00270BE6">
        <w:rPr>
          <w:color w:val="000000" w:themeColor="text1"/>
          <w:sz w:val="22"/>
          <w:szCs w:val="22"/>
        </w:rPr>
        <w:t>indicative 2018/19</w:t>
      </w:r>
      <w:r w:rsidR="00270BE6" w:rsidRPr="00270BE6">
        <w:rPr>
          <w:color w:val="000000" w:themeColor="text1"/>
          <w:sz w:val="22"/>
          <w:szCs w:val="22"/>
        </w:rPr>
        <w:t xml:space="preserve"> NFF-based</w:t>
      </w:r>
      <w:r w:rsidR="00CA1986" w:rsidRPr="00270BE6">
        <w:rPr>
          <w:color w:val="000000" w:themeColor="text1"/>
          <w:sz w:val="22"/>
          <w:szCs w:val="22"/>
        </w:rPr>
        <w:t xml:space="preserve"> values this would give </w:t>
      </w:r>
      <w:r w:rsidR="00ED68D6" w:rsidRPr="00270BE6">
        <w:rPr>
          <w:color w:val="000000" w:themeColor="text1"/>
          <w:sz w:val="22"/>
          <w:szCs w:val="22"/>
        </w:rPr>
        <w:t>£2,198</w:t>
      </w:r>
      <w:r w:rsidR="00CA1986" w:rsidRPr="00270BE6">
        <w:rPr>
          <w:color w:val="000000" w:themeColor="text1"/>
          <w:sz w:val="22"/>
          <w:szCs w:val="22"/>
        </w:rPr>
        <w:t xml:space="preserve"> </w:t>
      </w:r>
      <w:r w:rsidR="00CA1986" w:rsidRPr="00391F12">
        <w:rPr>
          <w:sz w:val="22"/>
          <w:szCs w:val="22"/>
        </w:rPr>
        <w:t>per pupil.</w:t>
      </w:r>
      <w:r w:rsidR="00A02477">
        <w:rPr>
          <w:sz w:val="22"/>
          <w:szCs w:val="22"/>
        </w:rPr>
        <w:t xml:space="preserve"> Funding will be physically</w:t>
      </w:r>
      <w:r w:rsidR="00030DD5">
        <w:rPr>
          <w:sz w:val="22"/>
          <w:szCs w:val="22"/>
        </w:rPr>
        <w:t xml:space="preserve"> allocated in September 2018</w:t>
      </w:r>
      <w:r w:rsidR="00CA1986">
        <w:rPr>
          <w:sz w:val="22"/>
          <w:szCs w:val="22"/>
        </w:rPr>
        <w:t>.</w:t>
      </w:r>
    </w:p>
    <w:p w:rsidR="001760BA" w:rsidRPr="00CA1986" w:rsidRDefault="001760BA" w:rsidP="001760BA">
      <w:pPr>
        <w:pStyle w:val="ListParagraph"/>
        <w:ind w:left="1440"/>
        <w:jc w:val="both"/>
        <w:rPr>
          <w:b/>
          <w:bCs/>
          <w:sz w:val="22"/>
          <w:szCs w:val="22"/>
        </w:rPr>
      </w:pPr>
    </w:p>
    <w:p w:rsidR="00C741FF" w:rsidRPr="005D7BF5" w:rsidRDefault="00C741FF" w:rsidP="008D16B2">
      <w:pPr>
        <w:numPr>
          <w:ilvl w:val="0"/>
          <w:numId w:val="7"/>
        </w:numPr>
        <w:tabs>
          <w:tab w:val="clear" w:pos="0"/>
          <w:tab w:val="num" w:pos="-360"/>
        </w:tabs>
        <w:ind w:left="360"/>
        <w:jc w:val="both"/>
        <w:rPr>
          <w:bCs/>
          <w:sz w:val="22"/>
          <w:szCs w:val="22"/>
        </w:rPr>
      </w:pPr>
      <w:r w:rsidRPr="005D7BF5">
        <w:rPr>
          <w:bCs/>
          <w:sz w:val="22"/>
          <w:szCs w:val="22"/>
        </w:rPr>
        <w:t>PRIMARY schools / academies taking a Bulge Class added to existing year groups</w:t>
      </w:r>
      <w:r w:rsidR="005D7BF5">
        <w:rPr>
          <w:bCs/>
          <w:sz w:val="22"/>
          <w:szCs w:val="22"/>
        </w:rPr>
        <w:t>:</w:t>
      </w:r>
    </w:p>
    <w:p w:rsidR="00C741FF" w:rsidRPr="00C741FF" w:rsidRDefault="00C741FF" w:rsidP="00C741FF">
      <w:pPr>
        <w:pStyle w:val="ListParagraph"/>
        <w:jc w:val="both"/>
        <w:rPr>
          <w:sz w:val="22"/>
          <w:szCs w:val="22"/>
        </w:rPr>
      </w:pPr>
    </w:p>
    <w:p w:rsidR="00C741FF" w:rsidRDefault="00C741FF" w:rsidP="008D16B2">
      <w:pPr>
        <w:pStyle w:val="ListParagraph"/>
        <w:numPr>
          <w:ilvl w:val="1"/>
          <w:numId w:val="16"/>
        </w:numPr>
        <w:jc w:val="both"/>
        <w:rPr>
          <w:sz w:val="22"/>
          <w:szCs w:val="22"/>
        </w:rPr>
      </w:pPr>
      <w:r w:rsidRPr="005D7BF5">
        <w:rPr>
          <w:bCs/>
          <w:sz w:val="22"/>
          <w:szCs w:val="22"/>
        </w:rPr>
        <w:t>Full classes</w:t>
      </w:r>
      <w:r w:rsidRPr="005D7BF5">
        <w:rPr>
          <w:sz w:val="22"/>
          <w:szCs w:val="22"/>
        </w:rPr>
        <w:t>:</w:t>
      </w:r>
      <w:r w:rsidRPr="001739CB">
        <w:rPr>
          <w:sz w:val="22"/>
          <w:szCs w:val="22"/>
        </w:rPr>
        <w:t xml:space="preserve"> For basic need purposes, where a </w:t>
      </w:r>
      <w:r w:rsidR="005D7BF5">
        <w:rPr>
          <w:sz w:val="22"/>
          <w:szCs w:val="22"/>
        </w:rPr>
        <w:t>primary school or</w:t>
      </w:r>
      <w:r w:rsidRPr="001739CB">
        <w:rPr>
          <w:sz w:val="22"/>
          <w:szCs w:val="22"/>
        </w:rPr>
        <w:t xml:space="preserve"> academy is asked in year to admit a full class or Form of Entry (30) into / on top of an existing year group, funding is </w:t>
      </w:r>
      <w:r w:rsidRPr="001739CB">
        <w:rPr>
          <w:sz w:val="22"/>
          <w:szCs w:val="22"/>
        </w:rPr>
        <w:lastRenderedPageBreak/>
        <w:t xml:space="preserve">allocated on the same basis as for new permanently expanding schools above; at 80% of the base </w:t>
      </w:r>
      <w:r>
        <w:rPr>
          <w:sz w:val="22"/>
          <w:szCs w:val="22"/>
        </w:rPr>
        <w:t xml:space="preserve">amount </w:t>
      </w:r>
      <w:r w:rsidRPr="001739CB">
        <w:rPr>
          <w:sz w:val="22"/>
          <w:szCs w:val="22"/>
        </w:rPr>
        <w:t>per pupil value for the planned additional admission number for the relevant proportion of the financial year. In the following financial year, no additional funding is necessary or allocated; this additional class is automatically funded within the school’s / academy’s normal revenue budget.</w:t>
      </w:r>
    </w:p>
    <w:p w:rsidR="005D7BF5" w:rsidRPr="001739CB" w:rsidRDefault="005D7BF5" w:rsidP="005D7BF5">
      <w:pPr>
        <w:pStyle w:val="ListParagraph"/>
        <w:ind w:left="1440"/>
        <w:jc w:val="both"/>
        <w:rPr>
          <w:sz w:val="22"/>
          <w:szCs w:val="22"/>
        </w:rPr>
      </w:pPr>
    </w:p>
    <w:p w:rsidR="00C741FF" w:rsidRDefault="00C741FF" w:rsidP="008D16B2">
      <w:pPr>
        <w:pStyle w:val="ListParagraph"/>
        <w:numPr>
          <w:ilvl w:val="1"/>
          <w:numId w:val="16"/>
        </w:numPr>
        <w:jc w:val="both"/>
        <w:rPr>
          <w:sz w:val="22"/>
          <w:szCs w:val="22"/>
        </w:rPr>
      </w:pPr>
      <w:r w:rsidRPr="005D7BF5">
        <w:rPr>
          <w:bCs/>
          <w:sz w:val="22"/>
          <w:szCs w:val="22"/>
        </w:rPr>
        <w:t>Half classes:</w:t>
      </w:r>
      <w:r w:rsidRPr="001739CB">
        <w:rPr>
          <w:sz w:val="22"/>
          <w:szCs w:val="22"/>
        </w:rPr>
        <w:t xml:space="preserve"> For basic need purposes, where a school / academy is asked in year to admit an additional number of children that do not add up to a full class or Form of Entry into / on top of an existing year group, the additional sum for the current financial year is allocated as for a full class above, based on the actual planned additional intake number. In the following year, and in each year for the lifetime the half class is at the school / academy, an additional sum is allocated based on 80% of the value of the base per pupil amount for the difference between 30 and the actual number of children in the half class. So if the class had 15 pupils the funding would be (30 – 15) x £base app x 80%. The value of this funding is reviewed each year, for actual numbers.</w:t>
      </w:r>
    </w:p>
    <w:p w:rsidR="005D7BF5" w:rsidRDefault="005D7BF5" w:rsidP="005D7BF5">
      <w:pPr>
        <w:jc w:val="both"/>
        <w:rPr>
          <w:sz w:val="22"/>
          <w:szCs w:val="22"/>
        </w:rPr>
      </w:pPr>
    </w:p>
    <w:p w:rsidR="00B91791" w:rsidRDefault="005D7BF5" w:rsidP="005D7BF5">
      <w:pPr>
        <w:jc w:val="both"/>
        <w:rPr>
          <w:sz w:val="22"/>
          <w:szCs w:val="22"/>
        </w:rPr>
      </w:pPr>
      <w:r>
        <w:rPr>
          <w:sz w:val="22"/>
          <w:szCs w:val="22"/>
        </w:rPr>
        <w:t>The year on</w:t>
      </w:r>
      <w:r w:rsidR="00030DD5">
        <w:rPr>
          <w:sz w:val="22"/>
          <w:szCs w:val="22"/>
        </w:rPr>
        <w:t xml:space="preserve"> year growth in pupil numbers has</w:t>
      </w:r>
      <w:r>
        <w:rPr>
          <w:sz w:val="22"/>
          <w:szCs w:val="22"/>
        </w:rPr>
        <w:t xml:space="preserve"> n</w:t>
      </w:r>
      <w:r w:rsidR="00030DD5">
        <w:rPr>
          <w:sz w:val="22"/>
          <w:szCs w:val="22"/>
        </w:rPr>
        <w:t>ow reached</w:t>
      </w:r>
      <w:r w:rsidR="00E93038">
        <w:rPr>
          <w:sz w:val="22"/>
          <w:szCs w:val="22"/>
        </w:rPr>
        <w:t xml:space="preserve"> the secondary phase</w:t>
      </w:r>
      <w:r>
        <w:rPr>
          <w:sz w:val="22"/>
          <w:szCs w:val="22"/>
        </w:rPr>
        <w:t>.</w:t>
      </w:r>
      <w:r w:rsidR="004D0FE1">
        <w:rPr>
          <w:sz w:val="22"/>
          <w:szCs w:val="22"/>
        </w:rPr>
        <w:t xml:space="preserve"> </w:t>
      </w:r>
      <w:r w:rsidR="00B91791">
        <w:rPr>
          <w:sz w:val="22"/>
          <w:szCs w:val="22"/>
        </w:rPr>
        <w:t>The Authority proposes to apply the same</w:t>
      </w:r>
      <w:r w:rsidR="00E93038">
        <w:rPr>
          <w:sz w:val="22"/>
          <w:szCs w:val="22"/>
        </w:rPr>
        <w:t xml:space="preserve"> general</w:t>
      </w:r>
      <w:r w:rsidR="00B91791">
        <w:rPr>
          <w:sz w:val="22"/>
          <w:szCs w:val="22"/>
        </w:rPr>
        <w:t xml:space="preserve"> basis of funding to the secondary phase</w:t>
      </w:r>
      <w:r w:rsidR="004D0FE1">
        <w:rPr>
          <w:sz w:val="22"/>
          <w:szCs w:val="22"/>
        </w:rPr>
        <w:t xml:space="preserve"> as has been used for the primary phase</w:t>
      </w:r>
      <w:r w:rsidR="00030DD5">
        <w:rPr>
          <w:sz w:val="22"/>
          <w:szCs w:val="22"/>
        </w:rPr>
        <w:t xml:space="preserve"> and the same methodology as used in 2017/18</w:t>
      </w:r>
      <w:r w:rsidR="00B91791">
        <w:rPr>
          <w:sz w:val="22"/>
          <w:szCs w:val="22"/>
        </w:rPr>
        <w:t>. However, because the numbers involved in expansions may be more fluid in the secondary phase (may not be clear denominations of 30)</w:t>
      </w:r>
      <w:r w:rsidR="00945AF6">
        <w:rPr>
          <w:sz w:val="22"/>
          <w:szCs w:val="22"/>
        </w:rPr>
        <w:t>, because secondary schools have larger budgets and curriculum structures, meaning that small increases in numbers may not result in greater cost to the school,</w:t>
      </w:r>
      <w:r w:rsidR="00B91791">
        <w:rPr>
          <w:sz w:val="22"/>
          <w:szCs w:val="22"/>
        </w:rPr>
        <w:t xml:space="preserve"> and</w:t>
      </w:r>
      <w:r w:rsidR="00945AF6">
        <w:rPr>
          <w:sz w:val="22"/>
          <w:szCs w:val="22"/>
        </w:rPr>
        <w:t xml:space="preserve"> also</w:t>
      </w:r>
      <w:r w:rsidR="00B91791">
        <w:rPr>
          <w:sz w:val="22"/>
          <w:szCs w:val="22"/>
        </w:rPr>
        <w:t xml:space="preserve"> because the intakes of secondary schools and academies can be / are being adjusted for reasons other than a request by the Local Authority for basic need</w:t>
      </w:r>
      <w:r w:rsidR="00E93038">
        <w:rPr>
          <w:sz w:val="22"/>
          <w:szCs w:val="22"/>
        </w:rPr>
        <w:t xml:space="preserve"> sufficiency</w:t>
      </w:r>
      <w:r w:rsidR="00B91791">
        <w:rPr>
          <w:sz w:val="22"/>
          <w:szCs w:val="22"/>
        </w:rPr>
        <w:t xml:space="preserve">, </w:t>
      </w:r>
      <w:r w:rsidR="004D0FE1">
        <w:rPr>
          <w:sz w:val="22"/>
          <w:szCs w:val="22"/>
        </w:rPr>
        <w:t>it has been identified that</w:t>
      </w:r>
      <w:r w:rsidR="00B91791">
        <w:rPr>
          <w:sz w:val="22"/>
          <w:szCs w:val="22"/>
        </w:rPr>
        <w:t xml:space="preserve"> the criteria for the allocation of growth funding in the secondary phase</w:t>
      </w:r>
      <w:r w:rsidR="004D0FE1">
        <w:rPr>
          <w:sz w:val="22"/>
          <w:szCs w:val="22"/>
        </w:rPr>
        <w:t xml:space="preserve"> will benefit from additional clarity</w:t>
      </w:r>
      <w:r w:rsidR="00B91791">
        <w:rPr>
          <w:sz w:val="22"/>
          <w:szCs w:val="22"/>
        </w:rPr>
        <w:t>.</w:t>
      </w:r>
    </w:p>
    <w:p w:rsidR="00C741FF" w:rsidRDefault="00C741FF" w:rsidP="00C741FF">
      <w:pPr>
        <w:jc w:val="both"/>
        <w:rPr>
          <w:b/>
          <w:bCs/>
          <w:sz w:val="22"/>
          <w:szCs w:val="22"/>
        </w:rPr>
      </w:pPr>
    </w:p>
    <w:p w:rsidR="00C741FF" w:rsidRPr="00945AF6" w:rsidRDefault="00C741FF" w:rsidP="008D16B2">
      <w:pPr>
        <w:numPr>
          <w:ilvl w:val="0"/>
          <w:numId w:val="6"/>
        </w:numPr>
        <w:tabs>
          <w:tab w:val="clear" w:pos="0"/>
          <w:tab w:val="num" w:pos="-360"/>
        </w:tabs>
        <w:ind w:left="360"/>
        <w:jc w:val="both"/>
        <w:rPr>
          <w:bCs/>
          <w:sz w:val="22"/>
          <w:szCs w:val="22"/>
        </w:rPr>
      </w:pPr>
      <w:r w:rsidRPr="00945AF6">
        <w:rPr>
          <w:bCs/>
          <w:sz w:val="22"/>
          <w:szCs w:val="22"/>
        </w:rPr>
        <w:t>SECONDARY schools / academies either permanently or temporarily increasing PAN</w:t>
      </w:r>
      <w:r w:rsidRPr="00945AF6">
        <w:rPr>
          <w:sz w:val="22"/>
          <w:szCs w:val="22"/>
        </w:rPr>
        <w:t>:</w:t>
      </w:r>
    </w:p>
    <w:p w:rsidR="00C741FF" w:rsidRPr="00C741FF" w:rsidRDefault="00C741FF" w:rsidP="00C741FF">
      <w:pPr>
        <w:jc w:val="both"/>
        <w:rPr>
          <w:b/>
          <w:bCs/>
          <w:sz w:val="22"/>
          <w:szCs w:val="22"/>
        </w:rPr>
      </w:pPr>
    </w:p>
    <w:p w:rsidR="00CA1986" w:rsidRPr="00945AF6" w:rsidRDefault="00CA1986" w:rsidP="008D16B2">
      <w:pPr>
        <w:pStyle w:val="ListParagraph"/>
        <w:numPr>
          <w:ilvl w:val="0"/>
          <w:numId w:val="16"/>
        </w:numPr>
        <w:jc w:val="both"/>
        <w:rPr>
          <w:b/>
          <w:bCs/>
          <w:sz w:val="22"/>
          <w:szCs w:val="22"/>
        </w:rPr>
      </w:pPr>
      <w:r w:rsidRPr="00945AF6">
        <w:rPr>
          <w:sz w:val="22"/>
          <w:szCs w:val="22"/>
        </w:rPr>
        <w:t>We propose that</w:t>
      </w:r>
      <w:r w:rsidR="00945AF6" w:rsidRPr="00945AF6">
        <w:rPr>
          <w:sz w:val="22"/>
          <w:szCs w:val="22"/>
        </w:rPr>
        <w:t xml:space="preserve"> </w:t>
      </w:r>
      <w:r w:rsidR="004128E3">
        <w:rPr>
          <w:sz w:val="22"/>
          <w:szCs w:val="22"/>
        </w:rPr>
        <w:t>eligibility for growth</w:t>
      </w:r>
      <w:r w:rsidR="00945AF6" w:rsidRPr="00945AF6">
        <w:rPr>
          <w:sz w:val="22"/>
          <w:szCs w:val="22"/>
        </w:rPr>
        <w:t xml:space="preserve"> to</w:t>
      </w:r>
      <w:r w:rsidRPr="00945AF6">
        <w:rPr>
          <w:sz w:val="22"/>
          <w:szCs w:val="22"/>
        </w:rPr>
        <w:t xml:space="preserve"> secondary schoo</w:t>
      </w:r>
      <w:r w:rsidR="00945AF6" w:rsidRPr="00945AF6">
        <w:rPr>
          <w:sz w:val="22"/>
          <w:szCs w:val="22"/>
        </w:rPr>
        <w:t>ls and academies</w:t>
      </w:r>
      <w:r w:rsidR="004128E3">
        <w:rPr>
          <w:sz w:val="22"/>
          <w:szCs w:val="22"/>
        </w:rPr>
        <w:t xml:space="preserve"> is assessed</w:t>
      </w:r>
      <w:r w:rsidR="00945AF6" w:rsidRPr="00945AF6">
        <w:rPr>
          <w:sz w:val="22"/>
          <w:szCs w:val="22"/>
        </w:rPr>
        <w:t xml:space="preserve"> on the following principles and criteria</w:t>
      </w:r>
      <w:r w:rsidRPr="00945AF6">
        <w:rPr>
          <w:sz w:val="22"/>
          <w:szCs w:val="22"/>
        </w:rPr>
        <w:t>:</w:t>
      </w:r>
    </w:p>
    <w:p w:rsidR="00CA1986" w:rsidRPr="00945AF6" w:rsidRDefault="00CA1986" w:rsidP="00CA1986">
      <w:pPr>
        <w:pStyle w:val="ListParagraph"/>
        <w:jc w:val="both"/>
        <w:rPr>
          <w:b/>
          <w:bCs/>
          <w:sz w:val="22"/>
          <w:szCs w:val="22"/>
        </w:rPr>
      </w:pPr>
    </w:p>
    <w:p w:rsidR="00391F12" w:rsidRDefault="00C36DD5" w:rsidP="008D16B2">
      <w:pPr>
        <w:pStyle w:val="ListParagraph"/>
        <w:numPr>
          <w:ilvl w:val="1"/>
          <w:numId w:val="15"/>
        </w:numPr>
        <w:jc w:val="both"/>
        <w:rPr>
          <w:sz w:val="22"/>
          <w:szCs w:val="22"/>
        </w:rPr>
      </w:pPr>
      <w:r>
        <w:rPr>
          <w:sz w:val="22"/>
          <w:szCs w:val="22"/>
        </w:rPr>
        <w:t>The school or</w:t>
      </w:r>
      <w:r w:rsidR="00945AF6" w:rsidRPr="00945AF6">
        <w:rPr>
          <w:sz w:val="22"/>
          <w:szCs w:val="22"/>
        </w:rPr>
        <w:t xml:space="preserve"> academy </w:t>
      </w:r>
      <w:r w:rsidR="004128E3">
        <w:rPr>
          <w:sz w:val="22"/>
          <w:szCs w:val="22"/>
        </w:rPr>
        <w:t xml:space="preserve">must have </w:t>
      </w:r>
      <w:r w:rsidR="00945AF6" w:rsidRPr="00945AF6">
        <w:rPr>
          <w:sz w:val="22"/>
          <w:szCs w:val="22"/>
        </w:rPr>
        <w:t xml:space="preserve">admitted </w:t>
      </w:r>
      <w:r w:rsidR="00391F12" w:rsidRPr="00945AF6">
        <w:rPr>
          <w:sz w:val="22"/>
          <w:szCs w:val="22"/>
        </w:rPr>
        <w:t>additional pupils</w:t>
      </w:r>
      <w:r w:rsidR="00945AF6" w:rsidRPr="00945AF6">
        <w:rPr>
          <w:sz w:val="22"/>
          <w:szCs w:val="22"/>
        </w:rPr>
        <w:t xml:space="preserve"> (either </w:t>
      </w:r>
      <w:r>
        <w:rPr>
          <w:sz w:val="22"/>
          <w:szCs w:val="22"/>
        </w:rPr>
        <w:t xml:space="preserve">via </w:t>
      </w:r>
      <w:r w:rsidR="00945AF6" w:rsidRPr="00945AF6">
        <w:rPr>
          <w:sz w:val="22"/>
          <w:szCs w:val="22"/>
        </w:rPr>
        <w:t>a permanent expansion or a</w:t>
      </w:r>
      <w:r>
        <w:rPr>
          <w:sz w:val="22"/>
          <w:szCs w:val="22"/>
        </w:rPr>
        <w:t xml:space="preserve"> one off</w:t>
      </w:r>
      <w:r w:rsidR="00945AF6" w:rsidRPr="00945AF6">
        <w:rPr>
          <w:sz w:val="22"/>
          <w:szCs w:val="22"/>
        </w:rPr>
        <w:t xml:space="preserve"> bulge class) at the request of the Local Authority</w:t>
      </w:r>
      <w:r w:rsidR="00945AF6">
        <w:rPr>
          <w:sz w:val="22"/>
          <w:szCs w:val="22"/>
        </w:rPr>
        <w:t xml:space="preserve"> </w:t>
      </w:r>
      <w:r w:rsidR="00945AF6" w:rsidRPr="00945AF6">
        <w:rPr>
          <w:sz w:val="22"/>
          <w:szCs w:val="22"/>
        </w:rPr>
        <w:t>to meet basic-need sufficiency</w:t>
      </w:r>
      <w:r w:rsidR="004128E3">
        <w:rPr>
          <w:sz w:val="22"/>
          <w:szCs w:val="22"/>
        </w:rPr>
        <w:t xml:space="preserve"> a</w:t>
      </w:r>
      <w:r w:rsidR="009C65A3">
        <w:rPr>
          <w:sz w:val="22"/>
          <w:szCs w:val="22"/>
        </w:rPr>
        <w:t xml:space="preserve">nd </w:t>
      </w:r>
      <w:r w:rsidR="004128E3">
        <w:rPr>
          <w:sz w:val="22"/>
          <w:szCs w:val="22"/>
        </w:rPr>
        <w:t>only numbers associated with basic need</w:t>
      </w:r>
      <w:r w:rsidR="009C65A3">
        <w:rPr>
          <w:sz w:val="22"/>
          <w:szCs w:val="22"/>
        </w:rPr>
        <w:t xml:space="preserve"> sufficiency will</w:t>
      </w:r>
      <w:r w:rsidR="004128E3">
        <w:rPr>
          <w:sz w:val="22"/>
          <w:szCs w:val="22"/>
        </w:rPr>
        <w:t xml:space="preserve"> be eligible for funding.</w:t>
      </w:r>
    </w:p>
    <w:p w:rsidR="00C36DD5" w:rsidRPr="00945AF6" w:rsidRDefault="00C36DD5" w:rsidP="00C36DD5">
      <w:pPr>
        <w:pStyle w:val="ListParagraph"/>
        <w:ind w:left="1440"/>
        <w:jc w:val="both"/>
        <w:rPr>
          <w:sz w:val="22"/>
          <w:szCs w:val="22"/>
        </w:rPr>
      </w:pPr>
    </w:p>
    <w:p w:rsidR="00391F12" w:rsidRDefault="00391F12" w:rsidP="008D16B2">
      <w:pPr>
        <w:pStyle w:val="ListParagraph"/>
        <w:numPr>
          <w:ilvl w:val="1"/>
          <w:numId w:val="15"/>
        </w:numPr>
        <w:jc w:val="both"/>
        <w:rPr>
          <w:sz w:val="22"/>
          <w:szCs w:val="22"/>
        </w:rPr>
      </w:pPr>
      <w:r w:rsidRPr="00945AF6">
        <w:rPr>
          <w:sz w:val="22"/>
          <w:szCs w:val="22"/>
        </w:rPr>
        <w:t xml:space="preserve">The </w:t>
      </w:r>
      <w:r w:rsidR="00945AF6" w:rsidRPr="00945AF6">
        <w:rPr>
          <w:sz w:val="22"/>
          <w:szCs w:val="22"/>
        </w:rPr>
        <w:t>request for additional places from the Authority</w:t>
      </w:r>
      <w:r w:rsidR="009C65A3">
        <w:rPr>
          <w:sz w:val="22"/>
          <w:szCs w:val="22"/>
        </w:rPr>
        <w:t xml:space="preserve"> has come</w:t>
      </w:r>
      <w:r w:rsidR="00945AF6">
        <w:rPr>
          <w:sz w:val="22"/>
          <w:szCs w:val="22"/>
        </w:rPr>
        <w:t xml:space="preserve"> </w:t>
      </w:r>
      <w:r w:rsidRPr="00945AF6">
        <w:rPr>
          <w:sz w:val="22"/>
          <w:szCs w:val="22"/>
        </w:rPr>
        <w:t>within the normal adm</w:t>
      </w:r>
      <w:r w:rsidR="00C36DD5">
        <w:rPr>
          <w:sz w:val="22"/>
          <w:szCs w:val="22"/>
        </w:rPr>
        <w:t>issions round and relates to the school’s year 7 intake</w:t>
      </w:r>
      <w:r w:rsidR="009C65A3">
        <w:rPr>
          <w:sz w:val="22"/>
          <w:szCs w:val="22"/>
        </w:rPr>
        <w:t xml:space="preserve"> </w:t>
      </w:r>
      <w:r w:rsidR="00C36DD5">
        <w:rPr>
          <w:sz w:val="22"/>
          <w:szCs w:val="22"/>
        </w:rPr>
        <w:t>i.e. pupils admitted at other times in year</w:t>
      </w:r>
      <w:r w:rsidRPr="00945AF6">
        <w:rPr>
          <w:sz w:val="22"/>
          <w:szCs w:val="22"/>
        </w:rPr>
        <w:t>, admiss</w:t>
      </w:r>
      <w:r w:rsidR="00C36DD5">
        <w:rPr>
          <w:sz w:val="22"/>
          <w:szCs w:val="22"/>
        </w:rPr>
        <w:t>ions to year groups other than y</w:t>
      </w:r>
      <w:r w:rsidRPr="00945AF6">
        <w:rPr>
          <w:sz w:val="22"/>
          <w:szCs w:val="22"/>
        </w:rPr>
        <w:t>ear 7, or pupils admitted on appeal or under the Fair Access Protocol</w:t>
      </w:r>
      <w:r w:rsidR="00C36DD5">
        <w:rPr>
          <w:sz w:val="22"/>
          <w:szCs w:val="22"/>
        </w:rPr>
        <w:t>, are not funded by the Growth Fund. Consideration of additional funding in these circumstances would be picked up by the exceptional pressures / schools in financial difficulty fund for maintained schools only</w:t>
      </w:r>
      <w:r w:rsidR="00945AF6">
        <w:rPr>
          <w:sz w:val="22"/>
          <w:szCs w:val="22"/>
        </w:rPr>
        <w:t>.</w:t>
      </w:r>
    </w:p>
    <w:p w:rsidR="00C36DD5" w:rsidRPr="00945AF6" w:rsidRDefault="00C36DD5" w:rsidP="00C36DD5">
      <w:pPr>
        <w:pStyle w:val="ListParagraph"/>
        <w:ind w:left="1440"/>
        <w:jc w:val="both"/>
        <w:rPr>
          <w:sz w:val="22"/>
          <w:szCs w:val="22"/>
        </w:rPr>
      </w:pPr>
    </w:p>
    <w:p w:rsidR="00CA1986" w:rsidRDefault="00CA0D70" w:rsidP="008D16B2">
      <w:pPr>
        <w:pStyle w:val="ListParagraph"/>
        <w:numPr>
          <w:ilvl w:val="1"/>
          <w:numId w:val="15"/>
        </w:numPr>
        <w:jc w:val="both"/>
        <w:rPr>
          <w:sz w:val="22"/>
          <w:szCs w:val="22"/>
        </w:rPr>
      </w:pPr>
      <w:r>
        <w:rPr>
          <w:sz w:val="22"/>
          <w:szCs w:val="22"/>
        </w:rPr>
        <w:t>F</w:t>
      </w:r>
      <w:r w:rsidR="00391F12" w:rsidRPr="00945AF6">
        <w:rPr>
          <w:sz w:val="22"/>
          <w:szCs w:val="22"/>
        </w:rPr>
        <w:t>unding</w:t>
      </w:r>
      <w:r>
        <w:rPr>
          <w:sz w:val="22"/>
          <w:szCs w:val="22"/>
        </w:rPr>
        <w:t xml:space="preserve"> in the first year is</w:t>
      </w:r>
      <w:r w:rsidR="00391F12" w:rsidRPr="00945AF6">
        <w:rPr>
          <w:sz w:val="22"/>
          <w:szCs w:val="22"/>
        </w:rPr>
        <w:t xml:space="preserve"> calculated</w:t>
      </w:r>
      <w:r w:rsidR="009C65A3">
        <w:rPr>
          <w:sz w:val="22"/>
          <w:szCs w:val="22"/>
        </w:rPr>
        <w:t xml:space="preserve"> on actual numbers</w:t>
      </w:r>
      <w:r w:rsidR="00391F12" w:rsidRPr="00945AF6">
        <w:rPr>
          <w:sz w:val="22"/>
          <w:szCs w:val="22"/>
        </w:rPr>
        <w:t xml:space="preserve"> and allocated</w:t>
      </w:r>
      <w:r w:rsidR="009C65A3">
        <w:rPr>
          <w:sz w:val="22"/>
          <w:szCs w:val="22"/>
        </w:rPr>
        <w:t xml:space="preserve"> only</w:t>
      </w:r>
      <w:r w:rsidR="00391F12" w:rsidRPr="00945AF6">
        <w:rPr>
          <w:sz w:val="22"/>
          <w:szCs w:val="22"/>
        </w:rPr>
        <w:t xml:space="preserve"> once actual October Census numbers are confirmed </w:t>
      </w:r>
      <w:r w:rsidR="00CA1986" w:rsidRPr="00945AF6">
        <w:rPr>
          <w:sz w:val="22"/>
          <w:szCs w:val="22"/>
        </w:rPr>
        <w:t>(so for add</w:t>
      </w:r>
      <w:r w:rsidR="00030DD5">
        <w:rPr>
          <w:sz w:val="22"/>
          <w:szCs w:val="22"/>
        </w:rPr>
        <w:t>itional pupils in September 2018</w:t>
      </w:r>
      <w:r w:rsidR="00CA1986" w:rsidRPr="00945AF6">
        <w:rPr>
          <w:sz w:val="22"/>
          <w:szCs w:val="22"/>
        </w:rPr>
        <w:t>, funding will be calculated and allocated on the basis of the additional costs associated with the actual number of additional pup</w:t>
      </w:r>
      <w:r w:rsidR="00030DD5">
        <w:rPr>
          <w:sz w:val="22"/>
          <w:szCs w:val="22"/>
        </w:rPr>
        <w:t>ils recorded in the October 2018</w:t>
      </w:r>
      <w:r w:rsidR="00CA1986" w:rsidRPr="00945AF6">
        <w:rPr>
          <w:sz w:val="22"/>
          <w:szCs w:val="22"/>
        </w:rPr>
        <w:t xml:space="preserve"> Census)</w:t>
      </w:r>
      <w:r w:rsidR="00C36DD5">
        <w:rPr>
          <w:sz w:val="22"/>
          <w:szCs w:val="22"/>
        </w:rPr>
        <w:t>.</w:t>
      </w:r>
    </w:p>
    <w:p w:rsidR="00C36DD5" w:rsidRPr="00945AF6" w:rsidRDefault="00C36DD5" w:rsidP="00C36DD5">
      <w:pPr>
        <w:pStyle w:val="ListParagraph"/>
        <w:ind w:left="1440"/>
        <w:jc w:val="both"/>
        <w:rPr>
          <w:sz w:val="22"/>
          <w:szCs w:val="22"/>
        </w:rPr>
      </w:pPr>
    </w:p>
    <w:p w:rsidR="00391F12" w:rsidRDefault="00CA0D70" w:rsidP="008D16B2">
      <w:pPr>
        <w:pStyle w:val="ListParagraph"/>
        <w:numPr>
          <w:ilvl w:val="1"/>
          <w:numId w:val="15"/>
        </w:numPr>
        <w:jc w:val="both"/>
        <w:rPr>
          <w:sz w:val="22"/>
          <w:szCs w:val="22"/>
        </w:rPr>
      </w:pPr>
      <w:r>
        <w:rPr>
          <w:sz w:val="22"/>
          <w:szCs w:val="22"/>
        </w:rPr>
        <w:t>F</w:t>
      </w:r>
      <w:r w:rsidR="00391F12" w:rsidRPr="00945AF6">
        <w:rPr>
          <w:sz w:val="22"/>
          <w:szCs w:val="22"/>
        </w:rPr>
        <w:t xml:space="preserve">unding is allocated </w:t>
      </w:r>
      <w:r w:rsidR="00945AF6">
        <w:rPr>
          <w:sz w:val="22"/>
          <w:szCs w:val="22"/>
        </w:rPr>
        <w:t xml:space="preserve">only after </w:t>
      </w:r>
      <w:r w:rsidR="00391F12" w:rsidRPr="00945AF6">
        <w:rPr>
          <w:sz w:val="22"/>
          <w:szCs w:val="22"/>
        </w:rPr>
        <w:t>an assessment of the actual cost implicat</w:t>
      </w:r>
      <w:r w:rsidR="00C36DD5">
        <w:rPr>
          <w:sz w:val="22"/>
          <w:szCs w:val="22"/>
        </w:rPr>
        <w:t>ions of the additional pupils on</w:t>
      </w:r>
      <w:r w:rsidR="00391F12" w:rsidRPr="00945AF6">
        <w:rPr>
          <w:sz w:val="22"/>
          <w:szCs w:val="22"/>
        </w:rPr>
        <w:t xml:space="preserve"> the school’s budget </w:t>
      </w:r>
      <w:r w:rsidR="00255A12">
        <w:rPr>
          <w:sz w:val="22"/>
          <w:szCs w:val="22"/>
        </w:rPr>
        <w:t xml:space="preserve">for the lifetime of the process of expansion </w:t>
      </w:r>
      <w:r w:rsidR="00945AF6">
        <w:rPr>
          <w:sz w:val="22"/>
          <w:szCs w:val="22"/>
        </w:rPr>
        <w:t xml:space="preserve">e.g. in admitting additional pupils the school </w:t>
      </w:r>
      <w:r w:rsidR="00C36DD5">
        <w:rPr>
          <w:sz w:val="22"/>
          <w:szCs w:val="22"/>
        </w:rPr>
        <w:t xml:space="preserve">evidences that it </w:t>
      </w:r>
      <w:r w:rsidR="00945AF6">
        <w:rPr>
          <w:sz w:val="22"/>
          <w:szCs w:val="22"/>
        </w:rPr>
        <w:t>must incur additional cost</w:t>
      </w:r>
      <w:r w:rsidR="008C5F16">
        <w:rPr>
          <w:sz w:val="22"/>
          <w:szCs w:val="22"/>
        </w:rPr>
        <w:t>s</w:t>
      </w:r>
      <w:r w:rsidR="00945AF6">
        <w:rPr>
          <w:sz w:val="22"/>
          <w:szCs w:val="22"/>
        </w:rPr>
        <w:t xml:space="preserve"> in year</w:t>
      </w:r>
      <w:r w:rsidR="00DA135A">
        <w:rPr>
          <w:sz w:val="22"/>
          <w:szCs w:val="22"/>
        </w:rPr>
        <w:t xml:space="preserve"> and that these costs are commensurate with the value of additional funding that would be allocated.</w:t>
      </w:r>
      <w:r w:rsidR="002873C1">
        <w:rPr>
          <w:sz w:val="22"/>
          <w:szCs w:val="22"/>
        </w:rPr>
        <w:t xml:space="preserve"> </w:t>
      </w:r>
      <w:r w:rsidR="00255A12">
        <w:rPr>
          <w:sz w:val="22"/>
          <w:szCs w:val="22"/>
        </w:rPr>
        <w:t xml:space="preserve">This assessment would be carried </w:t>
      </w:r>
      <w:r w:rsidR="002F6307">
        <w:rPr>
          <w:sz w:val="22"/>
          <w:szCs w:val="22"/>
        </w:rPr>
        <w:t xml:space="preserve">out </w:t>
      </w:r>
      <w:r w:rsidR="00255A12">
        <w:rPr>
          <w:sz w:val="22"/>
          <w:szCs w:val="22"/>
        </w:rPr>
        <w:t>at the time of the initial discussion / consultation between the Local Auth</w:t>
      </w:r>
      <w:r w:rsidR="002F6307">
        <w:rPr>
          <w:sz w:val="22"/>
          <w:szCs w:val="22"/>
        </w:rPr>
        <w:t>ority and the school or academy,</w:t>
      </w:r>
      <w:r w:rsidR="00255A12">
        <w:rPr>
          <w:sz w:val="22"/>
          <w:szCs w:val="22"/>
        </w:rPr>
        <w:t xml:space="preserve"> and would take the form of a budget discussion with the </w:t>
      </w:r>
      <w:proofErr w:type="spellStart"/>
      <w:r w:rsidR="00255A12">
        <w:rPr>
          <w:sz w:val="22"/>
          <w:szCs w:val="22"/>
        </w:rPr>
        <w:t>headteacher</w:t>
      </w:r>
      <w:proofErr w:type="spellEnd"/>
      <w:r w:rsidR="00255A12">
        <w:rPr>
          <w:sz w:val="22"/>
          <w:szCs w:val="22"/>
        </w:rPr>
        <w:t xml:space="preserve"> and business manager.</w:t>
      </w:r>
    </w:p>
    <w:p w:rsidR="00945AF6" w:rsidRDefault="00945AF6" w:rsidP="00945AF6">
      <w:pPr>
        <w:jc w:val="both"/>
        <w:rPr>
          <w:sz w:val="22"/>
          <w:szCs w:val="22"/>
        </w:rPr>
      </w:pPr>
    </w:p>
    <w:p w:rsidR="00945AF6" w:rsidRPr="00C20E79" w:rsidRDefault="00945AF6" w:rsidP="008D16B2">
      <w:pPr>
        <w:pStyle w:val="ListParagraph"/>
        <w:numPr>
          <w:ilvl w:val="0"/>
          <w:numId w:val="16"/>
        </w:numPr>
        <w:jc w:val="both"/>
        <w:rPr>
          <w:b/>
          <w:bCs/>
          <w:sz w:val="22"/>
          <w:szCs w:val="22"/>
        </w:rPr>
      </w:pPr>
      <w:r>
        <w:rPr>
          <w:sz w:val="22"/>
          <w:szCs w:val="22"/>
        </w:rPr>
        <w:t xml:space="preserve">Funding for eligible schools and academies would be calculated </w:t>
      </w:r>
      <w:r w:rsidR="00F34EBF">
        <w:rPr>
          <w:sz w:val="22"/>
          <w:szCs w:val="22"/>
        </w:rPr>
        <w:t>as follows</w:t>
      </w:r>
      <w:r w:rsidR="00F90A63">
        <w:rPr>
          <w:sz w:val="22"/>
          <w:szCs w:val="22"/>
        </w:rPr>
        <w:t>:</w:t>
      </w:r>
    </w:p>
    <w:p w:rsidR="00C20E79" w:rsidRPr="00945AF6" w:rsidRDefault="00C20E79" w:rsidP="00C20E79">
      <w:pPr>
        <w:pStyle w:val="ListParagraph"/>
        <w:jc w:val="both"/>
        <w:rPr>
          <w:b/>
          <w:bCs/>
          <w:sz w:val="22"/>
          <w:szCs w:val="22"/>
        </w:rPr>
      </w:pPr>
    </w:p>
    <w:p w:rsidR="00CA0D70" w:rsidRPr="00797493" w:rsidRDefault="00CA0D70" w:rsidP="008D16B2">
      <w:pPr>
        <w:pStyle w:val="ListParagraph"/>
        <w:numPr>
          <w:ilvl w:val="1"/>
          <w:numId w:val="16"/>
        </w:numPr>
        <w:jc w:val="both"/>
        <w:rPr>
          <w:b/>
          <w:bCs/>
          <w:sz w:val="22"/>
          <w:szCs w:val="22"/>
        </w:rPr>
      </w:pPr>
      <w:r>
        <w:rPr>
          <w:sz w:val="22"/>
          <w:szCs w:val="22"/>
        </w:rPr>
        <w:t>W</w:t>
      </w:r>
      <w:r w:rsidRPr="00797493">
        <w:rPr>
          <w:sz w:val="22"/>
          <w:szCs w:val="22"/>
        </w:rPr>
        <w:t xml:space="preserve">here a </w:t>
      </w:r>
      <w:r>
        <w:rPr>
          <w:sz w:val="22"/>
          <w:szCs w:val="22"/>
        </w:rPr>
        <w:t>secondary</w:t>
      </w:r>
      <w:r w:rsidRPr="00797493">
        <w:rPr>
          <w:sz w:val="22"/>
          <w:szCs w:val="22"/>
        </w:rPr>
        <w:t xml:space="preserve"> school or academy is permanently expanding by increasing the size of </w:t>
      </w:r>
      <w:r>
        <w:rPr>
          <w:sz w:val="22"/>
          <w:szCs w:val="22"/>
        </w:rPr>
        <w:t xml:space="preserve">its year 7 </w:t>
      </w:r>
      <w:r w:rsidRPr="00797493">
        <w:rPr>
          <w:sz w:val="22"/>
          <w:szCs w:val="22"/>
        </w:rPr>
        <w:t xml:space="preserve">for the first time in September 2017, the school / academy is allocated 80% of the value of the </w:t>
      </w:r>
      <w:r>
        <w:rPr>
          <w:sz w:val="22"/>
          <w:szCs w:val="22"/>
        </w:rPr>
        <w:t xml:space="preserve">Key Stage 3 </w:t>
      </w:r>
      <w:r w:rsidRPr="00797493">
        <w:rPr>
          <w:sz w:val="22"/>
          <w:szCs w:val="22"/>
        </w:rPr>
        <w:t xml:space="preserve">base amount per pupil for the additional planned intake number, for the </w:t>
      </w:r>
      <w:r w:rsidRPr="00797493">
        <w:rPr>
          <w:sz w:val="22"/>
          <w:szCs w:val="22"/>
        </w:rPr>
        <w:lastRenderedPageBreak/>
        <w:t>applicable proportion of the year (for September expansions this is 7/12ths). On indicative 201</w:t>
      </w:r>
      <w:r w:rsidR="00442C04">
        <w:rPr>
          <w:sz w:val="22"/>
          <w:szCs w:val="22"/>
        </w:rPr>
        <w:t>8/19</w:t>
      </w:r>
      <w:r w:rsidRPr="00797493">
        <w:rPr>
          <w:sz w:val="22"/>
          <w:szCs w:val="22"/>
        </w:rPr>
        <w:t xml:space="preserve"> values</w:t>
      </w:r>
      <w:r>
        <w:rPr>
          <w:sz w:val="22"/>
          <w:szCs w:val="22"/>
        </w:rPr>
        <w:t xml:space="preserve"> this would give </w:t>
      </w:r>
      <w:r w:rsidR="00270BE6" w:rsidRPr="00270BE6">
        <w:rPr>
          <w:color w:val="000000" w:themeColor="text1"/>
          <w:sz w:val="22"/>
          <w:szCs w:val="22"/>
        </w:rPr>
        <w:t>£3,091</w:t>
      </w:r>
      <w:r w:rsidRPr="00270BE6">
        <w:rPr>
          <w:color w:val="000000" w:themeColor="text1"/>
          <w:sz w:val="22"/>
          <w:szCs w:val="22"/>
        </w:rPr>
        <w:t xml:space="preserve"> per </w:t>
      </w:r>
      <w:r w:rsidRPr="00797493">
        <w:rPr>
          <w:sz w:val="22"/>
          <w:szCs w:val="22"/>
        </w:rPr>
        <w:t>pupil. Funding will be physic</w:t>
      </w:r>
      <w:r w:rsidR="00442C04">
        <w:rPr>
          <w:sz w:val="22"/>
          <w:szCs w:val="22"/>
        </w:rPr>
        <w:t>ally allocated in September 2018</w:t>
      </w:r>
      <w:r>
        <w:rPr>
          <w:sz w:val="22"/>
          <w:szCs w:val="22"/>
        </w:rPr>
        <w:t>.</w:t>
      </w:r>
    </w:p>
    <w:p w:rsidR="00CA0D70" w:rsidRPr="00CA0D70" w:rsidRDefault="00CA0D70" w:rsidP="00CA0D70">
      <w:pPr>
        <w:jc w:val="both"/>
        <w:rPr>
          <w:b/>
          <w:bCs/>
          <w:sz w:val="22"/>
          <w:szCs w:val="22"/>
        </w:rPr>
      </w:pPr>
    </w:p>
    <w:p w:rsidR="00797493" w:rsidRPr="00797493" w:rsidRDefault="00F90A63" w:rsidP="008D16B2">
      <w:pPr>
        <w:pStyle w:val="ListParagraph"/>
        <w:numPr>
          <w:ilvl w:val="1"/>
          <w:numId w:val="16"/>
        </w:numPr>
        <w:jc w:val="both"/>
        <w:rPr>
          <w:b/>
          <w:bCs/>
          <w:sz w:val="22"/>
          <w:szCs w:val="22"/>
        </w:rPr>
      </w:pPr>
      <w:r>
        <w:rPr>
          <w:sz w:val="22"/>
          <w:szCs w:val="22"/>
        </w:rPr>
        <w:t>W</w:t>
      </w:r>
      <w:r w:rsidR="00797493" w:rsidRPr="00391F12">
        <w:rPr>
          <w:sz w:val="22"/>
          <w:szCs w:val="22"/>
        </w:rPr>
        <w:t xml:space="preserve">here an established </w:t>
      </w:r>
      <w:r w:rsidR="00797493">
        <w:rPr>
          <w:sz w:val="22"/>
          <w:szCs w:val="22"/>
        </w:rPr>
        <w:t>secondary</w:t>
      </w:r>
      <w:r w:rsidR="00797493" w:rsidRPr="00391F12">
        <w:rPr>
          <w:sz w:val="22"/>
          <w:szCs w:val="22"/>
        </w:rPr>
        <w:t xml:space="preserve"> school or academy is permanently expanding by increasing the size of existing year groups, and has already begun to expand before the start of the financial year, the additional allocation will be included within the school’s / academy’s initial budget. Funding is calculated on the difference between the October 2016 census pupil numbers and a calculation of the composite 5/12 + 7/12 numbers, based on an estimate of the school’s October 2017 Census. The school will then be allocated 80% of the value of the</w:t>
      </w:r>
      <w:r w:rsidR="00CA0D70">
        <w:rPr>
          <w:sz w:val="22"/>
          <w:szCs w:val="22"/>
        </w:rPr>
        <w:t xml:space="preserve"> Key Stage 3</w:t>
      </w:r>
      <w:r w:rsidR="00797493">
        <w:rPr>
          <w:sz w:val="22"/>
          <w:szCs w:val="22"/>
        </w:rPr>
        <w:t xml:space="preserve"> base amount per pupil</w:t>
      </w:r>
      <w:r w:rsidR="00797493" w:rsidRPr="00391F12">
        <w:rPr>
          <w:sz w:val="22"/>
          <w:szCs w:val="22"/>
        </w:rPr>
        <w:t xml:space="preserve"> for the difference between the actual and the composite</w:t>
      </w:r>
      <w:r w:rsidR="00442C04">
        <w:rPr>
          <w:sz w:val="22"/>
          <w:szCs w:val="22"/>
        </w:rPr>
        <w:t xml:space="preserve"> calculation. On indicative 2018</w:t>
      </w:r>
      <w:r w:rsidR="00797493" w:rsidRPr="00391F12">
        <w:rPr>
          <w:sz w:val="22"/>
          <w:szCs w:val="22"/>
        </w:rPr>
        <w:t>/</w:t>
      </w:r>
      <w:r w:rsidR="00442C04">
        <w:rPr>
          <w:sz w:val="22"/>
          <w:szCs w:val="22"/>
        </w:rPr>
        <w:t>19</w:t>
      </w:r>
      <w:r w:rsidR="00797493">
        <w:rPr>
          <w:sz w:val="22"/>
          <w:szCs w:val="22"/>
        </w:rPr>
        <w:t xml:space="preserve"> values this </w:t>
      </w:r>
      <w:r w:rsidR="00797493" w:rsidRPr="00270BE6">
        <w:rPr>
          <w:color w:val="000000" w:themeColor="text1"/>
          <w:sz w:val="22"/>
          <w:szCs w:val="22"/>
        </w:rPr>
        <w:t xml:space="preserve">would give </w:t>
      </w:r>
      <w:r w:rsidR="00270BE6" w:rsidRPr="00270BE6">
        <w:rPr>
          <w:color w:val="000000" w:themeColor="text1"/>
          <w:sz w:val="22"/>
          <w:szCs w:val="22"/>
        </w:rPr>
        <w:t>£3,091</w:t>
      </w:r>
      <w:r w:rsidR="00797493" w:rsidRPr="00270BE6">
        <w:rPr>
          <w:color w:val="000000" w:themeColor="text1"/>
          <w:sz w:val="22"/>
          <w:szCs w:val="22"/>
        </w:rPr>
        <w:t xml:space="preserve"> </w:t>
      </w:r>
      <w:r w:rsidR="00797493" w:rsidRPr="00391F12">
        <w:rPr>
          <w:sz w:val="22"/>
          <w:szCs w:val="22"/>
        </w:rPr>
        <w:t>per pupil.</w:t>
      </w:r>
      <w:r w:rsidR="00CA0D70">
        <w:rPr>
          <w:sz w:val="22"/>
          <w:szCs w:val="22"/>
        </w:rPr>
        <w:t xml:space="preserve"> At the point the school’s expansion </w:t>
      </w:r>
      <w:r w:rsidR="00CA0D70" w:rsidRPr="00270BE6">
        <w:rPr>
          <w:color w:val="000000" w:themeColor="text1"/>
          <w:sz w:val="22"/>
          <w:szCs w:val="22"/>
        </w:rPr>
        <w:t xml:space="preserve">reaches Key Stage 4, 80% of the Key Stage 4 base £app will be used (which indicatively is </w:t>
      </w:r>
      <w:r w:rsidR="00270BE6" w:rsidRPr="00270BE6">
        <w:rPr>
          <w:color w:val="000000" w:themeColor="text1"/>
          <w:sz w:val="22"/>
          <w:szCs w:val="22"/>
        </w:rPr>
        <w:t>£3,509</w:t>
      </w:r>
      <w:r w:rsidR="00CA0D70" w:rsidRPr="00270BE6">
        <w:rPr>
          <w:color w:val="000000" w:themeColor="text1"/>
          <w:sz w:val="22"/>
          <w:szCs w:val="22"/>
        </w:rPr>
        <w:t>).</w:t>
      </w:r>
    </w:p>
    <w:p w:rsidR="00C741FF" w:rsidRPr="00CA0D70" w:rsidRDefault="00C741FF" w:rsidP="00CA0D70">
      <w:pPr>
        <w:jc w:val="both"/>
        <w:rPr>
          <w:sz w:val="22"/>
          <w:szCs w:val="22"/>
        </w:rPr>
      </w:pPr>
    </w:p>
    <w:p w:rsidR="008722A8" w:rsidRDefault="00F90A63" w:rsidP="008D16B2">
      <w:pPr>
        <w:pStyle w:val="ListParagraph"/>
        <w:numPr>
          <w:ilvl w:val="1"/>
          <w:numId w:val="16"/>
        </w:numPr>
        <w:jc w:val="both"/>
        <w:rPr>
          <w:sz w:val="22"/>
          <w:szCs w:val="22"/>
        </w:rPr>
      </w:pPr>
      <w:r>
        <w:rPr>
          <w:bCs/>
          <w:sz w:val="22"/>
          <w:szCs w:val="22"/>
        </w:rPr>
        <w:t xml:space="preserve">Where a secondary school or academy has been asked to take a </w:t>
      </w:r>
      <w:r w:rsidR="00820DE3">
        <w:rPr>
          <w:bCs/>
          <w:sz w:val="22"/>
          <w:szCs w:val="22"/>
        </w:rPr>
        <w:t xml:space="preserve">year 7 </w:t>
      </w:r>
      <w:r>
        <w:rPr>
          <w:bCs/>
          <w:sz w:val="22"/>
          <w:szCs w:val="22"/>
        </w:rPr>
        <w:t>bulge class (one off</w:t>
      </w:r>
      <w:r w:rsidR="00820DE3">
        <w:rPr>
          <w:bCs/>
          <w:sz w:val="22"/>
          <w:szCs w:val="22"/>
        </w:rPr>
        <w:t xml:space="preserve"> temporary PAN</w:t>
      </w:r>
      <w:r>
        <w:rPr>
          <w:bCs/>
          <w:sz w:val="22"/>
          <w:szCs w:val="22"/>
        </w:rPr>
        <w:t xml:space="preserve"> increase)</w:t>
      </w:r>
      <w:r w:rsidR="00820DE3">
        <w:rPr>
          <w:bCs/>
          <w:sz w:val="22"/>
          <w:szCs w:val="22"/>
        </w:rPr>
        <w:t xml:space="preserve"> of any size</w:t>
      </w:r>
      <w:r w:rsidRPr="001739CB">
        <w:rPr>
          <w:sz w:val="22"/>
          <w:szCs w:val="22"/>
        </w:rPr>
        <w:t xml:space="preserve">, funding is allocated on the same basis as for new permanently expanding schools above; at 80% of the </w:t>
      </w:r>
      <w:r w:rsidR="00CA0D70">
        <w:rPr>
          <w:sz w:val="22"/>
          <w:szCs w:val="22"/>
        </w:rPr>
        <w:t xml:space="preserve">Key Stage 2 </w:t>
      </w:r>
      <w:r w:rsidRPr="001739CB">
        <w:rPr>
          <w:sz w:val="22"/>
          <w:szCs w:val="22"/>
        </w:rPr>
        <w:t xml:space="preserve">base </w:t>
      </w:r>
      <w:r>
        <w:rPr>
          <w:sz w:val="22"/>
          <w:szCs w:val="22"/>
        </w:rPr>
        <w:t xml:space="preserve">amount </w:t>
      </w:r>
      <w:r w:rsidRPr="001739CB">
        <w:rPr>
          <w:sz w:val="22"/>
          <w:szCs w:val="22"/>
        </w:rPr>
        <w:t>per pupil value for the planned additional admission number for the relevant proportion of the financial year.</w:t>
      </w:r>
      <w:r w:rsidR="00CA0D70">
        <w:rPr>
          <w:sz w:val="22"/>
          <w:szCs w:val="22"/>
        </w:rPr>
        <w:t xml:space="preserve"> This is a one off allocation.</w:t>
      </w:r>
      <w:r w:rsidRPr="001739CB">
        <w:rPr>
          <w:sz w:val="22"/>
          <w:szCs w:val="22"/>
        </w:rPr>
        <w:t xml:space="preserve"> In the following financial year, no ad</w:t>
      </w:r>
      <w:r>
        <w:rPr>
          <w:sz w:val="22"/>
          <w:szCs w:val="22"/>
        </w:rPr>
        <w:t>ditional funding is</w:t>
      </w:r>
      <w:r w:rsidRPr="001739CB">
        <w:rPr>
          <w:sz w:val="22"/>
          <w:szCs w:val="22"/>
        </w:rPr>
        <w:t xml:space="preserve"> allocated; this additional class is automatically funded within the school’s / academy’s normal revenue budget.</w:t>
      </w:r>
    </w:p>
    <w:p w:rsidR="001C1F2D" w:rsidRDefault="001C1F2D" w:rsidP="001C1F2D">
      <w:pPr>
        <w:pStyle w:val="ListParagraph"/>
        <w:ind w:left="1440"/>
        <w:jc w:val="both"/>
        <w:rPr>
          <w:sz w:val="22"/>
          <w:szCs w:val="22"/>
        </w:rPr>
      </w:pPr>
    </w:p>
    <w:p w:rsidR="001C1F2D" w:rsidRPr="00270BE6" w:rsidRDefault="00442C04" w:rsidP="001C1F2D">
      <w:pPr>
        <w:jc w:val="both"/>
        <w:rPr>
          <w:b/>
          <w:bCs/>
          <w:color w:val="4F81BD" w:themeColor="accent1"/>
          <w:sz w:val="22"/>
          <w:szCs w:val="22"/>
        </w:rPr>
      </w:pPr>
      <w:r w:rsidRPr="00270BE6">
        <w:rPr>
          <w:b/>
          <w:bCs/>
          <w:color w:val="4F81BD" w:themeColor="accent1"/>
          <w:sz w:val="22"/>
          <w:szCs w:val="22"/>
        </w:rPr>
        <w:t xml:space="preserve">Question </w:t>
      </w:r>
      <w:r w:rsidR="00270BE6">
        <w:rPr>
          <w:b/>
          <w:bCs/>
          <w:color w:val="4F81BD" w:themeColor="accent1"/>
          <w:sz w:val="22"/>
          <w:szCs w:val="22"/>
        </w:rPr>
        <w:t>12</w:t>
      </w:r>
      <w:r w:rsidR="001C1F2D" w:rsidRPr="00270BE6">
        <w:rPr>
          <w:b/>
          <w:bCs/>
          <w:color w:val="4F81BD" w:themeColor="accent1"/>
          <w:sz w:val="22"/>
          <w:szCs w:val="22"/>
        </w:rPr>
        <w:t xml:space="preserve"> - Do you agree with the proposed criteria and methodology for the allocation of the growth funding to schools and </w:t>
      </w:r>
      <w:r w:rsidRPr="00270BE6">
        <w:rPr>
          <w:b/>
          <w:bCs/>
          <w:color w:val="4F81BD" w:themeColor="accent1"/>
          <w:sz w:val="22"/>
          <w:szCs w:val="22"/>
        </w:rPr>
        <w:t>academies in 2018/19</w:t>
      </w:r>
      <w:r w:rsidR="001C1F2D" w:rsidRPr="00270BE6">
        <w:rPr>
          <w:b/>
          <w:bCs/>
          <w:color w:val="4F81BD" w:themeColor="accent1"/>
          <w:sz w:val="22"/>
          <w:szCs w:val="22"/>
        </w:rPr>
        <w:t>? If not, please explain the reasons why not.</w:t>
      </w:r>
    </w:p>
    <w:p w:rsidR="006435B0" w:rsidRDefault="006435B0" w:rsidP="00754C20">
      <w:pPr>
        <w:jc w:val="both"/>
        <w:rPr>
          <w:color w:val="FF0000"/>
          <w:sz w:val="22"/>
          <w:szCs w:val="22"/>
          <w:highlight w:val="yellow"/>
        </w:rPr>
      </w:pPr>
    </w:p>
    <w:p w:rsidR="00270BE6" w:rsidRDefault="00270BE6" w:rsidP="00754C20">
      <w:pPr>
        <w:jc w:val="both"/>
        <w:rPr>
          <w:color w:val="FF0000"/>
          <w:sz w:val="22"/>
          <w:szCs w:val="22"/>
          <w:highlight w:val="yellow"/>
        </w:rPr>
      </w:pPr>
    </w:p>
    <w:p w:rsidR="00A82907" w:rsidRPr="00062307" w:rsidRDefault="00270BE6" w:rsidP="00754C20">
      <w:pPr>
        <w:jc w:val="both"/>
        <w:rPr>
          <w:sz w:val="22"/>
          <w:szCs w:val="22"/>
        </w:rPr>
      </w:pPr>
      <w:r>
        <w:rPr>
          <w:sz w:val="22"/>
          <w:szCs w:val="22"/>
        </w:rPr>
        <w:t>7</w:t>
      </w:r>
      <w:r w:rsidR="00A82907" w:rsidRPr="00062307">
        <w:rPr>
          <w:sz w:val="22"/>
          <w:szCs w:val="22"/>
        </w:rPr>
        <w:t xml:space="preserve">.6 </w:t>
      </w:r>
      <w:r w:rsidR="00A82907" w:rsidRPr="006E2EC5">
        <w:rPr>
          <w:sz w:val="22"/>
          <w:szCs w:val="22"/>
          <w:u w:val="single"/>
        </w:rPr>
        <w:t>School Re-Organisation Costs - maintained primary and secondary schools</w:t>
      </w:r>
    </w:p>
    <w:p w:rsidR="00A82907" w:rsidRPr="00062307" w:rsidRDefault="00A82907" w:rsidP="00754C20">
      <w:pPr>
        <w:jc w:val="both"/>
        <w:rPr>
          <w:b/>
          <w:bCs/>
          <w:color w:val="FF0000"/>
          <w:sz w:val="22"/>
          <w:szCs w:val="22"/>
        </w:rPr>
      </w:pPr>
    </w:p>
    <w:p w:rsidR="00A82907" w:rsidRPr="006D3066" w:rsidRDefault="00A82907" w:rsidP="004276B8">
      <w:pPr>
        <w:jc w:val="both"/>
        <w:rPr>
          <w:sz w:val="22"/>
          <w:szCs w:val="22"/>
          <w:highlight w:val="yellow"/>
        </w:rPr>
      </w:pPr>
      <w:r w:rsidRPr="00062307">
        <w:rPr>
          <w:sz w:val="22"/>
          <w:szCs w:val="22"/>
        </w:rPr>
        <w:t>The va</w:t>
      </w:r>
      <w:r w:rsidR="00062307" w:rsidRPr="00062307">
        <w:rPr>
          <w:sz w:val="22"/>
          <w:szCs w:val="22"/>
        </w:rPr>
        <w:t xml:space="preserve">lue of this </w:t>
      </w:r>
      <w:r w:rsidR="00442C04">
        <w:rPr>
          <w:sz w:val="22"/>
          <w:szCs w:val="22"/>
        </w:rPr>
        <w:t>fund in 2017/18</w:t>
      </w:r>
      <w:r w:rsidRPr="006317C6">
        <w:rPr>
          <w:sz w:val="22"/>
          <w:szCs w:val="22"/>
        </w:rPr>
        <w:t xml:space="preserve"> </w:t>
      </w:r>
      <w:r w:rsidRPr="004844D4">
        <w:rPr>
          <w:sz w:val="22"/>
          <w:szCs w:val="22"/>
        </w:rPr>
        <w:t>was £</w:t>
      </w:r>
      <w:r w:rsidR="004844D4" w:rsidRPr="004844D4">
        <w:rPr>
          <w:sz w:val="22"/>
          <w:szCs w:val="22"/>
        </w:rPr>
        <w:t>0.199</w:t>
      </w:r>
      <w:r w:rsidR="00A748F3" w:rsidRPr="004844D4">
        <w:rPr>
          <w:sz w:val="22"/>
          <w:szCs w:val="22"/>
        </w:rPr>
        <w:t xml:space="preserve">m, broken </w:t>
      </w:r>
      <w:r w:rsidR="00A748F3" w:rsidRPr="00062307">
        <w:rPr>
          <w:sz w:val="22"/>
          <w:szCs w:val="22"/>
        </w:rPr>
        <w:t>down between phases</w:t>
      </w:r>
      <w:r w:rsidRPr="00062307">
        <w:rPr>
          <w:sz w:val="22"/>
          <w:szCs w:val="22"/>
        </w:rPr>
        <w:t xml:space="preserve"> and types of re-organisation costs, as follows: </w:t>
      </w:r>
    </w:p>
    <w:p w:rsidR="00A82907" w:rsidRPr="006D3066" w:rsidRDefault="00A82907" w:rsidP="004276B8">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6D3066">
        <w:trPr>
          <w:jc w:val="center"/>
        </w:trPr>
        <w:tc>
          <w:tcPr>
            <w:tcW w:w="4517" w:type="dxa"/>
          </w:tcPr>
          <w:p w:rsidR="00A82907" w:rsidRPr="006D3066" w:rsidRDefault="00A82907" w:rsidP="00DF1118">
            <w:pPr>
              <w:jc w:val="both"/>
              <w:rPr>
                <w:sz w:val="22"/>
                <w:szCs w:val="22"/>
                <w:highlight w:val="yellow"/>
              </w:rPr>
            </w:pPr>
          </w:p>
        </w:tc>
        <w:tc>
          <w:tcPr>
            <w:tcW w:w="1701" w:type="dxa"/>
            <w:shd w:val="clear" w:color="auto" w:fill="C0C0C0"/>
          </w:tcPr>
          <w:p w:rsidR="00A82907" w:rsidRPr="004844D4" w:rsidRDefault="00A82907" w:rsidP="00DF1118">
            <w:pPr>
              <w:jc w:val="right"/>
              <w:rPr>
                <w:b/>
                <w:bCs/>
                <w:sz w:val="22"/>
                <w:szCs w:val="22"/>
                <w:highlight w:val="lightGray"/>
              </w:rPr>
            </w:pPr>
            <w:r w:rsidRPr="004844D4">
              <w:rPr>
                <w:b/>
                <w:bCs/>
                <w:sz w:val="22"/>
                <w:szCs w:val="22"/>
                <w:highlight w:val="lightGray"/>
              </w:rPr>
              <w:t>Primary</w:t>
            </w:r>
          </w:p>
        </w:tc>
        <w:tc>
          <w:tcPr>
            <w:tcW w:w="1668" w:type="dxa"/>
            <w:shd w:val="clear" w:color="auto" w:fill="C0C0C0"/>
          </w:tcPr>
          <w:p w:rsidR="00A82907" w:rsidRPr="004844D4" w:rsidRDefault="00A82907" w:rsidP="00DF1118">
            <w:pPr>
              <w:jc w:val="right"/>
              <w:rPr>
                <w:b/>
                <w:bCs/>
                <w:sz w:val="22"/>
                <w:szCs w:val="22"/>
                <w:highlight w:val="lightGray"/>
              </w:rPr>
            </w:pPr>
            <w:r w:rsidRPr="004844D4">
              <w:rPr>
                <w:b/>
                <w:bCs/>
                <w:sz w:val="22"/>
                <w:szCs w:val="22"/>
                <w:highlight w:val="lightGray"/>
              </w:rPr>
              <w:t>Secondary</w:t>
            </w:r>
          </w:p>
        </w:tc>
        <w:tc>
          <w:tcPr>
            <w:tcW w:w="1414" w:type="dxa"/>
            <w:shd w:val="clear" w:color="auto" w:fill="C0C0C0"/>
          </w:tcPr>
          <w:p w:rsidR="00A82907" w:rsidRPr="004844D4" w:rsidRDefault="00A82907" w:rsidP="00DF1118">
            <w:pPr>
              <w:jc w:val="right"/>
              <w:rPr>
                <w:b/>
                <w:bCs/>
                <w:sz w:val="22"/>
                <w:szCs w:val="22"/>
                <w:highlight w:val="lightGray"/>
              </w:rPr>
            </w:pPr>
            <w:r w:rsidRPr="004844D4">
              <w:rPr>
                <w:b/>
                <w:bCs/>
                <w:sz w:val="22"/>
                <w:szCs w:val="22"/>
                <w:highlight w:val="lightGray"/>
              </w:rPr>
              <w:t>Total</w:t>
            </w:r>
          </w:p>
        </w:tc>
      </w:tr>
      <w:tr w:rsidR="00A82907" w:rsidRPr="006317C6">
        <w:trPr>
          <w:jc w:val="center"/>
        </w:trPr>
        <w:tc>
          <w:tcPr>
            <w:tcW w:w="4517" w:type="dxa"/>
          </w:tcPr>
          <w:p w:rsidR="00A82907" w:rsidRPr="006317C6" w:rsidRDefault="00A82907" w:rsidP="00DF1118">
            <w:pPr>
              <w:jc w:val="both"/>
              <w:rPr>
                <w:sz w:val="22"/>
                <w:szCs w:val="22"/>
              </w:rPr>
            </w:pPr>
            <w:r w:rsidRPr="006317C6">
              <w:rPr>
                <w:sz w:val="22"/>
                <w:szCs w:val="22"/>
              </w:rPr>
              <w:t xml:space="preserve">School Staff Safeguarded Salaries </w:t>
            </w:r>
          </w:p>
        </w:tc>
        <w:tc>
          <w:tcPr>
            <w:tcW w:w="1701" w:type="dxa"/>
          </w:tcPr>
          <w:p w:rsidR="00A82907" w:rsidRPr="006317C6" w:rsidRDefault="004844D4" w:rsidP="006317C6">
            <w:pPr>
              <w:jc w:val="right"/>
              <w:rPr>
                <w:sz w:val="22"/>
                <w:szCs w:val="22"/>
              </w:rPr>
            </w:pPr>
            <w:r>
              <w:rPr>
                <w:sz w:val="22"/>
                <w:szCs w:val="22"/>
              </w:rPr>
              <w:t>£46,253</w:t>
            </w:r>
          </w:p>
        </w:tc>
        <w:tc>
          <w:tcPr>
            <w:tcW w:w="1668" w:type="dxa"/>
          </w:tcPr>
          <w:p w:rsidR="00A82907" w:rsidRPr="006317C6" w:rsidRDefault="004844D4" w:rsidP="006317C6">
            <w:pPr>
              <w:jc w:val="right"/>
              <w:rPr>
                <w:sz w:val="22"/>
                <w:szCs w:val="22"/>
              </w:rPr>
            </w:pPr>
            <w:r>
              <w:rPr>
                <w:sz w:val="22"/>
                <w:szCs w:val="22"/>
              </w:rPr>
              <w:t>£3,071</w:t>
            </w:r>
          </w:p>
        </w:tc>
        <w:tc>
          <w:tcPr>
            <w:tcW w:w="1414" w:type="dxa"/>
          </w:tcPr>
          <w:p w:rsidR="00A82907" w:rsidRPr="006317C6" w:rsidRDefault="004844D4" w:rsidP="006317C6">
            <w:pPr>
              <w:jc w:val="right"/>
              <w:rPr>
                <w:sz w:val="22"/>
                <w:szCs w:val="22"/>
              </w:rPr>
            </w:pPr>
            <w:r>
              <w:rPr>
                <w:sz w:val="22"/>
                <w:szCs w:val="22"/>
              </w:rPr>
              <w:t>£49,324</w:t>
            </w:r>
          </w:p>
        </w:tc>
      </w:tr>
      <w:tr w:rsidR="00A82907" w:rsidRPr="006317C6">
        <w:trPr>
          <w:jc w:val="center"/>
        </w:trPr>
        <w:tc>
          <w:tcPr>
            <w:tcW w:w="4517" w:type="dxa"/>
          </w:tcPr>
          <w:p w:rsidR="00A82907" w:rsidRPr="006317C6" w:rsidRDefault="00A82907" w:rsidP="00DF1118">
            <w:pPr>
              <w:jc w:val="both"/>
              <w:rPr>
                <w:sz w:val="22"/>
                <w:szCs w:val="22"/>
              </w:rPr>
            </w:pPr>
            <w:r w:rsidRPr="006317C6">
              <w:rPr>
                <w:sz w:val="22"/>
                <w:szCs w:val="22"/>
              </w:rPr>
              <w:t>Deficits of Closing Schools</w:t>
            </w:r>
          </w:p>
        </w:tc>
        <w:tc>
          <w:tcPr>
            <w:tcW w:w="1701" w:type="dxa"/>
          </w:tcPr>
          <w:p w:rsidR="00A82907" w:rsidRPr="006317C6" w:rsidRDefault="004844D4" w:rsidP="00DF1118">
            <w:pPr>
              <w:jc w:val="right"/>
              <w:rPr>
                <w:sz w:val="22"/>
                <w:szCs w:val="22"/>
              </w:rPr>
            </w:pPr>
            <w:r>
              <w:rPr>
                <w:sz w:val="22"/>
                <w:szCs w:val="22"/>
              </w:rPr>
              <w:t>£150,000</w:t>
            </w:r>
          </w:p>
        </w:tc>
        <w:tc>
          <w:tcPr>
            <w:tcW w:w="1668" w:type="dxa"/>
          </w:tcPr>
          <w:p w:rsidR="00A82907" w:rsidRPr="006317C6" w:rsidRDefault="005D4C5A" w:rsidP="00A5492A">
            <w:pPr>
              <w:jc w:val="right"/>
              <w:rPr>
                <w:sz w:val="22"/>
                <w:szCs w:val="22"/>
              </w:rPr>
            </w:pPr>
            <w:r>
              <w:rPr>
                <w:sz w:val="22"/>
                <w:szCs w:val="22"/>
              </w:rPr>
              <w:t>n/a</w:t>
            </w:r>
          </w:p>
        </w:tc>
        <w:tc>
          <w:tcPr>
            <w:tcW w:w="1414" w:type="dxa"/>
          </w:tcPr>
          <w:p w:rsidR="00A82907" w:rsidRPr="006317C6" w:rsidRDefault="004844D4" w:rsidP="00A5492A">
            <w:pPr>
              <w:jc w:val="right"/>
              <w:rPr>
                <w:sz w:val="22"/>
                <w:szCs w:val="22"/>
              </w:rPr>
            </w:pPr>
            <w:r>
              <w:rPr>
                <w:sz w:val="22"/>
                <w:szCs w:val="22"/>
              </w:rPr>
              <w:t>£150,000</w:t>
            </w:r>
          </w:p>
        </w:tc>
      </w:tr>
      <w:tr w:rsidR="00A82907" w:rsidRPr="006D3066">
        <w:trPr>
          <w:jc w:val="center"/>
        </w:trPr>
        <w:tc>
          <w:tcPr>
            <w:tcW w:w="4517" w:type="dxa"/>
          </w:tcPr>
          <w:p w:rsidR="00A82907" w:rsidRPr="006317C6" w:rsidRDefault="00A82907" w:rsidP="00DF1118">
            <w:pPr>
              <w:jc w:val="both"/>
              <w:rPr>
                <w:b/>
                <w:bCs/>
                <w:sz w:val="22"/>
                <w:szCs w:val="22"/>
              </w:rPr>
            </w:pPr>
            <w:r w:rsidRPr="006317C6">
              <w:rPr>
                <w:b/>
                <w:bCs/>
                <w:sz w:val="22"/>
                <w:szCs w:val="22"/>
              </w:rPr>
              <w:t xml:space="preserve">Total Value </w:t>
            </w:r>
            <w:r w:rsidR="00442C04">
              <w:rPr>
                <w:b/>
                <w:bCs/>
                <w:sz w:val="22"/>
                <w:szCs w:val="22"/>
              </w:rPr>
              <w:t>2017</w:t>
            </w:r>
            <w:r w:rsidR="004D74CA" w:rsidRPr="006317C6">
              <w:rPr>
                <w:b/>
                <w:bCs/>
                <w:sz w:val="22"/>
                <w:szCs w:val="22"/>
              </w:rPr>
              <w:t>/1</w:t>
            </w:r>
            <w:r w:rsidR="00442C04">
              <w:rPr>
                <w:b/>
                <w:bCs/>
                <w:sz w:val="22"/>
                <w:szCs w:val="22"/>
              </w:rPr>
              <w:t>8</w:t>
            </w:r>
          </w:p>
        </w:tc>
        <w:tc>
          <w:tcPr>
            <w:tcW w:w="1701" w:type="dxa"/>
          </w:tcPr>
          <w:p w:rsidR="00A82907" w:rsidRPr="006317C6" w:rsidRDefault="004844D4" w:rsidP="006317C6">
            <w:pPr>
              <w:jc w:val="right"/>
              <w:rPr>
                <w:b/>
                <w:bCs/>
                <w:sz w:val="22"/>
                <w:szCs w:val="22"/>
              </w:rPr>
            </w:pPr>
            <w:r>
              <w:rPr>
                <w:b/>
                <w:bCs/>
                <w:sz w:val="22"/>
                <w:szCs w:val="22"/>
              </w:rPr>
              <w:t>£196,253</w:t>
            </w:r>
          </w:p>
        </w:tc>
        <w:tc>
          <w:tcPr>
            <w:tcW w:w="1668" w:type="dxa"/>
          </w:tcPr>
          <w:p w:rsidR="00A82907" w:rsidRPr="006317C6" w:rsidRDefault="004844D4" w:rsidP="006317C6">
            <w:pPr>
              <w:jc w:val="right"/>
              <w:rPr>
                <w:b/>
                <w:bCs/>
                <w:sz w:val="22"/>
                <w:szCs w:val="22"/>
              </w:rPr>
            </w:pPr>
            <w:r>
              <w:rPr>
                <w:b/>
                <w:bCs/>
                <w:sz w:val="22"/>
                <w:szCs w:val="22"/>
              </w:rPr>
              <w:t>£3,071</w:t>
            </w:r>
          </w:p>
        </w:tc>
        <w:tc>
          <w:tcPr>
            <w:tcW w:w="1414" w:type="dxa"/>
          </w:tcPr>
          <w:p w:rsidR="00A82907" w:rsidRPr="006317C6" w:rsidRDefault="004844D4" w:rsidP="006317C6">
            <w:pPr>
              <w:jc w:val="right"/>
              <w:rPr>
                <w:b/>
                <w:bCs/>
                <w:sz w:val="22"/>
                <w:szCs w:val="22"/>
              </w:rPr>
            </w:pPr>
            <w:r>
              <w:rPr>
                <w:b/>
                <w:bCs/>
                <w:sz w:val="22"/>
                <w:szCs w:val="22"/>
              </w:rPr>
              <w:t>£199,324</w:t>
            </w:r>
          </w:p>
        </w:tc>
      </w:tr>
    </w:tbl>
    <w:p w:rsidR="00695603" w:rsidRPr="006D3066" w:rsidRDefault="00695603" w:rsidP="006F664D">
      <w:pPr>
        <w:jc w:val="both"/>
        <w:rPr>
          <w:sz w:val="22"/>
          <w:szCs w:val="22"/>
          <w:highlight w:val="yellow"/>
        </w:rPr>
      </w:pPr>
    </w:p>
    <w:p w:rsidR="00A82907" w:rsidRPr="00062307" w:rsidRDefault="00A82907" w:rsidP="006F664D">
      <w:pPr>
        <w:jc w:val="both"/>
        <w:rPr>
          <w:sz w:val="22"/>
          <w:szCs w:val="22"/>
        </w:rPr>
      </w:pPr>
      <w:r w:rsidRPr="00062307">
        <w:rPr>
          <w:sz w:val="22"/>
          <w:szCs w:val="22"/>
        </w:rPr>
        <w:t>The proposed criteria for allocating funding fr</w:t>
      </w:r>
      <w:r w:rsidR="004D74CA" w:rsidRPr="00062307">
        <w:rPr>
          <w:sz w:val="22"/>
          <w:szCs w:val="22"/>
        </w:rPr>
        <w:t>om this contingency fund in 201</w:t>
      </w:r>
      <w:r w:rsidR="00442C04">
        <w:rPr>
          <w:sz w:val="22"/>
          <w:szCs w:val="22"/>
        </w:rPr>
        <w:t>8</w:t>
      </w:r>
      <w:r w:rsidR="004D74CA" w:rsidRPr="00062307">
        <w:rPr>
          <w:sz w:val="22"/>
          <w:szCs w:val="22"/>
        </w:rPr>
        <w:t>/1</w:t>
      </w:r>
      <w:r w:rsidR="00442C04">
        <w:rPr>
          <w:sz w:val="22"/>
          <w:szCs w:val="22"/>
        </w:rPr>
        <w:t>9</w:t>
      </w:r>
      <w:r w:rsidR="004D74CA" w:rsidRPr="00062307">
        <w:rPr>
          <w:sz w:val="22"/>
          <w:szCs w:val="22"/>
        </w:rPr>
        <w:t xml:space="preserve"> are unchanged from 201</w:t>
      </w:r>
      <w:r w:rsidR="00442C04">
        <w:rPr>
          <w:sz w:val="22"/>
          <w:szCs w:val="22"/>
        </w:rPr>
        <w:t>7/18</w:t>
      </w:r>
      <w:r w:rsidRPr="00062307">
        <w:rPr>
          <w:sz w:val="22"/>
          <w:szCs w:val="22"/>
        </w:rPr>
        <w:t>:</w:t>
      </w:r>
    </w:p>
    <w:p w:rsidR="00A748F3" w:rsidRPr="00062307" w:rsidRDefault="00A748F3" w:rsidP="006F664D">
      <w:pPr>
        <w:jc w:val="both"/>
        <w:rPr>
          <w:sz w:val="12"/>
          <w:szCs w:val="12"/>
        </w:rPr>
      </w:pPr>
    </w:p>
    <w:p w:rsidR="00A82907" w:rsidRPr="00062307" w:rsidRDefault="00A82907" w:rsidP="008D16B2">
      <w:pPr>
        <w:numPr>
          <w:ilvl w:val="0"/>
          <w:numId w:val="8"/>
        </w:numPr>
        <w:spacing w:after="120"/>
        <w:jc w:val="both"/>
        <w:rPr>
          <w:sz w:val="22"/>
          <w:szCs w:val="22"/>
        </w:rPr>
      </w:pPr>
      <w:r w:rsidRPr="00062307">
        <w:rPr>
          <w:sz w:val="22"/>
          <w:szCs w:val="22"/>
        </w:rPr>
        <w:t>School staff safeguarded salaries: funding is allocated, based on the actual cost of agreed safeguards for individual staff in 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p>
    <w:p w:rsidR="001C1F2D" w:rsidRDefault="00A82907" w:rsidP="008D16B2">
      <w:pPr>
        <w:numPr>
          <w:ilvl w:val="0"/>
          <w:numId w:val="8"/>
        </w:numPr>
        <w:jc w:val="both"/>
        <w:rPr>
          <w:sz w:val="22"/>
          <w:szCs w:val="22"/>
        </w:rPr>
      </w:pPr>
      <w:r w:rsidRPr="00062307">
        <w:rPr>
          <w:sz w:val="22"/>
          <w:szCs w:val="22"/>
        </w:rPr>
        <w:t>Deficit of Closing Schools: where a maintained school closes with a deficit budget, or where a maintained</w:t>
      </w:r>
      <w:r w:rsidR="00442C04">
        <w:rPr>
          <w:sz w:val="22"/>
          <w:szCs w:val="22"/>
        </w:rPr>
        <w:t xml:space="preserve"> </w:t>
      </w:r>
      <w:r w:rsidRPr="00062307">
        <w:rPr>
          <w:sz w:val="22"/>
          <w:szCs w:val="22"/>
        </w:rPr>
        <w:t xml:space="preserve">school with a deficit budget converts to academy status under a sponsored agreement, </w:t>
      </w:r>
      <w:r w:rsidR="00270BE6">
        <w:rPr>
          <w:sz w:val="22"/>
          <w:szCs w:val="22"/>
        </w:rPr>
        <w:t>the deficit returns to the DSG.</w:t>
      </w:r>
    </w:p>
    <w:p w:rsidR="00CA0D70" w:rsidRDefault="00CA0D70" w:rsidP="00CA0D70">
      <w:pPr>
        <w:ind w:left="363"/>
        <w:jc w:val="both"/>
        <w:rPr>
          <w:sz w:val="22"/>
          <w:szCs w:val="22"/>
        </w:rPr>
      </w:pPr>
    </w:p>
    <w:p w:rsidR="00442C04" w:rsidRPr="001C1F2D" w:rsidRDefault="00442C04" w:rsidP="00442C04">
      <w:pPr>
        <w:jc w:val="both"/>
        <w:rPr>
          <w:sz w:val="22"/>
          <w:szCs w:val="22"/>
        </w:rPr>
      </w:pPr>
    </w:p>
    <w:p w:rsidR="00A82907" w:rsidRPr="00062307" w:rsidRDefault="00270BE6" w:rsidP="00754C20">
      <w:pPr>
        <w:jc w:val="both"/>
        <w:rPr>
          <w:b/>
          <w:bCs/>
          <w:sz w:val="22"/>
          <w:szCs w:val="22"/>
        </w:rPr>
      </w:pPr>
      <w:r>
        <w:rPr>
          <w:sz w:val="22"/>
          <w:szCs w:val="22"/>
        </w:rPr>
        <w:t>7</w:t>
      </w:r>
      <w:r w:rsidR="00E124DC" w:rsidRPr="00062307">
        <w:rPr>
          <w:sz w:val="22"/>
          <w:szCs w:val="22"/>
        </w:rPr>
        <w:t>.</w:t>
      </w:r>
      <w:r w:rsidR="00A82907" w:rsidRPr="00062307">
        <w:rPr>
          <w:sz w:val="22"/>
          <w:szCs w:val="22"/>
        </w:rPr>
        <w:t xml:space="preserve">7 </w:t>
      </w:r>
      <w:r w:rsidR="00A82907" w:rsidRPr="006E2EC5">
        <w:rPr>
          <w:sz w:val="22"/>
          <w:szCs w:val="22"/>
          <w:u w:val="single"/>
        </w:rPr>
        <w:t>Exceptional Costs &amp; Schools in Financial Difficulty - maintained primary schools</w:t>
      </w:r>
      <w:r w:rsidR="00442C04">
        <w:rPr>
          <w:sz w:val="22"/>
          <w:szCs w:val="22"/>
          <w:u w:val="single"/>
        </w:rPr>
        <w:t xml:space="preserve"> only</w:t>
      </w:r>
    </w:p>
    <w:p w:rsidR="00A82907" w:rsidRPr="00062307" w:rsidRDefault="00A82907" w:rsidP="00754C20">
      <w:pPr>
        <w:jc w:val="both"/>
        <w:rPr>
          <w:b/>
          <w:bCs/>
          <w:sz w:val="22"/>
          <w:szCs w:val="22"/>
        </w:rPr>
      </w:pPr>
    </w:p>
    <w:p w:rsidR="00A82907" w:rsidRPr="00062307" w:rsidRDefault="00A82907" w:rsidP="000020FC">
      <w:pPr>
        <w:jc w:val="both"/>
        <w:rPr>
          <w:sz w:val="22"/>
          <w:szCs w:val="22"/>
        </w:rPr>
      </w:pPr>
      <w:r w:rsidRPr="00062307">
        <w:rPr>
          <w:sz w:val="22"/>
          <w:szCs w:val="22"/>
        </w:rPr>
        <w:t xml:space="preserve">The purpose of this fund is to provide support for the budgets of maintained </w:t>
      </w:r>
      <w:r w:rsidR="00442C04">
        <w:rPr>
          <w:sz w:val="22"/>
          <w:szCs w:val="22"/>
        </w:rPr>
        <w:t xml:space="preserve">primary </w:t>
      </w:r>
      <w:r w:rsidRPr="00062307">
        <w:rPr>
          <w:sz w:val="22"/>
          <w:szCs w:val="22"/>
        </w:rPr>
        <w:t>schools</w:t>
      </w:r>
      <w:r w:rsidR="00442C04">
        <w:rPr>
          <w:sz w:val="22"/>
          <w:szCs w:val="22"/>
        </w:rPr>
        <w:t xml:space="preserve"> only</w:t>
      </w:r>
      <w:r w:rsidRPr="00062307">
        <w:rPr>
          <w:sz w:val="22"/>
          <w:szCs w:val="22"/>
        </w:rPr>
        <w:t xml:space="preserve"> in the following circumstances:</w:t>
      </w:r>
    </w:p>
    <w:p w:rsidR="00A82907" w:rsidRPr="00062307" w:rsidRDefault="00A82907" w:rsidP="000020FC">
      <w:pPr>
        <w:jc w:val="both"/>
        <w:rPr>
          <w:sz w:val="12"/>
          <w:szCs w:val="12"/>
        </w:rPr>
      </w:pPr>
    </w:p>
    <w:p w:rsidR="00A82907" w:rsidRPr="00062307" w:rsidRDefault="00A82907" w:rsidP="008D16B2">
      <w:pPr>
        <w:numPr>
          <w:ilvl w:val="0"/>
          <w:numId w:val="9"/>
        </w:numPr>
        <w:spacing w:after="120"/>
        <w:ind w:left="714" w:hanging="357"/>
        <w:jc w:val="both"/>
        <w:rPr>
          <w:sz w:val="22"/>
          <w:szCs w:val="22"/>
        </w:rPr>
      </w:pPr>
      <w:r w:rsidRPr="00062307">
        <w:rPr>
          <w:sz w:val="22"/>
          <w:szCs w:val="22"/>
        </w:rPr>
        <w:t>Exceptional growth in pupil numbers, not picked up within the terms of the ‘Growth Fund’</w:t>
      </w:r>
    </w:p>
    <w:p w:rsidR="00A82907" w:rsidRPr="00062307" w:rsidRDefault="00A82907" w:rsidP="008D16B2">
      <w:pPr>
        <w:numPr>
          <w:ilvl w:val="0"/>
          <w:numId w:val="9"/>
        </w:numPr>
        <w:spacing w:after="120"/>
        <w:ind w:left="714" w:hanging="357"/>
        <w:jc w:val="both"/>
        <w:rPr>
          <w:sz w:val="22"/>
          <w:szCs w:val="22"/>
        </w:rPr>
      </w:pPr>
      <w:r w:rsidRPr="00062307">
        <w:rPr>
          <w:sz w:val="22"/>
          <w:szCs w:val="22"/>
        </w:rPr>
        <w:t>1 Form of Entry (or smaller) primary schools, where the cost of external HR investigations places the school in financial difficulty i.e. would reduce the forecasted carry forward balance below £20,000 *</w:t>
      </w:r>
    </w:p>
    <w:p w:rsidR="00A82907" w:rsidRPr="00062307" w:rsidRDefault="00DF345C" w:rsidP="008D16B2">
      <w:pPr>
        <w:numPr>
          <w:ilvl w:val="0"/>
          <w:numId w:val="9"/>
        </w:numPr>
        <w:spacing w:after="120"/>
        <w:ind w:left="714" w:hanging="357"/>
        <w:jc w:val="both"/>
        <w:rPr>
          <w:sz w:val="22"/>
          <w:szCs w:val="22"/>
        </w:rPr>
      </w:pPr>
      <w:r>
        <w:rPr>
          <w:sz w:val="22"/>
          <w:szCs w:val="22"/>
        </w:rPr>
        <w:lastRenderedPageBreak/>
        <w:t>Priority 3 or 4</w:t>
      </w:r>
      <w:r w:rsidR="00A82907" w:rsidRPr="00062307">
        <w:rPr>
          <w:sz w:val="22"/>
          <w:szCs w:val="22"/>
        </w:rPr>
        <w:t xml:space="preserve"> schools, where additional intervention / support is requi</w:t>
      </w:r>
      <w:r>
        <w:rPr>
          <w:sz w:val="22"/>
          <w:szCs w:val="22"/>
        </w:rPr>
        <w:t>red</w:t>
      </w:r>
      <w:r w:rsidR="00A82907" w:rsidRPr="00062307">
        <w:rPr>
          <w:sz w:val="22"/>
          <w:szCs w:val="22"/>
        </w:rPr>
        <w:t xml:space="preserve"> and where the school’s budget cannot meet the costs without placing the school in financial difficulty i.e. would reduce the forecasted carry forward balance below £20,000 *</w:t>
      </w:r>
    </w:p>
    <w:p w:rsidR="00A82907" w:rsidRPr="00062307" w:rsidRDefault="00A82907" w:rsidP="008D16B2">
      <w:pPr>
        <w:numPr>
          <w:ilvl w:val="0"/>
          <w:numId w:val="9"/>
        </w:numPr>
        <w:spacing w:after="120"/>
        <w:ind w:left="714" w:hanging="357"/>
        <w:jc w:val="both"/>
        <w:rPr>
          <w:sz w:val="22"/>
          <w:szCs w:val="22"/>
        </w:rPr>
      </w:pPr>
      <w:r w:rsidRPr="00062307">
        <w:rPr>
          <w:sz w:val="22"/>
          <w:szCs w:val="22"/>
        </w:rPr>
        <w:t>Local Authority Statutory interventions in schools e.g. costs of an IEB</w:t>
      </w:r>
    </w:p>
    <w:p w:rsidR="00A82907" w:rsidRPr="00062307" w:rsidRDefault="00A82907" w:rsidP="008D16B2">
      <w:pPr>
        <w:numPr>
          <w:ilvl w:val="0"/>
          <w:numId w:val="9"/>
        </w:numPr>
        <w:spacing w:after="120"/>
        <w:ind w:left="714" w:hanging="357"/>
        <w:jc w:val="both"/>
        <w:rPr>
          <w:sz w:val="22"/>
          <w:szCs w:val="22"/>
        </w:rPr>
      </w:pPr>
      <w:r w:rsidRPr="00062307">
        <w:rPr>
          <w:sz w:val="22"/>
          <w:szCs w:val="22"/>
        </w:rPr>
        <w:t>Any other circumstance, where the exceptional nature of this is agreed by the Schools Forum and where to not provide financial support would place the school in a financially difficult position that it is likely to have a detr</w:t>
      </w:r>
      <w:r w:rsidR="009910B2" w:rsidRPr="00062307">
        <w:rPr>
          <w:sz w:val="22"/>
          <w:szCs w:val="22"/>
        </w:rPr>
        <w:t>imental impact on</w:t>
      </w:r>
      <w:r w:rsidRPr="00062307">
        <w:rPr>
          <w:sz w:val="22"/>
          <w:szCs w:val="22"/>
        </w:rPr>
        <w:t xml:space="preserve"> outcomes</w:t>
      </w:r>
      <w:r w:rsidR="009910B2" w:rsidRPr="00062307">
        <w:rPr>
          <w:sz w:val="22"/>
          <w:szCs w:val="22"/>
        </w:rPr>
        <w:t xml:space="preserve"> for children</w:t>
      </w:r>
      <w:r w:rsidRPr="00062307">
        <w:rPr>
          <w:sz w:val="22"/>
          <w:szCs w:val="22"/>
        </w:rPr>
        <w:t xml:space="preserve"> *</w:t>
      </w:r>
    </w:p>
    <w:p w:rsidR="00A82907" w:rsidRPr="00062307" w:rsidRDefault="00A82907" w:rsidP="000020FC">
      <w:pPr>
        <w:jc w:val="both"/>
        <w:rPr>
          <w:sz w:val="22"/>
          <w:szCs w:val="22"/>
        </w:rPr>
      </w:pPr>
      <w:r w:rsidRPr="00062307">
        <w:rPr>
          <w:sz w:val="22"/>
          <w:szCs w:val="22"/>
        </w:rPr>
        <w:t>* £20,000 is a reasonable safety net to apply for all schools i.e. a school with £20,000 holds adequate reserve to meet additional unexpected costs</w:t>
      </w:r>
    </w:p>
    <w:p w:rsidR="00A82907" w:rsidRPr="006D3066" w:rsidRDefault="00A82907" w:rsidP="000020FC">
      <w:pPr>
        <w:jc w:val="both"/>
        <w:rPr>
          <w:sz w:val="22"/>
          <w:szCs w:val="22"/>
          <w:highlight w:val="yellow"/>
        </w:rPr>
      </w:pPr>
    </w:p>
    <w:p w:rsidR="00A82907" w:rsidRPr="006D3066" w:rsidRDefault="004D74CA" w:rsidP="000020FC">
      <w:pPr>
        <w:jc w:val="both"/>
        <w:rPr>
          <w:sz w:val="22"/>
          <w:szCs w:val="22"/>
          <w:highlight w:val="yellow"/>
        </w:rPr>
      </w:pPr>
      <w:r w:rsidRPr="00062307">
        <w:rPr>
          <w:sz w:val="22"/>
          <w:szCs w:val="22"/>
        </w:rPr>
        <w:t xml:space="preserve">The value of </w:t>
      </w:r>
      <w:r w:rsidRPr="006317C6">
        <w:rPr>
          <w:sz w:val="22"/>
          <w:szCs w:val="22"/>
        </w:rPr>
        <w:t>this fund in</w:t>
      </w:r>
      <w:r w:rsidR="00442C04">
        <w:rPr>
          <w:sz w:val="22"/>
          <w:szCs w:val="22"/>
        </w:rPr>
        <w:t xml:space="preserve"> 2017</w:t>
      </w:r>
      <w:r w:rsidRPr="005D4C5A">
        <w:rPr>
          <w:sz w:val="22"/>
          <w:szCs w:val="22"/>
        </w:rPr>
        <w:t>/1</w:t>
      </w:r>
      <w:r w:rsidR="00442C04" w:rsidRPr="005D4C5A">
        <w:rPr>
          <w:sz w:val="22"/>
          <w:szCs w:val="22"/>
        </w:rPr>
        <w:t>8</w:t>
      </w:r>
      <w:r w:rsidR="00A82907" w:rsidRPr="005D4C5A">
        <w:rPr>
          <w:sz w:val="22"/>
          <w:szCs w:val="22"/>
        </w:rPr>
        <w:t xml:space="preserve"> was </w:t>
      </w:r>
      <w:r w:rsidR="006317C6" w:rsidRPr="005D4C5A">
        <w:rPr>
          <w:sz w:val="22"/>
          <w:szCs w:val="22"/>
        </w:rPr>
        <w:t>£</w:t>
      </w:r>
      <w:r w:rsidR="005D4C5A" w:rsidRPr="005D4C5A">
        <w:rPr>
          <w:sz w:val="22"/>
          <w:szCs w:val="22"/>
        </w:rPr>
        <w:t>0.10</w:t>
      </w:r>
      <w:r w:rsidR="00A82907" w:rsidRPr="005D4C5A">
        <w:rPr>
          <w:sz w:val="22"/>
          <w:szCs w:val="22"/>
        </w:rPr>
        <w:t xml:space="preserve">m, </w:t>
      </w:r>
      <w:r w:rsidR="00A82907" w:rsidRPr="006317C6">
        <w:rPr>
          <w:sz w:val="22"/>
          <w:szCs w:val="22"/>
        </w:rPr>
        <w:t>broken</w:t>
      </w:r>
      <w:r w:rsidR="00A82907" w:rsidRPr="00062307">
        <w:rPr>
          <w:sz w:val="22"/>
          <w:szCs w:val="22"/>
        </w:rPr>
        <w:t xml:space="preserve"> down between phases, as follows: </w:t>
      </w:r>
    </w:p>
    <w:p w:rsidR="00A82907" w:rsidRPr="006D3066" w:rsidRDefault="00A82907" w:rsidP="000020FC">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6D3066">
        <w:trPr>
          <w:jc w:val="center"/>
        </w:trPr>
        <w:tc>
          <w:tcPr>
            <w:tcW w:w="4517" w:type="dxa"/>
          </w:tcPr>
          <w:p w:rsidR="00A82907" w:rsidRPr="006D3066" w:rsidRDefault="00A82907" w:rsidP="00DF1118">
            <w:pPr>
              <w:jc w:val="both"/>
              <w:rPr>
                <w:sz w:val="22"/>
                <w:szCs w:val="22"/>
                <w:highlight w:val="yellow"/>
              </w:rPr>
            </w:pPr>
          </w:p>
        </w:tc>
        <w:tc>
          <w:tcPr>
            <w:tcW w:w="1701" w:type="dxa"/>
            <w:shd w:val="clear" w:color="auto" w:fill="C0C0C0"/>
          </w:tcPr>
          <w:p w:rsidR="00A82907" w:rsidRPr="005D4C5A" w:rsidRDefault="00A82907" w:rsidP="00DF1118">
            <w:pPr>
              <w:jc w:val="right"/>
              <w:rPr>
                <w:b/>
                <w:bCs/>
                <w:sz w:val="22"/>
                <w:szCs w:val="22"/>
                <w:highlight w:val="lightGray"/>
              </w:rPr>
            </w:pPr>
            <w:r w:rsidRPr="005D4C5A">
              <w:rPr>
                <w:b/>
                <w:bCs/>
                <w:sz w:val="22"/>
                <w:szCs w:val="22"/>
                <w:highlight w:val="lightGray"/>
              </w:rPr>
              <w:t>Primary</w:t>
            </w:r>
          </w:p>
        </w:tc>
        <w:tc>
          <w:tcPr>
            <w:tcW w:w="1668" w:type="dxa"/>
            <w:shd w:val="clear" w:color="auto" w:fill="C0C0C0"/>
          </w:tcPr>
          <w:p w:rsidR="00A82907" w:rsidRPr="005D4C5A" w:rsidRDefault="00A82907" w:rsidP="00DF1118">
            <w:pPr>
              <w:jc w:val="right"/>
              <w:rPr>
                <w:b/>
                <w:bCs/>
                <w:sz w:val="22"/>
                <w:szCs w:val="22"/>
                <w:highlight w:val="lightGray"/>
              </w:rPr>
            </w:pPr>
            <w:r w:rsidRPr="005D4C5A">
              <w:rPr>
                <w:b/>
                <w:bCs/>
                <w:sz w:val="22"/>
                <w:szCs w:val="22"/>
                <w:highlight w:val="lightGray"/>
              </w:rPr>
              <w:t>Secondary</w:t>
            </w:r>
          </w:p>
        </w:tc>
        <w:tc>
          <w:tcPr>
            <w:tcW w:w="1414" w:type="dxa"/>
            <w:shd w:val="clear" w:color="auto" w:fill="C0C0C0"/>
          </w:tcPr>
          <w:p w:rsidR="00A82907" w:rsidRPr="005D4C5A" w:rsidRDefault="00A82907" w:rsidP="00DF1118">
            <w:pPr>
              <w:jc w:val="right"/>
              <w:rPr>
                <w:b/>
                <w:bCs/>
                <w:sz w:val="22"/>
                <w:szCs w:val="22"/>
                <w:highlight w:val="lightGray"/>
              </w:rPr>
            </w:pPr>
            <w:r w:rsidRPr="005D4C5A">
              <w:rPr>
                <w:b/>
                <w:bCs/>
                <w:sz w:val="22"/>
                <w:szCs w:val="22"/>
                <w:highlight w:val="lightGray"/>
              </w:rPr>
              <w:t>Total</w:t>
            </w:r>
          </w:p>
        </w:tc>
      </w:tr>
      <w:tr w:rsidR="00A82907" w:rsidRPr="006317C6">
        <w:trPr>
          <w:jc w:val="center"/>
        </w:trPr>
        <w:tc>
          <w:tcPr>
            <w:tcW w:w="4517" w:type="dxa"/>
          </w:tcPr>
          <w:p w:rsidR="00A82907" w:rsidRPr="006D3066" w:rsidRDefault="00A82907" w:rsidP="00A5492A">
            <w:pPr>
              <w:jc w:val="both"/>
              <w:rPr>
                <w:b/>
                <w:bCs/>
                <w:sz w:val="22"/>
                <w:szCs w:val="22"/>
                <w:highlight w:val="yellow"/>
              </w:rPr>
            </w:pPr>
            <w:r w:rsidRPr="00062307">
              <w:rPr>
                <w:b/>
                <w:bCs/>
                <w:sz w:val="22"/>
                <w:szCs w:val="22"/>
              </w:rPr>
              <w:t>Total Value 2</w:t>
            </w:r>
            <w:r w:rsidR="00500F3E">
              <w:rPr>
                <w:b/>
                <w:bCs/>
                <w:sz w:val="22"/>
                <w:szCs w:val="22"/>
              </w:rPr>
              <w:t>017</w:t>
            </w:r>
            <w:r w:rsidR="004D74CA" w:rsidRPr="00062307">
              <w:rPr>
                <w:b/>
                <w:bCs/>
                <w:sz w:val="22"/>
                <w:szCs w:val="22"/>
              </w:rPr>
              <w:t>/1</w:t>
            </w:r>
            <w:r w:rsidR="00500F3E">
              <w:rPr>
                <w:b/>
                <w:bCs/>
                <w:sz w:val="22"/>
                <w:szCs w:val="22"/>
              </w:rPr>
              <w:t>8</w:t>
            </w:r>
          </w:p>
        </w:tc>
        <w:tc>
          <w:tcPr>
            <w:tcW w:w="1701" w:type="dxa"/>
          </w:tcPr>
          <w:p w:rsidR="00A82907" w:rsidRPr="006317C6" w:rsidRDefault="005D4C5A" w:rsidP="00A75659">
            <w:pPr>
              <w:jc w:val="right"/>
              <w:rPr>
                <w:b/>
                <w:bCs/>
                <w:sz w:val="22"/>
                <w:szCs w:val="22"/>
              </w:rPr>
            </w:pPr>
            <w:r>
              <w:rPr>
                <w:b/>
                <w:bCs/>
                <w:sz w:val="22"/>
                <w:szCs w:val="22"/>
              </w:rPr>
              <w:t>£100,000</w:t>
            </w:r>
          </w:p>
        </w:tc>
        <w:tc>
          <w:tcPr>
            <w:tcW w:w="1668" w:type="dxa"/>
          </w:tcPr>
          <w:p w:rsidR="00A82907" w:rsidRPr="006317C6" w:rsidRDefault="005D4C5A" w:rsidP="00740594">
            <w:pPr>
              <w:jc w:val="right"/>
              <w:rPr>
                <w:b/>
                <w:bCs/>
                <w:sz w:val="22"/>
                <w:szCs w:val="22"/>
              </w:rPr>
            </w:pPr>
            <w:r>
              <w:rPr>
                <w:b/>
                <w:bCs/>
                <w:sz w:val="22"/>
                <w:szCs w:val="22"/>
              </w:rPr>
              <w:t>n/a</w:t>
            </w:r>
          </w:p>
        </w:tc>
        <w:tc>
          <w:tcPr>
            <w:tcW w:w="1414" w:type="dxa"/>
          </w:tcPr>
          <w:p w:rsidR="00A82907" w:rsidRPr="006317C6" w:rsidRDefault="005D4C5A" w:rsidP="00740594">
            <w:pPr>
              <w:jc w:val="right"/>
              <w:rPr>
                <w:b/>
                <w:bCs/>
                <w:sz w:val="22"/>
                <w:szCs w:val="22"/>
              </w:rPr>
            </w:pPr>
            <w:r>
              <w:rPr>
                <w:b/>
                <w:bCs/>
                <w:sz w:val="22"/>
                <w:szCs w:val="22"/>
              </w:rPr>
              <w:t>£100,000</w:t>
            </w:r>
          </w:p>
        </w:tc>
      </w:tr>
    </w:tbl>
    <w:p w:rsidR="004D74CA" w:rsidRPr="006D3066" w:rsidRDefault="004D74CA" w:rsidP="000020FC">
      <w:pPr>
        <w:jc w:val="both"/>
        <w:rPr>
          <w:sz w:val="22"/>
          <w:szCs w:val="22"/>
          <w:highlight w:val="yellow"/>
        </w:rPr>
      </w:pPr>
    </w:p>
    <w:p w:rsidR="00A82907" w:rsidRPr="00062307" w:rsidRDefault="00A82907" w:rsidP="000020FC">
      <w:pPr>
        <w:jc w:val="both"/>
        <w:rPr>
          <w:sz w:val="22"/>
          <w:szCs w:val="22"/>
        </w:rPr>
      </w:pPr>
      <w:r w:rsidRPr="00062307">
        <w:rPr>
          <w:sz w:val="22"/>
          <w:szCs w:val="22"/>
        </w:rPr>
        <w:t>The proposed criteria for allocating funding for exceptional pupil numbers growth (the most c</w:t>
      </w:r>
      <w:r w:rsidR="004D74CA" w:rsidRPr="00062307">
        <w:rPr>
          <w:sz w:val="22"/>
          <w:szCs w:val="22"/>
        </w:rPr>
        <w:t>ommon call on this fund) in</w:t>
      </w:r>
      <w:r w:rsidR="00442C04">
        <w:rPr>
          <w:sz w:val="22"/>
          <w:szCs w:val="22"/>
        </w:rPr>
        <w:t xml:space="preserve"> 2018/19 are unchanged from 2017/18</w:t>
      </w:r>
      <w:r w:rsidRPr="00062307">
        <w:rPr>
          <w:sz w:val="22"/>
          <w:szCs w:val="22"/>
        </w:rPr>
        <w:t xml:space="preserve"> and are as follows:</w:t>
      </w:r>
    </w:p>
    <w:p w:rsidR="004D74CA" w:rsidRPr="00062307" w:rsidRDefault="004D74CA" w:rsidP="000020FC">
      <w:pPr>
        <w:jc w:val="both"/>
        <w:rPr>
          <w:sz w:val="22"/>
          <w:szCs w:val="22"/>
        </w:rPr>
      </w:pPr>
    </w:p>
    <w:p w:rsidR="00A82907" w:rsidRPr="00062307" w:rsidRDefault="00A82907" w:rsidP="008D16B2">
      <w:pPr>
        <w:numPr>
          <w:ilvl w:val="0"/>
          <w:numId w:val="10"/>
        </w:numPr>
        <w:jc w:val="both"/>
        <w:rPr>
          <w:sz w:val="22"/>
          <w:szCs w:val="22"/>
        </w:rPr>
      </w:pPr>
      <w:r w:rsidRPr="00062307">
        <w:rPr>
          <w:sz w:val="22"/>
          <w:szCs w:val="22"/>
        </w:rPr>
        <w:t>The main factor taken into account is the extent of additional cost pressure faced by a school. This is assessed on the information provided by the school on what action has been needed to meet the growth in pupil numbers</w:t>
      </w:r>
    </w:p>
    <w:p w:rsidR="00A82907" w:rsidRPr="00062307" w:rsidRDefault="00A82907" w:rsidP="008D16B2">
      <w:pPr>
        <w:numPr>
          <w:ilvl w:val="0"/>
          <w:numId w:val="10"/>
        </w:numPr>
        <w:jc w:val="both"/>
        <w:rPr>
          <w:sz w:val="22"/>
          <w:szCs w:val="22"/>
        </w:rPr>
      </w:pPr>
      <w:r w:rsidRPr="00062307">
        <w:rPr>
          <w:sz w:val="22"/>
          <w:szCs w:val="22"/>
        </w:rPr>
        <w:t>The extent of increase in numbers: actual numbers and % of roll (vs. the phase average)</w:t>
      </w:r>
    </w:p>
    <w:p w:rsidR="00A82907" w:rsidRPr="00062307" w:rsidRDefault="00A82907" w:rsidP="008D16B2">
      <w:pPr>
        <w:numPr>
          <w:ilvl w:val="0"/>
          <w:numId w:val="10"/>
        </w:numPr>
        <w:jc w:val="both"/>
        <w:rPr>
          <w:sz w:val="22"/>
          <w:szCs w:val="22"/>
        </w:rPr>
      </w:pPr>
      <w:r w:rsidRPr="00062307">
        <w:rPr>
          <w:sz w:val="22"/>
          <w:szCs w:val="22"/>
        </w:rPr>
        <w:t>Whether the Local Authority has directed the additional pupils to the school</w:t>
      </w:r>
    </w:p>
    <w:p w:rsidR="00A82907" w:rsidRPr="00062307" w:rsidRDefault="00A82907" w:rsidP="008D16B2">
      <w:pPr>
        <w:numPr>
          <w:ilvl w:val="0"/>
          <w:numId w:val="10"/>
        </w:numPr>
        <w:jc w:val="both"/>
        <w:rPr>
          <w:sz w:val="22"/>
          <w:szCs w:val="22"/>
        </w:rPr>
      </w:pPr>
      <w:r w:rsidRPr="00062307">
        <w:rPr>
          <w:sz w:val="22"/>
          <w:szCs w:val="22"/>
        </w:rPr>
        <w:t>How the additional pupils are distributed across the school</w:t>
      </w:r>
    </w:p>
    <w:p w:rsidR="00A82907" w:rsidRPr="00062307" w:rsidRDefault="00A82907" w:rsidP="008D16B2">
      <w:pPr>
        <w:numPr>
          <w:ilvl w:val="0"/>
          <w:numId w:val="10"/>
        </w:numPr>
        <w:tabs>
          <w:tab w:val="clear" w:pos="720"/>
          <w:tab w:val="num" w:pos="360"/>
        </w:tabs>
        <w:jc w:val="both"/>
        <w:rPr>
          <w:sz w:val="22"/>
          <w:szCs w:val="22"/>
        </w:rPr>
      </w:pPr>
      <w:r w:rsidRPr="00062307">
        <w:rPr>
          <w:sz w:val="22"/>
          <w:szCs w:val="22"/>
        </w:rPr>
        <w:t>Whether this is a one off issue i.e. the potential extent for exceptional growth and further cost pressure in future years?</w:t>
      </w:r>
    </w:p>
    <w:p w:rsidR="00A82907" w:rsidRPr="00062307" w:rsidRDefault="00A82907" w:rsidP="008D16B2">
      <w:pPr>
        <w:numPr>
          <w:ilvl w:val="0"/>
          <w:numId w:val="10"/>
        </w:numPr>
        <w:tabs>
          <w:tab w:val="clear" w:pos="720"/>
          <w:tab w:val="num" w:pos="360"/>
        </w:tabs>
        <w:jc w:val="both"/>
        <w:rPr>
          <w:sz w:val="22"/>
          <w:szCs w:val="22"/>
        </w:rPr>
      </w:pPr>
      <w:r w:rsidRPr="00062307">
        <w:rPr>
          <w:sz w:val="22"/>
          <w:szCs w:val="22"/>
        </w:rPr>
        <w:t>In judging exceptional funding for children admitted on appeal, what the specific circumstances are at the school which require the school to make additional provision in the first year</w:t>
      </w:r>
    </w:p>
    <w:p w:rsidR="00A82907" w:rsidRPr="00062307" w:rsidRDefault="00A82907" w:rsidP="008D16B2">
      <w:pPr>
        <w:numPr>
          <w:ilvl w:val="0"/>
          <w:numId w:val="10"/>
        </w:numPr>
        <w:tabs>
          <w:tab w:val="clear" w:pos="720"/>
          <w:tab w:val="num" w:pos="360"/>
        </w:tabs>
        <w:jc w:val="both"/>
        <w:rPr>
          <w:sz w:val="22"/>
          <w:szCs w:val="22"/>
        </w:rPr>
      </w:pPr>
      <w:r w:rsidRPr="00062307">
        <w:rPr>
          <w:sz w:val="22"/>
          <w:szCs w:val="22"/>
        </w:rPr>
        <w:t>The school’s carry forward balances position</w:t>
      </w:r>
    </w:p>
    <w:p w:rsidR="00A82907" w:rsidRPr="00062307" w:rsidRDefault="00A82907" w:rsidP="008D16B2">
      <w:pPr>
        <w:numPr>
          <w:ilvl w:val="0"/>
          <w:numId w:val="10"/>
        </w:numPr>
        <w:tabs>
          <w:tab w:val="clear" w:pos="720"/>
          <w:tab w:val="num" w:pos="360"/>
        </w:tabs>
        <w:jc w:val="both"/>
        <w:rPr>
          <w:sz w:val="22"/>
          <w:szCs w:val="22"/>
        </w:rPr>
      </w:pPr>
      <w:r w:rsidRPr="00062307">
        <w:rPr>
          <w:sz w:val="22"/>
          <w:szCs w:val="22"/>
        </w:rPr>
        <w:t>The change in the school’s expenditure shown in the Start Budget vs. Q1 vs. Q2 vs. Q3 monitoring reports</w:t>
      </w:r>
    </w:p>
    <w:p w:rsidR="00A82907" w:rsidRPr="00062307" w:rsidRDefault="00A82907" w:rsidP="008D16B2">
      <w:pPr>
        <w:numPr>
          <w:ilvl w:val="0"/>
          <w:numId w:val="10"/>
        </w:numPr>
        <w:tabs>
          <w:tab w:val="clear" w:pos="720"/>
          <w:tab w:val="num" w:pos="360"/>
        </w:tabs>
        <w:jc w:val="both"/>
        <w:rPr>
          <w:sz w:val="22"/>
          <w:szCs w:val="22"/>
        </w:rPr>
      </w:pPr>
      <w:r w:rsidRPr="00062307">
        <w:rPr>
          <w:sz w:val="22"/>
          <w:szCs w:val="22"/>
        </w:rPr>
        <w:t>The Priority category of the Sch</w:t>
      </w:r>
      <w:r w:rsidR="0027678E">
        <w:rPr>
          <w:sz w:val="22"/>
          <w:szCs w:val="22"/>
        </w:rPr>
        <w:t>ool (is the school in Priority 4</w:t>
      </w:r>
      <w:r w:rsidRPr="00062307">
        <w:rPr>
          <w:sz w:val="22"/>
          <w:szCs w:val="22"/>
        </w:rPr>
        <w:t>?)</w:t>
      </w:r>
    </w:p>
    <w:p w:rsidR="00A82907" w:rsidRPr="00062307" w:rsidRDefault="00A82907" w:rsidP="008D16B2">
      <w:pPr>
        <w:numPr>
          <w:ilvl w:val="0"/>
          <w:numId w:val="10"/>
        </w:numPr>
        <w:tabs>
          <w:tab w:val="clear" w:pos="720"/>
          <w:tab w:val="num" w:pos="360"/>
        </w:tabs>
        <w:jc w:val="both"/>
        <w:rPr>
          <w:sz w:val="22"/>
          <w:szCs w:val="22"/>
        </w:rPr>
      </w:pPr>
      <w:r w:rsidRPr="00062307">
        <w:rPr>
          <w:sz w:val="22"/>
          <w:szCs w:val="22"/>
        </w:rPr>
        <w:t>Whether the school has received financial support or funding from elsewhere</w:t>
      </w:r>
    </w:p>
    <w:p w:rsidR="005C247A" w:rsidRDefault="005C247A" w:rsidP="006F3AB5">
      <w:pPr>
        <w:jc w:val="both"/>
        <w:rPr>
          <w:b/>
          <w:bCs/>
          <w:color w:val="0000FF"/>
          <w:sz w:val="22"/>
          <w:szCs w:val="22"/>
        </w:rPr>
      </w:pPr>
    </w:p>
    <w:p w:rsidR="00A82907" w:rsidRPr="00270BE6" w:rsidRDefault="00442C04" w:rsidP="006F3AB5">
      <w:pPr>
        <w:jc w:val="both"/>
        <w:rPr>
          <w:b/>
          <w:bCs/>
          <w:color w:val="4F81BD" w:themeColor="accent1"/>
          <w:sz w:val="22"/>
          <w:szCs w:val="22"/>
        </w:rPr>
      </w:pPr>
      <w:r w:rsidRPr="00270BE6">
        <w:rPr>
          <w:b/>
          <w:bCs/>
          <w:color w:val="4F81BD" w:themeColor="accent1"/>
          <w:sz w:val="22"/>
          <w:szCs w:val="22"/>
        </w:rPr>
        <w:t xml:space="preserve">Question </w:t>
      </w:r>
      <w:r w:rsidR="00270BE6">
        <w:rPr>
          <w:b/>
          <w:bCs/>
          <w:color w:val="4F81BD" w:themeColor="accent1"/>
          <w:sz w:val="22"/>
          <w:szCs w:val="22"/>
        </w:rPr>
        <w:t>13</w:t>
      </w:r>
      <w:r w:rsidR="005C247A" w:rsidRPr="00270BE6">
        <w:rPr>
          <w:b/>
          <w:bCs/>
          <w:color w:val="4F81BD" w:themeColor="accent1"/>
          <w:sz w:val="22"/>
          <w:szCs w:val="22"/>
        </w:rPr>
        <w:t xml:space="preserve"> - </w:t>
      </w:r>
      <w:r w:rsidR="00A82907" w:rsidRPr="00270BE6">
        <w:rPr>
          <w:b/>
          <w:bCs/>
          <w:color w:val="4F81BD" w:themeColor="accent1"/>
          <w:sz w:val="22"/>
          <w:szCs w:val="22"/>
        </w:rPr>
        <w:t>Do you ag</w:t>
      </w:r>
      <w:r w:rsidR="005C247A" w:rsidRPr="00270BE6">
        <w:rPr>
          <w:b/>
          <w:bCs/>
          <w:color w:val="4F81BD" w:themeColor="accent1"/>
          <w:sz w:val="22"/>
          <w:szCs w:val="22"/>
        </w:rPr>
        <w:t>ree with the</w:t>
      </w:r>
      <w:r w:rsidR="006E2EC5" w:rsidRPr="00270BE6">
        <w:rPr>
          <w:b/>
          <w:bCs/>
          <w:color w:val="4F81BD" w:themeColor="accent1"/>
          <w:sz w:val="22"/>
          <w:szCs w:val="22"/>
        </w:rPr>
        <w:t xml:space="preserve"> </w:t>
      </w:r>
      <w:r w:rsidR="005C247A" w:rsidRPr="00270BE6">
        <w:rPr>
          <w:b/>
          <w:bCs/>
          <w:color w:val="4F81BD" w:themeColor="accent1"/>
          <w:sz w:val="22"/>
          <w:szCs w:val="22"/>
        </w:rPr>
        <w:t>c</w:t>
      </w:r>
      <w:r w:rsidR="006E2EC5" w:rsidRPr="00270BE6">
        <w:rPr>
          <w:b/>
          <w:bCs/>
          <w:color w:val="4F81BD" w:themeColor="accent1"/>
          <w:sz w:val="22"/>
          <w:szCs w:val="22"/>
        </w:rPr>
        <w:t xml:space="preserve">entrally managed </w:t>
      </w:r>
      <w:r w:rsidR="005C247A" w:rsidRPr="00270BE6">
        <w:rPr>
          <w:b/>
          <w:bCs/>
          <w:color w:val="4F81BD" w:themeColor="accent1"/>
          <w:sz w:val="22"/>
          <w:szCs w:val="22"/>
        </w:rPr>
        <w:t xml:space="preserve">funds, </w:t>
      </w:r>
      <w:r w:rsidR="00A82907" w:rsidRPr="00270BE6">
        <w:rPr>
          <w:b/>
          <w:bCs/>
          <w:color w:val="4F81BD" w:themeColor="accent1"/>
          <w:sz w:val="22"/>
          <w:szCs w:val="22"/>
        </w:rPr>
        <w:t>and their criteria, that are propos</w:t>
      </w:r>
      <w:r w:rsidRPr="00270BE6">
        <w:rPr>
          <w:b/>
          <w:bCs/>
          <w:color w:val="4F81BD" w:themeColor="accent1"/>
          <w:sz w:val="22"/>
          <w:szCs w:val="22"/>
        </w:rPr>
        <w:t>ed to be held in the DSG in 2018/19</w:t>
      </w:r>
      <w:r w:rsidR="00A82907" w:rsidRPr="00270BE6">
        <w:rPr>
          <w:b/>
          <w:bCs/>
          <w:color w:val="4F81BD" w:themeColor="accent1"/>
          <w:sz w:val="22"/>
          <w:szCs w:val="22"/>
        </w:rPr>
        <w:t xml:space="preserve">? If not, please </w:t>
      </w:r>
      <w:r w:rsidR="00305B67" w:rsidRPr="00270BE6">
        <w:rPr>
          <w:b/>
          <w:bCs/>
          <w:color w:val="4F81BD" w:themeColor="accent1"/>
          <w:sz w:val="22"/>
          <w:szCs w:val="22"/>
        </w:rPr>
        <w:t>explain</w:t>
      </w:r>
      <w:r w:rsidR="00A82907" w:rsidRPr="00270BE6">
        <w:rPr>
          <w:b/>
          <w:bCs/>
          <w:color w:val="4F81BD" w:themeColor="accent1"/>
          <w:sz w:val="22"/>
          <w:szCs w:val="22"/>
        </w:rPr>
        <w:t xml:space="preserve"> the reasons why not</w:t>
      </w:r>
      <w:r w:rsidR="00062307" w:rsidRPr="00270BE6">
        <w:rPr>
          <w:b/>
          <w:bCs/>
          <w:color w:val="4F81BD" w:themeColor="accent1"/>
          <w:sz w:val="22"/>
          <w:szCs w:val="22"/>
        </w:rPr>
        <w:t>.</w:t>
      </w:r>
    </w:p>
    <w:p w:rsidR="00A82907" w:rsidRPr="00CE63F5" w:rsidRDefault="00A82907" w:rsidP="00791103">
      <w:pPr>
        <w:jc w:val="both"/>
        <w:rPr>
          <w:b/>
          <w:bCs/>
          <w:color w:val="0000FF"/>
          <w:sz w:val="22"/>
          <w:szCs w:val="22"/>
          <w:highlight w:val="yellow"/>
        </w:rPr>
      </w:pPr>
    </w:p>
    <w:p w:rsidR="00A82907" w:rsidRPr="00CE63F5" w:rsidRDefault="00A82907" w:rsidP="00791103">
      <w:pPr>
        <w:jc w:val="both"/>
        <w:rPr>
          <w:b/>
          <w:bCs/>
          <w:sz w:val="22"/>
          <w:szCs w:val="22"/>
          <w:highlight w:val="yellow"/>
        </w:rPr>
      </w:pPr>
    </w:p>
    <w:p w:rsidR="00A82907" w:rsidRPr="004D74CA" w:rsidRDefault="00270BE6" w:rsidP="006F3AB5">
      <w:pPr>
        <w:jc w:val="both"/>
        <w:rPr>
          <w:b/>
          <w:bCs/>
          <w:sz w:val="22"/>
          <w:szCs w:val="22"/>
        </w:rPr>
      </w:pPr>
      <w:r w:rsidRPr="00270BE6">
        <w:rPr>
          <w:b/>
          <w:bCs/>
          <w:color w:val="4F81BD" w:themeColor="accent1"/>
          <w:sz w:val="22"/>
          <w:szCs w:val="22"/>
        </w:rPr>
        <w:t>8</w:t>
      </w:r>
      <w:r w:rsidR="00A82907" w:rsidRPr="00270BE6">
        <w:rPr>
          <w:b/>
          <w:bCs/>
          <w:color w:val="4F81BD" w:themeColor="accent1"/>
          <w:sz w:val="22"/>
          <w:szCs w:val="22"/>
        </w:rPr>
        <w:t>.</w:t>
      </w:r>
      <w:r w:rsidR="00A82907" w:rsidRPr="00270BE6">
        <w:rPr>
          <w:b/>
          <w:bCs/>
          <w:color w:val="4F81BD" w:themeColor="accent1"/>
          <w:sz w:val="22"/>
          <w:szCs w:val="22"/>
        </w:rPr>
        <w:tab/>
        <w:t>Consultation Responses</w:t>
      </w:r>
    </w:p>
    <w:p w:rsidR="00A82907" w:rsidRPr="004D74CA" w:rsidRDefault="00A82907" w:rsidP="006F3AB5">
      <w:pPr>
        <w:jc w:val="both"/>
        <w:rPr>
          <w:b/>
          <w:bCs/>
          <w:sz w:val="22"/>
          <w:szCs w:val="22"/>
        </w:rPr>
      </w:pPr>
    </w:p>
    <w:p w:rsidR="00A82907" w:rsidRPr="004D74CA" w:rsidRDefault="00270BE6" w:rsidP="006F3AB5">
      <w:pPr>
        <w:jc w:val="both"/>
        <w:rPr>
          <w:sz w:val="22"/>
          <w:szCs w:val="22"/>
        </w:rPr>
      </w:pPr>
      <w:r>
        <w:rPr>
          <w:sz w:val="22"/>
          <w:szCs w:val="22"/>
        </w:rPr>
        <w:t>8</w:t>
      </w:r>
      <w:r w:rsidR="00A82907" w:rsidRPr="004D74CA">
        <w:rPr>
          <w:sz w:val="22"/>
          <w:szCs w:val="22"/>
        </w:rPr>
        <w:t xml:space="preserve">.1 Please use the responses form </w:t>
      </w:r>
      <w:r w:rsidR="004D74CA" w:rsidRPr="004D74CA">
        <w:rPr>
          <w:sz w:val="22"/>
          <w:szCs w:val="22"/>
        </w:rPr>
        <w:t xml:space="preserve">in </w:t>
      </w:r>
      <w:r>
        <w:rPr>
          <w:color w:val="000000"/>
          <w:sz w:val="22"/>
          <w:szCs w:val="22"/>
        </w:rPr>
        <w:t>Appendix 4</w:t>
      </w:r>
      <w:r w:rsidR="00A82907" w:rsidRPr="004D74CA">
        <w:rPr>
          <w:color w:val="000000"/>
          <w:sz w:val="22"/>
          <w:szCs w:val="22"/>
        </w:rPr>
        <w:t xml:space="preserve"> to submit</w:t>
      </w:r>
      <w:r w:rsidR="00A82907" w:rsidRPr="004D74CA">
        <w:rPr>
          <w:sz w:val="22"/>
          <w:szCs w:val="22"/>
        </w:rPr>
        <w:t xml:space="preserve"> your views on the proposals outlined in the consultation. There is space </w:t>
      </w:r>
      <w:r w:rsidR="004D74CA" w:rsidRPr="004D74CA">
        <w:rPr>
          <w:sz w:val="22"/>
          <w:szCs w:val="22"/>
        </w:rPr>
        <w:t>on</w:t>
      </w:r>
      <w:r w:rsidR="00A82907" w:rsidRPr="004D74CA">
        <w:rPr>
          <w:sz w:val="22"/>
          <w:szCs w:val="22"/>
        </w:rPr>
        <w:t xml:space="preserve"> this form for you to comment on any aspect of the proposals. If you wish to discuss these proposals in more detail, or have any specific questions, please contact Andrew Redding, using the contact details shown in paragraph 1.</w:t>
      </w:r>
    </w:p>
    <w:p w:rsidR="00A82907" w:rsidRPr="004D74CA" w:rsidRDefault="00A82907" w:rsidP="006F3AB5">
      <w:pPr>
        <w:jc w:val="both"/>
        <w:rPr>
          <w:sz w:val="22"/>
          <w:szCs w:val="22"/>
        </w:rPr>
      </w:pPr>
    </w:p>
    <w:p w:rsidR="00A82907" w:rsidRPr="004D74CA" w:rsidRDefault="00270BE6" w:rsidP="006F3AB5">
      <w:pPr>
        <w:jc w:val="both"/>
        <w:rPr>
          <w:sz w:val="22"/>
          <w:szCs w:val="22"/>
        </w:rPr>
      </w:pPr>
      <w:r>
        <w:rPr>
          <w:sz w:val="22"/>
          <w:szCs w:val="22"/>
        </w:rPr>
        <w:t>8</w:t>
      </w:r>
      <w:r w:rsidR="00A82907" w:rsidRPr="004D74CA">
        <w:rPr>
          <w:sz w:val="22"/>
          <w:szCs w:val="22"/>
        </w:rPr>
        <w:t xml:space="preserve">.2 Please ensure that your response is submitted by the deadline </w:t>
      </w:r>
      <w:r w:rsidR="00A82907" w:rsidRPr="00270BE6">
        <w:rPr>
          <w:color w:val="000000" w:themeColor="text1"/>
          <w:sz w:val="22"/>
          <w:szCs w:val="22"/>
        </w:rPr>
        <w:t xml:space="preserve">of </w:t>
      </w:r>
      <w:r w:rsidR="00CE5485" w:rsidRPr="00270BE6">
        <w:rPr>
          <w:b/>
          <w:bCs/>
          <w:color w:val="000000" w:themeColor="text1"/>
          <w:sz w:val="22"/>
          <w:szCs w:val="22"/>
        </w:rPr>
        <w:t xml:space="preserve">Monday </w:t>
      </w:r>
      <w:r w:rsidR="006D3066" w:rsidRPr="00270BE6">
        <w:rPr>
          <w:b/>
          <w:bCs/>
          <w:color w:val="000000" w:themeColor="text1"/>
          <w:sz w:val="22"/>
          <w:szCs w:val="22"/>
        </w:rPr>
        <w:t xml:space="preserve">4 </w:t>
      </w:r>
      <w:r w:rsidR="00CE5485" w:rsidRPr="00270BE6">
        <w:rPr>
          <w:b/>
          <w:bCs/>
          <w:color w:val="000000" w:themeColor="text1"/>
          <w:sz w:val="22"/>
          <w:szCs w:val="22"/>
        </w:rPr>
        <w:t>December 2017</w:t>
      </w:r>
      <w:r w:rsidR="00A82907" w:rsidRPr="004D74CA">
        <w:rPr>
          <w:b/>
          <w:bCs/>
          <w:sz w:val="22"/>
          <w:szCs w:val="22"/>
        </w:rPr>
        <w:t>.</w:t>
      </w:r>
      <w:r w:rsidR="004D74CA">
        <w:rPr>
          <w:b/>
          <w:bCs/>
          <w:sz w:val="22"/>
          <w:szCs w:val="22"/>
        </w:rPr>
        <w:t xml:space="preserve"> </w:t>
      </w:r>
      <w:r w:rsidR="004D74CA" w:rsidRPr="004D74CA">
        <w:rPr>
          <w:bCs/>
          <w:sz w:val="22"/>
          <w:szCs w:val="22"/>
        </w:rPr>
        <w:t>Any responses received after this deadline date may not be included</w:t>
      </w:r>
      <w:r w:rsidR="004D74CA">
        <w:rPr>
          <w:bCs/>
          <w:sz w:val="22"/>
          <w:szCs w:val="22"/>
        </w:rPr>
        <w:t xml:space="preserve"> in the overall analysis presented to the Schools Forum.</w:t>
      </w:r>
    </w:p>
    <w:p w:rsidR="00A82907" w:rsidRPr="00CE63F5" w:rsidRDefault="00A82907" w:rsidP="006F3AB5">
      <w:pPr>
        <w:jc w:val="both"/>
        <w:rPr>
          <w:b/>
          <w:bCs/>
          <w:sz w:val="22"/>
          <w:szCs w:val="22"/>
          <w:highlight w:val="yellow"/>
        </w:rPr>
      </w:pPr>
    </w:p>
    <w:p w:rsidR="00A82907" w:rsidRPr="00CE63F5" w:rsidRDefault="00A82907" w:rsidP="006F3AB5">
      <w:pPr>
        <w:jc w:val="both"/>
        <w:rPr>
          <w:b/>
          <w:bCs/>
          <w:sz w:val="22"/>
          <w:szCs w:val="22"/>
          <w:highlight w:val="yellow"/>
        </w:rPr>
      </w:pPr>
    </w:p>
    <w:p w:rsidR="00A82907" w:rsidRPr="00270BE6" w:rsidRDefault="00270BE6"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rsidR="00A82907" w:rsidRPr="00804A84" w:rsidRDefault="00A82907" w:rsidP="006F3AB5">
      <w:pPr>
        <w:jc w:val="both"/>
        <w:rPr>
          <w:sz w:val="22"/>
          <w:szCs w:val="22"/>
        </w:rPr>
      </w:pPr>
    </w:p>
    <w:p w:rsidR="00A82907" w:rsidRPr="00496D5B" w:rsidRDefault="00270BE6" w:rsidP="006F3AB5">
      <w:pPr>
        <w:jc w:val="both"/>
        <w:rPr>
          <w:sz w:val="22"/>
          <w:szCs w:val="22"/>
        </w:rPr>
      </w:pPr>
      <w:r>
        <w:rPr>
          <w:sz w:val="22"/>
          <w:szCs w:val="22"/>
        </w:rPr>
        <w:t>9</w:t>
      </w:r>
      <w:r w:rsidR="00A82907" w:rsidRPr="00804A84">
        <w:rPr>
          <w:sz w:val="22"/>
          <w:szCs w:val="22"/>
        </w:rPr>
        <w:t xml:space="preserve">.1 Following consideration of the responses to this consultation and the </w:t>
      </w:r>
      <w:r w:rsidR="00442F45">
        <w:rPr>
          <w:sz w:val="22"/>
          <w:szCs w:val="22"/>
        </w:rPr>
        <w:t>recommendation</w:t>
      </w:r>
      <w:r w:rsidR="00A82907" w:rsidRPr="00804A84">
        <w:rPr>
          <w:sz w:val="22"/>
          <w:szCs w:val="22"/>
        </w:rPr>
        <w:t xml:space="preserve"> of the Schools Forum, </w:t>
      </w:r>
      <w:r w:rsidR="00804A84" w:rsidRPr="00804A84">
        <w:rPr>
          <w:sz w:val="22"/>
          <w:szCs w:val="22"/>
        </w:rPr>
        <w:t>the</w:t>
      </w:r>
      <w:r w:rsidR="00A82907" w:rsidRPr="00804A84">
        <w:rPr>
          <w:sz w:val="22"/>
          <w:szCs w:val="22"/>
        </w:rPr>
        <w:t xml:space="preserve"> structure</w:t>
      </w:r>
      <w:r w:rsidR="00804A84" w:rsidRPr="00804A84">
        <w:rPr>
          <w:sz w:val="22"/>
          <w:szCs w:val="22"/>
        </w:rPr>
        <w:t>s</w:t>
      </w:r>
      <w:r w:rsidR="00A82907" w:rsidRPr="00804A84">
        <w:rPr>
          <w:sz w:val="22"/>
          <w:szCs w:val="22"/>
        </w:rPr>
        <w:t xml:space="preserve"> of the </w:t>
      </w:r>
      <w:r w:rsidR="00804A84" w:rsidRPr="00804A84">
        <w:rPr>
          <w:sz w:val="22"/>
          <w:szCs w:val="22"/>
        </w:rPr>
        <w:t xml:space="preserve">primary and secondary </w:t>
      </w:r>
      <w:r w:rsidR="00A82907" w:rsidRPr="00804A84">
        <w:rPr>
          <w:sz w:val="22"/>
          <w:szCs w:val="22"/>
        </w:rPr>
        <w:t>funding formulae</w:t>
      </w:r>
      <w:r w:rsidR="00804A84" w:rsidRPr="00804A84">
        <w:rPr>
          <w:sz w:val="22"/>
          <w:szCs w:val="22"/>
        </w:rPr>
        <w:t xml:space="preserve"> </w:t>
      </w:r>
      <w:r w:rsidR="00A82907" w:rsidRPr="00804A84">
        <w:rPr>
          <w:sz w:val="22"/>
          <w:szCs w:val="22"/>
        </w:rPr>
        <w:t>to be u</w:t>
      </w:r>
      <w:r w:rsidR="004D74CA" w:rsidRPr="00804A84">
        <w:rPr>
          <w:sz w:val="22"/>
          <w:szCs w:val="22"/>
        </w:rPr>
        <w:t>sed to calculate budgets in 201</w:t>
      </w:r>
      <w:r w:rsidR="00CE5485">
        <w:rPr>
          <w:sz w:val="22"/>
          <w:szCs w:val="22"/>
        </w:rPr>
        <w:t>8/19</w:t>
      </w:r>
      <w:r w:rsidR="00A82907" w:rsidRPr="00804A84">
        <w:rPr>
          <w:sz w:val="22"/>
          <w:szCs w:val="22"/>
        </w:rPr>
        <w:t>,</w:t>
      </w:r>
      <w:r w:rsidR="00804A84" w:rsidRPr="00804A84">
        <w:rPr>
          <w:sz w:val="22"/>
          <w:szCs w:val="22"/>
        </w:rPr>
        <w:t xml:space="preserve"> and the</w:t>
      </w:r>
      <w:r w:rsidR="00A82907" w:rsidRPr="00804A84">
        <w:rPr>
          <w:sz w:val="22"/>
          <w:szCs w:val="22"/>
        </w:rPr>
        <w:t xml:space="preserve"> </w:t>
      </w:r>
      <w:r w:rsidR="00804A84" w:rsidRPr="00804A84">
        <w:rPr>
          <w:sz w:val="22"/>
          <w:szCs w:val="22"/>
        </w:rPr>
        <w:t xml:space="preserve">criteria for the allocation of Schools Block DSG contingency funds and growth funds, </w:t>
      </w:r>
      <w:r w:rsidR="00A82907" w:rsidRPr="00804A84">
        <w:rPr>
          <w:sz w:val="22"/>
          <w:szCs w:val="22"/>
        </w:rPr>
        <w:t>wi</w:t>
      </w:r>
      <w:r w:rsidR="004D74CA" w:rsidRPr="00804A84">
        <w:rPr>
          <w:sz w:val="22"/>
          <w:szCs w:val="22"/>
        </w:rPr>
        <w:t xml:space="preserve">ll be </w:t>
      </w:r>
      <w:r w:rsidR="00804A84" w:rsidRPr="00804A84">
        <w:rPr>
          <w:sz w:val="22"/>
          <w:szCs w:val="22"/>
        </w:rPr>
        <w:t>set</w:t>
      </w:r>
      <w:r w:rsidR="00770ED2">
        <w:rPr>
          <w:sz w:val="22"/>
          <w:szCs w:val="22"/>
        </w:rPr>
        <w:t xml:space="preserve"> by the Council’s Executive</w:t>
      </w:r>
      <w:r w:rsidR="004D74CA" w:rsidRPr="00804A84">
        <w:rPr>
          <w:sz w:val="22"/>
          <w:szCs w:val="22"/>
        </w:rPr>
        <w:t>.</w:t>
      </w:r>
    </w:p>
    <w:p w:rsidR="00A82907" w:rsidRPr="00496D5B" w:rsidRDefault="00A82907" w:rsidP="006F3AB5">
      <w:pPr>
        <w:jc w:val="both"/>
        <w:rPr>
          <w:sz w:val="22"/>
          <w:szCs w:val="22"/>
        </w:rPr>
      </w:pPr>
    </w:p>
    <w:p w:rsidR="00A82907" w:rsidRPr="00496D5B" w:rsidRDefault="00A82907" w:rsidP="006F3AB5">
      <w:pPr>
        <w:jc w:val="both"/>
        <w:rPr>
          <w:sz w:val="22"/>
          <w:szCs w:val="22"/>
        </w:rPr>
      </w:pPr>
      <w:r w:rsidRPr="00496D5B">
        <w:rPr>
          <w:sz w:val="22"/>
          <w:szCs w:val="22"/>
        </w:rPr>
        <w:t>.</w:t>
      </w:r>
    </w:p>
    <w:p w:rsidR="00442F45" w:rsidRDefault="00270BE6" w:rsidP="006F3AB5">
      <w:pPr>
        <w:jc w:val="both"/>
        <w:rPr>
          <w:sz w:val="22"/>
          <w:szCs w:val="22"/>
        </w:rPr>
      </w:pPr>
      <w:r>
        <w:rPr>
          <w:sz w:val="22"/>
          <w:szCs w:val="22"/>
        </w:rPr>
        <w:lastRenderedPageBreak/>
        <w:t>9</w:t>
      </w:r>
      <w:r w:rsidR="00CE5485">
        <w:rPr>
          <w:sz w:val="22"/>
          <w:szCs w:val="22"/>
        </w:rPr>
        <w:t>.2</w:t>
      </w:r>
      <w:r w:rsidR="00A82907" w:rsidRPr="00496D5B">
        <w:rPr>
          <w:sz w:val="22"/>
          <w:szCs w:val="22"/>
        </w:rPr>
        <w:t xml:space="preserve"> Discussions on the overa</w:t>
      </w:r>
      <w:r w:rsidR="004D74CA" w:rsidRPr="00496D5B">
        <w:rPr>
          <w:sz w:val="22"/>
          <w:szCs w:val="22"/>
        </w:rPr>
        <w:t>ll DSG funding position for 201</w:t>
      </w:r>
      <w:r w:rsidR="00CE5485">
        <w:rPr>
          <w:sz w:val="22"/>
          <w:szCs w:val="22"/>
        </w:rPr>
        <w:t>8</w:t>
      </w:r>
      <w:r w:rsidR="00A82907" w:rsidRPr="00496D5B">
        <w:rPr>
          <w:sz w:val="22"/>
          <w:szCs w:val="22"/>
        </w:rPr>
        <w:t>/1</w:t>
      </w:r>
      <w:r w:rsidR="00CE5485">
        <w:rPr>
          <w:sz w:val="22"/>
          <w:szCs w:val="22"/>
        </w:rPr>
        <w:t xml:space="preserve">9 </w:t>
      </w:r>
      <w:r w:rsidR="00A82907" w:rsidRPr="00496D5B">
        <w:rPr>
          <w:sz w:val="22"/>
          <w:szCs w:val="22"/>
        </w:rPr>
        <w:t xml:space="preserve">will take place in the Schools Forum </w:t>
      </w:r>
      <w:r w:rsidR="00442F45">
        <w:rPr>
          <w:sz w:val="22"/>
          <w:szCs w:val="22"/>
        </w:rPr>
        <w:t>between no</w:t>
      </w:r>
      <w:r w:rsidR="00CE5485">
        <w:rPr>
          <w:sz w:val="22"/>
          <w:szCs w:val="22"/>
        </w:rPr>
        <w:t>w and January 2018</w:t>
      </w:r>
      <w:r w:rsidR="00A82907" w:rsidRPr="00496D5B">
        <w:rPr>
          <w:sz w:val="22"/>
          <w:szCs w:val="22"/>
        </w:rPr>
        <w:t xml:space="preserve">. You are recommended to keep in touch with these discussions by visiting the Schools Forum webpage </w:t>
      </w:r>
      <w:r>
        <w:rPr>
          <w:sz w:val="22"/>
          <w:szCs w:val="22"/>
        </w:rPr>
        <w:t xml:space="preserve">on the Council’s Minute’s site </w:t>
      </w:r>
      <w:hyperlink r:id="rId18" w:history="1">
        <w:r w:rsidRPr="00BB1E24">
          <w:rPr>
            <w:rStyle w:val="Hyperlink"/>
            <w:sz w:val="22"/>
            <w:szCs w:val="22"/>
          </w:rPr>
          <w:t>here</w:t>
        </w:r>
      </w:hyperlink>
      <w:r>
        <w:rPr>
          <w:rStyle w:val="Hyperlink"/>
          <w:sz w:val="22"/>
          <w:szCs w:val="22"/>
        </w:rPr>
        <w:t>.</w:t>
      </w:r>
    </w:p>
    <w:p w:rsidR="00442F45" w:rsidRDefault="00442F45" w:rsidP="006F3AB5">
      <w:pPr>
        <w:jc w:val="both"/>
        <w:rPr>
          <w:sz w:val="22"/>
          <w:szCs w:val="22"/>
        </w:rPr>
      </w:pPr>
    </w:p>
    <w:p w:rsidR="00A82907" w:rsidRDefault="00270BE6" w:rsidP="006F3AB5">
      <w:pPr>
        <w:jc w:val="both"/>
        <w:rPr>
          <w:sz w:val="22"/>
          <w:szCs w:val="22"/>
        </w:rPr>
      </w:pPr>
      <w:r>
        <w:rPr>
          <w:sz w:val="22"/>
          <w:szCs w:val="22"/>
        </w:rPr>
        <w:t>9.3</w:t>
      </w:r>
      <w:r w:rsidR="00442F45">
        <w:rPr>
          <w:sz w:val="22"/>
          <w:szCs w:val="22"/>
        </w:rPr>
        <w:t xml:space="preserve"> </w:t>
      </w:r>
      <w:r w:rsidR="00A82907" w:rsidRPr="00496D5B">
        <w:rPr>
          <w:sz w:val="22"/>
          <w:szCs w:val="22"/>
        </w:rPr>
        <w:t>It is anticipated that the Schools Forum will make its final recommendations on 201</w:t>
      </w:r>
      <w:r w:rsidR="00CE5485">
        <w:rPr>
          <w:sz w:val="22"/>
          <w:szCs w:val="22"/>
        </w:rPr>
        <w:t>8/19</w:t>
      </w:r>
      <w:r w:rsidR="00496D5B">
        <w:rPr>
          <w:sz w:val="22"/>
          <w:szCs w:val="22"/>
        </w:rPr>
        <w:t xml:space="preserve"> arrangements on Wednesday </w:t>
      </w:r>
      <w:r w:rsidR="00CE5485">
        <w:rPr>
          <w:sz w:val="22"/>
          <w:szCs w:val="22"/>
        </w:rPr>
        <w:t>10 January 2018</w:t>
      </w:r>
      <w:r w:rsidR="00A82907" w:rsidRPr="00496D5B">
        <w:rPr>
          <w:sz w:val="22"/>
          <w:szCs w:val="22"/>
        </w:rPr>
        <w:t>.</w:t>
      </w:r>
    </w:p>
    <w:p w:rsidR="00A75659" w:rsidRDefault="00A75659" w:rsidP="006F3AB5">
      <w:pPr>
        <w:jc w:val="both"/>
        <w:rPr>
          <w:sz w:val="22"/>
          <w:szCs w:val="22"/>
        </w:rPr>
      </w:pPr>
    </w:p>
    <w:p w:rsidR="00A82907" w:rsidRPr="00496D5B" w:rsidRDefault="00A82907" w:rsidP="006F3AB5">
      <w:pPr>
        <w:jc w:val="both"/>
        <w:rPr>
          <w:sz w:val="22"/>
          <w:szCs w:val="22"/>
        </w:rPr>
      </w:pPr>
    </w:p>
    <w:p w:rsidR="00A82907" w:rsidRPr="00270BE6" w:rsidRDefault="008B381E" w:rsidP="006F3AB5">
      <w:pPr>
        <w:jc w:val="both"/>
        <w:rPr>
          <w:b/>
          <w:bCs/>
          <w:color w:val="4F81BD" w:themeColor="accent1"/>
          <w:sz w:val="22"/>
          <w:szCs w:val="22"/>
        </w:rPr>
      </w:pPr>
      <w:r w:rsidRPr="00270BE6">
        <w:rPr>
          <w:b/>
          <w:bCs/>
          <w:color w:val="4F81BD" w:themeColor="accent1"/>
          <w:sz w:val="22"/>
          <w:szCs w:val="22"/>
        </w:rPr>
        <w:t>10</w:t>
      </w:r>
      <w:r w:rsidR="00A82907" w:rsidRPr="00270BE6">
        <w:rPr>
          <w:b/>
          <w:bCs/>
          <w:color w:val="4F81BD" w:themeColor="accent1"/>
          <w:sz w:val="22"/>
          <w:szCs w:val="22"/>
        </w:rPr>
        <w:t>.</w:t>
      </w:r>
      <w:r w:rsidR="00A82907" w:rsidRPr="00270BE6">
        <w:rPr>
          <w:b/>
          <w:bCs/>
          <w:color w:val="4F81BD" w:themeColor="accent1"/>
          <w:sz w:val="22"/>
          <w:szCs w:val="22"/>
        </w:rPr>
        <w:tab/>
        <w:t>Appendices</w:t>
      </w:r>
    </w:p>
    <w:p w:rsidR="00A82907" w:rsidRPr="00496D5B" w:rsidRDefault="00A82907" w:rsidP="006E6AEC">
      <w:pPr>
        <w:ind w:left="360"/>
        <w:jc w:val="both"/>
        <w:rPr>
          <w:sz w:val="22"/>
          <w:szCs w:val="22"/>
        </w:rPr>
      </w:pPr>
    </w:p>
    <w:p w:rsidR="00A82907" w:rsidRPr="00D2543B" w:rsidRDefault="00A82907" w:rsidP="00270BE6">
      <w:pPr>
        <w:jc w:val="both"/>
        <w:rPr>
          <w:sz w:val="22"/>
          <w:szCs w:val="22"/>
        </w:rPr>
      </w:pPr>
      <w:r w:rsidRPr="00D2543B">
        <w:rPr>
          <w:sz w:val="22"/>
          <w:szCs w:val="22"/>
        </w:rPr>
        <w:t xml:space="preserve">Appendix 1 – </w:t>
      </w:r>
      <w:r w:rsidR="00FF0D14" w:rsidRPr="00D2543B">
        <w:rPr>
          <w:sz w:val="22"/>
          <w:szCs w:val="22"/>
        </w:rPr>
        <w:t>Single Sheet</w:t>
      </w:r>
      <w:r w:rsidR="00FC4826" w:rsidRPr="00D2543B">
        <w:rPr>
          <w:sz w:val="22"/>
          <w:szCs w:val="22"/>
        </w:rPr>
        <w:t xml:space="preserve"> </w:t>
      </w:r>
      <w:r w:rsidRPr="00D2543B">
        <w:rPr>
          <w:sz w:val="22"/>
          <w:szCs w:val="22"/>
        </w:rPr>
        <w:t>Illustrative Formula</w:t>
      </w:r>
      <w:r w:rsidR="00D2543B">
        <w:rPr>
          <w:sz w:val="22"/>
          <w:szCs w:val="22"/>
        </w:rPr>
        <w:t xml:space="preserve"> Impact</w:t>
      </w:r>
      <w:r w:rsidRPr="00D2543B">
        <w:rPr>
          <w:sz w:val="22"/>
          <w:szCs w:val="22"/>
        </w:rPr>
        <w:t xml:space="preserve"> Modelling</w:t>
      </w:r>
      <w:r w:rsidR="00880D96">
        <w:rPr>
          <w:sz w:val="22"/>
          <w:szCs w:val="22"/>
        </w:rPr>
        <w:t xml:space="preserve"> (</w:t>
      </w:r>
      <w:r w:rsidR="00F02084">
        <w:rPr>
          <w:sz w:val="22"/>
          <w:szCs w:val="22"/>
        </w:rPr>
        <w:t>separate E</w:t>
      </w:r>
      <w:r w:rsidR="00880D96">
        <w:rPr>
          <w:sz w:val="22"/>
          <w:szCs w:val="22"/>
        </w:rPr>
        <w:t>xcel</w:t>
      </w:r>
      <w:r w:rsidR="00F02084">
        <w:rPr>
          <w:sz w:val="22"/>
          <w:szCs w:val="22"/>
        </w:rPr>
        <w:t xml:space="preserve"> file</w:t>
      </w:r>
      <w:r w:rsidR="00880D96">
        <w:rPr>
          <w:sz w:val="22"/>
          <w:szCs w:val="22"/>
        </w:rPr>
        <w:t>)</w:t>
      </w:r>
    </w:p>
    <w:p w:rsidR="00A82907" w:rsidRPr="00D2543B" w:rsidRDefault="00FC4826" w:rsidP="00270BE6">
      <w:pPr>
        <w:jc w:val="both"/>
        <w:rPr>
          <w:sz w:val="22"/>
          <w:szCs w:val="22"/>
        </w:rPr>
      </w:pPr>
      <w:r w:rsidRPr="00D2543B">
        <w:rPr>
          <w:sz w:val="22"/>
          <w:szCs w:val="22"/>
        </w:rPr>
        <w:t xml:space="preserve">Appendix 2 – </w:t>
      </w:r>
      <w:r w:rsidR="00FF0D14" w:rsidRPr="00D2543B">
        <w:rPr>
          <w:sz w:val="22"/>
          <w:szCs w:val="22"/>
        </w:rPr>
        <w:t>The difference between a 0% and minus 1.5% Minimum Funding Guarantee</w:t>
      </w:r>
      <w:r w:rsidR="00880D96">
        <w:rPr>
          <w:sz w:val="22"/>
          <w:szCs w:val="22"/>
        </w:rPr>
        <w:t xml:space="preserve"> (</w:t>
      </w:r>
      <w:r w:rsidR="00F02084">
        <w:rPr>
          <w:sz w:val="22"/>
          <w:szCs w:val="22"/>
        </w:rPr>
        <w:t>separate E</w:t>
      </w:r>
      <w:r w:rsidR="00880D96">
        <w:rPr>
          <w:sz w:val="22"/>
          <w:szCs w:val="22"/>
        </w:rPr>
        <w:t>xcel</w:t>
      </w:r>
      <w:r w:rsidR="00F02084">
        <w:rPr>
          <w:sz w:val="22"/>
          <w:szCs w:val="22"/>
        </w:rPr>
        <w:t xml:space="preserve"> file</w:t>
      </w:r>
      <w:r w:rsidR="00880D96">
        <w:rPr>
          <w:sz w:val="22"/>
          <w:szCs w:val="22"/>
        </w:rPr>
        <w:t>)</w:t>
      </w:r>
    </w:p>
    <w:p w:rsidR="00731F5B" w:rsidRPr="00D2543B" w:rsidRDefault="00FF0D14" w:rsidP="00270BE6">
      <w:pPr>
        <w:jc w:val="both"/>
        <w:rPr>
          <w:sz w:val="22"/>
          <w:szCs w:val="22"/>
        </w:rPr>
      </w:pPr>
      <w:r w:rsidRPr="00D2543B">
        <w:rPr>
          <w:sz w:val="22"/>
          <w:szCs w:val="22"/>
        </w:rPr>
        <w:t>Appendix 3</w:t>
      </w:r>
      <w:r w:rsidR="00731F5B" w:rsidRPr="00D2543B">
        <w:rPr>
          <w:sz w:val="22"/>
          <w:szCs w:val="22"/>
        </w:rPr>
        <w:t xml:space="preserve"> – Information on De-Delegated Funds</w:t>
      </w:r>
      <w:r w:rsidR="00F02084">
        <w:rPr>
          <w:sz w:val="22"/>
          <w:szCs w:val="22"/>
        </w:rPr>
        <w:t xml:space="preserve"> (attached at the end of this document)</w:t>
      </w:r>
    </w:p>
    <w:p w:rsidR="00A82907" w:rsidRPr="00D2543B" w:rsidRDefault="00FF0D14" w:rsidP="00270BE6">
      <w:pPr>
        <w:jc w:val="both"/>
        <w:rPr>
          <w:sz w:val="22"/>
          <w:szCs w:val="22"/>
        </w:rPr>
      </w:pPr>
      <w:r w:rsidRPr="00D2543B">
        <w:rPr>
          <w:sz w:val="22"/>
          <w:szCs w:val="22"/>
        </w:rPr>
        <w:t>Appendix 4</w:t>
      </w:r>
      <w:r w:rsidR="00A82907" w:rsidRPr="00D2543B">
        <w:rPr>
          <w:sz w:val="22"/>
          <w:szCs w:val="22"/>
        </w:rPr>
        <w:t xml:space="preserve"> – Consultation Responses Form</w:t>
      </w:r>
      <w:r w:rsidR="00F02084">
        <w:rPr>
          <w:sz w:val="22"/>
          <w:szCs w:val="22"/>
        </w:rPr>
        <w:t xml:space="preserve"> (attached at the end of this document)</w:t>
      </w:r>
    </w:p>
    <w:p w:rsidR="0066321F" w:rsidRPr="00D2543B" w:rsidRDefault="0066321F" w:rsidP="0066321F">
      <w:pPr>
        <w:jc w:val="both"/>
        <w:rPr>
          <w:sz w:val="22"/>
          <w:szCs w:val="22"/>
        </w:rPr>
      </w:pPr>
    </w:p>
    <w:p w:rsidR="0066321F" w:rsidRDefault="0066321F" w:rsidP="0066321F">
      <w:pPr>
        <w:jc w:val="both"/>
        <w:rPr>
          <w:sz w:val="22"/>
          <w:szCs w:val="22"/>
        </w:rPr>
      </w:pPr>
    </w:p>
    <w:p w:rsidR="0066321F" w:rsidRDefault="0066321F" w:rsidP="0066321F">
      <w:pPr>
        <w:jc w:val="both"/>
        <w:rPr>
          <w:sz w:val="22"/>
          <w:szCs w:val="22"/>
        </w:rPr>
      </w:pPr>
    </w:p>
    <w:p w:rsidR="0023404C" w:rsidRDefault="0023404C">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F02084" w:rsidRDefault="00F02084">
      <w:pPr>
        <w:rPr>
          <w:b/>
          <w:sz w:val="22"/>
          <w:szCs w:val="22"/>
        </w:rPr>
      </w:pPr>
    </w:p>
    <w:p w:rsidR="009143C7" w:rsidRDefault="009143C7" w:rsidP="00F02084">
      <w:pPr>
        <w:jc w:val="both"/>
        <w:rPr>
          <w:b/>
          <w:sz w:val="22"/>
          <w:szCs w:val="22"/>
        </w:rPr>
      </w:pPr>
    </w:p>
    <w:p w:rsidR="00F02084" w:rsidRPr="00396CC9" w:rsidRDefault="00F02084" w:rsidP="00F02084">
      <w:pPr>
        <w:jc w:val="both"/>
        <w:rPr>
          <w:b/>
          <w:sz w:val="22"/>
          <w:szCs w:val="22"/>
          <w:u w:val="single"/>
        </w:rPr>
      </w:pPr>
      <w:r>
        <w:rPr>
          <w:b/>
          <w:sz w:val="22"/>
          <w:szCs w:val="22"/>
          <w:u w:val="single"/>
        </w:rPr>
        <w:lastRenderedPageBreak/>
        <w:t>Appendix 3: Purpose of E</w:t>
      </w:r>
      <w:r w:rsidRPr="00396CC9">
        <w:rPr>
          <w:b/>
          <w:sz w:val="22"/>
          <w:szCs w:val="22"/>
          <w:u w:val="single"/>
        </w:rPr>
        <w:t>ach De-De</w:t>
      </w:r>
      <w:r>
        <w:rPr>
          <w:b/>
          <w:sz w:val="22"/>
          <w:szCs w:val="22"/>
          <w:u w:val="single"/>
        </w:rPr>
        <w:t>legated Fund Retained in 2017/18</w:t>
      </w:r>
    </w:p>
    <w:p w:rsidR="00F02084" w:rsidRDefault="00F02084" w:rsidP="00F02084">
      <w:pPr>
        <w:pStyle w:val="ListParagraph"/>
        <w:ind w:left="360"/>
        <w:jc w:val="both"/>
        <w:rPr>
          <w:b/>
          <w:sz w:val="22"/>
          <w:szCs w:val="22"/>
        </w:rPr>
      </w:pP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t>ESBD School Support Team</w:t>
      </w:r>
      <w:r>
        <w:rPr>
          <w:b/>
          <w:sz w:val="22"/>
          <w:szCs w:val="22"/>
        </w:rPr>
        <w:t xml:space="preserve"> (Primary Schools only)</w:t>
      </w:r>
      <w:r w:rsidRPr="00396CC9">
        <w:rPr>
          <w:b/>
          <w:sz w:val="22"/>
          <w:szCs w:val="22"/>
        </w:rPr>
        <w:t xml:space="preserve">: </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As a specialist teaching support service, the ESBD Service provides:</w:t>
      </w:r>
    </w:p>
    <w:p w:rsidR="00F02084" w:rsidRPr="00396CC9" w:rsidRDefault="00F02084" w:rsidP="00F02084">
      <w:pPr>
        <w:numPr>
          <w:ilvl w:val="0"/>
          <w:numId w:val="35"/>
        </w:numPr>
        <w:jc w:val="both"/>
        <w:rPr>
          <w:sz w:val="22"/>
          <w:szCs w:val="22"/>
        </w:rPr>
      </w:pPr>
      <w:r w:rsidRPr="00396CC9">
        <w:rPr>
          <w:sz w:val="22"/>
          <w:szCs w:val="22"/>
        </w:rPr>
        <w:t>Experienced teaching and Inclusion Mentor staff, who offer practical support, advice and strategies to Primary school colleagues, in meeting the needs of pupils presenting with the most challenging behaviours</w:t>
      </w:r>
    </w:p>
    <w:p w:rsidR="00F02084" w:rsidRPr="00396CC9" w:rsidRDefault="00F02084" w:rsidP="00F02084">
      <w:pPr>
        <w:numPr>
          <w:ilvl w:val="0"/>
          <w:numId w:val="35"/>
        </w:numPr>
        <w:jc w:val="both"/>
        <w:rPr>
          <w:sz w:val="22"/>
          <w:szCs w:val="22"/>
        </w:rPr>
      </w:pPr>
      <w:r w:rsidRPr="00396CC9">
        <w:rPr>
          <w:sz w:val="22"/>
          <w:szCs w:val="22"/>
        </w:rPr>
        <w:t>Support to schools to develop their understanding of social and emotional behaviour, and the management of pupils experiencing difficulties. Wherever possible advice is given on the development of systems and skills that increase the capacity of the school to respond to issues in the future</w:t>
      </w:r>
    </w:p>
    <w:p w:rsidR="00F02084" w:rsidRPr="00396CC9" w:rsidRDefault="00F02084" w:rsidP="00F02084">
      <w:pPr>
        <w:numPr>
          <w:ilvl w:val="0"/>
          <w:numId w:val="35"/>
        </w:numPr>
        <w:jc w:val="both"/>
        <w:rPr>
          <w:sz w:val="22"/>
          <w:szCs w:val="22"/>
        </w:rPr>
      </w:pPr>
      <w:r w:rsidRPr="00396CC9">
        <w:rPr>
          <w:sz w:val="22"/>
          <w:szCs w:val="22"/>
        </w:rPr>
        <w:t>Peripatetic Inclusion Mentors, who work under the direction of specialist teachers to offer intensive, time-limited, focused support and training for staff dealing with ESBD</w:t>
      </w:r>
    </w:p>
    <w:p w:rsidR="00F02084" w:rsidRPr="00396CC9" w:rsidRDefault="00F02084" w:rsidP="00F02084">
      <w:pPr>
        <w:numPr>
          <w:ilvl w:val="0"/>
          <w:numId w:val="35"/>
        </w:numPr>
        <w:jc w:val="both"/>
        <w:rPr>
          <w:sz w:val="22"/>
          <w:szCs w:val="22"/>
        </w:rPr>
      </w:pPr>
      <w:r w:rsidRPr="00396CC9">
        <w:rPr>
          <w:sz w:val="22"/>
          <w:szCs w:val="22"/>
        </w:rPr>
        <w:t>A range of bespoke training</w:t>
      </w:r>
    </w:p>
    <w:p w:rsidR="00F02084" w:rsidRPr="00396CC9" w:rsidRDefault="00F02084" w:rsidP="00F02084">
      <w:pPr>
        <w:jc w:val="both"/>
        <w:rPr>
          <w:sz w:val="22"/>
          <w:szCs w:val="22"/>
        </w:rPr>
      </w:pPr>
    </w:p>
    <w:p w:rsidR="00F02084" w:rsidRPr="009143C7" w:rsidRDefault="00F02084" w:rsidP="009143C7">
      <w:pPr>
        <w:spacing w:after="200" w:line="276" w:lineRule="auto"/>
        <w:jc w:val="both"/>
        <w:rPr>
          <w:sz w:val="22"/>
          <w:szCs w:val="22"/>
        </w:rPr>
      </w:pPr>
      <w:r w:rsidRPr="00F00619">
        <w:rPr>
          <w:sz w:val="22"/>
          <w:szCs w:val="22"/>
        </w:rPr>
        <w:t xml:space="preserve">Within the SEND review and consultation, the ESBD School Support Team is proposed to amalgamate into the Authority’s single traded support offer for specialist teaching services. As such, subject to the outcomes of the consultation, separate de-delegation is </w:t>
      </w:r>
      <w:r>
        <w:rPr>
          <w:sz w:val="22"/>
          <w:szCs w:val="22"/>
        </w:rPr>
        <w:t xml:space="preserve">may cease. Maintained schools will have the choice to buy into these services directly. Primary schools that choose not to buy in </w:t>
      </w:r>
      <w:r w:rsidRPr="00396CC9">
        <w:rPr>
          <w:sz w:val="22"/>
          <w:szCs w:val="22"/>
        </w:rPr>
        <w:t xml:space="preserve">will need to replace these services from their own resources, for example, by directly employing specialist staff, or by purchasing </w:t>
      </w:r>
      <w:r>
        <w:rPr>
          <w:sz w:val="22"/>
          <w:szCs w:val="22"/>
        </w:rPr>
        <w:t xml:space="preserve">other </w:t>
      </w:r>
      <w:r w:rsidRPr="00396CC9">
        <w:rPr>
          <w:sz w:val="22"/>
          <w:szCs w:val="22"/>
        </w:rPr>
        <w:t>services, on an individual basis or as a cluster of schools</w:t>
      </w:r>
      <w:r>
        <w:rPr>
          <w:sz w:val="22"/>
          <w:szCs w:val="22"/>
        </w:rPr>
        <w:t>.</w:t>
      </w: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t xml:space="preserve">FSM Eligibility Assessments: </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This fund covers the work the Local Authority’s Benefits Team does in relation to Free School Meals eligibility for pupils in schools. It covers staffing and ICT costs associated with:</w:t>
      </w:r>
    </w:p>
    <w:p w:rsidR="00F02084" w:rsidRPr="00396CC9" w:rsidRDefault="00F02084" w:rsidP="00F02084">
      <w:pPr>
        <w:numPr>
          <w:ilvl w:val="0"/>
          <w:numId w:val="36"/>
        </w:numPr>
        <w:jc w:val="both"/>
        <w:rPr>
          <w:sz w:val="22"/>
          <w:szCs w:val="22"/>
        </w:rPr>
      </w:pPr>
      <w:r w:rsidRPr="00396CC9">
        <w:rPr>
          <w:sz w:val="22"/>
          <w:szCs w:val="22"/>
        </w:rPr>
        <w:t>The processing of all applications for FSM  for all maintained schools</w:t>
      </w:r>
    </w:p>
    <w:p w:rsidR="00F02084" w:rsidRPr="00396CC9" w:rsidRDefault="00F02084" w:rsidP="00F02084">
      <w:pPr>
        <w:numPr>
          <w:ilvl w:val="0"/>
          <w:numId w:val="36"/>
        </w:numPr>
        <w:jc w:val="both"/>
        <w:rPr>
          <w:sz w:val="22"/>
          <w:szCs w:val="22"/>
        </w:rPr>
      </w:pPr>
      <w:r w:rsidRPr="00396CC9">
        <w:rPr>
          <w:sz w:val="22"/>
          <w:szCs w:val="22"/>
        </w:rPr>
        <w:t>Checking &amp; verifying claims, notifying parents of successful and unsuccessful claims</w:t>
      </w:r>
    </w:p>
    <w:p w:rsidR="00F02084" w:rsidRPr="00396CC9" w:rsidRDefault="00F02084" w:rsidP="00F02084">
      <w:pPr>
        <w:numPr>
          <w:ilvl w:val="0"/>
          <w:numId w:val="36"/>
        </w:numPr>
        <w:jc w:val="both"/>
        <w:rPr>
          <w:sz w:val="22"/>
          <w:szCs w:val="22"/>
        </w:rPr>
      </w:pPr>
      <w:r w:rsidRPr="00396CC9">
        <w:rPr>
          <w:sz w:val="22"/>
          <w:szCs w:val="22"/>
        </w:rPr>
        <w:t>Notifying schools of successful claims and changes to existing claims</w:t>
      </w:r>
    </w:p>
    <w:p w:rsidR="00F02084" w:rsidRPr="00396CC9" w:rsidRDefault="00F02084" w:rsidP="00F02084">
      <w:pPr>
        <w:numPr>
          <w:ilvl w:val="0"/>
          <w:numId w:val="36"/>
        </w:numPr>
        <w:jc w:val="both"/>
        <w:rPr>
          <w:sz w:val="22"/>
          <w:szCs w:val="22"/>
        </w:rPr>
      </w:pPr>
      <w:r w:rsidRPr="00396CC9">
        <w:rPr>
          <w:sz w:val="22"/>
          <w:szCs w:val="22"/>
        </w:rPr>
        <w:t>Assisting schools with eligibility, take up and administrative issues &amp; providing guidance</w:t>
      </w:r>
    </w:p>
    <w:p w:rsidR="00F02084" w:rsidRPr="00396CC9" w:rsidRDefault="00F02084" w:rsidP="00F02084">
      <w:pPr>
        <w:numPr>
          <w:ilvl w:val="0"/>
          <w:numId w:val="36"/>
        </w:numPr>
        <w:jc w:val="both"/>
        <w:rPr>
          <w:sz w:val="22"/>
          <w:szCs w:val="22"/>
        </w:rPr>
      </w:pPr>
      <w:r w:rsidRPr="00396CC9">
        <w:rPr>
          <w:sz w:val="22"/>
          <w:szCs w:val="22"/>
        </w:rPr>
        <w:t>Promoting maximum take up of FSM eligibility, including cross checking pupil FSM data with other Authority benefits systems</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w:t>
      </w:r>
      <w:r>
        <w:rPr>
          <w:sz w:val="22"/>
          <w:szCs w:val="22"/>
        </w:rPr>
        <w:t>legated fund is not held in 2018/19</w:t>
      </w:r>
      <w:r w:rsidRPr="00396CC9">
        <w:rPr>
          <w:sz w:val="22"/>
          <w:szCs w:val="22"/>
        </w:rPr>
        <w:t>, schools will either need to undertake FSM assessment themselves or purchase services</w:t>
      </w:r>
      <w:r>
        <w:rPr>
          <w:sz w:val="22"/>
          <w:szCs w:val="22"/>
        </w:rPr>
        <w:t>. The Local Authority offers a traded service.</w:t>
      </w:r>
    </w:p>
    <w:p w:rsidR="00F02084" w:rsidRPr="00396CC9" w:rsidRDefault="00F02084" w:rsidP="00F02084">
      <w:pPr>
        <w:jc w:val="both"/>
        <w:rPr>
          <w:sz w:val="22"/>
          <w:szCs w:val="22"/>
        </w:rPr>
      </w:pP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t xml:space="preserve"> Fischer Family Trust – School Licences: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This fund pays for 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 these estimates have come to be held in high regard and the work of the FFT is valued by schools and local authorities. Government funding for the FFT was withdrawn at March 2012. As a consequence, the FFT restructured their pricing and data access policies. The purchasing of the data through the Local Authority offers significant savings.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Default="00F02084" w:rsidP="00F02084">
      <w:pPr>
        <w:jc w:val="both"/>
        <w:rPr>
          <w:sz w:val="22"/>
          <w:szCs w:val="22"/>
        </w:rPr>
      </w:pPr>
      <w:r w:rsidRPr="00396CC9">
        <w:rPr>
          <w:sz w:val="22"/>
          <w:szCs w:val="22"/>
        </w:rPr>
        <w:t>If this de-de</w:t>
      </w:r>
      <w:r>
        <w:rPr>
          <w:sz w:val="22"/>
          <w:szCs w:val="22"/>
        </w:rPr>
        <w:t>legated fund is not held in 2018/19</w:t>
      </w:r>
      <w:r w:rsidRPr="00396CC9">
        <w:rPr>
          <w:sz w:val="22"/>
          <w:szCs w:val="22"/>
        </w:rPr>
        <w:t xml:space="preserve">, maintained schools will need to purchase their own licences to access FFT data, on an individual basis or as a cluster of schools. </w:t>
      </w:r>
    </w:p>
    <w:p w:rsidR="009143C7" w:rsidRDefault="009143C7" w:rsidP="00F02084">
      <w:pPr>
        <w:jc w:val="both"/>
        <w:rPr>
          <w:sz w:val="22"/>
          <w:szCs w:val="22"/>
        </w:rPr>
      </w:pPr>
    </w:p>
    <w:p w:rsidR="009143C7" w:rsidRDefault="009143C7" w:rsidP="00F02084">
      <w:pPr>
        <w:jc w:val="both"/>
        <w:rPr>
          <w:sz w:val="22"/>
          <w:szCs w:val="22"/>
        </w:rPr>
      </w:pPr>
    </w:p>
    <w:p w:rsidR="009143C7" w:rsidRDefault="009143C7" w:rsidP="00F02084">
      <w:pPr>
        <w:jc w:val="both"/>
        <w:rPr>
          <w:sz w:val="22"/>
          <w:szCs w:val="22"/>
        </w:rPr>
      </w:pPr>
    </w:p>
    <w:p w:rsidR="00F02084" w:rsidRPr="00396CC9" w:rsidRDefault="00F02084" w:rsidP="00F02084">
      <w:pPr>
        <w:jc w:val="both"/>
        <w:rPr>
          <w:sz w:val="22"/>
          <w:szCs w:val="22"/>
        </w:rPr>
      </w:pP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lastRenderedPageBreak/>
        <w:t>School Maternity / Paternity ‘insurance’</w:t>
      </w:r>
      <w:r>
        <w:rPr>
          <w:b/>
          <w:sz w:val="22"/>
          <w:szCs w:val="22"/>
        </w:rPr>
        <w:t xml:space="preserve"> (Primary and Nursery Schools only)</w:t>
      </w:r>
      <w:r w:rsidRPr="00396CC9">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This fund has historically acted as an ‘insurance’ pot, where schools are reimbursed for the costs of the salaries of staff on maternity / paternity leave, so that the cost of cover / supply arrangements can be afforded from the school’s budget. The Schools Forum has discussed the delegation of this pot to schools on a number of occasions over the last ten years or so, and has always concluded that the protection this centrally managed fund offers, especially to smaller schools, against the disproportionate and unpredictable nature of maternity / costs is vital.</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during 2017/18. De-delegation will not take place during 2018/19.</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de-delegated fund is not held in 201</w:t>
      </w:r>
      <w:r>
        <w:rPr>
          <w:sz w:val="22"/>
          <w:szCs w:val="22"/>
        </w:rPr>
        <w:t>8/19</w:t>
      </w:r>
      <w:r w:rsidRPr="00396CC9">
        <w:rPr>
          <w:sz w:val="22"/>
          <w:szCs w:val="22"/>
        </w:rPr>
        <w:t xml:space="preserve">, maintained </w:t>
      </w:r>
      <w:r>
        <w:rPr>
          <w:sz w:val="22"/>
          <w:szCs w:val="22"/>
        </w:rPr>
        <w:t xml:space="preserve">primary and nursery </w:t>
      </w:r>
      <w:r w:rsidRPr="00396CC9">
        <w:rPr>
          <w:sz w:val="22"/>
          <w:szCs w:val="22"/>
        </w:rPr>
        <w:t xml:space="preserve">schools will not be reimbursed for the salary cost of staff on maternity / paternity leave and would have to make alternative arrangements to manage this cost, for example, by including maternity cover within the school’s supply insurance arrangements or by working in clusters to share the cost of staffing cover. </w:t>
      </w:r>
    </w:p>
    <w:p w:rsidR="00F02084" w:rsidRPr="00396CC9" w:rsidRDefault="00F02084" w:rsidP="00F02084">
      <w:pPr>
        <w:jc w:val="both"/>
        <w:rPr>
          <w:sz w:val="22"/>
          <w:szCs w:val="22"/>
        </w:rPr>
      </w:pP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t>Trade Union Facilities Time:</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F02084" w:rsidRPr="00396CC9" w:rsidRDefault="00F02084" w:rsidP="00F02084">
      <w:pPr>
        <w:numPr>
          <w:ilvl w:val="0"/>
          <w:numId w:val="37"/>
        </w:numPr>
        <w:jc w:val="both"/>
        <w:rPr>
          <w:sz w:val="22"/>
          <w:szCs w:val="22"/>
        </w:rPr>
      </w:pPr>
      <w:r w:rsidRPr="00396CC9">
        <w:rPr>
          <w:sz w:val="22"/>
          <w:szCs w:val="22"/>
        </w:rPr>
        <w:t xml:space="preserve">Teacher Trade Unions - NUT, NASUWT, ATL, ASCL, NAHT, VOICE, and </w:t>
      </w:r>
    </w:p>
    <w:p w:rsidR="00F02084" w:rsidRPr="00396CC9" w:rsidRDefault="00F02084" w:rsidP="00F02084">
      <w:pPr>
        <w:numPr>
          <w:ilvl w:val="0"/>
          <w:numId w:val="37"/>
        </w:numPr>
        <w:jc w:val="both"/>
        <w:rPr>
          <w:sz w:val="22"/>
          <w:szCs w:val="22"/>
        </w:rPr>
      </w:pPr>
      <w:r w:rsidRPr="00396CC9">
        <w:rPr>
          <w:sz w:val="22"/>
          <w:szCs w:val="22"/>
        </w:rPr>
        <w:t>The Trade Unions representing support and other professional school staff – UNISON, GMB and UNITE</w:t>
      </w:r>
    </w:p>
    <w:p w:rsidR="00F02084" w:rsidRPr="00396CC9" w:rsidRDefault="00F02084" w:rsidP="00F02084">
      <w:pPr>
        <w:jc w:val="both"/>
        <w:rPr>
          <w:sz w:val="22"/>
          <w:szCs w:val="22"/>
        </w:rPr>
      </w:pPr>
    </w:p>
    <w:p w:rsidR="00F02084" w:rsidRPr="0077345B" w:rsidRDefault="00F02084" w:rsidP="00F02084">
      <w:pPr>
        <w:jc w:val="both"/>
        <w:rPr>
          <w:sz w:val="22"/>
          <w:szCs w:val="22"/>
        </w:rPr>
      </w:pPr>
      <w:r w:rsidRPr="00396CC9">
        <w:rPr>
          <w:sz w:val="22"/>
          <w:szCs w:val="22"/>
        </w:rPr>
        <w:t xml:space="preserve">To meet this obligation, the Council has agreed to release a number of staff for part or all of their time from their school duties to carry out their duties as elected lay officials. This applies to the recognised trade unions in schools with significant membership. Historically the agreed ratio for facility time has </w:t>
      </w:r>
      <w:r w:rsidRPr="0077345B">
        <w:rPr>
          <w:sz w:val="22"/>
          <w:szCs w:val="22"/>
        </w:rPr>
        <w:t>been 1 day per 400 members, which has been used as a mutually acceptable, in principle, starting point for the joint management and trade union discussions. Current Facility Time arrangements with respect to School Employees are:</w:t>
      </w:r>
    </w:p>
    <w:p w:rsidR="00F02084" w:rsidRPr="0077345B" w:rsidRDefault="00F02084" w:rsidP="00F02084">
      <w:pPr>
        <w:numPr>
          <w:ilvl w:val="0"/>
          <w:numId w:val="38"/>
        </w:numPr>
        <w:jc w:val="both"/>
        <w:rPr>
          <w:sz w:val="22"/>
          <w:szCs w:val="22"/>
        </w:rPr>
      </w:pPr>
      <w:r w:rsidRPr="0077345B">
        <w:rPr>
          <w:sz w:val="22"/>
          <w:szCs w:val="22"/>
        </w:rPr>
        <w:t>NUT has 2.1 FTE lay officials (10.5 days per week)</w:t>
      </w:r>
    </w:p>
    <w:p w:rsidR="00F02084" w:rsidRPr="0077345B" w:rsidRDefault="00F02084" w:rsidP="00F02084">
      <w:pPr>
        <w:numPr>
          <w:ilvl w:val="0"/>
          <w:numId w:val="38"/>
        </w:numPr>
        <w:jc w:val="both"/>
        <w:rPr>
          <w:sz w:val="22"/>
          <w:szCs w:val="22"/>
        </w:rPr>
      </w:pPr>
      <w:r w:rsidRPr="0077345B">
        <w:rPr>
          <w:sz w:val="22"/>
          <w:szCs w:val="22"/>
        </w:rPr>
        <w:t>NASUWT has 1.8 FTE lay officials (9 days per week)</w:t>
      </w:r>
    </w:p>
    <w:p w:rsidR="00F02084" w:rsidRPr="0077345B" w:rsidRDefault="00F02084" w:rsidP="00F02084">
      <w:pPr>
        <w:numPr>
          <w:ilvl w:val="0"/>
          <w:numId w:val="38"/>
        </w:numPr>
        <w:jc w:val="both"/>
        <w:rPr>
          <w:sz w:val="22"/>
          <w:szCs w:val="22"/>
        </w:rPr>
      </w:pPr>
      <w:r w:rsidRPr="0077345B">
        <w:rPr>
          <w:sz w:val="22"/>
          <w:szCs w:val="22"/>
        </w:rPr>
        <w:t>ATL has 1 FTE lay official (5 days per week)</w:t>
      </w:r>
    </w:p>
    <w:p w:rsidR="00F02084" w:rsidRPr="0077345B" w:rsidRDefault="00F02084" w:rsidP="00F02084">
      <w:pPr>
        <w:numPr>
          <w:ilvl w:val="0"/>
          <w:numId w:val="38"/>
        </w:numPr>
        <w:jc w:val="both"/>
        <w:rPr>
          <w:sz w:val="22"/>
          <w:szCs w:val="22"/>
        </w:rPr>
      </w:pPr>
      <w:r w:rsidRPr="0077345B">
        <w:rPr>
          <w:sz w:val="22"/>
          <w:szCs w:val="22"/>
        </w:rPr>
        <w:t>NAHT has 0.4 FTE lay official (2 days per week)</w:t>
      </w:r>
    </w:p>
    <w:p w:rsidR="00F02084" w:rsidRPr="0077345B" w:rsidRDefault="00F02084" w:rsidP="00F02084">
      <w:pPr>
        <w:numPr>
          <w:ilvl w:val="0"/>
          <w:numId w:val="38"/>
        </w:numPr>
        <w:jc w:val="both"/>
        <w:rPr>
          <w:sz w:val="22"/>
          <w:szCs w:val="22"/>
        </w:rPr>
      </w:pPr>
      <w:r w:rsidRPr="0077345B">
        <w:rPr>
          <w:sz w:val="22"/>
          <w:szCs w:val="22"/>
        </w:rPr>
        <w:t>UNISON has 1.3 FTE lay officials (6.5 days per week)</w:t>
      </w:r>
    </w:p>
    <w:p w:rsidR="00F02084" w:rsidRPr="0077345B" w:rsidRDefault="00F02084" w:rsidP="00F02084">
      <w:pPr>
        <w:numPr>
          <w:ilvl w:val="0"/>
          <w:numId w:val="38"/>
        </w:numPr>
        <w:jc w:val="both"/>
        <w:rPr>
          <w:sz w:val="22"/>
          <w:szCs w:val="22"/>
        </w:rPr>
      </w:pPr>
      <w:r w:rsidRPr="0077345B">
        <w:rPr>
          <w:sz w:val="22"/>
          <w:szCs w:val="22"/>
        </w:rPr>
        <w:t>GMB has 0.6 FTE lay officials (3 days per week)</w:t>
      </w:r>
    </w:p>
    <w:p w:rsidR="00F02084" w:rsidRPr="0077345B" w:rsidRDefault="00F02084" w:rsidP="00F02084">
      <w:pPr>
        <w:numPr>
          <w:ilvl w:val="0"/>
          <w:numId w:val="38"/>
        </w:numPr>
        <w:jc w:val="both"/>
        <w:rPr>
          <w:sz w:val="22"/>
          <w:szCs w:val="22"/>
        </w:rPr>
      </w:pPr>
      <w:r w:rsidRPr="0077345B">
        <w:rPr>
          <w:sz w:val="22"/>
          <w:szCs w:val="22"/>
        </w:rPr>
        <w:t>ASCL has 0.1 FTE lay official (1 day a fortnight)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w:t>
      </w:r>
      <w:r>
        <w:rPr>
          <w:sz w:val="22"/>
          <w:szCs w:val="22"/>
        </w:rPr>
        <w:t>legated fund is not held in 2018/19</w:t>
      </w:r>
      <w:r w:rsidRPr="00396CC9">
        <w:rPr>
          <w:sz w:val="22"/>
          <w:szCs w:val="22"/>
        </w:rPr>
        <w:t>, individual 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F02084" w:rsidRPr="00396CC9" w:rsidRDefault="00F02084" w:rsidP="00F02084">
      <w:pPr>
        <w:jc w:val="both"/>
        <w:rPr>
          <w:sz w:val="22"/>
          <w:szCs w:val="22"/>
        </w:rPr>
      </w:pP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t>T</w:t>
      </w:r>
      <w:r>
        <w:rPr>
          <w:b/>
          <w:sz w:val="22"/>
          <w:szCs w:val="22"/>
        </w:rPr>
        <w:t>rade Union Health and Safety Facilities</w:t>
      </w:r>
      <w:r w:rsidRPr="00396CC9">
        <w:rPr>
          <w:b/>
          <w:sz w:val="22"/>
          <w:szCs w:val="22"/>
        </w:rPr>
        <w:t xml:space="preserve"> Time</w:t>
      </w:r>
      <w:r w:rsidR="009143C7">
        <w:rPr>
          <w:b/>
          <w:sz w:val="22"/>
          <w:szCs w:val="22"/>
        </w:rPr>
        <w:t>:</w:t>
      </w:r>
    </w:p>
    <w:p w:rsidR="00F02084" w:rsidRPr="00396CC9" w:rsidRDefault="00F02084" w:rsidP="00F02084">
      <w:pPr>
        <w:jc w:val="both"/>
        <w:rPr>
          <w:sz w:val="22"/>
          <w:szCs w:val="22"/>
        </w:rPr>
      </w:pPr>
    </w:p>
    <w:p w:rsidR="00F02084" w:rsidRPr="00EB6C79" w:rsidRDefault="00F02084" w:rsidP="00F02084">
      <w:pPr>
        <w:jc w:val="both"/>
        <w:rPr>
          <w:sz w:val="22"/>
          <w:szCs w:val="22"/>
        </w:rPr>
      </w:pPr>
      <w:r w:rsidRPr="00396CC9">
        <w:rPr>
          <w:sz w:val="22"/>
          <w:szCs w:val="22"/>
        </w:rPr>
        <w:t>In order to comply with the letter and the spirit of the Health and Safety Regulati</w:t>
      </w:r>
      <w:r>
        <w:rPr>
          <w:sz w:val="22"/>
          <w:szCs w:val="22"/>
        </w:rPr>
        <w:t>ons, the Council and the</w:t>
      </w:r>
      <w:r w:rsidRPr="00396CC9">
        <w:rPr>
          <w:sz w:val="22"/>
          <w:szCs w:val="22"/>
        </w:rPr>
        <w:t xml:space="preserve"> Trade Union Health and Safety Lay Representatives in Bradford made a Health and Safety Agreement in 1989. </w:t>
      </w:r>
      <w:r>
        <w:rPr>
          <w:sz w:val="22"/>
          <w:szCs w:val="22"/>
        </w:rPr>
        <w:t>The amount of time funded by the DSG based was significantly reduced by the Schools Forum at April 2015, following review with the Unions. Nominated accredited Trade Union and</w:t>
      </w:r>
      <w:r w:rsidRPr="00396CC9">
        <w:rPr>
          <w:sz w:val="22"/>
          <w:szCs w:val="22"/>
        </w:rPr>
        <w:t xml:space="preserve"> lay He</w:t>
      </w:r>
      <w:r>
        <w:rPr>
          <w:sz w:val="22"/>
          <w:szCs w:val="22"/>
        </w:rPr>
        <w:t>alth and Safety representatives</w:t>
      </w:r>
      <w:r w:rsidRPr="00396CC9">
        <w:rPr>
          <w:sz w:val="22"/>
          <w:szCs w:val="22"/>
        </w:rPr>
        <w:t xml:space="preserve"> </w:t>
      </w:r>
      <w:r>
        <w:rPr>
          <w:sz w:val="22"/>
          <w:szCs w:val="22"/>
        </w:rPr>
        <w:t xml:space="preserve">continue to </w:t>
      </w:r>
      <w:r w:rsidRPr="00396CC9">
        <w:rPr>
          <w:sz w:val="22"/>
          <w:szCs w:val="22"/>
        </w:rPr>
        <w:t xml:space="preserve">carry out Health and Safety inspections in schools and are released for all or part of their time from their school responsibilities to carry out these duties. A </w:t>
      </w:r>
      <w:r>
        <w:rPr>
          <w:sz w:val="22"/>
          <w:szCs w:val="22"/>
        </w:rPr>
        <w:t>number of days per year are allocated for</w:t>
      </w:r>
      <w:r w:rsidRPr="00396CC9">
        <w:rPr>
          <w:sz w:val="22"/>
          <w:szCs w:val="22"/>
        </w:rPr>
        <w:t xml:space="preserve"> the </w:t>
      </w:r>
      <w:r>
        <w:rPr>
          <w:sz w:val="22"/>
          <w:szCs w:val="22"/>
        </w:rPr>
        <w:t>Safety R</w:t>
      </w:r>
      <w:r w:rsidRPr="00396CC9">
        <w:rPr>
          <w:sz w:val="22"/>
          <w:szCs w:val="22"/>
        </w:rPr>
        <w:t xml:space="preserve">epresentatives to carry out inspections and this </w:t>
      </w:r>
      <w:r>
        <w:rPr>
          <w:sz w:val="22"/>
          <w:szCs w:val="22"/>
        </w:rPr>
        <w:t>includes appropriate training. In addition, the</w:t>
      </w:r>
      <w:r w:rsidRPr="00396CC9">
        <w:rPr>
          <w:sz w:val="22"/>
          <w:szCs w:val="22"/>
        </w:rPr>
        <w:t xml:space="preserve"> Safety Representatives carry out site management visits in relation to building work and work with the Council’s Health and Well Being Team on occupational matters, such as stress and undertake the role of investigating accidents, disease and other medical matters.  There is a trade union Health and Safety web-site, which is password protected but shared with the relevant Council Safety Officers.</w:t>
      </w:r>
      <w:r>
        <w:rPr>
          <w:sz w:val="22"/>
          <w:szCs w:val="22"/>
        </w:rPr>
        <w:t xml:space="preserve"> </w:t>
      </w:r>
      <w:r w:rsidRPr="00EB6C79">
        <w:rPr>
          <w:sz w:val="22"/>
          <w:szCs w:val="22"/>
        </w:rPr>
        <w:t>A total of 7 days per week (1.4 FTE) of facilities time is currently funded by the DSG</w:t>
      </w:r>
      <w:r>
        <w:rPr>
          <w:sz w:val="22"/>
          <w:szCs w:val="22"/>
        </w:rPr>
        <w:t>.</w:t>
      </w:r>
    </w:p>
    <w:p w:rsidR="00F02084" w:rsidRPr="00EB6C79" w:rsidRDefault="00F02084" w:rsidP="00F02084">
      <w:pPr>
        <w:tabs>
          <w:tab w:val="left" w:pos="2980"/>
        </w:tabs>
        <w:jc w:val="both"/>
        <w:rPr>
          <w:sz w:val="16"/>
          <w:szCs w:val="16"/>
        </w:rPr>
      </w:pPr>
      <w:r w:rsidRPr="00EB6C79">
        <w:rPr>
          <w:sz w:val="22"/>
          <w:szCs w:val="22"/>
        </w:rPr>
        <w:lastRenderedPageBreak/>
        <w:tab/>
      </w:r>
    </w:p>
    <w:p w:rsidR="00F02084" w:rsidRPr="00396CC9" w:rsidRDefault="00F02084" w:rsidP="00F02084">
      <w:pPr>
        <w:jc w:val="both"/>
        <w:rPr>
          <w:sz w:val="22"/>
          <w:szCs w:val="22"/>
        </w:rPr>
      </w:pPr>
      <w:r w:rsidRPr="00396CC9">
        <w:rPr>
          <w:sz w:val="22"/>
          <w:szCs w:val="22"/>
        </w:rPr>
        <w:t>If this de-delegated fund is not held in 201</w:t>
      </w:r>
      <w:r>
        <w:rPr>
          <w:sz w:val="22"/>
          <w:szCs w:val="22"/>
        </w:rPr>
        <w:t>8/19</w:t>
      </w:r>
      <w:r w:rsidRPr="00396CC9">
        <w:rPr>
          <w:sz w:val="22"/>
          <w:szCs w:val="22"/>
        </w:rPr>
        <w:t>, individual schools will need to consider how they will meet their employer statutory obligations around health and safety.</w:t>
      </w:r>
    </w:p>
    <w:p w:rsidR="00F02084" w:rsidRPr="00396CC9" w:rsidRDefault="00F02084" w:rsidP="00F02084">
      <w:pPr>
        <w:jc w:val="both"/>
        <w:rPr>
          <w:sz w:val="22"/>
          <w:szCs w:val="22"/>
        </w:rPr>
      </w:pPr>
    </w:p>
    <w:p w:rsidR="00F02084" w:rsidRPr="00396CC9" w:rsidRDefault="00F02084" w:rsidP="00F02084">
      <w:pPr>
        <w:pStyle w:val="ListParagraph"/>
        <w:numPr>
          <w:ilvl w:val="0"/>
          <w:numId w:val="39"/>
        </w:numPr>
        <w:contextualSpacing/>
        <w:jc w:val="both"/>
        <w:rPr>
          <w:b/>
          <w:sz w:val="22"/>
          <w:szCs w:val="22"/>
        </w:rPr>
      </w:pPr>
      <w:r w:rsidRPr="00396CC9">
        <w:rPr>
          <w:b/>
          <w:sz w:val="22"/>
          <w:szCs w:val="22"/>
        </w:rPr>
        <w:t>School Staff Public Duties and Suspensions Fund</w:t>
      </w:r>
      <w:r w:rsidR="009143C7">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This fund has historically acted, on a similar basis to maternity / paternity payments, as an ‘insurance’ type pot for 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Payments are authorised by the Strategic Director, Children’s Services.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Pr="001D0D29" w:rsidRDefault="00F02084" w:rsidP="00F02084">
      <w:pPr>
        <w:jc w:val="both"/>
        <w:rPr>
          <w:sz w:val="16"/>
          <w:szCs w:val="16"/>
        </w:rPr>
      </w:pPr>
    </w:p>
    <w:p w:rsidR="00F02084" w:rsidRPr="00396CC9" w:rsidRDefault="00F02084" w:rsidP="00F02084">
      <w:pPr>
        <w:jc w:val="both"/>
        <w:rPr>
          <w:sz w:val="22"/>
          <w:szCs w:val="22"/>
        </w:rPr>
      </w:pPr>
      <w:r w:rsidRPr="00396CC9">
        <w:rPr>
          <w:sz w:val="22"/>
          <w:szCs w:val="22"/>
        </w:rPr>
        <w:t>If this de-delegated fund is not held in 201</w:t>
      </w:r>
      <w:r>
        <w:rPr>
          <w:sz w:val="22"/>
          <w:szCs w:val="22"/>
        </w:rPr>
        <w:t>8/19</w:t>
      </w:r>
      <w:r w:rsidRPr="00396CC9">
        <w:rPr>
          <w:sz w:val="22"/>
          <w:szCs w:val="22"/>
        </w:rPr>
        <w:t>, maintained</w:t>
      </w:r>
      <w:r>
        <w:rPr>
          <w:sz w:val="22"/>
          <w:szCs w:val="22"/>
        </w:rPr>
        <w:t xml:space="preserve"> primary and nursery</w:t>
      </w:r>
      <w:r w:rsidRPr="00396CC9">
        <w:rPr>
          <w:sz w:val="22"/>
          <w:szCs w:val="22"/>
        </w:rPr>
        <w:t xml:space="preserve"> schools will not be reimbursed for the salary cost of staff and would have to make alternative arrangements to manage this cost.</w:t>
      </w:r>
    </w:p>
    <w:p w:rsidR="00F02084" w:rsidRDefault="00F02084" w:rsidP="00F02084">
      <w:pPr>
        <w:jc w:val="both"/>
        <w:rPr>
          <w:b/>
          <w:sz w:val="22"/>
          <w:szCs w:val="22"/>
          <w:u w:val="single"/>
        </w:rPr>
      </w:pPr>
    </w:p>
    <w:p w:rsidR="00F02084" w:rsidRPr="001D0D29" w:rsidRDefault="00F02084" w:rsidP="00F02084">
      <w:pPr>
        <w:jc w:val="both"/>
        <w:rPr>
          <w:b/>
          <w:sz w:val="22"/>
          <w:szCs w:val="22"/>
          <w:u w:val="single"/>
        </w:rPr>
      </w:pPr>
      <w:r>
        <w:rPr>
          <w:b/>
          <w:sz w:val="22"/>
          <w:szCs w:val="22"/>
          <w:u w:val="single"/>
        </w:rPr>
        <w:t>2017/18 De-D</w:t>
      </w:r>
      <w:r w:rsidRPr="001D0D29">
        <w:rPr>
          <w:b/>
          <w:sz w:val="22"/>
          <w:szCs w:val="22"/>
          <w:u w:val="single"/>
        </w:rPr>
        <w:t>elegated Funds</w:t>
      </w:r>
      <w:r>
        <w:rPr>
          <w:b/>
          <w:sz w:val="22"/>
          <w:szCs w:val="22"/>
          <w:u w:val="single"/>
        </w:rPr>
        <w:t>: Values</w:t>
      </w:r>
    </w:p>
    <w:p w:rsidR="00F02084" w:rsidRDefault="00F02084" w:rsidP="00F02084">
      <w:pPr>
        <w:jc w:val="both"/>
      </w:pPr>
    </w:p>
    <w:p w:rsidR="00F02084" w:rsidRPr="007636F7" w:rsidRDefault="00F02084" w:rsidP="00F02084">
      <w:pPr>
        <w:jc w:val="both"/>
        <w:rPr>
          <w:sz w:val="22"/>
          <w:szCs w:val="22"/>
        </w:rPr>
      </w:pPr>
      <w:r w:rsidRPr="007636F7">
        <w:rPr>
          <w:sz w:val="22"/>
          <w:szCs w:val="22"/>
        </w:rPr>
        <w:t>The table below shows the total values that were de-delegated from individual school budgets in the current financial year</w:t>
      </w:r>
      <w:r>
        <w:rPr>
          <w:sz w:val="22"/>
          <w:szCs w:val="22"/>
        </w:rPr>
        <w:t xml:space="preserve"> at the DSG planned budget stage</w:t>
      </w:r>
      <w:r w:rsidRPr="007636F7">
        <w:rPr>
          <w:sz w:val="22"/>
          <w:szCs w:val="22"/>
        </w:rPr>
        <w:t>. If these funds con</w:t>
      </w:r>
      <w:r>
        <w:rPr>
          <w:sz w:val="22"/>
          <w:szCs w:val="22"/>
        </w:rPr>
        <w:t>tinue to be de-delegated in 2018/19</w:t>
      </w:r>
      <w:r w:rsidRPr="007636F7">
        <w:rPr>
          <w:sz w:val="22"/>
          <w:szCs w:val="22"/>
        </w:rPr>
        <w:t>, we would expect</w:t>
      </w:r>
      <w:r w:rsidRPr="00594A69">
        <w:rPr>
          <w:sz w:val="22"/>
          <w:szCs w:val="22"/>
        </w:rPr>
        <w:t xml:space="preserve"> the values of funds to match anticipated cost pressures</w:t>
      </w:r>
      <w:r>
        <w:rPr>
          <w:sz w:val="22"/>
          <w:szCs w:val="22"/>
        </w:rPr>
        <w:t>,</w:t>
      </w:r>
      <w:r w:rsidRPr="00594A69">
        <w:rPr>
          <w:sz w:val="22"/>
          <w:szCs w:val="22"/>
        </w:rPr>
        <w:t xml:space="preserve"> and to reduce </w:t>
      </w:r>
      <w:r>
        <w:rPr>
          <w:sz w:val="22"/>
          <w:szCs w:val="22"/>
        </w:rPr>
        <w:t xml:space="preserve">from the 2017/18 values shown below </w:t>
      </w:r>
      <w:r w:rsidRPr="00594A69">
        <w:rPr>
          <w:sz w:val="22"/>
          <w:szCs w:val="22"/>
        </w:rPr>
        <w:t>for the impact of maintained schools converting to academy status.</w:t>
      </w:r>
    </w:p>
    <w:p w:rsidR="00F02084" w:rsidRDefault="00F02084" w:rsidP="00F0208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418"/>
        <w:gridCol w:w="1386"/>
        <w:gridCol w:w="1473"/>
        <w:gridCol w:w="1441"/>
      </w:tblGrid>
      <w:tr w:rsidR="00F02084" w:rsidRPr="00CE63F5" w:rsidTr="00496F4D">
        <w:trPr>
          <w:jc w:val="center"/>
        </w:trPr>
        <w:tc>
          <w:tcPr>
            <w:tcW w:w="4420" w:type="dxa"/>
          </w:tcPr>
          <w:p w:rsidR="00F02084" w:rsidRPr="001D0D29" w:rsidRDefault="00F02084" w:rsidP="00496F4D">
            <w:pPr>
              <w:jc w:val="both"/>
              <w:rPr>
                <w:b/>
                <w:bCs/>
                <w:sz w:val="22"/>
                <w:szCs w:val="22"/>
              </w:rPr>
            </w:pPr>
            <w:r w:rsidRPr="001D0D29">
              <w:rPr>
                <w:b/>
                <w:bCs/>
                <w:sz w:val="22"/>
                <w:szCs w:val="22"/>
              </w:rPr>
              <w:t>Fund</w:t>
            </w:r>
          </w:p>
        </w:tc>
        <w:tc>
          <w:tcPr>
            <w:tcW w:w="1418" w:type="dxa"/>
          </w:tcPr>
          <w:p w:rsidR="00F02084" w:rsidRPr="001D0D29" w:rsidRDefault="00F02084" w:rsidP="00496F4D">
            <w:pPr>
              <w:jc w:val="both"/>
              <w:rPr>
                <w:b/>
                <w:bCs/>
                <w:sz w:val="22"/>
                <w:szCs w:val="22"/>
              </w:rPr>
            </w:pPr>
            <w:r w:rsidRPr="001D0D29">
              <w:rPr>
                <w:b/>
                <w:bCs/>
                <w:sz w:val="22"/>
                <w:szCs w:val="22"/>
              </w:rPr>
              <w:t>Early Years £</w:t>
            </w:r>
          </w:p>
        </w:tc>
        <w:tc>
          <w:tcPr>
            <w:tcW w:w="1386" w:type="dxa"/>
          </w:tcPr>
          <w:p w:rsidR="00F02084" w:rsidRPr="001D0D29" w:rsidRDefault="00F02084" w:rsidP="00496F4D">
            <w:pPr>
              <w:jc w:val="both"/>
              <w:rPr>
                <w:b/>
                <w:bCs/>
                <w:sz w:val="22"/>
                <w:szCs w:val="22"/>
              </w:rPr>
            </w:pPr>
            <w:r w:rsidRPr="001D0D29">
              <w:rPr>
                <w:b/>
                <w:bCs/>
                <w:sz w:val="22"/>
                <w:szCs w:val="22"/>
              </w:rPr>
              <w:t xml:space="preserve">Primary </w:t>
            </w:r>
          </w:p>
          <w:p w:rsidR="00F02084" w:rsidRPr="001D0D29" w:rsidRDefault="00F02084" w:rsidP="00496F4D">
            <w:pPr>
              <w:jc w:val="both"/>
              <w:rPr>
                <w:b/>
                <w:bCs/>
                <w:sz w:val="22"/>
                <w:szCs w:val="22"/>
              </w:rPr>
            </w:pPr>
            <w:r w:rsidRPr="001D0D29">
              <w:rPr>
                <w:b/>
                <w:bCs/>
                <w:sz w:val="22"/>
                <w:szCs w:val="22"/>
              </w:rPr>
              <w:t>£</w:t>
            </w:r>
          </w:p>
        </w:tc>
        <w:tc>
          <w:tcPr>
            <w:tcW w:w="1473" w:type="dxa"/>
          </w:tcPr>
          <w:p w:rsidR="00F02084" w:rsidRPr="001D0D29" w:rsidRDefault="00F02084" w:rsidP="00496F4D">
            <w:pPr>
              <w:jc w:val="both"/>
              <w:rPr>
                <w:b/>
                <w:bCs/>
                <w:sz w:val="22"/>
                <w:szCs w:val="22"/>
              </w:rPr>
            </w:pPr>
            <w:r w:rsidRPr="001D0D29">
              <w:rPr>
                <w:b/>
                <w:bCs/>
                <w:sz w:val="22"/>
                <w:szCs w:val="22"/>
              </w:rPr>
              <w:t>Secondary £</w:t>
            </w:r>
          </w:p>
        </w:tc>
        <w:tc>
          <w:tcPr>
            <w:tcW w:w="1441" w:type="dxa"/>
          </w:tcPr>
          <w:p w:rsidR="00F02084" w:rsidRPr="001D0D29" w:rsidRDefault="00F02084" w:rsidP="00496F4D">
            <w:pPr>
              <w:jc w:val="both"/>
              <w:rPr>
                <w:b/>
                <w:bCs/>
                <w:sz w:val="22"/>
                <w:szCs w:val="22"/>
              </w:rPr>
            </w:pPr>
            <w:r w:rsidRPr="001D0D29">
              <w:rPr>
                <w:b/>
                <w:bCs/>
                <w:sz w:val="22"/>
                <w:szCs w:val="22"/>
              </w:rPr>
              <w:t>Total Value £</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ESBD School Support Team</w:t>
            </w:r>
          </w:p>
        </w:tc>
        <w:tc>
          <w:tcPr>
            <w:tcW w:w="1418" w:type="dxa"/>
          </w:tcPr>
          <w:p w:rsidR="00F02084" w:rsidRPr="00046EBC" w:rsidRDefault="00F02084" w:rsidP="00496F4D">
            <w:pPr>
              <w:jc w:val="right"/>
              <w:rPr>
                <w:sz w:val="22"/>
                <w:szCs w:val="22"/>
              </w:rPr>
            </w:pPr>
            <w:r w:rsidRPr="00046EBC">
              <w:rPr>
                <w:sz w:val="22"/>
                <w:szCs w:val="22"/>
              </w:rPr>
              <w:t>£0</w:t>
            </w:r>
          </w:p>
        </w:tc>
        <w:tc>
          <w:tcPr>
            <w:tcW w:w="1386" w:type="dxa"/>
          </w:tcPr>
          <w:p w:rsidR="00F02084" w:rsidRPr="00046EBC" w:rsidRDefault="00F02084" w:rsidP="00496F4D">
            <w:pPr>
              <w:jc w:val="right"/>
              <w:rPr>
                <w:sz w:val="22"/>
                <w:szCs w:val="22"/>
              </w:rPr>
            </w:pPr>
            <w:r>
              <w:rPr>
                <w:sz w:val="22"/>
                <w:szCs w:val="22"/>
              </w:rPr>
              <w:t>£348,527</w:t>
            </w:r>
          </w:p>
        </w:tc>
        <w:tc>
          <w:tcPr>
            <w:tcW w:w="1473" w:type="dxa"/>
          </w:tcPr>
          <w:p w:rsidR="00F02084" w:rsidRPr="00046EBC" w:rsidRDefault="00F02084" w:rsidP="00496F4D">
            <w:pPr>
              <w:jc w:val="right"/>
              <w:rPr>
                <w:sz w:val="22"/>
                <w:szCs w:val="22"/>
              </w:rPr>
            </w:pPr>
            <w:r w:rsidRPr="00046EBC">
              <w:rPr>
                <w:sz w:val="22"/>
                <w:szCs w:val="22"/>
              </w:rPr>
              <w:t>£0</w:t>
            </w:r>
          </w:p>
        </w:tc>
        <w:tc>
          <w:tcPr>
            <w:tcW w:w="1441" w:type="dxa"/>
          </w:tcPr>
          <w:p w:rsidR="00F02084" w:rsidRPr="00046EBC" w:rsidRDefault="00F02084" w:rsidP="00496F4D">
            <w:pPr>
              <w:jc w:val="right"/>
              <w:rPr>
                <w:b/>
                <w:bCs/>
                <w:sz w:val="22"/>
                <w:szCs w:val="22"/>
              </w:rPr>
            </w:pPr>
            <w:r>
              <w:rPr>
                <w:b/>
                <w:bCs/>
                <w:sz w:val="22"/>
                <w:szCs w:val="22"/>
              </w:rPr>
              <w:t>£348,527</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FSM Eligibility Assessments</w:t>
            </w:r>
          </w:p>
        </w:tc>
        <w:tc>
          <w:tcPr>
            <w:tcW w:w="1418" w:type="dxa"/>
          </w:tcPr>
          <w:p w:rsidR="00F02084" w:rsidRPr="00046EBC" w:rsidRDefault="00F02084" w:rsidP="00496F4D">
            <w:pPr>
              <w:jc w:val="right"/>
              <w:rPr>
                <w:sz w:val="22"/>
                <w:szCs w:val="22"/>
              </w:rPr>
            </w:pPr>
            <w:r w:rsidRPr="00046EBC">
              <w:rPr>
                <w:sz w:val="22"/>
                <w:szCs w:val="22"/>
              </w:rPr>
              <w:t>£0</w:t>
            </w:r>
          </w:p>
        </w:tc>
        <w:tc>
          <w:tcPr>
            <w:tcW w:w="1386" w:type="dxa"/>
          </w:tcPr>
          <w:p w:rsidR="00F02084" w:rsidRPr="00046EBC" w:rsidRDefault="00F02084" w:rsidP="00496F4D">
            <w:pPr>
              <w:jc w:val="right"/>
              <w:rPr>
                <w:sz w:val="22"/>
                <w:szCs w:val="22"/>
              </w:rPr>
            </w:pPr>
            <w:r>
              <w:rPr>
                <w:sz w:val="22"/>
                <w:szCs w:val="22"/>
              </w:rPr>
              <w:t>£65,689</w:t>
            </w:r>
          </w:p>
        </w:tc>
        <w:tc>
          <w:tcPr>
            <w:tcW w:w="1473" w:type="dxa"/>
          </w:tcPr>
          <w:p w:rsidR="00F02084" w:rsidRPr="00046EBC" w:rsidRDefault="00F02084" w:rsidP="00496F4D">
            <w:pPr>
              <w:jc w:val="right"/>
              <w:rPr>
                <w:sz w:val="22"/>
                <w:szCs w:val="22"/>
              </w:rPr>
            </w:pPr>
            <w:r>
              <w:rPr>
                <w:sz w:val="22"/>
                <w:szCs w:val="22"/>
              </w:rPr>
              <w:t>£14,250</w:t>
            </w:r>
          </w:p>
        </w:tc>
        <w:tc>
          <w:tcPr>
            <w:tcW w:w="1441" w:type="dxa"/>
          </w:tcPr>
          <w:p w:rsidR="00F02084" w:rsidRPr="00046EBC" w:rsidRDefault="00F02084" w:rsidP="00496F4D">
            <w:pPr>
              <w:jc w:val="right"/>
              <w:rPr>
                <w:b/>
                <w:bCs/>
                <w:sz w:val="22"/>
                <w:szCs w:val="22"/>
              </w:rPr>
            </w:pPr>
            <w:r>
              <w:rPr>
                <w:b/>
                <w:bCs/>
                <w:sz w:val="22"/>
                <w:szCs w:val="22"/>
              </w:rPr>
              <w:t>£79,939</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Fischer Family Trust – School Licences</w:t>
            </w:r>
            <w:r>
              <w:rPr>
                <w:sz w:val="22"/>
                <w:szCs w:val="22"/>
              </w:rPr>
              <w:t xml:space="preserve"> *</w:t>
            </w:r>
          </w:p>
        </w:tc>
        <w:tc>
          <w:tcPr>
            <w:tcW w:w="1418" w:type="dxa"/>
          </w:tcPr>
          <w:p w:rsidR="00F02084" w:rsidRPr="00046EBC" w:rsidRDefault="00F02084" w:rsidP="00496F4D">
            <w:pPr>
              <w:jc w:val="right"/>
              <w:rPr>
                <w:sz w:val="22"/>
                <w:szCs w:val="22"/>
              </w:rPr>
            </w:pPr>
            <w:r w:rsidRPr="00046EBC">
              <w:rPr>
                <w:sz w:val="22"/>
                <w:szCs w:val="22"/>
              </w:rPr>
              <w:t>£0</w:t>
            </w:r>
          </w:p>
        </w:tc>
        <w:tc>
          <w:tcPr>
            <w:tcW w:w="1386" w:type="dxa"/>
          </w:tcPr>
          <w:p w:rsidR="00F02084" w:rsidRPr="00046EBC" w:rsidRDefault="00F02084" w:rsidP="00496F4D">
            <w:pPr>
              <w:jc w:val="right"/>
              <w:rPr>
                <w:sz w:val="22"/>
                <w:szCs w:val="22"/>
              </w:rPr>
            </w:pPr>
            <w:r>
              <w:rPr>
                <w:sz w:val="22"/>
                <w:szCs w:val="22"/>
              </w:rPr>
              <w:t>£33,560</w:t>
            </w:r>
          </w:p>
        </w:tc>
        <w:tc>
          <w:tcPr>
            <w:tcW w:w="1473" w:type="dxa"/>
          </w:tcPr>
          <w:p w:rsidR="00F02084" w:rsidRPr="00046EBC" w:rsidRDefault="00F02084" w:rsidP="00496F4D">
            <w:pPr>
              <w:jc w:val="right"/>
              <w:rPr>
                <w:sz w:val="22"/>
                <w:szCs w:val="22"/>
              </w:rPr>
            </w:pPr>
            <w:r>
              <w:rPr>
                <w:sz w:val="22"/>
                <w:szCs w:val="22"/>
              </w:rPr>
              <w:t>£0</w:t>
            </w:r>
          </w:p>
        </w:tc>
        <w:tc>
          <w:tcPr>
            <w:tcW w:w="1441" w:type="dxa"/>
          </w:tcPr>
          <w:p w:rsidR="00F02084" w:rsidRPr="00046EBC" w:rsidRDefault="00F02084" w:rsidP="00496F4D">
            <w:pPr>
              <w:jc w:val="right"/>
              <w:rPr>
                <w:b/>
                <w:bCs/>
                <w:sz w:val="22"/>
                <w:szCs w:val="22"/>
              </w:rPr>
            </w:pPr>
            <w:r w:rsidRPr="00046EBC">
              <w:rPr>
                <w:b/>
                <w:bCs/>
                <w:sz w:val="22"/>
                <w:szCs w:val="22"/>
              </w:rPr>
              <w:t>£33,560</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School Maternity / Paternity ‘insurance’</w:t>
            </w:r>
            <w:r>
              <w:rPr>
                <w:sz w:val="22"/>
                <w:szCs w:val="22"/>
              </w:rPr>
              <w:t xml:space="preserve"> *</w:t>
            </w:r>
          </w:p>
        </w:tc>
        <w:tc>
          <w:tcPr>
            <w:tcW w:w="1418" w:type="dxa"/>
          </w:tcPr>
          <w:p w:rsidR="00F02084" w:rsidRPr="00D25DC2" w:rsidRDefault="00F02084" w:rsidP="00496F4D">
            <w:pPr>
              <w:jc w:val="right"/>
              <w:rPr>
                <w:sz w:val="22"/>
                <w:szCs w:val="22"/>
              </w:rPr>
            </w:pPr>
            <w:r>
              <w:rPr>
                <w:sz w:val="22"/>
                <w:szCs w:val="22"/>
              </w:rPr>
              <w:t>£133,065</w:t>
            </w:r>
          </w:p>
        </w:tc>
        <w:tc>
          <w:tcPr>
            <w:tcW w:w="1386" w:type="dxa"/>
          </w:tcPr>
          <w:p w:rsidR="00F02084" w:rsidRPr="00D25DC2" w:rsidRDefault="00F02084" w:rsidP="00496F4D">
            <w:pPr>
              <w:jc w:val="right"/>
              <w:rPr>
                <w:sz w:val="22"/>
                <w:szCs w:val="22"/>
              </w:rPr>
            </w:pPr>
            <w:r>
              <w:rPr>
                <w:sz w:val="22"/>
                <w:szCs w:val="22"/>
              </w:rPr>
              <w:t>£1,400,397</w:t>
            </w:r>
          </w:p>
        </w:tc>
        <w:tc>
          <w:tcPr>
            <w:tcW w:w="1473" w:type="dxa"/>
          </w:tcPr>
          <w:p w:rsidR="00F02084" w:rsidRPr="00D25DC2" w:rsidRDefault="00F02084" w:rsidP="00496F4D">
            <w:pPr>
              <w:jc w:val="right"/>
              <w:rPr>
                <w:sz w:val="22"/>
                <w:szCs w:val="22"/>
              </w:rPr>
            </w:pPr>
            <w:r>
              <w:rPr>
                <w:sz w:val="22"/>
                <w:szCs w:val="22"/>
              </w:rPr>
              <w:t xml:space="preserve">£305,027 </w:t>
            </w:r>
          </w:p>
        </w:tc>
        <w:tc>
          <w:tcPr>
            <w:tcW w:w="1441" w:type="dxa"/>
          </w:tcPr>
          <w:p w:rsidR="00F02084" w:rsidRPr="00D25DC2" w:rsidRDefault="00F02084" w:rsidP="00496F4D">
            <w:pPr>
              <w:jc w:val="right"/>
              <w:rPr>
                <w:b/>
                <w:bCs/>
                <w:sz w:val="22"/>
                <w:szCs w:val="22"/>
              </w:rPr>
            </w:pPr>
            <w:r>
              <w:rPr>
                <w:b/>
                <w:bCs/>
                <w:sz w:val="22"/>
                <w:szCs w:val="22"/>
              </w:rPr>
              <w:t>£1,838,489</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Trade Union Facilities Time</w:t>
            </w:r>
          </w:p>
        </w:tc>
        <w:tc>
          <w:tcPr>
            <w:tcW w:w="1418" w:type="dxa"/>
          </w:tcPr>
          <w:p w:rsidR="00F02084" w:rsidRPr="0064049F" w:rsidRDefault="00F02084" w:rsidP="00496F4D">
            <w:pPr>
              <w:jc w:val="right"/>
              <w:rPr>
                <w:sz w:val="22"/>
                <w:szCs w:val="22"/>
              </w:rPr>
            </w:pPr>
            <w:r>
              <w:rPr>
                <w:sz w:val="22"/>
                <w:szCs w:val="22"/>
              </w:rPr>
              <w:t>£16,600</w:t>
            </w:r>
          </w:p>
        </w:tc>
        <w:tc>
          <w:tcPr>
            <w:tcW w:w="1386" w:type="dxa"/>
          </w:tcPr>
          <w:p w:rsidR="00F02084" w:rsidRPr="0064049F" w:rsidRDefault="00F02084" w:rsidP="00496F4D">
            <w:pPr>
              <w:jc w:val="right"/>
              <w:rPr>
                <w:sz w:val="22"/>
                <w:szCs w:val="22"/>
              </w:rPr>
            </w:pPr>
            <w:r>
              <w:rPr>
                <w:sz w:val="22"/>
                <w:szCs w:val="22"/>
              </w:rPr>
              <w:t>£174,705</w:t>
            </w:r>
          </w:p>
        </w:tc>
        <w:tc>
          <w:tcPr>
            <w:tcW w:w="1473" w:type="dxa"/>
          </w:tcPr>
          <w:p w:rsidR="00F02084" w:rsidRPr="0064049F" w:rsidRDefault="00F02084" w:rsidP="00496F4D">
            <w:pPr>
              <w:jc w:val="right"/>
              <w:rPr>
                <w:sz w:val="22"/>
                <w:szCs w:val="22"/>
              </w:rPr>
            </w:pPr>
            <w:r>
              <w:rPr>
                <w:sz w:val="22"/>
                <w:szCs w:val="22"/>
              </w:rPr>
              <w:t>£38,053</w:t>
            </w:r>
          </w:p>
        </w:tc>
        <w:tc>
          <w:tcPr>
            <w:tcW w:w="1441" w:type="dxa"/>
          </w:tcPr>
          <w:p w:rsidR="00F02084" w:rsidRPr="0064049F" w:rsidRDefault="00F02084" w:rsidP="00496F4D">
            <w:pPr>
              <w:jc w:val="right"/>
              <w:rPr>
                <w:b/>
                <w:bCs/>
                <w:sz w:val="22"/>
                <w:szCs w:val="22"/>
              </w:rPr>
            </w:pPr>
            <w:r>
              <w:rPr>
                <w:b/>
                <w:bCs/>
                <w:sz w:val="22"/>
                <w:szCs w:val="22"/>
              </w:rPr>
              <w:t>£229,358</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Trade Union Health and Safety Rep Time</w:t>
            </w:r>
          </w:p>
        </w:tc>
        <w:tc>
          <w:tcPr>
            <w:tcW w:w="1418" w:type="dxa"/>
          </w:tcPr>
          <w:p w:rsidR="00F02084" w:rsidRPr="00AA469D" w:rsidRDefault="00F02084" w:rsidP="00496F4D">
            <w:pPr>
              <w:jc w:val="right"/>
              <w:rPr>
                <w:sz w:val="22"/>
                <w:szCs w:val="22"/>
              </w:rPr>
            </w:pPr>
            <w:r w:rsidRPr="00AA469D">
              <w:rPr>
                <w:sz w:val="22"/>
                <w:szCs w:val="22"/>
              </w:rPr>
              <w:t>£</w:t>
            </w:r>
            <w:r>
              <w:rPr>
                <w:sz w:val="22"/>
                <w:szCs w:val="22"/>
              </w:rPr>
              <w:t>2,537</w:t>
            </w:r>
          </w:p>
        </w:tc>
        <w:tc>
          <w:tcPr>
            <w:tcW w:w="1386" w:type="dxa"/>
          </w:tcPr>
          <w:p w:rsidR="00F02084" w:rsidRPr="00AA469D" w:rsidRDefault="00F02084" w:rsidP="00496F4D">
            <w:pPr>
              <w:jc w:val="right"/>
              <w:rPr>
                <w:sz w:val="22"/>
                <w:szCs w:val="22"/>
              </w:rPr>
            </w:pPr>
            <w:r>
              <w:rPr>
                <w:sz w:val="22"/>
                <w:szCs w:val="22"/>
              </w:rPr>
              <w:t>£26,697</w:t>
            </w:r>
          </w:p>
        </w:tc>
        <w:tc>
          <w:tcPr>
            <w:tcW w:w="1473" w:type="dxa"/>
          </w:tcPr>
          <w:p w:rsidR="00F02084" w:rsidRPr="00AA469D" w:rsidRDefault="00F02084" w:rsidP="00496F4D">
            <w:pPr>
              <w:jc w:val="right"/>
              <w:rPr>
                <w:sz w:val="22"/>
                <w:szCs w:val="22"/>
              </w:rPr>
            </w:pPr>
            <w:r>
              <w:rPr>
                <w:sz w:val="22"/>
                <w:szCs w:val="22"/>
              </w:rPr>
              <w:t>£5,815</w:t>
            </w:r>
          </w:p>
        </w:tc>
        <w:tc>
          <w:tcPr>
            <w:tcW w:w="1441" w:type="dxa"/>
          </w:tcPr>
          <w:p w:rsidR="00F02084" w:rsidRPr="00AA469D" w:rsidRDefault="00F02084" w:rsidP="00496F4D">
            <w:pPr>
              <w:jc w:val="right"/>
              <w:rPr>
                <w:b/>
                <w:bCs/>
                <w:sz w:val="22"/>
                <w:szCs w:val="22"/>
              </w:rPr>
            </w:pPr>
            <w:r>
              <w:rPr>
                <w:b/>
                <w:bCs/>
                <w:sz w:val="22"/>
                <w:szCs w:val="22"/>
              </w:rPr>
              <w:t>£35,049</w:t>
            </w:r>
          </w:p>
        </w:tc>
      </w:tr>
      <w:tr w:rsidR="00F02084" w:rsidRPr="00CE63F5" w:rsidTr="00496F4D">
        <w:trPr>
          <w:jc w:val="center"/>
        </w:trPr>
        <w:tc>
          <w:tcPr>
            <w:tcW w:w="4420" w:type="dxa"/>
          </w:tcPr>
          <w:p w:rsidR="00F02084" w:rsidRPr="001D0D29" w:rsidRDefault="00F02084" w:rsidP="00496F4D">
            <w:pPr>
              <w:jc w:val="both"/>
              <w:rPr>
                <w:sz w:val="22"/>
                <w:szCs w:val="22"/>
              </w:rPr>
            </w:pPr>
            <w:r w:rsidRPr="001D0D29">
              <w:rPr>
                <w:sz w:val="22"/>
                <w:szCs w:val="22"/>
              </w:rPr>
              <w:t>School Staff Public Duties &amp; Suspensions Fund</w:t>
            </w:r>
            <w:r>
              <w:rPr>
                <w:sz w:val="22"/>
                <w:szCs w:val="22"/>
              </w:rPr>
              <w:t xml:space="preserve"> *</w:t>
            </w:r>
          </w:p>
        </w:tc>
        <w:tc>
          <w:tcPr>
            <w:tcW w:w="1418" w:type="dxa"/>
          </w:tcPr>
          <w:p w:rsidR="00F02084" w:rsidRPr="00AD0E62" w:rsidRDefault="00F02084" w:rsidP="00496F4D">
            <w:pPr>
              <w:jc w:val="right"/>
              <w:rPr>
                <w:sz w:val="22"/>
                <w:szCs w:val="22"/>
              </w:rPr>
            </w:pPr>
            <w:r>
              <w:rPr>
                <w:sz w:val="22"/>
                <w:szCs w:val="22"/>
              </w:rPr>
              <w:t>£3,413</w:t>
            </w:r>
          </w:p>
        </w:tc>
        <w:tc>
          <w:tcPr>
            <w:tcW w:w="1386" w:type="dxa"/>
          </w:tcPr>
          <w:p w:rsidR="00F02084" w:rsidRPr="00AD0E62" w:rsidRDefault="00F02084" w:rsidP="00496F4D">
            <w:pPr>
              <w:jc w:val="right"/>
              <w:rPr>
                <w:sz w:val="22"/>
                <w:szCs w:val="22"/>
              </w:rPr>
            </w:pPr>
            <w:r>
              <w:rPr>
                <w:sz w:val="22"/>
                <w:szCs w:val="22"/>
              </w:rPr>
              <w:t>£36,627</w:t>
            </w:r>
          </w:p>
        </w:tc>
        <w:tc>
          <w:tcPr>
            <w:tcW w:w="1473" w:type="dxa"/>
          </w:tcPr>
          <w:p w:rsidR="00F02084" w:rsidRPr="00AD0E62" w:rsidRDefault="00F02084" w:rsidP="00496F4D">
            <w:pPr>
              <w:jc w:val="right"/>
              <w:rPr>
                <w:sz w:val="22"/>
                <w:szCs w:val="22"/>
              </w:rPr>
            </w:pPr>
            <w:r>
              <w:rPr>
                <w:sz w:val="22"/>
                <w:szCs w:val="22"/>
              </w:rPr>
              <w:t xml:space="preserve">£0 </w:t>
            </w:r>
          </w:p>
        </w:tc>
        <w:tc>
          <w:tcPr>
            <w:tcW w:w="1441" w:type="dxa"/>
          </w:tcPr>
          <w:p w:rsidR="00F02084" w:rsidRPr="00AD0E62" w:rsidRDefault="00F02084" w:rsidP="00496F4D">
            <w:pPr>
              <w:jc w:val="right"/>
              <w:rPr>
                <w:b/>
                <w:bCs/>
                <w:sz w:val="22"/>
                <w:szCs w:val="22"/>
              </w:rPr>
            </w:pPr>
            <w:r>
              <w:rPr>
                <w:b/>
                <w:bCs/>
                <w:sz w:val="22"/>
                <w:szCs w:val="22"/>
              </w:rPr>
              <w:t>£40,040</w:t>
            </w:r>
          </w:p>
        </w:tc>
      </w:tr>
      <w:tr w:rsidR="00F02084" w:rsidRPr="00CE63F5" w:rsidTr="00496F4D">
        <w:trPr>
          <w:jc w:val="center"/>
        </w:trPr>
        <w:tc>
          <w:tcPr>
            <w:tcW w:w="4420" w:type="dxa"/>
          </w:tcPr>
          <w:p w:rsidR="00F02084" w:rsidRPr="001D0D29" w:rsidRDefault="00F02084" w:rsidP="00496F4D">
            <w:pPr>
              <w:jc w:val="both"/>
              <w:rPr>
                <w:b/>
                <w:bCs/>
                <w:sz w:val="22"/>
                <w:szCs w:val="22"/>
              </w:rPr>
            </w:pPr>
            <w:r w:rsidRPr="001D0D29">
              <w:rPr>
                <w:b/>
                <w:bCs/>
                <w:sz w:val="22"/>
                <w:szCs w:val="22"/>
              </w:rPr>
              <w:t>Total</w:t>
            </w:r>
          </w:p>
        </w:tc>
        <w:tc>
          <w:tcPr>
            <w:tcW w:w="1418" w:type="dxa"/>
          </w:tcPr>
          <w:p w:rsidR="00F02084" w:rsidRPr="00AD0E62" w:rsidRDefault="00F02084" w:rsidP="00496F4D">
            <w:pPr>
              <w:jc w:val="right"/>
              <w:rPr>
                <w:b/>
                <w:bCs/>
                <w:sz w:val="22"/>
                <w:szCs w:val="22"/>
              </w:rPr>
            </w:pPr>
            <w:r>
              <w:rPr>
                <w:b/>
                <w:bCs/>
                <w:sz w:val="22"/>
                <w:szCs w:val="22"/>
              </w:rPr>
              <w:t>£155,615</w:t>
            </w:r>
          </w:p>
        </w:tc>
        <w:tc>
          <w:tcPr>
            <w:tcW w:w="1386" w:type="dxa"/>
          </w:tcPr>
          <w:p w:rsidR="00F02084" w:rsidRPr="00AD0E62" w:rsidRDefault="00F02084" w:rsidP="00496F4D">
            <w:pPr>
              <w:jc w:val="right"/>
              <w:rPr>
                <w:b/>
                <w:bCs/>
                <w:sz w:val="22"/>
                <w:szCs w:val="22"/>
              </w:rPr>
            </w:pPr>
            <w:r>
              <w:rPr>
                <w:b/>
                <w:bCs/>
                <w:sz w:val="22"/>
                <w:szCs w:val="22"/>
              </w:rPr>
              <w:t>£2,086,202</w:t>
            </w:r>
          </w:p>
        </w:tc>
        <w:tc>
          <w:tcPr>
            <w:tcW w:w="1473" w:type="dxa"/>
          </w:tcPr>
          <w:p w:rsidR="00F02084" w:rsidRPr="00AD0E62" w:rsidRDefault="00F02084" w:rsidP="00496F4D">
            <w:pPr>
              <w:jc w:val="right"/>
              <w:rPr>
                <w:b/>
                <w:bCs/>
                <w:sz w:val="22"/>
                <w:szCs w:val="22"/>
              </w:rPr>
            </w:pPr>
            <w:r>
              <w:rPr>
                <w:b/>
                <w:bCs/>
                <w:sz w:val="22"/>
                <w:szCs w:val="22"/>
              </w:rPr>
              <w:t>£363,145</w:t>
            </w:r>
          </w:p>
        </w:tc>
        <w:tc>
          <w:tcPr>
            <w:tcW w:w="1441" w:type="dxa"/>
          </w:tcPr>
          <w:p w:rsidR="00F02084" w:rsidRPr="00AD0E62" w:rsidRDefault="00F02084" w:rsidP="00496F4D">
            <w:pPr>
              <w:jc w:val="right"/>
              <w:rPr>
                <w:b/>
                <w:bCs/>
                <w:sz w:val="22"/>
                <w:szCs w:val="22"/>
              </w:rPr>
            </w:pPr>
            <w:r>
              <w:rPr>
                <w:b/>
                <w:bCs/>
                <w:sz w:val="22"/>
                <w:szCs w:val="22"/>
              </w:rPr>
              <w:t>£2,604,962</w:t>
            </w:r>
          </w:p>
        </w:tc>
      </w:tr>
    </w:tbl>
    <w:p w:rsidR="00F02084" w:rsidRDefault="00F02084" w:rsidP="00F02084">
      <w:pPr>
        <w:jc w:val="both"/>
      </w:pPr>
    </w:p>
    <w:p w:rsidR="00F02084" w:rsidRPr="007636F7" w:rsidRDefault="00F02084" w:rsidP="00F02084">
      <w:pPr>
        <w:jc w:val="both"/>
        <w:rPr>
          <w:sz w:val="22"/>
          <w:szCs w:val="22"/>
        </w:rPr>
      </w:pPr>
      <w:r w:rsidRPr="009F0F52">
        <w:rPr>
          <w:sz w:val="22"/>
          <w:szCs w:val="22"/>
        </w:rPr>
        <w:t>These total va</w:t>
      </w:r>
      <w:r>
        <w:rPr>
          <w:sz w:val="22"/>
          <w:szCs w:val="22"/>
        </w:rPr>
        <w:t>lues were de-delegated from 2018/19</w:t>
      </w:r>
      <w:r w:rsidRPr="009F0F52">
        <w:rPr>
          <w:sz w:val="22"/>
          <w:szCs w:val="22"/>
        </w:rPr>
        <w:t xml:space="preserve"> individual </w:t>
      </w:r>
      <w:r>
        <w:rPr>
          <w:sz w:val="22"/>
          <w:szCs w:val="22"/>
        </w:rPr>
        <w:t xml:space="preserve">maintained </w:t>
      </w:r>
      <w:r w:rsidRPr="009F0F52">
        <w:rPr>
          <w:sz w:val="22"/>
          <w:szCs w:val="22"/>
        </w:rPr>
        <w:t>school budgets on a flat amount per pupil basis, with the exception of FSM Eligibility Assessments, which has been de-delegated on an amount per Ever 6 FSM formula pupil, as follows:</w:t>
      </w:r>
    </w:p>
    <w:p w:rsidR="00F02084" w:rsidRPr="00CE63F5" w:rsidRDefault="00F02084" w:rsidP="00F02084">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1500"/>
        <w:gridCol w:w="1400"/>
        <w:gridCol w:w="1500"/>
      </w:tblGrid>
      <w:tr w:rsidR="00F02084" w:rsidRPr="00CE63F5" w:rsidTr="00496F4D">
        <w:trPr>
          <w:jc w:val="center"/>
        </w:trPr>
        <w:tc>
          <w:tcPr>
            <w:tcW w:w="5008" w:type="dxa"/>
            <w:shd w:val="clear" w:color="auto" w:fill="auto"/>
          </w:tcPr>
          <w:p w:rsidR="00F02084" w:rsidRPr="001D0D29" w:rsidRDefault="00F02084" w:rsidP="00496F4D">
            <w:pPr>
              <w:jc w:val="both"/>
              <w:rPr>
                <w:b/>
                <w:bCs/>
                <w:sz w:val="22"/>
                <w:szCs w:val="22"/>
              </w:rPr>
            </w:pPr>
            <w:r w:rsidRPr="001D0D29">
              <w:rPr>
                <w:b/>
                <w:bCs/>
                <w:sz w:val="22"/>
                <w:szCs w:val="22"/>
              </w:rPr>
              <w:t>Fund</w:t>
            </w:r>
          </w:p>
        </w:tc>
        <w:tc>
          <w:tcPr>
            <w:tcW w:w="1500" w:type="dxa"/>
          </w:tcPr>
          <w:p w:rsidR="00F02084" w:rsidRPr="001D0D29" w:rsidRDefault="00F02084" w:rsidP="00496F4D">
            <w:pPr>
              <w:jc w:val="center"/>
              <w:rPr>
                <w:b/>
                <w:bCs/>
                <w:sz w:val="22"/>
                <w:szCs w:val="22"/>
              </w:rPr>
            </w:pPr>
            <w:r w:rsidRPr="001D0D29">
              <w:rPr>
                <w:b/>
                <w:bCs/>
                <w:sz w:val="22"/>
                <w:szCs w:val="22"/>
              </w:rPr>
              <w:t>Early Years £app</w:t>
            </w:r>
          </w:p>
        </w:tc>
        <w:tc>
          <w:tcPr>
            <w:tcW w:w="1400" w:type="dxa"/>
          </w:tcPr>
          <w:p w:rsidR="00F02084" w:rsidRPr="001D0D29" w:rsidRDefault="00F02084" w:rsidP="00496F4D">
            <w:pPr>
              <w:jc w:val="center"/>
              <w:rPr>
                <w:b/>
                <w:bCs/>
                <w:sz w:val="22"/>
                <w:szCs w:val="22"/>
              </w:rPr>
            </w:pPr>
            <w:r w:rsidRPr="001D0D29">
              <w:rPr>
                <w:b/>
                <w:bCs/>
                <w:sz w:val="22"/>
                <w:szCs w:val="22"/>
              </w:rPr>
              <w:t>Primary £app</w:t>
            </w:r>
          </w:p>
        </w:tc>
        <w:tc>
          <w:tcPr>
            <w:tcW w:w="1500" w:type="dxa"/>
          </w:tcPr>
          <w:p w:rsidR="00F02084" w:rsidRPr="001D0D29" w:rsidRDefault="00F02084" w:rsidP="00496F4D">
            <w:pPr>
              <w:jc w:val="center"/>
              <w:rPr>
                <w:b/>
                <w:bCs/>
                <w:sz w:val="22"/>
                <w:szCs w:val="22"/>
              </w:rPr>
            </w:pPr>
            <w:r w:rsidRPr="001D0D29">
              <w:rPr>
                <w:b/>
                <w:bCs/>
                <w:sz w:val="22"/>
                <w:szCs w:val="22"/>
              </w:rPr>
              <w:t>Secondary £app</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ESBD School Support Team</w:t>
            </w:r>
          </w:p>
        </w:tc>
        <w:tc>
          <w:tcPr>
            <w:tcW w:w="1500" w:type="dxa"/>
          </w:tcPr>
          <w:p w:rsidR="00F02084" w:rsidRPr="00825038" w:rsidRDefault="00F02084" w:rsidP="00496F4D">
            <w:pPr>
              <w:jc w:val="center"/>
              <w:rPr>
                <w:sz w:val="22"/>
                <w:szCs w:val="22"/>
              </w:rPr>
            </w:pPr>
            <w:r w:rsidRPr="00825038">
              <w:rPr>
                <w:sz w:val="22"/>
                <w:szCs w:val="22"/>
              </w:rPr>
              <w:t>£0</w:t>
            </w:r>
          </w:p>
        </w:tc>
        <w:tc>
          <w:tcPr>
            <w:tcW w:w="1400" w:type="dxa"/>
          </w:tcPr>
          <w:p w:rsidR="00F02084" w:rsidRPr="00825038" w:rsidRDefault="00F02084" w:rsidP="00496F4D">
            <w:pPr>
              <w:jc w:val="center"/>
              <w:rPr>
                <w:sz w:val="22"/>
                <w:szCs w:val="22"/>
              </w:rPr>
            </w:pPr>
            <w:r>
              <w:rPr>
                <w:sz w:val="22"/>
                <w:szCs w:val="22"/>
              </w:rPr>
              <w:t>£9.1</w:t>
            </w:r>
            <w:r w:rsidRPr="00825038">
              <w:rPr>
                <w:sz w:val="22"/>
                <w:szCs w:val="22"/>
              </w:rPr>
              <w:t>0</w:t>
            </w:r>
          </w:p>
        </w:tc>
        <w:tc>
          <w:tcPr>
            <w:tcW w:w="1500" w:type="dxa"/>
          </w:tcPr>
          <w:p w:rsidR="00F02084" w:rsidRPr="00825038" w:rsidRDefault="00F02084" w:rsidP="00496F4D">
            <w:pPr>
              <w:jc w:val="center"/>
              <w:rPr>
                <w:sz w:val="22"/>
                <w:szCs w:val="22"/>
              </w:rPr>
            </w:pPr>
            <w:r w:rsidRPr="00825038">
              <w:rPr>
                <w:sz w:val="22"/>
                <w:szCs w:val="22"/>
              </w:rPr>
              <w:t>£0</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FSM Eligibility Assessments</w:t>
            </w:r>
            <w:r>
              <w:rPr>
                <w:sz w:val="22"/>
                <w:szCs w:val="22"/>
              </w:rPr>
              <w:t xml:space="preserve"> (per FSM)</w:t>
            </w:r>
          </w:p>
        </w:tc>
        <w:tc>
          <w:tcPr>
            <w:tcW w:w="1500" w:type="dxa"/>
          </w:tcPr>
          <w:p w:rsidR="00F02084" w:rsidRPr="00825038" w:rsidRDefault="00F02084" w:rsidP="00496F4D">
            <w:pPr>
              <w:jc w:val="center"/>
              <w:rPr>
                <w:sz w:val="22"/>
                <w:szCs w:val="22"/>
              </w:rPr>
            </w:pPr>
            <w:r w:rsidRPr="00825038">
              <w:rPr>
                <w:sz w:val="22"/>
                <w:szCs w:val="22"/>
              </w:rPr>
              <w:t>£0</w:t>
            </w:r>
          </w:p>
        </w:tc>
        <w:tc>
          <w:tcPr>
            <w:tcW w:w="1400" w:type="dxa"/>
          </w:tcPr>
          <w:p w:rsidR="00F02084" w:rsidRPr="00825038" w:rsidRDefault="00F02084" w:rsidP="00496F4D">
            <w:pPr>
              <w:jc w:val="center"/>
              <w:rPr>
                <w:sz w:val="22"/>
                <w:szCs w:val="22"/>
              </w:rPr>
            </w:pPr>
            <w:r w:rsidRPr="00825038">
              <w:rPr>
                <w:sz w:val="22"/>
                <w:szCs w:val="22"/>
              </w:rPr>
              <w:t>£5.80</w:t>
            </w:r>
          </w:p>
        </w:tc>
        <w:tc>
          <w:tcPr>
            <w:tcW w:w="1500" w:type="dxa"/>
          </w:tcPr>
          <w:p w:rsidR="00F02084" w:rsidRPr="00825038" w:rsidRDefault="00F02084" w:rsidP="00496F4D">
            <w:pPr>
              <w:jc w:val="center"/>
              <w:rPr>
                <w:sz w:val="22"/>
                <w:szCs w:val="22"/>
              </w:rPr>
            </w:pPr>
            <w:r w:rsidRPr="00825038">
              <w:rPr>
                <w:sz w:val="22"/>
                <w:szCs w:val="22"/>
              </w:rPr>
              <w:t>£5.14</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Fischer Family Trust – School Licences</w:t>
            </w:r>
            <w:r>
              <w:rPr>
                <w:sz w:val="22"/>
                <w:szCs w:val="22"/>
              </w:rPr>
              <w:t xml:space="preserve"> *</w:t>
            </w:r>
          </w:p>
        </w:tc>
        <w:tc>
          <w:tcPr>
            <w:tcW w:w="1500" w:type="dxa"/>
          </w:tcPr>
          <w:p w:rsidR="00F02084" w:rsidRPr="00825038" w:rsidRDefault="00F02084" w:rsidP="00496F4D">
            <w:pPr>
              <w:jc w:val="center"/>
              <w:rPr>
                <w:sz w:val="22"/>
                <w:szCs w:val="22"/>
              </w:rPr>
            </w:pPr>
            <w:r w:rsidRPr="00825038">
              <w:rPr>
                <w:sz w:val="22"/>
                <w:szCs w:val="22"/>
              </w:rPr>
              <w:t>£0</w:t>
            </w:r>
          </w:p>
        </w:tc>
        <w:tc>
          <w:tcPr>
            <w:tcW w:w="1400" w:type="dxa"/>
          </w:tcPr>
          <w:p w:rsidR="00F02084" w:rsidRPr="00825038" w:rsidRDefault="00F02084" w:rsidP="00496F4D">
            <w:pPr>
              <w:jc w:val="center"/>
              <w:rPr>
                <w:sz w:val="22"/>
                <w:szCs w:val="22"/>
              </w:rPr>
            </w:pPr>
            <w:r w:rsidRPr="00825038">
              <w:rPr>
                <w:sz w:val="22"/>
                <w:szCs w:val="22"/>
              </w:rPr>
              <w:t>£0.</w:t>
            </w:r>
            <w:r>
              <w:rPr>
                <w:sz w:val="22"/>
                <w:szCs w:val="22"/>
              </w:rPr>
              <w:t>88</w:t>
            </w:r>
          </w:p>
        </w:tc>
        <w:tc>
          <w:tcPr>
            <w:tcW w:w="1500" w:type="dxa"/>
          </w:tcPr>
          <w:p w:rsidR="00F02084" w:rsidRPr="00825038" w:rsidRDefault="00F02084" w:rsidP="00496F4D">
            <w:pPr>
              <w:jc w:val="center"/>
              <w:rPr>
                <w:sz w:val="22"/>
                <w:szCs w:val="22"/>
              </w:rPr>
            </w:pPr>
            <w:r>
              <w:rPr>
                <w:sz w:val="22"/>
                <w:szCs w:val="22"/>
              </w:rPr>
              <w:t>£0</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School Maternity / Paternity ‘insurance’</w:t>
            </w:r>
            <w:r>
              <w:rPr>
                <w:sz w:val="22"/>
                <w:szCs w:val="22"/>
              </w:rPr>
              <w:t xml:space="preserve"> *</w:t>
            </w:r>
          </w:p>
        </w:tc>
        <w:tc>
          <w:tcPr>
            <w:tcW w:w="1500" w:type="dxa"/>
          </w:tcPr>
          <w:p w:rsidR="00F02084" w:rsidRPr="00825038" w:rsidRDefault="00F02084" w:rsidP="00496F4D">
            <w:pPr>
              <w:jc w:val="center"/>
              <w:rPr>
                <w:sz w:val="22"/>
                <w:szCs w:val="22"/>
              </w:rPr>
            </w:pPr>
            <w:r>
              <w:rPr>
                <w:sz w:val="22"/>
                <w:szCs w:val="22"/>
              </w:rPr>
              <w:t>£36.57</w:t>
            </w:r>
          </w:p>
        </w:tc>
        <w:tc>
          <w:tcPr>
            <w:tcW w:w="1400" w:type="dxa"/>
          </w:tcPr>
          <w:p w:rsidR="00F02084" w:rsidRPr="00825038" w:rsidRDefault="00F02084" w:rsidP="00496F4D">
            <w:pPr>
              <w:jc w:val="center"/>
              <w:rPr>
                <w:sz w:val="22"/>
                <w:szCs w:val="22"/>
              </w:rPr>
            </w:pPr>
            <w:r>
              <w:rPr>
                <w:sz w:val="22"/>
                <w:szCs w:val="22"/>
              </w:rPr>
              <w:t>£36.57</w:t>
            </w:r>
          </w:p>
        </w:tc>
        <w:tc>
          <w:tcPr>
            <w:tcW w:w="1500" w:type="dxa"/>
          </w:tcPr>
          <w:p w:rsidR="00F02084" w:rsidRPr="00825038" w:rsidRDefault="00F02084" w:rsidP="00496F4D">
            <w:pPr>
              <w:jc w:val="center"/>
              <w:rPr>
                <w:sz w:val="22"/>
                <w:szCs w:val="22"/>
              </w:rPr>
            </w:pPr>
            <w:r>
              <w:rPr>
                <w:sz w:val="22"/>
                <w:szCs w:val="22"/>
              </w:rPr>
              <w:t>£36.57</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Trade Union Facilities Time</w:t>
            </w:r>
          </w:p>
        </w:tc>
        <w:tc>
          <w:tcPr>
            <w:tcW w:w="1500" w:type="dxa"/>
          </w:tcPr>
          <w:p w:rsidR="00F02084" w:rsidRPr="00825038" w:rsidRDefault="00F02084" w:rsidP="00496F4D">
            <w:pPr>
              <w:jc w:val="center"/>
              <w:rPr>
                <w:sz w:val="22"/>
                <w:szCs w:val="22"/>
              </w:rPr>
            </w:pPr>
            <w:r w:rsidRPr="00825038">
              <w:rPr>
                <w:sz w:val="22"/>
                <w:szCs w:val="22"/>
              </w:rPr>
              <w:t>£4.56</w:t>
            </w:r>
          </w:p>
        </w:tc>
        <w:tc>
          <w:tcPr>
            <w:tcW w:w="1400" w:type="dxa"/>
          </w:tcPr>
          <w:p w:rsidR="00F02084" w:rsidRPr="00825038" w:rsidRDefault="00F02084" w:rsidP="00496F4D">
            <w:pPr>
              <w:jc w:val="center"/>
              <w:rPr>
                <w:sz w:val="22"/>
                <w:szCs w:val="22"/>
              </w:rPr>
            </w:pPr>
            <w:r w:rsidRPr="00825038">
              <w:rPr>
                <w:sz w:val="22"/>
                <w:szCs w:val="22"/>
              </w:rPr>
              <w:t>£4.56</w:t>
            </w:r>
          </w:p>
        </w:tc>
        <w:tc>
          <w:tcPr>
            <w:tcW w:w="1500" w:type="dxa"/>
          </w:tcPr>
          <w:p w:rsidR="00F02084" w:rsidRPr="00825038" w:rsidRDefault="00F02084" w:rsidP="00496F4D">
            <w:pPr>
              <w:jc w:val="center"/>
              <w:rPr>
                <w:sz w:val="22"/>
                <w:szCs w:val="22"/>
              </w:rPr>
            </w:pPr>
            <w:r w:rsidRPr="00825038">
              <w:rPr>
                <w:sz w:val="22"/>
                <w:szCs w:val="22"/>
              </w:rPr>
              <w:t>£4.56</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Trade Union Health and Safety Rep Time</w:t>
            </w:r>
          </w:p>
        </w:tc>
        <w:tc>
          <w:tcPr>
            <w:tcW w:w="1500" w:type="dxa"/>
          </w:tcPr>
          <w:p w:rsidR="00F02084" w:rsidRPr="00825038" w:rsidRDefault="00F02084" w:rsidP="00496F4D">
            <w:pPr>
              <w:jc w:val="center"/>
              <w:rPr>
                <w:sz w:val="22"/>
                <w:szCs w:val="22"/>
              </w:rPr>
            </w:pPr>
            <w:r w:rsidRPr="00825038">
              <w:rPr>
                <w:sz w:val="22"/>
                <w:szCs w:val="22"/>
              </w:rPr>
              <w:t>£0.70</w:t>
            </w:r>
          </w:p>
        </w:tc>
        <w:tc>
          <w:tcPr>
            <w:tcW w:w="1400" w:type="dxa"/>
          </w:tcPr>
          <w:p w:rsidR="00F02084" w:rsidRPr="00825038" w:rsidRDefault="00F02084" w:rsidP="00496F4D">
            <w:pPr>
              <w:jc w:val="center"/>
              <w:rPr>
                <w:sz w:val="22"/>
                <w:szCs w:val="22"/>
              </w:rPr>
            </w:pPr>
            <w:r w:rsidRPr="00825038">
              <w:rPr>
                <w:sz w:val="22"/>
                <w:szCs w:val="22"/>
              </w:rPr>
              <w:t>£0.70</w:t>
            </w:r>
          </w:p>
        </w:tc>
        <w:tc>
          <w:tcPr>
            <w:tcW w:w="1500" w:type="dxa"/>
          </w:tcPr>
          <w:p w:rsidR="00F02084" w:rsidRPr="00825038" w:rsidRDefault="00F02084" w:rsidP="00496F4D">
            <w:pPr>
              <w:jc w:val="center"/>
              <w:rPr>
                <w:sz w:val="22"/>
                <w:szCs w:val="22"/>
              </w:rPr>
            </w:pPr>
            <w:r w:rsidRPr="00825038">
              <w:rPr>
                <w:sz w:val="22"/>
                <w:szCs w:val="22"/>
              </w:rPr>
              <w:t>£0.70</w:t>
            </w:r>
          </w:p>
        </w:tc>
      </w:tr>
      <w:tr w:rsidR="00F02084" w:rsidRPr="00CE63F5" w:rsidTr="00496F4D">
        <w:trPr>
          <w:jc w:val="center"/>
        </w:trPr>
        <w:tc>
          <w:tcPr>
            <w:tcW w:w="5008" w:type="dxa"/>
            <w:shd w:val="clear" w:color="auto" w:fill="auto"/>
          </w:tcPr>
          <w:p w:rsidR="00F02084" w:rsidRPr="001D0D29" w:rsidRDefault="00F02084" w:rsidP="00496F4D">
            <w:pPr>
              <w:jc w:val="both"/>
              <w:rPr>
                <w:sz w:val="22"/>
                <w:szCs w:val="22"/>
              </w:rPr>
            </w:pPr>
            <w:r w:rsidRPr="001D0D29">
              <w:rPr>
                <w:sz w:val="22"/>
                <w:szCs w:val="22"/>
              </w:rPr>
              <w:t>School Staff Public Duties &amp; Suspensions Fund</w:t>
            </w:r>
            <w:r>
              <w:rPr>
                <w:sz w:val="22"/>
                <w:szCs w:val="22"/>
              </w:rPr>
              <w:t xml:space="preserve"> *</w:t>
            </w:r>
          </w:p>
        </w:tc>
        <w:tc>
          <w:tcPr>
            <w:tcW w:w="1500" w:type="dxa"/>
          </w:tcPr>
          <w:p w:rsidR="00F02084" w:rsidRPr="00825038" w:rsidRDefault="00F02084" w:rsidP="00496F4D">
            <w:pPr>
              <w:jc w:val="center"/>
              <w:rPr>
                <w:sz w:val="22"/>
                <w:szCs w:val="22"/>
              </w:rPr>
            </w:pPr>
            <w:r w:rsidRPr="00825038">
              <w:rPr>
                <w:sz w:val="22"/>
                <w:szCs w:val="22"/>
              </w:rPr>
              <w:t>£0.94</w:t>
            </w:r>
          </w:p>
        </w:tc>
        <w:tc>
          <w:tcPr>
            <w:tcW w:w="1400" w:type="dxa"/>
          </w:tcPr>
          <w:p w:rsidR="00F02084" w:rsidRPr="00825038" w:rsidRDefault="00F02084" w:rsidP="00496F4D">
            <w:pPr>
              <w:jc w:val="center"/>
              <w:rPr>
                <w:sz w:val="22"/>
                <w:szCs w:val="22"/>
              </w:rPr>
            </w:pPr>
            <w:r>
              <w:rPr>
                <w:sz w:val="22"/>
                <w:szCs w:val="22"/>
              </w:rPr>
              <w:t>£0.96</w:t>
            </w:r>
          </w:p>
        </w:tc>
        <w:tc>
          <w:tcPr>
            <w:tcW w:w="1500" w:type="dxa"/>
          </w:tcPr>
          <w:p w:rsidR="00F02084" w:rsidRPr="00825038" w:rsidRDefault="00F02084" w:rsidP="00496F4D">
            <w:pPr>
              <w:jc w:val="center"/>
              <w:rPr>
                <w:sz w:val="22"/>
                <w:szCs w:val="22"/>
              </w:rPr>
            </w:pPr>
            <w:r>
              <w:rPr>
                <w:sz w:val="22"/>
                <w:szCs w:val="22"/>
              </w:rPr>
              <w:t>£0</w:t>
            </w:r>
          </w:p>
        </w:tc>
      </w:tr>
      <w:tr w:rsidR="00F02084" w:rsidRPr="00CE63F5" w:rsidTr="00496F4D">
        <w:trPr>
          <w:jc w:val="center"/>
        </w:trPr>
        <w:tc>
          <w:tcPr>
            <w:tcW w:w="5008" w:type="dxa"/>
            <w:shd w:val="clear" w:color="auto" w:fill="auto"/>
          </w:tcPr>
          <w:p w:rsidR="00F02084" w:rsidRPr="001D0D29" w:rsidRDefault="00F02084" w:rsidP="00496F4D">
            <w:pPr>
              <w:jc w:val="both"/>
              <w:rPr>
                <w:b/>
                <w:bCs/>
                <w:sz w:val="22"/>
                <w:szCs w:val="22"/>
              </w:rPr>
            </w:pPr>
            <w:r w:rsidRPr="001D0D29">
              <w:rPr>
                <w:b/>
                <w:bCs/>
                <w:sz w:val="22"/>
                <w:szCs w:val="22"/>
              </w:rPr>
              <w:t>Total</w:t>
            </w:r>
            <w:r>
              <w:rPr>
                <w:b/>
                <w:bCs/>
                <w:sz w:val="22"/>
                <w:szCs w:val="22"/>
              </w:rPr>
              <w:t xml:space="preserve"> Per Pupil</w:t>
            </w:r>
          </w:p>
        </w:tc>
        <w:tc>
          <w:tcPr>
            <w:tcW w:w="1500" w:type="dxa"/>
          </w:tcPr>
          <w:p w:rsidR="00F02084" w:rsidRPr="00825038" w:rsidRDefault="00F02084" w:rsidP="00496F4D">
            <w:pPr>
              <w:jc w:val="center"/>
              <w:rPr>
                <w:b/>
                <w:bCs/>
                <w:sz w:val="22"/>
                <w:szCs w:val="22"/>
              </w:rPr>
            </w:pPr>
            <w:r>
              <w:rPr>
                <w:b/>
                <w:bCs/>
                <w:sz w:val="22"/>
                <w:szCs w:val="22"/>
              </w:rPr>
              <w:t>£42.77</w:t>
            </w:r>
          </w:p>
        </w:tc>
        <w:tc>
          <w:tcPr>
            <w:tcW w:w="1400" w:type="dxa"/>
          </w:tcPr>
          <w:p w:rsidR="00F02084" w:rsidRPr="00825038" w:rsidRDefault="00F02084" w:rsidP="00496F4D">
            <w:pPr>
              <w:jc w:val="center"/>
              <w:rPr>
                <w:b/>
                <w:bCs/>
                <w:sz w:val="22"/>
                <w:szCs w:val="22"/>
              </w:rPr>
            </w:pPr>
            <w:r>
              <w:rPr>
                <w:b/>
                <w:bCs/>
                <w:sz w:val="22"/>
                <w:szCs w:val="22"/>
              </w:rPr>
              <w:t>£52.76</w:t>
            </w:r>
          </w:p>
        </w:tc>
        <w:tc>
          <w:tcPr>
            <w:tcW w:w="1500" w:type="dxa"/>
          </w:tcPr>
          <w:p w:rsidR="00F02084" w:rsidRPr="00825038" w:rsidRDefault="00F02084" w:rsidP="00496F4D">
            <w:pPr>
              <w:jc w:val="center"/>
              <w:rPr>
                <w:b/>
                <w:bCs/>
                <w:sz w:val="22"/>
                <w:szCs w:val="22"/>
              </w:rPr>
            </w:pPr>
            <w:r>
              <w:rPr>
                <w:b/>
                <w:bCs/>
                <w:sz w:val="22"/>
                <w:szCs w:val="22"/>
              </w:rPr>
              <w:t>£41.83</w:t>
            </w:r>
          </w:p>
        </w:tc>
      </w:tr>
    </w:tbl>
    <w:p w:rsidR="00F02084" w:rsidRDefault="00F02084" w:rsidP="00F02084">
      <w:pPr>
        <w:jc w:val="both"/>
      </w:pPr>
    </w:p>
    <w:p w:rsidR="00F02084" w:rsidRDefault="00F02084" w:rsidP="00F02084">
      <w:pPr>
        <w:jc w:val="both"/>
        <w:rPr>
          <w:sz w:val="22"/>
          <w:szCs w:val="22"/>
        </w:rPr>
      </w:pPr>
      <w:r w:rsidRPr="00594A69">
        <w:rPr>
          <w:sz w:val="22"/>
          <w:szCs w:val="22"/>
        </w:rPr>
        <w:t xml:space="preserve">Each maintained school has contributed from its </w:t>
      </w:r>
      <w:r>
        <w:rPr>
          <w:sz w:val="22"/>
          <w:szCs w:val="22"/>
        </w:rPr>
        <w:t xml:space="preserve">2017/18 </w:t>
      </w:r>
      <w:r w:rsidRPr="00594A69">
        <w:rPr>
          <w:sz w:val="22"/>
          <w:szCs w:val="22"/>
        </w:rPr>
        <w:t>delegated budget share the amount per pupil (£app) shown above multiplied by its number of reception to year 11  pupils, or by its number of Ever 6 FSM formula pupils fo</w:t>
      </w:r>
      <w:r>
        <w:rPr>
          <w:sz w:val="22"/>
          <w:szCs w:val="22"/>
        </w:rPr>
        <w:t>r FSM Eligibility Assessments.</w:t>
      </w:r>
    </w:p>
    <w:p w:rsidR="00F02084" w:rsidRDefault="00F02084" w:rsidP="00F02084">
      <w:pPr>
        <w:jc w:val="both"/>
        <w:rPr>
          <w:sz w:val="22"/>
          <w:szCs w:val="22"/>
        </w:rPr>
      </w:pPr>
    </w:p>
    <w:p w:rsidR="00F02084" w:rsidRDefault="00F02084" w:rsidP="00F02084">
      <w:pPr>
        <w:jc w:val="both"/>
        <w:rPr>
          <w:sz w:val="22"/>
          <w:szCs w:val="22"/>
        </w:rPr>
      </w:pPr>
      <w:r>
        <w:rPr>
          <w:sz w:val="22"/>
          <w:szCs w:val="22"/>
        </w:rPr>
        <w:t>* De-delegation from the secondary phase has ceased for these items. Contributions will not be taken from the secondary phase in 2018/19.</w:t>
      </w:r>
    </w:p>
    <w:p w:rsidR="00F02084" w:rsidRDefault="00F02084" w:rsidP="00F02084">
      <w:pPr>
        <w:jc w:val="both"/>
        <w:rPr>
          <w:sz w:val="22"/>
          <w:szCs w:val="22"/>
        </w:rPr>
      </w:pPr>
    </w:p>
    <w:p w:rsidR="00F02084" w:rsidRDefault="00F02084">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rsidP="003418A1">
      <w:pPr>
        <w:rPr>
          <w:b/>
          <w:sz w:val="22"/>
          <w:szCs w:val="22"/>
        </w:rPr>
      </w:pPr>
    </w:p>
    <w:p w:rsidR="003418A1" w:rsidRDefault="003418A1" w:rsidP="003418A1">
      <w:pPr>
        <w:rPr>
          <w:b/>
          <w:sz w:val="28"/>
          <w:szCs w:val="28"/>
          <w:u w:val="single"/>
        </w:rPr>
      </w:pPr>
    </w:p>
    <w:p w:rsidR="003418A1" w:rsidRDefault="003418A1" w:rsidP="003418A1">
      <w:pPr>
        <w:jc w:val="center"/>
        <w:rPr>
          <w:b/>
          <w:sz w:val="28"/>
          <w:szCs w:val="28"/>
          <w:u w:val="single"/>
        </w:rPr>
      </w:pPr>
    </w:p>
    <w:p w:rsidR="003418A1" w:rsidRDefault="003418A1" w:rsidP="003418A1">
      <w:pPr>
        <w:jc w:val="center"/>
        <w:rPr>
          <w:b/>
          <w:sz w:val="28"/>
          <w:szCs w:val="28"/>
          <w:u w:val="single"/>
        </w:rPr>
      </w:pPr>
      <w:r>
        <w:rPr>
          <w:b/>
          <w:sz w:val="28"/>
          <w:szCs w:val="28"/>
          <w:u w:val="single"/>
        </w:rPr>
        <w:lastRenderedPageBreak/>
        <w:t xml:space="preserve">APPENDIX 4: RESPONSES </w:t>
      </w:r>
      <w:smartTag w:uri="urn:schemas-microsoft-com:office:smarttags" w:element="stockticker">
        <w:r>
          <w:rPr>
            <w:b/>
            <w:sz w:val="28"/>
            <w:szCs w:val="28"/>
            <w:u w:val="single"/>
          </w:rPr>
          <w:t>FORM</w:t>
        </w:r>
      </w:smartTag>
    </w:p>
    <w:p w:rsidR="003418A1" w:rsidRDefault="003418A1" w:rsidP="003418A1">
      <w:pPr>
        <w:jc w:val="center"/>
        <w:rPr>
          <w:b/>
          <w:sz w:val="28"/>
          <w:szCs w:val="28"/>
          <w:u w:val="single"/>
        </w:rPr>
      </w:pPr>
    </w:p>
    <w:p w:rsidR="003418A1" w:rsidRDefault="003418A1" w:rsidP="003418A1">
      <w:pPr>
        <w:jc w:val="center"/>
        <w:rPr>
          <w:sz w:val="28"/>
          <w:szCs w:val="28"/>
        </w:rPr>
      </w:pPr>
      <w:r>
        <w:rPr>
          <w:b/>
          <w:sz w:val="28"/>
          <w:szCs w:val="28"/>
          <w:u w:val="single"/>
        </w:rPr>
        <w:t>CONSULTATION &amp; INFORMATION ON PRIMARY &amp; SECONDARY FUNDING FORMULAE 2018/19 FINANCIAL YEAR</w:t>
      </w:r>
    </w:p>
    <w:p w:rsidR="003418A1" w:rsidRPr="00406CDD" w:rsidRDefault="003418A1" w:rsidP="003418A1">
      <w:pPr>
        <w:jc w:val="center"/>
        <w:rPr>
          <w:b/>
          <w:sz w:val="32"/>
          <w:szCs w:val="32"/>
          <w:u w:val="single"/>
        </w:rPr>
      </w:pPr>
    </w:p>
    <w:p w:rsidR="003418A1" w:rsidRDefault="003418A1" w:rsidP="003418A1">
      <w:pPr>
        <w:jc w:val="both"/>
        <w:rPr>
          <w:b/>
          <w:u w:val="single"/>
        </w:rPr>
      </w:pPr>
    </w:p>
    <w:p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rsidR="003418A1" w:rsidRDefault="003418A1" w:rsidP="003418A1">
      <w:pPr>
        <w:jc w:val="both"/>
        <w:rPr>
          <w:sz w:val="22"/>
          <w:szCs w:val="22"/>
        </w:rPr>
      </w:pPr>
      <w:r>
        <w:rPr>
          <w:sz w:val="22"/>
          <w:szCs w:val="22"/>
        </w:rPr>
        <w:tab/>
      </w:r>
    </w:p>
    <w:p w:rsidR="003418A1" w:rsidRDefault="003418A1" w:rsidP="003418A1">
      <w:pPr>
        <w:jc w:val="both"/>
        <w:rPr>
          <w:sz w:val="22"/>
          <w:szCs w:val="22"/>
        </w:rPr>
      </w:pPr>
      <w:r>
        <w:rPr>
          <w:sz w:val="22"/>
          <w:szCs w:val="22"/>
        </w:rPr>
        <w:t>Please choose your phase below:</w:t>
      </w:r>
    </w:p>
    <w:p w:rsidR="003418A1" w:rsidRDefault="003418A1" w:rsidP="003418A1">
      <w:pPr>
        <w:jc w:val="both"/>
        <w:rPr>
          <w:sz w:val="22"/>
          <w:szCs w:val="22"/>
        </w:rPr>
      </w:pPr>
    </w:p>
    <w:p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1" w:name="Check19"/>
      <w:r>
        <w:rPr>
          <w:sz w:val="22"/>
          <w:szCs w:val="22"/>
        </w:rPr>
        <w:instrText xml:space="preserve"> FORMCHECKBOX </w:instrText>
      </w:r>
      <w:r w:rsidR="00C618C5">
        <w:rPr>
          <w:sz w:val="22"/>
          <w:szCs w:val="22"/>
        </w:rPr>
      </w:r>
      <w:r w:rsidR="00C618C5">
        <w:rPr>
          <w:sz w:val="22"/>
          <w:szCs w:val="22"/>
        </w:rPr>
        <w:fldChar w:fldCharType="separate"/>
      </w:r>
      <w:r>
        <w:rPr>
          <w:sz w:val="22"/>
          <w:szCs w:val="22"/>
        </w:rPr>
        <w:fldChar w:fldCharType="end"/>
      </w:r>
      <w:bookmarkEnd w:id="1"/>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2" w:name="Check20"/>
      <w:r>
        <w:rPr>
          <w:sz w:val="22"/>
          <w:szCs w:val="22"/>
        </w:rPr>
        <w:instrText xml:space="preserve"> FORMCHECKBOX </w:instrText>
      </w:r>
      <w:r w:rsidR="00C618C5">
        <w:rPr>
          <w:sz w:val="22"/>
          <w:szCs w:val="22"/>
        </w:rPr>
      </w:r>
      <w:r w:rsidR="00C618C5">
        <w:rPr>
          <w:sz w:val="22"/>
          <w:szCs w:val="22"/>
        </w:rPr>
        <w:fldChar w:fldCharType="separate"/>
      </w:r>
      <w:r>
        <w:rPr>
          <w:sz w:val="22"/>
          <w:szCs w:val="22"/>
        </w:rPr>
        <w:fldChar w:fldCharType="end"/>
      </w:r>
      <w:bookmarkEnd w:id="2"/>
    </w:p>
    <w:p w:rsidR="003418A1" w:rsidRPr="00F07EE5" w:rsidRDefault="003418A1" w:rsidP="003418A1">
      <w:pPr>
        <w:jc w:val="both"/>
        <w:rPr>
          <w:b/>
          <w:sz w:val="22"/>
          <w:szCs w:val="22"/>
          <w:u w:val="single"/>
        </w:rPr>
      </w:pPr>
    </w:p>
    <w:p w:rsidR="003418A1" w:rsidRPr="00F07EE5" w:rsidRDefault="003418A1" w:rsidP="003418A1">
      <w:pPr>
        <w:jc w:val="center"/>
        <w:rPr>
          <w:b/>
          <w:color w:val="FF0000"/>
          <w:sz w:val="22"/>
          <w:szCs w:val="22"/>
        </w:rPr>
      </w:pPr>
    </w:p>
    <w:p w:rsidR="003418A1" w:rsidRPr="00F07EE5" w:rsidRDefault="003418A1" w:rsidP="003418A1">
      <w:pPr>
        <w:jc w:val="center"/>
        <w:rPr>
          <w:b/>
          <w:color w:val="FF0000"/>
          <w:sz w:val="22"/>
          <w:szCs w:val="22"/>
        </w:rPr>
      </w:pPr>
      <w:r w:rsidRPr="00F07EE5">
        <w:rPr>
          <w:b/>
          <w:color w:val="FF0000"/>
          <w:sz w:val="22"/>
          <w:szCs w:val="22"/>
        </w:rPr>
        <w:t>THE DEADLINE FOR RESPONSES T</w:t>
      </w:r>
      <w:r>
        <w:rPr>
          <w:b/>
          <w:color w:val="FF0000"/>
          <w:sz w:val="22"/>
          <w:szCs w:val="22"/>
        </w:rPr>
        <w:t>O THIS CONSULTATION IS MONDAY 4 DECEMBER 2017</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send completed questionnaire responses to:</w:t>
      </w:r>
    </w:p>
    <w:p w:rsidR="003418A1" w:rsidRPr="00F07EE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School Funding Team</w:t>
      </w:r>
      <w:r>
        <w:rPr>
          <w:sz w:val="22"/>
          <w:szCs w:val="22"/>
        </w:rPr>
        <w:t xml:space="preserve"> (FAO Andrew Redding)</w:t>
      </w:r>
    </w:p>
    <w:p w:rsidR="003418A1" w:rsidRPr="003E2F65" w:rsidRDefault="003418A1" w:rsidP="003418A1">
      <w:pPr>
        <w:jc w:val="both"/>
        <w:rPr>
          <w:sz w:val="22"/>
          <w:szCs w:val="22"/>
        </w:rPr>
      </w:pPr>
      <w:r w:rsidRPr="003E2F65">
        <w:rPr>
          <w:sz w:val="22"/>
          <w:szCs w:val="22"/>
        </w:rPr>
        <w:t>City of Bradford Metropolitan District Council</w:t>
      </w:r>
    </w:p>
    <w:p w:rsidR="003418A1" w:rsidRPr="003E2F65" w:rsidRDefault="003418A1" w:rsidP="003418A1">
      <w:pPr>
        <w:jc w:val="both"/>
        <w:rPr>
          <w:sz w:val="22"/>
          <w:szCs w:val="22"/>
        </w:rPr>
      </w:pPr>
      <w:r>
        <w:rPr>
          <w:sz w:val="22"/>
          <w:szCs w:val="22"/>
        </w:rPr>
        <w:t>Britannia House (1st Floor)</w:t>
      </w:r>
    </w:p>
    <w:p w:rsidR="003418A1" w:rsidRPr="003E2F65" w:rsidRDefault="003418A1" w:rsidP="003418A1">
      <w:pPr>
        <w:jc w:val="both"/>
        <w:rPr>
          <w:sz w:val="22"/>
          <w:szCs w:val="22"/>
        </w:rPr>
      </w:pPr>
      <w:r>
        <w:rPr>
          <w:sz w:val="22"/>
          <w:szCs w:val="22"/>
        </w:rPr>
        <w:t xml:space="preserve">Hall </w:t>
      </w:r>
      <w:proofErr w:type="spellStart"/>
      <w:r>
        <w:rPr>
          <w:sz w:val="22"/>
          <w:szCs w:val="22"/>
        </w:rPr>
        <w:t>Ings</w:t>
      </w:r>
      <w:proofErr w:type="spellEnd"/>
    </w:p>
    <w:p w:rsidR="003418A1" w:rsidRPr="003E2F65" w:rsidRDefault="003418A1" w:rsidP="003418A1">
      <w:pPr>
        <w:jc w:val="both"/>
        <w:rPr>
          <w:sz w:val="22"/>
          <w:szCs w:val="22"/>
        </w:rPr>
      </w:pPr>
      <w:r w:rsidRPr="003E2F65">
        <w:rPr>
          <w:sz w:val="22"/>
          <w:szCs w:val="22"/>
        </w:rPr>
        <w:t>Bradford</w:t>
      </w:r>
    </w:p>
    <w:p w:rsidR="003418A1" w:rsidRPr="003E2F65" w:rsidRDefault="003418A1" w:rsidP="003418A1">
      <w:pPr>
        <w:jc w:val="both"/>
        <w:rPr>
          <w:sz w:val="22"/>
          <w:szCs w:val="22"/>
        </w:rPr>
      </w:pPr>
      <w:r>
        <w:rPr>
          <w:sz w:val="22"/>
          <w:szCs w:val="22"/>
        </w:rPr>
        <w:t>BD1 1HX</w:t>
      </w:r>
    </w:p>
    <w:p w:rsidR="003418A1" w:rsidRPr="003E2F6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Pr>
          <w:sz w:val="22"/>
          <w:szCs w:val="22"/>
        </w:rPr>
        <w:t>432678</w:t>
      </w:r>
    </w:p>
    <w:p w:rsidR="003418A1" w:rsidRPr="00F07EE5" w:rsidRDefault="003418A1" w:rsidP="003418A1">
      <w:pPr>
        <w:jc w:val="both"/>
        <w:rPr>
          <w:sz w:val="22"/>
          <w:szCs w:val="22"/>
        </w:rPr>
      </w:pPr>
      <w:r w:rsidRPr="003E2F65">
        <w:rPr>
          <w:sz w:val="22"/>
          <w:szCs w:val="22"/>
        </w:rPr>
        <w:t xml:space="preserve">Fax: </w:t>
      </w:r>
      <w:r w:rsidRPr="003E2F65">
        <w:rPr>
          <w:sz w:val="22"/>
          <w:szCs w:val="22"/>
        </w:rPr>
        <w:tab/>
        <w:t xml:space="preserve">01274 </w:t>
      </w:r>
      <w:r>
        <w:rPr>
          <w:sz w:val="22"/>
          <w:szCs w:val="22"/>
        </w:rPr>
        <w:t>435054</w:t>
      </w:r>
    </w:p>
    <w:p w:rsidR="003418A1" w:rsidRPr="00F07EE5" w:rsidRDefault="003418A1" w:rsidP="003418A1">
      <w:pPr>
        <w:jc w:val="both"/>
        <w:rPr>
          <w:sz w:val="22"/>
          <w:szCs w:val="22"/>
        </w:rPr>
      </w:pPr>
      <w:r w:rsidRPr="00F07EE5">
        <w:rPr>
          <w:sz w:val="22"/>
          <w:szCs w:val="22"/>
        </w:rPr>
        <w:t xml:space="preserve">Email: </w:t>
      </w:r>
      <w:r w:rsidRPr="00F07EE5">
        <w:rPr>
          <w:sz w:val="22"/>
          <w:szCs w:val="22"/>
        </w:rPr>
        <w:tab/>
      </w:r>
      <w:hyperlink r:id="rId19" w:history="1">
        <w:r w:rsidRPr="008E0F27">
          <w:rPr>
            <w:rStyle w:val="Hyperlink"/>
            <w:sz w:val="22"/>
            <w:szCs w:val="22"/>
          </w:rPr>
          <w:t>andrew.redding@bradford.gov.uk</w:t>
        </w:r>
      </w:hyperlink>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rsidR="003418A1" w:rsidRDefault="003418A1" w:rsidP="003418A1">
      <w:pPr>
        <w:jc w:val="both"/>
      </w:pPr>
    </w:p>
    <w:p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0F75D66D" wp14:editId="36AFC294">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3418A1" w:rsidRDefault="003418A1" w:rsidP="003418A1">
      <w:pPr>
        <w:jc w:val="both"/>
        <w:rPr>
          <w:b/>
          <w:bCs/>
          <w:color w:val="0000FF"/>
          <w:sz w:val="22"/>
          <w:szCs w:val="22"/>
        </w:rPr>
      </w:pPr>
    </w:p>
    <w:p w:rsidR="003418A1" w:rsidRPr="00EF7EA1" w:rsidRDefault="003418A1" w:rsidP="003418A1">
      <w:pPr>
        <w:jc w:val="both"/>
        <w:rPr>
          <w:b/>
          <w:color w:val="0000FF"/>
          <w:sz w:val="22"/>
          <w:szCs w:val="22"/>
        </w:rPr>
      </w:pPr>
      <w:r w:rsidRPr="00EF7EA1">
        <w:rPr>
          <w:b/>
          <w:color w:val="0000FF"/>
          <w:sz w:val="22"/>
          <w:szCs w:val="22"/>
        </w:rPr>
        <w:t>Question 1: Do you agree with the proposal to ‘move to National Funding Formula’ at April 2018? If not, please explain why not.</w:t>
      </w:r>
    </w:p>
    <w:p w:rsidR="003418A1" w:rsidRDefault="003418A1" w:rsidP="003418A1">
      <w:pPr>
        <w:jc w:val="both"/>
        <w:rPr>
          <w:b/>
          <w:i/>
          <w:color w:val="0000FF"/>
          <w:sz w:val="12"/>
          <w:szCs w:val="12"/>
        </w:rPr>
      </w:pPr>
    </w:p>
    <w:p w:rsidR="003418A1" w:rsidRPr="00054437" w:rsidRDefault="003418A1" w:rsidP="003418A1">
      <w:pPr>
        <w:jc w:val="both"/>
        <w:rPr>
          <w:b/>
          <w:i/>
          <w:color w:val="0000FF"/>
          <w:sz w:val="12"/>
          <w:szCs w:val="12"/>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2A97632A" wp14:editId="0CC3FB5B">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eKwIAAFM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Pr="00F07EE5" w:rsidRDefault="003418A1" w:rsidP="003418A1">
      <w:pPr>
        <w:jc w:val="both"/>
        <w:rPr>
          <w:b/>
          <w:i/>
          <w:color w:val="0000FF"/>
          <w:sz w:val="18"/>
          <w:szCs w:val="18"/>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EF7EA1" w:rsidRDefault="003418A1" w:rsidP="003418A1">
      <w:pPr>
        <w:jc w:val="both"/>
        <w:rPr>
          <w:b/>
          <w:color w:val="0000FF"/>
          <w:sz w:val="22"/>
          <w:szCs w:val="22"/>
        </w:rPr>
      </w:pPr>
    </w:p>
    <w:p w:rsidR="003418A1" w:rsidRPr="00EF7EA1" w:rsidRDefault="003418A1" w:rsidP="003418A1">
      <w:pPr>
        <w:jc w:val="both"/>
        <w:rPr>
          <w:b/>
          <w:color w:val="0000FF"/>
          <w:sz w:val="22"/>
          <w:szCs w:val="22"/>
        </w:rPr>
      </w:pPr>
      <w:r w:rsidRPr="00EF7EA1">
        <w:rPr>
          <w:b/>
          <w:color w:val="0000FF"/>
          <w:sz w:val="22"/>
          <w:szCs w:val="22"/>
        </w:rPr>
        <w:lastRenderedPageBreak/>
        <w:t>Question 2: Do you agree with earmarking Schools Block funding on a phase-specific basis?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4384" behindDoc="0" locked="0" layoutInCell="1" allowOverlap="1" wp14:anchorId="18D0E6B0" wp14:editId="212EA623">
                <wp:simplePos x="0" y="0"/>
                <wp:positionH relativeFrom="column">
                  <wp:posOffset>3266</wp:posOffset>
                </wp:positionH>
                <wp:positionV relativeFrom="paragraph">
                  <wp:posOffset>285241</wp:posOffset>
                </wp:positionV>
                <wp:extent cx="6682154" cy="2019300"/>
                <wp:effectExtent l="0" t="0" r="23495" b="1905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54"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pt;margin-top:22.45pt;width:526.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O4MAIAAFk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Pr="00F07EE5" w:rsidRDefault="003418A1" w:rsidP="003418A1">
      <w:pPr>
        <w:jc w:val="both"/>
        <w:rPr>
          <w:b/>
          <w:i/>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t>Question 3: Do you agree with the proposal to set the Minimum Funding Guarantee at 0% in 2018/19, subject to final affordability?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5408" behindDoc="0" locked="0" layoutInCell="1" allowOverlap="1" wp14:anchorId="129D9394" wp14:editId="42335F9F">
                <wp:simplePos x="0" y="0"/>
                <wp:positionH relativeFrom="column">
                  <wp:posOffset>3265</wp:posOffset>
                </wp:positionH>
                <wp:positionV relativeFrom="paragraph">
                  <wp:posOffset>283573</wp:posOffset>
                </wp:positionV>
                <wp:extent cx="6682105" cy="2019300"/>
                <wp:effectExtent l="0" t="0" r="2349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pt;margin-top:22.35pt;width:526.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WM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t>Question 4: Do you agree with the proposal to set the Ceiling at + 3%</w:t>
      </w:r>
      <w:r>
        <w:rPr>
          <w:b/>
          <w:color w:val="0000FF"/>
          <w:sz w:val="22"/>
          <w:szCs w:val="22"/>
        </w:rPr>
        <w:t xml:space="preserve"> per pupil</w:t>
      </w:r>
      <w:r w:rsidRPr="00EF7EA1">
        <w:rPr>
          <w:b/>
          <w:color w:val="0000FF"/>
          <w:sz w:val="22"/>
          <w:szCs w:val="22"/>
        </w:rPr>
        <w:t xml:space="preserve"> in 2018/19, subject to final affordability?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261480B4" wp14:editId="7B9A4CEF">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aMA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lastRenderedPageBreak/>
        <w:t>Question 5: Do you agree with the proposal to seek to fully implement the DfE’s minimum per pupil funding floors in 2018/19, subject to final affordability?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5921B95E" wp14:editId="7DD13C10">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t>Question 6: Do you agree with the proposal, currently in outline, to earmark unallocated primary phase Schools Block monies to support SEND costs in primary schools and academies (by enhancing the SEN Floor), understanding that this will require the transfer of these monies to the High Needs Block?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8480" behindDoc="0" locked="0" layoutInCell="1" allowOverlap="1" wp14:anchorId="74AEF992" wp14:editId="77A94B39">
                <wp:simplePos x="0" y="0"/>
                <wp:positionH relativeFrom="column">
                  <wp:posOffset>3266</wp:posOffset>
                </wp:positionH>
                <wp:positionV relativeFrom="paragraph">
                  <wp:posOffset>283810</wp:posOffset>
                </wp:positionV>
                <wp:extent cx="6722110" cy="2019300"/>
                <wp:effectExtent l="0" t="0" r="21590" b="1905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pt;margin-top:22.35pt;width:529.3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ksMAIAAFk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CEU9ksMAIAAFkEAAAOAAAAAAAAAAAAAAAAAC4C&#10;AABkcnMvZTJvRG9jLnhtbFBLAQItABQABgAIAAAAIQC14/eL3wAAAAgBAAAPAAAAAAAAAAAAAAAA&#10;AIoEAABkcnMvZG93bnJldi54bWxQSwUGAAAAAAQABADzAAAAlgU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22"/>
          <w:szCs w:val="22"/>
        </w:rPr>
      </w:pPr>
      <w:r w:rsidRPr="00EF7EA1">
        <w:rPr>
          <w:b/>
          <w:color w:val="0000FF"/>
          <w:sz w:val="22"/>
          <w:szCs w:val="22"/>
        </w:rPr>
        <w:t>Question 7: Do you have any comments or feedback you wish to be taken into consideration on the position of the High Needs Block in 2018/19 and the relationship with mainstream formula funding?</w:t>
      </w:r>
    </w:p>
    <w:p w:rsidR="003418A1" w:rsidRPr="0011105F" w:rsidRDefault="003418A1" w:rsidP="003418A1">
      <w:pPr>
        <w:jc w:val="both"/>
        <w:rPr>
          <w:b/>
          <w:color w:val="0000FF"/>
          <w:sz w:val="22"/>
          <w:szCs w:val="22"/>
        </w:rPr>
      </w:pPr>
      <w:r>
        <w:rPr>
          <w:b/>
          <w:color w:val="0000FF"/>
        </w:rPr>
        <w:tab/>
      </w:r>
      <w:r>
        <w:rPr>
          <w:b/>
          <w:color w:val="0000FF"/>
        </w:rPr>
        <w:tab/>
      </w:r>
      <w:r>
        <w:rPr>
          <w:b/>
          <w:color w:val="0000FF"/>
        </w:rPr>
        <w:tab/>
      </w: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9504" behindDoc="0" locked="0" layoutInCell="1" allowOverlap="1" wp14:anchorId="22093921" wp14:editId="56E1700B">
                <wp:simplePos x="0" y="0"/>
                <wp:positionH relativeFrom="column">
                  <wp:posOffset>3175</wp:posOffset>
                </wp:positionH>
                <wp:positionV relativeFrom="paragraph">
                  <wp:posOffset>121285</wp:posOffset>
                </wp:positionV>
                <wp:extent cx="6722110" cy="2019300"/>
                <wp:effectExtent l="0" t="0" r="21590" b="1905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pt;margin-top:9.55pt;width:529.3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" strokecolor="blue">
                <v:textbox>
                  <w:txbxContent>
                    <w:p w:rsidR="003418A1" w:rsidRDefault="003418A1" w:rsidP="003418A1"/>
                    <w:p w:rsidR="003418A1" w:rsidRDefault="003418A1" w:rsidP="003418A1"/>
                  </w:txbxContent>
                </v:textbox>
              </v:shape>
            </w:pict>
          </mc:Fallback>
        </mc:AlternateContent>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lastRenderedPageBreak/>
        <w:t>Question 8: Do you agree with the proposal to continue with our current definition of notional SEN where we move to National Funding Formula?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0528" behindDoc="0" locked="0" layoutInCell="1" allowOverlap="1" wp14:anchorId="2C28CF08" wp14:editId="349B2BAA">
                <wp:simplePos x="0" y="0"/>
                <wp:positionH relativeFrom="column">
                  <wp:posOffset>3265</wp:posOffset>
                </wp:positionH>
                <wp:positionV relativeFrom="paragraph">
                  <wp:posOffset>285241</wp:posOffset>
                </wp:positionV>
                <wp:extent cx="6722347" cy="2019300"/>
                <wp:effectExtent l="0" t="0" r="21590" b="190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5pt;margin-top:22.45pt;width:529.3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OMQIAAFo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t>Question 9: Do you agree with the proposal to protect SEN Floor allocations for individual schools and academies in 2018/19 at least at their 2017/18 values?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71F2EB7A" wp14:editId="0F409325">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5sMAIAAFo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AH205sMAIAAFoEAAAOAAAAAAAAAAAAAAAAAC4C&#10;AABkcnMvZTJvRG9jLnhtbFBLAQItABQABgAIAAAAIQC14/eL3wAAAAgBAAAPAAAAAAAAAAAAAAAA&#10;AIoEAABkcnMvZG93bnJldi54bWxQSwUGAAAAAAQABADzAAAAlgU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Pr="00EF7EA1" w:rsidRDefault="003418A1" w:rsidP="003418A1">
      <w:pPr>
        <w:jc w:val="both"/>
        <w:rPr>
          <w:b/>
          <w:color w:val="0000FF"/>
          <w:sz w:val="22"/>
          <w:szCs w:val="22"/>
        </w:rPr>
      </w:pPr>
      <w:r w:rsidRPr="00EF7EA1">
        <w:rPr>
          <w:b/>
          <w:color w:val="0000FF"/>
          <w:sz w:val="22"/>
          <w:szCs w:val="22"/>
        </w:rPr>
        <w:t>Question 10: Do you agree with the proposal to continue the approaches to the factors currently outside the scope of the National Funding Formula as set out (split sites, pupil mobility, business rates, Growth Funding, BSF DSG affordability gap)? If not, please explain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0EF9F0AA" wp14:editId="25925358">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6PbLwIAAFo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i/>
          <w:color w:val="0000FF"/>
          <w:sz w:val="18"/>
          <w:szCs w:val="18"/>
        </w:rPr>
      </w:pPr>
    </w:p>
    <w:p w:rsidR="003418A1" w:rsidRDefault="003418A1" w:rsidP="003418A1">
      <w:pPr>
        <w:jc w:val="both"/>
        <w:rPr>
          <w:b/>
          <w:i/>
          <w:color w:val="0000FF"/>
          <w:sz w:val="18"/>
          <w:szCs w:val="18"/>
        </w:rPr>
      </w:pPr>
    </w:p>
    <w:p w:rsidR="003418A1" w:rsidRDefault="003418A1" w:rsidP="003418A1">
      <w:pPr>
        <w:jc w:val="both"/>
        <w:rPr>
          <w:b/>
          <w:i/>
          <w:color w:val="0000FF"/>
          <w:sz w:val="18"/>
          <w:szCs w:val="18"/>
        </w:rPr>
      </w:pPr>
    </w:p>
    <w:p w:rsidR="003418A1" w:rsidRDefault="003418A1" w:rsidP="003418A1">
      <w:pPr>
        <w:jc w:val="both"/>
        <w:rPr>
          <w:b/>
          <w:i/>
          <w:color w:val="0000FF"/>
          <w:sz w:val="18"/>
          <w:szCs w:val="18"/>
        </w:rPr>
      </w:pPr>
    </w:p>
    <w:p w:rsidR="003418A1" w:rsidRDefault="003418A1" w:rsidP="003418A1">
      <w:pPr>
        <w:jc w:val="both"/>
        <w:rPr>
          <w:b/>
          <w:i/>
          <w:color w:val="0000FF"/>
          <w:sz w:val="18"/>
          <w:szCs w:val="18"/>
        </w:rPr>
      </w:pPr>
    </w:p>
    <w:p w:rsidR="003418A1" w:rsidRPr="00145690" w:rsidRDefault="003418A1" w:rsidP="003418A1">
      <w:pPr>
        <w:jc w:val="both"/>
        <w:rPr>
          <w:b/>
          <w:color w:val="0000FF"/>
          <w:sz w:val="22"/>
          <w:szCs w:val="22"/>
        </w:rPr>
      </w:pPr>
      <w:r w:rsidRPr="00145690">
        <w:rPr>
          <w:b/>
          <w:color w:val="0000FF"/>
          <w:sz w:val="22"/>
          <w:szCs w:val="22"/>
        </w:rPr>
        <w:lastRenderedPageBreak/>
        <w:t>Question 11 – Should sums continue or cease to be de-delegated from maintained school budgets in 2018/19 for the purposes listed above? Please explain the reasons why if you believe that these should cease or change.</w:t>
      </w:r>
    </w:p>
    <w:p w:rsidR="003418A1" w:rsidRPr="00132FBC" w:rsidRDefault="003418A1" w:rsidP="003418A1">
      <w:pPr>
        <w:jc w:val="both"/>
        <w:rPr>
          <w:b/>
          <w:i/>
          <w:color w:val="0000FF"/>
          <w:sz w:val="12"/>
          <w:szCs w:val="12"/>
        </w:rPr>
      </w:pPr>
    </w:p>
    <w:p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3418A1" w:rsidRPr="00132FBC" w:rsidRDefault="003418A1" w:rsidP="003418A1">
      <w:pPr>
        <w:jc w:val="both"/>
        <w:rPr>
          <w:b/>
          <w:i/>
          <w:color w:val="0000FF"/>
          <w:sz w:val="4"/>
          <w:szCs w:val="4"/>
        </w:rPr>
      </w:pPr>
    </w:p>
    <w:p w:rsidR="003418A1" w:rsidRPr="00132FBC" w:rsidRDefault="003418A1" w:rsidP="003418A1">
      <w:pPr>
        <w:ind w:left="720"/>
        <w:rPr>
          <w:b/>
          <w:color w:val="0000FF"/>
          <w:sz w:val="12"/>
          <w:szCs w:val="12"/>
        </w:rPr>
      </w:pPr>
    </w:p>
    <w:p w:rsidR="003418A1" w:rsidRDefault="003418A1" w:rsidP="003418A1">
      <w:pPr>
        <w:ind w:left="720"/>
        <w:rPr>
          <w:b/>
          <w:color w:val="0000FF"/>
          <w:sz w:val="22"/>
          <w:szCs w:val="22"/>
        </w:rPr>
      </w:pPr>
      <w:smartTag w:uri="urn:schemas-microsoft-com:office:smarttags" w:element="stockticker">
        <w:r w:rsidRPr="000D22B0">
          <w:rPr>
            <w:b/>
            <w:color w:val="0000FF"/>
            <w:sz w:val="22"/>
            <w:szCs w:val="22"/>
          </w:rPr>
          <w:t>FSM</w:t>
        </w:r>
      </w:smartTag>
      <w:r w:rsidRPr="000D22B0">
        <w:rPr>
          <w:b/>
          <w:color w:val="0000FF"/>
          <w:sz w:val="22"/>
          <w:szCs w:val="22"/>
        </w:rPr>
        <w:t xml:space="preserve"> Eligibility Assessments</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5"/>
            <w:enabled/>
            <w:calcOnExit w:val="0"/>
            <w:checkBox>
              <w:sizeAuto/>
              <w:default w:val="0"/>
            </w:checkBox>
          </w:ffData>
        </w:fldChar>
      </w:r>
      <w:bookmarkStart w:id="3" w:name="Check5"/>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3"/>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3"/>
            <w:enabled/>
            <w:calcOnExit w:val="0"/>
            <w:checkBox>
              <w:sizeAuto/>
              <w:default w:val="0"/>
            </w:checkBox>
          </w:ffData>
        </w:fldChar>
      </w:r>
      <w:bookmarkStart w:id="4" w:name="Check13"/>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4"/>
    </w:p>
    <w:p w:rsidR="003418A1" w:rsidRPr="00132FBC" w:rsidRDefault="003418A1" w:rsidP="003418A1">
      <w:pPr>
        <w:ind w:left="720"/>
        <w:rPr>
          <w:b/>
          <w:color w:val="0000FF"/>
          <w:sz w:val="12"/>
          <w:szCs w:val="12"/>
        </w:rPr>
      </w:pPr>
    </w:p>
    <w:p w:rsidR="003418A1" w:rsidRDefault="003418A1" w:rsidP="003418A1">
      <w:pPr>
        <w:ind w:firstLine="720"/>
        <w:rPr>
          <w:b/>
          <w:color w:val="0000FF"/>
          <w:sz w:val="22"/>
          <w:szCs w:val="22"/>
        </w:rPr>
      </w:pPr>
      <w:r w:rsidRPr="000D22B0">
        <w:rPr>
          <w:b/>
          <w:color w:val="0000FF"/>
          <w:sz w:val="22"/>
          <w:szCs w:val="22"/>
        </w:rPr>
        <w:t>Fischer Family Trust – School Licences</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6"/>
            <w:enabled/>
            <w:calcOnExit w:val="0"/>
            <w:checkBox>
              <w:sizeAuto/>
              <w:default w:val="0"/>
            </w:checkBox>
          </w:ffData>
        </w:fldChar>
      </w:r>
      <w:bookmarkStart w:id="5" w:name="Check6"/>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5"/>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4"/>
            <w:enabled/>
            <w:calcOnExit w:val="0"/>
            <w:checkBox>
              <w:sizeAuto/>
              <w:default w:val="0"/>
            </w:checkBox>
          </w:ffData>
        </w:fldChar>
      </w:r>
      <w:bookmarkStart w:id="6" w:name="Check14"/>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6"/>
    </w:p>
    <w:p w:rsidR="003418A1" w:rsidRPr="00132FBC" w:rsidRDefault="003418A1" w:rsidP="003418A1">
      <w:pPr>
        <w:ind w:left="720"/>
        <w:rPr>
          <w:b/>
          <w:color w:val="0000FF"/>
          <w:sz w:val="12"/>
          <w:szCs w:val="12"/>
        </w:rPr>
      </w:pPr>
    </w:p>
    <w:p w:rsidR="003418A1" w:rsidRDefault="003418A1" w:rsidP="003418A1">
      <w:pPr>
        <w:ind w:left="720"/>
        <w:rPr>
          <w:b/>
          <w:color w:val="0000FF"/>
          <w:sz w:val="22"/>
          <w:szCs w:val="22"/>
        </w:rPr>
      </w:pPr>
      <w:r w:rsidRPr="000D22B0">
        <w:rPr>
          <w:b/>
          <w:color w:val="0000FF"/>
          <w:sz w:val="22"/>
          <w:szCs w:val="22"/>
        </w:rPr>
        <w:t>School Maternity / Paternity ‘insurance’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7"/>
            <w:enabled/>
            <w:calcOnExit w:val="0"/>
            <w:checkBox>
              <w:sizeAuto/>
              <w:default w:val="0"/>
            </w:checkBox>
          </w:ffData>
        </w:fldChar>
      </w:r>
      <w:bookmarkStart w:id="7" w:name="Check7"/>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7"/>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5"/>
            <w:enabled/>
            <w:calcOnExit w:val="0"/>
            <w:checkBox>
              <w:sizeAuto/>
              <w:default w:val="0"/>
            </w:checkBox>
          </w:ffData>
        </w:fldChar>
      </w:r>
      <w:bookmarkStart w:id="8" w:name="Check15"/>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8"/>
    </w:p>
    <w:p w:rsidR="003418A1" w:rsidRPr="00132FBC" w:rsidRDefault="003418A1" w:rsidP="003418A1">
      <w:pPr>
        <w:ind w:left="720"/>
        <w:rPr>
          <w:b/>
          <w:color w:val="0000FF"/>
          <w:sz w:val="12"/>
          <w:szCs w:val="12"/>
        </w:rPr>
      </w:pPr>
    </w:p>
    <w:p w:rsidR="003418A1" w:rsidRDefault="003418A1" w:rsidP="003418A1">
      <w:pPr>
        <w:ind w:left="720"/>
        <w:rPr>
          <w:b/>
          <w:color w:val="0000FF"/>
          <w:sz w:val="22"/>
          <w:szCs w:val="22"/>
        </w:rPr>
      </w:pPr>
      <w:r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8"/>
            <w:enabled/>
            <w:calcOnExit w:val="0"/>
            <w:checkBox>
              <w:sizeAuto/>
              <w:default w:val="0"/>
            </w:checkBox>
          </w:ffData>
        </w:fldChar>
      </w:r>
      <w:bookmarkStart w:id="9" w:name="Check8"/>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9"/>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6"/>
            <w:enabled/>
            <w:calcOnExit w:val="0"/>
            <w:checkBox>
              <w:sizeAuto/>
              <w:default w:val="0"/>
            </w:checkBox>
          </w:ffData>
        </w:fldChar>
      </w:r>
      <w:bookmarkStart w:id="10" w:name="Check16"/>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10"/>
    </w:p>
    <w:p w:rsidR="003418A1" w:rsidRPr="00132FBC" w:rsidRDefault="003418A1" w:rsidP="003418A1">
      <w:pPr>
        <w:ind w:left="720"/>
        <w:rPr>
          <w:b/>
          <w:color w:val="0000FF"/>
          <w:sz w:val="12"/>
          <w:szCs w:val="12"/>
        </w:rPr>
      </w:pPr>
    </w:p>
    <w:p w:rsidR="003418A1" w:rsidRDefault="003418A1" w:rsidP="003418A1">
      <w:pPr>
        <w:ind w:left="720"/>
        <w:jc w:val="both"/>
        <w:rPr>
          <w:b/>
          <w:color w:val="0000FF"/>
          <w:sz w:val="22"/>
          <w:szCs w:val="22"/>
        </w:rPr>
      </w:pPr>
      <w:r w:rsidRPr="000D22B0">
        <w:rPr>
          <w:b/>
          <w:color w:val="0000FF"/>
          <w:sz w:val="22"/>
          <w:szCs w:val="22"/>
        </w:rPr>
        <w:t>Trade Union Health and Safety Rep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9"/>
            <w:enabled/>
            <w:calcOnExit w:val="0"/>
            <w:checkBox>
              <w:sizeAuto/>
              <w:default w:val="0"/>
            </w:checkBox>
          </w:ffData>
        </w:fldChar>
      </w:r>
      <w:bookmarkStart w:id="11" w:name="Check9"/>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11"/>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7"/>
            <w:enabled/>
            <w:calcOnExit w:val="0"/>
            <w:checkBox>
              <w:sizeAuto/>
              <w:default w:val="0"/>
            </w:checkBox>
          </w:ffData>
        </w:fldChar>
      </w:r>
      <w:bookmarkStart w:id="12" w:name="Check17"/>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12"/>
    </w:p>
    <w:p w:rsidR="003418A1" w:rsidRPr="00132FBC" w:rsidRDefault="003418A1" w:rsidP="003418A1">
      <w:pPr>
        <w:ind w:left="720"/>
        <w:jc w:val="both"/>
        <w:rPr>
          <w:b/>
          <w:color w:val="0000FF"/>
          <w:sz w:val="12"/>
          <w:szCs w:val="12"/>
        </w:rPr>
      </w:pPr>
    </w:p>
    <w:p w:rsidR="003418A1" w:rsidRPr="000D22B0" w:rsidRDefault="003418A1" w:rsidP="003418A1">
      <w:pPr>
        <w:ind w:left="720"/>
        <w:jc w:val="both"/>
        <w:rPr>
          <w:b/>
          <w:color w:val="0000FF"/>
          <w:sz w:val="22"/>
          <w:szCs w:val="22"/>
        </w:rPr>
      </w:pPr>
      <w:r w:rsidRPr="000D22B0">
        <w:rPr>
          <w:b/>
          <w:color w:val="0000FF"/>
          <w:sz w:val="22"/>
          <w:szCs w:val="22"/>
        </w:rPr>
        <w:t>School Staff Public Duties and Suspensions Fund</w:t>
      </w:r>
      <w:r>
        <w:rPr>
          <w:b/>
          <w:color w:val="0000FF"/>
          <w:sz w:val="22"/>
          <w:szCs w:val="22"/>
        </w:rPr>
        <w:tab/>
      </w:r>
      <w:r>
        <w:rPr>
          <w:b/>
          <w:color w:val="0000FF"/>
          <w:sz w:val="22"/>
          <w:szCs w:val="22"/>
        </w:rPr>
        <w:tab/>
      </w:r>
      <w:r>
        <w:rPr>
          <w:b/>
          <w:color w:val="0000FF"/>
          <w:sz w:val="22"/>
          <w:szCs w:val="22"/>
        </w:rPr>
        <w:fldChar w:fldCharType="begin">
          <w:ffData>
            <w:name w:val="Check10"/>
            <w:enabled/>
            <w:calcOnExit w:val="0"/>
            <w:checkBox>
              <w:sizeAuto/>
              <w:default w:val="0"/>
            </w:checkBox>
          </w:ffData>
        </w:fldChar>
      </w:r>
      <w:bookmarkStart w:id="13" w:name="Check10"/>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13"/>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8"/>
            <w:enabled/>
            <w:calcOnExit w:val="0"/>
            <w:checkBox>
              <w:sizeAuto/>
              <w:default w:val="0"/>
            </w:checkBox>
          </w:ffData>
        </w:fldChar>
      </w:r>
      <w:bookmarkStart w:id="14" w:name="Check18"/>
      <w:r>
        <w:rPr>
          <w:b/>
          <w:color w:val="0000FF"/>
          <w:sz w:val="22"/>
          <w:szCs w:val="22"/>
        </w:rPr>
        <w:instrText xml:space="preserve"> FORMCHECKBOX </w:instrText>
      </w:r>
      <w:r w:rsidR="00C618C5">
        <w:rPr>
          <w:b/>
          <w:color w:val="0000FF"/>
          <w:sz w:val="22"/>
          <w:szCs w:val="22"/>
        </w:rPr>
      </w:r>
      <w:r w:rsidR="00C618C5">
        <w:rPr>
          <w:b/>
          <w:color w:val="0000FF"/>
          <w:sz w:val="22"/>
          <w:szCs w:val="22"/>
        </w:rPr>
        <w:fldChar w:fldCharType="separate"/>
      </w:r>
      <w:r>
        <w:rPr>
          <w:b/>
          <w:color w:val="0000FF"/>
          <w:sz w:val="22"/>
          <w:szCs w:val="22"/>
        </w:rPr>
        <w:fldChar w:fldCharType="end"/>
      </w:r>
      <w:bookmarkEnd w:id="14"/>
    </w:p>
    <w:p w:rsidR="003418A1" w:rsidRDefault="003418A1" w:rsidP="003418A1">
      <w:pPr>
        <w:jc w:val="both"/>
        <w:rPr>
          <w:b/>
          <w:i/>
          <w:color w:val="0000FF"/>
          <w:sz w:val="22"/>
          <w:szCs w:val="22"/>
        </w:rPr>
      </w:pPr>
      <w:r>
        <w:rPr>
          <w:b/>
          <w:i/>
          <w:noProof/>
          <w:color w:val="0000FF"/>
          <w:sz w:val="22"/>
          <w:szCs w:val="22"/>
        </w:rPr>
        <mc:AlternateContent>
          <mc:Choice Requires="wps">
            <w:drawing>
              <wp:anchor distT="0" distB="0" distL="114300" distR="114300" simplePos="0" relativeHeight="251661312" behindDoc="0" locked="0" layoutInCell="1" allowOverlap="1" wp14:anchorId="5066A528" wp14:editId="0CDADAD6">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rsidR="003418A1" w:rsidRPr="006B3FBE" w:rsidRDefault="003418A1"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" strokecolor="blue">
                <v:textbox>
                  <w:txbxContent>
                    <w:p w:rsidR="003418A1" w:rsidRPr="006B3FBE" w:rsidRDefault="003418A1" w:rsidP="003418A1">
                      <w:pPr>
                        <w:rPr>
                          <w:color w:val="0000FF"/>
                        </w:rPr>
                      </w:pPr>
                      <w:r w:rsidRPr="006B3FBE">
                        <w:rPr>
                          <w:color w:val="0000FF"/>
                        </w:rPr>
                        <w:t>Please provide any additional comments here:</w:t>
                      </w:r>
                    </w:p>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A65C44" w:rsidRDefault="003418A1" w:rsidP="003418A1">
      <w:pPr>
        <w:jc w:val="both"/>
        <w:rPr>
          <w:b/>
          <w:color w:val="0000FF"/>
          <w:sz w:val="22"/>
          <w:szCs w:val="22"/>
        </w:rPr>
      </w:pPr>
      <w:r w:rsidRPr="00A65C44">
        <w:rPr>
          <w:b/>
          <w:color w:val="0000FF"/>
          <w:sz w:val="22"/>
          <w:szCs w:val="22"/>
        </w:rPr>
        <w:t>Question 12 - Do you agree with the proposed criteria and methodology for the allocation of the growth funding to schools and academies in 2018/19? If not, please explain the reasons why not.</w:t>
      </w:r>
    </w:p>
    <w:p w:rsidR="003418A1" w:rsidRDefault="003418A1" w:rsidP="003418A1">
      <w:pPr>
        <w:jc w:val="both"/>
        <w:rPr>
          <w:b/>
          <w:color w:val="0000FF"/>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2336" behindDoc="0" locked="0" layoutInCell="1" allowOverlap="1" wp14:anchorId="335CE46B" wp14:editId="0DB39CDD">
                <wp:simplePos x="0" y="0"/>
                <wp:positionH relativeFrom="column">
                  <wp:posOffset>3266</wp:posOffset>
                </wp:positionH>
                <wp:positionV relativeFrom="paragraph">
                  <wp:posOffset>284403</wp:posOffset>
                </wp:positionV>
                <wp:extent cx="6691630" cy="1619250"/>
                <wp:effectExtent l="0" t="0" r="13970" b="1905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61925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left:0;text-align:left;margin-left:.25pt;margin-top:22.4pt;width:526.9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A65C44" w:rsidRDefault="003418A1" w:rsidP="003418A1">
      <w:pPr>
        <w:jc w:val="both"/>
        <w:rPr>
          <w:b/>
          <w:color w:val="0000FF"/>
          <w:sz w:val="22"/>
          <w:szCs w:val="22"/>
        </w:rPr>
      </w:pPr>
      <w:r w:rsidRPr="00A65C44">
        <w:rPr>
          <w:b/>
          <w:color w:val="0000FF"/>
          <w:sz w:val="22"/>
          <w:szCs w:val="22"/>
        </w:rPr>
        <w:t>Question 13 - Do you agree with the centrally managed funds, and their criteria, that are proposed to be held in the DSG in 2018/19? If not, please explain the reasons why not.</w:t>
      </w:r>
    </w:p>
    <w:p w:rsidR="003418A1" w:rsidRDefault="003418A1" w:rsidP="003418A1">
      <w:pPr>
        <w:jc w:val="both"/>
        <w:rPr>
          <w:b/>
          <w:color w:val="0000FF"/>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3600" behindDoc="0" locked="0" layoutInCell="1" allowOverlap="1" wp14:anchorId="55AC4060" wp14:editId="4C2E80C2">
                <wp:simplePos x="0" y="0"/>
                <wp:positionH relativeFrom="column">
                  <wp:posOffset>3266</wp:posOffset>
                </wp:positionH>
                <wp:positionV relativeFrom="paragraph">
                  <wp:posOffset>280810</wp:posOffset>
                </wp:positionV>
                <wp:extent cx="6691630" cy="1619250"/>
                <wp:effectExtent l="0" t="0" r="13970" b="1905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619250"/>
                        </a:xfrm>
                        <a:prstGeom prst="rect">
                          <a:avLst/>
                        </a:prstGeom>
                        <a:solidFill>
                          <a:srgbClr val="FFFFFF"/>
                        </a:solidFill>
                        <a:ln w="9525">
                          <a:solidFill>
                            <a:srgbClr val="0000FF"/>
                          </a:solidFill>
                          <a:miter lim="800000"/>
                          <a:headEnd/>
                          <a:tailEnd/>
                        </a:ln>
                      </wps:spPr>
                      <wps:txb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5pt;margin-top:22.1pt;width:526.9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" strokecolor="blue">
                <v:textbox>
                  <w:txbxContent>
                    <w:p w:rsidR="003418A1" w:rsidRPr="00B102E7" w:rsidRDefault="003418A1" w:rsidP="003418A1">
                      <w:pPr>
                        <w:rPr>
                          <w:color w:val="0000FF"/>
                        </w:rPr>
                      </w:pPr>
                      <w:r w:rsidRPr="00B102E7">
                        <w:rPr>
                          <w:color w:val="0000FF"/>
                        </w:rPr>
                        <w:t>If not, please provide further explanation here:</w:t>
                      </w:r>
                    </w:p>
                    <w:p w:rsidR="003418A1" w:rsidRDefault="003418A1"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618C5">
        <w:rPr>
          <w:b/>
          <w:color w:val="0000FF"/>
        </w:rPr>
      </w:r>
      <w:r w:rsidR="00C618C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Pr="00A65C44" w:rsidRDefault="003418A1" w:rsidP="003418A1">
      <w:pPr>
        <w:jc w:val="both"/>
        <w:rPr>
          <w:b/>
          <w:color w:val="0000FF"/>
          <w:sz w:val="22"/>
          <w:szCs w:val="22"/>
        </w:rPr>
      </w:pPr>
      <w:r w:rsidRPr="00A65C44">
        <w:rPr>
          <w:b/>
          <w:color w:val="0000FF"/>
          <w:sz w:val="22"/>
          <w:szCs w:val="22"/>
        </w:rPr>
        <w:lastRenderedPageBreak/>
        <w:t>Please use the space below to record any further comments you would like to make on the proposals, which you have not included in your other responses.</w:t>
      </w:r>
    </w:p>
    <w:p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322A56B5" wp14:editId="1D4D1CEC">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rsidR="003418A1" w:rsidRPr="006B3FBE" w:rsidRDefault="003418A1"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" strokecolor="blue">
                <v:textbox>
                  <w:txbxContent>
                    <w:p w:rsidR="003418A1" w:rsidRPr="006B3FBE" w:rsidRDefault="003418A1" w:rsidP="003418A1"/>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6B3FBE" w:rsidRDefault="003418A1" w:rsidP="003418A1">
      <w:pPr>
        <w:jc w:val="both"/>
        <w:rPr>
          <w:b/>
          <w:i/>
          <w:color w:val="0000FF"/>
          <w:sz w:val="22"/>
          <w:szCs w:val="22"/>
        </w:rPr>
      </w:pPr>
    </w:p>
    <w:p w:rsidR="003418A1" w:rsidRDefault="003418A1" w:rsidP="003418A1">
      <w:pPr>
        <w:jc w:val="both"/>
      </w:pPr>
    </w:p>
    <w:p w:rsidR="003418A1" w:rsidRDefault="003418A1" w:rsidP="003418A1">
      <w:pPr>
        <w:jc w:val="both"/>
      </w:pPr>
    </w:p>
    <w:p w:rsidR="003418A1" w:rsidRDefault="003418A1" w:rsidP="003418A1">
      <w:pPr>
        <w:jc w:val="both"/>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Pr="00A102B1" w:rsidRDefault="003418A1" w:rsidP="003418A1">
      <w:pPr>
        <w:jc w:val="both"/>
        <w:rPr>
          <w:b/>
          <w:i/>
        </w:rPr>
      </w:pPr>
      <w:r w:rsidRPr="00A102B1">
        <w:rPr>
          <w:b/>
          <w:i/>
        </w:rPr>
        <w:t>Please send completed questionnaire responses to Andrew Redding</w:t>
      </w:r>
      <w:r>
        <w:rPr>
          <w:b/>
          <w:i/>
        </w:rPr>
        <w:t xml:space="preserve"> by Monday 4 December 2017</w:t>
      </w:r>
      <w:r w:rsidRPr="00A102B1">
        <w:rPr>
          <w:b/>
          <w:i/>
        </w:rPr>
        <w:t>:</w:t>
      </w:r>
    </w:p>
    <w:p w:rsidR="003418A1" w:rsidRPr="00A102B1" w:rsidRDefault="003418A1" w:rsidP="003418A1">
      <w:pPr>
        <w:jc w:val="both"/>
        <w:rPr>
          <w:b/>
          <w:i/>
        </w:rPr>
      </w:pPr>
    </w:p>
    <w:p w:rsidR="003418A1" w:rsidRPr="00A102B1" w:rsidRDefault="003418A1" w:rsidP="003418A1">
      <w:pPr>
        <w:numPr>
          <w:ilvl w:val="0"/>
          <w:numId w:val="40"/>
        </w:numPr>
        <w:spacing w:after="120"/>
        <w:jc w:val="both"/>
      </w:pPr>
      <w:r w:rsidRPr="00A102B1">
        <w:rPr>
          <w:i/>
        </w:rPr>
        <w:t>E-mail:</w:t>
      </w:r>
      <w:r w:rsidRPr="00A102B1">
        <w:t xml:space="preserve"> </w:t>
      </w:r>
      <w:r w:rsidRPr="00A102B1">
        <w:tab/>
      </w:r>
      <w:hyperlink r:id="rId20" w:history="1">
        <w:r w:rsidRPr="008E0F27">
          <w:rPr>
            <w:rStyle w:val="Hyperlink"/>
            <w:b/>
          </w:rPr>
          <w:t>andrew.redding@bradford.gov.uk</w:t>
        </w:r>
      </w:hyperlink>
    </w:p>
    <w:p w:rsidR="003418A1" w:rsidRPr="00A102B1" w:rsidRDefault="003418A1" w:rsidP="003418A1">
      <w:pPr>
        <w:numPr>
          <w:ilvl w:val="0"/>
          <w:numId w:val="40"/>
        </w:numPr>
        <w:spacing w:before="120" w:after="120"/>
        <w:jc w:val="both"/>
      </w:pPr>
      <w:r w:rsidRPr="00A102B1">
        <w:rPr>
          <w:i/>
        </w:rPr>
        <w:t>Fax:</w:t>
      </w:r>
      <w:r w:rsidRPr="00A102B1">
        <w:tab/>
      </w:r>
      <w:r w:rsidRPr="00A102B1">
        <w:rPr>
          <w:b/>
        </w:rPr>
        <w:t>01274 435054</w:t>
      </w:r>
    </w:p>
    <w:p w:rsidR="003418A1" w:rsidRPr="00A102B1" w:rsidRDefault="003418A1" w:rsidP="003418A1">
      <w:pPr>
        <w:numPr>
          <w:ilvl w:val="0"/>
          <w:numId w:val="40"/>
        </w:numPr>
        <w:ind w:left="1418" w:hanging="1418"/>
        <w:jc w:val="both"/>
        <w:rPr>
          <w:b/>
          <w:u w:val="single"/>
        </w:rPr>
      </w:pPr>
      <w:r w:rsidRPr="00A102B1">
        <w:rPr>
          <w:i/>
        </w:rPr>
        <w:t>Post:</w:t>
      </w:r>
      <w:r w:rsidRPr="00A102B1">
        <w:tab/>
      </w:r>
      <w:r w:rsidRPr="00A102B1">
        <w:rPr>
          <w:b/>
        </w:rPr>
        <w:t xml:space="preserve">School Funding Team (FAO </w:t>
      </w:r>
      <w:r>
        <w:rPr>
          <w:b/>
        </w:rPr>
        <w:t>Andrew Redding</w:t>
      </w:r>
      <w:r w:rsidRPr="00A102B1">
        <w:rPr>
          <w:b/>
        </w:rPr>
        <w:t>)</w:t>
      </w:r>
    </w:p>
    <w:p w:rsidR="003418A1" w:rsidRPr="00A102B1" w:rsidRDefault="003418A1" w:rsidP="003418A1">
      <w:pPr>
        <w:ind w:left="720" w:firstLine="698"/>
        <w:jc w:val="both"/>
        <w:rPr>
          <w:b/>
        </w:rPr>
      </w:pPr>
      <w:r w:rsidRPr="00A102B1">
        <w:rPr>
          <w:b/>
        </w:rPr>
        <w:t>City of Bradford Metropolitan District Council</w:t>
      </w:r>
    </w:p>
    <w:p w:rsidR="003418A1" w:rsidRPr="00A102B1" w:rsidRDefault="003418A1" w:rsidP="003418A1">
      <w:pPr>
        <w:ind w:left="720" w:firstLine="698"/>
        <w:jc w:val="both"/>
        <w:rPr>
          <w:b/>
        </w:rPr>
      </w:pPr>
      <w:r w:rsidRPr="00A102B1">
        <w:rPr>
          <w:b/>
        </w:rPr>
        <w:t>Britannia House (1</w:t>
      </w:r>
      <w:r w:rsidRPr="00A102B1">
        <w:rPr>
          <w:b/>
          <w:vertAlign w:val="superscript"/>
        </w:rPr>
        <w:t>st</w:t>
      </w:r>
      <w:r w:rsidRPr="00A102B1">
        <w:rPr>
          <w:b/>
        </w:rPr>
        <w:t xml:space="preserve"> Floor)</w:t>
      </w:r>
    </w:p>
    <w:p w:rsidR="003418A1" w:rsidRPr="00A102B1" w:rsidRDefault="003418A1" w:rsidP="003418A1">
      <w:pPr>
        <w:ind w:left="720" w:firstLine="698"/>
        <w:jc w:val="both"/>
        <w:rPr>
          <w:b/>
        </w:rPr>
      </w:pPr>
      <w:r w:rsidRPr="00A102B1">
        <w:rPr>
          <w:b/>
        </w:rPr>
        <w:t xml:space="preserve">Hall </w:t>
      </w:r>
      <w:proofErr w:type="spellStart"/>
      <w:r w:rsidRPr="00A102B1">
        <w:rPr>
          <w:b/>
        </w:rPr>
        <w:t>Ings</w:t>
      </w:r>
      <w:proofErr w:type="spellEnd"/>
    </w:p>
    <w:p w:rsidR="003418A1" w:rsidRPr="00A102B1" w:rsidRDefault="003418A1" w:rsidP="003418A1">
      <w:pPr>
        <w:ind w:left="720" w:firstLine="698"/>
        <w:jc w:val="both"/>
        <w:rPr>
          <w:b/>
        </w:rPr>
      </w:pPr>
      <w:r w:rsidRPr="00A102B1">
        <w:rPr>
          <w:b/>
        </w:rPr>
        <w:t>Bradford</w:t>
      </w:r>
    </w:p>
    <w:p w:rsidR="003418A1" w:rsidRPr="00D72194" w:rsidRDefault="003418A1" w:rsidP="003418A1">
      <w:pPr>
        <w:ind w:left="720" w:firstLine="698"/>
        <w:jc w:val="both"/>
      </w:pPr>
      <w:r w:rsidRPr="00A102B1">
        <w:rPr>
          <w:b/>
        </w:rPr>
        <w:t>BD1 1HX</w:t>
      </w:r>
    </w:p>
    <w:p w:rsidR="003418A1" w:rsidRDefault="003418A1">
      <w:pPr>
        <w:rPr>
          <w:b/>
          <w:sz w:val="22"/>
          <w:szCs w:val="22"/>
        </w:rPr>
      </w:pPr>
    </w:p>
    <w:sectPr w:rsidR="003418A1" w:rsidSect="00834FF4">
      <w:headerReference w:type="default" r:id="rId21"/>
      <w:footerReference w:type="even" r:id="rId22"/>
      <w:footerReference w:type="default" r:id="rId23"/>
      <w:headerReference w:type="first" r:id="rId24"/>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63" w:rsidRDefault="00440E63">
      <w:r>
        <w:separator/>
      </w:r>
    </w:p>
  </w:endnote>
  <w:endnote w:type="continuationSeparator" w:id="0">
    <w:p w:rsidR="00440E63" w:rsidRDefault="0044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63" w:rsidRDefault="00440E63"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E63" w:rsidRDefault="00440E63"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63" w:rsidRPr="005A16CD" w:rsidRDefault="00440E63"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C618C5">
      <w:rPr>
        <w:noProof/>
        <w:sz w:val="16"/>
        <w:szCs w:val="16"/>
      </w:rPr>
      <w:t>32</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C618C5">
      <w:rPr>
        <w:noProof/>
        <w:sz w:val="16"/>
        <w:szCs w:val="16"/>
      </w:rPr>
      <w:t>32</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63" w:rsidRDefault="00440E63">
      <w:r>
        <w:separator/>
      </w:r>
    </w:p>
  </w:footnote>
  <w:footnote w:type="continuationSeparator" w:id="0">
    <w:p w:rsidR="00440E63" w:rsidRDefault="0044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63" w:rsidRDefault="00440E63">
    <w:pPr>
      <w:pStyle w:val="Header"/>
    </w:pPr>
  </w:p>
  <w:p w:rsidR="00440E63" w:rsidRDefault="0044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63" w:rsidRPr="0051492D" w:rsidRDefault="00440E63" w:rsidP="00F67DA0">
    <w:pPr>
      <w:pStyle w:val="Header"/>
      <w:jc w:val="right"/>
      <w:rPr>
        <w:b/>
        <w:sz w:val="18"/>
        <w:szCs w:val="18"/>
      </w:rPr>
    </w:pPr>
    <w:r>
      <w:rPr>
        <w:noProof/>
      </w:rPr>
      <w:drawing>
        <wp:inline distT="0" distB="0" distL="0" distR="0" wp14:anchorId="560595A7" wp14:editId="2F4B00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36B12"/>
    <w:multiLevelType w:val="hybridMultilevel"/>
    <w:tmpl w:val="B2341C6E"/>
    <w:lvl w:ilvl="0" w:tplc="23467BA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5">
    <w:nsid w:val="0AF578C5"/>
    <w:multiLevelType w:val="hybridMultilevel"/>
    <w:tmpl w:val="C252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BB4594"/>
    <w:multiLevelType w:val="hybridMultilevel"/>
    <w:tmpl w:val="0D86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16925"/>
    <w:multiLevelType w:val="hybridMultilevel"/>
    <w:tmpl w:val="6FE64B0C"/>
    <w:lvl w:ilvl="0" w:tplc="6DE0AB14">
      <w:start w:val="1"/>
      <w:numFmt w:val="bullet"/>
      <w:lvlText w:val=""/>
      <w:lvlJc w:val="left"/>
      <w:pPr>
        <w:tabs>
          <w:tab w:val="num" w:pos="0"/>
        </w:tabs>
        <w:ind w:left="720" w:hanging="360"/>
      </w:pPr>
      <w:rPr>
        <w:rFonts w:ascii="Symbol" w:hAnsi="Symbol" w:cs="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0F48710F"/>
    <w:multiLevelType w:val="multilevel"/>
    <w:tmpl w:val="2ADA41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61C71"/>
    <w:multiLevelType w:val="hybridMultilevel"/>
    <w:tmpl w:val="60FAD008"/>
    <w:lvl w:ilvl="0" w:tplc="0809000B">
      <w:start w:val="1"/>
      <w:numFmt w:val="bullet"/>
      <w:lvlText w:val=""/>
      <w:lvlJc w:val="left"/>
      <w:pPr>
        <w:tabs>
          <w:tab w:val="num" w:pos="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1CDF60CB"/>
    <w:multiLevelType w:val="hybridMultilevel"/>
    <w:tmpl w:val="3A624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566ECE"/>
    <w:multiLevelType w:val="hybridMultilevel"/>
    <w:tmpl w:val="5F48BA30"/>
    <w:lvl w:ilvl="0" w:tplc="08090003">
      <w:start w:val="1"/>
      <w:numFmt w:val="bullet"/>
      <w:lvlText w:val="o"/>
      <w:lvlJc w:val="left"/>
      <w:pPr>
        <w:tabs>
          <w:tab w:val="num" w:pos="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1EA95DDF"/>
    <w:multiLevelType w:val="hybridMultilevel"/>
    <w:tmpl w:val="0AEC7FC2"/>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2387EC6"/>
    <w:multiLevelType w:val="hybridMultilevel"/>
    <w:tmpl w:val="77266D1C"/>
    <w:lvl w:ilvl="0" w:tplc="6DE0AB14">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4132DEB"/>
    <w:multiLevelType w:val="hybridMultilevel"/>
    <w:tmpl w:val="9122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8931C0"/>
    <w:multiLevelType w:val="hybridMultilevel"/>
    <w:tmpl w:val="B920B07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262A5352"/>
    <w:multiLevelType w:val="hybridMultilevel"/>
    <w:tmpl w:val="8056C5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A1E72A9"/>
    <w:multiLevelType w:val="hybridMultilevel"/>
    <w:tmpl w:val="2A00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33BF6E57"/>
    <w:multiLevelType w:val="hybridMultilevel"/>
    <w:tmpl w:val="802C9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685E99"/>
    <w:multiLevelType w:val="hybridMultilevel"/>
    <w:tmpl w:val="BB6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091F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5AD3C16"/>
    <w:multiLevelType w:val="hybridMultilevel"/>
    <w:tmpl w:val="90D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47A53811"/>
    <w:multiLevelType w:val="hybridMultilevel"/>
    <w:tmpl w:val="260E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BF11D54"/>
    <w:multiLevelType w:val="hybridMultilevel"/>
    <w:tmpl w:val="A2D6722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3C034BB"/>
    <w:multiLevelType w:val="hybridMultilevel"/>
    <w:tmpl w:val="6D9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D22099"/>
    <w:multiLevelType w:val="hybridMultilevel"/>
    <w:tmpl w:val="9FDA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BF2825"/>
    <w:multiLevelType w:val="hybridMultilevel"/>
    <w:tmpl w:val="7C3ED8E4"/>
    <w:lvl w:ilvl="0" w:tplc="56E065EE">
      <w:start w:val="1"/>
      <w:numFmt w:val="bullet"/>
      <w:lvlText w:val=""/>
      <w:lvlJc w:val="left"/>
      <w:pPr>
        <w:tabs>
          <w:tab w:val="num" w:pos="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nsid w:val="72AB514D"/>
    <w:multiLevelType w:val="hybridMultilevel"/>
    <w:tmpl w:val="80AA79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6F257B"/>
    <w:multiLevelType w:val="hybridMultilevel"/>
    <w:tmpl w:val="27D0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5"/>
  </w:num>
  <w:num w:numId="4">
    <w:abstractNumId w:val="32"/>
  </w:num>
  <w:num w:numId="5">
    <w:abstractNumId w:val="18"/>
  </w:num>
  <w:num w:numId="6">
    <w:abstractNumId w:val="7"/>
  </w:num>
  <w:num w:numId="7">
    <w:abstractNumId w:val="37"/>
  </w:num>
  <w:num w:numId="8">
    <w:abstractNumId w:val="4"/>
  </w:num>
  <w:num w:numId="9">
    <w:abstractNumId w:val="9"/>
  </w:num>
  <w:num w:numId="10">
    <w:abstractNumId w:val="35"/>
  </w:num>
  <w:num w:numId="11">
    <w:abstractNumId w:val="20"/>
  </w:num>
  <w:num w:numId="12">
    <w:abstractNumId w:val="19"/>
  </w:num>
  <w:num w:numId="13">
    <w:abstractNumId w:val="11"/>
  </w:num>
  <w:num w:numId="14">
    <w:abstractNumId w:val="36"/>
  </w:num>
  <w:num w:numId="15">
    <w:abstractNumId w:val="14"/>
  </w:num>
  <w:num w:numId="16">
    <w:abstractNumId w:val="12"/>
  </w:num>
  <w:num w:numId="17">
    <w:abstractNumId w:val="16"/>
  </w:num>
  <w:num w:numId="18">
    <w:abstractNumId w:val="34"/>
  </w:num>
  <w:num w:numId="19">
    <w:abstractNumId w:val="6"/>
  </w:num>
  <w:num w:numId="20">
    <w:abstractNumId w:val="10"/>
  </w:num>
  <w:num w:numId="21">
    <w:abstractNumId w:val="23"/>
  </w:num>
  <w:num w:numId="22">
    <w:abstractNumId w:val="17"/>
  </w:num>
  <w:num w:numId="23">
    <w:abstractNumId w:val="38"/>
  </w:num>
  <w:num w:numId="24">
    <w:abstractNumId w:val="13"/>
  </w:num>
  <w:num w:numId="25">
    <w:abstractNumId w:val="25"/>
  </w:num>
  <w:num w:numId="26">
    <w:abstractNumId w:val="21"/>
  </w:num>
  <w:num w:numId="27">
    <w:abstractNumId w:val="28"/>
  </w:num>
  <w:num w:numId="28">
    <w:abstractNumId w:val="27"/>
  </w:num>
  <w:num w:numId="29">
    <w:abstractNumId w:val="39"/>
  </w:num>
  <w:num w:numId="30">
    <w:abstractNumId w:val="5"/>
  </w:num>
  <w:num w:numId="31">
    <w:abstractNumId w:val="26"/>
  </w:num>
  <w:num w:numId="32">
    <w:abstractNumId w:val="8"/>
  </w:num>
  <w:num w:numId="33">
    <w:abstractNumId w:val="29"/>
  </w:num>
  <w:num w:numId="34">
    <w:abstractNumId w:val="33"/>
  </w:num>
  <w:num w:numId="35">
    <w:abstractNumId w:val="1"/>
  </w:num>
  <w:num w:numId="36">
    <w:abstractNumId w:val="3"/>
  </w:num>
  <w:num w:numId="37">
    <w:abstractNumId w:val="2"/>
  </w:num>
  <w:num w:numId="38">
    <w:abstractNumId w:val="30"/>
  </w:num>
  <w:num w:numId="39">
    <w:abstractNumId w:val="22"/>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195"/>
    <w:rsid w:val="00001B1E"/>
    <w:rsid w:val="000020FC"/>
    <w:rsid w:val="00004A0B"/>
    <w:rsid w:val="00004C3D"/>
    <w:rsid w:val="00004F06"/>
    <w:rsid w:val="0000743C"/>
    <w:rsid w:val="00007D12"/>
    <w:rsid w:val="000100AE"/>
    <w:rsid w:val="00010136"/>
    <w:rsid w:val="00011151"/>
    <w:rsid w:val="000113B8"/>
    <w:rsid w:val="00011454"/>
    <w:rsid w:val="00012B9E"/>
    <w:rsid w:val="0001443F"/>
    <w:rsid w:val="000154FF"/>
    <w:rsid w:val="00015A65"/>
    <w:rsid w:val="00015BB8"/>
    <w:rsid w:val="00015FCF"/>
    <w:rsid w:val="000164DF"/>
    <w:rsid w:val="00017993"/>
    <w:rsid w:val="00021CED"/>
    <w:rsid w:val="00022408"/>
    <w:rsid w:val="00023626"/>
    <w:rsid w:val="000250A7"/>
    <w:rsid w:val="00025B51"/>
    <w:rsid w:val="00026FF6"/>
    <w:rsid w:val="00027004"/>
    <w:rsid w:val="00027228"/>
    <w:rsid w:val="00027781"/>
    <w:rsid w:val="00030DD5"/>
    <w:rsid w:val="000316F2"/>
    <w:rsid w:val="00031A34"/>
    <w:rsid w:val="00031A60"/>
    <w:rsid w:val="00035209"/>
    <w:rsid w:val="000374B7"/>
    <w:rsid w:val="000377FB"/>
    <w:rsid w:val="0004049F"/>
    <w:rsid w:val="00040868"/>
    <w:rsid w:val="00042E2E"/>
    <w:rsid w:val="00042F0A"/>
    <w:rsid w:val="0004335B"/>
    <w:rsid w:val="00044B54"/>
    <w:rsid w:val="000454BF"/>
    <w:rsid w:val="00046BDA"/>
    <w:rsid w:val="00047FAF"/>
    <w:rsid w:val="00050D0C"/>
    <w:rsid w:val="0005223C"/>
    <w:rsid w:val="000523BF"/>
    <w:rsid w:val="00052E58"/>
    <w:rsid w:val="00054C47"/>
    <w:rsid w:val="00055A0A"/>
    <w:rsid w:val="00056435"/>
    <w:rsid w:val="00056ECA"/>
    <w:rsid w:val="00056F28"/>
    <w:rsid w:val="000613ED"/>
    <w:rsid w:val="00062054"/>
    <w:rsid w:val="00062307"/>
    <w:rsid w:val="00062685"/>
    <w:rsid w:val="00064448"/>
    <w:rsid w:val="00064766"/>
    <w:rsid w:val="000647A6"/>
    <w:rsid w:val="00066CE7"/>
    <w:rsid w:val="00070857"/>
    <w:rsid w:val="000716B7"/>
    <w:rsid w:val="00071E71"/>
    <w:rsid w:val="00072359"/>
    <w:rsid w:val="00074956"/>
    <w:rsid w:val="000751DD"/>
    <w:rsid w:val="000758DA"/>
    <w:rsid w:val="00076380"/>
    <w:rsid w:val="0007644E"/>
    <w:rsid w:val="00076F40"/>
    <w:rsid w:val="0007743F"/>
    <w:rsid w:val="00077692"/>
    <w:rsid w:val="000779A2"/>
    <w:rsid w:val="00077A3E"/>
    <w:rsid w:val="00077FCD"/>
    <w:rsid w:val="0008066D"/>
    <w:rsid w:val="00080DF0"/>
    <w:rsid w:val="000812FE"/>
    <w:rsid w:val="00081B87"/>
    <w:rsid w:val="0008253F"/>
    <w:rsid w:val="00082A55"/>
    <w:rsid w:val="00082F7B"/>
    <w:rsid w:val="00083EBA"/>
    <w:rsid w:val="000844B7"/>
    <w:rsid w:val="00084D8D"/>
    <w:rsid w:val="0009127F"/>
    <w:rsid w:val="00092007"/>
    <w:rsid w:val="00092859"/>
    <w:rsid w:val="00092EEE"/>
    <w:rsid w:val="000933C4"/>
    <w:rsid w:val="0009393C"/>
    <w:rsid w:val="00094007"/>
    <w:rsid w:val="000941F4"/>
    <w:rsid w:val="0009431F"/>
    <w:rsid w:val="000960B3"/>
    <w:rsid w:val="0009764F"/>
    <w:rsid w:val="000A0973"/>
    <w:rsid w:val="000A1D2F"/>
    <w:rsid w:val="000A29A0"/>
    <w:rsid w:val="000A3021"/>
    <w:rsid w:val="000A575D"/>
    <w:rsid w:val="000A7A67"/>
    <w:rsid w:val="000B00E0"/>
    <w:rsid w:val="000B261A"/>
    <w:rsid w:val="000B335A"/>
    <w:rsid w:val="000B49CD"/>
    <w:rsid w:val="000B5831"/>
    <w:rsid w:val="000B5879"/>
    <w:rsid w:val="000B5C86"/>
    <w:rsid w:val="000B666C"/>
    <w:rsid w:val="000B71CF"/>
    <w:rsid w:val="000C0F0F"/>
    <w:rsid w:val="000C5082"/>
    <w:rsid w:val="000C5B61"/>
    <w:rsid w:val="000C6786"/>
    <w:rsid w:val="000D0BB4"/>
    <w:rsid w:val="000D1F4F"/>
    <w:rsid w:val="000D2C4E"/>
    <w:rsid w:val="000D2EB5"/>
    <w:rsid w:val="000D35AA"/>
    <w:rsid w:val="000D3D15"/>
    <w:rsid w:val="000D3F1E"/>
    <w:rsid w:val="000D4FAA"/>
    <w:rsid w:val="000E0DDF"/>
    <w:rsid w:val="000E2564"/>
    <w:rsid w:val="000E53AB"/>
    <w:rsid w:val="000E5FFA"/>
    <w:rsid w:val="000E66AB"/>
    <w:rsid w:val="000E6DF3"/>
    <w:rsid w:val="000E7BB8"/>
    <w:rsid w:val="000F00EF"/>
    <w:rsid w:val="000F069A"/>
    <w:rsid w:val="000F1784"/>
    <w:rsid w:val="000F29CA"/>
    <w:rsid w:val="000F2B1C"/>
    <w:rsid w:val="000F2EE2"/>
    <w:rsid w:val="000F47F0"/>
    <w:rsid w:val="000F49E2"/>
    <w:rsid w:val="000F5C8B"/>
    <w:rsid w:val="000F5D6E"/>
    <w:rsid w:val="000F64D4"/>
    <w:rsid w:val="000F7BF2"/>
    <w:rsid w:val="0010072B"/>
    <w:rsid w:val="00100A42"/>
    <w:rsid w:val="00100B06"/>
    <w:rsid w:val="0010102A"/>
    <w:rsid w:val="0010144C"/>
    <w:rsid w:val="00101FAD"/>
    <w:rsid w:val="00103A4E"/>
    <w:rsid w:val="00103FBD"/>
    <w:rsid w:val="0010474D"/>
    <w:rsid w:val="001050AF"/>
    <w:rsid w:val="00105FDD"/>
    <w:rsid w:val="00106007"/>
    <w:rsid w:val="001060A4"/>
    <w:rsid w:val="0010656E"/>
    <w:rsid w:val="001067BE"/>
    <w:rsid w:val="00110248"/>
    <w:rsid w:val="00111279"/>
    <w:rsid w:val="0011154A"/>
    <w:rsid w:val="0011222D"/>
    <w:rsid w:val="0011373D"/>
    <w:rsid w:val="00114A65"/>
    <w:rsid w:val="0011535B"/>
    <w:rsid w:val="00115FD6"/>
    <w:rsid w:val="001166B7"/>
    <w:rsid w:val="00116D53"/>
    <w:rsid w:val="00116EDE"/>
    <w:rsid w:val="00117497"/>
    <w:rsid w:val="00121302"/>
    <w:rsid w:val="001218F9"/>
    <w:rsid w:val="00122418"/>
    <w:rsid w:val="001227DE"/>
    <w:rsid w:val="001229F0"/>
    <w:rsid w:val="00122CFB"/>
    <w:rsid w:val="00123036"/>
    <w:rsid w:val="00123245"/>
    <w:rsid w:val="00123BC8"/>
    <w:rsid w:val="00124183"/>
    <w:rsid w:val="0012642A"/>
    <w:rsid w:val="001268F4"/>
    <w:rsid w:val="00127997"/>
    <w:rsid w:val="00127C54"/>
    <w:rsid w:val="00132419"/>
    <w:rsid w:val="00132C22"/>
    <w:rsid w:val="0013381F"/>
    <w:rsid w:val="00134905"/>
    <w:rsid w:val="001349C0"/>
    <w:rsid w:val="0013558B"/>
    <w:rsid w:val="00140573"/>
    <w:rsid w:val="00142275"/>
    <w:rsid w:val="00142618"/>
    <w:rsid w:val="00142D4E"/>
    <w:rsid w:val="00143D7F"/>
    <w:rsid w:val="001445DE"/>
    <w:rsid w:val="001457EC"/>
    <w:rsid w:val="00145FE1"/>
    <w:rsid w:val="0014627D"/>
    <w:rsid w:val="00147819"/>
    <w:rsid w:val="00147CA9"/>
    <w:rsid w:val="001515BC"/>
    <w:rsid w:val="00152423"/>
    <w:rsid w:val="0015260E"/>
    <w:rsid w:val="00152633"/>
    <w:rsid w:val="00153192"/>
    <w:rsid w:val="00153F57"/>
    <w:rsid w:val="001554CC"/>
    <w:rsid w:val="00155557"/>
    <w:rsid w:val="00155ACA"/>
    <w:rsid w:val="0015659B"/>
    <w:rsid w:val="0015775B"/>
    <w:rsid w:val="00157A23"/>
    <w:rsid w:val="00157A6F"/>
    <w:rsid w:val="00157E8E"/>
    <w:rsid w:val="001601AB"/>
    <w:rsid w:val="001604F1"/>
    <w:rsid w:val="00160811"/>
    <w:rsid w:val="0016083A"/>
    <w:rsid w:val="001610B9"/>
    <w:rsid w:val="00162BA4"/>
    <w:rsid w:val="001646D7"/>
    <w:rsid w:val="00164A0D"/>
    <w:rsid w:val="00165AE9"/>
    <w:rsid w:val="00166EB0"/>
    <w:rsid w:val="00167385"/>
    <w:rsid w:val="00167AA9"/>
    <w:rsid w:val="00167D05"/>
    <w:rsid w:val="00167FF8"/>
    <w:rsid w:val="0017058A"/>
    <w:rsid w:val="00170FE7"/>
    <w:rsid w:val="00171C76"/>
    <w:rsid w:val="00172102"/>
    <w:rsid w:val="0017248A"/>
    <w:rsid w:val="00172E20"/>
    <w:rsid w:val="001739CB"/>
    <w:rsid w:val="00173E2D"/>
    <w:rsid w:val="001760BA"/>
    <w:rsid w:val="0018172B"/>
    <w:rsid w:val="00181F5C"/>
    <w:rsid w:val="00182655"/>
    <w:rsid w:val="00183B6B"/>
    <w:rsid w:val="00185006"/>
    <w:rsid w:val="001855CD"/>
    <w:rsid w:val="001857BD"/>
    <w:rsid w:val="0018590F"/>
    <w:rsid w:val="001875CE"/>
    <w:rsid w:val="0018771A"/>
    <w:rsid w:val="001916D9"/>
    <w:rsid w:val="00191EA6"/>
    <w:rsid w:val="0019224A"/>
    <w:rsid w:val="00192945"/>
    <w:rsid w:val="001945BA"/>
    <w:rsid w:val="0019485C"/>
    <w:rsid w:val="0019502A"/>
    <w:rsid w:val="00195135"/>
    <w:rsid w:val="00195381"/>
    <w:rsid w:val="0019662E"/>
    <w:rsid w:val="001969E4"/>
    <w:rsid w:val="00197BF6"/>
    <w:rsid w:val="001A1DE6"/>
    <w:rsid w:val="001A2540"/>
    <w:rsid w:val="001A310E"/>
    <w:rsid w:val="001A482A"/>
    <w:rsid w:val="001A55D5"/>
    <w:rsid w:val="001A5BF1"/>
    <w:rsid w:val="001A6729"/>
    <w:rsid w:val="001B0B70"/>
    <w:rsid w:val="001B0F2B"/>
    <w:rsid w:val="001B105F"/>
    <w:rsid w:val="001B28CB"/>
    <w:rsid w:val="001B5029"/>
    <w:rsid w:val="001B58D8"/>
    <w:rsid w:val="001B6299"/>
    <w:rsid w:val="001B6BE7"/>
    <w:rsid w:val="001B6C65"/>
    <w:rsid w:val="001B6D78"/>
    <w:rsid w:val="001B7035"/>
    <w:rsid w:val="001B7964"/>
    <w:rsid w:val="001C0909"/>
    <w:rsid w:val="001C1330"/>
    <w:rsid w:val="001C1414"/>
    <w:rsid w:val="001C1A91"/>
    <w:rsid w:val="001C1F2D"/>
    <w:rsid w:val="001C2D62"/>
    <w:rsid w:val="001C3834"/>
    <w:rsid w:val="001C3AAC"/>
    <w:rsid w:val="001C3B3A"/>
    <w:rsid w:val="001C3FF2"/>
    <w:rsid w:val="001C51DB"/>
    <w:rsid w:val="001C597E"/>
    <w:rsid w:val="001C5C36"/>
    <w:rsid w:val="001C7AC3"/>
    <w:rsid w:val="001D0040"/>
    <w:rsid w:val="001D1679"/>
    <w:rsid w:val="001D1FA6"/>
    <w:rsid w:val="001D2BBE"/>
    <w:rsid w:val="001D3E2D"/>
    <w:rsid w:val="001D3F54"/>
    <w:rsid w:val="001D4F30"/>
    <w:rsid w:val="001D5B40"/>
    <w:rsid w:val="001D5F42"/>
    <w:rsid w:val="001D6702"/>
    <w:rsid w:val="001D6C96"/>
    <w:rsid w:val="001E0972"/>
    <w:rsid w:val="001E20EE"/>
    <w:rsid w:val="001E22F1"/>
    <w:rsid w:val="001E24E2"/>
    <w:rsid w:val="001E2AA7"/>
    <w:rsid w:val="001E3114"/>
    <w:rsid w:val="001E4002"/>
    <w:rsid w:val="001E49A5"/>
    <w:rsid w:val="001E49AF"/>
    <w:rsid w:val="001E64DB"/>
    <w:rsid w:val="001E748E"/>
    <w:rsid w:val="001E7C15"/>
    <w:rsid w:val="001F0198"/>
    <w:rsid w:val="001F1767"/>
    <w:rsid w:val="001F18E1"/>
    <w:rsid w:val="001F26C0"/>
    <w:rsid w:val="001F3BCC"/>
    <w:rsid w:val="001F4F7C"/>
    <w:rsid w:val="001F5AA2"/>
    <w:rsid w:val="001F63E2"/>
    <w:rsid w:val="001F6BFE"/>
    <w:rsid w:val="001F6C0A"/>
    <w:rsid w:val="002005D9"/>
    <w:rsid w:val="00201131"/>
    <w:rsid w:val="002023C4"/>
    <w:rsid w:val="00204672"/>
    <w:rsid w:val="00204B5D"/>
    <w:rsid w:val="0020506B"/>
    <w:rsid w:val="002072E4"/>
    <w:rsid w:val="00207BA5"/>
    <w:rsid w:val="00210BFF"/>
    <w:rsid w:val="00213231"/>
    <w:rsid w:val="00213355"/>
    <w:rsid w:val="00213651"/>
    <w:rsid w:val="0021521E"/>
    <w:rsid w:val="00216282"/>
    <w:rsid w:val="00220803"/>
    <w:rsid w:val="00220E9B"/>
    <w:rsid w:val="00221D83"/>
    <w:rsid w:val="00221F37"/>
    <w:rsid w:val="00222CE8"/>
    <w:rsid w:val="00223BB6"/>
    <w:rsid w:val="00225393"/>
    <w:rsid w:val="0022594D"/>
    <w:rsid w:val="00226D3F"/>
    <w:rsid w:val="0022754B"/>
    <w:rsid w:val="00227854"/>
    <w:rsid w:val="00227C4C"/>
    <w:rsid w:val="0023000C"/>
    <w:rsid w:val="002301C7"/>
    <w:rsid w:val="00230ED7"/>
    <w:rsid w:val="0023364B"/>
    <w:rsid w:val="0023404C"/>
    <w:rsid w:val="00234337"/>
    <w:rsid w:val="002355B0"/>
    <w:rsid w:val="0023591E"/>
    <w:rsid w:val="00235DDD"/>
    <w:rsid w:val="002404A5"/>
    <w:rsid w:val="002411F4"/>
    <w:rsid w:val="0024246E"/>
    <w:rsid w:val="0024400E"/>
    <w:rsid w:val="00245270"/>
    <w:rsid w:val="002455E7"/>
    <w:rsid w:val="00246DB4"/>
    <w:rsid w:val="00246EE9"/>
    <w:rsid w:val="00247744"/>
    <w:rsid w:val="0025021A"/>
    <w:rsid w:val="00250898"/>
    <w:rsid w:val="00250C21"/>
    <w:rsid w:val="00251536"/>
    <w:rsid w:val="00252960"/>
    <w:rsid w:val="0025354F"/>
    <w:rsid w:val="00254789"/>
    <w:rsid w:val="00255264"/>
    <w:rsid w:val="00255A12"/>
    <w:rsid w:val="002563FA"/>
    <w:rsid w:val="00256F8E"/>
    <w:rsid w:val="00257355"/>
    <w:rsid w:val="00260509"/>
    <w:rsid w:val="00260A64"/>
    <w:rsid w:val="00261B5F"/>
    <w:rsid w:val="0026264C"/>
    <w:rsid w:val="00262E4F"/>
    <w:rsid w:val="002634A9"/>
    <w:rsid w:val="00263E1A"/>
    <w:rsid w:val="00266CB2"/>
    <w:rsid w:val="00267A4D"/>
    <w:rsid w:val="00270BE6"/>
    <w:rsid w:val="00270E91"/>
    <w:rsid w:val="00271C8B"/>
    <w:rsid w:val="00272FD9"/>
    <w:rsid w:val="002736F6"/>
    <w:rsid w:val="00274DF1"/>
    <w:rsid w:val="00275968"/>
    <w:rsid w:val="0027665B"/>
    <w:rsid w:val="0027678E"/>
    <w:rsid w:val="00280694"/>
    <w:rsid w:val="002807D2"/>
    <w:rsid w:val="00280C6D"/>
    <w:rsid w:val="00281155"/>
    <w:rsid w:val="002819EF"/>
    <w:rsid w:val="0028240A"/>
    <w:rsid w:val="002827DF"/>
    <w:rsid w:val="00282961"/>
    <w:rsid w:val="002873C1"/>
    <w:rsid w:val="0028771A"/>
    <w:rsid w:val="00290D00"/>
    <w:rsid w:val="002915A5"/>
    <w:rsid w:val="00291AFE"/>
    <w:rsid w:val="00291B4C"/>
    <w:rsid w:val="00291C8E"/>
    <w:rsid w:val="00291FE9"/>
    <w:rsid w:val="002923BD"/>
    <w:rsid w:val="00292876"/>
    <w:rsid w:val="00293650"/>
    <w:rsid w:val="00293B0C"/>
    <w:rsid w:val="0029567E"/>
    <w:rsid w:val="002963F8"/>
    <w:rsid w:val="0029698C"/>
    <w:rsid w:val="00296A5E"/>
    <w:rsid w:val="00296C94"/>
    <w:rsid w:val="002A12CC"/>
    <w:rsid w:val="002A1D06"/>
    <w:rsid w:val="002A2406"/>
    <w:rsid w:val="002A35E6"/>
    <w:rsid w:val="002A3A74"/>
    <w:rsid w:val="002A3A92"/>
    <w:rsid w:val="002A410E"/>
    <w:rsid w:val="002A462C"/>
    <w:rsid w:val="002A4BBB"/>
    <w:rsid w:val="002A5819"/>
    <w:rsid w:val="002A5A7C"/>
    <w:rsid w:val="002A68D3"/>
    <w:rsid w:val="002A70F4"/>
    <w:rsid w:val="002A7382"/>
    <w:rsid w:val="002A751E"/>
    <w:rsid w:val="002A7D9E"/>
    <w:rsid w:val="002B0BE8"/>
    <w:rsid w:val="002B0FC7"/>
    <w:rsid w:val="002B107F"/>
    <w:rsid w:val="002B156A"/>
    <w:rsid w:val="002B185F"/>
    <w:rsid w:val="002B1DD5"/>
    <w:rsid w:val="002B2E9E"/>
    <w:rsid w:val="002B37C2"/>
    <w:rsid w:val="002B4005"/>
    <w:rsid w:val="002B772E"/>
    <w:rsid w:val="002C0427"/>
    <w:rsid w:val="002C0E85"/>
    <w:rsid w:val="002C1586"/>
    <w:rsid w:val="002C2F36"/>
    <w:rsid w:val="002C4764"/>
    <w:rsid w:val="002C507F"/>
    <w:rsid w:val="002C6296"/>
    <w:rsid w:val="002C70BD"/>
    <w:rsid w:val="002C77DB"/>
    <w:rsid w:val="002D0053"/>
    <w:rsid w:val="002D063D"/>
    <w:rsid w:val="002D3CDD"/>
    <w:rsid w:val="002D4BB5"/>
    <w:rsid w:val="002D6848"/>
    <w:rsid w:val="002E104E"/>
    <w:rsid w:val="002E1071"/>
    <w:rsid w:val="002E1439"/>
    <w:rsid w:val="002E14F2"/>
    <w:rsid w:val="002E1A57"/>
    <w:rsid w:val="002E20EC"/>
    <w:rsid w:val="002E2847"/>
    <w:rsid w:val="002E43C1"/>
    <w:rsid w:val="002E4A7A"/>
    <w:rsid w:val="002E52C9"/>
    <w:rsid w:val="002E5ED3"/>
    <w:rsid w:val="002E603E"/>
    <w:rsid w:val="002E642A"/>
    <w:rsid w:val="002E7FE4"/>
    <w:rsid w:val="002F0E82"/>
    <w:rsid w:val="002F162F"/>
    <w:rsid w:val="002F3018"/>
    <w:rsid w:val="002F3B00"/>
    <w:rsid w:val="002F5063"/>
    <w:rsid w:val="002F5D68"/>
    <w:rsid w:val="002F6307"/>
    <w:rsid w:val="002F691D"/>
    <w:rsid w:val="002F6A73"/>
    <w:rsid w:val="002F7A8C"/>
    <w:rsid w:val="002F7E9C"/>
    <w:rsid w:val="002F7FA9"/>
    <w:rsid w:val="00300437"/>
    <w:rsid w:val="00300F65"/>
    <w:rsid w:val="003017D4"/>
    <w:rsid w:val="003029D2"/>
    <w:rsid w:val="00303BAC"/>
    <w:rsid w:val="00305456"/>
    <w:rsid w:val="00305B67"/>
    <w:rsid w:val="00311C87"/>
    <w:rsid w:val="003123BF"/>
    <w:rsid w:val="003134E7"/>
    <w:rsid w:val="00316111"/>
    <w:rsid w:val="00321F79"/>
    <w:rsid w:val="00322EDE"/>
    <w:rsid w:val="00323970"/>
    <w:rsid w:val="0032430C"/>
    <w:rsid w:val="003268EF"/>
    <w:rsid w:val="003269A1"/>
    <w:rsid w:val="00327A23"/>
    <w:rsid w:val="00330428"/>
    <w:rsid w:val="00330755"/>
    <w:rsid w:val="0033398A"/>
    <w:rsid w:val="00333E61"/>
    <w:rsid w:val="003342CE"/>
    <w:rsid w:val="00334D57"/>
    <w:rsid w:val="00335FB3"/>
    <w:rsid w:val="00337DAB"/>
    <w:rsid w:val="0034031B"/>
    <w:rsid w:val="003417E3"/>
    <w:rsid w:val="003418A1"/>
    <w:rsid w:val="00341E69"/>
    <w:rsid w:val="003421B9"/>
    <w:rsid w:val="00343EE3"/>
    <w:rsid w:val="0034439D"/>
    <w:rsid w:val="003452D0"/>
    <w:rsid w:val="003468C2"/>
    <w:rsid w:val="003476B9"/>
    <w:rsid w:val="00347BED"/>
    <w:rsid w:val="00353167"/>
    <w:rsid w:val="003532E4"/>
    <w:rsid w:val="00354CA2"/>
    <w:rsid w:val="0035569E"/>
    <w:rsid w:val="003616EB"/>
    <w:rsid w:val="003629CA"/>
    <w:rsid w:val="0036346D"/>
    <w:rsid w:val="00363644"/>
    <w:rsid w:val="00363E33"/>
    <w:rsid w:val="00363E8C"/>
    <w:rsid w:val="003665F3"/>
    <w:rsid w:val="003709B7"/>
    <w:rsid w:val="00371117"/>
    <w:rsid w:val="003711C2"/>
    <w:rsid w:val="003719DD"/>
    <w:rsid w:val="003720D9"/>
    <w:rsid w:val="00372603"/>
    <w:rsid w:val="00372EB7"/>
    <w:rsid w:val="00373A59"/>
    <w:rsid w:val="00374519"/>
    <w:rsid w:val="00375DF9"/>
    <w:rsid w:val="0037731F"/>
    <w:rsid w:val="00377493"/>
    <w:rsid w:val="003809C5"/>
    <w:rsid w:val="0038131A"/>
    <w:rsid w:val="003816A8"/>
    <w:rsid w:val="00381CFE"/>
    <w:rsid w:val="0038310F"/>
    <w:rsid w:val="003837CD"/>
    <w:rsid w:val="0038384C"/>
    <w:rsid w:val="0038413F"/>
    <w:rsid w:val="00384AAB"/>
    <w:rsid w:val="00385110"/>
    <w:rsid w:val="00385703"/>
    <w:rsid w:val="0038570C"/>
    <w:rsid w:val="00385DFD"/>
    <w:rsid w:val="00385F3D"/>
    <w:rsid w:val="003860C6"/>
    <w:rsid w:val="0038673B"/>
    <w:rsid w:val="0039011D"/>
    <w:rsid w:val="00390981"/>
    <w:rsid w:val="003909A9"/>
    <w:rsid w:val="00390AF7"/>
    <w:rsid w:val="00391423"/>
    <w:rsid w:val="00391AB2"/>
    <w:rsid w:val="00391F12"/>
    <w:rsid w:val="0039321B"/>
    <w:rsid w:val="0039363D"/>
    <w:rsid w:val="0039396F"/>
    <w:rsid w:val="00395298"/>
    <w:rsid w:val="00395A69"/>
    <w:rsid w:val="00396EA2"/>
    <w:rsid w:val="00397FF0"/>
    <w:rsid w:val="003A0110"/>
    <w:rsid w:val="003A0A8C"/>
    <w:rsid w:val="003A36BC"/>
    <w:rsid w:val="003A376B"/>
    <w:rsid w:val="003A3925"/>
    <w:rsid w:val="003A61DE"/>
    <w:rsid w:val="003A7DD5"/>
    <w:rsid w:val="003B173F"/>
    <w:rsid w:val="003B2527"/>
    <w:rsid w:val="003B2DB1"/>
    <w:rsid w:val="003B6616"/>
    <w:rsid w:val="003C010F"/>
    <w:rsid w:val="003C2AEC"/>
    <w:rsid w:val="003C3E23"/>
    <w:rsid w:val="003C4918"/>
    <w:rsid w:val="003C5A05"/>
    <w:rsid w:val="003C6B60"/>
    <w:rsid w:val="003C6E07"/>
    <w:rsid w:val="003C71C9"/>
    <w:rsid w:val="003C7A9C"/>
    <w:rsid w:val="003D0B57"/>
    <w:rsid w:val="003D0D64"/>
    <w:rsid w:val="003D10C9"/>
    <w:rsid w:val="003D1379"/>
    <w:rsid w:val="003D2E41"/>
    <w:rsid w:val="003D30F8"/>
    <w:rsid w:val="003D53D3"/>
    <w:rsid w:val="003D601C"/>
    <w:rsid w:val="003D685F"/>
    <w:rsid w:val="003E18B5"/>
    <w:rsid w:val="003E1F3C"/>
    <w:rsid w:val="003E33B5"/>
    <w:rsid w:val="003E379F"/>
    <w:rsid w:val="003E3889"/>
    <w:rsid w:val="003E3A6F"/>
    <w:rsid w:val="003E4B7C"/>
    <w:rsid w:val="003E4BF4"/>
    <w:rsid w:val="003E5CEF"/>
    <w:rsid w:val="003E6377"/>
    <w:rsid w:val="003E6381"/>
    <w:rsid w:val="003E6B2E"/>
    <w:rsid w:val="003F29DB"/>
    <w:rsid w:val="003F31E3"/>
    <w:rsid w:val="003F3CDE"/>
    <w:rsid w:val="003F4FC9"/>
    <w:rsid w:val="003F608E"/>
    <w:rsid w:val="003F6C31"/>
    <w:rsid w:val="003F7031"/>
    <w:rsid w:val="003F75E9"/>
    <w:rsid w:val="003F7B7E"/>
    <w:rsid w:val="003F7DEB"/>
    <w:rsid w:val="003F7F19"/>
    <w:rsid w:val="0040291B"/>
    <w:rsid w:val="00402B05"/>
    <w:rsid w:val="00402CFF"/>
    <w:rsid w:val="0040340B"/>
    <w:rsid w:val="0040360C"/>
    <w:rsid w:val="00403787"/>
    <w:rsid w:val="00406F80"/>
    <w:rsid w:val="00412471"/>
    <w:rsid w:val="004128E3"/>
    <w:rsid w:val="004129E2"/>
    <w:rsid w:val="00413632"/>
    <w:rsid w:val="00415519"/>
    <w:rsid w:val="0041627C"/>
    <w:rsid w:val="004163A3"/>
    <w:rsid w:val="00421275"/>
    <w:rsid w:val="00422281"/>
    <w:rsid w:val="00422422"/>
    <w:rsid w:val="00422A39"/>
    <w:rsid w:val="00422B7B"/>
    <w:rsid w:val="00423218"/>
    <w:rsid w:val="00425CA9"/>
    <w:rsid w:val="004276B8"/>
    <w:rsid w:val="004276C6"/>
    <w:rsid w:val="00430388"/>
    <w:rsid w:val="00430BDD"/>
    <w:rsid w:val="00430D3B"/>
    <w:rsid w:val="00431582"/>
    <w:rsid w:val="004318F7"/>
    <w:rsid w:val="004324F7"/>
    <w:rsid w:val="00433285"/>
    <w:rsid w:val="004357FA"/>
    <w:rsid w:val="00436443"/>
    <w:rsid w:val="00436D33"/>
    <w:rsid w:val="00440811"/>
    <w:rsid w:val="00440D16"/>
    <w:rsid w:val="00440E63"/>
    <w:rsid w:val="00442C04"/>
    <w:rsid w:val="00442F45"/>
    <w:rsid w:val="00443544"/>
    <w:rsid w:val="004436B9"/>
    <w:rsid w:val="0044733F"/>
    <w:rsid w:val="00451A21"/>
    <w:rsid w:val="00452F78"/>
    <w:rsid w:val="00453FC2"/>
    <w:rsid w:val="00455169"/>
    <w:rsid w:val="004554F5"/>
    <w:rsid w:val="004570DD"/>
    <w:rsid w:val="004574FB"/>
    <w:rsid w:val="00460508"/>
    <w:rsid w:val="00460850"/>
    <w:rsid w:val="004622C4"/>
    <w:rsid w:val="0046259B"/>
    <w:rsid w:val="00462B96"/>
    <w:rsid w:val="0046307C"/>
    <w:rsid w:val="00463AA0"/>
    <w:rsid w:val="0046442F"/>
    <w:rsid w:val="004645D6"/>
    <w:rsid w:val="00465830"/>
    <w:rsid w:val="00466CD6"/>
    <w:rsid w:val="00466FFF"/>
    <w:rsid w:val="0046795E"/>
    <w:rsid w:val="00470FC1"/>
    <w:rsid w:val="0047152D"/>
    <w:rsid w:val="004718CA"/>
    <w:rsid w:val="00471C61"/>
    <w:rsid w:val="0047295B"/>
    <w:rsid w:val="004744A5"/>
    <w:rsid w:val="004757E3"/>
    <w:rsid w:val="00475845"/>
    <w:rsid w:val="00475DB7"/>
    <w:rsid w:val="0047661C"/>
    <w:rsid w:val="00476835"/>
    <w:rsid w:val="004769FD"/>
    <w:rsid w:val="00480A9C"/>
    <w:rsid w:val="00481896"/>
    <w:rsid w:val="004823E6"/>
    <w:rsid w:val="00483ECA"/>
    <w:rsid w:val="004844D4"/>
    <w:rsid w:val="0048495E"/>
    <w:rsid w:val="00485262"/>
    <w:rsid w:val="00485363"/>
    <w:rsid w:val="004869F3"/>
    <w:rsid w:val="00486BB4"/>
    <w:rsid w:val="00486D52"/>
    <w:rsid w:val="004870FC"/>
    <w:rsid w:val="00487419"/>
    <w:rsid w:val="004903C2"/>
    <w:rsid w:val="00491DD9"/>
    <w:rsid w:val="004936B0"/>
    <w:rsid w:val="004962F3"/>
    <w:rsid w:val="0049693A"/>
    <w:rsid w:val="00496D5B"/>
    <w:rsid w:val="004A0858"/>
    <w:rsid w:val="004A2D2D"/>
    <w:rsid w:val="004A2D8D"/>
    <w:rsid w:val="004A3B6F"/>
    <w:rsid w:val="004A47A5"/>
    <w:rsid w:val="004A5082"/>
    <w:rsid w:val="004A53A8"/>
    <w:rsid w:val="004A59A8"/>
    <w:rsid w:val="004A5A48"/>
    <w:rsid w:val="004A6DD0"/>
    <w:rsid w:val="004B175A"/>
    <w:rsid w:val="004B2133"/>
    <w:rsid w:val="004B27C9"/>
    <w:rsid w:val="004B38FC"/>
    <w:rsid w:val="004B41D8"/>
    <w:rsid w:val="004B49DA"/>
    <w:rsid w:val="004B5044"/>
    <w:rsid w:val="004B5E1E"/>
    <w:rsid w:val="004B5FBD"/>
    <w:rsid w:val="004B798D"/>
    <w:rsid w:val="004B7BCF"/>
    <w:rsid w:val="004B7F93"/>
    <w:rsid w:val="004C19B8"/>
    <w:rsid w:val="004C1A14"/>
    <w:rsid w:val="004C2A46"/>
    <w:rsid w:val="004C3342"/>
    <w:rsid w:val="004C3457"/>
    <w:rsid w:val="004C6E70"/>
    <w:rsid w:val="004D03FF"/>
    <w:rsid w:val="004D0664"/>
    <w:rsid w:val="004D0C18"/>
    <w:rsid w:val="004D0FE1"/>
    <w:rsid w:val="004D1DF4"/>
    <w:rsid w:val="004D226E"/>
    <w:rsid w:val="004D22E6"/>
    <w:rsid w:val="004D2D0D"/>
    <w:rsid w:val="004D3B51"/>
    <w:rsid w:val="004D53E1"/>
    <w:rsid w:val="004D669A"/>
    <w:rsid w:val="004D715F"/>
    <w:rsid w:val="004D72C7"/>
    <w:rsid w:val="004D74CA"/>
    <w:rsid w:val="004E017A"/>
    <w:rsid w:val="004E1494"/>
    <w:rsid w:val="004E20C0"/>
    <w:rsid w:val="004E24FC"/>
    <w:rsid w:val="004E2B9D"/>
    <w:rsid w:val="004E36B7"/>
    <w:rsid w:val="004E4C3B"/>
    <w:rsid w:val="004E583B"/>
    <w:rsid w:val="004E6484"/>
    <w:rsid w:val="004E6DE5"/>
    <w:rsid w:val="004E72C6"/>
    <w:rsid w:val="004E7403"/>
    <w:rsid w:val="004E7A8E"/>
    <w:rsid w:val="004F0D42"/>
    <w:rsid w:val="004F14E1"/>
    <w:rsid w:val="004F18ED"/>
    <w:rsid w:val="004F1DEF"/>
    <w:rsid w:val="004F29CF"/>
    <w:rsid w:val="004F2D70"/>
    <w:rsid w:val="004F39E1"/>
    <w:rsid w:val="004F4978"/>
    <w:rsid w:val="004F5868"/>
    <w:rsid w:val="004F5DB7"/>
    <w:rsid w:val="004F7C1A"/>
    <w:rsid w:val="00500190"/>
    <w:rsid w:val="0050019E"/>
    <w:rsid w:val="00500F3E"/>
    <w:rsid w:val="005021B9"/>
    <w:rsid w:val="0050452E"/>
    <w:rsid w:val="00504732"/>
    <w:rsid w:val="00504BF2"/>
    <w:rsid w:val="00506935"/>
    <w:rsid w:val="00506AEB"/>
    <w:rsid w:val="00507C4F"/>
    <w:rsid w:val="00511167"/>
    <w:rsid w:val="00511B2F"/>
    <w:rsid w:val="00511BD6"/>
    <w:rsid w:val="00512F5A"/>
    <w:rsid w:val="00513526"/>
    <w:rsid w:val="00513612"/>
    <w:rsid w:val="005146B2"/>
    <w:rsid w:val="0051492D"/>
    <w:rsid w:val="00514BCE"/>
    <w:rsid w:val="00520BDE"/>
    <w:rsid w:val="00520C7B"/>
    <w:rsid w:val="005211C3"/>
    <w:rsid w:val="00522F33"/>
    <w:rsid w:val="005230F8"/>
    <w:rsid w:val="005232A2"/>
    <w:rsid w:val="0052431B"/>
    <w:rsid w:val="00524F9C"/>
    <w:rsid w:val="00525DBB"/>
    <w:rsid w:val="00526236"/>
    <w:rsid w:val="005276A8"/>
    <w:rsid w:val="00527CFB"/>
    <w:rsid w:val="005309CF"/>
    <w:rsid w:val="00531C1F"/>
    <w:rsid w:val="00531DB7"/>
    <w:rsid w:val="005327FB"/>
    <w:rsid w:val="00532E22"/>
    <w:rsid w:val="00533778"/>
    <w:rsid w:val="00533785"/>
    <w:rsid w:val="00534616"/>
    <w:rsid w:val="00536219"/>
    <w:rsid w:val="00536922"/>
    <w:rsid w:val="00536EEE"/>
    <w:rsid w:val="005372C9"/>
    <w:rsid w:val="0053732D"/>
    <w:rsid w:val="00537942"/>
    <w:rsid w:val="0054150A"/>
    <w:rsid w:val="005418CE"/>
    <w:rsid w:val="00542192"/>
    <w:rsid w:val="0054287E"/>
    <w:rsid w:val="0054368B"/>
    <w:rsid w:val="00546FF3"/>
    <w:rsid w:val="00550AC8"/>
    <w:rsid w:val="0055132E"/>
    <w:rsid w:val="0055137B"/>
    <w:rsid w:val="00552A12"/>
    <w:rsid w:val="005535FE"/>
    <w:rsid w:val="00553C67"/>
    <w:rsid w:val="0055420E"/>
    <w:rsid w:val="00554515"/>
    <w:rsid w:val="00556D2F"/>
    <w:rsid w:val="00557722"/>
    <w:rsid w:val="00560288"/>
    <w:rsid w:val="00560474"/>
    <w:rsid w:val="005623F5"/>
    <w:rsid w:val="00562A17"/>
    <w:rsid w:val="00563251"/>
    <w:rsid w:val="00565B94"/>
    <w:rsid w:val="00565D94"/>
    <w:rsid w:val="00566CC5"/>
    <w:rsid w:val="00567C27"/>
    <w:rsid w:val="00571871"/>
    <w:rsid w:val="00573886"/>
    <w:rsid w:val="00576467"/>
    <w:rsid w:val="005767D3"/>
    <w:rsid w:val="00576AD7"/>
    <w:rsid w:val="0058052D"/>
    <w:rsid w:val="00580D88"/>
    <w:rsid w:val="00581D01"/>
    <w:rsid w:val="0058304F"/>
    <w:rsid w:val="0058331A"/>
    <w:rsid w:val="00583F83"/>
    <w:rsid w:val="00585BCB"/>
    <w:rsid w:val="00585C71"/>
    <w:rsid w:val="0058636C"/>
    <w:rsid w:val="00591099"/>
    <w:rsid w:val="00591317"/>
    <w:rsid w:val="00591682"/>
    <w:rsid w:val="005919D6"/>
    <w:rsid w:val="00592124"/>
    <w:rsid w:val="00592226"/>
    <w:rsid w:val="00592711"/>
    <w:rsid w:val="005928E2"/>
    <w:rsid w:val="005933C4"/>
    <w:rsid w:val="005937C2"/>
    <w:rsid w:val="005940D5"/>
    <w:rsid w:val="005948AB"/>
    <w:rsid w:val="00594A69"/>
    <w:rsid w:val="00596408"/>
    <w:rsid w:val="00597E74"/>
    <w:rsid w:val="005A11D4"/>
    <w:rsid w:val="005A16CD"/>
    <w:rsid w:val="005A1F8D"/>
    <w:rsid w:val="005A2827"/>
    <w:rsid w:val="005A3714"/>
    <w:rsid w:val="005A4462"/>
    <w:rsid w:val="005A45D8"/>
    <w:rsid w:val="005A56CA"/>
    <w:rsid w:val="005A7B23"/>
    <w:rsid w:val="005B01CF"/>
    <w:rsid w:val="005B058D"/>
    <w:rsid w:val="005B11B1"/>
    <w:rsid w:val="005B1228"/>
    <w:rsid w:val="005B1B64"/>
    <w:rsid w:val="005B2842"/>
    <w:rsid w:val="005B28D0"/>
    <w:rsid w:val="005B4629"/>
    <w:rsid w:val="005B473F"/>
    <w:rsid w:val="005B5A35"/>
    <w:rsid w:val="005B7192"/>
    <w:rsid w:val="005C247A"/>
    <w:rsid w:val="005C2D2C"/>
    <w:rsid w:val="005C3D0C"/>
    <w:rsid w:val="005C43A0"/>
    <w:rsid w:val="005C51EA"/>
    <w:rsid w:val="005C5506"/>
    <w:rsid w:val="005C57B9"/>
    <w:rsid w:val="005C5A92"/>
    <w:rsid w:val="005C75F1"/>
    <w:rsid w:val="005C7E49"/>
    <w:rsid w:val="005D019D"/>
    <w:rsid w:val="005D0F7C"/>
    <w:rsid w:val="005D156B"/>
    <w:rsid w:val="005D18A7"/>
    <w:rsid w:val="005D1BAB"/>
    <w:rsid w:val="005D40CD"/>
    <w:rsid w:val="005D4C5A"/>
    <w:rsid w:val="005D562C"/>
    <w:rsid w:val="005D5951"/>
    <w:rsid w:val="005D595F"/>
    <w:rsid w:val="005D59E3"/>
    <w:rsid w:val="005D7BF5"/>
    <w:rsid w:val="005E2390"/>
    <w:rsid w:val="005E25F7"/>
    <w:rsid w:val="005E2ED6"/>
    <w:rsid w:val="005E3007"/>
    <w:rsid w:val="005E4549"/>
    <w:rsid w:val="005E46BD"/>
    <w:rsid w:val="005E629D"/>
    <w:rsid w:val="005E6909"/>
    <w:rsid w:val="005F08D8"/>
    <w:rsid w:val="005F2735"/>
    <w:rsid w:val="005F442F"/>
    <w:rsid w:val="005F46C9"/>
    <w:rsid w:val="005F4C12"/>
    <w:rsid w:val="005F571D"/>
    <w:rsid w:val="005F65F2"/>
    <w:rsid w:val="005F6B9B"/>
    <w:rsid w:val="005F779A"/>
    <w:rsid w:val="006002CB"/>
    <w:rsid w:val="0060176A"/>
    <w:rsid w:val="006021EE"/>
    <w:rsid w:val="0060289A"/>
    <w:rsid w:val="00602BCB"/>
    <w:rsid w:val="006035B6"/>
    <w:rsid w:val="00603BBC"/>
    <w:rsid w:val="00605203"/>
    <w:rsid w:val="006056BA"/>
    <w:rsid w:val="00605FFA"/>
    <w:rsid w:val="006072E9"/>
    <w:rsid w:val="006110AD"/>
    <w:rsid w:val="0061111A"/>
    <w:rsid w:val="00612E39"/>
    <w:rsid w:val="00612F69"/>
    <w:rsid w:val="006147B6"/>
    <w:rsid w:val="00615ED0"/>
    <w:rsid w:val="0061742E"/>
    <w:rsid w:val="00617922"/>
    <w:rsid w:val="0062087A"/>
    <w:rsid w:val="00621B2F"/>
    <w:rsid w:val="0062210B"/>
    <w:rsid w:val="00622224"/>
    <w:rsid w:val="00622502"/>
    <w:rsid w:val="00624934"/>
    <w:rsid w:val="00625C9C"/>
    <w:rsid w:val="00626512"/>
    <w:rsid w:val="00627A12"/>
    <w:rsid w:val="006317C6"/>
    <w:rsid w:val="00632241"/>
    <w:rsid w:val="0063342D"/>
    <w:rsid w:val="00633E2E"/>
    <w:rsid w:val="00635589"/>
    <w:rsid w:val="00635AC9"/>
    <w:rsid w:val="00635D41"/>
    <w:rsid w:val="0063699A"/>
    <w:rsid w:val="00637175"/>
    <w:rsid w:val="00640732"/>
    <w:rsid w:val="00640CA7"/>
    <w:rsid w:val="00640E62"/>
    <w:rsid w:val="00641978"/>
    <w:rsid w:val="00642F3B"/>
    <w:rsid w:val="006435B0"/>
    <w:rsid w:val="0064372F"/>
    <w:rsid w:val="00645F69"/>
    <w:rsid w:val="0064608E"/>
    <w:rsid w:val="006464F5"/>
    <w:rsid w:val="00646D7B"/>
    <w:rsid w:val="00647CA2"/>
    <w:rsid w:val="00651CFC"/>
    <w:rsid w:val="00652066"/>
    <w:rsid w:val="0065342F"/>
    <w:rsid w:val="00653724"/>
    <w:rsid w:val="00653BB4"/>
    <w:rsid w:val="00654538"/>
    <w:rsid w:val="00654B35"/>
    <w:rsid w:val="006555EA"/>
    <w:rsid w:val="006556E8"/>
    <w:rsid w:val="00655DF7"/>
    <w:rsid w:val="006560D5"/>
    <w:rsid w:val="00656D09"/>
    <w:rsid w:val="006579E1"/>
    <w:rsid w:val="006607CA"/>
    <w:rsid w:val="00660BC8"/>
    <w:rsid w:val="00660F10"/>
    <w:rsid w:val="006612F9"/>
    <w:rsid w:val="0066155C"/>
    <w:rsid w:val="00661C8D"/>
    <w:rsid w:val="0066232A"/>
    <w:rsid w:val="00662697"/>
    <w:rsid w:val="0066321F"/>
    <w:rsid w:val="0066696B"/>
    <w:rsid w:val="006678E1"/>
    <w:rsid w:val="006707DC"/>
    <w:rsid w:val="00670A8B"/>
    <w:rsid w:val="0067144F"/>
    <w:rsid w:val="00671F40"/>
    <w:rsid w:val="00672558"/>
    <w:rsid w:val="006727F1"/>
    <w:rsid w:val="00672AFD"/>
    <w:rsid w:val="00672D1E"/>
    <w:rsid w:val="00673965"/>
    <w:rsid w:val="00673C66"/>
    <w:rsid w:val="00674C2B"/>
    <w:rsid w:val="0067552F"/>
    <w:rsid w:val="00675711"/>
    <w:rsid w:val="006774B0"/>
    <w:rsid w:val="00677EC3"/>
    <w:rsid w:val="00680347"/>
    <w:rsid w:val="00680884"/>
    <w:rsid w:val="0068123C"/>
    <w:rsid w:val="00681E91"/>
    <w:rsid w:val="00684A82"/>
    <w:rsid w:val="00685317"/>
    <w:rsid w:val="0068569E"/>
    <w:rsid w:val="00685EB0"/>
    <w:rsid w:val="00686FEC"/>
    <w:rsid w:val="00687E32"/>
    <w:rsid w:val="00690B3D"/>
    <w:rsid w:val="006911FB"/>
    <w:rsid w:val="00692D8D"/>
    <w:rsid w:val="006936AC"/>
    <w:rsid w:val="0069375B"/>
    <w:rsid w:val="006938A4"/>
    <w:rsid w:val="00693CAB"/>
    <w:rsid w:val="00693FFC"/>
    <w:rsid w:val="0069458D"/>
    <w:rsid w:val="00695603"/>
    <w:rsid w:val="00695B46"/>
    <w:rsid w:val="0069745E"/>
    <w:rsid w:val="006A3058"/>
    <w:rsid w:val="006A44FF"/>
    <w:rsid w:val="006A4A09"/>
    <w:rsid w:val="006A4D63"/>
    <w:rsid w:val="006A5B76"/>
    <w:rsid w:val="006A5C4A"/>
    <w:rsid w:val="006A616A"/>
    <w:rsid w:val="006A6218"/>
    <w:rsid w:val="006A6D58"/>
    <w:rsid w:val="006A712B"/>
    <w:rsid w:val="006B014E"/>
    <w:rsid w:val="006B10BD"/>
    <w:rsid w:val="006B1296"/>
    <w:rsid w:val="006B1D7D"/>
    <w:rsid w:val="006B3025"/>
    <w:rsid w:val="006B3917"/>
    <w:rsid w:val="006B42C7"/>
    <w:rsid w:val="006B5610"/>
    <w:rsid w:val="006B6797"/>
    <w:rsid w:val="006B6A08"/>
    <w:rsid w:val="006B6A2B"/>
    <w:rsid w:val="006B7323"/>
    <w:rsid w:val="006B7A47"/>
    <w:rsid w:val="006C14F8"/>
    <w:rsid w:val="006C1D1A"/>
    <w:rsid w:val="006C1E78"/>
    <w:rsid w:val="006C207D"/>
    <w:rsid w:val="006C266C"/>
    <w:rsid w:val="006C3431"/>
    <w:rsid w:val="006C39F5"/>
    <w:rsid w:val="006C4B7B"/>
    <w:rsid w:val="006C4C66"/>
    <w:rsid w:val="006C51A5"/>
    <w:rsid w:val="006D2283"/>
    <w:rsid w:val="006D22C0"/>
    <w:rsid w:val="006D275E"/>
    <w:rsid w:val="006D2867"/>
    <w:rsid w:val="006D2D22"/>
    <w:rsid w:val="006D3066"/>
    <w:rsid w:val="006D4793"/>
    <w:rsid w:val="006D7B7C"/>
    <w:rsid w:val="006E024A"/>
    <w:rsid w:val="006E199D"/>
    <w:rsid w:val="006E1B62"/>
    <w:rsid w:val="006E28E6"/>
    <w:rsid w:val="006E2EC5"/>
    <w:rsid w:val="006E2FB0"/>
    <w:rsid w:val="006E37FC"/>
    <w:rsid w:val="006E40F5"/>
    <w:rsid w:val="006E413F"/>
    <w:rsid w:val="006E439D"/>
    <w:rsid w:val="006E6AEC"/>
    <w:rsid w:val="006E6AF5"/>
    <w:rsid w:val="006E76E1"/>
    <w:rsid w:val="006F1F96"/>
    <w:rsid w:val="006F2250"/>
    <w:rsid w:val="006F253B"/>
    <w:rsid w:val="006F35E8"/>
    <w:rsid w:val="006F390A"/>
    <w:rsid w:val="006F3AB5"/>
    <w:rsid w:val="006F4113"/>
    <w:rsid w:val="006F452E"/>
    <w:rsid w:val="006F4691"/>
    <w:rsid w:val="006F5F2F"/>
    <w:rsid w:val="006F664D"/>
    <w:rsid w:val="006F7003"/>
    <w:rsid w:val="006F70CA"/>
    <w:rsid w:val="007006C9"/>
    <w:rsid w:val="00701D77"/>
    <w:rsid w:val="007025CC"/>
    <w:rsid w:val="007029B4"/>
    <w:rsid w:val="0070340B"/>
    <w:rsid w:val="0070388A"/>
    <w:rsid w:val="00703898"/>
    <w:rsid w:val="00703CEC"/>
    <w:rsid w:val="00703E91"/>
    <w:rsid w:val="0070427E"/>
    <w:rsid w:val="00704795"/>
    <w:rsid w:val="00704C43"/>
    <w:rsid w:val="00705251"/>
    <w:rsid w:val="00705619"/>
    <w:rsid w:val="00705FF0"/>
    <w:rsid w:val="00707B6F"/>
    <w:rsid w:val="00707FC5"/>
    <w:rsid w:val="0071100E"/>
    <w:rsid w:val="00711713"/>
    <w:rsid w:val="00712810"/>
    <w:rsid w:val="00712CA5"/>
    <w:rsid w:val="00712F46"/>
    <w:rsid w:val="00713A5B"/>
    <w:rsid w:val="00713F12"/>
    <w:rsid w:val="00714586"/>
    <w:rsid w:val="0071488E"/>
    <w:rsid w:val="0071499A"/>
    <w:rsid w:val="00714B94"/>
    <w:rsid w:val="00715DD4"/>
    <w:rsid w:val="00716549"/>
    <w:rsid w:val="00717C0B"/>
    <w:rsid w:val="0072046D"/>
    <w:rsid w:val="00721163"/>
    <w:rsid w:val="00722E8F"/>
    <w:rsid w:val="00722F97"/>
    <w:rsid w:val="007235B5"/>
    <w:rsid w:val="007244B7"/>
    <w:rsid w:val="007260B9"/>
    <w:rsid w:val="00726D62"/>
    <w:rsid w:val="007276EE"/>
    <w:rsid w:val="00730585"/>
    <w:rsid w:val="007313F3"/>
    <w:rsid w:val="00731F5B"/>
    <w:rsid w:val="00732B25"/>
    <w:rsid w:val="00733AB7"/>
    <w:rsid w:val="0073542B"/>
    <w:rsid w:val="00735BE5"/>
    <w:rsid w:val="007368FF"/>
    <w:rsid w:val="00736FD9"/>
    <w:rsid w:val="00737269"/>
    <w:rsid w:val="00740390"/>
    <w:rsid w:val="00740594"/>
    <w:rsid w:val="00740E01"/>
    <w:rsid w:val="00741DDF"/>
    <w:rsid w:val="00743638"/>
    <w:rsid w:val="00745534"/>
    <w:rsid w:val="007463A3"/>
    <w:rsid w:val="007475C5"/>
    <w:rsid w:val="007506DD"/>
    <w:rsid w:val="00752937"/>
    <w:rsid w:val="007536BE"/>
    <w:rsid w:val="0075470F"/>
    <w:rsid w:val="00754780"/>
    <w:rsid w:val="00754C20"/>
    <w:rsid w:val="0075514E"/>
    <w:rsid w:val="00756AD0"/>
    <w:rsid w:val="00756E2D"/>
    <w:rsid w:val="00757744"/>
    <w:rsid w:val="007579CB"/>
    <w:rsid w:val="00760A6F"/>
    <w:rsid w:val="00761AC2"/>
    <w:rsid w:val="00761C6C"/>
    <w:rsid w:val="00761CC2"/>
    <w:rsid w:val="00763B68"/>
    <w:rsid w:val="00763E6B"/>
    <w:rsid w:val="007640BF"/>
    <w:rsid w:val="007656ED"/>
    <w:rsid w:val="00765714"/>
    <w:rsid w:val="00766C47"/>
    <w:rsid w:val="0076770F"/>
    <w:rsid w:val="007702BD"/>
    <w:rsid w:val="00770ED2"/>
    <w:rsid w:val="00771054"/>
    <w:rsid w:val="00771374"/>
    <w:rsid w:val="007732F7"/>
    <w:rsid w:val="00773D95"/>
    <w:rsid w:val="00777672"/>
    <w:rsid w:val="0078085D"/>
    <w:rsid w:val="007813DA"/>
    <w:rsid w:val="00782A6D"/>
    <w:rsid w:val="00782AE8"/>
    <w:rsid w:val="00782BD6"/>
    <w:rsid w:val="00782C8D"/>
    <w:rsid w:val="007853E1"/>
    <w:rsid w:val="007853FD"/>
    <w:rsid w:val="0078576D"/>
    <w:rsid w:val="00785AFA"/>
    <w:rsid w:val="0078642F"/>
    <w:rsid w:val="00786A8B"/>
    <w:rsid w:val="0078759B"/>
    <w:rsid w:val="00791103"/>
    <w:rsid w:val="007913D1"/>
    <w:rsid w:val="00791927"/>
    <w:rsid w:val="007929FA"/>
    <w:rsid w:val="00793D22"/>
    <w:rsid w:val="007944E5"/>
    <w:rsid w:val="00794889"/>
    <w:rsid w:val="00794B13"/>
    <w:rsid w:val="00796962"/>
    <w:rsid w:val="00796E51"/>
    <w:rsid w:val="00797493"/>
    <w:rsid w:val="007A11CD"/>
    <w:rsid w:val="007A2D01"/>
    <w:rsid w:val="007A32B6"/>
    <w:rsid w:val="007A38B7"/>
    <w:rsid w:val="007A3A14"/>
    <w:rsid w:val="007A3E43"/>
    <w:rsid w:val="007A642D"/>
    <w:rsid w:val="007A779A"/>
    <w:rsid w:val="007B06DF"/>
    <w:rsid w:val="007B10B8"/>
    <w:rsid w:val="007B16F8"/>
    <w:rsid w:val="007B1969"/>
    <w:rsid w:val="007B2E41"/>
    <w:rsid w:val="007B3088"/>
    <w:rsid w:val="007B36AF"/>
    <w:rsid w:val="007B42A1"/>
    <w:rsid w:val="007B4D68"/>
    <w:rsid w:val="007B695A"/>
    <w:rsid w:val="007B70BE"/>
    <w:rsid w:val="007B7165"/>
    <w:rsid w:val="007B7628"/>
    <w:rsid w:val="007C1E97"/>
    <w:rsid w:val="007C3229"/>
    <w:rsid w:val="007C338E"/>
    <w:rsid w:val="007C3D9D"/>
    <w:rsid w:val="007C42E2"/>
    <w:rsid w:val="007C5E62"/>
    <w:rsid w:val="007C6564"/>
    <w:rsid w:val="007C65E7"/>
    <w:rsid w:val="007C68F6"/>
    <w:rsid w:val="007C6BDF"/>
    <w:rsid w:val="007D0998"/>
    <w:rsid w:val="007D0F05"/>
    <w:rsid w:val="007D1A98"/>
    <w:rsid w:val="007D3E88"/>
    <w:rsid w:val="007D4FA2"/>
    <w:rsid w:val="007D58DF"/>
    <w:rsid w:val="007D6C6B"/>
    <w:rsid w:val="007D78EF"/>
    <w:rsid w:val="007D7B01"/>
    <w:rsid w:val="007E0957"/>
    <w:rsid w:val="007E1082"/>
    <w:rsid w:val="007E1F51"/>
    <w:rsid w:val="007E2BF6"/>
    <w:rsid w:val="007E3193"/>
    <w:rsid w:val="007E4611"/>
    <w:rsid w:val="007E477E"/>
    <w:rsid w:val="007E750B"/>
    <w:rsid w:val="007F04F6"/>
    <w:rsid w:val="007F07AE"/>
    <w:rsid w:val="007F19D0"/>
    <w:rsid w:val="007F24B9"/>
    <w:rsid w:val="007F359F"/>
    <w:rsid w:val="007F3703"/>
    <w:rsid w:val="007F48B2"/>
    <w:rsid w:val="007F4A1E"/>
    <w:rsid w:val="007F4B2D"/>
    <w:rsid w:val="007F6710"/>
    <w:rsid w:val="007F7AC2"/>
    <w:rsid w:val="007F7E39"/>
    <w:rsid w:val="00800BED"/>
    <w:rsid w:val="00801154"/>
    <w:rsid w:val="00801736"/>
    <w:rsid w:val="00802520"/>
    <w:rsid w:val="00803164"/>
    <w:rsid w:val="0080343F"/>
    <w:rsid w:val="00803F35"/>
    <w:rsid w:val="0080437D"/>
    <w:rsid w:val="00804411"/>
    <w:rsid w:val="00804461"/>
    <w:rsid w:val="00804A84"/>
    <w:rsid w:val="00804B5D"/>
    <w:rsid w:val="00805C14"/>
    <w:rsid w:val="00805EBC"/>
    <w:rsid w:val="00806439"/>
    <w:rsid w:val="00806886"/>
    <w:rsid w:val="0081035C"/>
    <w:rsid w:val="008125A4"/>
    <w:rsid w:val="00812F14"/>
    <w:rsid w:val="008151C2"/>
    <w:rsid w:val="00816935"/>
    <w:rsid w:val="0082061B"/>
    <w:rsid w:val="00820DE3"/>
    <w:rsid w:val="00821A31"/>
    <w:rsid w:val="008234AF"/>
    <w:rsid w:val="008258E4"/>
    <w:rsid w:val="00825C91"/>
    <w:rsid w:val="00826176"/>
    <w:rsid w:val="0082633D"/>
    <w:rsid w:val="00826A69"/>
    <w:rsid w:val="008277C2"/>
    <w:rsid w:val="00827F84"/>
    <w:rsid w:val="00830500"/>
    <w:rsid w:val="00831D96"/>
    <w:rsid w:val="008343F3"/>
    <w:rsid w:val="0083441F"/>
    <w:rsid w:val="00834FF4"/>
    <w:rsid w:val="008352B1"/>
    <w:rsid w:val="008358A1"/>
    <w:rsid w:val="00835A3C"/>
    <w:rsid w:val="00835B5A"/>
    <w:rsid w:val="00835C42"/>
    <w:rsid w:val="0084176A"/>
    <w:rsid w:val="0084442B"/>
    <w:rsid w:val="00846617"/>
    <w:rsid w:val="00846A73"/>
    <w:rsid w:val="0084735A"/>
    <w:rsid w:val="008478C4"/>
    <w:rsid w:val="008503B8"/>
    <w:rsid w:val="00850C9A"/>
    <w:rsid w:val="00851054"/>
    <w:rsid w:val="008515FE"/>
    <w:rsid w:val="00852B0D"/>
    <w:rsid w:val="008537D8"/>
    <w:rsid w:val="0085479E"/>
    <w:rsid w:val="008559C7"/>
    <w:rsid w:val="00856634"/>
    <w:rsid w:val="00856D07"/>
    <w:rsid w:val="008576C4"/>
    <w:rsid w:val="00857875"/>
    <w:rsid w:val="00860D07"/>
    <w:rsid w:val="008628EA"/>
    <w:rsid w:val="00862F6C"/>
    <w:rsid w:val="00863B4A"/>
    <w:rsid w:val="00863BAE"/>
    <w:rsid w:val="00865292"/>
    <w:rsid w:val="00865F0E"/>
    <w:rsid w:val="00866026"/>
    <w:rsid w:val="0086676E"/>
    <w:rsid w:val="008673F8"/>
    <w:rsid w:val="00871E39"/>
    <w:rsid w:val="008722A8"/>
    <w:rsid w:val="00872870"/>
    <w:rsid w:val="00874209"/>
    <w:rsid w:val="00874FEF"/>
    <w:rsid w:val="008752F3"/>
    <w:rsid w:val="00875A27"/>
    <w:rsid w:val="00876DBF"/>
    <w:rsid w:val="00877382"/>
    <w:rsid w:val="00880618"/>
    <w:rsid w:val="0088074A"/>
    <w:rsid w:val="008807C8"/>
    <w:rsid w:val="0088086A"/>
    <w:rsid w:val="00880B67"/>
    <w:rsid w:val="00880D96"/>
    <w:rsid w:val="0088138A"/>
    <w:rsid w:val="00881FA3"/>
    <w:rsid w:val="00885AA6"/>
    <w:rsid w:val="0088655F"/>
    <w:rsid w:val="00887321"/>
    <w:rsid w:val="00887CE6"/>
    <w:rsid w:val="00887E76"/>
    <w:rsid w:val="00892971"/>
    <w:rsid w:val="00892B05"/>
    <w:rsid w:val="00893426"/>
    <w:rsid w:val="00893F6F"/>
    <w:rsid w:val="008949B3"/>
    <w:rsid w:val="00894BC8"/>
    <w:rsid w:val="00894EBD"/>
    <w:rsid w:val="00896A65"/>
    <w:rsid w:val="00897FF1"/>
    <w:rsid w:val="008A06A7"/>
    <w:rsid w:val="008A06CE"/>
    <w:rsid w:val="008A0E91"/>
    <w:rsid w:val="008A0F5B"/>
    <w:rsid w:val="008A1EC8"/>
    <w:rsid w:val="008A3D54"/>
    <w:rsid w:val="008A4264"/>
    <w:rsid w:val="008A4AB7"/>
    <w:rsid w:val="008A4D03"/>
    <w:rsid w:val="008A4DBE"/>
    <w:rsid w:val="008A522D"/>
    <w:rsid w:val="008A560A"/>
    <w:rsid w:val="008A5CD4"/>
    <w:rsid w:val="008A6358"/>
    <w:rsid w:val="008A6923"/>
    <w:rsid w:val="008B002E"/>
    <w:rsid w:val="008B029F"/>
    <w:rsid w:val="008B29A5"/>
    <w:rsid w:val="008B2C73"/>
    <w:rsid w:val="008B2EBB"/>
    <w:rsid w:val="008B381E"/>
    <w:rsid w:val="008B68FA"/>
    <w:rsid w:val="008B6AA5"/>
    <w:rsid w:val="008B70E1"/>
    <w:rsid w:val="008C02FF"/>
    <w:rsid w:val="008C1235"/>
    <w:rsid w:val="008C35D4"/>
    <w:rsid w:val="008C3C9A"/>
    <w:rsid w:val="008C4040"/>
    <w:rsid w:val="008C4241"/>
    <w:rsid w:val="008C43D1"/>
    <w:rsid w:val="008C5A15"/>
    <w:rsid w:val="008C5F16"/>
    <w:rsid w:val="008C6133"/>
    <w:rsid w:val="008C6A99"/>
    <w:rsid w:val="008C73A4"/>
    <w:rsid w:val="008C7526"/>
    <w:rsid w:val="008D0EC7"/>
    <w:rsid w:val="008D1485"/>
    <w:rsid w:val="008D16B2"/>
    <w:rsid w:val="008D2414"/>
    <w:rsid w:val="008D26B9"/>
    <w:rsid w:val="008D29D4"/>
    <w:rsid w:val="008D30E7"/>
    <w:rsid w:val="008D3A2D"/>
    <w:rsid w:val="008D431A"/>
    <w:rsid w:val="008D54CF"/>
    <w:rsid w:val="008D58A2"/>
    <w:rsid w:val="008D638C"/>
    <w:rsid w:val="008D6657"/>
    <w:rsid w:val="008D708B"/>
    <w:rsid w:val="008E258F"/>
    <w:rsid w:val="008E2DDE"/>
    <w:rsid w:val="008E2FA8"/>
    <w:rsid w:val="008E345D"/>
    <w:rsid w:val="008E3C55"/>
    <w:rsid w:val="008E4698"/>
    <w:rsid w:val="008E53FA"/>
    <w:rsid w:val="008E5D1E"/>
    <w:rsid w:val="008E6CA7"/>
    <w:rsid w:val="008F04A3"/>
    <w:rsid w:val="008F0B92"/>
    <w:rsid w:val="008F15A9"/>
    <w:rsid w:val="008F1E08"/>
    <w:rsid w:val="008F1F01"/>
    <w:rsid w:val="008F1FA7"/>
    <w:rsid w:val="008F212A"/>
    <w:rsid w:val="008F29BA"/>
    <w:rsid w:val="008F2EA9"/>
    <w:rsid w:val="008F3602"/>
    <w:rsid w:val="008F36F2"/>
    <w:rsid w:val="008F42B5"/>
    <w:rsid w:val="008F4A91"/>
    <w:rsid w:val="008F64A5"/>
    <w:rsid w:val="008F7319"/>
    <w:rsid w:val="008F7D29"/>
    <w:rsid w:val="0090052D"/>
    <w:rsid w:val="00900F2E"/>
    <w:rsid w:val="00901112"/>
    <w:rsid w:val="00902367"/>
    <w:rsid w:val="00904CE8"/>
    <w:rsid w:val="00905525"/>
    <w:rsid w:val="009101FA"/>
    <w:rsid w:val="0091048B"/>
    <w:rsid w:val="00910836"/>
    <w:rsid w:val="009109F3"/>
    <w:rsid w:val="00910BE0"/>
    <w:rsid w:val="00910EC8"/>
    <w:rsid w:val="00911291"/>
    <w:rsid w:val="00912448"/>
    <w:rsid w:val="00913712"/>
    <w:rsid w:val="009143C7"/>
    <w:rsid w:val="00914E5F"/>
    <w:rsid w:val="0091537A"/>
    <w:rsid w:val="00915D78"/>
    <w:rsid w:val="00916647"/>
    <w:rsid w:val="00917299"/>
    <w:rsid w:val="00920240"/>
    <w:rsid w:val="009215A1"/>
    <w:rsid w:val="00921B26"/>
    <w:rsid w:val="00922FC7"/>
    <w:rsid w:val="009245B8"/>
    <w:rsid w:val="009254C0"/>
    <w:rsid w:val="00926538"/>
    <w:rsid w:val="00927270"/>
    <w:rsid w:val="00930503"/>
    <w:rsid w:val="009306FE"/>
    <w:rsid w:val="00931826"/>
    <w:rsid w:val="009325FB"/>
    <w:rsid w:val="00932F9E"/>
    <w:rsid w:val="00933771"/>
    <w:rsid w:val="00933A36"/>
    <w:rsid w:val="00933FD3"/>
    <w:rsid w:val="00934B60"/>
    <w:rsid w:val="00935BF5"/>
    <w:rsid w:val="00935D8C"/>
    <w:rsid w:val="009367CD"/>
    <w:rsid w:val="00936838"/>
    <w:rsid w:val="0094053E"/>
    <w:rsid w:val="009406DF"/>
    <w:rsid w:val="009415D1"/>
    <w:rsid w:val="00941928"/>
    <w:rsid w:val="00942592"/>
    <w:rsid w:val="00942A5C"/>
    <w:rsid w:val="009435DC"/>
    <w:rsid w:val="00943FC2"/>
    <w:rsid w:val="00944020"/>
    <w:rsid w:val="00945AF6"/>
    <w:rsid w:val="009460C7"/>
    <w:rsid w:val="00950425"/>
    <w:rsid w:val="0095073F"/>
    <w:rsid w:val="00951671"/>
    <w:rsid w:val="00951F00"/>
    <w:rsid w:val="00952A80"/>
    <w:rsid w:val="009540F7"/>
    <w:rsid w:val="0095442C"/>
    <w:rsid w:val="00955311"/>
    <w:rsid w:val="00960CB1"/>
    <w:rsid w:val="009626FF"/>
    <w:rsid w:val="00962FC6"/>
    <w:rsid w:val="009635F5"/>
    <w:rsid w:val="00964BD5"/>
    <w:rsid w:val="00965105"/>
    <w:rsid w:val="00965941"/>
    <w:rsid w:val="0096618B"/>
    <w:rsid w:val="00966683"/>
    <w:rsid w:val="00966B57"/>
    <w:rsid w:val="00967E25"/>
    <w:rsid w:val="0097092C"/>
    <w:rsid w:val="00971056"/>
    <w:rsid w:val="00971808"/>
    <w:rsid w:val="0097618E"/>
    <w:rsid w:val="009761AB"/>
    <w:rsid w:val="0097698B"/>
    <w:rsid w:val="00976F6D"/>
    <w:rsid w:val="00977617"/>
    <w:rsid w:val="00980583"/>
    <w:rsid w:val="0098142E"/>
    <w:rsid w:val="00982665"/>
    <w:rsid w:val="00982A79"/>
    <w:rsid w:val="00985A1F"/>
    <w:rsid w:val="0098670F"/>
    <w:rsid w:val="00987FB1"/>
    <w:rsid w:val="009910B2"/>
    <w:rsid w:val="009917DA"/>
    <w:rsid w:val="00991FC9"/>
    <w:rsid w:val="0099259E"/>
    <w:rsid w:val="00993A67"/>
    <w:rsid w:val="00993B62"/>
    <w:rsid w:val="00994902"/>
    <w:rsid w:val="00995232"/>
    <w:rsid w:val="00996F09"/>
    <w:rsid w:val="009A0465"/>
    <w:rsid w:val="009A0EE5"/>
    <w:rsid w:val="009A1A22"/>
    <w:rsid w:val="009A514A"/>
    <w:rsid w:val="009A52F8"/>
    <w:rsid w:val="009A6B8F"/>
    <w:rsid w:val="009A6EAA"/>
    <w:rsid w:val="009A700E"/>
    <w:rsid w:val="009A75B1"/>
    <w:rsid w:val="009B0561"/>
    <w:rsid w:val="009B07F5"/>
    <w:rsid w:val="009B1A41"/>
    <w:rsid w:val="009B356F"/>
    <w:rsid w:val="009B3CFC"/>
    <w:rsid w:val="009B40DF"/>
    <w:rsid w:val="009B4FA7"/>
    <w:rsid w:val="009B7B02"/>
    <w:rsid w:val="009C0B9D"/>
    <w:rsid w:val="009C11D6"/>
    <w:rsid w:val="009C1CD2"/>
    <w:rsid w:val="009C2013"/>
    <w:rsid w:val="009C432E"/>
    <w:rsid w:val="009C476A"/>
    <w:rsid w:val="009C5295"/>
    <w:rsid w:val="009C5548"/>
    <w:rsid w:val="009C60E4"/>
    <w:rsid w:val="009C65A3"/>
    <w:rsid w:val="009C6B41"/>
    <w:rsid w:val="009C6F65"/>
    <w:rsid w:val="009C753C"/>
    <w:rsid w:val="009C78EF"/>
    <w:rsid w:val="009D0044"/>
    <w:rsid w:val="009D1526"/>
    <w:rsid w:val="009D1756"/>
    <w:rsid w:val="009D2A2D"/>
    <w:rsid w:val="009D4AE8"/>
    <w:rsid w:val="009D4C12"/>
    <w:rsid w:val="009D5290"/>
    <w:rsid w:val="009D5424"/>
    <w:rsid w:val="009D60A1"/>
    <w:rsid w:val="009D6217"/>
    <w:rsid w:val="009D6704"/>
    <w:rsid w:val="009D7064"/>
    <w:rsid w:val="009D73DE"/>
    <w:rsid w:val="009E1ADE"/>
    <w:rsid w:val="009E2760"/>
    <w:rsid w:val="009E3594"/>
    <w:rsid w:val="009E3F53"/>
    <w:rsid w:val="009E4A34"/>
    <w:rsid w:val="009E616E"/>
    <w:rsid w:val="009E6268"/>
    <w:rsid w:val="009E6B7C"/>
    <w:rsid w:val="009E75B1"/>
    <w:rsid w:val="009E75B9"/>
    <w:rsid w:val="009F02E2"/>
    <w:rsid w:val="009F1FC4"/>
    <w:rsid w:val="009F291E"/>
    <w:rsid w:val="009F4DFD"/>
    <w:rsid w:val="009F5312"/>
    <w:rsid w:val="009F56F8"/>
    <w:rsid w:val="009F648B"/>
    <w:rsid w:val="009F693B"/>
    <w:rsid w:val="009F72AB"/>
    <w:rsid w:val="009F78A3"/>
    <w:rsid w:val="00A00A48"/>
    <w:rsid w:val="00A016BE"/>
    <w:rsid w:val="00A018FB"/>
    <w:rsid w:val="00A01BEA"/>
    <w:rsid w:val="00A02477"/>
    <w:rsid w:val="00A035AD"/>
    <w:rsid w:val="00A03DAB"/>
    <w:rsid w:val="00A044D6"/>
    <w:rsid w:val="00A04A02"/>
    <w:rsid w:val="00A05E94"/>
    <w:rsid w:val="00A06094"/>
    <w:rsid w:val="00A0768B"/>
    <w:rsid w:val="00A10186"/>
    <w:rsid w:val="00A10B25"/>
    <w:rsid w:val="00A1363A"/>
    <w:rsid w:val="00A13F0C"/>
    <w:rsid w:val="00A15D01"/>
    <w:rsid w:val="00A17348"/>
    <w:rsid w:val="00A17601"/>
    <w:rsid w:val="00A17BDE"/>
    <w:rsid w:val="00A20DAE"/>
    <w:rsid w:val="00A2239B"/>
    <w:rsid w:val="00A22EEA"/>
    <w:rsid w:val="00A23B92"/>
    <w:rsid w:val="00A2458B"/>
    <w:rsid w:val="00A24619"/>
    <w:rsid w:val="00A309CB"/>
    <w:rsid w:val="00A30A4C"/>
    <w:rsid w:val="00A327CC"/>
    <w:rsid w:val="00A32864"/>
    <w:rsid w:val="00A3298B"/>
    <w:rsid w:val="00A32A69"/>
    <w:rsid w:val="00A336D3"/>
    <w:rsid w:val="00A34F0D"/>
    <w:rsid w:val="00A35967"/>
    <w:rsid w:val="00A35ACE"/>
    <w:rsid w:val="00A35FEA"/>
    <w:rsid w:val="00A36489"/>
    <w:rsid w:val="00A371F2"/>
    <w:rsid w:val="00A37F6F"/>
    <w:rsid w:val="00A40285"/>
    <w:rsid w:val="00A406F0"/>
    <w:rsid w:val="00A4198C"/>
    <w:rsid w:val="00A41B05"/>
    <w:rsid w:val="00A43B77"/>
    <w:rsid w:val="00A44CE2"/>
    <w:rsid w:val="00A45B24"/>
    <w:rsid w:val="00A46A8D"/>
    <w:rsid w:val="00A46DA9"/>
    <w:rsid w:val="00A47430"/>
    <w:rsid w:val="00A51407"/>
    <w:rsid w:val="00A52D00"/>
    <w:rsid w:val="00A53B8B"/>
    <w:rsid w:val="00A5492A"/>
    <w:rsid w:val="00A60811"/>
    <w:rsid w:val="00A60A91"/>
    <w:rsid w:val="00A61857"/>
    <w:rsid w:val="00A638AB"/>
    <w:rsid w:val="00A64324"/>
    <w:rsid w:val="00A64E25"/>
    <w:rsid w:val="00A65396"/>
    <w:rsid w:val="00A65ACF"/>
    <w:rsid w:val="00A6632A"/>
    <w:rsid w:val="00A66417"/>
    <w:rsid w:val="00A66B77"/>
    <w:rsid w:val="00A67830"/>
    <w:rsid w:val="00A7066E"/>
    <w:rsid w:val="00A71396"/>
    <w:rsid w:val="00A71C77"/>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F9D"/>
    <w:rsid w:val="00A80BF3"/>
    <w:rsid w:val="00A80CF9"/>
    <w:rsid w:val="00A81456"/>
    <w:rsid w:val="00A81D09"/>
    <w:rsid w:val="00A82755"/>
    <w:rsid w:val="00A82907"/>
    <w:rsid w:val="00A8301F"/>
    <w:rsid w:val="00A83083"/>
    <w:rsid w:val="00A84677"/>
    <w:rsid w:val="00A851E8"/>
    <w:rsid w:val="00A86E5B"/>
    <w:rsid w:val="00A87CD6"/>
    <w:rsid w:val="00A91B58"/>
    <w:rsid w:val="00A947A0"/>
    <w:rsid w:val="00A94A94"/>
    <w:rsid w:val="00A962BD"/>
    <w:rsid w:val="00A97DDB"/>
    <w:rsid w:val="00AA00BE"/>
    <w:rsid w:val="00AA079B"/>
    <w:rsid w:val="00AA0B7B"/>
    <w:rsid w:val="00AA1C54"/>
    <w:rsid w:val="00AA2072"/>
    <w:rsid w:val="00AA298B"/>
    <w:rsid w:val="00AA2F3D"/>
    <w:rsid w:val="00AA3176"/>
    <w:rsid w:val="00AA3B4E"/>
    <w:rsid w:val="00AA586B"/>
    <w:rsid w:val="00AA5E3B"/>
    <w:rsid w:val="00AA5E6D"/>
    <w:rsid w:val="00AA7BD3"/>
    <w:rsid w:val="00AB2523"/>
    <w:rsid w:val="00AB2C10"/>
    <w:rsid w:val="00AB31F6"/>
    <w:rsid w:val="00AB4130"/>
    <w:rsid w:val="00AB4D23"/>
    <w:rsid w:val="00AB6625"/>
    <w:rsid w:val="00AB69EF"/>
    <w:rsid w:val="00AB7F86"/>
    <w:rsid w:val="00AC0482"/>
    <w:rsid w:val="00AC10C6"/>
    <w:rsid w:val="00AC1578"/>
    <w:rsid w:val="00AC19F4"/>
    <w:rsid w:val="00AC2313"/>
    <w:rsid w:val="00AC3B2B"/>
    <w:rsid w:val="00AC564F"/>
    <w:rsid w:val="00AC567E"/>
    <w:rsid w:val="00AC5D8F"/>
    <w:rsid w:val="00AC6148"/>
    <w:rsid w:val="00AD1B67"/>
    <w:rsid w:val="00AD1CF2"/>
    <w:rsid w:val="00AD370C"/>
    <w:rsid w:val="00AD3897"/>
    <w:rsid w:val="00AD6559"/>
    <w:rsid w:val="00AD6864"/>
    <w:rsid w:val="00AD716C"/>
    <w:rsid w:val="00AE02FE"/>
    <w:rsid w:val="00AE0941"/>
    <w:rsid w:val="00AE0EDA"/>
    <w:rsid w:val="00AE28F7"/>
    <w:rsid w:val="00AE4531"/>
    <w:rsid w:val="00AE52BD"/>
    <w:rsid w:val="00AE72B9"/>
    <w:rsid w:val="00AE7F88"/>
    <w:rsid w:val="00AF14D6"/>
    <w:rsid w:val="00AF1CCD"/>
    <w:rsid w:val="00AF2136"/>
    <w:rsid w:val="00AF3F2A"/>
    <w:rsid w:val="00AF410B"/>
    <w:rsid w:val="00AF5137"/>
    <w:rsid w:val="00B00039"/>
    <w:rsid w:val="00B01039"/>
    <w:rsid w:val="00B038C3"/>
    <w:rsid w:val="00B05E15"/>
    <w:rsid w:val="00B073FB"/>
    <w:rsid w:val="00B07E14"/>
    <w:rsid w:val="00B11DAF"/>
    <w:rsid w:val="00B11FC4"/>
    <w:rsid w:val="00B126A1"/>
    <w:rsid w:val="00B13492"/>
    <w:rsid w:val="00B138AF"/>
    <w:rsid w:val="00B13B81"/>
    <w:rsid w:val="00B14177"/>
    <w:rsid w:val="00B15A53"/>
    <w:rsid w:val="00B2028E"/>
    <w:rsid w:val="00B204AC"/>
    <w:rsid w:val="00B2145E"/>
    <w:rsid w:val="00B22468"/>
    <w:rsid w:val="00B23141"/>
    <w:rsid w:val="00B24DD2"/>
    <w:rsid w:val="00B25575"/>
    <w:rsid w:val="00B26B25"/>
    <w:rsid w:val="00B271C7"/>
    <w:rsid w:val="00B276BB"/>
    <w:rsid w:val="00B3052D"/>
    <w:rsid w:val="00B31F24"/>
    <w:rsid w:val="00B33A8F"/>
    <w:rsid w:val="00B33DDE"/>
    <w:rsid w:val="00B3451C"/>
    <w:rsid w:val="00B34B60"/>
    <w:rsid w:val="00B35C7A"/>
    <w:rsid w:val="00B371C7"/>
    <w:rsid w:val="00B40D94"/>
    <w:rsid w:val="00B40E01"/>
    <w:rsid w:val="00B40E15"/>
    <w:rsid w:val="00B41385"/>
    <w:rsid w:val="00B4177B"/>
    <w:rsid w:val="00B44A8F"/>
    <w:rsid w:val="00B45273"/>
    <w:rsid w:val="00B45630"/>
    <w:rsid w:val="00B46B8A"/>
    <w:rsid w:val="00B50631"/>
    <w:rsid w:val="00B51583"/>
    <w:rsid w:val="00B51797"/>
    <w:rsid w:val="00B523C8"/>
    <w:rsid w:val="00B5270A"/>
    <w:rsid w:val="00B52944"/>
    <w:rsid w:val="00B52FE5"/>
    <w:rsid w:val="00B5305F"/>
    <w:rsid w:val="00B54366"/>
    <w:rsid w:val="00B54B54"/>
    <w:rsid w:val="00B55318"/>
    <w:rsid w:val="00B5545B"/>
    <w:rsid w:val="00B55685"/>
    <w:rsid w:val="00B55740"/>
    <w:rsid w:val="00B563DD"/>
    <w:rsid w:val="00B5788C"/>
    <w:rsid w:val="00B603B5"/>
    <w:rsid w:val="00B60664"/>
    <w:rsid w:val="00B60978"/>
    <w:rsid w:val="00B61E62"/>
    <w:rsid w:val="00B62756"/>
    <w:rsid w:val="00B631BE"/>
    <w:rsid w:val="00B64AD1"/>
    <w:rsid w:val="00B64F93"/>
    <w:rsid w:val="00B6759A"/>
    <w:rsid w:val="00B713A4"/>
    <w:rsid w:val="00B72057"/>
    <w:rsid w:val="00B72D4B"/>
    <w:rsid w:val="00B74EDD"/>
    <w:rsid w:val="00B769E3"/>
    <w:rsid w:val="00B77165"/>
    <w:rsid w:val="00B77C50"/>
    <w:rsid w:val="00B8143E"/>
    <w:rsid w:val="00B817FF"/>
    <w:rsid w:val="00B8294D"/>
    <w:rsid w:val="00B84783"/>
    <w:rsid w:val="00B849EB"/>
    <w:rsid w:val="00B84A91"/>
    <w:rsid w:val="00B85BC7"/>
    <w:rsid w:val="00B863A5"/>
    <w:rsid w:val="00B86843"/>
    <w:rsid w:val="00B90438"/>
    <w:rsid w:val="00B9098B"/>
    <w:rsid w:val="00B91289"/>
    <w:rsid w:val="00B91791"/>
    <w:rsid w:val="00B918F0"/>
    <w:rsid w:val="00B91FC3"/>
    <w:rsid w:val="00B92F31"/>
    <w:rsid w:val="00B9306C"/>
    <w:rsid w:val="00B93174"/>
    <w:rsid w:val="00B948D6"/>
    <w:rsid w:val="00B95467"/>
    <w:rsid w:val="00B955BD"/>
    <w:rsid w:val="00B957A0"/>
    <w:rsid w:val="00B96019"/>
    <w:rsid w:val="00B9751D"/>
    <w:rsid w:val="00BA00EC"/>
    <w:rsid w:val="00BA09CB"/>
    <w:rsid w:val="00BA29CC"/>
    <w:rsid w:val="00BA2B66"/>
    <w:rsid w:val="00BA452E"/>
    <w:rsid w:val="00BA559B"/>
    <w:rsid w:val="00BA619A"/>
    <w:rsid w:val="00BA7665"/>
    <w:rsid w:val="00BB0B86"/>
    <w:rsid w:val="00BB1E24"/>
    <w:rsid w:val="00BB2064"/>
    <w:rsid w:val="00BB2CED"/>
    <w:rsid w:val="00BB30A6"/>
    <w:rsid w:val="00BB51CB"/>
    <w:rsid w:val="00BB52E5"/>
    <w:rsid w:val="00BB6F15"/>
    <w:rsid w:val="00BB7581"/>
    <w:rsid w:val="00BC1383"/>
    <w:rsid w:val="00BC2C6D"/>
    <w:rsid w:val="00BC3612"/>
    <w:rsid w:val="00BC6102"/>
    <w:rsid w:val="00BC6210"/>
    <w:rsid w:val="00BC6BA5"/>
    <w:rsid w:val="00BD0DFB"/>
    <w:rsid w:val="00BD0FCE"/>
    <w:rsid w:val="00BD2488"/>
    <w:rsid w:val="00BD253C"/>
    <w:rsid w:val="00BD2B40"/>
    <w:rsid w:val="00BD4EDC"/>
    <w:rsid w:val="00BD5DEB"/>
    <w:rsid w:val="00BD7454"/>
    <w:rsid w:val="00BE0198"/>
    <w:rsid w:val="00BE14F4"/>
    <w:rsid w:val="00BE1C46"/>
    <w:rsid w:val="00BE1E7D"/>
    <w:rsid w:val="00BE21B1"/>
    <w:rsid w:val="00BE2293"/>
    <w:rsid w:val="00BE2554"/>
    <w:rsid w:val="00BE2DE2"/>
    <w:rsid w:val="00BE306A"/>
    <w:rsid w:val="00BE60FB"/>
    <w:rsid w:val="00BE78A0"/>
    <w:rsid w:val="00BF022A"/>
    <w:rsid w:val="00BF02EA"/>
    <w:rsid w:val="00BF1930"/>
    <w:rsid w:val="00BF4305"/>
    <w:rsid w:val="00BF56F3"/>
    <w:rsid w:val="00BF64B3"/>
    <w:rsid w:val="00BF6954"/>
    <w:rsid w:val="00BF77AF"/>
    <w:rsid w:val="00C0028E"/>
    <w:rsid w:val="00C00477"/>
    <w:rsid w:val="00C00DB5"/>
    <w:rsid w:val="00C03AF0"/>
    <w:rsid w:val="00C05061"/>
    <w:rsid w:val="00C0627C"/>
    <w:rsid w:val="00C06703"/>
    <w:rsid w:val="00C06AC2"/>
    <w:rsid w:val="00C07A95"/>
    <w:rsid w:val="00C10042"/>
    <w:rsid w:val="00C11C89"/>
    <w:rsid w:val="00C126AF"/>
    <w:rsid w:val="00C12875"/>
    <w:rsid w:val="00C132E6"/>
    <w:rsid w:val="00C13A89"/>
    <w:rsid w:val="00C1487A"/>
    <w:rsid w:val="00C16045"/>
    <w:rsid w:val="00C1640C"/>
    <w:rsid w:val="00C164BB"/>
    <w:rsid w:val="00C16663"/>
    <w:rsid w:val="00C176FA"/>
    <w:rsid w:val="00C17BBD"/>
    <w:rsid w:val="00C20E79"/>
    <w:rsid w:val="00C21504"/>
    <w:rsid w:val="00C21D35"/>
    <w:rsid w:val="00C228AC"/>
    <w:rsid w:val="00C2311E"/>
    <w:rsid w:val="00C2323A"/>
    <w:rsid w:val="00C2328E"/>
    <w:rsid w:val="00C25223"/>
    <w:rsid w:val="00C258C2"/>
    <w:rsid w:val="00C25B99"/>
    <w:rsid w:val="00C26D84"/>
    <w:rsid w:val="00C27DF1"/>
    <w:rsid w:val="00C30410"/>
    <w:rsid w:val="00C30796"/>
    <w:rsid w:val="00C30C7C"/>
    <w:rsid w:val="00C31842"/>
    <w:rsid w:val="00C31F22"/>
    <w:rsid w:val="00C32B68"/>
    <w:rsid w:val="00C32DAA"/>
    <w:rsid w:val="00C3328E"/>
    <w:rsid w:val="00C3475B"/>
    <w:rsid w:val="00C35DF5"/>
    <w:rsid w:val="00C36209"/>
    <w:rsid w:val="00C362F9"/>
    <w:rsid w:val="00C36DD5"/>
    <w:rsid w:val="00C400AF"/>
    <w:rsid w:val="00C409AD"/>
    <w:rsid w:val="00C409DE"/>
    <w:rsid w:val="00C41345"/>
    <w:rsid w:val="00C41388"/>
    <w:rsid w:val="00C41B65"/>
    <w:rsid w:val="00C42243"/>
    <w:rsid w:val="00C43B60"/>
    <w:rsid w:val="00C43CD2"/>
    <w:rsid w:val="00C46015"/>
    <w:rsid w:val="00C46615"/>
    <w:rsid w:val="00C46B91"/>
    <w:rsid w:val="00C47FAF"/>
    <w:rsid w:val="00C51C21"/>
    <w:rsid w:val="00C52FD6"/>
    <w:rsid w:val="00C533B1"/>
    <w:rsid w:val="00C53F68"/>
    <w:rsid w:val="00C54A02"/>
    <w:rsid w:val="00C55FCB"/>
    <w:rsid w:val="00C566E0"/>
    <w:rsid w:val="00C618C5"/>
    <w:rsid w:val="00C63539"/>
    <w:rsid w:val="00C64439"/>
    <w:rsid w:val="00C7087C"/>
    <w:rsid w:val="00C7109B"/>
    <w:rsid w:val="00C71670"/>
    <w:rsid w:val="00C72B5A"/>
    <w:rsid w:val="00C73BCD"/>
    <w:rsid w:val="00C741FF"/>
    <w:rsid w:val="00C751F9"/>
    <w:rsid w:val="00C75B5C"/>
    <w:rsid w:val="00C766B3"/>
    <w:rsid w:val="00C77D8C"/>
    <w:rsid w:val="00C80FFC"/>
    <w:rsid w:val="00C81598"/>
    <w:rsid w:val="00C81A26"/>
    <w:rsid w:val="00C81A87"/>
    <w:rsid w:val="00C83013"/>
    <w:rsid w:val="00C832DF"/>
    <w:rsid w:val="00C8394F"/>
    <w:rsid w:val="00C84891"/>
    <w:rsid w:val="00C848CF"/>
    <w:rsid w:val="00C84A05"/>
    <w:rsid w:val="00C84C93"/>
    <w:rsid w:val="00C855A6"/>
    <w:rsid w:val="00C85C46"/>
    <w:rsid w:val="00C86155"/>
    <w:rsid w:val="00C8665E"/>
    <w:rsid w:val="00C87E54"/>
    <w:rsid w:val="00C87EA2"/>
    <w:rsid w:val="00C90720"/>
    <w:rsid w:val="00C90C1D"/>
    <w:rsid w:val="00C90FDD"/>
    <w:rsid w:val="00C9205E"/>
    <w:rsid w:val="00C920FA"/>
    <w:rsid w:val="00C968D3"/>
    <w:rsid w:val="00CA0C95"/>
    <w:rsid w:val="00CA0D70"/>
    <w:rsid w:val="00CA0E3E"/>
    <w:rsid w:val="00CA14DE"/>
    <w:rsid w:val="00CA1986"/>
    <w:rsid w:val="00CA39C3"/>
    <w:rsid w:val="00CA401B"/>
    <w:rsid w:val="00CA41F0"/>
    <w:rsid w:val="00CA5314"/>
    <w:rsid w:val="00CA5B94"/>
    <w:rsid w:val="00CA5F5C"/>
    <w:rsid w:val="00CA6C13"/>
    <w:rsid w:val="00CA6EE5"/>
    <w:rsid w:val="00CB02E2"/>
    <w:rsid w:val="00CB04BD"/>
    <w:rsid w:val="00CB0741"/>
    <w:rsid w:val="00CB08EF"/>
    <w:rsid w:val="00CB0B14"/>
    <w:rsid w:val="00CB0C60"/>
    <w:rsid w:val="00CB0E5D"/>
    <w:rsid w:val="00CB1AB0"/>
    <w:rsid w:val="00CB24BC"/>
    <w:rsid w:val="00CB2530"/>
    <w:rsid w:val="00CB659A"/>
    <w:rsid w:val="00CB68FF"/>
    <w:rsid w:val="00CB744B"/>
    <w:rsid w:val="00CB7DF1"/>
    <w:rsid w:val="00CC026F"/>
    <w:rsid w:val="00CC0E65"/>
    <w:rsid w:val="00CC18B0"/>
    <w:rsid w:val="00CC42C8"/>
    <w:rsid w:val="00CC4835"/>
    <w:rsid w:val="00CC6027"/>
    <w:rsid w:val="00CC7603"/>
    <w:rsid w:val="00CC7DF3"/>
    <w:rsid w:val="00CD0467"/>
    <w:rsid w:val="00CD0C99"/>
    <w:rsid w:val="00CD3214"/>
    <w:rsid w:val="00CD5760"/>
    <w:rsid w:val="00CD5E88"/>
    <w:rsid w:val="00CD6448"/>
    <w:rsid w:val="00CD683C"/>
    <w:rsid w:val="00CD6FEE"/>
    <w:rsid w:val="00CE0463"/>
    <w:rsid w:val="00CE0983"/>
    <w:rsid w:val="00CE0DCE"/>
    <w:rsid w:val="00CE1375"/>
    <w:rsid w:val="00CE219C"/>
    <w:rsid w:val="00CE2C47"/>
    <w:rsid w:val="00CE2E45"/>
    <w:rsid w:val="00CE3120"/>
    <w:rsid w:val="00CE3319"/>
    <w:rsid w:val="00CE3A22"/>
    <w:rsid w:val="00CE3FC8"/>
    <w:rsid w:val="00CE40ED"/>
    <w:rsid w:val="00CE4A52"/>
    <w:rsid w:val="00CE4D33"/>
    <w:rsid w:val="00CE528F"/>
    <w:rsid w:val="00CE5485"/>
    <w:rsid w:val="00CE5CA2"/>
    <w:rsid w:val="00CE5F82"/>
    <w:rsid w:val="00CE63F5"/>
    <w:rsid w:val="00CE7467"/>
    <w:rsid w:val="00CF0BC8"/>
    <w:rsid w:val="00CF3220"/>
    <w:rsid w:val="00CF36EF"/>
    <w:rsid w:val="00CF3C8F"/>
    <w:rsid w:val="00CF42F6"/>
    <w:rsid w:val="00CF4A34"/>
    <w:rsid w:val="00CF55F0"/>
    <w:rsid w:val="00CF71E5"/>
    <w:rsid w:val="00CF7DEB"/>
    <w:rsid w:val="00CF7FCD"/>
    <w:rsid w:val="00D00F4F"/>
    <w:rsid w:val="00D03486"/>
    <w:rsid w:val="00D04FBC"/>
    <w:rsid w:val="00D05138"/>
    <w:rsid w:val="00D07038"/>
    <w:rsid w:val="00D100D8"/>
    <w:rsid w:val="00D101B5"/>
    <w:rsid w:val="00D10291"/>
    <w:rsid w:val="00D10526"/>
    <w:rsid w:val="00D11527"/>
    <w:rsid w:val="00D1191A"/>
    <w:rsid w:val="00D11AE2"/>
    <w:rsid w:val="00D12A48"/>
    <w:rsid w:val="00D14336"/>
    <w:rsid w:val="00D143F8"/>
    <w:rsid w:val="00D14721"/>
    <w:rsid w:val="00D1496E"/>
    <w:rsid w:val="00D14F01"/>
    <w:rsid w:val="00D15651"/>
    <w:rsid w:val="00D16636"/>
    <w:rsid w:val="00D16DB2"/>
    <w:rsid w:val="00D176AB"/>
    <w:rsid w:val="00D177C5"/>
    <w:rsid w:val="00D200B9"/>
    <w:rsid w:val="00D210FF"/>
    <w:rsid w:val="00D224E9"/>
    <w:rsid w:val="00D22641"/>
    <w:rsid w:val="00D24447"/>
    <w:rsid w:val="00D2543B"/>
    <w:rsid w:val="00D2724D"/>
    <w:rsid w:val="00D279DD"/>
    <w:rsid w:val="00D27AA8"/>
    <w:rsid w:val="00D30F4C"/>
    <w:rsid w:val="00D31401"/>
    <w:rsid w:val="00D316A5"/>
    <w:rsid w:val="00D3191E"/>
    <w:rsid w:val="00D323D5"/>
    <w:rsid w:val="00D32E50"/>
    <w:rsid w:val="00D332D1"/>
    <w:rsid w:val="00D3383B"/>
    <w:rsid w:val="00D34D69"/>
    <w:rsid w:val="00D358AD"/>
    <w:rsid w:val="00D35E3F"/>
    <w:rsid w:val="00D36986"/>
    <w:rsid w:val="00D36C20"/>
    <w:rsid w:val="00D379AA"/>
    <w:rsid w:val="00D400C8"/>
    <w:rsid w:val="00D41023"/>
    <w:rsid w:val="00D41087"/>
    <w:rsid w:val="00D41861"/>
    <w:rsid w:val="00D419B0"/>
    <w:rsid w:val="00D41B6E"/>
    <w:rsid w:val="00D41CD2"/>
    <w:rsid w:val="00D43E72"/>
    <w:rsid w:val="00D454E8"/>
    <w:rsid w:val="00D463CA"/>
    <w:rsid w:val="00D46CA5"/>
    <w:rsid w:val="00D5008D"/>
    <w:rsid w:val="00D51221"/>
    <w:rsid w:val="00D52020"/>
    <w:rsid w:val="00D53E10"/>
    <w:rsid w:val="00D54060"/>
    <w:rsid w:val="00D5521B"/>
    <w:rsid w:val="00D557AF"/>
    <w:rsid w:val="00D55963"/>
    <w:rsid w:val="00D56A0C"/>
    <w:rsid w:val="00D56D10"/>
    <w:rsid w:val="00D616D3"/>
    <w:rsid w:val="00D62333"/>
    <w:rsid w:val="00D63A95"/>
    <w:rsid w:val="00D64938"/>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7240"/>
    <w:rsid w:val="00D77597"/>
    <w:rsid w:val="00D81CDC"/>
    <w:rsid w:val="00D831B2"/>
    <w:rsid w:val="00D8369B"/>
    <w:rsid w:val="00D83FCE"/>
    <w:rsid w:val="00D84385"/>
    <w:rsid w:val="00D909C2"/>
    <w:rsid w:val="00D90D86"/>
    <w:rsid w:val="00D912F3"/>
    <w:rsid w:val="00D91814"/>
    <w:rsid w:val="00D92184"/>
    <w:rsid w:val="00D92C27"/>
    <w:rsid w:val="00D92D6C"/>
    <w:rsid w:val="00D93B71"/>
    <w:rsid w:val="00D9470F"/>
    <w:rsid w:val="00D9561A"/>
    <w:rsid w:val="00D961D7"/>
    <w:rsid w:val="00D96C1B"/>
    <w:rsid w:val="00D972D0"/>
    <w:rsid w:val="00D97388"/>
    <w:rsid w:val="00DA0C74"/>
    <w:rsid w:val="00DA0D35"/>
    <w:rsid w:val="00DA135A"/>
    <w:rsid w:val="00DA13CC"/>
    <w:rsid w:val="00DA1D43"/>
    <w:rsid w:val="00DA22B7"/>
    <w:rsid w:val="00DA33B7"/>
    <w:rsid w:val="00DA36F5"/>
    <w:rsid w:val="00DA3B8C"/>
    <w:rsid w:val="00DA65B0"/>
    <w:rsid w:val="00DA6923"/>
    <w:rsid w:val="00DA6DE7"/>
    <w:rsid w:val="00DA7D36"/>
    <w:rsid w:val="00DB0254"/>
    <w:rsid w:val="00DB0429"/>
    <w:rsid w:val="00DB0894"/>
    <w:rsid w:val="00DB1867"/>
    <w:rsid w:val="00DB2DFE"/>
    <w:rsid w:val="00DB354C"/>
    <w:rsid w:val="00DB3F5A"/>
    <w:rsid w:val="00DB4344"/>
    <w:rsid w:val="00DB4C69"/>
    <w:rsid w:val="00DB6DE6"/>
    <w:rsid w:val="00DC2845"/>
    <w:rsid w:val="00DC3DA6"/>
    <w:rsid w:val="00DC470B"/>
    <w:rsid w:val="00DC521F"/>
    <w:rsid w:val="00DC56F9"/>
    <w:rsid w:val="00DC7002"/>
    <w:rsid w:val="00DC727E"/>
    <w:rsid w:val="00DD0F03"/>
    <w:rsid w:val="00DD1A2C"/>
    <w:rsid w:val="00DD1E4B"/>
    <w:rsid w:val="00DD254B"/>
    <w:rsid w:val="00DD26E2"/>
    <w:rsid w:val="00DD304D"/>
    <w:rsid w:val="00DD3197"/>
    <w:rsid w:val="00DD362B"/>
    <w:rsid w:val="00DD3FB7"/>
    <w:rsid w:val="00DD4288"/>
    <w:rsid w:val="00DD4F30"/>
    <w:rsid w:val="00DD544F"/>
    <w:rsid w:val="00DD7EA2"/>
    <w:rsid w:val="00DE02E2"/>
    <w:rsid w:val="00DE0E88"/>
    <w:rsid w:val="00DE2536"/>
    <w:rsid w:val="00DE26EE"/>
    <w:rsid w:val="00DE541E"/>
    <w:rsid w:val="00DE7160"/>
    <w:rsid w:val="00DE740F"/>
    <w:rsid w:val="00DF029E"/>
    <w:rsid w:val="00DF0FEB"/>
    <w:rsid w:val="00DF1118"/>
    <w:rsid w:val="00DF18BE"/>
    <w:rsid w:val="00DF1B78"/>
    <w:rsid w:val="00DF1BF3"/>
    <w:rsid w:val="00DF1E7F"/>
    <w:rsid w:val="00DF23F0"/>
    <w:rsid w:val="00DF345C"/>
    <w:rsid w:val="00DF39FB"/>
    <w:rsid w:val="00DF4D66"/>
    <w:rsid w:val="00DF7A27"/>
    <w:rsid w:val="00E029D9"/>
    <w:rsid w:val="00E02C53"/>
    <w:rsid w:val="00E03145"/>
    <w:rsid w:val="00E04E9E"/>
    <w:rsid w:val="00E051A4"/>
    <w:rsid w:val="00E07D62"/>
    <w:rsid w:val="00E1152C"/>
    <w:rsid w:val="00E11B51"/>
    <w:rsid w:val="00E124DC"/>
    <w:rsid w:val="00E12B37"/>
    <w:rsid w:val="00E13396"/>
    <w:rsid w:val="00E133BF"/>
    <w:rsid w:val="00E13EF9"/>
    <w:rsid w:val="00E15525"/>
    <w:rsid w:val="00E158CD"/>
    <w:rsid w:val="00E16577"/>
    <w:rsid w:val="00E16BC4"/>
    <w:rsid w:val="00E20819"/>
    <w:rsid w:val="00E20E88"/>
    <w:rsid w:val="00E21812"/>
    <w:rsid w:val="00E229E8"/>
    <w:rsid w:val="00E23B1C"/>
    <w:rsid w:val="00E24144"/>
    <w:rsid w:val="00E24E14"/>
    <w:rsid w:val="00E263B6"/>
    <w:rsid w:val="00E265D7"/>
    <w:rsid w:val="00E27480"/>
    <w:rsid w:val="00E2757F"/>
    <w:rsid w:val="00E279C2"/>
    <w:rsid w:val="00E27F2A"/>
    <w:rsid w:val="00E32854"/>
    <w:rsid w:val="00E33C74"/>
    <w:rsid w:val="00E33D78"/>
    <w:rsid w:val="00E35CDD"/>
    <w:rsid w:val="00E36CF1"/>
    <w:rsid w:val="00E40DF8"/>
    <w:rsid w:val="00E414BA"/>
    <w:rsid w:val="00E417D5"/>
    <w:rsid w:val="00E418DA"/>
    <w:rsid w:val="00E42234"/>
    <w:rsid w:val="00E424AF"/>
    <w:rsid w:val="00E431AD"/>
    <w:rsid w:val="00E43491"/>
    <w:rsid w:val="00E438D2"/>
    <w:rsid w:val="00E43CE8"/>
    <w:rsid w:val="00E44222"/>
    <w:rsid w:val="00E453CF"/>
    <w:rsid w:val="00E45423"/>
    <w:rsid w:val="00E45A0E"/>
    <w:rsid w:val="00E50596"/>
    <w:rsid w:val="00E50B45"/>
    <w:rsid w:val="00E51E62"/>
    <w:rsid w:val="00E52502"/>
    <w:rsid w:val="00E528F4"/>
    <w:rsid w:val="00E53109"/>
    <w:rsid w:val="00E54702"/>
    <w:rsid w:val="00E548B9"/>
    <w:rsid w:val="00E54D89"/>
    <w:rsid w:val="00E55119"/>
    <w:rsid w:val="00E57BE0"/>
    <w:rsid w:val="00E61084"/>
    <w:rsid w:val="00E621B3"/>
    <w:rsid w:val="00E62E7F"/>
    <w:rsid w:val="00E63464"/>
    <w:rsid w:val="00E63563"/>
    <w:rsid w:val="00E63877"/>
    <w:rsid w:val="00E641E9"/>
    <w:rsid w:val="00E650A7"/>
    <w:rsid w:val="00E651A2"/>
    <w:rsid w:val="00E65D0F"/>
    <w:rsid w:val="00E6651B"/>
    <w:rsid w:val="00E667AF"/>
    <w:rsid w:val="00E66ACE"/>
    <w:rsid w:val="00E718F1"/>
    <w:rsid w:val="00E724CB"/>
    <w:rsid w:val="00E724F4"/>
    <w:rsid w:val="00E7311A"/>
    <w:rsid w:val="00E7328B"/>
    <w:rsid w:val="00E73CE6"/>
    <w:rsid w:val="00E75075"/>
    <w:rsid w:val="00E75911"/>
    <w:rsid w:val="00E759F0"/>
    <w:rsid w:val="00E75CE9"/>
    <w:rsid w:val="00E75D34"/>
    <w:rsid w:val="00E75EAF"/>
    <w:rsid w:val="00E760A0"/>
    <w:rsid w:val="00E76CB1"/>
    <w:rsid w:val="00E80A4F"/>
    <w:rsid w:val="00E81483"/>
    <w:rsid w:val="00E81A02"/>
    <w:rsid w:val="00E81E9D"/>
    <w:rsid w:val="00E8211E"/>
    <w:rsid w:val="00E83948"/>
    <w:rsid w:val="00E83E8D"/>
    <w:rsid w:val="00E84E5C"/>
    <w:rsid w:val="00E856D9"/>
    <w:rsid w:val="00E85A25"/>
    <w:rsid w:val="00E85D56"/>
    <w:rsid w:val="00E867D1"/>
    <w:rsid w:val="00E90190"/>
    <w:rsid w:val="00E909E7"/>
    <w:rsid w:val="00E90CA2"/>
    <w:rsid w:val="00E9190B"/>
    <w:rsid w:val="00E91961"/>
    <w:rsid w:val="00E91FAC"/>
    <w:rsid w:val="00E93038"/>
    <w:rsid w:val="00EA0495"/>
    <w:rsid w:val="00EA09C9"/>
    <w:rsid w:val="00EA1A8A"/>
    <w:rsid w:val="00EA3026"/>
    <w:rsid w:val="00EA3ED7"/>
    <w:rsid w:val="00EA409E"/>
    <w:rsid w:val="00EA4972"/>
    <w:rsid w:val="00EA4ADA"/>
    <w:rsid w:val="00EA4AEC"/>
    <w:rsid w:val="00EA559E"/>
    <w:rsid w:val="00EA5B50"/>
    <w:rsid w:val="00EA6868"/>
    <w:rsid w:val="00EB0B1F"/>
    <w:rsid w:val="00EB0E6C"/>
    <w:rsid w:val="00EB17B1"/>
    <w:rsid w:val="00EB2591"/>
    <w:rsid w:val="00EB268C"/>
    <w:rsid w:val="00EB4F04"/>
    <w:rsid w:val="00EB6AED"/>
    <w:rsid w:val="00EB6B7C"/>
    <w:rsid w:val="00EB739E"/>
    <w:rsid w:val="00EB744A"/>
    <w:rsid w:val="00EC0912"/>
    <w:rsid w:val="00EC0D19"/>
    <w:rsid w:val="00EC108D"/>
    <w:rsid w:val="00EC1399"/>
    <w:rsid w:val="00EC2149"/>
    <w:rsid w:val="00EC673A"/>
    <w:rsid w:val="00EC7E9B"/>
    <w:rsid w:val="00ED12C6"/>
    <w:rsid w:val="00ED1334"/>
    <w:rsid w:val="00ED1CC7"/>
    <w:rsid w:val="00ED27AF"/>
    <w:rsid w:val="00ED31E3"/>
    <w:rsid w:val="00ED3678"/>
    <w:rsid w:val="00ED68D6"/>
    <w:rsid w:val="00EE02CF"/>
    <w:rsid w:val="00EE1113"/>
    <w:rsid w:val="00EE187F"/>
    <w:rsid w:val="00EE3DAC"/>
    <w:rsid w:val="00EE46A4"/>
    <w:rsid w:val="00EE4C8C"/>
    <w:rsid w:val="00EE4E3A"/>
    <w:rsid w:val="00EE511A"/>
    <w:rsid w:val="00EE53C2"/>
    <w:rsid w:val="00EF057C"/>
    <w:rsid w:val="00EF1866"/>
    <w:rsid w:val="00EF4660"/>
    <w:rsid w:val="00EF5DD0"/>
    <w:rsid w:val="00EF5F7D"/>
    <w:rsid w:val="00EF6B49"/>
    <w:rsid w:val="00F005E8"/>
    <w:rsid w:val="00F009DD"/>
    <w:rsid w:val="00F01BED"/>
    <w:rsid w:val="00F02084"/>
    <w:rsid w:val="00F0241F"/>
    <w:rsid w:val="00F0274D"/>
    <w:rsid w:val="00F03EE0"/>
    <w:rsid w:val="00F0425D"/>
    <w:rsid w:val="00F04B4C"/>
    <w:rsid w:val="00F05570"/>
    <w:rsid w:val="00F063E0"/>
    <w:rsid w:val="00F064D4"/>
    <w:rsid w:val="00F07771"/>
    <w:rsid w:val="00F108C8"/>
    <w:rsid w:val="00F12000"/>
    <w:rsid w:val="00F122C5"/>
    <w:rsid w:val="00F12DA4"/>
    <w:rsid w:val="00F13002"/>
    <w:rsid w:val="00F13C45"/>
    <w:rsid w:val="00F15CE4"/>
    <w:rsid w:val="00F15EC6"/>
    <w:rsid w:val="00F17552"/>
    <w:rsid w:val="00F17D09"/>
    <w:rsid w:val="00F20E9D"/>
    <w:rsid w:val="00F21933"/>
    <w:rsid w:val="00F24392"/>
    <w:rsid w:val="00F2442C"/>
    <w:rsid w:val="00F25960"/>
    <w:rsid w:val="00F26966"/>
    <w:rsid w:val="00F2752D"/>
    <w:rsid w:val="00F32571"/>
    <w:rsid w:val="00F33462"/>
    <w:rsid w:val="00F3429C"/>
    <w:rsid w:val="00F34E55"/>
    <w:rsid w:val="00F34EBF"/>
    <w:rsid w:val="00F3599F"/>
    <w:rsid w:val="00F36246"/>
    <w:rsid w:val="00F36C02"/>
    <w:rsid w:val="00F371D8"/>
    <w:rsid w:val="00F37DDC"/>
    <w:rsid w:val="00F37E6B"/>
    <w:rsid w:val="00F4046F"/>
    <w:rsid w:val="00F41BAA"/>
    <w:rsid w:val="00F42AA2"/>
    <w:rsid w:val="00F42D41"/>
    <w:rsid w:val="00F43EA8"/>
    <w:rsid w:val="00F45F19"/>
    <w:rsid w:val="00F46F86"/>
    <w:rsid w:val="00F50B17"/>
    <w:rsid w:val="00F50C44"/>
    <w:rsid w:val="00F51052"/>
    <w:rsid w:val="00F51502"/>
    <w:rsid w:val="00F51848"/>
    <w:rsid w:val="00F525AE"/>
    <w:rsid w:val="00F52BC7"/>
    <w:rsid w:val="00F53437"/>
    <w:rsid w:val="00F536BE"/>
    <w:rsid w:val="00F53E06"/>
    <w:rsid w:val="00F54C6E"/>
    <w:rsid w:val="00F551B7"/>
    <w:rsid w:val="00F55935"/>
    <w:rsid w:val="00F56B22"/>
    <w:rsid w:val="00F5726E"/>
    <w:rsid w:val="00F577D0"/>
    <w:rsid w:val="00F60647"/>
    <w:rsid w:val="00F607F4"/>
    <w:rsid w:val="00F611DB"/>
    <w:rsid w:val="00F623EC"/>
    <w:rsid w:val="00F62DEC"/>
    <w:rsid w:val="00F6512E"/>
    <w:rsid w:val="00F6575D"/>
    <w:rsid w:val="00F669EE"/>
    <w:rsid w:val="00F66AD8"/>
    <w:rsid w:val="00F66DF1"/>
    <w:rsid w:val="00F67999"/>
    <w:rsid w:val="00F67DA0"/>
    <w:rsid w:val="00F70DDF"/>
    <w:rsid w:val="00F7171D"/>
    <w:rsid w:val="00F73B85"/>
    <w:rsid w:val="00F74659"/>
    <w:rsid w:val="00F7466D"/>
    <w:rsid w:val="00F7495B"/>
    <w:rsid w:val="00F77A19"/>
    <w:rsid w:val="00F81919"/>
    <w:rsid w:val="00F84E9C"/>
    <w:rsid w:val="00F85CD7"/>
    <w:rsid w:val="00F86EBA"/>
    <w:rsid w:val="00F873F5"/>
    <w:rsid w:val="00F9055A"/>
    <w:rsid w:val="00F90A63"/>
    <w:rsid w:val="00F92C43"/>
    <w:rsid w:val="00F94667"/>
    <w:rsid w:val="00F95038"/>
    <w:rsid w:val="00F96B10"/>
    <w:rsid w:val="00F973BF"/>
    <w:rsid w:val="00F97F15"/>
    <w:rsid w:val="00FA0081"/>
    <w:rsid w:val="00FA0ED8"/>
    <w:rsid w:val="00FA14F8"/>
    <w:rsid w:val="00FA1D22"/>
    <w:rsid w:val="00FA224F"/>
    <w:rsid w:val="00FA234C"/>
    <w:rsid w:val="00FA3242"/>
    <w:rsid w:val="00FA32C0"/>
    <w:rsid w:val="00FA3BCE"/>
    <w:rsid w:val="00FA5485"/>
    <w:rsid w:val="00FA63B6"/>
    <w:rsid w:val="00FA7F1B"/>
    <w:rsid w:val="00FB03A7"/>
    <w:rsid w:val="00FB5A1A"/>
    <w:rsid w:val="00FB5B94"/>
    <w:rsid w:val="00FB5FC2"/>
    <w:rsid w:val="00FB602D"/>
    <w:rsid w:val="00FB70F8"/>
    <w:rsid w:val="00FB7B7F"/>
    <w:rsid w:val="00FC0FC8"/>
    <w:rsid w:val="00FC21F6"/>
    <w:rsid w:val="00FC2FB0"/>
    <w:rsid w:val="00FC4826"/>
    <w:rsid w:val="00FC4D12"/>
    <w:rsid w:val="00FC4F32"/>
    <w:rsid w:val="00FC5A03"/>
    <w:rsid w:val="00FD0451"/>
    <w:rsid w:val="00FD0508"/>
    <w:rsid w:val="00FD0AC2"/>
    <w:rsid w:val="00FD10D9"/>
    <w:rsid w:val="00FD18DA"/>
    <w:rsid w:val="00FD2358"/>
    <w:rsid w:val="00FD2551"/>
    <w:rsid w:val="00FD4BAD"/>
    <w:rsid w:val="00FD4C6C"/>
    <w:rsid w:val="00FD5424"/>
    <w:rsid w:val="00FD74F1"/>
    <w:rsid w:val="00FE11EF"/>
    <w:rsid w:val="00FE1AA1"/>
    <w:rsid w:val="00FE2447"/>
    <w:rsid w:val="00FE2DDA"/>
    <w:rsid w:val="00FE3CD8"/>
    <w:rsid w:val="00FE4190"/>
    <w:rsid w:val="00FE4F45"/>
    <w:rsid w:val="00FE5BBD"/>
    <w:rsid w:val="00FE609E"/>
    <w:rsid w:val="00FE7455"/>
    <w:rsid w:val="00FE7537"/>
    <w:rsid w:val="00FF0D14"/>
    <w:rsid w:val="00FF29B9"/>
    <w:rsid w:val="00FF2DC0"/>
    <w:rsid w:val="00FF3E88"/>
    <w:rsid w:val="00FF4324"/>
    <w:rsid w:val="00FF4496"/>
    <w:rsid w:val="00FF4D72"/>
    <w:rsid w:val="00FF5AA2"/>
    <w:rsid w:val="00FF63C7"/>
    <w:rsid w:val="00FF65F9"/>
    <w:rsid w:val="00FF7674"/>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adford.moderngov.co.uk/ieListMeetings.aspx?CId=160&amp;Year=0" TargetMode="External"/><Relationship Id="rId18" Type="http://schemas.openxmlformats.org/officeDocument/2006/relationships/hyperlink" Target="https://bradford.moderngov.co.uk/ieListMeetings.aspx?CId=160&amp;Year=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national-funding-formula-for-schools-and-high-needs" TargetMode="External"/><Relationship Id="rId17" Type="http://schemas.openxmlformats.org/officeDocument/2006/relationships/hyperlink" Target="https://bso.bradford.gov.uk/Secure/CMSPage.aspx?mid=2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national-funding-formula-for-schools-and-high-needs" TargetMode="External"/><Relationship Id="rId20" Type="http://schemas.openxmlformats.org/officeDocument/2006/relationships/hyperlink" Target="mailto:andrew.redding@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178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bradford.moderngov.co.uk/ieListMeetings.aspx?CId=160&amp;Year=0" TargetMode="External"/><Relationship Id="rId23" Type="http://schemas.openxmlformats.org/officeDocument/2006/relationships/footer" Target="footer2.xml"/><Relationship Id="rId10" Type="http://schemas.openxmlformats.org/officeDocument/2006/relationships/hyperlink" Target="mailto:andrew.redding@bradford.gov.uk" TargetMode="External"/><Relationship Id="rId19" Type="http://schemas.openxmlformats.org/officeDocument/2006/relationships/hyperlink" Target="mailto:andrew.redding@bradford.gov.uk" TargetMode="External"/><Relationship Id="rId4" Type="http://schemas.microsoft.com/office/2007/relationships/stylesWithEffects" Target="stylesWithEffects.xml"/><Relationship Id="rId9" Type="http://schemas.openxmlformats.org/officeDocument/2006/relationships/hyperlink" Target="mailto:andrew.redding@bradford.gov.uk" TargetMode="External"/><Relationship Id="rId14" Type="http://schemas.openxmlformats.org/officeDocument/2006/relationships/hyperlink" Target="https://bso.bradford.gov.uk/Secure/CMSPage.aspx?mid=22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F3BF-1449-4992-BDD7-183056CA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32</Pages>
  <Words>14794</Words>
  <Characters>78653</Characters>
  <Application>Microsoft Office Word</Application>
  <DocSecurity>0</DocSecurity>
  <Lines>655</Lines>
  <Paragraphs>186</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93261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Andrew Redding</cp:lastModifiedBy>
  <cp:revision>503</cp:revision>
  <cp:lastPrinted>2016-09-21T14:38:00Z</cp:lastPrinted>
  <dcterms:created xsi:type="dcterms:W3CDTF">2015-09-23T11:41:00Z</dcterms:created>
  <dcterms:modified xsi:type="dcterms:W3CDTF">2017-10-17T12:45:00Z</dcterms:modified>
</cp:coreProperties>
</file>