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4" w:rsidRPr="001207B8" w:rsidRDefault="00054924" w:rsidP="00567E52">
      <w:pPr>
        <w:pStyle w:val="Heading1"/>
        <w:jc w:val="center"/>
        <w:rPr>
          <w:rFonts w:ascii="Arial" w:hAnsi="Arial" w:cs="Arial"/>
          <w:szCs w:val="28"/>
          <w:u w:val="none"/>
        </w:rPr>
      </w:pPr>
      <w:r w:rsidRPr="001207B8">
        <w:rPr>
          <w:rFonts w:ascii="Arial" w:hAnsi="Arial" w:cs="Arial"/>
          <w:szCs w:val="28"/>
          <w:u w:val="none"/>
        </w:rPr>
        <w:t>Professional Development</w:t>
      </w:r>
      <w:r w:rsidR="00C35967" w:rsidRPr="001207B8">
        <w:rPr>
          <w:rFonts w:ascii="Arial" w:hAnsi="Arial" w:cs="Arial"/>
          <w:szCs w:val="28"/>
          <w:u w:val="none"/>
        </w:rPr>
        <w:t xml:space="preserve"> for Newly Qualified Teachers</w:t>
      </w:r>
    </w:p>
    <w:p w:rsidR="00054924" w:rsidRPr="00F27994" w:rsidRDefault="0005492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54924" w:rsidRPr="00F27994" w:rsidRDefault="00054924">
      <w:pPr>
        <w:pStyle w:val="BodyTextIndent"/>
        <w:rPr>
          <w:rFonts w:ascii="Arial" w:hAnsi="Arial" w:cs="Arial"/>
          <w:b w:val="0"/>
          <w:sz w:val="22"/>
          <w:szCs w:val="22"/>
        </w:rPr>
      </w:pPr>
      <w:r w:rsidRPr="00F27994">
        <w:rPr>
          <w:rFonts w:ascii="Arial" w:hAnsi="Arial" w:cs="Arial"/>
          <w:b w:val="0"/>
          <w:sz w:val="22"/>
          <w:szCs w:val="22"/>
        </w:rPr>
        <w:t xml:space="preserve">The successful completion of the Induction period should in no sense </w:t>
      </w:r>
      <w:proofErr w:type="gramStart"/>
      <w:r w:rsidRPr="00F27994">
        <w:rPr>
          <w:rFonts w:ascii="Arial" w:hAnsi="Arial" w:cs="Arial"/>
          <w:b w:val="0"/>
          <w:sz w:val="22"/>
          <w:szCs w:val="22"/>
        </w:rPr>
        <w:t>be</w:t>
      </w:r>
      <w:proofErr w:type="gramEnd"/>
      <w:r w:rsidRPr="00F27994">
        <w:rPr>
          <w:rFonts w:ascii="Arial" w:hAnsi="Arial" w:cs="Arial"/>
          <w:b w:val="0"/>
          <w:sz w:val="22"/>
          <w:szCs w:val="22"/>
        </w:rPr>
        <w:t xml:space="preserve"> regarded as the end of the need for professional development.  All teachers, at all stages in their careers, have a continuing need for opportunities to update their subject knowledge and classroom skills and to continue to exchange ideas and learn from best practice.</w:t>
      </w:r>
    </w:p>
    <w:p w:rsidR="00054924" w:rsidRPr="00F27994" w:rsidRDefault="00054924">
      <w:pPr>
        <w:jc w:val="both"/>
        <w:rPr>
          <w:rFonts w:ascii="Arial" w:hAnsi="Arial" w:cs="Arial"/>
          <w:sz w:val="22"/>
          <w:szCs w:val="22"/>
        </w:rPr>
      </w:pPr>
    </w:p>
    <w:p w:rsidR="00054924" w:rsidRPr="00F27994" w:rsidRDefault="00054924">
      <w:pPr>
        <w:jc w:val="both"/>
        <w:rPr>
          <w:rFonts w:ascii="Arial" w:hAnsi="Arial" w:cs="Arial"/>
          <w:sz w:val="22"/>
          <w:szCs w:val="22"/>
        </w:rPr>
      </w:pPr>
      <w:r w:rsidRPr="00F27994">
        <w:rPr>
          <w:rFonts w:ascii="Arial" w:hAnsi="Arial" w:cs="Arial"/>
          <w:sz w:val="22"/>
          <w:szCs w:val="22"/>
        </w:rPr>
        <w:t>NQTs are at the beginning of a continuing process of career–long learning and development to enable them to support and extend pupils’ learning and play a part in raising standards across all our schools.</w:t>
      </w:r>
    </w:p>
    <w:p w:rsidR="00054924" w:rsidRPr="00F27994" w:rsidRDefault="00054924">
      <w:pPr>
        <w:jc w:val="both"/>
        <w:rPr>
          <w:rFonts w:ascii="Arial" w:hAnsi="Arial" w:cs="Arial"/>
          <w:sz w:val="22"/>
          <w:szCs w:val="22"/>
        </w:rPr>
      </w:pPr>
    </w:p>
    <w:p w:rsidR="00054924" w:rsidRPr="00F27994" w:rsidRDefault="00054924">
      <w:pPr>
        <w:jc w:val="both"/>
        <w:rPr>
          <w:rFonts w:ascii="Arial" w:hAnsi="Arial" w:cs="Arial"/>
          <w:b/>
          <w:sz w:val="22"/>
          <w:szCs w:val="22"/>
        </w:rPr>
      </w:pPr>
      <w:r w:rsidRPr="00F27994">
        <w:rPr>
          <w:rFonts w:ascii="Arial" w:hAnsi="Arial" w:cs="Arial"/>
          <w:b/>
          <w:sz w:val="22"/>
          <w:szCs w:val="22"/>
        </w:rPr>
        <w:t>Ideas for further professional development:</w:t>
      </w:r>
    </w:p>
    <w:p w:rsidR="00054924" w:rsidRPr="00D353D4" w:rsidRDefault="00054924">
      <w:pPr>
        <w:jc w:val="both"/>
        <w:rPr>
          <w:rFonts w:ascii="Arial" w:hAnsi="Arial" w:cs="Arial"/>
          <w:sz w:val="22"/>
          <w:szCs w:val="22"/>
        </w:rPr>
      </w:pP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53D4">
        <w:rPr>
          <w:rFonts w:ascii="Arial" w:hAnsi="Arial" w:cs="Arial"/>
          <w:sz w:val="22"/>
          <w:szCs w:val="22"/>
        </w:rPr>
        <w:t>special</w:t>
      </w:r>
      <w:proofErr w:type="gramEnd"/>
      <w:r w:rsidRPr="00D353D4">
        <w:rPr>
          <w:rFonts w:ascii="Arial" w:hAnsi="Arial" w:cs="Arial"/>
          <w:sz w:val="22"/>
          <w:szCs w:val="22"/>
        </w:rPr>
        <w:t xml:space="preserve"> educational needs – time with school SENCO to develop knowledge of the SEN system (school specific) – differentiation.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53D4">
        <w:rPr>
          <w:rFonts w:ascii="Arial" w:hAnsi="Arial" w:cs="Arial"/>
          <w:sz w:val="22"/>
          <w:szCs w:val="22"/>
        </w:rPr>
        <w:t>vocational</w:t>
      </w:r>
      <w:proofErr w:type="gramEnd"/>
      <w:r w:rsidRPr="00D353D4">
        <w:rPr>
          <w:rFonts w:ascii="Arial" w:hAnsi="Arial" w:cs="Arial"/>
          <w:sz w:val="22"/>
          <w:szCs w:val="22"/>
        </w:rPr>
        <w:t xml:space="preserve"> education – time with curriculum co-ordinator to explore what is offered </w:t>
      </w:r>
      <w:proofErr w:type="spellStart"/>
      <w:r w:rsidRPr="00D353D4">
        <w:rPr>
          <w:rFonts w:ascii="Arial" w:hAnsi="Arial" w:cs="Arial"/>
          <w:sz w:val="22"/>
          <w:szCs w:val="22"/>
        </w:rPr>
        <w:t>eg</w:t>
      </w:r>
      <w:proofErr w:type="spellEnd"/>
      <w:r w:rsidRPr="00D353D4">
        <w:rPr>
          <w:rFonts w:ascii="Arial" w:hAnsi="Arial" w:cs="Arial"/>
          <w:sz w:val="22"/>
          <w:szCs w:val="22"/>
        </w:rPr>
        <w:t xml:space="preserve"> work experience, GNVQ etc – opportunities for pupils.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career/citizenship/P.S.H.C.E – How these are covered in the school – role of form tutor in these aspects.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53D4">
        <w:rPr>
          <w:rFonts w:ascii="Arial" w:hAnsi="Arial" w:cs="Arial"/>
          <w:sz w:val="22"/>
          <w:szCs w:val="22"/>
        </w:rPr>
        <w:t>exams</w:t>
      </w:r>
      <w:proofErr w:type="gramEnd"/>
      <w:r w:rsidRPr="00D353D4">
        <w:rPr>
          <w:rFonts w:ascii="Arial" w:hAnsi="Arial" w:cs="Arial"/>
          <w:sz w:val="22"/>
          <w:szCs w:val="22"/>
        </w:rPr>
        <w:t xml:space="preserve"> – setting/marking/grading. Investigate regulations for public exams – qualifications framework.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local authority based training opportunities/ How to apply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53D4">
        <w:rPr>
          <w:rFonts w:ascii="Arial" w:hAnsi="Arial" w:cs="Arial"/>
          <w:sz w:val="22"/>
          <w:szCs w:val="22"/>
        </w:rPr>
        <w:t>further</w:t>
      </w:r>
      <w:proofErr w:type="gramEnd"/>
      <w:r w:rsidRPr="00D353D4">
        <w:rPr>
          <w:rFonts w:ascii="Arial" w:hAnsi="Arial" w:cs="Arial"/>
          <w:sz w:val="22"/>
          <w:szCs w:val="22"/>
        </w:rPr>
        <w:t xml:space="preserve"> work on tutoring and pastoral responsibilities – communication with parents.  Home/school agreements.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53D4">
        <w:rPr>
          <w:rFonts w:ascii="Arial" w:hAnsi="Arial" w:cs="Arial"/>
          <w:sz w:val="22"/>
          <w:szCs w:val="22"/>
        </w:rPr>
        <w:t>subject</w:t>
      </w:r>
      <w:proofErr w:type="gramEnd"/>
      <w:r w:rsidRPr="00D353D4">
        <w:rPr>
          <w:rFonts w:ascii="Arial" w:hAnsi="Arial" w:cs="Arial"/>
          <w:sz w:val="22"/>
          <w:szCs w:val="22"/>
        </w:rPr>
        <w:t xml:space="preserve"> specific assessments. Time with Head of Department – cross-moderation work etc</w:t>
      </w:r>
    </w:p>
    <w:p w:rsidR="00D353D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professionalism of a teacher/rights/responsibilities (the changes from “Student to teacher”)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Role model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literacy/numeracy strategies – further work with co-ordinators, key skills (inc ICT)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behaviour/management of pupils/preventative approaches to disruption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53D4">
        <w:rPr>
          <w:rFonts w:ascii="Arial" w:hAnsi="Arial" w:cs="Arial"/>
          <w:sz w:val="22"/>
          <w:szCs w:val="22"/>
        </w:rPr>
        <w:t>working</w:t>
      </w:r>
      <w:proofErr w:type="gramEnd"/>
      <w:r w:rsidRPr="00D353D4">
        <w:rPr>
          <w:rFonts w:ascii="Arial" w:hAnsi="Arial" w:cs="Arial"/>
          <w:sz w:val="22"/>
          <w:szCs w:val="22"/>
        </w:rPr>
        <w:t xml:space="preserve"> with pupils off-site – school regulations – health &amp; safety etc.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sixth form – aspects of KS5 teaching and learning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child protection issues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primary/secondary liaison/transfer issues</w:t>
      </w:r>
    </w:p>
    <w:p w:rsidR="00054924" w:rsidRPr="00D353D4" w:rsidRDefault="00054924" w:rsidP="00D353D4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stress/time management/prioritising</w:t>
      </w:r>
    </w:p>
    <w:p w:rsidR="00054924" w:rsidRPr="00D353D4" w:rsidRDefault="00054924" w:rsidP="00D353D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contribute to curriculum development through subject leadership</w:t>
      </w:r>
    </w:p>
    <w:p w:rsidR="00054924" w:rsidRPr="00D353D4" w:rsidRDefault="00054924" w:rsidP="00D353D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further inset training to increase subject knowledge/address weaknesses</w:t>
      </w:r>
    </w:p>
    <w:p w:rsidR="00054924" w:rsidRPr="00D353D4" w:rsidRDefault="00054924" w:rsidP="00D353D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begin to offer contributions towards the School Improvement Plan</w:t>
      </w:r>
    </w:p>
    <w:p w:rsidR="00054924" w:rsidRPr="00D353D4" w:rsidRDefault="00054924" w:rsidP="00D353D4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encourage more parental participation/volunteer help</w:t>
      </w:r>
    </w:p>
    <w:p w:rsidR="00054924" w:rsidRPr="00D353D4" w:rsidRDefault="00054924" w:rsidP="00D353D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provide more detailed information about curriculum coverage to parents</w:t>
      </w:r>
    </w:p>
    <w:p w:rsidR="00054924" w:rsidRPr="00D353D4" w:rsidRDefault="00054924" w:rsidP="00D353D4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keep more detailed assessment notes to contribute to end of year reports</w:t>
      </w:r>
    </w:p>
    <w:p w:rsidR="00054924" w:rsidRPr="00D353D4" w:rsidRDefault="00054924" w:rsidP="00D353D4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begin to work with external services – be more aware of the wider context</w:t>
      </w:r>
    </w:p>
    <w:p w:rsidR="00054924" w:rsidRPr="00D353D4" w:rsidRDefault="00054924" w:rsidP="00D353D4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work with pupils off site/visits – be aware of visit guidelines etc</w:t>
      </w:r>
    </w:p>
    <w:p w:rsidR="00054924" w:rsidRPr="00D353D4" w:rsidRDefault="00054924" w:rsidP="00D353D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 xml:space="preserve">be </w:t>
      </w:r>
      <w:r w:rsidR="00D353D4" w:rsidRPr="00D353D4">
        <w:rPr>
          <w:rFonts w:ascii="Arial" w:hAnsi="Arial" w:cs="Arial"/>
          <w:sz w:val="22"/>
          <w:szCs w:val="22"/>
        </w:rPr>
        <w:t>aware of responsibilities - “in loco parentis”</w:t>
      </w:r>
    </w:p>
    <w:p w:rsidR="00054924" w:rsidRPr="00D353D4" w:rsidRDefault="00054924" w:rsidP="00D353D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3D4">
        <w:rPr>
          <w:rFonts w:ascii="Arial" w:hAnsi="Arial" w:cs="Arial"/>
          <w:sz w:val="22"/>
          <w:szCs w:val="22"/>
        </w:rPr>
        <w:t>pre-school/nursery/reception induction</w:t>
      </w:r>
    </w:p>
    <w:p w:rsidR="00D353D4" w:rsidRDefault="00D353D4" w:rsidP="00D353D4">
      <w:pPr>
        <w:pStyle w:val="Heading1"/>
        <w:spacing w:line="276" w:lineRule="auto"/>
        <w:ind w:right="-352"/>
        <w:rPr>
          <w:rFonts w:ascii="Arial" w:hAnsi="Arial" w:cs="Arial"/>
          <w:sz w:val="22"/>
          <w:szCs w:val="22"/>
          <w:u w:val="none"/>
        </w:rPr>
      </w:pPr>
    </w:p>
    <w:p w:rsidR="00054924" w:rsidRPr="007C2049" w:rsidRDefault="00D353D4" w:rsidP="00D353D4">
      <w:pPr>
        <w:pStyle w:val="Heading1"/>
        <w:ind w:right="-352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br w:type="page"/>
      </w:r>
      <w:r w:rsidR="00054924" w:rsidRPr="007C2049">
        <w:rPr>
          <w:rFonts w:ascii="Arial" w:hAnsi="Arial" w:cs="Arial"/>
          <w:sz w:val="22"/>
          <w:szCs w:val="22"/>
          <w:u w:val="none"/>
        </w:rPr>
        <w:lastRenderedPageBreak/>
        <w:t xml:space="preserve">Continuous Professional Development </w:t>
      </w:r>
    </w:p>
    <w:p w:rsidR="00054924" w:rsidRPr="00F27994" w:rsidRDefault="00054924">
      <w:pPr>
        <w:rPr>
          <w:rFonts w:ascii="Arial" w:hAnsi="Arial" w:cs="Arial"/>
          <w:b/>
          <w:sz w:val="22"/>
          <w:szCs w:val="22"/>
        </w:rPr>
      </w:pPr>
    </w:p>
    <w:p w:rsidR="00054924" w:rsidRPr="00F27994" w:rsidRDefault="0005492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27994">
        <w:rPr>
          <w:rFonts w:ascii="Arial" w:hAnsi="Arial" w:cs="Arial"/>
          <w:sz w:val="22"/>
          <w:szCs w:val="22"/>
        </w:rPr>
        <w:t>A checklist of some questions you may ask, during your third term to help you identify a programme of continuous professional development</w:t>
      </w:r>
      <w:r w:rsidR="00AB275E" w:rsidRPr="00F27994">
        <w:rPr>
          <w:rFonts w:ascii="Arial" w:hAnsi="Arial" w:cs="Arial"/>
          <w:sz w:val="22"/>
          <w:szCs w:val="22"/>
        </w:rPr>
        <w:t xml:space="preserve"> during year 2</w:t>
      </w:r>
      <w:r w:rsidRPr="00F27994">
        <w:rPr>
          <w:rFonts w:ascii="Arial" w:hAnsi="Arial" w:cs="Arial"/>
          <w:sz w:val="22"/>
          <w:szCs w:val="22"/>
        </w:rPr>
        <w:t>.</w:t>
      </w:r>
    </w:p>
    <w:p w:rsidR="00054924" w:rsidRPr="00F27994" w:rsidRDefault="0005492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5106"/>
        <w:gridCol w:w="1230"/>
        <w:gridCol w:w="1181"/>
        <w:gridCol w:w="1333"/>
      </w:tblGrid>
      <w:tr w:rsidR="00AB275E" w:rsidRPr="00F27994">
        <w:tc>
          <w:tcPr>
            <w:tcW w:w="392" w:type="dxa"/>
            <w:tcBorders>
              <w:bottom w:val="single" w:sz="4" w:space="0" w:color="auto"/>
            </w:tcBorders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6" w:type="dxa"/>
            <w:tcBorders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99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99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994">
              <w:rPr>
                <w:rFonts w:ascii="Arial" w:hAnsi="Arial" w:cs="Arial"/>
                <w:b/>
                <w:sz w:val="22"/>
                <w:szCs w:val="22"/>
              </w:rPr>
              <w:t>Don’t Know</w:t>
            </w: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Have you read the School Improvement Plan?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Do you know who to contact to find out about professional development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 xml:space="preserve"> school?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6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 xml:space="preserve"> the LA?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When a professional development activity is suggested do you take it up?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Before a professional development activity do you clarify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4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your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 xml:space="preserve"> objectives?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4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likely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 xml:space="preserve"> outcomes?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Do you review your experience of the activity with a member of staff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Are you aware of all the relevant professional development activities taking place in your school?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131746">
            <w:pPr>
              <w:rPr>
                <w:rFonts w:ascii="Arial" w:hAnsi="Arial" w:cs="Arial"/>
                <w:sz w:val="22"/>
                <w:szCs w:val="22"/>
              </w:rPr>
            </w:pPr>
            <w:r w:rsidRPr="00F27994">
              <w:rPr>
                <w:rFonts w:ascii="Arial" w:hAnsi="Arial" w:cs="Arial"/>
                <w:sz w:val="22"/>
                <w:szCs w:val="22"/>
              </w:rPr>
              <w:t>Are you aware of the relevant professional development activities taking place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locally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regionally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75E" w:rsidRPr="00F27994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13174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7994">
              <w:rPr>
                <w:rFonts w:ascii="Arial" w:hAnsi="Arial" w:cs="Arial"/>
                <w:sz w:val="22"/>
                <w:szCs w:val="22"/>
              </w:rPr>
              <w:t>nationally</w:t>
            </w:r>
            <w:proofErr w:type="gramEnd"/>
            <w:r w:rsidRPr="00F2799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5E" w:rsidRPr="00F27994" w:rsidRDefault="00AB275E" w:rsidP="00A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924" w:rsidRPr="00F27994" w:rsidRDefault="00054924">
      <w:pPr>
        <w:rPr>
          <w:rFonts w:ascii="Arial" w:hAnsi="Arial" w:cs="Arial"/>
          <w:sz w:val="22"/>
          <w:szCs w:val="22"/>
        </w:rPr>
      </w:pPr>
    </w:p>
    <w:p w:rsidR="00054924" w:rsidRPr="00F27994" w:rsidRDefault="00054924">
      <w:pPr>
        <w:rPr>
          <w:rFonts w:ascii="Arial" w:hAnsi="Arial" w:cs="Arial"/>
          <w:sz w:val="22"/>
          <w:szCs w:val="22"/>
        </w:rPr>
      </w:pPr>
    </w:p>
    <w:p w:rsidR="00054924" w:rsidRPr="00F27994" w:rsidRDefault="00054924">
      <w:pPr>
        <w:rPr>
          <w:rFonts w:ascii="Arial" w:hAnsi="Arial" w:cs="Arial"/>
          <w:sz w:val="22"/>
          <w:szCs w:val="22"/>
        </w:rPr>
      </w:pPr>
    </w:p>
    <w:p w:rsidR="00054924" w:rsidRPr="00F27994" w:rsidRDefault="00054924">
      <w:pPr>
        <w:rPr>
          <w:rFonts w:ascii="Arial" w:hAnsi="Arial" w:cs="Arial"/>
          <w:sz w:val="22"/>
          <w:szCs w:val="22"/>
        </w:rPr>
      </w:pPr>
    </w:p>
    <w:sectPr w:rsidR="00054924" w:rsidRPr="00F27994" w:rsidSect="007666CB">
      <w:footerReference w:type="default" r:id="rId7"/>
      <w:pgSz w:w="11906" w:h="16838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1E" w:rsidRDefault="00742B1E">
      <w:r>
        <w:separator/>
      </w:r>
    </w:p>
  </w:endnote>
  <w:endnote w:type="continuationSeparator" w:id="0">
    <w:p w:rsidR="00742B1E" w:rsidRDefault="0074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8" w:rsidRPr="00247AD3" w:rsidRDefault="006F1598" w:rsidP="00C35967">
    <w:pPr>
      <w:pStyle w:val="Footer"/>
      <w:tabs>
        <w:tab w:val="clear" w:pos="830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Ideas for further </w:t>
    </w:r>
    <w:r w:rsidR="003E38EE">
      <w:rPr>
        <w:rFonts w:ascii="Arial" w:hAnsi="Arial" w:cs="Arial"/>
        <w:sz w:val="16"/>
        <w:szCs w:val="16"/>
      </w:rPr>
      <w:t>professional development 2014</w:t>
    </w:r>
    <w:r w:rsidR="001207B8">
      <w:rPr>
        <w:rFonts w:ascii="Arial" w:hAnsi="Arial" w:cs="Arial"/>
        <w:sz w:val="16"/>
        <w:szCs w:val="16"/>
      </w:rPr>
      <w:tab/>
    </w:r>
    <w:r w:rsidR="001207B8">
      <w:rPr>
        <w:rFonts w:ascii="Arial" w:hAnsi="Arial" w:cs="Arial"/>
        <w:sz w:val="16"/>
        <w:szCs w:val="16"/>
      </w:rPr>
      <w:tab/>
    </w:r>
    <w:r w:rsidR="007666CB" w:rsidRPr="00247AD3">
      <w:rPr>
        <w:rStyle w:val="PageNumber"/>
        <w:rFonts w:ascii="Arial" w:hAnsi="Arial" w:cs="Arial"/>
        <w:sz w:val="16"/>
        <w:szCs w:val="16"/>
      </w:rPr>
      <w:fldChar w:fldCharType="begin"/>
    </w:r>
    <w:r w:rsidR="001207B8" w:rsidRPr="00247AD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666CB" w:rsidRPr="00247AD3">
      <w:rPr>
        <w:rStyle w:val="PageNumber"/>
        <w:rFonts w:ascii="Arial" w:hAnsi="Arial" w:cs="Arial"/>
        <w:sz w:val="16"/>
        <w:szCs w:val="16"/>
      </w:rPr>
      <w:fldChar w:fldCharType="separate"/>
    </w:r>
    <w:r w:rsidR="003E38EE">
      <w:rPr>
        <w:rStyle w:val="PageNumber"/>
        <w:rFonts w:ascii="Arial" w:hAnsi="Arial" w:cs="Arial"/>
        <w:noProof/>
        <w:sz w:val="16"/>
        <w:szCs w:val="16"/>
      </w:rPr>
      <w:t>1</w:t>
    </w:r>
    <w:r w:rsidR="007666CB" w:rsidRPr="00247AD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1E" w:rsidRDefault="00742B1E">
      <w:r>
        <w:separator/>
      </w:r>
    </w:p>
  </w:footnote>
  <w:footnote w:type="continuationSeparator" w:id="0">
    <w:p w:rsidR="00742B1E" w:rsidRDefault="00742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4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307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C0D01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201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C949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EF7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A940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573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C673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5663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47B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F810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D63A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8E50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047D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E917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9852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C436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3A50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4F23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9753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4F0B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713D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8465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1C1F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D61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CC37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AD49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336A93"/>
    <w:multiLevelType w:val="hybridMultilevel"/>
    <w:tmpl w:val="04DE12B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958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615F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B7B0F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C5E2A95"/>
    <w:multiLevelType w:val="hybridMultilevel"/>
    <w:tmpl w:val="C4DEF07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AF02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1412F3"/>
    <w:multiLevelType w:val="hybridMultilevel"/>
    <w:tmpl w:val="D2825D1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F53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8621BB"/>
    <w:multiLevelType w:val="hybridMultilevel"/>
    <w:tmpl w:val="9CA4B3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548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DD7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727695"/>
    <w:multiLevelType w:val="hybridMultilevel"/>
    <w:tmpl w:val="FBD26CA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26"/>
  </w:num>
  <w:num w:numId="5">
    <w:abstractNumId w:val="2"/>
  </w:num>
  <w:num w:numId="6">
    <w:abstractNumId w:val="13"/>
  </w:num>
  <w:num w:numId="7">
    <w:abstractNumId w:val="15"/>
  </w:num>
  <w:num w:numId="8">
    <w:abstractNumId w:val="7"/>
  </w:num>
  <w:num w:numId="9">
    <w:abstractNumId w:val="21"/>
  </w:num>
  <w:num w:numId="10">
    <w:abstractNumId w:val="12"/>
  </w:num>
  <w:num w:numId="11">
    <w:abstractNumId w:val="3"/>
  </w:num>
  <w:num w:numId="12">
    <w:abstractNumId w:val="4"/>
  </w:num>
  <w:num w:numId="13">
    <w:abstractNumId w:val="29"/>
  </w:num>
  <w:num w:numId="14">
    <w:abstractNumId w:val="1"/>
  </w:num>
  <w:num w:numId="15">
    <w:abstractNumId w:val="20"/>
  </w:num>
  <w:num w:numId="16">
    <w:abstractNumId w:val="33"/>
  </w:num>
  <w:num w:numId="17">
    <w:abstractNumId w:val="35"/>
  </w:num>
  <w:num w:numId="18">
    <w:abstractNumId w:val="8"/>
  </w:num>
  <w:num w:numId="19">
    <w:abstractNumId w:val="18"/>
  </w:num>
  <w:num w:numId="20">
    <w:abstractNumId w:val="24"/>
  </w:num>
  <w:num w:numId="21">
    <w:abstractNumId w:val="14"/>
  </w:num>
  <w:num w:numId="22">
    <w:abstractNumId w:val="31"/>
  </w:num>
  <w:num w:numId="23">
    <w:abstractNumId w:val="16"/>
  </w:num>
  <w:num w:numId="24">
    <w:abstractNumId w:val="6"/>
  </w:num>
  <w:num w:numId="25">
    <w:abstractNumId w:val="27"/>
  </w:num>
  <w:num w:numId="26">
    <w:abstractNumId w:val="38"/>
  </w:num>
  <w:num w:numId="27">
    <w:abstractNumId w:val="30"/>
  </w:num>
  <w:num w:numId="28">
    <w:abstractNumId w:val="23"/>
  </w:num>
  <w:num w:numId="29">
    <w:abstractNumId w:val="0"/>
  </w:num>
  <w:num w:numId="30">
    <w:abstractNumId w:val="25"/>
  </w:num>
  <w:num w:numId="31">
    <w:abstractNumId w:val="10"/>
  </w:num>
  <w:num w:numId="32">
    <w:abstractNumId w:val="5"/>
  </w:num>
  <w:num w:numId="33">
    <w:abstractNumId w:val="9"/>
  </w:num>
  <w:num w:numId="34">
    <w:abstractNumId w:val="19"/>
  </w:num>
  <w:num w:numId="35">
    <w:abstractNumId w:val="11"/>
  </w:num>
  <w:num w:numId="36">
    <w:abstractNumId w:val="36"/>
  </w:num>
  <w:num w:numId="37">
    <w:abstractNumId w:val="34"/>
  </w:num>
  <w:num w:numId="38">
    <w:abstractNumId w:val="28"/>
  </w:num>
  <w:num w:numId="39">
    <w:abstractNumId w:val="3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24"/>
    <w:rsid w:val="00054924"/>
    <w:rsid w:val="001207B8"/>
    <w:rsid w:val="00131746"/>
    <w:rsid w:val="00247AD3"/>
    <w:rsid w:val="003E38EE"/>
    <w:rsid w:val="00567E52"/>
    <w:rsid w:val="006F1598"/>
    <w:rsid w:val="00742B1E"/>
    <w:rsid w:val="007666CB"/>
    <w:rsid w:val="007C2049"/>
    <w:rsid w:val="00AB275E"/>
    <w:rsid w:val="00B21042"/>
    <w:rsid w:val="00C35967"/>
    <w:rsid w:val="00D353D4"/>
    <w:rsid w:val="00E77E04"/>
    <w:rsid w:val="00F006E2"/>
    <w:rsid w:val="00F10815"/>
    <w:rsid w:val="00F27994"/>
    <w:rsid w:val="00F3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CB"/>
  </w:style>
  <w:style w:type="paragraph" w:styleId="Heading1">
    <w:name w:val="heading 1"/>
    <w:basedOn w:val="Normal"/>
    <w:next w:val="Normal"/>
    <w:qFormat/>
    <w:rsid w:val="007666CB"/>
    <w:pPr>
      <w:keepNext/>
      <w:outlineLvl w:val="0"/>
    </w:pPr>
    <w:rPr>
      <w:rFonts w:ascii="Tahoma" w:hAnsi="Tahoma"/>
      <w:b/>
      <w:sz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7666CB"/>
    <w:pPr>
      <w:keepNext/>
      <w:ind w:right="-352"/>
      <w:outlineLvl w:val="1"/>
    </w:pPr>
    <w:rPr>
      <w:rFonts w:ascii="Tahoma" w:hAnsi="Tahoma"/>
      <w:b/>
      <w:sz w:val="28"/>
      <w:lang w:eastAsia="en-US"/>
    </w:rPr>
  </w:style>
  <w:style w:type="paragraph" w:styleId="Heading3">
    <w:name w:val="heading 3"/>
    <w:basedOn w:val="Normal"/>
    <w:next w:val="Normal"/>
    <w:qFormat/>
    <w:rsid w:val="007666CB"/>
    <w:pPr>
      <w:keepNext/>
      <w:outlineLvl w:val="2"/>
    </w:pPr>
    <w:rPr>
      <w:rFonts w:ascii="Tahoma" w:hAnsi="Tahoma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66CB"/>
    <w:rPr>
      <w:rFonts w:ascii="Tahoma" w:hAnsi="Tahoma"/>
      <w:sz w:val="24"/>
      <w:lang w:eastAsia="en-US"/>
    </w:rPr>
  </w:style>
  <w:style w:type="paragraph" w:styleId="BodyTextIndent">
    <w:name w:val="Body Text Indent"/>
    <w:basedOn w:val="Normal"/>
    <w:rsid w:val="007666CB"/>
    <w:rPr>
      <w:rFonts w:ascii="Tahoma" w:hAnsi="Tahoma"/>
      <w:b/>
      <w:sz w:val="28"/>
      <w:lang w:eastAsia="en-US"/>
    </w:rPr>
  </w:style>
  <w:style w:type="table" w:styleId="TableGrid">
    <w:name w:val="Table Grid"/>
    <w:basedOn w:val="TableNormal"/>
    <w:rsid w:val="00AB2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7A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7A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AD3"/>
  </w:style>
  <w:style w:type="paragraph" w:styleId="ListParagraph">
    <w:name w:val="List Paragraph"/>
    <w:basedOn w:val="Normal"/>
    <w:uiPriority w:val="34"/>
    <w:qFormat/>
    <w:rsid w:val="00D353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Professional Support</vt:lpstr>
    </vt:vector>
  </TitlesOfParts>
  <Company>CMBC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Professional Support</dc:title>
  <dc:subject/>
  <dc:creator>ebhg</dc:creator>
  <cp:keywords/>
  <dc:description/>
  <cp:lastModifiedBy>michael.garside</cp:lastModifiedBy>
  <cp:revision>4</cp:revision>
  <cp:lastPrinted>2001-08-17T08:52:00Z</cp:lastPrinted>
  <dcterms:created xsi:type="dcterms:W3CDTF">2012-07-31T14:01:00Z</dcterms:created>
  <dcterms:modified xsi:type="dcterms:W3CDTF">2014-09-08T09:17:00Z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1880864543</vt:i4>
  </property>
  <property fmtid="{D5CDD505-2E9C-101B-9397-08002B2CF9AE}" pid="3" name="_EmailSubject">
    <vt:lpwstr/>
  </property>
  <property fmtid="{D5CDD505-2E9C-101B-9397-08002B2CF9AE}" pid="4" name="_AuthorEmail">
    <vt:lpwstr>Michael.Garside@EducationBradford.com</vt:lpwstr>
  </property>
  <property fmtid="{D5CDD505-2E9C-101B-9397-08002B2CF9AE}" pid="5" name="_AuthorEmailDisplayName">
    <vt:lpwstr>Michael Garside</vt:lpwstr>
  </property>
  <property fmtid="{D5CDD505-2E9C-101B-9397-08002B2CF9AE}" pid="6" name="_PreviousAdHocReviewCycleID">
    <vt:i4>1838879383</vt:i4>
  </property>
  <property fmtid="{D5CDD505-2E9C-101B-9397-08002B2CF9AE}" pid="7" name="_ReviewingToolsShownOnce">
    <vt:lpwstr/>
  </property>
</Properties>
</file>