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52" w:rsidRPr="0086536D" w:rsidRDefault="00790652" w:rsidP="00C844D0">
      <w:pPr>
        <w:spacing w:after="0" w:line="240" w:lineRule="auto"/>
        <w:rPr>
          <w:rFonts w:ascii="Arial" w:hAnsi="Arial" w:cs="Arial"/>
          <w:b/>
          <w:bCs/>
          <w:sz w:val="24"/>
          <w:szCs w:val="24"/>
          <w:u w:val="single"/>
        </w:rPr>
      </w:pPr>
      <w:r w:rsidRPr="0086536D">
        <w:rPr>
          <w:rFonts w:ascii="Arial" w:hAnsi="Arial" w:cs="Arial"/>
          <w:b/>
          <w:bCs/>
          <w:sz w:val="24"/>
          <w:szCs w:val="24"/>
          <w:u w:val="single"/>
        </w:rPr>
        <w:t>Using Perspective Lite to complete final Sense checking EYFSP data 2014</w:t>
      </w:r>
    </w:p>
    <w:p w:rsidR="00790652" w:rsidRDefault="00790652" w:rsidP="00C844D0">
      <w:pPr>
        <w:spacing w:after="0" w:line="240" w:lineRule="auto"/>
        <w:rPr>
          <w:rFonts w:ascii="Arial" w:hAnsi="Arial" w:cs="Arial"/>
        </w:rPr>
      </w:pPr>
    </w:p>
    <w:p w:rsidR="00790652" w:rsidRDefault="00790652" w:rsidP="00C844D0">
      <w:pPr>
        <w:spacing w:after="0" w:line="240" w:lineRule="auto"/>
        <w:rPr>
          <w:rFonts w:ascii="Arial" w:hAnsi="Arial" w:cs="Arial"/>
        </w:rPr>
      </w:pPr>
      <w:r>
        <w:rPr>
          <w:rFonts w:ascii="Arial" w:hAnsi="Arial" w:cs="Arial"/>
        </w:rPr>
        <w:t>The following are a</w:t>
      </w:r>
      <w:r w:rsidRPr="00662D28">
        <w:rPr>
          <w:rFonts w:ascii="Arial" w:hAnsi="Arial" w:cs="Arial"/>
        </w:rPr>
        <w:t xml:space="preserve">ctivities </w:t>
      </w:r>
      <w:r>
        <w:rPr>
          <w:rFonts w:ascii="Arial" w:hAnsi="Arial" w:cs="Arial"/>
        </w:rPr>
        <w:t>that will</w:t>
      </w:r>
      <w:r w:rsidRPr="00662D28">
        <w:rPr>
          <w:rFonts w:ascii="Arial" w:hAnsi="Arial" w:cs="Arial"/>
        </w:rPr>
        <w:t xml:space="preserve"> support the check </w:t>
      </w:r>
      <w:r>
        <w:rPr>
          <w:rFonts w:ascii="Arial" w:hAnsi="Arial" w:cs="Arial"/>
        </w:rPr>
        <w:t>of the</w:t>
      </w:r>
      <w:r w:rsidRPr="00662D28">
        <w:rPr>
          <w:rFonts w:ascii="Arial" w:hAnsi="Arial" w:cs="Arial"/>
        </w:rPr>
        <w:t xml:space="preserve"> data </w:t>
      </w:r>
      <w:r>
        <w:rPr>
          <w:rFonts w:ascii="Arial" w:hAnsi="Arial" w:cs="Arial"/>
        </w:rPr>
        <w:t>currently submitted to the LA.</w:t>
      </w:r>
    </w:p>
    <w:p w:rsidR="00790652" w:rsidRDefault="00790652" w:rsidP="00C844D0">
      <w:pPr>
        <w:spacing w:after="0" w:line="240" w:lineRule="auto"/>
        <w:rPr>
          <w:rFonts w:ascii="Arial" w:hAnsi="Arial" w:cs="Arial"/>
        </w:rPr>
      </w:pPr>
    </w:p>
    <w:p w:rsidR="00790652" w:rsidRDefault="00790652" w:rsidP="00662D28">
      <w:pPr>
        <w:pStyle w:val="ListParagraph"/>
        <w:numPr>
          <w:ilvl w:val="0"/>
          <w:numId w:val="2"/>
        </w:numPr>
        <w:spacing w:after="0" w:line="240" w:lineRule="auto"/>
        <w:ind w:left="426" w:hanging="284"/>
        <w:rPr>
          <w:rFonts w:ascii="Arial" w:hAnsi="Arial" w:cs="Arial"/>
          <w:b/>
          <w:bCs/>
        </w:rPr>
      </w:pPr>
      <w:r>
        <w:rPr>
          <w:rFonts w:ascii="Arial" w:hAnsi="Arial" w:cs="Arial"/>
          <w:b/>
          <w:bCs/>
        </w:rPr>
        <w:t>(</w:t>
      </w:r>
      <w:r w:rsidRPr="00D572C6">
        <w:rPr>
          <w:rFonts w:ascii="Arial" w:hAnsi="Arial" w:cs="Arial"/>
          <w:b/>
          <w:bCs/>
          <w:u w:val="single"/>
        </w:rPr>
        <w:t xml:space="preserve">All schools) </w:t>
      </w:r>
      <w:r w:rsidRPr="00662D28">
        <w:rPr>
          <w:rFonts w:ascii="Arial" w:hAnsi="Arial" w:cs="Arial"/>
          <w:b/>
          <w:bCs/>
        </w:rPr>
        <w:t xml:space="preserve">In </w:t>
      </w:r>
      <w:r>
        <w:rPr>
          <w:rFonts w:ascii="Arial" w:hAnsi="Arial" w:cs="Arial"/>
          <w:b/>
          <w:bCs/>
        </w:rPr>
        <w:t xml:space="preserve">area </w:t>
      </w:r>
      <w:r w:rsidRPr="00662D28">
        <w:rPr>
          <w:rFonts w:ascii="Arial" w:hAnsi="Arial" w:cs="Arial"/>
          <w:b/>
          <w:bCs/>
        </w:rPr>
        <w:t>pupils list by setting</w:t>
      </w:r>
      <w:r>
        <w:rPr>
          <w:rFonts w:ascii="Arial" w:hAnsi="Arial" w:cs="Arial"/>
          <w:b/>
          <w:bCs/>
        </w:rPr>
        <w:t xml:space="preserve"> –home page</w:t>
      </w:r>
    </w:p>
    <w:p w:rsidR="00790652" w:rsidRPr="00FF45FA" w:rsidRDefault="00790652" w:rsidP="00662D28">
      <w:pPr>
        <w:pStyle w:val="ListParagraph"/>
        <w:spacing w:after="0" w:line="240" w:lineRule="auto"/>
        <w:ind w:left="426"/>
        <w:rPr>
          <w:rFonts w:ascii="Arial" w:hAnsi="Arial" w:cs="Arial"/>
          <w:b/>
          <w:bCs/>
          <w:sz w:val="6"/>
          <w:szCs w:val="6"/>
        </w:rPr>
      </w:pPr>
    </w:p>
    <w:p w:rsidR="00790652" w:rsidRDefault="00790652" w:rsidP="00662D28">
      <w:pPr>
        <w:pStyle w:val="ListParagraph"/>
        <w:numPr>
          <w:ilvl w:val="0"/>
          <w:numId w:val="3"/>
        </w:numPr>
        <w:spacing w:after="0" w:line="240" w:lineRule="auto"/>
        <w:rPr>
          <w:rFonts w:ascii="Arial" w:hAnsi="Arial" w:cs="Arial"/>
        </w:rPr>
      </w:pPr>
      <w:r>
        <w:rPr>
          <w:rFonts w:ascii="Arial" w:hAnsi="Arial" w:cs="Arial"/>
        </w:rPr>
        <w:t>Check children’s names and the number of children in the cohort are correct. It has been found that one school submitted data for 60 children and only 1 child was recorded in Perspective Lite, resulting in the school with GLD OF 0%.</w:t>
      </w:r>
    </w:p>
    <w:p w:rsidR="00790652" w:rsidRPr="00662D28" w:rsidRDefault="00790652" w:rsidP="00662D28">
      <w:pPr>
        <w:pStyle w:val="ListParagraph"/>
        <w:numPr>
          <w:ilvl w:val="0"/>
          <w:numId w:val="3"/>
        </w:numPr>
        <w:spacing w:after="0" w:line="240" w:lineRule="auto"/>
        <w:rPr>
          <w:rFonts w:ascii="Arial" w:hAnsi="Arial" w:cs="Arial"/>
        </w:rPr>
      </w:pPr>
      <w:r>
        <w:rPr>
          <w:rFonts w:ascii="Arial" w:hAnsi="Arial" w:cs="Arial"/>
        </w:rPr>
        <w:t>Are all the scores the correct ones submitted by the teacher – an example noticed that where children had achieved a score of 3 these were all recorded as 2 on the submitted data.</w:t>
      </w:r>
      <w:r w:rsidRPr="00662D28">
        <w:rPr>
          <w:rFonts w:ascii="Arial" w:hAnsi="Arial" w:cs="Arial"/>
        </w:rPr>
        <w:t xml:space="preserve">  </w:t>
      </w:r>
    </w:p>
    <w:p w:rsidR="00790652" w:rsidRDefault="00790652" w:rsidP="00FF45FA">
      <w:pPr>
        <w:pStyle w:val="ListParagraph"/>
        <w:spacing w:after="0" w:line="240" w:lineRule="auto"/>
        <w:rPr>
          <w:rFonts w:ascii="Arial" w:hAnsi="Arial" w:cs="Arial"/>
        </w:rPr>
      </w:pPr>
    </w:p>
    <w:p w:rsidR="00790652" w:rsidRPr="00FF45FA" w:rsidRDefault="00790652" w:rsidP="00FF45FA">
      <w:pPr>
        <w:pStyle w:val="ListParagraph"/>
        <w:numPr>
          <w:ilvl w:val="0"/>
          <w:numId w:val="2"/>
        </w:numPr>
        <w:spacing w:after="0" w:line="240" w:lineRule="auto"/>
        <w:ind w:left="426" w:hanging="284"/>
        <w:rPr>
          <w:rFonts w:ascii="Arial" w:hAnsi="Arial" w:cs="Arial"/>
          <w:b/>
          <w:bCs/>
        </w:rPr>
      </w:pPr>
      <w:r w:rsidRPr="00D572C6">
        <w:rPr>
          <w:rFonts w:ascii="Arial" w:hAnsi="Arial" w:cs="Arial"/>
          <w:b/>
          <w:bCs/>
          <w:u w:val="single"/>
        </w:rPr>
        <w:t>(All schools)</w:t>
      </w:r>
      <w:r>
        <w:rPr>
          <w:rFonts w:ascii="Arial" w:hAnsi="Arial" w:cs="Arial"/>
          <w:b/>
          <w:bCs/>
        </w:rPr>
        <w:t xml:space="preserve"> </w:t>
      </w:r>
      <w:r w:rsidRPr="00FF45FA">
        <w:rPr>
          <w:rFonts w:ascii="Arial" w:hAnsi="Arial" w:cs="Arial"/>
          <w:b/>
          <w:bCs/>
        </w:rPr>
        <w:t xml:space="preserve">Select KEY PAS to view data comparisons for GLD and EYFSP Average Total Points Score (Mean) </w:t>
      </w:r>
      <w:r>
        <w:rPr>
          <w:rFonts w:ascii="Arial" w:hAnsi="Arial" w:cs="Arial"/>
          <w:b/>
          <w:bCs/>
        </w:rPr>
        <w:t>using the</w:t>
      </w:r>
      <w:r w:rsidRPr="00FF45FA">
        <w:rPr>
          <w:rFonts w:ascii="Arial" w:hAnsi="Arial" w:cs="Arial"/>
          <w:b/>
          <w:bCs/>
        </w:rPr>
        <w:t xml:space="preserve"> performance of data against trends from 2013 to 2014</w:t>
      </w:r>
      <w:r>
        <w:rPr>
          <w:rFonts w:ascii="Arial" w:hAnsi="Arial" w:cs="Arial"/>
          <w:b/>
          <w:bCs/>
        </w:rPr>
        <w:t xml:space="preserve"> of :</w:t>
      </w:r>
    </w:p>
    <w:p w:rsidR="00790652" w:rsidRDefault="00790652" w:rsidP="00FF45FA">
      <w:pPr>
        <w:pStyle w:val="ListParagraph"/>
        <w:numPr>
          <w:ilvl w:val="0"/>
          <w:numId w:val="4"/>
        </w:numPr>
        <w:spacing w:after="0" w:line="240" w:lineRule="auto"/>
        <w:rPr>
          <w:rFonts w:ascii="Arial" w:hAnsi="Arial" w:cs="Arial"/>
        </w:rPr>
      </w:pPr>
      <w:r>
        <w:rPr>
          <w:rFonts w:ascii="Arial" w:hAnsi="Arial" w:cs="Arial"/>
        </w:rPr>
        <w:t>C</w:t>
      </w:r>
      <w:r w:rsidRPr="00FF45FA">
        <w:rPr>
          <w:rFonts w:ascii="Arial" w:hAnsi="Arial" w:cs="Arial"/>
        </w:rPr>
        <w:t>ontextually similar</w:t>
      </w:r>
      <w:r>
        <w:rPr>
          <w:rFonts w:ascii="Arial" w:hAnsi="Arial" w:cs="Arial"/>
        </w:rPr>
        <w:t xml:space="preserve"> schools</w:t>
      </w:r>
    </w:p>
    <w:p w:rsidR="00790652" w:rsidRDefault="00790652" w:rsidP="00FF45FA">
      <w:pPr>
        <w:pStyle w:val="ListParagraph"/>
        <w:numPr>
          <w:ilvl w:val="0"/>
          <w:numId w:val="4"/>
        </w:numPr>
        <w:spacing w:after="0" w:line="240" w:lineRule="auto"/>
        <w:rPr>
          <w:rFonts w:ascii="Arial" w:hAnsi="Arial" w:cs="Arial"/>
        </w:rPr>
      </w:pPr>
      <w:r w:rsidRPr="00FF45FA">
        <w:rPr>
          <w:rFonts w:ascii="Arial" w:hAnsi="Arial" w:cs="Arial"/>
        </w:rPr>
        <w:t xml:space="preserve">Local Authority; </w:t>
      </w:r>
    </w:p>
    <w:p w:rsidR="00790652" w:rsidRDefault="00790652" w:rsidP="00FF45FA">
      <w:pPr>
        <w:pStyle w:val="ListParagraph"/>
        <w:numPr>
          <w:ilvl w:val="0"/>
          <w:numId w:val="4"/>
        </w:numPr>
        <w:spacing w:after="0" w:line="240" w:lineRule="auto"/>
        <w:rPr>
          <w:rFonts w:ascii="Arial" w:hAnsi="Arial" w:cs="Arial"/>
        </w:rPr>
      </w:pPr>
      <w:r w:rsidRPr="00FF45FA">
        <w:rPr>
          <w:rFonts w:ascii="Arial" w:hAnsi="Arial" w:cs="Arial"/>
        </w:rPr>
        <w:t>National</w:t>
      </w:r>
    </w:p>
    <w:p w:rsidR="00790652" w:rsidRPr="00D572C6" w:rsidRDefault="00790652" w:rsidP="00FF45FA">
      <w:pPr>
        <w:pStyle w:val="ListParagraph"/>
        <w:spacing w:after="0" w:line="240" w:lineRule="auto"/>
        <w:ind w:left="1146"/>
        <w:rPr>
          <w:rFonts w:ascii="Arial" w:hAnsi="Arial" w:cs="Arial"/>
          <w:sz w:val="18"/>
          <w:szCs w:val="18"/>
        </w:rPr>
      </w:pPr>
    </w:p>
    <w:p w:rsidR="00790652" w:rsidRDefault="00790652" w:rsidP="00E135E4">
      <w:pPr>
        <w:pStyle w:val="ListParagraph"/>
        <w:spacing w:after="0" w:line="240" w:lineRule="auto"/>
        <w:ind w:left="1146" w:hanging="437"/>
        <w:rPr>
          <w:rFonts w:ascii="Arial" w:hAnsi="Arial" w:cs="Arial"/>
        </w:rPr>
      </w:pPr>
      <w:r w:rsidRPr="00E135E4">
        <w:rPr>
          <w:rFonts w:ascii="Arial" w:hAnsi="Arial" w:cs="Arial"/>
        </w:rPr>
        <w:t>Are those schools performing better or less well than your school? Look at the trend 2013 to 2014.</w:t>
      </w:r>
      <w:r>
        <w:rPr>
          <w:rFonts w:ascii="Arial" w:hAnsi="Arial" w:cs="Arial"/>
        </w:rPr>
        <w:t xml:space="preserve"> </w:t>
      </w:r>
    </w:p>
    <w:p w:rsidR="00790652" w:rsidRDefault="00790652" w:rsidP="00E135E4">
      <w:pPr>
        <w:pStyle w:val="ListParagraph"/>
        <w:spacing w:after="0" w:line="240" w:lineRule="auto"/>
        <w:ind w:left="1146" w:hanging="437"/>
        <w:rPr>
          <w:rFonts w:ascii="Arial" w:hAnsi="Arial" w:cs="Arial"/>
        </w:rPr>
      </w:pPr>
      <w:r>
        <w:rPr>
          <w:rFonts w:ascii="Arial" w:hAnsi="Arial" w:cs="Arial"/>
        </w:rPr>
        <w:t xml:space="preserve">Does the GLD match the school’s expected results? </w:t>
      </w:r>
    </w:p>
    <w:p w:rsidR="00790652" w:rsidRPr="00FF45FA" w:rsidRDefault="00790652" w:rsidP="00E135E4">
      <w:pPr>
        <w:pStyle w:val="ListParagraph"/>
        <w:spacing w:after="0" w:line="240" w:lineRule="auto"/>
        <w:ind w:left="1146" w:hanging="437"/>
        <w:rPr>
          <w:rFonts w:ascii="Arial" w:hAnsi="Arial" w:cs="Arial"/>
        </w:rPr>
      </w:pPr>
    </w:p>
    <w:p w:rsidR="00790652" w:rsidRPr="0044326C" w:rsidRDefault="00790652" w:rsidP="0044326C">
      <w:pPr>
        <w:pStyle w:val="ListParagraph"/>
        <w:numPr>
          <w:ilvl w:val="0"/>
          <w:numId w:val="2"/>
        </w:numPr>
        <w:spacing w:after="0" w:line="240" w:lineRule="auto"/>
        <w:ind w:left="426" w:hanging="284"/>
        <w:rPr>
          <w:rFonts w:ascii="Arial" w:hAnsi="Arial" w:cs="Arial"/>
          <w:b/>
          <w:bCs/>
        </w:rPr>
      </w:pPr>
      <w:r w:rsidRPr="0044326C">
        <w:rPr>
          <w:rFonts w:ascii="Arial" w:hAnsi="Arial" w:cs="Arial"/>
          <w:b/>
        </w:rPr>
        <w:t>If your GLD is under 40% check through and review your data as follows:</w:t>
      </w:r>
    </w:p>
    <w:p w:rsidR="00790652" w:rsidRPr="0044326C" w:rsidRDefault="00790652" w:rsidP="00FF45FA">
      <w:pPr>
        <w:pStyle w:val="ListParagraph"/>
        <w:numPr>
          <w:ilvl w:val="0"/>
          <w:numId w:val="1"/>
        </w:numPr>
        <w:spacing w:after="0" w:line="240" w:lineRule="auto"/>
        <w:ind w:left="1134" w:hanging="425"/>
        <w:rPr>
          <w:rFonts w:ascii="Arial" w:hAnsi="Arial" w:cs="Arial"/>
        </w:rPr>
      </w:pPr>
      <w:r w:rsidRPr="0044326C">
        <w:rPr>
          <w:rFonts w:ascii="Arial" w:hAnsi="Arial" w:cs="Arial"/>
        </w:rPr>
        <w:t>Any child with a total score of 35 + points and not achieving GLD.</w:t>
      </w:r>
    </w:p>
    <w:p w:rsidR="00790652" w:rsidRPr="0044326C" w:rsidRDefault="00790652" w:rsidP="00281A03">
      <w:pPr>
        <w:pStyle w:val="ListParagraph"/>
        <w:numPr>
          <w:ilvl w:val="0"/>
          <w:numId w:val="1"/>
        </w:numPr>
        <w:spacing w:after="0" w:line="240" w:lineRule="auto"/>
        <w:ind w:left="1134" w:hanging="425"/>
        <w:rPr>
          <w:rFonts w:ascii="Arial" w:hAnsi="Arial" w:cs="Arial"/>
        </w:rPr>
      </w:pPr>
      <w:r w:rsidRPr="0044326C">
        <w:rPr>
          <w:rFonts w:ascii="Arial" w:hAnsi="Arial" w:cs="Arial"/>
        </w:rPr>
        <w:t>A child who is just missing the GLD by 1 or 2 ELG</w:t>
      </w:r>
      <w:r>
        <w:rPr>
          <w:rFonts w:ascii="Arial" w:hAnsi="Arial" w:cs="Arial"/>
        </w:rPr>
        <w:t>’</w:t>
      </w:r>
      <w:r w:rsidRPr="0044326C">
        <w:rPr>
          <w:rFonts w:ascii="Arial" w:hAnsi="Arial" w:cs="Arial"/>
        </w:rPr>
        <w:t>s</w:t>
      </w:r>
      <w:r>
        <w:rPr>
          <w:rFonts w:ascii="Arial" w:hAnsi="Arial" w:cs="Arial"/>
        </w:rPr>
        <w:t xml:space="preserve"> particularly</w:t>
      </w:r>
      <w:r w:rsidRPr="0044326C">
        <w:rPr>
          <w:rFonts w:ascii="Arial" w:hAnsi="Arial" w:cs="Arial"/>
        </w:rPr>
        <w:t xml:space="preserve"> in the prime areas.</w:t>
      </w:r>
    </w:p>
    <w:p w:rsidR="00790652" w:rsidRPr="0044326C" w:rsidRDefault="00790652" w:rsidP="00281A03">
      <w:pPr>
        <w:pStyle w:val="ListParagraph"/>
        <w:numPr>
          <w:ilvl w:val="0"/>
          <w:numId w:val="1"/>
        </w:numPr>
        <w:spacing w:after="0" w:line="240" w:lineRule="auto"/>
        <w:ind w:left="1134" w:hanging="425"/>
        <w:rPr>
          <w:rFonts w:ascii="Arial" w:hAnsi="Arial" w:cs="Arial"/>
        </w:rPr>
      </w:pPr>
      <w:r w:rsidRPr="0044326C">
        <w:rPr>
          <w:rFonts w:ascii="Arial" w:hAnsi="Arial" w:cs="Arial"/>
        </w:rPr>
        <w:t>Use the quality assurance guidance in the EYFSP handbook section 7 to consider any links between ELG’s or unusual patterns</w:t>
      </w:r>
    </w:p>
    <w:p w:rsidR="00790652" w:rsidRPr="0044326C" w:rsidRDefault="00790652" w:rsidP="000B1E37">
      <w:pPr>
        <w:pStyle w:val="ListParagraph"/>
        <w:numPr>
          <w:ilvl w:val="0"/>
          <w:numId w:val="1"/>
        </w:numPr>
        <w:spacing w:after="0" w:line="240" w:lineRule="auto"/>
        <w:ind w:left="1134" w:hanging="425"/>
        <w:rPr>
          <w:rFonts w:ascii="Arial" w:hAnsi="Arial" w:cs="Arial"/>
        </w:rPr>
      </w:pPr>
      <w:r w:rsidRPr="0044326C">
        <w:rPr>
          <w:rFonts w:ascii="Arial" w:hAnsi="Arial" w:cs="Arial"/>
        </w:rPr>
        <w:t>Consider if a ‘best fit’ judgment has been made and that ‘equal mastery’ of all of the ELG is not required. Has the teacher been too hesitant with overall judgments?</w:t>
      </w:r>
    </w:p>
    <w:p w:rsidR="00790652" w:rsidRPr="000B1E37" w:rsidRDefault="00790652" w:rsidP="0044326C">
      <w:pPr>
        <w:pStyle w:val="ListParagraph"/>
        <w:spacing w:after="0" w:line="240" w:lineRule="auto"/>
        <w:ind w:left="709"/>
        <w:rPr>
          <w:rFonts w:ascii="Arial" w:hAnsi="Arial" w:cs="Arial"/>
        </w:rPr>
      </w:pPr>
    </w:p>
    <w:p w:rsidR="00790652" w:rsidRPr="00EA3982" w:rsidRDefault="00790652" w:rsidP="00EA3982">
      <w:pPr>
        <w:spacing w:after="0" w:line="240" w:lineRule="auto"/>
        <w:ind w:left="360" w:hanging="180"/>
        <w:rPr>
          <w:rFonts w:ascii="Arial" w:hAnsi="Arial" w:cs="Arial"/>
          <w:b/>
        </w:rPr>
      </w:pPr>
      <w:r w:rsidRPr="00EA3982">
        <w:rPr>
          <w:rFonts w:ascii="Arial" w:hAnsi="Arial" w:cs="Arial"/>
          <w:b/>
        </w:rPr>
        <w:t xml:space="preserve">4. If your school has a similar GLD in comparison with contextually similar </w:t>
      </w:r>
      <w:r>
        <w:rPr>
          <w:rFonts w:ascii="Arial" w:hAnsi="Arial" w:cs="Arial"/>
          <w:b/>
        </w:rPr>
        <w:t>schools but has a significantly</w:t>
      </w:r>
      <w:r w:rsidRPr="00EA3982">
        <w:rPr>
          <w:rFonts w:ascii="Arial" w:hAnsi="Arial" w:cs="Arial"/>
          <w:b/>
        </w:rPr>
        <w:t xml:space="preserve"> lower EYFSP total points score in comparison with contextually similar schools:</w:t>
      </w:r>
    </w:p>
    <w:p w:rsidR="00790652" w:rsidRPr="00662D28" w:rsidRDefault="00790652" w:rsidP="0044326C">
      <w:pPr>
        <w:pStyle w:val="ListParagraph"/>
        <w:numPr>
          <w:ilvl w:val="0"/>
          <w:numId w:val="1"/>
        </w:numPr>
        <w:spacing w:after="0" w:line="240" w:lineRule="auto"/>
        <w:ind w:left="1080"/>
        <w:rPr>
          <w:rFonts w:ascii="Arial" w:hAnsi="Arial" w:cs="Arial"/>
        </w:rPr>
      </w:pPr>
      <w:r w:rsidRPr="00662D28">
        <w:rPr>
          <w:rFonts w:ascii="Arial" w:hAnsi="Arial" w:cs="Arial"/>
        </w:rPr>
        <w:t>Look at</w:t>
      </w:r>
      <w:r>
        <w:rPr>
          <w:rFonts w:ascii="Arial" w:hAnsi="Arial" w:cs="Arial"/>
        </w:rPr>
        <w:t xml:space="preserve"> any</w:t>
      </w:r>
      <w:r w:rsidRPr="00662D28">
        <w:rPr>
          <w:rFonts w:ascii="Arial" w:hAnsi="Arial" w:cs="Arial"/>
        </w:rPr>
        <w:t xml:space="preserve"> children </w:t>
      </w:r>
      <w:r>
        <w:rPr>
          <w:rFonts w:ascii="Arial" w:hAnsi="Arial" w:cs="Arial"/>
        </w:rPr>
        <w:t>with a total score of 35+</w:t>
      </w:r>
      <w:r w:rsidRPr="00662D28">
        <w:rPr>
          <w:rFonts w:ascii="Arial" w:hAnsi="Arial" w:cs="Arial"/>
        </w:rPr>
        <w:t xml:space="preserve"> but not achieving GLD</w:t>
      </w:r>
    </w:p>
    <w:p w:rsidR="00790652" w:rsidRPr="00662D28" w:rsidRDefault="00790652" w:rsidP="0044326C">
      <w:pPr>
        <w:pStyle w:val="ListParagraph"/>
        <w:numPr>
          <w:ilvl w:val="0"/>
          <w:numId w:val="1"/>
        </w:numPr>
        <w:spacing w:after="0" w:line="240" w:lineRule="auto"/>
        <w:ind w:left="1080"/>
        <w:rPr>
          <w:rFonts w:ascii="Arial" w:hAnsi="Arial" w:cs="Arial"/>
        </w:rPr>
      </w:pPr>
      <w:r w:rsidRPr="00662D28">
        <w:rPr>
          <w:rFonts w:ascii="Arial" w:hAnsi="Arial" w:cs="Arial"/>
        </w:rPr>
        <w:t>Look at any chil</w:t>
      </w:r>
      <w:r>
        <w:rPr>
          <w:rFonts w:ascii="Arial" w:hAnsi="Arial" w:cs="Arial"/>
        </w:rPr>
        <w:t>d with a total score of only 17</w:t>
      </w:r>
      <w:r w:rsidRPr="00662D28">
        <w:rPr>
          <w:rFonts w:ascii="Arial" w:hAnsi="Arial" w:cs="Arial"/>
        </w:rPr>
        <w:t xml:space="preserve">, </w:t>
      </w:r>
      <w:r>
        <w:rPr>
          <w:rFonts w:ascii="Arial" w:hAnsi="Arial" w:cs="Arial"/>
        </w:rPr>
        <w:t xml:space="preserve">who </w:t>
      </w:r>
      <w:r w:rsidRPr="00EA3982">
        <w:rPr>
          <w:rFonts w:ascii="Arial" w:hAnsi="Arial" w:cs="Arial"/>
          <w:b/>
        </w:rPr>
        <w:t>may</w:t>
      </w:r>
      <w:r>
        <w:rPr>
          <w:rFonts w:ascii="Arial" w:hAnsi="Arial" w:cs="Arial"/>
        </w:rPr>
        <w:t xml:space="preserve"> be at ‘expected’ level (2) within some Prime ELG’s especially. </w:t>
      </w:r>
    </w:p>
    <w:p w:rsidR="00790652" w:rsidRDefault="00790652" w:rsidP="0044326C">
      <w:pPr>
        <w:pStyle w:val="ListParagraph"/>
        <w:numPr>
          <w:ilvl w:val="0"/>
          <w:numId w:val="1"/>
        </w:numPr>
        <w:spacing w:after="0" w:line="240" w:lineRule="auto"/>
        <w:ind w:left="1080"/>
        <w:rPr>
          <w:rFonts w:ascii="Arial" w:hAnsi="Arial" w:cs="Arial"/>
        </w:rPr>
      </w:pPr>
      <w:r w:rsidRPr="00662D28">
        <w:rPr>
          <w:rFonts w:ascii="Arial" w:hAnsi="Arial" w:cs="Arial"/>
        </w:rPr>
        <w:t xml:space="preserve">Reconsider </w:t>
      </w:r>
      <w:r>
        <w:rPr>
          <w:rFonts w:ascii="Arial" w:hAnsi="Arial" w:cs="Arial"/>
        </w:rPr>
        <w:t xml:space="preserve">any </w:t>
      </w:r>
      <w:r w:rsidRPr="00662D28">
        <w:rPr>
          <w:rFonts w:ascii="Arial" w:hAnsi="Arial" w:cs="Arial"/>
        </w:rPr>
        <w:t xml:space="preserve">more able children who </w:t>
      </w:r>
      <w:r w:rsidRPr="00EA3982">
        <w:rPr>
          <w:rFonts w:ascii="Arial" w:hAnsi="Arial" w:cs="Arial"/>
          <w:b/>
        </w:rPr>
        <w:t>may</w:t>
      </w:r>
      <w:r w:rsidRPr="00662D28">
        <w:rPr>
          <w:rFonts w:ascii="Arial" w:hAnsi="Arial" w:cs="Arial"/>
        </w:rPr>
        <w:t xml:space="preserve"> be working beyond the goal</w:t>
      </w:r>
      <w:r>
        <w:rPr>
          <w:rFonts w:ascii="Arial" w:hAnsi="Arial" w:cs="Arial"/>
        </w:rPr>
        <w:t xml:space="preserve"> (3)</w:t>
      </w:r>
      <w:r w:rsidRPr="00662D28">
        <w:rPr>
          <w:rFonts w:ascii="Arial" w:hAnsi="Arial" w:cs="Arial"/>
        </w:rPr>
        <w:t xml:space="preserve"> in some ELGs. See exceed</w:t>
      </w:r>
      <w:r>
        <w:rPr>
          <w:rFonts w:ascii="Arial" w:hAnsi="Arial" w:cs="Arial"/>
        </w:rPr>
        <w:t>ing statements in EYFSP particularly within the prime ELG’s.</w:t>
      </w:r>
    </w:p>
    <w:p w:rsidR="00790652" w:rsidRDefault="00790652" w:rsidP="0044326C">
      <w:pPr>
        <w:pStyle w:val="ListParagraph"/>
        <w:numPr>
          <w:ilvl w:val="0"/>
          <w:numId w:val="1"/>
        </w:numPr>
        <w:spacing w:after="0" w:line="240" w:lineRule="auto"/>
        <w:ind w:left="1080"/>
        <w:rPr>
          <w:rFonts w:ascii="Arial" w:hAnsi="Arial" w:cs="Arial"/>
        </w:rPr>
      </w:pPr>
      <w:r w:rsidRPr="00662D28">
        <w:rPr>
          <w:rFonts w:ascii="Arial" w:hAnsi="Arial" w:cs="Arial"/>
        </w:rPr>
        <w:t>Consider the range of the scores wi</w:t>
      </w:r>
      <w:r>
        <w:rPr>
          <w:rFonts w:ascii="Arial" w:hAnsi="Arial" w:cs="Arial"/>
        </w:rPr>
        <w:t>thin each ELG (vertical checks of the columns).D</w:t>
      </w:r>
      <w:r w:rsidRPr="00662D28">
        <w:rPr>
          <w:rFonts w:ascii="Arial" w:hAnsi="Arial" w:cs="Arial"/>
        </w:rPr>
        <w:t>o any</w:t>
      </w:r>
      <w:r>
        <w:rPr>
          <w:rFonts w:ascii="Arial" w:hAnsi="Arial" w:cs="Arial"/>
        </w:rPr>
        <w:t xml:space="preserve"> columns</w:t>
      </w:r>
      <w:r w:rsidRPr="00662D28">
        <w:rPr>
          <w:rFonts w:ascii="Arial" w:hAnsi="Arial" w:cs="Arial"/>
        </w:rPr>
        <w:t xml:space="preserve"> look significantly different f</w:t>
      </w:r>
      <w:r>
        <w:rPr>
          <w:rFonts w:ascii="Arial" w:hAnsi="Arial" w:cs="Arial"/>
        </w:rPr>
        <w:t>rom any other ELGs e.g. more 1’s</w:t>
      </w:r>
      <w:r w:rsidRPr="00662D28">
        <w:rPr>
          <w:rFonts w:ascii="Arial" w:hAnsi="Arial" w:cs="Arial"/>
        </w:rPr>
        <w:t xml:space="preserve"> or </w:t>
      </w:r>
      <w:r>
        <w:rPr>
          <w:rFonts w:ascii="Arial" w:hAnsi="Arial" w:cs="Arial"/>
        </w:rPr>
        <w:t>no 3’s which might look unusual?</w:t>
      </w:r>
      <w:r w:rsidRPr="00EA3982">
        <w:rPr>
          <w:rFonts w:ascii="Arial" w:hAnsi="Arial" w:cs="Arial"/>
        </w:rPr>
        <w:t xml:space="preserve"> </w:t>
      </w:r>
    </w:p>
    <w:p w:rsidR="00790652" w:rsidRDefault="00790652" w:rsidP="0044326C">
      <w:pPr>
        <w:pStyle w:val="ListParagraph"/>
        <w:numPr>
          <w:ilvl w:val="0"/>
          <w:numId w:val="1"/>
        </w:numPr>
        <w:spacing w:after="0" w:line="240" w:lineRule="auto"/>
        <w:ind w:left="1080"/>
        <w:rPr>
          <w:rFonts w:ascii="Arial" w:hAnsi="Arial" w:cs="Arial"/>
        </w:rPr>
      </w:pPr>
      <w:r>
        <w:rPr>
          <w:rFonts w:ascii="Arial" w:hAnsi="Arial" w:cs="Arial"/>
        </w:rPr>
        <w:t>Are all 17 ELG’s being considered equally or are EA&amp;D and UW ELG’s lower than those included within the GLD?</w:t>
      </w:r>
    </w:p>
    <w:p w:rsidR="00790652" w:rsidRPr="00662D28" w:rsidRDefault="00790652" w:rsidP="0044326C">
      <w:pPr>
        <w:pStyle w:val="ListParagraph"/>
        <w:numPr>
          <w:ilvl w:val="0"/>
          <w:numId w:val="1"/>
        </w:numPr>
        <w:spacing w:after="0" w:line="240" w:lineRule="auto"/>
        <w:ind w:left="1080"/>
        <w:rPr>
          <w:rFonts w:ascii="Arial" w:hAnsi="Arial" w:cs="Arial"/>
        </w:rPr>
      </w:pPr>
      <w:r>
        <w:rPr>
          <w:rFonts w:ascii="Arial" w:hAnsi="Arial" w:cs="Arial"/>
        </w:rPr>
        <w:t xml:space="preserve">See appendix- </w:t>
      </w:r>
      <w:r w:rsidRPr="00662D28">
        <w:rPr>
          <w:rFonts w:ascii="Arial" w:hAnsi="Arial" w:cs="Arial"/>
        </w:rPr>
        <w:t>EYFSP summary comparisons fo</w:t>
      </w:r>
      <w:r>
        <w:rPr>
          <w:rFonts w:ascii="Arial" w:hAnsi="Arial" w:cs="Arial"/>
        </w:rPr>
        <w:t>r Bradford, National and school for use.</w:t>
      </w:r>
    </w:p>
    <w:p w:rsidR="00790652" w:rsidRDefault="00790652" w:rsidP="000B1E37">
      <w:pPr>
        <w:pStyle w:val="ListParagraph"/>
        <w:spacing w:after="0" w:line="240" w:lineRule="auto"/>
        <w:ind w:left="0"/>
        <w:rPr>
          <w:rFonts w:ascii="Arial" w:hAnsi="Arial" w:cs="Arial"/>
        </w:rPr>
      </w:pPr>
    </w:p>
    <w:p w:rsidR="00790652" w:rsidRDefault="00790652" w:rsidP="000B1E37">
      <w:pPr>
        <w:spacing w:after="0" w:line="240" w:lineRule="auto"/>
        <w:ind w:left="180" w:hanging="180"/>
        <w:rPr>
          <w:rFonts w:ascii="Arial" w:hAnsi="Arial" w:cs="Arial"/>
          <w:b/>
        </w:rPr>
      </w:pPr>
      <w:r>
        <w:rPr>
          <w:rFonts w:ascii="Arial" w:hAnsi="Arial" w:cs="Arial"/>
          <w:b/>
        </w:rPr>
        <w:t xml:space="preserve">5. </w:t>
      </w:r>
      <w:r w:rsidRPr="00281A03">
        <w:rPr>
          <w:rFonts w:ascii="Arial" w:hAnsi="Arial" w:cs="Arial"/>
          <w:b/>
        </w:rPr>
        <w:t>If your school is not performing as well as contextually similar schools in both % of children achieving GLD and the EYFSP average total points score (therefore underachieving)</w:t>
      </w:r>
    </w:p>
    <w:p w:rsidR="00790652" w:rsidRPr="000B1E37" w:rsidRDefault="00790652" w:rsidP="000B1E37">
      <w:pPr>
        <w:numPr>
          <w:ilvl w:val="0"/>
          <w:numId w:val="5"/>
        </w:numPr>
        <w:tabs>
          <w:tab w:val="clear" w:pos="3060"/>
          <w:tab w:val="num" w:pos="720"/>
        </w:tabs>
        <w:spacing w:after="0" w:line="240" w:lineRule="auto"/>
        <w:ind w:left="720"/>
        <w:rPr>
          <w:rFonts w:ascii="Arial" w:hAnsi="Arial" w:cs="Arial"/>
          <w:b/>
        </w:rPr>
      </w:pPr>
      <w:r w:rsidRPr="000B1E37">
        <w:rPr>
          <w:rFonts w:ascii="Arial" w:hAnsi="Arial" w:cs="Arial"/>
        </w:rPr>
        <w:t>See all the notes for both 3 and 4 above</w:t>
      </w:r>
      <w:r>
        <w:rPr>
          <w:rFonts w:ascii="Arial" w:hAnsi="Arial" w:cs="Arial"/>
        </w:rPr>
        <w:t xml:space="preserve"> to quality assure</w:t>
      </w:r>
    </w:p>
    <w:p w:rsidR="00790652" w:rsidRPr="00662D28" w:rsidRDefault="00790652" w:rsidP="00EE36C1">
      <w:pPr>
        <w:spacing w:after="0" w:line="240" w:lineRule="auto"/>
        <w:rPr>
          <w:rFonts w:ascii="Arial" w:hAnsi="Arial" w:cs="Arial"/>
        </w:rPr>
      </w:pPr>
    </w:p>
    <w:p w:rsidR="00790652" w:rsidRDefault="00790652" w:rsidP="000B1E37">
      <w:pPr>
        <w:spacing w:after="0" w:line="240" w:lineRule="auto"/>
        <w:ind w:left="180" w:hanging="180"/>
        <w:rPr>
          <w:rFonts w:ascii="Arial" w:hAnsi="Arial" w:cs="Arial"/>
          <w:b/>
        </w:rPr>
      </w:pPr>
      <w:r>
        <w:rPr>
          <w:rFonts w:ascii="Arial" w:hAnsi="Arial" w:cs="Arial"/>
          <w:b/>
        </w:rPr>
        <w:t xml:space="preserve">6. </w:t>
      </w:r>
      <w:r w:rsidRPr="000B1E37">
        <w:rPr>
          <w:rFonts w:ascii="Arial" w:hAnsi="Arial" w:cs="Arial"/>
          <w:b/>
        </w:rPr>
        <w:t>If the school is performing above national and similar schools against GLD and EYFSP average total points score and also has increased from the 2013 position.  It is less likely any amendments will be necessary.</w:t>
      </w:r>
    </w:p>
    <w:p w:rsidR="00790652" w:rsidRPr="000B1E37" w:rsidRDefault="00790652" w:rsidP="000B1E37">
      <w:pPr>
        <w:spacing w:after="0" w:line="240" w:lineRule="auto"/>
        <w:ind w:left="180" w:hanging="180"/>
        <w:rPr>
          <w:rFonts w:ascii="Arial" w:hAnsi="Arial" w:cs="Arial"/>
          <w:b/>
        </w:rPr>
      </w:pPr>
    </w:p>
    <w:p w:rsidR="00790652" w:rsidRPr="00E135E4" w:rsidRDefault="00790652" w:rsidP="00662D28">
      <w:pPr>
        <w:spacing w:after="0" w:line="240" w:lineRule="auto"/>
        <w:rPr>
          <w:rFonts w:ascii="Arial" w:hAnsi="Arial" w:cs="Arial"/>
          <w:b/>
          <w:bCs/>
          <w:sz w:val="24"/>
          <w:szCs w:val="24"/>
        </w:rPr>
      </w:pPr>
      <w:r w:rsidRPr="00E135E4">
        <w:rPr>
          <w:rFonts w:ascii="Arial" w:hAnsi="Arial" w:cs="Arial"/>
          <w:b/>
          <w:bCs/>
          <w:sz w:val="24"/>
          <w:szCs w:val="24"/>
        </w:rPr>
        <w:t xml:space="preserve">If you wish to make any changes to the submitted data. </w:t>
      </w:r>
    </w:p>
    <w:p w:rsidR="00790652" w:rsidRDefault="00790652" w:rsidP="00662D28">
      <w:pPr>
        <w:spacing w:after="0" w:line="240" w:lineRule="auto"/>
        <w:rPr>
          <w:rFonts w:ascii="Arial" w:hAnsi="Arial" w:cs="Arial"/>
        </w:rPr>
      </w:pPr>
      <w:r>
        <w:rPr>
          <w:rFonts w:ascii="Arial" w:hAnsi="Arial" w:cs="Arial"/>
        </w:rPr>
        <w:t>Please inform Chris Holroyd and a complete data set will need to be uploaded to the LA. Also recheck to ensure that the changes have been received and are on the LA system by Wednesday 2 July.</w:t>
      </w:r>
    </w:p>
    <w:p w:rsidR="00790652" w:rsidRDefault="00790652" w:rsidP="00C844D0">
      <w:pPr>
        <w:spacing w:after="0" w:line="240" w:lineRule="auto"/>
        <w:rPr>
          <w:rFonts w:ascii="Arial" w:hAnsi="Arial" w:cs="Arial"/>
        </w:rPr>
      </w:pPr>
    </w:p>
    <w:p w:rsidR="00790652" w:rsidRDefault="00790652" w:rsidP="00C844D0">
      <w:pPr>
        <w:spacing w:after="0" w:line="240" w:lineRule="auto"/>
        <w:rPr>
          <w:rFonts w:ascii="Arial" w:hAnsi="Arial" w:cs="Arial"/>
        </w:rPr>
      </w:pPr>
    </w:p>
    <w:p w:rsidR="00790652" w:rsidRDefault="00790652" w:rsidP="00C844D0">
      <w:pPr>
        <w:spacing w:after="0" w:line="240" w:lineRule="auto"/>
        <w:rPr>
          <w:rFonts w:ascii="Arial" w:hAnsi="Arial" w:cs="Arial"/>
        </w:rPr>
      </w:pPr>
    </w:p>
    <w:tbl>
      <w:tblPr>
        <w:tblStyle w:val="TableGrid"/>
        <w:tblpPr w:leftFromText="180" w:rightFromText="180" w:vertAnchor="text" w:horzAnchor="margin" w:tblpY="-450"/>
        <w:tblW w:w="10260" w:type="dxa"/>
        <w:tblLook w:val="01E0"/>
      </w:tblPr>
      <w:tblGrid>
        <w:gridCol w:w="1438"/>
        <w:gridCol w:w="1699"/>
        <w:gridCol w:w="1290"/>
        <w:gridCol w:w="1435"/>
        <w:gridCol w:w="955"/>
        <w:gridCol w:w="1244"/>
        <w:gridCol w:w="955"/>
        <w:gridCol w:w="1244"/>
      </w:tblGrid>
      <w:tr w:rsidR="00790652" w:rsidRPr="00010AD2" w:rsidTr="00D42CDE">
        <w:trPr>
          <w:trHeight w:val="890"/>
        </w:trPr>
        <w:tc>
          <w:tcPr>
            <w:tcW w:w="10260" w:type="dxa"/>
            <w:gridSpan w:val="8"/>
            <w:shd w:val="clear" w:color="auto" w:fill="E6E6E6"/>
          </w:tcPr>
          <w:p w:rsidR="00790652" w:rsidRDefault="00790652" w:rsidP="00D42CDE">
            <w:pPr>
              <w:tabs>
                <w:tab w:val="left" w:pos="0"/>
                <w:tab w:val="center" w:pos="5022"/>
              </w:tabs>
              <w:spacing w:after="0" w:line="240" w:lineRule="auto"/>
              <w:rPr>
                <w:rFonts w:ascii="Arial" w:hAnsi="Arial" w:cs="Arial"/>
                <w:b/>
                <w:sz w:val="32"/>
                <w:szCs w:val="32"/>
              </w:rPr>
            </w:pPr>
            <w:r>
              <w:rPr>
                <w:rFonts w:ascii="Arial" w:hAnsi="Arial" w:cs="Arial"/>
                <w:b/>
                <w:sz w:val="32"/>
                <w:szCs w:val="32"/>
              </w:rPr>
              <w:tab/>
              <w:t>Appendix</w:t>
            </w:r>
          </w:p>
          <w:p w:rsidR="00790652" w:rsidRPr="00DE3968" w:rsidRDefault="00790652" w:rsidP="00D42CDE">
            <w:pPr>
              <w:tabs>
                <w:tab w:val="left" w:pos="825"/>
                <w:tab w:val="center" w:pos="5022"/>
              </w:tabs>
              <w:spacing w:after="0" w:line="240" w:lineRule="auto"/>
              <w:rPr>
                <w:rFonts w:ascii="Arial" w:hAnsi="Arial" w:cs="Arial"/>
                <w:b/>
                <w:sz w:val="32"/>
                <w:szCs w:val="32"/>
              </w:rPr>
            </w:pPr>
            <w:r>
              <w:rPr>
                <w:rFonts w:ascii="Arial" w:hAnsi="Arial" w:cs="Arial"/>
                <w:b/>
                <w:sz w:val="32"/>
                <w:szCs w:val="32"/>
              </w:rPr>
              <w:tab/>
            </w:r>
            <w:r w:rsidRPr="00DE3968">
              <w:rPr>
                <w:rFonts w:ascii="Arial" w:hAnsi="Arial" w:cs="Arial"/>
                <w:b/>
                <w:sz w:val="32"/>
                <w:szCs w:val="32"/>
              </w:rPr>
              <w:t>EYFSP Summary for Bradford, National and school</w:t>
            </w:r>
          </w:p>
        </w:tc>
      </w:tr>
      <w:tr w:rsidR="00790652" w:rsidRPr="00010AD2" w:rsidTr="00D42CDE">
        <w:tc>
          <w:tcPr>
            <w:tcW w:w="3137" w:type="dxa"/>
            <w:gridSpan w:val="2"/>
          </w:tcPr>
          <w:p w:rsidR="00790652" w:rsidRPr="008E5B85" w:rsidRDefault="00790652" w:rsidP="008E5B85">
            <w:pPr>
              <w:rPr>
                <w:rFonts w:ascii="Arial" w:hAnsi="Arial" w:cs="Arial"/>
                <w:b/>
                <w:sz w:val="22"/>
                <w:szCs w:val="22"/>
              </w:rPr>
            </w:pPr>
            <w:r w:rsidRPr="008E5B85">
              <w:rPr>
                <w:rFonts w:ascii="Arial" w:hAnsi="Arial" w:cs="Arial"/>
                <w:b/>
                <w:sz w:val="22"/>
                <w:szCs w:val="22"/>
              </w:rPr>
              <w:t>GLD</w:t>
            </w:r>
          </w:p>
        </w:tc>
        <w:tc>
          <w:tcPr>
            <w:tcW w:w="1290" w:type="dxa"/>
          </w:tcPr>
          <w:p w:rsidR="00790652" w:rsidRPr="008E5B85" w:rsidRDefault="00790652" w:rsidP="008E5B85">
            <w:pPr>
              <w:rPr>
                <w:rFonts w:ascii="Arial" w:hAnsi="Arial" w:cs="Arial"/>
                <w:b/>
                <w:sz w:val="22"/>
                <w:szCs w:val="22"/>
              </w:rPr>
            </w:pPr>
            <w:r w:rsidRPr="008E5B85">
              <w:rPr>
                <w:rFonts w:ascii="Arial" w:hAnsi="Arial" w:cs="Arial"/>
                <w:b/>
                <w:sz w:val="22"/>
                <w:szCs w:val="22"/>
              </w:rPr>
              <w:t>49%</w:t>
            </w:r>
          </w:p>
        </w:tc>
        <w:tc>
          <w:tcPr>
            <w:tcW w:w="1435" w:type="dxa"/>
          </w:tcPr>
          <w:p w:rsidR="00790652" w:rsidRPr="008E5B85" w:rsidRDefault="00790652" w:rsidP="008E5B85">
            <w:pPr>
              <w:rPr>
                <w:rFonts w:ascii="Arial" w:hAnsi="Arial" w:cs="Arial"/>
                <w:b/>
                <w:sz w:val="22"/>
                <w:szCs w:val="22"/>
              </w:rPr>
            </w:pPr>
            <w:r w:rsidRPr="008E5B85">
              <w:rPr>
                <w:rFonts w:ascii="Arial" w:hAnsi="Arial" w:cs="Arial"/>
                <w:b/>
                <w:sz w:val="22"/>
                <w:szCs w:val="22"/>
              </w:rPr>
              <w:t>52%</w:t>
            </w:r>
          </w:p>
        </w:tc>
        <w:tc>
          <w:tcPr>
            <w:tcW w:w="4398" w:type="dxa"/>
            <w:gridSpan w:val="4"/>
          </w:tcPr>
          <w:p w:rsidR="00790652" w:rsidRPr="008E5B85" w:rsidRDefault="00790652" w:rsidP="008E5B85">
            <w:pPr>
              <w:rPr>
                <w:rFonts w:ascii="Arial" w:hAnsi="Arial" w:cs="Arial"/>
                <w:b/>
                <w:sz w:val="22"/>
                <w:szCs w:val="22"/>
              </w:rPr>
            </w:pPr>
          </w:p>
        </w:tc>
      </w:tr>
      <w:tr w:rsidR="00790652" w:rsidRPr="00010AD2" w:rsidTr="00D42CDE">
        <w:tc>
          <w:tcPr>
            <w:tcW w:w="3137" w:type="dxa"/>
            <w:gridSpan w:val="2"/>
            <w:vMerge w:val="restart"/>
            <w:shd w:val="clear" w:color="auto" w:fill="E6E6E6"/>
          </w:tcPr>
          <w:p w:rsidR="00790652" w:rsidRPr="008E5B85" w:rsidRDefault="00790652" w:rsidP="008E5B85">
            <w:pPr>
              <w:rPr>
                <w:rFonts w:ascii="Arial" w:hAnsi="Arial" w:cs="Arial"/>
                <w:b/>
                <w:sz w:val="24"/>
                <w:szCs w:val="24"/>
              </w:rPr>
            </w:pPr>
            <w:r w:rsidRPr="008E5B85">
              <w:rPr>
                <w:rFonts w:ascii="Arial" w:hAnsi="Arial" w:cs="Arial"/>
                <w:b/>
                <w:sz w:val="24"/>
                <w:szCs w:val="24"/>
              </w:rPr>
              <w:t>Understanding and using data over time can help to provide a more secure data set over time.</w:t>
            </w:r>
          </w:p>
        </w:tc>
        <w:tc>
          <w:tcPr>
            <w:tcW w:w="1290" w:type="dxa"/>
          </w:tcPr>
          <w:p w:rsidR="00790652" w:rsidRPr="008E5B85" w:rsidRDefault="00790652" w:rsidP="008E5B85">
            <w:pPr>
              <w:rPr>
                <w:rFonts w:ascii="Arial" w:hAnsi="Arial" w:cs="Arial"/>
                <w:sz w:val="28"/>
                <w:szCs w:val="28"/>
              </w:rPr>
            </w:pPr>
            <w:smartTag w:uri="urn:schemas-microsoft-com:office:smarttags" w:element="place">
              <w:r w:rsidRPr="008E5B85">
                <w:rPr>
                  <w:rFonts w:ascii="Arial" w:hAnsi="Arial" w:cs="Arial"/>
                  <w:sz w:val="28"/>
                  <w:szCs w:val="28"/>
                </w:rPr>
                <w:t>Bradford</w:t>
              </w:r>
            </w:smartTag>
          </w:p>
        </w:tc>
        <w:tc>
          <w:tcPr>
            <w:tcW w:w="1435" w:type="dxa"/>
          </w:tcPr>
          <w:p w:rsidR="00790652" w:rsidRPr="008E5B85" w:rsidRDefault="00790652" w:rsidP="008E5B85">
            <w:pPr>
              <w:rPr>
                <w:rFonts w:ascii="Arial" w:hAnsi="Arial" w:cs="Arial"/>
                <w:sz w:val="28"/>
                <w:szCs w:val="28"/>
              </w:rPr>
            </w:pPr>
            <w:r w:rsidRPr="008E5B85">
              <w:rPr>
                <w:rFonts w:ascii="Arial" w:hAnsi="Arial" w:cs="Arial"/>
                <w:sz w:val="28"/>
                <w:szCs w:val="28"/>
              </w:rPr>
              <w:t>National</w:t>
            </w:r>
          </w:p>
        </w:tc>
        <w:tc>
          <w:tcPr>
            <w:tcW w:w="4398" w:type="dxa"/>
            <w:gridSpan w:val="4"/>
          </w:tcPr>
          <w:p w:rsidR="00790652" w:rsidRPr="008E5B85" w:rsidRDefault="00790652" w:rsidP="008E5B85">
            <w:pPr>
              <w:jc w:val="center"/>
              <w:rPr>
                <w:rFonts w:ascii="Arial" w:hAnsi="Arial" w:cs="Arial"/>
                <w:sz w:val="28"/>
                <w:szCs w:val="28"/>
              </w:rPr>
            </w:pPr>
            <w:r w:rsidRPr="008E5B85">
              <w:rPr>
                <w:rFonts w:ascii="Arial" w:hAnsi="Arial" w:cs="Arial"/>
                <w:sz w:val="28"/>
                <w:szCs w:val="28"/>
              </w:rPr>
              <w:t>School</w:t>
            </w:r>
          </w:p>
        </w:tc>
      </w:tr>
      <w:tr w:rsidR="00790652" w:rsidRPr="00010AD2" w:rsidTr="00D42CDE">
        <w:trPr>
          <w:trHeight w:val="1138"/>
        </w:trPr>
        <w:tc>
          <w:tcPr>
            <w:tcW w:w="3137" w:type="dxa"/>
            <w:gridSpan w:val="2"/>
            <w:vMerge/>
            <w:shd w:val="clear" w:color="auto" w:fill="E6E6E6"/>
          </w:tcPr>
          <w:p w:rsidR="00790652" w:rsidRPr="008E5B85" w:rsidRDefault="00790652" w:rsidP="008E5B85">
            <w:pPr>
              <w:rPr>
                <w:rFonts w:ascii="Arial" w:hAnsi="Arial" w:cs="Arial"/>
                <w:sz w:val="28"/>
                <w:szCs w:val="28"/>
              </w:rPr>
            </w:pPr>
          </w:p>
        </w:tc>
        <w:tc>
          <w:tcPr>
            <w:tcW w:w="1290" w:type="dxa"/>
          </w:tcPr>
          <w:p w:rsidR="00790652" w:rsidRPr="008E5B85" w:rsidRDefault="00790652" w:rsidP="008E5B85">
            <w:pPr>
              <w:rPr>
                <w:rFonts w:ascii="Arial" w:hAnsi="Arial" w:cs="Arial"/>
                <w:b/>
                <w:sz w:val="24"/>
                <w:szCs w:val="24"/>
              </w:rPr>
            </w:pPr>
            <w:r w:rsidRPr="008E5B85">
              <w:rPr>
                <w:rFonts w:ascii="Arial" w:hAnsi="Arial" w:cs="Arial"/>
                <w:b/>
                <w:sz w:val="24"/>
                <w:szCs w:val="24"/>
              </w:rPr>
              <w:t>2013</w:t>
            </w:r>
          </w:p>
        </w:tc>
        <w:tc>
          <w:tcPr>
            <w:tcW w:w="1435" w:type="dxa"/>
          </w:tcPr>
          <w:p w:rsidR="00790652" w:rsidRPr="008E5B85" w:rsidRDefault="00790652" w:rsidP="008E5B85">
            <w:pPr>
              <w:rPr>
                <w:rFonts w:ascii="Arial" w:hAnsi="Arial" w:cs="Arial"/>
                <w:b/>
                <w:sz w:val="24"/>
                <w:szCs w:val="24"/>
              </w:rPr>
            </w:pPr>
            <w:r w:rsidRPr="008E5B85">
              <w:rPr>
                <w:rFonts w:ascii="Arial" w:hAnsi="Arial" w:cs="Arial"/>
                <w:b/>
                <w:sz w:val="24"/>
                <w:szCs w:val="24"/>
              </w:rPr>
              <w:t>2013</w:t>
            </w:r>
          </w:p>
        </w:tc>
        <w:tc>
          <w:tcPr>
            <w:tcW w:w="955" w:type="dxa"/>
          </w:tcPr>
          <w:p w:rsidR="00790652" w:rsidRPr="008E5B85" w:rsidRDefault="00790652" w:rsidP="008E5B85">
            <w:pPr>
              <w:jc w:val="center"/>
              <w:rPr>
                <w:rFonts w:ascii="Arial" w:hAnsi="Arial" w:cs="Arial"/>
                <w:b/>
                <w:sz w:val="24"/>
                <w:szCs w:val="24"/>
              </w:rPr>
            </w:pPr>
            <w:r w:rsidRPr="008E5B85">
              <w:rPr>
                <w:rFonts w:ascii="Arial" w:hAnsi="Arial" w:cs="Arial"/>
                <w:b/>
                <w:sz w:val="24"/>
                <w:szCs w:val="24"/>
              </w:rPr>
              <w:t>2013</w:t>
            </w:r>
          </w:p>
        </w:tc>
        <w:tc>
          <w:tcPr>
            <w:tcW w:w="1244" w:type="dxa"/>
          </w:tcPr>
          <w:p w:rsidR="00790652" w:rsidRPr="008E5B85" w:rsidRDefault="00790652" w:rsidP="008E5B85">
            <w:pPr>
              <w:jc w:val="center"/>
              <w:rPr>
                <w:rFonts w:ascii="Arial" w:hAnsi="Arial" w:cs="Arial"/>
                <w:b/>
                <w:sz w:val="24"/>
                <w:szCs w:val="24"/>
              </w:rPr>
            </w:pPr>
            <w:r w:rsidRPr="008E5B85">
              <w:rPr>
                <w:rFonts w:ascii="Arial" w:hAnsi="Arial" w:cs="Arial"/>
                <w:b/>
                <w:sz w:val="24"/>
                <w:szCs w:val="24"/>
              </w:rPr>
              <w:t>+ or –</w:t>
            </w:r>
          </w:p>
          <w:p w:rsidR="00790652" w:rsidRPr="008E5B85" w:rsidRDefault="00790652" w:rsidP="008E5B85">
            <w:pPr>
              <w:jc w:val="center"/>
              <w:rPr>
                <w:rFonts w:ascii="Arial" w:hAnsi="Arial" w:cs="Arial"/>
                <w:b/>
                <w:sz w:val="24"/>
                <w:szCs w:val="24"/>
              </w:rPr>
            </w:pPr>
            <w:r w:rsidRPr="008E5B85">
              <w:rPr>
                <w:rFonts w:ascii="Arial" w:hAnsi="Arial" w:cs="Arial"/>
                <w:b/>
                <w:sz w:val="24"/>
                <w:szCs w:val="24"/>
              </w:rPr>
              <w:t>To National</w:t>
            </w:r>
          </w:p>
        </w:tc>
        <w:tc>
          <w:tcPr>
            <w:tcW w:w="955" w:type="dxa"/>
          </w:tcPr>
          <w:p w:rsidR="00790652" w:rsidRPr="008E5B85" w:rsidRDefault="00790652" w:rsidP="008E5B85">
            <w:pPr>
              <w:jc w:val="center"/>
              <w:rPr>
                <w:rFonts w:ascii="Arial" w:hAnsi="Arial" w:cs="Arial"/>
                <w:b/>
                <w:sz w:val="24"/>
                <w:szCs w:val="24"/>
              </w:rPr>
            </w:pPr>
            <w:r w:rsidRPr="008E5B85">
              <w:rPr>
                <w:rFonts w:ascii="Arial" w:hAnsi="Arial" w:cs="Arial"/>
                <w:b/>
                <w:sz w:val="24"/>
                <w:szCs w:val="24"/>
              </w:rPr>
              <w:t>2014</w:t>
            </w:r>
          </w:p>
        </w:tc>
        <w:tc>
          <w:tcPr>
            <w:tcW w:w="1244" w:type="dxa"/>
          </w:tcPr>
          <w:p w:rsidR="00790652" w:rsidRPr="008E5B85" w:rsidRDefault="00790652" w:rsidP="008E5B85">
            <w:pPr>
              <w:jc w:val="center"/>
              <w:rPr>
                <w:rFonts w:ascii="Arial" w:hAnsi="Arial" w:cs="Arial"/>
                <w:b/>
                <w:sz w:val="24"/>
                <w:szCs w:val="24"/>
              </w:rPr>
            </w:pPr>
            <w:r w:rsidRPr="008E5B85">
              <w:rPr>
                <w:rFonts w:ascii="Arial" w:hAnsi="Arial" w:cs="Arial"/>
                <w:b/>
                <w:sz w:val="24"/>
                <w:szCs w:val="24"/>
              </w:rPr>
              <w:t xml:space="preserve">+ or – </w:t>
            </w:r>
          </w:p>
          <w:p w:rsidR="00790652" w:rsidRPr="008E5B85" w:rsidRDefault="00790652" w:rsidP="008E5B85">
            <w:pPr>
              <w:jc w:val="center"/>
              <w:rPr>
                <w:rFonts w:ascii="Arial" w:hAnsi="Arial" w:cs="Arial"/>
                <w:b/>
                <w:sz w:val="24"/>
                <w:szCs w:val="24"/>
              </w:rPr>
            </w:pPr>
            <w:r w:rsidRPr="008E5B85">
              <w:rPr>
                <w:rFonts w:ascii="Arial" w:hAnsi="Arial" w:cs="Arial"/>
                <w:b/>
                <w:sz w:val="24"/>
                <w:szCs w:val="24"/>
              </w:rPr>
              <w:t>To National</w:t>
            </w:r>
          </w:p>
        </w:tc>
      </w:tr>
      <w:tr w:rsidR="00790652" w:rsidRPr="008E5B85" w:rsidTr="00D42CDE">
        <w:tc>
          <w:tcPr>
            <w:tcW w:w="3137" w:type="dxa"/>
            <w:gridSpan w:val="2"/>
            <w:shd w:val="clear" w:color="auto" w:fill="E0E0E0"/>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C&amp;L</w:t>
            </w:r>
          </w:p>
        </w:tc>
        <w:tc>
          <w:tcPr>
            <w:tcW w:w="1290"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67%</w:t>
            </w:r>
          </w:p>
        </w:tc>
        <w:tc>
          <w:tcPr>
            <w:tcW w:w="1435"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72%</w:t>
            </w:r>
          </w:p>
        </w:tc>
        <w:tc>
          <w:tcPr>
            <w:tcW w:w="955" w:type="dxa"/>
          </w:tcPr>
          <w:p w:rsidR="00790652" w:rsidRPr="008E5B85" w:rsidRDefault="00790652" w:rsidP="008E5B85">
            <w:pPr>
              <w:spacing w:after="0" w:line="240" w:lineRule="auto"/>
              <w:jc w:val="center"/>
              <w:rPr>
                <w:rFonts w:ascii="Arial" w:hAnsi="Arial" w:cs="Arial"/>
                <w:sz w:val="28"/>
                <w:szCs w:val="28"/>
              </w:rPr>
            </w:pPr>
          </w:p>
        </w:tc>
        <w:tc>
          <w:tcPr>
            <w:tcW w:w="1244" w:type="dxa"/>
          </w:tcPr>
          <w:p w:rsidR="00790652" w:rsidRPr="008E5B85" w:rsidRDefault="00790652" w:rsidP="008E5B85">
            <w:pPr>
              <w:spacing w:after="0" w:line="240" w:lineRule="auto"/>
              <w:jc w:val="center"/>
              <w:rPr>
                <w:rFonts w:ascii="Arial" w:hAnsi="Arial" w:cs="Arial"/>
                <w:sz w:val="28"/>
                <w:szCs w:val="28"/>
              </w:rPr>
            </w:pPr>
          </w:p>
        </w:tc>
        <w:tc>
          <w:tcPr>
            <w:tcW w:w="955" w:type="dxa"/>
          </w:tcPr>
          <w:p w:rsidR="00790652" w:rsidRPr="008E5B85" w:rsidRDefault="00790652" w:rsidP="008E5B85">
            <w:pPr>
              <w:spacing w:after="0" w:line="240" w:lineRule="auto"/>
              <w:jc w:val="center"/>
              <w:rPr>
                <w:rFonts w:ascii="Arial" w:hAnsi="Arial" w:cs="Arial"/>
                <w:sz w:val="28"/>
                <w:szCs w:val="28"/>
              </w:rPr>
            </w:pPr>
          </w:p>
        </w:tc>
        <w:tc>
          <w:tcPr>
            <w:tcW w:w="1244" w:type="dxa"/>
          </w:tcPr>
          <w:p w:rsidR="00790652" w:rsidRPr="008E5B85" w:rsidRDefault="00790652" w:rsidP="008E5B85">
            <w:pPr>
              <w:spacing w:after="0" w:line="240" w:lineRule="auto"/>
              <w:jc w:val="center"/>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L&amp;A</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73%</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80%</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ELG2</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U</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74%</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ELG3</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Sp</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71%</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78%</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E6E6E6"/>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PD</w:t>
            </w:r>
          </w:p>
        </w:tc>
        <w:tc>
          <w:tcPr>
            <w:tcW w:w="1290"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76%</w:t>
            </w:r>
          </w:p>
        </w:tc>
        <w:tc>
          <w:tcPr>
            <w:tcW w:w="1435"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83%</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ELG4</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M&amp;H</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82%</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87%</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ELG5</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H&amp;SC</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82%</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88%</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E6E6E6"/>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PSED</w:t>
            </w:r>
          </w:p>
        </w:tc>
        <w:tc>
          <w:tcPr>
            <w:tcW w:w="1290"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71%</w:t>
            </w:r>
          </w:p>
        </w:tc>
        <w:tc>
          <w:tcPr>
            <w:tcW w:w="1435"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76%</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ELG6</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SC&amp;SA</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79%</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85%</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ELG7</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MF&amp;B</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77%</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83%</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ELG8</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MR</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80%</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85%</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E6E6E6"/>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Literacy</w:t>
            </w:r>
          </w:p>
        </w:tc>
        <w:tc>
          <w:tcPr>
            <w:tcW w:w="1290"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55%</w:t>
            </w:r>
          </w:p>
        </w:tc>
        <w:tc>
          <w:tcPr>
            <w:tcW w:w="1435" w:type="dxa"/>
            <w:shd w:val="clear" w:color="auto" w:fill="E6E6E6"/>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ELG9</w:t>
            </w:r>
          </w:p>
        </w:tc>
        <w:tc>
          <w:tcPr>
            <w:tcW w:w="1699" w:type="dxa"/>
          </w:tcPr>
          <w:p w:rsidR="00790652" w:rsidRPr="008E5B85" w:rsidRDefault="00790652" w:rsidP="008E5B85">
            <w:pPr>
              <w:spacing w:after="0" w:line="240" w:lineRule="auto"/>
              <w:rPr>
                <w:rFonts w:ascii="Arial" w:hAnsi="Arial" w:cs="Arial"/>
                <w:sz w:val="28"/>
                <w:szCs w:val="28"/>
              </w:rPr>
            </w:pPr>
            <w:smartTag w:uri="urn:schemas-microsoft-com:office:smarttags" w:element="place">
              <w:smartTag w:uri="urn:schemas-microsoft-com:office:smarttags" w:element="City">
                <w:r w:rsidRPr="008E5B85">
                  <w:rPr>
                    <w:rFonts w:ascii="Arial" w:hAnsi="Arial" w:cs="Arial"/>
                    <w:sz w:val="28"/>
                    <w:szCs w:val="28"/>
                  </w:rPr>
                  <w:t>Reading</w:t>
                </w:r>
              </w:smartTag>
            </w:smartTag>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63%</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ELG10</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Writing</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56%</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62%</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E0E0E0"/>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Mathematics</w:t>
            </w:r>
          </w:p>
        </w:tc>
        <w:tc>
          <w:tcPr>
            <w:tcW w:w="1290"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60%</w:t>
            </w:r>
          </w:p>
        </w:tc>
        <w:tc>
          <w:tcPr>
            <w:tcW w:w="1435"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66%</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ELG11</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Number</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63%</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69%</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ELG12</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SS&amp;M</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67%</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75%</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E0E0E0"/>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Understanding the World</w:t>
            </w:r>
          </w:p>
        </w:tc>
        <w:tc>
          <w:tcPr>
            <w:tcW w:w="1290"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63%</w:t>
            </w:r>
          </w:p>
        </w:tc>
        <w:tc>
          <w:tcPr>
            <w:tcW w:w="1435" w:type="dxa"/>
            <w:shd w:val="clear" w:color="auto" w:fill="E0E0E0"/>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75%</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ELG13</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P&amp;C</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70%</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ELG14</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TW</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70%</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ELG15</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Tech</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78%</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88%</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3137" w:type="dxa"/>
            <w:gridSpan w:val="2"/>
            <w:shd w:val="clear" w:color="auto" w:fill="D9D9D9"/>
          </w:tcPr>
          <w:p w:rsidR="00790652" w:rsidRPr="008E5B85" w:rsidRDefault="00790652" w:rsidP="008E5B85">
            <w:pPr>
              <w:spacing w:after="0" w:line="240" w:lineRule="auto"/>
              <w:jc w:val="center"/>
              <w:rPr>
                <w:rFonts w:ascii="Arial" w:hAnsi="Arial" w:cs="Arial"/>
                <w:b/>
                <w:sz w:val="28"/>
                <w:szCs w:val="28"/>
              </w:rPr>
            </w:pPr>
            <w:r w:rsidRPr="008E5B85">
              <w:rPr>
                <w:rFonts w:ascii="Arial" w:hAnsi="Arial" w:cs="Arial"/>
                <w:b/>
                <w:sz w:val="28"/>
                <w:szCs w:val="28"/>
              </w:rPr>
              <w:t>Expressive Arts &amp; Design</w:t>
            </w:r>
          </w:p>
        </w:tc>
        <w:tc>
          <w:tcPr>
            <w:tcW w:w="1290" w:type="dxa"/>
            <w:shd w:val="clear" w:color="auto" w:fill="D9D9D9"/>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68%</w:t>
            </w:r>
          </w:p>
        </w:tc>
        <w:tc>
          <w:tcPr>
            <w:tcW w:w="1435" w:type="dxa"/>
            <w:shd w:val="clear" w:color="auto" w:fill="D9D9D9"/>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78%</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ELG16</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E&amp;UM&amp;M</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73%</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83%</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r w:rsidR="00790652" w:rsidRPr="008E5B85" w:rsidTr="00D42CDE">
        <w:tc>
          <w:tcPr>
            <w:tcW w:w="1438"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ELG17</w:t>
            </w:r>
          </w:p>
        </w:tc>
        <w:tc>
          <w:tcPr>
            <w:tcW w:w="1699"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BI</w:t>
            </w:r>
          </w:p>
        </w:tc>
        <w:tc>
          <w:tcPr>
            <w:tcW w:w="1290"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72%</w:t>
            </w:r>
          </w:p>
        </w:tc>
        <w:tc>
          <w:tcPr>
            <w:tcW w:w="1435" w:type="dxa"/>
          </w:tcPr>
          <w:p w:rsidR="00790652" w:rsidRPr="008E5B85" w:rsidRDefault="00790652" w:rsidP="008E5B85">
            <w:pPr>
              <w:spacing w:after="0" w:line="240" w:lineRule="auto"/>
              <w:rPr>
                <w:rFonts w:ascii="Arial" w:hAnsi="Arial" w:cs="Arial"/>
                <w:sz w:val="28"/>
                <w:szCs w:val="28"/>
              </w:rPr>
            </w:pPr>
            <w:r w:rsidRPr="008E5B85">
              <w:rPr>
                <w:rFonts w:ascii="Arial" w:hAnsi="Arial" w:cs="Arial"/>
                <w:sz w:val="28"/>
                <w:szCs w:val="28"/>
              </w:rPr>
              <w:t>81%</w:t>
            </w: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c>
          <w:tcPr>
            <w:tcW w:w="955" w:type="dxa"/>
          </w:tcPr>
          <w:p w:rsidR="00790652" w:rsidRPr="008E5B85" w:rsidRDefault="00790652" w:rsidP="008E5B85">
            <w:pPr>
              <w:spacing w:after="0" w:line="240" w:lineRule="auto"/>
              <w:rPr>
                <w:rFonts w:ascii="Arial" w:hAnsi="Arial" w:cs="Arial"/>
                <w:sz w:val="28"/>
                <w:szCs w:val="28"/>
              </w:rPr>
            </w:pPr>
          </w:p>
        </w:tc>
        <w:tc>
          <w:tcPr>
            <w:tcW w:w="1244" w:type="dxa"/>
          </w:tcPr>
          <w:p w:rsidR="00790652" w:rsidRPr="008E5B85" w:rsidRDefault="00790652" w:rsidP="008E5B85">
            <w:pPr>
              <w:spacing w:after="0" w:line="240" w:lineRule="auto"/>
              <w:rPr>
                <w:rFonts w:ascii="Arial" w:hAnsi="Arial" w:cs="Arial"/>
                <w:sz w:val="28"/>
                <w:szCs w:val="28"/>
              </w:rPr>
            </w:pPr>
          </w:p>
        </w:tc>
      </w:tr>
    </w:tbl>
    <w:p w:rsidR="00790652" w:rsidRDefault="00790652" w:rsidP="00C844D0">
      <w:pPr>
        <w:spacing w:after="0" w:line="240" w:lineRule="auto"/>
        <w:rPr>
          <w:rFonts w:ascii="Arial" w:hAnsi="Arial" w:cs="Arial"/>
        </w:rPr>
      </w:pPr>
    </w:p>
    <w:p w:rsidR="00790652" w:rsidRDefault="00790652" w:rsidP="008E5B85">
      <w:pPr>
        <w:numPr>
          <w:ilvl w:val="0"/>
          <w:numId w:val="6"/>
        </w:numPr>
        <w:tabs>
          <w:tab w:val="clear" w:pos="2880"/>
          <w:tab w:val="num" w:pos="540"/>
        </w:tabs>
        <w:spacing w:after="0" w:line="240" w:lineRule="auto"/>
        <w:ind w:left="540"/>
        <w:rPr>
          <w:rFonts w:ascii="Arial" w:hAnsi="Arial" w:cs="Arial"/>
        </w:rPr>
      </w:pPr>
      <w:r w:rsidRPr="003540F8">
        <w:rPr>
          <w:rFonts w:ascii="Arial" w:hAnsi="Arial" w:cs="Arial"/>
        </w:rPr>
        <w:t>Was last year’s GLD above, near or below National?</w:t>
      </w:r>
    </w:p>
    <w:p w:rsidR="00790652" w:rsidRDefault="00790652" w:rsidP="008E5B85">
      <w:pPr>
        <w:numPr>
          <w:ilvl w:val="0"/>
          <w:numId w:val="6"/>
        </w:numPr>
        <w:tabs>
          <w:tab w:val="clear" w:pos="2880"/>
          <w:tab w:val="num" w:pos="540"/>
        </w:tabs>
        <w:spacing w:after="0" w:line="240" w:lineRule="auto"/>
        <w:ind w:left="540"/>
        <w:rPr>
          <w:rFonts w:ascii="Arial" w:hAnsi="Arial" w:cs="Arial"/>
        </w:rPr>
      </w:pPr>
      <w:r w:rsidRPr="003540F8">
        <w:rPr>
          <w:rFonts w:ascii="Arial" w:hAnsi="Arial" w:cs="Arial"/>
        </w:rPr>
        <w:t>How did each ELG % compare with National (above, at or below)?</w:t>
      </w:r>
    </w:p>
    <w:p w:rsidR="00790652" w:rsidRDefault="00790652" w:rsidP="008E5B85">
      <w:pPr>
        <w:numPr>
          <w:ilvl w:val="0"/>
          <w:numId w:val="6"/>
        </w:numPr>
        <w:tabs>
          <w:tab w:val="clear" w:pos="2880"/>
          <w:tab w:val="num" w:pos="540"/>
        </w:tabs>
        <w:spacing w:after="0" w:line="240" w:lineRule="auto"/>
        <w:ind w:left="540"/>
        <w:rPr>
          <w:rFonts w:ascii="Arial" w:hAnsi="Arial" w:cs="Arial"/>
        </w:rPr>
      </w:pPr>
      <w:r w:rsidRPr="003540F8">
        <w:rPr>
          <w:rFonts w:ascii="Arial" w:hAnsi="Arial" w:cs="Arial"/>
        </w:rPr>
        <w:t>Do any of the ELG’s differences between school and National look unusual? Consider why?</w:t>
      </w:r>
    </w:p>
    <w:p w:rsidR="00790652" w:rsidRDefault="00790652" w:rsidP="008E5B85">
      <w:pPr>
        <w:numPr>
          <w:ilvl w:val="0"/>
          <w:numId w:val="6"/>
        </w:numPr>
        <w:tabs>
          <w:tab w:val="clear" w:pos="2880"/>
          <w:tab w:val="num" w:pos="540"/>
        </w:tabs>
        <w:spacing w:after="0" w:line="240" w:lineRule="auto"/>
        <w:ind w:left="540"/>
        <w:rPr>
          <w:rFonts w:ascii="Arial" w:hAnsi="Arial" w:cs="Arial"/>
        </w:rPr>
      </w:pPr>
      <w:r w:rsidRPr="003540F8">
        <w:rPr>
          <w:rFonts w:ascii="Arial" w:hAnsi="Arial" w:cs="Arial"/>
        </w:rPr>
        <w:t xml:space="preserve">Is this year’s cohort similar, more able or disadvantaged or different in any way? Consider how </w:t>
      </w:r>
      <w:r>
        <w:rPr>
          <w:rFonts w:ascii="Arial" w:hAnsi="Arial" w:cs="Arial"/>
        </w:rPr>
        <w:t xml:space="preserve"> </w:t>
      </w:r>
      <w:r w:rsidRPr="003540F8">
        <w:rPr>
          <w:rFonts w:ascii="Arial" w:hAnsi="Arial" w:cs="Arial"/>
        </w:rPr>
        <w:t>this might affect your data?</w:t>
      </w:r>
    </w:p>
    <w:p w:rsidR="00790652" w:rsidRPr="003540F8" w:rsidRDefault="00790652" w:rsidP="008E5B85">
      <w:pPr>
        <w:numPr>
          <w:ilvl w:val="0"/>
          <w:numId w:val="6"/>
        </w:numPr>
        <w:tabs>
          <w:tab w:val="clear" w:pos="2880"/>
          <w:tab w:val="num" w:pos="540"/>
        </w:tabs>
        <w:spacing w:after="0" w:line="240" w:lineRule="auto"/>
        <w:ind w:left="540"/>
        <w:rPr>
          <w:rFonts w:ascii="Arial" w:hAnsi="Arial" w:cs="Arial"/>
        </w:rPr>
      </w:pPr>
      <w:r w:rsidRPr="003540F8">
        <w:rPr>
          <w:rFonts w:ascii="Arial" w:hAnsi="Arial" w:cs="Arial"/>
        </w:rPr>
        <w:t>Are there any other reasons why data might be different this year?</w:t>
      </w:r>
    </w:p>
    <w:p w:rsidR="00790652" w:rsidRPr="00662D28" w:rsidRDefault="00790652" w:rsidP="00C844D0">
      <w:pPr>
        <w:spacing w:after="0" w:line="240" w:lineRule="auto"/>
        <w:rPr>
          <w:rFonts w:ascii="Arial" w:hAnsi="Arial" w:cs="Arial"/>
        </w:rPr>
      </w:pPr>
    </w:p>
    <w:sectPr w:rsidR="00790652" w:rsidRPr="00662D28" w:rsidSect="00D42CDE">
      <w:headerReference w:type="default" r:id="rId7"/>
      <w:footerReference w:type="default" r:id="rId8"/>
      <w:pgSz w:w="11906" w:h="16838"/>
      <w:pgMar w:top="360" w:right="566" w:bottom="539" w:left="9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652" w:rsidRDefault="00790652">
      <w:r>
        <w:separator/>
      </w:r>
    </w:p>
  </w:endnote>
  <w:endnote w:type="continuationSeparator" w:id="0">
    <w:p w:rsidR="00790652" w:rsidRDefault="00790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52" w:rsidRDefault="00790652" w:rsidP="00D42CDE">
    <w:pPr>
      <w:spacing w:after="0" w:line="240" w:lineRule="auto"/>
    </w:pPr>
    <w:r>
      <w:t xml:space="preserve">Created by </w:t>
    </w:r>
    <w:smartTag w:uri="urn:schemas-microsoft-com:office:smarttags" w:element="PersonName">
      <w:r>
        <w:t>Early Learning</w:t>
      </w:r>
    </w:smartTag>
    <w:r>
      <w:t xml:space="preserve">   June 2014 </w:t>
    </w:r>
  </w:p>
  <w:p w:rsidR="00790652" w:rsidRDefault="00790652" w:rsidP="00D42CDE">
    <w:pPr>
      <w:spacing w:after="0" w:line="240" w:lineRule="auto"/>
      <w:rPr>
        <w:rFonts w:ascii="Arial" w:hAnsi="Arial" w:cs="Arial"/>
      </w:rPr>
    </w:pPr>
    <w:r>
      <w:rPr>
        <w:rFonts w:ascii="Arial" w:hAnsi="Arial" w:cs="Arial"/>
        <w:b/>
      </w:rPr>
      <w:t>(</w:t>
    </w:r>
    <w:r w:rsidRPr="00D42CDE">
      <w:rPr>
        <w:rFonts w:ascii="Arial" w:hAnsi="Arial" w:cs="Arial"/>
        <w:b/>
      </w:rPr>
      <w:t xml:space="preserve">Note </w:t>
    </w:r>
    <w:r>
      <w:rPr>
        <w:rFonts w:ascii="Arial" w:hAnsi="Arial" w:cs="Arial"/>
      </w:rPr>
      <w:t>data on Perspective Lite is live and local and national figures are not final. Slight variations will appear on a daily basis until all data has been submitted by all Local Authorities.)</w:t>
    </w:r>
  </w:p>
  <w:p w:rsidR="00790652" w:rsidRDefault="00790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652" w:rsidRDefault="00790652">
      <w:r>
        <w:separator/>
      </w:r>
    </w:p>
  </w:footnote>
  <w:footnote w:type="continuationSeparator" w:id="0">
    <w:p w:rsidR="00790652" w:rsidRDefault="0079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652" w:rsidRDefault="007906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bannercol" style="position:absolute;margin-left:427.3pt;margin-top:-28.65pt;width:116.7pt;height:36.05pt;z-index:251660288;visibility:visible">
          <v:imagedata r:id="rId1" o:title="" cropbottom="2722f" cropleft="39359f" cropright="40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0BC"/>
    <w:multiLevelType w:val="hybridMultilevel"/>
    <w:tmpl w:val="3362B28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175C6613"/>
    <w:multiLevelType w:val="hybridMultilevel"/>
    <w:tmpl w:val="9EDAA8B6"/>
    <w:lvl w:ilvl="0" w:tplc="EC06526A">
      <w:start w:val="1"/>
      <w:numFmt w:val="decimal"/>
      <w:lvlText w:val="%1."/>
      <w:lvlJc w:val="left"/>
      <w:pPr>
        <w:ind w:left="360" w:hanging="360"/>
      </w:pPr>
      <w:rPr>
        <w:rFonts w:ascii="Arial" w:eastAsia="Times New Roman" w:hAnsi="Arial" w:cs="Times New Roman"/>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450392"/>
    <w:multiLevelType w:val="hybridMultilevel"/>
    <w:tmpl w:val="361E9126"/>
    <w:lvl w:ilvl="0" w:tplc="939A06E4">
      <w:start w:val="1"/>
      <w:numFmt w:val="bullet"/>
      <w:lvlText w:val=""/>
      <w:lvlJc w:val="left"/>
      <w:pPr>
        <w:tabs>
          <w:tab w:val="num" w:pos="2880"/>
        </w:tabs>
        <w:ind w:left="28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95488E"/>
    <w:multiLevelType w:val="hybridMultilevel"/>
    <w:tmpl w:val="8056FC38"/>
    <w:lvl w:ilvl="0" w:tplc="939A06E4">
      <w:start w:val="1"/>
      <w:numFmt w:val="bullet"/>
      <w:lvlText w:val=""/>
      <w:lvlJc w:val="left"/>
      <w:pPr>
        <w:tabs>
          <w:tab w:val="num" w:pos="3060"/>
        </w:tabs>
        <w:ind w:left="3060" w:hanging="360"/>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nsid w:val="7D7C47B7"/>
    <w:multiLevelType w:val="hybridMultilevel"/>
    <w:tmpl w:val="D0EA3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F1B74FF"/>
    <w:multiLevelType w:val="hybridMultilevel"/>
    <w:tmpl w:val="4892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4D0"/>
    <w:rsid w:val="00010AD2"/>
    <w:rsid w:val="000B1E37"/>
    <w:rsid w:val="00281A03"/>
    <w:rsid w:val="0028461A"/>
    <w:rsid w:val="002F79C7"/>
    <w:rsid w:val="00324D55"/>
    <w:rsid w:val="003540F8"/>
    <w:rsid w:val="00384D9E"/>
    <w:rsid w:val="003B5A4F"/>
    <w:rsid w:val="0044326C"/>
    <w:rsid w:val="00476A3A"/>
    <w:rsid w:val="00576536"/>
    <w:rsid w:val="00662D28"/>
    <w:rsid w:val="0067330F"/>
    <w:rsid w:val="00741D70"/>
    <w:rsid w:val="00790652"/>
    <w:rsid w:val="0086536D"/>
    <w:rsid w:val="008E5B85"/>
    <w:rsid w:val="00972272"/>
    <w:rsid w:val="00AD2E55"/>
    <w:rsid w:val="00B6357F"/>
    <w:rsid w:val="00C301F6"/>
    <w:rsid w:val="00C844D0"/>
    <w:rsid w:val="00D42CDE"/>
    <w:rsid w:val="00D572C6"/>
    <w:rsid w:val="00D8291B"/>
    <w:rsid w:val="00DE3968"/>
    <w:rsid w:val="00E135E4"/>
    <w:rsid w:val="00EA3982"/>
    <w:rsid w:val="00EE36C1"/>
    <w:rsid w:val="00FF45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0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4D0"/>
    <w:pPr>
      <w:ind w:left="720"/>
      <w:contextualSpacing/>
    </w:pPr>
  </w:style>
  <w:style w:type="paragraph" w:styleId="Header">
    <w:name w:val="header"/>
    <w:basedOn w:val="Normal"/>
    <w:link w:val="HeaderChar"/>
    <w:uiPriority w:val="99"/>
    <w:rsid w:val="000B1E37"/>
    <w:pPr>
      <w:tabs>
        <w:tab w:val="center" w:pos="4153"/>
        <w:tab w:val="right" w:pos="8306"/>
      </w:tabs>
    </w:pPr>
  </w:style>
  <w:style w:type="character" w:customStyle="1" w:styleId="HeaderChar">
    <w:name w:val="Header Char"/>
    <w:basedOn w:val="DefaultParagraphFont"/>
    <w:link w:val="Header"/>
    <w:uiPriority w:val="99"/>
    <w:semiHidden/>
    <w:rsid w:val="00B11189"/>
    <w:rPr>
      <w:rFonts w:cs="Calibri"/>
      <w:lang w:eastAsia="en-US"/>
    </w:rPr>
  </w:style>
  <w:style w:type="paragraph" w:styleId="Footer">
    <w:name w:val="footer"/>
    <w:basedOn w:val="Normal"/>
    <w:link w:val="FooterChar"/>
    <w:uiPriority w:val="99"/>
    <w:rsid w:val="000B1E37"/>
    <w:pPr>
      <w:tabs>
        <w:tab w:val="center" w:pos="4153"/>
        <w:tab w:val="right" w:pos="8306"/>
      </w:tabs>
    </w:pPr>
  </w:style>
  <w:style w:type="character" w:customStyle="1" w:styleId="FooterChar">
    <w:name w:val="Footer Char"/>
    <w:basedOn w:val="DefaultParagraphFont"/>
    <w:link w:val="Footer"/>
    <w:uiPriority w:val="99"/>
    <w:semiHidden/>
    <w:rsid w:val="00B11189"/>
    <w:rPr>
      <w:rFonts w:cs="Calibri"/>
      <w:lang w:eastAsia="en-US"/>
    </w:rPr>
  </w:style>
  <w:style w:type="table" w:styleId="TableGrid">
    <w:name w:val="Table Grid"/>
    <w:basedOn w:val="TableNormal"/>
    <w:uiPriority w:val="99"/>
    <w:locked/>
    <w:rsid w:val="0044326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656</Words>
  <Characters>3742</Characters>
  <Application>Microsoft Office Outlook</Application>
  <DocSecurity>0</DocSecurity>
  <Lines>0</Lines>
  <Paragraphs>0</Paragraphs>
  <ScaleCrop>false</ScaleCrop>
  <Company>Education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Perspective Lite to complete final Sense checking EYFSP data 2014</dc:title>
  <dc:subject/>
  <dc:creator>Dulcie Leach</dc:creator>
  <cp:keywords/>
  <dc:description/>
  <cp:lastModifiedBy>andrea.nicholls</cp:lastModifiedBy>
  <cp:revision>7</cp:revision>
  <dcterms:created xsi:type="dcterms:W3CDTF">2014-06-25T15:31:00Z</dcterms:created>
  <dcterms:modified xsi:type="dcterms:W3CDTF">2014-06-25T16:33:00Z</dcterms:modified>
</cp:coreProperties>
</file>