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D18" w:rsidRDefault="00380D18" w:rsidP="00380D18">
      <w:pPr>
        <w:jc w:val="right"/>
        <w:rPr>
          <w:b/>
          <w:sz w:val="28"/>
          <w:szCs w:val="28"/>
          <w:u w:val="single"/>
        </w:rPr>
      </w:pPr>
      <w:r>
        <w:rPr>
          <w:rFonts w:cs="Arial"/>
          <w:noProof/>
        </w:rPr>
        <w:drawing>
          <wp:inline distT="0" distB="0" distL="0" distR="0" wp14:anchorId="2D67780F" wp14:editId="757597F6">
            <wp:extent cx="3028950" cy="847725"/>
            <wp:effectExtent l="0" t="0" r="0" b="9525"/>
            <wp:docPr id="2" name="Picture 2" descr="cid:image003.jpg@01D2DACB.7DFC7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DACB.7DFC79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28950" cy="847725"/>
                    </a:xfrm>
                    <a:prstGeom prst="rect">
                      <a:avLst/>
                    </a:prstGeom>
                    <a:noFill/>
                    <a:ln>
                      <a:noFill/>
                    </a:ln>
                  </pic:spPr>
                </pic:pic>
              </a:graphicData>
            </a:graphic>
          </wp:inline>
        </w:drawing>
      </w:r>
    </w:p>
    <w:p w:rsidR="00380D18" w:rsidRDefault="00380D18" w:rsidP="00AA71B2">
      <w:pPr>
        <w:rPr>
          <w:b/>
          <w:sz w:val="28"/>
          <w:szCs w:val="28"/>
          <w:u w:val="single"/>
        </w:rPr>
      </w:pPr>
    </w:p>
    <w:p w:rsidR="00981B23" w:rsidRDefault="003F0267" w:rsidP="00981B23">
      <w:pPr>
        <w:jc w:val="center"/>
        <w:rPr>
          <w:sz w:val="28"/>
          <w:szCs w:val="28"/>
        </w:rPr>
      </w:pPr>
      <w:r>
        <w:rPr>
          <w:b/>
          <w:sz w:val="28"/>
          <w:szCs w:val="28"/>
          <w:u w:val="single"/>
        </w:rPr>
        <w:t xml:space="preserve">INFORMATION &amp; </w:t>
      </w:r>
      <w:r w:rsidR="00981B23">
        <w:rPr>
          <w:b/>
          <w:sz w:val="28"/>
          <w:szCs w:val="28"/>
          <w:u w:val="single"/>
        </w:rPr>
        <w:t xml:space="preserve">CONSULTATION ON </w:t>
      </w:r>
      <w:r w:rsidR="004D0E03">
        <w:rPr>
          <w:b/>
          <w:sz w:val="28"/>
          <w:szCs w:val="28"/>
          <w:u w:val="single"/>
        </w:rPr>
        <w:t xml:space="preserve">THE FORMULA </w:t>
      </w:r>
      <w:r w:rsidR="00981B23">
        <w:rPr>
          <w:b/>
          <w:sz w:val="28"/>
          <w:szCs w:val="28"/>
          <w:u w:val="single"/>
        </w:rPr>
        <w:t>FUND</w:t>
      </w:r>
      <w:r>
        <w:rPr>
          <w:b/>
          <w:sz w:val="28"/>
          <w:szCs w:val="28"/>
          <w:u w:val="single"/>
        </w:rPr>
        <w:t>ING</w:t>
      </w:r>
      <w:r w:rsidR="004D0E03">
        <w:rPr>
          <w:b/>
          <w:sz w:val="28"/>
          <w:szCs w:val="28"/>
          <w:u w:val="single"/>
        </w:rPr>
        <w:t xml:space="preserve"> OF</w:t>
      </w:r>
      <w:r>
        <w:rPr>
          <w:b/>
          <w:sz w:val="28"/>
          <w:szCs w:val="28"/>
          <w:u w:val="single"/>
        </w:rPr>
        <w:t xml:space="preserve"> HIGH NEEDS PROVISION </w:t>
      </w:r>
      <w:r w:rsidR="00333B9C">
        <w:rPr>
          <w:b/>
          <w:sz w:val="28"/>
          <w:szCs w:val="28"/>
          <w:u w:val="single"/>
        </w:rPr>
        <w:t xml:space="preserve">FOR THE </w:t>
      </w:r>
      <w:r w:rsidR="005D091B">
        <w:rPr>
          <w:b/>
          <w:sz w:val="28"/>
          <w:szCs w:val="28"/>
          <w:u w:val="single"/>
        </w:rPr>
        <w:t>2023/24</w:t>
      </w:r>
      <w:r w:rsidR="00333B9C">
        <w:rPr>
          <w:b/>
          <w:sz w:val="28"/>
          <w:szCs w:val="28"/>
          <w:u w:val="single"/>
        </w:rPr>
        <w:t xml:space="preserve"> FINANCIAL YEAR</w:t>
      </w:r>
    </w:p>
    <w:p w:rsidR="005D091B" w:rsidRDefault="005D091B" w:rsidP="00225A33">
      <w:pPr>
        <w:jc w:val="both"/>
        <w:rPr>
          <w:color w:val="FF0000"/>
          <w:sz w:val="22"/>
          <w:szCs w:val="22"/>
          <w:highlight w:val="yellow"/>
        </w:rPr>
      </w:pPr>
    </w:p>
    <w:p w:rsidR="002977CE" w:rsidRPr="00924C42" w:rsidRDefault="002977CE" w:rsidP="00225A33">
      <w:pPr>
        <w:jc w:val="both"/>
        <w:rPr>
          <w:sz w:val="22"/>
          <w:szCs w:val="22"/>
        </w:rPr>
      </w:pPr>
    </w:p>
    <w:p w:rsidR="00BF65FB" w:rsidRPr="0058613E" w:rsidRDefault="00BF65FB" w:rsidP="00225A33">
      <w:pPr>
        <w:jc w:val="both"/>
        <w:rPr>
          <w:color w:val="FF0000"/>
          <w:sz w:val="22"/>
          <w:szCs w:val="22"/>
        </w:rPr>
      </w:pPr>
      <w:r w:rsidRPr="00215393">
        <w:rPr>
          <w:b/>
          <w:sz w:val="22"/>
          <w:szCs w:val="22"/>
        </w:rPr>
        <w:t>1.</w:t>
      </w:r>
      <w:r w:rsidRPr="00215393">
        <w:rPr>
          <w:b/>
          <w:sz w:val="22"/>
          <w:szCs w:val="22"/>
        </w:rPr>
        <w:tab/>
      </w:r>
      <w:r w:rsidR="00D96F3C" w:rsidRPr="00215393">
        <w:rPr>
          <w:b/>
          <w:sz w:val="22"/>
          <w:szCs w:val="22"/>
        </w:rPr>
        <w:t>Introduction</w:t>
      </w:r>
      <w:r w:rsidR="002364E2" w:rsidRPr="00215393">
        <w:rPr>
          <w:b/>
          <w:sz w:val="22"/>
          <w:szCs w:val="22"/>
        </w:rPr>
        <w:t xml:space="preserve"> &amp; Summary</w:t>
      </w:r>
    </w:p>
    <w:p w:rsidR="007E476C" w:rsidRDefault="007E476C" w:rsidP="00225A33">
      <w:pPr>
        <w:jc w:val="both"/>
        <w:rPr>
          <w:sz w:val="22"/>
          <w:szCs w:val="22"/>
        </w:rPr>
      </w:pPr>
    </w:p>
    <w:p w:rsidR="00980344" w:rsidRDefault="00980344" w:rsidP="00980344">
      <w:pPr>
        <w:jc w:val="both"/>
        <w:rPr>
          <w:sz w:val="22"/>
          <w:szCs w:val="22"/>
        </w:rPr>
      </w:pPr>
      <w:r>
        <w:rPr>
          <w:sz w:val="22"/>
          <w:szCs w:val="22"/>
        </w:rPr>
        <w:t xml:space="preserve">1.1 </w:t>
      </w:r>
      <w:r w:rsidR="0048062C">
        <w:rPr>
          <w:sz w:val="22"/>
          <w:szCs w:val="22"/>
        </w:rPr>
        <w:t xml:space="preserve">This consultation document is written to set out, and </w:t>
      </w:r>
      <w:r w:rsidR="008F0265">
        <w:rPr>
          <w:sz w:val="22"/>
          <w:szCs w:val="22"/>
        </w:rPr>
        <w:t xml:space="preserve">to </w:t>
      </w:r>
      <w:r w:rsidR="0048062C">
        <w:rPr>
          <w:sz w:val="22"/>
          <w:szCs w:val="22"/>
        </w:rPr>
        <w:t>collect views on</w:t>
      </w:r>
      <w:r w:rsidR="0080443E">
        <w:rPr>
          <w:sz w:val="22"/>
          <w:szCs w:val="22"/>
        </w:rPr>
        <w:t>,</w:t>
      </w:r>
      <w:r w:rsidRPr="00ED7E4E">
        <w:rPr>
          <w:sz w:val="22"/>
          <w:szCs w:val="22"/>
        </w:rPr>
        <w:t xml:space="preserve"> the formula approach that Bradford Council proposes to use to delegate </w:t>
      </w:r>
      <w:r w:rsidR="0048062C">
        <w:rPr>
          <w:sz w:val="22"/>
          <w:szCs w:val="22"/>
        </w:rPr>
        <w:t>Dedicated Schools Grant</w:t>
      </w:r>
      <w:r w:rsidR="006C2E57">
        <w:rPr>
          <w:sz w:val="22"/>
          <w:szCs w:val="22"/>
        </w:rPr>
        <w:t xml:space="preserve"> (DSG)</w:t>
      </w:r>
      <w:r w:rsidR="0048062C">
        <w:rPr>
          <w:sz w:val="22"/>
          <w:szCs w:val="22"/>
        </w:rPr>
        <w:t xml:space="preserve"> </w:t>
      </w:r>
      <w:r w:rsidRPr="00ED7E4E">
        <w:rPr>
          <w:sz w:val="22"/>
          <w:szCs w:val="22"/>
        </w:rPr>
        <w:t xml:space="preserve">High Needs Block funding to </w:t>
      </w:r>
      <w:r w:rsidR="00A8759E">
        <w:rPr>
          <w:sz w:val="22"/>
          <w:szCs w:val="22"/>
        </w:rPr>
        <w:t xml:space="preserve">high needs </w:t>
      </w:r>
      <w:r w:rsidRPr="00ED7E4E">
        <w:rPr>
          <w:sz w:val="22"/>
          <w:szCs w:val="22"/>
        </w:rPr>
        <w:t>providers</w:t>
      </w:r>
      <w:r w:rsidR="00A8759E">
        <w:rPr>
          <w:sz w:val="22"/>
          <w:szCs w:val="22"/>
        </w:rPr>
        <w:t>,</w:t>
      </w:r>
      <w:r w:rsidR="00A6697B">
        <w:rPr>
          <w:sz w:val="22"/>
          <w:szCs w:val="22"/>
        </w:rPr>
        <w:t xml:space="preserve"> mainstream schools and</w:t>
      </w:r>
      <w:r w:rsidR="00A8759E">
        <w:rPr>
          <w:sz w:val="22"/>
          <w:szCs w:val="22"/>
        </w:rPr>
        <w:t xml:space="preserve"> academies and </w:t>
      </w:r>
      <w:r w:rsidR="00777367">
        <w:rPr>
          <w:sz w:val="22"/>
          <w:szCs w:val="22"/>
        </w:rPr>
        <w:t xml:space="preserve">to </w:t>
      </w:r>
      <w:r w:rsidR="00A8759E">
        <w:rPr>
          <w:sz w:val="22"/>
          <w:szCs w:val="22"/>
        </w:rPr>
        <w:t>other settings</w:t>
      </w:r>
      <w:r w:rsidR="00243AD0">
        <w:rPr>
          <w:sz w:val="22"/>
          <w:szCs w:val="22"/>
        </w:rPr>
        <w:t xml:space="preserve"> in the 2023/24</w:t>
      </w:r>
      <w:r w:rsidRPr="00ED7E4E">
        <w:rPr>
          <w:sz w:val="22"/>
          <w:szCs w:val="22"/>
        </w:rPr>
        <w:t xml:space="preserve"> financial year</w:t>
      </w:r>
      <w:r w:rsidR="00243AD0">
        <w:rPr>
          <w:sz w:val="22"/>
          <w:szCs w:val="22"/>
        </w:rPr>
        <w:t xml:space="preserve"> April 2023</w:t>
      </w:r>
      <w:r w:rsidR="0058613E">
        <w:rPr>
          <w:sz w:val="22"/>
          <w:szCs w:val="22"/>
        </w:rPr>
        <w:t xml:space="preserve"> to March 20</w:t>
      </w:r>
      <w:r w:rsidR="00243AD0">
        <w:rPr>
          <w:sz w:val="22"/>
          <w:szCs w:val="22"/>
        </w:rPr>
        <w:t>24</w:t>
      </w:r>
      <w:r w:rsidRPr="00ED7E4E">
        <w:rPr>
          <w:sz w:val="22"/>
          <w:szCs w:val="22"/>
        </w:rPr>
        <w:t>. This is known</w:t>
      </w:r>
      <w:r w:rsidR="009D16B4">
        <w:rPr>
          <w:sz w:val="22"/>
          <w:szCs w:val="22"/>
        </w:rPr>
        <w:t>,</w:t>
      </w:r>
      <w:r w:rsidRPr="00ED7E4E">
        <w:rPr>
          <w:sz w:val="22"/>
          <w:szCs w:val="22"/>
        </w:rPr>
        <w:t xml:space="preserve"> and referred to</w:t>
      </w:r>
      <w:r w:rsidR="009D16B4">
        <w:rPr>
          <w:sz w:val="22"/>
          <w:szCs w:val="22"/>
        </w:rPr>
        <w:t>,</w:t>
      </w:r>
      <w:r w:rsidRPr="00ED7E4E">
        <w:rPr>
          <w:sz w:val="22"/>
          <w:szCs w:val="22"/>
        </w:rPr>
        <w:t xml:space="preserve"> as our ‘Place-Plus’ system</w:t>
      </w:r>
      <w:r w:rsidR="00F03D45">
        <w:rPr>
          <w:sz w:val="22"/>
          <w:szCs w:val="22"/>
        </w:rPr>
        <w:t xml:space="preserve"> and has two parts: a) core (or place</w:t>
      </w:r>
      <w:r w:rsidR="006656AE">
        <w:rPr>
          <w:sz w:val="22"/>
          <w:szCs w:val="22"/>
        </w:rPr>
        <w:t>-element</w:t>
      </w:r>
      <w:r w:rsidR="00F03D45">
        <w:rPr>
          <w:sz w:val="22"/>
          <w:szCs w:val="22"/>
        </w:rPr>
        <w:t>) funding and b) top-up (or plus) funding</w:t>
      </w:r>
      <w:r w:rsidR="00A8759E">
        <w:rPr>
          <w:sz w:val="22"/>
          <w:szCs w:val="22"/>
        </w:rPr>
        <w:t>.</w:t>
      </w:r>
    </w:p>
    <w:p w:rsidR="009D16B4" w:rsidRPr="002977CE" w:rsidRDefault="009D16B4" w:rsidP="00980344">
      <w:pPr>
        <w:jc w:val="both"/>
        <w:rPr>
          <w:sz w:val="22"/>
          <w:szCs w:val="22"/>
        </w:rPr>
      </w:pPr>
    </w:p>
    <w:p w:rsidR="002977CE" w:rsidRDefault="002977CE" w:rsidP="007D2263">
      <w:pPr>
        <w:jc w:val="both"/>
        <w:rPr>
          <w:sz w:val="22"/>
          <w:szCs w:val="22"/>
        </w:rPr>
      </w:pPr>
      <w:r w:rsidRPr="002977CE">
        <w:rPr>
          <w:sz w:val="22"/>
          <w:szCs w:val="22"/>
        </w:rPr>
        <w:t xml:space="preserve">1.2 In response to its national </w:t>
      </w:r>
      <w:r w:rsidR="00723184">
        <w:rPr>
          <w:sz w:val="22"/>
          <w:szCs w:val="22"/>
        </w:rPr>
        <w:t>Special Educational Needs and Disabilities (</w:t>
      </w:r>
      <w:r w:rsidRPr="002977CE">
        <w:rPr>
          <w:sz w:val="22"/>
          <w:szCs w:val="22"/>
        </w:rPr>
        <w:t>SEND</w:t>
      </w:r>
      <w:r w:rsidR="00723184">
        <w:rPr>
          <w:sz w:val="22"/>
          <w:szCs w:val="22"/>
        </w:rPr>
        <w:t>)</w:t>
      </w:r>
      <w:r w:rsidRPr="002977CE">
        <w:rPr>
          <w:sz w:val="22"/>
          <w:szCs w:val="22"/>
        </w:rPr>
        <w:t xml:space="preserve"> and Alternative Provision</w:t>
      </w:r>
      <w:r w:rsidR="00723184">
        <w:rPr>
          <w:sz w:val="22"/>
          <w:szCs w:val="22"/>
        </w:rPr>
        <w:t xml:space="preserve"> (AP)</w:t>
      </w:r>
      <w:r w:rsidRPr="002977CE">
        <w:rPr>
          <w:sz w:val="22"/>
          <w:szCs w:val="22"/>
        </w:rPr>
        <w:t xml:space="preserve"> Review, which was commissioned </w:t>
      </w:r>
      <w:r w:rsidR="0048062C" w:rsidRPr="002977CE">
        <w:rPr>
          <w:sz w:val="22"/>
          <w:szCs w:val="22"/>
        </w:rPr>
        <w:t>in September 2019</w:t>
      </w:r>
      <w:r w:rsidRPr="002977CE">
        <w:rPr>
          <w:sz w:val="22"/>
          <w:szCs w:val="22"/>
        </w:rPr>
        <w:t xml:space="preserve">, the </w:t>
      </w:r>
      <w:r w:rsidR="00723184">
        <w:rPr>
          <w:sz w:val="22"/>
          <w:szCs w:val="22"/>
        </w:rPr>
        <w:t>Department for Education (</w:t>
      </w:r>
      <w:r w:rsidRPr="002977CE">
        <w:rPr>
          <w:sz w:val="22"/>
          <w:szCs w:val="22"/>
        </w:rPr>
        <w:t>DfE</w:t>
      </w:r>
      <w:r w:rsidR="00723184">
        <w:rPr>
          <w:sz w:val="22"/>
          <w:szCs w:val="22"/>
        </w:rPr>
        <w:t>)</w:t>
      </w:r>
      <w:r w:rsidRPr="002977CE">
        <w:rPr>
          <w:sz w:val="22"/>
          <w:szCs w:val="22"/>
        </w:rPr>
        <w:t xml:space="preserve"> published on 29 March</w:t>
      </w:r>
      <w:r w:rsidR="0036749E">
        <w:rPr>
          <w:sz w:val="22"/>
          <w:szCs w:val="22"/>
        </w:rPr>
        <w:t xml:space="preserve"> 2022</w:t>
      </w:r>
      <w:r w:rsidRPr="002977CE">
        <w:rPr>
          <w:sz w:val="22"/>
          <w:szCs w:val="22"/>
        </w:rPr>
        <w:t xml:space="preserve"> an initial outcomes and consultation document. This document can be found </w:t>
      </w:r>
      <w:hyperlink r:id="rId10" w:history="1">
        <w:r w:rsidRPr="002977CE">
          <w:rPr>
            <w:rStyle w:val="Hyperlink"/>
            <w:sz w:val="22"/>
            <w:szCs w:val="22"/>
          </w:rPr>
          <w:t>here</w:t>
        </w:r>
      </w:hyperlink>
      <w:r>
        <w:rPr>
          <w:sz w:val="22"/>
          <w:szCs w:val="22"/>
        </w:rPr>
        <w:t>.</w:t>
      </w:r>
      <w:r w:rsidR="00777367">
        <w:rPr>
          <w:sz w:val="22"/>
          <w:szCs w:val="22"/>
        </w:rPr>
        <w:t xml:space="preserve"> The consultation closed in Ju</w:t>
      </w:r>
      <w:r w:rsidR="00805F13">
        <w:rPr>
          <w:sz w:val="22"/>
          <w:szCs w:val="22"/>
        </w:rPr>
        <w:t>ly</w:t>
      </w:r>
      <w:r w:rsidR="00777367">
        <w:rPr>
          <w:sz w:val="22"/>
          <w:szCs w:val="22"/>
        </w:rPr>
        <w:t>.</w:t>
      </w:r>
      <w:r>
        <w:rPr>
          <w:sz w:val="22"/>
          <w:szCs w:val="22"/>
        </w:rPr>
        <w:t xml:space="preserve"> </w:t>
      </w:r>
      <w:r w:rsidR="00777367">
        <w:rPr>
          <w:sz w:val="22"/>
          <w:szCs w:val="22"/>
        </w:rPr>
        <w:t>A</w:t>
      </w:r>
      <w:r w:rsidR="000733F8">
        <w:rPr>
          <w:sz w:val="22"/>
          <w:szCs w:val="22"/>
        </w:rPr>
        <w:t>s</w:t>
      </w:r>
      <w:r w:rsidR="006D5C2E">
        <w:rPr>
          <w:sz w:val="22"/>
          <w:szCs w:val="22"/>
        </w:rPr>
        <w:t xml:space="preserve"> this Review will be very significant to the future of high needs funding, </w:t>
      </w:r>
      <w:r w:rsidR="00777367">
        <w:rPr>
          <w:sz w:val="22"/>
          <w:szCs w:val="22"/>
        </w:rPr>
        <w:t>it is helpful to</w:t>
      </w:r>
      <w:r w:rsidR="001B6998">
        <w:rPr>
          <w:sz w:val="22"/>
          <w:szCs w:val="22"/>
        </w:rPr>
        <w:t xml:space="preserve"> summarise the main messages from the Review so far. So, </w:t>
      </w:r>
      <w:r>
        <w:rPr>
          <w:sz w:val="22"/>
          <w:szCs w:val="22"/>
        </w:rPr>
        <w:t>focusing on the financial</w:t>
      </w:r>
      <w:r w:rsidR="0036749E">
        <w:rPr>
          <w:sz w:val="22"/>
          <w:szCs w:val="22"/>
        </w:rPr>
        <w:t xml:space="preserve"> / </w:t>
      </w:r>
      <w:r w:rsidR="001B6998">
        <w:rPr>
          <w:sz w:val="22"/>
          <w:szCs w:val="22"/>
        </w:rPr>
        <w:t xml:space="preserve">high needs </w:t>
      </w:r>
      <w:r w:rsidR="0036749E">
        <w:rPr>
          <w:sz w:val="22"/>
          <w:szCs w:val="22"/>
        </w:rPr>
        <w:t>funding</w:t>
      </w:r>
      <w:r>
        <w:rPr>
          <w:sz w:val="22"/>
          <w:szCs w:val="22"/>
        </w:rPr>
        <w:t xml:space="preserve"> aspects</w:t>
      </w:r>
      <w:r w:rsidR="0036749E">
        <w:rPr>
          <w:sz w:val="22"/>
          <w:szCs w:val="22"/>
        </w:rPr>
        <w:t xml:space="preserve"> of the Review</w:t>
      </w:r>
      <w:r>
        <w:rPr>
          <w:sz w:val="22"/>
          <w:szCs w:val="22"/>
        </w:rPr>
        <w:t>:</w:t>
      </w:r>
    </w:p>
    <w:p w:rsidR="002977CE" w:rsidRDefault="002977CE" w:rsidP="007D2263">
      <w:pPr>
        <w:jc w:val="both"/>
        <w:rPr>
          <w:sz w:val="22"/>
          <w:szCs w:val="22"/>
        </w:rPr>
      </w:pPr>
    </w:p>
    <w:p w:rsidR="002977CE" w:rsidRPr="002977CE" w:rsidRDefault="002977CE" w:rsidP="002977CE">
      <w:pPr>
        <w:pStyle w:val="ListParagraph"/>
        <w:numPr>
          <w:ilvl w:val="0"/>
          <w:numId w:val="36"/>
        </w:numPr>
        <w:spacing w:after="160" w:line="259" w:lineRule="auto"/>
        <w:jc w:val="both"/>
        <w:rPr>
          <w:sz w:val="22"/>
          <w:szCs w:val="22"/>
        </w:rPr>
      </w:pPr>
      <w:r w:rsidRPr="002977CE">
        <w:rPr>
          <w:sz w:val="22"/>
          <w:szCs w:val="22"/>
        </w:rPr>
        <w:t>The Review focuses very strongly on supporting (improving) the inclusion of children and young people with additional needs in mainstream settings, and on universal provision / early intervention to support their needs. The Review aims to reduce the use of / reliance on</w:t>
      </w:r>
      <w:r w:rsidR="00723184">
        <w:rPr>
          <w:sz w:val="22"/>
          <w:szCs w:val="22"/>
        </w:rPr>
        <w:t xml:space="preserve"> Education Health and Care Plans</w:t>
      </w:r>
      <w:r w:rsidRPr="002977CE">
        <w:rPr>
          <w:sz w:val="22"/>
          <w:szCs w:val="22"/>
        </w:rPr>
        <w:t xml:space="preserve"> </w:t>
      </w:r>
      <w:r w:rsidR="00723184">
        <w:rPr>
          <w:sz w:val="22"/>
          <w:szCs w:val="22"/>
        </w:rPr>
        <w:t>(</w:t>
      </w:r>
      <w:r w:rsidRPr="002977CE">
        <w:rPr>
          <w:sz w:val="22"/>
          <w:szCs w:val="22"/>
        </w:rPr>
        <w:t>EHCPs</w:t>
      </w:r>
      <w:r w:rsidR="00723184">
        <w:rPr>
          <w:sz w:val="22"/>
          <w:szCs w:val="22"/>
        </w:rPr>
        <w:t>)</w:t>
      </w:r>
      <w:r w:rsidRPr="002977CE">
        <w:rPr>
          <w:sz w:val="22"/>
          <w:szCs w:val="22"/>
        </w:rPr>
        <w:t>, as well and on specialist places (when needs can be appropriately met in mainstream). In driving this, and in seeking greater consistency, there will be cl</w:t>
      </w:r>
      <w:r w:rsidR="00805F13">
        <w:rPr>
          <w:sz w:val="22"/>
          <w:szCs w:val="22"/>
        </w:rPr>
        <w:t>earer guidance on what settings</w:t>
      </w:r>
      <w:r w:rsidRPr="002977CE">
        <w:rPr>
          <w:sz w:val="22"/>
          <w:szCs w:val="22"/>
        </w:rPr>
        <w:t xml:space="preserve"> must do (what responsibilities they have within universal provision) and when and in what circumstances to use the EHCP and alternative provision routes of support. There will be new national SEND standards, covering early years to post 16, which set out how needs are to be identified and assessed, how agencies work together, what provision is appropriate for different types of needs, the processes for accessing support, standards for co-production and for communication, as well as for transitions. There will also be a new national</w:t>
      </w:r>
      <w:r w:rsidR="00723184">
        <w:rPr>
          <w:sz w:val="22"/>
          <w:szCs w:val="22"/>
        </w:rPr>
        <w:t xml:space="preserve"> Special Educational Needs Co-ordinator</w:t>
      </w:r>
      <w:r w:rsidRPr="002977CE">
        <w:rPr>
          <w:sz w:val="22"/>
          <w:szCs w:val="22"/>
        </w:rPr>
        <w:t xml:space="preserve"> </w:t>
      </w:r>
      <w:r w:rsidR="00723184">
        <w:rPr>
          <w:sz w:val="22"/>
          <w:szCs w:val="22"/>
        </w:rPr>
        <w:t>(</w:t>
      </w:r>
      <w:r w:rsidRPr="002977CE">
        <w:rPr>
          <w:sz w:val="22"/>
          <w:szCs w:val="22"/>
        </w:rPr>
        <w:t>SENCO</w:t>
      </w:r>
      <w:r w:rsidR="00723184">
        <w:rPr>
          <w:sz w:val="22"/>
          <w:szCs w:val="22"/>
        </w:rPr>
        <w:t>)</w:t>
      </w:r>
      <w:r w:rsidRPr="002977CE">
        <w:rPr>
          <w:sz w:val="22"/>
          <w:szCs w:val="22"/>
        </w:rPr>
        <w:t xml:space="preserve"> qualification.</w:t>
      </w:r>
    </w:p>
    <w:p w:rsidR="002977CE" w:rsidRPr="002977CE" w:rsidRDefault="002977CE" w:rsidP="002977CE">
      <w:pPr>
        <w:pStyle w:val="ListParagraph"/>
        <w:spacing w:after="160" w:line="259" w:lineRule="auto"/>
        <w:ind w:left="360"/>
        <w:jc w:val="both"/>
        <w:rPr>
          <w:sz w:val="22"/>
          <w:szCs w:val="22"/>
        </w:rPr>
      </w:pPr>
    </w:p>
    <w:p w:rsidR="003A4F95" w:rsidRDefault="00A85146" w:rsidP="003A4F95">
      <w:pPr>
        <w:pStyle w:val="ListParagraph"/>
        <w:numPr>
          <w:ilvl w:val="0"/>
          <w:numId w:val="36"/>
        </w:numPr>
        <w:spacing w:after="160" w:line="259" w:lineRule="auto"/>
        <w:jc w:val="both"/>
        <w:rPr>
          <w:sz w:val="22"/>
          <w:szCs w:val="22"/>
        </w:rPr>
      </w:pPr>
      <w:r>
        <w:rPr>
          <w:sz w:val="22"/>
          <w:szCs w:val="22"/>
        </w:rPr>
        <w:t>The Review</w:t>
      </w:r>
      <w:r w:rsidR="00B0085D">
        <w:rPr>
          <w:sz w:val="22"/>
          <w:szCs w:val="22"/>
        </w:rPr>
        <w:t xml:space="preserve"> </w:t>
      </w:r>
      <w:r w:rsidR="00B0085D" w:rsidRPr="002977CE">
        <w:rPr>
          <w:sz w:val="22"/>
          <w:szCs w:val="22"/>
        </w:rPr>
        <w:t>focuses very strongly on alternative provision</w:t>
      </w:r>
      <w:r w:rsidR="00B0085D">
        <w:rPr>
          <w:sz w:val="22"/>
          <w:szCs w:val="22"/>
        </w:rPr>
        <w:t xml:space="preserve"> (AP)</w:t>
      </w:r>
      <w:r w:rsidR="00B0085D" w:rsidRPr="002977CE">
        <w:rPr>
          <w:sz w:val="22"/>
          <w:szCs w:val="22"/>
        </w:rPr>
        <w:t>. The DfE proposes that all authorities create and distribute an alternative provision specific budget within their High Needs Blocks. This budget would be separated into 3 tiers (mainstream; time limited; transitional), with a focus on universal provision and</w:t>
      </w:r>
      <w:r w:rsidR="00B0085D">
        <w:rPr>
          <w:sz w:val="22"/>
          <w:szCs w:val="22"/>
        </w:rPr>
        <w:t xml:space="preserve"> on</w:t>
      </w:r>
      <w:r w:rsidR="00B0085D" w:rsidRPr="002977CE">
        <w:rPr>
          <w:sz w:val="22"/>
          <w:szCs w:val="22"/>
        </w:rPr>
        <w:t xml:space="preserve"> early intervention. Authorities will to be required to allocate this alternative provision budget in accordance with a local plan. Alongside this, alternative provision funding will be managed on a multi-year basis, with the link broken between funding and provider numbers on roll (</w:t>
      </w:r>
      <w:r w:rsidR="00B0085D">
        <w:rPr>
          <w:sz w:val="22"/>
          <w:szCs w:val="22"/>
        </w:rPr>
        <w:t xml:space="preserve">giving </w:t>
      </w:r>
      <w:r w:rsidR="00B0085D" w:rsidRPr="002977CE">
        <w:rPr>
          <w:sz w:val="22"/>
          <w:szCs w:val="22"/>
        </w:rPr>
        <w:t>potential for multi-year fixed budgets).</w:t>
      </w:r>
    </w:p>
    <w:p w:rsidR="003A4F95" w:rsidRPr="003A4F95" w:rsidRDefault="003A4F95" w:rsidP="003A4F95">
      <w:pPr>
        <w:pStyle w:val="ListParagraph"/>
        <w:rPr>
          <w:sz w:val="22"/>
          <w:szCs w:val="22"/>
        </w:rPr>
      </w:pPr>
    </w:p>
    <w:p w:rsidR="000B6980" w:rsidRDefault="001B6998" w:rsidP="000B6980">
      <w:pPr>
        <w:pStyle w:val="ListParagraph"/>
        <w:numPr>
          <w:ilvl w:val="0"/>
          <w:numId w:val="36"/>
        </w:numPr>
        <w:spacing w:after="160" w:line="259" w:lineRule="auto"/>
        <w:jc w:val="both"/>
        <w:rPr>
          <w:sz w:val="22"/>
          <w:szCs w:val="22"/>
        </w:rPr>
      </w:pPr>
      <w:r w:rsidRPr="003A4F95">
        <w:rPr>
          <w:sz w:val="22"/>
          <w:szCs w:val="22"/>
        </w:rPr>
        <w:t xml:space="preserve">The clear aim of the DfE is that early intervention, supported by the funds allocated within the Schools and Early Years Blocks (mainstream formula funding that is allocated already to schools, academies and to </w:t>
      </w:r>
      <w:r w:rsidR="00B0085D" w:rsidRPr="003A4F95">
        <w:rPr>
          <w:sz w:val="22"/>
          <w:szCs w:val="22"/>
        </w:rPr>
        <w:t>other settings</w:t>
      </w:r>
      <w:r w:rsidRPr="003A4F95">
        <w:rPr>
          <w:sz w:val="22"/>
          <w:szCs w:val="22"/>
        </w:rPr>
        <w:t xml:space="preserve"> via the National Funding Formula</w:t>
      </w:r>
      <w:r w:rsidR="00B0085D" w:rsidRPr="003A4F95">
        <w:rPr>
          <w:sz w:val="22"/>
          <w:szCs w:val="22"/>
        </w:rPr>
        <w:t xml:space="preserve"> and the Early Years Single Funding Formula</w:t>
      </w:r>
      <w:r w:rsidRPr="003A4F95">
        <w:rPr>
          <w:sz w:val="22"/>
          <w:szCs w:val="22"/>
        </w:rPr>
        <w:t>),</w:t>
      </w:r>
      <w:r w:rsidR="003A4F95">
        <w:rPr>
          <w:sz w:val="22"/>
          <w:szCs w:val="22"/>
        </w:rPr>
        <w:t xml:space="preserve"> as well as </w:t>
      </w:r>
      <w:r w:rsidR="000B6980">
        <w:rPr>
          <w:sz w:val="22"/>
          <w:szCs w:val="22"/>
        </w:rPr>
        <w:t xml:space="preserve">by </w:t>
      </w:r>
      <w:r w:rsidR="003A4F95">
        <w:rPr>
          <w:sz w:val="22"/>
          <w:szCs w:val="22"/>
        </w:rPr>
        <w:t>targeted funds allocated by the High Needs Block,</w:t>
      </w:r>
      <w:r w:rsidRPr="003A4F95">
        <w:rPr>
          <w:sz w:val="22"/>
          <w:szCs w:val="22"/>
        </w:rPr>
        <w:t xml:space="preserve"> will reduce the need for spending on </w:t>
      </w:r>
      <w:r w:rsidR="003A4F95">
        <w:rPr>
          <w:sz w:val="22"/>
          <w:szCs w:val="22"/>
        </w:rPr>
        <w:t xml:space="preserve">additional </w:t>
      </w:r>
      <w:r w:rsidRPr="003A4F95">
        <w:rPr>
          <w:sz w:val="22"/>
          <w:szCs w:val="22"/>
        </w:rPr>
        <w:t>statutory support, and will also help to reduce the escalation of needs to higher levels of spending.</w:t>
      </w:r>
      <w:r w:rsidR="003A4F95">
        <w:rPr>
          <w:sz w:val="22"/>
          <w:szCs w:val="22"/>
        </w:rPr>
        <w:t xml:space="preserve"> This is viewed by the DfE as an important component in managing the financial pressures that are currently felt by local authorities within their High Needs Blocks.</w:t>
      </w:r>
      <w:r w:rsidRPr="003A4F95">
        <w:rPr>
          <w:sz w:val="22"/>
          <w:szCs w:val="22"/>
        </w:rPr>
        <w:t xml:space="preserve"> </w:t>
      </w:r>
      <w:r w:rsidR="003A4F95">
        <w:rPr>
          <w:sz w:val="22"/>
          <w:szCs w:val="22"/>
        </w:rPr>
        <w:t>To this end, another</w:t>
      </w:r>
      <w:r w:rsidR="002977CE" w:rsidRPr="003A4F95">
        <w:rPr>
          <w:sz w:val="22"/>
          <w:szCs w:val="22"/>
        </w:rPr>
        <w:t xml:space="preserve"> clear cr</w:t>
      </w:r>
      <w:r w:rsidR="003A4F95">
        <w:rPr>
          <w:sz w:val="22"/>
          <w:szCs w:val="22"/>
        </w:rPr>
        <w:t>oss-cutting aim</w:t>
      </w:r>
      <w:r w:rsidR="002977CE" w:rsidRPr="003A4F95">
        <w:rPr>
          <w:sz w:val="22"/>
          <w:szCs w:val="22"/>
        </w:rPr>
        <w:t xml:space="preserve"> of the Review is to reduce the use, as well as the cost, of independent / non-maintained placements, where local more cost efficient </w:t>
      </w:r>
      <w:r w:rsidR="00B0085D" w:rsidRPr="003A4F95">
        <w:rPr>
          <w:sz w:val="22"/>
          <w:szCs w:val="22"/>
        </w:rPr>
        <w:t xml:space="preserve">specialist </w:t>
      </w:r>
      <w:r w:rsidR="002977CE" w:rsidRPr="003A4F95">
        <w:rPr>
          <w:sz w:val="22"/>
          <w:szCs w:val="22"/>
        </w:rPr>
        <w:t>places should be available.</w:t>
      </w:r>
    </w:p>
    <w:p w:rsidR="000B6980" w:rsidRPr="000B6980" w:rsidRDefault="000B6980" w:rsidP="000B6980">
      <w:pPr>
        <w:pStyle w:val="ListParagraph"/>
        <w:rPr>
          <w:sz w:val="22"/>
          <w:szCs w:val="22"/>
        </w:rPr>
      </w:pPr>
    </w:p>
    <w:p w:rsidR="002977CE" w:rsidRPr="000B6980" w:rsidRDefault="002977CE" w:rsidP="000B6980">
      <w:pPr>
        <w:pStyle w:val="ListParagraph"/>
        <w:numPr>
          <w:ilvl w:val="0"/>
          <w:numId w:val="36"/>
        </w:numPr>
        <w:spacing w:after="160" w:line="259" w:lineRule="auto"/>
        <w:jc w:val="both"/>
        <w:rPr>
          <w:sz w:val="22"/>
          <w:szCs w:val="22"/>
        </w:rPr>
      </w:pPr>
      <w:r w:rsidRPr="000B6980">
        <w:rPr>
          <w:sz w:val="22"/>
          <w:szCs w:val="22"/>
        </w:rPr>
        <w:lastRenderedPageBreak/>
        <w:t>In seeking consistency, and to ensure / improve the appropriateness of funding levels, the Review proposes to introduce a national framework for the banding of SEND top-up funding (</w:t>
      </w:r>
      <w:r w:rsidR="000B6980">
        <w:rPr>
          <w:sz w:val="22"/>
          <w:szCs w:val="22"/>
        </w:rPr>
        <w:t>‘</w:t>
      </w:r>
      <w:r w:rsidRPr="000B6980">
        <w:rPr>
          <w:sz w:val="22"/>
          <w:szCs w:val="22"/>
        </w:rPr>
        <w:t>price tariffs</w:t>
      </w:r>
      <w:r w:rsidR="000B6980">
        <w:rPr>
          <w:sz w:val="22"/>
          <w:szCs w:val="22"/>
        </w:rPr>
        <w:t>’</w:t>
      </w:r>
      <w:r w:rsidRPr="000B6980">
        <w:rPr>
          <w:sz w:val="22"/>
          <w:szCs w:val="22"/>
        </w:rPr>
        <w:t xml:space="preserve">), with this framework matched to levels of need and types of education provision. This potentially moves the high needs funding system towards a national funding formula. This will be a particularly complicated change to achieve, </w:t>
      </w:r>
      <w:r w:rsidR="000B6980">
        <w:rPr>
          <w:sz w:val="22"/>
          <w:szCs w:val="22"/>
        </w:rPr>
        <w:t xml:space="preserve">and </w:t>
      </w:r>
      <w:r w:rsidRPr="000B6980">
        <w:rPr>
          <w:sz w:val="22"/>
          <w:szCs w:val="22"/>
        </w:rPr>
        <w:t>may have significan</w:t>
      </w:r>
      <w:r w:rsidR="000B6980">
        <w:rPr>
          <w:sz w:val="22"/>
          <w:szCs w:val="22"/>
        </w:rPr>
        <w:t>t implications for all settings in Bradford</w:t>
      </w:r>
      <w:r w:rsidRPr="000B6980">
        <w:rPr>
          <w:sz w:val="22"/>
          <w:szCs w:val="22"/>
        </w:rPr>
        <w:t xml:space="preserve"> that access top-up funding. Quite significantly, the Review suggests that non-maintained / independent provisions will be brought into this national system. Also significantly, the DfE wishes to bring early years into national funding frameworks. This may then have implications for the Early Years Block, the Early Years Single Formula Funding and for </w:t>
      </w:r>
      <w:r w:rsidR="00041BB9">
        <w:rPr>
          <w:sz w:val="22"/>
          <w:szCs w:val="22"/>
        </w:rPr>
        <w:t xml:space="preserve">the </w:t>
      </w:r>
      <w:r w:rsidRPr="000B6980">
        <w:rPr>
          <w:sz w:val="22"/>
          <w:szCs w:val="22"/>
        </w:rPr>
        <w:t>Early Years SEND Inclusion Fund.</w:t>
      </w:r>
    </w:p>
    <w:p w:rsidR="002977CE" w:rsidRPr="000B6980" w:rsidRDefault="002977CE" w:rsidP="002977CE">
      <w:pPr>
        <w:pStyle w:val="ListParagraph"/>
        <w:spacing w:after="160" w:line="259" w:lineRule="auto"/>
        <w:ind w:left="360"/>
        <w:jc w:val="both"/>
        <w:rPr>
          <w:sz w:val="22"/>
          <w:szCs w:val="22"/>
        </w:rPr>
      </w:pPr>
    </w:p>
    <w:p w:rsidR="002977CE" w:rsidRPr="000B6980" w:rsidRDefault="002977CE" w:rsidP="002977CE">
      <w:pPr>
        <w:pStyle w:val="ListParagraph"/>
        <w:numPr>
          <w:ilvl w:val="0"/>
          <w:numId w:val="36"/>
        </w:numPr>
        <w:spacing w:after="160" w:line="259" w:lineRule="auto"/>
        <w:jc w:val="both"/>
        <w:rPr>
          <w:sz w:val="22"/>
          <w:szCs w:val="22"/>
        </w:rPr>
      </w:pPr>
      <w:r w:rsidRPr="000B6980">
        <w:rPr>
          <w:sz w:val="22"/>
          <w:szCs w:val="22"/>
        </w:rPr>
        <w:t xml:space="preserve">The Review proposes significant additional DfE scrutiny and accountability mechanisms – via local funding agreements (linked to a local inclusion plan), new Local SEND Partnerships and via Regions Groups - on the way authorities plan and manage their High Needs Blocks and their SEND support and Alternative Provision, with a clear focus on improving value for money and outcomes for children and young people. There appears to be significantly greater potential for authorities to be directed on (or for the DfE to intervene to control) High Needs Block spending, where approaches are deemed to represent poor value for money and / or are not achieving improved outcomes for children and young people. </w:t>
      </w:r>
    </w:p>
    <w:p w:rsidR="002977CE" w:rsidRPr="009B418C" w:rsidRDefault="002977CE" w:rsidP="002977CE">
      <w:pPr>
        <w:pStyle w:val="ListParagraph"/>
        <w:rPr>
          <w:rFonts w:cs="Arial"/>
        </w:rPr>
      </w:pPr>
    </w:p>
    <w:p w:rsidR="002977CE" w:rsidRPr="000B6980" w:rsidRDefault="002977CE" w:rsidP="002977CE">
      <w:pPr>
        <w:pStyle w:val="ListParagraph"/>
        <w:numPr>
          <w:ilvl w:val="0"/>
          <w:numId w:val="36"/>
        </w:numPr>
        <w:spacing w:after="160" w:line="259" w:lineRule="auto"/>
        <w:jc w:val="both"/>
        <w:rPr>
          <w:sz w:val="22"/>
          <w:szCs w:val="22"/>
        </w:rPr>
      </w:pPr>
      <w:r w:rsidRPr="000B6980">
        <w:rPr>
          <w:sz w:val="22"/>
          <w:szCs w:val="22"/>
        </w:rPr>
        <w:t>The Review seeks to encourage a greater level of commissioning of provision within regions, rather than by individual authorities, especially for Further Education.</w:t>
      </w:r>
    </w:p>
    <w:p w:rsidR="002977CE" w:rsidRPr="000B6980" w:rsidRDefault="002977CE" w:rsidP="002977CE">
      <w:pPr>
        <w:pStyle w:val="ListParagraph"/>
        <w:rPr>
          <w:sz w:val="22"/>
          <w:szCs w:val="22"/>
        </w:rPr>
      </w:pPr>
    </w:p>
    <w:p w:rsidR="002977CE" w:rsidRPr="000B6980" w:rsidRDefault="002977CE" w:rsidP="002977CE">
      <w:pPr>
        <w:pStyle w:val="ListParagraph"/>
        <w:numPr>
          <w:ilvl w:val="0"/>
          <w:numId w:val="36"/>
        </w:numPr>
        <w:spacing w:after="160" w:line="259" w:lineRule="auto"/>
        <w:jc w:val="both"/>
        <w:rPr>
          <w:sz w:val="22"/>
          <w:szCs w:val="22"/>
        </w:rPr>
      </w:pPr>
      <w:r w:rsidRPr="000B6980">
        <w:rPr>
          <w:sz w:val="22"/>
          <w:szCs w:val="22"/>
        </w:rPr>
        <w:t>The Review seeks to improve and to more standardise EHCP assessment processes, with multiple aims, including to improve the speed of assessment.</w:t>
      </w:r>
    </w:p>
    <w:p w:rsidR="002977CE" w:rsidRPr="007F696C" w:rsidRDefault="002977CE" w:rsidP="002977CE">
      <w:pPr>
        <w:pStyle w:val="ListParagraph"/>
        <w:rPr>
          <w:rFonts w:cs="Arial"/>
        </w:rPr>
      </w:pPr>
    </w:p>
    <w:p w:rsidR="002977CE" w:rsidRPr="000B6980" w:rsidRDefault="002977CE" w:rsidP="002977CE">
      <w:pPr>
        <w:pStyle w:val="ListParagraph"/>
        <w:numPr>
          <w:ilvl w:val="0"/>
          <w:numId w:val="36"/>
        </w:numPr>
        <w:spacing w:after="160" w:line="259" w:lineRule="auto"/>
        <w:jc w:val="both"/>
        <w:rPr>
          <w:sz w:val="22"/>
          <w:szCs w:val="22"/>
        </w:rPr>
      </w:pPr>
      <w:r w:rsidRPr="000B6980">
        <w:rPr>
          <w:sz w:val="22"/>
          <w:szCs w:val="22"/>
        </w:rPr>
        <w:t>The DfE states that the Review recognises that education, health and social care need to work together effectively. New Local SEND Partnerships will be established, which will bring together education, health and social care, alongside a clearer definition of responsibilities and a set of national standards. The DfE also states that analysis will be commissioned, to better understand the support that children and young people with SEND need from the health workforce, so that meeting these needs is a focus in health workforce planning. The Review also states that the DfE will mandate the use of local multi-agency assessment and placement panels.</w:t>
      </w:r>
    </w:p>
    <w:p w:rsidR="002977CE" w:rsidRPr="004D3035" w:rsidRDefault="002977CE" w:rsidP="002977CE">
      <w:pPr>
        <w:pStyle w:val="ListParagraph"/>
        <w:rPr>
          <w:rFonts w:cs="Arial"/>
        </w:rPr>
      </w:pPr>
    </w:p>
    <w:p w:rsidR="002977CE" w:rsidRPr="000B6980" w:rsidRDefault="000B6980" w:rsidP="002977CE">
      <w:pPr>
        <w:pStyle w:val="ListParagraph"/>
        <w:numPr>
          <w:ilvl w:val="0"/>
          <w:numId w:val="36"/>
        </w:numPr>
        <w:spacing w:after="160" w:line="259" w:lineRule="auto"/>
        <w:jc w:val="both"/>
        <w:rPr>
          <w:sz w:val="22"/>
          <w:szCs w:val="22"/>
        </w:rPr>
      </w:pPr>
      <w:r>
        <w:rPr>
          <w:sz w:val="22"/>
          <w:szCs w:val="22"/>
        </w:rPr>
        <w:t>T</w:t>
      </w:r>
      <w:r w:rsidR="002977CE" w:rsidRPr="000B6980">
        <w:rPr>
          <w:sz w:val="22"/>
          <w:szCs w:val="22"/>
        </w:rPr>
        <w:t>he DfE has confirmed that it is looking closely at the ‘key levers’ of the national Place-Plus funding system. The Review document as published however, has little information, which enables us to judge what changes might be made (and when) or to assess their impact. Further consultation is to come.</w:t>
      </w:r>
    </w:p>
    <w:p w:rsidR="002977CE" w:rsidRPr="000B6980" w:rsidRDefault="002977CE" w:rsidP="002977CE">
      <w:pPr>
        <w:pStyle w:val="ListParagraph"/>
        <w:rPr>
          <w:sz w:val="22"/>
          <w:szCs w:val="22"/>
        </w:rPr>
      </w:pPr>
    </w:p>
    <w:p w:rsidR="002977CE" w:rsidRPr="000B6980" w:rsidRDefault="002977CE" w:rsidP="002977CE">
      <w:pPr>
        <w:pStyle w:val="ListParagraph"/>
        <w:numPr>
          <w:ilvl w:val="1"/>
          <w:numId w:val="36"/>
        </w:numPr>
        <w:spacing w:after="160" w:line="259" w:lineRule="auto"/>
        <w:jc w:val="both"/>
        <w:rPr>
          <w:sz w:val="22"/>
          <w:szCs w:val="22"/>
        </w:rPr>
      </w:pPr>
      <w:r w:rsidRPr="000B6980">
        <w:rPr>
          <w:sz w:val="22"/>
          <w:szCs w:val="22"/>
        </w:rPr>
        <w:t>The DfE confirms that it is looking at the appropriateness of the ‘threshold’ (element 2) set at a value of £6,000. Any change in this threshold wi</w:t>
      </w:r>
      <w:r w:rsidR="000B6980">
        <w:rPr>
          <w:sz w:val="22"/>
          <w:szCs w:val="22"/>
        </w:rPr>
        <w:t>ll have implications for the High Needs Block</w:t>
      </w:r>
      <w:r w:rsidRPr="000B6980">
        <w:rPr>
          <w:sz w:val="22"/>
          <w:szCs w:val="22"/>
        </w:rPr>
        <w:t xml:space="preserve">, as well as </w:t>
      </w:r>
      <w:r w:rsidR="000B6980">
        <w:rPr>
          <w:sz w:val="22"/>
          <w:szCs w:val="22"/>
        </w:rPr>
        <w:t>for the budgets of all settings</w:t>
      </w:r>
      <w:r w:rsidRPr="000B6980">
        <w:rPr>
          <w:sz w:val="22"/>
          <w:szCs w:val="22"/>
        </w:rPr>
        <w:t xml:space="preserve">. We assume that the DfE is also closely reviewing the value of </w:t>
      </w:r>
      <w:r w:rsidR="000B6980">
        <w:rPr>
          <w:sz w:val="22"/>
          <w:szCs w:val="22"/>
        </w:rPr>
        <w:t xml:space="preserve">the </w:t>
      </w:r>
      <w:r w:rsidRPr="000B6980">
        <w:rPr>
          <w:sz w:val="22"/>
          <w:szCs w:val="22"/>
        </w:rPr>
        <w:t>place-element funding, which is received by specialist settings.</w:t>
      </w:r>
    </w:p>
    <w:p w:rsidR="002977CE" w:rsidRPr="000B6980" w:rsidRDefault="002977CE" w:rsidP="002977CE">
      <w:pPr>
        <w:pStyle w:val="ListParagraph"/>
        <w:spacing w:after="160" w:line="259" w:lineRule="auto"/>
        <w:ind w:left="1080"/>
        <w:jc w:val="both"/>
        <w:rPr>
          <w:sz w:val="22"/>
          <w:szCs w:val="22"/>
        </w:rPr>
      </w:pPr>
    </w:p>
    <w:p w:rsidR="000B6980" w:rsidRPr="000B6980" w:rsidRDefault="002977CE" w:rsidP="000B6980">
      <w:pPr>
        <w:pStyle w:val="ListParagraph"/>
        <w:numPr>
          <w:ilvl w:val="1"/>
          <w:numId w:val="36"/>
        </w:numPr>
        <w:spacing w:after="160" w:line="259" w:lineRule="auto"/>
        <w:jc w:val="both"/>
        <w:rPr>
          <w:sz w:val="22"/>
          <w:szCs w:val="22"/>
        </w:rPr>
      </w:pPr>
      <w:r w:rsidRPr="000B6980">
        <w:rPr>
          <w:sz w:val="22"/>
          <w:szCs w:val="22"/>
        </w:rPr>
        <w:t>The DfE confirms that a standardised calculation of Notional SEND budgets will be implemented, at a point in the future, for mainstream primary and secondary schools and academies. This is an extension of the</w:t>
      </w:r>
      <w:r w:rsidR="000B6980">
        <w:rPr>
          <w:sz w:val="22"/>
          <w:szCs w:val="22"/>
        </w:rPr>
        <w:t xml:space="preserve"> hard National Funding Formula.</w:t>
      </w:r>
    </w:p>
    <w:p w:rsidR="000163EF" w:rsidRPr="000163EF" w:rsidRDefault="000B6980" w:rsidP="000163EF">
      <w:pPr>
        <w:jc w:val="both"/>
        <w:rPr>
          <w:sz w:val="22"/>
          <w:szCs w:val="22"/>
        </w:rPr>
      </w:pPr>
      <w:r>
        <w:rPr>
          <w:sz w:val="22"/>
          <w:szCs w:val="22"/>
        </w:rPr>
        <w:t xml:space="preserve">1.3 Further consultation, especially on changes to high needs funding mechanisms, is expected. In terms of timescales for implementation, in its recent messaging, the DfE has stated that the SEND and AP Review represents a longer-term programme of change. </w:t>
      </w:r>
      <w:r w:rsidR="000163EF" w:rsidRPr="000163EF">
        <w:rPr>
          <w:sz w:val="22"/>
          <w:szCs w:val="22"/>
        </w:rPr>
        <w:t>The DfE’s High Needs Block operational guidance</w:t>
      </w:r>
      <w:r w:rsidR="000163EF">
        <w:rPr>
          <w:sz w:val="22"/>
          <w:szCs w:val="22"/>
        </w:rPr>
        <w:t xml:space="preserve"> for the 2023/24 financial year</w:t>
      </w:r>
      <w:r w:rsidR="000163EF" w:rsidRPr="000163EF">
        <w:rPr>
          <w:sz w:val="22"/>
          <w:szCs w:val="22"/>
        </w:rPr>
        <w:t xml:space="preserve"> has confirmed that the values of place-element</w:t>
      </w:r>
      <w:r w:rsidR="000163EF">
        <w:rPr>
          <w:sz w:val="22"/>
          <w:szCs w:val="22"/>
        </w:rPr>
        <w:t xml:space="preserve"> funding (£10,000 and</w:t>
      </w:r>
      <w:r w:rsidR="000163EF" w:rsidRPr="000163EF">
        <w:rPr>
          <w:sz w:val="22"/>
          <w:szCs w:val="22"/>
        </w:rPr>
        <w:t xml:space="preserve"> £6,000), and the positions of the main ‘levers’ of the high needs place-plus fun</w:t>
      </w:r>
      <w:r w:rsidR="000163EF">
        <w:rPr>
          <w:sz w:val="22"/>
          <w:szCs w:val="22"/>
        </w:rPr>
        <w:t>ding system, remain unchanged</w:t>
      </w:r>
      <w:r w:rsidR="000163EF" w:rsidRPr="000163EF">
        <w:rPr>
          <w:sz w:val="22"/>
          <w:szCs w:val="22"/>
        </w:rPr>
        <w:t>. Local authorities continue to hold responsibility for calculating and allocating top-up funding</w:t>
      </w:r>
      <w:r w:rsidR="002D7577">
        <w:rPr>
          <w:sz w:val="22"/>
          <w:szCs w:val="22"/>
        </w:rPr>
        <w:t>. T</w:t>
      </w:r>
      <w:r w:rsidR="00041BB9">
        <w:rPr>
          <w:sz w:val="22"/>
          <w:szCs w:val="22"/>
        </w:rPr>
        <w:t>his</w:t>
      </w:r>
      <w:r w:rsidR="002D7577">
        <w:rPr>
          <w:sz w:val="22"/>
          <w:szCs w:val="22"/>
        </w:rPr>
        <w:t xml:space="preserve"> means that any changes in</w:t>
      </w:r>
      <w:r w:rsidR="000163EF" w:rsidRPr="000163EF">
        <w:rPr>
          <w:sz w:val="22"/>
          <w:szCs w:val="22"/>
        </w:rPr>
        <w:t xml:space="preserve"> High Needs Block formula funding, that may come from </w:t>
      </w:r>
      <w:r w:rsidR="00041BB9">
        <w:rPr>
          <w:sz w:val="22"/>
          <w:szCs w:val="22"/>
        </w:rPr>
        <w:t>the national Review</w:t>
      </w:r>
      <w:r w:rsidR="000163EF" w:rsidRPr="000163EF">
        <w:rPr>
          <w:sz w:val="22"/>
          <w:szCs w:val="22"/>
        </w:rPr>
        <w:t>, will now not be implemented before April 2024 at the earliest, and following further consultations to come.</w:t>
      </w:r>
      <w:r w:rsidR="002D7577">
        <w:rPr>
          <w:sz w:val="22"/>
          <w:szCs w:val="22"/>
        </w:rPr>
        <w:t xml:space="preserve"> The DfE has</w:t>
      </w:r>
      <w:r w:rsidR="00041BB9">
        <w:rPr>
          <w:sz w:val="22"/>
          <w:szCs w:val="22"/>
        </w:rPr>
        <w:t xml:space="preserve"> however,</w:t>
      </w:r>
      <w:r w:rsidR="002D7577">
        <w:rPr>
          <w:sz w:val="22"/>
          <w:szCs w:val="22"/>
        </w:rPr>
        <w:t xml:space="preserve"> provided some further guidance on Notional SEND</w:t>
      </w:r>
      <w:r w:rsidR="00041BB9">
        <w:rPr>
          <w:sz w:val="22"/>
          <w:szCs w:val="22"/>
        </w:rPr>
        <w:t xml:space="preserve"> budgets</w:t>
      </w:r>
      <w:r w:rsidR="00B44069">
        <w:rPr>
          <w:sz w:val="22"/>
          <w:szCs w:val="22"/>
        </w:rPr>
        <w:t xml:space="preserve"> for 2023/24</w:t>
      </w:r>
      <w:r w:rsidR="00041BB9">
        <w:rPr>
          <w:sz w:val="22"/>
          <w:szCs w:val="22"/>
        </w:rPr>
        <w:t>, which is</w:t>
      </w:r>
      <w:r w:rsidR="002D7577">
        <w:rPr>
          <w:sz w:val="22"/>
          <w:szCs w:val="22"/>
        </w:rPr>
        <w:t xml:space="preserve"> pick</w:t>
      </w:r>
      <w:r w:rsidR="00041BB9">
        <w:rPr>
          <w:sz w:val="22"/>
          <w:szCs w:val="22"/>
        </w:rPr>
        <w:t>ed</w:t>
      </w:r>
      <w:r w:rsidR="002D7577">
        <w:rPr>
          <w:sz w:val="22"/>
          <w:szCs w:val="22"/>
        </w:rPr>
        <w:t xml:space="preserve"> up within this consultation.</w:t>
      </w:r>
    </w:p>
    <w:p w:rsidR="007D2263" w:rsidRPr="00ED7E4E" w:rsidRDefault="007D2263" w:rsidP="00980344">
      <w:pPr>
        <w:jc w:val="both"/>
        <w:rPr>
          <w:sz w:val="22"/>
          <w:szCs w:val="22"/>
        </w:rPr>
      </w:pPr>
    </w:p>
    <w:p w:rsidR="00C22624" w:rsidRDefault="00041BB9" w:rsidP="00283214">
      <w:pPr>
        <w:jc w:val="both"/>
        <w:rPr>
          <w:sz w:val="22"/>
          <w:szCs w:val="22"/>
        </w:rPr>
      </w:pPr>
      <w:r>
        <w:rPr>
          <w:sz w:val="22"/>
          <w:szCs w:val="22"/>
        </w:rPr>
        <w:t>1.4</w:t>
      </w:r>
      <w:r w:rsidR="009D16B4">
        <w:rPr>
          <w:sz w:val="22"/>
          <w:szCs w:val="22"/>
        </w:rPr>
        <w:t xml:space="preserve"> </w:t>
      </w:r>
      <w:r w:rsidR="00311403">
        <w:rPr>
          <w:sz w:val="22"/>
          <w:szCs w:val="22"/>
        </w:rPr>
        <w:t>In introducing our consultation on our proposals for 2023/24 financial year high needs formula funding arrangements, w</w:t>
      </w:r>
      <w:r w:rsidR="008F0265">
        <w:rPr>
          <w:sz w:val="22"/>
          <w:szCs w:val="22"/>
        </w:rPr>
        <w:t>e would</w:t>
      </w:r>
      <w:r w:rsidR="00311403">
        <w:rPr>
          <w:sz w:val="22"/>
          <w:szCs w:val="22"/>
        </w:rPr>
        <w:t xml:space="preserve"> like to remind all settings</w:t>
      </w:r>
      <w:r w:rsidR="0058613E">
        <w:rPr>
          <w:sz w:val="22"/>
          <w:szCs w:val="22"/>
        </w:rPr>
        <w:t xml:space="preserve"> that </w:t>
      </w:r>
      <w:r w:rsidR="006C2E57">
        <w:rPr>
          <w:sz w:val="22"/>
          <w:szCs w:val="22"/>
        </w:rPr>
        <w:t>Bradford Council</w:t>
      </w:r>
      <w:r w:rsidR="00316541">
        <w:rPr>
          <w:sz w:val="22"/>
          <w:szCs w:val="22"/>
        </w:rPr>
        <w:t xml:space="preserve"> introduced</w:t>
      </w:r>
      <w:r w:rsidR="006C2E57">
        <w:rPr>
          <w:sz w:val="22"/>
          <w:szCs w:val="22"/>
        </w:rPr>
        <w:t>,</w:t>
      </w:r>
      <w:r w:rsidR="0058613E">
        <w:rPr>
          <w:sz w:val="22"/>
          <w:szCs w:val="22"/>
        </w:rPr>
        <w:t xml:space="preserve"> at April 2020</w:t>
      </w:r>
      <w:r w:rsidR="006C2E57">
        <w:rPr>
          <w:sz w:val="22"/>
          <w:szCs w:val="22"/>
        </w:rPr>
        <w:t>,</w:t>
      </w:r>
      <w:r w:rsidR="008F0265">
        <w:rPr>
          <w:sz w:val="22"/>
          <w:szCs w:val="22"/>
        </w:rPr>
        <w:t xml:space="preserve"> a new Banded Model for the allocation</w:t>
      </w:r>
      <w:r w:rsidR="003739C7">
        <w:rPr>
          <w:sz w:val="22"/>
          <w:szCs w:val="22"/>
        </w:rPr>
        <w:t xml:space="preserve"> of</w:t>
      </w:r>
      <w:r w:rsidR="00C6555C">
        <w:rPr>
          <w:sz w:val="22"/>
          <w:szCs w:val="22"/>
        </w:rPr>
        <w:t xml:space="preserve"> ‘</w:t>
      </w:r>
      <w:r w:rsidR="00D32993">
        <w:rPr>
          <w:sz w:val="22"/>
          <w:szCs w:val="22"/>
        </w:rPr>
        <w:t>top-up</w:t>
      </w:r>
      <w:r w:rsidR="00C6555C">
        <w:rPr>
          <w:sz w:val="22"/>
          <w:szCs w:val="22"/>
        </w:rPr>
        <w:t xml:space="preserve">’ </w:t>
      </w:r>
      <w:r w:rsidR="003739C7">
        <w:rPr>
          <w:sz w:val="22"/>
          <w:szCs w:val="22"/>
        </w:rPr>
        <w:t xml:space="preserve">funding </w:t>
      </w:r>
      <w:r w:rsidR="00C6555C">
        <w:rPr>
          <w:sz w:val="22"/>
          <w:szCs w:val="22"/>
        </w:rPr>
        <w:t xml:space="preserve">for </w:t>
      </w:r>
      <w:r w:rsidR="00E15111">
        <w:rPr>
          <w:sz w:val="22"/>
          <w:szCs w:val="22"/>
        </w:rPr>
        <w:t>Education Health and Care Plans (</w:t>
      </w:r>
      <w:r w:rsidR="00C6555C">
        <w:rPr>
          <w:sz w:val="22"/>
          <w:szCs w:val="22"/>
        </w:rPr>
        <w:t>EHCPs</w:t>
      </w:r>
      <w:r w:rsidR="00E15111">
        <w:rPr>
          <w:sz w:val="22"/>
          <w:szCs w:val="22"/>
        </w:rPr>
        <w:t>)</w:t>
      </w:r>
      <w:r w:rsidR="0058613E">
        <w:rPr>
          <w:sz w:val="22"/>
          <w:szCs w:val="22"/>
        </w:rPr>
        <w:t>. This model replaced</w:t>
      </w:r>
      <w:r w:rsidR="008F0265">
        <w:rPr>
          <w:sz w:val="22"/>
          <w:szCs w:val="22"/>
        </w:rPr>
        <w:t xml:space="preserve"> our previous</w:t>
      </w:r>
      <w:r w:rsidR="00C6555C">
        <w:rPr>
          <w:sz w:val="22"/>
          <w:szCs w:val="22"/>
        </w:rPr>
        <w:t xml:space="preserve"> </w:t>
      </w:r>
      <w:r w:rsidR="00A6697B">
        <w:rPr>
          <w:sz w:val="22"/>
          <w:szCs w:val="22"/>
        </w:rPr>
        <w:t>‘</w:t>
      </w:r>
      <w:r w:rsidR="00C6555C">
        <w:rPr>
          <w:sz w:val="22"/>
          <w:szCs w:val="22"/>
        </w:rPr>
        <w:t>Ranges Model</w:t>
      </w:r>
      <w:r w:rsidR="00A6697B">
        <w:rPr>
          <w:sz w:val="22"/>
          <w:szCs w:val="22"/>
        </w:rPr>
        <w:t>’</w:t>
      </w:r>
      <w:r w:rsidR="003A5CAE">
        <w:rPr>
          <w:sz w:val="22"/>
          <w:szCs w:val="22"/>
        </w:rPr>
        <w:t xml:space="preserve"> </w:t>
      </w:r>
      <w:r w:rsidR="00665267">
        <w:rPr>
          <w:sz w:val="22"/>
          <w:szCs w:val="22"/>
        </w:rPr>
        <w:t>and</w:t>
      </w:r>
      <w:r w:rsidR="00431B67">
        <w:rPr>
          <w:sz w:val="22"/>
          <w:szCs w:val="22"/>
        </w:rPr>
        <w:t xml:space="preserve"> significantly </w:t>
      </w:r>
      <w:r w:rsidR="0058613E">
        <w:rPr>
          <w:sz w:val="22"/>
          <w:szCs w:val="22"/>
        </w:rPr>
        <w:t>uplifted</w:t>
      </w:r>
      <w:r w:rsidR="00D57BC2">
        <w:rPr>
          <w:sz w:val="22"/>
          <w:szCs w:val="22"/>
        </w:rPr>
        <w:t xml:space="preserve"> the funding allocated for</w:t>
      </w:r>
      <w:r w:rsidR="002F0BEC">
        <w:rPr>
          <w:sz w:val="22"/>
          <w:szCs w:val="22"/>
        </w:rPr>
        <w:t xml:space="preserve"> </w:t>
      </w:r>
      <w:r w:rsidR="00C941F4">
        <w:rPr>
          <w:sz w:val="22"/>
          <w:szCs w:val="22"/>
        </w:rPr>
        <w:t>EHCPs across</w:t>
      </w:r>
      <w:r w:rsidR="00C6555C">
        <w:rPr>
          <w:sz w:val="22"/>
          <w:szCs w:val="22"/>
        </w:rPr>
        <w:t xml:space="preserve"> all settings.</w:t>
      </w:r>
      <w:r w:rsidR="0058613E">
        <w:rPr>
          <w:sz w:val="22"/>
          <w:szCs w:val="22"/>
        </w:rPr>
        <w:t xml:space="preserve"> </w:t>
      </w:r>
      <w:r w:rsidR="008958B9">
        <w:rPr>
          <w:sz w:val="22"/>
          <w:szCs w:val="22"/>
        </w:rPr>
        <w:t xml:space="preserve">EHCP </w:t>
      </w:r>
      <w:r w:rsidR="00D32993">
        <w:rPr>
          <w:sz w:val="22"/>
          <w:szCs w:val="22"/>
        </w:rPr>
        <w:t>top-up</w:t>
      </w:r>
      <w:r w:rsidR="006C2E57">
        <w:rPr>
          <w:sz w:val="22"/>
          <w:szCs w:val="22"/>
        </w:rPr>
        <w:t xml:space="preserve"> f</w:t>
      </w:r>
      <w:r w:rsidR="00E57949">
        <w:rPr>
          <w:sz w:val="22"/>
          <w:szCs w:val="22"/>
        </w:rPr>
        <w:t xml:space="preserve">unding has </w:t>
      </w:r>
      <w:r w:rsidR="00243AD0">
        <w:rPr>
          <w:sz w:val="22"/>
          <w:szCs w:val="22"/>
        </w:rPr>
        <w:t>been uplifted in each year since</w:t>
      </w:r>
      <w:r w:rsidR="005C753B">
        <w:rPr>
          <w:sz w:val="22"/>
          <w:szCs w:val="22"/>
        </w:rPr>
        <w:t>, and additionally in 2022/23 to pass through the DfE’s Schools Supplementary Grant funding</w:t>
      </w:r>
      <w:r w:rsidR="00E57949">
        <w:rPr>
          <w:sz w:val="22"/>
          <w:szCs w:val="22"/>
        </w:rPr>
        <w:t xml:space="preserve">. </w:t>
      </w:r>
      <w:r w:rsidR="00C941F4">
        <w:rPr>
          <w:sz w:val="22"/>
          <w:szCs w:val="22"/>
        </w:rPr>
        <w:t>The</w:t>
      </w:r>
      <w:r w:rsidR="00D4546C">
        <w:rPr>
          <w:sz w:val="22"/>
          <w:szCs w:val="22"/>
        </w:rPr>
        <w:t xml:space="preserve"> </w:t>
      </w:r>
      <w:r w:rsidR="006C2E57">
        <w:rPr>
          <w:sz w:val="22"/>
          <w:szCs w:val="22"/>
        </w:rPr>
        <w:t>Banded M</w:t>
      </w:r>
      <w:r w:rsidR="00D4546C">
        <w:rPr>
          <w:sz w:val="22"/>
          <w:szCs w:val="22"/>
        </w:rPr>
        <w:t>odel</w:t>
      </w:r>
      <w:r w:rsidR="006C2E57">
        <w:rPr>
          <w:sz w:val="22"/>
          <w:szCs w:val="22"/>
        </w:rPr>
        <w:t xml:space="preserve"> continues to include</w:t>
      </w:r>
      <w:r w:rsidR="008F0265">
        <w:rPr>
          <w:sz w:val="22"/>
          <w:szCs w:val="22"/>
        </w:rPr>
        <w:t xml:space="preserve"> protect</w:t>
      </w:r>
      <w:r w:rsidR="006C2E57">
        <w:rPr>
          <w:sz w:val="22"/>
          <w:szCs w:val="22"/>
        </w:rPr>
        <w:t>ions, which</w:t>
      </w:r>
      <w:r w:rsidR="008F0265">
        <w:rPr>
          <w:sz w:val="22"/>
          <w:szCs w:val="22"/>
        </w:rPr>
        <w:t xml:space="preserve"> ensure that no</w:t>
      </w:r>
      <w:r w:rsidR="00522CDD">
        <w:rPr>
          <w:sz w:val="22"/>
          <w:szCs w:val="22"/>
        </w:rPr>
        <w:t xml:space="preserve"> EHCP</w:t>
      </w:r>
      <w:r w:rsidR="006C2E57">
        <w:rPr>
          <w:sz w:val="22"/>
          <w:szCs w:val="22"/>
        </w:rPr>
        <w:t xml:space="preserve"> that was</w:t>
      </w:r>
      <w:r w:rsidR="00431B67">
        <w:rPr>
          <w:sz w:val="22"/>
          <w:szCs w:val="22"/>
        </w:rPr>
        <w:t xml:space="preserve"> </w:t>
      </w:r>
      <w:r w:rsidR="00D71D1A">
        <w:rPr>
          <w:sz w:val="22"/>
          <w:szCs w:val="22"/>
        </w:rPr>
        <w:t>in place</w:t>
      </w:r>
      <w:r w:rsidR="00431B67">
        <w:rPr>
          <w:sz w:val="22"/>
          <w:szCs w:val="22"/>
        </w:rPr>
        <w:t xml:space="preserve"> on 1 April 2020</w:t>
      </w:r>
      <w:r w:rsidR="003739C7">
        <w:rPr>
          <w:sz w:val="22"/>
          <w:szCs w:val="22"/>
        </w:rPr>
        <w:t xml:space="preserve"> </w:t>
      </w:r>
      <w:r w:rsidR="009E65DA">
        <w:rPr>
          <w:sz w:val="22"/>
          <w:szCs w:val="22"/>
        </w:rPr>
        <w:t xml:space="preserve">has </w:t>
      </w:r>
      <w:r w:rsidR="003739C7">
        <w:rPr>
          <w:sz w:val="22"/>
          <w:szCs w:val="22"/>
        </w:rPr>
        <w:t>reduce</w:t>
      </w:r>
      <w:r w:rsidR="009E65DA">
        <w:rPr>
          <w:sz w:val="22"/>
          <w:szCs w:val="22"/>
        </w:rPr>
        <w:t>d</w:t>
      </w:r>
      <w:r w:rsidR="008F0265">
        <w:rPr>
          <w:sz w:val="22"/>
          <w:szCs w:val="22"/>
        </w:rPr>
        <w:t xml:space="preserve"> in value</w:t>
      </w:r>
      <w:r w:rsidR="00AE7E6D">
        <w:rPr>
          <w:sz w:val="22"/>
          <w:szCs w:val="22"/>
        </w:rPr>
        <w:t xml:space="preserve"> as a result of</w:t>
      </w:r>
      <w:r w:rsidR="006052E1">
        <w:rPr>
          <w:sz w:val="22"/>
          <w:szCs w:val="22"/>
        </w:rPr>
        <w:t xml:space="preserve"> </w:t>
      </w:r>
      <w:r w:rsidR="006C2E57">
        <w:rPr>
          <w:sz w:val="22"/>
          <w:szCs w:val="22"/>
        </w:rPr>
        <w:t xml:space="preserve">funding </w:t>
      </w:r>
      <w:r w:rsidR="006052E1">
        <w:rPr>
          <w:sz w:val="22"/>
          <w:szCs w:val="22"/>
        </w:rPr>
        <w:t xml:space="preserve">model </w:t>
      </w:r>
      <w:r w:rsidR="00AE7E6D">
        <w:rPr>
          <w:sz w:val="22"/>
          <w:szCs w:val="22"/>
        </w:rPr>
        <w:t>change</w:t>
      </w:r>
      <w:r w:rsidR="008F0265">
        <w:rPr>
          <w:sz w:val="22"/>
          <w:szCs w:val="22"/>
        </w:rPr>
        <w:t xml:space="preserve">. </w:t>
      </w:r>
      <w:r w:rsidR="0058613E">
        <w:rPr>
          <w:sz w:val="22"/>
          <w:szCs w:val="22"/>
        </w:rPr>
        <w:t>We</w:t>
      </w:r>
      <w:r w:rsidR="00AE7E6D">
        <w:rPr>
          <w:sz w:val="22"/>
          <w:szCs w:val="22"/>
        </w:rPr>
        <w:t xml:space="preserve"> also</w:t>
      </w:r>
      <w:r w:rsidR="00522CDD">
        <w:rPr>
          <w:sz w:val="22"/>
          <w:szCs w:val="22"/>
        </w:rPr>
        <w:t xml:space="preserve"> introduced</w:t>
      </w:r>
      <w:r w:rsidR="0058613E">
        <w:rPr>
          <w:sz w:val="22"/>
          <w:szCs w:val="22"/>
        </w:rPr>
        <w:t xml:space="preserve"> at April 2020</w:t>
      </w:r>
      <w:r w:rsidR="00522CDD">
        <w:rPr>
          <w:sz w:val="22"/>
          <w:szCs w:val="22"/>
        </w:rPr>
        <w:t xml:space="preserve"> a new Day Rate Model for the funding of </w:t>
      </w:r>
      <w:r w:rsidR="00944593">
        <w:rPr>
          <w:sz w:val="22"/>
          <w:szCs w:val="22"/>
        </w:rPr>
        <w:t xml:space="preserve">alternative </w:t>
      </w:r>
      <w:r w:rsidR="0064336C">
        <w:rPr>
          <w:sz w:val="22"/>
          <w:szCs w:val="22"/>
        </w:rPr>
        <w:t>provision for pupils permanently excluded</w:t>
      </w:r>
      <w:r w:rsidR="00522CDD">
        <w:rPr>
          <w:sz w:val="22"/>
          <w:szCs w:val="22"/>
        </w:rPr>
        <w:t>.</w:t>
      </w:r>
      <w:r w:rsidR="006C2E57">
        <w:rPr>
          <w:sz w:val="22"/>
          <w:szCs w:val="22"/>
        </w:rPr>
        <w:t xml:space="preserve"> Funding allocated via this </w:t>
      </w:r>
      <w:r w:rsidR="00A12941">
        <w:rPr>
          <w:sz w:val="22"/>
          <w:szCs w:val="22"/>
        </w:rPr>
        <w:t xml:space="preserve">Day Rate </w:t>
      </w:r>
      <w:r w:rsidR="00C941F4">
        <w:rPr>
          <w:sz w:val="22"/>
          <w:szCs w:val="22"/>
        </w:rPr>
        <w:t>M</w:t>
      </w:r>
      <w:r w:rsidR="006C2E57">
        <w:rPr>
          <w:sz w:val="22"/>
          <w:szCs w:val="22"/>
        </w:rPr>
        <w:t>odel has been uplifted in</w:t>
      </w:r>
      <w:r w:rsidR="00243AD0">
        <w:rPr>
          <w:sz w:val="22"/>
          <w:szCs w:val="22"/>
        </w:rPr>
        <w:t xml:space="preserve"> </w:t>
      </w:r>
      <w:r w:rsidR="00243AD0" w:rsidRPr="00283214">
        <w:rPr>
          <w:sz w:val="22"/>
          <w:szCs w:val="22"/>
        </w:rPr>
        <w:t>each year since</w:t>
      </w:r>
      <w:r w:rsidR="005C753B">
        <w:rPr>
          <w:sz w:val="22"/>
          <w:szCs w:val="22"/>
        </w:rPr>
        <w:t>, and additionally in 2022/23 to pass through the DfE’s Schools Supplementary Grant funding.</w:t>
      </w:r>
    </w:p>
    <w:p w:rsidR="00C22624" w:rsidRDefault="00C22624" w:rsidP="00283214">
      <w:pPr>
        <w:jc w:val="both"/>
        <w:rPr>
          <w:sz w:val="22"/>
          <w:szCs w:val="22"/>
        </w:rPr>
      </w:pPr>
    </w:p>
    <w:p w:rsidR="00AA4AB8" w:rsidRDefault="00C22624" w:rsidP="009D16B4">
      <w:pPr>
        <w:jc w:val="both"/>
        <w:rPr>
          <w:sz w:val="22"/>
          <w:szCs w:val="22"/>
        </w:rPr>
      </w:pPr>
      <w:r>
        <w:rPr>
          <w:sz w:val="22"/>
          <w:szCs w:val="22"/>
        </w:rPr>
        <w:t xml:space="preserve">1.5 </w:t>
      </w:r>
      <w:r w:rsidR="00A6697B" w:rsidRPr="00283214">
        <w:rPr>
          <w:sz w:val="22"/>
          <w:szCs w:val="22"/>
        </w:rPr>
        <w:t>It</w:t>
      </w:r>
      <w:r w:rsidR="008F0265" w:rsidRPr="00283214">
        <w:rPr>
          <w:sz w:val="22"/>
          <w:szCs w:val="22"/>
        </w:rPr>
        <w:t xml:space="preserve"> </w:t>
      </w:r>
      <w:r w:rsidR="00283214">
        <w:rPr>
          <w:sz w:val="22"/>
          <w:szCs w:val="22"/>
        </w:rPr>
        <w:t xml:space="preserve">is our </w:t>
      </w:r>
      <w:r w:rsidR="00A6697B" w:rsidRPr="00283214">
        <w:rPr>
          <w:sz w:val="22"/>
          <w:szCs w:val="22"/>
        </w:rPr>
        <w:t>intention</w:t>
      </w:r>
      <w:r w:rsidR="00215393" w:rsidRPr="00283214">
        <w:rPr>
          <w:sz w:val="22"/>
          <w:szCs w:val="22"/>
        </w:rPr>
        <w:t xml:space="preserve"> </w:t>
      </w:r>
      <w:r w:rsidR="00A6697B" w:rsidRPr="00283214">
        <w:rPr>
          <w:sz w:val="22"/>
          <w:szCs w:val="22"/>
        </w:rPr>
        <w:t xml:space="preserve">to </w:t>
      </w:r>
      <w:r w:rsidR="00283214">
        <w:rPr>
          <w:sz w:val="22"/>
          <w:szCs w:val="22"/>
        </w:rPr>
        <w:t xml:space="preserve">continue to </w:t>
      </w:r>
      <w:r w:rsidR="00A6697B" w:rsidRPr="00283214">
        <w:rPr>
          <w:sz w:val="22"/>
          <w:szCs w:val="22"/>
        </w:rPr>
        <w:t>use</w:t>
      </w:r>
      <w:r w:rsidR="00B5760C" w:rsidRPr="00283214">
        <w:rPr>
          <w:sz w:val="22"/>
          <w:szCs w:val="22"/>
        </w:rPr>
        <w:t xml:space="preserve"> the</w:t>
      </w:r>
      <w:r w:rsidR="00283214" w:rsidRPr="00283214">
        <w:rPr>
          <w:sz w:val="22"/>
          <w:szCs w:val="22"/>
        </w:rPr>
        <w:t xml:space="preserve">se </w:t>
      </w:r>
      <w:r w:rsidR="00071F76">
        <w:rPr>
          <w:sz w:val="22"/>
          <w:szCs w:val="22"/>
        </w:rPr>
        <w:t xml:space="preserve">two </w:t>
      </w:r>
      <w:r w:rsidR="0003204A">
        <w:rPr>
          <w:sz w:val="22"/>
          <w:szCs w:val="22"/>
        </w:rPr>
        <w:t xml:space="preserve">now </w:t>
      </w:r>
      <w:r w:rsidR="00071F76">
        <w:rPr>
          <w:sz w:val="22"/>
          <w:szCs w:val="22"/>
        </w:rPr>
        <w:t xml:space="preserve">established </w:t>
      </w:r>
      <w:r w:rsidR="00283214" w:rsidRPr="00283214">
        <w:rPr>
          <w:sz w:val="22"/>
          <w:szCs w:val="22"/>
        </w:rPr>
        <w:t xml:space="preserve">funding models </w:t>
      </w:r>
      <w:r>
        <w:rPr>
          <w:sz w:val="22"/>
          <w:szCs w:val="22"/>
        </w:rPr>
        <w:t>to allocate top-</w:t>
      </w:r>
      <w:r w:rsidR="00283214" w:rsidRPr="00283214">
        <w:rPr>
          <w:sz w:val="22"/>
          <w:szCs w:val="22"/>
        </w:rPr>
        <w:t>up funding to settings in Bradford</w:t>
      </w:r>
      <w:r w:rsidR="00283214">
        <w:rPr>
          <w:sz w:val="22"/>
          <w:szCs w:val="22"/>
        </w:rPr>
        <w:t xml:space="preserve"> in 2023/24.</w:t>
      </w:r>
      <w:r>
        <w:rPr>
          <w:sz w:val="22"/>
          <w:szCs w:val="22"/>
        </w:rPr>
        <w:t xml:space="preserve"> </w:t>
      </w:r>
      <w:r w:rsidR="00BD2DB5">
        <w:rPr>
          <w:sz w:val="22"/>
          <w:szCs w:val="22"/>
        </w:rPr>
        <w:t>In quick summary,</w:t>
      </w:r>
      <w:r w:rsidR="00C02106">
        <w:rPr>
          <w:sz w:val="22"/>
          <w:szCs w:val="22"/>
        </w:rPr>
        <w:t xml:space="preserve"> overall,</w:t>
      </w:r>
      <w:r w:rsidR="00BD2DB5">
        <w:rPr>
          <w:sz w:val="22"/>
          <w:szCs w:val="22"/>
        </w:rPr>
        <w:t xml:space="preserve"> we propose</w:t>
      </w:r>
      <w:r w:rsidR="009E65DA">
        <w:rPr>
          <w:sz w:val="22"/>
          <w:szCs w:val="22"/>
        </w:rPr>
        <w:t xml:space="preserve"> the following</w:t>
      </w:r>
      <w:r>
        <w:rPr>
          <w:sz w:val="22"/>
          <w:szCs w:val="22"/>
        </w:rPr>
        <w:t xml:space="preserve"> for 2023/24</w:t>
      </w:r>
      <w:r w:rsidR="00AC0B5A">
        <w:rPr>
          <w:sz w:val="22"/>
          <w:szCs w:val="22"/>
        </w:rPr>
        <w:t>. T</w:t>
      </w:r>
      <w:r w:rsidR="00EE48AA">
        <w:rPr>
          <w:sz w:val="22"/>
          <w:szCs w:val="22"/>
        </w:rPr>
        <w:t>o</w:t>
      </w:r>
      <w:r w:rsidR="00AC0B5A">
        <w:rPr>
          <w:sz w:val="22"/>
          <w:szCs w:val="22"/>
        </w:rPr>
        <w:t>:</w:t>
      </w:r>
    </w:p>
    <w:p w:rsidR="00AA4AB8" w:rsidRDefault="00AA4AB8" w:rsidP="009D16B4">
      <w:pPr>
        <w:jc w:val="both"/>
        <w:rPr>
          <w:sz w:val="22"/>
          <w:szCs w:val="22"/>
        </w:rPr>
      </w:pPr>
    </w:p>
    <w:p w:rsidR="00EE48AA" w:rsidRPr="0003204A" w:rsidRDefault="00EE48AA" w:rsidP="00EE48AA">
      <w:pPr>
        <w:pStyle w:val="ListParagraph"/>
        <w:numPr>
          <w:ilvl w:val="0"/>
          <w:numId w:val="16"/>
        </w:numPr>
        <w:jc w:val="both"/>
        <w:rPr>
          <w:sz w:val="22"/>
          <w:szCs w:val="22"/>
        </w:rPr>
      </w:pPr>
      <w:r w:rsidRPr="0003204A">
        <w:rPr>
          <w:sz w:val="22"/>
          <w:szCs w:val="22"/>
        </w:rPr>
        <w:t>C</w:t>
      </w:r>
      <w:r w:rsidR="00C1017B" w:rsidRPr="0003204A">
        <w:rPr>
          <w:sz w:val="22"/>
          <w:szCs w:val="22"/>
        </w:rPr>
        <w:t xml:space="preserve">ontinue to allocate </w:t>
      </w:r>
      <w:r w:rsidR="00D32993" w:rsidRPr="0003204A">
        <w:rPr>
          <w:sz w:val="22"/>
          <w:szCs w:val="22"/>
        </w:rPr>
        <w:t>top-up</w:t>
      </w:r>
      <w:r w:rsidR="00C1017B" w:rsidRPr="0003204A">
        <w:rPr>
          <w:sz w:val="22"/>
          <w:szCs w:val="22"/>
        </w:rPr>
        <w:t xml:space="preserve"> funding using our existing EHCP Banded Model and</w:t>
      </w:r>
      <w:r w:rsidR="00C14EDE" w:rsidRPr="0003204A">
        <w:rPr>
          <w:sz w:val="22"/>
          <w:szCs w:val="22"/>
        </w:rPr>
        <w:t xml:space="preserve"> Day Rate Model</w:t>
      </w:r>
      <w:r w:rsidR="00C1017B" w:rsidRPr="0003204A">
        <w:rPr>
          <w:sz w:val="22"/>
          <w:szCs w:val="22"/>
        </w:rPr>
        <w:t xml:space="preserve">, uplifting the values of </w:t>
      </w:r>
      <w:r w:rsidR="00620916" w:rsidRPr="0003204A">
        <w:rPr>
          <w:sz w:val="22"/>
          <w:szCs w:val="22"/>
        </w:rPr>
        <w:t xml:space="preserve">the </w:t>
      </w:r>
      <w:r w:rsidR="00D32993" w:rsidRPr="0003204A">
        <w:rPr>
          <w:sz w:val="22"/>
          <w:szCs w:val="22"/>
        </w:rPr>
        <w:t>top-up</w:t>
      </w:r>
      <w:r w:rsidR="00C1017B" w:rsidRPr="0003204A">
        <w:rPr>
          <w:sz w:val="22"/>
          <w:szCs w:val="22"/>
        </w:rPr>
        <w:t xml:space="preserve"> funding allocated by these two models</w:t>
      </w:r>
      <w:r w:rsidR="00C14EDE" w:rsidRPr="0003204A">
        <w:rPr>
          <w:sz w:val="22"/>
          <w:szCs w:val="22"/>
        </w:rPr>
        <w:t>.</w:t>
      </w:r>
      <w:r w:rsidR="007F01FF" w:rsidRPr="0003204A">
        <w:rPr>
          <w:sz w:val="22"/>
          <w:szCs w:val="22"/>
        </w:rPr>
        <w:t xml:space="preserve"> Please see </w:t>
      </w:r>
      <w:r w:rsidR="00D1596F" w:rsidRPr="0003204A">
        <w:rPr>
          <w:sz w:val="22"/>
          <w:szCs w:val="22"/>
        </w:rPr>
        <w:t>section</w:t>
      </w:r>
      <w:r w:rsidR="003E30D6" w:rsidRPr="0003204A">
        <w:rPr>
          <w:sz w:val="22"/>
          <w:szCs w:val="22"/>
        </w:rPr>
        <w:t>s</w:t>
      </w:r>
      <w:r w:rsidR="007F01FF" w:rsidRPr="0003204A">
        <w:rPr>
          <w:sz w:val="22"/>
          <w:szCs w:val="22"/>
        </w:rPr>
        <w:t xml:space="preserve"> </w:t>
      </w:r>
      <w:r w:rsidR="003E30D6" w:rsidRPr="0003204A">
        <w:rPr>
          <w:sz w:val="22"/>
          <w:szCs w:val="22"/>
        </w:rPr>
        <w:t>6 and 8.</w:t>
      </w:r>
    </w:p>
    <w:p w:rsidR="00EE48AA" w:rsidRPr="0003204A" w:rsidRDefault="00EE48AA" w:rsidP="00EE48AA">
      <w:pPr>
        <w:pStyle w:val="ListParagraph"/>
        <w:ind w:left="360"/>
        <w:jc w:val="both"/>
        <w:rPr>
          <w:sz w:val="22"/>
          <w:szCs w:val="22"/>
        </w:rPr>
      </w:pPr>
    </w:p>
    <w:p w:rsidR="00C1017B" w:rsidRPr="0003204A" w:rsidRDefault="00EE48AA" w:rsidP="00EE48AA">
      <w:pPr>
        <w:pStyle w:val="ListParagraph"/>
        <w:numPr>
          <w:ilvl w:val="0"/>
          <w:numId w:val="16"/>
        </w:numPr>
        <w:jc w:val="both"/>
        <w:rPr>
          <w:sz w:val="22"/>
          <w:szCs w:val="22"/>
        </w:rPr>
      </w:pPr>
      <w:r w:rsidRPr="0003204A">
        <w:rPr>
          <w:sz w:val="22"/>
          <w:szCs w:val="22"/>
        </w:rPr>
        <w:t>C</w:t>
      </w:r>
      <w:r w:rsidR="00C1017B" w:rsidRPr="0003204A">
        <w:rPr>
          <w:sz w:val="22"/>
          <w:szCs w:val="22"/>
        </w:rPr>
        <w:t xml:space="preserve">ontinue </w:t>
      </w:r>
      <w:r w:rsidR="00677A16" w:rsidRPr="0003204A">
        <w:rPr>
          <w:sz w:val="22"/>
          <w:szCs w:val="22"/>
        </w:rPr>
        <w:t xml:space="preserve">the </w:t>
      </w:r>
      <w:r w:rsidRPr="0003204A">
        <w:rPr>
          <w:sz w:val="22"/>
          <w:szCs w:val="22"/>
        </w:rPr>
        <w:t>setting-</w:t>
      </w:r>
      <w:r w:rsidR="00677A16" w:rsidRPr="0003204A">
        <w:rPr>
          <w:sz w:val="22"/>
          <w:szCs w:val="22"/>
        </w:rPr>
        <w:t>led</w:t>
      </w:r>
      <w:r w:rsidRPr="0003204A">
        <w:rPr>
          <w:sz w:val="22"/>
          <w:szCs w:val="22"/>
        </w:rPr>
        <w:t xml:space="preserve"> need factors </w:t>
      </w:r>
      <w:r w:rsidR="0003204A" w:rsidRPr="0003204A">
        <w:rPr>
          <w:sz w:val="22"/>
          <w:szCs w:val="22"/>
        </w:rPr>
        <w:t>as are currently</w:t>
      </w:r>
      <w:r w:rsidR="00677A16" w:rsidRPr="0003204A">
        <w:rPr>
          <w:sz w:val="22"/>
          <w:szCs w:val="22"/>
        </w:rPr>
        <w:t xml:space="preserve"> </w:t>
      </w:r>
      <w:r w:rsidR="00C33026" w:rsidRPr="0003204A">
        <w:rPr>
          <w:sz w:val="22"/>
          <w:szCs w:val="22"/>
        </w:rPr>
        <w:t>applied</w:t>
      </w:r>
      <w:r w:rsidR="00C22624" w:rsidRPr="0003204A">
        <w:rPr>
          <w:sz w:val="22"/>
          <w:szCs w:val="22"/>
        </w:rPr>
        <w:t xml:space="preserve"> in 2022/23</w:t>
      </w:r>
      <w:r w:rsidR="00C33026" w:rsidRPr="0003204A">
        <w:rPr>
          <w:sz w:val="22"/>
          <w:szCs w:val="22"/>
        </w:rPr>
        <w:t xml:space="preserve"> in</w:t>
      </w:r>
      <w:r w:rsidR="00C1017B" w:rsidRPr="0003204A">
        <w:rPr>
          <w:sz w:val="22"/>
          <w:szCs w:val="22"/>
        </w:rPr>
        <w:t xml:space="preserve"> the funding of specialist provisions. Please see </w:t>
      </w:r>
      <w:r w:rsidR="00677A16" w:rsidRPr="0003204A">
        <w:rPr>
          <w:sz w:val="22"/>
          <w:szCs w:val="22"/>
        </w:rPr>
        <w:t>section 7.</w:t>
      </w:r>
    </w:p>
    <w:p w:rsidR="00C14EDE" w:rsidRPr="0003204A" w:rsidRDefault="00C14EDE" w:rsidP="00C14EDE">
      <w:pPr>
        <w:pStyle w:val="ListParagraph"/>
        <w:ind w:left="360"/>
        <w:jc w:val="both"/>
        <w:rPr>
          <w:sz w:val="22"/>
          <w:szCs w:val="22"/>
        </w:rPr>
      </w:pPr>
    </w:p>
    <w:p w:rsidR="00EE48AA" w:rsidRPr="0003204A" w:rsidRDefault="00EE48AA" w:rsidP="00EE48AA">
      <w:pPr>
        <w:pStyle w:val="ListParagraph"/>
        <w:numPr>
          <w:ilvl w:val="0"/>
          <w:numId w:val="16"/>
        </w:numPr>
        <w:jc w:val="both"/>
        <w:rPr>
          <w:sz w:val="22"/>
          <w:szCs w:val="22"/>
        </w:rPr>
      </w:pPr>
      <w:r w:rsidRPr="0003204A">
        <w:rPr>
          <w:sz w:val="22"/>
          <w:szCs w:val="22"/>
        </w:rPr>
        <w:t xml:space="preserve">Continue to allocate the former Teacher Pay </w:t>
      </w:r>
      <w:r w:rsidR="0003204A" w:rsidRPr="0003204A">
        <w:rPr>
          <w:sz w:val="22"/>
          <w:szCs w:val="22"/>
        </w:rPr>
        <w:t xml:space="preserve">and </w:t>
      </w:r>
      <w:r w:rsidRPr="0003204A">
        <w:rPr>
          <w:sz w:val="22"/>
          <w:szCs w:val="22"/>
        </w:rPr>
        <w:t>Pension Grant</w:t>
      </w:r>
      <w:r w:rsidR="0003204A" w:rsidRPr="0003204A">
        <w:rPr>
          <w:sz w:val="22"/>
          <w:szCs w:val="22"/>
        </w:rPr>
        <w:t>s</w:t>
      </w:r>
      <w:r w:rsidRPr="0003204A">
        <w:rPr>
          <w:sz w:val="22"/>
          <w:szCs w:val="22"/>
        </w:rPr>
        <w:t xml:space="preserve">, separately from </w:t>
      </w:r>
      <w:r w:rsidR="00D32993" w:rsidRPr="0003204A">
        <w:rPr>
          <w:sz w:val="22"/>
          <w:szCs w:val="22"/>
        </w:rPr>
        <w:t>top-up</w:t>
      </w:r>
      <w:r w:rsidRPr="0003204A">
        <w:rPr>
          <w:sz w:val="22"/>
          <w:szCs w:val="22"/>
        </w:rPr>
        <w:t xml:space="preserve"> funding, </w:t>
      </w:r>
      <w:r w:rsidR="00C02106" w:rsidRPr="0003204A">
        <w:rPr>
          <w:sz w:val="22"/>
          <w:szCs w:val="22"/>
        </w:rPr>
        <w:t xml:space="preserve">using the method </w:t>
      </w:r>
      <w:r w:rsidR="00C22624" w:rsidRPr="0003204A">
        <w:rPr>
          <w:sz w:val="22"/>
          <w:szCs w:val="22"/>
        </w:rPr>
        <w:t xml:space="preserve">and values </w:t>
      </w:r>
      <w:r w:rsidR="00C02106" w:rsidRPr="0003204A">
        <w:rPr>
          <w:sz w:val="22"/>
          <w:szCs w:val="22"/>
        </w:rPr>
        <w:t>we used in 2022/23</w:t>
      </w:r>
      <w:r w:rsidRPr="0003204A">
        <w:rPr>
          <w:sz w:val="22"/>
          <w:szCs w:val="22"/>
        </w:rPr>
        <w:t>. Please see section 9.</w:t>
      </w:r>
    </w:p>
    <w:p w:rsidR="00EE48AA" w:rsidRPr="0003204A" w:rsidRDefault="00EE48AA" w:rsidP="00EE48AA">
      <w:pPr>
        <w:pStyle w:val="ListParagraph"/>
        <w:rPr>
          <w:sz w:val="22"/>
          <w:szCs w:val="22"/>
        </w:rPr>
      </w:pPr>
    </w:p>
    <w:p w:rsidR="00B31749" w:rsidRPr="0003204A" w:rsidRDefault="00B31749" w:rsidP="00B31749">
      <w:pPr>
        <w:pStyle w:val="ListParagraph"/>
        <w:numPr>
          <w:ilvl w:val="0"/>
          <w:numId w:val="16"/>
        </w:numPr>
        <w:jc w:val="both"/>
        <w:rPr>
          <w:sz w:val="22"/>
          <w:szCs w:val="22"/>
        </w:rPr>
      </w:pPr>
      <w:r w:rsidRPr="0003204A">
        <w:rPr>
          <w:sz w:val="22"/>
          <w:szCs w:val="22"/>
        </w:rPr>
        <w:t>Amend our definition of Notional SEND budgets for mainstream schools and academies in 2023/24. Please see Section 10.</w:t>
      </w:r>
    </w:p>
    <w:p w:rsidR="00B31749" w:rsidRPr="0003204A" w:rsidRDefault="00B31749" w:rsidP="00B31749">
      <w:pPr>
        <w:pStyle w:val="ListParagraph"/>
        <w:ind w:left="360"/>
        <w:jc w:val="both"/>
        <w:rPr>
          <w:sz w:val="22"/>
          <w:szCs w:val="22"/>
        </w:rPr>
      </w:pPr>
    </w:p>
    <w:p w:rsidR="00C33026" w:rsidRPr="0003204A" w:rsidRDefault="00C33026" w:rsidP="009D16B4">
      <w:pPr>
        <w:pStyle w:val="ListParagraph"/>
        <w:numPr>
          <w:ilvl w:val="0"/>
          <w:numId w:val="16"/>
        </w:numPr>
        <w:jc w:val="both"/>
        <w:rPr>
          <w:sz w:val="22"/>
          <w:szCs w:val="22"/>
        </w:rPr>
      </w:pPr>
      <w:r w:rsidRPr="0003204A">
        <w:rPr>
          <w:sz w:val="22"/>
          <w:szCs w:val="22"/>
        </w:rPr>
        <w:t>C</w:t>
      </w:r>
      <w:r w:rsidR="00101394" w:rsidRPr="0003204A">
        <w:rPr>
          <w:sz w:val="22"/>
          <w:szCs w:val="22"/>
        </w:rPr>
        <w:t>ontinue for an additional</w:t>
      </w:r>
      <w:r w:rsidR="003D1A7E" w:rsidRPr="0003204A">
        <w:rPr>
          <w:sz w:val="22"/>
          <w:szCs w:val="22"/>
        </w:rPr>
        <w:t xml:space="preserve"> year</w:t>
      </w:r>
      <w:r w:rsidR="000A2095" w:rsidRPr="0003204A">
        <w:rPr>
          <w:sz w:val="22"/>
          <w:szCs w:val="22"/>
        </w:rPr>
        <w:t xml:space="preserve"> </w:t>
      </w:r>
      <w:r w:rsidR="00620916" w:rsidRPr="0003204A">
        <w:rPr>
          <w:sz w:val="22"/>
          <w:szCs w:val="22"/>
        </w:rPr>
        <w:t>the</w:t>
      </w:r>
      <w:r w:rsidR="00C14EDE" w:rsidRPr="0003204A">
        <w:rPr>
          <w:sz w:val="22"/>
          <w:szCs w:val="22"/>
        </w:rPr>
        <w:t xml:space="preserve"> </w:t>
      </w:r>
      <w:r w:rsidR="00620916" w:rsidRPr="0003204A">
        <w:rPr>
          <w:sz w:val="22"/>
          <w:szCs w:val="22"/>
        </w:rPr>
        <w:t>amended</w:t>
      </w:r>
      <w:r w:rsidR="007A41E5" w:rsidRPr="0003204A">
        <w:rPr>
          <w:sz w:val="22"/>
          <w:szCs w:val="22"/>
        </w:rPr>
        <w:t xml:space="preserve"> SEND Funding Floor mechanism</w:t>
      </w:r>
      <w:r w:rsidR="003D1A7E" w:rsidRPr="0003204A">
        <w:rPr>
          <w:sz w:val="22"/>
          <w:szCs w:val="22"/>
        </w:rPr>
        <w:t xml:space="preserve"> </w:t>
      </w:r>
      <w:r w:rsidR="00620916" w:rsidRPr="0003204A">
        <w:rPr>
          <w:sz w:val="22"/>
          <w:szCs w:val="22"/>
        </w:rPr>
        <w:t>that we</w:t>
      </w:r>
      <w:r w:rsidR="00692C3A" w:rsidRPr="0003204A">
        <w:rPr>
          <w:sz w:val="22"/>
          <w:szCs w:val="22"/>
        </w:rPr>
        <w:t xml:space="preserve"> introduced in</w:t>
      </w:r>
      <w:r w:rsidR="00EE48AA" w:rsidRPr="0003204A">
        <w:rPr>
          <w:sz w:val="22"/>
          <w:szCs w:val="22"/>
        </w:rPr>
        <w:t xml:space="preserve"> 2021/22</w:t>
      </w:r>
      <w:r w:rsidR="00C22624" w:rsidRPr="0003204A">
        <w:rPr>
          <w:sz w:val="22"/>
          <w:szCs w:val="22"/>
        </w:rPr>
        <w:t>,</w:t>
      </w:r>
      <w:r w:rsidR="00EE48AA" w:rsidRPr="0003204A">
        <w:rPr>
          <w:sz w:val="22"/>
          <w:szCs w:val="22"/>
        </w:rPr>
        <w:t xml:space="preserve"> </w:t>
      </w:r>
      <w:r w:rsidR="007A41E5" w:rsidRPr="0003204A">
        <w:rPr>
          <w:sz w:val="22"/>
          <w:szCs w:val="22"/>
        </w:rPr>
        <w:t>in</w:t>
      </w:r>
      <w:r w:rsidR="00AA4AB8" w:rsidRPr="0003204A">
        <w:rPr>
          <w:sz w:val="22"/>
          <w:szCs w:val="22"/>
        </w:rPr>
        <w:t xml:space="preserve"> support </w:t>
      </w:r>
      <w:r w:rsidR="00FB445D" w:rsidRPr="0003204A">
        <w:rPr>
          <w:sz w:val="22"/>
          <w:szCs w:val="22"/>
        </w:rPr>
        <w:t xml:space="preserve">of </w:t>
      </w:r>
      <w:r w:rsidR="00101394" w:rsidRPr="0003204A">
        <w:rPr>
          <w:sz w:val="22"/>
          <w:szCs w:val="22"/>
        </w:rPr>
        <w:t>Element 2 funding for</w:t>
      </w:r>
      <w:r w:rsidR="008A2220" w:rsidRPr="0003204A">
        <w:rPr>
          <w:sz w:val="22"/>
          <w:szCs w:val="22"/>
        </w:rPr>
        <w:t xml:space="preserve"> SEND and</w:t>
      </w:r>
      <w:r w:rsidR="00AA4AB8" w:rsidRPr="0003204A">
        <w:rPr>
          <w:sz w:val="22"/>
          <w:szCs w:val="22"/>
        </w:rPr>
        <w:t xml:space="preserve"> EHCPs in mainstream primary and secondary settings</w:t>
      </w:r>
      <w:r w:rsidR="00C14EDE" w:rsidRPr="0003204A">
        <w:rPr>
          <w:sz w:val="22"/>
          <w:szCs w:val="22"/>
        </w:rPr>
        <w:t>.</w:t>
      </w:r>
      <w:r w:rsidR="007F01FF" w:rsidRPr="0003204A">
        <w:rPr>
          <w:sz w:val="22"/>
          <w:szCs w:val="22"/>
        </w:rPr>
        <w:t xml:space="preserve"> </w:t>
      </w:r>
      <w:r w:rsidR="00C02106" w:rsidRPr="0003204A">
        <w:rPr>
          <w:sz w:val="22"/>
          <w:szCs w:val="22"/>
        </w:rPr>
        <w:t xml:space="preserve">However, </w:t>
      </w:r>
      <w:r w:rsidR="00C22624" w:rsidRPr="0003204A">
        <w:rPr>
          <w:sz w:val="22"/>
          <w:szCs w:val="22"/>
        </w:rPr>
        <w:t>we propose to adjust</w:t>
      </w:r>
      <w:r w:rsidR="00692C3A" w:rsidRPr="0003204A">
        <w:rPr>
          <w:sz w:val="22"/>
          <w:szCs w:val="22"/>
        </w:rPr>
        <w:t xml:space="preserve"> (</w:t>
      </w:r>
      <w:r w:rsidR="0003204A" w:rsidRPr="0003204A">
        <w:rPr>
          <w:sz w:val="22"/>
          <w:szCs w:val="22"/>
        </w:rPr>
        <w:t xml:space="preserve">to </w:t>
      </w:r>
      <w:r w:rsidR="00692C3A" w:rsidRPr="0003204A">
        <w:rPr>
          <w:sz w:val="22"/>
          <w:szCs w:val="22"/>
        </w:rPr>
        <w:t>increase)</w:t>
      </w:r>
      <w:r w:rsidR="00C22624" w:rsidRPr="0003204A">
        <w:rPr>
          <w:sz w:val="22"/>
          <w:szCs w:val="22"/>
        </w:rPr>
        <w:t xml:space="preserve"> the</w:t>
      </w:r>
      <w:r w:rsidR="00692C3A" w:rsidRPr="0003204A">
        <w:rPr>
          <w:sz w:val="22"/>
          <w:szCs w:val="22"/>
        </w:rPr>
        <w:t xml:space="preserve"> thresholds that are used to calculate</w:t>
      </w:r>
      <w:r w:rsidR="00C22624" w:rsidRPr="0003204A">
        <w:rPr>
          <w:sz w:val="22"/>
          <w:szCs w:val="22"/>
        </w:rPr>
        <w:t xml:space="preserve"> this Floor, in seeking to control the cost of this mechanism and </w:t>
      </w:r>
      <w:r w:rsidR="00692C3A" w:rsidRPr="0003204A">
        <w:rPr>
          <w:sz w:val="22"/>
          <w:szCs w:val="22"/>
        </w:rPr>
        <w:t>to retain the Floor’s o</w:t>
      </w:r>
      <w:r w:rsidR="00C22624" w:rsidRPr="0003204A">
        <w:rPr>
          <w:sz w:val="22"/>
          <w:szCs w:val="22"/>
        </w:rPr>
        <w:t>riginal purpose, which is to support a minority of schools and academies that have significantly g</w:t>
      </w:r>
      <w:r w:rsidR="00692C3A" w:rsidRPr="0003204A">
        <w:rPr>
          <w:sz w:val="22"/>
          <w:szCs w:val="22"/>
        </w:rPr>
        <w:t>reater numbers of pupils on roll</w:t>
      </w:r>
      <w:r w:rsidR="00C22624" w:rsidRPr="0003204A">
        <w:rPr>
          <w:sz w:val="22"/>
          <w:szCs w:val="22"/>
        </w:rPr>
        <w:t xml:space="preserve"> with EHCP</w:t>
      </w:r>
      <w:r w:rsidR="00692C3A" w:rsidRPr="0003204A">
        <w:rPr>
          <w:sz w:val="22"/>
          <w:szCs w:val="22"/>
        </w:rPr>
        <w:t>s</w:t>
      </w:r>
      <w:r w:rsidR="00C02106" w:rsidRPr="0003204A">
        <w:rPr>
          <w:sz w:val="22"/>
          <w:szCs w:val="22"/>
        </w:rPr>
        <w:t xml:space="preserve">. </w:t>
      </w:r>
      <w:r w:rsidR="007F01FF" w:rsidRPr="0003204A">
        <w:rPr>
          <w:sz w:val="22"/>
          <w:szCs w:val="22"/>
        </w:rPr>
        <w:t xml:space="preserve">Please see </w:t>
      </w:r>
      <w:r w:rsidR="00D1596F" w:rsidRPr="0003204A">
        <w:rPr>
          <w:sz w:val="22"/>
          <w:szCs w:val="22"/>
        </w:rPr>
        <w:t>section</w:t>
      </w:r>
      <w:r w:rsidR="007F01FF" w:rsidRPr="0003204A">
        <w:rPr>
          <w:sz w:val="22"/>
          <w:szCs w:val="22"/>
        </w:rPr>
        <w:t xml:space="preserve"> </w:t>
      </w:r>
      <w:r w:rsidR="00B31749" w:rsidRPr="0003204A">
        <w:rPr>
          <w:sz w:val="22"/>
          <w:szCs w:val="22"/>
        </w:rPr>
        <w:t>11</w:t>
      </w:r>
      <w:r w:rsidR="003E30D6" w:rsidRPr="0003204A">
        <w:rPr>
          <w:sz w:val="22"/>
          <w:szCs w:val="22"/>
        </w:rPr>
        <w:t>.</w:t>
      </w:r>
      <w:r w:rsidR="00C02106" w:rsidRPr="0003204A">
        <w:rPr>
          <w:sz w:val="22"/>
          <w:szCs w:val="22"/>
        </w:rPr>
        <w:t xml:space="preserve"> </w:t>
      </w:r>
    </w:p>
    <w:p w:rsidR="00B31749" w:rsidRDefault="00B31749" w:rsidP="009D16B4">
      <w:pPr>
        <w:jc w:val="both"/>
        <w:rPr>
          <w:sz w:val="22"/>
          <w:szCs w:val="22"/>
        </w:rPr>
      </w:pPr>
    </w:p>
    <w:p w:rsidR="00B25364" w:rsidRPr="000417AE" w:rsidRDefault="00B25364" w:rsidP="00B25364">
      <w:pPr>
        <w:jc w:val="both"/>
        <w:rPr>
          <w:sz w:val="22"/>
          <w:szCs w:val="22"/>
        </w:rPr>
      </w:pPr>
      <w:r>
        <w:rPr>
          <w:sz w:val="22"/>
          <w:szCs w:val="22"/>
        </w:rPr>
        <w:t>1</w:t>
      </w:r>
      <w:r w:rsidRPr="000417AE">
        <w:rPr>
          <w:sz w:val="22"/>
          <w:szCs w:val="22"/>
        </w:rPr>
        <w:t>.</w:t>
      </w:r>
      <w:r>
        <w:rPr>
          <w:sz w:val="22"/>
          <w:szCs w:val="22"/>
        </w:rPr>
        <w:t>6</w:t>
      </w:r>
      <w:r w:rsidRPr="000417AE">
        <w:rPr>
          <w:sz w:val="22"/>
          <w:szCs w:val="22"/>
        </w:rPr>
        <w:t xml:space="preserve"> </w:t>
      </w:r>
      <w:r w:rsidR="004B3B5F">
        <w:rPr>
          <w:sz w:val="22"/>
          <w:szCs w:val="22"/>
        </w:rPr>
        <w:t xml:space="preserve">In </w:t>
      </w:r>
      <w:r w:rsidR="00C33026">
        <w:rPr>
          <w:sz w:val="22"/>
          <w:szCs w:val="22"/>
        </w:rPr>
        <w:t>presenting</w:t>
      </w:r>
      <w:r>
        <w:rPr>
          <w:sz w:val="22"/>
          <w:szCs w:val="22"/>
        </w:rPr>
        <w:t xml:space="preserve"> </w:t>
      </w:r>
      <w:r w:rsidR="00C33026">
        <w:rPr>
          <w:sz w:val="22"/>
          <w:szCs w:val="22"/>
        </w:rPr>
        <w:t xml:space="preserve">the values of </w:t>
      </w:r>
      <w:r>
        <w:rPr>
          <w:sz w:val="22"/>
          <w:szCs w:val="22"/>
        </w:rPr>
        <w:t>uplifts</w:t>
      </w:r>
      <w:r w:rsidR="004B3B5F">
        <w:rPr>
          <w:sz w:val="22"/>
          <w:szCs w:val="22"/>
        </w:rPr>
        <w:t xml:space="preserve"> that are</w:t>
      </w:r>
      <w:r w:rsidR="004676E2">
        <w:rPr>
          <w:sz w:val="22"/>
          <w:szCs w:val="22"/>
        </w:rPr>
        <w:t xml:space="preserve"> proposed</w:t>
      </w:r>
      <w:r w:rsidR="00965F12">
        <w:rPr>
          <w:sz w:val="22"/>
          <w:szCs w:val="22"/>
        </w:rPr>
        <w:t xml:space="preserve"> in rates of funding</w:t>
      </w:r>
      <w:r w:rsidRPr="000417AE">
        <w:rPr>
          <w:sz w:val="22"/>
          <w:szCs w:val="22"/>
        </w:rPr>
        <w:t>,</w:t>
      </w:r>
      <w:r>
        <w:rPr>
          <w:sz w:val="22"/>
          <w:szCs w:val="22"/>
        </w:rPr>
        <w:t xml:space="preserve"> we must </w:t>
      </w:r>
      <w:r w:rsidR="008616C1">
        <w:rPr>
          <w:sz w:val="22"/>
          <w:szCs w:val="22"/>
        </w:rPr>
        <w:t>add the caveat</w:t>
      </w:r>
      <w:r w:rsidR="00C33026">
        <w:rPr>
          <w:sz w:val="22"/>
          <w:szCs w:val="22"/>
        </w:rPr>
        <w:t xml:space="preserve"> that </w:t>
      </w:r>
      <w:r w:rsidR="004676E2">
        <w:rPr>
          <w:sz w:val="22"/>
          <w:szCs w:val="22"/>
        </w:rPr>
        <w:t xml:space="preserve">these </w:t>
      </w:r>
      <w:r>
        <w:rPr>
          <w:sz w:val="22"/>
          <w:szCs w:val="22"/>
        </w:rPr>
        <w:t xml:space="preserve">uplifts are </w:t>
      </w:r>
      <w:r w:rsidR="00965F12">
        <w:rPr>
          <w:sz w:val="22"/>
          <w:szCs w:val="22"/>
        </w:rPr>
        <w:t xml:space="preserve">still </w:t>
      </w:r>
      <w:r w:rsidRPr="00B25364">
        <w:rPr>
          <w:sz w:val="22"/>
          <w:szCs w:val="22"/>
        </w:rPr>
        <w:t xml:space="preserve">subject to </w:t>
      </w:r>
      <w:r w:rsidR="00965F12">
        <w:rPr>
          <w:sz w:val="22"/>
          <w:szCs w:val="22"/>
        </w:rPr>
        <w:t xml:space="preserve">a </w:t>
      </w:r>
      <w:r w:rsidRPr="00B25364">
        <w:rPr>
          <w:sz w:val="22"/>
          <w:szCs w:val="22"/>
        </w:rPr>
        <w:t>final affordability</w:t>
      </w:r>
      <w:r w:rsidR="00965F12">
        <w:rPr>
          <w:sz w:val="22"/>
          <w:szCs w:val="22"/>
        </w:rPr>
        <w:t xml:space="preserve"> check</w:t>
      </w:r>
      <w:r>
        <w:rPr>
          <w:sz w:val="22"/>
          <w:szCs w:val="22"/>
        </w:rPr>
        <w:t>, which will take place</w:t>
      </w:r>
      <w:r w:rsidR="00B027ED">
        <w:rPr>
          <w:sz w:val="22"/>
          <w:szCs w:val="22"/>
        </w:rPr>
        <w:t xml:space="preserve"> following the closure of this consultation and</w:t>
      </w:r>
      <w:r>
        <w:rPr>
          <w:sz w:val="22"/>
          <w:szCs w:val="22"/>
        </w:rPr>
        <w:t xml:space="preserve"> prior to asking the Schools Forum to </w:t>
      </w:r>
      <w:r w:rsidR="00543789">
        <w:rPr>
          <w:sz w:val="22"/>
          <w:szCs w:val="22"/>
        </w:rPr>
        <w:t>give</w:t>
      </w:r>
      <w:r w:rsidR="00FF6DB2">
        <w:rPr>
          <w:sz w:val="22"/>
          <w:szCs w:val="22"/>
        </w:rPr>
        <w:t xml:space="preserve"> its final </w:t>
      </w:r>
      <w:r w:rsidR="00965F12">
        <w:rPr>
          <w:sz w:val="22"/>
          <w:szCs w:val="22"/>
        </w:rPr>
        <w:t>formal feedback</w:t>
      </w:r>
      <w:r w:rsidR="00543789">
        <w:rPr>
          <w:sz w:val="22"/>
          <w:szCs w:val="22"/>
        </w:rPr>
        <w:t xml:space="preserve"> </w:t>
      </w:r>
      <w:r w:rsidR="00A55E8B">
        <w:rPr>
          <w:sz w:val="22"/>
          <w:szCs w:val="22"/>
        </w:rPr>
        <w:t>in January 2023</w:t>
      </w:r>
      <w:r>
        <w:rPr>
          <w:sz w:val="22"/>
          <w:szCs w:val="22"/>
        </w:rPr>
        <w:t>. As such, although we set out here the rates of funding we</w:t>
      </w:r>
      <w:r w:rsidR="00A55E8B">
        <w:rPr>
          <w:sz w:val="22"/>
          <w:szCs w:val="22"/>
        </w:rPr>
        <w:t xml:space="preserve"> anticipate will be used in 2023/24</w:t>
      </w:r>
      <w:r>
        <w:rPr>
          <w:sz w:val="22"/>
          <w:szCs w:val="22"/>
        </w:rPr>
        <w:t>,</w:t>
      </w:r>
      <w:r w:rsidR="008616C1">
        <w:rPr>
          <w:sz w:val="22"/>
          <w:szCs w:val="22"/>
        </w:rPr>
        <w:t xml:space="preserve"> subject to the responses to this consultation,</w:t>
      </w:r>
      <w:r w:rsidR="00E41E31">
        <w:rPr>
          <w:sz w:val="22"/>
          <w:szCs w:val="22"/>
        </w:rPr>
        <w:t xml:space="preserve"> settings </w:t>
      </w:r>
      <w:r>
        <w:rPr>
          <w:sz w:val="22"/>
          <w:szCs w:val="22"/>
        </w:rPr>
        <w:t>should still view these rates</w:t>
      </w:r>
      <w:r w:rsidR="009255A5">
        <w:rPr>
          <w:sz w:val="22"/>
          <w:szCs w:val="22"/>
        </w:rPr>
        <w:t xml:space="preserve"> at this time</w:t>
      </w:r>
      <w:r>
        <w:rPr>
          <w:sz w:val="22"/>
          <w:szCs w:val="22"/>
        </w:rPr>
        <w:t xml:space="preserve"> as indicative</w:t>
      </w:r>
      <w:r w:rsidR="009255A5">
        <w:rPr>
          <w:sz w:val="22"/>
          <w:szCs w:val="22"/>
        </w:rPr>
        <w:t xml:space="preserve"> and subject to change</w:t>
      </w:r>
      <w:r>
        <w:rPr>
          <w:sz w:val="22"/>
          <w:szCs w:val="22"/>
        </w:rPr>
        <w:t>.</w:t>
      </w:r>
    </w:p>
    <w:p w:rsidR="00733F29" w:rsidRDefault="00733F29" w:rsidP="009D16B4">
      <w:pPr>
        <w:jc w:val="both"/>
        <w:rPr>
          <w:sz w:val="22"/>
          <w:szCs w:val="22"/>
        </w:rPr>
      </w:pPr>
    </w:p>
    <w:p w:rsidR="0082348E" w:rsidRDefault="0082348E" w:rsidP="0082348E">
      <w:pPr>
        <w:jc w:val="both"/>
        <w:rPr>
          <w:bCs/>
          <w:sz w:val="22"/>
          <w:szCs w:val="22"/>
        </w:rPr>
      </w:pPr>
      <w:r>
        <w:rPr>
          <w:bCs/>
          <w:sz w:val="22"/>
          <w:szCs w:val="22"/>
        </w:rPr>
        <w:t xml:space="preserve">1.7 We must also add the following caveat at this time. The proposals and modelling, that are contained within this consultation, are based on the DfE’s 2023/24 high needs funding announcement that was made in July 2022. </w:t>
      </w:r>
      <w:r w:rsidRPr="003F156F">
        <w:rPr>
          <w:bCs/>
          <w:sz w:val="22"/>
          <w:szCs w:val="22"/>
        </w:rPr>
        <w:t>We have become aware, following the</w:t>
      </w:r>
      <w:r>
        <w:rPr>
          <w:bCs/>
          <w:sz w:val="22"/>
          <w:szCs w:val="22"/>
        </w:rPr>
        <w:t xml:space="preserve"> recent</w:t>
      </w:r>
      <w:r w:rsidRPr="003F156F">
        <w:rPr>
          <w:bCs/>
          <w:sz w:val="22"/>
          <w:szCs w:val="22"/>
        </w:rPr>
        <w:t xml:space="preserve"> announcement of the removal of the 1.25% National Insurance Levy, that the continuation of the additional funding that has been allocated to schools</w:t>
      </w:r>
      <w:r>
        <w:rPr>
          <w:bCs/>
          <w:sz w:val="22"/>
          <w:szCs w:val="22"/>
        </w:rPr>
        <w:t xml:space="preserve"> and academies</w:t>
      </w:r>
      <w:r w:rsidRPr="003F156F">
        <w:rPr>
          <w:bCs/>
          <w:sz w:val="22"/>
          <w:szCs w:val="22"/>
        </w:rPr>
        <w:t xml:space="preserve"> to support its cost is being reviewed by the DfE. For high needs providers, this fundin</w:t>
      </w:r>
      <w:r>
        <w:rPr>
          <w:bCs/>
          <w:sz w:val="22"/>
          <w:szCs w:val="22"/>
        </w:rPr>
        <w:t>g is being allocated within top-</w:t>
      </w:r>
      <w:r w:rsidRPr="003F156F">
        <w:rPr>
          <w:bCs/>
          <w:sz w:val="22"/>
          <w:szCs w:val="22"/>
        </w:rPr>
        <w:t xml:space="preserve">up funding. We understand that the DfE will make an announcement on this in due course; on whether the 2023/24 </w:t>
      </w:r>
      <w:r>
        <w:rPr>
          <w:bCs/>
          <w:sz w:val="22"/>
          <w:szCs w:val="22"/>
        </w:rPr>
        <w:t xml:space="preserve">high needs funding </w:t>
      </w:r>
      <w:r w:rsidRPr="003F156F">
        <w:rPr>
          <w:bCs/>
          <w:sz w:val="22"/>
          <w:szCs w:val="22"/>
        </w:rPr>
        <w:t>settlement, which has already been announced, will be adjusted.</w:t>
      </w:r>
      <w:r>
        <w:rPr>
          <w:bCs/>
          <w:sz w:val="22"/>
          <w:szCs w:val="22"/>
        </w:rPr>
        <w:t xml:space="preserve"> However, the position currently is unclear. If the 2023/24 settlement is adjusted, we would expect that the DfE will amend the 2023/24 High Needs Block settlement to remove the funding associated with the 1.25% National Insurance Levy.</w:t>
      </w:r>
      <w:r w:rsidRPr="003F156F">
        <w:rPr>
          <w:bCs/>
          <w:sz w:val="22"/>
          <w:szCs w:val="22"/>
        </w:rPr>
        <w:t xml:space="preserve"> </w:t>
      </w:r>
      <w:r>
        <w:rPr>
          <w:bCs/>
          <w:sz w:val="22"/>
          <w:szCs w:val="22"/>
        </w:rPr>
        <w:t>Following this, we will need to adjust the values of top-up funding that we allocate, via our EHCP Banded Model and Day Rate Model, from what is shown / proposed in this document. We would need to republish our proposed rates of funding.</w:t>
      </w:r>
    </w:p>
    <w:p w:rsidR="0082348E" w:rsidRDefault="0082348E" w:rsidP="009D16B4">
      <w:pPr>
        <w:jc w:val="both"/>
        <w:rPr>
          <w:sz w:val="22"/>
          <w:szCs w:val="22"/>
        </w:rPr>
      </w:pPr>
    </w:p>
    <w:p w:rsidR="009D16B4" w:rsidRPr="00977F2C" w:rsidRDefault="00E970F4" w:rsidP="009D16B4">
      <w:pPr>
        <w:jc w:val="both"/>
        <w:rPr>
          <w:sz w:val="22"/>
          <w:szCs w:val="22"/>
        </w:rPr>
      </w:pPr>
      <w:r>
        <w:rPr>
          <w:sz w:val="22"/>
          <w:szCs w:val="22"/>
        </w:rPr>
        <w:t>1.</w:t>
      </w:r>
      <w:r w:rsidR="0082348E">
        <w:rPr>
          <w:sz w:val="22"/>
          <w:szCs w:val="22"/>
        </w:rPr>
        <w:t>8</w:t>
      </w:r>
      <w:r w:rsidR="00A6697B" w:rsidRPr="00977F2C">
        <w:rPr>
          <w:sz w:val="22"/>
          <w:szCs w:val="22"/>
        </w:rPr>
        <w:t xml:space="preserve"> </w:t>
      </w:r>
      <w:r w:rsidR="007D015C">
        <w:rPr>
          <w:sz w:val="22"/>
          <w:szCs w:val="22"/>
        </w:rPr>
        <w:t>W</w:t>
      </w:r>
      <w:r w:rsidR="00E41E31">
        <w:rPr>
          <w:sz w:val="22"/>
          <w:szCs w:val="22"/>
        </w:rPr>
        <w:t>e would like to remind settings</w:t>
      </w:r>
      <w:r w:rsidR="007D015C">
        <w:rPr>
          <w:sz w:val="22"/>
          <w:szCs w:val="22"/>
        </w:rPr>
        <w:t xml:space="preserve"> that o</w:t>
      </w:r>
      <w:r>
        <w:rPr>
          <w:sz w:val="22"/>
          <w:szCs w:val="22"/>
        </w:rPr>
        <w:t>ur high needs</w:t>
      </w:r>
      <w:r w:rsidR="00F44F6C">
        <w:rPr>
          <w:sz w:val="22"/>
          <w:szCs w:val="22"/>
        </w:rPr>
        <w:t xml:space="preserve"> formula</w:t>
      </w:r>
      <w:r>
        <w:rPr>
          <w:sz w:val="22"/>
          <w:szCs w:val="22"/>
        </w:rPr>
        <w:t xml:space="preserve"> funding </w:t>
      </w:r>
      <w:r w:rsidR="009E65DA">
        <w:rPr>
          <w:sz w:val="22"/>
          <w:szCs w:val="22"/>
        </w:rPr>
        <w:t>arrangements</w:t>
      </w:r>
      <w:r>
        <w:rPr>
          <w:sz w:val="22"/>
          <w:szCs w:val="22"/>
        </w:rPr>
        <w:t xml:space="preserve"> continue to operate in the</w:t>
      </w:r>
      <w:r w:rsidR="00A6697B" w:rsidRPr="00977F2C">
        <w:rPr>
          <w:sz w:val="22"/>
          <w:szCs w:val="22"/>
        </w:rPr>
        <w:t xml:space="preserve"> context of</w:t>
      </w:r>
      <w:r w:rsidR="00826698">
        <w:rPr>
          <w:sz w:val="22"/>
          <w:szCs w:val="22"/>
        </w:rPr>
        <w:t xml:space="preserve"> recent and continuing</w:t>
      </w:r>
      <w:r w:rsidR="00F44F6C">
        <w:rPr>
          <w:sz w:val="22"/>
          <w:szCs w:val="22"/>
        </w:rPr>
        <w:t xml:space="preserve"> </w:t>
      </w:r>
      <w:r w:rsidR="00977F2C" w:rsidRPr="00977F2C">
        <w:rPr>
          <w:sz w:val="22"/>
          <w:szCs w:val="22"/>
        </w:rPr>
        <w:t>wider</w:t>
      </w:r>
      <w:r w:rsidR="000B4EA2" w:rsidRPr="00977F2C">
        <w:rPr>
          <w:sz w:val="22"/>
          <w:szCs w:val="22"/>
        </w:rPr>
        <w:t xml:space="preserve"> changes</w:t>
      </w:r>
      <w:r w:rsidR="008472E0">
        <w:rPr>
          <w:sz w:val="22"/>
          <w:szCs w:val="22"/>
        </w:rPr>
        <w:t xml:space="preserve"> in Bradford</w:t>
      </w:r>
      <w:r w:rsidR="00F44F6C">
        <w:rPr>
          <w:sz w:val="22"/>
          <w:szCs w:val="22"/>
        </w:rPr>
        <w:t>, including:</w:t>
      </w:r>
    </w:p>
    <w:p w:rsidR="009D16B4" w:rsidRPr="00977F2C" w:rsidRDefault="009D16B4" w:rsidP="009D16B4">
      <w:pPr>
        <w:jc w:val="both"/>
        <w:rPr>
          <w:sz w:val="22"/>
          <w:szCs w:val="22"/>
        </w:rPr>
      </w:pPr>
    </w:p>
    <w:p w:rsidR="009D16B4" w:rsidRPr="00AA4AB8" w:rsidRDefault="000B4EA2" w:rsidP="00AA4AB8">
      <w:pPr>
        <w:pStyle w:val="ListParagraph"/>
        <w:numPr>
          <w:ilvl w:val="0"/>
          <w:numId w:val="9"/>
        </w:numPr>
        <w:ind w:left="360"/>
        <w:jc w:val="both"/>
        <w:rPr>
          <w:sz w:val="22"/>
          <w:szCs w:val="22"/>
        </w:rPr>
      </w:pPr>
      <w:r w:rsidRPr="00977F2C">
        <w:rPr>
          <w:sz w:val="22"/>
          <w:szCs w:val="22"/>
        </w:rPr>
        <w:t>The continued creation of additional</w:t>
      </w:r>
      <w:r w:rsidR="00F44F6C">
        <w:rPr>
          <w:sz w:val="22"/>
          <w:szCs w:val="22"/>
        </w:rPr>
        <w:t xml:space="preserve"> specialist places.</w:t>
      </w:r>
    </w:p>
    <w:p w:rsidR="000B4EA2" w:rsidRPr="005B0B5D" w:rsidRDefault="000B4EA2" w:rsidP="005B0B5D">
      <w:pPr>
        <w:jc w:val="both"/>
        <w:rPr>
          <w:sz w:val="22"/>
          <w:szCs w:val="22"/>
        </w:rPr>
      </w:pPr>
    </w:p>
    <w:p w:rsidR="005B0B5D" w:rsidRPr="0082348E" w:rsidRDefault="000B4EA2" w:rsidP="0082348E">
      <w:pPr>
        <w:pStyle w:val="ListParagraph"/>
        <w:numPr>
          <w:ilvl w:val="0"/>
          <w:numId w:val="9"/>
        </w:numPr>
        <w:ind w:left="360"/>
        <w:jc w:val="both"/>
        <w:rPr>
          <w:sz w:val="22"/>
          <w:szCs w:val="22"/>
        </w:rPr>
      </w:pPr>
      <w:r w:rsidRPr="00977F2C">
        <w:rPr>
          <w:sz w:val="22"/>
          <w:szCs w:val="22"/>
        </w:rPr>
        <w:t xml:space="preserve">The </w:t>
      </w:r>
      <w:r w:rsidR="008472E0">
        <w:rPr>
          <w:sz w:val="22"/>
          <w:szCs w:val="22"/>
        </w:rPr>
        <w:t>development and expansion of</w:t>
      </w:r>
      <w:r w:rsidRPr="00977F2C">
        <w:rPr>
          <w:sz w:val="22"/>
          <w:szCs w:val="22"/>
        </w:rPr>
        <w:t xml:space="preserve"> Local Authority-led resourced provisions in mainstream primary and secondary schools and academies.</w:t>
      </w:r>
    </w:p>
    <w:p w:rsidR="005B0B5D" w:rsidRPr="005B0B5D" w:rsidRDefault="005B0B5D" w:rsidP="005B0B5D">
      <w:pPr>
        <w:pStyle w:val="ListParagraph"/>
        <w:numPr>
          <w:ilvl w:val="0"/>
          <w:numId w:val="9"/>
        </w:numPr>
        <w:ind w:left="360"/>
        <w:jc w:val="both"/>
        <w:rPr>
          <w:sz w:val="22"/>
          <w:szCs w:val="22"/>
        </w:rPr>
      </w:pPr>
      <w:r>
        <w:rPr>
          <w:sz w:val="22"/>
          <w:szCs w:val="22"/>
        </w:rPr>
        <w:t xml:space="preserve">The continued growth in the numbers of pupils with EHCPs </w:t>
      </w:r>
      <w:r w:rsidR="00B32673">
        <w:rPr>
          <w:sz w:val="22"/>
          <w:szCs w:val="22"/>
        </w:rPr>
        <w:t>(</w:t>
      </w:r>
      <w:r w:rsidR="008472E0">
        <w:rPr>
          <w:sz w:val="22"/>
          <w:szCs w:val="22"/>
        </w:rPr>
        <w:t xml:space="preserve">including </w:t>
      </w:r>
      <w:r>
        <w:rPr>
          <w:sz w:val="22"/>
          <w:szCs w:val="22"/>
        </w:rPr>
        <w:t>in mainstream settings</w:t>
      </w:r>
      <w:r w:rsidR="00B32673">
        <w:rPr>
          <w:sz w:val="22"/>
          <w:szCs w:val="22"/>
        </w:rPr>
        <w:t>)</w:t>
      </w:r>
      <w:r>
        <w:rPr>
          <w:sz w:val="22"/>
          <w:szCs w:val="22"/>
        </w:rPr>
        <w:t>.</w:t>
      </w:r>
    </w:p>
    <w:p w:rsidR="000B4EA2" w:rsidRPr="00977F2C" w:rsidRDefault="000B4EA2" w:rsidP="00AA4AB8">
      <w:pPr>
        <w:pStyle w:val="ListParagraph"/>
        <w:ind w:left="360"/>
        <w:jc w:val="both"/>
        <w:rPr>
          <w:sz w:val="22"/>
          <w:szCs w:val="22"/>
        </w:rPr>
      </w:pPr>
    </w:p>
    <w:p w:rsidR="000B4EA2" w:rsidRPr="00977F2C" w:rsidRDefault="00B32673" w:rsidP="00AA4AB8">
      <w:pPr>
        <w:pStyle w:val="ListParagraph"/>
        <w:numPr>
          <w:ilvl w:val="0"/>
          <w:numId w:val="9"/>
        </w:numPr>
        <w:ind w:left="360"/>
        <w:jc w:val="both"/>
        <w:rPr>
          <w:sz w:val="22"/>
          <w:szCs w:val="22"/>
        </w:rPr>
      </w:pPr>
      <w:r>
        <w:rPr>
          <w:sz w:val="22"/>
          <w:szCs w:val="22"/>
        </w:rPr>
        <w:t>The</w:t>
      </w:r>
      <w:r w:rsidR="000B4EA2" w:rsidRPr="00977F2C">
        <w:rPr>
          <w:sz w:val="22"/>
          <w:szCs w:val="22"/>
        </w:rPr>
        <w:t xml:space="preserve"> ‘restructuring’ of our PRU</w:t>
      </w:r>
      <w:r w:rsidR="00F44F6C">
        <w:rPr>
          <w:sz w:val="22"/>
          <w:szCs w:val="22"/>
        </w:rPr>
        <w:t>s</w:t>
      </w:r>
      <w:r w:rsidR="000B4EA2" w:rsidRPr="00977F2C">
        <w:rPr>
          <w:sz w:val="22"/>
          <w:szCs w:val="22"/>
        </w:rPr>
        <w:t xml:space="preserve"> </w:t>
      </w:r>
      <w:r w:rsidR="008472E0">
        <w:rPr>
          <w:sz w:val="22"/>
          <w:szCs w:val="22"/>
        </w:rPr>
        <w:t xml:space="preserve">and </w:t>
      </w:r>
      <w:r w:rsidR="00826698">
        <w:rPr>
          <w:sz w:val="22"/>
          <w:szCs w:val="22"/>
        </w:rPr>
        <w:t xml:space="preserve">other </w:t>
      </w:r>
      <w:r w:rsidR="008472E0">
        <w:rPr>
          <w:sz w:val="22"/>
          <w:szCs w:val="22"/>
        </w:rPr>
        <w:t>alternative provision</w:t>
      </w:r>
      <w:r w:rsidR="00826698">
        <w:rPr>
          <w:sz w:val="22"/>
          <w:szCs w:val="22"/>
        </w:rPr>
        <w:t>s</w:t>
      </w:r>
      <w:r w:rsidR="00F44F6C">
        <w:rPr>
          <w:sz w:val="22"/>
          <w:szCs w:val="22"/>
        </w:rPr>
        <w:t>.</w:t>
      </w:r>
    </w:p>
    <w:p w:rsidR="000B4EA2" w:rsidRPr="00977F2C" w:rsidRDefault="000B4EA2" w:rsidP="00AA4AB8">
      <w:pPr>
        <w:pStyle w:val="ListParagraph"/>
        <w:ind w:left="360"/>
        <w:jc w:val="both"/>
        <w:rPr>
          <w:sz w:val="22"/>
          <w:szCs w:val="22"/>
        </w:rPr>
      </w:pPr>
    </w:p>
    <w:p w:rsidR="000B4EA2" w:rsidRPr="00977F2C" w:rsidRDefault="00B32673" w:rsidP="00AA4AB8">
      <w:pPr>
        <w:pStyle w:val="ListParagraph"/>
        <w:numPr>
          <w:ilvl w:val="0"/>
          <w:numId w:val="9"/>
        </w:numPr>
        <w:ind w:left="360"/>
        <w:jc w:val="both"/>
        <w:rPr>
          <w:sz w:val="22"/>
          <w:szCs w:val="22"/>
        </w:rPr>
      </w:pPr>
      <w:r>
        <w:rPr>
          <w:sz w:val="22"/>
          <w:szCs w:val="22"/>
        </w:rPr>
        <w:t>The</w:t>
      </w:r>
      <w:r w:rsidR="000B4EA2" w:rsidRPr="00977F2C">
        <w:rPr>
          <w:sz w:val="22"/>
          <w:szCs w:val="22"/>
        </w:rPr>
        <w:t xml:space="preserve"> re-alignment of </w:t>
      </w:r>
      <w:r w:rsidR="00F44F6C">
        <w:rPr>
          <w:sz w:val="22"/>
          <w:szCs w:val="22"/>
        </w:rPr>
        <w:t>responsibilities,</w:t>
      </w:r>
      <w:r w:rsidR="000B4EA2" w:rsidRPr="00977F2C">
        <w:rPr>
          <w:sz w:val="22"/>
          <w:szCs w:val="22"/>
        </w:rPr>
        <w:t xml:space="preserve"> between the High Needs Block and </w:t>
      </w:r>
      <w:r w:rsidR="008D01C5">
        <w:rPr>
          <w:sz w:val="22"/>
          <w:szCs w:val="22"/>
        </w:rPr>
        <w:t xml:space="preserve">mainstream </w:t>
      </w:r>
      <w:r w:rsidR="000B4EA2" w:rsidRPr="00977F2C">
        <w:rPr>
          <w:sz w:val="22"/>
          <w:szCs w:val="22"/>
        </w:rPr>
        <w:t>schools</w:t>
      </w:r>
      <w:r w:rsidR="008D01C5">
        <w:rPr>
          <w:sz w:val="22"/>
          <w:szCs w:val="22"/>
        </w:rPr>
        <w:t xml:space="preserve"> and academies</w:t>
      </w:r>
      <w:r w:rsidR="00F44F6C">
        <w:rPr>
          <w:sz w:val="22"/>
          <w:szCs w:val="22"/>
        </w:rPr>
        <w:t>,</w:t>
      </w:r>
      <w:r w:rsidR="000B4EA2" w:rsidRPr="00977F2C">
        <w:rPr>
          <w:sz w:val="22"/>
          <w:szCs w:val="22"/>
        </w:rPr>
        <w:t xml:space="preserve"> for the funding of alternative provision t</w:t>
      </w:r>
      <w:r w:rsidR="00E970F4">
        <w:rPr>
          <w:sz w:val="22"/>
          <w:szCs w:val="22"/>
        </w:rPr>
        <w:t xml:space="preserve">hat is commissioned by </w:t>
      </w:r>
      <w:r w:rsidR="008D01C5">
        <w:rPr>
          <w:sz w:val="22"/>
          <w:szCs w:val="22"/>
        </w:rPr>
        <w:t xml:space="preserve">mainstream </w:t>
      </w:r>
      <w:r w:rsidR="00E970F4">
        <w:rPr>
          <w:sz w:val="22"/>
          <w:szCs w:val="22"/>
        </w:rPr>
        <w:t>schools</w:t>
      </w:r>
      <w:r w:rsidR="008D01C5">
        <w:rPr>
          <w:sz w:val="22"/>
          <w:szCs w:val="22"/>
        </w:rPr>
        <w:t xml:space="preserve"> and academies</w:t>
      </w:r>
      <w:r w:rsidR="00E970F4">
        <w:rPr>
          <w:sz w:val="22"/>
          <w:szCs w:val="22"/>
        </w:rPr>
        <w:t>.</w:t>
      </w:r>
    </w:p>
    <w:p w:rsidR="000B4EA2" w:rsidRPr="00977F2C" w:rsidRDefault="000B4EA2" w:rsidP="00AA4AB8">
      <w:pPr>
        <w:pStyle w:val="ListParagraph"/>
        <w:ind w:left="360"/>
        <w:jc w:val="both"/>
        <w:rPr>
          <w:sz w:val="22"/>
          <w:szCs w:val="22"/>
        </w:rPr>
      </w:pPr>
    </w:p>
    <w:p w:rsidR="00A6697B" w:rsidRPr="00977F2C" w:rsidRDefault="00F44F6C" w:rsidP="00AA4AB8">
      <w:pPr>
        <w:pStyle w:val="ListParagraph"/>
        <w:numPr>
          <w:ilvl w:val="0"/>
          <w:numId w:val="9"/>
        </w:numPr>
        <w:ind w:left="360"/>
        <w:jc w:val="both"/>
        <w:rPr>
          <w:sz w:val="22"/>
          <w:szCs w:val="22"/>
        </w:rPr>
      </w:pPr>
      <w:r>
        <w:rPr>
          <w:sz w:val="22"/>
          <w:szCs w:val="22"/>
        </w:rPr>
        <w:t>Other support service delivery changes, including t</w:t>
      </w:r>
      <w:r w:rsidR="000B4EA2" w:rsidRPr="00977F2C">
        <w:rPr>
          <w:sz w:val="22"/>
          <w:szCs w:val="22"/>
        </w:rPr>
        <w:t>he amalgamation of Bradford’s hospital education, Tracks and medical home tuition provision</w:t>
      </w:r>
      <w:r w:rsidR="00826698">
        <w:rPr>
          <w:sz w:val="22"/>
          <w:szCs w:val="22"/>
        </w:rPr>
        <w:t>s</w:t>
      </w:r>
      <w:r w:rsidR="000B4EA2" w:rsidRPr="00977F2C">
        <w:rPr>
          <w:sz w:val="22"/>
          <w:szCs w:val="22"/>
        </w:rPr>
        <w:t xml:space="preserve"> into a single Local Authority managed service.</w:t>
      </w:r>
    </w:p>
    <w:p w:rsidR="00E52CCC" w:rsidRDefault="00E52CCC" w:rsidP="00980344">
      <w:pPr>
        <w:jc w:val="both"/>
        <w:rPr>
          <w:sz w:val="22"/>
          <w:szCs w:val="22"/>
        </w:rPr>
      </w:pPr>
    </w:p>
    <w:p w:rsidR="00A55E8B" w:rsidRPr="005D4129" w:rsidRDefault="0082348E" w:rsidP="00980344">
      <w:pPr>
        <w:jc w:val="both"/>
        <w:rPr>
          <w:sz w:val="22"/>
          <w:szCs w:val="22"/>
        </w:rPr>
      </w:pPr>
      <w:r>
        <w:rPr>
          <w:sz w:val="22"/>
          <w:szCs w:val="22"/>
        </w:rPr>
        <w:t>1.9</w:t>
      </w:r>
      <w:r w:rsidR="00A55E8B" w:rsidRPr="005D4129">
        <w:rPr>
          <w:sz w:val="22"/>
          <w:szCs w:val="22"/>
        </w:rPr>
        <w:t xml:space="preserve"> </w:t>
      </w:r>
      <w:r w:rsidR="00E41E31">
        <w:rPr>
          <w:sz w:val="22"/>
          <w:szCs w:val="22"/>
        </w:rPr>
        <w:t>We would like to emphasise that o</w:t>
      </w:r>
      <w:r w:rsidR="005D4129" w:rsidRPr="005D4129">
        <w:rPr>
          <w:sz w:val="22"/>
          <w:szCs w:val="22"/>
        </w:rPr>
        <w:t>ur high needs f</w:t>
      </w:r>
      <w:r w:rsidR="00E41E31">
        <w:rPr>
          <w:sz w:val="22"/>
          <w:szCs w:val="22"/>
        </w:rPr>
        <w:t>ormula funding arrangements</w:t>
      </w:r>
      <w:r w:rsidR="005D4129" w:rsidRPr="005D4129">
        <w:rPr>
          <w:sz w:val="22"/>
          <w:szCs w:val="22"/>
        </w:rPr>
        <w:t xml:space="preserve"> </w:t>
      </w:r>
      <w:r w:rsidR="00E41E31">
        <w:rPr>
          <w:sz w:val="22"/>
          <w:szCs w:val="22"/>
        </w:rPr>
        <w:t xml:space="preserve">must also </w:t>
      </w:r>
      <w:r w:rsidR="005D4129" w:rsidRPr="005D4129">
        <w:rPr>
          <w:sz w:val="22"/>
          <w:szCs w:val="22"/>
        </w:rPr>
        <w:t>now operate in the context of the DfE’s SEND and Alternative Provision Review. Although the details of the future changes in funding systems, that are indicated by the Review’s publications so far, are still to be known, the Review does strongly indicate an increased focus on early intervention and on mainstream inclusion. As such, we must ensure that our funding systems continue to support further movement in this direction, and schools, academies and other settings must begin to consider the consequences of the Review and begin to plan their provisions</w:t>
      </w:r>
      <w:r w:rsidR="00E41E31">
        <w:rPr>
          <w:sz w:val="22"/>
          <w:szCs w:val="22"/>
        </w:rPr>
        <w:t xml:space="preserve"> and</w:t>
      </w:r>
      <w:r w:rsidR="005D4129" w:rsidRPr="005D4129">
        <w:rPr>
          <w:sz w:val="22"/>
          <w:szCs w:val="22"/>
        </w:rPr>
        <w:t xml:space="preserve"> budget accordingly.</w:t>
      </w:r>
    </w:p>
    <w:p w:rsidR="00A55E8B" w:rsidRDefault="00A55E8B" w:rsidP="00980344">
      <w:pPr>
        <w:jc w:val="both"/>
        <w:rPr>
          <w:sz w:val="22"/>
          <w:szCs w:val="22"/>
        </w:rPr>
      </w:pPr>
    </w:p>
    <w:p w:rsidR="003B2D3D" w:rsidRPr="00F44F6C" w:rsidRDefault="00AA4AB8" w:rsidP="00980344">
      <w:pPr>
        <w:jc w:val="both"/>
        <w:rPr>
          <w:sz w:val="22"/>
          <w:szCs w:val="22"/>
        </w:rPr>
      </w:pPr>
      <w:r w:rsidRPr="00F44F6C">
        <w:rPr>
          <w:sz w:val="22"/>
          <w:szCs w:val="22"/>
        </w:rPr>
        <w:t>1.</w:t>
      </w:r>
      <w:r w:rsidR="0082348E">
        <w:rPr>
          <w:sz w:val="22"/>
          <w:szCs w:val="22"/>
        </w:rPr>
        <w:t>10</w:t>
      </w:r>
      <w:r w:rsidR="003B2D3D" w:rsidRPr="00F44F6C">
        <w:rPr>
          <w:sz w:val="22"/>
          <w:szCs w:val="22"/>
        </w:rPr>
        <w:t xml:space="preserve"> The deadline for re</w:t>
      </w:r>
      <w:r w:rsidR="0085223B" w:rsidRPr="00F44F6C">
        <w:rPr>
          <w:sz w:val="22"/>
          <w:szCs w:val="22"/>
        </w:rPr>
        <w:t>sponses t</w:t>
      </w:r>
      <w:r w:rsidR="00F027AB" w:rsidRPr="00F44F6C">
        <w:rPr>
          <w:sz w:val="22"/>
          <w:szCs w:val="22"/>
        </w:rPr>
        <w:t xml:space="preserve">o this consultation is </w:t>
      </w:r>
      <w:r w:rsidR="00977F2C" w:rsidRPr="00F44F6C">
        <w:rPr>
          <w:b/>
          <w:sz w:val="22"/>
          <w:szCs w:val="22"/>
        </w:rPr>
        <w:t xml:space="preserve">Tuesday </w:t>
      </w:r>
      <w:r w:rsidR="00A55E8B">
        <w:rPr>
          <w:b/>
          <w:sz w:val="22"/>
          <w:szCs w:val="22"/>
        </w:rPr>
        <w:t>29</w:t>
      </w:r>
      <w:r w:rsidR="00B32673" w:rsidRPr="00F44F6C">
        <w:rPr>
          <w:b/>
          <w:sz w:val="22"/>
          <w:szCs w:val="22"/>
        </w:rPr>
        <w:t xml:space="preserve"> November 202</w:t>
      </w:r>
      <w:r w:rsidR="00A55E8B">
        <w:rPr>
          <w:b/>
          <w:sz w:val="22"/>
          <w:szCs w:val="22"/>
        </w:rPr>
        <w:t>2</w:t>
      </w:r>
      <w:r w:rsidR="003B2D3D" w:rsidRPr="00F44F6C">
        <w:rPr>
          <w:sz w:val="22"/>
          <w:szCs w:val="22"/>
        </w:rPr>
        <w:t xml:space="preserve">. Please address all questions and responses to </w:t>
      </w:r>
      <w:r w:rsidR="00F44F6C">
        <w:rPr>
          <w:sz w:val="22"/>
          <w:szCs w:val="22"/>
        </w:rPr>
        <w:t>Dawn Haigh 01274 433775</w:t>
      </w:r>
      <w:r w:rsidR="003B2D3D" w:rsidRPr="00F44F6C">
        <w:rPr>
          <w:sz w:val="22"/>
          <w:szCs w:val="22"/>
        </w:rPr>
        <w:t xml:space="preserve"> </w:t>
      </w:r>
      <w:hyperlink r:id="rId11" w:history="1">
        <w:r w:rsidR="00F44F6C" w:rsidRPr="001C2656">
          <w:rPr>
            <w:rStyle w:val="Hyperlink"/>
            <w:sz w:val="22"/>
            <w:szCs w:val="22"/>
          </w:rPr>
          <w:t>dawn.haigh@bradford.gov.uk</w:t>
        </w:r>
      </w:hyperlink>
      <w:r w:rsidR="003B2D3D" w:rsidRPr="00F44F6C">
        <w:rPr>
          <w:sz w:val="22"/>
          <w:szCs w:val="22"/>
        </w:rPr>
        <w:t xml:space="preserve">. </w:t>
      </w:r>
      <w:r w:rsidR="005D4129" w:rsidRPr="006D38EA">
        <w:rPr>
          <w:bCs/>
          <w:sz w:val="22"/>
          <w:szCs w:val="22"/>
        </w:rPr>
        <w:t>A response form is included at Appendix</w:t>
      </w:r>
      <w:r w:rsidR="005D4129" w:rsidRPr="00E41E31">
        <w:rPr>
          <w:bCs/>
          <w:sz w:val="22"/>
          <w:szCs w:val="22"/>
        </w:rPr>
        <w:t xml:space="preserve"> 6. </w:t>
      </w:r>
      <w:r w:rsidR="005D4129" w:rsidRPr="006D38EA">
        <w:rPr>
          <w:bCs/>
          <w:sz w:val="22"/>
          <w:szCs w:val="22"/>
        </w:rPr>
        <w:t xml:space="preserve">However, this year we have introduced a web-based questionnaire, which we encourage you to use to submit your response. </w:t>
      </w:r>
      <w:r w:rsidR="005D4129" w:rsidRPr="00092B92">
        <w:rPr>
          <w:bCs/>
          <w:sz w:val="22"/>
          <w:szCs w:val="22"/>
        </w:rPr>
        <w:t xml:space="preserve">Please access the web-based questionnaire </w:t>
      </w:r>
      <w:hyperlink r:id="rId12" w:history="1">
        <w:r w:rsidR="005D4129" w:rsidRPr="002C30BA">
          <w:rPr>
            <w:rStyle w:val="Hyperlink"/>
            <w:bCs/>
            <w:sz w:val="22"/>
            <w:szCs w:val="22"/>
          </w:rPr>
          <w:t>here</w:t>
        </w:r>
      </w:hyperlink>
      <w:r w:rsidR="005D4129" w:rsidRPr="002C30BA">
        <w:rPr>
          <w:bCs/>
          <w:sz w:val="22"/>
          <w:szCs w:val="22"/>
        </w:rPr>
        <w:t>.</w:t>
      </w:r>
    </w:p>
    <w:p w:rsidR="00E52CCC" w:rsidRDefault="00E52CCC" w:rsidP="00980344">
      <w:pPr>
        <w:jc w:val="both"/>
        <w:rPr>
          <w:sz w:val="22"/>
          <w:szCs w:val="22"/>
        </w:rPr>
      </w:pPr>
    </w:p>
    <w:p w:rsidR="000E25AE" w:rsidRDefault="000E25AE" w:rsidP="00980344">
      <w:pPr>
        <w:jc w:val="both"/>
        <w:rPr>
          <w:sz w:val="22"/>
          <w:szCs w:val="22"/>
        </w:rPr>
      </w:pPr>
    </w:p>
    <w:p w:rsidR="001B416B" w:rsidRDefault="001B416B" w:rsidP="001B416B">
      <w:pPr>
        <w:jc w:val="both"/>
        <w:rPr>
          <w:sz w:val="22"/>
          <w:szCs w:val="22"/>
        </w:rPr>
      </w:pPr>
      <w:r>
        <w:rPr>
          <w:b/>
          <w:sz w:val="22"/>
          <w:szCs w:val="22"/>
        </w:rPr>
        <w:t>2</w:t>
      </w:r>
      <w:r w:rsidRPr="00924C42">
        <w:rPr>
          <w:b/>
          <w:sz w:val="22"/>
          <w:szCs w:val="22"/>
        </w:rPr>
        <w:t>.</w:t>
      </w:r>
      <w:r w:rsidRPr="00924C42">
        <w:rPr>
          <w:b/>
          <w:sz w:val="22"/>
          <w:szCs w:val="22"/>
        </w:rPr>
        <w:tab/>
      </w:r>
      <w:r w:rsidR="00533131">
        <w:rPr>
          <w:b/>
          <w:sz w:val="22"/>
          <w:szCs w:val="22"/>
        </w:rPr>
        <w:t xml:space="preserve">Background - </w:t>
      </w:r>
      <w:r w:rsidR="00BA0822">
        <w:rPr>
          <w:b/>
          <w:sz w:val="22"/>
          <w:szCs w:val="22"/>
        </w:rPr>
        <w:t>High Needs Block</w:t>
      </w:r>
      <w:r w:rsidR="00132ED6">
        <w:rPr>
          <w:b/>
          <w:sz w:val="22"/>
          <w:szCs w:val="22"/>
        </w:rPr>
        <w:t xml:space="preserve"> and National Funding Formula</w:t>
      </w:r>
      <w:r w:rsidR="000E0510">
        <w:rPr>
          <w:b/>
          <w:sz w:val="22"/>
          <w:szCs w:val="22"/>
        </w:rPr>
        <w:t xml:space="preserve"> </w:t>
      </w:r>
    </w:p>
    <w:p w:rsidR="001B416B" w:rsidRPr="001B416B" w:rsidRDefault="001B416B" w:rsidP="001B416B">
      <w:pPr>
        <w:jc w:val="both"/>
        <w:rPr>
          <w:sz w:val="22"/>
          <w:szCs w:val="22"/>
        </w:rPr>
      </w:pPr>
    </w:p>
    <w:p w:rsidR="009D7DC0" w:rsidRDefault="001B416B" w:rsidP="009D7DC0">
      <w:pPr>
        <w:jc w:val="both"/>
        <w:rPr>
          <w:sz w:val="22"/>
          <w:szCs w:val="22"/>
        </w:rPr>
      </w:pPr>
      <w:r w:rsidRPr="001B416B">
        <w:rPr>
          <w:sz w:val="22"/>
          <w:szCs w:val="22"/>
        </w:rPr>
        <w:t>2.1</w:t>
      </w:r>
      <w:r w:rsidR="009D7DC0">
        <w:rPr>
          <w:sz w:val="22"/>
          <w:szCs w:val="22"/>
        </w:rPr>
        <w:t xml:space="preserve"> All local authorities are following a direction of travel set by the Department for Education (DfE</w:t>
      </w:r>
      <w:r w:rsidR="00081239">
        <w:rPr>
          <w:sz w:val="22"/>
          <w:szCs w:val="22"/>
        </w:rPr>
        <w:t>) towards</w:t>
      </w:r>
      <w:r w:rsidR="009D7DC0">
        <w:rPr>
          <w:sz w:val="22"/>
          <w:szCs w:val="22"/>
        </w:rPr>
        <w:t xml:space="preserve"> National Funding Formula</w:t>
      </w:r>
      <w:r w:rsidR="00406B20">
        <w:rPr>
          <w:sz w:val="22"/>
          <w:szCs w:val="22"/>
        </w:rPr>
        <w:t xml:space="preserve"> (NFF)</w:t>
      </w:r>
      <w:r w:rsidR="009D7DC0">
        <w:rPr>
          <w:sz w:val="22"/>
          <w:szCs w:val="22"/>
        </w:rPr>
        <w:t>. Significant changes to the way high needs provisi</w:t>
      </w:r>
      <w:r w:rsidR="00812ACC">
        <w:rPr>
          <w:sz w:val="22"/>
          <w:szCs w:val="22"/>
        </w:rPr>
        <w:t>on is funded were implemented by the DfE in</w:t>
      </w:r>
      <w:r w:rsidR="009D7DC0">
        <w:rPr>
          <w:sz w:val="22"/>
          <w:szCs w:val="22"/>
        </w:rPr>
        <w:t xml:space="preserve"> the 2013/14 financial year. These changes</w:t>
      </w:r>
      <w:r w:rsidR="00C050EC">
        <w:rPr>
          <w:sz w:val="22"/>
          <w:szCs w:val="22"/>
        </w:rPr>
        <w:t>,</w:t>
      </w:r>
      <w:r w:rsidR="009D7DC0">
        <w:rPr>
          <w:sz w:val="22"/>
          <w:szCs w:val="22"/>
        </w:rPr>
        <w:t xml:space="preserve"> now well established, affected activities funded by the High Needs Block (HNB), which is a specific block</w:t>
      </w:r>
      <w:r w:rsidR="0092120A">
        <w:rPr>
          <w:sz w:val="22"/>
          <w:szCs w:val="22"/>
        </w:rPr>
        <w:t xml:space="preserve"> of monies</w:t>
      </w:r>
      <w:r w:rsidR="009D7DC0">
        <w:rPr>
          <w:sz w:val="22"/>
          <w:szCs w:val="22"/>
        </w:rPr>
        <w:t xml:space="preserve"> within the Dedicated Schools Grant (t</w:t>
      </w:r>
      <w:r w:rsidR="009E7655">
        <w:rPr>
          <w:sz w:val="22"/>
          <w:szCs w:val="22"/>
        </w:rPr>
        <w:t>he DSG</w:t>
      </w:r>
      <w:r w:rsidR="00081239">
        <w:rPr>
          <w:sz w:val="22"/>
          <w:szCs w:val="22"/>
        </w:rPr>
        <w:t>) tha</w:t>
      </w:r>
      <w:r w:rsidR="008472E0">
        <w:rPr>
          <w:sz w:val="22"/>
          <w:szCs w:val="22"/>
        </w:rPr>
        <w:t>t amounts</w:t>
      </w:r>
      <w:r w:rsidR="00407447">
        <w:rPr>
          <w:sz w:val="22"/>
          <w:szCs w:val="22"/>
        </w:rPr>
        <w:t xml:space="preserve"> in 2023/24 to about 17</w:t>
      </w:r>
      <w:r w:rsidR="009D7DC0">
        <w:rPr>
          <w:sz w:val="22"/>
          <w:szCs w:val="22"/>
        </w:rPr>
        <w:t xml:space="preserve">% of the overall DSG resources </w:t>
      </w:r>
      <w:r w:rsidR="00550749">
        <w:rPr>
          <w:sz w:val="22"/>
          <w:szCs w:val="22"/>
        </w:rPr>
        <w:t xml:space="preserve">that will be </w:t>
      </w:r>
      <w:r w:rsidR="009D7DC0">
        <w:rPr>
          <w:sz w:val="22"/>
          <w:szCs w:val="22"/>
        </w:rPr>
        <w:t xml:space="preserve">available to </w:t>
      </w:r>
      <w:r w:rsidR="00D63FBE">
        <w:rPr>
          <w:sz w:val="22"/>
          <w:szCs w:val="22"/>
        </w:rPr>
        <w:t>Bradford Council.</w:t>
      </w:r>
    </w:p>
    <w:p w:rsidR="00550749" w:rsidRDefault="00550749" w:rsidP="009D7DC0">
      <w:pPr>
        <w:jc w:val="both"/>
        <w:rPr>
          <w:sz w:val="22"/>
          <w:szCs w:val="22"/>
        </w:rPr>
      </w:pPr>
    </w:p>
    <w:p w:rsidR="009D7DC0" w:rsidRDefault="00550749" w:rsidP="009D7DC0">
      <w:pPr>
        <w:jc w:val="both"/>
        <w:rPr>
          <w:sz w:val="22"/>
          <w:szCs w:val="22"/>
        </w:rPr>
      </w:pPr>
      <w:r>
        <w:rPr>
          <w:sz w:val="22"/>
          <w:szCs w:val="22"/>
        </w:rPr>
        <w:t>2.2 Unlike for mainstream primary and secondary schools and academies</w:t>
      </w:r>
      <w:r w:rsidR="00064345">
        <w:rPr>
          <w:sz w:val="22"/>
          <w:szCs w:val="22"/>
        </w:rPr>
        <w:t>,</w:t>
      </w:r>
      <w:r w:rsidR="0092120A">
        <w:rPr>
          <w:sz w:val="22"/>
          <w:szCs w:val="22"/>
        </w:rPr>
        <w:t xml:space="preserve"> that are</w:t>
      </w:r>
      <w:r>
        <w:rPr>
          <w:sz w:val="22"/>
          <w:szCs w:val="22"/>
        </w:rPr>
        <w:t xml:space="preserve"> funded within the Schools Block</w:t>
      </w:r>
      <w:r w:rsidR="00064345">
        <w:rPr>
          <w:sz w:val="22"/>
          <w:szCs w:val="22"/>
        </w:rPr>
        <w:t xml:space="preserve"> of the DSG</w:t>
      </w:r>
      <w:r>
        <w:rPr>
          <w:sz w:val="22"/>
          <w:szCs w:val="22"/>
        </w:rPr>
        <w:t xml:space="preserve">, the DfE’s National Funding Formula reforms </w:t>
      </w:r>
      <w:r w:rsidR="009B3FD1">
        <w:rPr>
          <w:sz w:val="22"/>
          <w:szCs w:val="22"/>
        </w:rPr>
        <w:t>have not so far</w:t>
      </w:r>
      <w:r w:rsidRPr="00E81B54">
        <w:rPr>
          <w:sz w:val="22"/>
          <w:szCs w:val="22"/>
        </w:rPr>
        <w:t xml:space="preserve"> introduce</w:t>
      </w:r>
      <w:r w:rsidR="009B3FD1">
        <w:rPr>
          <w:sz w:val="22"/>
          <w:szCs w:val="22"/>
        </w:rPr>
        <w:t>d</w:t>
      </w:r>
      <w:r w:rsidR="00064345">
        <w:rPr>
          <w:sz w:val="22"/>
          <w:szCs w:val="22"/>
        </w:rPr>
        <w:t xml:space="preserve"> a provider</w:t>
      </w:r>
      <w:r w:rsidRPr="00E81B54">
        <w:rPr>
          <w:sz w:val="22"/>
          <w:szCs w:val="22"/>
        </w:rPr>
        <w:t>-level national formula for H</w:t>
      </w:r>
      <w:r>
        <w:rPr>
          <w:sz w:val="22"/>
          <w:szCs w:val="22"/>
        </w:rPr>
        <w:t xml:space="preserve">igh </w:t>
      </w:r>
      <w:r w:rsidRPr="00E81B54">
        <w:rPr>
          <w:sz w:val="22"/>
          <w:szCs w:val="22"/>
        </w:rPr>
        <w:t>N</w:t>
      </w:r>
      <w:r>
        <w:rPr>
          <w:sz w:val="22"/>
          <w:szCs w:val="22"/>
        </w:rPr>
        <w:t xml:space="preserve">eeds Block </w:t>
      </w:r>
      <w:r w:rsidR="00064345">
        <w:rPr>
          <w:sz w:val="22"/>
          <w:szCs w:val="22"/>
        </w:rPr>
        <w:t>funded settings</w:t>
      </w:r>
      <w:r w:rsidRPr="00E81B54">
        <w:rPr>
          <w:sz w:val="22"/>
          <w:szCs w:val="22"/>
        </w:rPr>
        <w:t>. Local authorities continue</w:t>
      </w:r>
      <w:r w:rsidR="00064345">
        <w:rPr>
          <w:sz w:val="22"/>
          <w:szCs w:val="22"/>
        </w:rPr>
        <w:t xml:space="preserve"> in 2023/24</w:t>
      </w:r>
      <w:r w:rsidRPr="00E81B54">
        <w:rPr>
          <w:sz w:val="22"/>
          <w:szCs w:val="22"/>
        </w:rPr>
        <w:t xml:space="preserve"> to have </w:t>
      </w:r>
      <w:r>
        <w:rPr>
          <w:sz w:val="22"/>
          <w:szCs w:val="22"/>
        </w:rPr>
        <w:t xml:space="preserve">full </w:t>
      </w:r>
      <w:r w:rsidRPr="00E81B54">
        <w:rPr>
          <w:sz w:val="22"/>
          <w:szCs w:val="22"/>
        </w:rPr>
        <w:t>res</w:t>
      </w:r>
      <w:r>
        <w:rPr>
          <w:sz w:val="22"/>
          <w:szCs w:val="22"/>
        </w:rPr>
        <w:t xml:space="preserve">ponsibilities for determining </w:t>
      </w:r>
      <w:r w:rsidR="00A931F6">
        <w:rPr>
          <w:sz w:val="22"/>
          <w:szCs w:val="22"/>
        </w:rPr>
        <w:t xml:space="preserve">their own </w:t>
      </w:r>
      <w:r w:rsidR="00132ED6">
        <w:rPr>
          <w:sz w:val="22"/>
          <w:szCs w:val="22"/>
        </w:rPr>
        <w:t>High Needs Block formula funding matters</w:t>
      </w:r>
      <w:r w:rsidR="00A34F36">
        <w:rPr>
          <w:sz w:val="22"/>
          <w:szCs w:val="22"/>
        </w:rPr>
        <w:t>. Authorities are required however, to comply with Regulations and with the DSG</w:t>
      </w:r>
      <w:r w:rsidR="0092120A">
        <w:rPr>
          <w:sz w:val="22"/>
          <w:szCs w:val="22"/>
        </w:rPr>
        <w:t>’s</w:t>
      </w:r>
      <w:r w:rsidR="00A34F36">
        <w:rPr>
          <w:sz w:val="22"/>
          <w:szCs w:val="22"/>
        </w:rPr>
        <w:t xml:space="preserve"> Conditions of Grant.</w:t>
      </w:r>
    </w:p>
    <w:p w:rsidR="00370FE6" w:rsidRDefault="00370FE6" w:rsidP="009D7DC0">
      <w:pPr>
        <w:jc w:val="both"/>
        <w:rPr>
          <w:sz w:val="22"/>
          <w:szCs w:val="22"/>
        </w:rPr>
      </w:pPr>
    </w:p>
    <w:p w:rsidR="00092815" w:rsidRDefault="00132ED6" w:rsidP="009D7DC0">
      <w:pPr>
        <w:jc w:val="both"/>
        <w:rPr>
          <w:sz w:val="22"/>
          <w:szCs w:val="22"/>
        </w:rPr>
      </w:pPr>
      <w:r>
        <w:rPr>
          <w:sz w:val="22"/>
          <w:szCs w:val="22"/>
        </w:rPr>
        <w:t>2.3</w:t>
      </w:r>
      <w:r w:rsidR="009D7DC0">
        <w:rPr>
          <w:sz w:val="22"/>
          <w:szCs w:val="22"/>
        </w:rPr>
        <w:t xml:space="preserve"> The high needs funding system supports provision for </w:t>
      </w:r>
      <w:r w:rsidR="00C050EC">
        <w:rPr>
          <w:sz w:val="22"/>
          <w:szCs w:val="22"/>
        </w:rPr>
        <w:t>children and young people with</w:t>
      </w:r>
      <w:r w:rsidR="00024CCF">
        <w:rPr>
          <w:sz w:val="22"/>
          <w:szCs w:val="22"/>
        </w:rPr>
        <w:t xml:space="preserve"> Special Educational Needs and D</w:t>
      </w:r>
      <w:r w:rsidR="009D7DC0">
        <w:rPr>
          <w:sz w:val="22"/>
          <w:szCs w:val="22"/>
        </w:rPr>
        <w:t>isabilities (SEND)</w:t>
      </w:r>
      <w:r w:rsidR="00A44893">
        <w:rPr>
          <w:sz w:val="22"/>
          <w:szCs w:val="22"/>
        </w:rPr>
        <w:t>,</w:t>
      </w:r>
      <w:r w:rsidR="009D7DC0">
        <w:rPr>
          <w:sz w:val="22"/>
          <w:szCs w:val="22"/>
        </w:rPr>
        <w:t xml:space="preserve"> in line with the Children and Families Act 2014. High </w:t>
      </w:r>
      <w:r w:rsidR="00D361C0">
        <w:rPr>
          <w:sz w:val="22"/>
          <w:szCs w:val="22"/>
        </w:rPr>
        <w:t>N</w:t>
      </w:r>
      <w:r w:rsidR="009D7DC0">
        <w:rPr>
          <w:sz w:val="22"/>
          <w:szCs w:val="22"/>
        </w:rPr>
        <w:t>eeds</w:t>
      </w:r>
      <w:r w:rsidR="00D361C0">
        <w:rPr>
          <w:sz w:val="22"/>
          <w:szCs w:val="22"/>
        </w:rPr>
        <w:t xml:space="preserve"> Block DSG funding is also allocated</w:t>
      </w:r>
      <w:r w:rsidR="009D7DC0">
        <w:rPr>
          <w:sz w:val="22"/>
          <w:szCs w:val="22"/>
        </w:rPr>
        <w:t xml:space="preserve"> to support good quality Alternative Provision for pre-16 pupils who cannot receive education in school</w:t>
      </w:r>
      <w:r w:rsidR="00C050EC">
        <w:rPr>
          <w:sz w:val="22"/>
          <w:szCs w:val="22"/>
        </w:rPr>
        <w:t>s. The Children and F</w:t>
      </w:r>
      <w:r w:rsidR="009D7DC0">
        <w:rPr>
          <w:sz w:val="22"/>
          <w:szCs w:val="22"/>
        </w:rPr>
        <w:t>amilies Act 2014 extended the statutory duties local authorities hold relating to SEND across the 0 to 25 age range.</w:t>
      </w:r>
      <w:r w:rsidR="0042353F">
        <w:rPr>
          <w:sz w:val="22"/>
          <w:szCs w:val="22"/>
        </w:rPr>
        <w:t xml:space="preserve"> Therefore, Bradford Council has a key role in determining the funding that is given to schools</w:t>
      </w:r>
      <w:r w:rsidR="00A44893">
        <w:rPr>
          <w:sz w:val="22"/>
          <w:szCs w:val="22"/>
        </w:rPr>
        <w:t>, academies and</w:t>
      </w:r>
      <w:r w:rsidR="00024CCF">
        <w:rPr>
          <w:sz w:val="22"/>
          <w:szCs w:val="22"/>
        </w:rPr>
        <w:t xml:space="preserve"> </w:t>
      </w:r>
      <w:r w:rsidR="0042353F">
        <w:rPr>
          <w:sz w:val="22"/>
          <w:szCs w:val="22"/>
        </w:rPr>
        <w:t>other providers to meet the needs of chil</w:t>
      </w:r>
      <w:r w:rsidR="00024CCF">
        <w:rPr>
          <w:sz w:val="22"/>
          <w:szCs w:val="22"/>
        </w:rPr>
        <w:t xml:space="preserve">dren and young people with SEND. </w:t>
      </w:r>
      <w:r w:rsidR="0042353F">
        <w:rPr>
          <w:sz w:val="22"/>
          <w:szCs w:val="22"/>
        </w:rPr>
        <w:t>Schools</w:t>
      </w:r>
      <w:r w:rsidR="00A44893">
        <w:rPr>
          <w:sz w:val="22"/>
          <w:szCs w:val="22"/>
        </w:rPr>
        <w:t>, academies</w:t>
      </w:r>
      <w:r w:rsidR="0042353F">
        <w:rPr>
          <w:sz w:val="22"/>
          <w:szCs w:val="22"/>
        </w:rPr>
        <w:t xml:space="preserve"> and other providers also have duties under the Act, in particular a duty to co-operate with their local authorities on arrangements for children and young people with SEND.</w:t>
      </w:r>
    </w:p>
    <w:p w:rsidR="00283214" w:rsidRDefault="00283214" w:rsidP="009D7DC0">
      <w:pPr>
        <w:jc w:val="both"/>
        <w:rPr>
          <w:sz w:val="22"/>
          <w:szCs w:val="22"/>
        </w:rPr>
      </w:pPr>
    </w:p>
    <w:p w:rsidR="00283214" w:rsidRPr="00064345" w:rsidRDefault="00064345" w:rsidP="00283214">
      <w:pPr>
        <w:jc w:val="both"/>
        <w:rPr>
          <w:sz w:val="22"/>
          <w:szCs w:val="22"/>
        </w:rPr>
      </w:pPr>
      <w:r w:rsidRPr="00064345">
        <w:rPr>
          <w:sz w:val="22"/>
          <w:szCs w:val="22"/>
        </w:rPr>
        <w:t xml:space="preserve">2.4 </w:t>
      </w:r>
      <w:r w:rsidR="00283214" w:rsidRPr="00064345">
        <w:rPr>
          <w:sz w:val="22"/>
          <w:szCs w:val="22"/>
        </w:rPr>
        <w:t xml:space="preserve">On current estimates, our High Needs Block allocation in 2023/24 is £111.90m, which is £6.71m higher than received in 2022/23, including </w:t>
      </w:r>
      <w:r w:rsidRPr="00064345">
        <w:rPr>
          <w:sz w:val="22"/>
          <w:szCs w:val="22"/>
        </w:rPr>
        <w:t xml:space="preserve">the DfE’s </w:t>
      </w:r>
      <w:r w:rsidR="00283214" w:rsidRPr="00064345">
        <w:rPr>
          <w:sz w:val="22"/>
          <w:szCs w:val="22"/>
        </w:rPr>
        <w:t>additional Supplementary Grant funding</w:t>
      </w:r>
      <w:r w:rsidRPr="00064345">
        <w:rPr>
          <w:sz w:val="22"/>
          <w:szCs w:val="22"/>
        </w:rPr>
        <w:t>, which is continued</w:t>
      </w:r>
      <w:r w:rsidR="00283214" w:rsidRPr="00064345">
        <w:rPr>
          <w:sz w:val="22"/>
          <w:szCs w:val="22"/>
        </w:rPr>
        <w:t xml:space="preserve">. This represents an increase of 6.4% in cash terms and 6.8% in per pupil terms. These increases are lower than received in recent years. For example, our overall cash increase was 10% in 2022/23 and 14% in 2021/22. This lower increase aligns with our assessment of the Autumn 2021 Spending Review, reinforced by the DfE’s recent messaging, that the current 3-year national school funding settlement has been weighted towards 2022/23, with reduced increases to be allocated in 2023/24 and in 2024/25. We anticipate that High Needs Block funding nationally may increase between 3% and 5% in 2024/25. </w:t>
      </w:r>
    </w:p>
    <w:p w:rsidR="00283214" w:rsidRDefault="00283214" w:rsidP="009D7DC0">
      <w:pPr>
        <w:jc w:val="both"/>
        <w:rPr>
          <w:sz w:val="22"/>
          <w:szCs w:val="22"/>
        </w:rPr>
      </w:pPr>
    </w:p>
    <w:p w:rsidR="00064345" w:rsidRDefault="00064345" w:rsidP="006256DB">
      <w:pPr>
        <w:pStyle w:val="ListParagraph"/>
        <w:ind w:left="0"/>
        <w:jc w:val="both"/>
        <w:rPr>
          <w:sz w:val="22"/>
          <w:szCs w:val="22"/>
        </w:rPr>
      </w:pPr>
      <w:r w:rsidRPr="00064345">
        <w:rPr>
          <w:sz w:val="22"/>
          <w:szCs w:val="22"/>
        </w:rPr>
        <w:t xml:space="preserve">2.5 The annual </w:t>
      </w:r>
      <w:r w:rsidR="00C22624" w:rsidRPr="00064345">
        <w:rPr>
          <w:sz w:val="22"/>
          <w:szCs w:val="22"/>
        </w:rPr>
        <w:t>growth</w:t>
      </w:r>
      <w:r w:rsidRPr="00064345">
        <w:rPr>
          <w:sz w:val="22"/>
          <w:szCs w:val="22"/>
        </w:rPr>
        <w:t xml:space="preserve"> in High Needs Block funding is allocated across</w:t>
      </w:r>
      <w:r w:rsidR="00466C62">
        <w:rPr>
          <w:sz w:val="22"/>
          <w:szCs w:val="22"/>
        </w:rPr>
        <w:t xml:space="preserve"> four</w:t>
      </w:r>
      <w:r w:rsidR="00C22624" w:rsidRPr="00064345">
        <w:rPr>
          <w:sz w:val="22"/>
          <w:szCs w:val="22"/>
        </w:rPr>
        <w:t xml:space="preserve"> main pressures, a) growth in the cost of provision (as a result of inflation and increases in salaries costs), b) growth in the number of EHCPs and in the needs of pupils with EHCPs reflected in their placement costs, c) continued expansion of high needs </w:t>
      </w:r>
      <w:r w:rsidR="006256DB">
        <w:rPr>
          <w:sz w:val="22"/>
          <w:szCs w:val="22"/>
        </w:rPr>
        <w:t xml:space="preserve">specialist </w:t>
      </w:r>
      <w:r w:rsidR="00C22624" w:rsidRPr="00064345">
        <w:rPr>
          <w:sz w:val="22"/>
          <w:szCs w:val="22"/>
        </w:rPr>
        <w:t>places capacity</w:t>
      </w:r>
      <w:r w:rsidR="006256DB">
        <w:rPr>
          <w:sz w:val="22"/>
          <w:szCs w:val="22"/>
        </w:rPr>
        <w:t xml:space="preserve"> (special school and resourced provision places)</w:t>
      </w:r>
      <w:r w:rsidR="00466C62">
        <w:rPr>
          <w:sz w:val="22"/>
          <w:szCs w:val="22"/>
        </w:rPr>
        <w:t>, and d)</w:t>
      </w:r>
      <w:r w:rsidR="00C22624" w:rsidRPr="00064345">
        <w:rPr>
          <w:sz w:val="22"/>
          <w:szCs w:val="22"/>
        </w:rPr>
        <w:t xml:space="preserve"> expansion of central support SEND services capacity in response to increased demand. How the High Needs Block within the Dedicated Schools Grant will be allocated across these pressures will be further discussed with the Schools Forum in the autumn and early spring terms.</w:t>
      </w:r>
      <w:r w:rsidRPr="00064345">
        <w:rPr>
          <w:sz w:val="22"/>
          <w:szCs w:val="22"/>
        </w:rPr>
        <w:t xml:space="preserve"> However, beginning at the informal briefing meeting of the Schools F</w:t>
      </w:r>
      <w:r w:rsidR="004C1D23">
        <w:rPr>
          <w:sz w:val="22"/>
          <w:szCs w:val="22"/>
        </w:rPr>
        <w:t>orum</w:t>
      </w:r>
      <w:r w:rsidRPr="00064345">
        <w:rPr>
          <w:sz w:val="22"/>
          <w:szCs w:val="22"/>
        </w:rPr>
        <w:t xml:space="preserve"> that was held on 14 September, the A</w:t>
      </w:r>
      <w:r w:rsidR="006256DB">
        <w:rPr>
          <w:sz w:val="22"/>
          <w:szCs w:val="22"/>
        </w:rPr>
        <w:t>uthority has</w:t>
      </w:r>
      <w:r w:rsidRPr="00064345">
        <w:rPr>
          <w:sz w:val="22"/>
          <w:szCs w:val="22"/>
        </w:rPr>
        <w:t xml:space="preserve"> </w:t>
      </w:r>
      <w:r w:rsidR="006256DB">
        <w:rPr>
          <w:sz w:val="22"/>
          <w:szCs w:val="22"/>
        </w:rPr>
        <w:t>stated</w:t>
      </w:r>
      <w:r w:rsidRPr="00064345">
        <w:rPr>
          <w:sz w:val="22"/>
          <w:szCs w:val="22"/>
        </w:rPr>
        <w:t xml:space="preserve"> to the Forum that we will need to exercise ‘restraint’ in 2023/24 in how we uplift top-up funding rates (for pressure a) above), </w:t>
      </w:r>
      <w:r w:rsidR="004C1D23">
        <w:rPr>
          <w:sz w:val="22"/>
          <w:szCs w:val="22"/>
        </w:rPr>
        <w:t>because, as result of the limitations of</w:t>
      </w:r>
      <w:r w:rsidRPr="00064345">
        <w:rPr>
          <w:sz w:val="22"/>
          <w:szCs w:val="22"/>
        </w:rPr>
        <w:t xml:space="preserve"> the </w:t>
      </w:r>
      <w:r w:rsidR="006256DB">
        <w:rPr>
          <w:sz w:val="22"/>
          <w:szCs w:val="22"/>
        </w:rPr>
        <w:t xml:space="preserve">High Needs Block </w:t>
      </w:r>
      <w:r w:rsidRPr="00064345">
        <w:rPr>
          <w:sz w:val="22"/>
          <w:szCs w:val="22"/>
        </w:rPr>
        <w:t>settlement that we have received</w:t>
      </w:r>
      <w:r w:rsidR="004C1D23">
        <w:rPr>
          <w:sz w:val="22"/>
          <w:szCs w:val="22"/>
        </w:rPr>
        <w:t xml:space="preserve"> in 2023/24</w:t>
      </w:r>
      <w:r w:rsidRPr="00064345">
        <w:rPr>
          <w:sz w:val="22"/>
          <w:szCs w:val="22"/>
        </w:rPr>
        <w:t>, we must</w:t>
      </w:r>
      <w:r w:rsidR="006256DB">
        <w:rPr>
          <w:sz w:val="22"/>
          <w:szCs w:val="22"/>
        </w:rPr>
        <w:t xml:space="preserve"> </w:t>
      </w:r>
      <w:r w:rsidRPr="00064345">
        <w:rPr>
          <w:sz w:val="22"/>
          <w:szCs w:val="22"/>
        </w:rPr>
        <w:t xml:space="preserve">prioritise meeting the </w:t>
      </w:r>
      <w:r w:rsidR="006256DB">
        <w:rPr>
          <w:sz w:val="22"/>
          <w:szCs w:val="22"/>
        </w:rPr>
        <w:t xml:space="preserve">substantial </w:t>
      </w:r>
      <w:r w:rsidRPr="00064345">
        <w:rPr>
          <w:sz w:val="22"/>
          <w:szCs w:val="22"/>
        </w:rPr>
        <w:t>additional costs that have come from the significant recent growth, and continuing growth, in the numbers of EHCPs</w:t>
      </w:r>
      <w:r w:rsidR="006256DB">
        <w:rPr>
          <w:sz w:val="22"/>
          <w:szCs w:val="22"/>
        </w:rPr>
        <w:t xml:space="preserve"> in Bradford</w:t>
      </w:r>
      <w:r w:rsidRPr="00064345">
        <w:rPr>
          <w:sz w:val="22"/>
          <w:szCs w:val="22"/>
        </w:rPr>
        <w:t xml:space="preserve"> and from the </w:t>
      </w:r>
      <w:r w:rsidR="004C1D23">
        <w:rPr>
          <w:sz w:val="22"/>
          <w:szCs w:val="22"/>
        </w:rPr>
        <w:t xml:space="preserve">essential </w:t>
      </w:r>
      <w:r w:rsidRPr="00064345">
        <w:rPr>
          <w:sz w:val="22"/>
          <w:szCs w:val="22"/>
        </w:rPr>
        <w:t>continued expansion of high needs specialist places capacity</w:t>
      </w:r>
      <w:r w:rsidR="006256DB">
        <w:rPr>
          <w:sz w:val="22"/>
          <w:szCs w:val="22"/>
        </w:rPr>
        <w:t>.</w:t>
      </w:r>
    </w:p>
    <w:p w:rsidR="004C1D23" w:rsidRDefault="004C1D23" w:rsidP="009D7DC0">
      <w:pPr>
        <w:jc w:val="both"/>
        <w:rPr>
          <w:sz w:val="22"/>
          <w:szCs w:val="22"/>
        </w:rPr>
      </w:pPr>
    </w:p>
    <w:p w:rsidR="009D7DC0" w:rsidRPr="00024CCF" w:rsidRDefault="006256DB" w:rsidP="009D7DC0">
      <w:pPr>
        <w:jc w:val="both"/>
        <w:rPr>
          <w:sz w:val="22"/>
          <w:szCs w:val="22"/>
        </w:rPr>
      </w:pPr>
      <w:r>
        <w:rPr>
          <w:sz w:val="22"/>
          <w:szCs w:val="22"/>
        </w:rPr>
        <w:t>2.6</w:t>
      </w:r>
      <w:r w:rsidR="009E65DA" w:rsidRPr="00024CCF">
        <w:rPr>
          <w:sz w:val="22"/>
          <w:szCs w:val="22"/>
        </w:rPr>
        <w:t xml:space="preserve"> </w:t>
      </w:r>
      <w:r w:rsidR="00064345">
        <w:rPr>
          <w:sz w:val="22"/>
          <w:szCs w:val="22"/>
        </w:rPr>
        <w:t xml:space="preserve">Of the £111.90m of High Needs Block funding </w:t>
      </w:r>
      <w:r>
        <w:rPr>
          <w:sz w:val="22"/>
          <w:szCs w:val="22"/>
        </w:rPr>
        <w:t xml:space="preserve">that </w:t>
      </w:r>
      <w:r w:rsidR="00064345">
        <w:rPr>
          <w:sz w:val="22"/>
          <w:szCs w:val="22"/>
        </w:rPr>
        <w:t>w</w:t>
      </w:r>
      <w:r w:rsidR="00406B20" w:rsidRPr="00024CCF">
        <w:rPr>
          <w:sz w:val="22"/>
          <w:szCs w:val="22"/>
        </w:rPr>
        <w:t>e</w:t>
      </w:r>
      <w:r w:rsidR="00024CCF" w:rsidRPr="00024CCF">
        <w:rPr>
          <w:sz w:val="22"/>
          <w:szCs w:val="22"/>
        </w:rPr>
        <w:t xml:space="preserve"> </w:t>
      </w:r>
      <w:r>
        <w:rPr>
          <w:sz w:val="22"/>
          <w:szCs w:val="22"/>
        </w:rPr>
        <w:t>estimate</w:t>
      </w:r>
      <w:r w:rsidR="00406B20" w:rsidRPr="00024CCF">
        <w:rPr>
          <w:sz w:val="22"/>
          <w:szCs w:val="22"/>
        </w:rPr>
        <w:t xml:space="preserve"> we will </w:t>
      </w:r>
      <w:r w:rsidR="00081239" w:rsidRPr="00024CCF">
        <w:rPr>
          <w:sz w:val="22"/>
          <w:szCs w:val="22"/>
        </w:rPr>
        <w:t>receive</w:t>
      </w:r>
      <w:r w:rsidR="005657A2" w:rsidRPr="00024CCF">
        <w:rPr>
          <w:sz w:val="22"/>
          <w:szCs w:val="22"/>
        </w:rPr>
        <w:t xml:space="preserve"> in</w:t>
      </w:r>
      <w:r w:rsidR="00665D6A">
        <w:rPr>
          <w:sz w:val="22"/>
          <w:szCs w:val="22"/>
        </w:rPr>
        <w:t xml:space="preserve"> 2023/24</w:t>
      </w:r>
      <w:r w:rsidR="00064345">
        <w:rPr>
          <w:sz w:val="22"/>
          <w:szCs w:val="22"/>
        </w:rPr>
        <w:t>,</w:t>
      </w:r>
      <w:r w:rsidR="00080C6E" w:rsidRPr="00024CCF">
        <w:rPr>
          <w:sz w:val="22"/>
          <w:szCs w:val="22"/>
        </w:rPr>
        <w:t xml:space="preserve"> </w:t>
      </w:r>
      <w:r w:rsidR="00665D6A">
        <w:rPr>
          <w:sz w:val="22"/>
          <w:szCs w:val="22"/>
        </w:rPr>
        <w:t>93</w:t>
      </w:r>
      <w:r w:rsidR="00AC5C2B" w:rsidRPr="00024CCF">
        <w:rPr>
          <w:sz w:val="22"/>
          <w:szCs w:val="22"/>
        </w:rPr>
        <w:t>%</w:t>
      </w:r>
      <w:r w:rsidR="00812ACC" w:rsidRPr="00024CCF">
        <w:rPr>
          <w:sz w:val="22"/>
          <w:szCs w:val="22"/>
        </w:rPr>
        <w:t xml:space="preserve"> of this</w:t>
      </w:r>
      <w:r w:rsidR="009E65DA" w:rsidRPr="00024CCF">
        <w:rPr>
          <w:sz w:val="22"/>
          <w:szCs w:val="22"/>
        </w:rPr>
        <w:t xml:space="preserve"> is</w:t>
      </w:r>
      <w:r w:rsidR="003C5C82">
        <w:rPr>
          <w:sz w:val="22"/>
          <w:szCs w:val="22"/>
        </w:rPr>
        <w:t xml:space="preserve"> estimated</w:t>
      </w:r>
      <w:r w:rsidR="00081239" w:rsidRPr="00024CCF">
        <w:rPr>
          <w:sz w:val="22"/>
          <w:szCs w:val="22"/>
        </w:rPr>
        <w:t xml:space="preserve"> to be</w:t>
      </w:r>
      <w:r w:rsidR="00FE3794" w:rsidRPr="00024CCF">
        <w:rPr>
          <w:sz w:val="22"/>
          <w:szCs w:val="22"/>
        </w:rPr>
        <w:t xml:space="preserve"> </w:t>
      </w:r>
      <w:r w:rsidR="00A15080" w:rsidRPr="00024CCF">
        <w:rPr>
          <w:sz w:val="22"/>
          <w:szCs w:val="22"/>
        </w:rPr>
        <w:t>delegated or devolved</w:t>
      </w:r>
      <w:r w:rsidR="00FE3794" w:rsidRPr="00024CCF">
        <w:rPr>
          <w:sz w:val="22"/>
          <w:szCs w:val="22"/>
        </w:rPr>
        <w:t xml:space="preserve"> to support the following:</w:t>
      </w:r>
    </w:p>
    <w:p w:rsidR="00262D2F" w:rsidRDefault="00262D2F" w:rsidP="009D7DC0">
      <w:pPr>
        <w:jc w:val="both"/>
        <w:rPr>
          <w:sz w:val="22"/>
          <w:szCs w:val="22"/>
        </w:rPr>
      </w:pPr>
    </w:p>
    <w:p w:rsidR="009D7DC0" w:rsidRDefault="009D7DC0" w:rsidP="009D7DC0">
      <w:pPr>
        <w:numPr>
          <w:ilvl w:val="0"/>
          <w:numId w:val="1"/>
        </w:numPr>
        <w:jc w:val="both"/>
        <w:rPr>
          <w:sz w:val="22"/>
          <w:szCs w:val="22"/>
        </w:rPr>
      </w:pPr>
      <w:r>
        <w:rPr>
          <w:sz w:val="22"/>
          <w:szCs w:val="22"/>
        </w:rPr>
        <w:t>Children</w:t>
      </w:r>
      <w:r w:rsidR="00FE3794">
        <w:rPr>
          <w:sz w:val="22"/>
          <w:szCs w:val="22"/>
        </w:rPr>
        <w:t xml:space="preserve"> and young people with Education Health and Care Plans (EHCPs) ed</w:t>
      </w:r>
      <w:r w:rsidR="00024CCF">
        <w:rPr>
          <w:sz w:val="22"/>
          <w:szCs w:val="22"/>
        </w:rPr>
        <w:t xml:space="preserve">ucated in mainstream schools and </w:t>
      </w:r>
      <w:r w:rsidR="00FE3794">
        <w:rPr>
          <w:sz w:val="22"/>
          <w:szCs w:val="22"/>
        </w:rPr>
        <w:t>academies.</w:t>
      </w:r>
    </w:p>
    <w:p w:rsidR="0063186D" w:rsidRDefault="0063186D" w:rsidP="0063186D">
      <w:pPr>
        <w:ind w:left="360"/>
        <w:jc w:val="both"/>
        <w:rPr>
          <w:sz w:val="22"/>
          <w:szCs w:val="22"/>
        </w:rPr>
      </w:pPr>
    </w:p>
    <w:p w:rsidR="009D7DC0" w:rsidRDefault="005A0065" w:rsidP="009D7DC0">
      <w:pPr>
        <w:numPr>
          <w:ilvl w:val="0"/>
          <w:numId w:val="1"/>
        </w:numPr>
        <w:jc w:val="both"/>
        <w:rPr>
          <w:sz w:val="22"/>
          <w:szCs w:val="22"/>
        </w:rPr>
      </w:pPr>
      <w:r>
        <w:rPr>
          <w:sz w:val="22"/>
          <w:szCs w:val="22"/>
        </w:rPr>
        <w:t>Maintained S</w:t>
      </w:r>
      <w:r w:rsidR="004B6F04">
        <w:rPr>
          <w:sz w:val="22"/>
          <w:szCs w:val="22"/>
        </w:rPr>
        <w:t>pecial S</w:t>
      </w:r>
      <w:r w:rsidR="009D7DC0">
        <w:rPr>
          <w:sz w:val="22"/>
          <w:szCs w:val="22"/>
        </w:rPr>
        <w:t>chools</w:t>
      </w:r>
      <w:r w:rsidR="008A434C">
        <w:rPr>
          <w:sz w:val="22"/>
          <w:szCs w:val="22"/>
        </w:rPr>
        <w:t xml:space="preserve"> and</w:t>
      </w:r>
      <w:r w:rsidR="009D7DC0">
        <w:rPr>
          <w:sz w:val="22"/>
          <w:szCs w:val="22"/>
        </w:rPr>
        <w:t xml:space="preserve"> </w:t>
      </w:r>
      <w:r w:rsidR="00FE3794">
        <w:rPr>
          <w:sz w:val="22"/>
          <w:szCs w:val="22"/>
        </w:rPr>
        <w:t xml:space="preserve">Special </w:t>
      </w:r>
      <w:r>
        <w:rPr>
          <w:sz w:val="22"/>
          <w:szCs w:val="22"/>
        </w:rPr>
        <w:t>School A</w:t>
      </w:r>
      <w:r w:rsidR="008A434C">
        <w:rPr>
          <w:sz w:val="22"/>
          <w:szCs w:val="22"/>
        </w:rPr>
        <w:t>cademies.</w:t>
      </w:r>
    </w:p>
    <w:p w:rsidR="0063186D" w:rsidRDefault="0063186D" w:rsidP="0063186D">
      <w:pPr>
        <w:jc w:val="both"/>
        <w:rPr>
          <w:sz w:val="22"/>
          <w:szCs w:val="22"/>
        </w:rPr>
      </w:pPr>
    </w:p>
    <w:p w:rsidR="00FE3794" w:rsidRDefault="005A0065" w:rsidP="00FE3794">
      <w:pPr>
        <w:numPr>
          <w:ilvl w:val="0"/>
          <w:numId w:val="1"/>
        </w:numPr>
        <w:jc w:val="both"/>
        <w:rPr>
          <w:sz w:val="22"/>
          <w:szCs w:val="22"/>
        </w:rPr>
      </w:pPr>
      <w:r>
        <w:rPr>
          <w:sz w:val="22"/>
          <w:szCs w:val="22"/>
        </w:rPr>
        <w:t>Enhanced Specialist Provisions (resourced provisions)</w:t>
      </w:r>
      <w:r w:rsidR="00FE3794">
        <w:rPr>
          <w:sz w:val="22"/>
          <w:szCs w:val="22"/>
        </w:rPr>
        <w:t xml:space="preserve"> attached to maintained nursery schools.</w:t>
      </w:r>
    </w:p>
    <w:p w:rsidR="0063186D" w:rsidRPr="00FE3794" w:rsidRDefault="0063186D" w:rsidP="0063186D">
      <w:pPr>
        <w:jc w:val="both"/>
        <w:rPr>
          <w:sz w:val="22"/>
          <w:szCs w:val="22"/>
        </w:rPr>
      </w:pPr>
    </w:p>
    <w:p w:rsidR="009D7DC0" w:rsidRDefault="005A0065" w:rsidP="009D7DC0">
      <w:pPr>
        <w:numPr>
          <w:ilvl w:val="0"/>
          <w:numId w:val="1"/>
        </w:numPr>
        <w:jc w:val="both"/>
        <w:rPr>
          <w:sz w:val="22"/>
          <w:szCs w:val="22"/>
        </w:rPr>
      </w:pPr>
      <w:r>
        <w:rPr>
          <w:sz w:val="22"/>
          <w:szCs w:val="22"/>
        </w:rPr>
        <w:t xml:space="preserve">School-led resourced provisions within </w:t>
      </w:r>
      <w:r w:rsidR="009D7DC0">
        <w:rPr>
          <w:sz w:val="22"/>
          <w:szCs w:val="22"/>
        </w:rPr>
        <w:t xml:space="preserve">mainstream </w:t>
      </w:r>
      <w:r w:rsidR="00FE3794">
        <w:rPr>
          <w:sz w:val="22"/>
          <w:szCs w:val="22"/>
        </w:rPr>
        <w:t xml:space="preserve">primary and secondary </w:t>
      </w:r>
      <w:r w:rsidR="00024CCF">
        <w:rPr>
          <w:sz w:val="22"/>
          <w:szCs w:val="22"/>
        </w:rPr>
        <w:t>schools and</w:t>
      </w:r>
      <w:r w:rsidR="009D7DC0">
        <w:rPr>
          <w:sz w:val="22"/>
          <w:szCs w:val="22"/>
        </w:rPr>
        <w:t xml:space="preserve"> academies</w:t>
      </w:r>
      <w:r w:rsidR="004B6F04">
        <w:rPr>
          <w:sz w:val="22"/>
          <w:szCs w:val="22"/>
        </w:rPr>
        <w:t>.</w:t>
      </w:r>
    </w:p>
    <w:p w:rsidR="0063186D" w:rsidRDefault="0063186D" w:rsidP="0063186D">
      <w:pPr>
        <w:jc w:val="both"/>
        <w:rPr>
          <w:sz w:val="22"/>
          <w:szCs w:val="22"/>
        </w:rPr>
      </w:pPr>
    </w:p>
    <w:p w:rsidR="005A0065" w:rsidRDefault="005A0065" w:rsidP="009D7DC0">
      <w:pPr>
        <w:numPr>
          <w:ilvl w:val="0"/>
          <w:numId w:val="1"/>
        </w:numPr>
        <w:jc w:val="both"/>
        <w:rPr>
          <w:sz w:val="22"/>
          <w:szCs w:val="22"/>
        </w:rPr>
      </w:pPr>
      <w:r>
        <w:rPr>
          <w:sz w:val="22"/>
          <w:szCs w:val="22"/>
        </w:rPr>
        <w:t>Local Authority-led resourced provisions within mainstream primary and secondary sch</w:t>
      </w:r>
      <w:r w:rsidR="00024CCF">
        <w:rPr>
          <w:sz w:val="22"/>
          <w:szCs w:val="22"/>
        </w:rPr>
        <w:t>ools and academies</w:t>
      </w:r>
      <w:r w:rsidR="004B6F04">
        <w:rPr>
          <w:sz w:val="22"/>
          <w:szCs w:val="22"/>
        </w:rPr>
        <w:t>.</w:t>
      </w:r>
    </w:p>
    <w:p w:rsidR="0063186D" w:rsidRDefault="0063186D" w:rsidP="0063186D">
      <w:pPr>
        <w:jc w:val="both"/>
        <w:rPr>
          <w:sz w:val="22"/>
          <w:szCs w:val="22"/>
        </w:rPr>
      </w:pPr>
    </w:p>
    <w:p w:rsidR="005A0065" w:rsidRDefault="005A0065" w:rsidP="005A0065">
      <w:pPr>
        <w:numPr>
          <w:ilvl w:val="0"/>
          <w:numId w:val="1"/>
        </w:numPr>
        <w:jc w:val="both"/>
        <w:rPr>
          <w:sz w:val="22"/>
          <w:szCs w:val="22"/>
        </w:rPr>
      </w:pPr>
      <w:r>
        <w:rPr>
          <w:sz w:val="22"/>
          <w:szCs w:val="22"/>
        </w:rPr>
        <w:t xml:space="preserve">Young people aged 16 to 25 in Further Education Colleges, </w:t>
      </w:r>
      <w:r w:rsidR="004B6F04">
        <w:rPr>
          <w:sz w:val="22"/>
          <w:szCs w:val="22"/>
        </w:rPr>
        <w:t>Sixth</w:t>
      </w:r>
      <w:r>
        <w:rPr>
          <w:sz w:val="22"/>
          <w:szCs w:val="22"/>
        </w:rPr>
        <w:t xml:space="preserve"> Form Colleges and</w:t>
      </w:r>
      <w:r w:rsidR="006916B0">
        <w:rPr>
          <w:sz w:val="22"/>
          <w:szCs w:val="22"/>
        </w:rPr>
        <w:t xml:space="preserve"> placed</w:t>
      </w:r>
      <w:r>
        <w:rPr>
          <w:sz w:val="22"/>
          <w:szCs w:val="22"/>
        </w:rPr>
        <w:t xml:space="preserve"> with independent or</w:t>
      </w:r>
      <w:r w:rsidR="00024CCF">
        <w:rPr>
          <w:sz w:val="22"/>
          <w:szCs w:val="22"/>
        </w:rPr>
        <w:t xml:space="preserve"> other</w:t>
      </w:r>
      <w:r>
        <w:rPr>
          <w:sz w:val="22"/>
          <w:szCs w:val="22"/>
        </w:rPr>
        <w:t xml:space="preserve"> specialist learning providers.</w:t>
      </w:r>
    </w:p>
    <w:p w:rsidR="0063186D" w:rsidRPr="005A0065" w:rsidRDefault="0063186D" w:rsidP="0063186D">
      <w:pPr>
        <w:jc w:val="both"/>
        <w:rPr>
          <w:sz w:val="22"/>
          <w:szCs w:val="22"/>
        </w:rPr>
      </w:pPr>
    </w:p>
    <w:p w:rsidR="008A434C" w:rsidRDefault="009D7DC0" w:rsidP="008A434C">
      <w:pPr>
        <w:numPr>
          <w:ilvl w:val="0"/>
          <w:numId w:val="1"/>
        </w:numPr>
        <w:jc w:val="both"/>
        <w:rPr>
          <w:sz w:val="22"/>
          <w:szCs w:val="22"/>
        </w:rPr>
      </w:pPr>
      <w:r>
        <w:rPr>
          <w:sz w:val="22"/>
          <w:szCs w:val="22"/>
        </w:rPr>
        <w:t>Pupil Referral Units (PRUs)</w:t>
      </w:r>
      <w:r w:rsidR="009E65DA">
        <w:rPr>
          <w:sz w:val="22"/>
          <w:szCs w:val="22"/>
        </w:rPr>
        <w:t xml:space="preserve"> and Alternative Provision Academies</w:t>
      </w:r>
      <w:r w:rsidR="00FE3794">
        <w:rPr>
          <w:sz w:val="22"/>
          <w:szCs w:val="22"/>
        </w:rPr>
        <w:t>.</w:t>
      </w:r>
    </w:p>
    <w:p w:rsidR="0063186D" w:rsidRPr="008A434C" w:rsidRDefault="0063186D" w:rsidP="0063186D">
      <w:pPr>
        <w:jc w:val="both"/>
        <w:rPr>
          <w:sz w:val="22"/>
          <w:szCs w:val="22"/>
        </w:rPr>
      </w:pPr>
    </w:p>
    <w:p w:rsidR="00A15080" w:rsidRDefault="00A15080" w:rsidP="00A15080">
      <w:pPr>
        <w:numPr>
          <w:ilvl w:val="0"/>
          <w:numId w:val="1"/>
        </w:numPr>
        <w:jc w:val="both"/>
        <w:rPr>
          <w:sz w:val="22"/>
          <w:szCs w:val="22"/>
        </w:rPr>
      </w:pPr>
      <w:r w:rsidRPr="00A15080">
        <w:rPr>
          <w:sz w:val="22"/>
          <w:szCs w:val="22"/>
        </w:rPr>
        <w:t>Child</w:t>
      </w:r>
      <w:r>
        <w:rPr>
          <w:sz w:val="22"/>
          <w:szCs w:val="22"/>
        </w:rPr>
        <w:t>ren</w:t>
      </w:r>
      <w:r w:rsidRPr="00A15080">
        <w:rPr>
          <w:sz w:val="22"/>
          <w:szCs w:val="22"/>
        </w:rPr>
        <w:t xml:space="preserve"> and young people placed in independent</w:t>
      </w:r>
      <w:r w:rsidR="0060699C">
        <w:rPr>
          <w:sz w:val="22"/>
          <w:szCs w:val="22"/>
        </w:rPr>
        <w:t xml:space="preserve"> provisions</w:t>
      </w:r>
      <w:r w:rsidRPr="00A15080">
        <w:rPr>
          <w:sz w:val="22"/>
          <w:szCs w:val="22"/>
        </w:rPr>
        <w:t xml:space="preserve"> and </w:t>
      </w:r>
      <w:r w:rsidR="006916B0">
        <w:rPr>
          <w:sz w:val="22"/>
          <w:szCs w:val="22"/>
        </w:rPr>
        <w:t xml:space="preserve">in </w:t>
      </w:r>
      <w:r w:rsidRPr="00A15080">
        <w:rPr>
          <w:sz w:val="22"/>
          <w:szCs w:val="22"/>
        </w:rPr>
        <w:t>non-maintained special schools.</w:t>
      </w:r>
    </w:p>
    <w:p w:rsidR="00D810AF" w:rsidRDefault="00D810AF" w:rsidP="00D810AF">
      <w:pPr>
        <w:jc w:val="both"/>
        <w:rPr>
          <w:sz w:val="22"/>
          <w:szCs w:val="22"/>
        </w:rPr>
      </w:pPr>
    </w:p>
    <w:p w:rsidR="00D810AF" w:rsidRPr="00B76452" w:rsidRDefault="00E04283" w:rsidP="00D810AF">
      <w:pPr>
        <w:jc w:val="both"/>
        <w:rPr>
          <w:sz w:val="22"/>
          <w:szCs w:val="22"/>
        </w:rPr>
      </w:pPr>
      <w:r>
        <w:rPr>
          <w:sz w:val="22"/>
          <w:szCs w:val="22"/>
        </w:rPr>
        <w:t>2.7</w:t>
      </w:r>
      <w:r w:rsidR="00533131">
        <w:rPr>
          <w:sz w:val="22"/>
          <w:szCs w:val="22"/>
        </w:rPr>
        <w:t xml:space="preserve"> High Needs Block funding is allocated in</w:t>
      </w:r>
      <w:r w:rsidR="00A15080">
        <w:rPr>
          <w:sz w:val="22"/>
          <w:szCs w:val="22"/>
        </w:rPr>
        <w:t xml:space="preserve"> Bradford also </w:t>
      </w:r>
      <w:r w:rsidR="00533131">
        <w:rPr>
          <w:sz w:val="22"/>
          <w:szCs w:val="22"/>
        </w:rPr>
        <w:t>to support</w:t>
      </w:r>
      <w:r w:rsidR="00A15080">
        <w:rPr>
          <w:sz w:val="22"/>
          <w:szCs w:val="22"/>
        </w:rPr>
        <w:t xml:space="preserve"> </w:t>
      </w:r>
      <w:r w:rsidR="006916B0">
        <w:rPr>
          <w:sz w:val="22"/>
          <w:szCs w:val="22"/>
        </w:rPr>
        <w:t xml:space="preserve">Local Authority </w:t>
      </w:r>
      <w:r w:rsidR="00A15080">
        <w:rPr>
          <w:sz w:val="22"/>
          <w:szCs w:val="22"/>
        </w:rPr>
        <w:t>central</w:t>
      </w:r>
      <w:r w:rsidR="00406B20">
        <w:rPr>
          <w:sz w:val="22"/>
          <w:szCs w:val="22"/>
        </w:rPr>
        <w:t>ly managed</w:t>
      </w:r>
      <w:r w:rsidR="00A15080">
        <w:rPr>
          <w:sz w:val="22"/>
          <w:szCs w:val="22"/>
        </w:rPr>
        <w:t xml:space="preserve"> services relating to SEND and </w:t>
      </w:r>
      <w:r w:rsidR="006916B0">
        <w:rPr>
          <w:sz w:val="22"/>
          <w:szCs w:val="22"/>
        </w:rPr>
        <w:t xml:space="preserve">to </w:t>
      </w:r>
      <w:r w:rsidR="00A15080">
        <w:rPr>
          <w:sz w:val="22"/>
          <w:szCs w:val="22"/>
        </w:rPr>
        <w:t>Alternative Provision</w:t>
      </w:r>
      <w:r w:rsidR="00AC5C2B">
        <w:rPr>
          <w:sz w:val="22"/>
          <w:szCs w:val="22"/>
        </w:rPr>
        <w:t>,</w:t>
      </w:r>
      <w:r w:rsidR="00755542">
        <w:rPr>
          <w:sz w:val="22"/>
          <w:szCs w:val="22"/>
        </w:rPr>
        <w:t xml:space="preserve"> as permi</w:t>
      </w:r>
      <w:r w:rsidR="003C5C82">
        <w:rPr>
          <w:sz w:val="22"/>
          <w:szCs w:val="22"/>
        </w:rPr>
        <w:t>tted by the Finance Regulations. This</w:t>
      </w:r>
      <w:r w:rsidR="00AC5C2B">
        <w:rPr>
          <w:sz w:val="22"/>
          <w:szCs w:val="22"/>
        </w:rPr>
        <w:t xml:space="preserve"> includes </w:t>
      </w:r>
      <w:r w:rsidR="00D10737">
        <w:rPr>
          <w:sz w:val="22"/>
          <w:szCs w:val="22"/>
        </w:rPr>
        <w:t xml:space="preserve">SEND </w:t>
      </w:r>
      <w:r w:rsidR="00AC5C2B">
        <w:rPr>
          <w:sz w:val="22"/>
          <w:szCs w:val="22"/>
        </w:rPr>
        <w:t>teaching support services</w:t>
      </w:r>
      <w:r w:rsidR="00533131">
        <w:rPr>
          <w:sz w:val="22"/>
          <w:szCs w:val="22"/>
        </w:rPr>
        <w:t>,</w:t>
      </w:r>
      <w:r w:rsidR="00AC5C2B">
        <w:rPr>
          <w:sz w:val="22"/>
          <w:szCs w:val="22"/>
        </w:rPr>
        <w:t xml:space="preserve"> </w:t>
      </w:r>
      <w:r w:rsidR="00D10737">
        <w:rPr>
          <w:sz w:val="22"/>
          <w:szCs w:val="22"/>
        </w:rPr>
        <w:t xml:space="preserve">that are </w:t>
      </w:r>
      <w:r w:rsidR="00AC5C2B">
        <w:rPr>
          <w:sz w:val="22"/>
          <w:szCs w:val="22"/>
        </w:rPr>
        <w:t>accessed by schools</w:t>
      </w:r>
      <w:r w:rsidR="00812ACC">
        <w:rPr>
          <w:sz w:val="22"/>
          <w:szCs w:val="22"/>
        </w:rPr>
        <w:t>, academies</w:t>
      </w:r>
      <w:r>
        <w:rPr>
          <w:sz w:val="22"/>
          <w:szCs w:val="22"/>
        </w:rPr>
        <w:t xml:space="preserve"> and other settings</w:t>
      </w:r>
      <w:r w:rsidR="00550749">
        <w:rPr>
          <w:sz w:val="22"/>
          <w:szCs w:val="22"/>
        </w:rPr>
        <w:t>,</w:t>
      </w:r>
      <w:r w:rsidR="00AC5C2B">
        <w:rPr>
          <w:sz w:val="22"/>
          <w:szCs w:val="22"/>
        </w:rPr>
        <w:t xml:space="preserve"> and tuition for children and young people tha</w:t>
      </w:r>
      <w:r w:rsidR="005C31F9">
        <w:rPr>
          <w:sz w:val="22"/>
          <w:szCs w:val="22"/>
        </w:rPr>
        <w:t>t are unable to attend school for medical reasons.</w:t>
      </w:r>
      <w:r w:rsidR="00D810AF">
        <w:rPr>
          <w:sz w:val="22"/>
          <w:szCs w:val="22"/>
        </w:rPr>
        <w:t xml:space="preserve"> </w:t>
      </w:r>
      <w:r w:rsidR="00D810AF">
        <w:rPr>
          <w:rFonts w:cs="Arial"/>
          <w:sz w:val="22"/>
          <w:szCs w:val="22"/>
        </w:rPr>
        <w:t>Local authorities are permitted to separately fund additional outreach and support services that may be managed centrally or may be devolved to providers under service level agreements.</w:t>
      </w:r>
    </w:p>
    <w:p w:rsidR="00550749" w:rsidRDefault="00550749" w:rsidP="001B416B">
      <w:pPr>
        <w:jc w:val="both"/>
        <w:rPr>
          <w:sz w:val="22"/>
          <w:szCs w:val="22"/>
        </w:rPr>
      </w:pPr>
    </w:p>
    <w:p w:rsidR="001B1A21" w:rsidRDefault="001B1A21" w:rsidP="001B416B">
      <w:pPr>
        <w:jc w:val="both"/>
        <w:rPr>
          <w:sz w:val="22"/>
          <w:szCs w:val="22"/>
        </w:rPr>
      </w:pPr>
    </w:p>
    <w:p w:rsidR="00D27FD9" w:rsidRPr="00FE01F3" w:rsidRDefault="00D27FD9" w:rsidP="00D27FD9">
      <w:pPr>
        <w:jc w:val="both"/>
        <w:rPr>
          <w:sz w:val="22"/>
          <w:szCs w:val="22"/>
        </w:rPr>
      </w:pPr>
      <w:r w:rsidRPr="00FE01F3">
        <w:rPr>
          <w:b/>
          <w:sz w:val="22"/>
          <w:szCs w:val="22"/>
        </w:rPr>
        <w:t>3.</w:t>
      </w:r>
      <w:r w:rsidRPr="00FE01F3">
        <w:rPr>
          <w:b/>
          <w:sz w:val="22"/>
          <w:szCs w:val="22"/>
        </w:rPr>
        <w:tab/>
      </w:r>
      <w:r w:rsidR="007E3D67">
        <w:rPr>
          <w:b/>
          <w:sz w:val="22"/>
          <w:szCs w:val="22"/>
        </w:rPr>
        <w:t>Continuation in 2023/24</w:t>
      </w:r>
      <w:r w:rsidR="00E102D4">
        <w:rPr>
          <w:b/>
          <w:sz w:val="22"/>
          <w:szCs w:val="22"/>
        </w:rPr>
        <w:t xml:space="preserve"> of</w:t>
      </w:r>
      <w:r w:rsidR="00533131">
        <w:rPr>
          <w:b/>
          <w:sz w:val="22"/>
          <w:szCs w:val="22"/>
        </w:rPr>
        <w:t xml:space="preserve"> the</w:t>
      </w:r>
      <w:r w:rsidR="00E102D4">
        <w:rPr>
          <w:b/>
          <w:sz w:val="22"/>
          <w:szCs w:val="22"/>
        </w:rPr>
        <w:t xml:space="preserve"> Existing</w:t>
      </w:r>
      <w:r w:rsidR="00533131">
        <w:rPr>
          <w:b/>
          <w:sz w:val="22"/>
          <w:szCs w:val="22"/>
        </w:rPr>
        <w:t xml:space="preserve"> </w:t>
      </w:r>
      <w:r w:rsidR="00C4528C" w:rsidRPr="00FE01F3">
        <w:rPr>
          <w:b/>
          <w:sz w:val="22"/>
          <w:szCs w:val="22"/>
        </w:rPr>
        <w:t xml:space="preserve">DfE-Led </w:t>
      </w:r>
      <w:r w:rsidRPr="00FE01F3">
        <w:rPr>
          <w:b/>
          <w:sz w:val="22"/>
          <w:szCs w:val="22"/>
        </w:rPr>
        <w:t xml:space="preserve">National </w:t>
      </w:r>
      <w:r w:rsidR="00AF10EC" w:rsidRPr="00FE01F3">
        <w:rPr>
          <w:b/>
          <w:sz w:val="22"/>
          <w:szCs w:val="22"/>
        </w:rPr>
        <w:t xml:space="preserve">High Needs Funding </w:t>
      </w:r>
      <w:r w:rsidR="00E102D4">
        <w:rPr>
          <w:b/>
          <w:sz w:val="22"/>
          <w:szCs w:val="22"/>
        </w:rPr>
        <w:t>System</w:t>
      </w:r>
    </w:p>
    <w:p w:rsidR="00D27FD9" w:rsidRPr="00FE01F3" w:rsidRDefault="00D27FD9" w:rsidP="001B416B">
      <w:pPr>
        <w:jc w:val="both"/>
        <w:rPr>
          <w:sz w:val="22"/>
          <w:szCs w:val="22"/>
        </w:rPr>
      </w:pPr>
    </w:p>
    <w:p w:rsidR="00533131" w:rsidRDefault="009A2660" w:rsidP="001B416B">
      <w:pPr>
        <w:jc w:val="both"/>
        <w:rPr>
          <w:sz w:val="22"/>
          <w:szCs w:val="22"/>
        </w:rPr>
      </w:pPr>
      <w:r w:rsidRPr="00533131">
        <w:rPr>
          <w:sz w:val="22"/>
          <w:szCs w:val="22"/>
        </w:rPr>
        <w:t xml:space="preserve">3.1 </w:t>
      </w:r>
      <w:r w:rsidR="009E65DA" w:rsidRPr="00533131">
        <w:rPr>
          <w:sz w:val="22"/>
          <w:szCs w:val="22"/>
        </w:rPr>
        <w:t>T</w:t>
      </w:r>
      <w:r w:rsidR="00E102D4">
        <w:rPr>
          <w:sz w:val="22"/>
          <w:szCs w:val="22"/>
        </w:rPr>
        <w:t>he</w:t>
      </w:r>
      <w:r w:rsidR="00D10D4C" w:rsidRPr="00533131">
        <w:rPr>
          <w:sz w:val="22"/>
          <w:szCs w:val="22"/>
        </w:rPr>
        <w:t xml:space="preserve"> </w:t>
      </w:r>
      <w:r w:rsidR="00533131">
        <w:rPr>
          <w:sz w:val="22"/>
          <w:szCs w:val="22"/>
        </w:rPr>
        <w:t xml:space="preserve">existing </w:t>
      </w:r>
      <w:r w:rsidR="00D10D4C" w:rsidRPr="00533131">
        <w:rPr>
          <w:sz w:val="22"/>
          <w:szCs w:val="22"/>
        </w:rPr>
        <w:t>national high needs funding system remain</w:t>
      </w:r>
      <w:r w:rsidR="009E65DA" w:rsidRPr="00533131">
        <w:rPr>
          <w:sz w:val="22"/>
          <w:szCs w:val="22"/>
        </w:rPr>
        <w:t>s</w:t>
      </w:r>
      <w:r w:rsidR="00D10D4C" w:rsidRPr="00533131">
        <w:rPr>
          <w:sz w:val="22"/>
          <w:szCs w:val="22"/>
        </w:rPr>
        <w:t xml:space="preserve"> in place and unchanged</w:t>
      </w:r>
      <w:r w:rsidR="007E3D67">
        <w:rPr>
          <w:sz w:val="22"/>
          <w:szCs w:val="22"/>
        </w:rPr>
        <w:t xml:space="preserve"> in 2023/24</w:t>
      </w:r>
      <w:r w:rsidR="009177FC" w:rsidRPr="00533131">
        <w:rPr>
          <w:sz w:val="22"/>
          <w:szCs w:val="22"/>
        </w:rPr>
        <w:t>.</w:t>
      </w:r>
      <w:r w:rsidR="00500ED5" w:rsidRPr="00533131">
        <w:rPr>
          <w:sz w:val="22"/>
          <w:szCs w:val="22"/>
        </w:rPr>
        <w:t xml:space="preserve"> </w:t>
      </w:r>
      <w:r w:rsidR="00533131">
        <w:rPr>
          <w:sz w:val="22"/>
          <w:szCs w:val="22"/>
        </w:rPr>
        <w:t>Regarding the most prominent elements of this system:</w:t>
      </w:r>
    </w:p>
    <w:p w:rsidR="00533131" w:rsidRDefault="00533131" w:rsidP="001B416B">
      <w:pPr>
        <w:jc w:val="both"/>
        <w:rPr>
          <w:sz w:val="22"/>
          <w:szCs w:val="22"/>
        </w:rPr>
      </w:pPr>
    </w:p>
    <w:p w:rsidR="00533131" w:rsidRDefault="00533131" w:rsidP="00533131">
      <w:pPr>
        <w:pStyle w:val="ListParagraph"/>
        <w:numPr>
          <w:ilvl w:val="0"/>
          <w:numId w:val="27"/>
        </w:numPr>
        <w:jc w:val="both"/>
        <w:rPr>
          <w:sz w:val="22"/>
          <w:szCs w:val="22"/>
        </w:rPr>
      </w:pPr>
      <w:r w:rsidRPr="00533131">
        <w:rPr>
          <w:sz w:val="22"/>
          <w:szCs w:val="22"/>
        </w:rPr>
        <w:t>P</w:t>
      </w:r>
      <w:r w:rsidR="00500ED5" w:rsidRPr="00533131">
        <w:rPr>
          <w:sz w:val="22"/>
          <w:szCs w:val="22"/>
        </w:rPr>
        <w:t>lace</w:t>
      </w:r>
      <w:r>
        <w:rPr>
          <w:sz w:val="22"/>
          <w:szCs w:val="22"/>
        </w:rPr>
        <w:t>-element</w:t>
      </w:r>
      <w:r w:rsidR="00500ED5" w:rsidRPr="00533131">
        <w:rPr>
          <w:sz w:val="22"/>
          <w:szCs w:val="22"/>
        </w:rPr>
        <w:t xml:space="preserve"> funding</w:t>
      </w:r>
      <w:r w:rsidR="00E2706C" w:rsidRPr="00533131">
        <w:rPr>
          <w:sz w:val="22"/>
          <w:szCs w:val="22"/>
        </w:rPr>
        <w:t xml:space="preserve"> for specialist provisions</w:t>
      </w:r>
      <w:r>
        <w:rPr>
          <w:sz w:val="22"/>
          <w:szCs w:val="22"/>
        </w:rPr>
        <w:t xml:space="preserve"> (special schools, special</w:t>
      </w:r>
      <w:r w:rsidR="00134673">
        <w:rPr>
          <w:sz w:val="22"/>
          <w:szCs w:val="22"/>
        </w:rPr>
        <w:t xml:space="preserve"> school</w:t>
      </w:r>
      <w:r>
        <w:rPr>
          <w:sz w:val="22"/>
          <w:szCs w:val="22"/>
        </w:rPr>
        <w:t xml:space="preserve"> academies, PRUs and alternative provision academies) continues to be set a</w:t>
      </w:r>
      <w:r w:rsidR="00500ED5" w:rsidRPr="00533131">
        <w:rPr>
          <w:sz w:val="22"/>
          <w:szCs w:val="22"/>
        </w:rPr>
        <w:t>t £10,000</w:t>
      </w:r>
      <w:r>
        <w:rPr>
          <w:sz w:val="22"/>
          <w:szCs w:val="22"/>
        </w:rPr>
        <w:t>.</w:t>
      </w:r>
    </w:p>
    <w:p w:rsidR="00533131" w:rsidRDefault="00533131" w:rsidP="00533131">
      <w:pPr>
        <w:pStyle w:val="ListParagraph"/>
        <w:ind w:left="360"/>
        <w:jc w:val="both"/>
        <w:rPr>
          <w:sz w:val="22"/>
          <w:szCs w:val="22"/>
        </w:rPr>
      </w:pPr>
    </w:p>
    <w:p w:rsidR="00533131" w:rsidRDefault="00E2706C" w:rsidP="00E8426D">
      <w:pPr>
        <w:pStyle w:val="ListParagraph"/>
        <w:numPr>
          <w:ilvl w:val="0"/>
          <w:numId w:val="27"/>
        </w:numPr>
        <w:jc w:val="both"/>
        <w:rPr>
          <w:sz w:val="22"/>
          <w:szCs w:val="22"/>
        </w:rPr>
      </w:pPr>
      <w:r w:rsidRPr="00533131">
        <w:rPr>
          <w:sz w:val="22"/>
          <w:szCs w:val="22"/>
        </w:rPr>
        <w:t>E</w:t>
      </w:r>
      <w:r w:rsidR="00500ED5" w:rsidRPr="00533131">
        <w:rPr>
          <w:sz w:val="22"/>
          <w:szCs w:val="22"/>
        </w:rPr>
        <w:t>lement 2 funding</w:t>
      </w:r>
      <w:r w:rsidR="00533131">
        <w:rPr>
          <w:sz w:val="22"/>
          <w:szCs w:val="22"/>
        </w:rPr>
        <w:t xml:space="preserve"> (including the value of place-element funding for places in</w:t>
      </w:r>
      <w:r w:rsidRPr="00533131">
        <w:rPr>
          <w:sz w:val="22"/>
          <w:szCs w:val="22"/>
        </w:rPr>
        <w:t xml:space="preserve"> resourced provisions</w:t>
      </w:r>
      <w:r w:rsidR="00E102D4">
        <w:rPr>
          <w:sz w:val="22"/>
          <w:szCs w:val="22"/>
        </w:rPr>
        <w:t xml:space="preserve"> that are</w:t>
      </w:r>
      <w:r w:rsidR="007E3D67">
        <w:rPr>
          <w:sz w:val="22"/>
          <w:szCs w:val="22"/>
        </w:rPr>
        <w:t xml:space="preserve"> occupied in the October 2022</w:t>
      </w:r>
      <w:r w:rsidR="00533131">
        <w:rPr>
          <w:sz w:val="22"/>
          <w:szCs w:val="22"/>
        </w:rPr>
        <w:t xml:space="preserve"> Census</w:t>
      </w:r>
      <w:r w:rsidRPr="00533131">
        <w:rPr>
          <w:sz w:val="22"/>
          <w:szCs w:val="22"/>
        </w:rPr>
        <w:t>)</w:t>
      </w:r>
      <w:r w:rsidR="00533131">
        <w:rPr>
          <w:sz w:val="22"/>
          <w:szCs w:val="22"/>
        </w:rPr>
        <w:t xml:space="preserve"> continues to be</w:t>
      </w:r>
      <w:r w:rsidR="00500ED5" w:rsidRPr="00533131">
        <w:rPr>
          <w:sz w:val="22"/>
          <w:szCs w:val="22"/>
        </w:rPr>
        <w:t xml:space="preserve"> </w:t>
      </w:r>
      <w:r w:rsidR="00533131">
        <w:rPr>
          <w:sz w:val="22"/>
          <w:szCs w:val="22"/>
        </w:rPr>
        <w:t xml:space="preserve">set </w:t>
      </w:r>
      <w:r w:rsidR="00500ED5" w:rsidRPr="00533131">
        <w:rPr>
          <w:sz w:val="22"/>
          <w:szCs w:val="22"/>
        </w:rPr>
        <w:t xml:space="preserve">at £6,000. </w:t>
      </w:r>
    </w:p>
    <w:p w:rsidR="007E3D67" w:rsidRPr="007E3D67" w:rsidRDefault="007E3D67" w:rsidP="007E3D67">
      <w:pPr>
        <w:jc w:val="both"/>
        <w:rPr>
          <w:sz w:val="22"/>
          <w:szCs w:val="22"/>
        </w:rPr>
      </w:pPr>
    </w:p>
    <w:p w:rsidR="009A2660" w:rsidRDefault="00533131" w:rsidP="00533131">
      <w:pPr>
        <w:pStyle w:val="ListParagraph"/>
        <w:numPr>
          <w:ilvl w:val="0"/>
          <w:numId w:val="27"/>
        </w:numPr>
        <w:jc w:val="both"/>
        <w:rPr>
          <w:sz w:val="22"/>
          <w:szCs w:val="22"/>
        </w:rPr>
      </w:pPr>
      <w:r>
        <w:rPr>
          <w:sz w:val="22"/>
          <w:szCs w:val="22"/>
        </w:rPr>
        <w:t>Mainstream primary and secondary schools</w:t>
      </w:r>
      <w:r w:rsidR="00E102D4">
        <w:rPr>
          <w:sz w:val="22"/>
          <w:szCs w:val="22"/>
        </w:rPr>
        <w:t xml:space="preserve"> and academies</w:t>
      </w:r>
      <w:r>
        <w:rPr>
          <w:sz w:val="22"/>
          <w:szCs w:val="22"/>
        </w:rPr>
        <w:t xml:space="preserve"> continue to have </w:t>
      </w:r>
      <w:r w:rsidR="00E102D4">
        <w:rPr>
          <w:sz w:val="22"/>
          <w:szCs w:val="22"/>
        </w:rPr>
        <w:t>responsibility</w:t>
      </w:r>
      <w:r>
        <w:rPr>
          <w:sz w:val="22"/>
          <w:szCs w:val="22"/>
        </w:rPr>
        <w:t xml:space="preserve"> for meeting</w:t>
      </w:r>
      <w:r w:rsidR="00E102D4">
        <w:rPr>
          <w:sz w:val="22"/>
          <w:szCs w:val="22"/>
        </w:rPr>
        <w:t xml:space="preserve"> from their delegated budgets</w:t>
      </w:r>
      <w:r>
        <w:rPr>
          <w:sz w:val="22"/>
          <w:szCs w:val="22"/>
        </w:rPr>
        <w:t xml:space="preserve"> the first £6,000 of </w:t>
      </w:r>
      <w:r w:rsidR="00E102D4">
        <w:rPr>
          <w:sz w:val="22"/>
          <w:szCs w:val="22"/>
        </w:rPr>
        <w:t xml:space="preserve">the </w:t>
      </w:r>
      <w:r>
        <w:rPr>
          <w:sz w:val="22"/>
          <w:szCs w:val="22"/>
        </w:rPr>
        <w:t>cost the additional needs of high needs children.</w:t>
      </w:r>
    </w:p>
    <w:p w:rsidR="00533131" w:rsidRPr="00533131" w:rsidRDefault="00533131" w:rsidP="00533131">
      <w:pPr>
        <w:pStyle w:val="ListParagraph"/>
        <w:rPr>
          <w:sz w:val="22"/>
          <w:szCs w:val="22"/>
        </w:rPr>
      </w:pPr>
    </w:p>
    <w:p w:rsidR="00E04283" w:rsidRDefault="00533131" w:rsidP="009E65DA">
      <w:pPr>
        <w:pStyle w:val="ListParagraph"/>
        <w:numPr>
          <w:ilvl w:val="0"/>
          <w:numId w:val="27"/>
        </w:numPr>
        <w:jc w:val="both"/>
        <w:rPr>
          <w:sz w:val="22"/>
          <w:szCs w:val="22"/>
        </w:rPr>
      </w:pPr>
      <w:r>
        <w:rPr>
          <w:sz w:val="22"/>
          <w:szCs w:val="22"/>
        </w:rPr>
        <w:t>Independent and non-maintained special schools continue to remain outside the national Place-Plus system.</w:t>
      </w:r>
    </w:p>
    <w:p w:rsidR="00E04283" w:rsidRPr="00E04283" w:rsidRDefault="00E04283" w:rsidP="00E04283">
      <w:pPr>
        <w:pStyle w:val="ListParagraph"/>
        <w:rPr>
          <w:sz w:val="22"/>
          <w:szCs w:val="22"/>
        </w:rPr>
      </w:pPr>
    </w:p>
    <w:p w:rsidR="009E65DA" w:rsidRPr="00E04283" w:rsidRDefault="00E102D4" w:rsidP="009E65DA">
      <w:pPr>
        <w:pStyle w:val="ListParagraph"/>
        <w:numPr>
          <w:ilvl w:val="0"/>
          <w:numId w:val="27"/>
        </w:numPr>
        <w:jc w:val="both"/>
        <w:rPr>
          <w:sz w:val="22"/>
          <w:szCs w:val="22"/>
        </w:rPr>
      </w:pPr>
      <w:r w:rsidRPr="00E04283">
        <w:rPr>
          <w:sz w:val="22"/>
          <w:szCs w:val="22"/>
        </w:rPr>
        <w:t xml:space="preserve">The DfE has confirmed that local authorities </w:t>
      </w:r>
      <w:r w:rsidR="00134673" w:rsidRPr="00E04283">
        <w:rPr>
          <w:sz w:val="22"/>
          <w:szCs w:val="22"/>
        </w:rPr>
        <w:t>continue to be required</w:t>
      </w:r>
      <w:r w:rsidR="00E04283" w:rsidRPr="00E04283">
        <w:rPr>
          <w:sz w:val="22"/>
          <w:szCs w:val="22"/>
        </w:rPr>
        <w:t xml:space="preserve"> to allocate the</w:t>
      </w:r>
      <w:r w:rsidRPr="00E04283">
        <w:rPr>
          <w:sz w:val="22"/>
          <w:szCs w:val="22"/>
        </w:rPr>
        <w:t xml:space="preserve"> former </w:t>
      </w:r>
      <w:r w:rsidR="00E04283" w:rsidRPr="00E04283">
        <w:rPr>
          <w:sz w:val="22"/>
          <w:szCs w:val="22"/>
        </w:rPr>
        <w:t>Teacher Pay and Pensions Grant</w:t>
      </w:r>
      <w:r w:rsidRPr="00E04283">
        <w:rPr>
          <w:sz w:val="22"/>
          <w:szCs w:val="22"/>
        </w:rPr>
        <w:t xml:space="preserve"> monies</w:t>
      </w:r>
      <w:r w:rsidR="008C33C4" w:rsidRPr="00E04283">
        <w:rPr>
          <w:sz w:val="22"/>
          <w:szCs w:val="22"/>
        </w:rPr>
        <w:t xml:space="preserve"> to specialist settings</w:t>
      </w:r>
      <w:r w:rsidRPr="00E04283">
        <w:rPr>
          <w:sz w:val="22"/>
          <w:szCs w:val="22"/>
        </w:rPr>
        <w:t xml:space="preserve"> </w:t>
      </w:r>
      <w:r w:rsidR="007E3D67" w:rsidRPr="00E04283">
        <w:rPr>
          <w:sz w:val="22"/>
          <w:szCs w:val="22"/>
        </w:rPr>
        <w:t>in 2023/24</w:t>
      </w:r>
      <w:r w:rsidR="00D71FBF" w:rsidRPr="00E04283">
        <w:rPr>
          <w:sz w:val="22"/>
          <w:szCs w:val="22"/>
        </w:rPr>
        <w:t>,</w:t>
      </w:r>
      <w:r w:rsidR="00134673" w:rsidRPr="00E04283">
        <w:rPr>
          <w:sz w:val="22"/>
          <w:szCs w:val="22"/>
        </w:rPr>
        <w:t xml:space="preserve"> </w:t>
      </w:r>
      <w:r w:rsidRPr="00E04283">
        <w:rPr>
          <w:sz w:val="22"/>
          <w:szCs w:val="22"/>
        </w:rPr>
        <w:t>se</w:t>
      </w:r>
      <w:r w:rsidR="00D71FBF" w:rsidRPr="00E04283">
        <w:rPr>
          <w:sz w:val="22"/>
          <w:szCs w:val="22"/>
        </w:rPr>
        <w:t>parately from place-element and</w:t>
      </w:r>
      <w:r w:rsidR="008C33C4" w:rsidRPr="00E04283">
        <w:rPr>
          <w:sz w:val="22"/>
          <w:szCs w:val="22"/>
        </w:rPr>
        <w:t xml:space="preserve"> </w:t>
      </w:r>
      <w:r w:rsidR="00D32993" w:rsidRPr="00E04283">
        <w:rPr>
          <w:sz w:val="22"/>
          <w:szCs w:val="22"/>
        </w:rPr>
        <w:t>top-up</w:t>
      </w:r>
      <w:r w:rsidRPr="00E04283">
        <w:rPr>
          <w:sz w:val="22"/>
          <w:szCs w:val="22"/>
        </w:rPr>
        <w:t xml:space="preserve"> funding</w:t>
      </w:r>
      <w:r w:rsidR="009E65DA" w:rsidRPr="00E04283">
        <w:rPr>
          <w:sz w:val="22"/>
          <w:szCs w:val="22"/>
        </w:rPr>
        <w:t>.</w:t>
      </w:r>
      <w:r w:rsidR="008C33C4" w:rsidRPr="00E04283">
        <w:rPr>
          <w:sz w:val="22"/>
          <w:szCs w:val="22"/>
        </w:rPr>
        <w:t xml:space="preserve"> Our</w:t>
      </w:r>
      <w:r w:rsidR="00C20DD3" w:rsidRPr="00E04283">
        <w:rPr>
          <w:sz w:val="22"/>
          <w:szCs w:val="22"/>
        </w:rPr>
        <w:t xml:space="preserve"> proposed</w:t>
      </w:r>
      <w:r w:rsidR="008C33C4" w:rsidRPr="00E04283">
        <w:rPr>
          <w:sz w:val="22"/>
          <w:szCs w:val="22"/>
        </w:rPr>
        <w:t xml:space="preserve"> approach is</w:t>
      </w:r>
      <w:r w:rsidR="00406B20" w:rsidRPr="00E04283">
        <w:rPr>
          <w:sz w:val="22"/>
          <w:szCs w:val="22"/>
        </w:rPr>
        <w:t xml:space="preserve"> discussed </w:t>
      </w:r>
      <w:r w:rsidR="00E2706C" w:rsidRPr="00E04283">
        <w:rPr>
          <w:sz w:val="22"/>
          <w:szCs w:val="22"/>
        </w:rPr>
        <w:t>further</w:t>
      </w:r>
      <w:r w:rsidR="00406B20" w:rsidRPr="00E04283">
        <w:rPr>
          <w:sz w:val="22"/>
          <w:szCs w:val="22"/>
        </w:rPr>
        <w:t xml:space="preserve"> in </w:t>
      </w:r>
      <w:r w:rsidR="00D1596F" w:rsidRPr="00E04283">
        <w:rPr>
          <w:sz w:val="22"/>
          <w:szCs w:val="22"/>
        </w:rPr>
        <w:t>section</w:t>
      </w:r>
      <w:r w:rsidR="00406B20" w:rsidRPr="00E04283">
        <w:rPr>
          <w:sz w:val="22"/>
          <w:szCs w:val="22"/>
        </w:rPr>
        <w:t xml:space="preserve"> 9.</w:t>
      </w:r>
    </w:p>
    <w:p w:rsidR="00C6158B" w:rsidRDefault="00C6158B" w:rsidP="001B416B">
      <w:pPr>
        <w:jc w:val="both"/>
        <w:rPr>
          <w:sz w:val="22"/>
          <w:szCs w:val="22"/>
        </w:rPr>
      </w:pPr>
    </w:p>
    <w:p w:rsidR="009E65DA" w:rsidRDefault="009E65DA" w:rsidP="001B416B">
      <w:pPr>
        <w:jc w:val="both"/>
        <w:rPr>
          <w:sz w:val="22"/>
          <w:szCs w:val="22"/>
        </w:rPr>
      </w:pPr>
    </w:p>
    <w:p w:rsidR="00D10737" w:rsidRDefault="002364E2" w:rsidP="00D10737">
      <w:pPr>
        <w:jc w:val="both"/>
        <w:rPr>
          <w:sz w:val="22"/>
          <w:szCs w:val="22"/>
        </w:rPr>
      </w:pPr>
      <w:r>
        <w:rPr>
          <w:b/>
          <w:sz w:val="22"/>
          <w:szCs w:val="22"/>
        </w:rPr>
        <w:t>4</w:t>
      </w:r>
      <w:r w:rsidR="00D10737" w:rsidRPr="00924C42">
        <w:rPr>
          <w:b/>
          <w:sz w:val="22"/>
          <w:szCs w:val="22"/>
        </w:rPr>
        <w:t>.</w:t>
      </w:r>
      <w:r w:rsidR="00D10737" w:rsidRPr="00924C42">
        <w:rPr>
          <w:b/>
          <w:sz w:val="22"/>
          <w:szCs w:val="22"/>
        </w:rPr>
        <w:tab/>
      </w:r>
      <w:r w:rsidR="00D10737">
        <w:rPr>
          <w:b/>
          <w:sz w:val="22"/>
          <w:szCs w:val="22"/>
        </w:rPr>
        <w:t>Place</w:t>
      </w:r>
      <w:r w:rsidR="00E04283">
        <w:rPr>
          <w:b/>
          <w:sz w:val="22"/>
          <w:szCs w:val="22"/>
        </w:rPr>
        <w:t>-</w:t>
      </w:r>
      <w:r w:rsidR="000C7723">
        <w:rPr>
          <w:b/>
          <w:sz w:val="22"/>
          <w:szCs w:val="22"/>
        </w:rPr>
        <w:t>Element</w:t>
      </w:r>
      <w:r w:rsidR="00E54659">
        <w:rPr>
          <w:b/>
          <w:sz w:val="22"/>
          <w:szCs w:val="22"/>
        </w:rPr>
        <w:t xml:space="preserve"> (or Core</w:t>
      </w:r>
      <w:r w:rsidR="00943EB6">
        <w:rPr>
          <w:b/>
          <w:sz w:val="22"/>
          <w:szCs w:val="22"/>
        </w:rPr>
        <w:t>)</w:t>
      </w:r>
      <w:r w:rsidR="00D10737">
        <w:rPr>
          <w:b/>
          <w:sz w:val="22"/>
          <w:szCs w:val="22"/>
        </w:rPr>
        <w:t xml:space="preserve"> Funding</w:t>
      </w:r>
    </w:p>
    <w:p w:rsidR="00D10737" w:rsidRDefault="00D10737" w:rsidP="00D10737">
      <w:pPr>
        <w:jc w:val="both"/>
        <w:rPr>
          <w:sz w:val="22"/>
          <w:szCs w:val="22"/>
        </w:rPr>
      </w:pPr>
    </w:p>
    <w:p w:rsidR="00D10737" w:rsidRDefault="002364E2" w:rsidP="00D10737">
      <w:pPr>
        <w:jc w:val="both"/>
        <w:rPr>
          <w:sz w:val="22"/>
          <w:szCs w:val="22"/>
        </w:rPr>
      </w:pPr>
      <w:r>
        <w:rPr>
          <w:sz w:val="22"/>
          <w:szCs w:val="22"/>
        </w:rPr>
        <w:t>4</w:t>
      </w:r>
      <w:r w:rsidR="00D10737">
        <w:rPr>
          <w:sz w:val="22"/>
          <w:szCs w:val="22"/>
        </w:rPr>
        <w:t>.1</w:t>
      </w:r>
      <w:r w:rsidR="0097727C">
        <w:rPr>
          <w:sz w:val="22"/>
          <w:szCs w:val="22"/>
        </w:rPr>
        <w:t xml:space="preserve"> The national high needs funding approach</w:t>
      </w:r>
      <w:r w:rsidR="00E04283">
        <w:rPr>
          <w:sz w:val="22"/>
          <w:szCs w:val="22"/>
        </w:rPr>
        <w:t xml:space="preserve"> in 2023/24</w:t>
      </w:r>
      <w:r w:rsidR="0097727C">
        <w:rPr>
          <w:sz w:val="22"/>
          <w:szCs w:val="22"/>
        </w:rPr>
        <w:t xml:space="preserve"> </w:t>
      </w:r>
      <w:r w:rsidR="00C20DD3">
        <w:rPr>
          <w:sz w:val="22"/>
          <w:szCs w:val="22"/>
        </w:rPr>
        <w:t xml:space="preserve">continues to be </w:t>
      </w:r>
      <w:r w:rsidR="0097727C">
        <w:rPr>
          <w:sz w:val="22"/>
          <w:szCs w:val="22"/>
        </w:rPr>
        <w:t xml:space="preserve">based on the </w:t>
      </w:r>
      <w:r w:rsidR="0097727C" w:rsidRPr="00241900">
        <w:rPr>
          <w:sz w:val="22"/>
          <w:szCs w:val="22"/>
        </w:rPr>
        <w:t xml:space="preserve">financial definition of a </w:t>
      </w:r>
      <w:r w:rsidR="0097727C">
        <w:rPr>
          <w:sz w:val="22"/>
          <w:szCs w:val="22"/>
        </w:rPr>
        <w:t>‘</w:t>
      </w:r>
      <w:r w:rsidR="0097727C" w:rsidRPr="00241900">
        <w:rPr>
          <w:sz w:val="22"/>
          <w:szCs w:val="22"/>
        </w:rPr>
        <w:t>High Needs</w:t>
      </w:r>
      <w:r w:rsidR="0097727C">
        <w:rPr>
          <w:sz w:val="22"/>
          <w:szCs w:val="22"/>
        </w:rPr>
        <w:t>’ child or young person being one whose education, incorporating all additional support,</w:t>
      </w:r>
      <w:r w:rsidR="0097727C" w:rsidRPr="00241900">
        <w:rPr>
          <w:sz w:val="22"/>
          <w:szCs w:val="22"/>
        </w:rPr>
        <w:t xml:space="preserve"> costs more than £10,</w:t>
      </w:r>
      <w:r w:rsidR="0097727C">
        <w:rPr>
          <w:sz w:val="22"/>
          <w:szCs w:val="22"/>
        </w:rPr>
        <w:t>000 per annum. This threshold</w:t>
      </w:r>
      <w:r w:rsidR="0097727C" w:rsidRPr="00241900">
        <w:rPr>
          <w:sz w:val="22"/>
          <w:szCs w:val="22"/>
        </w:rPr>
        <w:t xml:space="preserve"> lays the foundation of </w:t>
      </w:r>
      <w:r w:rsidR="0097727C">
        <w:rPr>
          <w:sz w:val="22"/>
          <w:szCs w:val="22"/>
        </w:rPr>
        <w:t>the</w:t>
      </w:r>
      <w:r w:rsidR="00D32B81">
        <w:rPr>
          <w:sz w:val="22"/>
          <w:szCs w:val="22"/>
        </w:rPr>
        <w:t xml:space="preserve"> current</w:t>
      </w:r>
      <w:r w:rsidR="0097727C">
        <w:rPr>
          <w:sz w:val="22"/>
          <w:szCs w:val="22"/>
        </w:rPr>
        <w:t xml:space="preserve"> national</w:t>
      </w:r>
      <w:r w:rsidR="0097727C" w:rsidRPr="00241900">
        <w:rPr>
          <w:sz w:val="22"/>
          <w:szCs w:val="22"/>
        </w:rPr>
        <w:t xml:space="preserve"> </w:t>
      </w:r>
      <w:r w:rsidR="0097727C">
        <w:rPr>
          <w:sz w:val="22"/>
          <w:szCs w:val="22"/>
        </w:rPr>
        <w:t xml:space="preserve">‘Place Plus’ framework and </w:t>
      </w:r>
      <w:r w:rsidR="006656AE">
        <w:rPr>
          <w:sz w:val="22"/>
          <w:szCs w:val="22"/>
        </w:rPr>
        <w:t xml:space="preserve">is </w:t>
      </w:r>
      <w:r w:rsidR="0097727C">
        <w:rPr>
          <w:sz w:val="22"/>
          <w:szCs w:val="22"/>
        </w:rPr>
        <w:t>the basis of the definition of the financia</w:t>
      </w:r>
      <w:r w:rsidR="00396C07">
        <w:rPr>
          <w:sz w:val="22"/>
          <w:szCs w:val="22"/>
        </w:rPr>
        <w:t>l responsibility that</w:t>
      </w:r>
      <w:r w:rsidR="0097727C">
        <w:rPr>
          <w:sz w:val="22"/>
          <w:szCs w:val="22"/>
        </w:rPr>
        <w:t xml:space="preserve"> schools, academies</w:t>
      </w:r>
      <w:r w:rsidR="00E04283">
        <w:rPr>
          <w:sz w:val="22"/>
          <w:szCs w:val="22"/>
        </w:rPr>
        <w:t xml:space="preserve"> and other settings</w:t>
      </w:r>
      <w:r w:rsidR="0097727C">
        <w:rPr>
          <w:sz w:val="22"/>
          <w:szCs w:val="22"/>
        </w:rPr>
        <w:t xml:space="preserve"> have for meeting the needs of children and young people from their </w:t>
      </w:r>
      <w:r w:rsidR="00D32B81">
        <w:rPr>
          <w:sz w:val="22"/>
          <w:szCs w:val="22"/>
        </w:rPr>
        <w:t xml:space="preserve">already </w:t>
      </w:r>
      <w:r w:rsidR="0097727C">
        <w:rPr>
          <w:sz w:val="22"/>
          <w:szCs w:val="22"/>
        </w:rPr>
        <w:t xml:space="preserve">delegated </w:t>
      </w:r>
      <w:r w:rsidR="00E04283">
        <w:rPr>
          <w:sz w:val="22"/>
          <w:szCs w:val="22"/>
        </w:rPr>
        <w:t>formula funding-</w:t>
      </w:r>
      <w:r w:rsidR="00461B30">
        <w:rPr>
          <w:sz w:val="22"/>
          <w:szCs w:val="22"/>
        </w:rPr>
        <w:t xml:space="preserve">based </w:t>
      </w:r>
      <w:r w:rsidR="0097727C">
        <w:rPr>
          <w:sz w:val="22"/>
          <w:szCs w:val="22"/>
        </w:rPr>
        <w:t>budgets.</w:t>
      </w:r>
    </w:p>
    <w:p w:rsidR="0097727C" w:rsidRDefault="0097727C" w:rsidP="00D10737">
      <w:pPr>
        <w:jc w:val="both"/>
        <w:rPr>
          <w:sz w:val="22"/>
          <w:szCs w:val="22"/>
        </w:rPr>
      </w:pPr>
    </w:p>
    <w:p w:rsidR="005657A2" w:rsidRPr="00E04283" w:rsidRDefault="002364E2" w:rsidP="00D10737">
      <w:pPr>
        <w:jc w:val="both"/>
        <w:rPr>
          <w:sz w:val="22"/>
          <w:szCs w:val="22"/>
        </w:rPr>
      </w:pPr>
      <w:r w:rsidRPr="00E04283">
        <w:rPr>
          <w:sz w:val="22"/>
          <w:szCs w:val="22"/>
        </w:rPr>
        <w:t>4</w:t>
      </w:r>
      <w:r w:rsidR="0097727C" w:rsidRPr="00E04283">
        <w:rPr>
          <w:sz w:val="22"/>
          <w:szCs w:val="22"/>
        </w:rPr>
        <w:t xml:space="preserve">.2 </w:t>
      </w:r>
      <w:r w:rsidR="00AE7795" w:rsidRPr="00E04283">
        <w:rPr>
          <w:sz w:val="22"/>
          <w:szCs w:val="22"/>
        </w:rPr>
        <w:t>High needs funding has two parts a) core (or place</w:t>
      </w:r>
      <w:r w:rsidR="006656AE" w:rsidRPr="00E04283">
        <w:rPr>
          <w:sz w:val="22"/>
          <w:szCs w:val="22"/>
        </w:rPr>
        <w:t>-element</w:t>
      </w:r>
      <w:r w:rsidR="00AE7795" w:rsidRPr="00E04283">
        <w:rPr>
          <w:sz w:val="22"/>
          <w:szCs w:val="22"/>
        </w:rPr>
        <w:t>) funding and b) top-up (or plus) funding.</w:t>
      </w:r>
      <w:r w:rsidR="00CC0DA3" w:rsidRPr="00E04283">
        <w:rPr>
          <w:sz w:val="22"/>
          <w:szCs w:val="22"/>
        </w:rPr>
        <w:t xml:space="preserve"> The grid at Appendix 1 sets out in summary how this system operates</w:t>
      </w:r>
      <w:r w:rsidR="00A25FAD" w:rsidRPr="00E04283">
        <w:rPr>
          <w:sz w:val="22"/>
          <w:szCs w:val="22"/>
        </w:rPr>
        <w:t>, and how these two part</w:t>
      </w:r>
      <w:r w:rsidR="00FC5E2D" w:rsidRPr="00E04283">
        <w:rPr>
          <w:sz w:val="22"/>
          <w:szCs w:val="22"/>
        </w:rPr>
        <w:t>s</w:t>
      </w:r>
      <w:r w:rsidR="00A25FAD" w:rsidRPr="00E04283">
        <w:rPr>
          <w:sz w:val="22"/>
          <w:szCs w:val="22"/>
        </w:rPr>
        <w:t xml:space="preserve"> work together,</w:t>
      </w:r>
      <w:r w:rsidR="00CC0DA3" w:rsidRPr="00E04283">
        <w:rPr>
          <w:sz w:val="22"/>
          <w:szCs w:val="22"/>
        </w:rPr>
        <w:t xml:space="preserve"> for each main type of provider.</w:t>
      </w:r>
    </w:p>
    <w:p w:rsidR="005657A2" w:rsidRDefault="005657A2" w:rsidP="00D10737">
      <w:pPr>
        <w:jc w:val="both"/>
        <w:rPr>
          <w:sz w:val="22"/>
          <w:szCs w:val="22"/>
        </w:rPr>
      </w:pPr>
    </w:p>
    <w:p w:rsidR="006F3C02" w:rsidRDefault="002364E2" w:rsidP="00D10737">
      <w:pPr>
        <w:jc w:val="both"/>
        <w:rPr>
          <w:sz w:val="22"/>
          <w:szCs w:val="22"/>
        </w:rPr>
      </w:pPr>
      <w:r>
        <w:rPr>
          <w:sz w:val="22"/>
          <w:szCs w:val="22"/>
        </w:rPr>
        <w:t>4</w:t>
      </w:r>
      <w:r w:rsidR="00156D01">
        <w:rPr>
          <w:sz w:val="22"/>
          <w:szCs w:val="22"/>
        </w:rPr>
        <w:t xml:space="preserve">.3 </w:t>
      </w:r>
      <w:r w:rsidR="006F3C02">
        <w:rPr>
          <w:sz w:val="22"/>
          <w:szCs w:val="22"/>
        </w:rPr>
        <w:t>Core (or place</w:t>
      </w:r>
      <w:r w:rsidR="006656AE">
        <w:rPr>
          <w:sz w:val="22"/>
          <w:szCs w:val="22"/>
        </w:rPr>
        <w:t>-element</w:t>
      </w:r>
      <w:r w:rsidR="006F3C02">
        <w:rPr>
          <w:sz w:val="22"/>
          <w:szCs w:val="22"/>
        </w:rPr>
        <w:t xml:space="preserve">) funding for </w:t>
      </w:r>
      <w:r w:rsidR="002C458B">
        <w:rPr>
          <w:sz w:val="22"/>
          <w:szCs w:val="22"/>
        </w:rPr>
        <w:t xml:space="preserve">Bradford’s </w:t>
      </w:r>
      <w:r w:rsidR="007A50D0">
        <w:rPr>
          <w:sz w:val="22"/>
          <w:szCs w:val="22"/>
        </w:rPr>
        <w:t>stand-alone</w:t>
      </w:r>
      <w:r w:rsidR="00150971">
        <w:rPr>
          <w:sz w:val="22"/>
          <w:szCs w:val="22"/>
        </w:rPr>
        <w:t xml:space="preserve"> </w:t>
      </w:r>
      <w:r w:rsidR="004F1E2F">
        <w:rPr>
          <w:sz w:val="22"/>
          <w:szCs w:val="22"/>
        </w:rPr>
        <w:t xml:space="preserve">maintained </w:t>
      </w:r>
      <w:r w:rsidR="006F3C02">
        <w:rPr>
          <w:sz w:val="22"/>
          <w:szCs w:val="22"/>
        </w:rPr>
        <w:t xml:space="preserve">special schools and </w:t>
      </w:r>
      <w:r w:rsidR="004F1E2F">
        <w:rPr>
          <w:sz w:val="22"/>
          <w:szCs w:val="22"/>
        </w:rPr>
        <w:t xml:space="preserve">special </w:t>
      </w:r>
      <w:r w:rsidR="00796B2A">
        <w:rPr>
          <w:sz w:val="22"/>
          <w:szCs w:val="22"/>
        </w:rPr>
        <w:t xml:space="preserve">school </w:t>
      </w:r>
      <w:r w:rsidR="006F3C02">
        <w:rPr>
          <w:sz w:val="22"/>
          <w:szCs w:val="22"/>
        </w:rPr>
        <w:t>academies, and for PRUs</w:t>
      </w:r>
      <w:r w:rsidR="00EA2EFE">
        <w:rPr>
          <w:sz w:val="22"/>
          <w:szCs w:val="22"/>
        </w:rPr>
        <w:t xml:space="preserve"> and Alternative Provision (AP)</w:t>
      </w:r>
      <w:r w:rsidR="00B85531">
        <w:rPr>
          <w:sz w:val="22"/>
          <w:szCs w:val="22"/>
        </w:rPr>
        <w:t xml:space="preserve"> academies</w:t>
      </w:r>
      <w:r w:rsidR="00973F70">
        <w:rPr>
          <w:sz w:val="22"/>
          <w:szCs w:val="22"/>
        </w:rPr>
        <w:t>,</w:t>
      </w:r>
      <w:r w:rsidR="00B67F4F">
        <w:rPr>
          <w:sz w:val="22"/>
          <w:szCs w:val="22"/>
        </w:rPr>
        <w:t xml:space="preserve"> </w:t>
      </w:r>
      <w:r w:rsidR="00C41CF3">
        <w:rPr>
          <w:sz w:val="22"/>
          <w:szCs w:val="22"/>
        </w:rPr>
        <w:t xml:space="preserve">is set at </w:t>
      </w:r>
      <w:r w:rsidR="00242E4B">
        <w:rPr>
          <w:sz w:val="22"/>
          <w:szCs w:val="22"/>
        </w:rPr>
        <w:t>the national</w:t>
      </w:r>
      <w:r w:rsidR="00663F76">
        <w:rPr>
          <w:sz w:val="22"/>
          <w:szCs w:val="22"/>
        </w:rPr>
        <w:t xml:space="preserve"> annual</w:t>
      </w:r>
      <w:r w:rsidR="00242E4B">
        <w:rPr>
          <w:sz w:val="22"/>
          <w:szCs w:val="22"/>
        </w:rPr>
        <w:t xml:space="preserve"> value of </w:t>
      </w:r>
      <w:r w:rsidR="006F3C02">
        <w:rPr>
          <w:sz w:val="22"/>
          <w:szCs w:val="22"/>
        </w:rPr>
        <w:t>£10,</w:t>
      </w:r>
      <w:r w:rsidR="00FC5E2D">
        <w:rPr>
          <w:sz w:val="22"/>
          <w:szCs w:val="22"/>
        </w:rPr>
        <w:t xml:space="preserve">000 for </w:t>
      </w:r>
      <w:r w:rsidR="00285D75">
        <w:rPr>
          <w:sz w:val="22"/>
          <w:szCs w:val="22"/>
        </w:rPr>
        <w:t xml:space="preserve">all </w:t>
      </w:r>
      <w:r w:rsidR="00FC5E2D">
        <w:rPr>
          <w:sz w:val="22"/>
          <w:szCs w:val="22"/>
        </w:rPr>
        <w:t>pre-16 aged placements. T</w:t>
      </w:r>
      <w:r w:rsidR="002310A6">
        <w:rPr>
          <w:sz w:val="22"/>
          <w:szCs w:val="22"/>
        </w:rPr>
        <w:t>he value for post-</w:t>
      </w:r>
      <w:r w:rsidR="006F3C02">
        <w:rPr>
          <w:sz w:val="22"/>
          <w:szCs w:val="22"/>
        </w:rPr>
        <w:t>16 placements</w:t>
      </w:r>
      <w:r w:rsidR="0027601E">
        <w:rPr>
          <w:sz w:val="22"/>
          <w:szCs w:val="22"/>
        </w:rPr>
        <w:t xml:space="preserve"> in special schools and </w:t>
      </w:r>
      <w:r w:rsidR="007B5DCB">
        <w:rPr>
          <w:sz w:val="22"/>
          <w:szCs w:val="22"/>
        </w:rPr>
        <w:t xml:space="preserve">special school </w:t>
      </w:r>
      <w:r w:rsidR="0027601E">
        <w:rPr>
          <w:sz w:val="22"/>
          <w:szCs w:val="22"/>
        </w:rPr>
        <w:t>academies</w:t>
      </w:r>
      <w:r w:rsidR="006F3C02">
        <w:rPr>
          <w:sz w:val="22"/>
          <w:szCs w:val="22"/>
        </w:rPr>
        <w:t xml:space="preserve"> is slightly enhanced</w:t>
      </w:r>
      <w:r w:rsidR="00020421">
        <w:rPr>
          <w:sz w:val="22"/>
          <w:szCs w:val="22"/>
        </w:rPr>
        <w:t xml:space="preserve"> </w:t>
      </w:r>
      <w:r w:rsidR="006F3C02">
        <w:rPr>
          <w:sz w:val="22"/>
          <w:szCs w:val="22"/>
        </w:rPr>
        <w:t xml:space="preserve">by the </w:t>
      </w:r>
      <w:r w:rsidR="00487221">
        <w:rPr>
          <w:sz w:val="22"/>
          <w:szCs w:val="22"/>
        </w:rPr>
        <w:t>higher value of E</w:t>
      </w:r>
      <w:r w:rsidR="006F3C02">
        <w:rPr>
          <w:sz w:val="22"/>
          <w:szCs w:val="22"/>
        </w:rPr>
        <w:t>lement 1 funding in the p</w:t>
      </w:r>
      <w:r w:rsidR="002310A6">
        <w:rPr>
          <w:sz w:val="22"/>
          <w:szCs w:val="22"/>
        </w:rPr>
        <w:t>ost-</w:t>
      </w:r>
      <w:r w:rsidR="00FC5E2D">
        <w:rPr>
          <w:sz w:val="22"/>
          <w:szCs w:val="22"/>
        </w:rPr>
        <w:t>16 national funding formula</w:t>
      </w:r>
      <w:r w:rsidR="006F3C02">
        <w:rPr>
          <w:sz w:val="22"/>
          <w:szCs w:val="22"/>
        </w:rPr>
        <w:t xml:space="preserve">. </w:t>
      </w:r>
      <w:r w:rsidR="00C41CF3">
        <w:rPr>
          <w:sz w:val="22"/>
          <w:szCs w:val="22"/>
        </w:rPr>
        <w:t>P</w:t>
      </w:r>
      <w:r w:rsidR="00663F76">
        <w:rPr>
          <w:sz w:val="22"/>
          <w:szCs w:val="22"/>
        </w:rPr>
        <w:t>lace</w:t>
      </w:r>
      <w:r w:rsidR="00F50ACD">
        <w:rPr>
          <w:sz w:val="22"/>
          <w:szCs w:val="22"/>
        </w:rPr>
        <w:t>-element</w:t>
      </w:r>
      <w:r w:rsidR="00663F76">
        <w:rPr>
          <w:sz w:val="22"/>
          <w:szCs w:val="22"/>
        </w:rPr>
        <w:t xml:space="preserve"> funding is allocated on the</w:t>
      </w:r>
      <w:r w:rsidR="00C41CF3">
        <w:rPr>
          <w:sz w:val="22"/>
          <w:szCs w:val="22"/>
        </w:rPr>
        <w:t xml:space="preserve"> </w:t>
      </w:r>
      <w:r w:rsidR="00063E83">
        <w:rPr>
          <w:sz w:val="22"/>
          <w:szCs w:val="22"/>
        </w:rPr>
        <w:t>agreed number of places</w:t>
      </w:r>
      <w:r w:rsidR="00407B13">
        <w:rPr>
          <w:sz w:val="22"/>
          <w:szCs w:val="22"/>
        </w:rPr>
        <w:t xml:space="preserve"> </w:t>
      </w:r>
      <w:r w:rsidR="00C41CF3">
        <w:rPr>
          <w:sz w:val="22"/>
          <w:szCs w:val="22"/>
        </w:rPr>
        <w:t>commission</w:t>
      </w:r>
      <w:r w:rsidR="00407B13">
        <w:rPr>
          <w:sz w:val="22"/>
          <w:szCs w:val="22"/>
        </w:rPr>
        <w:t xml:space="preserve">ed both by Bradford Council and </w:t>
      </w:r>
      <w:r w:rsidR="002C458B">
        <w:rPr>
          <w:sz w:val="22"/>
          <w:szCs w:val="22"/>
        </w:rPr>
        <w:t xml:space="preserve">by </w:t>
      </w:r>
      <w:r w:rsidR="00407B13">
        <w:rPr>
          <w:sz w:val="22"/>
          <w:szCs w:val="22"/>
        </w:rPr>
        <w:t>other local authorities</w:t>
      </w:r>
      <w:r w:rsidR="00C41CF3">
        <w:rPr>
          <w:sz w:val="22"/>
          <w:szCs w:val="22"/>
        </w:rPr>
        <w:t>.</w:t>
      </w:r>
      <w:r w:rsidR="004F1E2F">
        <w:rPr>
          <w:sz w:val="22"/>
          <w:szCs w:val="22"/>
        </w:rPr>
        <w:t xml:space="preserve"> A</w:t>
      </w:r>
      <w:r w:rsidR="002C458B">
        <w:rPr>
          <w:sz w:val="22"/>
          <w:szCs w:val="22"/>
        </w:rPr>
        <w:t xml:space="preserve"> Bradford-located</w:t>
      </w:r>
      <w:r w:rsidR="004F1E2F">
        <w:rPr>
          <w:sz w:val="22"/>
          <w:szCs w:val="22"/>
        </w:rPr>
        <w:t xml:space="preserve"> institution </w:t>
      </w:r>
      <w:r w:rsidR="00407B13">
        <w:rPr>
          <w:sz w:val="22"/>
          <w:szCs w:val="22"/>
        </w:rPr>
        <w:t>is allocated place</w:t>
      </w:r>
      <w:r w:rsidR="00F50ACD">
        <w:rPr>
          <w:sz w:val="22"/>
          <w:szCs w:val="22"/>
        </w:rPr>
        <w:t>-element</w:t>
      </w:r>
      <w:r w:rsidR="00407B13">
        <w:rPr>
          <w:sz w:val="22"/>
          <w:szCs w:val="22"/>
        </w:rPr>
        <w:t xml:space="preserve"> funding</w:t>
      </w:r>
      <w:r w:rsidR="002C458B">
        <w:rPr>
          <w:sz w:val="22"/>
          <w:szCs w:val="22"/>
        </w:rPr>
        <w:t xml:space="preserve"> by Bradford</w:t>
      </w:r>
      <w:r w:rsidR="00407B13">
        <w:rPr>
          <w:sz w:val="22"/>
          <w:szCs w:val="22"/>
        </w:rPr>
        <w:t xml:space="preserve"> </w:t>
      </w:r>
      <w:r w:rsidR="001C16B5">
        <w:rPr>
          <w:sz w:val="22"/>
          <w:szCs w:val="22"/>
        </w:rPr>
        <w:t>Council for</w:t>
      </w:r>
      <w:r w:rsidR="00B82DC3">
        <w:rPr>
          <w:sz w:val="22"/>
          <w:szCs w:val="22"/>
        </w:rPr>
        <w:t xml:space="preserve"> its</w:t>
      </w:r>
      <w:r w:rsidR="00407B13">
        <w:rPr>
          <w:sz w:val="22"/>
          <w:szCs w:val="22"/>
        </w:rPr>
        <w:t xml:space="preserve"> to</w:t>
      </w:r>
      <w:r w:rsidR="004F1E2F">
        <w:rPr>
          <w:sz w:val="22"/>
          <w:szCs w:val="22"/>
        </w:rPr>
        <w:t>tal number of high needs places</w:t>
      </w:r>
      <w:r w:rsidR="00EA2EFE">
        <w:rPr>
          <w:sz w:val="22"/>
          <w:szCs w:val="22"/>
        </w:rPr>
        <w:t>,</w:t>
      </w:r>
      <w:r w:rsidR="00407B13">
        <w:rPr>
          <w:sz w:val="22"/>
          <w:szCs w:val="22"/>
        </w:rPr>
        <w:t xml:space="preserve"> irrespective of where the pupil resides.</w:t>
      </w:r>
      <w:r w:rsidR="00C41CF3">
        <w:rPr>
          <w:sz w:val="22"/>
          <w:szCs w:val="22"/>
        </w:rPr>
        <w:t xml:space="preserve"> </w:t>
      </w:r>
      <w:r w:rsidR="00063E83">
        <w:rPr>
          <w:sz w:val="22"/>
          <w:szCs w:val="22"/>
        </w:rPr>
        <w:t>This p</w:t>
      </w:r>
      <w:r w:rsidR="00C41CF3">
        <w:rPr>
          <w:sz w:val="22"/>
          <w:szCs w:val="22"/>
        </w:rPr>
        <w:t>lace</w:t>
      </w:r>
      <w:r w:rsidR="00F50ACD">
        <w:rPr>
          <w:sz w:val="22"/>
          <w:szCs w:val="22"/>
        </w:rPr>
        <w:t>-element</w:t>
      </w:r>
      <w:r w:rsidR="00C41CF3">
        <w:rPr>
          <w:sz w:val="22"/>
          <w:szCs w:val="22"/>
        </w:rPr>
        <w:t xml:space="preserve"> funding is allocated </w:t>
      </w:r>
      <w:r w:rsidR="00565BC0">
        <w:rPr>
          <w:sz w:val="22"/>
          <w:szCs w:val="22"/>
        </w:rPr>
        <w:t>to support the institution’s</w:t>
      </w:r>
      <w:r w:rsidR="00943EB6">
        <w:rPr>
          <w:sz w:val="22"/>
          <w:szCs w:val="22"/>
        </w:rPr>
        <w:t xml:space="preserve"> core costs</w:t>
      </w:r>
      <w:r w:rsidR="00487221">
        <w:rPr>
          <w:sz w:val="22"/>
          <w:szCs w:val="22"/>
        </w:rPr>
        <w:t xml:space="preserve"> (E</w:t>
      </w:r>
      <w:r w:rsidR="00565BC0">
        <w:rPr>
          <w:sz w:val="22"/>
          <w:szCs w:val="22"/>
        </w:rPr>
        <w:t>lement 1)</w:t>
      </w:r>
      <w:r w:rsidR="00943EB6">
        <w:rPr>
          <w:sz w:val="22"/>
          <w:szCs w:val="22"/>
        </w:rPr>
        <w:t xml:space="preserve"> and also to contribute to the additional costs associated with meeting the </w:t>
      </w:r>
      <w:r w:rsidR="004F1E2F">
        <w:rPr>
          <w:sz w:val="22"/>
          <w:szCs w:val="22"/>
        </w:rPr>
        <w:t xml:space="preserve">additional </w:t>
      </w:r>
      <w:r w:rsidR="00943EB6">
        <w:rPr>
          <w:sz w:val="22"/>
          <w:szCs w:val="22"/>
        </w:rPr>
        <w:t>needs of the child or y</w:t>
      </w:r>
      <w:r w:rsidR="001D7005">
        <w:rPr>
          <w:sz w:val="22"/>
          <w:szCs w:val="22"/>
        </w:rPr>
        <w:t>oung person</w:t>
      </w:r>
      <w:r w:rsidR="00487221">
        <w:rPr>
          <w:sz w:val="22"/>
          <w:szCs w:val="22"/>
        </w:rPr>
        <w:t xml:space="preserve"> (E</w:t>
      </w:r>
      <w:r w:rsidR="00565BC0">
        <w:rPr>
          <w:sz w:val="22"/>
          <w:szCs w:val="22"/>
        </w:rPr>
        <w:t>lement 2)</w:t>
      </w:r>
      <w:r w:rsidR="00943EB6">
        <w:rPr>
          <w:sz w:val="22"/>
          <w:szCs w:val="22"/>
        </w:rPr>
        <w:t>. However, it is not ‘pupil specific’</w:t>
      </w:r>
      <w:r w:rsidR="004F1E2F">
        <w:rPr>
          <w:sz w:val="22"/>
          <w:szCs w:val="22"/>
        </w:rPr>
        <w:t>. P</w:t>
      </w:r>
      <w:r w:rsidR="00943EB6">
        <w:rPr>
          <w:sz w:val="22"/>
          <w:szCs w:val="22"/>
        </w:rPr>
        <w:t>lace</w:t>
      </w:r>
      <w:r w:rsidR="00F50ACD">
        <w:rPr>
          <w:sz w:val="22"/>
          <w:szCs w:val="22"/>
        </w:rPr>
        <w:t>-element</w:t>
      </w:r>
      <w:r w:rsidR="00943EB6">
        <w:rPr>
          <w:sz w:val="22"/>
          <w:szCs w:val="22"/>
        </w:rPr>
        <w:t xml:space="preserve"> funding is set before the start </w:t>
      </w:r>
      <w:r w:rsidR="00416BC2">
        <w:rPr>
          <w:sz w:val="22"/>
          <w:szCs w:val="22"/>
        </w:rPr>
        <w:t>of the financial year and isn’t</w:t>
      </w:r>
      <w:r w:rsidR="004D16BC">
        <w:rPr>
          <w:sz w:val="22"/>
          <w:szCs w:val="22"/>
        </w:rPr>
        <w:t xml:space="preserve"> </w:t>
      </w:r>
      <w:r w:rsidR="00943EB6">
        <w:rPr>
          <w:sz w:val="22"/>
          <w:szCs w:val="22"/>
        </w:rPr>
        <w:t xml:space="preserve">withdrawn if an individual place is not occupied. </w:t>
      </w:r>
      <w:r w:rsidR="001D7005">
        <w:rPr>
          <w:sz w:val="22"/>
          <w:szCs w:val="22"/>
        </w:rPr>
        <w:t>It is up to the institution</w:t>
      </w:r>
      <w:r w:rsidR="001E437E">
        <w:rPr>
          <w:sz w:val="22"/>
          <w:szCs w:val="22"/>
        </w:rPr>
        <w:t xml:space="preserve"> to decide how best to apportion their total allocated place</w:t>
      </w:r>
      <w:r w:rsidR="00F50ACD">
        <w:rPr>
          <w:sz w:val="22"/>
          <w:szCs w:val="22"/>
        </w:rPr>
        <w:t>-element</w:t>
      </w:r>
      <w:r w:rsidR="001E437E">
        <w:rPr>
          <w:sz w:val="22"/>
          <w:szCs w:val="22"/>
        </w:rPr>
        <w:t xml:space="preserve"> funding across the actual number of places</w:t>
      </w:r>
      <w:r w:rsidR="00407B13">
        <w:rPr>
          <w:sz w:val="22"/>
          <w:szCs w:val="22"/>
        </w:rPr>
        <w:t xml:space="preserve"> commissioned by</w:t>
      </w:r>
      <w:r w:rsidR="002151F4">
        <w:rPr>
          <w:sz w:val="22"/>
          <w:szCs w:val="22"/>
        </w:rPr>
        <w:t xml:space="preserve"> the Local Authority</w:t>
      </w:r>
      <w:r w:rsidR="00407B13">
        <w:rPr>
          <w:sz w:val="22"/>
          <w:szCs w:val="22"/>
        </w:rPr>
        <w:t>.</w:t>
      </w:r>
      <w:r w:rsidR="002C458B">
        <w:rPr>
          <w:sz w:val="22"/>
          <w:szCs w:val="22"/>
        </w:rPr>
        <w:t xml:space="preserve"> Additional place</w:t>
      </w:r>
      <w:r w:rsidR="00F50ACD">
        <w:rPr>
          <w:sz w:val="22"/>
          <w:szCs w:val="22"/>
        </w:rPr>
        <w:t>-element</w:t>
      </w:r>
      <w:r w:rsidR="002C458B">
        <w:rPr>
          <w:sz w:val="22"/>
          <w:szCs w:val="22"/>
        </w:rPr>
        <w:t xml:space="preserve"> funding, where an institution</w:t>
      </w:r>
      <w:r w:rsidR="00D27E3C">
        <w:rPr>
          <w:sz w:val="22"/>
          <w:szCs w:val="22"/>
        </w:rPr>
        <w:t>’</w:t>
      </w:r>
      <w:r w:rsidR="002C458B">
        <w:rPr>
          <w:sz w:val="22"/>
          <w:szCs w:val="22"/>
        </w:rPr>
        <w:t>s</w:t>
      </w:r>
      <w:r w:rsidR="00F32D1B">
        <w:rPr>
          <w:sz w:val="22"/>
          <w:szCs w:val="22"/>
        </w:rPr>
        <w:t xml:space="preserve"> number on ro</w:t>
      </w:r>
      <w:r w:rsidR="00406F67">
        <w:rPr>
          <w:sz w:val="22"/>
          <w:szCs w:val="22"/>
        </w:rPr>
        <w:t xml:space="preserve">ll exceeds the number of places during the </w:t>
      </w:r>
      <w:r w:rsidR="00F32D1B">
        <w:rPr>
          <w:sz w:val="22"/>
          <w:szCs w:val="22"/>
        </w:rPr>
        <w:t xml:space="preserve">year, is </w:t>
      </w:r>
      <w:r w:rsidR="00F32D1B" w:rsidRPr="00867A95">
        <w:rPr>
          <w:sz w:val="22"/>
          <w:szCs w:val="22"/>
        </w:rPr>
        <w:t>allocated</w:t>
      </w:r>
      <w:r w:rsidR="002C458B">
        <w:rPr>
          <w:sz w:val="22"/>
          <w:szCs w:val="22"/>
        </w:rPr>
        <w:t xml:space="preserve"> by Bradford Council</w:t>
      </w:r>
      <w:r w:rsidR="00F32D1B">
        <w:rPr>
          <w:sz w:val="22"/>
          <w:szCs w:val="22"/>
        </w:rPr>
        <w:t>. A</w:t>
      </w:r>
      <w:r w:rsidR="00F32D1B" w:rsidRPr="00867A95">
        <w:rPr>
          <w:sz w:val="22"/>
          <w:szCs w:val="22"/>
        </w:rPr>
        <w:t xml:space="preserve">n </w:t>
      </w:r>
      <w:r w:rsidR="00F32D1B">
        <w:rPr>
          <w:sz w:val="22"/>
          <w:szCs w:val="22"/>
        </w:rPr>
        <w:t>end of year reconciliation is actioned</w:t>
      </w:r>
      <w:r w:rsidR="00744F2E">
        <w:rPr>
          <w:sz w:val="22"/>
          <w:szCs w:val="22"/>
        </w:rPr>
        <w:t xml:space="preserve"> however</w:t>
      </w:r>
      <w:r w:rsidR="00F32D1B">
        <w:rPr>
          <w:sz w:val="22"/>
          <w:szCs w:val="22"/>
        </w:rPr>
        <w:t xml:space="preserve">, </w:t>
      </w:r>
      <w:r w:rsidR="00917578">
        <w:rPr>
          <w:sz w:val="22"/>
          <w:szCs w:val="22"/>
        </w:rPr>
        <w:t>where</w:t>
      </w:r>
      <w:r w:rsidR="002C458B">
        <w:rPr>
          <w:sz w:val="22"/>
          <w:szCs w:val="22"/>
        </w:rPr>
        <w:t xml:space="preserve"> an</w:t>
      </w:r>
      <w:r w:rsidR="00F862DA">
        <w:rPr>
          <w:sz w:val="22"/>
          <w:szCs w:val="22"/>
        </w:rPr>
        <w:t>y</w:t>
      </w:r>
      <w:r w:rsidR="002C458B">
        <w:rPr>
          <w:sz w:val="22"/>
          <w:szCs w:val="22"/>
        </w:rPr>
        <w:t xml:space="preserve"> </w:t>
      </w:r>
      <w:r w:rsidR="00D32B81">
        <w:rPr>
          <w:sz w:val="22"/>
          <w:szCs w:val="22"/>
        </w:rPr>
        <w:t xml:space="preserve">additional </w:t>
      </w:r>
      <w:r w:rsidR="00F32D1B" w:rsidRPr="00867A95">
        <w:rPr>
          <w:sz w:val="22"/>
          <w:szCs w:val="22"/>
        </w:rPr>
        <w:t>place</w:t>
      </w:r>
      <w:r w:rsidR="00F50ACD">
        <w:rPr>
          <w:sz w:val="22"/>
          <w:szCs w:val="22"/>
        </w:rPr>
        <w:t>-element</w:t>
      </w:r>
      <w:r w:rsidR="00F32D1B" w:rsidRPr="00867A95">
        <w:rPr>
          <w:sz w:val="22"/>
          <w:szCs w:val="22"/>
        </w:rPr>
        <w:t xml:space="preserve"> funding</w:t>
      </w:r>
      <w:r w:rsidR="00F862DA">
        <w:rPr>
          <w:sz w:val="22"/>
          <w:szCs w:val="22"/>
        </w:rPr>
        <w:t xml:space="preserve"> allocated to an institution</w:t>
      </w:r>
      <w:r w:rsidR="00285D75">
        <w:rPr>
          <w:sz w:val="22"/>
          <w:szCs w:val="22"/>
        </w:rPr>
        <w:t xml:space="preserve"> will be</w:t>
      </w:r>
      <w:r w:rsidR="00F862DA">
        <w:rPr>
          <w:sz w:val="22"/>
          <w:szCs w:val="22"/>
        </w:rPr>
        <w:t xml:space="preserve"> removed</w:t>
      </w:r>
      <w:r w:rsidR="00F32D1B" w:rsidRPr="00867A95">
        <w:rPr>
          <w:sz w:val="22"/>
          <w:szCs w:val="22"/>
        </w:rPr>
        <w:t xml:space="preserve"> </w:t>
      </w:r>
      <w:r w:rsidR="002C458B">
        <w:rPr>
          <w:sz w:val="22"/>
          <w:szCs w:val="22"/>
        </w:rPr>
        <w:t>if the institution</w:t>
      </w:r>
      <w:r w:rsidR="00F32D1B" w:rsidRPr="00867A95">
        <w:rPr>
          <w:sz w:val="22"/>
          <w:szCs w:val="22"/>
        </w:rPr>
        <w:t xml:space="preserve"> has been allocated too mu</w:t>
      </w:r>
      <w:r w:rsidR="00D27E3C">
        <w:rPr>
          <w:sz w:val="22"/>
          <w:szCs w:val="22"/>
        </w:rPr>
        <w:t>ch additional place</w:t>
      </w:r>
      <w:r w:rsidR="00F50ACD">
        <w:rPr>
          <w:sz w:val="22"/>
          <w:szCs w:val="22"/>
        </w:rPr>
        <w:t>-element</w:t>
      </w:r>
      <w:r w:rsidR="002C458B">
        <w:rPr>
          <w:sz w:val="22"/>
          <w:szCs w:val="22"/>
        </w:rPr>
        <w:t xml:space="preserve"> funding when its actual</w:t>
      </w:r>
      <w:r w:rsidR="00F32D1B" w:rsidRPr="00867A95">
        <w:rPr>
          <w:sz w:val="22"/>
          <w:szCs w:val="22"/>
        </w:rPr>
        <w:t xml:space="preserve"> annual composite occupancy</w:t>
      </w:r>
      <w:r w:rsidR="002C458B">
        <w:rPr>
          <w:sz w:val="22"/>
          <w:szCs w:val="22"/>
        </w:rPr>
        <w:t xml:space="preserve"> is calculated</w:t>
      </w:r>
      <w:r w:rsidR="00F50ACD">
        <w:rPr>
          <w:sz w:val="22"/>
          <w:szCs w:val="22"/>
        </w:rPr>
        <w:t xml:space="preserve"> based on the recorded occupancy each month</w:t>
      </w:r>
      <w:r w:rsidR="00F32D1B">
        <w:rPr>
          <w:sz w:val="22"/>
          <w:szCs w:val="22"/>
        </w:rPr>
        <w:t>.</w:t>
      </w:r>
    </w:p>
    <w:p w:rsidR="009B1D6F" w:rsidRDefault="009B1D6F" w:rsidP="00D10737">
      <w:pPr>
        <w:jc w:val="both"/>
        <w:rPr>
          <w:sz w:val="22"/>
          <w:szCs w:val="22"/>
        </w:rPr>
      </w:pPr>
    </w:p>
    <w:p w:rsidR="009B1D6F" w:rsidRDefault="002364E2" w:rsidP="00D10737">
      <w:pPr>
        <w:jc w:val="both"/>
        <w:rPr>
          <w:sz w:val="22"/>
          <w:szCs w:val="22"/>
        </w:rPr>
      </w:pPr>
      <w:r>
        <w:rPr>
          <w:sz w:val="22"/>
          <w:szCs w:val="22"/>
        </w:rPr>
        <w:t>4</w:t>
      </w:r>
      <w:r w:rsidR="009B1D6F">
        <w:rPr>
          <w:sz w:val="22"/>
          <w:szCs w:val="22"/>
        </w:rPr>
        <w:t>.4 Place</w:t>
      </w:r>
      <w:r w:rsidR="00B24B38">
        <w:rPr>
          <w:sz w:val="22"/>
          <w:szCs w:val="22"/>
        </w:rPr>
        <w:t>-element</w:t>
      </w:r>
      <w:r w:rsidR="009B1D6F">
        <w:rPr>
          <w:sz w:val="22"/>
          <w:szCs w:val="22"/>
        </w:rPr>
        <w:t xml:space="preserve"> funding for </w:t>
      </w:r>
      <w:r w:rsidR="00150971">
        <w:rPr>
          <w:sz w:val="22"/>
          <w:szCs w:val="22"/>
        </w:rPr>
        <w:t xml:space="preserve">Bradford’s </w:t>
      </w:r>
      <w:r w:rsidR="00FB71B4">
        <w:rPr>
          <w:sz w:val="22"/>
          <w:szCs w:val="22"/>
        </w:rPr>
        <w:t xml:space="preserve">School-led </w:t>
      </w:r>
      <w:r w:rsidR="00084624">
        <w:rPr>
          <w:sz w:val="22"/>
          <w:szCs w:val="22"/>
        </w:rPr>
        <w:t xml:space="preserve">resourced </w:t>
      </w:r>
      <w:r w:rsidR="00BE5903">
        <w:rPr>
          <w:sz w:val="22"/>
          <w:szCs w:val="22"/>
        </w:rPr>
        <w:t xml:space="preserve">provisions, </w:t>
      </w:r>
      <w:r w:rsidR="00020421">
        <w:rPr>
          <w:sz w:val="22"/>
          <w:szCs w:val="22"/>
        </w:rPr>
        <w:t>Early Years Enhanced Provisions</w:t>
      </w:r>
      <w:r w:rsidR="00FB71B4">
        <w:rPr>
          <w:sz w:val="22"/>
          <w:szCs w:val="22"/>
        </w:rPr>
        <w:t xml:space="preserve"> (EYESP</w:t>
      </w:r>
      <w:r w:rsidR="00752254">
        <w:rPr>
          <w:sz w:val="22"/>
          <w:szCs w:val="22"/>
        </w:rPr>
        <w:t>s</w:t>
      </w:r>
      <w:r w:rsidR="00FB71B4">
        <w:rPr>
          <w:sz w:val="22"/>
          <w:szCs w:val="22"/>
        </w:rPr>
        <w:t>)</w:t>
      </w:r>
      <w:r w:rsidR="00744F2E">
        <w:rPr>
          <w:sz w:val="22"/>
          <w:szCs w:val="22"/>
        </w:rPr>
        <w:t>,</w:t>
      </w:r>
      <w:r w:rsidR="002310A6">
        <w:rPr>
          <w:sz w:val="22"/>
          <w:szCs w:val="22"/>
        </w:rPr>
        <w:t xml:space="preserve"> and for post-</w:t>
      </w:r>
      <w:r w:rsidR="00150971">
        <w:rPr>
          <w:sz w:val="22"/>
          <w:szCs w:val="22"/>
        </w:rPr>
        <w:t>16 placements in Further Education Colleges</w:t>
      </w:r>
      <w:r w:rsidR="00744F2E">
        <w:rPr>
          <w:sz w:val="22"/>
          <w:szCs w:val="22"/>
        </w:rPr>
        <w:t>,</w:t>
      </w:r>
      <w:r w:rsidR="00116AC1">
        <w:rPr>
          <w:sz w:val="22"/>
          <w:szCs w:val="22"/>
        </w:rPr>
        <w:t xml:space="preserve"> operates on the basis</w:t>
      </w:r>
      <w:r w:rsidR="00FB1E72">
        <w:rPr>
          <w:sz w:val="22"/>
          <w:szCs w:val="22"/>
        </w:rPr>
        <w:t xml:space="preserve"> set out in paragraph </w:t>
      </w:r>
      <w:r w:rsidR="00084624">
        <w:rPr>
          <w:sz w:val="22"/>
          <w:szCs w:val="22"/>
        </w:rPr>
        <w:t>4</w:t>
      </w:r>
      <w:r w:rsidR="00FB1E72">
        <w:rPr>
          <w:sz w:val="22"/>
          <w:szCs w:val="22"/>
        </w:rPr>
        <w:t>.3</w:t>
      </w:r>
      <w:r w:rsidR="002310A6">
        <w:rPr>
          <w:sz w:val="22"/>
          <w:szCs w:val="22"/>
        </w:rPr>
        <w:t>,</w:t>
      </w:r>
      <w:r w:rsidR="00FB1E72">
        <w:rPr>
          <w:sz w:val="22"/>
          <w:szCs w:val="22"/>
        </w:rPr>
        <w:t xml:space="preserve"> but</w:t>
      </w:r>
      <w:r w:rsidR="00150971">
        <w:rPr>
          <w:sz w:val="22"/>
          <w:szCs w:val="22"/>
        </w:rPr>
        <w:t xml:space="preserve"> is set at the national </w:t>
      </w:r>
      <w:r w:rsidR="00EC7050">
        <w:rPr>
          <w:sz w:val="22"/>
          <w:szCs w:val="22"/>
        </w:rPr>
        <w:t xml:space="preserve">annual </w:t>
      </w:r>
      <w:r w:rsidR="00150971">
        <w:rPr>
          <w:sz w:val="22"/>
          <w:szCs w:val="22"/>
        </w:rPr>
        <w:t xml:space="preserve">value of £6,000. The </w:t>
      </w:r>
      <w:r w:rsidR="00116AC1">
        <w:rPr>
          <w:sz w:val="22"/>
          <w:szCs w:val="22"/>
        </w:rPr>
        <w:t>value is not £10,000 because the</w:t>
      </w:r>
      <w:r w:rsidR="00150971">
        <w:rPr>
          <w:sz w:val="22"/>
          <w:szCs w:val="22"/>
        </w:rPr>
        <w:t>se institutions</w:t>
      </w:r>
      <w:r w:rsidR="002D7E38">
        <w:rPr>
          <w:sz w:val="22"/>
          <w:szCs w:val="22"/>
        </w:rPr>
        <w:t>, unlike special schools</w:t>
      </w:r>
      <w:r w:rsidR="00E676A6">
        <w:rPr>
          <w:sz w:val="22"/>
          <w:szCs w:val="22"/>
        </w:rPr>
        <w:t xml:space="preserve"> and PRUs</w:t>
      </w:r>
      <w:r w:rsidR="002D7E38">
        <w:rPr>
          <w:sz w:val="22"/>
          <w:szCs w:val="22"/>
        </w:rPr>
        <w:t>,</w:t>
      </w:r>
      <w:r w:rsidR="00150971">
        <w:rPr>
          <w:sz w:val="22"/>
          <w:szCs w:val="22"/>
        </w:rPr>
        <w:t xml:space="preserve"> already receive formula funding, which allocates</w:t>
      </w:r>
      <w:r w:rsidR="00F50ACD">
        <w:rPr>
          <w:sz w:val="22"/>
          <w:szCs w:val="22"/>
        </w:rPr>
        <w:t xml:space="preserve"> the first part</w:t>
      </w:r>
      <w:r w:rsidR="006E7301">
        <w:rPr>
          <w:sz w:val="22"/>
          <w:szCs w:val="22"/>
        </w:rPr>
        <w:t xml:space="preserve"> of place</w:t>
      </w:r>
      <w:r w:rsidR="00F50ACD">
        <w:rPr>
          <w:sz w:val="22"/>
          <w:szCs w:val="22"/>
        </w:rPr>
        <w:t>-element</w:t>
      </w:r>
      <w:r w:rsidR="006E7301">
        <w:rPr>
          <w:sz w:val="22"/>
          <w:szCs w:val="22"/>
        </w:rPr>
        <w:t xml:space="preserve"> funding</w:t>
      </w:r>
      <w:r w:rsidR="00150971">
        <w:rPr>
          <w:sz w:val="22"/>
          <w:szCs w:val="22"/>
        </w:rPr>
        <w:t xml:space="preserve"> </w:t>
      </w:r>
      <w:r w:rsidR="006E7301">
        <w:rPr>
          <w:sz w:val="22"/>
          <w:szCs w:val="22"/>
        </w:rPr>
        <w:t>(</w:t>
      </w:r>
      <w:r w:rsidR="0027461F">
        <w:rPr>
          <w:sz w:val="22"/>
          <w:szCs w:val="22"/>
        </w:rPr>
        <w:t xml:space="preserve">known as </w:t>
      </w:r>
      <w:r w:rsidR="002151F4">
        <w:rPr>
          <w:sz w:val="22"/>
          <w:szCs w:val="22"/>
        </w:rPr>
        <w:t>E</w:t>
      </w:r>
      <w:r w:rsidR="00150971">
        <w:rPr>
          <w:sz w:val="22"/>
          <w:szCs w:val="22"/>
        </w:rPr>
        <w:t>lement 1</w:t>
      </w:r>
      <w:r w:rsidR="006E7301">
        <w:rPr>
          <w:sz w:val="22"/>
          <w:szCs w:val="22"/>
        </w:rPr>
        <w:t>)</w:t>
      </w:r>
      <w:r w:rsidR="00150971">
        <w:rPr>
          <w:sz w:val="22"/>
          <w:szCs w:val="22"/>
        </w:rPr>
        <w:t>. To explain then, how place</w:t>
      </w:r>
      <w:r w:rsidR="00F50ACD">
        <w:rPr>
          <w:sz w:val="22"/>
          <w:szCs w:val="22"/>
        </w:rPr>
        <w:t>-element</w:t>
      </w:r>
      <w:r w:rsidR="00150971">
        <w:rPr>
          <w:sz w:val="22"/>
          <w:szCs w:val="22"/>
        </w:rPr>
        <w:t xml:space="preserve"> funding is split into 2 parts</w:t>
      </w:r>
      <w:r w:rsidR="006E0B09">
        <w:rPr>
          <w:sz w:val="22"/>
          <w:szCs w:val="22"/>
        </w:rPr>
        <w:t xml:space="preserve"> in the national system</w:t>
      </w:r>
      <w:r w:rsidR="00150971">
        <w:rPr>
          <w:sz w:val="22"/>
          <w:szCs w:val="22"/>
        </w:rPr>
        <w:t>:</w:t>
      </w:r>
    </w:p>
    <w:p w:rsidR="00156D01" w:rsidRDefault="00156D01" w:rsidP="001B416B">
      <w:pPr>
        <w:jc w:val="both"/>
        <w:rPr>
          <w:sz w:val="22"/>
          <w:szCs w:val="22"/>
        </w:rPr>
      </w:pPr>
    </w:p>
    <w:p w:rsidR="00156D01" w:rsidRDefault="00156D01" w:rsidP="00156D01">
      <w:pPr>
        <w:numPr>
          <w:ilvl w:val="0"/>
          <w:numId w:val="3"/>
        </w:numPr>
        <w:jc w:val="both"/>
        <w:rPr>
          <w:sz w:val="22"/>
          <w:szCs w:val="22"/>
        </w:rPr>
      </w:pPr>
      <w:r>
        <w:rPr>
          <w:sz w:val="22"/>
          <w:szCs w:val="22"/>
        </w:rPr>
        <w:t xml:space="preserve">Element 1: a </w:t>
      </w:r>
      <w:r w:rsidR="00D27E3C">
        <w:rPr>
          <w:sz w:val="22"/>
          <w:szCs w:val="22"/>
        </w:rPr>
        <w:t>basic</w:t>
      </w:r>
      <w:r>
        <w:rPr>
          <w:sz w:val="22"/>
          <w:szCs w:val="22"/>
        </w:rPr>
        <w:t xml:space="preserve"> £4,000 for children and young people a</w:t>
      </w:r>
      <w:r w:rsidR="00125589">
        <w:rPr>
          <w:sz w:val="22"/>
          <w:szCs w:val="22"/>
        </w:rPr>
        <w:t>ged pre-16, which is the notionally defined</w:t>
      </w:r>
      <w:r>
        <w:rPr>
          <w:sz w:val="22"/>
          <w:szCs w:val="22"/>
        </w:rPr>
        <w:t xml:space="preserve"> value of funding that all pupils attract </w:t>
      </w:r>
      <w:r w:rsidR="00150971">
        <w:rPr>
          <w:sz w:val="22"/>
          <w:szCs w:val="22"/>
        </w:rPr>
        <w:t>and which has already be</w:t>
      </w:r>
      <w:r w:rsidR="00B71E8A">
        <w:rPr>
          <w:sz w:val="22"/>
          <w:szCs w:val="22"/>
        </w:rPr>
        <w:t>en allocated</w:t>
      </w:r>
      <w:r w:rsidR="00693965">
        <w:rPr>
          <w:sz w:val="22"/>
          <w:szCs w:val="22"/>
        </w:rPr>
        <w:t xml:space="preserve"> to cover an institution’s core costs,</w:t>
      </w:r>
      <w:r>
        <w:rPr>
          <w:sz w:val="22"/>
          <w:szCs w:val="22"/>
        </w:rPr>
        <w:t xml:space="preserve"> </w:t>
      </w:r>
      <w:r w:rsidR="00B71E8A">
        <w:rPr>
          <w:sz w:val="22"/>
          <w:szCs w:val="22"/>
        </w:rPr>
        <w:t>either by the Local Authority’s</w:t>
      </w:r>
      <w:r w:rsidR="00150971">
        <w:rPr>
          <w:sz w:val="22"/>
          <w:szCs w:val="22"/>
        </w:rPr>
        <w:t xml:space="preserve"> </w:t>
      </w:r>
      <w:r>
        <w:rPr>
          <w:sz w:val="22"/>
          <w:szCs w:val="22"/>
        </w:rPr>
        <w:t>pre-16 funding</w:t>
      </w:r>
      <w:r w:rsidR="00150971">
        <w:rPr>
          <w:sz w:val="22"/>
          <w:szCs w:val="22"/>
        </w:rPr>
        <w:t xml:space="preserve"> formula</w:t>
      </w:r>
      <w:r w:rsidR="005714A4">
        <w:rPr>
          <w:sz w:val="22"/>
          <w:szCs w:val="22"/>
        </w:rPr>
        <w:t xml:space="preserve"> or</w:t>
      </w:r>
      <w:r w:rsidR="00E676A6">
        <w:rPr>
          <w:sz w:val="22"/>
          <w:szCs w:val="22"/>
        </w:rPr>
        <w:t xml:space="preserve"> by the</w:t>
      </w:r>
      <w:r w:rsidR="00B71E8A">
        <w:rPr>
          <w:sz w:val="22"/>
          <w:szCs w:val="22"/>
        </w:rPr>
        <w:t xml:space="preserve"> Authority’s</w:t>
      </w:r>
      <w:r w:rsidR="005714A4">
        <w:rPr>
          <w:sz w:val="22"/>
          <w:szCs w:val="22"/>
        </w:rPr>
        <w:t xml:space="preserve"> Early Years Single Funding Formula</w:t>
      </w:r>
      <w:r w:rsidR="0040191E">
        <w:rPr>
          <w:sz w:val="22"/>
          <w:szCs w:val="22"/>
        </w:rPr>
        <w:t xml:space="preserve"> (EYSFF)</w:t>
      </w:r>
      <w:r>
        <w:rPr>
          <w:sz w:val="22"/>
          <w:szCs w:val="22"/>
        </w:rPr>
        <w:t>.</w:t>
      </w:r>
      <w:r w:rsidR="00E676A6">
        <w:rPr>
          <w:sz w:val="22"/>
          <w:szCs w:val="22"/>
        </w:rPr>
        <w:t xml:space="preserve"> These</w:t>
      </w:r>
      <w:r w:rsidR="00C42D97">
        <w:rPr>
          <w:sz w:val="22"/>
          <w:szCs w:val="22"/>
        </w:rPr>
        <w:t xml:space="preserve"> formula allocation</w:t>
      </w:r>
      <w:r w:rsidR="00E676A6">
        <w:rPr>
          <w:sz w:val="22"/>
          <w:szCs w:val="22"/>
        </w:rPr>
        <w:t>s are</w:t>
      </w:r>
      <w:r w:rsidR="00C42D97">
        <w:rPr>
          <w:sz w:val="22"/>
          <w:szCs w:val="22"/>
        </w:rPr>
        <w:t xml:space="preserve"> derived from </w:t>
      </w:r>
      <w:r w:rsidR="00E676A6">
        <w:rPr>
          <w:sz w:val="22"/>
          <w:szCs w:val="22"/>
        </w:rPr>
        <w:t xml:space="preserve">either </w:t>
      </w:r>
      <w:r w:rsidR="00C42D97">
        <w:rPr>
          <w:sz w:val="22"/>
          <w:szCs w:val="22"/>
        </w:rPr>
        <w:t>the annual October Census</w:t>
      </w:r>
      <w:r w:rsidR="00E676A6">
        <w:rPr>
          <w:sz w:val="22"/>
          <w:szCs w:val="22"/>
        </w:rPr>
        <w:t xml:space="preserve"> (pre-16 formula) or from</w:t>
      </w:r>
      <w:r w:rsidR="00D75FE0">
        <w:rPr>
          <w:sz w:val="22"/>
          <w:szCs w:val="22"/>
        </w:rPr>
        <w:t xml:space="preserve"> 3 termly census</w:t>
      </w:r>
      <w:r w:rsidR="002558CC">
        <w:rPr>
          <w:sz w:val="22"/>
          <w:szCs w:val="22"/>
        </w:rPr>
        <w:t>es</w:t>
      </w:r>
      <w:r w:rsidR="00D75FE0">
        <w:rPr>
          <w:sz w:val="22"/>
          <w:szCs w:val="22"/>
        </w:rPr>
        <w:t xml:space="preserve"> (EYSFF)</w:t>
      </w:r>
      <w:r w:rsidR="00C42D97">
        <w:rPr>
          <w:sz w:val="22"/>
          <w:szCs w:val="22"/>
        </w:rPr>
        <w:t>.</w:t>
      </w:r>
      <w:r w:rsidR="00563229">
        <w:rPr>
          <w:sz w:val="22"/>
          <w:szCs w:val="22"/>
        </w:rPr>
        <w:t xml:space="preserve"> For post-</w:t>
      </w:r>
      <w:r w:rsidR="002151F4">
        <w:rPr>
          <w:sz w:val="22"/>
          <w:szCs w:val="22"/>
        </w:rPr>
        <w:t>16 students, this E</w:t>
      </w:r>
      <w:r>
        <w:rPr>
          <w:sz w:val="22"/>
          <w:szCs w:val="22"/>
        </w:rPr>
        <w:t xml:space="preserve">lement 1 is </w:t>
      </w:r>
      <w:r w:rsidR="00563229">
        <w:rPr>
          <w:sz w:val="22"/>
          <w:szCs w:val="22"/>
        </w:rPr>
        <w:t>derived from the national post-</w:t>
      </w:r>
      <w:r w:rsidRPr="00125589">
        <w:rPr>
          <w:sz w:val="22"/>
          <w:szCs w:val="22"/>
        </w:rPr>
        <w:t xml:space="preserve">16 funding </w:t>
      </w:r>
      <w:r w:rsidR="00406056">
        <w:rPr>
          <w:sz w:val="22"/>
          <w:szCs w:val="22"/>
        </w:rPr>
        <w:t>formula and typically is more</w:t>
      </w:r>
      <w:r w:rsidRPr="00125589">
        <w:rPr>
          <w:sz w:val="22"/>
          <w:szCs w:val="22"/>
        </w:rPr>
        <w:t xml:space="preserve"> than £4,000</w:t>
      </w:r>
      <w:r w:rsidR="003D228D" w:rsidRPr="00125589">
        <w:rPr>
          <w:sz w:val="22"/>
          <w:szCs w:val="22"/>
        </w:rPr>
        <w:t xml:space="preserve"> (notionally defined at </w:t>
      </w:r>
      <w:r w:rsidR="00A7154F" w:rsidRPr="00A7154F">
        <w:rPr>
          <w:sz w:val="22"/>
          <w:szCs w:val="22"/>
        </w:rPr>
        <w:t>£5,6</w:t>
      </w:r>
      <w:r w:rsidR="006051C3" w:rsidRPr="00A7154F">
        <w:rPr>
          <w:sz w:val="22"/>
          <w:szCs w:val="22"/>
        </w:rPr>
        <w:t>00</w:t>
      </w:r>
      <w:r w:rsidR="00D11A08">
        <w:rPr>
          <w:sz w:val="22"/>
          <w:szCs w:val="22"/>
        </w:rPr>
        <w:t xml:space="preserve"> for the 2022/23 academic year</w:t>
      </w:r>
      <w:r w:rsidR="006051C3" w:rsidRPr="00A7154F">
        <w:rPr>
          <w:sz w:val="22"/>
          <w:szCs w:val="22"/>
        </w:rPr>
        <w:t>)</w:t>
      </w:r>
      <w:r w:rsidRPr="00A7154F">
        <w:rPr>
          <w:sz w:val="22"/>
          <w:szCs w:val="22"/>
        </w:rPr>
        <w:t>.</w:t>
      </w:r>
      <w:r w:rsidR="00C42D97" w:rsidRPr="00A7154F">
        <w:rPr>
          <w:sz w:val="22"/>
          <w:szCs w:val="22"/>
        </w:rPr>
        <w:t xml:space="preserve"> </w:t>
      </w:r>
      <w:r w:rsidR="00C42D97" w:rsidRPr="00D33119">
        <w:rPr>
          <w:sz w:val="22"/>
          <w:szCs w:val="22"/>
        </w:rPr>
        <w:t xml:space="preserve">Element </w:t>
      </w:r>
      <w:r w:rsidR="00C42D97">
        <w:rPr>
          <w:sz w:val="22"/>
          <w:szCs w:val="22"/>
        </w:rPr>
        <w:t xml:space="preserve">1 </w:t>
      </w:r>
      <w:r w:rsidR="00E45B76">
        <w:rPr>
          <w:sz w:val="22"/>
          <w:szCs w:val="22"/>
        </w:rPr>
        <w:t xml:space="preserve">across </w:t>
      </w:r>
      <w:r w:rsidR="00563229">
        <w:rPr>
          <w:sz w:val="22"/>
          <w:szCs w:val="22"/>
        </w:rPr>
        <w:t>the post-</w:t>
      </w:r>
      <w:r w:rsidR="00C42D97">
        <w:rPr>
          <w:sz w:val="22"/>
          <w:szCs w:val="22"/>
        </w:rPr>
        <w:t>16 sector is funded with a year’s lag in pupil numbers.</w:t>
      </w:r>
      <w:r w:rsidR="00563229">
        <w:rPr>
          <w:sz w:val="22"/>
          <w:szCs w:val="22"/>
        </w:rPr>
        <w:t xml:space="preserve"> T</w:t>
      </w:r>
      <w:r w:rsidR="0048720B">
        <w:rPr>
          <w:sz w:val="22"/>
          <w:szCs w:val="22"/>
        </w:rPr>
        <w:t>he total allocation of</w:t>
      </w:r>
      <w:r w:rsidR="002151F4">
        <w:rPr>
          <w:sz w:val="22"/>
          <w:szCs w:val="22"/>
        </w:rPr>
        <w:t xml:space="preserve"> E</w:t>
      </w:r>
      <w:r w:rsidR="00563229">
        <w:rPr>
          <w:sz w:val="22"/>
          <w:szCs w:val="22"/>
        </w:rPr>
        <w:t>lement 1 for the 2023/24</w:t>
      </w:r>
      <w:r w:rsidR="0048720B">
        <w:rPr>
          <w:sz w:val="22"/>
          <w:szCs w:val="22"/>
        </w:rPr>
        <w:t xml:space="preserve"> academic year will be based on the numb</w:t>
      </w:r>
      <w:r w:rsidR="001B50CE">
        <w:rPr>
          <w:sz w:val="22"/>
          <w:szCs w:val="22"/>
        </w:rPr>
        <w:t>er of students recruited</w:t>
      </w:r>
      <w:r w:rsidR="00563229">
        <w:rPr>
          <w:sz w:val="22"/>
          <w:szCs w:val="22"/>
        </w:rPr>
        <w:t xml:space="preserve"> in 2022/23</w:t>
      </w:r>
      <w:r w:rsidR="0048720B">
        <w:rPr>
          <w:sz w:val="22"/>
          <w:szCs w:val="22"/>
        </w:rPr>
        <w:t>.</w:t>
      </w:r>
    </w:p>
    <w:p w:rsidR="00156D01" w:rsidRDefault="00156D01" w:rsidP="00156D01">
      <w:pPr>
        <w:ind w:left="360"/>
        <w:jc w:val="both"/>
        <w:rPr>
          <w:sz w:val="22"/>
          <w:szCs w:val="22"/>
        </w:rPr>
      </w:pPr>
    </w:p>
    <w:p w:rsidR="00156D01" w:rsidRDefault="00156D01" w:rsidP="00156D01">
      <w:pPr>
        <w:numPr>
          <w:ilvl w:val="0"/>
          <w:numId w:val="3"/>
        </w:numPr>
        <w:jc w:val="both"/>
        <w:rPr>
          <w:sz w:val="22"/>
          <w:szCs w:val="22"/>
        </w:rPr>
      </w:pPr>
      <w:r>
        <w:rPr>
          <w:sz w:val="22"/>
          <w:szCs w:val="22"/>
        </w:rPr>
        <w:t>Element 2: a further £6,000 for additional needs, which</w:t>
      </w:r>
      <w:r w:rsidR="002A3059">
        <w:rPr>
          <w:sz w:val="22"/>
          <w:szCs w:val="22"/>
        </w:rPr>
        <w:t xml:space="preserve"> is not already allocated</w:t>
      </w:r>
      <w:r w:rsidR="002965AA">
        <w:rPr>
          <w:sz w:val="22"/>
          <w:szCs w:val="22"/>
        </w:rPr>
        <w:t>:</w:t>
      </w:r>
    </w:p>
    <w:p w:rsidR="00156D01" w:rsidRDefault="00156D01" w:rsidP="00FB1E72">
      <w:pPr>
        <w:jc w:val="both"/>
        <w:rPr>
          <w:sz w:val="22"/>
          <w:szCs w:val="22"/>
        </w:rPr>
      </w:pPr>
    </w:p>
    <w:p w:rsidR="00156D01" w:rsidRDefault="002965AA" w:rsidP="00156D01">
      <w:pPr>
        <w:numPr>
          <w:ilvl w:val="1"/>
          <w:numId w:val="3"/>
        </w:numPr>
        <w:jc w:val="both"/>
        <w:rPr>
          <w:sz w:val="22"/>
          <w:szCs w:val="22"/>
        </w:rPr>
      </w:pPr>
      <w:r>
        <w:rPr>
          <w:sz w:val="22"/>
          <w:szCs w:val="22"/>
        </w:rPr>
        <w:t>W</w:t>
      </w:r>
      <w:r w:rsidR="00150971">
        <w:rPr>
          <w:sz w:val="22"/>
          <w:szCs w:val="22"/>
        </w:rPr>
        <w:t>ithin the formula funding received by</w:t>
      </w:r>
      <w:r w:rsidR="00156D01">
        <w:rPr>
          <w:sz w:val="22"/>
          <w:szCs w:val="22"/>
        </w:rPr>
        <w:t xml:space="preserve"> </w:t>
      </w:r>
      <w:r w:rsidR="00150971">
        <w:rPr>
          <w:sz w:val="22"/>
          <w:szCs w:val="22"/>
        </w:rPr>
        <w:t xml:space="preserve">Bradford’s </w:t>
      </w:r>
      <w:r w:rsidR="00156D01">
        <w:rPr>
          <w:sz w:val="22"/>
          <w:szCs w:val="22"/>
        </w:rPr>
        <w:t xml:space="preserve">mainstream schools and academies that have </w:t>
      </w:r>
      <w:r w:rsidR="00973F70">
        <w:rPr>
          <w:sz w:val="22"/>
          <w:szCs w:val="22"/>
        </w:rPr>
        <w:t xml:space="preserve">School-led </w:t>
      </w:r>
      <w:r w:rsidR="003D228D">
        <w:rPr>
          <w:sz w:val="22"/>
          <w:szCs w:val="22"/>
        </w:rPr>
        <w:t xml:space="preserve">resourced provisions </w:t>
      </w:r>
      <w:r w:rsidR="00150971">
        <w:rPr>
          <w:sz w:val="22"/>
          <w:szCs w:val="22"/>
        </w:rPr>
        <w:t>where</w:t>
      </w:r>
      <w:r w:rsidR="002151F4">
        <w:rPr>
          <w:sz w:val="22"/>
          <w:szCs w:val="22"/>
        </w:rPr>
        <w:t xml:space="preserve"> the L</w:t>
      </w:r>
      <w:r w:rsidR="00150971">
        <w:rPr>
          <w:sz w:val="22"/>
          <w:szCs w:val="22"/>
        </w:rPr>
        <w:t xml:space="preserve">ocal </w:t>
      </w:r>
      <w:r w:rsidR="002151F4">
        <w:rPr>
          <w:sz w:val="22"/>
          <w:szCs w:val="22"/>
        </w:rPr>
        <w:t>Authority</w:t>
      </w:r>
      <w:r w:rsidR="00150971">
        <w:rPr>
          <w:sz w:val="22"/>
          <w:szCs w:val="22"/>
        </w:rPr>
        <w:t xml:space="preserve"> commission</w:t>
      </w:r>
      <w:r w:rsidR="002151F4">
        <w:rPr>
          <w:sz w:val="22"/>
          <w:szCs w:val="22"/>
        </w:rPr>
        <w:t>s</w:t>
      </w:r>
      <w:r w:rsidR="00150971">
        <w:rPr>
          <w:sz w:val="22"/>
          <w:szCs w:val="22"/>
        </w:rPr>
        <w:t xml:space="preserve"> high needs places.</w:t>
      </w:r>
    </w:p>
    <w:p w:rsidR="006E7301" w:rsidRDefault="006E7301" w:rsidP="006E7301">
      <w:pPr>
        <w:pStyle w:val="ListParagraph"/>
        <w:rPr>
          <w:sz w:val="22"/>
          <w:szCs w:val="22"/>
        </w:rPr>
      </w:pPr>
    </w:p>
    <w:p w:rsidR="006E7301" w:rsidRPr="006E7301" w:rsidRDefault="002965AA" w:rsidP="006E7301">
      <w:pPr>
        <w:numPr>
          <w:ilvl w:val="1"/>
          <w:numId w:val="3"/>
        </w:numPr>
        <w:jc w:val="both"/>
        <w:rPr>
          <w:sz w:val="22"/>
          <w:szCs w:val="22"/>
        </w:rPr>
      </w:pPr>
      <w:r>
        <w:rPr>
          <w:sz w:val="22"/>
          <w:szCs w:val="22"/>
        </w:rPr>
        <w:t>W</w:t>
      </w:r>
      <w:r w:rsidR="006E7301">
        <w:rPr>
          <w:sz w:val="22"/>
          <w:szCs w:val="22"/>
        </w:rPr>
        <w:t>ithin the formula funding received by Bradford’s maintained nursery s</w:t>
      </w:r>
      <w:r w:rsidR="003D228D">
        <w:rPr>
          <w:sz w:val="22"/>
          <w:szCs w:val="22"/>
        </w:rPr>
        <w:t>chools that have resourced provisions</w:t>
      </w:r>
      <w:r w:rsidR="006E7301">
        <w:rPr>
          <w:sz w:val="22"/>
          <w:szCs w:val="22"/>
        </w:rPr>
        <w:t xml:space="preserve"> where</w:t>
      </w:r>
      <w:r w:rsidR="00053D23">
        <w:rPr>
          <w:sz w:val="22"/>
          <w:szCs w:val="22"/>
        </w:rPr>
        <w:t xml:space="preserve"> the Local A</w:t>
      </w:r>
      <w:r w:rsidR="002151F4">
        <w:rPr>
          <w:sz w:val="22"/>
          <w:szCs w:val="22"/>
        </w:rPr>
        <w:t>uthority</w:t>
      </w:r>
      <w:r w:rsidR="006E7301">
        <w:rPr>
          <w:sz w:val="22"/>
          <w:szCs w:val="22"/>
        </w:rPr>
        <w:t xml:space="preserve"> commission</w:t>
      </w:r>
      <w:r w:rsidR="002151F4">
        <w:rPr>
          <w:sz w:val="22"/>
          <w:szCs w:val="22"/>
        </w:rPr>
        <w:t>s</w:t>
      </w:r>
      <w:r w:rsidR="006E7301">
        <w:rPr>
          <w:sz w:val="22"/>
          <w:szCs w:val="22"/>
        </w:rPr>
        <w:t xml:space="preserve"> high needs places.</w:t>
      </w:r>
      <w:r w:rsidR="001A6741">
        <w:rPr>
          <w:sz w:val="22"/>
          <w:szCs w:val="22"/>
        </w:rPr>
        <w:t xml:space="preserve"> £6,000 is the value for 1 FTE place. Therefore, a </w:t>
      </w:r>
      <w:r w:rsidR="00BE5903">
        <w:rPr>
          <w:sz w:val="22"/>
          <w:szCs w:val="22"/>
        </w:rPr>
        <w:t>15-hour</w:t>
      </w:r>
      <w:r w:rsidR="001A6741">
        <w:rPr>
          <w:sz w:val="22"/>
          <w:szCs w:val="22"/>
        </w:rPr>
        <w:t xml:space="preserve"> place = 0.6 FTE (£3,600) and a </w:t>
      </w:r>
      <w:r w:rsidR="00BE5903">
        <w:rPr>
          <w:sz w:val="22"/>
          <w:szCs w:val="22"/>
        </w:rPr>
        <w:t>30-hour</w:t>
      </w:r>
      <w:r w:rsidR="001A6741">
        <w:rPr>
          <w:sz w:val="22"/>
          <w:szCs w:val="22"/>
        </w:rPr>
        <w:t xml:space="preserve"> place = 1.2 FTE (£7,200).</w:t>
      </w:r>
    </w:p>
    <w:p w:rsidR="00156D01" w:rsidRDefault="00156D01" w:rsidP="00156D01">
      <w:pPr>
        <w:pStyle w:val="ListParagraph"/>
        <w:rPr>
          <w:sz w:val="22"/>
          <w:szCs w:val="22"/>
        </w:rPr>
      </w:pPr>
    </w:p>
    <w:p w:rsidR="00156D01" w:rsidRDefault="002965AA" w:rsidP="00156D01">
      <w:pPr>
        <w:numPr>
          <w:ilvl w:val="1"/>
          <w:numId w:val="3"/>
        </w:numPr>
        <w:jc w:val="both"/>
        <w:rPr>
          <w:sz w:val="22"/>
          <w:szCs w:val="22"/>
        </w:rPr>
      </w:pPr>
      <w:r>
        <w:rPr>
          <w:sz w:val="22"/>
          <w:szCs w:val="22"/>
        </w:rPr>
        <w:t>W</w:t>
      </w:r>
      <w:r w:rsidR="00150971">
        <w:rPr>
          <w:sz w:val="22"/>
          <w:szCs w:val="22"/>
        </w:rPr>
        <w:t xml:space="preserve">ithin the formula funding received by Bradford’s </w:t>
      </w:r>
      <w:r w:rsidR="00156D01">
        <w:rPr>
          <w:sz w:val="22"/>
          <w:szCs w:val="22"/>
        </w:rPr>
        <w:t xml:space="preserve">Further Education Colleges </w:t>
      </w:r>
      <w:r w:rsidR="00150971">
        <w:rPr>
          <w:sz w:val="22"/>
          <w:szCs w:val="22"/>
        </w:rPr>
        <w:t>where</w:t>
      </w:r>
      <w:r w:rsidR="002151F4">
        <w:rPr>
          <w:sz w:val="22"/>
          <w:szCs w:val="22"/>
        </w:rPr>
        <w:t xml:space="preserve"> the Local Authority</w:t>
      </w:r>
      <w:r w:rsidR="00150971">
        <w:rPr>
          <w:sz w:val="22"/>
          <w:szCs w:val="22"/>
        </w:rPr>
        <w:t xml:space="preserve"> commission</w:t>
      </w:r>
      <w:r w:rsidR="002151F4">
        <w:rPr>
          <w:sz w:val="22"/>
          <w:szCs w:val="22"/>
        </w:rPr>
        <w:t>s</w:t>
      </w:r>
      <w:r w:rsidR="00150971">
        <w:rPr>
          <w:sz w:val="22"/>
          <w:szCs w:val="22"/>
        </w:rPr>
        <w:t xml:space="preserve"> high needs places</w:t>
      </w:r>
      <w:r w:rsidR="00046CC9">
        <w:rPr>
          <w:sz w:val="22"/>
          <w:szCs w:val="22"/>
        </w:rPr>
        <w:t xml:space="preserve"> post-</w:t>
      </w:r>
      <w:r w:rsidR="00582C07">
        <w:rPr>
          <w:sz w:val="22"/>
          <w:szCs w:val="22"/>
        </w:rPr>
        <w:t>16</w:t>
      </w:r>
      <w:r w:rsidR="00150971">
        <w:rPr>
          <w:sz w:val="22"/>
          <w:szCs w:val="22"/>
        </w:rPr>
        <w:t>.</w:t>
      </w:r>
    </w:p>
    <w:p w:rsidR="00156D01" w:rsidRDefault="00156D01" w:rsidP="00156D01">
      <w:pPr>
        <w:jc w:val="both"/>
        <w:rPr>
          <w:sz w:val="22"/>
          <w:szCs w:val="22"/>
        </w:rPr>
      </w:pPr>
    </w:p>
    <w:p w:rsidR="00FB1E72" w:rsidRDefault="002364E2" w:rsidP="00156D01">
      <w:pPr>
        <w:jc w:val="both"/>
        <w:rPr>
          <w:sz w:val="22"/>
          <w:szCs w:val="22"/>
        </w:rPr>
      </w:pPr>
      <w:r>
        <w:rPr>
          <w:sz w:val="22"/>
          <w:szCs w:val="22"/>
        </w:rPr>
        <w:t>4</w:t>
      </w:r>
      <w:r w:rsidR="002A3059">
        <w:rPr>
          <w:sz w:val="22"/>
          <w:szCs w:val="22"/>
        </w:rPr>
        <w:t>.5 The national funding system includes an additional complexity in the calculation of place</w:t>
      </w:r>
      <w:r w:rsidR="00FD08E5">
        <w:rPr>
          <w:sz w:val="22"/>
          <w:szCs w:val="22"/>
        </w:rPr>
        <w:t>-element</w:t>
      </w:r>
      <w:r w:rsidR="002A3059">
        <w:rPr>
          <w:sz w:val="22"/>
          <w:szCs w:val="22"/>
        </w:rPr>
        <w:t xml:space="preserve"> funding for </w:t>
      </w:r>
      <w:r w:rsidR="00FB71B4">
        <w:rPr>
          <w:sz w:val="22"/>
          <w:szCs w:val="22"/>
        </w:rPr>
        <w:t xml:space="preserve">School-led </w:t>
      </w:r>
      <w:r w:rsidR="003D228D">
        <w:rPr>
          <w:sz w:val="22"/>
          <w:szCs w:val="22"/>
        </w:rPr>
        <w:t>resourced provisions</w:t>
      </w:r>
      <w:r w:rsidR="002A3059">
        <w:rPr>
          <w:sz w:val="22"/>
          <w:szCs w:val="22"/>
        </w:rPr>
        <w:t xml:space="preserve"> in mainstream primary and secondary schools and academies. </w:t>
      </w:r>
      <w:r w:rsidR="00067AEE">
        <w:rPr>
          <w:sz w:val="22"/>
          <w:szCs w:val="22"/>
        </w:rPr>
        <w:t>As explained above, t</w:t>
      </w:r>
      <w:r w:rsidR="002A3059">
        <w:rPr>
          <w:sz w:val="22"/>
          <w:szCs w:val="22"/>
        </w:rPr>
        <w:t>he value of a place is set at £6,000</w:t>
      </w:r>
      <w:r w:rsidR="00067AEE">
        <w:rPr>
          <w:sz w:val="22"/>
          <w:szCs w:val="22"/>
        </w:rPr>
        <w:t>,</w:t>
      </w:r>
      <w:r w:rsidR="002A3059">
        <w:rPr>
          <w:sz w:val="22"/>
          <w:szCs w:val="22"/>
        </w:rPr>
        <w:t xml:space="preserve"> </w:t>
      </w:r>
      <w:r w:rsidR="002D7E38">
        <w:rPr>
          <w:sz w:val="22"/>
          <w:szCs w:val="22"/>
        </w:rPr>
        <w:t>where that</w:t>
      </w:r>
      <w:r w:rsidR="002A3059">
        <w:rPr>
          <w:sz w:val="22"/>
          <w:szCs w:val="22"/>
        </w:rPr>
        <w:t xml:space="preserve"> p</w:t>
      </w:r>
      <w:r w:rsidR="00A77554">
        <w:rPr>
          <w:sz w:val="22"/>
          <w:szCs w:val="22"/>
        </w:rPr>
        <w:t>lace wa</w:t>
      </w:r>
      <w:r w:rsidR="002A3059">
        <w:rPr>
          <w:sz w:val="22"/>
          <w:szCs w:val="22"/>
        </w:rPr>
        <w:t xml:space="preserve">s </w:t>
      </w:r>
      <w:r w:rsidR="006B32C2">
        <w:rPr>
          <w:sz w:val="22"/>
          <w:szCs w:val="22"/>
        </w:rPr>
        <w:t>occupied</w:t>
      </w:r>
      <w:r w:rsidR="002A3059">
        <w:rPr>
          <w:sz w:val="22"/>
          <w:szCs w:val="22"/>
        </w:rPr>
        <w:t xml:space="preserve"> at the time the October Census</w:t>
      </w:r>
      <w:r w:rsidR="00A77554">
        <w:rPr>
          <w:sz w:val="22"/>
          <w:szCs w:val="22"/>
        </w:rPr>
        <w:t xml:space="preserve"> in the previous year wa</w:t>
      </w:r>
      <w:r w:rsidR="002A3059">
        <w:rPr>
          <w:sz w:val="22"/>
          <w:szCs w:val="22"/>
        </w:rPr>
        <w:t>s taken. Where a</w:t>
      </w:r>
      <w:r w:rsidR="003A24CA">
        <w:rPr>
          <w:sz w:val="22"/>
          <w:szCs w:val="22"/>
        </w:rPr>
        <w:t xml:space="preserve"> place is not occupied at this c</w:t>
      </w:r>
      <w:r w:rsidR="002A3059">
        <w:rPr>
          <w:sz w:val="22"/>
          <w:szCs w:val="22"/>
        </w:rPr>
        <w:t>ensus</w:t>
      </w:r>
      <w:r w:rsidR="00222D2B">
        <w:rPr>
          <w:sz w:val="22"/>
          <w:szCs w:val="22"/>
        </w:rPr>
        <w:t xml:space="preserve"> however</w:t>
      </w:r>
      <w:r w:rsidR="002A3059">
        <w:rPr>
          <w:sz w:val="22"/>
          <w:szCs w:val="22"/>
        </w:rPr>
        <w:t>, local authorities are required to fund this place at £10,000</w:t>
      </w:r>
      <w:r w:rsidR="008733F4">
        <w:rPr>
          <w:sz w:val="22"/>
          <w:szCs w:val="22"/>
        </w:rPr>
        <w:t xml:space="preserve"> </w:t>
      </w:r>
      <w:r w:rsidR="0062430D">
        <w:rPr>
          <w:sz w:val="22"/>
          <w:szCs w:val="22"/>
        </w:rPr>
        <w:t>in the following year</w:t>
      </w:r>
      <w:r w:rsidR="002A3059">
        <w:rPr>
          <w:sz w:val="22"/>
          <w:szCs w:val="22"/>
        </w:rPr>
        <w:t>. This is because the scho</w:t>
      </w:r>
      <w:r w:rsidR="003A24CA">
        <w:rPr>
          <w:sz w:val="22"/>
          <w:szCs w:val="22"/>
        </w:rPr>
        <w:t>ol or academy will not receive E</w:t>
      </w:r>
      <w:r w:rsidR="002A3059">
        <w:rPr>
          <w:sz w:val="22"/>
          <w:szCs w:val="22"/>
        </w:rPr>
        <w:t xml:space="preserve">lement 1 funding </w:t>
      </w:r>
      <w:r w:rsidR="004251BC">
        <w:rPr>
          <w:sz w:val="22"/>
          <w:szCs w:val="22"/>
        </w:rPr>
        <w:t xml:space="preserve">specifically </w:t>
      </w:r>
      <w:r w:rsidR="002A3059">
        <w:rPr>
          <w:sz w:val="22"/>
          <w:szCs w:val="22"/>
        </w:rPr>
        <w:t>for this place in the following fi</w:t>
      </w:r>
      <w:r w:rsidR="00067AEE">
        <w:rPr>
          <w:sz w:val="22"/>
          <w:szCs w:val="22"/>
        </w:rPr>
        <w:t>nancial year via</w:t>
      </w:r>
      <w:r w:rsidR="002A3059">
        <w:rPr>
          <w:sz w:val="22"/>
          <w:szCs w:val="22"/>
        </w:rPr>
        <w:t xml:space="preserve"> its </w:t>
      </w:r>
      <w:r w:rsidR="00FD08E5">
        <w:rPr>
          <w:sz w:val="22"/>
          <w:szCs w:val="22"/>
        </w:rPr>
        <w:t>normal delegated</w:t>
      </w:r>
      <w:r w:rsidR="002D7E38">
        <w:rPr>
          <w:sz w:val="22"/>
          <w:szCs w:val="22"/>
        </w:rPr>
        <w:t xml:space="preserve"> </w:t>
      </w:r>
      <w:r w:rsidR="002A3059">
        <w:rPr>
          <w:sz w:val="22"/>
          <w:szCs w:val="22"/>
        </w:rPr>
        <w:t>formula funding.</w:t>
      </w:r>
      <w:r w:rsidR="00B42C6D">
        <w:rPr>
          <w:sz w:val="22"/>
          <w:szCs w:val="22"/>
        </w:rPr>
        <w:t xml:space="preserve"> </w:t>
      </w:r>
      <w:r w:rsidR="00222D2B">
        <w:rPr>
          <w:sz w:val="22"/>
          <w:szCs w:val="22"/>
        </w:rPr>
        <w:t>Following a similar principle, f</w:t>
      </w:r>
      <w:r w:rsidR="00B42C6D">
        <w:rPr>
          <w:sz w:val="22"/>
          <w:szCs w:val="22"/>
        </w:rPr>
        <w:t>or maintained nursery schools, an adjustment i</w:t>
      </w:r>
      <w:r w:rsidR="00FC7139">
        <w:rPr>
          <w:sz w:val="22"/>
          <w:szCs w:val="22"/>
        </w:rPr>
        <w:t>s made to the</w:t>
      </w:r>
      <w:r w:rsidR="00320CF3">
        <w:rPr>
          <w:sz w:val="22"/>
          <w:szCs w:val="22"/>
        </w:rPr>
        <w:t xml:space="preserve"> funding allocated via</w:t>
      </w:r>
      <w:r w:rsidR="003A24CA">
        <w:rPr>
          <w:sz w:val="22"/>
          <w:szCs w:val="22"/>
        </w:rPr>
        <w:t xml:space="preserve"> the EYSFF to add E</w:t>
      </w:r>
      <w:r w:rsidR="00B42C6D">
        <w:rPr>
          <w:sz w:val="22"/>
          <w:szCs w:val="22"/>
        </w:rPr>
        <w:t>lem</w:t>
      </w:r>
      <w:r w:rsidR="002D7E38">
        <w:rPr>
          <w:sz w:val="22"/>
          <w:szCs w:val="22"/>
        </w:rPr>
        <w:t>ent 1 funding for the resourced</w:t>
      </w:r>
      <w:r w:rsidR="00B42C6D">
        <w:rPr>
          <w:sz w:val="22"/>
          <w:szCs w:val="22"/>
        </w:rPr>
        <w:t xml:space="preserve"> places that are not occupied</w:t>
      </w:r>
      <w:r w:rsidR="00FC7139">
        <w:rPr>
          <w:sz w:val="22"/>
          <w:szCs w:val="22"/>
        </w:rPr>
        <w:t xml:space="preserve"> in the 3 termly censuses</w:t>
      </w:r>
      <w:r w:rsidR="00B42C6D">
        <w:rPr>
          <w:sz w:val="22"/>
          <w:szCs w:val="22"/>
        </w:rPr>
        <w:t>.</w:t>
      </w:r>
      <w:r w:rsidR="008733F4">
        <w:rPr>
          <w:sz w:val="22"/>
          <w:szCs w:val="22"/>
        </w:rPr>
        <w:t xml:space="preserve"> </w:t>
      </w:r>
    </w:p>
    <w:p w:rsidR="00084624" w:rsidRDefault="00084624" w:rsidP="00156D01">
      <w:pPr>
        <w:jc w:val="both"/>
        <w:rPr>
          <w:sz w:val="22"/>
          <w:szCs w:val="22"/>
        </w:rPr>
      </w:pPr>
    </w:p>
    <w:p w:rsidR="00FB71B4" w:rsidRDefault="00084624" w:rsidP="00B351ED">
      <w:pPr>
        <w:jc w:val="both"/>
        <w:rPr>
          <w:sz w:val="22"/>
          <w:szCs w:val="22"/>
        </w:rPr>
      </w:pPr>
      <w:r w:rsidRPr="002D7E38">
        <w:rPr>
          <w:sz w:val="22"/>
          <w:szCs w:val="22"/>
        </w:rPr>
        <w:t xml:space="preserve">4.6 </w:t>
      </w:r>
      <w:r w:rsidR="002D7E38" w:rsidRPr="002D7E38">
        <w:rPr>
          <w:sz w:val="22"/>
          <w:szCs w:val="22"/>
        </w:rPr>
        <w:t>Place</w:t>
      </w:r>
      <w:r w:rsidR="00FC7139">
        <w:rPr>
          <w:sz w:val="22"/>
          <w:szCs w:val="22"/>
        </w:rPr>
        <w:t>-element</w:t>
      </w:r>
      <w:r w:rsidR="002D7E38" w:rsidRPr="002D7E38">
        <w:rPr>
          <w:sz w:val="22"/>
          <w:szCs w:val="22"/>
        </w:rPr>
        <w:t xml:space="preserve"> funding for Bradford’s Local </w:t>
      </w:r>
      <w:r w:rsidR="00450FF6">
        <w:rPr>
          <w:sz w:val="22"/>
          <w:szCs w:val="22"/>
        </w:rPr>
        <w:t>Authority-</w:t>
      </w:r>
      <w:r w:rsidR="00BE5903">
        <w:rPr>
          <w:sz w:val="22"/>
          <w:szCs w:val="22"/>
        </w:rPr>
        <w:t>led resourced provisions</w:t>
      </w:r>
      <w:r w:rsidR="002D7E38" w:rsidRPr="002D7E38">
        <w:rPr>
          <w:sz w:val="22"/>
          <w:szCs w:val="22"/>
        </w:rPr>
        <w:t xml:space="preserve"> operates</w:t>
      </w:r>
      <w:r w:rsidR="00450FF6">
        <w:rPr>
          <w:sz w:val="22"/>
          <w:szCs w:val="22"/>
        </w:rPr>
        <w:t xml:space="preserve"> on the same basic principles</w:t>
      </w:r>
      <w:r w:rsidR="002D7E38" w:rsidRPr="002D7E38">
        <w:rPr>
          <w:sz w:val="22"/>
          <w:szCs w:val="22"/>
        </w:rPr>
        <w:t xml:space="preserve"> as for School-led provisions, but with a couple of technical differences relating to the fact that the Lo</w:t>
      </w:r>
      <w:r w:rsidR="003A24CA">
        <w:rPr>
          <w:sz w:val="22"/>
          <w:szCs w:val="22"/>
        </w:rPr>
        <w:t xml:space="preserve">cal Authority retains Element </w:t>
      </w:r>
      <w:r w:rsidR="003A24CA" w:rsidRPr="00046CC9">
        <w:rPr>
          <w:sz w:val="22"/>
          <w:szCs w:val="22"/>
        </w:rPr>
        <w:t>2 funding</w:t>
      </w:r>
      <w:r w:rsidR="002D7E38" w:rsidRPr="00046CC9">
        <w:rPr>
          <w:sz w:val="22"/>
          <w:szCs w:val="22"/>
        </w:rPr>
        <w:t>, whereas</w:t>
      </w:r>
      <w:r w:rsidR="00955BF7" w:rsidRPr="00046CC9">
        <w:rPr>
          <w:sz w:val="22"/>
          <w:szCs w:val="22"/>
        </w:rPr>
        <w:t>,</w:t>
      </w:r>
      <w:r w:rsidR="002D7E38" w:rsidRPr="00046CC9">
        <w:rPr>
          <w:sz w:val="22"/>
          <w:szCs w:val="22"/>
        </w:rPr>
        <w:t xml:space="preserve"> f</w:t>
      </w:r>
      <w:r w:rsidR="00752254" w:rsidRPr="00046CC9">
        <w:rPr>
          <w:sz w:val="22"/>
          <w:szCs w:val="22"/>
        </w:rPr>
        <w:t>or School-led provisions</w:t>
      </w:r>
      <w:r w:rsidR="00955BF7" w:rsidRPr="00046CC9">
        <w:rPr>
          <w:sz w:val="22"/>
          <w:szCs w:val="22"/>
        </w:rPr>
        <w:t>,</w:t>
      </w:r>
      <w:r w:rsidR="00752254" w:rsidRPr="00046CC9">
        <w:rPr>
          <w:sz w:val="22"/>
          <w:szCs w:val="22"/>
        </w:rPr>
        <w:t xml:space="preserve"> </w:t>
      </w:r>
      <w:r w:rsidR="00955BF7" w:rsidRPr="00046CC9">
        <w:rPr>
          <w:sz w:val="22"/>
          <w:szCs w:val="22"/>
        </w:rPr>
        <w:t>Eleme</w:t>
      </w:r>
      <w:r w:rsidR="007E361D" w:rsidRPr="00046CC9">
        <w:rPr>
          <w:sz w:val="22"/>
          <w:szCs w:val="22"/>
        </w:rPr>
        <w:t xml:space="preserve">nt 2 funding is </w:t>
      </w:r>
      <w:r w:rsidR="002D7E38" w:rsidRPr="00046CC9">
        <w:rPr>
          <w:sz w:val="22"/>
          <w:szCs w:val="22"/>
        </w:rPr>
        <w:t>retained by the school</w:t>
      </w:r>
      <w:r w:rsidR="00285D49" w:rsidRPr="00046CC9">
        <w:rPr>
          <w:sz w:val="22"/>
          <w:szCs w:val="22"/>
        </w:rPr>
        <w:t xml:space="preserve"> or academy</w:t>
      </w:r>
      <w:r w:rsidR="002D7E38" w:rsidRPr="00046CC9">
        <w:rPr>
          <w:sz w:val="22"/>
          <w:szCs w:val="22"/>
        </w:rPr>
        <w:t>. These technical differences are highlighted in Appendix 1.</w:t>
      </w:r>
    </w:p>
    <w:p w:rsidR="0087640B" w:rsidRDefault="0087640B" w:rsidP="00B351ED">
      <w:pPr>
        <w:jc w:val="both"/>
        <w:rPr>
          <w:sz w:val="22"/>
          <w:szCs w:val="22"/>
        </w:rPr>
      </w:pPr>
    </w:p>
    <w:p w:rsidR="00B42C6D" w:rsidRDefault="002364E2" w:rsidP="00B351ED">
      <w:pPr>
        <w:jc w:val="both"/>
        <w:rPr>
          <w:sz w:val="22"/>
          <w:szCs w:val="22"/>
        </w:rPr>
      </w:pPr>
      <w:r>
        <w:rPr>
          <w:sz w:val="22"/>
          <w:szCs w:val="22"/>
        </w:rPr>
        <w:t>4</w:t>
      </w:r>
      <w:r w:rsidR="00973F70">
        <w:rPr>
          <w:sz w:val="22"/>
          <w:szCs w:val="22"/>
        </w:rPr>
        <w:t>.7</w:t>
      </w:r>
      <w:r w:rsidR="00B42C6D">
        <w:rPr>
          <w:sz w:val="22"/>
          <w:szCs w:val="22"/>
        </w:rPr>
        <w:t xml:space="preserve"> The physical payment</w:t>
      </w:r>
      <w:r w:rsidR="00FC7139">
        <w:rPr>
          <w:sz w:val="22"/>
          <w:szCs w:val="22"/>
        </w:rPr>
        <w:t xml:space="preserve"> by Bradford Council</w:t>
      </w:r>
      <w:r w:rsidR="00B42C6D">
        <w:rPr>
          <w:sz w:val="22"/>
          <w:szCs w:val="22"/>
        </w:rPr>
        <w:t xml:space="preserve"> of place</w:t>
      </w:r>
      <w:r w:rsidR="00FC7139">
        <w:rPr>
          <w:sz w:val="22"/>
          <w:szCs w:val="22"/>
        </w:rPr>
        <w:t>-element</w:t>
      </w:r>
      <w:r w:rsidR="00B42C6D">
        <w:rPr>
          <w:sz w:val="22"/>
          <w:szCs w:val="22"/>
        </w:rPr>
        <w:t xml:space="preserve"> funding</w:t>
      </w:r>
      <w:r w:rsidR="00450FF6">
        <w:rPr>
          <w:sz w:val="22"/>
          <w:szCs w:val="22"/>
        </w:rPr>
        <w:t>, where this is delegated</w:t>
      </w:r>
      <w:r w:rsidR="009F276D">
        <w:rPr>
          <w:sz w:val="22"/>
          <w:szCs w:val="22"/>
        </w:rPr>
        <w:t xml:space="preserve"> and</w:t>
      </w:r>
      <w:r w:rsidR="00FC7139">
        <w:rPr>
          <w:sz w:val="22"/>
          <w:szCs w:val="22"/>
        </w:rPr>
        <w:t xml:space="preserve"> where it is </w:t>
      </w:r>
      <w:r w:rsidR="009F276D">
        <w:rPr>
          <w:sz w:val="22"/>
          <w:szCs w:val="22"/>
        </w:rPr>
        <w:t>the Council’s responsibility to pay</w:t>
      </w:r>
      <w:r w:rsidR="00FC7139">
        <w:rPr>
          <w:sz w:val="22"/>
          <w:szCs w:val="22"/>
        </w:rPr>
        <w:t xml:space="preserve"> it (rather than the Education Skills and Funding Agency’s responsibility)</w:t>
      </w:r>
      <w:r w:rsidR="00450FF6">
        <w:rPr>
          <w:sz w:val="22"/>
          <w:szCs w:val="22"/>
        </w:rPr>
        <w:t>,</w:t>
      </w:r>
      <w:r w:rsidR="00B42C6D">
        <w:rPr>
          <w:sz w:val="22"/>
          <w:szCs w:val="22"/>
        </w:rPr>
        <w:t xml:space="preserve"> takes place </w:t>
      </w:r>
      <w:r w:rsidR="00B42C6D" w:rsidRPr="00046CC9">
        <w:rPr>
          <w:sz w:val="22"/>
          <w:szCs w:val="22"/>
        </w:rPr>
        <w:t xml:space="preserve">on a monthly basis and is combined with the monthly payment of top-up funding, which is </w:t>
      </w:r>
      <w:r w:rsidR="00E35B58" w:rsidRPr="00046CC9">
        <w:rPr>
          <w:sz w:val="22"/>
          <w:szCs w:val="22"/>
        </w:rPr>
        <w:t>descr</w:t>
      </w:r>
      <w:r w:rsidR="00FB71B4" w:rsidRPr="00046CC9">
        <w:rPr>
          <w:sz w:val="22"/>
          <w:szCs w:val="22"/>
        </w:rPr>
        <w:t>ibed</w:t>
      </w:r>
      <w:r w:rsidR="00450FF6" w:rsidRPr="00046CC9">
        <w:rPr>
          <w:sz w:val="22"/>
          <w:szCs w:val="22"/>
        </w:rPr>
        <w:t xml:space="preserve"> further</w:t>
      </w:r>
      <w:r w:rsidR="00FB71B4" w:rsidRPr="00046CC9">
        <w:rPr>
          <w:sz w:val="22"/>
          <w:szCs w:val="22"/>
        </w:rPr>
        <w:t xml:space="preserve"> in </w:t>
      </w:r>
      <w:r w:rsidR="00D1596F" w:rsidRPr="00046CC9">
        <w:rPr>
          <w:sz w:val="22"/>
          <w:szCs w:val="22"/>
        </w:rPr>
        <w:t>section</w:t>
      </w:r>
      <w:r w:rsidR="009F276D" w:rsidRPr="00046CC9">
        <w:rPr>
          <w:sz w:val="22"/>
          <w:szCs w:val="22"/>
        </w:rPr>
        <w:t>s</w:t>
      </w:r>
      <w:r w:rsidR="00FB71B4" w:rsidRPr="00046CC9">
        <w:rPr>
          <w:sz w:val="22"/>
          <w:szCs w:val="22"/>
        </w:rPr>
        <w:t xml:space="preserve"> 6</w:t>
      </w:r>
      <w:r w:rsidR="00364CEB" w:rsidRPr="00046CC9">
        <w:rPr>
          <w:sz w:val="22"/>
          <w:szCs w:val="22"/>
        </w:rPr>
        <w:t>, 7 and 8</w:t>
      </w:r>
      <w:r w:rsidR="00B42C6D" w:rsidRPr="00046CC9">
        <w:rPr>
          <w:sz w:val="22"/>
          <w:szCs w:val="22"/>
        </w:rPr>
        <w:t xml:space="preserve">. </w:t>
      </w:r>
      <w:r w:rsidR="00E35B58" w:rsidRPr="00046CC9">
        <w:rPr>
          <w:sz w:val="22"/>
          <w:szCs w:val="22"/>
        </w:rPr>
        <w:t xml:space="preserve">Bradford </w:t>
      </w:r>
      <w:r w:rsidR="00E35B58">
        <w:rPr>
          <w:sz w:val="22"/>
          <w:szCs w:val="22"/>
        </w:rPr>
        <w:t xml:space="preserve">Council </w:t>
      </w:r>
      <w:r w:rsidR="0062430D">
        <w:rPr>
          <w:sz w:val="22"/>
          <w:szCs w:val="22"/>
        </w:rPr>
        <w:t>publishes</w:t>
      </w:r>
      <w:r w:rsidR="00E35B58">
        <w:rPr>
          <w:sz w:val="22"/>
          <w:szCs w:val="22"/>
        </w:rPr>
        <w:t xml:space="preserve"> monthly funding </w:t>
      </w:r>
      <w:r w:rsidR="004F09F4">
        <w:rPr>
          <w:sz w:val="22"/>
          <w:szCs w:val="22"/>
        </w:rPr>
        <w:t xml:space="preserve">and payment </w:t>
      </w:r>
      <w:r w:rsidR="00046CC9">
        <w:rPr>
          <w:sz w:val="22"/>
          <w:szCs w:val="22"/>
        </w:rPr>
        <w:t>statements for settings</w:t>
      </w:r>
      <w:r w:rsidR="00E35B58">
        <w:rPr>
          <w:sz w:val="22"/>
          <w:szCs w:val="22"/>
        </w:rPr>
        <w:t xml:space="preserve"> to access</w:t>
      </w:r>
      <w:r w:rsidR="00F952FE">
        <w:rPr>
          <w:sz w:val="22"/>
          <w:szCs w:val="22"/>
        </w:rPr>
        <w:t xml:space="preserve"> on </w:t>
      </w:r>
      <w:hyperlink r:id="rId13" w:history="1">
        <w:r w:rsidR="00F952FE" w:rsidRPr="00FB79EE">
          <w:rPr>
            <w:rStyle w:val="Hyperlink"/>
            <w:sz w:val="22"/>
            <w:szCs w:val="22"/>
          </w:rPr>
          <w:t>Bradford Schools Online</w:t>
        </w:r>
      </w:hyperlink>
      <w:r w:rsidR="00E35B58">
        <w:rPr>
          <w:sz w:val="22"/>
          <w:szCs w:val="22"/>
        </w:rPr>
        <w:t xml:space="preserve">. </w:t>
      </w:r>
      <w:r w:rsidR="00B42C6D">
        <w:rPr>
          <w:sz w:val="22"/>
          <w:szCs w:val="22"/>
        </w:rPr>
        <w:t xml:space="preserve">For some institutions, such as </w:t>
      </w:r>
      <w:r w:rsidR="00364CEB">
        <w:rPr>
          <w:sz w:val="22"/>
          <w:szCs w:val="22"/>
        </w:rPr>
        <w:t xml:space="preserve">for </w:t>
      </w:r>
      <w:r w:rsidR="00B42C6D">
        <w:rPr>
          <w:sz w:val="22"/>
          <w:szCs w:val="22"/>
        </w:rPr>
        <w:t xml:space="preserve">academies and </w:t>
      </w:r>
      <w:r w:rsidR="00364CEB">
        <w:rPr>
          <w:sz w:val="22"/>
          <w:szCs w:val="22"/>
        </w:rPr>
        <w:t xml:space="preserve">for </w:t>
      </w:r>
      <w:r w:rsidR="00B42C6D">
        <w:rPr>
          <w:sz w:val="22"/>
          <w:szCs w:val="22"/>
        </w:rPr>
        <w:t>Further Education Colleges, place</w:t>
      </w:r>
      <w:r w:rsidR="00364CEB">
        <w:rPr>
          <w:sz w:val="22"/>
          <w:szCs w:val="22"/>
        </w:rPr>
        <w:t>-element</w:t>
      </w:r>
      <w:r w:rsidR="00B42C6D">
        <w:rPr>
          <w:sz w:val="22"/>
          <w:szCs w:val="22"/>
        </w:rPr>
        <w:t xml:space="preserve"> f</w:t>
      </w:r>
      <w:r w:rsidR="00CD10F7">
        <w:rPr>
          <w:sz w:val="22"/>
          <w:szCs w:val="22"/>
        </w:rPr>
        <w:t>unding is not directly paid</w:t>
      </w:r>
      <w:r w:rsidR="00B42C6D">
        <w:rPr>
          <w:sz w:val="22"/>
          <w:szCs w:val="22"/>
        </w:rPr>
        <w:t xml:space="preserve"> by Bradford Council. Instead, the Education Skills and Fu</w:t>
      </w:r>
      <w:r w:rsidR="00CD10F7">
        <w:rPr>
          <w:sz w:val="22"/>
          <w:szCs w:val="22"/>
        </w:rPr>
        <w:t xml:space="preserve">nding Agency (ESFA) deducts </w:t>
      </w:r>
      <w:r w:rsidR="00B42C6D">
        <w:rPr>
          <w:sz w:val="22"/>
          <w:szCs w:val="22"/>
        </w:rPr>
        <w:t>plac</w:t>
      </w:r>
      <w:r w:rsidR="00CD10F7">
        <w:rPr>
          <w:sz w:val="22"/>
          <w:szCs w:val="22"/>
        </w:rPr>
        <w:t>e</w:t>
      </w:r>
      <w:r w:rsidR="00364CEB">
        <w:rPr>
          <w:sz w:val="22"/>
          <w:szCs w:val="22"/>
        </w:rPr>
        <w:t>-element</w:t>
      </w:r>
      <w:r w:rsidR="00CD10F7">
        <w:rPr>
          <w:sz w:val="22"/>
          <w:szCs w:val="22"/>
        </w:rPr>
        <w:t xml:space="preserve"> funding from the Council’s Dedicated Schools Grant</w:t>
      </w:r>
      <w:r w:rsidR="00B42C6D">
        <w:rPr>
          <w:sz w:val="22"/>
          <w:szCs w:val="22"/>
        </w:rPr>
        <w:t xml:space="preserve"> to </w:t>
      </w:r>
      <w:r w:rsidR="00FB58E2">
        <w:rPr>
          <w:sz w:val="22"/>
          <w:szCs w:val="22"/>
        </w:rPr>
        <w:t>pay this</w:t>
      </w:r>
      <w:r w:rsidR="00F952FE">
        <w:rPr>
          <w:sz w:val="22"/>
          <w:szCs w:val="22"/>
        </w:rPr>
        <w:t xml:space="preserve"> across</w:t>
      </w:r>
      <w:r w:rsidR="00FB58E2">
        <w:rPr>
          <w:sz w:val="22"/>
          <w:szCs w:val="22"/>
        </w:rPr>
        <w:t xml:space="preserve"> </w:t>
      </w:r>
      <w:r w:rsidR="00046CC9">
        <w:rPr>
          <w:sz w:val="22"/>
          <w:szCs w:val="22"/>
        </w:rPr>
        <w:t>to these settings</w:t>
      </w:r>
      <w:r w:rsidR="00ED139B">
        <w:rPr>
          <w:sz w:val="22"/>
          <w:szCs w:val="22"/>
        </w:rPr>
        <w:t xml:space="preserve"> </w:t>
      </w:r>
      <w:r w:rsidR="00FB58E2">
        <w:rPr>
          <w:sz w:val="22"/>
          <w:szCs w:val="22"/>
        </w:rPr>
        <w:t>directly</w:t>
      </w:r>
      <w:r w:rsidR="00F06C26">
        <w:rPr>
          <w:sz w:val="22"/>
          <w:szCs w:val="22"/>
        </w:rPr>
        <w:t>.</w:t>
      </w:r>
    </w:p>
    <w:p w:rsidR="00D57E25" w:rsidRDefault="00D57E25" w:rsidP="00B351ED">
      <w:pPr>
        <w:jc w:val="both"/>
        <w:rPr>
          <w:sz w:val="22"/>
          <w:szCs w:val="22"/>
        </w:rPr>
      </w:pPr>
    </w:p>
    <w:p w:rsidR="00EA7546" w:rsidRDefault="002364E2" w:rsidP="00B351ED">
      <w:pPr>
        <w:jc w:val="both"/>
        <w:rPr>
          <w:sz w:val="22"/>
          <w:szCs w:val="22"/>
        </w:rPr>
      </w:pPr>
      <w:r>
        <w:rPr>
          <w:sz w:val="22"/>
          <w:szCs w:val="22"/>
        </w:rPr>
        <w:t>4</w:t>
      </w:r>
      <w:r w:rsidR="00774FFB">
        <w:rPr>
          <w:sz w:val="22"/>
          <w:szCs w:val="22"/>
        </w:rPr>
        <w:t>.</w:t>
      </w:r>
      <w:r w:rsidR="00973F70">
        <w:rPr>
          <w:sz w:val="22"/>
          <w:szCs w:val="22"/>
        </w:rPr>
        <w:t>8</w:t>
      </w:r>
      <w:r w:rsidR="00396A6B">
        <w:rPr>
          <w:sz w:val="22"/>
          <w:szCs w:val="22"/>
        </w:rPr>
        <w:t xml:space="preserve"> </w:t>
      </w:r>
      <w:r w:rsidR="00FC0917">
        <w:rPr>
          <w:sz w:val="22"/>
          <w:szCs w:val="22"/>
        </w:rPr>
        <w:t>Apart from</w:t>
      </w:r>
      <w:r w:rsidR="003E1D62">
        <w:rPr>
          <w:sz w:val="22"/>
          <w:szCs w:val="22"/>
        </w:rPr>
        <w:t xml:space="preserve"> resourced provisions established by the Local Authority, m</w:t>
      </w:r>
      <w:r w:rsidR="00396A6B">
        <w:rPr>
          <w:sz w:val="22"/>
          <w:szCs w:val="22"/>
        </w:rPr>
        <w:t xml:space="preserve">ainstream primary and secondary schools and academies do not receive </w:t>
      </w:r>
      <w:r w:rsidR="00E00B30">
        <w:rPr>
          <w:sz w:val="22"/>
          <w:szCs w:val="22"/>
        </w:rPr>
        <w:t>additional</w:t>
      </w:r>
      <w:r w:rsidR="00396A6B">
        <w:rPr>
          <w:sz w:val="22"/>
          <w:szCs w:val="22"/>
        </w:rPr>
        <w:t xml:space="preserve"> place</w:t>
      </w:r>
      <w:r w:rsidR="004F09F4">
        <w:rPr>
          <w:sz w:val="22"/>
          <w:szCs w:val="22"/>
        </w:rPr>
        <w:t>-element</w:t>
      </w:r>
      <w:r w:rsidR="00396A6B">
        <w:rPr>
          <w:sz w:val="22"/>
          <w:szCs w:val="22"/>
        </w:rPr>
        <w:t xml:space="preserve"> funding for children and young people</w:t>
      </w:r>
      <w:r w:rsidR="0046528A">
        <w:rPr>
          <w:sz w:val="22"/>
          <w:szCs w:val="22"/>
        </w:rPr>
        <w:t xml:space="preserve"> on roll</w:t>
      </w:r>
      <w:r w:rsidR="00816976">
        <w:rPr>
          <w:sz w:val="22"/>
          <w:szCs w:val="22"/>
        </w:rPr>
        <w:t xml:space="preserve"> that have Education Health and Care Plans (EHCPs). </w:t>
      </w:r>
      <w:r w:rsidR="00396A6B">
        <w:rPr>
          <w:sz w:val="22"/>
          <w:szCs w:val="22"/>
        </w:rPr>
        <w:t>The</w:t>
      </w:r>
      <w:r w:rsidR="00816976">
        <w:rPr>
          <w:sz w:val="22"/>
          <w:szCs w:val="22"/>
        </w:rPr>
        <w:t xml:space="preserve"> national</w:t>
      </w:r>
      <w:r w:rsidR="00396A6B">
        <w:rPr>
          <w:sz w:val="22"/>
          <w:szCs w:val="22"/>
        </w:rPr>
        <w:t xml:space="preserve"> high need</w:t>
      </w:r>
      <w:r w:rsidR="001F2F0B">
        <w:rPr>
          <w:sz w:val="22"/>
          <w:szCs w:val="22"/>
        </w:rPr>
        <w:t>s</w:t>
      </w:r>
      <w:r w:rsidR="00396A6B">
        <w:rPr>
          <w:sz w:val="22"/>
          <w:szCs w:val="22"/>
        </w:rPr>
        <w:t xml:space="preserve"> funding system works on the basis that </w:t>
      </w:r>
      <w:r w:rsidR="00816976">
        <w:rPr>
          <w:sz w:val="22"/>
          <w:szCs w:val="22"/>
        </w:rPr>
        <w:t xml:space="preserve">mainstream </w:t>
      </w:r>
      <w:r w:rsidR="00720578">
        <w:rPr>
          <w:sz w:val="22"/>
          <w:szCs w:val="22"/>
        </w:rPr>
        <w:t xml:space="preserve">primary and secondary </w:t>
      </w:r>
      <w:r w:rsidR="00396A6B">
        <w:rPr>
          <w:sz w:val="22"/>
          <w:szCs w:val="22"/>
        </w:rPr>
        <w:t xml:space="preserve">schools and academies have sufficient funding already within their delegated formula funding allocations to enable them to meet the additional costs of </w:t>
      </w:r>
      <w:r w:rsidR="001A06E4">
        <w:rPr>
          <w:sz w:val="22"/>
          <w:szCs w:val="22"/>
        </w:rPr>
        <w:t>the</w:t>
      </w:r>
      <w:r w:rsidR="00396A6B">
        <w:rPr>
          <w:sz w:val="22"/>
          <w:szCs w:val="22"/>
        </w:rPr>
        <w:t xml:space="preserve"> SEND needs of their pupils</w:t>
      </w:r>
      <w:r w:rsidR="004F09F4">
        <w:rPr>
          <w:sz w:val="22"/>
          <w:szCs w:val="22"/>
        </w:rPr>
        <w:t>,</w:t>
      </w:r>
      <w:r w:rsidR="00396A6B">
        <w:rPr>
          <w:sz w:val="22"/>
          <w:szCs w:val="22"/>
        </w:rPr>
        <w:t xml:space="preserve"> up to the threshold of £6,000</w:t>
      </w:r>
      <w:r w:rsidR="004B067A" w:rsidRPr="00D32B2B">
        <w:rPr>
          <w:sz w:val="22"/>
          <w:szCs w:val="22"/>
        </w:rPr>
        <w:t>. Local authorities are required to define for each primary and secondary school</w:t>
      </w:r>
      <w:r w:rsidR="001F2F0B">
        <w:rPr>
          <w:sz w:val="22"/>
          <w:szCs w:val="22"/>
        </w:rPr>
        <w:t xml:space="preserve"> and academy</w:t>
      </w:r>
      <w:r w:rsidR="004B067A" w:rsidRPr="00D32B2B">
        <w:rPr>
          <w:sz w:val="22"/>
          <w:szCs w:val="22"/>
        </w:rPr>
        <w:t xml:space="preserve"> the value of </w:t>
      </w:r>
      <w:r w:rsidR="001A06E4" w:rsidRPr="00D32B2B">
        <w:rPr>
          <w:sz w:val="22"/>
          <w:szCs w:val="22"/>
        </w:rPr>
        <w:t xml:space="preserve">their </w:t>
      </w:r>
      <w:r w:rsidR="004B067A" w:rsidRPr="00D32B2B">
        <w:rPr>
          <w:sz w:val="22"/>
          <w:szCs w:val="22"/>
        </w:rPr>
        <w:t>formula funding that is ‘notionally’ allocated for SEND</w:t>
      </w:r>
      <w:r w:rsidR="00AC451C">
        <w:rPr>
          <w:sz w:val="22"/>
          <w:szCs w:val="22"/>
        </w:rPr>
        <w:t>, which is to be used to meet</w:t>
      </w:r>
      <w:r w:rsidR="004B067A" w:rsidRPr="00D32B2B">
        <w:rPr>
          <w:sz w:val="22"/>
          <w:szCs w:val="22"/>
        </w:rPr>
        <w:t xml:space="preserve"> the first £6,000 of </w:t>
      </w:r>
      <w:r w:rsidR="00E40344">
        <w:rPr>
          <w:sz w:val="22"/>
          <w:szCs w:val="22"/>
        </w:rPr>
        <w:t>needs of</w:t>
      </w:r>
      <w:r w:rsidR="003E1D62">
        <w:rPr>
          <w:sz w:val="22"/>
          <w:szCs w:val="22"/>
        </w:rPr>
        <w:t xml:space="preserve"> pupils with EHCPs</w:t>
      </w:r>
      <w:r w:rsidR="00507B08">
        <w:rPr>
          <w:sz w:val="22"/>
          <w:szCs w:val="22"/>
        </w:rPr>
        <w:t>,</w:t>
      </w:r>
      <w:r w:rsidR="004B067A" w:rsidRPr="00D32B2B">
        <w:rPr>
          <w:sz w:val="22"/>
          <w:szCs w:val="22"/>
        </w:rPr>
        <w:t xml:space="preserve"> as well as the needs of pupils without EHCPs.</w:t>
      </w:r>
      <w:r w:rsidR="00B351ED" w:rsidRPr="00D32B2B">
        <w:rPr>
          <w:sz w:val="22"/>
          <w:szCs w:val="22"/>
        </w:rPr>
        <w:t xml:space="preserve"> </w:t>
      </w:r>
      <w:r w:rsidR="00240B56" w:rsidRPr="00D32B2B">
        <w:rPr>
          <w:sz w:val="22"/>
          <w:szCs w:val="22"/>
        </w:rPr>
        <w:t xml:space="preserve">The value of each </w:t>
      </w:r>
      <w:r w:rsidR="00AC451C">
        <w:rPr>
          <w:sz w:val="22"/>
          <w:szCs w:val="22"/>
        </w:rPr>
        <w:t xml:space="preserve">maintained </w:t>
      </w:r>
      <w:r w:rsidR="00240B56" w:rsidRPr="00D32B2B">
        <w:rPr>
          <w:sz w:val="22"/>
          <w:szCs w:val="22"/>
        </w:rPr>
        <w:t xml:space="preserve">school’s </w:t>
      </w:r>
      <w:r w:rsidR="00C77945" w:rsidRPr="00D32B2B">
        <w:rPr>
          <w:sz w:val="22"/>
          <w:szCs w:val="22"/>
        </w:rPr>
        <w:t>no</w:t>
      </w:r>
      <w:r w:rsidR="00370FE6">
        <w:rPr>
          <w:sz w:val="22"/>
          <w:szCs w:val="22"/>
        </w:rPr>
        <w:t>tional SEND budget is</w:t>
      </w:r>
      <w:r w:rsidR="00240B56" w:rsidRPr="00D32B2B">
        <w:rPr>
          <w:sz w:val="22"/>
          <w:szCs w:val="22"/>
        </w:rPr>
        <w:t xml:space="preserve"> set out in the</w:t>
      </w:r>
      <w:r w:rsidR="00C77945" w:rsidRPr="00D32B2B">
        <w:rPr>
          <w:sz w:val="22"/>
          <w:szCs w:val="22"/>
        </w:rPr>
        <w:t xml:space="preserve"> annual S251</w:t>
      </w:r>
      <w:r w:rsidR="003D61BA" w:rsidRPr="00D32B2B">
        <w:rPr>
          <w:sz w:val="22"/>
          <w:szCs w:val="22"/>
        </w:rPr>
        <w:t xml:space="preserve"> </w:t>
      </w:r>
      <w:r w:rsidR="00507B08">
        <w:rPr>
          <w:sz w:val="22"/>
          <w:szCs w:val="22"/>
        </w:rPr>
        <w:t xml:space="preserve">budget </w:t>
      </w:r>
      <w:r w:rsidR="003D61BA" w:rsidRPr="00D32B2B">
        <w:rPr>
          <w:sz w:val="22"/>
          <w:szCs w:val="22"/>
        </w:rPr>
        <w:t>statements</w:t>
      </w:r>
      <w:r w:rsidR="007E361D">
        <w:rPr>
          <w:sz w:val="22"/>
          <w:szCs w:val="22"/>
        </w:rPr>
        <w:t xml:space="preserve"> that are published by</w:t>
      </w:r>
      <w:r w:rsidR="003D61BA" w:rsidRPr="00D32B2B">
        <w:rPr>
          <w:sz w:val="22"/>
          <w:szCs w:val="22"/>
        </w:rPr>
        <w:t xml:space="preserve"> Bradford</w:t>
      </w:r>
      <w:r w:rsidR="007E361D">
        <w:rPr>
          <w:sz w:val="22"/>
          <w:szCs w:val="22"/>
        </w:rPr>
        <w:t xml:space="preserve"> Council</w:t>
      </w:r>
      <w:r w:rsidR="00240B56" w:rsidRPr="00D32B2B">
        <w:rPr>
          <w:sz w:val="22"/>
          <w:szCs w:val="22"/>
        </w:rPr>
        <w:t>.</w:t>
      </w:r>
      <w:r w:rsidR="00B42FE2">
        <w:rPr>
          <w:sz w:val="22"/>
          <w:szCs w:val="22"/>
        </w:rPr>
        <w:t xml:space="preserve"> A separate statement, showing </w:t>
      </w:r>
      <w:r w:rsidR="00AC451C">
        <w:rPr>
          <w:sz w:val="22"/>
          <w:szCs w:val="22"/>
        </w:rPr>
        <w:t xml:space="preserve">the notional SEND </w:t>
      </w:r>
      <w:r w:rsidR="00B42FE2" w:rsidRPr="00E40344">
        <w:rPr>
          <w:sz w:val="22"/>
          <w:szCs w:val="22"/>
        </w:rPr>
        <w:t>allocations for all maintained primary and seconda</w:t>
      </w:r>
      <w:r w:rsidR="003E1D62" w:rsidRPr="00E40344">
        <w:rPr>
          <w:sz w:val="22"/>
          <w:szCs w:val="22"/>
        </w:rPr>
        <w:t>ry schools, as well as</w:t>
      </w:r>
      <w:r w:rsidR="00507B08" w:rsidRPr="00E40344">
        <w:rPr>
          <w:sz w:val="22"/>
          <w:szCs w:val="22"/>
        </w:rPr>
        <w:t xml:space="preserve"> for all</w:t>
      </w:r>
      <w:r w:rsidR="001F2F0B" w:rsidRPr="00E40344">
        <w:rPr>
          <w:sz w:val="22"/>
          <w:szCs w:val="22"/>
        </w:rPr>
        <w:t xml:space="preserve"> academies</w:t>
      </w:r>
      <w:r w:rsidR="003E1D62" w:rsidRPr="00E40344">
        <w:rPr>
          <w:sz w:val="22"/>
          <w:szCs w:val="22"/>
        </w:rPr>
        <w:t>,</w:t>
      </w:r>
      <w:r w:rsidR="001F2F0B" w:rsidRPr="00E40344">
        <w:rPr>
          <w:sz w:val="22"/>
          <w:szCs w:val="22"/>
        </w:rPr>
        <w:t xml:space="preserve"> is</w:t>
      </w:r>
      <w:r w:rsidR="00B42FE2" w:rsidRPr="00E40344">
        <w:rPr>
          <w:sz w:val="22"/>
          <w:szCs w:val="22"/>
        </w:rPr>
        <w:t xml:space="preserve"> published annually on Bradford Schools Online.</w:t>
      </w:r>
      <w:r w:rsidR="004705CC" w:rsidRPr="00E40344">
        <w:rPr>
          <w:sz w:val="22"/>
          <w:szCs w:val="22"/>
        </w:rPr>
        <w:t xml:space="preserve"> Please see Appendix </w:t>
      </w:r>
      <w:r w:rsidR="001B50CE" w:rsidRPr="00E40344">
        <w:rPr>
          <w:sz w:val="22"/>
          <w:szCs w:val="22"/>
        </w:rPr>
        <w:t>3</w:t>
      </w:r>
      <w:r w:rsidR="00F952FE" w:rsidRPr="00E40344">
        <w:rPr>
          <w:sz w:val="22"/>
          <w:szCs w:val="22"/>
        </w:rPr>
        <w:t xml:space="preserve"> for more technical information</w:t>
      </w:r>
      <w:r w:rsidR="003E1D62" w:rsidRPr="00E40344">
        <w:rPr>
          <w:sz w:val="22"/>
          <w:szCs w:val="22"/>
        </w:rPr>
        <w:t xml:space="preserve"> regarding</w:t>
      </w:r>
      <w:r w:rsidR="00AC451C" w:rsidRPr="00E40344">
        <w:rPr>
          <w:sz w:val="22"/>
          <w:szCs w:val="22"/>
        </w:rPr>
        <w:t xml:space="preserve"> our</w:t>
      </w:r>
      <w:r w:rsidR="00D11A08" w:rsidRPr="00E40344">
        <w:rPr>
          <w:sz w:val="22"/>
          <w:szCs w:val="22"/>
        </w:rPr>
        <w:t xml:space="preserve"> current 2022/23</w:t>
      </w:r>
      <w:r w:rsidR="00B42FE2" w:rsidRPr="00E40344">
        <w:rPr>
          <w:sz w:val="22"/>
          <w:szCs w:val="22"/>
        </w:rPr>
        <w:t xml:space="preserve"> definition of notional SEND</w:t>
      </w:r>
      <w:r w:rsidR="004705CC" w:rsidRPr="00E40344">
        <w:rPr>
          <w:sz w:val="22"/>
          <w:szCs w:val="22"/>
        </w:rPr>
        <w:t xml:space="preserve">. </w:t>
      </w:r>
      <w:r w:rsidR="00240B56" w:rsidRPr="00E40344">
        <w:rPr>
          <w:sz w:val="22"/>
          <w:szCs w:val="22"/>
        </w:rPr>
        <w:t xml:space="preserve"> </w:t>
      </w:r>
      <w:r w:rsidR="00505054" w:rsidRPr="00E40344">
        <w:rPr>
          <w:sz w:val="22"/>
          <w:szCs w:val="22"/>
        </w:rPr>
        <w:t>Further discussion on notional SEND for 2023/24 is</w:t>
      </w:r>
      <w:r w:rsidR="00E40344" w:rsidRPr="00E40344">
        <w:rPr>
          <w:sz w:val="22"/>
          <w:szCs w:val="22"/>
        </w:rPr>
        <w:t xml:space="preserve"> presented in section 10</w:t>
      </w:r>
      <w:r w:rsidR="00505054" w:rsidRPr="00E40344">
        <w:rPr>
          <w:sz w:val="22"/>
          <w:szCs w:val="22"/>
        </w:rPr>
        <w:t>.</w:t>
      </w:r>
    </w:p>
    <w:p w:rsidR="00EA7546" w:rsidRPr="001F2F0B" w:rsidRDefault="00EA7546" w:rsidP="00B351ED">
      <w:pPr>
        <w:jc w:val="both"/>
        <w:rPr>
          <w:sz w:val="22"/>
          <w:szCs w:val="22"/>
        </w:rPr>
      </w:pPr>
    </w:p>
    <w:p w:rsidR="001F2F0B" w:rsidRDefault="00EA7546" w:rsidP="00156D01">
      <w:pPr>
        <w:jc w:val="both"/>
        <w:rPr>
          <w:sz w:val="22"/>
          <w:szCs w:val="22"/>
        </w:rPr>
      </w:pPr>
      <w:r w:rsidRPr="001F2F0B">
        <w:rPr>
          <w:sz w:val="22"/>
          <w:szCs w:val="22"/>
        </w:rPr>
        <w:t xml:space="preserve">4.9 </w:t>
      </w:r>
      <w:r w:rsidR="0024126A">
        <w:rPr>
          <w:sz w:val="22"/>
          <w:szCs w:val="22"/>
        </w:rPr>
        <w:t>In</w:t>
      </w:r>
      <w:r w:rsidR="001F2F0B" w:rsidRPr="001F2F0B">
        <w:rPr>
          <w:sz w:val="22"/>
          <w:szCs w:val="22"/>
        </w:rPr>
        <w:t xml:space="preserve"> 2021/22, we amended our</w:t>
      </w:r>
      <w:r w:rsidR="00B351ED" w:rsidRPr="001F2F0B">
        <w:rPr>
          <w:sz w:val="22"/>
          <w:szCs w:val="22"/>
        </w:rPr>
        <w:t xml:space="preserve"> separate</w:t>
      </w:r>
      <w:r w:rsidR="001F2F0B" w:rsidRPr="001F2F0B">
        <w:rPr>
          <w:sz w:val="22"/>
          <w:szCs w:val="22"/>
        </w:rPr>
        <w:t xml:space="preserve"> additional</w:t>
      </w:r>
      <w:r w:rsidR="00B351ED" w:rsidRPr="001F2F0B">
        <w:rPr>
          <w:sz w:val="22"/>
          <w:szCs w:val="22"/>
        </w:rPr>
        <w:t xml:space="preserve"> ‘SEN</w:t>
      </w:r>
      <w:r w:rsidR="001A06E4" w:rsidRPr="001F2F0B">
        <w:rPr>
          <w:sz w:val="22"/>
          <w:szCs w:val="22"/>
        </w:rPr>
        <w:t>D</w:t>
      </w:r>
      <w:r w:rsidR="001F2F0B" w:rsidRPr="001F2F0B">
        <w:rPr>
          <w:sz w:val="22"/>
          <w:szCs w:val="22"/>
        </w:rPr>
        <w:t xml:space="preserve"> Funding Floor’ </w:t>
      </w:r>
      <w:r w:rsidR="00507B08">
        <w:rPr>
          <w:sz w:val="22"/>
          <w:szCs w:val="22"/>
        </w:rPr>
        <w:t>mechanism, which</w:t>
      </w:r>
      <w:r w:rsidR="001F2F0B" w:rsidRPr="001F2F0B">
        <w:rPr>
          <w:sz w:val="22"/>
          <w:szCs w:val="22"/>
        </w:rPr>
        <w:t xml:space="preserve"> applies to mainstream primary </w:t>
      </w:r>
      <w:r w:rsidR="00507B08">
        <w:rPr>
          <w:sz w:val="22"/>
          <w:szCs w:val="22"/>
        </w:rPr>
        <w:t>and secondary schools and academies</w:t>
      </w:r>
      <w:r w:rsidR="00255884">
        <w:rPr>
          <w:sz w:val="22"/>
          <w:szCs w:val="22"/>
        </w:rPr>
        <w:t xml:space="preserve">, </w:t>
      </w:r>
      <w:r w:rsidR="00505054">
        <w:rPr>
          <w:sz w:val="22"/>
          <w:szCs w:val="22"/>
        </w:rPr>
        <w:t xml:space="preserve">initially </w:t>
      </w:r>
      <w:r w:rsidR="00255884">
        <w:rPr>
          <w:sz w:val="22"/>
          <w:szCs w:val="22"/>
        </w:rPr>
        <w:t>f</w:t>
      </w:r>
      <w:r w:rsidR="00507B08">
        <w:rPr>
          <w:sz w:val="22"/>
          <w:szCs w:val="22"/>
        </w:rPr>
        <w:t>or year in trial pending</w:t>
      </w:r>
      <w:r w:rsidR="00255884">
        <w:rPr>
          <w:sz w:val="22"/>
          <w:szCs w:val="22"/>
        </w:rPr>
        <w:t xml:space="preserve"> review</w:t>
      </w:r>
      <w:r w:rsidR="001F2F0B" w:rsidRPr="001F2F0B">
        <w:rPr>
          <w:sz w:val="22"/>
          <w:szCs w:val="22"/>
        </w:rPr>
        <w:t>.</w:t>
      </w:r>
      <w:r w:rsidR="00505054">
        <w:rPr>
          <w:sz w:val="22"/>
          <w:szCs w:val="22"/>
        </w:rPr>
        <w:t xml:space="preserve"> We </w:t>
      </w:r>
      <w:r w:rsidR="00505054" w:rsidRPr="002769C3">
        <w:rPr>
          <w:sz w:val="22"/>
          <w:szCs w:val="22"/>
        </w:rPr>
        <w:t xml:space="preserve">continued this </w:t>
      </w:r>
      <w:r w:rsidR="00FE4E2E" w:rsidRPr="002769C3">
        <w:rPr>
          <w:sz w:val="22"/>
          <w:szCs w:val="22"/>
        </w:rPr>
        <w:t xml:space="preserve">new </w:t>
      </w:r>
      <w:r w:rsidR="00505054" w:rsidRPr="002769C3">
        <w:rPr>
          <w:sz w:val="22"/>
          <w:szCs w:val="22"/>
        </w:rPr>
        <w:t>Floor mechanism in 2022/23.</w:t>
      </w:r>
      <w:r w:rsidR="00B351ED" w:rsidRPr="002769C3">
        <w:rPr>
          <w:sz w:val="22"/>
          <w:szCs w:val="22"/>
        </w:rPr>
        <w:t xml:space="preserve"> </w:t>
      </w:r>
      <w:r w:rsidR="00FE4E2E" w:rsidRPr="002769C3">
        <w:rPr>
          <w:sz w:val="22"/>
          <w:szCs w:val="22"/>
        </w:rPr>
        <w:t>How the</w:t>
      </w:r>
      <w:r w:rsidR="001F2F0B" w:rsidRPr="002769C3">
        <w:rPr>
          <w:sz w:val="22"/>
          <w:szCs w:val="22"/>
        </w:rPr>
        <w:t xml:space="preserve"> Floor</w:t>
      </w:r>
      <w:r w:rsidR="00505054" w:rsidRPr="002769C3">
        <w:rPr>
          <w:sz w:val="22"/>
          <w:szCs w:val="22"/>
        </w:rPr>
        <w:t xml:space="preserve"> has operated in 2022/23</w:t>
      </w:r>
      <w:r w:rsidR="001F2F0B" w:rsidRPr="002769C3">
        <w:rPr>
          <w:sz w:val="22"/>
          <w:szCs w:val="22"/>
        </w:rPr>
        <w:t xml:space="preserve"> is explained in more detail in A</w:t>
      </w:r>
      <w:r w:rsidR="00F131F5" w:rsidRPr="002769C3">
        <w:rPr>
          <w:sz w:val="22"/>
          <w:szCs w:val="22"/>
        </w:rPr>
        <w:t>ppendix 3.</w:t>
      </w:r>
      <w:r w:rsidR="001F2F0B" w:rsidRPr="002769C3">
        <w:rPr>
          <w:sz w:val="22"/>
          <w:szCs w:val="22"/>
        </w:rPr>
        <w:t xml:space="preserve"> </w:t>
      </w:r>
      <w:r w:rsidR="0024126A" w:rsidRPr="002769C3">
        <w:rPr>
          <w:sz w:val="22"/>
          <w:szCs w:val="22"/>
        </w:rPr>
        <w:t xml:space="preserve">The </w:t>
      </w:r>
      <w:r w:rsidR="0024126A">
        <w:rPr>
          <w:sz w:val="22"/>
          <w:szCs w:val="22"/>
        </w:rPr>
        <w:t>SEND Funding Floor is re-calculated on a monthly basis for changes in the number</w:t>
      </w:r>
      <w:r w:rsidR="0097125F">
        <w:rPr>
          <w:sz w:val="22"/>
          <w:szCs w:val="22"/>
        </w:rPr>
        <w:t>s of</w:t>
      </w:r>
      <w:r w:rsidR="0024126A">
        <w:rPr>
          <w:sz w:val="22"/>
          <w:szCs w:val="22"/>
        </w:rPr>
        <w:t xml:space="preserve"> Education Health and Care Plans (EHCPs) on roll. </w:t>
      </w:r>
      <w:r w:rsidR="00F131F5">
        <w:rPr>
          <w:sz w:val="22"/>
          <w:szCs w:val="22"/>
        </w:rPr>
        <w:t>The SEND Funding</w:t>
      </w:r>
      <w:r w:rsidR="001F2F0B">
        <w:rPr>
          <w:sz w:val="22"/>
          <w:szCs w:val="22"/>
        </w:rPr>
        <w:t xml:space="preserve"> Floor is</w:t>
      </w:r>
      <w:r w:rsidR="00FE4E2E">
        <w:rPr>
          <w:sz w:val="22"/>
          <w:szCs w:val="22"/>
        </w:rPr>
        <w:t xml:space="preserve"> currently</w:t>
      </w:r>
      <w:r w:rsidR="001F2F0B">
        <w:rPr>
          <w:sz w:val="22"/>
          <w:szCs w:val="22"/>
        </w:rPr>
        <w:t xml:space="preserve"> aimed at ensuring</w:t>
      </w:r>
      <w:r w:rsidR="001F2F0B" w:rsidRPr="005145F0">
        <w:rPr>
          <w:sz w:val="22"/>
          <w:szCs w:val="22"/>
        </w:rPr>
        <w:t xml:space="preserve"> that no</w:t>
      </w:r>
      <w:r w:rsidR="001F2F0B">
        <w:rPr>
          <w:sz w:val="22"/>
          <w:szCs w:val="22"/>
        </w:rPr>
        <w:t xml:space="preserve"> mainstream primary or secondary school or academy</w:t>
      </w:r>
      <w:r w:rsidR="001F2F0B" w:rsidRPr="005145F0">
        <w:rPr>
          <w:sz w:val="22"/>
          <w:szCs w:val="22"/>
        </w:rPr>
        <w:t xml:space="preserve"> </w:t>
      </w:r>
      <w:r w:rsidR="001F2F0B">
        <w:rPr>
          <w:sz w:val="22"/>
          <w:szCs w:val="22"/>
        </w:rPr>
        <w:t xml:space="preserve">will </w:t>
      </w:r>
      <w:r w:rsidR="001F2F0B" w:rsidRPr="005145F0">
        <w:rPr>
          <w:sz w:val="22"/>
          <w:szCs w:val="22"/>
        </w:rPr>
        <w:t>have to manage</w:t>
      </w:r>
      <w:r w:rsidR="001F2F0B">
        <w:rPr>
          <w:sz w:val="22"/>
          <w:szCs w:val="22"/>
        </w:rPr>
        <w:t>, from their own mainstream delegated formula funding,</w:t>
      </w:r>
      <w:r w:rsidR="001F2F0B" w:rsidRPr="005145F0">
        <w:rPr>
          <w:sz w:val="22"/>
          <w:szCs w:val="22"/>
        </w:rPr>
        <w:t xml:space="preserve"> a</w:t>
      </w:r>
      <w:r w:rsidR="001F2F0B">
        <w:rPr>
          <w:sz w:val="22"/>
          <w:szCs w:val="22"/>
        </w:rPr>
        <w:t>n above phase-average cost pressure in respect of their commitment to meet the cost of E</w:t>
      </w:r>
      <w:r w:rsidR="001F2F0B" w:rsidRPr="005145F0">
        <w:rPr>
          <w:sz w:val="22"/>
          <w:szCs w:val="22"/>
        </w:rPr>
        <w:t>lement 2</w:t>
      </w:r>
      <w:r w:rsidR="001F2F0B">
        <w:rPr>
          <w:sz w:val="22"/>
          <w:szCs w:val="22"/>
        </w:rPr>
        <w:t xml:space="preserve"> £6,000</w:t>
      </w:r>
      <w:r w:rsidR="001F2F0B" w:rsidRPr="005145F0">
        <w:rPr>
          <w:sz w:val="22"/>
          <w:szCs w:val="22"/>
        </w:rPr>
        <w:t xml:space="preserve"> for </w:t>
      </w:r>
      <w:r w:rsidR="001F2F0B">
        <w:rPr>
          <w:sz w:val="22"/>
          <w:szCs w:val="22"/>
        </w:rPr>
        <w:t>their EHCPs</w:t>
      </w:r>
      <w:r w:rsidR="001F2F0B" w:rsidRPr="005145F0">
        <w:rPr>
          <w:sz w:val="22"/>
          <w:szCs w:val="22"/>
        </w:rPr>
        <w:t>.</w:t>
      </w:r>
      <w:r w:rsidR="001F2F0B">
        <w:rPr>
          <w:sz w:val="22"/>
          <w:szCs w:val="22"/>
        </w:rPr>
        <w:t xml:space="preserve"> As well as supporting provision for </w:t>
      </w:r>
      <w:r w:rsidR="00C8582E">
        <w:rPr>
          <w:sz w:val="22"/>
          <w:szCs w:val="22"/>
        </w:rPr>
        <w:t xml:space="preserve">pupils </w:t>
      </w:r>
      <w:r w:rsidR="00C8582E" w:rsidRPr="00764797">
        <w:rPr>
          <w:sz w:val="22"/>
          <w:szCs w:val="22"/>
        </w:rPr>
        <w:t>with EHCPs, a purpose</w:t>
      </w:r>
      <w:r w:rsidR="0024126A" w:rsidRPr="00764797">
        <w:rPr>
          <w:sz w:val="22"/>
          <w:szCs w:val="22"/>
        </w:rPr>
        <w:t xml:space="preserve"> of the Floor is to help</w:t>
      </w:r>
      <w:r w:rsidR="001F2F0B" w:rsidRPr="00764797">
        <w:rPr>
          <w:sz w:val="22"/>
          <w:szCs w:val="22"/>
        </w:rPr>
        <w:t xml:space="preserve"> protect the funding used by schools and academies to support their wider Additional Educational Needs, SEND and Alternative Provision activities.</w:t>
      </w:r>
      <w:r w:rsidR="00255884" w:rsidRPr="00764797">
        <w:rPr>
          <w:sz w:val="22"/>
          <w:szCs w:val="22"/>
        </w:rPr>
        <w:t xml:space="preserve"> </w:t>
      </w:r>
      <w:r w:rsidR="00FE4E2E" w:rsidRPr="00764797">
        <w:rPr>
          <w:sz w:val="22"/>
          <w:szCs w:val="22"/>
        </w:rPr>
        <w:t>Further discussion on SEND Floor for 2023/24 is</w:t>
      </w:r>
      <w:r w:rsidR="00764797" w:rsidRPr="00764797">
        <w:rPr>
          <w:sz w:val="22"/>
          <w:szCs w:val="22"/>
        </w:rPr>
        <w:t xml:space="preserve"> presented in section 11.</w:t>
      </w:r>
    </w:p>
    <w:p w:rsidR="001F2F0B" w:rsidRDefault="001F2F0B" w:rsidP="00156D01">
      <w:pPr>
        <w:jc w:val="both"/>
        <w:rPr>
          <w:sz w:val="22"/>
          <w:szCs w:val="22"/>
        </w:rPr>
      </w:pPr>
    </w:p>
    <w:p w:rsidR="009B283C" w:rsidRPr="00C5330B" w:rsidRDefault="002364E2" w:rsidP="00C77D7A">
      <w:pPr>
        <w:jc w:val="both"/>
        <w:rPr>
          <w:sz w:val="22"/>
          <w:szCs w:val="22"/>
        </w:rPr>
      </w:pPr>
      <w:r>
        <w:rPr>
          <w:sz w:val="22"/>
          <w:szCs w:val="22"/>
        </w:rPr>
        <w:t>4</w:t>
      </w:r>
      <w:r w:rsidR="00DC16B8">
        <w:rPr>
          <w:sz w:val="22"/>
          <w:szCs w:val="22"/>
        </w:rPr>
        <w:t>.10</w:t>
      </w:r>
      <w:r w:rsidR="009B283C" w:rsidRPr="00C5330B">
        <w:rPr>
          <w:sz w:val="22"/>
          <w:szCs w:val="22"/>
        </w:rPr>
        <w:t xml:space="preserve"> </w:t>
      </w:r>
      <w:r w:rsidR="00C5330B" w:rsidRPr="00C5330B">
        <w:rPr>
          <w:sz w:val="22"/>
          <w:szCs w:val="22"/>
        </w:rPr>
        <w:t>For providers delivering the entitlements to early education to 2, 3 and 4 year olds (maintained nursery schools, nursery classes in primary schools and academies</w:t>
      </w:r>
      <w:r w:rsidR="00402858">
        <w:rPr>
          <w:sz w:val="22"/>
          <w:szCs w:val="22"/>
        </w:rPr>
        <w:t>,</w:t>
      </w:r>
      <w:r w:rsidR="00C5330B" w:rsidRPr="00C5330B">
        <w:rPr>
          <w:sz w:val="22"/>
          <w:szCs w:val="22"/>
        </w:rPr>
        <w:t xml:space="preserve"> and Private, Voluntary an</w:t>
      </w:r>
      <w:r w:rsidR="009B00B7">
        <w:rPr>
          <w:sz w:val="22"/>
          <w:szCs w:val="22"/>
        </w:rPr>
        <w:t>d Independent p</w:t>
      </w:r>
      <w:r w:rsidR="00C5330B" w:rsidRPr="00C5330B">
        <w:rPr>
          <w:sz w:val="22"/>
          <w:szCs w:val="22"/>
        </w:rPr>
        <w:t>roviders), Bradford Council allocates</w:t>
      </w:r>
      <w:r w:rsidR="00DC16B8">
        <w:rPr>
          <w:sz w:val="22"/>
          <w:szCs w:val="22"/>
        </w:rPr>
        <w:t xml:space="preserve"> E</w:t>
      </w:r>
      <w:r w:rsidR="009B00B7">
        <w:rPr>
          <w:sz w:val="22"/>
          <w:szCs w:val="22"/>
        </w:rPr>
        <w:t>lement 1</w:t>
      </w:r>
      <w:r w:rsidR="00C5330B" w:rsidRPr="00C5330B">
        <w:rPr>
          <w:sz w:val="22"/>
          <w:szCs w:val="22"/>
        </w:rPr>
        <w:t xml:space="preserve"> funding using our Early Years Single Funding Formula</w:t>
      </w:r>
      <w:r w:rsidR="009B00B7">
        <w:rPr>
          <w:sz w:val="22"/>
          <w:szCs w:val="22"/>
        </w:rPr>
        <w:t xml:space="preserve"> (EYSFF), which is </w:t>
      </w:r>
      <w:r w:rsidR="00C5330B" w:rsidRPr="00C5330B">
        <w:rPr>
          <w:sz w:val="22"/>
          <w:szCs w:val="22"/>
        </w:rPr>
        <w:t>funded by our Early Years Block within the D</w:t>
      </w:r>
      <w:r w:rsidR="00FB4811">
        <w:rPr>
          <w:sz w:val="22"/>
          <w:szCs w:val="22"/>
        </w:rPr>
        <w:t xml:space="preserve">edicated </w:t>
      </w:r>
      <w:r w:rsidR="00C5330B" w:rsidRPr="00C5330B">
        <w:rPr>
          <w:sz w:val="22"/>
          <w:szCs w:val="22"/>
        </w:rPr>
        <w:t>S</w:t>
      </w:r>
      <w:r w:rsidR="00FB4811">
        <w:rPr>
          <w:sz w:val="22"/>
          <w:szCs w:val="22"/>
        </w:rPr>
        <w:t xml:space="preserve">chools </w:t>
      </w:r>
      <w:r w:rsidR="00C5330B" w:rsidRPr="00C5330B">
        <w:rPr>
          <w:sz w:val="22"/>
          <w:szCs w:val="22"/>
        </w:rPr>
        <w:t>G</w:t>
      </w:r>
      <w:r w:rsidR="00FB4811">
        <w:rPr>
          <w:sz w:val="22"/>
          <w:szCs w:val="22"/>
        </w:rPr>
        <w:t>rant</w:t>
      </w:r>
      <w:r w:rsidR="00C5330B" w:rsidRPr="00C5330B">
        <w:rPr>
          <w:sz w:val="22"/>
          <w:szCs w:val="22"/>
        </w:rPr>
        <w:t>.</w:t>
      </w:r>
      <w:r w:rsidR="00FB4811">
        <w:rPr>
          <w:sz w:val="22"/>
          <w:szCs w:val="22"/>
        </w:rPr>
        <w:t xml:space="preserve"> </w:t>
      </w:r>
      <w:r w:rsidR="00635FB9">
        <w:rPr>
          <w:sz w:val="22"/>
          <w:szCs w:val="22"/>
        </w:rPr>
        <w:t>E</w:t>
      </w:r>
      <w:r w:rsidR="0062430D">
        <w:rPr>
          <w:sz w:val="22"/>
          <w:szCs w:val="22"/>
        </w:rPr>
        <w:t>lement 2</w:t>
      </w:r>
      <w:r w:rsidR="00FB4811">
        <w:rPr>
          <w:sz w:val="22"/>
          <w:szCs w:val="22"/>
        </w:rPr>
        <w:t xml:space="preserve"> however,</w:t>
      </w:r>
      <w:r w:rsidR="0062430D">
        <w:rPr>
          <w:sz w:val="22"/>
          <w:szCs w:val="22"/>
        </w:rPr>
        <w:t xml:space="preserve"> is not allocated within the EYSFF. </w:t>
      </w:r>
      <w:r w:rsidR="00FB4811">
        <w:rPr>
          <w:sz w:val="22"/>
          <w:szCs w:val="22"/>
        </w:rPr>
        <w:t>As a consequence</w:t>
      </w:r>
      <w:r w:rsidR="00DC16B8">
        <w:rPr>
          <w:sz w:val="22"/>
          <w:szCs w:val="22"/>
        </w:rPr>
        <w:t>, all early years children that have EHCPs</w:t>
      </w:r>
      <w:r w:rsidR="00FB4811">
        <w:rPr>
          <w:sz w:val="22"/>
          <w:szCs w:val="22"/>
        </w:rPr>
        <w:t>,</w:t>
      </w:r>
      <w:r w:rsidR="00DC16B8">
        <w:rPr>
          <w:sz w:val="22"/>
          <w:szCs w:val="22"/>
        </w:rPr>
        <w:t xml:space="preserve"> that</w:t>
      </w:r>
      <w:r w:rsidR="00FB4811">
        <w:rPr>
          <w:sz w:val="22"/>
          <w:szCs w:val="22"/>
        </w:rPr>
        <w:t xml:space="preserve"> are not placed in the EYESPs within</w:t>
      </w:r>
      <w:r w:rsidR="00DC16B8">
        <w:rPr>
          <w:sz w:val="22"/>
          <w:szCs w:val="22"/>
        </w:rPr>
        <w:t xml:space="preserve"> maintained nursery schools</w:t>
      </w:r>
      <w:r w:rsidR="00FB4811">
        <w:rPr>
          <w:sz w:val="22"/>
          <w:szCs w:val="22"/>
        </w:rPr>
        <w:t>,</w:t>
      </w:r>
      <w:r w:rsidR="00DC16B8">
        <w:rPr>
          <w:sz w:val="22"/>
          <w:szCs w:val="22"/>
        </w:rPr>
        <w:t xml:space="preserve"> are allocated Element 2 funding in addition to the </w:t>
      </w:r>
      <w:r w:rsidR="00D32993">
        <w:rPr>
          <w:sz w:val="22"/>
          <w:szCs w:val="22"/>
        </w:rPr>
        <w:t>top-up</w:t>
      </w:r>
      <w:r w:rsidR="00DC16B8">
        <w:rPr>
          <w:sz w:val="22"/>
          <w:szCs w:val="22"/>
        </w:rPr>
        <w:t xml:space="preserve"> funding </w:t>
      </w:r>
      <w:r w:rsidR="00FB4811">
        <w:rPr>
          <w:sz w:val="22"/>
          <w:szCs w:val="22"/>
        </w:rPr>
        <w:t>provided by</w:t>
      </w:r>
      <w:r w:rsidR="00DC16B8">
        <w:rPr>
          <w:sz w:val="22"/>
          <w:szCs w:val="22"/>
        </w:rPr>
        <w:t xml:space="preserve"> the </w:t>
      </w:r>
      <w:r w:rsidR="00FB4811">
        <w:rPr>
          <w:sz w:val="22"/>
          <w:szCs w:val="22"/>
        </w:rPr>
        <w:t xml:space="preserve">EHCP </w:t>
      </w:r>
      <w:r w:rsidR="00DC16B8">
        <w:rPr>
          <w:sz w:val="22"/>
          <w:szCs w:val="22"/>
        </w:rPr>
        <w:t xml:space="preserve">Banded Model. </w:t>
      </w:r>
      <w:r w:rsidR="00FB4811">
        <w:rPr>
          <w:sz w:val="22"/>
          <w:szCs w:val="22"/>
        </w:rPr>
        <w:t>Bradford</w:t>
      </w:r>
      <w:r w:rsidR="00402858">
        <w:rPr>
          <w:sz w:val="22"/>
          <w:szCs w:val="22"/>
        </w:rPr>
        <w:t xml:space="preserve"> Council</w:t>
      </w:r>
      <w:r w:rsidR="00DC16B8">
        <w:rPr>
          <w:sz w:val="22"/>
          <w:szCs w:val="22"/>
        </w:rPr>
        <w:t xml:space="preserve"> also</w:t>
      </w:r>
      <w:r w:rsidR="00402858">
        <w:rPr>
          <w:sz w:val="22"/>
          <w:szCs w:val="22"/>
        </w:rPr>
        <w:t xml:space="preserve"> has</w:t>
      </w:r>
      <w:r w:rsidR="00C5330B" w:rsidRPr="00C5330B">
        <w:rPr>
          <w:sz w:val="22"/>
          <w:szCs w:val="22"/>
        </w:rPr>
        <w:t xml:space="preserve"> in place an Early Years SEND Inclusion Fund</w:t>
      </w:r>
      <w:r w:rsidR="00FB4811">
        <w:rPr>
          <w:sz w:val="22"/>
          <w:szCs w:val="22"/>
        </w:rPr>
        <w:t xml:space="preserve"> (EYIF)</w:t>
      </w:r>
      <w:r w:rsidR="00C5330B" w:rsidRPr="00C5330B">
        <w:rPr>
          <w:sz w:val="22"/>
          <w:szCs w:val="22"/>
        </w:rPr>
        <w:t>,</w:t>
      </w:r>
      <w:r w:rsidR="00FB4811">
        <w:rPr>
          <w:sz w:val="22"/>
          <w:szCs w:val="22"/>
        </w:rPr>
        <w:t xml:space="preserve"> funded by</w:t>
      </w:r>
      <w:r w:rsidR="00E0444E">
        <w:rPr>
          <w:sz w:val="22"/>
          <w:szCs w:val="22"/>
        </w:rPr>
        <w:t xml:space="preserve"> the Early Years Block,</w:t>
      </w:r>
      <w:r w:rsidR="00635FB9">
        <w:rPr>
          <w:sz w:val="22"/>
          <w:szCs w:val="22"/>
        </w:rPr>
        <w:t xml:space="preserve"> which enables</w:t>
      </w:r>
      <w:r w:rsidR="00E0444E">
        <w:rPr>
          <w:sz w:val="22"/>
          <w:szCs w:val="22"/>
        </w:rPr>
        <w:t xml:space="preserve"> </w:t>
      </w:r>
      <w:r w:rsidR="00635FB9">
        <w:rPr>
          <w:sz w:val="22"/>
          <w:szCs w:val="22"/>
        </w:rPr>
        <w:t xml:space="preserve">Element 2 </w:t>
      </w:r>
      <w:r w:rsidR="00C5330B" w:rsidRPr="00C5330B">
        <w:rPr>
          <w:sz w:val="22"/>
          <w:szCs w:val="22"/>
        </w:rPr>
        <w:t>funding to be allocated to support children</w:t>
      </w:r>
      <w:r w:rsidR="00DC16B8">
        <w:rPr>
          <w:sz w:val="22"/>
          <w:szCs w:val="22"/>
        </w:rPr>
        <w:t xml:space="preserve"> in e</w:t>
      </w:r>
      <w:r w:rsidR="00FB4811">
        <w:rPr>
          <w:sz w:val="22"/>
          <w:szCs w:val="22"/>
        </w:rPr>
        <w:t xml:space="preserve">arly years settings who </w:t>
      </w:r>
      <w:r w:rsidR="00DC16B8">
        <w:rPr>
          <w:sz w:val="22"/>
          <w:szCs w:val="22"/>
        </w:rPr>
        <w:t>have l</w:t>
      </w:r>
      <w:r w:rsidR="00C5330B" w:rsidRPr="00C5330B">
        <w:rPr>
          <w:sz w:val="22"/>
          <w:szCs w:val="22"/>
        </w:rPr>
        <w:t xml:space="preserve">ow level </w:t>
      </w:r>
      <w:r w:rsidR="00635FB9">
        <w:rPr>
          <w:sz w:val="22"/>
          <w:szCs w:val="22"/>
        </w:rPr>
        <w:t>emerging SEND</w:t>
      </w:r>
      <w:r w:rsidR="003E558D">
        <w:rPr>
          <w:sz w:val="22"/>
          <w:szCs w:val="22"/>
        </w:rPr>
        <w:t xml:space="preserve"> and</w:t>
      </w:r>
      <w:r w:rsidR="00FB4811">
        <w:rPr>
          <w:sz w:val="22"/>
          <w:szCs w:val="22"/>
        </w:rPr>
        <w:t xml:space="preserve"> who do not have EHCPs</w:t>
      </w:r>
      <w:r w:rsidR="00635FB9">
        <w:rPr>
          <w:sz w:val="22"/>
          <w:szCs w:val="22"/>
        </w:rPr>
        <w:t>.</w:t>
      </w:r>
      <w:r w:rsidR="00DC16B8">
        <w:rPr>
          <w:sz w:val="22"/>
          <w:szCs w:val="22"/>
        </w:rPr>
        <w:t xml:space="preserve"> </w:t>
      </w:r>
      <w:r w:rsidR="00C5330B">
        <w:rPr>
          <w:sz w:val="22"/>
          <w:szCs w:val="22"/>
        </w:rPr>
        <w:t>In addition</w:t>
      </w:r>
      <w:r w:rsidR="00402858">
        <w:rPr>
          <w:sz w:val="22"/>
          <w:szCs w:val="22"/>
        </w:rPr>
        <w:t xml:space="preserve"> to EYIF</w:t>
      </w:r>
      <w:r w:rsidR="00C5330B">
        <w:rPr>
          <w:sz w:val="22"/>
          <w:szCs w:val="22"/>
        </w:rPr>
        <w:t xml:space="preserve">, </w:t>
      </w:r>
      <w:r w:rsidR="00402858">
        <w:rPr>
          <w:sz w:val="22"/>
          <w:szCs w:val="22"/>
        </w:rPr>
        <w:t xml:space="preserve">all </w:t>
      </w:r>
      <w:r w:rsidR="00C5330B">
        <w:rPr>
          <w:sz w:val="22"/>
          <w:szCs w:val="22"/>
        </w:rPr>
        <w:t>early years providers of the 3 and 4 year old entitlement are entitled to receive a one off payment for children eligible for the Disability Access Fund (DAF).</w:t>
      </w:r>
      <w:r w:rsidR="00E0444E">
        <w:rPr>
          <w:sz w:val="22"/>
          <w:szCs w:val="22"/>
        </w:rPr>
        <w:t xml:space="preserve"> Further details on</w:t>
      </w:r>
      <w:r w:rsidR="00635FB9">
        <w:rPr>
          <w:sz w:val="22"/>
          <w:szCs w:val="22"/>
        </w:rPr>
        <w:t xml:space="preserve"> the SEND</w:t>
      </w:r>
      <w:r w:rsidR="00E0444E">
        <w:rPr>
          <w:sz w:val="22"/>
          <w:szCs w:val="22"/>
        </w:rPr>
        <w:t xml:space="preserve"> </w:t>
      </w:r>
      <w:r w:rsidR="00635FB9">
        <w:rPr>
          <w:sz w:val="22"/>
          <w:szCs w:val="22"/>
        </w:rPr>
        <w:t>Inclusion Fund</w:t>
      </w:r>
      <w:r w:rsidR="00402858">
        <w:rPr>
          <w:sz w:val="22"/>
          <w:szCs w:val="22"/>
        </w:rPr>
        <w:t xml:space="preserve"> (EYIF)</w:t>
      </w:r>
      <w:r w:rsidR="00635FB9">
        <w:rPr>
          <w:sz w:val="22"/>
          <w:szCs w:val="22"/>
        </w:rPr>
        <w:t xml:space="preserve"> and </w:t>
      </w:r>
      <w:r w:rsidR="00402858">
        <w:rPr>
          <w:sz w:val="22"/>
          <w:szCs w:val="22"/>
        </w:rPr>
        <w:t>on the Disability Access Fund (</w:t>
      </w:r>
      <w:r w:rsidR="00E0444E">
        <w:rPr>
          <w:sz w:val="22"/>
          <w:szCs w:val="22"/>
        </w:rPr>
        <w:t>DAF</w:t>
      </w:r>
      <w:r w:rsidR="00402858">
        <w:rPr>
          <w:sz w:val="22"/>
          <w:szCs w:val="22"/>
        </w:rPr>
        <w:t>)</w:t>
      </w:r>
      <w:r w:rsidR="00E0444E">
        <w:rPr>
          <w:sz w:val="22"/>
          <w:szCs w:val="22"/>
        </w:rPr>
        <w:t xml:space="preserve"> can be found in our Early Years Technical Statement </w:t>
      </w:r>
      <w:hyperlink r:id="rId14" w:history="1">
        <w:r w:rsidR="00E0444E" w:rsidRPr="00E65E3A">
          <w:rPr>
            <w:rStyle w:val="Hyperlink"/>
            <w:sz w:val="22"/>
            <w:szCs w:val="22"/>
          </w:rPr>
          <w:t>here</w:t>
        </w:r>
      </w:hyperlink>
      <w:r w:rsidR="00E0444E" w:rsidRPr="00E65E3A">
        <w:rPr>
          <w:sz w:val="22"/>
          <w:szCs w:val="22"/>
        </w:rPr>
        <w:t>.</w:t>
      </w:r>
    </w:p>
    <w:p w:rsidR="009B283C" w:rsidRDefault="009B283C" w:rsidP="00C77D7A">
      <w:pPr>
        <w:jc w:val="both"/>
        <w:rPr>
          <w:color w:val="FF0000"/>
          <w:sz w:val="22"/>
          <w:szCs w:val="22"/>
        </w:rPr>
      </w:pPr>
    </w:p>
    <w:p w:rsidR="00F952FE" w:rsidRDefault="002364E2" w:rsidP="00F952FE">
      <w:pPr>
        <w:jc w:val="both"/>
        <w:rPr>
          <w:sz w:val="22"/>
          <w:szCs w:val="22"/>
        </w:rPr>
      </w:pPr>
      <w:r>
        <w:rPr>
          <w:sz w:val="22"/>
          <w:szCs w:val="22"/>
        </w:rPr>
        <w:t>4</w:t>
      </w:r>
      <w:r w:rsidR="00B855BB">
        <w:rPr>
          <w:sz w:val="22"/>
          <w:szCs w:val="22"/>
        </w:rPr>
        <w:t>.11</w:t>
      </w:r>
      <w:r w:rsidR="00C77D7A" w:rsidRPr="00D32B2B">
        <w:rPr>
          <w:sz w:val="22"/>
          <w:szCs w:val="22"/>
        </w:rPr>
        <w:t xml:space="preserve"> </w:t>
      </w:r>
      <w:r w:rsidR="00B67F4F" w:rsidRPr="00D32B2B">
        <w:rPr>
          <w:sz w:val="22"/>
          <w:szCs w:val="22"/>
        </w:rPr>
        <w:t>Place</w:t>
      </w:r>
      <w:r w:rsidR="005E1A25">
        <w:rPr>
          <w:sz w:val="22"/>
          <w:szCs w:val="22"/>
        </w:rPr>
        <w:t>-element</w:t>
      </w:r>
      <w:r w:rsidR="00B67F4F" w:rsidRPr="00D32B2B">
        <w:rPr>
          <w:sz w:val="22"/>
          <w:szCs w:val="22"/>
        </w:rPr>
        <w:t xml:space="preserve"> funding for education in hospital provision, nationally, has still to be brought into the Place-Plus </w:t>
      </w:r>
      <w:r w:rsidR="00B67F4F" w:rsidRPr="00F952FE">
        <w:rPr>
          <w:sz w:val="22"/>
          <w:szCs w:val="22"/>
        </w:rPr>
        <w:t xml:space="preserve">methodology. Currently, local authorities </w:t>
      </w:r>
      <w:r w:rsidR="00255371" w:rsidRPr="00F952FE">
        <w:rPr>
          <w:sz w:val="22"/>
          <w:szCs w:val="22"/>
        </w:rPr>
        <w:t xml:space="preserve">are </w:t>
      </w:r>
      <w:r w:rsidR="00B67F4F" w:rsidRPr="00F952FE">
        <w:rPr>
          <w:sz w:val="22"/>
          <w:szCs w:val="22"/>
        </w:rPr>
        <w:t xml:space="preserve">required to </w:t>
      </w:r>
      <w:r w:rsidR="00727CFC" w:rsidRPr="00F952FE">
        <w:rPr>
          <w:sz w:val="22"/>
          <w:szCs w:val="22"/>
        </w:rPr>
        <w:t>maintain p</w:t>
      </w:r>
      <w:r w:rsidR="005E1A25">
        <w:rPr>
          <w:sz w:val="22"/>
          <w:szCs w:val="22"/>
        </w:rPr>
        <w:t xml:space="preserve">rior-year place funding values. </w:t>
      </w:r>
      <w:r w:rsidR="00F952FE" w:rsidRPr="00F952FE">
        <w:rPr>
          <w:sz w:val="22"/>
          <w:szCs w:val="22"/>
        </w:rPr>
        <w:t>Bradford’s hospital provisions closed as separate PRUs on 31 August 2019 and Tracks close</w:t>
      </w:r>
      <w:r w:rsidR="0049048D">
        <w:rPr>
          <w:sz w:val="22"/>
          <w:szCs w:val="22"/>
        </w:rPr>
        <w:t>d</w:t>
      </w:r>
      <w:r w:rsidR="00F952FE" w:rsidRPr="00F952FE">
        <w:rPr>
          <w:sz w:val="22"/>
          <w:szCs w:val="22"/>
        </w:rPr>
        <w:t xml:space="preserve"> as a separate entity on 31 August 2020. Provision is continuing as a single</w:t>
      </w:r>
      <w:r w:rsidR="00CC2278">
        <w:rPr>
          <w:sz w:val="22"/>
          <w:szCs w:val="22"/>
        </w:rPr>
        <w:t xml:space="preserve"> Local-Authority</w:t>
      </w:r>
      <w:r w:rsidR="00F952FE" w:rsidRPr="00F952FE">
        <w:rPr>
          <w:sz w:val="22"/>
          <w:szCs w:val="22"/>
        </w:rPr>
        <w:t xml:space="preserve"> service. </w:t>
      </w:r>
      <w:r w:rsidR="003B3C06">
        <w:rPr>
          <w:sz w:val="22"/>
          <w:szCs w:val="22"/>
        </w:rPr>
        <w:t>Funding of this</w:t>
      </w:r>
      <w:r w:rsidR="00F952FE" w:rsidRPr="00F952FE">
        <w:rPr>
          <w:sz w:val="22"/>
          <w:szCs w:val="22"/>
        </w:rPr>
        <w:t xml:space="preserve"> centrally managed service </w:t>
      </w:r>
      <w:r w:rsidR="0049048D">
        <w:rPr>
          <w:sz w:val="22"/>
          <w:szCs w:val="22"/>
        </w:rPr>
        <w:t xml:space="preserve">now </w:t>
      </w:r>
      <w:r w:rsidR="00F952FE" w:rsidRPr="00F952FE">
        <w:rPr>
          <w:sz w:val="22"/>
          <w:szCs w:val="22"/>
        </w:rPr>
        <w:t>operate</w:t>
      </w:r>
      <w:r w:rsidR="0049048D">
        <w:rPr>
          <w:sz w:val="22"/>
          <w:szCs w:val="22"/>
        </w:rPr>
        <w:t>s</w:t>
      </w:r>
      <w:r w:rsidR="00F952FE" w:rsidRPr="00F952FE">
        <w:rPr>
          <w:sz w:val="22"/>
          <w:szCs w:val="22"/>
        </w:rPr>
        <w:t xml:space="preserve"> outside the Place-Plus mechanism, working within the discrete allocation provided </w:t>
      </w:r>
      <w:r w:rsidR="0076547B">
        <w:rPr>
          <w:sz w:val="22"/>
          <w:szCs w:val="22"/>
        </w:rPr>
        <w:t xml:space="preserve">by the DfE </w:t>
      </w:r>
      <w:r w:rsidR="00F952FE" w:rsidRPr="00F952FE">
        <w:rPr>
          <w:sz w:val="22"/>
          <w:szCs w:val="22"/>
        </w:rPr>
        <w:t>w</w:t>
      </w:r>
      <w:r w:rsidR="005E1A25">
        <w:rPr>
          <w:sz w:val="22"/>
          <w:szCs w:val="22"/>
        </w:rPr>
        <w:t>ithin our High Needs Block.</w:t>
      </w:r>
    </w:p>
    <w:p w:rsidR="00F952FE" w:rsidRPr="005E1A25" w:rsidRDefault="00F952FE" w:rsidP="00C77D7A">
      <w:pPr>
        <w:jc w:val="both"/>
        <w:rPr>
          <w:sz w:val="22"/>
          <w:szCs w:val="22"/>
        </w:rPr>
      </w:pPr>
    </w:p>
    <w:p w:rsidR="00727CFC" w:rsidRPr="005E1A25" w:rsidRDefault="002364E2" w:rsidP="00C77D7A">
      <w:pPr>
        <w:jc w:val="both"/>
        <w:rPr>
          <w:sz w:val="22"/>
          <w:szCs w:val="22"/>
        </w:rPr>
      </w:pPr>
      <w:r w:rsidRPr="005E1A25">
        <w:rPr>
          <w:sz w:val="22"/>
          <w:szCs w:val="22"/>
        </w:rPr>
        <w:t>4</w:t>
      </w:r>
      <w:r w:rsidR="00B855BB" w:rsidRPr="005E1A25">
        <w:rPr>
          <w:sz w:val="22"/>
          <w:szCs w:val="22"/>
        </w:rPr>
        <w:t>.12</w:t>
      </w:r>
      <w:r w:rsidR="00727CFC" w:rsidRPr="005E1A25">
        <w:rPr>
          <w:sz w:val="22"/>
          <w:szCs w:val="22"/>
        </w:rPr>
        <w:t xml:space="preserve"> The funding</w:t>
      </w:r>
      <w:r w:rsidR="00896AAE" w:rsidRPr="005E1A25">
        <w:rPr>
          <w:sz w:val="22"/>
          <w:szCs w:val="22"/>
        </w:rPr>
        <w:t xml:space="preserve"> of independent schools has</w:t>
      </w:r>
      <w:r w:rsidR="00727CFC" w:rsidRPr="005E1A25">
        <w:rPr>
          <w:sz w:val="22"/>
          <w:szCs w:val="22"/>
        </w:rPr>
        <w:t xml:space="preserve"> not yet been brought into the national Place-Plus funding system. The basis of f</w:t>
      </w:r>
      <w:r w:rsidR="005E1A25" w:rsidRPr="005E1A25">
        <w:rPr>
          <w:sz w:val="22"/>
          <w:szCs w:val="22"/>
        </w:rPr>
        <w:t>unding of placements in these</w:t>
      </w:r>
      <w:r w:rsidR="00727CFC" w:rsidRPr="005E1A25">
        <w:rPr>
          <w:sz w:val="22"/>
          <w:szCs w:val="22"/>
        </w:rPr>
        <w:t xml:space="preserve"> settings</w:t>
      </w:r>
      <w:r w:rsidR="00CC2278" w:rsidRPr="005E1A25">
        <w:rPr>
          <w:sz w:val="22"/>
          <w:szCs w:val="22"/>
        </w:rPr>
        <w:t xml:space="preserve"> ther</w:t>
      </w:r>
      <w:r w:rsidR="003E558D">
        <w:rPr>
          <w:sz w:val="22"/>
          <w:szCs w:val="22"/>
        </w:rPr>
        <w:t>efore, is not ‘formularised’</w:t>
      </w:r>
      <w:r w:rsidR="005E1A25" w:rsidRPr="005E1A25">
        <w:rPr>
          <w:sz w:val="22"/>
          <w:szCs w:val="22"/>
        </w:rPr>
        <w:t>. Placement costs will be influenced by</w:t>
      </w:r>
      <w:r w:rsidR="00727CFC" w:rsidRPr="005E1A25">
        <w:rPr>
          <w:sz w:val="22"/>
          <w:szCs w:val="22"/>
        </w:rPr>
        <w:t xml:space="preserve"> a number of factors, includi</w:t>
      </w:r>
      <w:r w:rsidR="00B24B38">
        <w:rPr>
          <w:sz w:val="22"/>
          <w:szCs w:val="22"/>
        </w:rPr>
        <w:t>ng the needs of the child and the availability of places</w:t>
      </w:r>
      <w:r w:rsidR="00727CFC" w:rsidRPr="005E1A25">
        <w:rPr>
          <w:sz w:val="22"/>
          <w:szCs w:val="22"/>
        </w:rPr>
        <w:t>.</w:t>
      </w:r>
    </w:p>
    <w:p w:rsidR="00E40B2E" w:rsidRDefault="00E40B2E" w:rsidP="009A2389">
      <w:pPr>
        <w:jc w:val="both"/>
        <w:rPr>
          <w:sz w:val="22"/>
          <w:szCs w:val="22"/>
        </w:rPr>
      </w:pPr>
    </w:p>
    <w:p w:rsidR="00B43F04" w:rsidRDefault="00B43F04" w:rsidP="009A2389">
      <w:pPr>
        <w:jc w:val="both"/>
        <w:rPr>
          <w:sz w:val="22"/>
          <w:szCs w:val="22"/>
        </w:rPr>
      </w:pPr>
    </w:p>
    <w:p w:rsidR="007347FD" w:rsidRPr="00FB71B4" w:rsidRDefault="00FB71B4" w:rsidP="007347FD">
      <w:pPr>
        <w:jc w:val="both"/>
        <w:rPr>
          <w:sz w:val="22"/>
          <w:szCs w:val="22"/>
        </w:rPr>
      </w:pPr>
      <w:r w:rsidRPr="00FB71B4">
        <w:rPr>
          <w:b/>
          <w:sz w:val="22"/>
          <w:szCs w:val="22"/>
        </w:rPr>
        <w:t>5</w:t>
      </w:r>
      <w:r w:rsidR="00527AA1">
        <w:rPr>
          <w:b/>
          <w:sz w:val="22"/>
          <w:szCs w:val="22"/>
        </w:rPr>
        <w:t>.</w:t>
      </w:r>
      <w:r w:rsidR="00527AA1">
        <w:rPr>
          <w:b/>
          <w:sz w:val="22"/>
          <w:szCs w:val="22"/>
        </w:rPr>
        <w:tab/>
      </w:r>
      <w:r w:rsidR="007017A7" w:rsidRPr="00FB71B4">
        <w:rPr>
          <w:b/>
          <w:sz w:val="22"/>
          <w:szCs w:val="22"/>
        </w:rPr>
        <w:t xml:space="preserve">Commissioned </w:t>
      </w:r>
      <w:r w:rsidR="000D1D3E">
        <w:rPr>
          <w:b/>
          <w:sz w:val="22"/>
          <w:szCs w:val="22"/>
        </w:rPr>
        <w:t xml:space="preserve">High Needs </w:t>
      </w:r>
      <w:r w:rsidR="007347FD" w:rsidRPr="00FB71B4">
        <w:rPr>
          <w:b/>
          <w:sz w:val="22"/>
          <w:szCs w:val="22"/>
        </w:rPr>
        <w:t>Places</w:t>
      </w:r>
      <w:r w:rsidR="00B43F04">
        <w:rPr>
          <w:b/>
          <w:sz w:val="22"/>
          <w:szCs w:val="22"/>
        </w:rPr>
        <w:t xml:space="preserve"> </w:t>
      </w:r>
      <w:r w:rsidR="000D1D3E">
        <w:rPr>
          <w:b/>
          <w:sz w:val="22"/>
          <w:szCs w:val="22"/>
        </w:rPr>
        <w:t>in Bradford-located Settings</w:t>
      </w:r>
    </w:p>
    <w:p w:rsidR="007347FD" w:rsidRDefault="007347FD" w:rsidP="00C41CF3">
      <w:pPr>
        <w:jc w:val="both"/>
        <w:rPr>
          <w:b/>
          <w:sz w:val="22"/>
          <w:szCs w:val="22"/>
        </w:rPr>
      </w:pPr>
    </w:p>
    <w:p w:rsidR="008F6BDC" w:rsidRDefault="00FB71B4" w:rsidP="008F6BDC">
      <w:pPr>
        <w:jc w:val="both"/>
        <w:rPr>
          <w:sz w:val="22"/>
          <w:szCs w:val="22"/>
        </w:rPr>
      </w:pPr>
      <w:r>
        <w:rPr>
          <w:sz w:val="22"/>
          <w:szCs w:val="22"/>
        </w:rPr>
        <w:t>5</w:t>
      </w:r>
      <w:r w:rsidR="007568EF">
        <w:rPr>
          <w:sz w:val="22"/>
          <w:szCs w:val="22"/>
        </w:rPr>
        <w:t xml:space="preserve">.1 </w:t>
      </w:r>
      <w:r w:rsidR="003850B1">
        <w:rPr>
          <w:sz w:val="22"/>
          <w:szCs w:val="22"/>
        </w:rPr>
        <w:t xml:space="preserve">It is helpful </w:t>
      </w:r>
      <w:r w:rsidR="00D72CD8">
        <w:rPr>
          <w:sz w:val="22"/>
          <w:szCs w:val="22"/>
        </w:rPr>
        <w:t>to provide sight</w:t>
      </w:r>
      <w:r w:rsidR="003850B1">
        <w:rPr>
          <w:sz w:val="22"/>
          <w:szCs w:val="22"/>
        </w:rPr>
        <w:t xml:space="preserve"> of the number of high needs places that are</w:t>
      </w:r>
      <w:r w:rsidR="00457B1A">
        <w:rPr>
          <w:sz w:val="22"/>
          <w:szCs w:val="22"/>
        </w:rPr>
        <w:t xml:space="preserve"> currently being commissioned</w:t>
      </w:r>
      <w:r w:rsidR="00435273">
        <w:rPr>
          <w:sz w:val="22"/>
          <w:szCs w:val="22"/>
        </w:rPr>
        <w:t xml:space="preserve"> in </w:t>
      </w:r>
      <w:r w:rsidR="00435273" w:rsidRPr="0076547B">
        <w:rPr>
          <w:sz w:val="22"/>
          <w:szCs w:val="22"/>
        </w:rPr>
        <w:t xml:space="preserve">specialist settings by Bradford Council </w:t>
      </w:r>
      <w:r w:rsidR="00457B1A" w:rsidRPr="0076547B">
        <w:rPr>
          <w:sz w:val="22"/>
          <w:szCs w:val="22"/>
        </w:rPr>
        <w:t>and that are</w:t>
      </w:r>
      <w:r w:rsidR="003850B1" w:rsidRPr="0076547B">
        <w:rPr>
          <w:sz w:val="22"/>
          <w:szCs w:val="22"/>
        </w:rPr>
        <w:t xml:space="preserve"> pl</w:t>
      </w:r>
      <w:r w:rsidR="00CA2B83" w:rsidRPr="0076547B">
        <w:rPr>
          <w:sz w:val="22"/>
          <w:szCs w:val="22"/>
        </w:rPr>
        <w:t>anned to be commissioned in 2023/24</w:t>
      </w:r>
      <w:r w:rsidR="00435273" w:rsidRPr="0076547B">
        <w:rPr>
          <w:sz w:val="22"/>
          <w:szCs w:val="22"/>
        </w:rPr>
        <w:t>. It is also helpful to show</w:t>
      </w:r>
      <w:r w:rsidR="00457B1A" w:rsidRPr="0076547B">
        <w:rPr>
          <w:sz w:val="22"/>
          <w:szCs w:val="22"/>
        </w:rPr>
        <w:t xml:space="preserve"> </w:t>
      </w:r>
      <w:r w:rsidR="0015027F" w:rsidRPr="0076547B">
        <w:rPr>
          <w:sz w:val="22"/>
          <w:szCs w:val="22"/>
        </w:rPr>
        <w:t>the distrib</w:t>
      </w:r>
      <w:r w:rsidR="00C41189" w:rsidRPr="0076547B">
        <w:rPr>
          <w:sz w:val="22"/>
          <w:szCs w:val="22"/>
        </w:rPr>
        <w:t>ution of these places across</w:t>
      </w:r>
      <w:r w:rsidR="0015027F" w:rsidRPr="0076547B">
        <w:rPr>
          <w:sz w:val="22"/>
          <w:szCs w:val="22"/>
        </w:rPr>
        <w:t xml:space="preserve"> different types of </w:t>
      </w:r>
      <w:r w:rsidR="000D1D3E" w:rsidRPr="0076547B">
        <w:rPr>
          <w:sz w:val="22"/>
          <w:szCs w:val="22"/>
        </w:rPr>
        <w:t>settings</w:t>
      </w:r>
      <w:r w:rsidR="003850B1" w:rsidRPr="0076547B">
        <w:rPr>
          <w:sz w:val="22"/>
          <w:szCs w:val="22"/>
        </w:rPr>
        <w:t xml:space="preserve">. </w:t>
      </w:r>
      <w:r w:rsidR="00D72CD8" w:rsidRPr="0076547B">
        <w:rPr>
          <w:sz w:val="22"/>
          <w:szCs w:val="22"/>
        </w:rPr>
        <w:t>A</w:t>
      </w:r>
      <w:r w:rsidR="003850B1" w:rsidRPr="0076547B">
        <w:rPr>
          <w:sz w:val="22"/>
          <w:szCs w:val="22"/>
        </w:rPr>
        <w:t xml:space="preserve"> </w:t>
      </w:r>
      <w:r w:rsidR="007A5A27">
        <w:rPr>
          <w:sz w:val="22"/>
          <w:szCs w:val="22"/>
        </w:rPr>
        <w:t xml:space="preserve">draft </w:t>
      </w:r>
      <w:r w:rsidR="003850B1" w:rsidRPr="0076547B">
        <w:rPr>
          <w:sz w:val="22"/>
          <w:szCs w:val="22"/>
        </w:rPr>
        <w:t xml:space="preserve">schedule of places is presented in </w:t>
      </w:r>
      <w:r w:rsidR="008962F0" w:rsidRPr="0076547B">
        <w:rPr>
          <w:sz w:val="22"/>
          <w:szCs w:val="22"/>
        </w:rPr>
        <w:t xml:space="preserve">Appendix </w:t>
      </w:r>
      <w:r w:rsidR="001B50CE" w:rsidRPr="0076547B">
        <w:rPr>
          <w:sz w:val="22"/>
          <w:szCs w:val="22"/>
        </w:rPr>
        <w:t>4</w:t>
      </w:r>
      <w:r w:rsidR="009A2389" w:rsidRPr="0076547B">
        <w:rPr>
          <w:sz w:val="22"/>
          <w:szCs w:val="22"/>
        </w:rPr>
        <w:t>.</w:t>
      </w:r>
    </w:p>
    <w:p w:rsidR="008962F0" w:rsidRDefault="008962F0" w:rsidP="008F6BDC">
      <w:pPr>
        <w:jc w:val="both"/>
        <w:rPr>
          <w:sz w:val="22"/>
          <w:szCs w:val="22"/>
        </w:rPr>
      </w:pPr>
    </w:p>
    <w:p w:rsidR="008962F0" w:rsidRDefault="00FB71B4" w:rsidP="008F6BDC">
      <w:pPr>
        <w:jc w:val="both"/>
        <w:rPr>
          <w:sz w:val="22"/>
          <w:szCs w:val="22"/>
        </w:rPr>
      </w:pPr>
      <w:r>
        <w:rPr>
          <w:sz w:val="22"/>
          <w:szCs w:val="22"/>
        </w:rPr>
        <w:t>5</w:t>
      </w:r>
      <w:r w:rsidR="003850B1">
        <w:rPr>
          <w:sz w:val="22"/>
          <w:szCs w:val="22"/>
        </w:rPr>
        <w:t>.2 Whilst understanding that places commissioning work</w:t>
      </w:r>
      <w:r w:rsidR="00C41189">
        <w:rPr>
          <w:sz w:val="22"/>
          <w:szCs w:val="22"/>
        </w:rPr>
        <w:t xml:space="preserve"> </w:t>
      </w:r>
      <w:r w:rsidR="003850B1">
        <w:rPr>
          <w:sz w:val="22"/>
          <w:szCs w:val="22"/>
        </w:rPr>
        <w:t>is st</w:t>
      </w:r>
      <w:r w:rsidR="00435273">
        <w:rPr>
          <w:sz w:val="22"/>
          <w:szCs w:val="22"/>
        </w:rPr>
        <w:t>ill taking place, and that the</w:t>
      </w:r>
      <w:r w:rsidR="003850B1">
        <w:rPr>
          <w:sz w:val="22"/>
          <w:szCs w:val="22"/>
        </w:rPr>
        <w:t xml:space="preserve"> numbers</w:t>
      </w:r>
      <w:r w:rsidR="00435273">
        <w:rPr>
          <w:sz w:val="22"/>
          <w:szCs w:val="22"/>
        </w:rPr>
        <w:t xml:space="preserve"> presented in Appendix 4</w:t>
      </w:r>
      <w:r w:rsidR="003850B1">
        <w:rPr>
          <w:sz w:val="22"/>
          <w:szCs w:val="22"/>
        </w:rPr>
        <w:t xml:space="preserve"> </w:t>
      </w:r>
      <w:r w:rsidR="00CA2B83">
        <w:rPr>
          <w:sz w:val="22"/>
          <w:szCs w:val="22"/>
        </w:rPr>
        <w:t>for 2023/24</w:t>
      </w:r>
      <w:r w:rsidR="003718CA">
        <w:rPr>
          <w:sz w:val="22"/>
          <w:szCs w:val="22"/>
        </w:rPr>
        <w:t xml:space="preserve"> </w:t>
      </w:r>
      <w:r w:rsidR="003850B1">
        <w:rPr>
          <w:sz w:val="22"/>
          <w:szCs w:val="22"/>
        </w:rPr>
        <w:t>are subject to change, the</w:t>
      </w:r>
      <w:r w:rsidR="00D47892">
        <w:rPr>
          <w:sz w:val="22"/>
          <w:szCs w:val="22"/>
        </w:rPr>
        <w:t xml:space="preserve"> </w:t>
      </w:r>
      <w:r w:rsidR="003850B1">
        <w:rPr>
          <w:sz w:val="22"/>
          <w:szCs w:val="22"/>
        </w:rPr>
        <w:t>draft place</w:t>
      </w:r>
      <w:r w:rsidR="00B24B38">
        <w:rPr>
          <w:sz w:val="22"/>
          <w:szCs w:val="22"/>
        </w:rPr>
        <w:t xml:space="preserve"> numbers</w:t>
      </w:r>
      <w:r w:rsidR="00435273">
        <w:rPr>
          <w:sz w:val="22"/>
          <w:szCs w:val="22"/>
        </w:rPr>
        <w:t xml:space="preserve"> </w:t>
      </w:r>
      <w:r w:rsidR="00457B1A">
        <w:rPr>
          <w:sz w:val="22"/>
          <w:szCs w:val="22"/>
        </w:rPr>
        <w:t xml:space="preserve">currently </w:t>
      </w:r>
      <w:r w:rsidR="00435273">
        <w:rPr>
          <w:sz w:val="22"/>
          <w:szCs w:val="22"/>
        </w:rPr>
        <w:t xml:space="preserve">do </w:t>
      </w:r>
      <w:r w:rsidR="008962F0">
        <w:rPr>
          <w:sz w:val="22"/>
          <w:szCs w:val="22"/>
        </w:rPr>
        <w:t>include</w:t>
      </w:r>
      <w:r w:rsidR="00527AA1">
        <w:rPr>
          <w:sz w:val="22"/>
          <w:szCs w:val="22"/>
        </w:rPr>
        <w:t xml:space="preserve"> / take account of</w:t>
      </w:r>
      <w:r w:rsidR="008962F0">
        <w:rPr>
          <w:sz w:val="22"/>
          <w:szCs w:val="22"/>
        </w:rPr>
        <w:t>:</w:t>
      </w:r>
    </w:p>
    <w:p w:rsidR="008F6BDC" w:rsidRPr="00FD2944" w:rsidRDefault="008F6BDC" w:rsidP="008F6BDC">
      <w:pPr>
        <w:jc w:val="both"/>
        <w:rPr>
          <w:sz w:val="22"/>
          <w:szCs w:val="22"/>
        </w:rPr>
      </w:pPr>
    </w:p>
    <w:p w:rsidR="000D1D3E" w:rsidRPr="009A2389" w:rsidRDefault="000D1D3E" w:rsidP="000D1D3E">
      <w:pPr>
        <w:pStyle w:val="ListParagraph"/>
        <w:numPr>
          <w:ilvl w:val="0"/>
          <w:numId w:val="4"/>
        </w:numPr>
        <w:ind w:left="360"/>
        <w:jc w:val="both"/>
        <w:rPr>
          <w:sz w:val="22"/>
          <w:szCs w:val="22"/>
        </w:rPr>
      </w:pPr>
      <w:r w:rsidRPr="009A2389">
        <w:rPr>
          <w:sz w:val="22"/>
          <w:szCs w:val="22"/>
        </w:rPr>
        <w:t>The continuation and full year impact</w:t>
      </w:r>
      <w:r>
        <w:rPr>
          <w:sz w:val="22"/>
          <w:szCs w:val="22"/>
        </w:rPr>
        <w:t xml:space="preserve"> of</w:t>
      </w:r>
      <w:r w:rsidRPr="009A2389">
        <w:rPr>
          <w:sz w:val="22"/>
          <w:szCs w:val="22"/>
        </w:rPr>
        <w:t xml:space="preserve"> places that have been</w:t>
      </w:r>
      <w:r>
        <w:rPr>
          <w:sz w:val="22"/>
          <w:szCs w:val="22"/>
        </w:rPr>
        <w:t xml:space="preserve"> recently</w:t>
      </w:r>
      <w:r w:rsidRPr="009A2389">
        <w:rPr>
          <w:sz w:val="22"/>
          <w:szCs w:val="22"/>
        </w:rPr>
        <w:t xml:space="preserve"> </w:t>
      </w:r>
      <w:r w:rsidR="008B4B3D">
        <w:rPr>
          <w:sz w:val="22"/>
          <w:szCs w:val="22"/>
        </w:rPr>
        <w:t>created and that are p</w:t>
      </w:r>
      <w:r w:rsidR="00CA2B83">
        <w:rPr>
          <w:sz w:val="22"/>
          <w:szCs w:val="22"/>
        </w:rPr>
        <w:t>lanned to be created during 2023/24</w:t>
      </w:r>
      <w:r w:rsidR="008B4B3D">
        <w:rPr>
          <w:sz w:val="22"/>
          <w:szCs w:val="22"/>
        </w:rPr>
        <w:t>, including where new places are not set assigned to individual settings.</w:t>
      </w:r>
    </w:p>
    <w:p w:rsidR="000D1D3E" w:rsidRDefault="000D1D3E" w:rsidP="000D1D3E">
      <w:pPr>
        <w:pStyle w:val="ListParagraph"/>
        <w:ind w:left="360"/>
        <w:jc w:val="both"/>
        <w:rPr>
          <w:sz w:val="22"/>
          <w:szCs w:val="22"/>
        </w:rPr>
      </w:pPr>
    </w:p>
    <w:p w:rsidR="008F6BDC" w:rsidRPr="009A28BF" w:rsidRDefault="000D1D3E" w:rsidP="00CC2278">
      <w:pPr>
        <w:pStyle w:val="ListParagraph"/>
        <w:numPr>
          <w:ilvl w:val="0"/>
          <w:numId w:val="4"/>
        </w:numPr>
        <w:ind w:left="360"/>
        <w:jc w:val="both"/>
        <w:rPr>
          <w:sz w:val="22"/>
          <w:szCs w:val="22"/>
        </w:rPr>
      </w:pPr>
      <w:r>
        <w:rPr>
          <w:sz w:val="22"/>
          <w:szCs w:val="22"/>
        </w:rPr>
        <w:t>Additional a</w:t>
      </w:r>
      <w:r w:rsidR="008F6BDC" w:rsidRPr="009A28BF">
        <w:rPr>
          <w:sz w:val="22"/>
          <w:szCs w:val="22"/>
        </w:rPr>
        <w:t xml:space="preserve">djustments to individual settings for </w:t>
      </w:r>
      <w:r w:rsidR="00B24B38">
        <w:rPr>
          <w:sz w:val="22"/>
          <w:szCs w:val="22"/>
        </w:rPr>
        <w:t>changes in places capacity</w:t>
      </w:r>
      <w:r>
        <w:rPr>
          <w:sz w:val="22"/>
          <w:szCs w:val="22"/>
        </w:rPr>
        <w:t xml:space="preserve"> that are</w:t>
      </w:r>
      <w:r w:rsidR="00457B1A">
        <w:rPr>
          <w:sz w:val="22"/>
          <w:szCs w:val="22"/>
        </w:rPr>
        <w:t xml:space="preserve"> </w:t>
      </w:r>
      <w:r w:rsidR="00503E75">
        <w:rPr>
          <w:sz w:val="22"/>
          <w:szCs w:val="22"/>
        </w:rPr>
        <w:t xml:space="preserve">already </w:t>
      </w:r>
      <w:r w:rsidR="00457B1A">
        <w:rPr>
          <w:sz w:val="22"/>
          <w:szCs w:val="22"/>
        </w:rPr>
        <w:t>confirmed</w:t>
      </w:r>
      <w:r w:rsidR="008F6BDC" w:rsidRPr="009A28BF">
        <w:rPr>
          <w:sz w:val="22"/>
          <w:szCs w:val="22"/>
        </w:rPr>
        <w:t>.</w:t>
      </w:r>
    </w:p>
    <w:p w:rsidR="00772195" w:rsidRPr="009A28BF" w:rsidRDefault="00772195" w:rsidP="00CC2278">
      <w:pPr>
        <w:pStyle w:val="ListParagraph"/>
        <w:ind w:left="360"/>
        <w:jc w:val="both"/>
        <w:rPr>
          <w:sz w:val="22"/>
          <w:szCs w:val="22"/>
        </w:rPr>
      </w:pPr>
    </w:p>
    <w:p w:rsidR="00B50175" w:rsidRPr="0076547B" w:rsidRDefault="004E6F33" w:rsidP="00CC2278">
      <w:pPr>
        <w:pStyle w:val="ListParagraph"/>
        <w:numPr>
          <w:ilvl w:val="0"/>
          <w:numId w:val="4"/>
        </w:numPr>
        <w:ind w:left="360"/>
        <w:jc w:val="both"/>
        <w:rPr>
          <w:color w:val="000000" w:themeColor="text1"/>
          <w:sz w:val="22"/>
          <w:szCs w:val="22"/>
        </w:rPr>
      </w:pPr>
      <w:r w:rsidRPr="0076547B">
        <w:rPr>
          <w:color w:val="000000" w:themeColor="text1"/>
          <w:sz w:val="22"/>
          <w:szCs w:val="22"/>
        </w:rPr>
        <w:t>T</w:t>
      </w:r>
      <w:r w:rsidR="00B24B38" w:rsidRPr="0076547B">
        <w:rPr>
          <w:color w:val="000000" w:themeColor="text1"/>
          <w:sz w:val="22"/>
          <w:szCs w:val="22"/>
        </w:rPr>
        <w:t xml:space="preserve">he </w:t>
      </w:r>
      <w:r w:rsidR="00B50175" w:rsidRPr="0076547B">
        <w:rPr>
          <w:color w:val="000000" w:themeColor="text1"/>
          <w:sz w:val="22"/>
          <w:szCs w:val="22"/>
        </w:rPr>
        <w:t>number</w:t>
      </w:r>
      <w:r w:rsidR="00B24B38" w:rsidRPr="0076547B">
        <w:rPr>
          <w:color w:val="000000" w:themeColor="text1"/>
          <w:sz w:val="22"/>
          <w:szCs w:val="22"/>
        </w:rPr>
        <w:t>s</w:t>
      </w:r>
      <w:r w:rsidR="00B50175" w:rsidRPr="0076547B">
        <w:rPr>
          <w:color w:val="000000" w:themeColor="text1"/>
          <w:sz w:val="22"/>
          <w:szCs w:val="22"/>
        </w:rPr>
        <w:t xml:space="preserve"> </w:t>
      </w:r>
      <w:r w:rsidR="00B24B38" w:rsidRPr="0076547B">
        <w:rPr>
          <w:color w:val="000000" w:themeColor="text1"/>
          <w:sz w:val="22"/>
          <w:szCs w:val="22"/>
        </w:rPr>
        <w:t xml:space="preserve">of </w:t>
      </w:r>
      <w:r w:rsidR="00B50175" w:rsidRPr="0076547B">
        <w:rPr>
          <w:color w:val="000000" w:themeColor="text1"/>
          <w:sz w:val="22"/>
          <w:szCs w:val="22"/>
        </w:rPr>
        <w:t>po</w:t>
      </w:r>
      <w:r w:rsidR="0076547B" w:rsidRPr="0076547B">
        <w:rPr>
          <w:color w:val="000000" w:themeColor="text1"/>
          <w:sz w:val="22"/>
          <w:szCs w:val="22"/>
        </w:rPr>
        <w:t>st-</w:t>
      </w:r>
      <w:r w:rsidR="00B24B38" w:rsidRPr="0076547B">
        <w:rPr>
          <w:color w:val="000000" w:themeColor="text1"/>
          <w:sz w:val="22"/>
          <w:szCs w:val="22"/>
        </w:rPr>
        <w:t xml:space="preserve">16 places </w:t>
      </w:r>
      <w:r w:rsidR="00CA2B83" w:rsidRPr="0076547B">
        <w:rPr>
          <w:color w:val="000000" w:themeColor="text1"/>
          <w:sz w:val="22"/>
          <w:szCs w:val="22"/>
        </w:rPr>
        <w:t>brought forward from the 2022/23</w:t>
      </w:r>
      <w:r w:rsidR="00CE770B" w:rsidRPr="0076547B">
        <w:rPr>
          <w:color w:val="000000" w:themeColor="text1"/>
          <w:sz w:val="22"/>
          <w:szCs w:val="22"/>
        </w:rPr>
        <w:t xml:space="preserve"> academic year that</w:t>
      </w:r>
      <w:r w:rsidR="003850B1" w:rsidRPr="0076547B">
        <w:rPr>
          <w:color w:val="000000" w:themeColor="text1"/>
          <w:sz w:val="22"/>
          <w:szCs w:val="22"/>
        </w:rPr>
        <w:t xml:space="preserve"> </w:t>
      </w:r>
      <w:r w:rsidR="000D1D3E" w:rsidRPr="0076547B">
        <w:rPr>
          <w:color w:val="000000" w:themeColor="text1"/>
          <w:sz w:val="22"/>
          <w:szCs w:val="22"/>
        </w:rPr>
        <w:t>will</w:t>
      </w:r>
      <w:r w:rsidR="00CE770B" w:rsidRPr="0076547B">
        <w:rPr>
          <w:color w:val="000000" w:themeColor="text1"/>
          <w:sz w:val="22"/>
          <w:szCs w:val="22"/>
        </w:rPr>
        <w:t xml:space="preserve"> be</w:t>
      </w:r>
      <w:r w:rsidR="000D1D3E" w:rsidRPr="0076547B">
        <w:rPr>
          <w:color w:val="000000" w:themeColor="text1"/>
          <w:sz w:val="22"/>
          <w:szCs w:val="22"/>
        </w:rPr>
        <w:t xml:space="preserve"> </w:t>
      </w:r>
      <w:r w:rsidR="00CE770B" w:rsidRPr="0076547B">
        <w:rPr>
          <w:color w:val="000000" w:themeColor="text1"/>
          <w:sz w:val="22"/>
          <w:szCs w:val="22"/>
        </w:rPr>
        <w:t>the starting point for commissioning</w:t>
      </w:r>
      <w:r w:rsidR="00B24B38" w:rsidRPr="0076547B">
        <w:rPr>
          <w:color w:val="000000" w:themeColor="text1"/>
          <w:sz w:val="22"/>
          <w:szCs w:val="22"/>
        </w:rPr>
        <w:t xml:space="preserve"> from the</w:t>
      </w:r>
      <w:r w:rsidR="00B50175" w:rsidRPr="0076547B">
        <w:rPr>
          <w:color w:val="000000" w:themeColor="text1"/>
          <w:sz w:val="22"/>
          <w:szCs w:val="22"/>
        </w:rPr>
        <w:t xml:space="preserve"> Further</w:t>
      </w:r>
      <w:r w:rsidR="00CA2B83" w:rsidRPr="0076547B">
        <w:rPr>
          <w:color w:val="000000" w:themeColor="text1"/>
          <w:sz w:val="22"/>
          <w:szCs w:val="22"/>
        </w:rPr>
        <w:t xml:space="preserve"> Education Colleges for the 2023/24</w:t>
      </w:r>
      <w:r w:rsidR="00B50175" w:rsidRPr="0076547B">
        <w:rPr>
          <w:color w:val="000000" w:themeColor="text1"/>
          <w:sz w:val="22"/>
          <w:szCs w:val="22"/>
        </w:rPr>
        <w:t xml:space="preserve"> a</w:t>
      </w:r>
      <w:r w:rsidR="00CE770B" w:rsidRPr="0076547B">
        <w:rPr>
          <w:color w:val="000000" w:themeColor="text1"/>
          <w:sz w:val="22"/>
          <w:szCs w:val="22"/>
        </w:rPr>
        <w:t>cademic year</w:t>
      </w:r>
      <w:r w:rsidR="00B50175" w:rsidRPr="0076547B">
        <w:rPr>
          <w:color w:val="000000" w:themeColor="text1"/>
          <w:sz w:val="22"/>
          <w:szCs w:val="22"/>
        </w:rPr>
        <w:t>.</w:t>
      </w:r>
      <w:r w:rsidR="00CA2B83" w:rsidRPr="0076547B">
        <w:rPr>
          <w:color w:val="000000" w:themeColor="text1"/>
          <w:sz w:val="22"/>
          <w:szCs w:val="22"/>
        </w:rPr>
        <w:t xml:space="preserve"> The 2023/24</w:t>
      </w:r>
      <w:r w:rsidR="00CE770B" w:rsidRPr="0076547B">
        <w:rPr>
          <w:color w:val="000000" w:themeColor="text1"/>
          <w:sz w:val="22"/>
          <w:szCs w:val="22"/>
        </w:rPr>
        <w:t xml:space="preserve"> n</w:t>
      </w:r>
      <w:r w:rsidRPr="0076547B">
        <w:rPr>
          <w:color w:val="000000" w:themeColor="text1"/>
          <w:sz w:val="22"/>
          <w:szCs w:val="22"/>
        </w:rPr>
        <w:t xml:space="preserve">umbers are </w:t>
      </w:r>
      <w:r w:rsidR="003850B1" w:rsidRPr="0076547B">
        <w:rPr>
          <w:color w:val="000000" w:themeColor="text1"/>
          <w:sz w:val="22"/>
          <w:szCs w:val="22"/>
        </w:rPr>
        <w:t xml:space="preserve">currently </w:t>
      </w:r>
      <w:r w:rsidR="00CE770B" w:rsidRPr="0076547B">
        <w:rPr>
          <w:color w:val="000000" w:themeColor="text1"/>
          <w:sz w:val="22"/>
          <w:szCs w:val="22"/>
        </w:rPr>
        <w:t xml:space="preserve">still </w:t>
      </w:r>
      <w:r w:rsidR="003850B1" w:rsidRPr="0076547B">
        <w:rPr>
          <w:color w:val="000000" w:themeColor="text1"/>
          <w:sz w:val="22"/>
          <w:szCs w:val="22"/>
        </w:rPr>
        <w:t>being</w:t>
      </w:r>
      <w:r w:rsidR="00B24B38" w:rsidRPr="0076547B">
        <w:rPr>
          <w:color w:val="000000" w:themeColor="text1"/>
          <w:sz w:val="22"/>
          <w:szCs w:val="22"/>
        </w:rPr>
        <w:t xml:space="preserve"> discussed </w:t>
      </w:r>
      <w:r w:rsidR="000D1D3E" w:rsidRPr="0076547B">
        <w:rPr>
          <w:color w:val="000000" w:themeColor="text1"/>
          <w:sz w:val="22"/>
          <w:szCs w:val="22"/>
        </w:rPr>
        <w:t xml:space="preserve">and finalised </w:t>
      </w:r>
      <w:r w:rsidR="00B24B38" w:rsidRPr="0076547B">
        <w:rPr>
          <w:color w:val="000000" w:themeColor="text1"/>
          <w:sz w:val="22"/>
          <w:szCs w:val="22"/>
        </w:rPr>
        <w:t>with the Colleges</w:t>
      </w:r>
      <w:r w:rsidR="003850B1" w:rsidRPr="0076547B">
        <w:rPr>
          <w:color w:val="000000" w:themeColor="text1"/>
          <w:sz w:val="22"/>
          <w:szCs w:val="22"/>
        </w:rPr>
        <w:t xml:space="preserve"> themselves</w:t>
      </w:r>
      <w:r w:rsidRPr="0076547B">
        <w:rPr>
          <w:color w:val="000000" w:themeColor="text1"/>
          <w:sz w:val="22"/>
          <w:szCs w:val="22"/>
        </w:rPr>
        <w:t>.</w:t>
      </w:r>
    </w:p>
    <w:p w:rsidR="00B50175" w:rsidRPr="00B43F04" w:rsidRDefault="00B50175" w:rsidP="00B43F04">
      <w:pPr>
        <w:jc w:val="both"/>
        <w:rPr>
          <w:sz w:val="22"/>
          <w:szCs w:val="22"/>
        </w:rPr>
      </w:pPr>
    </w:p>
    <w:p w:rsidR="00B50175" w:rsidRDefault="00CE770B" w:rsidP="00CC2278">
      <w:pPr>
        <w:pStyle w:val="ListParagraph"/>
        <w:numPr>
          <w:ilvl w:val="0"/>
          <w:numId w:val="4"/>
        </w:numPr>
        <w:ind w:left="360"/>
        <w:jc w:val="both"/>
        <w:rPr>
          <w:sz w:val="22"/>
          <w:szCs w:val="22"/>
        </w:rPr>
      </w:pPr>
      <w:r>
        <w:rPr>
          <w:sz w:val="22"/>
          <w:szCs w:val="22"/>
        </w:rPr>
        <w:t>The</w:t>
      </w:r>
      <w:r w:rsidR="00B24B38">
        <w:rPr>
          <w:sz w:val="22"/>
          <w:szCs w:val="22"/>
        </w:rPr>
        <w:t xml:space="preserve"> </w:t>
      </w:r>
      <w:r w:rsidR="00B50175">
        <w:rPr>
          <w:sz w:val="22"/>
          <w:szCs w:val="22"/>
        </w:rPr>
        <w:t>consolidation and expansion of provision for pupils permanently excluded</w:t>
      </w:r>
      <w:r w:rsidR="000D1D3E">
        <w:rPr>
          <w:sz w:val="22"/>
          <w:szCs w:val="22"/>
        </w:rPr>
        <w:t xml:space="preserve"> in alternative provisions</w:t>
      </w:r>
      <w:r w:rsidR="003850B1">
        <w:rPr>
          <w:sz w:val="22"/>
          <w:szCs w:val="22"/>
        </w:rPr>
        <w:t>.</w:t>
      </w:r>
    </w:p>
    <w:p w:rsidR="00022504" w:rsidRPr="001870E0" w:rsidRDefault="00022504" w:rsidP="00CC2278">
      <w:pPr>
        <w:jc w:val="both"/>
        <w:rPr>
          <w:color w:val="000000" w:themeColor="text1"/>
          <w:sz w:val="22"/>
          <w:szCs w:val="22"/>
        </w:rPr>
      </w:pPr>
    </w:p>
    <w:p w:rsidR="0085345C" w:rsidRDefault="00CA2B83" w:rsidP="008F6BDC">
      <w:pPr>
        <w:pStyle w:val="ListParagraph"/>
        <w:numPr>
          <w:ilvl w:val="0"/>
          <w:numId w:val="4"/>
        </w:numPr>
        <w:ind w:left="360"/>
        <w:jc w:val="both"/>
        <w:rPr>
          <w:color w:val="000000" w:themeColor="text1"/>
          <w:sz w:val="22"/>
          <w:szCs w:val="22"/>
        </w:rPr>
      </w:pPr>
      <w:r>
        <w:rPr>
          <w:color w:val="000000" w:themeColor="text1"/>
          <w:sz w:val="22"/>
          <w:szCs w:val="22"/>
        </w:rPr>
        <w:t>The</w:t>
      </w:r>
      <w:r w:rsidR="00B24B38">
        <w:rPr>
          <w:color w:val="000000" w:themeColor="text1"/>
          <w:sz w:val="22"/>
          <w:szCs w:val="22"/>
        </w:rPr>
        <w:t xml:space="preserve"> </w:t>
      </w:r>
      <w:r w:rsidR="00022504">
        <w:rPr>
          <w:color w:val="000000" w:themeColor="text1"/>
          <w:sz w:val="22"/>
          <w:szCs w:val="22"/>
        </w:rPr>
        <w:t xml:space="preserve">amalgamation of </w:t>
      </w:r>
      <w:r w:rsidR="00B24B38">
        <w:rPr>
          <w:color w:val="000000" w:themeColor="text1"/>
          <w:sz w:val="22"/>
          <w:szCs w:val="22"/>
        </w:rPr>
        <w:t xml:space="preserve">the </w:t>
      </w:r>
      <w:r w:rsidR="00022504">
        <w:rPr>
          <w:color w:val="000000" w:themeColor="text1"/>
          <w:sz w:val="22"/>
          <w:szCs w:val="22"/>
        </w:rPr>
        <w:t xml:space="preserve">hospital education and Tracks </w:t>
      </w:r>
      <w:r w:rsidR="003850B1">
        <w:rPr>
          <w:color w:val="000000" w:themeColor="text1"/>
          <w:sz w:val="22"/>
          <w:szCs w:val="22"/>
        </w:rPr>
        <w:t>services</w:t>
      </w:r>
      <w:r w:rsidR="00022504">
        <w:rPr>
          <w:color w:val="000000" w:themeColor="text1"/>
          <w:sz w:val="22"/>
          <w:szCs w:val="22"/>
        </w:rPr>
        <w:t xml:space="preserve"> within a single </w:t>
      </w:r>
      <w:r w:rsidR="003850B1">
        <w:rPr>
          <w:color w:val="000000" w:themeColor="text1"/>
          <w:sz w:val="22"/>
          <w:szCs w:val="22"/>
        </w:rPr>
        <w:t>Local-Authority managed service, meaning that the places presented</w:t>
      </w:r>
      <w:r w:rsidR="000D1D3E">
        <w:rPr>
          <w:color w:val="000000" w:themeColor="text1"/>
          <w:sz w:val="22"/>
          <w:szCs w:val="22"/>
        </w:rPr>
        <w:t xml:space="preserve"> in Appendix 4 are now </w:t>
      </w:r>
      <w:r w:rsidR="003850B1">
        <w:rPr>
          <w:color w:val="000000" w:themeColor="text1"/>
          <w:sz w:val="22"/>
          <w:szCs w:val="22"/>
        </w:rPr>
        <w:t>‘notional’.</w:t>
      </w:r>
    </w:p>
    <w:p w:rsidR="000D1D3E" w:rsidRDefault="000D1D3E" w:rsidP="000D1D3E">
      <w:pPr>
        <w:pStyle w:val="ListParagraph"/>
        <w:rPr>
          <w:color w:val="000000" w:themeColor="text1"/>
          <w:sz w:val="22"/>
          <w:szCs w:val="22"/>
        </w:rPr>
      </w:pPr>
    </w:p>
    <w:p w:rsidR="000D1D3E" w:rsidRPr="008B4B3D" w:rsidRDefault="000D1D3E" w:rsidP="008B4B3D">
      <w:pPr>
        <w:jc w:val="both"/>
        <w:rPr>
          <w:color w:val="000000" w:themeColor="text1"/>
          <w:sz w:val="22"/>
          <w:szCs w:val="22"/>
        </w:rPr>
      </w:pPr>
    </w:p>
    <w:p w:rsidR="00C41CF3" w:rsidRPr="003027C3" w:rsidRDefault="001B1A21" w:rsidP="00C41CF3">
      <w:pPr>
        <w:jc w:val="both"/>
        <w:rPr>
          <w:sz w:val="22"/>
          <w:szCs w:val="22"/>
        </w:rPr>
      </w:pPr>
      <w:r w:rsidRPr="003027C3">
        <w:rPr>
          <w:b/>
          <w:sz w:val="22"/>
          <w:szCs w:val="22"/>
        </w:rPr>
        <w:t>6</w:t>
      </w:r>
      <w:r w:rsidR="00C41CF3" w:rsidRPr="003027C3">
        <w:rPr>
          <w:b/>
          <w:sz w:val="22"/>
          <w:szCs w:val="22"/>
        </w:rPr>
        <w:t>.</w:t>
      </w:r>
      <w:r w:rsidR="00C41CF3" w:rsidRPr="003027C3">
        <w:rPr>
          <w:b/>
          <w:sz w:val="22"/>
          <w:szCs w:val="22"/>
        </w:rPr>
        <w:tab/>
        <w:t>Top-Up Funding</w:t>
      </w:r>
      <w:r w:rsidR="0041564E">
        <w:rPr>
          <w:b/>
          <w:sz w:val="22"/>
          <w:szCs w:val="22"/>
        </w:rPr>
        <w:t xml:space="preserve"> for EHCPs</w:t>
      </w:r>
      <w:r w:rsidR="00CA2B83">
        <w:rPr>
          <w:b/>
          <w:sz w:val="22"/>
          <w:szCs w:val="22"/>
        </w:rPr>
        <w:t xml:space="preserve"> 2023/24</w:t>
      </w:r>
      <w:r w:rsidR="00C6158B" w:rsidRPr="003027C3">
        <w:rPr>
          <w:b/>
          <w:sz w:val="22"/>
          <w:szCs w:val="22"/>
        </w:rPr>
        <w:t>: Pupil-Led Need</w:t>
      </w:r>
    </w:p>
    <w:p w:rsidR="00156D01" w:rsidRDefault="00156D01" w:rsidP="001B416B">
      <w:pPr>
        <w:jc w:val="both"/>
        <w:rPr>
          <w:sz w:val="22"/>
          <w:szCs w:val="22"/>
        </w:rPr>
      </w:pPr>
    </w:p>
    <w:p w:rsidR="003027C3" w:rsidRDefault="003027C3" w:rsidP="003027C3">
      <w:pPr>
        <w:jc w:val="both"/>
        <w:rPr>
          <w:sz w:val="22"/>
          <w:szCs w:val="22"/>
        </w:rPr>
      </w:pPr>
      <w:r>
        <w:rPr>
          <w:sz w:val="22"/>
          <w:szCs w:val="22"/>
        </w:rPr>
        <w:t>6.1 Top-up funding (also known as Element 3 or ‘Plus’ funding) is the funding required by an institution, over and above place</w:t>
      </w:r>
      <w:r w:rsidR="001677B1">
        <w:rPr>
          <w:sz w:val="22"/>
          <w:szCs w:val="22"/>
        </w:rPr>
        <w:t>-element</w:t>
      </w:r>
      <w:r>
        <w:rPr>
          <w:sz w:val="22"/>
          <w:szCs w:val="22"/>
        </w:rPr>
        <w:t xml:space="preserve"> funding, to enable a child or young person with high needs to participate in education and learning. Top-up funding is expected to reflect the cost of additional support an institution incurs related to the individual needs of the child or young person. In this document this is called ‘Pupil-Led Need’</w:t>
      </w:r>
      <w:r w:rsidR="001677B1">
        <w:rPr>
          <w:sz w:val="22"/>
          <w:szCs w:val="22"/>
        </w:rPr>
        <w:t xml:space="preserve"> and this is </w:t>
      </w:r>
      <w:r w:rsidR="001677B1" w:rsidRPr="009A0A13">
        <w:rPr>
          <w:color w:val="000000" w:themeColor="text1"/>
          <w:sz w:val="22"/>
          <w:szCs w:val="22"/>
        </w:rPr>
        <w:t>discussed further in this section</w:t>
      </w:r>
      <w:r w:rsidRPr="009A0A13">
        <w:rPr>
          <w:color w:val="000000" w:themeColor="text1"/>
          <w:sz w:val="22"/>
          <w:szCs w:val="22"/>
        </w:rPr>
        <w:t>. Top-up funding can also reflect costs (and differences in costs) related to the setting that the ch</w:t>
      </w:r>
      <w:r w:rsidR="00F92CE4" w:rsidRPr="009A0A13">
        <w:rPr>
          <w:color w:val="000000" w:themeColor="text1"/>
          <w:sz w:val="22"/>
          <w:szCs w:val="22"/>
        </w:rPr>
        <w:t>ild or young person is placed at</w:t>
      </w:r>
      <w:r w:rsidRPr="009A0A13">
        <w:rPr>
          <w:color w:val="000000" w:themeColor="text1"/>
          <w:sz w:val="22"/>
          <w:szCs w:val="22"/>
        </w:rPr>
        <w:t xml:space="preserve">. In this document this is called ‘Setting-Led Need’ and this is discussed further in </w:t>
      </w:r>
      <w:r w:rsidR="00D1596F" w:rsidRPr="009A0A13">
        <w:rPr>
          <w:color w:val="000000" w:themeColor="text1"/>
          <w:sz w:val="22"/>
          <w:szCs w:val="22"/>
        </w:rPr>
        <w:t>section</w:t>
      </w:r>
      <w:r w:rsidRPr="009A0A13">
        <w:rPr>
          <w:color w:val="000000" w:themeColor="text1"/>
          <w:sz w:val="22"/>
          <w:szCs w:val="22"/>
        </w:rPr>
        <w:t xml:space="preserve"> 7. How </w:t>
      </w:r>
      <w:r w:rsidR="00D32993" w:rsidRPr="009A0A13">
        <w:rPr>
          <w:color w:val="000000" w:themeColor="text1"/>
          <w:sz w:val="22"/>
          <w:szCs w:val="22"/>
        </w:rPr>
        <w:t>top-up</w:t>
      </w:r>
      <w:r w:rsidR="005D7E23" w:rsidRPr="009A0A13">
        <w:rPr>
          <w:color w:val="000000" w:themeColor="text1"/>
          <w:sz w:val="22"/>
          <w:szCs w:val="22"/>
        </w:rPr>
        <w:t xml:space="preserve"> funding is allocated to </w:t>
      </w:r>
      <w:r w:rsidRPr="009A0A13">
        <w:rPr>
          <w:color w:val="000000" w:themeColor="text1"/>
          <w:sz w:val="22"/>
          <w:szCs w:val="22"/>
        </w:rPr>
        <w:t>PRUs</w:t>
      </w:r>
      <w:r w:rsidR="004970CA" w:rsidRPr="009A0A13">
        <w:rPr>
          <w:color w:val="000000" w:themeColor="text1"/>
          <w:sz w:val="22"/>
          <w:szCs w:val="22"/>
        </w:rPr>
        <w:t xml:space="preserve"> </w:t>
      </w:r>
      <w:r w:rsidR="00BD17FA" w:rsidRPr="009A0A13">
        <w:rPr>
          <w:color w:val="000000" w:themeColor="text1"/>
          <w:sz w:val="22"/>
          <w:szCs w:val="22"/>
        </w:rPr>
        <w:t xml:space="preserve">and </w:t>
      </w:r>
      <w:r w:rsidR="00871F81" w:rsidRPr="009A0A13">
        <w:rPr>
          <w:color w:val="000000" w:themeColor="text1"/>
          <w:sz w:val="22"/>
          <w:szCs w:val="22"/>
        </w:rPr>
        <w:t xml:space="preserve">to </w:t>
      </w:r>
      <w:r w:rsidR="00BD17FA" w:rsidRPr="009A0A13">
        <w:rPr>
          <w:color w:val="000000" w:themeColor="text1"/>
          <w:sz w:val="22"/>
          <w:szCs w:val="22"/>
        </w:rPr>
        <w:t>Alternative P</w:t>
      </w:r>
      <w:r w:rsidR="00871F81" w:rsidRPr="009A0A13">
        <w:rPr>
          <w:color w:val="000000" w:themeColor="text1"/>
          <w:sz w:val="22"/>
          <w:szCs w:val="22"/>
        </w:rPr>
        <w:t>rovision A</w:t>
      </w:r>
      <w:r w:rsidR="005D7E23" w:rsidRPr="009A0A13">
        <w:rPr>
          <w:color w:val="000000" w:themeColor="text1"/>
          <w:sz w:val="22"/>
          <w:szCs w:val="22"/>
        </w:rPr>
        <w:t>cademies</w:t>
      </w:r>
      <w:r w:rsidR="00871F81" w:rsidRPr="009A0A13">
        <w:rPr>
          <w:color w:val="000000" w:themeColor="text1"/>
          <w:sz w:val="22"/>
          <w:szCs w:val="22"/>
        </w:rPr>
        <w:t>,</w:t>
      </w:r>
      <w:r w:rsidR="005D7E23" w:rsidRPr="009A0A13">
        <w:rPr>
          <w:color w:val="000000" w:themeColor="text1"/>
          <w:sz w:val="22"/>
          <w:szCs w:val="22"/>
        </w:rPr>
        <w:t xml:space="preserve"> </w:t>
      </w:r>
      <w:r w:rsidR="004970CA" w:rsidRPr="009A0A13">
        <w:rPr>
          <w:color w:val="000000" w:themeColor="text1"/>
          <w:sz w:val="22"/>
          <w:szCs w:val="22"/>
        </w:rPr>
        <w:t>for provision for pupils permanently excluded</w:t>
      </w:r>
      <w:r w:rsidR="00BD17FA" w:rsidRPr="009A0A13">
        <w:rPr>
          <w:color w:val="000000" w:themeColor="text1"/>
          <w:sz w:val="22"/>
          <w:szCs w:val="22"/>
        </w:rPr>
        <w:t xml:space="preserve"> rather than </w:t>
      </w:r>
      <w:r w:rsidR="004977C0" w:rsidRPr="009A0A13">
        <w:rPr>
          <w:color w:val="000000" w:themeColor="text1"/>
          <w:sz w:val="22"/>
          <w:szCs w:val="22"/>
        </w:rPr>
        <w:t xml:space="preserve">specifically </w:t>
      </w:r>
      <w:r w:rsidR="00BD17FA" w:rsidRPr="009A0A13">
        <w:rPr>
          <w:color w:val="000000" w:themeColor="text1"/>
          <w:sz w:val="22"/>
          <w:szCs w:val="22"/>
        </w:rPr>
        <w:t>for children and young people with EHCPs,</w:t>
      </w:r>
      <w:r w:rsidR="00871F81" w:rsidRPr="009A0A13">
        <w:rPr>
          <w:color w:val="000000" w:themeColor="text1"/>
          <w:sz w:val="22"/>
          <w:szCs w:val="22"/>
        </w:rPr>
        <w:t xml:space="preserve"> is</w:t>
      </w:r>
      <w:r w:rsidR="0041564E" w:rsidRPr="009A0A13">
        <w:rPr>
          <w:color w:val="000000" w:themeColor="text1"/>
          <w:sz w:val="22"/>
          <w:szCs w:val="22"/>
        </w:rPr>
        <w:t xml:space="preserve"> </w:t>
      </w:r>
      <w:r w:rsidRPr="009A0A13">
        <w:rPr>
          <w:color w:val="000000" w:themeColor="text1"/>
          <w:sz w:val="22"/>
          <w:szCs w:val="22"/>
        </w:rPr>
        <w:t xml:space="preserve">discussed in </w:t>
      </w:r>
      <w:r w:rsidR="00D1596F" w:rsidRPr="009A0A13">
        <w:rPr>
          <w:color w:val="000000" w:themeColor="text1"/>
          <w:sz w:val="22"/>
          <w:szCs w:val="22"/>
        </w:rPr>
        <w:t>section</w:t>
      </w:r>
      <w:r w:rsidRPr="009A0A13">
        <w:rPr>
          <w:color w:val="000000" w:themeColor="text1"/>
          <w:sz w:val="22"/>
          <w:szCs w:val="22"/>
        </w:rPr>
        <w:t xml:space="preserve"> 8.</w:t>
      </w:r>
    </w:p>
    <w:p w:rsidR="003027C3" w:rsidRDefault="003027C3" w:rsidP="003027C3">
      <w:pPr>
        <w:jc w:val="both"/>
        <w:rPr>
          <w:sz w:val="22"/>
          <w:szCs w:val="22"/>
        </w:rPr>
      </w:pPr>
    </w:p>
    <w:p w:rsidR="003027C3" w:rsidRPr="00CA2B83" w:rsidRDefault="003027C3" w:rsidP="003027C3">
      <w:pPr>
        <w:jc w:val="both"/>
        <w:rPr>
          <w:color w:val="FF0000"/>
          <w:sz w:val="22"/>
          <w:szCs w:val="22"/>
        </w:rPr>
      </w:pPr>
      <w:r>
        <w:rPr>
          <w:sz w:val="22"/>
          <w:szCs w:val="22"/>
        </w:rPr>
        <w:t xml:space="preserve">6.2 </w:t>
      </w:r>
      <w:r w:rsidR="0058749F">
        <w:rPr>
          <w:sz w:val="22"/>
          <w:szCs w:val="22"/>
        </w:rPr>
        <w:t>Across all local authorities</w:t>
      </w:r>
      <w:r w:rsidR="000B1C8A">
        <w:rPr>
          <w:sz w:val="22"/>
          <w:szCs w:val="22"/>
        </w:rPr>
        <w:t>, m</w:t>
      </w:r>
      <w:r>
        <w:rPr>
          <w:sz w:val="22"/>
          <w:szCs w:val="22"/>
        </w:rPr>
        <w:t>ost children and young people receiving high needs</w:t>
      </w:r>
      <w:r w:rsidR="00871F81">
        <w:rPr>
          <w:sz w:val="22"/>
          <w:szCs w:val="22"/>
        </w:rPr>
        <w:t xml:space="preserve"> </w:t>
      </w:r>
      <w:r w:rsidR="00D32993">
        <w:rPr>
          <w:sz w:val="22"/>
          <w:szCs w:val="22"/>
        </w:rPr>
        <w:t>top-up</w:t>
      </w:r>
      <w:r>
        <w:rPr>
          <w:sz w:val="22"/>
          <w:szCs w:val="22"/>
        </w:rPr>
        <w:t xml:space="preserve"> funding will have an E</w:t>
      </w:r>
      <w:r w:rsidR="00871F81">
        <w:rPr>
          <w:sz w:val="22"/>
          <w:szCs w:val="22"/>
        </w:rPr>
        <w:t xml:space="preserve">ducation </w:t>
      </w:r>
      <w:r>
        <w:rPr>
          <w:sz w:val="22"/>
          <w:szCs w:val="22"/>
        </w:rPr>
        <w:t>H</w:t>
      </w:r>
      <w:r w:rsidR="00871F81">
        <w:rPr>
          <w:sz w:val="22"/>
          <w:szCs w:val="22"/>
        </w:rPr>
        <w:t>ealth and Care Plan (EHC</w:t>
      </w:r>
      <w:r>
        <w:rPr>
          <w:sz w:val="22"/>
          <w:szCs w:val="22"/>
        </w:rPr>
        <w:t>P</w:t>
      </w:r>
      <w:r w:rsidR="00871F81">
        <w:rPr>
          <w:sz w:val="22"/>
          <w:szCs w:val="22"/>
        </w:rPr>
        <w:t>)</w:t>
      </w:r>
      <w:r w:rsidR="009A0A13">
        <w:rPr>
          <w:sz w:val="22"/>
          <w:szCs w:val="22"/>
        </w:rPr>
        <w:t>,</w:t>
      </w:r>
      <w:r w:rsidR="00871F81">
        <w:rPr>
          <w:sz w:val="22"/>
          <w:szCs w:val="22"/>
        </w:rPr>
        <w:t xml:space="preserve"> resulting from the statutory assessment process</w:t>
      </w:r>
      <w:r>
        <w:rPr>
          <w:sz w:val="22"/>
          <w:szCs w:val="22"/>
        </w:rPr>
        <w:t xml:space="preserve">. Local authorities </w:t>
      </w:r>
      <w:r w:rsidR="00871F81">
        <w:rPr>
          <w:sz w:val="22"/>
          <w:szCs w:val="22"/>
        </w:rPr>
        <w:t xml:space="preserve">do </w:t>
      </w:r>
      <w:r>
        <w:rPr>
          <w:sz w:val="22"/>
          <w:szCs w:val="22"/>
        </w:rPr>
        <w:t>have the fle</w:t>
      </w:r>
      <w:r w:rsidR="006A5818">
        <w:rPr>
          <w:sz w:val="22"/>
          <w:szCs w:val="22"/>
        </w:rPr>
        <w:t>xibility to allocate</w:t>
      </w:r>
      <w:r w:rsidR="00871F81">
        <w:rPr>
          <w:sz w:val="22"/>
          <w:szCs w:val="22"/>
        </w:rPr>
        <w:t xml:space="preserve"> high needs f</w:t>
      </w:r>
      <w:r>
        <w:rPr>
          <w:sz w:val="22"/>
          <w:szCs w:val="22"/>
        </w:rPr>
        <w:t>unding outside the stat</w:t>
      </w:r>
      <w:r w:rsidR="00871F81">
        <w:rPr>
          <w:sz w:val="22"/>
          <w:szCs w:val="22"/>
        </w:rPr>
        <w:t>utory assessment process for</w:t>
      </w:r>
      <w:r>
        <w:rPr>
          <w:sz w:val="22"/>
          <w:szCs w:val="22"/>
        </w:rPr>
        <w:t xml:space="preserve"> children and young people up to the age of 19.</w:t>
      </w:r>
      <w:r w:rsidR="004977C0">
        <w:rPr>
          <w:sz w:val="22"/>
          <w:szCs w:val="22"/>
        </w:rPr>
        <w:t xml:space="preserve"> An example of this might be where a local authority provides funding from the</w:t>
      </w:r>
      <w:r w:rsidR="0058749F">
        <w:rPr>
          <w:sz w:val="22"/>
          <w:szCs w:val="22"/>
        </w:rPr>
        <w:t>ir</w:t>
      </w:r>
      <w:r w:rsidR="004977C0">
        <w:rPr>
          <w:sz w:val="22"/>
          <w:szCs w:val="22"/>
        </w:rPr>
        <w:t xml:space="preserve"> High Needs Block to support</w:t>
      </w:r>
      <w:r w:rsidR="0058749F">
        <w:rPr>
          <w:sz w:val="22"/>
          <w:szCs w:val="22"/>
        </w:rPr>
        <w:t xml:space="preserve"> </w:t>
      </w:r>
      <w:r w:rsidR="004977C0">
        <w:rPr>
          <w:sz w:val="22"/>
          <w:szCs w:val="22"/>
        </w:rPr>
        <w:t>school</w:t>
      </w:r>
      <w:r w:rsidR="0058749F">
        <w:rPr>
          <w:sz w:val="22"/>
          <w:szCs w:val="22"/>
        </w:rPr>
        <w:t>s, or</w:t>
      </w:r>
      <w:r w:rsidR="004977C0">
        <w:rPr>
          <w:sz w:val="22"/>
          <w:szCs w:val="22"/>
        </w:rPr>
        <w:t xml:space="preserve"> cluster</w:t>
      </w:r>
      <w:r w:rsidR="0058749F">
        <w:rPr>
          <w:sz w:val="22"/>
          <w:szCs w:val="22"/>
        </w:rPr>
        <w:t>s of</w:t>
      </w:r>
      <w:r w:rsidR="004977C0">
        <w:rPr>
          <w:sz w:val="22"/>
          <w:szCs w:val="22"/>
        </w:rPr>
        <w:t xml:space="preserve"> schools</w:t>
      </w:r>
      <w:r w:rsidR="0058749F">
        <w:rPr>
          <w:sz w:val="22"/>
          <w:szCs w:val="22"/>
        </w:rPr>
        <w:t>,</w:t>
      </w:r>
      <w:r w:rsidR="004977C0">
        <w:rPr>
          <w:sz w:val="22"/>
          <w:szCs w:val="22"/>
        </w:rPr>
        <w:t xml:space="preserve"> to commission alternative </w:t>
      </w:r>
      <w:r w:rsidR="004977C0" w:rsidRPr="009A0A13">
        <w:rPr>
          <w:color w:val="000000" w:themeColor="text1"/>
          <w:sz w:val="22"/>
          <w:szCs w:val="22"/>
        </w:rPr>
        <w:t>provision for pupils that remain on the schools’ rolls.</w:t>
      </w:r>
      <w:r w:rsidRPr="009A0A13">
        <w:rPr>
          <w:color w:val="000000" w:themeColor="text1"/>
          <w:sz w:val="22"/>
          <w:szCs w:val="22"/>
        </w:rPr>
        <w:t xml:space="preserve"> </w:t>
      </w:r>
      <w:r w:rsidR="004074B0" w:rsidRPr="009A0A13">
        <w:rPr>
          <w:color w:val="000000" w:themeColor="text1"/>
          <w:sz w:val="22"/>
          <w:szCs w:val="22"/>
        </w:rPr>
        <w:t>W</w:t>
      </w:r>
      <w:r w:rsidR="00871F81" w:rsidRPr="009A0A13">
        <w:rPr>
          <w:color w:val="000000" w:themeColor="text1"/>
          <w:sz w:val="22"/>
          <w:szCs w:val="22"/>
        </w:rPr>
        <w:t>ith Bradford’s</w:t>
      </w:r>
      <w:r w:rsidR="00D07DCD" w:rsidRPr="009A0A13">
        <w:rPr>
          <w:color w:val="000000" w:themeColor="text1"/>
          <w:sz w:val="22"/>
          <w:szCs w:val="22"/>
        </w:rPr>
        <w:t xml:space="preserve"> Schools Forum,</w:t>
      </w:r>
      <w:r w:rsidR="00871F81" w:rsidRPr="009A0A13">
        <w:rPr>
          <w:color w:val="000000" w:themeColor="text1"/>
          <w:sz w:val="22"/>
          <w:szCs w:val="22"/>
        </w:rPr>
        <w:t xml:space="preserve"> </w:t>
      </w:r>
      <w:r w:rsidR="004074B0" w:rsidRPr="009A0A13">
        <w:rPr>
          <w:color w:val="000000" w:themeColor="text1"/>
          <w:sz w:val="22"/>
          <w:szCs w:val="22"/>
        </w:rPr>
        <w:t xml:space="preserve">Bradford Council </w:t>
      </w:r>
      <w:r w:rsidRPr="009A0A13">
        <w:rPr>
          <w:color w:val="000000" w:themeColor="text1"/>
          <w:sz w:val="22"/>
          <w:szCs w:val="22"/>
        </w:rPr>
        <w:t>has</w:t>
      </w:r>
      <w:r w:rsidR="00D07DCD" w:rsidRPr="009A0A13">
        <w:rPr>
          <w:color w:val="000000" w:themeColor="text1"/>
          <w:sz w:val="22"/>
          <w:szCs w:val="22"/>
        </w:rPr>
        <w:t xml:space="preserve"> previously</w:t>
      </w:r>
      <w:r w:rsidRPr="009A0A13">
        <w:rPr>
          <w:color w:val="000000" w:themeColor="text1"/>
          <w:sz w:val="22"/>
          <w:szCs w:val="22"/>
        </w:rPr>
        <w:t xml:space="preserve"> agreed for the High Needs Block</w:t>
      </w:r>
      <w:r w:rsidR="00D07DCD" w:rsidRPr="009A0A13">
        <w:rPr>
          <w:color w:val="000000" w:themeColor="text1"/>
          <w:sz w:val="22"/>
          <w:szCs w:val="22"/>
        </w:rPr>
        <w:t xml:space="preserve"> in Bradford</w:t>
      </w:r>
      <w:r w:rsidRPr="009A0A13">
        <w:rPr>
          <w:color w:val="000000" w:themeColor="text1"/>
          <w:sz w:val="22"/>
          <w:szCs w:val="22"/>
        </w:rPr>
        <w:t xml:space="preserve"> to </w:t>
      </w:r>
      <w:r w:rsidR="00871F81" w:rsidRPr="009A0A13">
        <w:rPr>
          <w:color w:val="000000" w:themeColor="text1"/>
          <w:sz w:val="22"/>
          <w:szCs w:val="22"/>
        </w:rPr>
        <w:t>‘</w:t>
      </w:r>
      <w:r w:rsidRPr="009A0A13">
        <w:rPr>
          <w:color w:val="000000" w:themeColor="text1"/>
          <w:sz w:val="22"/>
          <w:szCs w:val="22"/>
        </w:rPr>
        <w:t>step back</w:t>
      </w:r>
      <w:r w:rsidR="00871F81" w:rsidRPr="009A0A13">
        <w:rPr>
          <w:color w:val="000000" w:themeColor="text1"/>
          <w:sz w:val="22"/>
          <w:szCs w:val="22"/>
        </w:rPr>
        <w:t>’</w:t>
      </w:r>
      <w:r w:rsidRPr="009A0A13">
        <w:rPr>
          <w:color w:val="000000" w:themeColor="text1"/>
          <w:sz w:val="22"/>
          <w:szCs w:val="22"/>
        </w:rPr>
        <w:t xml:space="preserve"> </w:t>
      </w:r>
      <w:r w:rsidR="006A5818" w:rsidRPr="009A0A13">
        <w:rPr>
          <w:color w:val="000000" w:themeColor="text1"/>
          <w:sz w:val="22"/>
          <w:szCs w:val="22"/>
        </w:rPr>
        <w:t>from supporting</w:t>
      </w:r>
      <w:r w:rsidR="00871F81" w:rsidRPr="009A0A13">
        <w:rPr>
          <w:color w:val="000000" w:themeColor="text1"/>
          <w:sz w:val="22"/>
          <w:szCs w:val="22"/>
        </w:rPr>
        <w:t xml:space="preserve"> the cost o</w:t>
      </w:r>
      <w:r w:rsidR="006A5818" w:rsidRPr="009A0A13">
        <w:rPr>
          <w:color w:val="000000" w:themeColor="text1"/>
          <w:sz w:val="22"/>
          <w:szCs w:val="22"/>
        </w:rPr>
        <w:t>f placements for</w:t>
      </w:r>
      <w:r w:rsidRPr="009A0A13">
        <w:rPr>
          <w:color w:val="000000" w:themeColor="text1"/>
          <w:sz w:val="22"/>
          <w:szCs w:val="22"/>
        </w:rPr>
        <w:t xml:space="preserve"> children and young people that are placed</w:t>
      </w:r>
      <w:r w:rsidR="004074B0" w:rsidRPr="009A0A13">
        <w:rPr>
          <w:color w:val="000000" w:themeColor="text1"/>
          <w:sz w:val="22"/>
          <w:szCs w:val="22"/>
        </w:rPr>
        <w:t xml:space="preserve"> by schools</w:t>
      </w:r>
      <w:r w:rsidRPr="009A0A13">
        <w:rPr>
          <w:color w:val="000000" w:themeColor="text1"/>
          <w:sz w:val="22"/>
          <w:szCs w:val="22"/>
        </w:rPr>
        <w:t xml:space="preserve"> </w:t>
      </w:r>
      <w:r w:rsidR="004977C0" w:rsidRPr="009A0A13">
        <w:rPr>
          <w:color w:val="000000" w:themeColor="text1"/>
          <w:sz w:val="22"/>
          <w:szCs w:val="22"/>
        </w:rPr>
        <w:t>(rather than by the Local Authority)</w:t>
      </w:r>
      <w:r w:rsidR="0058749F" w:rsidRPr="009A0A13">
        <w:rPr>
          <w:color w:val="000000" w:themeColor="text1"/>
          <w:sz w:val="22"/>
          <w:szCs w:val="22"/>
        </w:rPr>
        <w:t xml:space="preserve"> in alternative provisions</w:t>
      </w:r>
      <w:r w:rsidRPr="009A0A13">
        <w:rPr>
          <w:color w:val="000000" w:themeColor="text1"/>
          <w:sz w:val="22"/>
          <w:szCs w:val="22"/>
        </w:rPr>
        <w:t xml:space="preserve">. </w:t>
      </w:r>
      <w:r w:rsidR="00871F81" w:rsidRPr="009A0A13">
        <w:rPr>
          <w:color w:val="000000" w:themeColor="text1"/>
          <w:sz w:val="22"/>
          <w:szCs w:val="22"/>
        </w:rPr>
        <w:t>In these instances, t</w:t>
      </w:r>
      <w:r w:rsidRPr="009A0A13">
        <w:rPr>
          <w:color w:val="000000" w:themeColor="text1"/>
          <w:sz w:val="22"/>
          <w:szCs w:val="22"/>
        </w:rPr>
        <w:t xml:space="preserve">he schools commissioning the </w:t>
      </w:r>
      <w:r w:rsidR="004074B0" w:rsidRPr="009A0A13">
        <w:rPr>
          <w:color w:val="000000" w:themeColor="text1"/>
          <w:sz w:val="22"/>
          <w:szCs w:val="22"/>
        </w:rPr>
        <w:t xml:space="preserve">alternative provision </w:t>
      </w:r>
      <w:r w:rsidRPr="009A0A13">
        <w:rPr>
          <w:color w:val="000000" w:themeColor="text1"/>
          <w:sz w:val="22"/>
          <w:szCs w:val="22"/>
        </w:rPr>
        <w:t xml:space="preserve">places (including through </w:t>
      </w:r>
      <w:r w:rsidR="00365FCB" w:rsidRPr="009A0A13">
        <w:rPr>
          <w:color w:val="000000" w:themeColor="text1"/>
          <w:sz w:val="22"/>
          <w:szCs w:val="22"/>
        </w:rPr>
        <w:t>the B</w:t>
      </w:r>
      <w:r w:rsidR="00D07DCD" w:rsidRPr="009A0A13">
        <w:rPr>
          <w:color w:val="000000" w:themeColor="text1"/>
          <w:sz w:val="22"/>
          <w:szCs w:val="22"/>
        </w:rPr>
        <w:t xml:space="preserve">ehaviour </w:t>
      </w:r>
      <w:r w:rsidR="00365FCB" w:rsidRPr="009A0A13">
        <w:rPr>
          <w:color w:val="000000" w:themeColor="text1"/>
          <w:sz w:val="22"/>
          <w:szCs w:val="22"/>
        </w:rPr>
        <w:t>A</w:t>
      </w:r>
      <w:r w:rsidR="00D07DCD" w:rsidRPr="009A0A13">
        <w:rPr>
          <w:color w:val="000000" w:themeColor="text1"/>
          <w:sz w:val="22"/>
          <w:szCs w:val="22"/>
        </w:rPr>
        <w:t>ttendance Collaborative</w:t>
      </w:r>
      <w:r w:rsidR="00365FCB" w:rsidRPr="009A0A13">
        <w:rPr>
          <w:color w:val="000000" w:themeColor="text1"/>
          <w:sz w:val="22"/>
          <w:szCs w:val="22"/>
        </w:rPr>
        <w:t xml:space="preserve"> in the secondary phase</w:t>
      </w:r>
      <w:r w:rsidR="004074B0" w:rsidRPr="009A0A13">
        <w:rPr>
          <w:color w:val="000000" w:themeColor="text1"/>
          <w:sz w:val="22"/>
          <w:szCs w:val="22"/>
        </w:rPr>
        <w:t>) are</w:t>
      </w:r>
      <w:r w:rsidR="00D07DCD" w:rsidRPr="009A0A13">
        <w:rPr>
          <w:color w:val="000000" w:themeColor="text1"/>
          <w:sz w:val="22"/>
          <w:szCs w:val="22"/>
        </w:rPr>
        <w:t xml:space="preserve"> expected to meet</w:t>
      </w:r>
      <w:r w:rsidR="0058749F" w:rsidRPr="009A0A13">
        <w:rPr>
          <w:color w:val="000000" w:themeColor="text1"/>
          <w:sz w:val="22"/>
          <w:szCs w:val="22"/>
        </w:rPr>
        <w:t xml:space="preserve"> the</w:t>
      </w:r>
      <w:r w:rsidRPr="009A0A13">
        <w:rPr>
          <w:color w:val="000000" w:themeColor="text1"/>
          <w:sz w:val="22"/>
          <w:szCs w:val="22"/>
        </w:rPr>
        <w:t xml:space="preserve"> </w:t>
      </w:r>
      <w:r w:rsidR="004977C0" w:rsidRPr="009A0A13">
        <w:rPr>
          <w:color w:val="000000" w:themeColor="text1"/>
          <w:sz w:val="22"/>
          <w:szCs w:val="22"/>
        </w:rPr>
        <w:t>placement</w:t>
      </w:r>
      <w:r w:rsidR="00871F81" w:rsidRPr="009A0A13">
        <w:rPr>
          <w:color w:val="000000" w:themeColor="text1"/>
          <w:sz w:val="22"/>
          <w:szCs w:val="22"/>
        </w:rPr>
        <w:t xml:space="preserve"> </w:t>
      </w:r>
      <w:r w:rsidRPr="009A0A13">
        <w:rPr>
          <w:color w:val="000000" w:themeColor="text1"/>
          <w:sz w:val="22"/>
          <w:szCs w:val="22"/>
        </w:rPr>
        <w:t>cost</w:t>
      </w:r>
      <w:r w:rsidR="00871F81" w:rsidRPr="009A0A13">
        <w:rPr>
          <w:color w:val="000000" w:themeColor="text1"/>
          <w:sz w:val="22"/>
          <w:szCs w:val="22"/>
        </w:rPr>
        <w:t>s</w:t>
      </w:r>
      <w:r w:rsidR="0058749F" w:rsidRPr="009A0A13">
        <w:rPr>
          <w:color w:val="000000" w:themeColor="text1"/>
          <w:sz w:val="22"/>
          <w:szCs w:val="22"/>
        </w:rPr>
        <w:t xml:space="preserve"> fully</w:t>
      </w:r>
      <w:r w:rsidRPr="009A0A13">
        <w:rPr>
          <w:color w:val="000000" w:themeColor="text1"/>
          <w:sz w:val="22"/>
          <w:szCs w:val="22"/>
        </w:rPr>
        <w:t xml:space="preserve"> using their </w:t>
      </w:r>
      <w:r w:rsidR="00871F81" w:rsidRPr="009A0A13">
        <w:rPr>
          <w:color w:val="000000" w:themeColor="text1"/>
          <w:sz w:val="22"/>
          <w:szCs w:val="22"/>
        </w:rPr>
        <w:t xml:space="preserve">delegated </w:t>
      </w:r>
      <w:r w:rsidRPr="009A0A13">
        <w:rPr>
          <w:color w:val="000000" w:themeColor="text1"/>
          <w:sz w:val="22"/>
          <w:szCs w:val="22"/>
        </w:rPr>
        <w:t>formula funding allocations.</w:t>
      </w:r>
      <w:r w:rsidR="009A0A13" w:rsidRPr="009A0A13">
        <w:rPr>
          <w:color w:val="000000" w:themeColor="text1"/>
          <w:sz w:val="22"/>
          <w:szCs w:val="22"/>
        </w:rPr>
        <w:t xml:space="preserve"> This position is retained for the 2023/24 financial year. How this position may develop for future years, as a result of the changes to the approach to alternative provision funding that are proposed in the DfE’s national SEND and AP Review, will be considered more closely as further details are published.</w:t>
      </w:r>
    </w:p>
    <w:p w:rsidR="003027C3" w:rsidRDefault="003027C3" w:rsidP="003027C3">
      <w:pPr>
        <w:jc w:val="both"/>
        <w:rPr>
          <w:sz w:val="22"/>
          <w:szCs w:val="22"/>
        </w:rPr>
      </w:pPr>
    </w:p>
    <w:p w:rsidR="003027C3" w:rsidRPr="00966B39" w:rsidRDefault="003027C3" w:rsidP="003027C3">
      <w:pPr>
        <w:jc w:val="both"/>
        <w:rPr>
          <w:sz w:val="22"/>
          <w:szCs w:val="22"/>
        </w:rPr>
      </w:pPr>
      <w:r>
        <w:rPr>
          <w:sz w:val="22"/>
          <w:szCs w:val="22"/>
        </w:rPr>
        <w:t>6.3 Top-up funding for children and young people with EHCPs is paid by the placing local author</w:t>
      </w:r>
      <w:r w:rsidR="00417AFB">
        <w:rPr>
          <w:sz w:val="22"/>
          <w:szCs w:val="22"/>
        </w:rPr>
        <w:t>ity. Bradford Council is responsible for paying</w:t>
      </w:r>
      <w:r>
        <w:rPr>
          <w:sz w:val="22"/>
          <w:szCs w:val="22"/>
        </w:rPr>
        <w:t xml:space="preserve"> the top-up for children and young people with EHCPs that are resident in Bradford and that we place either in Bradford-located settings or elsewhere. Institutions in Bradford s</w:t>
      </w:r>
      <w:r w:rsidR="003E3C15">
        <w:rPr>
          <w:sz w:val="22"/>
          <w:szCs w:val="22"/>
        </w:rPr>
        <w:t xml:space="preserve">hould recover </w:t>
      </w:r>
      <w:r w:rsidR="008E19C3">
        <w:rPr>
          <w:sz w:val="22"/>
          <w:szCs w:val="22"/>
        </w:rPr>
        <w:t>directly</w:t>
      </w:r>
      <w:r>
        <w:rPr>
          <w:sz w:val="22"/>
          <w:szCs w:val="22"/>
        </w:rPr>
        <w:t xml:space="preserve"> the top-up</w:t>
      </w:r>
      <w:r w:rsidR="00D12F5E">
        <w:rPr>
          <w:sz w:val="22"/>
          <w:szCs w:val="22"/>
        </w:rPr>
        <w:t xml:space="preserve"> funding</w:t>
      </w:r>
      <w:r>
        <w:rPr>
          <w:sz w:val="22"/>
          <w:szCs w:val="22"/>
        </w:rPr>
        <w:t xml:space="preserve"> </w:t>
      </w:r>
      <w:r w:rsidR="00365FCB">
        <w:rPr>
          <w:sz w:val="22"/>
          <w:szCs w:val="22"/>
        </w:rPr>
        <w:t xml:space="preserve">for </w:t>
      </w:r>
      <w:r w:rsidR="00D12F5E">
        <w:rPr>
          <w:sz w:val="22"/>
          <w:szCs w:val="22"/>
        </w:rPr>
        <w:t xml:space="preserve">their </w:t>
      </w:r>
      <w:r w:rsidR="00365FCB">
        <w:rPr>
          <w:sz w:val="22"/>
          <w:szCs w:val="22"/>
        </w:rPr>
        <w:t>pupils</w:t>
      </w:r>
      <w:r w:rsidR="005642BE">
        <w:rPr>
          <w:sz w:val="22"/>
          <w:szCs w:val="22"/>
        </w:rPr>
        <w:t xml:space="preserve"> with EHCPs that are</w:t>
      </w:r>
      <w:r w:rsidR="00365FCB">
        <w:rPr>
          <w:sz w:val="22"/>
          <w:szCs w:val="22"/>
        </w:rPr>
        <w:t xml:space="preserve"> </w:t>
      </w:r>
      <w:r>
        <w:rPr>
          <w:sz w:val="22"/>
          <w:szCs w:val="22"/>
        </w:rPr>
        <w:t xml:space="preserve">placed with </w:t>
      </w:r>
      <w:r w:rsidRPr="00966B39">
        <w:rPr>
          <w:sz w:val="22"/>
          <w:szCs w:val="22"/>
        </w:rPr>
        <w:t>them by other local authorities.</w:t>
      </w:r>
    </w:p>
    <w:p w:rsidR="00966B39" w:rsidRPr="00966B39" w:rsidRDefault="00966B39" w:rsidP="00966B39">
      <w:pPr>
        <w:jc w:val="both"/>
        <w:rPr>
          <w:sz w:val="22"/>
          <w:szCs w:val="22"/>
        </w:rPr>
      </w:pPr>
    </w:p>
    <w:p w:rsidR="00503D47" w:rsidRDefault="00966B39" w:rsidP="00503D47">
      <w:pPr>
        <w:jc w:val="both"/>
        <w:rPr>
          <w:sz w:val="22"/>
          <w:szCs w:val="22"/>
        </w:rPr>
      </w:pPr>
      <w:r w:rsidRPr="00966B39">
        <w:rPr>
          <w:sz w:val="22"/>
          <w:szCs w:val="22"/>
        </w:rPr>
        <w:t xml:space="preserve">6.4 </w:t>
      </w:r>
      <w:r w:rsidR="003E3C15">
        <w:rPr>
          <w:sz w:val="22"/>
          <w:szCs w:val="22"/>
        </w:rPr>
        <w:t xml:space="preserve">As stated in </w:t>
      </w:r>
      <w:r w:rsidR="005642BE">
        <w:rPr>
          <w:sz w:val="22"/>
          <w:szCs w:val="22"/>
        </w:rPr>
        <w:t>section 1</w:t>
      </w:r>
      <w:r w:rsidR="003E3C15">
        <w:rPr>
          <w:sz w:val="22"/>
          <w:szCs w:val="22"/>
        </w:rPr>
        <w:t>,</w:t>
      </w:r>
      <w:r w:rsidR="00307556">
        <w:rPr>
          <w:sz w:val="22"/>
          <w:szCs w:val="22"/>
        </w:rPr>
        <w:t xml:space="preserve"> </w:t>
      </w:r>
      <w:r w:rsidR="008F4B56">
        <w:rPr>
          <w:sz w:val="22"/>
          <w:szCs w:val="22"/>
        </w:rPr>
        <w:t>we introduced</w:t>
      </w:r>
      <w:r w:rsidR="003E3C15">
        <w:rPr>
          <w:sz w:val="22"/>
          <w:szCs w:val="22"/>
        </w:rPr>
        <w:t xml:space="preserve"> at April 2020</w:t>
      </w:r>
      <w:r w:rsidR="008F4B56">
        <w:rPr>
          <w:sz w:val="22"/>
          <w:szCs w:val="22"/>
        </w:rPr>
        <w:t xml:space="preserve"> a</w:t>
      </w:r>
      <w:r>
        <w:rPr>
          <w:sz w:val="22"/>
          <w:szCs w:val="22"/>
        </w:rPr>
        <w:t xml:space="preserve"> </w:t>
      </w:r>
      <w:r w:rsidR="00365FCB">
        <w:rPr>
          <w:sz w:val="22"/>
          <w:szCs w:val="22"/>
        </w:rPr>
        <w:t xml:space="preserve">new </w:t>
      </w:r>
      <w:r>
        <w:rPr>
          <w:sz w:val="22"/>
          <w:szCs w:val="22"/>
        </w:rPr>
        <w:t>Banded Model for the allocation of</w:t>
      </w:r>
      <w:r w:rsidR="006052E1">
        <w:rPr>
          <w:sz w:val="22"/>
          <w:szCs w:val="22"/>
        </w:rPr>
        <w:t xml:space="preserve"> </w:t>
      </w:r>
      <w:r w:rsidR="005642BE">
        <w:rPr>
          <w:sz w:val="22"/>
          <w:szCs w:val="22"/>
        </w:rPr>
        <w:t xml:space="preserve">our </w:t>
      </w:r>
      <w:r w:rsidR="00D32993">
        <w:rPr>
          <w:sz w:val="22"/>
          <w:szCs w:val="22"/>
        </w:rPr>
        <w:t>top-up</w:t>
      </w:r>
      <w:r>
        <w:rPr>
          <w:sz w:val="22"/>
          <w:szCs w:val="22"/>
        </w:rPr>
        <w:t xml:space="preserve"> fundin</w:t>
      </w:r>
      <w:r w:rsidR="00307556">
        <w:rPr>
          <w:sz w:val="22"/>
          <w:szCs w:val="22"/>
        </w:rPr>
        <w:t>g for EHCPs. This model replaced</w:t>
      </w:r>
      <w:r>
        <w:rPr>
          <w:sz w:val="22"/>
          <w:szCs w:val="22"/>
        </w:rPr>
        <w:t xml:space="preserve"> our previous ‘Ranges Model’ </w:t>
      </w:r>
      <w:r w:rsidR="00A70715">
        <w:rPr>
          <w:sz w:val="22"/>
          <w:szCs w:val="22"/>
        </w:rPr>
        <w:t>and</w:t>
      </w:r>
      <w:r w:rsidR="00307556">
        <w:rPr>
          <w:sz w:val="22"/>
          <w:szCs w:val="22"/>
        </w:rPr>
        <w:t xml:space="preserve"> significantly uplifted</w:t>
      </w:r>
      <w:r w:rsidR="005642BE">
        <w:rPr>
          <w:sz w:val="22"/>
          <w:szCs w:val="22"/>
        </w:rPr>
        <w:t xml:space="preserve"> the funding of EHCPs across</w:t>
      </w:r>
      <w:r>
        <w:rPr>
          <w:sz w:val="22"/>
          <w:szCs w:val="22"/>
        </w:rPr>
        <w:t xml:space="preserve"> all settings.</w:t>
      </w:r>
      <w:r w:rsidR="006052E1">
        <w:rPr>
          <w:sz w:val="22"/>
          <w:szCs w:val="22"/>
        </w:rPr>
        <w:t xml:space="preserve"> The</w:t>
      </w:r>
      <w:r w:rsidR="005642BE">
        <w:rPr>
          <w:sz w:val="22"/>
          <w:szCs w:val="22"/>
        </w:rPr>
        <w:t xml:space="preserve"> M</w:t>
      </w:r>
      <w:r>
        <w:rPr>
          <w:sz w:val="22"/>
          <w:szCs w:val="22"/>
        </w:rPr>
        <w:t>odel</w:t>
      </w:r>
      <w:r w:rsidR="005642BE">
        <w:rPr>
          <w:sz w:val="22"/>
          <w:szCs w:val="22"/>
        </w:rPr>
        <w:t xml:space="preserve"> continues to include</w:t>
      </w:r>
      <w:r>
        <w:rPr>
          <w:sz w:val="22"/>
          <w:szCs w:val="22"/>
        </w:rPr>
        <w:t xml:space="preserve"> protections, which have ensured </w:t>
      </w:r>
      <w:r w:rsidR="006052E1">
        <w:rPr>
          <w:sz w:val="22"/>
          <w:szCs w:val="22"/>
        </w:rPr>
        <w:t xml:space="preserve">(and which will continue to ensure) </w:t>
      </w:r>
      <w:r>
        <w:rPr>
          <w:sz w:val="22"/>
          <w:szCs w:val="22"/>
        </w:rPr>
        <w:t xml:space="preserve">that no EHCP in place on 1 April 2020 </w:t>
      </w:r>
      <w:r w:rsidR="005642BE">
        <w:rPr>
          <w:sz w:val="22"/>
          <w:szCs w:val="22"/>
        </w:rPr>
        <w:t xml:space="preserve">will </w:t>
      </w:r>
      <w:r>
        <w:rPr>
          <w:sz w:val="22"/>
          <w:szCs w:val="22"/>
        </w:rPr>
        <w:t>reduce in value</w:t>
      </w:r>
      <w:r w:rsidR="006052E1">
        <w:rPr>
          <w:sz w:val="22"/>
          <w:szCs w:val="22"/>
        </w:rPr>
        <w:t xml:space="preserve"> as a re</w:t>
      </w:r>
      <w:r w:rsidR="00365FCB">
        <w:rPr>
          <w:sz w:val="22"/>
          <w:szCs w:val="22"/>
        </w:rPr>
        <w:t xml:space="preserve">sult of </w:t>
      </w:r>
      <w:r w:rsidR="005642BE">
        <w:rPr>
          <w:sz w:val="22"/>
          <w:szCs w:val="22"/>
        </w:rPr>
        <w:t xml:space="preserve">this </w:t>
      </w:r>
      <w:r w:rsidR="00365FCB">
        <w:rPr>
          <w:sz w:val="22"/>
          <w:szCs w:val="22"/>
        </w:rPr>
        <w:t>funding model change</w:t>
      </w:r>
      <w:r w:rsidR="006052E1">
        <w:rPr>
          <w:sz w:val="22"/>
          <w:szCs w:val="22"/>
        </w:rPr>
        <w:t>.</w:t>
      </w:r>
    </w:p>
    <w:p w:rsidR="00503D47" w:rsidRDefault="00503D47" w:rsidP="00503D47">
      <w:pPr>
        <w:jc w:val="both"/>
        <w:rPr>
          <w:sz w:val="22"/>
          <w:szCs w:val="22"/>
        </w:rPr>
      </w:pPr>
    </w:p>
    <w:p w:rsidR="00503D47" w:rsidRPr="00325707" w:rsidRDefault="00503D47" w:rsidP="00503D47">
      <w:pPr>
        <w:jc w:val="both"/>
        <w:rPr>
          <w:color w:val="000000" w:themeColor="text1"/>
          <w:sz w:val="22"/>
          <w:szCs w:val="22"/>
        </w:rPr>
      </w:pPr>
      <w:r w:rsidRPr="00325707">
        <w:rPr>
          <w:color w:val="000000" w:themeColor="text1"/>
          <w:sz w:val="22"/>
          <w:szCs w:val="22"/>
        </w:rPr>
        <w:t xml:space="preserve">6.5 </w:t>
      </w:r>
      <w:r w:rsidR="00325707" w:rsidRPr="00325707">
        <w:rPr>
          <w:color w:val="000000" w:themeColor="text1"/>
          <w:sz w:val="22"/>
          <w:szCs w:val="22"/>
        </w:rPr>
        <w:t>We do not propose to make any</w:t>
      </w:r>
      <w:r w:rsidRPr="00325707">
        <w:rPr>
          <w:color w:val="000000" w:themeColor="text1"/>
          <w:sz w:val="22"/>
          <w:szCs w:val="22"/>
        </w:rPr>
        <w:t xml:space="preserve"> technical changes</w:t>
      </w:r>
      <w:r w:rsidR="008F4B56" w:rsidRPr="00325707">
        <w:rPr>
          <w:color w:val="000000" w:themeColor="text1"/>
          <w:sz w:val="22"/>
          <w:szCs w:val="22"/>
        </w:rPr>
        <w:t xml:space="preserve"> to our </w:t>
      </w:r>
      <w:r w:rsidR="005642BE" w:rsidRPr="00325707">
        <w:rPr>
          <w:color w:val="000000" w:themeColor="text1"/>
          <w:sz w:val="22"/>
          <w:szCs w:val="22"/>
        </w:rPr>
        <w:t xml:space="preserve">EHCP </w:t>
      </w:r>
      <w:r w:rsidR="008F4B56" w:rsidRPr="00325707">
        <w:rPr>
          <w:color w:val="000000" w:themeColor="text1"/>
          <w:sz w:val="22"/>
          <w:szCs w:val="22"/>
        </w:rPr>
        <w:t>Banded Model for</w:t>
      </w:r>
      <w:r w:rsidR="00307556" w:rsidRPr="00325707">
        <w:rPr>
          <w:color w:val="000000" w:themeColor="text1"/>
          <w:sz w:val="22"/>
          <w:szCs w:val="22"/>
        </w:rPr>
        <w:t xml:space="preserve"> </w:t>
      </w:r>
      <w:r w:rsidR="005642BE" w:rsidRPr="00325707">
        <w:rPr>
          <w:color w:val="000000" w:themeColor="text1"/>
          <w:sz w:val="22"/>
          <w:szCs w:val="22"/>
        </w:rPr>
        <w:t xml:space="preserve">the </w:t>
      </w:r>
      <w:r w:rsidR="00CA2B83" w:rsidRPr="00325707">
        <w:rPr>
          <w:color w:val="000000" w:themeColor="text1"/>
          <w:sz w:val="22"/>
          <w:szCs w:val="22"/>
        </w:rPr>
        <w:t>2023/24</w:t>
      </w:r>
      <w:r w:rsidR="005642BE" w:rsidRPr="00325707">
        <w:rPr>
          <w:color w:val="000000" w:themeColor="text1"/>
          <w:sz w:val="22"/>
          <w:szCs w:val="22"/>
        </w:rPr>
        <w:t xml:space="preserve"> financial year</w:t>
      </w:r>
      <w:r w:rsidR="00307556" w:rsidRPr="00325707">
        <w:rPr>
          <w:color w:val="000000" w:themeColor="text1"/>
          <w:sz w:val="22"/>
          <w:szCs w:val="22"/>
        </w:rPr>
        <w:t xml:space="preserve">. </w:t>
      </w:r>
      <w:r w:rsidR="005642BE" w:rsidRPr="00325707">
        <w:rPr>
          <w:color w:val="000000" w:themeColor="text1"/>
          <w:sz w:val="22"/>
          <w:szCs w:val="22"/>
        </w:rPr>
        <w:t xml:space="preserve">We propose simply </w:t>
      </w:r>
      <w:r w:rsidR="0009250D" w:rsidRPr="00325707">
        <w:rPr>
          <w:color w:val="000000" w:themeColor="text1"/>
          <w:sz w:val="22"/>
          <w:szCs w:val="22"/>
        </w:rPr>
        <w:t xml:space="preserve">to </w:t>
      </w:r>
      <w:r w:rsidR="005642BE" w:rsidRPr="00325707">
        <w:rPr>
          <w:color w:val="000000" w:themeColor="text1"/>
          <w:sz w:val="22"/>
          <w:szCs w:val="22"/>
        </w:rPr>
        <w:t xml:space="preserve">continue to allocate </w:t>
      </w:r>
      <w:r w:rsidR="00D32993" w:rsidRPr="00325707">
        <w:rPr>
          <w:color w:val="000000" w:themeColor="text1"/>
          <w:sz w:val="22"/>
          <w:szCs w:val="22"/>
        </w:rPr>
        <w:t>top-up</w:t>
      </w:r>
      <w:r w:rsidR="00325707" w:rsidRPr="00325707">
        <w:rPr>
          <w:color w:val="000000" w:themeColor="text1"/>
          <w:sz w:val="22"/>
          <w:szCs w:val="22"/>
        </w:rPr>
        <w:t xml:space="preserve"> funding using this</w:t>
      </w:r>
      <w:r w:rsidR="005642BE" w:rsidRPr="00325707">
        <w:rPr>
          <w:color w:val="000000" w:themeColor="text1"/>
          <w:sz w:val="22"/>
          <w:szCs w:val="22"/>
        </w:rPr>
        <w:t xml:space="preserve"> existing EHCP Banded Model, uplifting the values </w:t>
      </w:r>
      <w:r w:rsidR="0009250D" w:rsidRPr="00325707">
        <w:rPr>
          <w:color w:val="000000" w:themeColor="text1"/>
          <w:sz w:val="22"/>
          <w:szCs w:val="22"/>
        </w:rPr>
        <w:t>that this model allocates</w:t>
      </w:r>
      <w:r w:rsidR="005642BE" w:rsidRPr="00325707">
        <w:rPr>
          <w:color w:val="000000" w:themeColor="text1"/>
          <w:sz w:val="22"/>
          <w:szCs w:val="22"/>
        </w:rPr>
        <w:t xml:space="preserve">. </w:t>
      </w:r>
      <w:r w:rsidRPr="00325707">
        <w:rPr>
          <w:color w:val="000000" w:themeColor="text1"/>
          <w:sz w:val="22"/>
          <w:szCs w:val="22"/>
        </w:rPr>
        <w:t>How the Banded Model works</w:t>
      </w:r>
      <w:r w:rsidR="00325707" w:rsidRPr="00325707">
        <w:rPr>
          <w:color w:val="000000" w:themeColor="text1"/>
          <w:sz w:val="22"/>
          <w:szCs w:val="22"/>
        </w:rPr>
        <w:t xml:space="preserve">, how it </w:t>
      </w:r>
      <w:r w:rsidR="006D6448" w:rsidRPr="00325707">
        <w:rPr>
          <w:color w:val="000000" w:themeColor="text1"/>
          <w:sz w:val="22"/>
          <w:szCs w:val="22"/>
        </w:rPr>
        <w:t xml:space="preserve">is applied </w:t>
      </w:r>
      <w:r w:rsidR="005642BE" w:rsidRPr="00325707">
        <w:rPr>
          <w:color w:val="000000" w:themeColor="text1"/>
          <w:sz w:val="22"/>
          <w:szCs w:val="22"/>
        </w:rPr>
        <w:t xml:space="preserve">currently, </w:t>
      </w:r>
      <w:r w:rsidRPr="00325707">
        <w:rPr>
          <w:color w:val="000000" w:themeColor="text1"/>
          <w:sz w:val="22"/>
          <w:szCs w:val="22"/>
        </w:rPr>
        <w:t xml:space="preserve">and </w:t>
      </w:r>
      <w:r w:rsidR="00365FCB" w:rsidRPr="00325707">
        <w:rPr>
          <w:color w:val="000000" w:themeColor="text1"/>
          <w:sz w:val="22"/>
          <w:szCs w:val="22"/>
        </w:rPr>
        <w:t>how it is</w:t>
      </w:r>
      <w:r w:rsidRPr="00325707">
        <w:rPr>
          <w:color w:val="000000" w:themeColor="text1"/>
          <w:sz w:val="22"/>
          <w:szCs w:val="22"/>
        </w:rPr>
        <w:t xml:space="preserve"> propos</w:t>
      </w:r>
      <w:r w:rsidR="00307556" w:rsidRPr="00325707">
        <w:rPr>
          <w:color w:val="000000" w:themeColor="text1"/>
          <w:sz w:val="22"/>
          <w:szCs w:val="22"/>
        </w:rPr>
        <w:t>ed to work</w:t>
      </w:r>
      <w:r w:rsidR="00BA56D8" w:rsidRPr="00325707">
        <w:rPr>
          <w:color w:val="000000" w:themeColor="text1"/>
          <w:sz w:val="22"/>
          <w:szCs w:val="22"/>
        </w:rPr>
        <w:t xml:space="preserve"> and be applied</w:t>
      </w:r>
      <w:r w:rsidR="00CA2B83" w:rsidRPr="00325707">
        <w:rPr>
          <w:color w:val="000000" w:themeColor="text1"/>
          <w:sz w:val="22"/>
          <w:szCs w:val="22"/>
        </w:rPr>
        <w:t xml:space="preserve"> in 2023/24</w:t>
      </w:r>
      <w:r w:rsidR="005642BE" w:rsidRPr="00325707">
        <w:rPr>
          <w:color w:val="000000" w:themeColor="text1"/>
          <w:sz w:val="22"/>
          <w:szCs w:val="22"/>
        </w:rPr>
        <w:t>, are</w:t>
      </w:r>
      <w:r w:rsidRPr="00325707">
        <w:rPr>
          <w:color w:val="000000" w:themeColor="text1"/>
          <w:sz w:val="22"/>
          <w:szCs w:val="22"/>
        </w:rPr>
        <w:t xml:space="preserve"> set out in more detailed in Appendix 2.</w:t>
      </w:r>
    </w:p>
    <w:p w:rsidR="00503D47" w:rsidRDefault="00503D47" w:rsidP="00503D47">
      <w:pPr>
        <w:jc w:val="both"/>
        <w:rPr>
          <w:sz w:val="22"/>
          <w:szCs w:val="22"/>
        </w:rPr>
      </w:pPr>
    </w:p>
    <w:p w:rsidR="00503D47" w:rsidRDefault="00503D47" w:rsidP="00503D47">
      <w:pPr>
        <w:jc w:val="both"/>
        <w:rPr>
          <w:sz w:val="22"/>
          <w:szCs w:val="22"/>
        </w:rPr>
      </w:pPr>
      <w:r w:rsidRPr="00503D47">
        <w:rPr>
          <w:sz w:val="22"/>
          <w:szCs w:val="22"/>
        </w:rPr>
        <w:t xml:space="preserve">6.6 </w:t>
      </w:r>
      <w:r>
        <w:rPr>
          <w:sz w:val="22"/>
          <w:szCs w:val="22"/>
        </w:rPr>
        <w:t xml:space="preserve">The total value of top-up funding owed to an institution by Bradford Council, calculated using the </w:t>
      </w:r>
      <w:r w:rsidR="00BA56D8">
        <w:rPr>
          <w:sz w:val="22"/>
          <w:szCs w:val="22"/>
        </w:rPr>
        <w:t xml:space="preserve">EHCP </w:t>
      </w:r>
      <w:r>
        <w:rPr>
          <w:sz w:val="22"/>
          <w:szCs w:val="22"/>
        </w:rPr>
        <w:t>Ban</w:t>
      </w:r>
      <w:r w:rsidR="00CA2B83">
        <w:rPr>
          <w:sz w:val="22"/>
          <w:szCs w:val="22"/>
        </w:rPr>
        <w:t>ded Model, will continue in 2023/24</w:t>
      </w:r>
      <w:r>
        <w:rPr>
          <w:sz w:val="22"/>
          <w:szCs w:val="22"/>
        </w:rPr>
        <w:t xml:space="preserve"> to be calculated and paid as now</w:t>
      </w:r>
      <w:r w:rsidR="00BA56D8">
        <w:rPr>
          <w:sz w:val="22"/>
          <w:szCs w:val="22"/>
        </w:rPr>
        <w:t>,</w:t>
      </w:r>
      <w:r>
        <w:rPr>
          <w:sz w:val="22"/>
          <w:szCs w:val="22"/>
        </w:rPr>
        <w:t xml:space="preserve"> on a monthly basis. The calculation will be based on the institution’s occupancy recorded on the 10</w:t>
      </w:r>
      <w:r w:rsidRPr="006F3C92">
        <w:rPr>
          <w:sz w:val="22"/>
          <w:szCs w:val="22"/>
          <w:vertAlign w:val="superscript"/>
        </w:rPr>
        <w:t>th</w:t>
      </w:r>
      <w:r>
        <w:rPr>
          <w:sz w:val="22"/>
          <w:szCs w:val="22"/>
        </w:rPr>
        <w:t xml:space="preserve"> day of each month. Where a child or young person is admitted after the 10</w:t>
      </w:r>
      <w:r w:rsidRPr="000501E1">
        <w:rPr>
          <w:sz w:val="22"/>
          <w:szCs w:val="22"/>
          <w:vertAlign w:val="superscript"/>
        </w:rPr>
        <w:t>th</w:t>
      </w:r>
      <w:r>
        <w:rPr>
          <w:sz w:val="22"/>
          <w:szCs w:val="22"/>
        </w:rPr>
        <w:t xml:space="preserve">, top-up funding begins from the next month. </w:t>
      </w:r>
      <w:r w:rsidR="005642BE">
        <w:rPr>
          <w:sz w:val="22"/>
          <w:szCs w:val="22"/>
        </w:rPr>
        <w:t>In addition:</w:t>
      </w:r>
    </w:p>
    <w:p w:rsidR="00503D47" w:rsidRDefault="00503D47" w:rsidP="00503D47">
      <w:pPr>
        <w:jc w:val="both"/>
        <w:rPr>
          <w:sz w:val="22"/>
          <w:szCs w:val="22"/>
        </w:rPr>
      </w:pPr>
    </w:p>
    <w:p w:rsidR="00A937A7" w:rsidRPr="00A937A7" w:rsidRDefault="00503D47" w:rsidP="00A937A7">
      <w:pPr>
        <w:pStyle w:val="ListParagraph"/>
        <w:numPr>
          <w:ilvl w:val="0"/>
          <w:numId w:val="5"/>
        </w:numPr>
        <w:ind w:left="360"/>
        <w:jc w:val="both"/>
        <w:rPr>
          <w:sz w:val="22"/>
          <w:szCs w:val="22"/>
        </w:rPr>
      </w:pPr>
      <w:r>
        <w:rPr>
          <w:sz w:val="22"/>
          <w:szCs w:val="22"/>
        </w:rPr>
        <w:t>R</w:t>
      </w:r>
      <w:r w:rsidRPr="000E5E2B">
        <w:rPr>
          <w:sz w:val="22"/>
          <w:szCs w:val="22"/>
        </w:rPr>
        <w:t>etrospective a</w:t>
      </w:r>
      <w:r w:rsidR="005642BE">
        <w:rPr>
          <w:sz w:val="22"/>
          <w:szCs w:val="22"/>
        </w:rPr>
        <w:t>djustments will</w:t>
      </w:r>
      <w:r w:rsidRPr="000E5E2B">
        <w:rPr>
          <w:sz w:val="22"/>
          <w:szCs w:val="22"/>
        </w:rPr>
        <w:t xml:space="preserve"> </w:t>
      </w:r>
      <w:r w:rsidR="005642BE">
        <w:rPr>
          <w:sz w:val="22"/>
          <w:szCs w:val="22"/>
        </w:rPr>
        <w:t xml:space="preserve">be </w:t>
      </w:r>
      <w:r w:rsidRPr="000E5E2B">
        <w:rPr>
          <w:sz w:val="22"/>
          <w:szCs w:val="22"/>
        </w:rPr>
        <w:t xml:space="preserve">made in the </w:t>
      </w:r>
      <w:r>
        <w:rPr>
          <w:sz w:val="22"/>
          <w:szCs w:val="22"/>
        </w:rPr>
        <w:t>subsequent month’s calculations f</w:t>
      </w:r>
      <w:r w:rsidR="00F6486A">
        <w:rPr>
          <w:sz w:val="22"/>
          <w:szCs w:val="22"/>
        </w:rPr>
        <w:t>or any inaccuracies</w:t>
      </w:r>
      <w:r w:rsidRPr="000E5E2B">
        <w:rPr>
          <w:sz w:val="22"/>
          <w:szCs w:val="22"/>
        </w:rPr>
        <w:t xml:space="preserve"> in the data for a single month, or where the position has been estimated due to the most up to date data not being available (</w:t>
      </w:r>
      <w:r>
        <w:rPr>
          <w:sz w:val="22"/>
          <w:szCs w:val="22"/>
        </w:rPr>
        <w:t xml:space="preserve">for example, </w:t>
      </w:r>
      <w:r w:rsidRPr="000E5E2B">
        <w:rPr>
          <w:sz w:val="22"/>
          <w:szCs w:val="22"/>
        </w:rPr>
        <w:t>at September, picking up all chan</w:t>
      </w:r>
      <w:r>
        <w:rPr>
          <w:sz w:val="22"/>
          <w:szCs w:val="22"/>
        </w:rPr>
        <w:t>ges for the new academic year).</w:t>
      </w:r>
      <w:r w:rsidR="00A937A7">
        <w:rPr>
          <w:sz w:val="22"/>
          <w:szCs w:val="22"/>
        </w:rPr>
        <w:t xml:space="preserve"> How the Local Authority </w:t>
      </w:r>
      <w:r w:rsidR="00F6486A">
        <w:rPr>
          <w:sz w:val="22"/>
          <w:szCs w:val="22"/>
        </w:rPr>
        <w:t>publishes EHCP information and then manages</w:t>
      </w:r>
      <w:r w:rsidR="00555A3F">
        <w:rPr>
          <w:sz w:val="22"/>
          <w:szCs w:val="22"/>
        </w:rPr>
        <w:t xml:space="preserve"> </w:t>
      </w:r>
      <w:r w:rsidR="00A937A7">
        <w:rPr>
          <w:sz w:val="22"/>
          <w:szCs w:val="22"/>
        </w:rPr>
        <w:t>data</w:t>
      </w:r>
      <w:r w:rsidR="00555A3F">
        <w:rPr>
          <w:sz w:val="22"/>
          <w:szCs w:val="22"/>
        </w:rPr>
        <w:t xml:space="preserve"> checking,</w:t>
      </w:r>
      <w:r w:rsidR="00A937A7">
        <w:rPr>
          <w:sz w:val="22"/>
          <w:szCs w:val="22"/>
        </w:rPr>
        <w:t xml:space="preserve"> queries and inaccuracies</w:t>
      </w:r>
      <w:r w:rsidR="00555A3F">
        <w:rPr>
          <w:sz w:val="22"/>
          <w:szCs w:val="22"/>
        </w:rPr>
        <w:t xml:space="preserve"> that might be identified</w:t>
      </w:r>
      <w:r w:rsidR="00A937A7">
        <w:rPr>
          <w:sz w:val="22"/>
          <w:szCs w:val="22"/>
        </w:rPr>
        <w:t xml:space="preserve"> is explained </w:t>
      </w:r>
      <w:hyperlink r:id="rId15" w:history="1">
        <w:r w:rsidR="00A937A7" w:rsidRPr="00A937A7">
          <w:rPr>
            <w:rStyle w:val="Hyperlink"/>
            <w:sz w:val="22"/>
            <w:szCs w:val="22"/>
          </w:rPr>
          <w:t>here</w:t>
        </w:r>
      </w:hyperlink>
      <w:r w:rsidR="00A937A7">
        <w:rPr>
          <w:sz w:val="22"/>
          <w:szCs w:val="22"/>
        </w:rPr>
        <w:t>.</w:t>
      </w:r>
    </w:p>
    <w:p w:rsidR="00A937A7" w:rsidRDefault="00A937A7" w:rsidP="00503D47">
      <w:pPr>
        <w:pStyle w:val="ListParagraph"/>
        <w:ind w:left="360"/>
        <w:jc w:val="both"/>
        <w:rPr>
          <w:sz w:val="22"/>
          <w:szCs w:val="22"/>
        </w:rPr>
      </w:pPr>
    </w:p>
    <w:p w:rsidR="00503D47" w:rsidRDefault="00503D47" w:rsidP="00503D47">
      <w:pPr>
        <w:pStyle w:val="ListParagraph"/>
        <w:numPr>
          <w:ilvl w:val="0"/>
          <w:numId w:val="5"/>
        </w:numPr>
        <w:ind w:left="360"/>
        <w:jc w:val="both"/>
        <w:rPr>
          <w:sz w:val="22"/>
          <w:szCs w:val="22"/>
        </w:rPr>
      </w:pPr>
      <w:r w:rsidRPr="000E5E2B">
        <w:rPr>
          <w:sz w:val="22"/>
          <w:szCs w:val="22"/>
        </w:rPr>
        <w:t xml:space="preserve">Funding for August </w:t>
      </w:r>
      <w:r w:rsidR="005642BE">
        <w:rPr>
          <w:sz w:val="22"/>
          <w:szCs w:val="22"/>
        </w:rPr>
        <w:t>will repeat</w:t>
      </w:r>
      <w:r>
        <w:rPr>
          <w:sz w:val="22"/>
          <w:szCs w:val="22"/>
        </w:rPr>
        <w:t xml:space="preserve"> the position recorded for July, except for Further Education placements, where August’s funding is based on the new academic year’s position.</w:t>
      </w:r>
      <w:r w:rsidR="00A937A7">
        <w:rPr>
          <w:sz w:val="22"/>
          <w:szCs w:val="22"/>
        </w:rPr>
        <w:t xml:space="preserve"> </w:t>
      </w:r>
    </w:p>
    <w:p w:rsidR="00503D47" w:rsidRDefault="00503D47" w:rsidP="00503D47">
      <w:pPr>
        <w:pStyle w:val="ListParagraph"/>
        <w:ind w:left="360"/>
        <w:jc w:val="both"/>
        <w:rPr>
          <w:sz w:val="22"/>
          <w:szCs w:val="22"/>
        </w:rPr>
      </w:pPr>
    </w:p>
    <w:p w:rsidR="00503D47" w:rsidRDefault="005642BE" w:rsidP="00503D47">
      <w:pPr>
        <w:pStyle w:val="ListParagraph"/>
        <w:numPr>
          <w:ilvl w:val="0"/>
          <w:numId w:val="5"/>
        </w:numPr>
        <w:ind w:left="360"/>
        <w:jc w:val="both"/>
        <w:rPr>
          <w:sz w:val="22"/>
          <w:szCs w:val="22"/>
        </w:rPr>
      </w:pPr>
      <w:r>
        <w:rPr>
          <w:sz w:val="22"/>
          <w:szCs w:val="22"/>
        </w:rPr>
        <w:t xml:space="preserve">A ready reckoner will </w:t>
      </w:r>
      <w:r w:rsidR="00DD7CAB">
        <w:rPr>
          <w:sz w:val="22"/>
          <w:szCs w:val="22"/>
        </w:rPr>
        <w:t xml:space="preserve">continue to </w:t>
      </w:r>
      <w:r>
        <w:rPr>
          <w:sz w:val="22"/>
          <w:szCs w:val="22"/>
        </w:rPr>
        <w:t>be</w:t>
      </w:r>
      <w:r w:rsidR="00503D47" w:rsidRPr="000E5E2B">
        <w:rPr>
          <w:sz w:val="22"/>
          <w:szCs w:val="22"/>
        </w:rPr>
        <w:t xml:space="preserve"> available</w:t>
      </w:r>
      <w:r w:rsidR="00503D47">
        <w:rPr>
          <w:sz w:val="22"/>
          <w:szCs w:val="22"/>
        </w:rPr>
        <w:t xml:space="preserve">, which </w:t>
      </w:r>
      <w:r>
        <w:rPr>
          <w:sz w:val="22"/>
          <w:szCs w:val="22"/>
        </w:rPr>
        <w:t>will help</w:t>
      </w:r>
      <w:r w:rsidR="00503D47">
        <w:rPr>
          <w:sz w:val="22"/>
          <w:szCs w:val="22"/>
        </w:rPr>
        <w:t xml:space="preserve"> </w:t>
      </w:r>
      <w:r w:rsidR="00E30A11">
        <w:rPr>
          <w:sz w:val="22"/>
          <w:szCs w:val="22"/>
        </w:rPr>
        <w:t>settings</w:t>
      </w:r>
      <w:r w:rsidR="00503D47" w:rsidRPr="000E5E2B">
        <w:rPr>
          <w:sz w:val="22"/>
          <w:szCs w:val="22"/>
        </w:rPr>
        <w:t xml:space="preserve"> predict the impact on </w:t>
      </w:r>
      <w:r w:rsidR="00503D47">
        <w:rPr>
          <w:sz w:val="22"/>
          <w:szCs w:val="22"/>
        </w:rPr>
        <w:t xml:space="preserve">top-up </w:t>
      </w:r>
      <w:r w:rsidR="00503D47" w:rsidRPr="000E5E2B">
        <w:rPr>
          <w:sz w:val="22"/>
          <w:szCs w:val="22"/>
        </w:rPr>
        <w:t>funding of mov</w:t>
      </w:r>
      <w:r w:rsidR="00503D47">
        <w:rPr>
          <w:sz w:val="22"/>
          <w:szCs w:val="22"/>
        </w:rPr>
        <w:t>ements in pupil numbers / bands</w:t>
      </w:r>
      <w:r w:rsidR="00503D47" w:rsidRPr="000E5E2B">
        <w:rPr>
          <w:sz w:val="22"/>
          <w:szCs w:val="22"/>
        </w:rPr>
        <w:t xml:space="preserve"> on a monthly basis.</w:t>
      </w:r>
    </w:p>
    <w:p w:rsidR="00503D47" w:rsidRDefault="00503D47" w:rsidP="00503D47">
      <w:pPr>
        <w:pStyle w:val="ListParagraph"/>
        <w:ind w:left="360"/>
        <w:jc w:val="both"/>
        <w:rPr>
          <w:sz w:val="22"/>
          <w:szCs w:val="22"/>
        </w:rPr>
      </w:pPr>
    </w:p>
    <w:p w:rsidR="00503D47" w:rsidRDefault="005642BE" w:rsidP="00E8426D">
      <w:pPr>
        <w:pStyle w:val="ListParagraph"/>
        <w:numPr>
          <w:ilvl w:val="0"/>
          <w:numId w:val="5"/>
        </w:numPr>
        <w:ind w:left="360"/>
        <w:jc w:val="both"/>
        <w:rPr>
          <w:sz w:val="22"/>
          <w:szCs w:val="22"/>
        </w:rPr>
      </w:pPr>
      <w:r>
        <w:rPr>
          <w:sz w:val="22"/>
          <w:szCs w:val="22"/>
        </w:rPr>
        <w:t>Bradford Council will also continue to publish on Bradford Schools Online</w:t>
      </w:r>
      <w:r w:rsidR="00503D47">
        <w:rPr>
          <w:sz w:val="22"/>
          <w:szCs w:val="22"/>
        </w:rPr>
        <w:t xml:space="preserve"> monthly fu</w:t>
      </w:r>
      <w:r w:rsidR="00F6486A">
        <w:rPr>
          <w:sz w:val="22"/>
          <w:szCs w:val="22"/>
        </w:rPr>
        <w:t>nding and</w:t>
      </w:r>
      <w:r w:rsidR="00503D47">
        <w:rPr>
          <w:sz w:val="22"/>
          <w:szCs w:val="22"/>
        </w:rPr>
        <w:t xml:space="preserve"> payment statements for providers to access.</w:t>
      </w:r>
      <w:r w:rsidR="00DD7CAB">
        <w:rPr>
          <w:sz w:val="22"/>
          <w:szCs w:val="22"/>
        </w:rPr>
        <w:t xml:space="preserve"> These statements are published </w:t>
      </w:r>
      <w:hyperlink r:id="rId16" w:history="1">
        <w:r w:rsidR="00DD7CAB" w:rsidRPr="00DD7CAB">
          <w:rPr>
            <w:rStyle w:val="Hyperlink"/>
            <w:sz w:val="22"/>
            <w:szCs w:val="22"/>
          </w:rPr>
          <w:t>here</w:t>
        </w:r>
      </w:hyperlink>
      <w:r w:rsidR="00DD7CAB">
        <w:rPr>
          <w:sz w:val="22"/>
          <w:szCs w:val="22"/>
        </w:rPr>
        <w:t>.</w:t>
      </w:r>
    </w:p>
    <w:p w:rsidR="00CA2B83" w:rsidRPr="00CA2B83" w:rsidRDefault="00CA2B83" w:rsidP="00CA2B83">
      <w:pPr>
        <w:jc w:val="both"/>
        <w:rPr>
          <w:sz w:val="22"/>
          <w:szCs w:val="22"/>
        </w:rPr>
      </w:pPr>
    </w:p>
    <w:p w:rsidR="00680485" w:rsidRPr="00F6486A" w:rsidRDefault="00503D47" w:rsidP="00503D47">
      <w:pPr>
        <w:jc w:val="both"/>
        <w:rPr>
          <w:color w:val="FF0000"/>
          <w:sz w:val="22"/>
          <w:szCs w:val="22"/>
        </w:rPr>
      </w:pPr>
      <w:r>
        <w:rPr>
          <w:sz w:val="22"/>
          <w:szCs w:val="22"/>
        </w:rPr>
        <w:t>6.7 T</w:t>
      </w:r>
      <w:r w:rsidRPr="006E3614">
        <w:rPr>
          <w:sz w:val="22"/>
          <w:szCs w:val="22"/>
        </w:rPr>
        <w:t>he process for placing</w:t>
      </w:r>
      <w:r>
        <w:rPr>
          <w:sz w:val="22"/>
          <w:szCs w:val="22"/>
        </w:rPr>
        <w:t xml:space="preserve"> children and young people with EHCPs into the Banded Model will continue to be</w:t>
      </w:r>
      <w:r w:rsidRPr="006E3614">
        <w:rPr>
          <w:sz w:val="22"/>
          <w:szCs w:val="22"/>
        </w:rPr>
        <w:t xml:space="preserve"> led </w:t>
      </w:r>
      <w:r w:rsidR="00DD7CAB">
        <w:rPr>
          <w:sz w:val="22"/>
          <w:szCs w:val="22"/>
        </w:rPr>
        <w:t>by Bradford</w:t>
      </w:r>
      <w:r>
        <w:rPr>
          <w:sz w:val="22"/>
          <w:szCs w:val="22"/>
        </w:rPr>
        <w:t xml:space="preserve"> Council via the established SEND Panel and </w:t>
      </w:r>
      <w:r w:rsidR="00DD7CAB">
        <w:rPr>
          <w:sz w:val="22"/>
          <w:szCs w:val="22"/>
        </w:rPr>
        <w:t xml:space="preserve">using </w:t>
      </w:r>
      <w:r>
        <w:rPr>
          <w:sz w:val="22"/>
          <w:szCs w:val="22"/>
        </w:rPr>
        <w:t>the application and assessment pr</w:t>
      </w:r>
      <w:r w:rsidR="00AD0E9A">
        <w:rPr>
          <w:sz w:val="22"/>
          <w:szCs w:val="22"/>
        </w:rPr>
        <w:t>ocesses this Panel manages. A</w:t>
      </w:r>
      <w:r>
        <w:rPr>
          <w:sz w:val="22"/>
          <w:szCs w:val="22"/>
        </w:rPr>
        <w:t>ppeals (or disputes) will be managed by the Panel th</w:t>
      </w:r>
      <w:r w:rsidR="00AD0E9A">
        <w:rPr>
          <w:sz w:val="22"/>
          <w:szCs w:val="22"/>
        </w:rPr>
        <w:t>rough its resolution procedure. Information</w:t>
      </w:r>
      <w:r w:rsidR="00AC5A54">
        <w:rPr>
          <w:sz w:val="22"/>
          <w:szCs w:val="22"/>
        </w:rPr>
        <w:t>, guidance</w:t>
      </w:r>
      <w:r w:rsidR="00284B42">
        <w:rPr>
          <w:sz w:val="22"/>
          <w:szCs w:val="22"/>
        </w:rPr>
        <w:t xml:space="preserve"> and documentation</w:t>
      </w:r>
      <w:r w:rsidR="00680485">
        <w:rPr>
          <w:sz w:val="22"/>
          <w:szCs w:val="22"/>
        </w:rPr>
        <w:t xml:space="preserve"> on EHCP Pan</w:t>
      </w:r>
      <w:r w:rsidR="00AC5A54">
        <w:rPr>
          <w:sz w:val="22"/>
          <w:szCs w:val="22"/>
        </w:rPr>
        <w:t>el processes and</w:t>
      </w:r>
      <w:r w:rsidR="00680485">
        <w:rPr>
          <w:sz w:val="22"/>
          <w:szCs w:val="22"/>
        </w:rPr>
        <w:t xml:space="preserve"> </w:t>
      </w:r>
      <w:r w:rsidR="00F6486A">
        <w:rPr>
          <w:sz w:val="22"/>
          <w:szCs w:val="22"/>
        </w:rPr>
        <w:t xml:space="preserve">on </w:t>
      </w:r>
      <w:r w:rsidR="002F4317">
        <w:rPr>
          <w:sz w:val="22"/>
          <w:szCs w:val="22"/>
        </w:rPr>
        <w:t xml:space="preserve">SEND </w:t>
      </w:r>
      <w:r w:rsidR="00680485">
        <w:rPr>
          <w:sz w:val="22"/>
          <w:szCs w:val="22"/>
        </w:rPr>
        <w:t>assessment is available</w:t>
      </w:r>
      <w:r w:rsidR="00284B42">
        <w:rPr>
          <w:sz w:val="22"/>
          <w:szCs w:val="22"/>
        </w:rPr>
        <w:t xml:space="preserve"> on Bradford Schools Online</w:t>
      </w:r>
      <w:r w:rsidR="00680485">
        <w:rPr>
          <w:sz w:val="22"/>
          <w:szCs w:val="22"/>
        </w:rPr>
        <w:t xml:space="preserve"> </w:t>
      </w:r>
      <w:hyperlink r:id="rId17" w:history="1">
        <w:r w:rsidR="00680485" w:rsidRPr="00680485">
          <w:rPr>
            <w:rStyle w:val="Hyperlink"/>
            <w:sz w:val="22"/>
            <w:szCs w:val="22"/>
          </w:rPr>
          <w:t>here</w:t>
        </w:r>
      </w:hyperlink>
      <w:r w:rsidR="00680485">
        <w:rPr>
          <w:sz w:val="22"/>
          <w:szCs w:val="22"/>
        </w:rPr>
        <w:t>.</w:t>
      </w:r>
    </w:p>
    <w:p w:rsidR="00503D47" w:rsidRDefault="00503D47" w:rsidP="00D118C9">
      <w:pPr>
        <w:jc w:val="both"/>
        <w:rPr>
          <w:sz w:val="22"/>
          <w:szCs w:val="22"/>
        </w:rPr>
      </w:pPr>
    </w:p>
    <w:p w:rsidR="00E30A11" w:rsidRDefault="00CA2B83" w:rsidP="00D118C9">
      <w:pPr>
        <w:jc w:val="both"/>
        <w:rPr>
          <w:sz w:val="22"/>
          <w:szCs w:val="22"/>
        </w:rPr>
      </w:pPr>
      <w:r>
        <w:rPr>
          <w:sz w:val="22"/>
          <w:szCs w:val="22"/>
        </w:rPr>
        <w:t>6.8</w:t>
      </w:r>
      <w:r w:rsidR="00D118C9">
        <w:rPr>
          <w:sz w:val="22"/>
          <w:szCs w:val="22"/>
        </w:rPr>
        <w:t xml:space="preserve"> The table below shows the actual </w:t>
      </w:r>
      <w:r w:rsidR="00D32993">
        <w:rPr>
          <w:sz w:val="22"/>
          <w:szCs w:val="22"/>
        </w:rPr>
        <w:t>top-up</w:t>
      </w:r>
      <w:r w:rsidR="00D118C9">
        <w:rPr>
          <w:sz w:val="22"/>
          <w:szCs w:val="22"/>
        </w:rPr>
        <w:t xml:space="preserve"> rates that </w:t>
      </w:r>
      <w:r w:rsidR="00CC5811">
        <w:rPr>
          <w:sz w:val="22"/>
          <w:szCs w:val="22"/>
        </w:rPr>
        <w:t>were</w:t>
      </w:r>
      <w:r w:rsidR="008F4B56">
        <w:rPr>
          <w:sz w:val="22"/>
          <w:szCs w:val="22"/>
        </w:rPr>
        <w:t xml:space="preserve"> funded in 2019/20 (under our previous</w:t>
      </w:r>
      <w:r w:rsidR="00D118C9">
        <w:rPr>
          <w:sz w:val="22"/>
          <w:szCs w:val="22"/>
        </w:rPr>
        <w:t xml:space="preserve"> Rang</w:t>
      </w:r>
      <w:r w:rsidR="00AF533B">
        <w:rPr>
          <w:sz w:val="22"/>
          <w:szCs w:val="22"/>
        </w:rPr>
        <w:t>es Model), in 2020</w:t>
      </w:r>
      <w:r w:rsidR="008F4B56">
        <w:rPr>
          <w:sz w:val="22"/>
          <w:szCs w:val="22"/>
        </w:rPr>
        <w:t>/21 (</w:t>
      </w:r>
      <w:r w:rsidR="00365FCB">
        <w:rPr>
          <w:sz w:val="22"/>
          <w:szCs w:val="22"/>
        </w:rPr>
        <w:t>in the first year of our</w:t>
      </w:r>
      <w:r w:rsidR="00D118C9">
        <w:rPr>
          <w:sz w:val="22"/>
          <w:szCs w:val="22"/>
        </w:rPr>
        <w:t xml:space="preserve"> new Banded Model)</w:t>
      </w:r>
      <w:r w:rsidR="00DB6666">
        <w:rPr>
          <w:sz w:val="22"/>
          <w:szCs w:val="22"/>
        </w:rPr>
        <w:t>,</w:t>
      </w:r>
      <w:r>
        <w:rPr>
          <w:sz w:val="22"/>
          <w:szCs w:val="22"/>
        </w:rPr>
        <w:t xml:space="preserve"> in 2021/22,</w:t>
      </w:r>
      <w:r w:rsidR="00DB6666">
        <w:rPr>
          <w:sz w:val="22"/>
          <w:szCs w:val="22"/>
        </w:rPr>
        <w:t xml:space="preserve"> and that are funded now</w:t>
      </w:r>
      <w:r>
        <w:rPr>
          <w:sz w:val="22"/>
          <w:szCs w:val="22"/>
        </w:rPr>
        <w:t xml:space="preserve"> in the current 2022/23</w:t>
      </w:r>
      <w:r w:rsidR="007E4133">
        <w:rPr>
          <w:sz w:val="22"/>
          <w:szCs w:val="22"/>
        </w:rPr>
        <w:t xml:space="preserve"> financial</w:t>
      </w:r>
      <w:r w:rsidR="00307556">
        <w:rPr>
          <w:sz w:val="22"/>
          <w:szCs w:val="22"/>
        </w:rPr>
        <w:t xml:space="preserve"> year</w:t>
      </w:r>
      <w:r w:rsidR="00DB6666">
        <w:rPr>
          <w:sz w:val="22"/>
          <w:szCs w:val="22"/>
        </w:rPr>
        <w:t>. The table also then shows</w:t>
      </w:r>
      <w:r w:rsidR="0079178D">
        <w:rPr>
          <w:sz w:val="22"/>
          <w:szCs w:val="22"/>
        </w:rPr>
        <w:t>, in the right-hand column,</w:t>
      </w:r>
      <w:r w:rsidR="00DB6666">
        <w:rPr>
          <w:sz w:val="22"/>
          <w:szCs w:val="22"/>
        </w:rPr>
        <w:t xml:space="preserve"> the</w:t>
      </w:r>
      <w:r w:rsidR="00D118C9">
        <w:rPr>
          <w:sz w:val="22"/>
          <w:szCs w:val="22"/>
        </w:rPr>
        <w:t xml:space="preserve"> rates that </w:t>
      </w:r>
      <w:r w:rsidR="0079178D">
        <w:rPr>
          <w:sz w:val="22"/>
          <w:szCs w:val="22"/>
        </w:rPr>
        <w:t>are</w:t>
      </w:r>
      <w:r>
        <w:rPr>
          <w:sz w:val="22"/>
          <w:szCs w:val="22"/>
        </w:rPr>
        <w:t xml:space="preserve"> proposed for 2023/24</w:t>
      </w:r>
      <w:r w:rsidR="00AC5A54" w:rsidRPr="00AC5A54">
        <w:rPr>
          <w:sz w:val="22"/>
          <w:szCs w:val="22"/>
        </w:rPr>
        <w:t>,</w:t>
      </w:r>
      <w:r w:rsidR="00D118C9" w:rsidRPr="00AC5A54">
        <w:rPr>
          <w:sz w:val="22"/>
          <w:szCs w:val="22"/>
        </w:rPr>
        <w:t xml:space="preserve"> subject to warning that is given in paragraph 1.6</w:t>
      </w:r>
      <w:r w:rsidR="00C00742">
        <w:rPr>
          <w:sz w:val="22"/>
          <w:szCs w:val="22"/>
        </w:rPr>
        <w:t xml:space="preserve"> about</w:t>
      </w:r>
      <w:r w:rsidR="00AC5A54" w:rsidRPr="00AC5A54">
        <w:rPr>
          <w:sz w:val="22"/>
          <w:szCs w:val="22"/>
        </w:rPr>
        <w:t xml:space="preserve"> final affordability check</w:t>
      </w:r>
      <w:r w:rsidR="00D118C9" w:rsidRPr="00AC5A54">
        <w:rPr>
          <w:sz w:val="22"/>
          <w:szCs w:val="22"/>
        </w:rPr>
        <w:t>.</w:t>
      </w:r>
      <w:r w:rsidR="006E10C0">
        <w:rPr>
          <w:sz w:val="22"/>
          <w:szCs w:val="22"/>
        </w:rPr>
        <w:t xml:space="preserve"> </w:t>
      </w:r>
      <w:r w:rsidR="0079178D">
        <w:rPr>
          <w:sz w:val="22"/>
          <w:szCs w:val="22"/>
        </w:rPr>
        <w:t>T</w:t>
      </w:r>
      <w:r w:rsidR="00F14717">
        <w:rPr>
          <w:sz w:val="22"/>
          <w:szCs w:val="22"/>
        </w:rPr>
        <w:t>hese rates</w:t>
      </w:r>
      <w:r>
        <w:rPr>
          <w:sz w:val="22"/>
          <w:szCs w:val="22"/>
        </w:rPr>
        <w:t xml:space="preserve"> would be used from 1 April 2023</w:t>
      </w:r>
      <w:r w:rsidR="00540764">
        <w:rPr>
          <w:sz w:val="22"/>
          <w:szCs w:val="22"/>
        </w:rPr>
        <w:t xml:space="preserve">, subject to the outcomes of this consultation and </w:t>
      </w:r>
      <w:r w:rsidR="0079178D">
        <w:rPr>
          <w:sz w:val="22"/>
          <w:szCs w:val="22"/>
        </w:rPr>
        <w:t>this final affordability check</w:t>
      </w:r>
      <w:r w:rsidR="006E10C0">
        <w:rPr>
          <w:sz w:val="22"/>
          <w:szCs w:val="22"/>
        </w:rPr>
        <w:t>.</w:t>
      </w:r>
      <w:r w:rsidR="000231F1">
        <w:rPr>
          <w:sz w:val="22"/>
          <w:szCs w:val="22"/>
        </w:rPr>
        <w:t xml:space="preserve"> Please also note the warning given in paragraph 1.7.</w:t>
      </w:r>
    </w:p>
    <w:p w:rsidR="00C85CB4" w:rsidRDefault="00C85CB4" w:rsidP="001B416B">
      <w:pPr>
        <w:jc w:val="both"/>
        <w:rPr>
          <w:color w:val="FF0000"/>
          <w:sz w:val="22"/>
          <w:szCs w:val="22"/>
        </w:rPr>
      </w:pPr>
    </w:p>
    <w:tbl>
      <w:tblPr>
        <w:tblStyle w:val="TableGrid"/>
        <w:tblW w:w="0" w:type="auto"/>
        <w:tblLook w:val="04A0" w:firstRow="1" w:lastRow="0" w:firstColumn="1" w:lastColumn="0" w:noHBand="0" w:noVBand="1"/>
      </w:tblPr>
      <w:tblGrid>
        <w:gridCol w:w="1963"/>
        <w:gridCol w:w="1893"/>
        <w:gridCol w:w="1893"/>
        <w:gridCol w:w="1730"/>
        <w:gridCol w:w="1701"/>
        <w:gridCol w:w="1694"/>
      </w:tblGrid>
      <w:tr w:rsidR="00CA2B83" w:rsidTr="00CA2B83">
        <w:tc>
          <w:tcPr>
            <w:tcW w:w="1963" w:type="dxa"/>
          </w:tcPr>
          <w:p w:rsidR="00CA2B83" w:rsidRPr="00505225" w:rsidRDefault="00CA2B83" w:rsidP="00D621E9">
            <w:pPr>
              <w:jc w:val="both"/>
              <w:rPr>
                <w:sz w:val="22"/>
                <w:szCs w:val="22"/>
              </w:rPr>
            </w:pPr>
          </w:p>
        </w:tc>
        <w:tc>
          <w:tcPr>
            <w:tcW w:w="1893" w:type="dxa"/>
          </w:tcPr>
          <w:p w:rsidR="00CA2B83" w:rsidRPr="00505225" w:rsidRDefault="00CA2B83" w:rsidP="00D621E9">
            <w:pPr>
              <w:jc w:val="right"/>
              <w:rPr>
                <w:sz w:val="22"/>
                <w:szCs w:val="22"/>
              </w:rPr>
            </w:pPr>
            <w:r w:rsidRPr="00505225">
              <w:rPr>
                <w:sz w:val="22"/>
                <w:szCs w:val="22"/>
              </w:rPr>
              <w:t xml:space="preserve">£ </w:t>
            </w:r>
            <w:r w:rsidR="00D32993">
              <w:rPr>
                <w:sz w:val="22"/>
                <w:szCs w:val="22"/>
              </w:rPr>
              <w:t>Top-up</w:t>
            </w:r>
            <w:r w:rsidRPr="00505225">
              <w:rPr>
                <w:sz w:val="22"/>
                <w:szCs w:val="22"/>
              </w:rPr>
              <w:t xml:space="preserve"> Value 2019/20</w:t>
            </w:r>
          </w:p>
        </w:tc>
        <w:tc>
          <w:tcPr>
            <w:tcW w:w="1893" w:type="dxa"/>
          </w:tcPr>
          <w:p w:rsidR="00CA2B83" w:rsidRPr="00505225" w:rsidRDefault="00CA2B83" w:rsidP="00D621E9">
            <w:pPr>
              <w:jc w:val="right"/>
              <w:rPr>
                <w:sz w:val="22"/>
                <w:szCs w:val="22"/>
              </w:rPr>
            </w:pPr>
            <w:r w:rsidRPr="00505225">
              <w:rPr>
                <w:sz w:val="22"/>
                <w:szCs w:val="22"/>
              </w:rPr>
              <w:t xml:space="preserve">£ </w:t>
            </w:r>
            <w:r w:rsidR="00D32993">
              <w:rPr>
                <w:sz w:val="22"/>
                <w:szCs w:val="22"/>
              </w:rPr>
              <w:t>Top-up</w:t>
            </w:r>
            <w:r w:rsidRPr="00505225">
              <w:rPr>
                <w:sz w:val="22"/>
                <w:szCs w:val="22"/>
              </w:rPr>
              <w:t xml:space="preserve"> Value 2020/21</w:t>
            </w:r>
          </w:p>
        </w:tc>
        <w:tc>
          <w:tcPr>
            <w:tcW w:w="1730" w:type="dxa"/>
          </w:tcPr>
          <w:p w:rsidR="00CA2B83" w:rsidRPr="00505225" w:rsidRDefault="00CA2B83" w:rsidP="00D621E9">
            <w:pPr>
              <w:jc w:val="right"/>
              <w:rPr>
                <w:sz w:val="22"/>
                <w:szCs w:val="22"/>
              </w:rPr>
            </w:pPr>
            <w:r w:rsidRPr="00505225">
              <w:rPr>
                <w:sz w:val="22"/>
                <w:szCs w:val="22"/>
              </w:rPr>
              <w:t xml:space="preserve">£ </w:t>
            </w:r>
            <w:r w:rsidR="00D32993">
              <w:rPr>
                <w:sz w:val="22"/>
                <w:szCs w:val="22"/>
              </w:rPr>
              <w:t>Top-up</w:t>
            </w:r>
            <w:r w:rsidRPr="00505225">
              <w:rPr>
                <w:sz w:val="22"/>
                <w:szCs w:val="22"/>
              </w:rPr>
              <w:t xml:space="preserve"> Value 2021/22</w:t>
            </w:r>
          </w:p>
        </w:tc>
        <w:tc>
          <w:tcPr>
            <w:tcW w:w="1701" w:type="dxa"/>
          </w:tcPr>
          <w:p w:rsidR="00CA2B83" w:rsidRPr="00CA2B83" w:rsidRDefault="00CA2B83" w:rsidP="00D621E9">
            <w:pPr>
              <w:jc w:val="right"/>
              <w:rPr>
                <w:sz w:val="22"/>
                <w:szCs w:val="22"/>
              </w:rPr>
            </w:pPr>
            <w:r w:rsidRPr="00CA2B83">
              <w:rPr>
                <w:sz w:val="22"/>
                <w:szCs w:val="22"/>
              </w:rPr>
              <w:t xml:space="preserve">£ </w:t>
            </w:r>
            <w:r w:rsidR="00D32993">
              <w:rPr>
                <w:sz w:val="22"/>
                <w:szCs w:val="22"/>
              </w:rPr>
              <w:t>Top-up</w:t>
            </w:r>
            <w:r w:rsidRPr="00CA2B83">
              <w:rPr>
                <w:sz w:val="22"/>
                <w:szCs w:val="22"/>
              </w:rPr>
              <w:t xml:space="preserve"> Value 2022/23</w:t>
            </w:r>
          </w:p>
        </w:tc>
        <w:tc>
          <w:tcPr>
            <w:tcW w:w="1694" w:type="dxa"/>
          </w:tcPr>
          <w:p w:rsidR="00CA2B83" w:rsidRPr="004D5AB3" w:rsidRDefault="00CA2B83" w:rsidP="00D621E9">
            <w:pPr>
              <w:jc w:val="right"/>
              <w:rPr>
                <w:b/>
                <w:color w:val="000000" w:themeColor="text1"/>
                <w:sz w:val="22"/>
                <w:szCs w:val="22"/>
              </w:rPr>
            </w:pPr>
            <w:r w:rsidRPr="004D5AB3">
              <w:rPr>
                <w:b/>
                <w:color w:val="000000" w:themeColor="text1"/>
                <w:sz w:val="22"/>
                <w:szCs w:val="22"/>
              </w:rPr>
              <w:t xml:space="preserve">£ </w:t>
            </w:r>
            <w:r w:rsidR="00D32993" w:rsidRPr="004D5AB3">
              <w:rPr>
                <w:b/>
                <w:color w:val="000000" w:themeColor="text1"/>
                <w:sz w:val="22"/>
                <w:szCs w:val="22"/>
              </w:rPr>
              <w:t>Top-up</w:t>
            </w:r>
            <w:r w:rsidRPr="004D5AB3">
              <w:rPr>
                <w:b/>
                <w:color w:val="000000" w:themeColor="text1"/>
                <w:sz w:val="22"/>
                <w:szCs w:val="22"/>
              </w:rPr>
              <w:t xml:space="preserve"> Value 2023/24</w:t>
            </w:r>
          </w:p>
        </w:tc>
      </w:tr>
      <w:tr w:rsidR="00CA2B83" w:rsidTr="00CA2B83">
        <w:tc>
          <w:tcPr>
            <w:tcW w:w="1963" w:type="dxa"/>
          </w:tcPr>
          <w:p w:rsidR="00CA2B83" w:rsidRPr="006635A3" w:rsidRDefault="00CA2B83" w:rsidP="00D621E9">
            <w:pPr>
              <w:jc w:val="both"/>
              <w:rPr>
                <w:sz w:val="22"/>
                <w:szCs w:val="22"/>
              </w:rPr>
            </w:pPr>
            <w:r w:rsidRPr="006635A3">
              <w:rPr>
                <w:sz w:val="22"/>
                <w:szCs w:val="22"/>
              </w:rPr>
              <w:t>Band 3L</w:t>
            </w:r>
          </w:p>
        </w:tc>
        <w:tc>
          <w:tcPr>
            <w:tcW w:w="1893" w:type="dxa"/>
          </w:tcPr>
          <w:p w:rsidR="00CA2B83" w:rsidRPr="006635A3" w:rsidRDefault="00CA2B83" w:rsidP="003F45F0">
            <w:pPr>
              <w:jc w:val="right"/>
              <w:rPr>
                <w:sz w:val="22"/>
                <w:szCs w:val="22"/>
              </w:rPr>
            </w:pPr>
            <w:r w:rsidRPr="006635A3">
              <w:rPr>
                <w:sz w:val="22"/>
                <w:szCs w:val="22"/>
              </w:rPr>
              <w:t>£952</w:t>
            </w:r>
          </w:p>
        </w:tc>
        <w:tc>
          <w:tcPr>
            <w:tcW w:w="1893" w:type="dxa"/>
          </w:tcPr>
          <w:p w:rsidR="00CA2B83" w:rsidRPr="006635A3" w:rsidRDefault="00CA2B83" w:rsidP="003F45F0">
            <w:pPr>
              <w:jc w:val="right"/>
              <w:rPr>
                <w:sz w:val="22"/>
                <w:szCs w:val="22"/>
              </w:rPr>
            </w:pPr>
            <w:r w:rsidRPr="006635A3">
              <w:rPr>
                <w:sz w:val="22"/>
                <w:szCs w:val="22"/>
              </w:rPr>
              <w:t>£1,670</w:t>
            </w:r>
          </w:p>
        </w:tc>
        <w:tc>
          <w:tcPr>
            <w:tcW w:w="1730" w:type="dxa"/>
          </w:tcPr>
          <w:p w:rsidR="00CA2B83" w:rsidRPr="007A2A6A" w:rsidRDefault="00CA2B83" w:rsidP="003F45F0">
            <w:pPr>
              <w:pStyle w:val="ListParagraph"/>
              <w:ind w:left="0"/>
              <w:jc w:val="right"/>
              <w:rPr>
                <w:rFonts w:cs="Arial"/>
                <w:sz w:val="22"/>
                <w:szCs w:val="22"/>
              </w:rPr>
            </w:pPr>
            <w:r w:rsidRPr="007A2A6A">
              <w:rPr>
                <w:rFonts w:cs="Arial"/>
                <w:sz w:val="22"/>
                <w:szCs w:val="22"/>
              </w:rPr>
              <w:t>£1,900</w:t>
            </w:r>
          </w:p>
        </w:tc>
        <w:tc>
          <w:tcPr>
            <w:tcW w:w="1701" w:type="dxa"/>
          </w:tcPr>
          <w:p w:rsidR="00CA2B83" w:rsidRPr="00CA2B83" w:rsidRDefault="005912FB" w:rsidP="003F45F0">
            <w:pPr>
              <w:pStyle w:val="ListParagraph"/>
              <w:ind w:left="0"/>
              <w:jc w:val="right"/>
              <w:rPr>
                <w:rFonts w:cs="Arial"/>
                <w:sz w:val="22"/>
                <w:szCs w:val="22"/>
              </w:rPr>
            </w:pPr>
            <w:r>
              <w:rPr>
                <w:rFonts w:cs="Arial"/>
                <w:sz w:val="22"/>
                <w:szCs w:val="22"/>
              </w:rPr>
              <w:t>£2,236</w:t>
            </w:r>
          </w:p>
        </w:tc>
        <w:tc>
          <w:tcPr>
            <w:tcW w:w="1694" w:type="dxa"/>
          </w:tcPr>
          <w:p w:rsidR="00CA2B83" w:rsidRPr="004D5AB3" w:rsidRDefault="004D5AB3" w:rsidP="003F45F0">
            <w:pPr>
              <w:pStyle w:val="ListParagraph"/>
              <w:ind w:left="0"/>
              <w:jc w:val="right"/>
              <w:rPr>
                <w:rFonts w:cs="Arial"/>
                <w:b/>
                <w:color w:val="000000" w:themeColor="text1"/>
                <w:sz w:val="22"/>
                <w:szCs w:val="22"/>
              </w:rPr>
            </w:pPr>
            <w:r w:rsidRPr="004D5AB3">
              <w:rPr>
                <w:rFonts w:cs="Arial"/>
                <w:b/>
                <w:color w:val="000000" w:themeColor="text1"/>
                <w:sz w:val="22"/>
                <w:szCs w:val="22"/>
              </w:rPr>
              <w:t>£2,318</w:t>
            </w:r>
          </w:p>
        </w:tc>
      </w:tr>
      <w:tr w:rsidR="00CA2B83" w:rsidTr="00CA2B83">
        <w:tc>
          <w:tcPr>
            <w:tcW w:w="1963" w:type="dxa"/>
          </w:tcPr>
          <w:p w:rsidR="00CA2B83" w:rsidRPr="006635A3" w:rsidRDefault="00CA2B83" w:rsidP="00D621E9">
            <w:pPr>
              <w:jc w:val="both"/>
              <w:rPr>
                <w:sz w:val="22"/>
                <w:szCs w:val="22"/>
              </w:rPr>
            </w:pPr>
            <w:r w:rsidRPr="006635A3">
              <w:rPr>
                <w:sz w:val="22"/>
                <w:szCs w:val="22"/>
              </w:rPr>
              <w:t>Band 3M</w:t>
            </w:r>
          </w:p>
        </w:tc>
        <w:tc>
          <w:tcPr>
            <w:tcW w:w="1893" w:type="dxa"/>
          </w:tcPr>
          <w:p w:rsidR="00CA2B83" w:rsidRPr="006635A3" w:rsidRDefault="00CA2B83" w:rsidP="003F45F0">
            <w:pPr>
              <w:jc w:val="right"/>
              <w:rPr>
                <w:sz w:val="22"/>
                <w:szCs w:val="22"/>
              </w:rPr>
            </w:pPr>
            <w:r w:rsidRPr="006635A3">
              <w:rPr>
                <w:sz w:val="22"/>
                <w:szCs w:val="22"/>
              </w:rPr>
              <w:t>£3,000</w:t>
            </w:r>
          </w:p>
        </w:tc>
        <w:tc>
          <w:tcPr>
            <w:tcW w:w="1893" w:type="dxa"/>
          </w:tcPr>
          <w:p w:rsidR="00CA2B83" w:rsidRPr="006635A3" w:rsidRDefault="00CA2B83" w:rsidP="003F45F0">
            <w:pPr>
              <w:jc w:val="right"/>
              <w:rPr>
                <w:sz w:val="22"/>
                <w:szCs w:val="22"/>
              </w:rPr>
            </w:pPr>
            <w:r w:rsidRPr="006635A3">
              <w:rPr>
                <w:sz w:val="22"/>
                <w:szCs w:val="22"/>
              </w:rPr>
              <w:t>£3,347</w:t>
            </w:r>
          </w:p>
        </w:tc>
        <w:tc>
          <w:tcPr>
            <w:tcW w:w="1730" w:type="dxa"/>
          </w:tcPr>
          <w:p w:rsidR="00CA2B83" w:rsidRPr="007A2A6A" w:rsidRDefault="00CA2B83" w:rsidP="003F45F0">
            <w:pPr>
              <w:pStyle w:val="ListParagraph"/>
              <w:ind w:left="0"/>
              <w:jc w:val="right"/>
              <w:rPr>
                <w:rFonts w:cs="Arial"/>
                <w:sz w:val="22"/>
                <w:szCs w:val="22"/>
              </w:rPr>
            </w:pPr>
            <w:r w:rsidRPr="007A2A6A">
              <w:rPr>
                <w:rFonts w:cs="Arial"/>
                <w:sz w:val="22"/>
                <w:szCs w:val="22"/>
              </w:rPr>
              <w:t>£3,626</w:t>
            </w:r>
          </w:p>
        </w:tc>
        <w:tc>
          <w:tcPr>
            <w:tcW w:w="1701" w:type="dxa"/>
          </w:tcPr>
          <w:p w:rsidR="00CA2B83" w:rsidRPr="00CA2B83" w:rsidRDefault="005912FB" w:rsidP="003F45F0">
            <w:pPr>
              <w:pStyle w:val="ListParagraph"/>
              <w:ind w:left="0"/>
              <w:jc w:val="right"/>
              <w:rPr>
                <w:rFonts w:cs="Arial"/>
                <w:sz w:val="22"/>
                <w:szCs w:val="22"/>
              </w:rPr>
            </w:pPr>
            <w:r>
              <w:rPr>
                <w:rFonts w:cs="Arial"/>
                <w:sz w:val="22"/>
                <w:szCs w:val="22"/>
              </w:rPr>
              <w:t>£4,036</w:t>
            </w:r>
          </w:p>
        </w:tc>
        <w:tc>
          <w:tcPr>
            <w:tcW w:w="1694" w:type="dxa"/>
          </w:tcPr>
          <w:p w:rsidR="00CA2B83" w:rsidRPr="004D5AB3" w:rsidRDefault="004D5AB3" w:rsidP="003F45F0">
            <w:pPr>
              <w:pStyle w:val="ListParagraph"/>
              <w:ind w:left="0"/>
              <w:jc w:val="right"/>
              <w:rPr>
                <w:rFonts w:cs="Arial"/>
                <w:b/>
                <w:color w:val="000000" w:themeColor="text1"/>
                <w:sz w:val="22"/>
                <w:szCs w:val="22"/>
              </w:rPr>
            </w:pPr>
            <w:r w:rsidRPr="004D5AB3">
              <w:rPr>
                <w:rFonts w:cs="Arial"/>
                <w:b/>
                <w:color w:val="000000" w:themeColor="text1"/>
                <w:sz w:val="22"/>
                <w:szCs w:val="22"/>
              </w:rPr>
              <w:t>£4,136</w:t>
            </w:r>
          </w:p>
        </w:tc>
      </w:tr>
      <w:tr w:rsidR="00CA2B83" w:rsidTr="00CA2B83">
        <w:tc>
          <w:tcPr>
            <w:tcW w:w="1963" w:type="dxa"/>
          </w:tcPr>
          <w:p w:rsidR="00CA2B83" w:rsidRPr="006635A3" w:rsidRDefault="00CA2B83" w:rsidP="00D621E9">
            <w:pPr>
              <w:jc w:val="both"/>
              <w:rPr>
                <w:sz w:val="22"/>
                <w:szCs w:val="22"/>
              </w:rPr>
            </w:pPr>
            <w:r w:rsidRPr="006635A3">
              <w:rPr>
                <w:sz w:val="22"/>
                <w:szCs w:val="22"/>
              </w:rPr>
              <w:t>Band 3H</w:t>
            </w:r>
          </w:p>
        </w:tc>
        <w:tc>
          <w:tcPr>
            <w:tcW w:w="1893" w:type="dxa"/>
          </w:tcPr>
          <w:p w:rsidR="00CA2B83" w:rsidRPr="006635A3" w:rsidRDefault="00CA2B83" w:rsidP="00D621E9">
            <w:pPr>
              <w:jc w:val="right"/>
              <w:rPr>
                <w:sz w:val="22"/>
                <w:szCs w:val="22"/>
              </w:rPr>
            </w:pPr>
            <w:r w:rsidRPr="006635A3">
              <w:rPr>
                <w:sz w:val="22"/>
                <w:szCs w:val="22"/>
              </w:rPr>
              <w:t>£4,597</w:t>
            </w:r>
          </w:p>
        </w:tc>
        <w:tc>
          <w:tcPr>
            <w:tcW w:w="1893" w:type="dxa"/>
          </w:tcPr>
          <w:p w:rsidR="00CA2B83" w:rsidRPr="006635A3" w:rsidRDefault="00CA2B83" w:rsidP="00D621E9">
            <w:pPr>
              <w:jc w:val="right"/>
              <w:rPr>
                <w:sz w:val="22"/>
                <w:szCs w:val="22"/>
              </w:rPr>
            </w:pPr>
            <w:r w:rsidRPr="006635A3">
              <w:rPr>
                <w:sz w:val="22"/>
                <w:szCs w:val="22"/>
              </w:rPr>
              <w:t>£4,974</w:t>
            </w:r>
          </w:p>
        </w:tc>
        <w:tc>
          <w:tcPr>
            <w:tcW w:w="1730" w:type="dxa"/>
          </w:tcPr>
          <w:p w:rsidR="00CA2B83" w:rsidRPr="007A2A6A" w:rsidRDefault="00CA2B83" w:rsidP="003F45F0">
            <w:pPr>
              <w:pStyle w:val="ListParagraph"/>
              <w:ind w:left="0"/>
              <w:jc w:val="right"/>
              <w:rPr>
                <w:rFonts w:cs="Arial"/>
                <w:sz w:val="22"/>
                <w:szCs w:val="22"/>
              </w:rPr>
            </w:pPr>
            <w:r w:rsidRPr="007A2A6A">
              <w:rPr>
                <w:rFonts w:cs="Arial"/>
                <w:sz w:val="22"/>
                <w:szCs w:val="22"/>
              </w:rPr>
              <w:t>£5,302</w:t>
            </w:r>
          </w:p>
        </w:tc>
        <w:tc>
          <w:tcPr>
            <w:tcW w:w="1701" w:type="dxa"/>
          </w:tcPr>
          <w:p w:rsidR="00CA2B83" w:rsidRPr="00CA2B83" w:rsidRDefault="005912FB" w:rsidP="003F45F0">
            <w:pPr>
              <w:pStyle w:val="ListParagraph"/>
              <w:ind w:left="0"/>
              <w:jc w:val="right"/>
              <w:rPr>
                <w:rFonts w:cs="Arial"/>
                <w:sz w:val="22"/>
                <w:szCs w:val="22"/>
              </w:rPr>
            </w:pPr>
            <w:r>
              <w:rPr>
                <w:rFonts w:cs="Arial"/>
                <w:sz w:val="22"/>
                <w:szCs w:val="22"/>
              </w:rPr>
              <w:t>£5,783</w:t>
            </w:r>
          </w:p>
        </w:tc>
        <w:tc>
          <w:tcPr>
            <w:tcW w:w="1694" w:type="dxa"/>
          </w:tcPr>
          <w:p w:rsidR="00CA2B83" w:rsidRPr="004D5AB3" w:rsidRDefault="004D5AB3" w:rsidP="003F45F0">
            <w:pPr>
              <w:pStyle w:val="ListParagraph"/>
              <w:ind w:left="0"/>
              <w:jc w:val="right"/>
              <w:rPr>
                <w:rFonts w:cs="Arial"/>
                <w:b/>
                <w:color w:val="000000" w:themeColor="text1"/>
                <w:sz w:val="22"/>
                <w:szCs w:val="22"/>
              </w:rPr>
            </w:pPr>
            <w:r w:rsidRPr="004D5AB3">
              <w:rPr>
                <w:rFonts w:cs="Arial"/>
                <w:b/>
                <w:color w:val="000000" w:themeColor="text1"/>
                <w:sz w:val="22"/>
                <w:szCs w:val="22"/>
              </w:rPr>
              <w:t>£5,900</w:t>
            </w:r>
          </w:p>
        </w:tc>
      </w:tr>
      <w:tr w:rsidR="00CA2B83" w:rsidTr="00CA2B83">
        <w:tc>
          <w:tcPr>
            <w:tcW w:w="1963" w:type="dxa"/>
          </w:tcPr>
          <w:p w:rsidR="00CA2B83" w:rsidRPr="006635A3" w:rsidRDefault="00CA2B83" w:rsidP="00D621E9">
            <w:pPr>
              <w:jc w:val="both"/>
              <w:rPr>
                <w:sz w:val="22"/>
                <w:szCs w:val="22"/>
              </w:rPr>
            </w:pPr>
            <w:r w:rsidRPr="006635A3">
              <w:rPr>
                <w:sz w:val="22"/>
                <w:szCs w:val="22"/>
              </w:rPr>
              <w:t>Band 4L</w:t>
            </w:r>
          </w:p>
        </w:tc>
        <w:tc>
          <w:tcPr>
            <w:tcW w:w="1893" w:type="dxa"/>
          </w:tcPr>
          <w:p w:rsidR="00CA2B83" w:rsidRPr="006635A3" w:rsidRDefault="00CA2B83" w:rsidP="00D621E9">
            <w:pPr>
              <w:jc w:val="right"/>
              <w:rPr>
                <w:sz w:val="22"/>
                <w:szCs w:val="22"/>
              </w:rPr>
            </w:pPr>
            <w:r w:rsidRPr="006635A3">
              <w:rPr>
                <w:sz w:val="22"/>
                <w:szCs w:val="22"/>
              </w:rPr>
              <w:t>£7,160</w:t>
            </w:r>
          </w:p>
        </w:tc>
        <w:tc>
          <w:tcPr>
            <w:tcW w:w="1893" w:type="dxa"/>
          </w:tcPr>
          <w:p w:rsidR="00CA2B83" w:rsidRPr="006635A3" w:rsidRDefault="00CA2B83" w:rsidP="00D621E9">
            <w:pPr>
              <w:jc w:val="right"/>
              <w:rPr>
                <w:sz w:val="22"/>
                <w:szCs w:val="22"/>
              </w:rPr>
            </w:pPr>
            <w:r w:rsidRPr="006635A3">
              <w:rPr>
                <w:sz w:val="22"/>
                <w:szCs w:val="22"/>
              </w:rPr>
              <w:t>£7,747</w:t>
            </w:r>
          </w:p>
        </w:tc>
        <w:tc>
          <w:tcPr>
            <w:tcW w:w="1730" w:type="dxa"/>
          </w:tcPr>
          <w:p w:rsidR="00CA2B83" w:rsidRPr="007A2A6A" w:rsidRDefault="00CA2B83" w:rsidP="003F45F0">
            <w:pPr>
              <w:pStyle w:val="ListParagraph"/>
              <w:ind w:left="0"/>
              <w:jc w:val="right"/>
              <w:rPr>
                <w:rFonts w:cs="Arial"/>
                <w:sz w:val="22"/>
                <w:szCs w:val="22"/>
              </w:rPr>
            </w:pPr>
            <w:r w:rsidRPr="007A2A6A">
              <w:rPr>
                <w:rFonts w:cs="Arial"/>
                <w:sz w:val="22"/>
                <w:szCs w:val="22"/>
              </w:rPr>
              <w:t>£8,435</w:t>
            </w:r>
          </w:p>
        </w:tc>
        <w:tc>
          <w:tcPr>
            <w:tcW w:w="1701" w:type="dxa"/>
          </w:tcPr>
          <w:p w:rsidR="00CA2B83" w:rsidRPr="00CA2B83" w:rsidRDefault="005912FB" w:rsidP="003F45F0">
            <w:pPr>
              <w:pStyle w:val="ListParagraph"/>
              <w:ind w:left="0"/>
              <w:jc w:val="right"/>
              <w:rPr>
                <w:rFonts w:cs="Arial"/>
                <w:sz w:val="22"/>
                <w:szCs w:val="22"/>
              </w:rPr>
            </w:pPr>
            <w:r>
              <w:rPr>
                <w:rFonts w:cs="Arial"/>
                <w:sz w:val="22"/>
                <w:szCs w:val="22"/>
              </w:rPr>
              <w:t>£9,218</w:t>
            </w:r>
          </w:p>
        </w:tc>
        <w:tc>
          <w:tcPr>
            <w:tcW w:w="1694" w:type="dxa"/>
          </w:tcPr>
          <w:p w:rsidR="00CA2B83" w:rsidRPr="004D5AB3" w:rsidRDefault="004D5AB3" w:rsidP="003F45F0">
            <w:pPr>
              <w:pStyle w:val="ListParagraph"/>
              <w:ind w:left="0"/>
              <w:jc w:val="right"/>
              <w:rPr>
                <w:rFonts w:cs="Arial"/>
                <w:b/>
                <w:color w:val="000000" w:themeColor="text1"/>
                <w:sz w:val="22"/>
                <w:szCs w:val="22"/>
              </w:rPr>
            </w:pPr>
            <w:r w:rsidRPr="004D5AB3">
              <w:rPr>
                <w:rFonts w:cs="Arial"/>
                <w:b/>
                <w:color w:val="000000" w:themeColor="text1"/>
                <w:sz w:val="22"/>
                <w:szCs w:val="22"/>
              </w:rPr>
              <w:t>£9,411</w:t>
            </w:r>
          </w:p>
        </w:tc>
      </w:tr>
      <w:tr w:rsidR="00CA2B83" w:rsidTr="00CA2B83">
        <w:tc>
          <w:tcPr>
            <w:tcW w:w="1963" w:type="dxa"/>
          </w:tcPr>
          <w:p w:rsidR="00CA2B83" w:rsidRPr="006635A3" w:rsidRDefault="00CA2B83" w:rsidP="00D621E9">
            <w:pPr>
              <w:jc w:val="both"/>
              <w:rPr>
                <w:sz w:val="22"/>
                <w:szCs w:val="22"/>
              </w:rPr>
            </w:pPr>
            <w:r w:rsidRPr="006635A3">
              <w:rPr>
                <w:sz w:val="22"/>
                <w:szCs w:val="22"/>
              </w:rPr>
              <w:t>Band 4M</w:t>
            </w:r>
          </w:p>
        </w:tc>
        <w:tc>
          <w:tcPr>
            <w:tcW w:w="1893" w:type="dxa"/>
          </w:tcPr>
          <w:p w:rsidR="00CA2B83" w:rsidRPr="006635A3" w:rsidRDefault="00CA2B83" w:rsidP="00D621E9">
            <w:pPr>
              <w:jc w:val="right"/>
              <w:rPr>
                <w:sz w:val="22"/>
                <w:szCs w:val="22"/>
              </w:rPr>
            </w:pPr>
            <w:r w:rsidRPr="006635A3">
              <w:rPr>
                <w:sz w:val="22"/>
                <w:szCs w:val="22"/>
              </w:rPr>
              <w:t>£10,440</w:t>
            </w:r>
          </w:p>
        </w:tc>
        <w:tc>
          <w:tcPr>
            <w:tcW w:w="1893" w:type="dxa"/>
          </w:tcPr>
          <w:p w:rsidR="00CA2B83" w:rsidRPr="006635A3" w:rsidRDefault="00CA2B83" w:rsidP="00D621E9">
            <w:pPr>
              <w:jc w:val="right"/>
              <w:rPr>
                <w:sz w:val="22"/>
                <w:szCs w:val="22"/>
              </w:rPr>
            </w:pPr>
            <w:r w:rsidRPr="006635A3">
              <w:rPr>
                <w:sz w:val="22"/>
                <w:szCs w:val="22"/>
              </w:rPr>
              <w:t>£11,296</w:t>
            </w:r>
          </w:p>
        </w:tc>
        <w:tc>
          <w:tcPr>
            <w:tcW w:w="1730" w:type="dxa"/>
          </w:tcPr>
          <w:p w:rsidR="00CA2B83" w:rsidRPr="007A2A6A" w:rsidRDefault="00CA2B83" w:rsidP="003F45F0">
            <w:pPr>
              <w:pStyle w:val="ListParagraph"/>
              <w:ind w:left="0"/>
              <w:jc w:val="right"/>
              <w:rPr>
                <w:rFonts w:cs="Arial"/>
                <w:sz w:val="22"/>
                <w:szCs w:val="22"/>
              </w:rPr>
            </w:pPr>
            <w:r w:rsidRPr="007A2A6A">
              <w:rPr>
                <w:rFonts w:cs="Arial"/>
                <w:sz w:val="22"/>
                <w:szCs w:val="22"/>
              </w:rPr>
              <w:t>£12,235</w:t>
            </w:r>
          </w:p>
        </w:tc>
        <w:tc>
          <w:tcPr>
            <w:tcW w:w="1701" w:type="dxa"/>
          </w:tcPr>
          <w:p w:rsidR="00CA2B83" w:rsidRPr="00CA2B83" w:rsidRDefault="005912FB" w:rsidP="003F45F0">
            <w:pPr>
              <w:pStyle w:val="ListParagraph"/>
              <w:ind w:left="0"/>
              <w:jc w:val="right"/>
              <w:rPr>
                <w:rFonts w:cs="Arial"/>
                <w:sz w:val="22"/>
                <w:szCs w:val="22"/>
              </w:rPr>
            </w:pPr>
            <w:r>
              <w:rPr>
                <w:rFonts w:cs="Arial"/>
                <w:sz w:val="22"/>
                <w:szCs w:val="22"/>
              </w:rPr>
              <w:t>£13,270</w:t>
            </w:r>
          </w:p>
        </w:tc>
        <w:tc>
          <w:tcPr>
            <w:tcW w:w="1694" w:type="dxa"/>
          </w:tcPr>
          <w:p w:rsidR="00CA2B83" w:rsidRPr="004D5AB3" w:rsidRDefault="004D5AB3" w:rsidP="003F45F0">
            <w:pPr>
              <w:pStyle w:val="ListParagraph"/>
              <w:ind w:left="0"/>
              <w:jc w:val="right"/>
              <w:rPr>
                <w:rFonts w:cs="Arial"/>
                <w:b/>
                <w:color w:val="000000" w:themeColor="text1"/>
                <w:sz w:val="22"/>
                <w:szCs w:val="22"/>
              </w:rPr>
            </w:pPr>
            <w:r w:rsidRPr="004D5AB3">
              <w:rPr>
                <w:rFonts w:cs="Arial"/>
                <w:b/>
                <w:color w:val="000000" w:themeColor="text1"/>
                <w:sz w:val="22"/>
                <w:szCs w:val="22"/>
              </w:rPr>
              <w:t>£13,524</w:t>
            </w:r>
          </w:p>
        </w:tc>
      </w:tr>
      <w:tr w:rsidR="00CA2B83" w:rsidTr="00CA2B83">
        <w:tc>
          <w:tcPr>
            <w:tcW w:w="1963" w:type="dxa"/>
          </w:tcPr>
          <w:p w:rsidR="00CA2B83" w:rsidRPr="006635A3" w:rsidRDefault="00CA2B83" w:rsidP="00D621E9">
            <w:pPr>
              <w:jc w:val="both"/>
              <w:rPr>
                <w:sz w:val="22"/>
                <w:szCs w:val="22"/>
              </w:rPr>
            </w:pPr>
            <w:r w:rsidRPr="006635A3">
              <w:rPr>
                <w:sz w:val="22"/>
                <w:szCs w:val="22"/>
              </w:rPr>
              <w:t>Band 4H</w:t>
            </w:r>
          </w:p>
        </w:tc>
        <w:tc>
          <w:tcPr>
            <w:tcW w:w="1893" w:type="dxa"/>
          </w:tcPr>
          <w:p w:rsidR="00CA2B83" w:rsidRPr="006635A3" w:rsidRDefault="00CA2B83" w:rsidP="00D621E9">
            <w:pPr>
              <w:jc w:val="right"/>
              <w:rPr>
                <w:sz w:val="22"/>
                <w:szCs w:val="22"/>
              </w:rPr>
            </w:pPr>
            <w:r w:rsidRPr="006635A3">
              <w:rPr>
                <w:sz w:val="22"/>
                <w:szCs w:val="22"/>
              </w:rPr>
              <w:t>£13,910</w:t>
            </w:r>
          </w:p>
        </w:tc>
        <w:tc>
          <w:tcPr>
            <w:tcW w:w="1893" w:type="dxa"/>
          </w:tcPr>
          <w:p w:rsidR="00CA2B83" w:rsidRPr="006635A3" w:rsidRDefault="00CA2B83" w:rsidP="00D621E9">
            <w:pPr>
              <w:jc w:val="right"/>
              <w:rPr>
                <w:sz w:val="22"/>
                <w:szCs w:val="22"/>
              </w:rPr>
            </w:pPr>
            <w:r w:rsidRPr="006635A3">
              <w:rPr>
                <w:sz w:val="22"/>
                <w:szCs w:val="22"/>
              </w:rPr>
              <w:t>£15,051</w:t>
            </w:r>
          </w:p>
        </w:tc>
        <w:tc>
          <w:tcPr>
            <w:tcW w:w="1730" w:type="dxa"/>
          </w:tcPr>
          <w:p w:rsidR="00CA2B83" w:rsidRPr="007A2A6A" w:rsidRDefault="00CA2B83" w:rsidP="003F45F0">
            <w:pPr>
              <w:pStyle w:val="ListParagraph"/>
              <w:ind w:left="0"/>
              <w:jc w:val="right"/>
              <w:rPr>
                <w:rFonts w:cs="Arial"/>
                <w:sz w:val="22"/>
                <w:szCs w:val="22"/>
              </w:rPr>
            </w:pPr>
            <w:r w:rsidRPr="007A2A6A">
              <w:rPr>
                <w:rFonts w:cs="Arial"/>
                <w:sz w:val="22"/>
                <w:szCs w:val="22"/>
              </w:rPr>
              <w:t>£16,148</w:t>
            </w:r>
          </w:p>
        </w:tc>
        <w:tc>
          <w:tcPr>
            <w:tcW w:w="1701" w:type="dxa"/>
          </w:tcPr>
          <w:p w:rsidR="00CA2B83" w:rsidRPr="00CA2B83" w:rsidRDefault="005912FB" w:rsidP="003F45F0">
            <w:pPr>
              <w:pStyle w:val="ListParagraph"/>
              <w:ind w:left="0"/>
              <w:jc w:val="right"/>
              <w:rPr>
                <w:rFonts w:cs="Arial"/>
                <w:sz w:val="22"/>
                <w:szCs w:val="22"/>
              </w:rPr>
            </w:pPr>
            <w:r>
              <w:rPr>
                <w:rFonts w:cs="Arial"/>
                <w:sz w:val="22"/>
                <w:szCs w:val="22"/>
              </w:rPr>
              <w:t>£17,377</w:t>
            </w:r>
          </w:p>
        </w:tc>
        <w:tc>
          <w:tcPr>
            <w:tcW w:w="1694" w:type="dxa"/>
          </w:tcPr>
          <w:p w:rsidR="00CA2B83" w:rsidRPr="004D5AB3" w:rsidRDefault="004D5AB3" w:rsidP="003F45F0">
            <w:pPr>
              <w:pStyle w:val="ListParagraph"/>
              <w:ind w:left="0"/>
              <w:jc w:val="right"/>
              <w:rPr>
                <w:rFonts w:cs="Arial"/>
                <w:b/>
                <w:color w:val="000000" w:themeColor="text1"/>
                <w:sz w:val="22"/>
                <w:szCs w:val="22"/>
              </w:rPr>
            </w:pPr>
            <w:r w:rsidRPr="004D5AB3">
              <w:rPr>
                <w:rFonts w:cs="Arial"/>
                <w:b/>
                <w:color w:val="000000" w:themeColor="text1"/>
                <w:sz w:val="22"/>
                <w:szCs w:val="22"/>
              </w:rPr>
              <w:t>£17,678</w:t>
            </w:r>
          </w:p>
        </w:tc>
      </w:tr>
      <w:tr w:rsidR="00CA2B83" w:rsidTr="00CA2B83">
        <w:tc>
          <w:tcPr>
            <w:tcW w:w="1963" w:type="dxa"/>
          </w:tcPr>
          <w:p w:rsidR="00CA2B83" w:rsidRPr="006635A3" w:rsidRDefault="00CA2B83" w:rsidP="00D621E9">
            <w:pPr>
              <w:jc w:val="both"/>
              <w:rPr>
                <w:sz w:val="22"/>
                <w:szCs w:val="22"/>
              </w:rPr>
            </w:pPr>
            <w:r w:rsidRPr="006635A3">
              <w:rPr>
                <w:sz w:val="22"/>
                <w:szCs w:val="22"/>
              </w:rPr>
              <w:t>Protected 7</w:t>
            </w:r>
          </w:p>
        </w:tc>
        <w:tc>
          <w:tcPr>
            <w:tcW w:w="1893" w:type="dxa"/>
          </w:tcPr>
          <w:p w:rsidR="00CA2B83" w:rsidRPr="006635A3" w:rsidRDefault="00CA2B83" w:rsidP="00D621E9">
            <w:pPr>
              <w:jc w:val="right"/>
              <w:rPr>
                <w:sz w:val="22"/>
                <w:szCs w:val="22"/>
              </w:rPr>
            </w:pPr>
            <w:r w:rsidRPr="006635A3">
              <w:rPr>
                <w:sz w:val="22"/>
                <w:szCs w:val="22"/>
              </w:rPr>
              <w:t>£22,857</w:t>
            </w:r>
          </w:p>
        </w:tc>
        <w:tc>
          <w:tcPr>
            <w:tcW w:w="1893" w:type="dxa"/>
          </w:tcPr>
          <w:p w:rsidR="00CA2B83" w:rsidRPr="006635A3" w:rsidRDefault="00CA2B83" w:rsidP="00D621E9">
            <w:pPr>
              <w:jc w:val="right"/>
              <w:rPr>
                <w:sz w:val="22"/>
                <w:szCs w:val="22"/>
              </w:rPr>
            </w:pPr>
            <w:r w:rsidRPr="006635A3">
              <w:rPr>
                <w:sz w:val="22"/>
                <w:szCs w:val="22"/>
              </w:rPr>
              <w:t>£24,732</w:t>
            </w:r>
          </w:p>
        </w:tc>
        <w:tc>
          <w:tcPr>
            <w:tcW w:w="1730" w:type="dxa"/>
          </w:tcPr>
          <w:p w:rsidR="00CA2B83" w:rsidRPr="007A2A6A" w:rsidRDefault="00CA2B83" w:rsidP="003F45F0">
            <w:pPr>
              <w:pStyle w:val="ListParagraph"/>
              <w:ind w:left="0"/>
              <w:jc w:val="right"/>
              <w:rPr>
                <w:rFonts w:cs="Arial"/>
                <w:sz w:val="22"/>
                <w:szCs w:val="22"/>
              </w:rPr>
            </w:pPr>
            <w:r w:rsidRPr="007A2A6A">
              <w:rPr>
                <w:rFonts w:cs="Arial"/>
                <w:sz w:val="22"/>
                <w:szCs w:val="22"/>
              </w:rPr>
              <w:t>£26,534</w:t>
            </w:r>
          </w:p>
        </w:tc>
        <w:tc>
          <w:tcPr>
            <w:tcW w:w="1701" w:type="dxa"/>
          </w:tcPr>
          <w:p w:rsidR="00CA2B83" w:rsidRPr="00CA2B83" w:rsidRDefault="005912FB" w:rsidP="003F45F0">
            <w:pPr>
              <w:pStyle w:val="ListParagraph"/>
              <w:ind w:left="0"/>
              <w:jc w:val="right"/>
              <w:rPr>
                <w:rFonts w:cs="Arial"/>
                <w:sz w:val="22"/>
                <w:szCs w:val="22"/>
              </w:rPr>
            </w:pPr>
            <w:r>
              <w:rPr>
                <w:rFonts w:cs="Arial"/>
                <w:sz w:val="22"/>
                <w:szCs w:val="22"/>
              </w:rPr>
              <w:t>£28,553</w:t>
            </w:r>
          </w:p>
        </w:tc>
        <w:tc>
          <w:tcPr>
            <w:tcW w:w="1694" w:type="dxa"/>
          </w:tcPr>
          <w:p w:rsidR="00CA2B83" w:rsidRPr="004D5AB3" w:rsidRDefault="004D5AB3" w:rsidP="003F45F0">
            <w:pPr>
              <w:pStyle w:val="ListParagraph"/>
              <w:ind w:left="0"/>
              <w:jc w:val="right"/>
              <w:rPr>
                <w:rFonts w:cs="Arial"/>
                <w:b/>
                <w:color w:val="000000" w:themeColor="text1"/>
                <w:sz w:val="22"/>
                <w:szCs w:val="22"/>
              </w:rPr>
            </w:pPr>
            <w:r w:rsidRPr="004D5AB3">
              <w:rPr>
                <w:rFonts w:cs="Arial"/>
                <w:b/>
                <w:color w:val="000000" w:themeColor="text1"/>
                <w:sz w:val="22"/>
                <w:szCs w:val="22"/>
              </w:rPr>
              <w:t>£29,048</w:t>
            </w:r>
          </w:p>
        </w:tc>
      </w:tr>
    </w:tbl>
    <w:p w:rsidR="00C85CB4" w:rsidRDefault="00C85CB4" w:rsidP="001B416B">
      <w:pPr>
        <w:jc w:val="both"/>
        <w:rPr>
          <w:color w:val="FF0000"/>
          <w:sz w:val="22"/>
          <w:szCs w:val="22"/>
        </w:rPr>
      </w:pPr>
    </w:p>
    <w:p w:rsidR="00D118C9" w:rsidRPr="00D118C9" w:rsidRDefault="00D92075" w:rsidP="001B416B">
      <w:pPr>
        <w:jc w:val="both"/>
        <w:rPr>
          <w:sz w:val="22"/>
          <w:szCs w:val="22"/>
        </w:rPr>
      </w:pPr>
      <w:r>
        <w:rPr>
          <w:sz w:val="22"/>
          <w:szCs w:val="22"/>
        </w:rPr>
        <w:t>6.9</w:t>
      </w:r>
      <w:r w:rsidR="00365FCB">
        <w:rPr>
          <w:sz w:val="22"/>
          <w:szCs w:val="22"/>
        </w:rPr>
        <w:t xml:space="preserve"> The table below</w:t>
      </w:r>
      <w:r w:rsidR="00D118C9" w:rsidRPr="00D118C9">
        <w:rPr>
          <w:sz w:val="22"/>
          <w:szCs w:val="22"/>
        </w:rPr>
        <w:t xml:space="preserve"> shows the % uplifts </w:t>
      </w:r>
      <w:r w:rsidR="00365FCB">
        <w:rPr>
          <w:sz w:val="22"/>
          <w:szCs w:val="22"/>
        </w:rPr>
        <w:t>in values</w:t>
      </w:r>
      <w:r w:rsidR="00AF533B">
        <w:rPr>
          <w:sz w:val="22"/>
          <w:szCs w:val="22"/>
        </w:rPr>
        <w:t xml:space="preserve"> between 2020/21 and 2023/24</w:t>
      </w:r>
      <w:r w:rsidR="00B23B2A">
        <w:rPr>
          <w:sz w:val="22"/>
          <w:szCs w:val="22"/>
        </w:rPr>
        <w:t xml:space="preserve"> and</w:t>
      </w:r>
      <w:r w:rsidR="00F14717">
        <w:rPr>
          <w:sz w:val="22"/>
          <w:szCs w:val="22"/>
        </w:rPr>
        <w:t>, in the right-hand column,</w:t>
      </w:r>
      <w:r w:rsidR="00B23B2A">
        <w:rPr>
          <w:sz w:val="22"/>
          <w:szCs w:val="22"/>
        </w:rPr>
        <w:t xml:space="preserve"> the cash uplift</w:t>
      </w:r>
      <w:r w:rsidR="00972D63">
        <w:rPr>
          <w:sz w:val="22"/>
          <w:szCs w:val="22"/>
        </w:rPr>
        <w:t>s</w:t>
      </w:r>
      <w:r w:rsidR="00AF533B">
        <w:rPr>
          <w:sz w:val="22"/>
          <w:szCs w:val="22"/>
        </w:rPr>
        <w:t xml:space="preserve"> between 2023/24 and 2022/23</w:t>
      </w:r>
      <w:r w:rsidR="00F15662">
        <w:rPr>
          <w:sz w:val="22"/>
          <w:szCs w:val="22"/>
        </w:rPr>
        <w:t>, as proposed</w:t>
      </w:r>
      <w:r w:rsidR="00365FCB">
        <w:rPr>
          <w:sz w:val="22"/>
          <w:szCs w:val="22"/>
        </w:rPr>
        <w:t>.</w:t>
      </w:r>
    </w:p>
    <w:p w:rsidR="00EF1F3E" w:rsidRDefault="00EF1F3E" w:rsidP="001B416B">
      <w:pPr>
        <w:jc w:val="both"/>
        <w:rPr>
          <w:color w:val="FF0000"/>
          <w:sz w:val="22"/>
          <w:szCs w:val="22"/>
        </w:rPr>
      </w:pPr>
    </w:p>
    <w:tbl>
      <w:tblPr>
        <w:tblStyle w:val="TableGrid"/>
        <w:tblW w:w="0" w:type="auto"/>
        <w:tblLook w:val="04A0" w:firstRow="1" w:lastRow="0" w:firstColumn="1" w:lastColumn="0" w:noHBand="0" w:noVBand="1"/>
      </w:tblPr>
      <w:tblGrid>
        <w:gridCol w:w="1809"/>
        <w:gridCol w:w="1843"/>
        <w:gridCol w:w="1843"/>
        <w:gridCol w:w="1843"/>
        <w:gridCol w:w="1806"/>
        <w:gridCol w:w="1730"/>
      </w:tblGrid>
      <w:tr w:rsidR="00AF533B" w:rsidTr="00AF533B">
        <w:tc>
          <w:tcPr>
            <w:tcW w:w="1809" w:type="dxa"/>
          </w:tcPr>
          <w:p w:rsidR="00AF533B" w:rsidRPr="00505225" w:rsidRDefault="00AF533B" w:rsidP="00D621E9">
            <w:pPr>
              <w:jc w:val="both"/>
              <w:rPr>
                <w:sz w:val="22"/>
                <w:szCs w:val="22"/>
              </w:rPr>
            </w:pPr>
          </w:p>
        </w:tc>
        <w:tc>
          <w:tcPr>
            <w:tcW w:w="1843" w:type="dxa"/>
          </w:tcPr>
          <w:p w:rsidR="00AF533B" w:rsidRPr="00505225" w:rsidRDefault="00AF533B" w:rsidP="00D621E9">
            <w:pPr>
              <w:jc w:val="right"/>
              <w:rPr>
                <w:sz w:val="22"/>
                <w:szCs w:val="22"/>
              </w:rPr>
            </w:pPr>
            <w:r w:rsidRPr="00505225">
              <w:rPr>
                <w:sz w:val="22"/>
                <w:szCs w:val="22"/>
              </w:rPr>
              <w:t xml:space="preserve">% </w:t>
            </w:r>
            <w:r>
              <w:rPr>
                <w:sz w:val="22"/>
                <w:szCs w:val="22"/>
              </w:rPr>
              <w:t xml:space="preserve">Increase </w:t>
            </w:r>
            <w:r w:rsidR="00D32993">
              <w:rPr>
                <w:sz w:val="22"/>
                <w:szCs w:val="22"/>
              </w:rPr>
              <w:t>Top-up</w:t>
            </w:r>
            <w:r w:rsidRPr="00505225">
              <w:rPr>
                <w:sz w:val="22"/>
                <w:szCs w:val="22"/>
              </w:rPr>
              <w:t xml:space="preserve"> 2020/21</w:t>
            </w:r>
            <w:r>
              <w:rPr>
                <w:sz w:val="22"/>
                <w:szCs w:val="22"/>
              </w:rPr>
              <w:t xml:space="preserve"> vs. 2019/20</w:t>
            </w:r>
          </w:p>
        </w:tc>
        <w:tc>
          <w:tcPr>
            <w:tcW w:w="1843" w:type="dxa"/>
          </w:tcPr>
          <w:p w:rsidR="00AF533B" w:rsidRPr="00505225" w:rsidRDefault="00AF533B" w:rsidP="00D621E9">
            <w:pPr>
              <w:jc w:val="right"/>
              <w:rPr>
                <w:sz w:val="22"/>
                <w:szCs w:val="22"/>
              </w:rPr>
            </w:pPr>
            <w:r w:rsidRPr="00505225">
              <w:rPr>
                <w:sz w:val="22"/>
                <w:szCs w:val="22"/>
              </w:rPr>
              <w:t xml:space="preserve">% </w:t>
            </w:r>
            <w:r>
              <w:rPr>
                <w:sz w:val="22"/>
                <w:szCs w:val="22"/>
              </w:rPr>
              <w:t xml:space="preserve">Increase </w:t>
            </w:r>
            <w:r w:rsidR="00D32993">
              <w:rPr>
                <w:sz w:val="22"/>
                <w:szCs w:val="22"/>
              </w:rPr>
              <w:t>Top-up</w:t>
            </w:r>
            <w:r w:rsidRPr="00505225">
              <w:rPr>
                <w:sz w:val="22"/>
                <w:szCs w:val="22"/>
              </w:rPr>
              <w:t xml:space="preserve"> 2021/22</w:t>
            </w:r>
            <w:r>
              <w:rPr>
                <w:sz w:val="22"/>
                <w:szCs w:val="22"/>
              </w:rPr>
              <w:t xml:space="preserve"> vs. 2020/21</w:t>
            </w:r>
          </w:p>
        </w:tc>
        <w:tc>
          <w:tcPr>
            <w:tcW w:w="1843" w:type="dxa"/>
          </w:tcPr>
          <w:p w:rsidR="00AF533B" w:rsidRPr="00AF533B" w:rsidRDefault="00AF533B" w:rsidP="007E4133">
            <w:pPr>
              <w:jc w:val="right"/>
              <w:rPr>
                <w:sz w:val="22"/>
                <w:szCs w:val="22"/>
              </w:rPr>
            </w:pPr>
            <w:r w:rsidRPr="00AF533B">
              <w:rPr>
                <w:sz w:val="22"/>
                <w:szCs w:val="22"/>
              </w:rPr>
              <w:t xml:space="preserve">% Increase </w:t>
            </w:r>
            <w:r w:rsidR="00D32993">
              <w:rPr>
                <w:sz w:val="22"/>
                <w:szCs w:val="22"/>
              </w:rPr>
              <w:t>Top-up</w:t>
            </w:r>
            <w:r w:rsidRPr="00AF533B">
              <w:rPr>
                <w:sz w:val="22"/>
                <w:szCs w:val="22"/>
              </w:rPr>
              <w:t xml:space="preserve"> 2022/23 vs. 2021/22</w:t>
            </w:r>
          </w:p>
        </w:tc>
        <w:tc>
          <w:tcPr>
            <w:tcW w:w="1806" w:type="dxa"/>
          </w:tcPr>
          <w:p w:rsidR="00AF533B" w:rsidRPr="00F57BCC" w:rsidRDefault="00AF533B" w:rsidP="007E4133">
            <w:pPr>
              <w:jc w:val="right"/>
              <w:rPr>
                <w:b/>
                <w:color w:val="000000" w:themeColor="text1"/>
                <w:sz w:val="22"/>
                <w:szCs w:val="22"/>
              </w:rPr>
            </w:pPr>
            <w:r w:rsidRPr="00F57BCC">
              <w:rPr>
                <w:b/>
                <w:color w:val="000000" w:themeColor="text1"/>
                <w:sz w:val="22"/>
                <w:szCs w:val="22"/>
              </w:rPr>
              <w:t xml:space="preserve">% Increase </w:t>
            </w:r>
            <w:r w:rsidR="00D32993" w:rsidRPr="00F57BCC">
              <w:rPr>
                <w:b/>
                <w:color w:val="000000" w:themeColor="text1"/>
                <w:sz w:val="22"/>
                <w:szCs w:val="22"/>
              </w:rPr>
              <w:t>Top-up</w:t>
            </w:r>
            <w:r w:rsidRPr="00F57BCC">
              <w:rPr>
                <w:b/>
                <w:color w:val="000000" w:themeColor="text1"/>
                <w:sz w:val="22"/>
                <w:szCs w:val="22"/>
              </w:rPr>
              <w:t xml:space="preserve"> 2023/24 vs. 2022/23</w:t>
            </w:r>
          </w:p>
        </w:tc>
        <w:tc>
          <w:tcPr>
            <w:tcW w:w="1730" w:type="dxa"/>
          </w:tcPr>
          <w:p w:rsidR="00AF533B" w:rsidRPr="004D5AB3" w:rsidRDefault="00AF533B" w:rsidP="007E4133">
            <w:pPr>
              <w:jc w:val="right"/>
              <w:rPr>
                <w:b/>
                <w:color w:val="000000" w:themeColor="text1"/>
                <w:sz w:val="22"/>
                <w:szCs w:val="22"/>
              </w:rPr>
            </w:pPr>
            <w:r w:rsidRPr="004D5AB3">
              <w:rPr>
                <w:b/>
                <w:color w:val="000000" w:themeColor="text1"/>
                <w:sz w:val="22"/>
                <w:szCs w:val="22"/>
              </w:rPr>
              <w:t xml:space="preserve">£ Increase </w:t>
            </w:r>
            <w:r w:rsidR="00D32993" w:rsidRPr="004D5AB3">
              <w:rPr>
                <w:b/>
                <w:color w:val="000000" w:themeColor="text1"/>
                <w:sz w:val="22"/>
                <w:szCs w:val="22"/>
              </w:rPr>
              <w:t>Top-up</w:t>
            </w:r>
            <w:r w:rsidRPr="004D5AB3">
              <w:rPr>
                <w:b/>
                <w:color w:val="000000" w:themeColor="text1"/>
                <w:sz w:val="22"/>
                <w:szCs w:val="22"/>
              </w:rPr>
              <w:t xml:space="preserve"> 2023/24 vs. 2022/23</w:t>
            </w:r>
          </w:p>
        </w:tc>
      </w:tr>
      <w:tr w:rsidR="00AF533B" w:rsidRPr="007A2A6A" w:rsidTr="00AF533B">
        <w:tc>
          <w:tcPr>
            <w:tcW w:w="1809" w:type="dxa"/>
          </w:tcPr>
          <w:p w:rsidR="00AF533B" w:rsidRPr="007A2A6A" w:rsidRDefault="00AF533B" w:rsidP="00D621E9">
            <w:pPr>
              <w:jc w:val="both"/>
              <w:rPr>
                <w:sz w:val="22"/>
                <w:szCs w:val="22"/>
              </w:rPr>
            </w:pPr>
            <w:r w:rsidRPr="007A2A6A">
              <w:rPr>
                <w:sz w:val="22"/>
                <w:szCs w:val="22"/>
              </w:rPr>
              <w:t>Band 3L</w:t>
            </w:r>
          </w:p>
        </w:tc>
        <w:tc>
          <w:tcPr>
            <w:tcW w:w="1843" w:type="dxa"/>
          </w:tcPr>
          <w:p w:rsidR="00AF533B" w:rsidRPr="007A2A6A" w:rsidRDefault="00AF533B" w:rsidP="003F45F0">
            <w:pPr>
              <w:pStyle w:val="ListParagraph"/>
              <w:ind w:left="0"/>
              <w:jc w:val="right"/>
              <w:rPr>
                <w:rFonts w:cs="Arial"/>
                <w:sz w:val="22"/>
                <w:szCs w:val="22"/>
              </w:rPr>
            </w:pPr>
            <w:r w:rsidRPr="007A2A6A">
              <w:rPr>
                <w:rFonts w:cs="Arial"/>
                <w:sz w:val="22"/>
                <w:szCs w:val="22"/>
              </w:rPr>
              <w:t>+ 75.4%</w:t>
            </w:r>
          </w:p>
        </w:tc>
        <w:tc>
          <w:tcPr>
            <w:tcW w:w="1843" w:type="dxa"/>
          </w:tcPr>
          <w:p w:rsidR="00AF533B" w:rsidRPr="007A2A6A" w:rsidRDefault="00AF533B" w:rsidP="00D621E9">
            <w:pPr>
              <w:jc w:val="right"/>
              <w:rPr>
                <w:sz w:val="22"/>
                <w:szCs w:val="22"/>
              </w:rPr>
            </w:pPr>
            <w:r w:rsidRPr="007A2A6A">
              <w:rPr>
                <w:sz w:val="22"/>
                <w:szCs w:val="22"/>
              </w:rPr>
              <w:t>+ 13.8%</w:t>
            </w:r>
          </w:p>
        </w:tc>
        <w:tc>
          <w:tcPr>
            <w:tcW w:w="1843" w:type="dxa"/>
          </w:tcPr>
          <w:p w:rsidR="00AF533B" w:rsidRPr="00AF533B" w:rsidRDefault="0026209D" w:rsidP="00D621E9">
            <w:pPr>
              <w:jc w:val="right"/>
              <w:rPr>
                <w:sz w:val="22"/>
                <w:szCs w:val="22"/>
              </w:rPr>
            </w:pPr>
            <w:r>
              <w:rPr>
                <w:sz w:val="22"/>
                <w:szCs w:val="22"/>
              </w:rPr>
              <w:t>+ 17.7%</w:t>
            </w:r>
          </w:p>
        </w:tc>
        <w:tc>
          <w:tcPr>
            <w:tcW w:w="1806" w:type="dxa"/>
          </w:tcPr>
          <w:p w:rsidR="00AF533B" w:rsidRPr="004D5AB3" w:rsidRDefault="004D5AB3" w:rsidP="00D621E9">
            <w:pPr>
              <w:jc w:val="right"/>
              <w:rPr>
                <w:b/>
                <w:color w:val="000000" w:themeColor="text1"/>
                <w:sz w:val="22"/>
                <w:szCs w:val="22"/>
              </w:rPr>
            </w:pPr>
            <w:r w:rsidRPr="004D5AB3">
              <w:rPr>
                <w:b/>
                <w:color w:val="000000" w:themeColor="text1"/>
                <w:sz w:val="22"/>
                <w:szCs w:val="22"/>
              </w:rPr>
              <w:t>+ 3.7%</w:t>
            </w:r>
          </w:p>
        </w:tc>
        <w:tc>
          <w:tcPr>
            <w:tcW w:w="1730" w:type="dxa"/>
          </w:tcPr>
          <w:p w:rsidR="00AF533B" w:rsidRPr="004D5AB3" w:rsidRDefault="004D5AB3" w:rsidP="00D621E9">
            <w:pPr>
              <w:jc w:val="right"/>
              <w:rPr>
                <w:b/>
                <w:color w:val="000000" w:themeColor="text1"/>
                <w:sz w:val="22"/>
                <w:szCs w:val="22"/>
              </w:rPr>
            </w:pPr>
            <w:r w:rsidRPr="004D5AB3">
              <w:rPr>
                <w:b/>
                <w:color w:val="000000" w:themeColor="text1"/>
                <w:sz w:val="22"/>
                <w:szCs w:val="22"/>
              </w:rPr>
              <w:t>+ £82</w:t>
            </w:r>
          </w:p>
        </w:tc>
      </w:tr>
      <w:tr w:rsidR="00AF533B" w:rsidRPr="007A2A6A" w:rsidTr="00AF533B">
        <w:tc>
          <w:tcPr>
            <w:tcW w:w="1809" w:type="dxa"/>
          </w:tcPr>
          <w:p w:rsidR="00AF533B" w:rsidRPr="007A2A6A" w:rsidRDefault="00AF533B" w:rsidP="00D621E9">
            <w:pPr>
              <w:jc w:val="both"/>
              <w:rPr>
                <w:sz w:val="22"/>
                <w:szCs w:val="22"/>
              </w:rPr>
            </w:pPr>
            <w:r w:rsidRPr="007A2A6A">
              <w:rPr>
                <w:sz w:val="22"/>
                <w:szCs w:val="22"/>
              </w:rPr>
              <w:t>Band 3M</w:t>
            </w:r>
          </w:p>
        </w:tc>
        <w:tc>
          <w:tcPr>
            <w:tcW w:w="1843" w:type="dxa"/>
          </w:tcPr>
          <w:p w:rsidR="00AF533B" w:rsidRPr="007A2A6A" w:rsidRDefault="00AF533B" w:rsidP="003F45F0">
            <w:pPr>
              <w:pStyle w:val="ListParagraph"/>
              <w:ind w:left="0"/>
              <w:jc w:val="right"/>
              <w:rPr>
                <w:rFonts w:cs="Arial"/>
                <w:sz w:val="22"/>
                <w:szCs w:val="22"/>
              </w:rPr>
            </w:pPr>
            <w:r w:rsidRPr="007A2A6A">
              <w:rPr>
                <w:rFonts w:cs="Arial"/>
                <w:sz w:val="22"/>
                <w:szCs w:val="22"/>
              </w:rPr>
              <w:t>+ 11.6%</w:t>
            </w:r>
          </w:p>
        </w:tc>
        <w:tc>
          <w:tcPr>
            <w:tcW w:w="1843" w:type="dxa"/>
          </w:tcPr>
          <w:p w:rsidR="00AF533B" w:rsidRPr="007A2A6A" w:rsidRDefault="00AF533B" w:rsidP="00D621E9">
            <w:pPr>
              <w:jc w:val="right"/>
              <w:rPr>
                <w:sz w:val="22"/>
                <w:szCs w:val="22"/>
              </w:rPr>
            </w:pPr>
            <w:r w:rsidRPr="007A2A6A">
              <w:rPr>
                <w:sz w:val="22"/>
                <w:szCs w:val="22"/>
              </w:rPr>
              <w:t xml:space="preserve">+ 8.4% </w:t>
            </w:r>
          </w:p>
        </w:tc>
        <w:tc>
          <w:tcPr>
            <w:tcW w:w="1843" w:type="dxa"/>
          </w:tcPr>
          <w:p w:rsidR="00AF533B" w:rsidRPr="00AF533B" w:rsidRDefault="0026209D" w:rsidP="00D621E9">
            <w:pPr>
              <w:jc w:val="right"/>
              <w:rPr>
                <w:sz w:val="22"/>
                <w:szCs w:val="22"/>
              </w:rPr>
            </w:pPr>
            <w:r>
              <w:rPr>
                <w:sz w:val="22"/>
                <w:szCs w:val="22"/>
              </w:rPr>
              <w:t>+ 11.3%</w:t>
            </w:r>
          </w:p>
        </w:tc>
        <w:tc>
          <w:tcPr>
            <w:tcW w:w="1806" w:type="dxa"/>
          </w:tcPr>
          <w:p w:rsidR="00AF533B" w:rsidRPr="004D5AB3" w:rsidRDefault="004D5AB3" w:rsidP="00D621E9">
            <w:pPr>
              <w:jc w:val="right"/>
              <w:rPr>
                <w:b/>
                <w:color w:val="000000" w:themeColor="text1"/>
                <w:sz w:val="22"/>
                <w:szCs w:val="22"/>
              </w:rPr>
            </w:pPr>
            <w:r w:rsidRPr="004D5AB3">
              <w:rPr>
                <w:b/>
                <w:color w:val="000000" w:themeColor="text1"/>
                <w:sz w:val="22"/>
                <w:szCs w:val="22"/>
              </w:rPr>
              <w:t>+ 2.5%</w:t>
            </w:r>
          </w:p>
        </w:tc>
        <w:tc>
          <w:tcPr>
            <w:tcW w:w="1730" w:type="dxa"/>
          </w:tcPr>
          <w:p w:rsidR="00AF533B" w:rsidRPr="004D5AB3" w:rsidRDefault="004D5AB3" w:rsidP="00D621E9">
            <w:pPr>
              <w:jc w:val="right"/>
              <w:rPr>
                <w:b/>
                <w:color w:val="000000" w:themeColor="text1"/>
                <w:sz w:val="22"/>
                <w:szCs w:val="22"/>
              </w:rPr>
            </w:pPr>
            <w:r w:rsidRPr="004D5AB3">
              <w:rPr>
                <w:b/>
                <w:color w:val="000000" w:themeColor="text1"/>
                <w:sz w:val="22"/>
                <w:szCs w:val="22"/>
              </w:rPr>
              <w:t>+ £100</w:t>
            </w:r>
          </w:p>
        </w:tc>
      </w:tr>
      <w:tr w:rsidR="00AF533B" w:rsidRPr="007A2A6A" w:rsidTr="00AF533B">
        <w:tc>
          <w:tcPr>
            <w:tcW w:w="1809" w:type="dxa"/>
          </w:tcPr>
          <w:p w:rsidR="00AF533B" w:rsidRPr="007A2A6A" w:rsidRDefault="00AF533B" w:rsidP="00D621E9">
            <w:pPr>
              <w:jc w:val="both"/>
              <w:rPr>
                <w:sz w:val="22"/>
                <w:szCs w:val="22"/>
              </w:rPr>
            </w:pPr>
            <w:r w:rsidRPr="007A2A6A">
              <w:rPr>
                <w:sz w:val="22"/>
                <w:szCs w:val="22"/>
              </w:rPr>
              <w:t>Band 3H</w:t>
            </w:r>
          </w:p>
        </w:tc>
        <w:tc>
          <w:tcPr>
            <w:tcW w:w="1843" w:type="dxa"/>
          </w:tcPr>
          <w:p w:rsidR="00AF533B" w:rsidRPr="007A2A6A" w:rsidRDefault="00AF533B" w:rsidP="003F45F0">
            <w:pPr>
              <w:pStyle w:val="ListParagraph"/>
              <w:ind w:left="0"/>
              <w:jc w:val="right"/>
              <w:rPr>
                <w:rFonts w:cs="Arial"/>
                <w:sz w:val="22"/>
                <w:szCs w:val="22"/>
              </w:rPr>
            </w:pPr>
            <w:r w:rsidRPr="007A2A6A">
              <w:rPr>
                <w:rFonts w:cs="Arial"/>
                <w:sz w:val="22"/>
                <w:szCs w:val="22"/>
              </w:rPr>
              <w:t>+ 8.2%</w:t>
            </w:r>
          </w:p>
        </w:tc>
        <w:tc>
          <w:tcPr>
            <w:tcW w:w="1843" w:type="dxa"/>
          </w:tcPr>
          <w:p w:rsidR="00AF533B" w:rsidRPr="007A2A6A" w:rsidRDefault="00AF533B" w:rsidP="00D621E9">
            <w:pPr>
              <w:jc w:val="right"/>
              <w:rPr>
                <w:sz w:val="22"/>
                <w:szCs w:val="22"/>
              </w:rPr>
            </w:pPr>
            <w:r w:rsidRPr="007A2A6A">
              <w:rPr>
                <w:sz w:val="22"/>
                <w:szCs w:val="22"/>
              </w:rPr>
              <w:t>+ 6.6%</w:t>
            </w:r>
          </w:p>
        </w:tc>
        <w:tc>
          <w:tcPr>
            <w:tcW w:w="1843" w:type="dxa"/>
          </w:tcPr>
          <w:p w:rsidR="00AF533B" w:rsidRPr="00AF533B" w:rsidRDefault="0026209D" w:rsidP="00D621E9">
            <w:pPr>
              <w:jc w:val="right"/>
              <w:rPr>
                <w:sz w:val="22"/>
                <w:szCs w:val="22"/>
              </w:rPr>
            </w:pPr>
            <w:r>
              <w:rPr>
                <w:sz w:val="22"/>
                <w:szCs w:val="22"/>
              </w:rPr>
              <w:t>+ 9.1%</w:t>
            </w:r>
          </w:p>
        </w:tc>
        <w:tc>
          <w:tcPr>
            <w:tcW w:w="1806" w:type="dxa"/>
          </w:tcPr>
          <w:p w:rsidR="00AF533B" w:rsidRPr="004D5AB3" w:rsidRDefault="004D5AB3" w:rsidP="00D621E9">
            <w:pPr>
              <w:jc w:val="right"/>
              <w:rPr>
                <w:b/>
                <w:color w:val="000000" w:themeColor="text1"/>
                <w:sz w:val="22"/>
                <w:szCs w:val="22"/>
              </w:rPr>
            </w:pPr>
            <w:r w:rsidRPr="004D5AB3">
              <w:rPr>
                <w:b/>
                <w:color w:val="000000" w:themeColor="text1"/>
                <w:sz w:val="22"/>
                <w:szCs w:val="22"/>
              </w:rPr>
              <w:t>+ 2.0%</w:t>
            </w:r>
          </w:p>
        </w:tc>
        <w:tc>
          <w:tcPr>
            <w:tcW w:w="1730" w:type="dxa"/>
          </w:tcPr>
          <w:p w:rsidR="00AF533B" w:rsidRPr="004D5AB3" w:rsidRDefault="004D5AB3" w:rsidP="00D621E9">
            <w:pPr>
              <w:jc w:val="right"/>
              <w:rPr>
                <w:b/>
                <w:color w:val="000000" w:themeColor="text1"/>
                <w:sz w:val="22"/>
                <w:szCs w:val="22"/>
              </w:rPr>
            </w:pPr>
            <w:r w:rsidRPr="004D5AB3">
              <w:rPr>
                <w:b/>
                <w:color w:val="000000" w:themeColor="text1"/>
                <w:sz w:val="22"/>
                <w:szCs w:val="22"/>
              </w:rPr>
              <w:t>+ £118</w:t>
            </w:r>
          </w:p>
        </w:tc>
      </w:tr>
      <w:tr w:rsidR="00AF533B" w:rsidRPr="007A2A6A" w:rsidTr="00AF533B">
        <w:tc>
          <w:tcPr>
            <w:tcW w:w="1809" w:type="dxa"/>
          </w:tcPr>
          <w:p w:rsidR="00AF533B" w:rsidRPr="007A2A6A" w:rsidRDefault="00AF533B" w:rsidP="00D621E9">
            <w:pPr>
              <w:jc w:val="both"/>
              <w:rPr>
                <w:sz w:val="22"/>
                <w:szCs w:val="22"/>
              </w:rPr>
            </w:pPr>
            <w:r w:rsidRPr="007A2A6A">
              <w:rPr>
                <w:sz w:val="22"/>
                <w:szCs w:val="22"/>
              </w:rPr>
              <w:t>Band 4L</w:t>
            </w:r>
          </w:p>
        </w:tc>
        <w:tc>
          <w:tcPr>
            <w:tcW w:w="1843" w:type="dxa"/>
          </w:tcPr>
          <w:p w:rsidR="00AF533B" w:rsidRPr="007A2A6A" w:rsidRDefault="00AF533B" w:rsidP="003F45F0">
            <w:pPr>
              <w:pStyle w:val="ListParagraph"/>
              <w:ind w:left="0"/>
              <w:jc w:val="right"/>
              <w:rPr>
                <w:rFonts w:cs="Arial"/>
                <w:sz w:val="22"/>
                <w:szCs w:val="22"/>
              </w:rPr>
            </w:pPr>
            <w:r w:rsidRPr="007A2A6A">
              <w:rPr>
                <w:rFonts w:cs="Arial"/>
                <w:sz w:val="22"/>
                <w:szCs w:val="22"/>
              </w:rPr>
              <w:t>+ 8.2%</w:t>
            </w:r>
          </w:p>
        </w:tc>
        <w:tc>
          <w:tcPr>
            <w:tcW w:w="1843" w:type="dxa"/>
          </w:tcPr>
          <w:p w:rsidR="00AF533B" w:rsidRPr="007A2A6A" w:rsidRDefault="00AF533B" w:rsidP="00D621E9">
            <w:pPr>
              <w:jc w:val="right"/>
              <w:rPr>
                <w:sz w:val="22"/>
                <w:szCs w:val="22"/>
              </w:rPr>
            </w:pPr>
            <w:r w:rsidRPr="007A2A6A">
              <w:rPr>
                <w:sz w:val="22"/>
                <w:szCs w:val="22"/>
              </w:rPr>
              <w:t>+ 8.9%</w:t>
            </w:r>
          </w:p>
        </w:tc>
        <w:tc>
          <w:tcPr>
            <w:tcW w:w="1843" w:type="dxa"/>
          </w:tcPr>
          <w:p w:rsidR="00AF533B" w:rsidRPr="00AF533B" w:rsidRDefault="0026209D" w:rsidP="00D621E9">
            <w:pPr>
              <w:jc w:val="right"/>
              <w:rPr>
                <w:sz w:val="22"/>
                <w:szCs w:val="22"/>
              </w:rPr>
            </w:pPr>
            <w:r>
              <w:rPr>
                <w:sz w:val="22"/>
                <w:szCs w:val="22"/>
              </w:rPr>
              <w:t>+ 9.3%</w:t>
            </w:r>
          </w:p>
        </w:tc>
        <w:tc>
          <w:tcPr>
            <w:tcW w:w="1806" w:type="dxa"/>
          </w:tcPr>
          <w:p w:rsidR="00AF533B" w:rsidRPr="004D5AB3" w:rsidRDefault="004D5AB3" w:rsidP="00D621E9">
            <w:pPr>
              <w:jc w:val="right"/>
              <w:rPr>
                <w:b/>
                <w:color w:val="000000" w:themeColor="text1"/>
                <w:sz w:val="22"/>
                <w:szCs w:val="22"/>
              </w:rPr>
            </w:pPr>
            <w:r w:rsidRPr="004D5AB3">
              <w:rPr>
                <w:b/>
                <w:color w:val="000000" w:themeColor="text1"/>
                <w:sz w:val="22"/>
                <w:szCs w:val="22"/>
              </w:rPr>
              <w:t>+ 2.1%</w:t>
            </w:r>
          </w:p>
        </w:tc>
        <w:tc>
          <w:tcPr>
            <w:tcW w:w="1730" w:type="dxa"/>
          </w:tcPr>
          <w:p w:rsidR="00AF533B" w:rsidRPr="004D5AB3" w:rsidRDefault="004D5AB3" w:rsidP="00D621E9">
            <w:pPr>
              <w:jc w:val="right"/>
              <w:rPr>
                <w:b/>
                <w:color w:val="000000" w:themeColor="text1"/>
                <w:sz w:val="22"/>
                <w:szCs w:val="22"/>
              </w:rPr>
            </w:pPr>
            <w:r w:rsidRPr="004D5AB3">
              <w:rPr>
                <w:b/>
                <w:color w:val="000000" w:themeColor="text1"/>
                <w:sz w:val="22"/>
                <w:szCs w:val="22"/>
              </w:rPr>
              <w:t>+ £192</w:t>
            </w:r>
          </w:p>
        </w:tc>
      </w:tr>
      <w:tr w:rsidR="00AF533B" w:rsidRPr="007A2A6A" w:rsidTr="00AF533B">
        <w:tc>
          <w:tcPr>
            <w:tcW w:w="1809" w:type="dxa"/>
          </w:tcPr>
          <w:p w:rsidR="00AF533B" w:rsidRPr="007A2A6A" w:rsidRDefault="00AF533B" w:rsidP="00D621E9">
            <w:pPr>
              <w:jc w:val="both"/>
              <w:rPr>
                <w:sz w:val="22"/>
                <w:szCs w:val="22"/>
              </w:rPr>
            </w:pPr>
            <w:r w:rsidRPr="007A2A6A">
              <w:rPr>
                <w:sz w:val="22"/>
                <w:szCs w:val="22"/>
              </w:rPr>
              <w:t>Band 4M</w:t>
            </w:r>
          </w:p>
        </w:tc>
        <w:tc>
          <w:tcPr>
            <w:tcW w:w="1843" w:type="dxa"/>
          </w:tcPr>
          <w:p w:rsidR="00AF533B" w:rsidRPr="007A2A6A" w:rsidRDefault="00AF533B" w:rsidP="003F45F0">
            <w:pPr>
              <w:pStyle w:val="ListParagraph"/>
              <w:ind w:left="0"/>
              <w:jc w:val="right"/>
              <w:rPr>
                <w:rFonts w:cs="Arial"/>
                <w:sz w:val="22"/>
                <w:szCs w:val="22"/>
              </w:rPr>
            </w:pPr>
            <w:r w:rsidRPr="007A2A6A">
              <w:rPr>
                <w:rFonts w:cs="Arial"/>
                <w:sz w:val="22"/>
                <w:szCs w:val="22"/>
              </w:rPr>
              <w:t>+ 8.2%</w:t>
            </w:r>
          </w:p>
        </w:tc>
        <w:tc>
          <w:tcPr>
            <w:tcW w:w="1843" w:type="dxa"/>
          </w:tcPr>
          <w:p w:rsidR="00AF533B" w:rsidRPr="007A2A6A" w:rsidRDefault="00AF533B" w:rsidP="00D621E9">
            <w:pPr>
              <w:jc w:val="right"/>
              <w:rPr>
                <w:sz w:val="22"/>
                <w:szCs w:val="22"/>
              </w:rPr>
            </w:pPr>
            <w:r w:rsidRPr="007A2A6A">
              <w:rPr>
                <w:sz w:val="22"/>
                <w:szCs w:val="22"/>
              </w:rPr>
              <w:t>+ 8.3%</w:t>
            </w:r>
          </w:p>
        </w:tc>
        <w:tc>
          <w:tcPr>
            <w:tcW w:w="1843" w:type="dxa"/>
          </w:tcPr>
          <w:p w:rsidR="00AF533B" w:rsidRPr="00AF533B" w:rsidRDefault="0026209D" w:rsidP="00D621E9">
            <w:pPr>
              <w:jc w:val="right"/>
              <w:rPr>
                <w:sz w:val="22"/>
                <w:szCs w:val="22"/>
              </w:rPr>
            </w:pPr>
            <w:r>
              <w:rPr>
                <w:sz w:val="22"/>
                <w:szCs w:val="22"/>
              </w:rPr>
              <w:t>+ 8.5%</w:t>
            </w:r>
          </w:p>
        </w:tc>
        <w:tc>
          <w:tcPr>
            <w:tcW w:w="1806" w:type="dxa"/>
          </w:tcPr>
          <w:p w:rsidR="00AF533B" w:rsidRPr="004D5AB3" w:rsidRDefault="004D5AB3" w:rsidP="00D621E9">
            <w:pPr>
              <w:jc w:val="right"/>
              <w:rPr>
                <w:b/>
                <w:color w:val="000000" w:themeColor="text1"/>
                <w:sz w:val="22"/>
                <w:szCs w:val="22"/>
              </w:rPr>
            </w:pPr>
            <w:r w:rsidRPr="004D5AB3">
              <w:rPr>
                <w:b/>
                <w:color w:val="000000" w:themeColor="text1"/>
                <w:sz w:val="22"/>
                <w:szCs w:val="22"/>
              </w:rPr>
              <w:t>+ 1.9%</w:t>
            </w:r>
          </w:p>
        </w:tc>
        <w:tc>
          <w:tcPr>
            <w:tcW w:w="1730" w:type="dxa"/>
          </w:tcPr>
          <w:p w:rsidR="00AF533B" w:rsidRPr="004D5AB3" w:rsidRDefault="004D5AB3" w:rsidP="00D621E9">
            <w:pPr>
              <w:jc w:val="right"/>
              <w:rPr>
                <w:b/>
                <w:color w:val="000000" w:themeColor="text1"/>
                <w:sz w:val="22"/>
                <w:szCs w:val="22"/>
              </w:rPr>
            </w:pPr>
            <w:r w:rsidRPr="004D5AB3">
              <w:rPr>
                <w:b/>
                <w:color w:val="000000" w:themeColor="text1"/>
                <w:sz w:val="22"/>
                <w:szCs w:val="22"/>
              </w:rPr>
              <w:t>+ £254</w:t>
            </w:r>
          </w:p>
        </w:tc>
      </w:tr>
      <w:tr w:rsidR="00AF533B" w:rsidRPr="007A2A6A" w:rsidTr="00AF533B">
        <w:tc>
          <w:tcPr>
            <w:tcW w:w="1809" w:type="dxa"/>
          </w:tcPr>
          <w:p w:rsidR="00AF533B" w:rsidRPr="007A2A6A" w:rsidRDefault="00AF533B" w:rsidP="00D621E9">
            <w:pPr>
              <w:jc w:val="both"/>
              <w:rPr>
                <w:sz w:val="22"/>
                <w:szCs w:val="22"/>
              </w:rPr>
            </w:pPr>
            <w:r w:rsidRPr="007A2A6A">
              <w:rPr>
                <w:sz w:val="22"/>
                <w:szCs w:val="22"/>
              </w:rPr>
              <w:t>Band 4H</w:t>
            </w:r>
          </w:p>
        </w:tc>
        <w:tc>
          <w:tcPr>
            <w:tcW w:w="1843" w:type="dxa"/>
          </w:tcPr>
          <w:p w:rsidR="00AF533B" w:rsidRPr="007A2A6A" w:rsidRDefault="00AF533B" w:rsidP="003F45F0">
            <w:pPr>
              <w:pStyle w:val="ListParagraph"/>
              <w:ind w:left="0"/>
              <w:jc w:val="right"/>
              <w:rPr>
                <w:rFonts w:cs="Arial"/>
                <w:sz w:val="22"/>
                <w:szCs w:val="22"/>
              </w:rPr>
            </w:pPr>
            <w:r w:rsidRPr="007A2A6A">
              <w:rPr>
                <w:rFonts w:cs="Arial"/>
                <w:sz w:val="22"/>
                <w:szCs w:val="22"/>
              </w:rPr>
              <w:t>+ 8.2%</w:t>
            </w:r>
          </w:p>
        </w:tc>
        <w:tc>
          <w:tcPr>
            <w:tcW w:w="1843" w:type="dxa"/>
          </w:tcPr>
          <w:p w:rsidR="00AF533B" w:rsidRPr="007A2A6A" w:rsidRDefault="00AF533B" w:rsidP="00D621E9">
            <w:pPr>
              <w:jc w:val="right"/>
              <w:rPr>
                <w:sz w:val="22"/>
                <w:szCs w:val="22"/>
              </w:rPr>
            </w:pPr>
            <w:r w:rsidRPr="007A2A6A">
              <w:rPr>
                <w:sz w:val="22"/>
                <w:szCs w:val="22"/>
              </w:rPr>
              <w:t>+ 7.3%</w:t>
            </w:r>
          </w:p>
        </w:tc>
        <w:tc>
          <w:tcPr>
            <w:tcW w:w="1843" w:type="dxa"/>
          </w:tcPr>
          <w:p w:rsidR="00AF533B" w:rsidRPr="00AF533B" w:rsidRDefault="0026209D" w:rsidP="00D621E9">
            <w:pPr>
              <w:jc w:val="right"/>
              <w:rPr>
                <w:sz w:val="22"/>
                <w:szCs w:val="22"/>
              </w:rPr>
            </w:pPr>
            <w:r>
              <w:rPr>
                <w:sz w:val="22"/>
                <w:szCs w:val="22"/>
              </w:rPr>
              <w:t>+ 7.6%</w:t>
            </w:r>
          </w:p>
        </w:tc>
        <w:tc>
          <w:tcPr>
            <w:tcW w:w="1806" w:type="dxa"/>
          </w:tcPr>
          <w:p w:rsidR="00AF533B" w:rsidRPr="004D5AB3" w:rsidRDefault="004D5AB3" w:rsidP="00D621E9">
            <w:pPr>
              <w:jc w:val="right"/>
              <w:rPr>
                <w:b/>
                <w:color w:val="000000" w:themeColor="text1"/>
                <w:sz w:val="22"/>
                <w:szCs w:val="22"/>
              </w:rPr>
            </w:pPr>
            <w:r w:rsidRPr="004D5AB3">
              <w:rPr>
                <w:b/>
                <w:color w:val="000000" w:themeColor="text1"/>
                <w:sz w:val="22"/>
                <w:szCs w:val="22"/>
              </w:rPr>
              <w:t>+ 1.7%</w:t>
            </w:r>
          </w:p>
        </w:tc>
        <w:tc>
          <w:tcPr>
            <w:tcW w:w="1730" w:type="dxa"/>
          </w:tcPr>
          <w:p w:rsidR="00AF533B" w:rsidRPr="004D5AB3" w:rsidRDefault="004D5AB3" w:rsidP="00D621E9">
            <w:pPr>
              <w:jc w:val="right"/>
              <w:rPr>
                <w:b/>
                <w:color w:val="000000" w:themeColor="text1"/>
                <w:sz w:val="22"/>
                <w:szCs w:val="22"/>
              </w:rPr>
            </w:pPr>
            <w:r w:rsidRPr="004D5AB3">
              <w:rPr>
                <w:b/>
                <w:color w:val="000000" w:themeColor="text1"/>
                <w:sz w:val="22"/>
                <w:szCs w:val="22"/>
              </w:rPr>
              <w:t xml:space="preserve"> + £301</w:t>
            </w:r>
          </w:p>
        </w:tc>
      </w:tr>
      <w:tr w:rsidR="00AF533B" w:rsidRPr="007A2A6A" w:rsidTr="00AF533B">
        <w:tc>
          <w:tcPr>
            <w:tcW w:w="1809" w:type="dxa"/>
          </w:tcPr>
          <w:p w:rsidR="00AF533B" w:rsidRPr="007A2A6A" w:rsidRDefault="00AF533B" w:rsidP="00D621E9">
            <w:pPr>
              <w:jc w:val="both"/>
              <w:rPr>
                <w:sz w:val="22"/>
                <w:szCs w:val="22"/>
              </w:rPr>
            </w:pPr>
            <w:r w:rsidRPr="007A2A6A">
              <w:rPr>
                <w:sz w:val="22"/>
                <w:szCs w:val="22"/>
              </w:rPr>
              <w:t>Protected 7</w:t>
            </w:r>
          </w:p>
        </w:tc>
        <w:tc>
          <w:tcPr>
            <w:tcW w:w="1843" w:type="dxa"/>
          </w:tcPr>
          <w:p w:rsidR="00AF533B" w:rsidRPr="007A2A6A" w:rsidRDefault="00AF533B" w:rsidP="003F45F0">
            <w:pPr>
              <w:pStyle w:val="ListParagraph"/>
              <w:ind w:left="0"/>
              <w:jc w:val="right"/>
              <w:rPr>
                <w:rFonts w:cs="Arial"/>
                <w:sz w:val="22"/>
                <w:szCs w:val="22"/>
              </w:rPr>
            </w:pPr>
            <w:r w:rsidRPr="007A2A6A">
              <w:rPr>
                <w:rFonts w:cs="Arial"/>
                <w:sz w:val="22"/>
                <w:szCs w:val="22"/>
              </w:rPr>
              <w:t>+ 8.2%</w:t>
            </w:r>
          </w:p>
        </w:tc>
        <w:tc>
          <w:tcPr>
            <w:tcW w:w="1843" w:type="dxa"/>
          </w:tcPr>
          <w:p w:rsidR="00AF533B" w:rsidRPr="007A2A6A" w:rsidRDefault="00AF533B" w:rsidP="00D621E9">
            <w:pPr>
              <w:jc w:val="right"/>
              <w:rPr>
                <w:sz w:val="22"/>
                <w:szCs w:val="22"/>
              </w:rPr>
            </w:pPr>
            <w:r w:rsidRPr="007A2A6A">
              <w:rPr>
                <w:sz w:val="22"/>
                <w:szCs w:val="22"/>
              </w:rPr>
              <w:t>+ 7.3%</w:t>
            </w:r>
          </w:p>
        </w:tc>
        <w:tc>
          <w:tcPr>
            <w:tcW w:w="1843" w:type="dxa"/>
          </w:tcPr>
          <w:p w:rsidR="00AF533B" w:rsidRPr="00AF533B" w:rsidRDefault="0026209D" w:rsidP="00D621E9">
            <w:pPr>
              <w:jc w:val="right"/>
              <w:rPr>
                <w:sz w:val="22"/>
                <w:szCs w:val="22"/>
              </w:rPr>
            </w:pPr>
            <w:r>
              <w:rPr>
                <w:sz w:val="22"/>
                <w:szCs w:val="22"/>
              </w:rPr>
              <w:t>+ 7.6%</w:t>
            </w:r>
          </w:p>
        </w:tc>
        <w:tc>
          <w:tcPr>
            <w:tcW w:w="1806" w:type="dxa"/>
          </w:tcPr>
          <w:p w:rsidR="00AF533B" w:rsidRPr="004D5AB3" w:rsidRDefault="004D5AB3" w:rsidP="00D621E9">
            <w:pPr>
              <w:jc w:val="right"/>
              <w:rPr>
                <w:b/>
                <w:color w:val="000000" w:themeColor="text1"/>
                <w:sz w:val="22"/>
                <w:szCs w:val="22"/>
              </w:rPr>
            </w:pPr>
            <w:r w:rsidRPr="004D5AB3">
              <w:rPr>
                <w:b/>
                <w:color w:val="000000" w:themeColor="text1"/>
                <w:sz w:val="22"/>
                <w:szCs w:val="22"/>
              </w:rPr>
              <w:t>+ 1.7%</w:t>
            </w:r>
          </w:p>
        </w:tc>
        <w:tc>
          <w:tcPr>
            <w:tcW w:w="1730" w:type="dxa"/>
          </w:tcPr>
          <w:p w:rsidR="00AF533B" w:rsidRPr="004D5AB3" w:rsidRDefault="004D5AB3" w:rsidP="00D621E9">
            <w:pPr>
              <w:jc w:val="right"/>
              <w:rPr>
                <w:b/>
                <w:color w:val="000000" w:themeColor="text1"/>
                <w:sz w:val="22"/>
                <w:szCs w:val="22"/>
              </w:rPr>
            </w:pPr>
            <w:r w:rsidRPr="004D5AB3">
              <w:rPr>
                <w:b/>
                <w:color w:val="000000" w:themeColor="text1"/>
                <w:sz w:val="22"/>
                <w:szCs w:val="22"/>
              </w:rPr>
              <w:t>+ £495</w:t>
            </w:r>
          </w:p>
        </w:tc>
      </w:tr>
    </w:tbl>
    <w:p w:rsidR="007E4133" w:rsidRDefault="007E4133" w:rsidP="001B416B">
      <w:pPr>
        <w:jc w:val="both"/>
        <w:rPr>
          <w:sz w:val="22"/>
          <w:szCs w:val="22"/>
        </w:rPr>
      </w:pPr>
    </w:p>
    <w:p w:rsidR="00EF1F3E" w:rsidRPr="00D118C9" w:rsidRDefault="00D92075" w:rsidP="001B416B">
      <w:pPr>
        <w:jc w:val="both"/>
        <w:rPr>
          <w:sz w:val="22"/>
          <w:szCs w:val="22"/>
        </w:rPr>
      </w:pPr>
      <w:r>
        <w:rPr>
          <w:sz w:val="22"/>
          <w:szCs w:val="22"/>
        </w:rPr>
        <w:t>6.10</w:t>
      </w:r>
      <w:r w:rsidR="007C2C1C">
        <w:rPr>
          <w:sz w:val="22"/>
          <w:szCs w:val="22"/>
        </w:rPr>
        <w:t xml:space="preserve"> The table below</w:t>
      </w:r>
      <w:r w:rsidR="00A33CD2">
        <w:rPr>
          <w:sz w:val="22"/>
          <w:szCs w:val="22"/>
        </w:rPr>
        <w:t xml:space="preserve"> shows the</w:t>
      </w:r>
      <w:r w:rsidR="00337027">
        <w:rPr>
          <w:sz w:val="22"/>
          <w:szCs w:val="22"/>
        </w:rPr>
        <w:t xml:space="preserve"> proposed</w:t>
      </w:r>
      <w:r w:rsidR="00BB0E8A">
        <w:rPr>
          <w:sz w:val="22"/>
          <w:szCs w:val="22"/>
        </w:rPr>
        <w:t xml:space="preserve"> % uplifts in 2023/24</w:t>
      </w:r>
      <w:r w:rsidR="00505225">
        <w:rPr>
          <w:sz w:val="22"/>
          <w:szCs w:val="22"/>
        </w:rPr>
        <w:t xml:space="preserve"> values</w:t>
      </w:r>
      <w:r w:rsidR="00F14717">
        <w:rPr>
          <w:sz w:val="22"/>
          <w:szCs w:val="22"/>
        </w:rPr>
        <w:t xml:space="preserve"> on</w:t>
      </w:r>
      <w:r w:rsidR="00BB0E8A">
        <w:rPr>
          <w:sz w:val="22"/>
          <w:szCs w:val="22"/>
        </w:rPr>
        <w:t xml:space="preserve"> 2022/23</w:t>
      </w:r>
      <w:r w:rsidR="00F14717">
        <w:rPr>
          <w:sz w:val="22"/>
          <w:szCs w:val="22"/>
        </w:rPr>
        <w:t xml:space="preserve"> values</w:t>
      </w:r>
      <w:r w:rsidR="007C2C1C">
        <w:rPr>
          <w:sz w:val="22"/>
          <w:szCs w:val="22"/>
        </w:rPr>
        <w:t xml:space="preserve"> when</w:t>
      </w:r>
      <w:r w:rsidR="00D118C9" w:rsidRPr="00D118C9">
        <w:rPr>
          <w:sz w:val="22"/>
          <w:szCs w:val="22"/>
        </w:rPr>
        <w:t xml:space="preserve"> Element 2 (£6,000) </w:t>
      </w:r>
      <w:r w:rsidR="005613C3">
        <w:rPr>
          <w:sz w:val="22"/>
          <w:szCs w:val="22"/>
        </w:rPr>
        <w:t>and Element 1</w:t>
      </w:r>
      <w:r w:rsidR="007C2C1C">
        <w:rPr>
          <w:sz w:val="22"/>
          <w:szCs w:val="22"/>
        </w:rPr>
        <w:t xml:space="preserve"> (£10,000) are</w:t>
      </w:r>
      <w:r w:rsidR="00D118C9" w:rsidRPr="00D118C9">
        <w:rPr>
          <w:sz w:val="22"/>
          <w:szCs w:val="22"/>
        </w:rPr>
        <w:t xml:space="preserve"> included.</w:t>
      </w:r>
    </w:p>
    <w:p w:rsidR="000D3A15" w:rsidRDefault="000D3A15" w:rsidP="001B416B">
      <w:pPr>
        <w:jc w:val="both"/>
        <w:rPr>
          <w:color w:val="FF0000"/>
          <w:sz w:val="22"/>
          <w:szCs w:val="22"/>
        </w:rPr>
      </w:pPr>
    </w:p>
    <w:tbl>
      <w:tblPr>
        <w:tblStyle w:val="TableGrid"/>
        <w:tblW w:w="0" w:type="auto"/>
        <w:tblLook w:val="04A0" w:firstRow="1" w:lastRow="0" w:firstColumn="1" w:lastColumn="0" w:noHBand="0" w:noVBand="1"/>
      </w:tblPr>
      <w:tblGrid>
        <w:gridCol w:w="2718"/>
        <w:gridCol w:w="2493"/>
        <w:gridCol w:w="2835"/>
        <w:gridCol w:w="2828"/>
      </w:tblGrid>
      <w:tr w:rsidR="00C85CB4" w:rsidTr="00F14717">
        <w:tc>
          <w:tcPr>
            <w:tcW w:w="2718" w:type="dxa"/>
          </w:tcPr>
          <w:p w:rsidR="00C85CB4" w:rsidRPr="00505225" w:rsidRDefault="00C85CB4" w:rsidP="001B416B">
            <w:pPr>
              <w:jc w:val="both"/>
              <w:rPr>
                <w:sz w:val="22"/>
                <w:szCs w:val="22"/>
              </w:rPr>
            </w:pPr>
          </w:p>
          <w:p w:rsidR="00EF1F3E" w:rsidRPr="00505225" w:rsidRDefault="00EF1F3E" w:rsidP="001B416B">
            <w:pPr>
              <w:jc w:val="both"/>
              <w:rPr>
                <w:sz w:val="22"/>
                <w:szCs w:val="22"/>
              </w:rPr>
            </w:pPr>
          </w:p>
        </w:tc>
        <w:tc>
          <w:tcPr>
            <w:tcW w:w="2493" w:type="dxa"/>
          </w:tcPr>
          <w:p w:rsidR="00C85CB4" w:rsidRPr="004D5AB3" w:rsidRDefault="00C85CB4" w:rsidP="000651A2">
            <w:pPr>
              <w:pStyle w:val="ListParagraph"/>
              <w:numPr>
                <w:ilvl w:val="0"/>
                <w:numId w:val="21"/>
              </w:numPr>
              <w:jc w:val="right"/>
              <w:rPr>
                <w:color w:val="000000" w:themeColor="text1"/>
                <w:sz w:val="22"/>
                <w:szCs w:val="22"/>
              </w:rPr>
            </w:pPr>
            <w:r w:rsidRPr="004D5AB3">
              <w:rPr>
                <w:color w:val="000000" w:themeColor="text1"/>
                <w:sz w:val="22"/>
                <w:szCs w:val="22"/>
              </w:rPr>
              <w:t xml:space="preserve">% </w:t>
            </w:r>
            <w:r w:rsidR="00505225" w:rsidRPr="004D5AB3">
              <w:rPr>
                <w:color w:val="000000" w:themeColor="text1"/>
                <w:sz w:val="22"/>
                <w:szCs w:val="22"/>
              </w:rPr>
              <w:t>Increase</w:t>
            </w:r>
            <w:r w:rsidR="00F14717" w:rsidRPr="004D5AB3">
              <w:rPr>
                <w:color w:val="000000" w:themeColor="text1"/>
                <w:sz w:val="22"/>
                <w:szCs w:val="22"/>
              </w:rPr>
              <w:t xml:space="preserve"> in</w:t>
            </w:r>
            <w:r w:rsidR="00505225" w:rsidRPr="004D5AB3">
              <w:rPr>
                <w:color w:val="000000" w:themeColor="text1"/>
                <w:sz w:val="22"/>
                <w:szCs w:val="22"/>
              </w:rPr>
              <w:t xml:space="preserve"> </w:t>
            </w:r>
            <w:r w:rsidR="00D32993" w:rsidRPr="004D5AB3">
              <w:rPr>
                <w:color w:val="000000" w:themeColor="text1"/>
                <w:sz w:val="22"/>
                <w:szCs w:val="22"/>
              </w:rPr>
              <w:t>Top-up</w:t>
            </w:r>
            <w:r w:rsidRPr="004D5AB3">
              <w:rPr>
                <w:color w:val="000000" w:themeColor="text1"/>
                <w:sz w:val="22"/>
                <w:szCs w:val="22"/>
              </w:rPr>
              <w:t xml:space="preserve"> Only</w:t>
            </w:r>
          </w:p>
        </w:tc>
        <w:tc>
          <w:tcPr>
            <w:tcW w:w="2835" w:type="dxa"/>
          </w:tcPr>
          <w:p w:rsidR="00C85CB4" w:rsidRPr="004D5AB3" w:rsidRDefault="00C85CB4" w:rsidP="000651A2">
            <w:pPr>
              <w:pStyle w:val="ListParagraph"/>
              <w:numPr>
                <w:ilvl w:val="0"/>
                <w:numId w:val="21"/>
              </w:numPr>
              <w:jc w:val="right"/>
              <w:rPr>
                <w:b/>
                <w:color w:val="000000" w:themeColor="text1"/>
                <w:sz w:val="22"/>
                <w:szCs w:val="22"/>
              </w:rPr>
            </w:pPr>
            <w:r w:rsidRPr="004D5AB3">
              <w:rPr>
                <w:b/>
                <w:color w:val="000000" w:themeColor="text1"/>
                <w:sz w:val="22"/>
                <w:szCs w:val="22"/>
              </w:rPr>
              <w:t xml:space="preserve">% </w:t>
            </w:r>
            <w:r w:rsidR="00505225" w:rsidRPr="004D5AB3">
              <w:rPr>
                <w:b/>
                <w:color w:val="000000" w:themeColor="text1"/>
                <w:sz w:val="22"/>
                <w:szCs w:val="22"/>
              </w:rPr>
              <w:t>Increase</w:t>
            </w:r>
            <w:r w:rsidR="00F14717" w:rsidRPr="004D5AB3">
              <w:rPr>
                <w:b/>
                <w:color w:val="000000" w:themeColor="text1"/>
                <w:sz w:val="22"/>
                <w:szCs w:val="22"/>
              </w:rPr>
              <w:t xml:space="preserve"> in</w:t>
            </w:r>
            <w:r w:rsidR="00505225" w:rsidRPr="004D5AB3">
              <w:rPr>
                <w:b/>
                <w:color w:val="000000" w:themeColor="text1"/>
                <w:sz w:val="22"/>
                <w:szCs w:val="22"/>
              </w:rPr>
              <w:t xml:space="preserve"> </w:t>
            </w:r>
            <w:r w:rsidR="00D32993" w:rsidRPr="004D5AB3">
              <w:rPr>
                <w:b/>
                <w:color w:val="000000" w:themeColor="text1"/>
                <w:sz w:val="22"/>
                <w:szCs w:val="22"/>
              </w:rPr>
              <w:t>Top-up</w:t>
            </w:r>
            <w:r w:rsidRPr="004D5AB3">
              <w:rPr>
                <w:b/>
                <w:color w:val="000000" w:themeColor="text1"/>
                <w:sz w:val="22"/>
                <w:szCs w:val="22"/>
              </w:rPr>
              <w:t xml:space="preserve"> plus £6,000</w:t>
            </w:r>
          </w:p>
        </w:tc>
        <w:tc>
          <w:tcPr>
            <w:tcW w:w="2828" w:type="dxa"/>
          </w:tcPr>
          <w:p w:rsidR="00C85CB4" w:rsidRPr="004D5AB3" w:rsidRDefault="00C85CB4" w:rsidP="000651A2">
            <w:pPr>
              <w:pStyle w:val="ListParagraph"/>
              <w:numPr>
                <w:ilvl w:val="0"/>
                <w:numId w:val="21"/>
              </w:numPr>
              <w:jc w:val="right"/>
              <w:rPr>
                <w:b/>
                <w:color w:val="000000" w:themeColor="text1"/>
                <w:sz w:val="22"/>
                <w:szCs w:val="22"/>
              </w:rPr>
            </w:pPr>
            <w:r w:rsidRPr="004D5AB3">
              <w:rPr>
                <w:b/>
                <w:color w:val="000000" w:themeColor="text1"/>
                <w:sz w:val="22"/>
                <w:szCs w:val="22"/>
              </w:rPr>
              <w:t xml:space="preserve">% </w:t>
            </w:r>
            <w:r w:rsidR="00505225" w:rsidRPr="004D5AB3">
              <w:rPr>
                <w:b/>
                <w:color w:val="000000" w:themeColor="text1"/>
                <w:sz w:val="22"/>
                <w:szCs w:val="22"/>
              </w:rPr>
              <w:t>Increase</w:t>
            </w:r>
            <w:r w:rsidR="00F14717" w:rsidRPr="004D5AB3">
              <w:rPr>
                <w:b/>
                <w:color w:val="000000" w:themeColor="text1"/>
                <w:sz w:val="22"/>
                <w:szCs w:val="22"/>
              </w:rPr>
              <w:t xml:space="preserve"> in</w:t>
            </w:r>
            <w:r w:rsidR="00505225" w:rsidRPr="004D5AB3">
              <w:rPr>
                <w:b/>
                <w:color w:val="000000" w:themeColor="text1"/>
                <w:sz w:val="22"/>
                <w:szCs w:val="22"/>
              </w:rPr>
              <w:t xml:space="preserve"> </w:t>
            </w:r>
            <w:r w:rsidR="00D32993" w:rsidRPr="004D5AB3">
              <w:rPr>
                <w:b/>
                <w:color w:val="000000" w:themeColor="text1"/>
                <w:sz w:val="22"/>
                <w:szCs w:val="22"/>
              </w:rPr>
              <w:t>Top-up</w:t>
            </w:r>
            <w:r w:rsidRPr="004D5AB3">
              <w:rPr>
                <w:b/>
                <w:color w:val="000000" w:themeColor="text1"/>
                <w:sz w:val="22"/>
                <w:szCs w:val="22"/>
              </w:rPr>
              <w:t xml:space="preserve"> plus £10,000</w:t>
            </w:r>
          </w:p>
        </w:tc>
      </w:tr>
      <w:tr w:rsidR="00A33CD2" w:rsidTr="00F14717">
        <w:tc>
          <w:tcPr>
            <w:tcW w:w="2718" w:type="dxa"/>
          </w:tcPr>
          <w:p w:rsidR="00A33CD2" w:rsidRPr="00390B30" w:rsidRDefault="00A33CD2" w:rsidP="00A33CD2">
            <w:pPr>
              <w:jc w:val="both"/>
              <w:rPr>
                <w:sz w:val="22"/>
                <w:szCs w:val="22"/>
              </w:rPr>
            </w:pPr>
            <w:r w:rsidRPr="00390B30">
              <w:rPr>
                <w:sz w:val="22"/>
                <w:szCs w:val="22"/>
              </w:rPr>
              <w:t>Band 3L</w:t>
            </w:r>
          </w:p>
        </w:tc>
        <w:tc>
          <w:tcPr>
            <w:tcW w:w="2493" w:type="dxa"/>
          </w:tcPr>
          <w:p w:rsidR="00A33CD2" w:rsidRPr="00BE4CD6" w:rsidRDefault="004D5AB3" w:rsidP="00A33CD2">
            <w:pPr>
              <w:jc w:val="right"/>
              <w:rPr>
                <w:sz w:val="22"/>
                <w:szCs w:val="22"/>
              </w:rPr>
            </w:pPr>
            <w:r>
              <w:rPr>
                <w:sz w:val="22"/>
                <w:szCs w:val="22"/>
              </w:rPr>
              <w:t>+ 3.7%</w:t>
            </w:r>
          </w:p>
        </w:tc>
        <w:tc>
          <w:tcPr>
            <w:tcW w:w="2835" w:type="dxa"/>
          </w:tcPr>
          <w:p w:rsidR="00A33CD2" w:rsidRPr="005C1B99" w:rsidRDefault="004D5AB3" w:rsidP="00A33CD2">
            <w:pPr>
              <w:jc w:val="right"/>
              <w:rPr>
                <w:b/>
                <w:sz w:val="22"/>
                <w:szCs w:val="22"/>
              </w:rPr>
            </w:pPr>
            <w:r>
              <w:rPr>
                <w:b/>
                <w:sz w:val="22"/>
                <w:szCs w:val="22"/>
              </w:rPr>
              <w:t>+ 1.0%</w:t>
            </w:r>
          </w:p>
        </w:tc>
        <w:tc>
          <w:tcPr>
            <w:tcW w:w="2828" w:type="dxa"/>
          </w:tcPr>
          <w:p w:rsidR="00A33CD2" w:rsidRPr="005C1B99" w:rsidRDefault="004D5AB3" w:rsidP="00A33CD2">
            <w:pPr>
              <w:jc w:val="right"/>
              <w:rPr>
                <w:i/>
                <w:sz w:val="22"/>
                <w:szCs w:val="22"/>
              </w:rPr>
            </w:pPr>
            <w:r>
              <w:rPr>
                <w:i/>
                <w:sz w:val="22"/>
                <w:szCs w:val="22"/>
              </w:rPr>
              <w:t>+ 0.7%</w:t>
            </w:r>
          </w:p>
        </w:tc>
      </w:tr>
      <w:tr w:rsidR="00A33CD2" w:rsidTr="00F14717">
        <w:tc>
          <w:tcPr>
            <w:tcW w:w="2718" w:type="dxa"/>
          </w:tcPr>
          <w:p w:rsidR="00A33CD2" w:rsidRPr="00390B30" w:rsidRDefault="00A33CD2" w:rsidP="00A33CD2">
            <w:pPr>
              <w:jc w:val="both"/>
              <w:rPr>
                <w:sz w:val="22"/>
                <w:szCs w:val="22"/>
              </w:rPr>
            </w:pPr>
            <w:r w:rsidRPr="00390B30">
              <w:rPr>
                <w:sz w:val="22"/>
                <w:szCs w:val="22"/>
              </w:rPr>
              <w:t>Band 3M</w:t>
            </w:r>
          </w:p>
        </w:tc>
        <w:tc>
          <w:tcPr>
            <w:tcW w:w="2493" w:type="dxa"/>
          </w:tcPr>
          <w:p w:rsidR="00A33CD2" w:rsidRPr="00BE4CD6" w:rsidRDefault="004D5AB3" w:rsidP="00A33CD2">
            <w:pPr>
              <w:jc w:val="right"/>
              <w:rPr>
                <w:sz w:val="22"/>
                <w:szCs w:val="22"/>
              </w:rPr>
            </w:pPr>
            <w:r>
              <w:rPr>
                <w:sz w:val="22"/>
                <w:szCs w:val="22"/>
              </w:rPr>
              <w:t>+ 2.5%</w:t>
            </w:r>
          </w:p>
        </w:tc>
        <w:tc>
          <w:tcPr>
            <w:tcW w:w="2835" w:type="dxa"/>
          </w:tcPr>
          <w:p w:rsidR="00A33CD2" w:rsidRPr="005C1B99" w:rsidRDefault="004D5AB3" w:rsidP="00A33CD2">
            <w:pPr>
              <w:jc w:val="right"/>
              <w:rPr>
                <w:b/>
                <w:sz w:val="22"/>
                <w:szCs w:val="22"/>
              </w:rPr>
            </w:pPr>
            <w:r>
              <w:rPr>
                <w:b/>
                <w:sz w:val="22"/>
                <w:szCs w:val="22"/>
              </w:rPr>
              <w:t>+ 1.0%</w:t>
            </w:r>
          </w:p>
        </w:tc>
        <w:tc>
          <w:tcPr>
            <w:tcW w:w="2828" w:type="dxa"/>
          </w:tcPr>
          <w:p w:rsidR="00A33CD2" w:rsidRPr="005C1B99" w:rsidRDefault="004D5AB3" w:rsidP="00A33CD2">
            <w:pPr>
              <w:jc w:val="right"/>
              <w:rPr>
                <w:i/>
                <w:sz w:val="22"/>
                <w:szCs w:val="22"/>
              </w:rPr>
            </w:pPr>
            <w:r>
              <w:rPr>
                <w:i/>
                <w:sz w:val="22"/>
                <w:szCs w:val="22"/>
              </w:rPr>
              <w:t>+ 0.7%</w:t>
            </w:r>
          </w:p>
        </w:tc>
      </w:tr>
      <w:tr w:rsidR="00A33CD2" w:rsidTr="00F14717">
        <w:tc>
          <w:tcPr>
            <w:tcW w:w="2718" w:type="dxa"/>
          </w:tcPr>
          <w:p w:rsidR="00A33CD2" w:rsidRPr="00390B30" w:rsidRDefault="00A33CD2" w:rsidP="00A33CD2">
            <w:pPr>
              <w:jc w:val="both"/>
              <w:rPr>
                <w:sz w:val="22"/>
                <w:szCs w:val="22"/>
              </w:rPr>
            </w:pPr>
            <w:r w:rsidRPr="00390B30">
              <w:rPr>
                <w:sz w:val="22"/>
                <w:szCs w:val="22"/>
              </w:rPr>
              <w:t>Band 3H</w:t>
            </w:r>
          </w:p>
        </w:tc>
        <w:tc>
          <w:tcPr>
            <w:tcW w:w="2493" w:type="dxa"/>
          </w:tcPr>
          <w:p w:rsidR="00A33CD2" w:rsidRPr="00BE4CD6" w:rsidRDefault="004D5AB3" w:rsidP="00A33CD2">
            <w:pPr>
              <w:jc w:val="right"/>
              <w:rPr>
                <w:sz w:val="22"/>
                <w:szCs w:val="22"/>
              </w:rPr>
            </w:pPr>
            <w:r>
              <w:rPr>
                <w:sz w:val="22"/>
                <w:szCs w:val="22"/>
              </w:rPr>
              <w:t>+ 2.0%</w:t>
            </w:r>
          </w:p>
        </w:tc>
        <w:tc>
          <w:tcPr>
            <w:tcW w:w="2835" w:type="dxa"/>
          </w:tcPr>
          <w:p w:rsidR="00A33CD2" w:rsidRPr="005C1B99" w:rsidRDefault="004D5AB3" w:rsidP="00A33CD2">
            <w:pPr>
              <w:jc w:val="right"/>
              <w:rPr>
                <w:b/>
                <w:sz w:val="22"/>
                <w:szCs w:val="22"/>
              </w:rPr>
            </w:pPr>
            <w:r>
              <w:rPr>
                <w:b/>
                <w:sz w:val="22"/>
                <w:szCs w:val="22"/>
              </w:rPr>
              <w:t>+ 1.0%</w:t>
            </w:r>
          </w:p>
        </w:tc>
        <w:tc>
          <w:tcPr>
            <w:tcW w:w="2828" w:type="dxa"/>
          </w:tcPr>
          <w:p w:rsidR="00A33CD2" w:rsidRPr="005C1B99" w:rsidRDefault="004D5AB3" w:rsidP="00A33CD2">
            <w:pPr>
              <w:jc w:val="right"/>
              <w:rPr>
                <w:i/>
                <w:sz w:val="22"/>
                <w:szCs w:val="22"/>
              </w:rPr>
            </w:pPr>
            <w:r>
              <w:rPr>
                <w:i/>
                <w:sz w:val="22"/>
                <w:szCs w:val="22"/>
              </w:rPr>
              <w:t>+ 0.7%</w:t>
            </w:r>
          </w:p>
        </w:tc>
      </w:tr>
      <w:tr w:rsidR="00A33CD2" w:rsidTr="00F14717">
        <w:tc>
          <w:tcPr>
            <w:tcW w:w="2718" w:type="dxa"/>
          </w:tcPr>
          <w:p w:rsidR="00A33CD2" w:rsidRPr="00390B30" w:rsidRDefault="00A33CD2" w:rsidP="00A33CD2">
            <w:pPr>
              <w:jc w:val="both"/>
              <w:rPr>
                <w:sz w:val="22"/>
                <w:szCs w:val="22"/>
              </w:rPr>
            </w:pPr>
            <w:r w:rsidRPr="00390B30">
              <w:rPr>
                <w:sz w:val="22"/>
                <w:szCs w:val="22"/>
              </w:rPr>
              <w:t>Band 4L</w:t>
            </w:r>
          </w:p>
        </w:tc>
        <w:tc>
          <w:tcPr>
            <w:tcW w:w="2493" w:type="dxa"/>
          </w:tcPr>
          <w:p w:rsidR="00A33CD2" w:rsidRPr="00BE4CD6" w:rsidRDefault="004D5AB3" w:rsidP="00A33CD2">
            <w:pPr>
              <w:jc w:val="right"/>
              <w:rPr>
                <w:sz w:val="22"/>
                <w:szCs w:val="22"/>
              </w:rPr>
            </w:pPr>
            <w:r>
              <w:rPr>
                <w:sz w:val="22"/>
                <w:szCs w:val="22"/>
              </w:rPr>
              <w:t>+ 2.1%</w:t>
            </w:r>
          </w:p>
        </w:tc>
        <w:tc>
          <w:tcPr>
            <w:tcW w:w="2835" w:type="dxa"/>
          </w:tcPr>
          <w:p w:rsidR="00A33CD2" w:rsidRPr="005C1B99" w:rsidRDefault="004D5AB3" w:rsidP="00A33CD2">
            <w:pPr>
              <w:jc w:val="right"/>
              <w:rPr>
                <w:b/>
                <w:sz w:val="22"/>
                <w:szCs w:val="22"/>
              </w:rPr>
            </w:pPr>
            <w:r>
              <w:rPr>
                <w:b/>
                <w:sz w:val="22"/>
                <w:szCs w:val="22"/>
              </w:rPr>
              <w:t>+ 1.3%</w:t>
            </w:r>
          </w:p>
        </w:tc>
        <w:tc>
          <w:tcPr>
            <w:tcW w:w="2828" w:type="dxa"/>
          </w:tcPr>
          <w:p w:rsidR="00A33CD2" w:rsidRPr="005C1B99" w:rsidRDefault="004D5AB3" w:rsidP="00A33CD2">
            <w:pPr>
              <w:jc w:val="right"/>
              <w:rPr>
                <w:b/>
                <w:sz w:val="22"/>
                <w:szCs w:val="22"/>
              </w:rPr>
            </w:pPr>
            <w:r>
              <w:rPr>
                <w:b/>
                <w:sz w:val="22"/>
                <w:szCs w:val="22"/>
              </w:rPr>
              <w:t>+ 1.0%</w:t>
            </w:r>
          </w:p>
        </w:tc>
      </w:tr>
      <w:tr w:rsidR="00A33CD2" w:rsidTr="00F14717">
        <w:tc>
          <w:tcPr>
            <w:tcW w:w="2718" w:type="dxa"/>
          </w:tcPr>
          <w:p w:rsidR="00A33CD2" w:rsidRPr="00390B30" w:rsidRDefault="00A33CD2" w:rsidP="00A33CD2">
            <w:pPr>
              <w:jc w:val="both"/>
              <w:rPr>
                <w:sz w:val="22"/>
                <w:szCs w:val="22"/>
              </w:rPr>
            </w:pPr>
            <w:r w:rsidRPr="00390B30">
              <w:rPr>
                <w:sz w:val="22"/>
                <w:szCs w:val="22"/>
              </w:rPr>
              <w:t>Band 4M</w:t>
            </w:r>
          </w:p>
        </w:tc>
        <w:tc>
          <w:tcPr>
            <w:tcW w:w="2493" w:type="dxa"/>
          </w:tcPr>
          <w:p w:rsidR="00A33CD2" w:rsidRPr="00BE4CD6" w:rsidRDefault="004D5AB3" w:rsidP="00A33CD2">
            <w:pPr>
              <w:jc w:val="right"/>
              <w:rPr>
                <w:sz w:val="22"/>
                <w:szCs w:val="22"/>
              </w:rPr>
            </w:pPr>
            <w:r>
              <w:rPr>
                <w:sz w:val="22"/>
                <w:szCs w:val="22"/>
              </w:rPr>
              <w:t>+ 1.9%</w:t>
            </w:r>
          </w:p>
        </w:tc>
        <w:tc>
          <w:tcPr>
            <w:tcW w:w="2835" w:type="dxa"/>
          </w:tcPr>
          <w:p w:rsidR="00A33CD2" w:rsidRPr="005C1B99" w:rsidRDefault="004D5AB3" w:rsidP="00A33CD2">
            <w:pPr>
              <w:jc w:val="right"/>
              <w:rPr>
                <w:b/>
                <w:sz w:val="22"/>
                <w:szCs w:val="22"/>
              </w:rPr>
            </w:pPr>
            <w:r>
              <w:rPr>
                <w:b/>
                <w:sz w:val="22"/>
                <w:szCs w:val="22"/>
              </w:rPr>
              <w:t>+ 1.3%</w:t>
            </w:r>
          </w:p>
        </w:tc>
        <w:tc>
          <w:tcPr>
            <w:tcW w:w="2828" w:type="dxa"/>
          </w:tcPr>
          <w:p w:rsidR="00A33CD2" w:rsidRPr="005C1B99" w:rsidRDefault="004D5AB3" w:rsidP="00A33CD2">
            <w:pPr>
              <w:jc w:val="right"/>
              <w:rPr>
                <w:b/>
                <w:sz w:val="22"/>
                <w:szCs w:val="22"/>
              </w:rPr>
            </w:pPr>
            <w:r>
              <w:rPr>
                <w:b/>
                <w:sz w:val="22"/>
                <w:szCs w:val="22"/>
              </w:rPr>
              <w:t>+ 1.1%</w:t>
            </w:r>
          </w:p>
        </w:tc>
      </w:tr>
      <w:tr w:rsidR="00A33CD2" w:rsidTr="00F14717">
        <w:tc>
          <w:tcPr>
            <w:tcW w:w="2718" w:type="dxa"/>
          </w:tcPr>
          <w:p w:rsidR="00A33CD2" w:rsidRPr="00390B30" w:rsidRDefault="00A33CD2" w:rsidP="00A33CD2">
            <w:pPr>
              <w:jc w:val="both"/>
              <w:rPr>
                <w:sz w:val="22"/>
                <w:szCs w:val="22"/>
              </w:rPr>
            </w:pPr>
            <w:r w:rsidRPr="00390B30">
              <w:rPr>
                <w:sz w:val="22"/>
                <w:szCs w:val="22"/>
              </w:rPr>
              <w:t>Band 4H</w:t>
            </w:r>
          </w:p>
        </w:tc>
        <w:tc>
          <w:tcPr>
            <w:tcW w:w="2493" w:type="dxa"/>
          </w:tcPr>
          <w:p w:rsidR="00A33CD2" w:rsidRPr="00BE4CD6" w:rsidRDefault="004D5AB3" w:rsidP="00A33CD2">
            <w:pPr>
              <w:jc w:val="right"/>
              <w:rPr>
                <w:sz w:val="22"/>
                <w:szCs w:val="22"/>
              </w:rPr>
            </w:pPr>
            <w:r>
              <w:rPr>
                <w:sz w:val="22"/>
                <w:szCs w:val="22"/>
              </w:rPr>
              <w:t>+ 1.7%</w:t>
            </w:r>
          </w:p>
        </w:tc>
        <w:tc>
          <w:tcPr>
            <w:tcW w:w="2835" w:type="dxa"/>
          </w:tcPr>
          <w:p w:rsidR="00A33CD2" w:rsidRPr="005C1B99" w:rsidRDefault="004D5AB3" w:rsidP="00A33CD2">
            <w:pPr>
              <w:jc w:val="right"/>
              <w:rPr>
                <w:b/>
                <w:sz w:val="22"/>
                <w:szCs w:val="22"/>
              </w:rPr>
            </w:pPr>
            <w:r>
              <w:rPr>
                <w:b/>
                <w:sz w:val="22"/>
                <w:szCs w:val="22"/>
              </w:rPr>
              <w:t>+ 1.3%</w:t>
            </w:r>
          </w:p>
        </w:tc>
        <w:tc>
          <w:tcPr>
            <w:tcW w:w="2828" w:type="dxa"/>
          </w:tcPr>
          <w:p w:rsidR="00A33CD2" w:rsidRPr="005C1B99" w:rsidRDefault="004D5AB3" w:rsidP="00A33CD2">
            <w:pPr>
              <w:jc w:val="right"/>
              <w:rPr>
                <w:b/>
                <w:sz w:val="22"/>
                <w:szCs w:val="22"/>
              </w:rPr>
            </w:pPr>
            <w:r>
              <w:rPr>
                <w:b/>
                <w:sz w:val="22"/>
                <w:szCs w:val="22"/>
              </w:rPr>
              <w:t>+ 1.1%</w:t>
            </w:r>
          </w:p>
        </w:tc>
      </w:tr>
      <w:tr w:rsidR="00A33CD2" w:rsidTr="00F14717">
        <w:tc>
          <w:tcPr>
            <w:tcW w:w="2718" w:type="dxa"/>
          </w:tcPr>
          <w:p w:rsidR="00A33CD2" w:rsidRPr="00390B30" w:rsidRDefault="00A33CD2" w:rsidP="00A33CD2">
            <w:pPr>
              <w:jc w:val="both"/>
              <w:rPr>
                <w:sz w:val="22"/>
                <w:szCs w:val="22"/>
              </w:rPr>
            </w:pPr>
            <w:r w:rsidRPr="00390B30">
              <w:rPr>
                <w:sz w:val="22"/>
                <w:szCs w:val="22"/>
              </w:rPr>
              <w:t>Protected 7</w:t>
            </w:r>
          </w:p>
        </w:tc>
        <w:tc>
          <w:tcPr>
            <w:tcW w:w="2493" w:type="dxa"/>
          </w:tcPr>
          <w:p w:rsidR="00A33CD2" w:rsidRPr="00BE4CD6" w:rsidRDefault="004D5AB3" w:rsidP="00A33CD2">
            <w:pPr>
              <w:jc w:val="right"/>
              <w:rPr>
                <w:sz w:val="22"/>
                <w:szCs w:val="22"/>
              </w:rPr>
            </w:pPr>
            <w:r>
              <w:rPr>
                <w:sz w:val="22"/>
                <w:szCs w:val="22"/>
              </w:rPr>
              <w:t>+ 1.7%</w:t>
            </w:r>
          </w:p>
        </w:tc>
        <w:tc>
          <w:tcPr>
            <w:tcW w:w="2835" w:type="dxa"/>
          </w:tcPr>
          <w:p w:rsidR="00A33CD2" w:rsidRPr="005C1B99" w:rsidRDefault="004D5AB3" w:rsidP="00A33CD2">
            <w:pPr>
              <w:jc w:val="right"/>
              <w:rPr>
                <w:b/>
                <w:sz w:val="22"/>
                <w:szCs w:val="22"/>
              </w:rPr>
            </w:pPr>
            <w:r>
              <w:rPr>
                <w:b/>
                <w:sz w:val="22"/>
                <w:szCs w:val="22"/>
              </w:rPr>
              <w:t>+ 1.4%</w:t>
            </w:r>
          </w:p>
        </w:tc>
        <w:tc>
          <w:tcPr>
            <w:tcW w:w="2828" w:type="dxa"/>
          </w:tcPr>
          <w:p w:rsidR="00A33CD2" w:rsidRPr="005C1B99" w:rsidRDefault="004D5AB3" w:rsidP="00A33CD2">
            <w:pPr>
              <w:jc w:val="right"/>
              <w:rPr>
                <w:b/>
                <w:sz w:val="22"/>
                <w:szCs w:val="22"/>
              </w:rPr>
            </w:pPr>
            <w:r>
              <w:rPr>
                <w:b/>
                <w:sz w:val="22"/>
                <w:szCs w:val="22"/>
              </w:rPr>
              <w:t>+ 1.3%</w:t>
            </w:r>
          </w:p>
        </w:tc>
      </w:tr>
    </w:tbl>
    <w:p w:rsidR="00C85CB4" w:rsidRDefault="00C85CB4" w:rsidP="001B416B">
      <w:pPr>
        <w:jc w:val="both"/>
        <w:rPr>
          <w:color w:val="FF0000"/>
          <w:sz w:val="22"/>
          <w:szCs w:val="22"/>
        </w:rPr>
      </w:pPr>
    </w:p>
    <w:p w:rsidR="00D118C9" w:rsidRPr="00BB0E8A" w:rsidRDefault="00D92075" w:rsidP="00D118C9">
      <w:pPr>
        <w:jc w:val="both"/>
        <w:rPr>
          <w:sz w:val="22"/>
          <w:szCs w:val="22"/>
        </w:rPr>
      </w:pPr>
      <w:r>
        <w:rPr>
          <w:sz w:val="22"/>
          <w:szCs w:val="22"/>
        </w:rPr>
        <w:t>6.11</w:t>
      </w:r>
      <w:r w:rsidR="00D118C9" w:rsidRPr="00BB0E8A">
        <w:rPr>
          <w:sz w:val="22"/>
          <w:szCs w:val="22"/>
        </w:rPr>
        <w:t xml:space="preserve"> To expl</w:t>
      </w:r>
      <w:r w:rsidR="00F43EDE" w:rsidRPr="00BB0E8A">
        <w:rPr>
          <w:sz w:val="22"/>
          <w:szCs w:val="22"/>
        </w:rPr>
        <w:t>ain what these tables present</w:t>
      </w:r>
      <w:r w:rsidR="00DA5D70" w:rsidRPr="00BB0E8A">
        <w:rPr>
          <w:sz w:val="22"/>
          <w:szCs w:val="22"/>
        </w:rPr>
        <w:t>:</w:t>
      </w:r>
    </w:p>
    <w:p w:rsidR="00D118C9" w:rsidRPr="00BB0E8A" w:rsidRDefault="00D118C9" w:rsidP="00D118C9">
      <w:pPr>
        <w:jc w:val="both"/>
        <w:rPr>
          <w:color w:val="FF0000"/>
          <w:sz w:val="22"/>
          <w:szCs w:val="22"/>
        </w:rPr>
      </w:pPr>
    </w:p>
    <w:p w:rsidR="003C5584" w:rsidRPr="00BB0E8A" w:rsidRDefault="005D7E23" w:rsidP="00972D63">
      <w:pPr>
        <w:pStyle w:val="ListParagraph"/>
        <w:numPr>
          <w:ilvl w:val="0"/>
          <w:numId w:val="20"/>
        </w:numPr>
        <w:jc w:val="both"/>
        <w:rPr>
          <w:sz w:val="22"/>
          <w:szCs w:val="22"/>
        </w:rPr>
      </w:pPr>
      <w:r w:rsidRPr="00BB0E8A">
        <w:rPr>
          <w:sz w:val="22"/>
          <w:szCs w:val="22"/>
        </w:rPr>
        <w:t>The total value</w:t>
      </w:r>
      <w:r w:rsidR="00972D63" w:rsidRPr="00BB0E8A">
        <w:rPr>
          <w:sz w:val="22"/>
          <w:szCs w:val="22"/>
        </w:rPr>
        <w:t xml:space="preserve"> of funding</w:t>
      </w:r>
      <w:r w:rsidRPr="00BB0E8A">
        <w:rPr>
          <w:sz w:val="22"/>
          <w:szCs w:val="22"/>
        </w:rPr>
        <w:t xml:space="preserve"> </w:t>
      </w:r>
      <w:r w:rsidR="00BB0F19" w:rsidRPr="00BB0E8A">
        <w:rPr>
          <w:sz w:val="22"/>
          <w:szCs w:val="22"/>
        </w:rPr>
        <w:t xml:space="preserve">that is allocated to support an </w:t>
      </w:r>
      <w:r w:rsidR="00DA5D70" w:rsidRPr="00BB0E8A">
        <w:rPr>
          <w:sz w:val="22"/>
          <w:szCs w:val="22"/>
        </w:rPr>
        <w:t xml:space="preserve">individual </w:t>
      </w:r>
      <w:r w:rsidR="00BB0F19" w:rsidRPr="00BB0E8A">
        <w:rPr>
          <w:sz w:val="22"/>
          <w:szCs w:val="22"/>
        </w:rPr>
        <w:t>EHCP is derived by adding Element 2 (a</w:t>
      </w:r>
      <w:r w:rsidR="00972D63" w:rsidRPr="00BB0E8A">
        <w:rPr>
          <w:sz w:val="22"/>
          <w:szCs w:val="22"/>
        </w:rPr>
        <w:t>t a</w:t>
      </w:r>
      <w:r w:rsidR="00BB0F19" w:rsidRPr="00BB0E8A">
        <w:rPr>
          <w:sz w:val="22"/>
          <w:szCs w:val="22"/>
        </w:rPr>
        <w:t xml:space="preserve"> fixed</w:t>
      </w:r>
      <w:r w:rsidR="00972D63" w:rsidRPr="00BB0E8A">
        <w:rPr>
          <w:sz w:val="22"/>
          <w:szCs w:val="22"/>
        </w:rPr>
        <w:t xml:space="preserve"> value of</w:t>
      </w:r>
      <w:r w:rsidR="00BB0F19" w:rsidRPr="00BB0E8A">
        <w:rPr>
          <w:sz w:val="22"/>
          <w:szCs w:val="22"/>
        </w:rPr>
        <w:t xml:space="preserve"> £6,000 per 1 FTE pupil) to the value of the </w:t>
      </w:r>
      <w:r w:rsidR="00D32993">
        <w:rPr>
          <w:sz w:val="22"/>
          <w:szCs w:val="22"/>
        </w:rPr>
        <w:t>top-up</w:t>
      </w:r>
      <w:r w:rsidR="00BB0F19" w:rsidRPr="00BB0E8A">
        <w:rPr>
          <w:sz w:val="22"/>
          <w:szCs w:val="22"/>
        </w:rPr>
        <w:t xml:space="preserve"> </w:t>
      </w:r>
      <w:r w:rsidR="00972D63" w:rsidRPr="00BB0E8A">
        <w:rPr>
          <w:sz w:val="22"/>
          <w:szCs w:val="22"/>
        </w:rPr>
        <w:t xml:space="preserve">that is </w:t>
      </w:r>
      <w:r w:rsidR="00BB0F19" w:rsidRPr="00BB0E8A">
        <w:rPr>
          <w:sz w:val="22"/>
          <w:szCs w:val="22"/>
        </w:rPr>
        <w:t>allocated through the Banded Model.</w:t>
      </w:r>
      <w:r w:rsidR="00972D63" w:rsidRPr="00BB0E8A">
        <w:rPr>
          <w:sz w:val="22"/>
          <w:szCs w:val="22"/>
        </w:rPr>
        <w:t xml:space="preserve"> </w:t>
      </w:r>
    </w:p>
    <w:p w:rsidR="004844D7" w:rsidRPr="00BB0E8A" w:rsidRDefault="004844D7" w:rsidP="004844D7">
      <w:pPr>
        <w:pStyle w:val="ListParagraph"/>
        <w:ind w:left="360"/>
        <w:jc w:val="both"/>
        <w:rPr>
          <w:sz w:val="22"/>
          <w:szCs w:val="22"/>
        </w:rPr>
      </w:pPr>
    </w:p>
    <w:p w:rsidR="00972D63" w:rsidRPr="00D939CC" w:rsidRDefault="00EE3A13" w:rsidP="00972D63">
      <w:pPr>
        <w:pStyle w:val="ListParagraph"/>
        <w:numPr>
          <w:ilvl w:val="0"/>
          <w:numId w:val="20"/>
        </w:numPr>
        <w:jc w:val="both"/>
        <w:rPr>
          <w:color w:val="000000" w:themeColor="text1"/>
          <w:sz w:val="22"/>
          <w:szCs w:val="22"/>
        </w:rPr>
      </w:pPr>
      <w:r w:rsidRPr="00D939CC">
        <w:rPr>
          <w:color w:val="000000" w:themeColor="text1"/>
          <w:sz w:val="22"/>
          <w:szCs w:val="22"/>
        </w:rPr>
        <w:t xml:space="preserve">The total </w:t>
      </w:r>
      <w:r w:rsidR="005D7E23" w:rsidRPr="00D939CC">
        <w:rPr>
          <w:color w:val="000000" w:themeColor="text1"/>
          <w:sz w:val="22"/>
          <w:szCs w:val="22"/>
        </w:rPr>
        <w:t>value</w:t>
      </w:r>
      <w:r w:rsidR="00BB0F19" w:rsidRPr="00D939CC">
        <w:rPr>
          <w:color w:val="000000" w:themeColor="text1"/>
          <w:sz w:val="22"/>
          <w:szCs w:val="22"/>
        </w:rPr>
        <w:t xml:space="preserve"> of suppo</w:t>
      </w:r>
      <w:r w:rsidR="00F368E0" w:rsidRPr="00D939CC">
        <w:rPr>
          <w:color w:val="000000" w:themeColor="text1"/>
          <w:sz w:val="22"/>
          <w:szCs w:val="22"/>
        </w:rPr>
        <w:t xml:space="preserve">rt for </w:t>
      </w:r>
      <w:r w:rsidR="00AE5D03" w:rsidRPr="00D939CC">
        <w:rPr>
          <w:color w:val="000000" w:themeColor="text1"/>
          <w:sz w:val="22"/>
          <w:szCs w:val="22"/>
        </w:rPr>
        <w:t xml:space="preserve">each of </w:t>
      </w:r>
      <w:r w:rsidR="00F368E0" w:rsidRPr="00D939CC">
        <w:rPr>
          <w:color w:val="000000" w:themeColor="text1"/>
          <w:sz w:val="22"/>
          <w:szCs w:val="22"/>
        </w:rPr>
        <w:t>the three steps in</w:t>
      </w:r>
      <w:r w:rsidRPr="00D939CC">
        <w:rPr>
          <w:color w:val="000000" w:themeColor="text1"/>
          <w:sz w:val="22"/>
          <w:szCs w:val="22"/>
        </w:rPr>
        <w:t xml:space="preserve"> </w:t>
      </w:r>
      <w:r w:rsidR="00BB0F19" w:rsidRPr="00D939CC">
        <w:rPr>
          <w:color w:val="000000" w:themeColor="text1"/>
          <w:sz w:val="22"/>
          <w:szCs w:val="22"/>
        </w:rPr>
        <w:t>Band 3</w:t>
      </w:r>
      <w:r w:rsidR="00445D41" w:rsidRPr="00D939CC">
        <w:rPr>
          <w:color w:val="000000" w:themeColor="text1"/>
          <w:sz w:val="22"/>
          <w:szCs w:val="22"/>
        </w:rPr>
        <w:t xml:space="preserve"> (Band 3L, 3M and 3H)</w:t>
      </w:r>
      <w:r w:rsidR="00972D63" w:rsidRPr="00D939CC">
        <w:rPr>
          <w:color w:val="000000" w:themeColor="text1"/>
          <w:sz w:val="22"/>
          <w:szCs w:val="22"/>
        </w:rPr>
        <w:t>, when Element 2</w:t>
      </w:r>
      <w:r w:rsidR="00521354" w:rsidRPr="00D939CC">
        <w:rPr>
          <w:color w:val="000000" w:themeColor="text1"/>
          <w:sz w:val="22"/>
          <w:szCs w:val="22"/>
        </w:rPr>
        <w:t xml:space="preserve"> £6,000</w:t>
      </w:r>
      <w:r w:rsidR="00972D63" w:rsidRPr="00D939CC">
        <w:rPr>
          <w:color w:val="000000" w:themeColor="text1"/>
          <w:sz w:val="22"/>
          <w:szCs w:val="22"/>
        </w:rPr>
        <w:t xml:space="preserve"> is</w:t>
      </w:r>
      <w:r w:rsidR="00AE5D03" w:rsidRPr="00D939CC">
        <w:rPr>
          <w:color w:val="000000" w:themeColor="text1"/>
          <w:sz w:val="22"/>
          <w:szCs w:val="22"/>
        </w:rPr>
        <w:t xml:space="preserve"> added to the</w:t>
      </w:r>
      <w:r w:rsidR="00972D63" w:rsidRPr="00D939CC">
        <w:rPr>
          <w:color w:val="000000" w:themeColor="text1"/>
          <w:sz w:val="22"/>
          <w:szCs w:val="22"/>
        </w:rPr>
        <w:t xml:space="preserve"> </w:t>
      </w:r>
      <w:r w:rsidR="00D32993" w:rsidRPr="00D939CC">
        <w:rPr>
          <w:color w:val="000000" w:themeColor="text1"/>
          <w:sz w:val="22"/>
          <w:szCs w:val="22"/>
        </w:rPr>
        <w:t>top-up</w:t>
      </w:r>
      <w:r w:rsidR="00972D63" w:rsidRPr="00D939CC">
        <w:rPr>
          <w:color w:val="000000" w:themeColor="text1"/>
          <w:sz w:val="22"/>
          <w:szCs w:val="22"/>
        </w:rPr>
        <w:t xml:space="preserve"> value,</w:t>
      </w:r>
      <w:r w:rsidR="00DA5D70" w:rsidRPr="00D939CC">
        <w:rPr>
          <w:color w:val="000000" w:themeColor="text1"/>
          <w:sz w:val="22"/>
          <w:szCs w:val="22"/>
        </w:rPr>
        <w:t xml:space="preserve"> is proposed to be</w:t>
      </w:r>
      <w:r w:rsidR="00AE5D03" w:rsidRPr="00D939CC">
        <w:rPr>
          <w:color w:val="000000" w:themeColor="text1"/>
          <w:sz w:val="22"/>
          <w:szCs w:val="22"/>
        </w:rPr>
        <w:t xml:space="preserve"> uplifted </w:t>
      </w:r>
      <w:r w:rsidRPr="00D939CC">
        <w:rPr>
          <w:color w:val="000000" w:themeColor="text1"/>
          <w:sz w:val="22"/>
          <w:szCs w:val="22"/>
        </w:rPr>
        <w:t xml:space="preserve">by </w:t>
      </w:r>
      <w:r w:rsidR="00D939CC" w:rsidRPr="00D939CC">
        <w:rPr>
          <w:color w:val="000000" w:themeColor="text1"/>
          <w:sz w:val="22"/>
          <w:szCs w:val="22"/>
        </w:rPr>
        <w:t>1</w:t>
      </w:r>
      <w:r w:rsidRPr="00D939CC">
        <w:rPr>
          <w:color w:val="000000" w:themeColor="text1"/>
          <w:sz w:val="22"/>
          <w:szCs w:val="22"/>
        </w:rPr>
        <w:t>.0%.</w:t>
      </w:r>
      <w:r w:rsidR="00972D63" w:rsidRPr="00D939CC">
        <w:rPr>
          <w:color w:val="000000" w:themeColor="text1"/>
          <w:sz w:val="22"/>
          <w:szCs w:val="22"/>
        </w:rPr>
        <w:t xml:space="preserve"> This </w:t>
      </w:r>
      <w:r w:rsidR="00D939CC" w:rsidRPr="00D939CC">
        <w:rPr>
          <w:color w:val="000000" w:themeColor="text1"/>
          <w:sz w:val="22"/>
          <w:szCs w:val="22"/>
        </w:rPr>
        <w:t>1</w:t>
      </w:r>
      <w:r w:rsidR="00AE5D03" w:rsidRPr="00D939CC">
        <w:rPr>
          <w:color w:val="000000" w:themeColor="text1"/>
          <w:sz w:val="22"/>
          <w:szCs w:val="22"/>
        </w:rPr>
        <w:t xml:space="preserve">.0% uplift </w:t>
      </w:r>
      <w:r w:rsidR="00972D63" w:rsidRPr="00D939CC">
        <w:rPr>
          <w:color w:val="000000" w:themeColor="text1"/>
          <w:sz w:val="22"/>
          <w:szCs w:val="22"/>
        </w:rPr>
        <w:t xml:space="preserve">is demonstrated </w:t>
      </w:r>
      <w:r w:rsidR="00076EDC" w:rsidRPr="00D939CC">
        <w:rPr>
          <w:color w:val="000000" w:themeColor="text1"/>
          <w:sz w:val="22"/>
          <w:szCs w:val="22"/>
        </w:rPr>
        <w:t>in column (2</w:t>
      </w:r>
      <w:r w:rsidR="00D92075" w:rsidRPr="00D939CC">
        <w:rPr>
          <w:color w:val="000000" w:themeColor="text1"/>
          <w:sz w:val="22"/>
          <w:szCs w:val="22"/>
        </w:rPr>
        <w:t>) in the table in paragraph 6.10</w:t>
      </w:r>
      <w:r w:rsidR="00972D63" w:rsidRPr="00D939CC">
        <w:rPr>
          <w:color w:val="000000" w:themeColor="text1"/>
          <w:sz w:val="22"/>
          <w:szCs w:val="22"/>
        </w:rPr>
        <w:t xml:space="preserve">. </w:t>
      </w:r>
    </w:p>
    <w:p w:rsidR="00972D63" w:rsidRPr="00BB0E8A" w:rsidRDefault="00972D63" w:rsidP="00972D63">
      <w:pPr>
        <w:pStyle w:val="ListParagraph"/>
        <w:ind w:left="360"/>
        <w:jc w:val="both"/>
        <w:rPr>
          <w:sz w:val="22"/>
          <w:szCs w:val="22"/>
        </w:rPr>
      </w:pPr>
    </w:p>
    <w:p w:rsidR="00076EDC" w:rsidRPr="00D939CC" w:rsidRDefault="00EE3A13" w:rsidP="001F76E3">
      <w:pPr>
        <w:pStyle w:val="ListParagraph"/>
        <w:numPr>
          <w:ilvl w:val="0"/>
          <w:numId w:val="20"/>
        </w:numPr>
        <w:jc w:val="both"/>
        <w:rPr>
          <w:color w:val="000000" w:themeColor="text1"/>
          <w:sz w:val="22"/>
          <w:szCs w:val="22"/>
        </w:rPr>
      </w:pPr>
      <w:r w:rsidRPr="00D939CC">
        <w:rPr>
          <w:color w:val="000000" w:themeColor="text1"/>
          <w:sz w:val="22"/>
          <w:szCs w:val="22"/>
        </w:rPr>
        <w:t xml:space="preserve">The total </w:t>
      </w:r>
      <w:r w:rsidR="005D7E23" w:rsidRPr="00D939CC">
        <w:rPr>
          <w:color w:val="000000" w:themeColor="text1"/>
          <w:sz w:val="22"/>
          <w:szCs w:val="22"/>
        </w:rPr>
        <w:t>value</w:t>
      </w:r>
      <w:r w:rsidR="00BB0F19" w:rsidRPr="00D939CC">
        <w:rPr>
          <w:color w:val="000000" w:themeColor="text1"/>
          <w:sz w:val="22"/>
          <w:szCs w:val="22"/>
        </w:rPr>
        <w:t xml:space="preserve"> of support</w:t>
      </w:r>
      <w:r w:rsidR="00F368E0" w:rsidRPr="00D939CC">
        <w:rPr>
          <w:color w:val="000000" w:themeColor="text1"/>
          <w:sz w:val="22"/>
          <w:szCs w:val="22"/>
        </w:rPr>
        <w:t xml:space="preserve"> for the three steps</w:t>
      </w:r>
      <w:r w:rsidR="00BB0F19" w:rsidRPr="00D939CC">
        <w:rPr>
          <w:color w:val="000000" w:themeColor="text1"/>
          <w:sz w:val="22"/>
          <w:szCs w:val="22"/>
        </w:rPr>
        <w:t xml:space="preserve"> in</w:t>
      </w:r>
      <w:r w:rsidRPr="00D939CC">
        <w:rPr>
          <w:color w:val="000000" w:themeColor="text1"/>
          <w:sz w:val="22"/>
          <w:szCs w:val="22"/>
        </w:rPr>
        <w:t xml:space="preserve"> Band 4</w:t>
      </w:r>
      <w:r w:rsidR="00FE67C9" w:rsidRPr="00D939CC">
        <w:rPr>
          <w:color w:val="000000" w:themeColor="text1"/>
          <w:sz w:val="22"/>
          <w:szCs w:val="22"/>
        </w:rPr>
        <w:t xml:space="preserve"> (Band 4L, 4M and 4H), when Element 2</w:t>
      </w:r>
      <w:r w:rsidR="00521354" w:rsidRPr="00D939CC">
        <w:rPr>
          <w:color w:val="000000" w:themeColor="text1"/>
          <w:sz w:val="22"/>
          <w:szCs w:val="22"/>
        </w:rPr>
        <w:t xml:space="preserve"> £6,000</w:t>
      </w:r>
      <w:r w:rsidR="00FE67C9" w:rsidRPr="00D939CC">
        <w:rPr>
          <w:color w:val="000000" w:themeColor="text1"/>
          <w:sz w:val="22"/>
          <w:szCs w:val="22"/>
        </w:rPr>
        <w:t xml:space="preserve"> is added to the </w:t>
      </w:r>
      <w:r w:rsidR="00D32993" w:rsidRPr="00D939CC">
        <w:rPr>
          <w:color w:val="000000" w:themeColor="text1"/>
          <w:sz w:val="22"/>
          <w:szCs w:val="22"/>
        </w:rPr>
        <w:t>top-up</w:t>
      </w:r>
      <w:r w:rsidR="00FE67C9" w:rsidRPr="00D939CC">
        <w:rPr>
          <w:color w:val="000000" w:themeColor="text1"/>
          <w:sz w:val="22"/>
          <w:szCs w:val="22"/>
        </w:rPr>
        <w:t xml:space="preserve"> value,</w:t>
      </w:r>
      <w:r w:rsidR="00BB0F19" w:rsidRPr="00D939CC">
        <w:rPr>
          <w:color w:val="000000" w:themeColor="text1"/>
          <w:sz w:val="22"/>
          <w:szCs w:val="22"/>
        </w:rPr>
        <w:t xml:space="preserve"> </w:t>
      </w:r>
      <w:r w:rsidR="00DA5D70" w:rsidRPr="00D939CC">
        <w:rPr>
          <w:color w:val="000000" w:themeColor="text1"/>
          <w:sz w:val="22"/>
          <w:szCs w:val="22"/>
        </w:rPr>
        <w:t>is proposed to be uplifted</w:t>
      </w:r>
      <w:r w:rsidR="00FE67C9" w:rsidRPr="00D939CC">
        <w:rPr>
          <w:color w:val="000000" w:themeColor="text1"/>
          <w:sz w:val="22"/>
          <w:szCs w:val="22"/>
        </w:rPr>
        <w:t xml:space="preserve"> </w:t>
      </w:r>
      <w:r w:rsidR="00445D41" w:rsidRPr="00D939CC">
        <w:rPr>
          <w:color w:val="000000" w:themeColor="text1"/>
          <w:sz w:val="22"/>
          <w:szCs w:val="22"/>
        </w:rPr>
        <w:t xml:space="preserve">between </w:t>
      </w:r>
      <w:r w:rsidR="00D939CC" w:rsidRPr="00D939CC">
        <w:rPr>
          <w:color w:val="000000" w:themeColor="text1"/>
          <w:sz w:val="22"/>
          <w:szCs w:val="22"/>
        </w:rPr>
        <w:t>1.3</w:t>
      </w:r>
      <w:r w:rsidR="00445D41" w:rsidRPr="00D939CC">
        <w:rPr>
          <w:color w:val="000000" w:themeColor="text1"/>
          <w:sz w:val="22"/>
          <w:szCs w:val="22"/>
        </w:rPr>
        <w:t>% (</w:t>
      </w:r>
      <w:r w:rsidR="00FE67C9" w:rsidRPr="00D939CC">
        <w:rPr>
          <w:color w:val="000000" w:themeColor="text1"/>
          <w:sz w:val="22"/>
          <w:szCs w:val="22"/>
        </w:rPr>
        <w:t>B</w:t>
      </w:r>
      <w:r w:rsidR="00445D41" w:rsidRPr="00D939CC">
        <w:rPr>
          <w:color w:val="000000" w:themeColor="text1"/>
          <w:sz w:val="22"/>
          <w:szCs w:val="22"/>
        </w:rPr>
        <w:t>and 4L</w:t>
      </w:r>
      <w:r w:rsidR="00FE67C9" w:rsidRPr="00D939CC">
        <w:rPr>
          <w:color w:val="000000" w:themeColor="text1"/>
          <w:sz w:val="22"/>
          <w:szCs w:val="22"/>
        </w:rPr>
        <w:t xml:space="preserve">) and </w:t>
      </w:r>
      <w:r w:rsidR="00D939CC" w:rsidRPr="00D939CC">
        <w:rPr>
          <w:color w:val="000000" w:themeColor="text1"/>
          <w:sz w:val="22"/>
          <w:szCs w:val="22"/>
        </w:rPr>
        <w:t>1.4</w:t>
      </w:r>
      <w:r w:rsidR="00FE67C9" w:rsidRPr="00D939CC">
        <w:rPr>
          <w:color w:val="000000" w:themeColor="text1"/>
          <w:sz w:val="22"/>
          <w:szCs w:val="22"/>
        </w:rPr>
        <w:t>% (Band 4H). These uplifts are demonstrated in column (2)</w:t>
      </w:r>
      <w:r w:rsidR="00D939CC" w:rsidRPr="00D939CC">
        <w:rPr>
          <w:color w:val="000000" w:themeColor="text1"/>
          <w:sz w:val="22"/>
          <w:szCs w:val="22"/>
        </w:rPr>
        <w:t xml:space="preserve"> in the table in paragraph 6.10. </w:t>
      </w:r>
      <w:r w:rsidR="00FE67C9" w:rsidRPr="00D939CC">
        <w:rPr>
          <w:color w:val="000000" w:themeColor="text1"/>
          <w:sz w:val="22"/>
          <w:szCs w:val="22"/>
        </w:rPr>
        <w:t>T</w:t>
      </w:r>
      <w:r w:rsidR="001F76E3" w:rsidRPr="00D939CC">
        <w:rPr>
          <w:color w:val="000000" w:themeColor="text1"/>
          <w:sz w:val="22"/>
          <w:szCs w:val="22"/>
        </w:rPr>
        <w:t>he uplift of</w:t>
      </w:r>
      <w:r w:rsidR="00FE67C9" w:rsidRPr="00D939CC">
        <w:rPr>
          <w:color w:val="000000" w:themeColor="text1"/>
          <w:sz w:val="22"/>
          <w:szCs w:val="22"/>
        </w:rPr>
        <w:t xml:space="preserve"> Band 4</w:t>
      </w:r>
      <w:r w:rsidR="009428D3" w:rsidRPr="00D939CC">
        <w:rPr>
          <w:color w:val="000000" w:themeColor="text1"/>
          <w:sz w:val="22"/>
          <w:szCs w:val="22"/>
        </w:rPr>
        <w:t xml:space="preserve"> value</w:t>
      </w:r>
      <w:r w:rsidR="00D939CC" w:rsidRPr="00D939CC">
        <w:rPr>
          <w:color w:val="000000" w:themeColor="text1"/>
          <w:sz w:val="22"/>
          <w:szCs w:val="22"/>
        </w:rPr>
        <w:t xml:space="preserve">s is </w:t>
      </w:r>
      <w:r w:rsidR="00FE67C9" w:rsidRPr="00D939CC">
        <w:rPr>
          <w:color w:val="000000" w:themeColor="text1"/>
          <w:sz w:val="22"/>
          <w:szCs w:val="22"/>
        </w:rPr>
        <w:t>guided</w:t>
      </w:r>
      <w:r w:rsidR="001F76E3" w:rsidRPr="00D939CC">
        <w:rPr>
          <w:color w:val="000000" w:themeColor="text1"/>
          <w:sz w:val="22"/>
          <w:szCs w:val="22"/>
        </w:rPr>
        <w:t xml:space="preserve"> by </w:t>
      </w:r>
      <w:r w:rsidR="00D939CC" w:rsidRPr="00D939CC">
        <w:rPr>
          <w:color w:val="000000" w:themeColor="text1"/>
          <w:sz w:val="22"/>
          <w:szCs w:val="22"/>
        </w:rPr>
        <w:t>two additional considerations:</w:t>
      </w:r>
    </w:p>
    <w:p w:rsidR="00076EDC" w:rsidRPr="00BB0E8A" w:rsidRDefault="00076EDC" w:rsidP="00076EDC">
      <w:pPr>
        <w:pStyle w:val="ListParagraph"/>
        <w:rPr>
          <w:color w:val="FF0000"/>
          <w:sz w:val="22"/>
          <w:szCs w:val="22"/>
        </w:rPr>
      </w:pPr>
    </w:p>
    <w:p w:rsidR="00076EDC" w:rsidRPr="00D939CC" w:rsidRDefault="00C255A3" w:rsidP="00076EDC">
      <w:pPr>
        <w:pStyle w:val="ListParagraph"/>
        <w:ind w:left="360"/>
        <w:jc w:val="both"/>
        <w:rPr>
          <w:color w:val="000000" w:themeColor="text1"/>
          <w:sz w:val="22"/>
          <w:szCs w:val="22"/>
        </w:rPr>
      </w:pPr>
      <w:r w:rsidRPr="00D939CC">
        <w:rPr>
          <w:color w:val="000000" w:themeColor="text1"/>
          <w:sz w:val="22"/>
          <w:szCs w:val="22"/>
        </w:rPr>
        <w:t>F</w:t>
      </w:r>
      <w:r w:rsidR="001F76E3" w:rsidRPr="00D939CC">
        <w:rPr>
          <w:color w:val="000000" w:themeColor="text1"/>
          <w:sz w:val="22"/>
          <w:szCs w:val="22"/>
        </w:rPr>
        <w:t xml:space="preserve">irstly, the desire to </w:t>
      </w:r>
      <w:r w:rsidR="00B63FC6" w:rsidRPr="00D939CC">
        <w:rPr>
          <w:color w:val="000000" w:themeColor="text1"/>
          <w:sz w:val="22"/>
          <w:szCs w:val="22"/>
        </w:rPr>
        <w:t>follow</w:t>
      </w:r>
      <w:r w:rsidR="001F76E3" w:rsidRPr="00D939CC">
        <w:rPr>
          <w:color w:val="000000" w:themeColor="text1"/>
          <w:sz w:val="22"/>
          <w:szCs w:val="22"/>
        </w:rPr>
        <w:t xml:space="preserve"> </w:t>
      </w:r>
      <w:r w:rsidR="009D739A" w:rsidRPr="00D939CC">
        <w:rPr>
          <w:color w:val="000000" w:themeColor="text1"/>
          <w:sz w:val="22"/>
          <w:szCs w:val="22"/>
        </w:rPr>
        <w:t xml:space="preserve">as closely as possible </w:t>
      </w:r>
      <w:r w:rsidR="001F76E3" w:rsidRPr="00D939CC">
        <w:rPr>
          <w:color w:val="000000" w:themeColor="text1"/>
          <w:sz w:val="22"/>
          <w:szCs w:val="22"/>
        </w:rPr>
        <w:t xml:space="preserve">the existing ratio </w:t>
      </w:r>
      <w:r w:rsidRPr="00D939CC">
        <w:rPr>
          <w:color w:val="000000" w:themeColor="text1"/>
          <w:sz w:val="22"/>
          <w:szCs w:val="22"/>
        </w:rPr>
        <w:t>between</w:t>
      </w:r>
      <w:r w:rsidR="007B5F34" w:rsidRPr="00D939CC">
        <w:rPr>
          <w:color w:val="000000" w:themeColor="text1"/>
          <w:sz w:val="22"/>
          <w:szCs w:val="22"/>
        </w:rPr>
        <w:t xml:space="preserve"> the </w:t>
      </w:r>
      <w:r w:rsidR="00D32993" w:rsidRPr="00D939CC">
        <w:rPr>
          <w:color w:val="000000" w:themeColor="text1"/>
          <w:sz w:val="22"/>
          <w:szCs w:val="22"/>
        </w:rPr>
        <w:t>top-up</w:t>
      </w:r>
      <w:r w:rsidR="009428D3" w:rsidRPr="00D939CC">
        <w:rPr>
          <w:color w:val="000000" w:themeColor="text1"/>
          <w:sz w:val="22"/>
          <w:szCs w:val="22"/>
        </w:rPr>
        <w:t xml:space="preserve"> value</w:t>
      </w:r>
      <w:r w:rsidR="001F76E3" w:rsidRPr="00D939CC">
        <w:rPr>
          <w:color w:val="000000" w:themeColor="text1"/>
          <w:sz w:val="22"/>
          <w:szCs w:val="22"/>
        </w:rPr>
        <w:t xml:space="preserve"> allocated by</w:t>
      </w:r>
      <w:r w:rsidRPr="00D939CC">
        <w:rPr>
          <w:color w:val="000000" w:themeColor="text1"/>
          <w:sz w:val="22"/>
          <w:szCs w:val="22"/>
        </w:rPr>
        <w:t xml:space="preserve"> B</w:t>
      </w:r>
      <w:r w:rsidR="001F76E3" w:rsidRPr="00D939CC">
        <w:rPr>
          <w:color w:val="000000" w:themeColor="text1"/>
          <w:sz w:val="22"/>
          <w:szCs w:val="22"/>
        </w:rPr>
        <w:t xml:space="preserve">and 3H versus </w:t>
      </w:r>
      <w:r w:rsidR="009428D3" w:rsidRPr="00D939CC">
        <w:rPr>
          <w:color w:val="000000" w:themeColor="text1"/>
          <w:sz w:val="22"/>
          <w:szCs w:val="22"/>
        </w:rPr>
        <w:t xml:space="preserve">the value allocated </w:t>
      </w:r>
      <w:r w:rsidR="001F76E3" w:rsidRPr="00D939CC">
        <w:rPr>
          <w:color w:val="000000" w:themeColor="text1"/>
          <w:sz w:val="22"/>
          <w:szCs w:val="22"/>
        </w:rPr>
        <w:t>by</w:t>
      </w:r>
      <w:r w:rsidRPr="00D939CC">
        <w:rPr>
          <w:color w:val="000000" w:themeColor="text1"/>
          <w:sz w:val="22"/>
          <w:szCs w:val="22"/>
        </w:rPr>
        <w:t xml:space="preserve"> B</w:t>
      </w:r>
      <w:r w:rsidR="001F76E3" w:rsidRPr="00D939CC">
        <w:rPr>
          <w:color w:val="000000" w:themeColor="text1"/>
          <w:sz w:val="22"/>
          <w:szCs w:val="22"/>
        </w:rPr>
        <w:t xml:space="preserve">and 4L, </w:t>
      </w:r>
      <w:r w:rsidRPr="00D939CC">
        <w:rPr>
          <w:color w:val="000000" w:themeColor="text1"/>
          <w:sz w:val="22"/>
          <w:szCs w:val="22"/>
        </w:rPr>
        <w:t>so that the transition between Band 3 and Band 4</w:t>
      </w:r>
      <w:r w:rsidR="009428D3" w:rsidRPr="00D939CC">
        <w:rPr>
          <w:color w:val="000000" w:themeColor="text1"/>
          <w:sz w:val="22"/>
          <w:szCs w:val="22"/>
        </w:rPr>
        <w:t>,</w:t>
      </w:r>
      <w:r w:rsidRPr="00D939CC">
        <w:rPr>
          <w:color w:val="000000" w:themeColor="text1"/>
          <w:sz w:val="22"/>
          <w:szCs w:val="22"/>
        </w:rPr>
        <w:t xml:space="preserve"> a</w:t>
      </w:r>
      <w:r w:rsidR="00FB7F5F" w:rsidRPr="00D939CC">
        <w:rPr>
          <w:color w:val="000000" w:themeColor="text1"/>
          <w:sz w:val="22"/>
          <w:szCs w:val="22"/>
        </w:rPr>
        <w:t xml:space="preserve">s </w:t>
      </w:r>
      <w:r w:rsidR="00B63FC6" w:rsidRPr="00D939CC">
        <w:rPr>
          <w:color w:val="000000" w:themeColor="text1"/>
          <w:sz w:val="22"/>
          <w:szCs w:val="22"/>
        </w:rPr>
        <w:t xml:space="preserve">currently </w:t>
      </w:r>
      <w:r w:rsidR="00FB7F5F" w:rsidRPr="00D939CC">
        <w:rPr>
          <w:color w:val="000000" w:themeColor="text1"/>
          <w:sz w:val="22"/>
          <w:szCs w:val="22"/>
        </w:rPr>
        <w:t>appli</w:t>
      </w:r>
      <w:r w:rsidR="00B63FC6" w:rsidRPr="00D939CC">
        <w:rPr>
          <w:color w:val="000000" w:themeColor="text1"/>
          <w:sz w:val="22"/>
          <w:szCs w:val="22"/>
        </w:rPr>
        <w:t>ed</w:t>
      </w:r>
      <w:r w:rsidR="009428D3" w:rsidRPr="00D939CC">
        <w:rPr>
          <w:color w:val="000000" w:themeColor="text1"/>
          <w:sz w:val="22"/>
          <w:szCs w:val="22"/>
        </w:rPr>
        <w:t xml:space="preserve"> </w:t>
      </w:r>
      <w:r w:rsidR="00DB0C83" w:rsidRPr="00D939CC">
        <w:rPr>
          <w:color w:val="000000" w:themeColor="text1"/>
          <w:sz w:val="22"/>
          <w:szCs w:val="22"/>
        </w:rPr>
        <w:t>following</w:t>
      </w:r>
      <w:r w:rsidR="00076EDC" w:rsidRPr="00D939CC">
        <w:rPr>
          <w:color w:val="000000" w:themeColor="text1"/>
          <w:sz w:val="22"/>
          <w:szCs w:val="22"/>
        </w:rPr>
        <w:t xml:space="preserve"> </w:t>
      </w:r>
      <w:r w:rsidR="009428D3" w:rsidRPr="00D939CC">
        <w:rPr>
          <w:color w:val="000000" w:themeColor="text1"/>
          <w:sz w:val="22"/>
          <w:szCs w:val="22"/>
        </w:rPr>
        <w:t>the guiding calculations that our</w:t>
      </w:r>
      <w:r w:rsidR="00B47EA8" w:rsidRPr="00D939CC">
        <w:rPr>
          <w:color w:val="000000" w:themeColor="text1"/>
          <w:sz w:val="22"/>
          <w:szCs w:val="22"/>
        </w:rPr>
        <w:t xml:space="preserve"> m</w:t>
      </w:r>
      <w:r w:rsidR="009428D3" w:rsidRPr="00D939CC">
        <w:rPr>
          <w:color w:val="000000" w:themeColor="text1"/>
          <w:sz w:val="22"/>
          <w:szCs w:val="22"/>
        </w:rPr>
        <w:t>odel was originally established</w:t>
      </w:r>
      <w:r w:rsidR="00FB7F5F" w:rsidRPr="00D939CC">
        <w:rPr>
          <w:color w:val="000000" w:themeColor="text1"/>
          <w:sz w:val="22"/>
          <w:szCs w:val="22"/>
        </w:rPr>
        <w:t xml:space="preserve"> on,</w:t>
      </w:r>
      <w:r w:rsidR="00B63FC6" w:rsidRPr="00D939CC">
        <w:rPr>
          <w:color w:val="000000" w:themeColor="text1"/>
          <w:sz w:val="22"/>
          <w:szCs w:val="22"/>
        </w:rPr>
        <w:t xml:space="preserve"> is</w:t>
      </w:r>
      <w:r w:rsidR="00B47EA8" w:rsidRPr="00D939CC">
        <w:rPr>
          <w:color w:val="000000" w:themeColor="text1"/>
          <w:sz w:val="22"/>
          <w:szCs w:val="22"/>
        </w:rPr>
        <w:t xml:space="preserve"> retained</w:t>
      </w:r>
      <w:r w:rsidRPr="00D939CC">
        <w:rPr>
          <w:color w:val="000000" w:themeColor="text1"/>
          <w:sz w:val="22"/>
          <w:szCs w:val="22"/>
        </w:rPr>
        <w:t xml:space="preserve">. </w:t>
      </w:r>
    </w:p>
    <w:p w:rsidR="00076EDC" w:rsidRPr="00BB0E8A" w:rsidRDefault="00076EDC" w:rsidP="00076EDC">
      <w:pPr>
        <w:pStyle w:val="ListParagraph"/>
        <w:ind w:left="360"/>
        <w:jc w:val="both"/>
        <w:rPr>
          <w:color w:val="FF0000"/>
          <w:sz w:val="22"/>
          <w:szCs w:val="22"/>
        </w:rPr>
      </w:pPr>
    </w:p>
    <w:p w:rsidR="00FE67C9" w:rsidRPr="00D939CC" w:rsidRDefault="001F76E3" w:rsidP="00076EDC">
      <w:pPr>
        <w:pStyle w:val="ListParagraph"/>
        <w:ind w:left="360"/>
        <w:jc w:val="both"/>
        <w:rPr>
          <w:color w:val="000000" w:themeColor="text1"/>
          <w:sz w:val="22"/>
          <w:szCs w:val="22"/>
        </w:rPr>
      </w:pPr>
      <w:r w:rsidRPr="00D939CC">
        <w:rPr>
          <w:color w:val="000000" w:themeColor="text1"/>
          <w:sz w:val="22"/>
          <w:szCs w:val="22"/>
        </w:rPr>
        <w:t>S</w:t>
      </w:r>
      <w:r w:rsidR="00D53DBF" w:rsidRPr="00D939CC">
        <w:rPr>
          <w:color w:val="000000" w:themeColor="text1"/>
          <w:sz w:val="22"/>
          <w:szCs w:val="22"/>
        </w:rPr>
        <w:t xml:space="preserve">econdly, that </w:t>
      </w:r>
      <w:r w:rsidR="00A044F8" w:rsidRPr="00D939CC">
        <w:rPr>
          <w:color w:val="000000" w:themeColor="text1"/>
          <w:sz w:val="22"/>
          <w:szCs w:val="22"/>
        </w:rPr>
        <w:t xml:space="preserve">it </w:t>
      </w:r>
      <w:r w:rsidR="00D53DBF" w:rsidRPr="00D939CC">
        <w:rPr>
          <w:color w:val="000000" w:themeColor="text1"/>
          <w:sz w:val="22"/>
          <w:szCs w:val="22"/>
        </w:rPr>
        <w:t>is</w:t>
      </w:r>
      <w:r w:rsidR="00076EDC" w:rsidRPr="00D939CC">
        <w:rPr>
          <w:color w:val="000000" w:themeColor="text1"/>
          <w:sz w:val="22"/>
          <w:szCs w:val="22"/>
        </w:rPr>
        <w:t xml:space="preserve"> important </w:t>
      </w:r>
      <w:r w:rsidRPr="00D939CC">
        <w:rPr>
          <w:color w:val="000000" w:themeColor="text1"/>
          <w:sz w:val="22"/>
          <w:szCs w:val="22"/>
        </w:rPr>
        <w:t>to set the uplifts</w:t>
      </w:r>
      <w:r w:rsidR="00D53DBF" w:rsidRPr="00D939CC">
        <w:rPr>
          <w:color w:val="000000" w:themeColor="text1"/>
          <w:sz w:val="22"/>
          <w:szCs w:val="22"/>
        </w:rPr>
        <w:t xml:space="preserve"> to Band 4</w:t>
      </w:r>
      <w:r w:rsidR="001E00CE" w:rsidRPr="00D939CC">
        <w:rPr>
          <w:color w:val="000000" w:themeColor="text1"/>
          <w:sz w:val="22"/>
          <w:szCs w:val="22"/>
        </w:rPr>
        <w:t xml:space="preserve"> </w:t>
      </w:r>
      <w:r w:rsidR="00D32993" w:rsidRPr="00D939CC">
        <w:rPr>
          <w:color w:val="000000" w:themeColor="text1"/>
          <w:sz w:val="22"/>
          <w:szCs w:val="22"/>
        </w:rPr>
        <w:t>top-up</w:t>
      </w:r>
      <w:r w:rsidR="001E00CE" w:rsidRPr="00D939CC">
        <w:rPr>
          <w:color w:val="000000" w:themeColor="text1"/>
          <w:sz w:val="22"/>
          <w:szCs w:val="22"/>
        </w:rPr>
        <w:t xml:space="preserve"> values</w:t>
      </w:r>
      <w:r w:rsidR="00076EDC" w:rsidRPr="00D939CC">
        <w:rPr>
          <w:color w:val="000000" w:themeColor="text1"/>
          <w:sz w:val="22"/>
          <w:szCs w:val="22"/>
        </w:rPr>
        <w:t xml:space="preserve"> </w:t>
      </w:r>
      <w:r w:rsidRPr="00D939CC">
        <w:rPr>
          <w:color w:val="000000" w:themeColor="text1"/>
          <w:sz w:val="22"/>
          <w:szCs w:val="22"/>
        </w:rPr>
        <w:t>with reference</w:t>
      </w:r>
      <w:r w:rsidR="001E00CE" w:rsidRPr="00D939CC">
        <w:rPr>
          <w:color w:val="000000" w:themeColor="text1"/>
          <w:sz w:val="22"/>
          <w:szCs w:val="22"/>
        </w:rPr>
        <w:t xml:space="preserve"> to</w:t>
      </w:r>
      <w:r w:rsidRPr="00D939CC">
        <w:rPr>
          <w:color w:val="000000" w:themeColor="text1"/>
          <w:sz w:val="22"/>
          <w:szCs w:val="22"/>
        </w:rPr>
        <w:t xml:space="preserve"> the full £10,000 place-element value</w:t>
      </w:r>
      <w:r w:rsidR="00076EDC" w:rsidRPr="00D939CC">
        <w:rPr>
          <w:color w:val="000000" w:themeColor="text1"/>
          <w:sz w:val="22"/>
          <w:szCs w:val="22"/>
        </w:rPr>
        <w:t xml:space="preserve">, not just to the </w:t>
      </w:r>
      <w:r w:rsidR="00DB0C83" w:rsidRPr="00D939CC">
        <w:rPr>
          <w:color w:val="000000" w:themeColor="text1"/>
          <w:sz w:val="22"/>
          <w:szCs w:val="22"/>
        </w:rPr>
        <w:t xml:space="preserve">Element 2 </w:t>
      </w:r>
      <w:r w:rsidR="00076EDC" w:rsidRPr="00D939CC">
        <w:rPr>
          <w:color w:val="000000" w:themeColor="text1"/>
          <w:sz w:val="22"/>
          <w:szCs w:val="22"/>
        </w:rPr>
        <w:t>£6,0</w:t>
      </w:r>
      <w:r w:rsidR="00DB0C83" w:rsidRPr="00D939CC">
        <w:rPr>
          <w:color w:val="000000" w:themeColor="text1"/>
          <w:sz w:val="22"/>
          <w:szCs w:val="22"/>
        </w:rPr>
        <w:t>00 value. This is</w:t>
      </w:r>
      <w:r w:rsidR="00D53DBF" w:rsidRPr="00D939CC">
        <w:rPr>
          <w:color w:val="000000" w:themeColor="text1"/>
          <w:sz w:val="22"/>
          <w:szCs w:val="22"/>
        </w:rPr>
        <w:t xml:space="preserve"> so that we consider the total funding available per occupied place in specialist settings.</w:t>
      </w:r>
      <w:r w:rsidRPr="00D939CC">
        <w:rPr>
          <w:color w:val="000000" w:themeColor="text1"/>
          <w:sz w:val="22"/>
          <w:szCs w:val="22"/>
        </w:rPr>
        <w:t xml:space="preserve"> The vast majority of children and young people with EHCP</w:t>
      </w:r>
      <w:r w:rsidR="00076EDC" w:rsidRPr="00D939CC">
        <w:rPr>
          <w:color w:val="000000" w:themeColor="text1"/>
          <w:sz w:val="22"/>
          <w:szCs w:val="22"/>
        </w:rPr>
        <w:t>s</w:t>
      </w:r>
      <w:r w:rsidR="007B5F34" w:rsidRPr="00D939CC">
        <w:rPr>
          <w:color w:val="000000" w:themeColor="text1"/>
          <w:sz w:val="22"/>
          <w:szCs w:val="22"/>
        </w:rPr>
        <w:t xml:space="preserve"> assessed at</w:t>
      </w:r>
      <w:r w:rsidRPr="00D939CC">
        <w:rPr>
          <w:color w:val="000000" w:themeColor="text1"/>
          <w:sz w:val="22"/>
          <w:szCs w:val="22"/>
        </w:rPr>
        <w:t xml:space="preserve"> </w:t>
      </w:r>
      <w:r w:rsidR="00FE67C9" w:rsidRPr="00D939CC">
        <w:rPr>
          <w:color w:val="000000" w:themeColor="text1"/>
          <w:sz w:val="22"/>
          <w:szCs w:val="22"/>
        </w:rPr>
        <w:t xml:space="preserve">Band 4 </w:t>
      </w:r>
      <w:r w:rsidRPr="00D939CC">
        <w:rPr>
          <w:color w:val="000000" w:themeColor="text1"/>
          <w:sz w:val="22"/>
          <w:szCs w:val="22"/>
        </w:rPr>
        <w:t>are placed</w:t>
      </w:r>
      <w:r w:rsidR="00FE67C9" w:rsidRPr="00D939CC">
        <w:rPr>
          <w:color w:val="000000" w:themeColor="text1"/>
          <w:sz w:val="22"/>
          <w:szCs w:val="22"/>
        </w:rPr>
        <w:t xml:space="preserve"> in special schools</w:t>
      </w:r>
      <w:r w:rsidR="00377B90" w:rsidRPr="00D939CC">
        <w:rPr>
          <w:color w:val="000000" w:themeColor="text1"/>
          <w:sz w:val="22"/>
          <w:szCs w:val="22"/>
        </w:rPr>
        <w:t>,</w:t>
      </w:r>
      <w:r w:rsidR="00FE67C9" w:rsidRPr="00D939CC">
        <w:rPr>
          <w:color w:val="000000" w:themeColor="text1"/>
          <w:sz w:val="22"/>
          <w:szCs w:val="22"/>
        </w:rPr>
        <w:t xml:space="preserve"> </w:t>
      </w:r>
      <w:r w:rsidR="007B5F34" w:rsidRPr="00D939CC">
        <w:rPr>
          <w:color w:val="000000" w:themeColor="text1"/>
          <w:sz w:val="22"/>
          <w:szCs w:val="22"/>
        </w:rPr>
        <w:t xml:space="preserve">in </w:t>
      </w:r>
      <w:r w:rsidR="00FE67C9" w:rsidRPr="00D939CC">
        <w:rPr>
          <w:color w:val="000000" w:themeColor="text1"/>
          <w:sz w:val="22"/>
          <w:szCs w:val="22"/>
        </w:rPr>
        <w:t xml:space="preserve">special school academies and in resourced provisions. </w:t>
      </w:r>
      <w:r w:rsidRPr="00D939CC">
        <w:rPr>
          <w:color w:val="000000" w:themeColor="text1"/>
          <w:sz w:val="22"/>
          <w:szCs w:val="22"/>
        </w:rPr>
        <w:t>These settings receive £10,000 per occupied place.</w:t>
      </w:r>
      <w:r w:rsidR="001E00CE" w:rsidRPr="00D939CC">
        <w:rPr>
          <w:color w:val="000000" w:themeColor="text1"/>
          <w:sz w:val="22"/>
          <w:szCs w:val="22"/>
        </w:rPr>
        <w:t xml:space="preserve"> W</w:t>
      </w:r>
      <w:r w:rsidR="00076EDC" w:rsidRPr="00D939CC">
        <w:rPr>
          <w:color w:val="000000" w:themeColor="text1"/>
          <w:sz w:val="22"/>
          <w:szCs w:val="22"/>
        </w:rPr>
        <w:t xml:space="preserve">e propose </w:t>
      </w:r>
      <w:r w:rsidR="007B5F34" w:rsidRPr="00D939CC">
        <w:rPr>
          <w:color w:val="000000" w:themeColor="text1"/>
          <w:sz w:val="22"/>
          <w:szCs w:val="22"/>
        </w:rPr>
        <w:t xml:space="preserve">to uplift the </w:t>
      </w:r>
      <w:r w:rsidR="00D32993" w:rsidRPr="00D939CC">
        <w:rPr>
          <w:color w:val="000000" w:themeColor="text1"/>
          <w:sz w:val="22"/>
          <w:szCs w:val="22"/>
        </w:rPr>
        <w:t>top-up</w:t>
      </w:r>
      <w:r w:rsidR="007B5F34" w:rsidRPr="00D939CC">
        <w:rPr>
          <w:color w:val="000000" w:themeColor="text1"/>
          <w:sz w:val="22"/>
          <w:szCs w:val="22"/>
        </w:rPr>
        <w:t xml:space="preserve"> value</w:t>
      </w:r>
      <w:r w:rsidR="00377B90" w:rsidRPr="00D939CC">
        <w:rPr>
          <w:color w:val="000000" w:themeColor="text1"/>
          <w:sz w:val="22"/>
          <w:szCs w:val="22"/>
        </w:rPr>
        <w:t xml:space="preserve"> at the bottom of Band 4,</w:t>
      </w:r>
      <w:r w:rsidR="007B5F34" w:rsidRPr="00D939CC">
        <w:rPr>
          <w:color w:val="000000" w:themeColor="text1"/>
          <w:sz w:val="22"/>
          <w:szCs w:val="22"/>
        </w:rPr>
        <w:t xml:space="preserve"> </w:t>
      </w:r>
      <w:r w:rsidR="00A31D7E" w:rsidRPr="00D939CC">
        <w:rPr>
          <w:color w:val="000000" w:themeColor="text1"/>
          <w:sz w:val="22"/>
          <w:szCs w:val="22"/>
        </w:rPr>
        <w:t>at</w:t>
      </w:r>
      <w:r w:rsidR="007B5F34" w:rsidRPr="00D939CC">
        <w:rPr>
          <w:color w:val="000000" w:themeColor="text1"/>
          <w:sz w:val="22"/>
          <w:szCs w:val="22"/>
        </w:rPr>
        <w:t xml:space="preserve"> Band 4L</w:t>
      </w:r>
      <w:r w:rsidR="009D739A" w:rsidRPr="00D939CC">
        <w:rPr>
          <w:color w:val="000000" w:themeColor="text1"/>
          <w:sz w:val="22"/>
          <w:szCs w:val="22"/>
        </w:rPr>
        <w:t>,</w:t>
      </w:r>
      <w:r w:rsidR="007B5F34" w:rsidRPr="00D939CC">
        <w:rPr>
          <w:color w:val="000000" w:themeColor="text1"/>
          <w:sz w:val="22"/>
          <w:szCs w:val="22"/>
        </w:rPr>
        <w:t xml:space="preserve"> so that, when </w:t>
      </w:r>
      <w:r w:rsidR="00076EDC" w:rsidRPr="00D939CC">
        <w:rPr>
          <w:color w:val="000000" w:themeColor="text1"/>
          <w:sz w:val="22"/>
          <w:szCs w:val="22"/>
        </w:rPr>
        <w:t>this</w:t>
      </w:r>
      <w:r w:rsidR="00377B90" w:rsidRPr="00D939CC">
        <w:rPr>
          <w:color w:val="000000" w:themeColor="text1"/>
          <w:sz w:val="22"/>
          <w:szCs w:val="22"/>
        </w:rPr>
        <w:t xml:space="preserve"> </w:t>
      </w:r>
      <w:r w:rsidR="00D32993" w:rsidRPr="00D939CC">
        <w:rPr>
          <w:color w:val="000000" w:themeColor="text1"/>
          <w:sz w:val="22"/>
          <w:szCs w:val="22"/>
        </w:rPr>
        <w:t>top-up</w:t>
      </w:r>
      <w:r w:rsidR="001E00CE" w:rsidRPr="00D939CC">
        <w:rPr>
          <w:color w:val="000000" w:themeColor="text1"/>
          <w:sz w:val="22"/>
          <w:szCs w:val="22"/>
        </w:rPr>
        <w:t xml:space="preserve"> is added to the £10,000 place-element</w:t>
      </w:r>
      <w:r w:rsidR="00076EDC" w:rsidRPr="00D939CC">
        <w:rPr>
          <w:color w:val="000000" w:themeColor="text1"/>
          <w:sz w:val="22"/>
          <w:szCs w:val="22"/>
        </w:rPr>
        <w:t xml:space="preserve"> figure, </w:t>
      </w:r>
      <w:r w:rsidR="007B5F34" w:rsidRPr="00D939CC">
        <w:rPr>
          <w:color w:val="000000" w:themeColor="text1"/>
          <w:sz w:val="22"/>
          <w:szCs w:val="22"/>
        </w:rPr>
        <w:t>the total</w:t>
      </w:r>
      <w:r w:rsidR="00377B90" w:rsidRPr="00D939CC">
        <w:rPr>
          <w:color w:val="000000" w:themeColor="text1"/>
          <w:sz w:val="22"/>
          <w:szCs w:val="22"/>
        </w:rPr>
        <w:t xml:space="preserve"> value of</w:t>
      </w:r>
      <w:r w:rsidR="007B5F34" w:rsidRPr="00D939CC">
        <w:rPr>
          <w:color w:val="000000" w:themeColor="text1"/>
          <w:sz w:val="22"/>
          <w:szCs w:val="22"/>
        </w:rPr>
        <w:t xml:space="preserve"> funding allocated per occupied place increases </w:t>
      </w:r>
      <w:r w:rsidR="00D939CC" w:rsidRPr="00D939CC">
        <w:rPr>
          <w:color w:val="000000" w:themeColor="text1"/>
          <w:sz w:val="22"/>
          <w:szCs w:val="22"/>
        </w:rPr>
        <w:t>by 1</w:t>
      </w:r>
      <w:r w:rsidR="00076EDC" w:rsidRPr="00D939CC">
        <w:rPr>
          <w:color w:val="000000" w:themeColor="text1"/>
          <w:sz w:val="22"/>
          <w:szCs w:val="22"/>
        </w:rPr>
        <w:t>.0%</w:t>
      </w:r>
      <w:r w:rsidR="00A31D7E" w:rsidRPr="00D939CC">
        <w:rPr>
          <w:color w:val="000000" w:themeColor="text1"/>
          <w:sz w:val="22"/>
          <w:szCs w:val="22"/>
        </w:rPr>
        <w:t xml:space="preserve"> o</w:t>
      </w:r>
      <w:r w:rsidR="00D939CC" w:rsidRPr="00D939CC">
        <w:rPr>
          <w:color w:val="000000" w:themeColor="text1"/>
          <w:sz w:val="22"/>
          <w:szCs w:val="22"/>
        </w:rPr>
        <w:t>n 2022/23</w:t>
      </w:r>
      <w:r w:rsidR="00076EDC" w:rsidRPr="00D939CC">
        <w:rPr>
          <w:color w:val="000000" w:themeColor="text1"/>
          <w:sz w:val="22"/>
          <w:szCs w:val="22"/>
        </w:rPr>
        <w:t xml:space="preserve">. This ensures that </w:t>
      </w:r>
      <w:r w:rsidR="001E00CE" w:rsidRPr="00D939CC">
        <w:rPr>
          <w:color w:val="000000" w:themeColor="text1"/>
          <w:sz w:val="22"/>
          <w:szCs w:val="22"/>
        </w:rPr>
        <w:t>the total value o</w:t>
      </w:r>
      <w:r w:rsidR="00076EDC" w:rsidRPr="00D939CC">
        <w:rPr>
          <w:color w:val="000000" w:themeColor="text1"/>
          <w:sz w:val="22"/>
          <w:szCs w:val="22"/>
        </w:rPr>
        <w:t>f</w:t>
      </w:r>
      <w:r w:rsidR="00A31D7E" w:rsidRPr="00D939CC">
        <w:rPr>
          <w:color w:val="000000" w:themeColor="text1"/>
          <w:sz w:val="22"/>
          <w:szCs w:val="22"/>
        </w:rPr>
        <w:t xml:space="preserve"> </w:t>
      </w:r>
      <w:r w:rsidR="00076EDC" w:rsidRPr="00D939CC">
        <w:rPr>
          <w:color w:val="000000" w:themeColor="text1"/>
          <w:sz w:val="22"/>
          <w:szCs w:val="22"/>
        </w:rPr>
        <w:t>funding that is allocated per occupied place</w:t>
      </w:r>
      <w:r w:rsidR="00A31D7E" w:rsidRPr="00D939CC">
        <w:rPr>
          <w:color w:val="000000" w:themeColor="text1"/>
          <w:sz w:val="22"/>
          <w:szCs w:val="22"/>
        </w:rPr>
        <w:t xml:space="preserve"> at Band 4L</w:t>
      </w:r>
      <w:r w:rsidR="001E00CE" w:rsidRPr="00D939CC">
        <w:rPr>
          <w:color w:val="000000" w:themeColor="text1"/>
          <w:sz w:val="22"/>
          <w:szCs w:val="22"/>
        </w:rPr>
        <w:t xml:space="preserve"> </w:t>
      </w:r>
      <w:r w:rsidR="007B5F34" w:rsidRPr="00D939CC">
        <w:rPr>
          <w:color w:val="000000" w:themeColor="text1"/>
          <w:sz w:val="22"/>
          <w:szCs w:val="22"/>
        </w:rPr>
        <w:t xml:space="preserve">increases </w:t>
      </w:r>
      <w:r w:rsidR="001E00CE" w:rsidRPr="00D939CC">
        <w:rPr>
          <w:color w:val="000000" w:themeColor="text1"/>
          <w:sz w:val="22"/>
          <w:szCs w:val="22"/>
        </w:rPr>
        <w:t>in line with the</w:t>
      </w:r>
      <w:r w:rsidR="00D939CC" w:rsidRPr="00D939CC">
        <w:rPr>
          <w:color w:val="000000" w:themeColor="text1"/>
          <w:sz w:val="22"/>
          <w:szCs w:val="22"/>
        </w:rPr>
        <w:t xml:space="preserve"> 1</w:t>
      </w:r>
      <w:r w:rsidR="007B5F34" w:rsidRPr="00D939CC">
        <w:rPr>
          <w:color w:val="000000" w:themeColor="text1"/>
          <w:sz w:val="22"/>
          <w:szCs w:val="22"/>
        </w:rPr>
        <w:t>.0%</w:t>
      </w:r>
      <w:r w:rsidR="00A31D7E" w:rsidRPr="00D939CC">
        <w:rPr>
          <w:color w:val="000000" w:themeColor="text1"/>
          <w:sz w:val="22"/>
          <w:szCs w:val="22"/>
        </w:rPr>
        <w:t xml:space="preserve"> of</w:t>
      </w:r>
      <w:r w:rsidR="007B5F34" w:rsidRPr="00D939CC">
        <w:rPr>
          <w:color w:val="000000" w:themeColor="text1"/>
          <w:sz w:val="22"/>
          <w:szCs w:val="22"/>
        </w:rPr>
        <w:t xml:space="preserve"> the</w:t>
      </w:r>
      <w:r w:rsidR="001E00CE" w:rsidRPr="00D939CC">
        <w:rPr>
          <w:color w:val="000000" w:themeColor="text1"/>
          <w:sz w:val="22"/>
          <w:szCs w:val="22"/>
        </w:rPr>
        <w:t xml:space="preserve"> B</w:t>
      </w:r>
      <w:r w:rsidR="00076EDC" w:rsidRPr="00D939CC">
        <w:rPr>
          <w:color w:val="000000" w:themeColor="text1"/>
          <w:sz w:val="22"/>
          <w:szCs w:val="22"/>
        </w:rPr>
        <w:t>and 3 M</w:t>
      </w:r>
      <w:r w:rsidR="001E00CE" w:rsidRPr="00D939CC">
        <w:rPr>
          <w:color w:val="000000" w:themeColor="text1"/>
          <w:sz w:val="22"/>
          <w:szCs w:val="22"/>
        </w:rPr>
        <w:t>odel. T</w:t>
      </w:r>
      <w:r w:rsidR="00B63FC6" w:rsidRPr="00D939CC">
        <w:rPr>
          <w:color w:val="000000" w:themeColor="text1"/>
          <w:sz w:val="22"/>
          <w:szCs w:val="22"/>
        </w:rPr>
        <w:t>he</w:t>
      </w:r>
      <w:r w:rsidR="00D939CC" w:rsidRPr="00D939CC">
        <w:rPr>
          <w:color w:val="000000" w:themeColor="text1"/>
          <w:sz w:val="22"/>
          <w:szCs w:val="22"/>
        </w:rPr>
        <w:t xml:space="preserve"> 1</w:t>
      </w:r>
      <w:r w:rsidR="001E00CE" w:rsidRPr="00D939CC">
        <w:rPr>
          <w:color w:val="000000" w:themeColor="text1"/>
          <w:sz w:val="22"/>
          <w:szCs w:val="22"/>
        </w:rPr>
        <w:t>.0% uplift</w:t>
      </w:r>
      <w:r w:rsidR="00B63FC6" w:rsidRPr="00D939CC">
        <w:rPr>
          <w:color w:val="000000" w:themeColor="text1"/>
          <w:sz w:val="22"/>
          <w:szCs w:val="22"/>
        </w:rPr>
        <w:t xml:space="preserve"> per occupied place</w:t>
      </w:r>
      <w:r w:rsidR="00165132" w:rsidRPr="00D939CC">
        <w:rPr>
          <w:color w:val="000000" w:themeColor="text1"/>
          <w:sz w:val="22"/>
          <w:szCs w:val="22"/>
        </w:rPr>
        <w:t xml:space="preserve"> at</w:t>
      </w:r>
      <w:r w:rsidR="001E00CE" w:rsidRPr="00D939CC">
        <w:rPr>
          <w:color w:val="000000" w:themeColor="text1"/>
          <w:sz w:val="22"/>
          <w:szCs w:val="22"/>
        </w:rPr>
        <w:t xml:space="preserve"> Band 4L is demonstrated in column (3)</w:t>
      </w:r>
      <w:r w:rsidR="00D92075" w:rsidRPr="00D939CC">
        <w:rPr>
          <w:color w:val="000000" w:themeColor="text1"/>
          <w:sz w:val="22"/>
          <w:szCs w:val="22"/>
        </w:rPr>
        <w:t xml:space="preserve"> in the table in paragraph 6.10</w:t>
      </w:r>
      <w:r w:rsidR="001E00CE" w:rsidRPr="00D939CC">
        <w:rPr>
          <w:color w:val="000000" w:themeColor="text1"/>
          <w:sz w:val="22"/>
          <w:szCs w:val="22"/>
        </w:rPr>
        <w:t xml:space="preserve">. </w:t>
      </w:r>
      <w:r w:rsidR="00165132" w:rsidRPr="00D939CC">
        <w:rPr>
          <w:color w:val="000000" w:themeColor="text1"/>
          <w:sz w:val="22"/>
          <w:szCs w:val="22"/>
        </w:rPr>
        <w:t>T</w:t>
      </w:r>
      <w:r w:rsidR="00B63FC6" w:rsidRPr="00D939CC">
        <w:rPr>
          <w:color w:val="000000" w:themeColor="text1"/>
          <w:sz w:val="22"/>
          <w:szCs w:val="22"/>
        </w:rPr>
        <w:t>he</w:t>
      </w:r>
      <w:r w:rsidR="001E00CE" w:rsidRPr="00D939CC">
        <w:rPr>
          <w:color w:val="000000" w:themeColor="text1"/>
          <w:sz w:val="22"/>
          <w:szCs w:val="22"/>
        </w:rPr>
        <w:t xml:space="preserve"> calculations</w:t>
      </w:r>
      <w:r w:rsidR="00DB0C83" w:rsidRPr="00D939CC">
        <w:rPr>
          <w:color w:val="000000" w:themeColor="text1"/>
          <w:sz w:val="22"/>
          <w:szCs w:val="22"/>
        </w:rPr>
        <w:t xml:space="preserve"> within the m</w:t>
      </w:r>
      <w:r w:rsidR="00B63FC6" w:rsidRPr="00D939CC">
        <w:rPr>
          <w:color w:val="000000" w:themeColor="text1"/>
          <w:sz w:val="22"/>
          <w:szCs w:val="22"/>
        </w:rPr>
        <w:t>odel</w:t>
      </w:r>
      <w:r w:rsidR="00DB0C83" w:rsidRPr="00D939CC">
        <w:rPr>
          <w:color w:val="000000" w:themeColor="text1"/>
          <w:sz w:val="22"/>
          <w:szCs w:val="22"/>
        </w:rPr>
        <w:t>,</w:t>
      </w:r>
      <w:r w:rsidR="001E00CE" w:rsidRPr="00D939CC">
        <w:rPr>
          <w:color w:val="000000" w:themeColor="text1"/>
          <w:sz w:val="22"/>
          <w:szCs w:val="22"/>
        </w:rPr>
        <w:t xml:space="preserve"> that form the basis of </w:t>
      </w:r>
      <w:r w:rsidR="00B63FC6" w:rsidRPr="00D939CC">
        <w:rPr>
          <w:color w:val="000000" w:themeColor="text1"/>
          <w:sz w:val="22"/>
          <w:szCs w:val="22"/>
        </w:rPr>
        <w:t xml:space="preserve">the </w:t>
      </w:r>
      <w:r w:rsidR="001E00CE" w:rsidRPr="00D939CC">
        <w:rPr>
          <w:color w:val="000000" w:themeColor="text1"/>
          <w:sz w:val="22"/>
          <w:szCs w:val="22"/>
        </w:rPr>
        <w:t>Ba</w:t>
      </w:r>
      <w:r w:rsidR="00B63FC6" w:rsidRPr="00D939CC">
        <w:rPr>
          <w:color w:val="000000" w:themeColor="text1"/>
          <w:sz w:val="22"/>
          <w:szCs w:val="22"/>
        </w:rPr>
        <w:t>nd 4 values</w:t>
      </w:r>
      <w:r w:rsidR="00DB0C83" w:rsidRPr="00D939CC">
        <w:rPr>
          <w:color w:val="000000" w:themeColor="text1"/>
          <w:sz w:val="22"/>
          <w:szCs w:val="22"/>
        </w:rPr>
        <w:t>,</w:t>
      </w:r>
      <w:r w:rsidR="00B63FC6" w:rsidRPr="00D939CC">
        <w:rPr>
          <w:color w:val="000000" w:themeColor="text1"/>
          <w:sz w:val="22"/>
          <w:szCs w:val="22"/>
        </w:rPr>
        <w:t xml:space="preserve"> then adjust</w:t>
      </w:r>
      <w:r w:rsidR="00165132" w:rsidRPr="00D939CC">
        <w:rPr>
          <w:color w:val="000000" w:themeColor="text1"/>
          <w:sz w:val="22"/>
          <w:szCs w:val="22"/>
        </w:rPr>
        <w:t xml:space="preserve"> from the Band 4L</w:t>
      </w:r>
      <w:r w:rsidR="00B63FC6" w:rsidRPr="00D939CC">
        <w:rPr>
          <w:color w:val="000000" w:themeColor="text1"/>
          <w:sz w:val="22"/>
          <w:szCs w:val="22"/>
        </w:rPr>
        <w:t xml:space="preserve"> reference point</w:t>
      </w:r>
      <w:r w:rsidR="00D939CC" w:rsidRPr="00D939CC">
        <w:rPr>
          <w:color w:val="000000" w:themeColor="text1"/>
          <w:sz w:val="22"/>
          <w:szCs w:val="22"/>
        </w:rPr>
        <w:t xml:space="preserve"> to provide slightly higher</w:t>
      </w:r>
      <w:r w:rsidR="00165132" w:rsidRPr="00D939CC">
        <w:rPr>
          <w:color w:val="000000" w:themeColor="text1"/>
          <w:sz w:val="22"/>
          <w:szCs w:val="22"/>
        </w:rPr>
        <w:t xml:space="preserve"> increases at</w:t>
      </w:r>
      <w:r w:rsidR="001E00CE" w:rsidRPr="00D939CC">
        <w:rPr>
          <w:color w:val="000000" w:themeColor="text1"/>
          <w:sz w:val="22"/>
          <w:szCs w:val="22"/>
        </w:rPr>
        <w:t xml:space="preserve"> B</w:t>
      </w:r>
      <w:r w:rsidR="002558F0" w:rsidRPr="00D939CC">
        <w:rPr>
          <w:color w:val="000000" w:themeColor="text1"/>
          <w:sz w:val="22"/>
          <w:szCs w:val="22"/>
        </w:rPr>
        <w:t>and 4</w:t>
      </w:r>
      <w:r w:rsidR="00D939CC">
        <w:rPr>
          <w:color w:val="000000" w:themeColor="text1"/>
          <w:sz w:val="22"/>
          <w:szCs w:val="22"/>
        </w:rPr>
        <w:t>M and</w:t>
      </w:r>
      <w:r w:rsidR="00D939CC" w:rsidRPr="00D939CC">
        <w:rPr>
          <w:color w:val="000000" w:themeColor="text1"/>
          <w:sz w:val="22"/>
          <w:szCs w:val="22"/>
        </w:rPr>
        <w:t xml:space="preserve"> </w:t>
      </w:r>
      <w:r w:rsidR="001E00CE" w:rsidRPr="00D939CC">
        <w:rPr>
          <w:color w:val="000000" w:themeColor="text1"/>
          <w:sz w:val="22"/>
          <w:szCs w:val="22"/>
        </w:rPr>
        <w:t>Band 4H.</w:t>
      </w:r>
    </w:p>
    <w:p w:rsidR="00BB0F19" w:rsidRPr="00BB0E8A" w:rsidRDefault="00BB0F19" w:rsidP="00F368E0">
      <w:pPr>
        <w:jc w:val="both"/>
        <w:rPr>
          <w:sz w:val="22"/>
          <w:szCs w:val="22"/>
        </w:rPr>
      </w:pPr>
    </w:p>
    <w:p w:rsidR="002558F0" w:rsidRPr="00BB0E8A" w:rsidRDefault="002558F0" w:rsidP="002558F0">
      <w:pPr>
        <w:pStyle w:val="ListParagraph"/>
        <w:numPr>
          <w:ilvl w:val="0"/>
          <w:numId w:val="20"/>
        </w:numPr>
        <w:jc w:val="both"/>
        <w:rPr>
          <w:sz w:val="22"/>
          <w:szCs w:val="22"/>
        </w:rPr>
      </w:pPr>
      <w:r w:rsidRPr="00BB0E8A">
        <w:rPr>
          <w:sz w:val="22"/>
          <w:szCs w:val="22"/>
        </w:rPr>
        <w:t xml:space="preserve">Although the values of uplifts proposed </w:t>
      </w:r>
      <w:r w:rsidR="00BB0E8A">
        <w:rPr>
          <w:sz w:val="22"/>
          <w:szCs w:val="22"/>
        </w:rPr>
        <w:t>for 2023/24</w:t>
      </w:r>
      <w:r w:rsidR="00A044F8" w:rsidRPr="00BB0E8A">
        <w:rPr>
          <w:sz w:val="22"/>
          <w:szCs w:val="22"/>
        </w:rPr>
        <w:t xml:space="preserve"> are different from those that </w:t>
      </w:r>
      <w:r w:rsidR="00BB0E8A">
        <w:rPr>
          <w:sz w:val="22"/>
          <w:szCs w:val="22"/>
        </w:rPr>
        <w:t>were applied for 2022/23</w:t>
      </w:r>
      <w:r w:rsidRPr="00BB0E8A">
        <w:rPr>
          <w:sz w:val="22"/>
          <w:szCs w:val="22"/>
        </w:rPr>
        <w:t>, we have approach th</w:t>
      </w:r>
      <w:r w:rsidR="00A044F8" w:rsidRPr="00BB0E8A">
        <w:rPr>
          <w:sz w:val="22"/>
          <w:szCs w:val="22"/>
        </w:rPr>
        <w:t xml:space="preserve">e process of uplifting </w:t>
      </w:r>
      <w:r w:rsidR="004B3F91" w:rsidRPr="00BB0E8A">
        <w:rPr>
          <w:sz w:val="22"/>
          <w:szCs w:val="22"/>
        </w:rPr>
        <w:t xml:space="preserve">these </w:t>
      </w:r>
      <w:r w:rsidR="00A044F8" w:rsidRPr="00BB0E8A">
        <w:rPr>
          <w:sz w:val="22"/>
          <w:szCs w:val="22"/>
        </w:rPr>
        <w:t>values in</w:t>
      </w:r>
      <w:r w:rsidRPr="00BB0E8A">
        <w:rPr>
          <w:sz w:val="22"/>
          <w:szCs w:val="22"/>
        </w:rPr>
        <w:t xml:space="preserve"> the same way. O</w:t>
      </w:r>
      <w:r w:rsidR="00A044F8" w:rsidRPr="00BB0E8A">
        <w:rPr>
          <w:sz w:val="22"/>
          <w:szCs w:val="22"/>
        </w:rPr>
        <w:t>ne of the key features of</w:t>
      </w:r>
      <w:r w:rsidRPr="00BB0E8A">
        <w:rPr>
          <w:sz w:val="22"/>
          <w:szCs w:val="22"/>
        </w:rPr>
        <w:t xml:space="preserve"> this approach is</w:t>
      </w:r>
      <w:r w:rsidR="004B3F91" w:rsidRPr="00BB0E8A">
        <w:rPr>
          <w:sz w:val="22"/>
          <w:szCs w:val="22"/>
        </w:rPr>
        <w:t xml:space="preserve"> adjusting for</w:t>
      </w:r>
      <w:r w:rsidRPr="00BB0E8A">
        <w:rPr>
          <w:sz w:val="22"/>
          <w:szCs w:val="22"/>
        </w:rPr>
        <w:t xml:space="preserve"> the lack of movement in the </w:t>
      </w:r>
      <w:r w:rsidR="00EE3A13" w:rsidRPr="00BB0E8A">
        <w:rPr>
          <w:sz w:val="22"/>
          <w:szCs w:val="22"/>
        </w:rPr>
        <w:t>value of Elemen</w:t>
      </w:r>
      <w:r w:rsidR="00D6075C" w:rsidRPr="00BB0E8A">
        <w:rPr>
          <w:sz w:val="22"/>
          <w:szCs w:val="22"/>
        </w:rPr>
        <w:t>t 2</w:t>
      </w:r>
      <w:r w:rsidRPr="00BB0E8A">
        <w:rPr>
          <w:sz w:val="22"/>
          <w:szCs w:val="22"/>
        </w:rPr>
        <w:t xml:space="preserve">, which remains at £6,000, and the value of the place-element for specialist settings, which remains at £10,000. As a consequence of this </w:t>
      </w:r>
      <w:r w:rsidRPr="00D939CC">
        <w:rPr>
          <w:color w:val="000000" w:themeColor="text1"/>
          <w:sz w:val="22"/>
          <w:szCs w:val="22"/>
        </w:rPr>
        <w:t xml:space="preserve">lack of movement, </w:t>
      </w:r>
      <w:r w:rsidR="00EE3A13" w:rsidRPr="00D939CC">
        <w:rPr>
          <w:color w:val="000000" w:themeColor="text1"/>
          <w:sz w:val="22"/>
          <w:szCs w:val="22"/>
        </w:rPr>
        <w:t>the value</w:t>
      </w:r>
      <w:r w:rsidRPr="00D939CC">
        <w:rPr>
          <w:color w:val="000000" w:themeColor="text1"/>
          <w:sz w:val="22"/>
          <w:szCs w:val="22"/>
        </w:rPr>
        <w:t>s</w:t>
      </w:r>
      <w:r w:rsidR="00EE3A13" w:rsidRPr="00D939CC">
        <w:rPr>
          <w:color w:val="000000" w:themeColor="text1"/>
          <w:sz w:val="22"/>
          <w:szCs w:val="22"/>
        </w:rPr>
        <w:t xml:space="preserve"> of the </w:t>
      </w:r>
      <w:r w:rsidR="00D32993" w:rsidRPr="00D939CC">
        <w:rPr>
          <w:color w:val="000000" w:themeColor="text1"/>
          <w:sz w:val="22"/>
          <w:szCs w:val="22"/>
        </w:rPr>
        <w:t>top-up</w:t>
      </w:r>
      <w:r w:rsidRPr="00D939CC">
        <w:rPr>
          <w:color w:val="000000" w:themeColor="text1"/>
          <w:sz w:val="22"/>
          <w:szCs w:val="22"/>
        </w:rPr>
        <w:t>s</w:t>
      </w:r>
      <w:r w:rsidR="00EE3A13" w:rsidRPr="00D939CC">
        <w:rPr>
          <w:color w:val="000000" w:themeColor="text1"/>
          <w:sz w:val="22"/>
          <w:szCs w:val="22"/>
        </w:rPr>
        <w:t xml:space="preserve"> allocated through the B</w:t>
      </w:r>
      <w:r w:rsidR="004B3F91" w:rsidRPr="00D939CC">
        <w:rPr>
          <w:color w:val="000000" w:themeColor="text1"/>
          <w:sz w:val="22"/>
          <w:szCs w:val="22"/>
        </w:rPr>
        <w:t>anded Model must increase by</w:t>
      </w:r>
      <w:r w:rsidR="00615FCF" w:rsidRPr="00D939CC">
        <w:rPr>
          <w:color w:val="000000" w:themeColor="text1"/>
          <w:sz w:val="22"/>
          <w:szCs w:val="22"/>
        </w:rPr>
        <w:t xml:space="preserve"> greater percentage</w:t>
      </w:r>
      <w:r w:rsidR="004B3F91" w:rsidRPr="00D939CC">
        <w:rPr>
          <w:color w:val="000000" w:themeColor="text1"/>
          <w:sz w:val="22"/>
          <w:szCs w:val="22"/>
        </w:rPr>
        <w:t>s</w:t>
      </w:r>
      <w:r w:rsidRPr="00D939CC">
        <w:rPr>
          <w:color w:val="000000" w:themeColor="text1"/>
          <w:sz w:val="22"/>
          <w:szCs w:val="22"/>
        </w:rPr>
        <w:t xml:space="preserve"> in order to achieve the total </w:t>
      </w:r>
      <w:r w:rsidR="00A044F8" w:rsidRPr="00D939CC">
        <w:rPr>
          <w:color w:val="000000" w:themeColor="text1"/>
          <w:sz w:val="22"/>
          <w:szCs w:val="22"/>
        </w:rPr>
        <w:t xml:space="preserve">overall </w:t>
      </w:r>
      <w:r w:rsidRPr="00D939CC">
        <w:rPr>
          <w:color w:val="000000" w:themeColor="text1"/>
          <w:sz w:val="22"/>
          <w:szCs w:val="22"/>
        </w:rPr>
        <w:t xml:space="preserve">increases in available funding that we </w:t>
      </w:r>
      <w:r w:rsidR="00D939CC">
        <w:rPr>
          <w:color w:val="000000" w:themeColor="text1"/>
          <w:sz w:val="22"/>
          <w:szCs w:val="22"/>
        </w:rPr>
        <w:t>propose.</w:t>
      </w:r>
      <w:r w:rsidR="00615FCF" w:rsidRPr="00D939CC">
        <w:rPr>
          <w:color w:val="000000" w:themeColor="text1"/>
          <w:sz w:val="22"/>
          <w:szCs w:val="22"/>
        </w:rPr>
        <w:t xml:space="preserve"> </w:t>
      </w:r>
    </w:p>
    <w:p w:rsidR="002558F0" w:rsidRPr="00BB0E8A" w:rsidRDefault="002558F0" w:rsidP="002558F0">
      <w:pPr>
        <w:pStyle w:val="ListParagraph"/>
        <w:rPr>
          <w:sz w:val="22"/>
          <w:szCs w:val="22"/>
        </w:rPr>
      </w:pPr>
    </w:p>
    <w:p w:rsidR="00D118C9" w:rsidRPr="00BB0E8A" w:rsidRDefault="00615FCF" w:rsidP="002558F0">
      <w:pPr>
        <w:pStyle w:val="ListParagraph"/>
        <w:ind w:left="360"/>
        <w:jc w:val="both"/>
        <w:rPr>
          <w:sz w:val="22"/>
          <w:szCs w:val="22"/>
        </w:rPr>
      </w:pPr>
      <w:r w:rsidRPr="00BB0E8A">
        <w:rPr>
          <w:sz w:val="22"/>
          <w:szCs w:val="22"/>
        </w:rPr>
        <w:t xml:space="preserve">This is the reason </w:t>
      </w:r>
      <w:r w:rsidR="004B3F91" w:rsidRPr="00BB0E8A">
        <w:rPr>
          <w:sz w:val="22"/>
          <w:szCs w:val="22"/>
        </w:rPr>
        <w:t xml:space="preserve">why the % increases in </w:t>
      </w:r>
      <w:r w:rsidR="00D32993">
        <w:rPr>
          <w:sz w:val="22"/>
          <w:szCs w:val="22"/>
        </w:rPr>
        <w:t>top-up</w:t>
      </w:r>
      <w:r w:rsidR="004B3F91" w:rsidRPr="00BB0E8A">
        <w:rPr>
          <w:sz w:val="22"/>
          <w:szCs w:val="22"/>
        </w:rPr>
        <w:t xml:space="preserve">, </w:t>
      </w:r>
      <w:r w:rsidRPr="00BB0E8A">
        <w:rPr>
          <w:sz w:val="22"/>
          <w:szCs w:val="22"/>
        </w:rPr>
        <w:t>as show</w:t>
      </w:r>
      <w:r w:rsidR="00D92075">
        <w:rPr>
          <w:sz w:val="22"/>
          <w:szCs w:val="22"/>
        </w:rPr>
        <w:t>n in the table in paragraph 6.10</w:t>
      </w:r>
      <w:r w:rsidRPr="00BB0E8A">
        <w:rPr>
          <w:sz w:val="22"/>
          <w:szCs w:val="22"/>
        </w:rPr>
        <w:t xml:space="preserve"> column (1)</w:t>
      </w:r>
      <w:r w:rsidR="004B3F91" w:rsidRPr="00BB0E8A">
        <w:rPr>
          <w:sz w:val="22"/>
          <w:szCs w:val="22"/>
        </w:rPr>
        <w:t>,</w:t>
      </w:r>
      <w:r w:rsidR="00D939CC">
        <w:rPr>
          <w:sz w:val="22"/>
          <w:szCs w:val="22"/>
        </w:rPr>
        <w:t xml:space="preserve"> are</w:t>
      </w:r>
      <w:r w:rsidR="00DF7962" w:rsidRPr="00BB0E8A">
        <w:rPr>
          <w:sz w:val="22"/>
          <w:szCs w:val="22"/>
        </w:rPr>
        <w:t xml:space="preserve"> higher. This is also a primary</w:t>
      </w:r>
      <w:r w:rsidRPr="00BB0E8A">
        <w:rPr>
          <w:sz w:val="22"/>
          <w:szCs w:val="22"/>
        </w:rPr>
        <w:t xml:space="preserve"> reason</w:t>
      </w:r>
      <w:r w:rsidR="00536AFA" w:rsidRPr="00BB0E8A">
        <w:rPr>
          <w:sz w:val="22"/>
          <w:szCs w:val="22"/>
        </w:rPr>
        <w:t xml:space="preserve"> why</w:t>
      </w:r>
      <w:r w:rsidRPr="00BB0E8A">
        <w:rPr>
          <w:sz w:val="22"/>
          <w:szCs w:val="22"/>
        </w:rPr>
        <w:t xml:space="preserve"> the % increases in</w:t>
      </w:r>
      <w:r w:rsidR="0024120F" w:rsidRPr="00BB0E8A">
        <w:rPr>
          <w:sz w:val="22"/>
          <w:szCs w:val="22"/>
        </w:rPr>
        <w:t xml:space="preserve"> </w:t>
      </w:r>
      <w:r w:rsidR="00D32993">
        <w:rPr>
          <w:sz w:val="22"/>
          <w:szCs w:val="22"/>
        </w:rPr>
        <w:t>top-up</w:t>
      </w:r>
      <w:r w:rsidR="0024120F" w:rsidRPr="00BB0E8A">
        <w:rPr>
          <w:sz w:val="22"/>
          <w:szCs w:val="22"/>
        </w:rPr>
        <w:t xml:space="preserve"> in</w:t>
      </w:r>
      <w:r w:rsidRPr="00BB0E8A">
        <w:rPr>
          <w:sz w:val="22"/>
          <w:szCs w:val="22"/>
        </w:rPr>
        <w:t xml:space="preserve"> the </w:t>
      </w:r>
      <w:r w:rsidR="00292B86" w:rsidRPr="00BB0E8A">
        <w:rPr>
          <w:sz w:val="22"/>
          <w:szCs w:val="22"/>
        </w:rPr>
        <w:t>diffe</w:t>
      </w:r>
      <w:r w:rsidR="004B3F91" w:rsidRPr="00BB0E8A">
        <w:rPr>
          <w:sz w:val="22"/>
          <w:szCs w:val="22"/>
        </w:rPr>
        <w:t>rent steps in the m</w:t>
      </w:r>
      <w:r w:rsidRPr="00BB0E8A">
        <w:rPr>
          <w:sz w:val="22"/>
          <w:szCs w:val="22"/>
        </w:rPr>
        <w:t>odel are not the same; the Element 2 value of £6,000 as a proportion of the total cost of p</w:t>
      </w:r>
      <w:r w:rsidR="00536AFA" w:rsidRPr="00BB0E8A">
        <w:rPr>
          <w:sz w:val="22"/>
          <w:szCs w:val="22"/>
        </w:rPr>
        <w:t>rovision decreases as the steps get higher</w:t>
      </w:r>
      <w:r w:rsidRPr="00BB0E8A">
        <w:rPr>
          <w:sz w:val="22"/>
          <w:szCs w:val="22"/>
        </w:rPr>
        <w:t xml:space="preserve">. Therefore, the extent to which the </w:t>
      </w:r>
      <w:r w:rsidR="00D32993">
        <w:rPr>
          <w:sz w:val="22"/>
          <w:szCs w:val="22"/>
        </w:rPr>
        <w:t>top-up</w:t>
      </w:r>
      <w:r w:rsidRPr="00BB0E8A">
        <w:rPr>
          <w:sz w:val="22"/>
          <w:szCs w:val="22"/>
        </w:rPr>
        <w:t xml:space="preserve"> has to compensate for Element 2 not increasing in value </w:t>
      </w:r>
      <w:r w:rsidR="000F29CB" w:rsidRPr="00BB0E8A">
        <w:rPr>
          <w:sz w:val="22"/>
          <w:szCs w:val="22"/>
        </w:rPr>
        <w:t xml:space="preserve">also </w:t>
      </w:r>
      <w:r w:rsidRPr="00BB0E8A">
        <w:rPr>
          <w:sz w:val="22"/>
          <w:szCs w:val="22"/>
        </w:rPr>
        <w:t>decreases</w:t>
      </w:r>
      <w:r w:rsidR="00536AFA" w:rsidRPr="00BB0E8A">
        <w:rPr>
          <w:sz w:val="22"/>
          <w:szCs w:val="22"/>
        </w:rPr>
        <w:t xml:space="preserve"> as the steps get higher</w:t>
      </w:r>
      <w:r w:rsidRPr="00BB0E8A">
        <w:rPr>
          <w:sz w:val="22"/>
          <w:szCs w:val="22"/>
        </w:rPr>
        <w:t>.</w:t>
      </w:r>
      <w:r w:rsidR="00292B86" w:rsidRPr="00BB0E8A">
        <w:rPr>
          <w:sz w:val="22"/>
          <w:szCs w:val="22"/>
        </w:rPr>
        <w:t xml:space="preserve"> Recognising this</w:t>
      </w:r>
      <w:r w:rsidR="008D5EC7" w:rsidRPr="00BB0E8A">
        <w:rPr>
          <w:sz w:val="22"/>
          <w:szCs w:val="22"/>
        </w:rPr>
        <w:t xml:space="preserve"> feature</w:t>
      </w:r>
      <w:r w:rsidR="00292B86" w:rsidRPr="00BB0E8A">
        <w:rPr>
          <w:sz w:val="22"/>
          <w:szCs w:val="22"/>
        </w:rPr>
        <w:t>, it would not be appropriate for us</w:t>
      </w:r>
      <w:r w:rsidRPr="00BB0E8A">
        <w:rPr>
          <w:sz w:val="22"/>
          <w:szCs w:val="22"/>
        </w:rPr>
        <w:t xml:space="preserve"> simply </w:t>
      </w:r>
      <w:r w:rsidR="00292B86" w:rsidRPr="00BB0E8A">
        <w:rPr>
          <w:sz w:val="22"/>
          <w:szCs w:val="22"/>
        </w:rPr>
        <w:t xml:space="preserve">to </w:t>
      </w:r>
      <w:r w:rsidRPr="00BB0E8A">
        <w:rPr>
          <w:sz w:val="22"/>
          <w:szCs w:val="22"/>
        </w:rPr>
        <w:t xml:space="preserve">provide a blanket </w:t>
      </w:r>
      <w:r w:rsidR="00CC5811" w:rsidRPr="00BB0E8A">
        <w:rPr>
          <w:sz w:val="22"/>
          <w:szCs w:val="22"/>
        </w:rPr>
        <w:t xml:space="preserve">% increase in </w:t>
      </w:r>
      <w:r w:rsidR="00D32993">
        <w:rPr>
          <w:sz w:val="22"/>
          <w:szCs w:val="22"/>
        </w:rPr>
        <w:t>top-up</w:t>
      </w:r>
      <w:r w:rsidR="00CC5811" w:rsidRPr="00BB0E8A">
        <w:rPr>
          <w:sz w:val="22"/>
          <w:szCs w:val="22"/>
        </w:rPr>
        <w:t xml:space="preserve"> funding across</w:t>
      </w:r>
      <w:r w:rsidRPr="00BB0E8A">
        <w:rPr>
          <w:sz w:val="22"/>
          <w:szCs w:val="22"/>
        </w:rPr>
        <w:t xml:space="preserve"> all steps. Column (2</w:t>
      </w:r>
      <w:r w:rsidR="00D92075">
        <w:rPr>
          <w:sz w:val="22"/>
          <w:szCs w:val="22"/>
        </w:rPr>
        <w:t>) in the table in paragraph 6.10</w:t>
      </w:r>
      <w:r w:rsidRPr="00BB0E8A">
        <w:rPr>
          <w:sz w:val="22"/>
          <w:szCs w:val="22"/>
        </w:rPr>
        <w:t xml:space="preserve"> gives the true real position of the increase in total funding available</w:t>
      </w:r>
      <w:r w:rsidR="000F29CB" w:rsidRPr="00BB0E8A">
        <w:rPr>
          <w:sz w:val="22"/>
          <w:szCs w:val="22"/>
        </w:rPr>
        <w:t xml:space="preserve"> at each step</w:t>
      </w:r>
      <w:r w:rsidR="00536AFA" w:rsidRPr="00BB0E8A">
        <w:rPr>
          <w:sz w:val="22"/>
          <w:szCs w:val="22"/>
        </w:rPr>
        <w:t xml:space="preserve"> – Element 2 plus </w:t>
      </w:r>
      <w:r w:rsidR="00D32993">
        <w:rPr>
          <w:sz w:val="22"/>
          <w:szCs w:val="22"/>
        </w:rPr>
        <w:t>top-up</w:t>
      </w:r>
      <w:r w:rsidR="00536AFA" w:rsidRPr="00BB0E8A">
        <w:rPr>
          <w:sz w:val="22"/>
          <w:szCs w:val="22"/>
        </w:rPr>
        <w:t xml:space="preserve"> -</w:t>
      </w:r>
      <w:r w:rsidRPr="00BB0E8A">
        <w:rPr>
          <w:sz w:val="22"/>
          <w:szCs w:val="22"/>
        </w:rPr>
        <w:t xml:space="preserve"> to support the cost of EHCP provision.</w:t>
      </w:r>
      <w:r w:rsidR="00292B86" w:rsidRPr="00BB0E8A">
        <w:rPr>
          <w:sz w:val="22"/>
          <w:szCs w:val="22"/>
        </w:rPr>
        <w:t xml:space="preserve"> Column (3) shows the true real position of the increase in total funding per occupied place in specialist settings.</w:t>
      </w:r>
    </w:p>
    <w:p w:rsidR="00557B59" w:rsidRPr="00BB0E8A" w:rsidRDefault="00557B59" w:rsidP="00292B86">
      <w:pPr>
        <w:jc w:val="both"/>
        <w:rPr>
          <w:sz w:val="22"/>
          <w:szCs w:val="22"/>
        </w:rPr>
      </w:pPr>
    </w:p>
    <w:p w:rsidR="004926F0" w:rsidRPr="00BB0E8A" w:rsidRDefault="00557B59" w:rsidP="000651A2">
      <w:pPr>
        <w:pStyle w:val="ListParagraph"/>
        <w:numPr>
          <w:ilvl w:val="0"/>
          <w:numId w:val="20"/>
        </w:numPr>
        <w:jc w:val="both"/>
        <w:rPr>
          <w:sz w:val="22"/>
          <w:szCs w:val="22"/>
        </w:rPr>
      </w:pPr>
      <w:r w:rsidRPr="00BB0E8A">
        <w:rPr>
          <w:rFonts w:cs="Arial"/>
          <w:sz w:val="22"/>
          <w:szCs w:val="22"/>
        </w:rPr>
        <w:t>The Banded Model retains a</w:t>
      </w:r>
      <w:r w:rsidR="00DA6D07" w:rsidRPr="00BB0E8A">
        <w:rPr>
          <w:rFonts w:cs="Arial"/>
          <w:sz w:val="22"/>
          <w:szCs w:val="22"/>
        </w:rPr>
        <w:t xml:space="preserve"> transitional ‘Protected 7’ step</w:t>
      </w:r>
      <w:r w:rsidRPr="00BB0E8A">
        <w:rPr>
          <w:rFonts w:cs="Arial"/>
          <w:sz w:val="22"/>
          <w:szCs w:val="22"/>
        </w:rPr>
        <w:t>, which will continue to fund EHCPs that we</w:t>
      </w:r>
      <w:r w:rsidR="00DA6D07" w:rsidRPr="00BB0E8A">
        <w:rPr>
          <w:rFonts w:cs="Arial"/>
          <w:sz w:val="22"/>
          <w:szCs w:val="22"/>
        </w:rPr>
        <w:t>re</w:t>
      </w:r>
      <w:r w:rsidRPr="00BB0E8A">
        <w:rPr>
          <w:rFonts w:cs="Arial"/>
          <w:sz w:val="22"/>
          <w:szCs w:val="22"/>
        </w:rPr>
        <w:t xml:space="preserve"> graded at Range 7 under the old model</w:t>
      </w:r>
      <w:r w:rsidR="00D6075C" w:rsidRPr="00BB0E8A">
        <w:rPr>
          <w:rFonts w:cs="Arial"/>
          <w:sz w:val="22"/>
          <w:szCs w:val="22"/>
        </w:rPr>
        <w:t xml:space="preserve"> in place on 1 April 2020</w:t>
      </w:r>
      <w:r w:rsidRPr="00BB0E8A">
        <w:rPr>
          <w:rFonts w:cs="Arial"/>
          <w:sz w:val="22"/>
          <w:szCs w:val="22"/>
        </w:rPr>
        <w:t xml:space="preserve">. </w:t>
      </w:r>
      <w:r w:rsidR="004B5EAD" w:rsidRPr="00BB0E8A">
        <w:rPr>
          <w:rFonts w:cs="Arial"/>
          <w:sz w:val="22"/>
          <w:szCs w:val="22"/>
        </w:rPr>
        <w:t>We have guaranteed that t</w:t>
      </w:r>
      <w:r w:rsidRPr="00BB0E8A">
        <w:rPr>
          <w:rFonts w:cs="Arial"/>
          <w:sz w:val="22"/>
          <w:szCs w:val="22"/>
        </w:rPr>
        <w:t>he value of Protected 7 will be uplifted each year by the same % that is applied to Band 4H.</w:t>
      </w:r>
      <w:r w:rsidR="004B5EAD" w:rsidRPr="00BB0E8A">
        <w:rPr>
          <w:rFonts w:cs="Arial"/>
          <w:sz w:val="22"/>
          <w:szCs w:val="22"/>
        </w:rPr>
        <w:t xml:space="preserve"> The tables above evidence this.</w:t>
      </w:r>
    </w:p>
    <w:p w:rsidR="00292B86" w:rsidRPr="008D5EC7" w:rsidRDefault="00292B86" w:rsidP="008D5EC7">
      <w:pPr>
        <w:jc w:val="both"/>
        <w:rPr>
          <w:sz w:val="22"/>
          <w:szCs w:val="22"/>
        </w:rPr>
      </w:pPr>
    </w:p>
    <w:p w:rsidR="00F57BCC" w:rsidRDefault="00FA7864" w:rsidP="00C40E73">
      <w:pPr>
        <w:jc w:val="both"/>
        <w:rPr>
          <w:sz w:val="22"/>
          <w:szCs w:val="22"/>
        </w:rPr>
      </w:pPr>
      <w:r>
        <w:rPr>
          <w:sz w:val="22"/>
          <w:szCs w:val="22"/>
        </w:rPr>
        <w:t>6.12</w:t>
      </w:r>
      <w:r w:rsidR="00D939CC">
        <w:rPr>
          <w:sz w:val="22"/>
          <w:szCs w:val="22"/>
        </w:rPr>
        <w:t xml:space="preserve"> As we stated in section 2, t</w:t>
      </w:r>
      <w:r w:rsidR="00D939CC" w:rsidRPr="00064345">
        <w:rPr>
          <w:sz w:val="22"/>
          <w:szCs w:val="22"/>
        </w:rPr>
        <w:t>he annual growth</w:t>
      </w:r>
      <w:r w:rsidR="00D939CC">
        <w:rPr>
          <w:sz w:val="22"/>
          <w:szCs w:val="22"/>
        </w:rPr>
        <w:t xml:space="preserve"> in</w:t>
      </w:r>
      <w:r w:rsidR="00D939CC" w:rsidRPr="00064345">
        <w:rPr>
          <w:sz w:val="22"/>
          <w:szCs w:val="22"/>
        </w:rPr>
        <w:t xml:space="preserve"> High Needs Block funding</w:t>
      </w:r>
      <w:r>
        <w:rPr>
          <w:sz w:val="22"/>
          <w:szCs w:val="22"/>
        </w:rPr>
        <w:t xml:space="preserve"> that the Authority has received</w:t>
      </w:r>
      <w:r w:rsidR="00D939CC">
        <w:rPr>
          <w:sz w:val="22"/>
          <w:szCs w:val="22"/>
        </w:rPr>
        <w:t xml:space="preserve"> from the DfE in 202</w:t>
      </w:r>
      <w:r>
        <w:rPr>
          <w:sz w:val="22"/>
          <w:szCs w:val="22"/>
        </w:rPr>
        <w:t xml:space="preserve">3/24 is reduced on recent years - </w:t>
      </w:r>
      <w:r w:rsidRPr="00064345">
        <w:rPr>
          <w:sz w:val="22"/>
          <w:szCs w:val="22"/>
        </w:rPr>
        <w:t xml:space="preserve">an </w:t>
      </w:r>
      <w:r>
        <w:rPr>
          <w:sz w:val="22"/>
          <w:szCs w:val="22"/>
        </w:rPr>
        <w:t xml:space="preserve">estimated increase of £6.71m, which is an </w:t>
      </w:r>
      <w:r w:rsidRPr="00064345">
        <w:rPr>
          <w:sz w:val="22"/>
          <w:szCs w:val="22"/>
        </w:rPr>
        <w:t>increase of 6.4% in cash</w:t>
      </w:r>
      <w:r w:rsidR="00B724AE">
        <w:rPr>
          <w:sz w:val="22"/>
          <w:szCs w:val="22"/>
        </w:rPr>
        <w:t xml:space="preserve"> terms</w:t>
      </w:r>
      <w:r w:rsidRPr="00064345">
        <w:rPr>
          <w:sz w:val="22"/>
          <w:szCs w:val="22"/>
        </w:rPr>
        <w:t xml:space="preserve">. </w:t>
      </w:r>
      <w:r>
        <w:rPr>
          <w:sz w:val="22"/>
          <w:szCs w:val="22"/>
        </w:rPr>
        <w:t>Our current 2023/24 modelling indicates quite clearly that our growth in high needs spending in 2023/24 will substantially exceed our growth in funding.</w:t>
      </w:r>
      <w:r w:rsidR="007E0236">
        <w:rPr>
          <w:sz w:val="22"/>
          <w:szCs w:val="22"/>
        </w:rPr>
        <w:t xml:space="preserve"> </w:t>
      </w:r>
      <w:r>
        <w:rPr>
          <w:sz w:val="22"/>
          <w:szCs w:val="22"/>
        </w:rPr>
        <w:t>Therefore, within our 2023/24 budget, w</w:t>
      </w:r>
      <w:r w:rsidRPr="00064345">
        <w:rPr>
          <w:sz w:val="22"/>
          <w:szCs w:val="22"/>
        </w:rPr>
        <w:t>e must</w:t>
      </w:r>
      <w:r>
        <w:rPr>
          <w:sz w:val="22"/>
          <w:szCs w:val="22"/>
        </w:rPr>
        <w:t xml:space="preserve"> </w:t>
      </w:r>
      <w:r w:rsidRPr="00064345">
        <w:rPr>
          <w:sz w:val="22"/>
          <w:szCs w:val="22"/>
        </w:rPr>
        <w:t xml:space="preserve">prioritise meeting the </w:t>
      </w:r>
      <w:r>
        <w:rPr>
          <w:sz w:val="22"/>
          <w:szCs w:val="22"/>
        </w:rPr>
        <w:t xml:space="preserve">substantial </w:t>
      </w:r>
      <w:r w:rsidRPr="00064345">
        <w:rPr>
          <w:sz w:val="22"/>
          <w:szCs w:val="22"/>
        </w:rPr>
        <w:t>additional costs t</w:t>
      </w:r>
      <w:r>
        <w:rPr>
          <w:sz w:val="22"/>
          <w:szCs w:val="22"/>
        </w:rPr>
        <w:t xml:space="preserve">hat have come </w:t>
      </w:r>
      <w:r w:rsidR="00B724AE">
        <w:rPr>
          <w:sz w:val="22"/>
          <w:szCs w:val="22"/>
        </w:rPr>
        <w:t>from the</w:t>
      </w:r>
      <w:r w:rsidRPr="00064345">
        <w:rPr>
          <w:sz w:val="22"/>
          <w:szCs w:val="22"/>
        </w:rPr>
        <w:t xml:space="preserve"> recent growth, and continuing growth, in the numbers of EHCPs</w:t>
      </w:r>
      <w:r>
        <w:rPr>
          <w:sz w:val="22"/>
          <w:szCs w:val="22"/>
        </w:rPr>
        <w:t xml:space="preserve"> in Bradford</w:t>
      </w:r>
      <w:r w:rsidRPr="00064345">
        <w:rPr>
          <w:sz w:val="22"/>
          <w:szCs w:val="22"/>
        </w:rPr>
        <w:t xml:space="preserve"> and from the </w:t>
      </w:r>
      <w:r>
        <w:rPr>
          <w:sz w:val="22"/>
          <w:szCs w:val="22"/>
        </w:rPr>
        <w:t xml:space="preserve">essential </w:t>
      </w:r>
      <w:r w:rsidRPr="00064345">
        <w:rPr>
          <w:sz w:val="22"/>
          <w:szCs w:val="22"/>
        </w:rPr>
        <w:t>continued expansion of high needs specialist places capacity</w:t>
      </w:r>
      <w:r>
        <w:rPr>
          <w:sz w:val="22"/>
          <w:szCs w:val="22"/>
        </w:rPr>
        <w:t xml:space="preserve">. As a consequence, </w:t>
      </w:r>
      <w:r w:rsidR="00F57BCC">
        <w:rPr>
          <w:sz w:val="22"/>
          <w:szCs w:val="22"/>
        </w:rPr>
        <w:t>we</w:t>
      </w:r>
      <w:r w:rsidRPr="00064345">
        <w:rPr>
          <w:sz w:val="22"/>
          <w:szCs w:val="22"/>
        </w:rPr>
        <w:t xml:space="preserve"> need to</w:t>
      </w:r>
      <w:r w:rsidR="00B724AE">
        <w:rPr>
          <w:sz w:val="22"/>
          <w:szCs w:val="22"/>
        </w:rPr>
        <w:t xml:space="preserve"> exercise ‘restraint’</w:t>
      </w:r>
      <w:r w:rsidRPr="00064345">
        <w:rPr>
          <w:sz w:val="22"/>
          <w:szCs w:val="22"/>
        </w:rPr>
        <w:t xml:space="preserve"> in how we uplift top-up funding rates</w:t>
      </w:r>
      <w:r w:rsidR="00F57BCC">
        <w:rPr>
          <w:sz w:val="22"/>
          <w:szCs w:val="22"/>
        </w:rPr>
        <w:t>, and a</w:t>
      </w:r>
      <w:r w:rsidR="00B724AE">
        <w:rPr>
          <w:sz w:val="22"/>
          <w:szCs w:val="22"/>
        </w:rPr>
        <w:t xml:space="preserve"> proposed</w:t>
      </w:r>
      <w:r w:rsidR="00F57BCC">
        <w:rPr>
          <w:sz w:val="22"/>
          <w:szCs w:val="22"/>
        </w:rPr>
        <w:t xml:space="preserve"> 1% </w:t>
      </w:r>
      <w:r w:rsidR="00B724AE">
        <w:rPr>
          <w:sz w:val="22"/>
          <w:szCs w:val="22"/>
        </w:rPr>
        <w:t xml:space="preserve">increase in 2023/24 is reflective of this. </w:t>
      </w:r>
      <w:r w:rsidR="00F57BCC">
        <w:rPr>
          <w:sz w:val="22"/>
          <w:szCs w:val="22"/>
        </w:rPr>
        <w:t>W</w:t>
      </w:r>
      <w:r w:rsidR="00B724AE">
        <w:rPr>
          <w:sz w:val="22"/>
          <w:szCs w:val="22"/>
        </w:rPr>
        <w:t>e</w:t>
      </w:r>
      <w:r w:rsidR="00F57BCC">
        <w:rPr>
          <w:sz w:val="22"/>
          <w:szCs w:val="22"/>
        </w:rPr>
        <w:t xml:space="preserve"> wish to emphasise, as shown in the table in paragraph 6.9, that top-up funding rates have been substantially increased by Bradford Council since A</w:t>
      </w:r>
      <w:r w:rsidR="00B724AE">
        <w:rPr>
          <w:sz w:val="22"/>
          <w:szCs w:val="22"/>
        </w:rPr>
        <w:t xml:space="preserve">pril 2020. We </w:t>
      </w:r>
      <w:r w:rsidR="00F57BCC">
        <w:rPr>
          <w:sz w:val="22"/>
          <w:szCs w:val="22"/>
        </w:rPr>
        <w:t>would ask th</w:t>
      </w:r>
      <w:r w:rsidR="00B724AE">
        <w:rPr>
          <w:sz w:val="22"/>
          <w:szCs w:val="22"/>
        </w:rPr>
        <w:t>at settings view the</w:t>
      </w:r>
      <w:r w:rsidR="00F57BCC">
        <w:rPr>
          <w:sz w:val="22"/>
          <w:szCs w:val="22"/>
        </w:rPr>
        <w:t xml:space="preserve"> 1%</w:t>
      </w:r>
      <w:r w:rsidR="007E0236">
        <w:rPr>
          <w:sz w:val="22"/>
          <w:szCs w:val="22"/>
        </w:rPr>
        <w:t xml:space="preserve"> increase</w:t>
      </w:r>
      <w:r w:rsidR="00B724AE">
        <w:rPr>
          <w:sz w:val="22"/>
          <w:szCs w:val="22"/>
        </w:rPr>
        <w:t xml:space="preserve"> in</w:t>
      </w:r>
      <w:r w:rsidR="00F57BCC">
        <w:rPr>
          <w:sz w:val="22"/>
          <w:szCs w:val="22"/>
        </w:rPr>
        <w:t xml:space="preserve"> this</w:t>
      </w:r>
      <w:r w:rsidR="00B724AE">
        <w:rPr>
          <w:sz w:val="22"/>
          <w:szCs w:val="22"/>
        </w:rPr>
        <w:t xml:space="preserve"> wider</w:t>
      </w:r>
      <w:r w:rsidR="00F57BCC">
        <w:rPr>
          <w:sz w:val="22"/>
          <w:szCs w:val="22"/>
        </w:rPr>
        <w:t xml:space="preserve"> context.</w:t>
      </w:r>
      <w:r w:rsidR="00B724AE">
        <w:rPr>
          <w:sz w:val="22"/>
          <w:szCs w:val="22"/>
        </w:rPr>
        <w:t xml:space="preserve"> 1% is on par with the </w:t>
      </w:r>
      <w:r w:rsidR="00D62239">
        <w:rPr>
          <w:sz w:val="22"/>
          <w:szCs w:val="22"/>
        </w:rPr>
        <w:t>maximum</w:t>
      </w:r>
      <w:r w:rsidR="00B724AE">
        <w:rPr>
          <w:sz w:val="22"/>
          <w:szCs w:val="22"/>
        </w:rPr>
        <w:t xml:space="preserve"> increase in early years entitlement funding rates that we anticipate we will be able to afford as a result of the DfE’s Early Years Block settlement in 2023/24. 1% is also higher than the 0.5% increases in the Minimum Levels of Funding (MFLs) and the Minimum Funding Guarantee (MFG) </w:t>
      </w:r>
      <w:r w:rsidR="007E0236">
        <w:rPr>
          <w:sz w:val="22"/>
          <w:szCs w:val="22"/>
        </w:rPr>
        <w:t xml:space="preserve">that the DfE is providing </w:t>
      </w:r>
      <w:r w:rsidR="00B724AE">
        <w:rPr>
          <w:sz w:val="22"/>
          <w:szCs w:val="22"/>
        </w:rPr>
        <w:t>within the Schools Block (mainstream primary and secondary school and academy) National Funding Formula.</w:t>
      </w:r>
    </w:p>
    <w:p w:rsidR="00FA7864" w:rsidRDefault="00FA7864" w:rsidP="00C40E73">
      <w:pPr>
        <w:jc w:val="both"/>
        <w:rPr>
          <w:sz w:val="22"/>
          <w:szCs w:val="22"/>
        </w:rPr>
      </w:pPr>
    </w:p>
    <w:p w:rsidR="00C40E73" w:rsidRDefault="00B724AE" w:rsidP="00C40E73">
      <w:pPr>
        <w:jc w:val="both"/>
        <w:rPr>
          <w:sz w:val="22"/>
          <w:szCs w:val="22"/>
        </w:rPr>
      </w:pPr>
      <w:r>
        <w:rPr>
          <w:sz w:val="22"/>
          <w:szCs w:val="22"/>
        </w:rPr>
        <w:t>6.13 T</w:t>
      </w:r>
      <w:r w:rsidR="00C40E73" w:rsidRPr="00C40E73">
        <w:rPr>
          <w:sz w:val="22"/>
          <w:szCs w:val="22"/>
        </w:rPr>
        <w:t xml:space="preserve">he Finance </w:t>
      </w:r>
      <w:r w:rsidR="00C40E73">
        <w:rPr>
          <w:sz w:val="22"/>
          <w:szCs w:val="22"/>
        </w:rPr>
        <w:t>Regulations provide for a</w:t>
      </w:r>
      <w:r>
        <w:rPr>
          <w:sz w:val="22"/>
          <w:szCs w:val="22"/>
        </w:rPr>
        <w:t xml:space="preserve"> specific</w:t>
      </w:r>
      <w:r w:rsidR="00C40E73">
        <w:rPr>
          <w:sz w:val="22"/>
          <w:szCs w:val="22"/>
        </w:rPr>
        <w:t xml:space="preserve"> Minimum Funding Guarantee (MFG) for special schools</w:t>
      </w:r>
      <w:r w:rsidR="008D5EC7">
        <w:rPr>
          <w:sz w:val="22"/>
          <w:szCs w:val="22"/>
        </w:rPr>
        <w:t xml:space="preserve"> and special school academies</w:t>
      </w:r>
      <w:r w:rsidR="00C40E73">
        <w:rPr>
          <w:sz w:val="22"/>
          <w:szCs w:val="22"/>
        </w:rPr>
        <w:t>, which is</w:t>
      </w:r>
      <w:r w:rsidR="000C10F8">
        <w:rPr>
          <w:sz w:val="22"/>
          <w:szCs w:val="22"/>
        </w:rPr>
        <w:t xml:space="preserve"> </w:t>
      </w:r>
      <w:r w:rsidR="00F218F8">
        <w:rPr>
          <w:sz w:val="22"/>
          <w:szCs w:val="22"/>
        </w:rPr>
        <w:t>normally</w:t>
      </w:r>
      <w:r w:rsidR="00C40E73">
        <w:rPr>
          <w:sz w:val="22"/>
          <w:szCs w:val="22"/>
        </w:rPr>
        <w:t xml:space="preserve"> invoked when an authority substantially amends its approach to top-up funding</w:t>
      </w:r>
      <w:r w:rsidR="004A5F9F">
        <w:rPr>
          <w:sz w:val="22"/>
          <w:szCs w:val="22"/>
        </w:rPr>
        <w:t>,</w:t>
      </w:r>
      <w:r w:rsidR="00C40E73">
        <w:rPr>
          <w:sz w:val="22"/>
          <w:szCs w:val="22"/>
        </w:rPr>
        <w:t xml:space="preserve"> to the extent that this would reduce the budget of (or reduce any increase that would have otherwise been allocate</w:t>
      </w:r>
      <w:r w:rsidR="00901E03">
        <w:rPr>
          <w:sz w:val="22"/>
          <w:szCs w:val="22"/>
        </w:rPr>
        <w:t>d to) a special school</w:t>
      </w:r>
      <w:r w:rsidR="008D5EC7">
        <w:rPr>
          <w:sz w:val="22"/>
          <w:szCs w:val="22"/>
        </w:rPr>
        <w:t xml:space="preserve"> or to a special school academy</w:t>
      </w:r>
      <w:r w:rsidR="00F41ECB">
        <w:rPr>
          <w:sz w:val="22"/>
          <w:szCs w:val="22"/>
        </w:rPr>
        <w:t>.</w:t>
      </w:r>
      <w:r w:rsidR="000C10F8">
        <w:rPr>
          <w:sz w:val="22"/>
          <w:szCs w:val="22"/>
        </w:rPr>
        <w:t xml:space="preserve"> The DfE in 2023/24 however</w:t>
      </w:r>
      <w:r w:rsidR="00F218F8">
        <w:rPr>
          <w:sz w:val="22"/>
          <w:szCs w:val="22"/>
        </w:rPr>
        <w:t>,</w:t>
      </w:r>
      <w:r w:rsidR="000C10F8">
        <w:rPr>
          <w:sz w:val="22"/>
          <w:szCs w:val="22"/>
        </w:rPr>
        <w:t xml:space="preserve"> </w:t>
      </w:r>
      <w:r w:rsidR="00887661">
        <w:rPr>
          <w:sz w:val="22"/>
          <w:szCs w:val="22"/>
        </w:rPr>
        <w:t>has amended</w:t>
      </w:r>
      <w:r w:rsidR="00C81306">
        <w:rPr>
          <w:sz w:val="22"/>
          <w:szCs w:val="22"/>
        </w:rPr>
        <w:t xml:space="preserve"> the MFG mechanism to </w:t>
      </w:r>
      <w:r w:rsidR="000C10F8">
        <w:rPr>
          <w:sz w:val="22"/>
          <w:szCs w:val="22"/>
        </w:rPr>
        <w:t>ensure that local au</w:t>
      </w:r>
      <w:r w:rsidR="009D7DC8">
        <w:rPr>
          <w:sz w:val="22"/>
          <w:szCs w:val="22"/>
        </w:rPr>
        <w:t>thorities have</w:t>
      </w:r>
      <w:r w:rsidR="000C10F8">
        <w:rPr>
          <w:sz w:val="22"/>
          <w:szCs w:val="22"/>
        </w:rPr>
        <w:t xml:space="preserve"> passed through to special schools a minimum proportion of the additional High Needs Block funding that authorities</w:t>
      </w:r>
      <w:r w:rsidR="00F218F8">
        <w:rPr>
          <w:sz w:val="22"/>
          <w:szCs w:val="22"/>
        </w:rPr>
        <w:t xml:space="preserve"> have received, especially in 2022/23 (</w:t>
      </w:r>
      <w:r w:rsidR="00887661">
        <w:rPr>
          <w:sz w:val="22"/>
          <w:szCs w:val="22"/>
        </w:rPr>
        <w:t>via</w:t>
      </w:r>
      <w:r w:rsidR="000C10F8">
        <w:rPr>
          <w:sz w:val="22"/>
          <w:szCs w:val="22"/>
        </w:rPr>
        <w:t xml:space="preserve"> additional supplementary grant funding).</w:t>
      </w:r>
      <w:r w:rsidR="00F17C96">
        <w:rPr>
          <w:sz w:val="22"/>
          <w:szCs w:val="22"/>
        </w:rPr>
        <w:t xml:space="preserve"> </w:t>
      </w:r>
      <w:r w:rsidR="00F41ECB">
        <w:rPr>
          <w:sz w:val="22"/>
          <w:szCs w:val="22"/>
        </w:rPr>
        <w:t>The 2023/24</w:t>
      </w:r>
      <w:r w:rsidR="00C40E73">
        <w:rPr>
          <w:sz w:val="22"/>
          <w:szCs w:val="22"/>
        </w:rPr>
        <w:t xml:space="preserve"> </w:t>
      </w:r>
      <w:r w:rsidR="00C40E73" w:rsidRPr="00C825C0">
        <w:rPr>
          <w:sz w:val="22"/>
          <w:szCs w:val="22"/>
        </w:rPr>
        <w:t xml:space="preserve">Regulations </w:t>
      </w:r>
      <w:r w:rsidR="00F41ECB">
        <w:rPr>
          <w:sz w:val="22"/>
          <w:szCs w:val="22"/>
        </w:rPr>
        <w:t>require an MFG of positive 3.0</w:t>
      </w:r>
      <w:r w:rsidR="00C40E73" w:rsidRPr="008D5EC7">
        <w:rPr>
          <w:sz w:val="22"/>
          <w:szCs w:val="22"/>
        </w:rPr>
        <w:t>%</w:t>
      </w:r>
      <w:r w:rsidR="00F41ECB">
        <w:rPr>
          <w:sz w:val="22"/>
          <w:szCs w:val="22"/>
        </w:rPr>
        <w:t>, when 2023/24 funding</w:t>
      </w:r>
      <w:r w:rsidR="00F17C96">
        <w:rPr>
          <w:sz w:val="22"/>
          <w:szCs w:val="22"/>
        </w:rPr>
        <w:t xml:space="preserve"> </w:t>
      </w:r>
      <w:r w:rsidR="00887661">
        <w:rPr>
          <w:sz w:val="22"/>
          <w:szCs w:val="22"/>
        </w:rPr>
        <w:t xml:space="preserve">is </w:t>
      </w:r>
      <w:r w:rsidR="004A5F9F">
        <w:rPr>
          <w:sz w:val="22"/>
          <w:szCs w:val="22"/>
        </w:rPr>
        <w:t xml:space="preserve">compared </w:t>
      </w:r>
      <w:r w:rsidR="00F41ECB">
        <w:rPr>
          <w:sz w:val="22"/>
          <w:szCs w:val="22"/>
        </w:rPr>
        <w:t xml:space="preserve">with </w:t>
      </w:r>
      <w:r w:rsidR="00887661">
        <w:rPr>
          <w:sz w:val="22"/>
          <w:szCs w:val="22"/>
        </w:rPr>
        <w:t>that received</w:t>
      </w:r>
      <w:r w:rsidR="00F41ECB">
        <w:rPr>
          <w:sz w:val="22"/>
          <w:szCs w:val="22"/>
        </w:rPr>
        <w:t xml:space="preserve"> in 2021/22</w:t>
      </w:r>
      <w:r w:rsidR="00C40E73" w:rsidRPr="008D5EC7">
        <w:rPr>
          <w:sz w:val="22"/>
          <w:szCs w:val="22"/>
        </w:rPr>
        <w:t>.</w:t>
      </w:r>
      <w:r w:rsidR="008F4E11">
        <w:rPr>
          <w:sz w:val="22"/>
          <w:szCs w:val="22"/>
        </w:rPr>
        <w:t xml:space="preserve"> This MFG means that</w:t>
      </w:r>
      <w:r w:rsidR="00F41ECB">
        <w:rPr>
          <w:sz w:val="22"/>
          <w:szCs w:val="22"/>
        </w:rPr>
        <w:t xml:space="preserve"> funding</w:t>
      </w:r>
      <w:r w:rsidR="008F4E11">
        <w:rPr>
          <w:sz w:val="22"/>
          <w:szCs w:val="22"/>
        </w:rPr>
        <w:t xml:space="preserve"> per place </w:t>
      </w:r>
      <w:r w:rsidR="00F41ECB">
        <w:rPr>
          <w:sz w:val="22"/>
          <w:szCs w:val="22"/>
        </w:rPr>
        <w:t xml:space="preserve">for each special school and special school academy in 2023/24, incorporating both place-element and </w:t>
      </w:r>
      <w:r w:rsidR="00D32993">
        <w:rPr>
          <w:sz w:val="22"/>
          <w:szCs w:val="22"/>
        </w:rPr>
        <w:t>top-up</w:t>
      </w:r>
      <w:r w:rsidR="00F41ECB">
        <w:rPr>
          <w:sz w:val="22"/>
          <w:szCs w:val="22"/>
        </w:rPr>
        <w:t xml:space="preserve"> funding (but excluding the separate </w:t>
      </w:r>
      <w:r w:rsidR="009D7DC8">
        <w:rPr>
          <w:sz w:val="22"/>
          <w:szCs w:val="22"/>
        </w:rPr>
        <w:t xml:space="preserve">former </w:t>
      </w:r>
      <w:r w:rsidR="00F41ECB">
        <w:rPr>
          <w:sz w:val="22"/>
          <w:szCs w:val="22"/>
        </w:rPr>
        <w:t xml:space="preserve">Teacher Pay and Pensions </w:t>
      </w:r>
      <w:r w:rsidR="009D7DC8">
        <w:rPr>
          <w:sz w:val="22"/>
          <w:szCs w:val="22"/>
        </w:rPr>
        <w:t>G</w:t>
      </w:r>
      <w:r w:rsidR="00F41ECB">
        <w:rPr>
          <w:sz w:val="22"/>
          <w:szCs w:val="22"/>
        </w:rPr>
        <w:t xml:space="preserve">rant funding), must be at least 3.0% higher than received in 2021/22, </w:t>
      </w:r>
      <w:r w:rsidR="00887661">
        <w:rPr>
          <w:sz w:val="22"/>
          <w:szCs w:val="22"/>
        </w:rPr>
        <w:t>when calculating funding in both years</w:t>
      </w:r>
      <w:r w:rsidR="00F41ECB">
        <w:rPr>
          <w:sz w:val="22"/>
          <w:szCs w:val="22"/>
        </w:rPr>
        <w:t xml:space="preserve"> on a ‘like for like’ basis</w:t>
      </w:r>
      <w:r w:rsidR="00F17C96">
        <w:rPr>
          <w:sz w:val="22"/>
          <w:szCs w:val="22"/>
        </w:rPr>
        <w:t xml:space="preserve"> (same place numbers</w:t>
      </w:r>
      <w:r w:rsidR="00A002FB">
        <w:rPr>
          <w:sz w:val="22"/>
          <w:szCs w:val="22"/>
        </w:rPr>
        <w:t>, same school circumstances</w:t>
      </w:r>
      <w:r w:rsidR="009D7DC8">
        <w:rPr>
          <w:sz w:val="22"/>
          <w:szCs w:val="22"/>
        </w:rPr>
        <w:t xml:space="preserve"> and same </w:t>
      </w:r>
      <w:r w:rsidR="00D32993">
        <w:rPr>
          <w:sz w:val="22"/>
          <w:szCs w:val="22"/>
        </w:rPr>
        <w:t>top-up</w:t>
      </w:r>
      <w:r w:rsidR="009D7DC8">
        <w:rPr>
          <w:sz w:val="22"/>
          <w:szCs w:val="22"/>
        </w:rPr>
        <w:t xml:space="preserve"> determinations</w:t>
      </w:r>
      <w:r w:rsidR="00F17C96">
        <w:rPr>
          <w:sz w:val="22"/>
          <w:szCs w:val="22"/>
        </w:rPr>
        <w:t>)</w:t>
      </w:r>
      <w:r w:rsidR="00F41ECB">
        <w:rPr>
          <w:sz w:val="22"/>
          <w:szCs w:val="22"/>
        </w:rPr>
        <w:t xml:space="preserve">. </w:t>
      </w:r>
      <w:r w:rsidR="008F4E11">
        <w:rPr>
          <w:sz w:val="22"/>
          <w:szCs w:val="22"/>
        </w:rPr>
        <w:t>W</w:t>
      </w:r>
      <w:r w:rsidR="00F41ECB">
        <w:rPr>
          <w:sz w:val="22"/>
          <w:szCs w:val="22"/>
        </w:rPr>
        <w:t xml:space="preserve">e uplifted special school funding (Band 4 </w:t>
      </w:r>
      <w:r w:rsidR="008F4E11">
        <w:rPr>
          <w:sz w:val="22"/>
          <w:szCs w:val="22"/>
        </w:rPr>
        <w:t xml:space="preserve">top-up </w:t>
      </w:r>
      <w:r w:rsidR="00F41ECB">
        <w:rPr>
          <w:sz w:val="22"/>
          <w:szCs w:val="22"/>
        </w:rPr>
        <w:t>funding</w:t>
      </w:r>
      <w:r w:rsidR="008F4E11">
        <w:rPr>
          <w:sz w:val="22"/>
          <w:szCs w:val="22"/>
        </w:rPr>
        <w:t xml:space="preserve"> plus</w:t>
      </w:r>
      <w:r w:rsidR="00E97D96">
        <w:rPr>
          <w:sz w:val="22"/>
          <w:szCs w:val="22"/>
        </w:rPr>
        <w:t xml:space="preserve"> the £10,000 place-element</w:t>
      </w:r>
      <w:r w:rsidR="00F41ECB">
        <w:rPr>
          <w:sz w:val="22"/>
          <w:szCs w:val="22"/>
        </w:rPr>
        <w:t>) by a minimum 4.25%</w:t>
      </w:r>
      <w:r w:rsidR="008F4E11">
        <w:rPr>
          <w:sz w:val="22"/>
          <w:szCs w:val="22"/>
        </w:rPr>
        <w:t xml:space="preserve"> per place</w:t>
      </w:r>
      <w:r w:rsidR="00F41ECB">
        <w:rPr>
          <w:sz w:val="22"/>
          <w:szCs w:val="22"/>
        </w:rPr>
        <w:t xml:space="preserve"> in 2022/23, and </w:t>
      </w:r>
      <w:r w:rsidR="008F4E11">
        <w:rPr>
          <w:sz w:val="22"/>
          <w:szCs w:val="22"/>
        </w:rPr>
        <w:t xml:space="preserve">we </w:t>
      </w:r>
      <w:r w:rsidR="00C40E73" w:rsidRPr="00C825C0">
        <w:rPr>
          <w:sz w:val="22"/>
          <w:szCs w:val="22"/>
        </w:rPr>
        <w:t>prop</w:t>
      </w:r>
      <w:r w:rsidR="00C40E73">
        <w:rPr>
          <w:sz w:val="22"/>
          <w:szCs w:val="22"/>
        </w:rPr>
        <w:t>ose</w:t>
      </w:r>
      <w:r w:rsidR="00F41ECB">
        <w:rPr>
          <w:sz w:val="22"/>
          <w:szCs w:val="22"/>
        </w:rPr>
        <w:t xml:space="preserve"> to increase the funding of all EHCP bands further in 2023/24</w:t>
      </w:r>
      <w:r w:rsidR="008F4E11">
        <w:rPr>
          <w:sz w:val="22"/>
          <w:szCs w:val="22"/>
        </w:rPr>
        <w:t xml:space="preserve"> by a minimum 1%</w:t>
      </w:r>
      <w:r w:rsidR="00686AB6">
        <w:rPr>
          <w:sz w:val="22"/>
          <w:szCs w:val="22"/>
        </w:rPr>
        <w:t xml:space="preserve">, without amending how our </w:t>
      </w:r>
      <w:r w:rsidR="008F4E11">
        <w:rPr>
          <w:sz w:val="22"/>
          <w:szCs w:val="22"/>
        </w:rPr>
        <w:t>Banded Model works. As a result, we will quite clearly exceed</w:t>
      </w:r>
      <w:r w:rsidR="00E97D96">
        <w:rPr>
          <w:sz w:val="22"/>
          <w:szCs w:val="22"/>
        </w:rPr>
        <w:t xml:space="preserve"> the</w:t>
      </w:r>
      <w:r w:rsidR="00C40E73">
        <w:rPr>
          <w:sz w:val="22"/>
          <w:szCs w:val="22"/>
        </w:rPr>
        <w:t xml:space="preserve"> requirements of the </w:t>
      </w:r>
      <w:r w:rsidR="008807E6">
        <w:rPr>
          <w:sz w:val="22"/>
          <w:szCs w:val="22"/>
        </w:rPr>
        <w:t xml:space="preserve">3.0% </w:t>
      </w:r>
      <w:r w:rsidR="00C40E73">
        <w:rPr>
          <w:sz w:val="22"/>
          <w:szCs w:val="22"/>
        </w:rPr>
        <w:t>MFG.</w:t>
      </w:r>
    </w:p>
    <w:p w:rsidR="00C40E73" w:rsidRDefault="00C40E73" w:rsidP="00C40E73">
      <w:pPr>
        <w:jc w:val="both"/>
        <w:rPr>
          <w:sz w:val="22"/>
          <w:szCs w:val="22"/>
        </w:rPr>
      </w:pPr>
    </w:p>
    <w:p w:rsidR="00C40E73" w:rsidRPr="00D118C9" w:rsidRDefault="00C40E73" w:rsidP="00C40E73">
      <w:pPr>
        <w:jc w:val="both"/>
        <w:rPr>
          <w:sz w:val="22"/>
          <w:szCs w:val="22"/>
        </w:rPr>
      </w:pPr>
      <w:r w:rsidRPr="00D118C9">
        <w:rPr>
          <w:sz w:val="22"/>
          <w:szCs w:val="22"/>
        </w:rPr>
        <w:t>6.1</w:t>
      </w:r>
      <w:r w:rsidR="008F4E11">
        <w:rPr>
          <w:sz w:val="22"/>
          <w:szCs w:val="22"/>
        </w:rPr>
        <w:t>4</w:t>
      </w:r>
      <w:r w:rsidRPr="00D118C9">
        <w:rPr>
          <w:sz w:val="22"/>
          <w:szCs w:val="22"/>
        </w:rPr>
        <w:t xml:space="preserve"> </w:t>
      </w:r>
      <w:r>
        <w:rPr>
          <w:sz w:val="22"/>
          <w:szCs w:val="22"/>
        </w:rPr>
        <w:t>We have explained</w:t>
      </w:r>
      <w:r w:rsidR="004E372F">
        <w:rPr>
          <w:sz w:val="22"/>
          <w:szCs w:val="22"/>
        </w:rPr>
        <w:t xml:space="preserve"> in this section</w:t>
      </w:r>
      <w:r w:rsidR="00703E66">
        <w:rPr>
          <w:sz w:val="22"/>
          <w:szCs w:val="22"/>
        </w:rPr>
        <w:t xml:space="preserve"> how we propose to approach</w:t>
      </w:r>
      <w:r>
        <w:rPr>
          <w:sz w:val="22"/>
          <w:szCs w:val="22"/>
        </w:rPr>
        <w:t xml:space="preserve"> uplif</w:t>
      </w:r>
      <w:r w:rsidR="00703E66">
        <w:rPr>
          <w:sz w:val="22"/>
          <w:szCs w:val="22"/>
        </w:rPr>
        <w:t>ting</w:t>
      </w:r>
      <w:r w:rsidR="00901E03">
        <w:rPr>
          <w:sz w:val="22"/>
          <w:szCs w:val="22"/>
        </w:rPr>
        <w:t xml:space="preserve"> the </w:t>
      </w:r>
      <w:r w:rsidR="004E372F">
        <w:rPr>
          <w:sz w:val="22"/>
          <w:szCs w:val="22"/>
        </w:rPr>
        <w:t xml:space="preserve">EHCP </w:t>
      </w:r>
      <w:r w:rsidR="008807E6">
        <w:rPr>
          <w:sz w:val="22"/>
          <w:szCs w:val="22"/>
        </w:rPr>
        <w:t>Banded Model in 2023/</w:t>
      </w:r>
      <w:r w:rsidR="008807E6" w:rsidRPr="008F4E11">
        <w:rPr>
          <w:color w:val="000000" w:themeColor="text1"/>
          <w:sz w:val="22"/>
          <w:szCs w:val="22"/>
        </w:rPr>
        <w:t>24</w:t>
      </w:r>
      <w:r w:rsidRPr="008F4E11">
        <w:rPr>
          <w:color w:val="000000" w:themeColor="text1"/>
          <w:sz w:val="22"/>
          <w:szCs w:val="22"/>
        </w:rPr>
        <w:t xml:space="preserve">. </w:t>
      </w:r>
      <w:r w:rsidR="003A4382" w:rsidRPr="008F4E11">
        <w:rPr>
          <w:color w:val="000000" w:themeColor="text1"/>
          <w:sz w:val="22"/>
          <w:szCs w:val="22"/>
        </w:rPr>
        <w:t>More detail</w:t>
      </w:r>
      <w:r w:rsidR="008F4E11" w:rsidRPr="008F4E11">
        <w:rPr>
          <w:color w:val="000000" w:themeColor="text1"/>
          <w:sz w:val="22"/>
          <w:szCs w:val="22"/>
        </w:rPr>
        <w:t>s of</w:t>
      </w:r>
      <w:r w:rsidR="008F4E11">
        <w:rPr>
          <w:color w:val="000000" w:themeColor="text1"/>
          <w:sz w:val="22"/>
          <w:szCs w:val="22"/>
        </w:rPr>
        <w:t xml:space="preserve"> the M</w:t>
      </w:r>
      <w:r w:rsidR="008F4E11" w:rsidRPr="008F4E11">
        <w:rPr>
          <w:color w:val="000000" w:themeColor="text1"/>
          <w:sz w:val="22"/>
          <w:szCs w:val="22"/>
        </w:rPr>
        <w:t>odel itself are</w:t>
      </w:r>
      <w:r w:rsidR="001C6B4E" w:rsidRPr="008F4E11">
        <w:rPr>
          <w:color w:val="000000" w:themeColor="text1"/>
          <w:sz w:val="22"/>
          <w:szCs w:val="22"/>
        </w:rPr>
        <w:t xml:space="preserve"> presented in Appendix 2. </w:t>
      </w:r>
      <w:r w:rsidR="003A4382">
        <w:rPr>
          <w:sz w:val="22"/>
          <w:szCs w:val="22"/>
        </w:rPr>
        <w:t>As final point, our</w:t>
      </w:r>
      <w:r>
        <w:rPr>
          <w:sz w:val="22"/>
          <w:szCs w:val="22"/>
        </w:rPr>
        <w:t xml:space="preserve"> </w:t>
      </w:r>
      <w:r w:rsidRPr="004E372F">
        <w:rPr>
          <w:sz w:val="22"/>
          <w:szCs w:val="22"/>
        </w:rPr>
        <w:t>approach</w:t>
      </w:r>
      <w:r w:rsidR="001C6B4E">
        <w:rPr>
          <w:sz w:val="22"/>
          <w:szCs w:val="22"/>
        </w:rPr>
        <w:t xml:space="preserve"> to uplifting values</w:t>
      </w:r>
      <w:r w:rsidR="008807E6">
        <w:rPr>
          <w:sz w:val="22"/>
          <w:szCs w:val="22"/>
        </w:rPr>
        <w:t xml:space="preserve"> in 2023/24</w:t>
      </w:r>
      <w:r w:rsidR="003A4382">
        <w:rPr>
          <w:sz w:val="22"/>
          <w:szCs w:val="22"/>
        </w:rPr>
        <w:t xml:space="preserve"> does not</w:t>
      </w:r>
      <w:r w:rsidR="008F4E11">
        <w:rPr>
          <w:sz w:val="22"/>
          <w:szCs w:val="22"/>
        </w:rPr>
        <w:t xml:space="preserve"> intrinsically</w:t>
      </w:r>
      <w:r w:rsidR="003A4382">
        <w:rPr>
          <w:sz w:val="22"/>
          <w:szCs w:val="22"/>
        </w:rPr>
        <w:t xml:space="preserve"> adjust</w:t>
      </w:r>
      <w:r w:rsidRPr="004E372F">
        <w:rPr>
          <w:sz w:val="22"/>
          <w:szCs w:val="22"/>
        </w:rPr>
        <w:t xml:space="preserve"> the quantity of support that </w:t>
      </w:r>
      <w:r w:rsidR="004E372F" w:rsidRPr="004E372F">
        <w:rPr>
          <w:sz w:val="22"/>
          <w:szCs w:val="22"/>
        </w:rPr>
        <w:t>is</w:t>
      </w:r>
      <w:r w:rsidRPr="004E372F">
        <w:rPr>
          <w:sz w:val="22"/>
          <w:szCs w:val="22"/>
        </w:rPr>
        <w:t xml:space="preserve"> funded by each step.</w:t>
      </w:r>
      <w:r w:rsidR="008F4E11">
        <w:rPr>
          <w:sz w:val="22"/>
          <w:szCs w:val="22"/>
        </w:rPr>
        <w:t xml:space="preserve"> </w:t>
      </w:r>
      <w:r w:rsidRPr="004E372F">
        <w:rPr>
          <w:sz w:val="22"/>
          <w:szCs w:val="22"/>
        </w:rPr>
        <w:t xml:space="preserve">We have </w:t>
      </w:r>
      <w:r w:rsidR="003A4382">
        <w:rPr>
          <w:sz w:val="22"/>
          <w:szCs w:val="22"/>
        </w:rPr>
        <w:t xml:space="preserve">deliberately </w:t>
      </w:r>
      <w:r w:rsidRPr="004E372F">
        <w:rPr>
          <w:sz w:val="22"/>
          <w:szCs w:val="22"/>
        </w:rPr>
        <w:t xml:space="preserve">not </w:t>
      </w:r>
      <w:r w:rsidR="003A4382">
        <w:rPr>
          <w:sz w:val="22"/>
          <w:szCs w:val="22"/>
        </w:rPr>
        <w:t>sought to alter this</w:t>
      </w:r>
      <w:r w:rsidR="008F4E11">
        <w:rPr>
          <w:sz w:val="22"/>
          <w:szCs w:val="22"/>
        </w:rPr>
        <w:t>, as we wish the M</w:t>
      </w:r>
      <w:r w:rsidRPr="004E372F">
        <w:rPr>
          <w:sz w:val="22"/>
          <w:szCs w:val="22"/>
        </w:rPr>
        <w:t>odel to</w:t>
      </w:r>
      <w:r w:rsidR="003A4382">
        <w:rPr>
          <w:sz w:val="22"/>
          <w:szCs w:val="22"/>
        </w:rPr>
        <w:t xml:space="preserve"> continue </w:t>
      </w:r>
      <w:r w:rsidR="008807E6">
        <w:rPr>
          <w:sz w:val="22"/>
          <w:szCs w:val="22"/>
        </w:rPr>
        <w:t xml:space="preserve">to work </w:t>
      </w:r>
      <w:r w:rsidR="00901E03" w:rsidRPr="004E372F">
        <w:rPr>
          <w:sz w:val="22"/>
          <w:szCs w:val="22"/>
        </w:rPr>
        <w:t xml:space="preserve">alongside </w:t>
      </w:r>
      <w:r w:rsidR="004E372F" w:rsidRPr="004E372F">
        <w:rPr>
          <w:sz w:val="22"/>
          <w:szCs w:val="22"/>
        </w:rPr>
        <w:t>our</w:t>
      </w:r>
      <w:r w:rsidR="00901E03" w:rsidRPr="004E372F">
        <w:rPr>
          <w:sz w:val="22"/>
          <w:szCs w:val="22"/>
        </w:rPr>
        <w:t xml:space="preserve"> published </w:t>
      </w:r>
      <w:hyperlink r:id="rId18" w:history="1">
        <w:r w:rsidR="00901E03" w:rsidRPr="004E372F">
          <w:rPr>
            <w:rStyle w:val="Hyperlink"/>
            <w:sz w:val="22"/>
            <w:szCs w:val="22"/>
          </w:rPr>
          <w:t>SEND provision matrices and SEND Panel guidance</w:t>
        </w:r>
      </w:hyperlink>
      <w:r w:rsidR="00901E03" w:rsidRPr="004E372F">
        <w:rPr>
          <w:sz w:val="22"/>
          <w:szCs w:val="22"/>
        </w:rPr>
        <w:t>.</w:t>
      </w:r>
      <w:r w:rsidRPr="004E372F">
        <w:rPr>
          <w:sz w:val="22"/>
          <w:szCs w:val="22"/>
        </w:rPr>
        <w:t xml:space="preserve"> </w:t>
      </w:r>
      <w:r w:rsidR="008F4E11">
        <w:rPr>
          <w:sz w:val="22"/>
          <w:szCs w:val="22"/>
        </w:rPr>
        <w:t>The Banded M</w:t>
      </w:r>
      <w:r w:rsidR="003A4382">
        <w:rPr>
          <w:sz w:val="22"/>
          <w:szCs w:val="22"/>
        </w:rPr>
        <w:t xml:space="preserve">odel itself essentially </w:t>
      </w:r>
      <w:r w:rsidR="00EF7A19">
        <w:rPr>
          <w:sz w:val="22"/>
          <w:szCs w:val="22"/>
        </w:rPr>
        <w:t xml:space="preserve">simply </w:t>
      </w:r>
      <w:r w:rsidR="003A4382">
        <w:rPr>
          <w:sz w:val="22"/>
          <w:szCs w:val="22"/>
        </w:rPr>
        <w:t>provides a ‘toolbox’ for the SEND Panel to use to find t</w:t>
      </w:r>
      <w:r w:rsidR="00EF7A19">
        <w:rPr>
          <w:sz w:val="22"/>
          <w:szCs w:val="22"/>
        </w:rPr>
        <w:t>he best funding fit for meeting</w:t>
      </w:r>
      <w:r w:rsidR="003A4382">
        <w:rPr>
          <w:sz w:val="22"/>
          <w:szCs w:val="22"/>
        </w:rPr>
        <w:t xml:space="preserve"> the needs of children and young people with EHCPs. </w:t>
      </w:r>
      <w:r w:rsidR="008807E6">
        <w:rPr>
          <w:sz w:val="22"/>
          <w:szCs w:val="22"/>
        </w:rPr>
        <w:t xml:space="preserve">We will keep this </w:t>
      </w:r>
      <w:r w:rsidR="008F4E11">
        <w:rPr>
          <w:sz w:val="22"/>
          <w:szCs w:val="22"/>
        </w:rPr>
        <w:t>Model under review and</w:t>
      </w:r>
      <w:r w:rsidR="008807E6">
        <w:rPr>
          <w:sz w:val="22"/>
          <w:szCs w:val="22"/>
        </w:rPr>
        <w:t xml:space="preserve"> </w:t>
      </w:r>
      <w:r w:rsidRPr="004E372F">
        <w:rPr>
          <w:sz w:val="22"/>
          <w:szCs w:val="22"/>
        </w:rPr>
        <w:t xml:space="preserve">we may look to adjust the provision </w:t>
      </w:r>
      <w:r w:rsidR="008F4E11">
        <w:rPr>
          <w:sz w:val="22"/>
          <w:szCs w:val="22"/>
        </w:rPr>
        <w:t>mapping assumptions on which it</w:t>
      </w:r>
      <w:r w:rsidRPr="004E372F">
        <w:rPr>
          <w:sz w:val="22"/>
          <w:szCs w:val="22"/>
        </w:rPr>
        <w:t xml:space="preserve"> is based.</w:t>
      </w:r>
      <w:r w:rsidR="00CF5BDF">
        <w:rPr>
          <w:sz w:val="22"/>
          <w:szCs w:val="22"/>
        </w:rPr>
        <w:t xml:space="preserve"> The DfE’s </w:t>
      </w:r>
      <w:r w:rsidR="008807E6">
        <w:rPr>
          <w:sz w:val="22"/>
          <w:szCs w:val="22"/>
        </w:rPr>
        <w:t>national SEND R</w:t>
      </w:r>
      <w:r w:rsidR="00CF5BDF">
        <w:rPr>
          <w:sz w:val="22"/>
          <w:szCs w:val="22"/>
        </w:rPr>
        <w:t>e</w:t>
      </w:r>
      <w:r w:rsidR="008807E6">
        <w:rPr>
          <w:sz w:val="22"/>
          <w:szCs w:val="22"/>
        </w:rPr>
        <w:t>view</w:t>
      </w:r>
      <w:r w:rsidR="00CF5BDF">
        <w:rPr>
          <w:sz w:val="22"/>
          <w:szCs w:val="22"/>
        </w:rPr>
        <w:t xml:space="preserve"> may also</w:t>
      </w:r>
      <w:r w:rsidR="008807E6">
        <w:rPr>
          <w:sz w:val="22"/>
          <w:szCs w:val="22"/>
        </w:rPr>
        <w:t xml:space="preserve"> (is very likely to)</w:t>
      </w:r>
      <w:r w:rsidR="00CF5BDF">
        <w:rPr>
          <w:sz w:val="22"/>
          <w:szCs w:val="22"/>
        </w:rPr>
        <w:t xml:space="preserve"> have implications for the workings of </w:t>
      </w:r>
      <w:r w:rsidR="008807E6">
        <w:rPr>
          <w:sz w:val="22"/>
          <w:szCs w:val="22"/>
        </w:rPr>
        <w:t>our Banded Model</w:t>
      </w:r>
      <w:r w:rsidR="008F4E11">
        <w:rPr>
          <w:sz w:val="22"/>
          <w:szCs w:val="22"/>
        </w:rPr>
        <w:t xml:space="preserve"> at a point in the future - t</w:t>
      </w:r>
      <w:r w:rsidR="008807E6">
        <w:rPr>
          <w:sz w:val="22"/>
          <w:szCs w:val="22"/>
        </w:rPr>
        <w:t>he DfE has stated within its SEND Review documentation, in order to improvement consistency, that work will be done to develop a national banding framework for defining top-</w:t>
      </w:r>
      <w:r w:rsidR="003841AB">
        <w:rPr>
          <w:sz w:val="22"/>
          <w:szCs w:val="22"/>
        </w:rPr>
        <w:t>up funding</w:t>
      </w:r>
      <w:r w:rsidR="008807E6">
        <w:rPr>
          <w:sz w:val="22"/>
          <w:szCs w:val="22"/>
        </w:rPr>
        <w:t>. The timescales for this</w:t>
      </w:r>
      <w:r w:rsidR="003841AB">
        <w:rPr>
          <w:sz w:val="22"/>
          <w:szCs w:val="22"/>
        </w:rPr>
        <w:t xml:space="preserve"> however,</w:t>
      </w:r>
      <w:r w:rsidR="008807E6">
        <w:rPr>
          <w:sz w:val="22"/>
          <w:szCs w:val="22"/>
        </w:rPr>
        <w:t xml:space="preserve"> are currently unclear.</w:t>
      </w:r>
    </w:p>
    <w:p w:rsidR="00897157" w:rsidRPr="006C075F" w:rsidRDefault="00897157" w:rsidP="006C075F">
      <w:pPr>
        <w:jc w:val="both"/>
        <w:rPr>
          <w:sz w:val="22"/>
          <w:szCs w:val="22"/>
        </w:rPr>
      </w:pPr>
    </w:p>
    <w:p w:rsidR="00395FE8" w:rsidRDefault="00414949" w:rsidP="001B416B">
      <w:pPr>
        <w:jc w:val="both"/>
        <w:rPr>
          <w:b/>
          <w:color w:val="548DD4" w:themeColor="text2" w:themeTint="99"/>
          <w:sz w:val="22"/>
          <w:szCs w:val="22"/>
        </w:rPr>
      </w:pPr>
      <w:r>
        <w:rPr>
          <w:b/>
          <w:color w:val="548DD4" w:themeColor="text2" w:themeTint="99"/>
          <w:sz w:val="22"/>
          <w:szCs w:val="22"/>
        </w:rPr>
        <w:t>Question 1</w:t>
      </w:r>
      <w:r w:rsidR="00380B51">
        <w:rPr>
          <w:b/>
          <w:color w:val="548DD4" w:themeColor="text2" w:themeTint="99"/>
          <w:sz w:val="22"/>
          <w:szCs w:val="22"/>
        </w:rPr>
        <w:t xml:space="preserve"> – Do you agree with </w:t>
      </w:r>
      <w:r w:rsidR="00686AB6">
        <w:rPr>
          <w:b/>
          <w:color w:val="548DD4" w:themeColor="text2" w:themeTint="99"/>
          <w:sz w:val="22"/>
          <w:szCs w:val="22"/>
        </w:rPr>
        <w:t xml:space="preserve">the </w:t>
      </w:r>
      <w:r w:rsidR="00BA7565">
        <w:rPr>
          <w:b/>
          <w:color w:val="548DD4" w:themeColor="text2" w:themeTint="99"/>
          <w:sz w:val="22"/>
          <w:szCs w:val="22"/>
        </w:rPr>
        <w:t xml:space="preserve">approach that is proposed for uplifting the values of the </w:t>
      </w:r>
      <w:r w:rsidR="001C6B4E">
        <w:rPr>
          <w:b/>
          <w:color w:val="548DD4" w:themeColor="text2" w:themeTint="99"/>
          <w:sz w:val="22"/>
          <w:szCs w:val="22"/>
        </w:rPr>
        <w:t xml:space="preserve">EHCP </w:t>
      </w:r>
      <w:r w:rsidR="00380B51">
        <w:rPr>
          <w:b/>
          <w:color w:val="548DD4" w:themeColor="text2" w:themeTint="99"/>
          <w:sz w:val="22"/>
          <w:szCs w:val="22"/>
        </w:rPr>
        <w:t>Banded Model</w:t>
      </w:r>
      <w:r w:rsidR="003841AB">
        <w:rPr>
          <w:b/>
          <w:color w:val="548DD4" w:themeColor="text2" w:themeTint="99"/>
          <w:sz w:val="22"/>
          <w:szCs w:val="22"/>
        </w:rPr>
        <w:t xml:space="preserve"> in 2023/24</w:t>
      </w:r>
      <w:r w:rsidR="00380B51">
        <w:rPr>
          <w:b/>
          <w:color w:val="548DD4" w:themeColor="text2" w:themeTint="99"/>
          <w:sz w:val="22"/>
          <w:szCs w:val="22"/>
        </w:rPr>
        <w:t>? If not, please can you explain why not.</w:t>
      </w:r>
    </w:p>
    <w:p w:rsidR="00380B51" w:rsidRDefault="00380B51" w:rsidP="001B416B">
      <w:pPr>
        <w:jc w:val="both"/>
        <w:rPr>
          <w:b/>
          <w:color w:val="548DD4" w:themeColor="text2" w:themeTint="99"/>
          <w:sz w:val="22"/>
          <w:szCs w:val="22"/>
        </w:rPr>
      </w:pPr>
    </w:p>
    <w:p w:rsidR="00414949" w:rsidRDefault="00BA7565" w:rsidP="001B416B">
      <w:pPr>
        <w:jc w:val="both"/>
        <w:rPr>
          <w:b/>
          <w:color w:val="548DD4" w:themeColor="text2" w:themeTint="99"/>
          <w:sz w:val="22"/>
          <w:szCs w:val="22"/>
        </w:rPr>
      </w:pPr>
      <w:r>
        <w:rPr>
          <w:b/>
          <w:color w:val="548DD4" w:themeColor="text2" w:themeTint="99"/>
          <w:sz w:val="22"/>
          <w:szCs w:val="22"/>
        </w:rPr>
        <w:t>Question 2</w:t>
      </w:r>
      <w:r w:rsidR="00380B51">
        <w:rPr>
          <w:b/>
          <w:color w:val="548DD4" w:themeColor="text2" w:themeTint="99"/>
          <w:sz w:val="22"/>
          <w:szCs w:val="22"/>
        </w:rPr>
        <w:t xml:space="preserve"> – Do you have any comments (including technic</w:t>
      </w:r>
      <w:r>
        <w:rPr>
          <w:b/>
          <w:color w:val="548DD4" w:themeColor="text2" w:themeTint="99"/>
          <w:sz w:val="22"/>
          <w:szCs w:val="22"/>
        </w:rPr>
        <w:t>al comments) on the</w:t>
      </w:r>
      <w:r w:rsidR="00380B51">
        <w:rPr>
          <w:b/>
          <w:color w:val="548DD4" w:themeColor="text2" w:themeTint="99"/>
          <w:sz w:val="22"/>
          <w:szCs w:val="22"/>
        </w:rPr>
        <w:t xml:space="preserve"> </w:t>
      </w:r>
      <w:r w:rsidR="001C6B4E">
        <w:rPr>
          <w:b/>
          <w:color w:val="548DD4" w:themeColor="text2" w:themeTint="99"/>
          <w:sz w:val="22"/>
          <w:szCs w:val="22"/>
        </w:rPr>
        <w:t xml:space="preserve">EHCP </w:t>
      </w:r>
      <w:r w:rsidR="00380B51">
        <w:rPr>
          <w:b/>
          <w:color w:val="548DD4" w:themeColor="text2" w:themeTint="99"/>
          <w:sz w:val="22"/>
          <w:szCs w:val="22"/>
        </w:rPr>
        <w:t>Banded Model you would like the Authority to consider</w:t>
      </w:r>
      <w:r w:rsidR="003841AB">
        <w:rPr>
          <w:b/>
          <w:color w:val="548DD4" w:themeColor="text2" w:themeTint="99"/>
          <w:sz w:val="22"/>
          <w:szCs w:val="22"/>
        </w:rPr>
        <w:t xml:space="preserve"> for 2023/24</w:t>
      </w:r>
      <w:r w:rsidR="00380B51">
        <w:rPr>
          <w:b/>
          <w:color w:val="548DD4" w:themeColor="text2" w:themeTint="99"/>
          <w:sz w:val="22"/>
          <w:szCs w:val="22"/>
        </w:rPr>
        <w:t xml:space="preserve">? </w:t>
      </w:r>
    </w:p>
    <w:p w:rsidR="00380B51" w:rsidRDefault="00380B51" w:rsidP="001B416B">
      <w:pPr>
        <w:jc w:val="both"/>
        <w:rPr>
          <w:sz w:val="22"/>
          <w:szCs w:val="22"/>
        </w:rPr>
      </w:pPr>
    </w:p>
    <w:p w:rsidR="00E724B2" w:rsidRDefault="00E724B2" w:rsidP="001B416B">
      <w:pPr>
        <w:jc w:val="both"/>
        <w:rPr>
          <w:sz w:val="22"/>
          <w:szCs w:val="22"/>
        </w:rPr>
      </w:pPr>
    </w:p>
    <w:p w:rsidR="00C6158B" w:rsidRPr="00483240" w:rsidRDefault="001B1A21" w:rsidP="00C6158B">
      <w:pPr>
        <w:jc w:val="both"/>
        <w:rPr>
          <w:sz w:val="22"/>
          <w:szCs w:val="22"/>
        </w:rPr>
      </w:pPr>
      <w:r w:rsidRPr="00483240">
        <w:rPr>
          <w:b/>
          <w:sz w:val="22"/>
          <w:szCs w:val="22"/>
        </w:rPr>
        <w:t>7</w:t>
      </w:r>
      <w:r w:rsidR="00C6158B" w:rsidRPr="00483240">
        <w:rPr>
          <w:b/>
          <w:sz w:val="22"/>
          <w:szCs w:val="22"/>
        </w:rPr>
        <w:t>.</w:t>
      </w:r>
      <w:r w:rsidR="00C6158B" w:rsidRPr="00483240">
        <w:rPr>
          <w:b/>
          <w:sz w:val="22"/>
          <w:szCs w:val="22"/>
        </w:rPr>
        <w:tab/>
        <w:t>Top-Up Funding</w:t>
      </w:r>
      <w:r w:rsidR="006D6448">
        <w:rPr>
          <w:b/>
          <w:sz w:val="22"/>
          <w:szCs w:val="22"/>
        </w:rPr>
        <w:t xml:space="preserve"> for EHCPs</w:t>
      </w:r>
      <w:r w:rsidR="003841AB">
        <w:rPr>
          <w:b/>
          <w:sz w:val="22"/>
          <w:szCs w:val="22"/>
        </w:rPr>
        <w:t xml:space="preserve"> 2023/24</w:t>
      </w:r>
      <w:r w:rsidR="00C6158B" w:rsidRPr="00483240">
        <w:rPr>
          <w:b/>
          <w:sz w:val="22"/>
          <w:szCs w:val="22"/>
        </w:rPr>
        <w:t>: Setting-Led Need</w:t>
      </w:r>
      <w:r w:rsidR="008237ED" w:rsidRPr="00483240">
        <w:rPr>
          <w:b/>
          <w:sz w:val="22"/>
          <w:szCs w:val="22"/>
        </w:rPr>
        <w:t xml:space="preserve"> in Specialist Settings</w:t>
      </w:r>
      <w:r w:rsidR="00540764">
        <w:rPr>
          <w:b/>
          <w:sz w:val="22"/>
          <w:szCs w:val="22"/>
        </w:rPr>
        <w:t xml:space="preserve"> </w:t>
      </w:r>
    </w:p>
    <w:p w:rsidR="00C42B9F" w:rsidRDefault="00C42B9F" w:rsidP="00C6158B">
      <w:pPr>
        <w:jc w:val="both"/>
        <w:rPr>
          <w:sz w:val="22"/>
          <w:szCs w:val="22"/>
        </w:rPr>
      </w:pPr>
    </w:p>
    <w:p w:rsidR="006A1CED" w:rsidRDefault="001B1A21" w:rsidP="00C6158B">
      <w:pPr>
        <w:jc w:val="both"/>
        <w:rPr>
          <w:sz w:val="22"/>
          <w:szCs w:val="22"/>
        </w:rPr>
      </w:pPr>
      <w:r>
        <w:rPr>
          <w:sz w:val="22"/>
          <w:szCs w:val="22"/>
        </w:rPr>
        <w:t>7</w:t>
      </w:r>
      <w:r w:rsidR="00C42B9F">
        <w:rPr>
          <w:sz w:val="22"/>
          <w:szCs w:val="22"/>
        </w:rPr>
        <w:t xml:space="preserve">.1 Top-up funding can </w:t>
      </w:r>
      <w:r w:rsidR="003841AB">
        <w:rPr>
          <w:sz w:val="22"/>
          <w:szCs w:val="22"/>
        </w:rPr>
        <w:t>be</w:t>
      </w:r>
      <w:r w:rsidR="00D06517">
        <w:rPr>
          <w:sz w:val="22"/>
          <w:szCs w:val="22"/>
        </w:rPr>
        <w:t xml:space="preserve"> </w:t>
      </w:r>
      <w:r w:rsidR="00C519EB">
        <w:rPr>
          <w:sz w:val="22"/>
          <w:szCs w:val="22"/>
        </w:rPr>
        <w:t>allocated</w:t>
      </w:r>
      <w:r w:rsidR="003841AB">
        <w:rPr>
          <w:sz w:val="22"/>
          <w:szCs w:val="22"/>
        </w:rPr>
        <w:t xml:space="preserve"> also</w:t>
      </w:r>
      <w:r w:rsidR="00C519EB">
        <w:rPr>
          <w:sz w:val="22"/>
          <w:szCs w:val="22"/>
        </w:rPr>
        <w:t xml:space="preserve"> to </w:t>
      </w:r>
      <w:r w:rsidR="00C42B9F">
        <w:rPr>
          <w:sz w:val="22"/>
          <w:szCs w:val="22"/>
        </w:rPr>
        <w:t>reflect costs (and differences in costs)</w:t>
      </w:r>
      <w:r w:rsidR="00B45B21">
        <w:rPr>
          <w:sz w:val="22"/>
          <w:szCs w:val="22"/>
        </w:rPr>
        <w:t xml:space="preserve"> related to the </w:t>
      </w:r>
      <w:r w:rsidR="00D06517">
        <w:rPr>
          <w:sz w:val="22"/>
          <w:szCs w:val="22"/>
        </w:rPr>
        <w:t xml:space="preserve">specialist </w:t>
      </w:r>
      <w:r w:rsidR="00B45B21">
        <w:rPr>
          <w:sz w:val="22"/>
          <w:szCs w:val="22"/>
        </w:rPr>
        <w:t>setting that</w:t>
      </w:r>
      <w:r w:rsidR="00D06517">
        <w:rPr>
          <w:sz w:val="22"/>
          <w:szCs w:val="22"/>
        </w:rPr>
        <w:t xml:space="preserve"> a</w:t>
      </w:r>
      <w:r w:rsidR="00C519EB">
        <w:rPr>
          <w:sz w:val="22"/>
          <w:szCs w:val="22"/>
        </w:rPr>
        <w:t xml:space="preserve"> high needs</w:t>
      </w:r>
      <w:r w:rsidR="00C42B9F">
        <w:rPr>
          <w:sz w:val="22"/>
          <w:szCs w:val="22"/>
        </w:rPr>
        <w:t xml:space="preserve"> child or young person</w:t>
      </w:r>
      <w:r w:rsidR="00B45B21">
        <w:rPr>
          <w:sz w:val="22"/>
          <w:szCs w:val="22"/>
        </w:rPr>
        <w:t xml:space="preserve"> with an EHCP</w:t>
      </w:r>
      <w:r w:rsidR="00C42B9F">
        <w:rPr>
          <w:sz w:val="22"/>
          <w:szCs w:val="22"/>
        </w:rPr>
        <w:t xml:space="preserve"> is placed at. In this document this is called ‘Setting-Led Need’.</w:t>
      </w:r>
    </w:p>
    <w:p w:rsidR="00E724B2" w:rsidRDefault="00E724B2" w:rsidP="00C6158B">
      <w:pPr>
        <w:jc w:val="both"/>
        <w:rPr>
          <w:sz w:val="22"/>
          <w:szCs w:val="22"/>
        </w:rPr>
      </w:pPr>
    </w:p>
    <w:p w:rsidR="006A1CED" w:rsidRDefault="001B1A21" w:rsidP="00C6158B">
      <w:pPr>
        <w:jc w:val="both"/>
        <w:rPr>
          <w:sz w:val="22"/>
          <w:szCs w:val="22"/>
        </w:rPr>
      </w:pPr>
      <w:r>
        <w:rPr>
          <w:sz w:val="22"/>
          <w:szCs w:val="22"/>
        </w:rPr>
        <w:t>7</w:t>
      </w:r>
      <w:r w:rsidR="006A1CED">
        <w:rPr>
          <w:sz w:val="22"/>
          <w:szCs w:val="22"/>
        </w:rPr>
        <w:t>.2 Place</w:t>
      </w:r>
      <w:r w:rsidR="00B45B21">
        <w:rPr>
          <w:sz w:val="22"/>
          <w:szCs w:val="22"/>
        </w:rPr>
        <w:t xml:space="preserve">-element </w:t>
      </w:r>
      <w:r w:rsidR="006A1CED">
        <w:rPr>
          <w:sz w:val="22"/>
          <w:szCs w:val="22"/>
        </w:rPr>
        <w:t xml:space="preserve">funding is expected to meet </w:t>
      </w:r>
      <w:r w:rsidR="00C519EB">
        <w:rPr>
          <w:sz w:val="22"/>
          <w:szCs w:val="22"/>
        </w:rPr>
        <w:t>a specialist setting</w:t>
      </w:r>
      <w:r w:rsidR="00BE09CD">
        <w:rPr>
          <w:sz w:val="22"/>
          <w:szCs w:val="22"/>
        </w:rPr>
        <w:t>’s</w:t>
      </w:r>
      <w:r w:rsidR="006A1CED">
        <w:rPr>
          <w:sz w:val="22"/>
          <w:szCs w:val="22"/>
        </w:rPr>
        <w:t xml:space="preserve"> b</w:t>
      </w:r>
      <w:r w:rsidR="00BE09CD">
        <w:rPr>
          <w:sz w:val="22"/>
          <w:szCs w:val="22"/>
        </w:rPr>
        <w:t>asic core costs. However, our current</w:t>
      </w:r>
      <w:r w:rsidR="00B45B21">
        <w:rPr>
          <w:sz w:val="22"/>
          <w:szCs w:val="22"/>
        </w:rPr>
        <w:t xml:space="preserve"> high needs</w:t>
      </w:r>
      <w:r w:rsidR="00BE09CD">
        <w:rPr>
          <w:sz w:val="22"/>
          <w:szCs w:val="22"/>
        </w:rPr>
        <w:t xml:space="preserve"> funding model</w:t>
      </w:r>
      <w:r w:rsidR="00B45B21">
        <w:rPr>
          <w:sz w:val="22"/>
          <w:szCs w:val="22"/>
        </w:rPr>
        <w:t xml:space="preserve"> for specialist settings</w:t>
      </w:r>
      <w:r w:rsidR="00BE09CD">
        <w:rPr>
          <w:sz w:val="22"/>
          <w:szCs w:val="22"/>
        </w:rPr>
        <w:t xml:space="preserve"> recognises that there are</w:t>
      </w:r>
      <w:r w:rsidR="00C519EB">
        <w:rPr>
          <w:sz w:val="22"/>
          <w:szCs w:val="22"/>
        </w:rPr>
        <w:t xml:space="preserve"> certain differences in a setting</w:t>
      </w:r>
      <w:r w:rsidR="00BE09CD">
        <w:rPr>
          <w:sz w:val="22"/>
          <w:szCs w:val="22"/>
        </w:rPr>
        <w:t>’s cost base that are influenced by the features of the setting. Two simple examples are that the setting is small</w:t>
      </w:r>
      <w:r w:rsidR="00C519EB">
        <w:rPr>
          <w:sz w:val="22"/>
          <w:szCs w:val="22"/>
        </w:rPr>
        <w:t>,</w:t>
      </w:r>
      <w:r w:rsidR="00BE09CD">
        <w:rPr>
          <w:sz w:val="22"/>
          <w:szCs w:val="22"/>
        </w:rPr>
        <w:t xml:space="preserve"> and requires </w:t>
      </w:r>
      <w:r w:rsidR="00ED5103">
        <w:rPr>
          <w:sz w:val="22"/>
          <w:szCs w:val="22"/>
        </w:rPr>
        <w:t>additional funding to meet</w:t>
      </w:r>
      <w:r w:rsidR="00BE09CD">
        <w:rPr>
          <w:sz w:val="22"/>
          <w:szCs w:val="22"/>
        </w:rPr>
        <w:t xml:space="preserve"> core costs </w:t>
      </w:r>
      <w:r w:rsidR="00AD04E6">
        <w:rPr>
          <w:sz w:val="22"/>
          <w:szCs w:val="22"/>
        </w:rPr>
        <w:t>of a fixed nature</w:t>
      </w:r>
      <w:r w:rsidR="00C519EB">
        <w:rPr>
          <w:sz w:val="22"/>
          <w:szCs w:val="22"/>
        </w:rPr>
        <w:t>,</w:t>
      </w:r>
      <w:r w:rsidR="00AD04E6">
        <w:rPr>
          <w:sz w:val="22"/>
          <w:szCs w:val="22"/>
        </w:rPr>
        <w:t xml:space="preserve"> </w:t>
      </w:r>
      <w:r w:rsidR="00BE09CD">
        <w:rPr>
          <w:sz w:val="22"/>
          <w:szCs w:val="22"/>
        </w:rPr>
        <w:t>and t</w:t>
      </w:r>
      <w:r w:rsidR="00373923">
        <w:rPr>
          <w:sz w:val="22"/>
          <w:szCs w:val="22"/>
        </w:rPr>
        <w:t>hat t</w:t>
      </w:r>
      <w:r w:rsidR="00BE09CD">
        <w:rPr>
          <w:sz w:val="22"/>
          <w:szCs w:val="22"/>
        </w:rPr>
        <w:t xml:space="preserve">he setting operates across a split-site and therefore, has </w:t>
      </w:r>
      <w:r w:rsidR="00721953">
        <w:rPr>
          <w:sz w:val="22"/>
          <w:szCs w:val="22"/>
        </w:rPr>
        <w:t>certain duplicated</w:t>
      </w:r>
      <w:r w:rsidR="009968E9">
        <w:rPr>
          <w:sz w:val="22"/>
          <w:szCs w:val="22"/>
        </w:rPr>
        <w:t xml:space="preserve"> and additional</w:t>
      </w:r>
      <w:r w:rsidR="00BE09CD">
        <w:rPr>
          <w:sz w:val="22"/>
          <w:szCs w:val="22"/>
        </w:rPr>
        <w:t xml:space="preserve"> costs.</w:t>
      </w:r>
    </w:p>
    <w:p w:rsidR="00C42B9F" w:rsidRPr="00467EF2" w:rsidRDefault="00C42B9F" w:rsidP="00C6158B">
      <w:pPr>
        <w:jc w:val="both"/>
        <w:rPr>
          <w:color w:val="000000" w:themeColor="text1"/>
          <w:sz w:val="22"/>
          <w:szCs w:val="22"/>
        </w:rPr>
      </w:pPr>
    </w:p>
    <w:p w:rsidR="00C42B9F" w:rsidRDefault="001B1A21" w:rsidP="00C6158B">
      <w:pPr>
        <w:jc w:val="both"/>
        <w:rPr>
          <w:sz w:val="22"/>
          <w:szCs w:val="22"/>
        </w:rPr>
      </w:pPr>
      <w:r w:rsidRPr="00467EF2">
        <w:rPr>
          <w:color w:val="000000" w:themeColor="text1"/>
          <w:sz w:val="22"/>
          <w:szCs w:val="22"/>
        </w:rPr>
        <w:t>7</w:t>
      </w:r>
      <w:r w:rsidR="00604725" w:rsidRPr="00467EF2">
        <w:rPr>
          <w:color w:val="000000" w:themeColor="text1"/>
          <w:sz w:val="22"/>
          <w:szCs w:val="22"/>
        </w:rPr>
        <w:t>.3</w:t>
      </w:r>
      <w:r w:rsidR="00C42B9F" w:rsidRPr="00467EF2">
        <w:rPr>
          <w:color w:val="000000" w:themeColor="text1"/>
          <w:sz w:val="22"/>
          <w:szCs w:val="22"/>
        </w:rPr>
        <w:t xml:space="preserve"> Appendix </w:t>
      </w:r>
      <w:r w:rsidR="008D68CD" w:rsidRPr="00467EF2">
        <w:rPr>
          <w:color w:val="000000" w:themeColor="text1"/>
          <w:sz w:val="22"/>
          <w:szCs w:val="22"/>
        </w:rPr>
        <w:t>3</w:t>
      </w:r>
      <w:r w:rsidR="00C42B9F" w:rsidRPr="00467EF2">
        <w:rPr>
          <w:color w:val="000000" w:themeColor="text1"/>
          <w:sz w:val="22"/>
          <w:szCs w:val="22"/>
        </w:rPr>
        <w:t xml:space="preserve"> sets </w:t>
      </w:r>
      <w:r w:rsidR="00C42B9F">
        <w:rPr>
          <w:sz w:val="22"/>
          <w:szCs w:val="22"/>
        </w:rPr>
        <w:t>o</w:t>
      </w:r>
      <w:r w:rsidR="00604725">
        <w:rPr>
          <w:sz w:val="22"/>
          <w:szCs w:val="22"/>
        </w:rPr>
        <w:t>ut in more technical detail</w:t>
      </w:r>
      <w:r w:rsidR="00B45B21">
        <w:rPr>
          <w:sz w:val="22"/>
          <w:szCs w:val="22"/>
        </w:rPr>
        <w:t xml:space="preserve"> the</w:t>
      </w:r>
      <w:r w:rsidR="00C42B9F">
        <w:rPr>
          <w:sz w:val="22"/>
          <w:szCs w:val="22"/>
        </w:rPr>
        <w:t xml:space="preserve"> </w:t>
      </w:r>
      <w:r w:rsidR="00B45B21">
        <w:rPr>
          <w:sz w:val="22"/>
          <w:szCs w:val="22"/>
        </w:rPr>
        <w:t xml:space="preserve">setting-led need </w:t>
      </w:r>
      <w:r w:rsidR="00C42B9F">
        <w:rPr>
          <w:sz w:val="22"/>
          <w:szCs w:val="22"/>
        </w:rPr>
        <w:t xml:space="preserve">factors </w:t>
      </w:r>
      <w:r w:rsidR="00540764">
        <w:rPr>
          <w:sz w:val="22"/>
          <w:szCs w:val="22"/>
        </w:rPr>
        <w:t xml:space="preserve">that are </w:t>
      </w:r>
      <w:r w:rsidR="00B45B21">
        <w:rPr>
          <w:sz w:val="22"/>
          <w:szCs w:val="22"/>
        </w:rPr>
        <w:t xml:space="preserve">included </w:t>
      </w:r>
      <w:r w:rsidR="00FF0C91">
        <w:rPr>
          <w:sz w:val="22"/>
          <w:szCs w:val="22"/>
        </w:rPr>
        <w:t>w</w:t>
      </w:r>
      <w:r w:rsidR="009968E9">
        <w:rPr>
          <w:sz w:val="22"/>
          <w:szCs w:val="22"/>
        </w:rPr>
        <w:t>ithin Bradford Council’s</w:t>
      </w:r>
      <w:r w:rsidR="00ED5103">
        <w:rPr>
          <w:sz w:val="22"/>
          <w:szCs w:val="22"/>
        </w:rPr>
        <w:t xml:space="preserve"> proposed</w:t>
      </w:r>
      <w:r w:rsidR="00FF0C91">
        <w:rPr>
          <w:sz w:val="22"/>
          <w:szCs w:val="22"/>
        </w:rPr>
        <w:t xml:space="preserve"> funding approach </w:t>
      </w:r>
      <w:r w:rsidR="00467EF2">
        <w:rPr>
          <w:sz w:val="22"/>
          <w:szCs w:val="22"/>
        </w:rPr>
        <w:t>for 2023/24</w:t>
      </w:r>
      <w:r w:rsidR="00B45B21">
        <w:rPr>
          <w:sz w:val="22"/>
          <w:szCs w:val="22"/>
        </w:rPr>
        <w:t>,</w:t>
      </w:r>
      <w:r w:rsidR="009968E9">
        <w:rPr>
          <w:sz w:val="22"/>
          <w:szCs w:val="22"/>
        </w:rPr>
        <w:t xml:space="preserve"> </w:t>
      </w:r>
      <w:r w:rsidR="00C42B9F">
        <w:rPr>
          <w:sz w:val="22"/>
          <w:szCs w:val="22"/>
        </w:rPr>
        <w:t>and how and where they are applied.</w:t>
      </w:r>
    </w:p>
    <w:p w:rsidR="00C42B9F" w:rsidRDefault="00C42B9F" w:rsidP="00C6158B">
      <w:pPr>
        <w:jc w:val="both"/>
        <w:rPr>
          <w:sz w:val="22"/>
          <w:szCs w:val="22"/>
        </w:rPr>
      </w:pPr>
    </w:p>
    <w:p w:rsidR="00C42B9F" w:rsidRDefault="001B1A21" w:rsidP="00C6158B">
      <w:pPr>
        <w:jc w:val="both"/>
        <w:rPr>
          <w:sz w:val="22"/>
          <w:szCs w:val="22"/>
        </w:rPr>
      </w:pPr>
      <w:r>
        <w:rPr>
          <w:sz w:val="22"/>
          <w:szCs w:val="22"/>
        </w:rPr>
        <w:t>7</w:t>
      </w:r>
      <w:r w:rsidR="00604725">
        <w:rPr>
          <w:sz w:val="22"/>
          <w:szCs w:val="22"/>
        </w:rPr>
        <w:t>.4</w:t>
      </w:r>
      <w:r w:rsidR="00737E3D">
        <w:rPr>
          <w:sz w:val="22"/>
          <w:szCs w:val="22"/>
        </w:rPr>
        <w:t xml:space="preserve"> These factors,</w:t>
      </w:r>
      <w:r w:rsidR="00C42B9F">
        <w:rPr>
          <w:sz w:val="22"/>
          <w:szCs w:val="22"/>
        </w:rPr>
        <w:t xml:space="preserve"> in summary</w:t>
      </w:r>
      <w:r w:rsidR="00737E3D">
        <w:rPr>
          <w:sz w:val="22"/>
          <w:szCs w:val="22"/>
        </w:rPr>
        <w:t>, are</w:t>
      </w:r>
      <w:r w:rsidR="00C42B9F">
        <w:rPr>
          <w:sz w:val="22"/>
          <w:szCs w:val="22"/>
        </w:rPr>
        <w:t>:</w:t>
      </w:r>
    </w:p>
    <w:p w:rsidR="00C42B9F" w:rsidRDefault="00C42B9F" w:rsidP="00C6158B">
      <w:pPr>
        <w:jc w:val="both"/>
        <w:rPr>
          <w:sz w:val="22"/>
          <w:szCs w:val="22"/>
        </w:rPr>
      </w:pPr>
    </w:p>
    <w:p w:rsidR="00C42B9F" w:rsidRDefault="00DF131E" w:rsidP="00373923">
      <w:pPr>
        <w:pStyle w:val="ListParagraph"/>
        <w:numPr>
          <w:ilvl w:val="0"/>
          <w:numId w:val="6"/>
        </w:numPr>
        <w:ind w:left="360"/>
        <w:jc w:val="both"/>
        <w:rPr>
          <w:sz w:val="22"/>
          <w:szCs w:val="22"/>
        </w:rPr>
      </w:pPr>
      <w:r>
        <w:rPr>
          <w:sz w:val="22"/>
          <w:szCs w:val="22"/>
        </w:rPr>
        <w:t>Maintained special schools and s</w:t>
      </w:r>
      <w:r w:rsidR="00DE780F">
        <w:rPr>
          <w:sz w:val="22"/>
          <w:szCs w:val="22"/>
        </w:rPr>
        <w:t>pecial</w:t>
      </w:r>
      <w:r w:rsidR="00ED5103">
        <w:rPr>
          <w:sz w:val="22"/>
          <w:szCs w:val="22"/>
        </w:rPr>
        <w:t xml:space="preserve"> school</w:t>
      </w:r>
      <w:r w:rsidR="00DE780F">
        <w:rPr>
          <w:sz w:val="22"/>
          <w:szCs w:val="22"/>
        </w:rPr>
        <w:t xml:space="preserve"> academies:</w:t>
      </w:r>
      <w:r w:rsidR="00467EF2">
        <w:rPr>
          <w:sz w:val="22"/>
          <w:szCs w:val="22"/>
        </w:rPr>
        <w:t xml:space="preserve"> split sites; post-</w:t>
      </w:r>
      <w:r w:rsidR="00FF6524">
        <w:rPr>
          <w:sz w:val="22"/>
          <w:szCs w:val="22"/>
        </w:rPr>
        <w:t>16 E</w:t>
      </w:r>
      <w:r w:rsidR="009E6D2E">
        <w:rPr>
          <w:sz w:val="22"/>
          <w:szCs w:val="22"/>
        </w:rPr>
        <w:t>lement 1 enhancement; new services delegation; small setting protection; 3% cash budget protection.</w:t>
      </w:r>
    </w:p>
    <w:p w:rsidR="00DE780F" w:rsidRDefault="00DE780F" w:rsidP="00373923">
      <w:pPr>
        <w:pStyle w:val="ListParagraph"/>
        <w:ind w:left="360"/>
        <w:jc w:val="both"/>
        <w:rPr>
          <w:sz w:val="22"/>
          <w:szCs w:val="22"/>
        </w:rPr>
      </w:pPr>
    </w:p>
    <w:p w:rsidR="001B1A21" w:rsidRDefault="001B1A21" w:rsidP="00373923">
      <w:pPr>
        <w:pStyle w:val="ListParagraph"/>
        <w:numPr>
          <w:ilvl w:val="0"/>
          <w:numId w:val="6"/>
        </w:numPr>
        <w:ind w:left="360"/>
        <w:jc w:val="both"/>
        <w:rPr>
          <w:sz w:val="22"/>
          <w:szCs w:val="22"/>
        </w:rPr>
      </w:pPr>
      <w:r>
        <w:rPr>
          <w:sz w:val="22"/>
          <w:szCs w:val="22"/>
        </w:rPr>
        <w:t>School-Led</w:t>
      </w:r>
      <w:r w:rsidR="00ED5103">
        <w:rPr>
          <w:sz w:val="22"/>
          <w:szCs w:val="22"/>
        </w:rPr>
        <w:t xml:space="preserve"> Resourced Provisions</w:t>
      </w:r>
      <w:r w:rsidR="00DE780F">
        <w:rPr>
          <w:sz w:val="22"/>
          <w:szCs w:val="22"/>
        </w:rPr>
        <w:t xml:space="preserve"> attached to mainstream primary and secondary schools and academies:</w:t>
      </w:r>
      <w:r w:rsidR="009E6D2E">
        <w:rPr>
          <w:sz w:val="22"/>
          <w:szCs w:val="22"/>
        </w:rPr>
        <w:t xml:space="preserve"> small setting prote</w:t>
      </w:r>
      <w:r>
        <w:rPr>
          <w:sz w:val="22"/>
          <w:szCs w:val="22"/>
        </w:rPr>
        <w:t xml:space="preserve">ction; </w:t>
      </w:r>
      <w:r w:rsidR="00604B1D">
        <w:rPr>
          <w:sz w:val="22"/>
          <w:szCs w:val="22"/>
        </w:rPr>
        <w:t>3% cash budget protection.</w:t>
      </w:r>
    </w:p>
    <w:p w:rsidR="00ED5103" w:rsidRDefault="00ED5103" w:rsidP="00373923">
      <w:pPr>
        <w:pStyle w:val="ListParagraph"/>
        <w:ind w:left="360"/>
        <w:jc w:val="both"/>
        <w:rPr>
          <w:sz w:val="22"/>
          <w:szCs w:val="22"/>
        </w:rPr>
      </w:pPr>
    </w:p>
    <w:p w:rsidR="00ED5103" w:rsidRDefault="00ED5103" w:rsidP="00373923">
      <w:pPr>
        <w:pStyle w:val="ListParagraph"/>
        <w:numPr>
          <w:ilvl w:val="0"/>
          <w:numId w:val="6"/>
        </w:numPr>
        <w:ind w:left="360"/>
        <w:jc w:val="both"/>
        <w:rPr>
          <w:sz w:val="22"/>
          <w:szCs w:val="22"/>
        </w:rPr>
      </w:pPr>
      <w:r>
        <w:rPr>
          <w:sz w:val="22"/>
          <w:szCs w:val="22"/>
        </w:rPr>
        <w:t>Early Years Enhanced Specialist Provisions attached to maintained nursery schools: small setting protection.</w:t>
      </w:r>
    </w:p>
    <w:p w:rsidR="00ED5103" w:rsidRPr="001B1A21" w:rsidRDefault="00ED5103" w:rsidP="00D92075">
      <w:pPr>
        <w:jc w:val="both"/>
        <w:rPr>
          <w:sz w:val="22"/>
          <w:szCs w:val="22"/>
        </w:rPr>
      </w:pPr>
    </w:p>
    <w:p w:rsidR="00EB4729" w:rsidRPr="00D92075" w:rsidRDefault="00D92075" w:rsidP="00D92075">
      <w:pPr>
        <w:jc w:val="both"/>
        <w:rPr>
          <w:sz w:val="22"/>
          <w:szCs w:val="22"/>
        </w:rPr>
      </w:pPr>
      <w:r>
        <w:rPr>
          <w:sz w:val="22"/>
          <w:szCs w:val="22"/>
        </w:rPr>
        <w:t xml:space="preserve">7.5 </w:t>
      </w:r>
      <w:r w:rsidR="00B25364" w:rsidRPr="00D92075">
        <w:rPr>
          <w:sz w:val="22"/>
          <w:szCs w:val="22"/>
        </w:rPr>
        <w:t>F</w:t>
      </w:r>
      <w:r w:rsidRPr="00D92075">
        <w:rPr>
          <w:sz w:val="22"/>
          <w:szCs w:val="22"/>
        </w:rPr>
        <w:t>or 2023/24</w:t>
      </w:r>
      <w:r w:rsidR="006F0179">
        <w:rPr>
          <w:sz w:val="22"/>
          <w:szCs w:val="22"/>
        </w:rPr>
        <w:t>,</w:t>
      </w:r>
      <w:r w:rsidR="00D14C6F" w:rsidRPr="00D92075">
        <w:rPr>
          <w:sz w:val="22"/>
          <w:szCs w:val="22"/>
        </w:rPr>
        <w:t xml:space="preserve"> we</w:t>
      </w:r>
      <w:r w:rsidRPr="00D92075">
        <w:rPr>
          <w:sz w:val="22"/>
          <w:szCs w:val="22"/>
        </w:rPr>
        <w:t xml:space="preserve"> do not</w:t>
      </w:r>
      <w:r w:rsidR="00D14C6F" w:rsidRPr="00D92075">
        <w:rPr>
          <w:sz w:val="22"/>
          <w:szCs w:val="22"/>
        </w:rPr>
        <w:t xml:space="preserve"> propose </w:t>
      </w:r>
      <w:r w:rsidR="00737E3D">
        <w:rPr>
          <w:sz w:val="22"/>
          <w:szCs w:val="22"/>
        </w:rPr>
        <w:t>to make</w:t>
      </w:r>
      <w:r w:rsidRPr="00D92075">
        <w:rPr>
          <w:sz w:val="22"/>
          <w:szCs w:val="22"/>
        </w:rPr>
        <w:t xml:space="preserve"> chang</w:t>
      </w:r>
      <w:r w:rsidR="00A224E6">
        <w:rPr>
          <w:sz w:val="22"/>
          <w:szCs w:val="22"/>
        </w:rPr>
        <w:t>es to</w:t>
      </w:r>
      <w:r w:rsidRPr="00D92075">
        <w:rPr>
          <w:sz w:val="22"/>
          <w:szCs w:val="22"/>
        </w:rPr>
        <w:t xml:space="preserve"> these fac</w:t>
      </w:r>
      <w:r w:rsidR="00737E3D">
        <w:rPr>
          <w:sz w:val="22"/>
          <w:szCs w:val="22"/>
        </w:rPr>
        <w:t>tors</w:t>
      </w:r>
      <w:r w:rsidR="00CE7FEE">
        <w:rPr>
          <w:sz w:val="22"/>
          <w:szCs w:val="22"/>
        </w:rPr>
        <w:t>,</w:t>
      </w:r>
      <w:r w:rsidRPr="00D92075">
        <w:rPr>
          <w:sz w:val="22"/>
          <w:szCs w:val="22"/>
        </w:rPr>
        <w:t xml:space="preserve"> with the exception of a</w:t>
      </w:r>
      <w:r>
        <w:rPr>
          <w:sz w:val="22"/>
          <w:szCs w:val="22"/>
        </w:rPr>
        <w:t xml:space="preserve"> change to the</w:t>
      </w:r>
      <w:r w:rsidR="00467EF2">
        <w:rPr>
          <w:sz w:val="22"/>
          <w:szCs w:val="22"/>
        </w:rPr>
        <w:t xml:space="preserve"> value of the Post-</w:t>
      </w:r>
      <w:r w:rsidR="00EB4729" w:rsidRPr="00D92075">
        <w:rPr>
          <w:sz w:val="22"/>
          <w:szCs w:val="22"/>
        </w:rPr>
        <w:t xml:space="preserve">16 Element 1 </w:t>
      </w:r>
      <w:r w:rsidR="009968E9" w:rsidRPr="00D92075">
        <w:rPr>
          <w:sz w:val="22"/>
          <w:szCs w:val="22"/>
        </w:rPr>
        <w:t xml:space="preserve">Enhancement </w:t>
      </w:r>
      <w:r w:rsidR="00EB4729" w:rsidRPr="00D92075">
        <w:rPr>
          <w:sz w:val="22"/>
          <w:szCs w:val="22"/>
        </w:rPr>
        <w:t>factor for special schoo</w:t>
      </w:r>
      <w:r w:rsidR="00382C79" w:rsidRPr="00D92075">
        <w:rPr>
          <w:sz w:val="22"/>
          <w:szCs w:val="22"/>
        </w:rPr>
        <w:t>ls</w:t>
      </w:r>
      <w:r w:rsidR="00DF131E" w:rsidRPr="00D92075">
        <w:rPr>
          <w:sz w:val="22"/>
          <w:szCs w:val="22"/>
        </w:rPr>
        <w:t xml:space="preserve"> and special school academies</w:t>
      </w:r>
      <w:r>
        <w:rPr>
          <w:sz w:val="22"/>
          <w:szCs w:val="22"/>
        </w:rPr>
        <w:t xml:space="preserve">. As the notional Element 1 </w:t>
      </w:r>
      <w:r w:rsidR="006F0179">
        <w:rPr>
          <w:sz w:val="22"/>
          <w:szCs w:val="22"/>
        </w:rPr>
        <w:t>value</w:t>
      </w:r>
      <w:r w:rsidR="00467EF2">
        <w:rPr>
          <w:sz w:val="22"/>
          <w:szCs w:val="22"/>
        </w:rPr>
        <w:t xml:space="preserve"> in the national Post-</w:t>
      </w:r>
      <w:r>
        <w:rPr>
          <w:sz w:val="22"/>
          <w:szCs w:val="22"/>
        </w:rPr>
        <w:t xml:space="preserve">16 </w:t>
      </w:r>
      <w:r w:rsidR="006F0179">
        <w:rPr>
          <w:sz w:val="22"/>
          <w:szCs w:val="22"/>
        </w:rPr>
        <w:t>f</w:t>
      </w:r>
      <w:r>
        <w:rPr>
          <w:sz w:val="22"/>
          <w:szCs w:val="22"/>
        </w:rPr>
        <w:t xml:space="preserve">unding </w:t>
      </w:r>
      <w:r w:rsidR="006F0179">
        <w:rPr>
          <w:sz w:val="22"/>
          <w:szCs w:val="22"/>
        </w:rPr>
        <w:t>f</w:t>
      </w:r>
      <w:r>
        <w:rPr>
          <w:sz w:val="22"/>
          <w:szCs w:val="22"/>
        </w:rPr>
        <w:t>ormula has increased from £5,200 to £5,600 for the 2022/23 academic y</w:t>
      </w:r>
      <w:r w:rsidR="00CE7FEE">
        <w:rPr>
          <w:sz w:val="22"/>
          <w:szCs w:val="22"/>
        </w:rPr>
        <w:t>ear, we propose to</w:t>
      </w:r>
      <w:r>
        <w:rPr>
          <w:sz w:val="22"/>
          <w:szCs w:val="22"/>
        </w:rPr>
        <w:t xml:space="preserve"> adjust the value of the Enhancement factor from £1,200 to £1,600.</w:t>
      </w:r>
      <w:r w:rsidR="006F0179">
        <w:rPr>
          <w:sz w:val="22"/>
          <w:szCs w:val="22"/>
        </w:rPr>
        <w:t xml:space="preserve"> All </w:t>
      </w:r>
      <w:r w:rsidR="006F0179" w:rsidRPr="00467EF2">
        <w:rPr>
          <w:color w:val="000000" w:themeColor="text1"/>
          <w:sz w:val="22"/>
          <w:szCs w:val="22"/>
        </w:rPr>
        <w:t>other setting-led need factors are proposed to be calculated in 2023/24 using the same formula</w:t>
      </w:r>
      <w:r w:rsidR="00CE7FEE" w:rsidRPr="00467EF2">
        <w:rPr>
          <w:color w:val="000000" w:themeColor="text1"/>
          <w:sz w:val="22"/>
          <w:szCs w:val="22"/>
        </w:rPr>
        <w:t>e and</w:t>
      </w:r>
      <w:r w:rsidR="006F0179" w:rsidRPr="00467EF2">
        <w:rPr>
          <w:color w:val="000000" w:themeColor="text1"/>
          <w:sz w:val="22"/>
          <w:szCs w:val="22"/>
        </w:rPr>
        <w:t xml:space="preserve"> </w:t>
      </w:r>
      <w:r w:rsidR="00737E3D" w:rsidRPr="00467EF2">
        <w:rPr>
          <w:color w:val="000000" w:themeColor="text1"/>
          <w:sz w:val="22"/>
          <w:szCs w:val="22"/>
        </w:rPr>
        <w:t xml:space="preserve">same </w:t>
      </w:r>
      <w:r w:rsidR="006F0179" w:rsidRPr="00467EF2">
        <w:rPr>
          <w:color w:val="000000" w:themeColor="text1"/>
          <w:sz w:val="22"/>
          <w:szCs w:val="22"/>
        </w:rPr>
        <w:t xml:space="preserve">factor values as used in 2022/23. </w:t>
      </w:r>
      <w:r w:rsidR="00A224E6" w:rsidRPr="00467EF2">
        <w:rPr>
          <w:color w:val="000000" w:themeColor="text1"/>
          <w:sz w:val="22"/>
          <w:szCs w:val="22"/>
        </w:rPr>
        <w:t>Please note that we are not proposing to uplift the values of these factors in 2023/24.</w:t>
      </w:r>
      <w:r w:rsidR="00EC6184" w:rsidRPr="00467EF2">
        <w:rPr>
          <w:color w:val="000000" w:themeColor="text1"/>
          <w:sz w:val="22"/>
          <w:szCs w:val="22"/>
        </w:rPr>
        <w:t xml:space="preserve"> </w:t>
      </w:r>
    </w:p>
    <w:p w:rsidR="00FF6524" w:rsidRPr="00540764" w:rsidRDefault="00FF6524" w:rsidP="008237ED">
      <w:pPr>
        <w:jc w:val="both"/>
        <w:rPr>
          <w:sz w:val="22"/>
          <w:szCs w:val="22"/>
        </w:rPr>
      </w:pPr>
    </w:p>
    <w:p w:rsidR="008237ED" w:rsidRPr="00540764" w:rsidRDefault="00CE7FEE" w:rsidP="008237ED">
      <w:pPr>
        <w:jc w:val="both"/>
        <w:rPr>
          <w:sz w:val="22"/>
          <w:szCs w:val="22"/>
        </w:rPr>
      </w:pPr>
      <w:r>
        <w:rPr>
          <w:sz w:val="22"/>
          <w:szCs w:val="22"/>
        </w:rPr>
        <w:t>7.6</w:t>
      </w:r>
      <w:r w:rsidR="008237ED" w:rsidRPr="00540764">
        <w:rPr>
          <w:sz w:val="22"/>
          <w:szCs w:val="22"/>
        </w:rPr>
        <w:t xml:space="preserve"> Setting-Led Need top-up is calculated</w:t>
      </w:r>
      <w:r w:rsidR="00DF131E">
        <w:rPr>
          <w:sz w:val="22"/>
          <w:szCs w:val="22"/>
        </w:rPr>
        <w:t xml:space="preserve"> and re-calculated</w:t>
      </w:r>
      <w:r w:rsidR="008237ED" w:rsidRPr="00540764">
        <w:rPr>
          <w:sz w:val="22"/>
          <w:szCs w:val="22"/>
        </w:rPr>
        <w:t xml:space="preserve"> alongside Pupil-Led Need top-up on a monthly basis following the same timetable set out in paragraph</w:t>
      </w:r>
      <w:r w:rsidR="001B1A21" w:rsidRPr="00540764">
        <w:rPr>
          <w:sz w:val="22"/>
          <w:szCs w:val="22"/>
        </w:rPr>
        <w:t xml:space="preserve"> 6</w:t>
      </w:r>
      <w:r w:rsidR="00DA6D07" w:rsidRPr="00540764">
        <w:rPr>
          <w:sz w:val="22"/>
          <w:szCs w:val="22"/>
        </w:rPr>
        <w:t>.6</w:t>
      </w:r>
      <w:r w:rsidR="008237ED" w:rsidRPr="00540764">
        <w:rPr>
          <w:sz w:val="22"/>
          <w:szCs w:val="22"/>
        </w:rPr>
        <w:t>.</w:t>
      </w:r>
    </w:p>
    <w:p w:rsidR="008237ED" w:rsidRDefault="008237ED" w:rsidP="008237ED">
      <w:pPr>
        <w:jc w:val="both"/>
        <w:rPr>
          <w:sz w:val="22"/>
          <w:szCs w:val="22"/>
        </w:rPr>
      </w:pPr>
    </w:p>
    <w:p w:rsidR="00414949" w:rsidRDefault="00DA6D07" w:rsidP="00414949">
      <w:pPr>
        <w:jc w:val="both"/>
        <w:rPr>
          <w:b/>
          <w:color w:val="548DD4" w:themeColor="text2" w:themeTint="99"/>
          <w:sz w:val="22"/>
          <w:szCs w:val="22"/>
        </w:rPr>
      </w:pPr>
      <w:r>
        <w:rPr>
          <w:b/>
          <w:color w:val="548DD4" w:themeColor="text2" w:themeTint="99"/>
          <w:sz w:val="22"/>
          <w:szCs w:val="22"/>
        </w:rPr>
        <w:t>Question 3</w:t>
      </w:r>
      <w:r w:rsidR="00380B51">
        <w:rPr>
          <w:b/>
          <w:color w:val="548DD4" w:themeColor="text2" w:themeTint="99"/>
          <w:sz w:val="22"/>
          <w:szCs w:val="22"/>
        </w:rPr>
        <w:t xml:space="preserve"> – Do you agree with </w:t>
      </w:r>
      <w:r w:rsidR="00737E3D">
        <w:rPr>
          <w:b/>
          <w:color w:val="548DD4" w:themeColor="text2" w:themeTint="99"/>
          <w:sz w:val="22"/>
          <w:szCs w:val="22"/>
        </w:rPr>
        <w:t xml:space="preserve">the approach to </w:t>
      </w:r>
      <w:r w:rsidR="00380B51">
        <w:rPr>
          <w:b/>
          <w:color w:val="548DD4" w:themeColor="text2" w:themeTint="99"/>
          <w:sz w:val="22"/>
          <w:szCs w:val="22"/>
        </w:rPr>
        <w:t>setting-led need factors</w:t>
      </w:r>
      <w:r w:rsidR="00737E3D">
        <w:rPr>
          <w:b/>
          <w:color w:val="548DD4" w:themeColor="text2" w:themeTint="99"/>
          <w:sz w:val="22"/>
          <w:szCs w:val="22"/>
        </w:rPr>
        <w:t xml:space="preserve"> in 2023/24 that is proposed</w:t>
      </w:r>
      <w:r w:rsidR="00380B51">
        <w:rPr>
          <w:b/>
          <w:color w:val="548DD4" w:themeColor="text2" w:themeTint="99"/>
          <w:sz w:val="22"/>
          <w:szCs w:val="22"/>
        </w:rPr>
        <w:t>? If not, please can you explain why not.</w:t>
      </w:r>
    </w:p>
    <w:p w:rsidR="00380B51" w:rsidRDefault="00380B51" w:rsidP="00414949">
      <w:pPr>
        <w:jc w:val="both"/>
        <w:rPr>
          <w:b/>
          <w:color w:val="548DD4" w:themeColor="text2" w:themeTint="99"/>
          <w:sz w:val="22"/>
          <w:szCs w:val="22"/>
        </w:rPr>
      </w:pPr>
    </w:p>
    <w:p w:rsidR="00380B51" w:rsidRDefault="00DA6D07" w:rsidP="00380B51">
      <w:pPr>
        <w:jc w:val="both"/>
        <w:rPr>
          <w:b/>
          <w:color w:val="548DD4" w:themeColor="text2" w:themeTint="99"/>
          <w:sz w:val="22"/>
          <w:szCs w:val="22"/>
        </w:rPr>
      </w:pPr>
      <w:r>
        <w:rPr>
          <w:b/>
          <w:color w:val="548DD4" w:themeColor="text2" w:themeTint="99"/>
          <w:sz w:val="22"/>
          <w:szCs w:val="22"/>
        </w:rPr>
        <w:t>Question 4</w:t>
      </w:r>
      <w:r w:rsidR="00380B51">
        <w:rPr>
          <w:b/>
          <w:color w:val="548DD4" w:themeColor="text2" w:themeTint="99"/>
          <w:sz w:val="22"/>
          <w:szCs w:val="22"/>
        </w:rPr>
        <w:t xml:space="preserve"> – Do you have any comments (including technical comments) on the setting-led need factors you would like the Authority to consider</w:t>
      </w:r>
      <w:r w:rsidR="00737E3D">
        <w:rPr>
          <w:b/>
          <w:color w:val="548DD4" w:themeColor="text2" w:themeTint="99"/>
          <w:sz w:val="22"/>
          <w:szCs w:val="22"/>
        </w:rPr>
        <w:t xml:space="preserve"> for 2023/24</w:t>
      </w:r>
      <w:r w:rsidR="00380B51">
        <w:rPr>
          <w:b/>
          <w:color w:val="548DD4" w:themeColor="text2" w:themeTint="99"/>
          <w:sz w:val="22"/>
          <w:szCs w:val="22"/>
        </w:rPr>
        <w:t xml:space="preserve">? </w:t>
      </w:r>
    </w:p>
    <w:p w:rsidR="001B1A21" w:rsidRDefault="001B1A21" w:rsidP="00E724B2">
      <w:pPr>
        <w:jc w:val="both"/>
        <w:rPr>
          <w:sz w:val="22"/>
          <w:szCs w:val="22"/>
        </w:rPr>
      </w:pPr>
    </w:p>
    <w:p w:rsidR="00E724B2" w:rsidRDefault="00E724B2" w:rsidP="00DE780F">
      <w:pPr>
        <w:ind w:left="360"/>
        <w:jc w:val="both"/>
        <w:rPr>
          <w:sz w:val="22"/>
          <w:szCs w:val="22"/>
        </w:rPr>
      </w:pPr>
    </w:p>
    <w:p w:rsidR="009968E9" w:rsidRPr="00A67C0B" w:rsidRDefault="009968E9" w:rsidP="009968E9">
      <w:pPr>
        <w:jc w:val="both"/>
        <w:rPr>
          <w:sz w:val="22"/>
          <w:szCs w:val="22"/>
        </w:rPr>
      </w:pPr>
      <w:r w:rsidRPr="00A67C0B">
        <w:rPr>
          <w:b/>
          <w:sz w:val="22"/>
          <w:szCs w:val="22"/>
        </w:rPr>
        <w:t>8.</w:t>
      </w:r>
      <w:r w:rsidRPr="00A67C0B">
        <w:rPr>
          <w:b/>
          <w:sz w:val="22"/>
          <w:szCs w:val="22"/>
        </w:rPr>
        <w:tab/>
        <w:t>PRUs</w:t>
      </w:r>
      <w:r w:rsidR="00540764">
        <w:rPr>
          <w:b/>
          <w:sz w:val="22"/>
          <w:szCs w:val="22"/>
        </w:rPr>
        <w:t xml:space="preserve"> and Alternative Provision</w:t>
      </w:r>
      <w:r w:rsidR="00445750">
        <w:rPr>
          <w:b/>
          <w:sz w:val="22"/>
          <w:szCs w:val="22"/>
        </w:rPr>
        <w:t xml:space="preserve"> Academies</w:t>
      </w:r>
      <w:r w:rsidR="00EC6184">
        <w:rPr>
          <w:b/>
          <w:sz w:val="22"/>
          <w:szCs w:val="22"/>
        </w:rPr>
        <w:t xml:space="preserve"> 2023/24</w:t>
      </w:r>
      <w:r w:rsidRPr="00A67C0B">
        <w:rPr>
          <w:b/>
          <w:sz w:val="22"/>
          <w:szCs w:val="22"/>
        </w:rPr>
        <w:t xml:space="preserve"> – Day Rate </w:t>
      </w:r>
      <w:r w:rsidR="00D32993">
        <w:rPr>
          <w:b/>
          <w:sz w:val="22"/>
          <w:szCs w:val="22"/>
        </w:rPr>
        <w:t>Top-up</w:t>
      </w:r>
      <w:r w:rsidR="00C64DE9" w:rsidRPr="00A67C0B">
        <w:rPr>
          <w:b/>
          <w:sz w:val="22"/>
          <w:szCs w:val="22"/>
        </w:rPr>
        <w:t xml:space="preserve"> </w:t>
      </w:r>
      <w:r w:rsidRPr="00A67C0B">
        <w:rPr>
          <w:b/>
          <w:sz w:val="22"/>
          <w:szCs w:val="22"/>
        </w:rPr>
        <w:t>Funding Model</w:t>
      </w:r>
    </w:p>
    <w:p w:rsidR="004B4608" w:rsidRDefault="004B4608" w:rsidP="00897157">
      <w:pPr>
        <w:jc w:val="both"/>
        <w:rPr>
          <w:b/>
          <w:color w:val="FF0000"/>
          <w:sz w:val="22"/>
          <w:szCs w:val="22"/>
        </w:rPr>
      </w:pPr>
    </w:p>
    <w:p w:rsidR="00AC7F09" w:rsidRDefault="00AC7F09" w:rsidP="00AC7F09">
      <w:pPr>
        <w:jc w:val="both"/>
        <w:rPr>
          <w:sz w:val="22"/>
          <w:szCs w:val="22"/>
        </w:rPr>
      </w:pPr>
      <w:r>
        <w:rPr>
          <w:sz w:val="22"/>
          <w:szCs w:val="22"/>
        </w:rPr>
        <w:t>8.1</w:t>
      </w:r>
      <w:r w:rsidR="00374AFD">
        <w:rPr>
          <w:sz w:val="22"/>
          <w:szCs w:val="22"/>
        </w:rPr>
        <w:t xml:space="preserve"> This section sets out the</w:t>
      </w:r>
      <w:r>
        <w:rPr>
          <w:sz w:val="22"/>
          <w:szCs w:val="22"/>
        </w:rPr>
        <w:t xml:space="preserve"> proposed </w:t>
      </w:r>
      <w:r w:rsidR="00374AFD">
        <w:rPr>
          <w:sz w:val="22"/>
          <w:szCs w:val="22"/>
        </w:rPr>
        <w:t>approach to</w:t>
      </w:r>
      <w:r>
        <w:rPr>
          <w:sz w:val="22"/>
          <w:szCs w:val="22"/>
        </w:rPr>
        <w:t xml:space="preserve"> the continuation of the</w:t>
      </w:r>
      <w:r w:rsidR="00EC6184">
        <w:rPr>
          <w:sz w:val="22"/>
          <w:szCs w:val="22"/>
        </w:rPr>
        <w:t xml:space="preserve"> Authority’s calculation of top-</w:t>
      </w:r>
      <w:r>
        <w:rPr>
          <w:sz w:val="22"/>
          <w:szCs w:val="22"/>
        </w:rPr>
        <w:t xml:space="preserve">up funding to support the cost of provision </w:t>
      </w:r>
      <w:r w:rsidR="00BD3968">
        <w:rPr>
          <w:sz w:val="22"/>
          <w:szCs w:val="22"/>
        </w:rPr>
        <w:t>for pupils permanently excluded</w:t>
      </w:r>
      <w:r w:rsidR="00337202">
        <w:rPr>
          <w:sz w:val="22"/>
          <w:szCs w:val="22"/>
        </w:rPr>
        <w:t xml:space="preserve"> and placed by the Authority</w:t>
      </w:r>
      <w:r w:rsidR="00DC17AD">
        <w:rPr>
          <w:sz w:val="22"/>
          <w:szCs w:val="22"/>
        </w:rPr>
        <w:t xml:space="preserve"> in Park Aspire</w:t>
      </w:r>
      <w:r>
        <w:rPr>
          <w:sz w:val="22"/>
          <w:szCs w:val="22"/>
        </w:rPr>
        <w:t xml:space="preserve"> and </w:t>
      </w:r>
      <w:r w:rsidR="00D856F2">
        <w:rPr>
          <w:sz w:val="22"/>
          <w:szCs w:val="22"/>
        </w:rPr>
        <w:t xml:space="preserve">in </w:t>
      </w:r>
      <w:r>
        <w:rPr>
          <w:sz w:val="22"/>
          <w:szCs w:val="22"/>
        </w:rPr>
        <w:t>Bradford Alternative Provision Academy Central (</w:t>
      </w:r>
      <w:r w:rsidR="00786F23">
        <w:rPr>
          <w:sz w:val="22"/>
          <w:szCs w:val="22"/>
        </w:rPr>
        <w:t>BAPA</w:t>
      </w:r>
      <w:r>
        <w:rPr>
          <w:sz w:val="22"/>
          <w:szCs w:val="22"/>
        </w:rPr>
        <w:t xml:space="preserve">). The methodology </w:t>
      </w:r>
      <w:r w:rsidR="009D64BB">
        <w:rPr>
          <w:sz w:val="22"/>
          <w:szCs w:val="22"/>
        </w:rPr>
        <w:t>and principles set out here</w:t>
      </w:r>
      <w:r>
        <w:rPr>
          <w:sz w:val="22"/>
          <w:szCs w:val="22"/>
        </w:rPr>
        <w:t xml:space="preserve"> also extend to the Authority’s funding of </w:t>
      </w:r>
      <w:r w:rsidR="00D32993">
        <w:rPr>
          <w:sz w:val="22"/>
          <w:szCs w:val="22"/>
        </w:rPr>
        <w:t>top-up</w:t>
      </w:r>
      <w:r>
        <w:rPr>
          <w:sz w:val="22"/>
          <w:szCs w:val="22"/>
        </w:rPr>
        <w:t xml:space="preserve"> for pupils permanently excluded that may be placed in other provisions</w:t>
      </w:r>
      <w:r w:rsidR="00374AFD">
        <w:rPr>
          <w:sz w:val="22"/>
          <w:szCs w:val="22"/>
        </w:rPr>
        <w:t>, where such</w:t>
      </w:r>
      <w:r w:rsidR="00684AE4">
        <w:rPr>
          <w:sz w:val="22"/>
          <w:szCs w:val="22"/>
        </w:rPr>
        <w:t xml:space="preserve"> extension is appropriate</w:t>
      </w:r>
      <w:r>
        <w:rPr>
          <w:sz w:val="22"/>
          <w:szCs w:val="22"/>
        </w:rPr>
        <w:t>.</w:t>
      </w:r>
    </w:p>
    <w:p w:rsidR="00AC7F09" w:rsidRDefault="00AC7F09" w:rsidP="00AC7F09">
      <w:pPr>
        <w:jc w:val="both"/>
        <w:rPr>
          <w:sz w:val="22"/>
          <w:szCs w:val="22"/>
        </w:rPr>
      </w:pPr>
    </w:p>
    <w:p w:rsidR="00AC7F09" w:rsidRDefault="00C43C67" w:rsidP="00AC7F09">
      <w:pPr>
        <w:jc w:val="both"/>
        <w:rPr>
          <w:sz w:val="22"/>
          <w:szCs w:val="22"/>
        </w:rPr>
      </w:pPr>
      <w:r>
        <w:rPr>
          <w:sz w:val="22"/>
          <w:szCs w:val="22"/>
        </w:rPr>
        <w:t>8.2 Park Aspire</w:t>
      </w:r>
      <w:r w:rsidR="00AC7F09">
        <w:rPr>
          <w:sz w:val="22"/>
          <w:szCs w:val="22"/>
        </w:rPr>
        <w:t xml:space="preserve"> and </w:t>
      </w:r>
      <w:r w:rsidR="00786F23">
        <w:rPr>
          <w:sz w:val="22"/>
          <w:szCs w:val="22"/>
        </w:rPr>
        <w:t>BAPA</w:t>
      </w:r>
      <w:r w:rsidR="00AC7F09">
        <w:rPr>
          <w:sz w:val="22"/>
          <w:szCs w:val="22"/>
        </w:rPr>
        <w:t xml:space="preserve"> both receive place</w:t>
      </w:r>
      <w:r w:rsidR="00EE6704">
        <w:rPr>
          <w:sz w:val="22"/>
          <w:szCs w:val="22"/>
        </w:rPr>
        <w:t>-element</w:t>
      </w:r>
      <w:r w:rsidR="00AC7F09">
        <w:rPr>
          <w:sz w:val="22"/>
          <w:szCs w:val="22"/>
        </w:rPr>
        <w:t xml:space="preserve"> funding from the High Needs Block, at £10,000 a place, as </w:t>
      </w:r>
      <w:r w:rsidR="00AC7F09" w:rsidRPr="001D7F5A">
        <w:rPr>
          <w:sz w:val="22"/>
          <w:szCs w:val="22"/>
        </w:rPr>
        <w:t xml:space="preserve">explained in </w:t>
      </w:r>
      <w:r w:rsidR="00D1596F" w:rsidRPr="001D7F5A">
        <w:rPr>
          <w:sz w:val="22"/>
          <w:szCs w:val="22"/>
        </w:rPr>
        <w:t>section</w:t>
      </w:r>
      <w:r w:rsidR="00152260" w:rsidRPr="001D7F5A">
        <w:rPr>
          <w:sz w:val="22"/>
          <w:szCs w:val="22"/>
        </w:rPr>
        <w:t xml:space="preserve"> 4</w:t>
      </w:r>
      <w:r w:rsidR="001D7F5A">
        <w:rPr>
          <w:sz w:val="22"/>
          <w:szCs w:val="22"/>
        </w:rPr>
        <w:t>. These settings</w:t>
      </w:r>
      <w:r w:rsidR="00152260" w:rsidRPr="001D7F5A">
        <w:rPr>
          <w:sz w:val="22"/>
          <w:szCs w:val="22"/>
        </w:rPr>
        <w:t xml:space="preserve"> </w:t>
      </w:r>
      <w:r w:rsidR="00152260">
        <w:rPr>
          <w:sz w:val="22"/>
          <w:szCs w:val="22"/>
        </w:rPr>
        <w:t>then</w:t>
      </w:r>
      <w:r w:rsidR="00AC7F09">
        <w:rPr>
          <w:sz w:val="22"/>
          <w:szCs w:val="22"/>
        </w:rPr>
        <w:t xml:space="preserve"> also then receive </w:t>
      </w:r>
      <w:r w:rsidR="00D32993">
        <w:rPr>
          <w:sz w:val="22"/>
          <w:szCs w:val="22"/>
        </w:rPr>
        <w:t>top-up</w:t>
      </w:r>
      <w:r w:rsidR="00AC7F09">
        <w:rPr>
          <w:sz w:val="22"/>
          <w:szCs w:val="22"/>
        </w:rPr>
        <w:t xml:space="preserve"> funding</w:t>
      </w:r>
      <w:r w:rsidR="009D64BB">
        <w:rPr>
          <w:sz w:val="22"/>
          <w:szCs w:val="22"/>
        </w:rPr>
        <w:t xml:space="preserve"> from the Authority</w:t>
      </w:r>
      <w:r w:rsidR="00BE3505">
        <w:rPr>
          <w:sz w:val="22"/>
          <w:szCs w:val="22"/>
        </w:rPr>
        <w:t xml:space="preserve"> for places </w:t>
      </w:r>
      <w:r w:rsidR="00816ACF">
        <w:rPr>
          <w:sz w:val="22"/>
          <w:szCs w:val="22"/>
        </w:rPr>
        <w:t xml:space="preserve">that are </w:t>
      </w:r>
      <w:r w:rsidR="00BE3505">
        <w:rPr>
          <w:sz w:val="22"/>
          <w:szCs w:val="22"/>
        </w:rPr>
        <w:t>occupied</w:t>
      </w:r>
      <w:r w:rsidR="00816ACF">
        <w:rPr>
          <w:sz w:val="22"/>
          <w:szCs w:val="22"/>
        </w:rPr>
        <w:t>,</w:t>
      </w:r>
      <w:r w:rsidR="00BE3505">
        <w:rPr>
          <w:sz w:val="22"/>
          <w:szCs w:val="22"/>
        </w:rPr>
        <w:t xml:space="preserve"> following the</w:t>
      </w:r>
      <w:r w:rsidR="00AC7F09">
        <w:rPr>
          <w:sz w:val="22"/>
          <w:szCs w:val="22"/>
        </w:rPr>
        <w:t xml:space="preserve"> placement of pupils permanently excluded. We introduced </w:t>
      </w:r>
      <w:r w:rsidR="00E51C35">
        <w:rPr>
          <w:sz w:val="22"/>
          <w:szCs w:val="22"/>
        </w:rPr>
        <w:t>at April 2020</w:t>
      </w:r>
      <w:r w:rsidR="00AC7F09">
        <w:rPr>
          <w:sz w:val="22"/>
          <w:szCs w:val="22"/>
        </w:rPr>
        <w:t xml:space="preserve"> a D</w:t>
      </w:r>
      <w:r w:rsidR="00152260">
        <w:rPr>
          <w:sz w:val="22"/>
          <w:szCs w:val="22"/>
        </w:rPr>
        <w:t>ay Rate Model for the calculation</w:t>
      </w:r>
      <w:r w:rsidR="00AC7F09">
        <w:rPr>
          <w:sz w:val="22"/>
          <w:szCs w:val="22"/>
        </w:rPr>
        <w:t xml:space="preserve"> of this </w:t>
      </w:r>
      <w:r w:rsidR="00D32993">
        <w:rPr>
          <w:sz w:val="22"/>
          <w:szCs w:val="22"/>
        </w:rPr>
        <w:t>top-up</w:t>
      </w:r>
      <w:r w:rsidR="00AC7F09">
        <w:rPr>
          <w:sz w:val="22"/>
          <w:szCs w:val="22"/>
        </w:rPr>
        <w:t>. A formulaic basis</w:t>
      </w:r>
      <w:r w:rsidR="001D7F5A">
        <w:rPr>
          <w:sz w:val="22"/>
          <w:szCs w:val="22"/>
        </w:rPr>
        <w:t>,</w:t>
      </w:r>
      <w:r w:rsidR="00AC7F09">
        <w:rPr>
          <w:sz w:val="22"/>
          <w:szCs w:val="22"/>
        </w:rPr>
        <w:t xml:space="preserve"> such as this</w:t>
      </w:r>
      <w:r w:rsidR="001D7F5A">
        <w:rPr>
          <w:sz w:val="22"/>
          <w:szCs w:val="22"/>
        </w:rPr>
        <w:t>,</w:t>
      </w:r>
      <w:r w:rsidR="00AC7F09">
        <w:rPr>
          <w:sz w:val="22"/>
          <w:szCs w:val="22"/>
        </w:rPr>
        <w:t xml:space="preserve"> follows the DfE’s</w:t>
      </w:r>
      <w:r w:rsidR="00816ACF">
        <w:rPr>
          <w:sz w:val="22"/>
          <w:szCs w:val="22"/>
        </w:rPr>
        <w:t xml:space="preserve"> current</w:t>
      </w:r>
      <w:r w:rsidR="00AC7F09">
        <w:rPr>
          <w:sz w:val="22"/>
          <w:szCs w:val="22"/>
        </w:rPr>
        <w:t xml:space="preserve"> expectatio</w:t>
      </w:r>
      <w:r w:rsidR="001D7F5A">
        <w:rPr>
          <w:sz w:val="22"/>
          <w:szCs w:val="22"/>
        </w:rPr>
        <w:t xml:space="preserve">n that, as </w:t>
      </w:r>
      <w:r w:rsidR="00D32993">
        <w:rPr>
          <w:sz w:val="22"/>
          <w:szCs w:val="22"/>
        </w:rPr>
        <w:t>top-up</w:t>
      </w:r>
      <w:r w:rsidR="001D7F5A">
        <w:rPr>
          <w:sz w:val="22"/>
          <w:szCs w:val="22"/>
        </w:rPr>
        <w:t xml:space="preserve"> funding for alternative provision</w:t>
      </w:r>
      <w:r w:rsidR="00AC7F09">
        <w:rPr>
          <w:sz w:val="22"/>
          <w:szCs w:val="22"/>
        </w:rPr>
        <w:t xml:space="preserve"> institutions is not usually related to an assessment of SEND, a standard predictable </w:t>
      </w:r>
      <w:r w:rsidR="00D32993">
        <w:rPr>
          <w:sz w:val="22"/>
          <w:szCs w:val="22"/>
        </w:rPr>
        <w:t>top-up</w:t>
      </w:r>
      <w:r w:rsidR="00AC7F09">
        <w:rPr>
          <w:sz w:val="22"/>
          <w:szCs w:val="22"/>
        </w:rPr>
        <w:t xml:space="preserve"> rate can be set, which reflects the overall budget needed by the institution. This budget should be built up with the understanding that a level of capacity is needed to be retained during the year, recognising that numbers on roll in PRUs</w:t>
      </w:r>
      <w:r w:rsidR="00445750">
        <w:rPr>
          <w:sz w:val="22"/>
          <w:szCs w:val="22"/>
        </w:rPr>
        <w:t xml:space="preserve"> and </w:t>
      </w:r>
      <w:r w:rsidR="001D7F5A">
        <w:rPr>
          <w:sz w:val="22"/>
          <w:szCs w:val="22"/>
        </w:rPr>
        <w:t xml:space="preserve">in </w:t>
      </w:r>
      <w:r w:rsidR="007713F2">
        <w:rPr>
          <w:sz w:val="22"/>
          <w:szCs w:val="22"/>
        </w:rPr>
        <w:t>a</w:t>
      </w:r>
      <w:r w:rsidR="001D7F5A">
        <w:rPr>
          <w:sz w:val="22"/>
          <w:szCs w:val="22"/>
        </w:rPr>
        <w:t xml:space="preserve">lternative </w:t>
      </w:r>
      <w:r w:rsidR="007713F2">
        <w:rPr>
          <w:sz w:val="22"/>
          <w:szCs w:val="22"/>
        </w:rPr>
        <w:t>p</w:t>
      </w:r>
      <w:r w:rsidR="001D7F5A">
        <w:rPr>
          <w:sz w:val="22"/>
          <w:szCs w:val="22"/>
        </w:rPr>
        <w:t>rovision</w:t>
      </w:r>
      <w:r w:rsidR="00445750">
        <w:rPr>
          <w:sz w:val="22"/>
          <w:szCs w:val="22"/>
        </w:rPr>
        <w:t xml:space="preserve"> academies</w:t>
      </w:r>
      <w:r w:rsidR="00AC7F09">
        <w:rPr>
          <w:sz w:val="22"/>
          <w:szCs w:val="22"/>
        </w:rPr>
        <w:t xml:space="preserve"> can fluctuate.</w:t>
      </w:r>
    </w:p>
    <w:p w:rsidR="00AC7F09" w:rsidRDefault="00AC7F09" w:rsidP="00897157">
      <w:pPr>
        <w:jc w:val="both"/>
        <w:rPr>
          <w:sz w:val="22"/>
          <w:szCs w:val="22"/>
        </w:rPr>
      </w:pPr>
    </w:p>
    <w:p w:rsidR="00F71017" w:rsidRDefault="00D9139E" w:rsidP="00AC7F09">
      <w:pPr>
        <w:jc w:val="both"/>
        <w:rPr>
          <w:sz w:val="22"/>
          <w:szCs w:val="22"/>
        </w:rPr>
      </w:pPr>
      <w:r>
        <w:rPr>
          <w:sz w:val="22"/>
          <w:szCs w:val="22"/>
        </w:rPr>
        <w:t>8.3 Using</w:t>
      </w:r>
      <w:r w:rsidR="00EE6704">
        <w:rPr>
          <w:sz w:val="22"/>
          <w:szCs w:val="22"/>
        </w:rPr>
        <w:t xml:space="preserve"> our</w:t>
      </w:r>
      <w:r w:rsidR="00AC7F09">
        <w:rPr>
          <w:sz w:val="22"/>
          <w:szCs w:val="22"/>
        </w:rPr>
        <w:t xml:space="preserve"> Day R</w:t>
      </w:r>
      <w:r w:rsidR="00F71017">
        <w:rPr>
          <w:sz w:val="22"/>
          <w:szCs w:val="22"/>
        </w:rPr>
        <w:t>ate Model</w:t>
      </w:r>
      <w:r w:rsidR="00AC7F09">
        <w:rPr>
          <w:sz w:val="22"/>
          <w:szCs w:val="22"/>
        </w:rPr>
        <w:t xml:space="preserve">, </w:t>
      </w:r>
      <w:r w:rsidR="00D32993">
        <w:rPr>
          <w:sz w:val="22"/>
          <w:szCs w:val="22"/>
        </w:rPr>
        <w:t>top-up</w:t>
      </w:r>
      <w:r w:rsidR="00AC7F09">
        <w:rPr>
          <w:sz w:val="22"/>
          <w:szCs w:val="22"/>
        </w:rPr>
        <w:t xml:space="preserve"> funding is allocated on an agreed £value per day, multiplied by the number of days of provision expected to be delivered weekly / monthly / termly / annually. </w:t>
      </w:r>
      <w:r w:rsidR="00B02994">
        <w:rPr>
          <w:sz w:val="22"/>
          <w:szCs w:val="22"/>
        </w:rPr>
        <w:t xml:space="preserve">The total number of annual days is 195. </w:t>
      </w:r>
      <w:r w:rsidR="00EE6704">
        <w:rPr>
          <w:sz w:val="22"/>
          <w:szCs w:val="22"/>
        </w:rPr>
        <w:t>The value of the day rate</w:t>
      </w:r>
      <w:r w:rsidR="00AC7F09">
        <w:rPr>
          <w:sz w:val="22"/>
          <w:szCs w:val="22"/>
        </w:rPr>
        <w:t xml:space="preserve"> adjust</w:t>
      </w:r>
      <w:r w:rsidR="00EE6704">
        <w:rPr>
          <w:sz w:val="22"/>
          <w:szCs w:val="22"/>
        </w:rPr>
        <w:t>s</w:t>
      </w:r>
      <w:r w:rsidR="00AC7F09">
        <w:rPr>
          <w:sz w:val="22"/>
          <w:szCs w:val="22"/>
        </w:rPr>
        <w:t xml:space="preserve"> according to the PRU’s</w:t>
      </w:r>
      <w:r w:rsidR="00445750">
        <w:rPr>
          <w:sz w:val="22"/>
          <w:szCs w:val="22"/>
        </w:rPr>
        <w:t xml:space="preserve"> / AP academy’s</w:t>
      </w:r>
      <w:r w:rsidR="00AC7F09">
        <w:rPr>
          <w:sz w:val="22"/>
          <w:szCs w:val="22"/>
        </w:rPr>
        <w:t xml:space="preserve"> overall occupancy to ensure that a minimum level of funding is allocated to enable the PRU</w:t>
      </w:r>
      <w:r w:rsidR="00445750">
        <w:rPr>
          <w:sz w:val="22"/>
          <w:szCs w:val="22"/>
        </w:rPr>
        <w:t xml:space="preserve"> / AP academy</w:t>
      </w:r>
      <w:r w:rsidR="00AC7F09">
        <w:rPr>
          <w:sz w:val="22"/>
          <w:szCs w:val="22"/>
        </w:rPr>
        <w:t xml:space="preserve"> to meet fixed costs</w:t>
      </w:r>
      <w:r w:rsidR="00AC6BE1">
        <w:rPr>
          <w:sz w:val="22"/>
          <w:szCs w:val="22"/>
        </w:rPr>
        <w:t xml:space="preserve"> (largely related to the setting)</w:t>
      </w:r>
      <w:r w:rsidR="00AC7F09">
        <w:rPr>
          <w:sz w:val="22"/>
          <w:szCs w:val="22"/>
        </w:rPr>
        <w:t xml:space="preserve"> and to retain sufficient </w:t>
      </w:r>
      <w:r w:rsidR="001D7F5A">
        <w:rPr>
          <w:sz w:val="22"/>
          <w:szCs w:val="22"/>
        </w:rPr>
        <w:t xml:space="preserve">staffing </w:t>
      </w:r>
      <w:r w:rsidR="00AC7F09">
        <w:rPr>
          <w:sz w:val="22"/>
          <w:szCs w:val="22"/>
        </w:rPr>
        <w:t>capacity</w:t>
      </w:r>
      <w:r w:rsidR="001D7F5A">
        <w:rPr>
          <w:sz w:val="22"/>
          <w:szCs w:val="22"/>
        </w:rPr>
        <w:t xml:space="preserve"> </w:t>
      </w:r>
      <w:r w:rsidR="00AC7F09">
        <w:rPr>
          <w:sz w:val="22"/>
          <w:szCs w:val="22"/>
        </w:rPr>
        <w:t>for the Authority to u</w:t>
      </w:r>
      <w:r w:rsidR="001D7F5A">
        <w:rPr>
          <w:sz w:val="22"/>
          <w:szCs w:val="22"/>
        </w:rPr>
        <w:t>se. The model is informed by</w:t>
      </w:r>
      <w:r w:rsidR="00AC7F09">
        <w:rPr>
          <w:sz w:val="22"/>
          <w:szCs w:val="22"/>
        </w:rPr>
        <w:t xml:space="preserve"> annual review, which includes checking actual against expected occupancy. In situations where there are significant differences in occupancy, which are more permanent, the number of places to be com</w:t>
      </w:r>
      <w:r w:rsidR="00F71017">
        <w:rPr>
          <w:sz w:val="22"/>
          <w:szCs w:val="22"/>
        </w:rPr>
        <w:t>missioned by the Authority will</w:t>
      </w:r>
      <w:r w:rsidR="00AC7F09">
        <w:rPr>
          <w:sz w:val="22"/>
          <w:szCs w:val="22"/>
        </w:rPr>
        <w:t xml:space="preserve"> be reviewed for the following year.</w:t>
      </w:r>
    </w:p>
    <w:p w:rsidR="00EC6184" w:rsidRDefault="00EC6184" w:rsidP="00D621E9">
      <w:pPr>
        <w:jc w:val="both"/>
        <w:rPr>
          <w:sz w:val="22"/>
          <w:szCs w:val="22"/>
        </w:rPr>
      </w:pPr>
    </w:p>
    <w:p w:rsidR="00D621E9" w:rsidRPr="003866BA" w:rsidRDefault="0085538E" w:rsidP="00D621E9">
      <w:pPr>
        <w:jc w:val="both"/>
        <w:rPr>
          <w:sz w:val="22"/>
          <w:szCs w:val="22"/>
        </w:rPr>
      </w:pPr>
      <w:r w:rsidRPr="003866BA">
        <w:rPr>
          <w:sz w:val="22"/>
          <w:szCs w:val="22"/>
        </w:rPr>
        <w:t>8.</w:t>
      </w:r>
      <w:r w:rsidR="00E51C35" w:rsidRPr="003866BA">
        <w:rPr>
          <w:sz w:val="22"/>
          <w:szCs w:val="22"/>
        </w:rPr>
        <w:t>4</w:t>
      </w:r>
      <w:r w:rsidRPr="003866BA">
        <w:rPr>
          <w:sz w:val="22"/>
          <w:szCs w:val="22"/>
        </w:rPr>
        <w:t xml:space="preserve"> W</w:t>
      </w:r>
      <w:r w:rsidR="00D621E9" w:rsidRPr="003866BA">
        <w:rPr>
          <w:sz w:val="22"/>
          <w:szCs w:val="22"/>
        </w:rPr>
        <w:t>e propose to</w:t>
      </w:r>
      <w:r w:rsidR="001D7F5A" w:rsidRPr="003866BA">
        <w:rPr>
          <w:sz w:val="22"/>
          <w:szCs w:val="22"/>
        </w:rPr>
        <w:t xml:space="preserve"> uplift the value of the day r</w:t>
      </w:r>
      <w:r w:rsidR="00D621E9" w:rsidRPr="003866BA">
        <w:rPr>
          <w:sz w:val="22"/>
          <w:szCs w:val="22"/>
        </w:rPr>
        <w:t>at</w:t>
      </w:r>
      <w:r w:rsidR="00EC6184">
        <w:rPr>
          <w:sz w:val="22"/>
          <w:szCs w:val="22"/>
        </w:rPr>
        <w:t>e in 2023/24</w:t>
      </w:r>
      <w:r w:rsidR="001D7F5A" w:rsidRPr="003866BA">
        <w:rPr>
          <w:sz w:val="22"/>
          <w:szCs w:val="22"/>
        </w:rPr>
        <w:t xml:space="preserve"> in line with the uplifts </w:t>
      </w:r>
      <w:r w:rsidR="0076027F">
        <w:rPr>
          <w:sz w:val="22"/>
          <w:szCs w:val="22"/>
        </w:rPr>
        <w:t xml:space="preserve">that are </w:t>
      </w:r>
      <w:r w:rsidR="007713F2">
        <w:rPr>
          <w:sz w:val="22"/>
          <w:szCs w:val="22"/>
        </w:rPr>
        <w:t xml:space="preserve">proposed </w:t>
      </w:r>
      <w:r w:rsidR="001D7F5A" w:rsidRPr="003866BA">
        <w:rPr>
          <w:sz w:val="22"/>
          <w:szCs w:val="22"/>
        </w:rPr>
        <w:t xml:space="preserve">to </w:t>
      </w:r>
      <w:r w:rsidR="007713F2">
        <w:rPr>
          <w:sz w:val="22"/>
          <w:szCs w:val="22"/>
        </w:rPr>
        <w:t xml:space="preserve">the </w:t>
      </w:r>
      <w:r w:rsidR="001D7F5A" w:rsidRPr="003866BA">
        <w:rPr>
          <w:sz w:val="22"/>
          <w:szCs w:val="22"/>
        </w:rPr>
        <w:t xml:space="preserve">Band 4 values </w:t>
      </w:r>
      <w:r w:rsidR="007713F2">
        <w:rPr>
          <w:sz w:val="22"/>
          <w:szCs w:val="22"/>
        </w:rPr>
        <w:t>allocated by the</w:t>
      </w:r>
      <w:r w:rsidR="001D7F5A" w:rsidRPr="003866BA">
        <w:rPr>
          <w:sz w:val="22"/>
          <w:szCs w:val="22"/>
        </w:rPr>
        <w:t xml:space="preserve"> EHCP Banded Model. The d</w:t>
      </w:r>
      <w:r w:rsidR="004F13BB" w:rsidRPr="003866BA">
        <w:rPr>
          <w:sz w:val="22"/>
          <w:szCs w:val="22"/>
        </w:rPr>
        <w:t>ay r</w:t>
      </w:r>
      <w:r w:rsidR="00EC6184">
        <w:rPr>
          <w:sz w:val="22"/>
          <w:szCs w:val="22"/>
        </w:rPr>
        <w:t>ate in 2022/23</w:t>
      </w:r>
      <w:r w:rsidR="00E63307">
        <w:rPr>
          <w:sz w:val="22"/>
          <w:szCs w:val="22"/>
        </w:rPr>
        <w:t xml:space="preserve"> was £77.78</w:t>
      </w:r>
      <w:r w:rsidR="00D621E9" w:rsidRPr="003866BA">
        <w:rPr>
          <w:sz w:val="22"/>
          <w:szCs w:val="22"/>
        </w:rPr>
        <w:t xml:space="preserve">. We propose to uplift this, subject to the warnings given in </w:t>
      </w:r>
      <w:r w:rsidR="00D621E9" w:rsidRPr="00816ACF">
        <w:rPr>
          <w:color w:val="000000" w:themeColor="text1"/>
          <w:sz w:val="22"/>
          <w:szCs w:val="22"/>
        </w:rPr>
        <w:t>paragraph</w:t>
      </w:r>
      <w:r w:rsidR="000231F1">
        <w:rPr>
          <w:color w:val="000000" w:themeColor="text1"/>
          <w:sz w:val="22"/>
          <w:szCs w:val="22"/>
        </w:rPr>
        <w:t>s</w:t>
      </w:r>
      <w:r w:rsidR="00D621E9" w:rsidRPr="00816ACF">
        <w:rPr>
          <w:color w:val="000000" w:themeColor="text1"/>
          <w:sz w:val="22"/>
          <w:szCs w:val="22"/>
        </w:rPr>
        <w:t xml:space="preserve"> 1.6</w:t>
      </w:r>
      <w:r w:rsidR="000231F1">
        <w:rPr>
          <w:color w:val="000000" w:themeColor="text1"/>
          <w:sz w:val="22"/>
          <w:szCs w:val="22"/>
        </w:rPr>
        <w:t xml:space="preserve"> and 1.7</w:t>
      </w:r>
      <w:r w:rsidR="00D621E9" w:rsidRPr="00816ACF">
        <w:rPr>
          <w:color w:val="000000" w:themeColor="text1"/>
          <w:sz w:val="22"/>
          <w:szCs w:val="22"/>
        </w:rPr>
        <w:t xml:space="preserve">, to </w:t>
      </w:r>
      <w:r w:rsidR="00816ACF" w:rsidRPr="00816ACF">
        <w:rPr>
          <w:color w:val="000000" w:themeColor="text1"/>
          <w:sz w:val="22"/>
          <w:szCs w:val="22"/>
        </w:rPr>
        <w:t>£79.13</w:t>
      </w:r>
      <w:r w:rsidR="00D621E9" w:rsidRPr="00816ACF">
        <w:rPr>
          <w:color w:val="000000" w:themeColor="text1"/>
          <w:sz w:val="22"/>
          <w:szCs w:val="22"/>
        </w:rPr>
        <w:t xml:space="preserve">. </w:t>
      </w:r>
      <w:r w:rsidR="00E63307" w:rsidRPr="00816ACF">
        <w:rPr>
          <w:color w:val="000000" w:themeColor="text1"/>
          <w:sz w:val="22"/>
          <w:szCs w:val="22"/>
        </w:rPr>
        <w:t>This is the 2022/23</w:t>
      </w:r>
      <w:r w:rsidR="00D621E9" w:rsidRPr="00816ACF">
        <w:rPr>
          <w:color w:val="000000" w:themeColor="text1"/>
          <w:sz w:val="22"/>
          <w:szCs w:val="22"/>
        </w:rPr>
        <w:t xml:space="preserve"> rate plus </w:t>
      </w:r>
      <w:r w:rsidR="00816ACF" w:rsidRPr="00816ACF">
        <w:rPr>
          <w:color w:val="000000" w:themeColor="text1"/>
          <w:sz w:val="22"/>
          <w:szCs w:val="22"/>
        </w:rPr>
        <w:t>1.73</w:t>
      </w:r>
      <w:r w:rsidR="00D621E9" w:rsidRPr="00816ACF">
        <w:rPr>
          <w:color w:val="000000" w:themeColor="text1"/>
          <w:sz w:val="22"/>
          <w:szCs w:val="22"/>
        </w:rPr>
        <w:t>%</w:t>
      </w:r>
      <w:r w:rsidR="00A748D3" w:rsidRPr="00816ACF">
        <w:rPr>
          <w:color w:val="000000" w:themeColor="text1"/>
          <w:sz w:val="22"/>
          <w:szCs w:val="22"/>
        </w:rPr>
        <w:t>, which uses</w:t>
      </w:r>
      <w:r w:rsidR="00D621E9" w:rsidRPr="00816ACF">
        <w:rPr>
          <w:color w:val="000000" w:themeColor="text1"/>
          <w:sz w:val="22"/>
          <w:szCs w:val="22"/>
        </w:rPr>
        <w:t xml:space="preserve"> the mean average Band 4 increase proposed for the EHCP Banded Model</w:t>
      </w:r>
      <w:r w:rsidR="00F20994" w:rsidRPr="00816ACF">
        <w:rPr>
          <w:color w:val="000000" w:themeColor="text1"/>
          <w:sz w:val="22"/>
          <w:szCs w:val="22"/>
        </w:rPr>
        <w:t xml:space="preserve"> of </w:t>
      </w:r>
      <w:r w:rsidR="00816ACF" w:rsidRPr="00816ACF">
        <w:rPr>
          <w:color w:val="000000" w:themeColor="text1"/>
          <w:sz w:val="22"/>
          <w:szCs w:val="22"/>
        </w:rPr>
        <w:t>1.87</w:t>
      </w:r>
      <w:r w:rsidR="0076027F" w:rsidRPr="00816ACF">
        <w:rPr>
          <w:color w:val="000000" w:themeColor="text1"/>
          <w:sz w:val="22"/>
          <w:szCs w:val="22"/>
        </w:rPr>
        <w:t>%, but</w:t>
      </w:r>
      <w:r w:rsidR="008F291F" w:rsidRPr="00816ACF">
        <w:rPr>
          <w:color w:val="000000" w:themeColor="text1"/>
          <w:sz w:val="22"/>
          <w:szCs w:val="22"/>
        </w:rPr>
        <w:t xml:space="preserve"> </w:t>
      </w:r>
      <w:r w:rsidR="00A748D3" w:rsidRPr="00816ACF">
        <w:rPr>
          <w:color w:val="000000" w:themeColor="text1"/>
          <w:sz w:val="22"/>
          <w:szCs w:val="22"/>
        </w:rPr>
        <w:t>reduced to recognise that t</w:t>
      </w:r>
      <w:r w:rsidR="002351A7" w:rsidRPr="00816ACF">
        <w:rPr>
          <w:color w:val="000000" w:themeColor="text1"/>
          <w:sz w:val="22"/>
          <w:szCs w:val="22"/>
        </w:rPr>
        <w:t>he small setting protection factor</w:t>
      </w:r>
      <w:r w:rsidR="0076027F" w:rsidRPr="00816ACF">
        <w:rPr>
          <w:color w:val="000000" w:themeColor="text1"/>
          <w:sz w:val="22"/>
          <w:szCs w:val="22"/>
        </w:rPr>
        <w:t xml:space="preserve"> within</w:t>
      </w:r>
      <w:r w:rsidR="00A748D3" w:rsidRPr="00816ACF">
        <w:rPr>
          <w:color w:val="000000" w:themeColor="text1"/>
          <w:sz w:val="22"/>
          <w:szCs w:val="22"/>
        </w:rPr>
        <w:t xml:space="preserve"> the calculation is not uplifted</w:t>
      </w:r>
      <w:r w:rsidR="00D621E9" w:rsidRPr="00816ACF">
        <w:rPr>
          <w:color w:val="000000" w:themeColor="text1"/>
          <w:sz w:val="22"/>
          <w:szCs w:val="22"/>
        </w:rPr>
        <w:t>.</w:t>
      </w:r>
      <w:r w:rsidR="0076027F" w:rsidRPr="00816ACF">
        <w:rPr>
          <w:color w:val="000000" w:themeColor="text1"/>
          <w:sz w:val="22"/>
          <w:szCs w:val="22"/>
        </w:rPr>
        <w:t xml:space="preserve"> </w:t>
      </w:r>
      <w:r w:rsidR="0076027F">
        <w:rPr>
          <w:sz w:val="22"/>
          <w:szCs w:val="22"/>
        </w:rPr>
        <w:t>The</w:t>
      </w:r>
      <w:r w:rsidR="008F176C">
        <w:rPr>
          <w:sz w:val="22"/>
          <w:szCs w:val="22"/>
        </w:rPr>
        <w:t xml:space="preserve"> calculation</w:t>
      </w:r>
      <w:r w:rsidR="0076027F">
        <w:rPr>
          <w:sz w:val="22"/>
          <w:szCs w:val="22"/>
        </w:rPr>
        <w:t xml:space="preserve"> of the day rate</w:t>
      </w:r>
      <w:r w:rsidR="00A748D3" w:rsidRPr="003866BA">
        <w:rPr>
          <w:sz w:val="22"/>
          <w:szCs w:val="22"/>
        </w:rPr>
        <w:t xml:space="preserve"> is set out further in the table below.</w:t>
      </w:r>
      <w:r w:rsidR="00D621E9" w:rsidRPr="003866BA">
        <w:rPr>
          <w:sz w:val="22"/>
          <w:szCs w:val="22"/>
        </w:rPr>
        <w:t xml:space="preserve"> Together with t</w:t>
      </w:r>
      <w:r w:rsidR="00F20994" w:rsidRPr="003866BA">
        <w:rPr>
          <w:sz w:val="22"/>
          <w:szCs w:val="22"/>
        </w:rPr>
        <w:t>he fixed £10,000 per place</w:t>
      </w:r>
      <w:r w:rsidR="00F20994" w:rsidRPr="00816ACF">
        <w:rPr>
          <w:color w:val="000000" w:themeColor="text1"/>
          <w:sz w:val="22"/>
          <w:szCs w:val="22"/>
        </w:rPr>
        <w:t xml:space="preserve">, a </w:t>
      </w:r>
      <w:r w:rsidR="00816ACF" w:rsidRPr="00816ACF">
        <w:rPr>
          <w:color w:val="000000" w:themeColor="text1"/>
          <w:sz w:val="22"/>
          <w:szCs w:val="22"/>
        </w:rPr>
        <w:t>1.73</w:t>
      </w:r>
      <w:r w:rsidR="004F13BB" w:rsidRPr="00816ACF">
        <w:rPr>
          <w:color w:val="000000" w:themeColor="text1"/>
          <w:sz w:val="22"/>
          <w:szCs w:val="22"/>
        </w:rPr>
        <w:t xml:space="preserve">% increase </w:t>
      </w:r>
      <w:r w:rsidR="004F13BB" w:rsidRPr="003866BA">
        <w:rPr>
          <w:sz w:val="22"/>
          <w:szCs w:val="22"/>
        </w:rPr>
        <w:t>in the day rate</w:t>
      </w:r>
      <w:r w:rsidR="00F20994" w:rsidRPr="003866BA">
        <w:rPr>
          <w:sz w:val="22"/>
          <w:szCs w:val="22"/>
        </w:rPr>
        <w:t xml:space="preserve"> results in an </w:t>
      </w:r>
      <w:r w:rsidR="00F20994" w:rsidRPr="00816ACF">
        <w:rPr>
          <w:color w:val="000000" w:themeColor="text1"/>
          <w:sz w:val="22"/>
          <w:szCs w:val="22"/>
        </w:rPr>
        <w:t xml:space="preserve">overall </w:t>
      </w:r>
      <w:r w:rsidR="00816ACF" w:rsidRPr="00816ACF">
        <w:rPr>
          <w:color w:val="000000" w:themeColor="text1"/>
          <w:sz w:val="22"/>
          <w:szCs w:val="22"/>
        </w:rPr>
        <w:t>1.04</w:t>
      </w:r>
      <w:r w:rsidR="00D621E9" w:rsidRPr="00816ACF">
        <w:rPr>
          <w:color w:val="000000" w:themeColor="text1"/>
          <w:sz w:val="22"/>
          <w:szCs w:val="22"/>
        </w:rPr>
        <w:t xml:space="preserve">% increase </w:t>
      </w:r>
      <w:r w:rsidR="00D621E9" w:rsidRPr="003866BA">
        <w:rPr>
          <w:sz w:val="22"/>
          <w:szCs w:val="22"/>
        </w:rPr>
        <w:t xml:space="preserve">in </w:t>
      </w:r>
      <w:r w:rsidR="00D621E9" w:rsidRPr="00816ACF">
        <w:rPr>
          <w:color w:val="000000" w:themeColor="text1"/>
          <w:sz w:val="22"/>
          <w:szCs w:val="22"/>
        </w:rPr>
        <w:t>funding per pupil</w:t>
      </w:r>
      <w:r w:rsidR="004F13BB" w:rsidRPr="00816ACF">
        <w:rPr>
          <w:color w:val="000000" w:themeColor="text1"/>
          <w:sz w:val="22"/>
          <w:szCs w:val="22"/>
        </w:rPr>
        <w:t xml:space="preserve"> for each </w:t>
      </w:r>
      <w:r w:rsidR="008F291F" w:rsidRPr="00816ACF">
        <w:rPr>
          <w:color w:val="000000" w:themeColor="text1"/>
          <w:sz w:val="22"/>
          <w:szCs w:val="22"/>
        </w:rPr>
        <w:t>occupied</w:t>
      </w:r>
      <w:r w:rsidR="004F13BB" w:rsidRPr="00816ACF">
        <w:rPr>
          <w:color w:val="000000" w:themeColor="text1"/>
          <w:sz w:val="22"/>
          <w:szCs w:val="22"/>
        </w:rPr>
        <w:t xml:space="preserve"> place</w:t>
      </w:r>
      <w:r w:rsidR="00D621E9" w:rsidRPr="00816ACF">
        <w:rPr>
          <w:color w:val="000000" w:themeColor="text1"/>
          <w:sz w:val="22"/>
          <w:szCs w:val="22"/>
        </w:rPr>
        <w:t xml:space="preserve"> (the total </w:t>
      </w:r>
      <w:r w:rsidR="00E63307" w:rsidRPr="00816ACF">
        <w:rPr>
          <w:color w:val="000000" w:themeColor="text1"/>
          <w:sz w:val="22"/>
          <w:szCs w:val="22"/>
        </w:rPr>
        <w:t>annual per pupil funding in 2023/24</w:t>
      </w:r>
      <w:r w:rsidR="00D621E9" w:rsidRPr="00816ACF">
        <w:rPr>
          <w:color w:val="000000" w:themeColor="text1"/>
          <w:sz w:val="22"/>
          <w:szCs w:val="22"/>
        </w:rPr>
        <w:t xml:space="preserve"> will</w:t>
      </w:r>
      <w:r w:rsidR="00F20994" w:rsidRPr="00816ACF">
        <w:rPr>
          <w:color w:val="000000" w:themeColor="text1"/>
          <w:sz w:val="22"/>
          <w:szCs w:val="22"/>
        </w:rPr>
        <w:t xml:space="preserve"> be £10,000 + (195 days x </w:t>
      </w:r>
      <w:r w:rsidR="00816ACF" w:rsidRPr="00816ACF">
        <w:rPr>
          <w:color w:val="000000" w:themeColor="text1"/>
          <w:sz w:val="22"/>
          <w:szCs w:val="22"/>
        </w:rPr>
        <w:t>£79.13</w:t>
      </w:r>
      <w:r w:rsidR="00B202BC" w:rsidRPr="00816ACF">
        <w:rPr>
          <w:color w:val="000000" w:themeColor="text1"/>
          <w:sz w:val="22"/>
          <w:szCs w:val="22"/>
        </w:rPr>
        <w:t xml:space="preserve">) = </w:t>
      </w:r>
      <w:r w:rsidR="00816ACF" w:rsidRPr="00816ACF">
        <w:rPr>
          <w:color w:val="000000" w:themeColor="text1"/>
          <w:sz w:val="22"/>
          <w:szCs w:val="22"/>
        </w:rPr>
        <w:t>£25,430</w:t>
      </w:r>
      <w:r w:rsidR="00D621E9" w:rsidRPr="00816ACF">
        <w:rPr>
          <w:color w:val="000000" w:themeColor="text1"/>
          <w:sz w:val="22"/>
          <w:szCs w:val="22"/>
        </w:rPr>
        <w:t xml:space="preserve"> compare</w:t>
      </w:r>
      <w:r w:rsidR="00E63307" w:rsidRPr="00816ACF">
        <w:rPr>
          <w:color w:val="000000" w:themeColor="text1"/>
          <w:sz w:val="22"/>
          <w:szCs w:val="22"/>
        </w:rPr>
        <w:t xml:space="preserve">d </w:t>
      </w:r>
      <w:r w:rsidR="00E63307">
        <w:rPr>
          <w:sz w:val="22"/>
          <w:szCs w:val="22"/>
        </w:rPr>
        <w:t>with £10,000 + (195 days x £77.78) = £25</w:t>
      </w:r>
      <w:r w:rsidR="00B202BC" w:rsidRPr="003866BA">
        <w:rPr>
          <w:sz w:val="22"/>
          <w:szCs w:val="22"/>
        </w:rPr>
        <w:t>,</w:t>
      </w:r>
      <w:r w:rsidR="00E63307">
        <w:rPr>
          <w:sz w:val="22"/>
          <w:szCs w:val="22"/>
        </w:rPr>
        <w:t>168 in 2022/23</w:t>
      </w:r>
      <w:r w:rsidR="00D621E9" w:rsidRPr="003866BA">
        <w:rPr>
          <w:sz w:val="22"/>
          <w:szCs w:val="22"/>
        </w:rPr>
        <w:t>).</w:t>
      </w:r>
    </w:p>
    <w:p w:rsidR="00D621E9" w:rsidRPr="007A2A6A" w:rsidRDefault="00D621E9" w:rsidP="00897157">
      <w:pPr>
        <w:jc w:val="both"/>
        <w:rPr>
          <w:sz w:val="22"/>
          <w:szCs w:val="22"/>
        </w:rPr>
      </w:pPr>
    </w:p>
    <w:p w:rsidR="00433121" w:rsidRDefault="00E51C35" w:rsidP="00897157">
      <w:pPr>
        <w:jc w:val="both"/>
        <w:rPr>
          <w:sz w:val="22"/>
          <w:szCs w:val="22"/>
        </w:rPr>
      </w:pPr>
      <w:r w:rsidRPr="00816ACF">
        <w:rPr>
          <w:color w:val="000000" w:themeColor="text1"/>
          <w:sz w:val="22"/>
          <w:szCs w:val="22"/>
        </w:rPr>
        <w:t>8.5</w:t>
      </w:r>
      <w:r w:rsidR="00433121" w:rsidRPr="00816ACF">
        <w:rPr>
          <w:color w:val="000000" w:themeColor="text1"/>
          <w:sz w:val="22"/>
          <w:szCs w:val="22"/>
        </w:rPr>
        <w:t xml:space="preserve"> The </w:t>
      </w:r>
      <w:r w:rsidR="00816ACF" w:rsidRPr="00816ACF">
        <w:rPr>
          <w:color w:val="000000" w:themeColor="text1"/>
          <w:sz w:val="22"/>
          <w:szCs w:val="22"/>
        </w:rPr>
        <w:t>£79.13</w:t>
      </w:r>
      <w:r w:rsidR="00433121" w:rsidRPr="00816ACF">
        <w:rPr>
          <w:color w:val="000000" w:themeColor="text1"/>
          <w:sz w:val="22"/>
          <w:szCs w:val="22"/>
        </w:rPr>
        <w:t xml:space="preserve"> is made up of the following factors</w:t>
      </w:r>
      <w:r w:rsidR="0085538E" w:rsidRPr="00816ACF">
        <w:rPr>
          <w:color w:val="000000" w:themeColor="text1"/>
          <w:sz w:val="22"/>
          <w:szCs w:val="22"/>
        </w:rPr>
        <w:t xml:space="preserve"> and </w:t>
      </w:r>
      <w:r w:rsidR="008F176C" w:rsidRPr="00816ACF">
        <w:rPr>
          <w:color w:val="000000" w:themeColor="text1"/>
          <w:sz w:val="22"/>
          <w:szCs w:val="22"/>
        </w:rPr>
        <w:t>values</w:t>
      </w:r>
      <w:r w:rsidR="00433121" w:rsidRPr="00816ACF">
        <w:rPr>
          <w:color w:val="000000" w:themeColor="text1"/>
          <w:sz w:val="22"/>
          <w:szCs w:val="22"/>
        </w:rPr>
        <w:t xml:space="preserve">. </w:t>
      </w:r>
      <w:r w:rsidR="00445750" w:rsidRPr="00816ACF">
        <w:rPr>
          <w:color w:val="000000" w:themeColor="text1"/>
          <w:sz w:val="22"/>
          <w:szCs w:val="22"/>
        </w:rPr>
        <w:t>T</w:t>
      </w:r>
      <w:r w:rsidR="00433121" w:rsidRPr="00816ACF">
        <w:rPr>
          <w:color w:val="000000" w:themeColor="text1"/>
          <w:sz w:val="22"/>
          <w:szCs w:val="22"/>
        </w:rPr>
        <w:t xml:space="preserve">hese </w:t>
      </w:r>
      <w:r w:rsidR="002D1F21" w:rsidRPr="00816ACF">
        <w:rPr>
          <w:color w:val="000000" w:themeColor="text1"/>
          <w:sz w:val="22"/>
          <w:szCs w:val="22"/>
        </w:rPr>
        <w:t xml:space="preserve">factors </w:t>
      </w:r>
      <w:r w:rsidR="00433121" w:rsidRPr="00816ACF">
        <w:rPr>
          <w:color w:val="000000" w:themeColor="text1"/>
          <w:sz w:val="22"/>
          <w:szCs w:val="22"/>
        </w:rPr>
        <w:t>are the same</w:t>
      </w:r>
      <w:r w:rsidR="0085538E" w:rsidRPr="00816ACF">
        <w:rPr>
          <w:color w:val="000000" w:themeColor="text1"/>
          <w:sz w:val="22"/>
          <w:szCs w:val="22"/>
        </w:rPr>
        <w:t xml:space="preserve"> as used in </w:t>
      </w:r>
      <w:r w:rsidR="00E63307" w:rsidRPr="00816ACF">
        <w:rPr>
          <w:color w:val="000000" w:themeColor="text1"/>
          <w:sz w:val="22"/>
          <w:szCs w:val="22"/>
        </w:rPr>
        <w:t>2022</w:t>
      </w:r>
      <w:r w:rsidR="00A748D3" w:rsidRPr="00816ACF">
        <w:rPr>
          <w:color w:val="000000" w:themeColor="text1"/>
          <w:sz w:val="22"/>
          <w:szCs w:val="22"/>
        </w:rPr>
        <w:t>/2</w:t>
      </w:r>
      <w:r w:rsidR="00E63307" w:rsidRPr="00816ACF">
        <w:rPr>
          <w:color w:val="000000" w:themeColor="text1"/>
          <w:sz w:val="22"/>
          <w:szCs w:val="22"/>
        </w:rPr>
        <w:t>3</w:t>
      </w:r>
      <w:r w:rsidR="00A748D3" w:rsidRPr="00816ACF">
        <w:rPr>
          <w:color w:val="000000" w:themeColor="text1"/>
          <w:sz w:val="22"/>
          <w:szCs w:val="22"/>
        </w:rPr>
        <w:t>. All factors but the small setting protection have</w:t>
      </w:r>
      <w:r w:rsidR="00952EDE" w:rsidRPr="00816ACF">
        <w:rPr>
          <w:color w:val="000000" w:themeColor="text1"/>
          <w:sz w:val="22"/>
          <w:szCs w:val="22"/>
        </w:rPr>
        <w:t xml:space="preserve"> been uplifted by</w:t>
      </w:r>
      <w:r w:rsidR="00075A27" w:rsidRPr="00816ACF">
        <w:rPr>
          <w:color w:val="000000" w:themeColor="text1"/>
          <w:sz w:val="22"/>
          <w:szCs w:val="22"/>
        </w:rPr>
        <w:t xml:space="preserve"> </w:t>
      </w:r>
      <w:r w:rsidR="00816ACF" w:rsidRPr="00816ACF">
        <w:rPr>
          <w:color w:val="000000" w:themeColor="text1"/>
          <w:sz w:val="22"/>
          <w:szCs w:val="22"/>
        </w:rPr>
        <w:t>1.87</w:t>
      </w:r>
      <w:r w:rsidR="0085538E" w:rsidRPr="00816ACF">
        <w:rPr>
          <w:color w:val="000000" w:themeColor="text1"/>
          <w:sz w:val="22"/>
          <w:szCs w:val="22"/>
        </w:rPr>
        <w:t>%</w:t>
      </w:r>
      <w:r w:rsidR="00A748D3" w:rsidRPr="00816ACF">
        <w:rPr>
          <w:color w:val="000000" w:themeColor="text1"/>
          <w:sz w:val="22"/>
          <w:szCs w:val="22"/>
        </w:rPr>
        <w:t xml:space="preserve">. </w:t>
      </w:r>
      <w:r w:rsidR="00A748D3" w:rsidRPr="007A2A6A">
        <w:rPr>
          <w:sz w:val="22"/>
          <w:szCs w:val="22"/>
        </w:rPr>
        <w:t xml:space="preserve">The </w:t>
      </w:r>
      <w:r w:rsidR="00A748D3" w:rsidRPr="00112F3B">
        <w:rPr>
          <w:sz w:val="22"/>
          <w:szCs w:val="22"/>
        </w:rPr>
        <w:t>small setting protection</w:t>
      </w:r>
      <w:r w:rsidR="00952EDE">
        <w:rPr>
          <w:sz w:val="22"/>
          <w:szCs w:val="22"/>
        </w:rPr>
        <w:t xml:space="preserve"> factor</w:t>
      </w:r>
      <w:r w:rsidR="00A748D3" w:rsidRPr="00112F3B">
        <w:rPr>
          <w:sz w:val="22"/>
          <w:szCs w:val="22"/>
        </w:rPr>
        <w:t xml:space="preserve"> is retained at the </w:t>
      </w:r>
      <w:r w:rsidR="00E63307">
        <w:rPr>
          <w:sz w:val="22"/>
          <w:szCs w:val="22"/>
        </w:rPr>
        <w:t>2022/23</w:t>
      </w:r>
      <w:r w:rsidR="00A748D3" w:rsidRPr="00112F3B">
        <w:rPr>
          <w:sz w:val="22"/>
          <w:szCs w:val="22"/>
        </w:rPr>
        <w:t xml:space="preserve"> value, a</w:t>
      </w:r>
      <w:r w:rsidR="008F291F">
        <w:rPr>
          <w:sz w:val="22"/>
          <w:szCs w:val="22"/>
        </w:rPr>
        <w:t xml:space="preserve">s is the case for all other </w:t>
      </w:r>
      <w:r w:rsidR="00952EDE">
        <w:rPr>
          <w:sz w:val="22"/>
          <w:szCs w:val="22"/>
        </w:rPr>
        <w:t>parts</w:t>
      </w:r>
      <w:r w:rsidR="008F291F">
        <w:rPr>
          <w:sz w:val="22"/>
          <w:szCs w:val="22"/>
        </w:rPr>
        <w:t xml:space="preserve"> of high needs formula funding</w:t>
      </w:r>
      <w:r w:rsidR="00A748D3" w:rsidRPr="00112F3B">
        <w:rPr>
          <w:sz w:val="22"/>
          <w:szCs w:val="22"/>
        </w:rPr>
        <w:t xml:space="preserve"> that</w:t>
      </w:r>
      <w:r w:rsidR="008F291F">
        <w:rPr>
          <w:sz w:val="22"/>
          <w:szCs w:val="22"/>
        </w:rPr>
        <w:t xml:space="preserve"> include</w:t>
      </w:r>
      <w:r w:rsidR="00A748D3" w:rsidRPr="00112F3B">
        <w:rPr>
          <w:sz w:val="22"/>
          <w:szCs w:val="22"/>
        </w:rPr>
        <w:t xml:space="preserve"> a small setting protection factor, because this factor protects place</w:t>
      </w:r>
      <w:r w:rsidR="0076027F">
        <w:rPr>
          <w:sz w:val="22"/>
          <w:szCs w:val="22"/>
        </w:rPr>
        <w:t>-element</w:t>
      </w:r>
      <w:r w:rsidR="00A748D3" w:rsidRPr="00112F3B">
        <w:rPr>
          <w:sz w:val="22"/>
          <w:szCs w:val="22"/>
        </w:rPr>
        <w:t xml:space="preserve"> funding and place</w:t>
      </w:r>
      <w:r w:rsidR="0076027F">
        <w:rPr>
          <w:sz w:val="22"/>
          <w:szCs w:val="22"/>
        </w:rPr>
        <w:t>-element</w:t>
      </w:r>
      <w:r w:rsidR="00A748D3" w:rsidRPr="00112F3B">
        <w:rPr>
          <w:sz w:val="22"/>
          <w:szCs w:val="22"/>
        </w:rPr>
        <w:t xml:space="preserve"> funding </w:t>
      </w:r>
      <w:r w:rsidR="008F291F">
        <w:rPr>
          <w:sz w:val="22"/>
          <w:szCs w:val="22"/>
        </w:rPr>
        <w:t>is not uplifted in value</w:t>
      </w:r>
      <w:r w:rsidR="00E63307">
        <w:rPr>
          <w:sz w:val="22"/>
          <w:szCs w:val="22"/>
        </w:rPr>
        <w:t xml:space="preserve"> in 2023/24</w:t>
      </w:r>
      <w:r w:rsidR="00A748D3" w:rsidRPr="00112F3B">
        <w:rPr>
          <w:sz w:val="22"/>
          <w:szCs w:val="22"/>
        </w:rPr>
        <w:t>.</w:t>
      </w:r>
    </w:p>
    <w:p w:rsidR="0076027F" w:rsidRDefault="0076027F" w:rsidP="00897157">
      <w:pPr>
        <w:jc w:val="both"/>
        <w:rPr>
          <w:sz w:val="22"/>
          <w:szCs w:val="22"/>
        </w:rPr>
      </w:pPr>
    </w:p>
    <w:tbl>
      <w:tblPr>
        <w:tblStyle w:val="TableGrid"/>
        <w:tblW w:w="0" w:type="auto"/>
        <w:tblLook w:val="04A0" w:firstRow="1" w:lastRow="0" w:firstColumn="1" w:lastColumn="0" w:noHBand="0" w:noVBand="1"/>
      </w:tblPr>
      <w:tblGrid>
        <w:gridCol w:w="6629"/>
        <w:gridCol w:w="2126"/>
      </w:tblGrid>
      <w:tr w:rsidR="00433121" w:rsidTr="00E06A8E">
        <w:tc>
          <w:tcPr>
            <w:tcW w:w="6629" w:type="dxa"/>
          </w:tcPr>
          <w:p w:rsidR="00433121" w:rsidRPr="008F176C" w:rsidRDefault="00433121" w:rsidP="00E06A8E">
            <w:pPr>
              <w:jc w:val="both"/>
              <w:rPr>
                <w:b/>
                <w:sz w:val="22"/>
                <w:szCs w:val="22"/>
              </w:rPr>
            </w:pPr>
            <w:r w:rsidRPr="008F176C">
              <w:rPr>
                <w:b/>
                <w:sz w:val="22"/>
                <w:szCs w:val="22"/>
              </w:rPr>
              <w:t>Factor</w:t>
            </w:r>
          </w:p>
        </w:tc>
        <w:tc>
          <w:tcPr>
            <w:tcW w:w="2126" w:type="dxa"/>
          </w:tcPr>
          <w:p w:rsidR="00433121" w:rsidRPr="008F176C" w:rsidRDefault="00433121" w:rsidP="00E06A8E">
            <w:pPr>
              <w:jc w:val="right"/>
              <w:rPr>
                <w:b/>
                <w:sz w:val="22"/>
                <w:szCs w:val="22"/>
              </w:rPr>
            </w:pPr>
            <w:r w:rsidRPr="008F176C">
              <w:rPr>
                <w:b/>
                <w:sz w:val="22"/>
                <w:szCs w:val="22"/>
              </w:rPr>
              <w:t>£Day Rate Value</w:t>
            </w:r>
          </w:p>
        </w:tc>
      </w:tr>
      <w:tr w:rsidR="00433121" w:rsidTr="00E06A8E">
        <w:tc>
          <w:tcPr>
            <w:tcW w:w="6629" w:type="dxa"/>
          </w:tcPr>
          <w:p w:rsidR="00433121" w:rsidRPr="008F176C" w:rsidRDefault="00433121" w:rsidP="00E06A8E">
            <w:pPr>
              <w:jc w:val="both"/>
              <w:rPr>
                <w:sz w:val="22"/>
                <w:szCs w:val="22"/>
              </w:rPr>
            </w:pPr>
            <w:r w:rsidRPr="008F176C">
              <w:rPr>
                <w:sz w:val="22"/>
                <w:szCs w:val="22"/>
              </w:rPr>
              <w:t>Main pupil-need led provision</w:t>
            </w:r>
          </w:p>
        </w:tc>
        <w:tc>
          <w:tcPr>
            <w:tcW w:w="2126" w:type="dxa"/>
          </w:tcPr>
          <w:p w:rsidR="00433121" w:rsidRPr="00816ACF" w:rsidRDefault="00816ACF" w:rsidP="00E06A8E">
            <w:pPr>
              <w:jc w:val="right"/>
              <w:rPr>
                <w:color w:val="000000" w:themeColor="text1"/>
                <w:sz w:val="22"/>
                <w:szCs w:val="22"/>
              </w:rPr>
            </w:pPr>
            <w:r w:rsidRPr="00816ACF">
              <w:rPr>
                <w:color w:val="000000" w:themeColor="text1"/>
                <w:sz w:val="22"/>
                <w:szCs w:val="22"/>
              </w:rPr>
              <w:t>£66.04</w:t>
            </w:r>
          </w:p>
        </w:tc>
      </w:tr>
      <w:tr w:rsidR="00433121" w:rsidTr="00E06A8E">
        <w:tc>
          <w:tcPr>
            <w:tcW w:w="6629" w:type="dxa"/>
          </w:tcPr>
          <w:p w:rsidR="00433121" w:rsidRPr="008F176C" w:rsidRDefault="00433121" w:rsidP="00433121">
            <w:pPr>
              <w:jc w:val="both"/>
              <w:rPr>
                <w:sz w:val="22"/>
                <w:szCs w:val="22"/>
              </w:rPr>
            </w:pPr>
            <w:r w:rsidRPr="008F176C">
              <w:rPr>
                <w:sz w:val="22"/>
                <w:szCs w:val="22"/>
              </w:rPr>
              <w:t>Small Setting Protection</w:t>
            </w:r>
          </w:p>
        </w:tc>
        <w:tc>
          <w:tcPr>
            <w:tcW w:w="2126" w:type="dxa"/>
          </w:tcPr>
          <w:p w:rsidR="00433121" w:rsidRPr="00816ACF" w:rsidRDefault="00433121" w:rsidP="00E06A8E">
            <w:pPr>
              <w:jc w:val="right"/>
              <w:rPr>
                <w:color w:val="000000" w:themeColor="text1"/>
                <w:sz w:val="22"/>
                <w:szCs w:val="22"/>
              </w:rPr>
            </w:pPr>
            <w:r w:rsidRPr="00816ACF">
              <w:rPr>
                <w:color w:val="000000" w:themeColor="text1"/>
                <w:sz w:val="22"/>
                <w:szCs w:val="22"/>
              </w:rPr>
              <w:t>£5.</w:t>
            </w:r>
            <w:r w:rsidR="00A748D3" w:rsidRPr="00816ACF">
              <w:rPr>
                <w:color w:val="000000" w:themeColor="text1"/>
                <w:sz w:val="22"/>
                <w:szCs w:val="22"/>
              </w:rPr>
              <w:t>55</w:t>
            </w:r>
          </w:p>
        </w:tc>
      </w:tr>
      <w:tr w:rsidR="00433121" w:rsidTr="00E06A8E">
        <w:tc>
          <w:tcPr>
            <w:tcW w:w="6629" w:type="dxa"/>
          </w:tcPr>
          <w:p w:rsidR="00433121" w:rsidRPr="008F176C" w:rsidRDefault="00433121" w:rsidP="00E06A8E">
            <w:pPr>
              <w:jc w:val="both"/>
              <w:rPr>
                <w:sz w:val="22"/>
                <w:szCs w:val="22"/>
              </w:rPr>
            </w:pPr>
            <w:r w:rsidRPr="008F176C">
              <w:rPr>
                <w:sz w:val="22"/>
                <w:szCs w:val="22"/>
              </w:rPr>
              <w:t>Business Rates</w:t>
            </w:r>
          </w:p>
        </w:tc>
        <w:tc>
          <w:tcPr>
            <w:tcW w:w="2126" w:type="dxa"/>
          </w:tcPr>
          <w:p w:rsidR="00433121" w:rsidRPr="00816ACF" w:rsidRDefault="00816ACF" w:rsidP="00E06A8E">
            <w:pPr>
              <w:jc w:val="right"/>
              <w:rPr>
                <w:color w:val="000000" w:themeColor="text1"/>
                <w:sz w:val="22"/>
                <w:szCs w:val="22"/>
              </w:rPr>
            </w:pPr>
            <w:r w:rsidRPr="00816ACF">
              <w:rPr>
                <w:color w:val="000000" w:themeColor="text1"/>
                <w:sz w:val="22"/>
                <w:szCs w:val="22"/>
              </w:rPr>
              <w:t>£1.98</w:t>
            </w:r>
          </w:p>
        </w:tc>
      </w:tr>
      <w:tr w:rsidR="00433121" w:rsidTr="00E06A8E">
        <w:tc>
          <w:tcPr>
            <w:tcW w:w="6629" w:type="dxa"/>
          </w:tcPr>
          <w:p w:rsidR="00433121" w:rsidRPr="008F176C" w:rsidRDefault="00433121" w:rsidP="00433121">
            <w:pPr>
              <w:jc w:val="both"/>
              <w:rPr>
                <w:sz w:val="22"/>
                <w:szCs w:val="22"/>
              </w:rPr>
            </w:pPr>
            <w:r w:rsidRPr="008F176C">
              <w:rPr>
                <w:sz w:val="22"/>
                <w:szCs w:val="22"/>
              </w:rPr>
              <w:t>New Services Delegation</w:t>
            </w:r>
          </w:p>
        </w:tc>
        <w:tc>
          <w:tcPr>
            <w:tcW w:w="2126" w:type="dxa"/>
          </w:tcPr>
          <w:p w:rsidR="00433121" w:rsidRPr="00816ACF" w:rsidRDefault="00816ACF" w:rsidP="00E06A8E">
            <w:pPr>
              <w:jc w:val="right"/>
              <w:rPr>
                <w:color w:val="000000" w:themeColor="text1"/>
                <w:sz w:val="22"/>
                <w:szCs w:val="22"/>
              </w:rPr>
            </w:pPr>
            <w:r w:rsidRPr="00816ACF">
              <w:rPr>
                <w:color w:val="000000" w:themeColor="text1"/>
                <w:sz w:val="22"/>
                <w:szCs w:val="22"/>
              </w:rPr>
              <w:t>£2.41</w:t>
            </w:r>
          </w:p>
        </w:tc>
      </w:tr>
      <w:tr w:rsidR="00433121" w:rsidTr="00E06A8E">
        <w:tc>
          <w:tcPr>
            <w:tcW w:w="6629" w:type="dxa"/>
          </w:tcPr>
          <w:p w:rsidR="00433121" w:rsidRPr="008F176C" w:rsidRDefault="00433121" w:rsidP="00E06A8E">
            <w:pPr>
              <w:jc w:val="both"/>
              <w:rPr>
                <w:sz w:val="22"/>
                <w:szCs w:val="22"/>
              </w:rPr>
            </w:pPr>
            <w:r w:rsidRPr="008F176C">
              <w:rPr>
                <w:sz w:val="22"/>
                <w:szCs w:val="22"/>
              </w:rPr>
              <w:t>Pupil Mobility</w:t>
            </w:r>
          </w:p>
        </w:tc>
        <w:tc>
          <w:tcPr>
            <w:tcW w:w="2126" w:type="dxa"/>
          </w:tcPr>
          <w:p w:rsidR="00433121" w:rsidRPr="00816ACF" w:rsidRDefault="00816ACF" w:rsidP="00E06A8E">
            <w:pPr>
              <w:jc w:val="right"/>
              <w:rPr>
                <w:color w:val="000000" w:themeColor="text1"/>
                <w:sz w:val="22"/>
                <w:szCs w:val="22"/>
              </w:rPr>
            </w:pPr>
            <w:r w:rsidRPr="00816ACF">
              <w:rPr>
                <w:color w:val="000000" w:themeColor="text1"/>
                <w:sz w:val="22"/>
                <w:szCs w:val="22"/>
              </w:rPr>
              <w:t>£3.16</w:t>
            </w:r>
          </w:p>
        </w:tc>
      </w:tr>
      <w:tr w:rsidR="00433121" w:rsidTr="00E06A8E">
        <w:tc>
          <w:tcPr>
            <w:tcW w:w="6629" w:type="dxa"/>
          </w:tcPr>
          <w:p w:rsidR="00433121" w:rsidRPr="008F176C" w:rsidRDefault="00433121" w:rsidP="00E06A8E">
            <w:pPr>
              <w:jc w:val="both"/>
              <w:rPr>
                <w:b/>
                <w:sz w:val="22"/>
                <w:szCs w:val="22"/>
              </w:rPr>
            </w:pPr>
            <w:r w:rsidRPr="008F176C">
              <w:rPr>
                <w:b/>
                <w:sz w:val="22"/>
                <w:szCs w:val="22"/>
              </w:rPr>
              <w:t>Total</w:t>
            </w:r>
          </w:p>
        </w:tc>
        <w:tc>
          <w:tcPr>
            <w:tcW w:w="2126" w:type="dxa"/>
          </w:tcPr>
          <w:p w:rsidR="00433121" w:rsidRPr="00816ACF" w:rsidRDefault="00816ACF" w:rsidP="00E06A8E">
            <w:pPr>
              <w:jc w:val="right"/>
              <w:rPr>
                <w:b/>
                <w:color w:val="000000" w:themeColor="text1"/>
                <w:sz w:val="22"/>
                <w:szCs w:val="22"/>
              </w:rPr>
            </w:pPr>
            <w:r w:rsidRPr="00816ACF">
              <w:rPr>
                <w:b/>
                <w:color w:val="000000" w:themeColor="text1"/>
                <w:sz w:val="22"/>
                <w:szCs w:val="22"/>
              </w:rPr>
              <w:t>£79.13</w:t>
            </w:r>
          </w:p>
        </w:tc>
      </w:tr>
    </w:tbl>
    <w:p w:rsidR="0085538E" w:rsidRDefault="00E51C35" w:rsidP="00897157">
      <w:pPr>
        <w:jc w:val="both"/>
        <w:rPr>
          <w:sz w:val="22"/>
          <w:szCs w:val="22"/>
        </w:rPr>
      </w:pPr>
      <w:r>
        <w:rPr>
          <w:sz w:val="22"/>
          <w:szCs w:val="22"/>
        </w:rPr>
        <w:t>8.6</w:t>
      </w:r>
      <w:r w:rsidR="0085538E">
        <w:rPr>
          <w:sz w:val="22"/>
          <w:szCs w:val="22"/>
        </w:rPr>
        <w:t xml:space="preserve"> The equivalent annual per pupil value, based on 195 days, is as follows:</w:t>
      </w:r>
    </w:p>
    <w:p w:rsidR="0085538E" w:rsidRDefault="0085538E" w:rsidP="00897157">
      <w:pPr>
        <w:jc w:val="both"/>
        <w:rPr>
          <w:sz w:val="22"/>
          <w:szCs w:val="22"/>
        </w:rPr>
      </w:pPr>
    </w:p>
    <w:tbl>
      <w:tblPr>
        <w:tblStyle w:val="TableGrid"/>
        <w:tblW w:w="0" w:type="auto"/>
        <w:tblLook w:val="04A0" w:firstRow="1" w:lastRow="0" w:firstColumn="1" w:lastColumn="0" w:noHBand="0" w:noVBand="1"/>
      </w:tblPr>
      <w:tblGrid>
        <w:gridCol w:w="6629"/>
        <w:gridCol w:w="2126"/>
      </w:tblGrid>
      <w:tr w:rsidR="0085538E" w:rsidRPr="00314EBB" w:rsidTr="00E06A8E">
        <w:tc>
          <w:tcPr>
            <w:tcW w:w="6629" w:type="dxa"/>
          </w:tcPr>
          <w:p w:rsidR="0085538E" w:rsidRPr="008F176C" w:rsidRDefault="0085538E" w:rsidP="00E06A8E">
            <w:pPr>
              <w:jc w:val="both"/>
              <w:rPr>
                <w:b/>
                <w:sz w:val="22"/>
                <w:szCs w:val="22"/>
              </w:rPr>
            </w:pPr>
            <w:r w:rsidRPr="008F176C">
              <w:rPr>
                <w:b/>
                <w:sz w:val="22"/>
                <w:szCs w:val="22"/>
              </w:rPr>
              <w:t>Factor</w:t>
            </w:r>
          </w:p>
        </w:tc>
        <w:tc>
          <w:tcPr>
            <w:tcW w:w="2126" w:type="dxa"/>
          </w:tcPr>
          <w:p w:rsidR="0085538E" w:rsidRPr="008F176C" w:rsidRDefault="0085538E" w:rsidP="00E06A8E">
            <w:pPr>
              <w:jc w:val="right"/>
              <w:rPr>
                <w:b/>
                <w:sz w:val="22"/>
                <w:szCs w:val="22"/>
              </w:rPr>
            </w:pPr>
            <w:r w:rsidRPr="008F176C">
              <w:rPr>
                <w:b/>
                <w:sz w:val="22"/>
                <w:szCs w:val="22"/>
              </w:rPr>
              <w:t>£Day Rate Value</w:t>
            </w:r>
          </w:p>
        </w:tc>
      </w:tr>
      <w:tr w:rsidR="0085538E" w:rsidRPr="00433121" w:rsidTr="00E06A8E">
        <w:tc>
          <w:tcPr>
            <w:tcW w:w="6629" w:type="dxa"/>
          </w:tcPr>
          <w:p w:rsidR="0085538E" w:rsidRPr="008F176C" w:rsidRDefault="0085538E" w:rsidP="00E06A8E">
            <w:pPr>
              <w:jc w:val="both"/>
              <w:rPr>
                <w:sz w:val="22"/>
                <w:szCs w:val="22"/>
              </w:rPr>
            </w:pPr>
            <w:r w:rsidRPr="008F176C">
              <w:rPr>
                <w:sz w:val="22"/>
                <w:szCs w:val="22"/>
              </w:rPr>
              <w:t>Main pupil-need led provision</w:t>
            </w:r>
            <w:r w:rsidR="000222C5" w:rsidRPr="008F176C">
              <w:rPr>
                <w:sz w:val="22"/>
                <w:szCs w:val="22"/>
              </w:rPr>
              <w:t xml:space="preserve"> *</w:t>
            </w:r>
          </w:p>
        </w:tc>
        <w:tc>
          <w:tcPr>
            <w:tcW w:w="2126" w:type="dxa"/>
          </w:tcPr>
          <w:p w:rsidR="0085538E" w:rsidRPr="00816ACF" w:rsidRDefault="00816ACF" w:rsidP="00E06A8E">
            <w:pPr>
              <w:jc w:val="right"/>
              <w:rPr>
                <w:color w:val="000000" w:themeColor="text1"/>
                <w:sz w:val="22"/>
                <w:szCs w:val="22"/>
              </w:rPr>
            </w:pPr>
            <w:r w:rsidRPr="00816ACF">
              <w:rPr>
                <w:color w:val="000000" w:themeColor="text1"/>
                <w:sz w:val="22"/>
                <w:szCs w:val="22"/>
              </w:rPr>
              <w:t>£12,876</w:t>
            </w:r>
          </w:p>
        </w:tc>
      </w:tr>
      <w:tr w:rsidR="0085538E" w:rsidRPr="00433121" w:rsidTr="00E06A8E">
        <w:tc>
          <w:tcPr>
            <w:tcW w:w="6629" w:type="dxa"/>
          </w:tcPr>
          <w:p w:rsidR="0085538E" w:rsidRPr="008F176C" w:rsidRDefault="0085538E" w:rsidP="00E06A8E">
            <w:pPr>
              <w:jc w:val="both"/>
              <w:rPr>
                <w:sz w:val="22"/>
                <w:szCs w:val="22"/>
              </w:rPr>
            </w:pPr>
            <w:r w:rsidRPr="008F176C">
              <w:rPr>
                <w:sz w:val="22"/>
                <w:szCs w:val="22"/>
              </w:rPr>
              <w:t>Small Setting Protection</w:t>
            </w:r>
          </w:p>
        </w:tc>
        <w:tc>
          <w:tcPr>
            <w:tcW w:w="2126" w:type="dxa"/>
          </w:tcPr>
          <w:p w:rsidR="0085538E" w:rsidRPr="00816ACF" w:rsidRDefault="0085538E" w:rsidP="00E06A8E">
            <w:pPr>
              <w:jc w:val="right"/>
              <w:rPr>
                <w:color w:val="000000" w:themeColor="text1"/>
                <w:sz w:val="22"/>
                <w:szCs w:val="22"/>
              </w:rPr>
            </w:pPr>
            <w:r w:rsidRPr="00816ACF">
              <w:rPr>
                <w:color w:val="000000" w:themeColor="text1"/>
                <w:sz w:val="22"/>
                <w:szCs w:val="22"/>
              </w:rPr>
              <w:t>£1,</w:t>
            </w:r>
            <w:r w:rsidR="006D0E55" w:rsidRPr="00816ACF">
              <w:rPr>
                <w:color w:val="000000" w:themeColor="text1"/>
                <w:sz w:val="22"/>
                <w:szCs w:val="22"/>
              </w:rPr>
              <w:t>082</w:t>
            </w:r>
          </w:p>
        </w:tc>
      </w:tr>
      <w:tr w:rsidR="0085538E" w:rsidRPr="00433121" w:rsidTr="00E06A8E">
        <w:tc>
          <w:tcPr>
            <w:tcW w:w="6629" w:type="dxa"/>
          </w:tcPr>
          <w:p w:rsidR="0085538E" w:rsidRPr="008F176C" w:rsidRDefault="0085538E" w:rsidP="00E06A8E">
            <w:pPr>
              <w:jc w:val="both"/>
              <w:rPr>
                <w:sz w:val="22"/>
                <w:szCs w:val="22"/>
              </w:rPr>
            </w:pPr>
            <w:r w:rsidRPr="008F176C">
              <w:rPr>
                <w:sz w:val="22"/>
                <w:szCs w:val="22"/>
              </w:rPr>
              <w:t>Business Rates</w:t>
            </w:r>
          </w:p>
        </w:tc>
        <w:tc>
          <w:tcPr>
            <w:tcW w:w="2126" w:type="dxa"/>
          </w:tcPr>
          <w:p w:rsidR="0085538E" w:rsidRPr="00816ACF" w:rsidRDefault="00816ACF" w:rsidP="00E06A8E">
            <w:pPr>
              <w:jc w:val="right"/>
              <w:rPr>
                <w:color w:val="000000" w:themeColor="text1"/>
                <w:sz w:val="22"/>
                <w:szCs w:val="22"/>
              </w:rPr>
            </w:pPr>
            <w:r w:rsidRPr="00816ACF">
              <w:rPr>
                <w:color w:val="000000" w:themeColor="text1"/>
                <w:sz w:val="22"/>
                <w:szCs w:val="22"/>
              </w:rPr>
              <w:t>£387</w:t>
            </w:r>
          </w:p>
        </w:tc>
      </w:tr>
      <w:tr w:rsidR="0085538E" w:rsidRPr="00433121" w:rsidTr="00E06A8E">
        <w:tc>
          <w:tcPr>
            <w:tcW w:w="6629" w:type="dxa"/>
          </w:tcPr>
          <w:p w:rsidR="0085538E" w:rsidRPr="008F176C" w:rsidRDefault="0085538E" w:rsidP="00E06A8E">
            <w:pPr>
              <w:jc w:val="both"/>
              <w:rPr>
                <w:sz w:val="22"/>
                <w:szCs w:val="22"/>
              </w:rPr>
            </w:pPr>
            <w:r w:rsidRPr="008F176C">
              <w:rPr>
                <w:sz w:val="22"/>
                <w:szCs w:val="22"/>
              </w:rPr>
              <w:t>New Services Delegation</w:t>
            </w:r>
          </w:p>
        </w:tc>
        <w:tc>
          <w:tcPr>
            <w:tcW w:w="2126" w:type="dxa"/>
          </w:tcPr>
          <w:p w:rsidR="0085538E" w:rsidRPr="00816ACF" w:rsidRDefault="00816ACF" w:rsidP="00E06A8E">
            <w:pPr>
              <w:jc w:val="right"/>
              <w:rPr>
                <w:color w:val="000000" w:themeColor="text1"/>
                <w:sz w:val="22"/>
                <w:szCs w:val="22"/>
              </w:rPr>
            </w:pPr>
            <w:r w:rsidRPr="00816ACF">
              <w:rPr>
                <w:color w:val="000000" w:themeColor="text1"/>
                <w:sz w:val="22"/>
                <w:szCs w:val="22"/>
              </w:rPr>
              <w:t>£470</w:t>
            </w:r>
          </w:p>
        </w:tc>
      </w:tr>
      <w:tr w:rsidR="0085538E" w:rsidRPr="00433121" w:rsidTr="00E06A8E">
        <w:tc>
          <w:tcPr>
            <w:tcW w:w="6629" w:type="dxa"/>
          </w:tcPr>
          <w:p w:rsidR="0085538E" w:rsidRPr="008F176C" w:rsidRDefault="0085538E" w:rsidP="00E06A8E">
            <w:pPr>
              <w:jc w:val="both"/>
              <w:rPr>
                <w:sz w:val="22"/>
                <w:szCs w:val="22"/>
              </w:rPr>
            </w:pPr>
            <w:r w:rsidRPr="008F176C">
              <w:rPr>
                <w:sz w:val="22"/>
                <w:szCs w:val="22"/>
              </w:rPr>
              <w:t>Pupil Mobility</w:t>
            </w:r>
          </w:p>
        </w:tc>
        <w:tc>
          <w:tcPr>
            <w:tcW w:w="2126" w:type="dxa"/>
          </w:tcPr>
          <w:p w:rsidR="0085538E" w:rsidRPr="00816ACF" w:rsidRDefault="00816ACF" w:rsidP="00E06A8E">
            <w:pPr>
              <w:jc w:val="right"/>
              <w:rPr>
                <w:color w:val="000000" w:themeColor="text1"/>
                <w:sz w:val="22"/>
                <w:szCs w:val="22"/>
              </w:rPr>
            </w:pPr>
            <w:r w:rsidRPr="00816ACF">
              <w:rPr>
                <w:color w:val="000000" w:themeColor="text1"/>
                <w:sz w:val="22"/>
                <w:szCs w:val="22"/>
              </w:rPr>
              <w:t>£615</w:t>
            </w:r>
          </w:p>
        </w:tc>
      </w:tr>
      <w:tr w:rsidR="0085538E" w:rsidRPr="00433121" w:rsidTr="00E06A8E">
        <w:tc>
          <w:tcPr>
            <w:tcW w:w="6629" w:type="dxa"/>
          </w:tcPr>
          <w:p w:rsidR="0085538E" w:rsidRPr="008F176C" w:rsidRDefault="0085538E" w:rsidP="00E06A8E">
            <w:pPr>
              <w:jc w:val="both"/>
              <w:rPr>
                <w:b/>
                <w:sz w:val="22"/>
                <w:szCs w:val="22"/>
              </w:rPr>
            </w:pPr>
            <w:r w:rsidRPr="008F176C">
              <w:rPr>
                <w:b/>
                <w:sz w:val="22"/>
                <w:szCs w:val="22"/>
              </w:rPr>
              <w:t>Total</w:t>
            </w:r>
          </w:p>
        </w:tc>
        <w:tc>
          <w:tcPr>
            <w:tcW w:w="2126" w:type="dxa"/>
          </w:tcPr>
          <w:p w:rsidR="0085538E" w:rsidRPr="00816ACF" w:rsidRDefault="00816ACF" w:rsidP="00E06A8E">
            <w:pPr>
              <w:jc w:val="right"/>
              <w:rPr>
                <w:b/>
                <w:color w:val="000000" w:themeColor="text1"/>
                <w:sz w:val="22"/>
                <w:szCs w:val="22"/>
              </w:rPr>
            </w:pPr>
            <w:r w:rsidRPr="00816ACF">
              <w:rPr>
                <w:b/>
                <w:color w:val="000000" w:themeColor="text1"/>
                <w:sz w:val="22"/>
                <w:szCs w:val="22"/>
              </w:rPr>
              <w:t>£15,430</w:t>
            </w:r>
          </w:p>
        </w:tc>
      </w:tr>
    </w:tbl>
    <w:p w:rsidR="0085538E" w:rsidRDefault="0085538E" w:rsidP="00897157">
      <w:pPr>
        <w:jc w:val="both"/>
        <w:rPr>
          <w:sz w:val="22"/>
          <w:szCs w:val="22"/>
        </w:rPr>
      </w:pPr>
    </w:p>
    <w:p w:rsidR="000222C5" w:rsidRDefault="00F85DD6" w:rsidP="00897157">
      <w:pPr>
        <w:jc w:val="both"/>
        <w:rPr>
          <w:sz w:val="22"/>
          <w:szCs w:val="22"/>
        </w:rPr>
      </w:pPr>
      <w:r>
        <w:rPr>
          <w:sz w:val="22"/>
          <w:szCs w:val="22"/>
        </w:rPr>
        <w:t>* this element</w:t>
      </w:r>
      <w:r w:rsidR="000222C5">
        <w:rPr>
          <w:sz w:val="22"/>
          <w:szCs w:val="22"/>
        </w:rPr>
        <w:t xml:space="preserve"> is the equivalent of the </w:t>
      </w:r>
      <w:r w:rsidR="00D32993">
        <w:rPr>
          <w:sz w:val="22"/>
          <w:szCs w:val="22"/>
        </w:rPr>
        <w:t>top-up</w:t>
      </w:r>
      <w:r w:rsidR="000222C5">
        <w:rPr>
          <w:sz w:val="22"/>
          <w:szCs w:val="22"/>
        </w:rPr>
        <w:t xml:space="preserve"> funding allocated to EHCPs through the Banded Model. This value sits between bands 4L and 4M.</w:t>
      </w:r>
    </w:p>
    <w:p w:rsidR="000222C5" w:rsidRDefault="000222C5" w:rsidP="00897157">
      <w:pPr>
        <w:jc w:val="both"/>
        <w:rPr>
          <w:sz w:val="22"/>
          <w:szCs w:val="22"/>
        </w:rPr>
      </w:pPr>
    </w:p>
    <w:p w:rsidR="00BD3968" w:rsidRDefault="009D64BB" w:rsidP="00897157">
      <w:pPr>
        <w:jc w:val="both"/>
        <w:rPr>
          <w:sz w:val="22"/>
          <w:szCs w:val="22"/>
        </w:rPr>
      </w:pPr>
      <w:r>
        <w:rPr>
          <w:sz w:val="22"/>
          <w:szCs w:val="22"/>
        </w:rPr>
        <w:t>8.</w:t>
      </w:r>
      <w:r w:rsidR="00E51C35">
        <w:rPr>
          <w:sz w:val="22"/>
          <w:szCs w:val="22"/>
        </w:rPr>
        <w:t>7</w:t>
      </w:r>
      <w:r w:rsidR="00D54A32">
        <w:rPr>
          <w:sz w:val="22"/>
          <w:szCs w:val="22"/>
        </w:rPr>
        <w:t xml:space="preserve"> </w:t>
      </w:r>
      <w:r w:rsidR="00D01DC1">
        <w:rPr>
          <w:sz w:val="22"/>
          <w:szCs w:val="22"/>
        </w:rPr>
        <w:t>W</w:t>
      </w:r>
      <w:r w:rsidR="00952EDE">
        <w:rPr>
          <w:sz w:val="22"/>
          <w:szCs w:val="22"/>
        </w:rPr>
        <w:t>e propose to continue to apply</w:t>
      </w:r>
      <w:r w:rsidR="00327390">
        <w:rPr>
          <w:sz w:val="22"/>
          <w:szCs w:val="22"/>
        </w:rPr>
        <w:t xml:space="preserve"> the Day Rate Model</w:t>
      </w:r>
      <w:r w:rsidR="00710E69">
        <w:rPr>
          <w:sz w:val="22"/>
          <w:szCs w:val="22"/>
        </w:rPr>
        <w:t>,</w:t>
      </w:r>
      <w:r w:rsidR="00327390">
        <w:rPr>
          <w:sz w:val="22"/>
          <w:szCs w:val="22"/>
        </w:rPr>
        <w:t xml:space="preserve"> as</w:t>
      </w:r>
      <w:r w:rsidR="00DF100D">
        <w:rPr>
          <w:sz w:val="22"/>
          <w:szCs w:val="22"/>
        </w:rPr>
        <w:t xml:space="preserve"> we</w:t>
      </w:r>
      <w:r w:rsidR="00327390">
        <w:rPr>
          <w:sz w:val="22"/>
          <w:szCs w:val="22"/>
        </w:rPr>
        <w:t xml:space="preserve"> applied </w:t>
      </w:r>
      <w:r w:rsidR="00952EDE">
        <w:rPr>
          <w:sz w:val="22"/>
          <w:szCs w:val="22"/>
        </w:rPr>
        <w:t xml:space="preserve">it </w:t>
      </w:r>
      <w:r w:rsidR="00DC17AD">
        <w:rPr>
          <w:sz w:val="22"/>
          <w:szCs w:val="22"/>
        </w:rPr>
        <w:t>in 2022/23</w:t>
      </w:r>
      <w:r w:rsidR="006E6604">
        <w:rPr>
          <w:sz w:val="22"/>
          <w:szCs w:val="22"/>
        </w:rPr>
        <w:t xml:space="preserve">, with </w:t>
      </w:r>
      <w:r w:rsidR="00BD3968">
        <w:rPr>
          <w:sz w:val="22"/>
          <w:szCs w:val="22"/>
        </w:rPr>
        <w:t xml:space="preserve">the calculation </w:t>
      </w:r>
      <w:r w:rsidR="00D621E9">
        <w:rPr>
          <w:sz w:val="22"/>
          <w:szCs w:val="22"/>
        </w:rPr>
        <w:t>of</w:t>
      </w:r>
      <w:r w:rsidR="004E192D">
        <w:rPr>
          <w:sz w:val="22"/>
          <w:szCs w:val="22"/>
        </w:rPr>
        <w:t xml:space="preserve"> a</w:t>
      </w:r>
      <w:r w:rsidR="008F176C">
        <w:rPr>
          <w:sz w:val="22"/>
          <w:szCs w:val="22"/>
        </w:rPr>
        <w:t xml:space="preserve"> </w:t>
      </w:r>
      <w:r w:rsidR="008F176C" w:rsidRPr="008F176C">
        <w:rPr>
          <w:sz w:val="22"/>
          <w:szCs w:val="22"/>
        </w:rPr>
        <w:t xml:space="preserve">minimum </w:t>
      </w:r>
      <w:r w:rsidR="00D32993">
        <w:rPr>
          <w:sz w:val="22"/>
          <w:szCs w:val="22"/>
        </w:rPr>
        <w:t>top-up</w:t>
      </w:r>
      <w:r w:rsidR="008F176C" w:rsidRPr="008F176C">
        <w:rPr>
          <w:sz w:val="22"/>
          <w:szCs w:val="22"/>
        </w:rPr>
        <w:t xml:space="preserve"> funding</w:t>
      </w:r>
      <w:r w:rsidR="004E192D">
        <w:rPr>
          <w:sz w:val="22"/>
          <w:szCs w:val="22"/>
        </w:rPr>
        <w:t xml:space="preserve"> value</w:t>
      </w:r>
      <w:r w:rsidR="00BD3968" w:rsidRPr="008F176C">
        <w:rPr>
          <w:sz w:val="22"/>
          <w:szCs w:val="22"/>
        </w:rPr>
        <w:t xml:space="preserve"> based on each setting’s agreed commissioned places number</w:t>
      </w:r>
      <w:r w:rsidR="00F85DD6">
        <w:rPr>
          <w:sz w:val="22"/>
          <w:szCs w:val="22"/>
        </w:rPr>
        <w:t xml:space="preserve">. </w:t>
      </w:r>
      <w:r w:rsidR="00D621E9" w:rsidRPr="009A28BF">
        <w:rPr>
          <w:sz w:val="22"/>
          <w:szCs w:val="22"/>
        </w:rPr>
        <w:t>In this way, the</w:t>
      </w:r>
      <w:r w:rsidR="008F176C">
        <w:rPr>
          <w:sz w:val="22"/>
          <w:szCs w:val="22"/>
        </w:rPr>
        <w:t xml:space="preserve"> funding model co</w:t>
      </w:r>
      <w:r w:rsidR="00DC17AD">
        <w:rPr>
          <w:sz w:val="22"/>
          <w:szCs w:val="22"/>
        </w:rPr>
        <w:t>ntinues to support both Park Aspire</w:t>
      </w:r>
      <w:r w:rsidR="008F176C">
        <w:rPr>
          <w:sz w:val="22"/>
          <w:szCs w:val="22"/>
        </w:rPr>
        <w:t xml:space="preserve"> and </w:t>
      </w:r>
      <w:r w:rsidR="00786F23">
        <w:rPr>
          <w:sz w:val="22"/>
          <w:szCs w:val="22"/>
        </w:rPr>
        <w:t>BAPA</w:t>
      </w:r>
      <w:r w:rsidR="00D621E9" w:rsidRPr="009A28BF">
        <w:rPr>
          <w:sz w:val="22"/>
          <w:szCs w:val="22"/>
        </w:rPr>
        <w:t xml:space="preserve"> </w:t>
      </w:r>
      <w:r w:rsidR="00D621E9">
        <w:rPr>
          <w:sz w:val="22"/>
          <w:szCs w:val="22"/>
        </w:rPr>
        <w:t>to retain</w:t>
      </w:r>
      <w:r w:rsidR="00907149">
        <w:rPr>
          <w:sz w:val="22"/>
          <w:szCs w:val="22"/>
        </w:rPr>
        <w:t xml:space="preserve"> their unique</w:t>
      </w:r>
      <w:r w:rsidR="00E90EF8">
        <w:rPr>
          <w:sz w:val="22"/>
          <w:szCs w:val="22"/>
        </w:rPr>
        <w:t xml:space="preserve"> capacities</w:t>
      </w:r>
      <w:r w:rsidR="00D621E9">
        <w:rPr>
          <w:sz w:val="22"/>
          <w:szCs w:val="22"/>
        </w:rPr>
        <w:t xml:space="preserve"> to deliver the numbe</w:t>
      </w:r>
      <w:r w:rsidR="008F176C">
        <w:rPr>
          <w:sz w:val="22"/>
          <w:szCs w:val="22"/>
        </w:rPr>
        <w:t>r of places the Authority plans</w:t>
      </w:r>
      <w:r w:rsidR="00D621E9">
        <w:rPr>
          <w:sz w:val="22"/>
          <w:szCs w:val="22"/>
        </w:rPr>
        <w:t xml:space="preserve"> to commission.</w:t>
      </w:r>
    </w:p>
    <w:p w:rsidR="00314EBB" w:rsidRPr="00F85DD6" w:rsidRDefault="00314EBB" w:rsidP="00355873">
      <w:pPr>
        <w:jc w:val="both"/>
        <w:rPr>
          <w:color w:val="000000" w:themeColor="text1"/>
          <w:sz w:val="22"/>
          <w:szCs w:val="22"/>
        </w:rPr>
      </w:pPr>
    </w:p>
    <w:p w:rsidR="004E192D" w:rsidRPr="00F85DD6" w:rsidRDefault="007E4D68" w:rsidP="000651A2">
      <w:pPr>
        <w:pStyle w:val="ListParagraph"/>
        <w:numPr>
          <w:ilvl w:val="0"/>
          <w:numId w:val="19"/>
        </w:numPr>
        <w:jc w:val="both"/>
        <w:rPr>
          <w:color w:val="000000" w:themeColor="text1"/>
          <w:sz w:val="22"/>
          <w:szCs w:val="22"/>
        </w:rPr>
      </w:pPr>
      <w:r w:rsidRPr="00F85DD6">
        <w:rPr>
          <w:color w:val="000000" w:themeColor="text1"/>
          <w:sz w:val="22"/>
          <w:szCs w:val="22"/>
        </w:rPr>
        <w:t>Whe</w:t>
      </w:r>
      <w:r w:rsidR="00445750" w:rsidRPr="00F85DD6">
        <w:rPr>
          <w:color w:val="000000" w:themeColor="text1"/>
          <w:sz w:val="22"/>
          <w:szCs w:val="22"/>
        </w:rPr>
        <w:t xml:space="preserve">re </w:t>
      </w:r>
      <w:r w:rsidR="00DC17AD" w:rsidRPr="00F85DD6">
        <w:rPr>
          <w:color w:val="000000" w:themeColor="text1"/>
          <w:sz w:val="22"/>
          <w:szCs w:val="22"/>
        </w:rPr>
        <w:t>Park Aspire</w:t>
      </w:r>
      <w:r w:rsidR="004E192D" w:rsidRPr="00F85DD6">
        <w:rPr>
          <w:color w:val="000000" w:themeColor="text1"/>
          <w:sz w:val="22"/>
          <w:szCs w:val="22"/>
        </w:rPr>
        <w:t xml:space="preserve"> an</w:t>
      </w:r>
      <w:r w:rsidR="00E90EF8" w:rsidRPr="00F85DD6">
        <w:rPr>
          <w:color w:val="000000" w:themeColor="text1"/>
          <w:sz w:val="22"/>
          <w:szCs w:val="22"/>
        </w:rPr>
        <w:t>d</w:t>
      </w:r>
      <w:r w:rsidR="004E192D" w:rsidRPr="00F85DD6">
        <w:rPr>
          <w:color w:val="000000" w:themeColor="text1"/>
          <w:sz w:val="22"/>
          <w:szCs w:val="22"/>
        </w:rPr>
        <w:t xml:space="preserve"> </w:t>
      </w:r>
      <w:r w:rsidR="00786F23" w:rsidRPr="00F85DD6">
        <w:rPr>
          <w:color w:val="000000" w:themeColor="text1"/>
          <w:sz w:val="22"/>
          <w:szCs w:val="22"/>
        </w:rPr>
        <w:t>BAPA</w:t>
      </w:r>
      <w:r w:rsidR="004E192D" w:rsidRPr="00F85DD6">
        <w:rPr>
          <w:color w:val="000000" w:themeColor="text1"/>
          <w:sz w:val="22"/>
          <w:szCs w:val="22"/>
        </w:rPr>
        <w:t xml:space="preserve"> are</w:t>
      </w:r>
      <w:r w:rsidRPr="00F85DD6">
        <w:rPr>
          <w:color w:val="000000" w:themeColor="text1"/>
          <w:sz w:val="22"/>
          <w:szCs w:val="22"/>
        </w:rPr>
        <w:t xml:space="preserve"> close to full occupancy through</w:t>
      </w:r>
      <w:r w:rsidR="00952EDE" w:rsidRPr="00F85DD6">
        <w:rPr>
          <w:color w:val="000000" w:themeColor="text1"/>
          <w:sz w:val="22"/>
          <w:szCs w:val="22"/>
        </w:rPr>
        <w:t>out</w:t>
      </w:r>
      <w:r w:rsidRPr="00F85DD6">
        <w:rPr>
          <w:color w:val="000000" w:themeColor="text1"/>
          <w:sz w:val="22"/>
          <w:szCs w:val="22"/>
        </w:rPr>
        <w:t xml:space="preserve"> the </w:t>
      </w:r>
      <w:r w:rsidR="00D621E9" w:rsidRPr="00F85DD6">
        <w:rPr>
          <w:color w:val="000000" w:themeColor="text1"/>
          <w:sz w:val="22"/>
          <w:szCs w:val="22"/>
        </w:rPr>
        <w:t>year, they will be funded at £</w:t>
      </w:r>
      <w:r w:rsidR="00F85DD6" w:rsidRPr="00F85DD6">
        <w:rPr>
          <w:color w:val="000000" w:themeColor="text1"/>
          <w:sz w:val="22"/>
          <w:szCs w:val="22"/>
        </w:rPr>
        <w:t>79</w:t>
      </w:r>
      <w:r w:rsidR="00952EDE" w:rsidRPr="00F85DD6">
        <w:rPr>
          <w:color w:val="000000" w:themeColor="text1"/>
          <w:sz w:val="22"/>
          <w:szCs w:val="22"/>
        </w:rPr>
        <w:t>.</w:t>
      </w:r>
      <w:r w:rsidR="00F85DD6" w:rsidRPr="00F85DD6">
        <w:rPr>
          <w:color w:val="000000" w:themeColor="text1"/>
          <w:sz w:val="22"/>
          <w:szCs w:val="22"/>
        </w:rPr>
        <w:t>13</w:t>
      </w:r>
      <w:r w:rsidRPr="00F85DD6">
        <w:rPr>
          <w:color w:val="000000" w:themeColor="text1"/>
          <w:sz w:val="22"/>
          <w:szCs w:val="22"/>
        </w:rPr>
        <w:t xml:space="preserve"> per day</w:t>
      </w:r>
      <w:r w:rsidR="00E90EF8" w:rsidRPr="00F85DD6">
        <w:rPr>
          <w:color w:val="000000" w:themeColor="text1"/>
          <w:sz w:val="22"/>
          <w:szCs w:val="22"/>
        </w:rPr>
        <w:t xml:space="preserve"> per pupil</w:t>
      </w:r>
      <w:r w:rsidR="00710E69" w:rsidRPr="00F85DD6">
        <w:rPr>
          <w:color w:val="000000" w:themeColor="text1"/>
          <w:sz w:val="22"/>
          <w:szCs w:val="22"/>
        </w:rPr>
        <w:t xml:space="preserve"> / </w:t>
      </w:r>
      <w:r w:rsidR="00F85DD6" w:rsidRPr="00F85DD6">
        <w:rPr>
          <w:color w:val="000000" w:themeColor="text1"/>
          <w:sz w:val="22"/>
          <w:szCs w:val="22"/>
        </w:rPr>
        <w:t>£15,430</w:t>
      </w:r>
      <w:r w:rsidR="00710E69" w:rsidRPr="00F85DD6">
        <w:rPr>
          <w:color w:val="000000" w:themeColor="text1"/>
          <w:sz w:val="22"/>
          <w:szCs w:val="22"/>
        </w:rPr>
        <w:t xml:space="preserve"> per year per pupil</w:t>
      </w:r>
      <w:r w:rsidRPr="00F85DD6">
        <w:rPr>
          <w:color w:val="000000" w:themeColor="text1"/>
          <w:sz w:val="22"/>
          <w:szCs w:val="22"/>
        </w:rPr>
        <w:t xml:space="preserve">. </w:t>
      </w:r>
    </w:p>
    <w:p w:rsidR="004E192D" w:rsidRPr="004E192D" w:rsidRDefault="004E192D" w:rsidP="004E192D">
      <w:pPr>
        <w:pStyle w:val="ListParagraph"/>
        <w:ind w:left="420"/>
        <w:jc w:val="both"/>
        <w:rPr>
          <w:sz w:val="22"/>
          <w:szCs w:val="22"/>
        </w:rPr>
      </w:pPr>
    </w:p>
    <w:p w:rsidR="00433121" w:rsidRPr="004E192D" w:rsidRDefault="00314EBB" w:rsidP="000651A2">
      <w:pPr>
        <w:pStyle w:val="ListParagraph"/>
        <w:numPr>
          <w:ilvl w:val="0"/>
          <w:numId w:val="19"/>
        </w:numPr>
        <w:jc w:val="both"/>
        <w:rPr>
          <w:sz w:val="22"/>
          <w:szCs w:val="22"/>
        </w:rPr>
      </w:pPr>
      <w:r w:rsidRPr="004E192D">
        <w:rPr>
          <w:sz w:val="22"/>
          <w:szCs w:val="22"/>
        </w:rPr>
        <w:t xml:space="preserve">The </w:t>
      </w:r>
      <w:r w:rsidR="007E4D68" w:rsidRPr="004E192D">
        <w:rPr>
          <w:sz w:val="22"/>
          <w:szCs w:val="22"/>
        </w:rPr>
        <w:t>basic</w:t>
      </w:r>
      <w:r w:rsidR="009C2D7B" w:rsidRPr="004E192D">
        <w:rPr>
          <w:sz w:val="22"/>
          <w:szCs w:val="22"/>
        </w:rPr>
        <w:t xml:space="preserve"> day </w:t>
      </w:r>
      <w:r w:rsidR="009C2D7B" w:rsidRPr="00F85DD6">
        <w:rPr>
          <w:color w:val="000000" w:themeColor="text1"/>
          <w:sz w:val="22"/>
          <w:szCs w:val="22"/>
        </w:rPr>
        <w:t>rate value</w:t>
      </w:r>
      <w:r w:rsidR="007E4D68" w:rsidRPr="00F85DD6">
        <w:rPr>
          <w:color w:val="000000" w:themeColor="text1"/>
          <w:sz w:val="22"/>
          <w:szCs w:val="22"/>
        </w:rPr>
        <w:t xml:space="preserve"> of £</w:t>
      </w:r>
      <w:r w:rsidR="00F85DD6" w:rsidRPr="00F85DD6">
        <w:rPr>
          <w:color w:val="000000" w:themeColor="text1"/>
          <w:sz w:val="22"/>
          <w:szCs w:val="22"/>
        </w:rPr>
        <w:t>79.13</w:t>
      </w:r>
      <w:r w:rsidR="009C2D7B" w:rsidRPr="00F85DD6">
        <w:rPr>
          <w:color w:val="000000" w:themeColor="text1"/>
          <w:sz w:val="22"/>
          <w:szCs w:val="22"/>
        </w:rPr>
        <w:t xml:space="preserve"> </w:t>
      </w:r>
      <w:r w:rsidR="00D621E9" w:rsidRPr="00F85DD6">
        <w:rPr>
          <w:color w:val="000000" w:themeColor="text1"/>
          <w:sz w:val="22"/>
          <w:szCs w:val="22"/>
        </w:rPr>
        <w:t xml:space="preserve">will </w:t>
      </w:r>
      <w:r w:rsidR="00D621E9" w:rsidRPr="004E192D">
        <w:rPr>
          <w:sz w:val="22"/>
          <w:szCs w:val="22"/>
        </w:rPr>
        <w:t>be</w:t>
      </w:r>
      <w:r w:rsidR="009C2D7B" w:rsidRPr="004E192D">
        <w:rPr>
          <w:sz w:val="22"/>
          <w:szCs w:val="22"/>
        </w:rPr>
        <w:t xml:space="preserve"> adjusted</w:t>
      </w:r>
      <w:r w:rsidR="007E4D68" w:rsidRPr="004E192D">
        <w:rPr>
          <w:sz w:val="22"/>
          <w:szCs w:val="22"/>
        </w:rPr>
        <w:t xml:space="preserve"> however</w:t>
      </w:r>
      <w:r w:rsidR="009C2D7B" w:rsidRPr="004E192D">
        <w:rPr>
          <w:sz w:val="22"/>
          <w:szCs w:val="22"/>
        </w:rPr>
        <w:t>, where necessary</w:t>
      </w:r>
      <w:r w:rsidR="00952EDE" w:rsidRPr="004E192D">
        <w:rPr>
          <w:sz w:val="22"/>
          <w:szCs w:val="22"/>
        </w:rPr>
        <w:t xml:space="preserve"> should occupancy fluctuate</w:t>
      </w:r>
      <w:r w:rsidR="009C2D7B" w:rsidRPr="004E192D">
        <w:rPr>
          <w:sz w:val="22"/>
          <w:szCs w:val="22"/>
        </w:rPr>
        <w:t>, to</w:t>
      </w:r>
      <w:r w:rsidRPr="004E192D">
        <w:rPr>
          <w:sz w:val="22"/>
          <w:szCs w:val="22"/>
        </w:rPr>
        <w:t xml:space="preserve"> ensu</w:t>
      </w:r>
      <w:r w:rsidR="009C2D7B" w:rsidRPr="004E192D">
        <w:rPr>
          <w:sz w:val="22"/>
          <w:szCs w:val="22"/>
        </w:rPr>
        <w:t>re a minimum level of funding to enable capacity</w:t>
      </w:r>
      <w:r w:rsidR="00E90EF8">
        <w:rPr>
          <w:sz w:val="22"/>
          <w:szCs w:val="22"/>
        </w:rPr>
        <w:t xml:space="preserve"> retention, meaning that</w:t>
      </w:r>
      <w:r w:rsidR="00DC17AD">
        <w:rPr>
          <w:sz w:val="22"/>
          <w:szCs w:val="22"/>
        </w:rPr>
        <w:t xml:space="preserve"> Park Aspire</w:t>
      </w:r>
      <w:r w:rsidR="004E192D" w:rsidRPr="004E192D">
        <w:rPr>
          <w:sz w:val="22"/>
          <w:szCs w:val="22"/>
        </w:rPr>
        <w:t xml:space="preserve"> and </w:t>
      </w:r>
      <w:r w:rsidR="00786F23">
        <w:rPr>
          <w:sz w:val="22"/>
          <w:szCs w:val="22"/>
        </w:rPr>
        <w:t>BAPA</w:t>
      </w:r>
      <w:r w:rsidR="009C2D7B" w:rsidRPr="004E192D">
        <w:rPr>
          <w:sz w:val="22"/>
          <w:szCs w:val="22"/>
        </w:rPr>
        <w:t xml:space="preserve"> will not </w:t>
      </w:r>
      <w:r w:rsidR="00710E69">
        <w:rPr>
          <w:sz w:val="22"/>
          <w:szCs w:val="22"/>
        </w:rPr>
        <w:t>receive an</w:t>
      </w:r>
      <w:r w:rsidR="00E90EF8">
        <w:rPr>
          <w:sz w:val="22"/>
          <w:szCs w:val="22"/>
        </w:rPr>
        <w:t xml:space="preserve"> </w:t>
      </w:r>
      <w:r w:rsidR="00710E69">
        <w:rPr>
          <w:sz w:val="22"/>
          <w:szCs w:val="22"/>
        </w:rPr>
        <w:t xml:space="preserve">annual </w:t>
      </w:r>
      <w:r w:rsidR="00C96E2B">
        <w:rPr>
          <w:sz w:val="22"/>
          <w:szCs w:val="22"/>
        </w:rPr>
        <w:t xml:space="preserve">cash total </w:t>
      </w:r>
      <w:r w:rsidR="00E90EF8">
        <w:rPr>
          <w:sz w:val="22"/>
          <w:szCs w:val="22"/>
        </w:rPr>
        <w:t xml:space="preserve">value of </w:t>
      </w:r>
      <w:r w:rsidR="00D32993">
        <w:rPr>
          <w:sz w:val="22"/>
          <w:szCs w:val="22"/>
        </w:rPr>
        <w:t>top-up</w:t>
      </w:r>
      <w:r w:rsidR="00E90EF8">
        <w:rPr>
          <w:sz w:val="22"/>
          <w:szCs w:val="22"/>
        </w:rPr>
        <w:t xml:space="preserve"> funding</w:t>
      </w:r>
      <w:r w:rsidR="00710E69">
        <w:rPr>
          <w:sz w:val="22"/>
          <w:szCs w:val="22"/>
        </w:rPr>
        <w:t xml:space="preserve"> lower</w:t>
      </w:r>
      <w:r w:rsidR="009C2D7B" w:rsidRPr="004E192D">
        <w:rPr>
          <w:sz w:val="22"/>
          <w:szCs w:val="22"/>
        </w:rPr>
        <w:t xml:space="preserve"> than:</w:t>
      </w:r>
    </w:p>
    <w:p w:rsidR="00433121" w:rsidRPr="004E192D" w:rsidRDefault="00433121" w:rsidP="00433121">
      <w:pPr>
        <w:pStyle w:val="ListParagraph"/>
        <w:ind w:left="420"/>
        <w:jc w:val="both"/>
        <w:rPr>
          <w:sz w:val="22"/>
          <w:szCs w:val="22"/>
        </w:rPr>
      </w:pPr>
    </w:p>
    <w:p w:rsidR="00433121" w:rsidRPr="004E192D" w:rsidRDefault="00DF100D" w:rsidP="000651A2">
      <w:pPr>
        <w:pStyle w:val="ListParagraph"/>
        <w:numPr>
          <w:ilvl w:val="1"/>
          <w:numId w:val="19"/>
        </w:numPr>
        <w:jc w:val="both"/>
        <w:rPr>
          <w:sz w:val="22"/>
          <w:szCs w:val="22"/>
        </w:rPr>
      </w:pPr>
      <w:r w:rsidRPr="00F85DD6">
        <w:rPr>
          <w:color w:val="000000" w:themeColor="text1"/>
          <w:sz w:val="22"/>
          <w:szCs w:val="22"/>
        </w:rPr>
        <w:t>(£</w:t>
      </w:r>
      <w:r w:rsidR="00B30FC0" w:rsidRPr="00F85DD6">
        <w:rPr>
          <w:color w:val="000000" w:themeColor="text1"/>
          <w:sz w:val="22"/>
          <w:szCs w:val="22"/>
        </w:rPr>
        <w:t>1,082</w:t>
      </w:r>
      <w:r w:rsidR="00F85DD6" w:rsidRPr="00F85DD6">
        <w:rPr>
          <w:color w:val="000000" w:themeColor="text1"/>
          <w:sz w:val="22"/>
          <w:szCs w:val="22"/>
        </w:rPr>
        <w:t xml:space="preserve"> + £387 + £470 + £615</w:t>
      </w:r>
      <w:r w:rsidRPr="00F85DD6">
        <w:rPr>
          <w:color w:val="000000" w:themeColor="text1"/>
          <w:sz w:val="22"/>
          <w:szCs w:val="22"/>
        </w:rPr>
        <w:t xml:space="preserve">) x </w:t>
      </w:r>
      <w:r w:rsidR="00907149" w:rsidRPr="00F85DD6">
        <w:rPr>
          <w:color w:val="000000" w:themeColor="text1"/>
          <w:sz w:val="22"/>
          <w:szCs w:val="22"/>
        </w:rPr>
        <w:t>no</w:t>
      </w:r>
      <w:r w:rsidR="00907149" w:rsidRPr="004E192D">
        <w:rPr>
          <w:sz w:val="22"/>
          <w:szCs w:val="22"/>
        </w:rPr>
        <w:t>. of places (</w:t>
      </w:r>
      <w:r w:rsidR="00433121" w:rsidRPr="004E192D">
        <w:rPr>
          <w:sz w:val="22"/>
          <w:szCs w:val="22"/>
        </w:rPr>
        <w:t>f</w:t>
      </w:r>
      <w:r w:rsidRPr="004E192D">
        <w:rPr>
          <w:sz w:val="22"/>
          <w:szCs w:val="22"/>
        </w:rPr>
        <w:t>or setting-based costs</w:t>
      </w:r>
      <w:r w:rsidR="00907149" w:rsidRPr="004E192D">
        <w:rPr>
          <w:sz w:val="22"/>
          <w:szCs w:val="22"/>
        </w:rPr>
        <w:t>)</w:t>
      </w:r>
      <w:r w:rsidRPr="004E192D">
        <w:rPr>
          <w:sz w:val="22"/>
          <w:szCs w:val="22"/>
        </w:rPr>
        <w:t xml:space="preserve">, </w:t>
      </w:r>
      <w:r w:rsidR="00433121" w:rsidRPr="004E192D">
        <w:rPr>
          <w:sz w:val="22"/>
          <w:szCs w:val="22"/>
        </w:rPr>
        <w:t>plus</w:t>
      </w:r>
    </w:p>
    <w:p w:rsidR="00433121" w:rsidRPr="004E192D" w:rsidRDefault="00433121" w:rsidP="00433121">
      <w:pPr>
        <w:pStyle w:val="ListParagraph"/>
        <w:ind w:left="1140"/>
        <w:jc w:val="both"/>
        <w:rPr>
          <w:sz w:val="22"/>
          <w:szCs w:val="22"/>
        </w:rPr>
      </w:pPr>
    </w:p>
    <w:p w:rsidR="00EE454C" w:rsidRPr="004E192D" w:rsidRDefault="006E6604" w:rsidP="000651A2">
      <w:pPr>
        <w:pStyle w:val="ListParagraph"/>
        <w:numPr>
          <w:ilvl w:val="1"/>
          <w:numId w:val="19"/>
        </w:numPr>
        <w:jc w:val="both"/>
        <w:rPr>
          <w:sz w:val="22"/>
          <w:szCs w:val="22"/>
        </w:rPr>
      </w:pPr>
      <w:r w:rsidRPr="004E192D">
        <w:rPr>
          <w:sz w:val="22"/>
          <w:szCs w:val="22"/>
        </w:rPr>
        <w:t>88</w:t>
      </w:r>
      <w:r w:rsidRPr="00F85DD6">
        <w:rPr>
          <w:color w:val="000000" w:themeColor="text1"/>
          <w:sz w:val="22"/>
          <w:szCs w:val="22"/>
        </w:rPr>
        <w:t xml:space="preserve">% of </w:t>
      </w:r>
      <w:r w:rsidR="00F85DD6" w:rsidRPr="00F85DD6">
        <w:rPr>
          <w:color w:val="000000" w:themeColor="text1"/>
          <w:sz w:val="22"/>
          <w:szCs w:val="22"/>
        </w:rPr>
        <w:t>£12,876</w:t>
      </w:r>
      <w:r w:rsidR="00DF100D" w:rsidRPr="00F85DD6">
        <w:rPr>
          <w:color w:val="000000" w:themeColor="text1"/>
          <w:sz w:val="22"/>
          <w:szCs w:val="22"/>
        </w:rPr>
        <w:t xml:space="preserve"> x </w:t>
      </w:r>
      <w:r w:rsidR="00907149" w:rsidRPr="004E192D">
        <w:rPr>
          <w:sz w:val="22"/>
          <w:szCs w:val="22"/>
        </w:rPr>
        <w:t xml:space="preserve">no. of </w:t>
      </w:r>
      <w:r w:rsidR="00DF100D" w:rsidRPr="004E192D">
        <w:rPr>
          <w:sz w:val="22"/>
          <w:szCs w:val="22"/>
        </w:rPr>
        <w:t>places</w:t>
      </w:r>
      <w:r w:rsidR="00907149" w:rsidRPr="004E192D">
        <w:rPr>
          <w:sz w:val="22"/>
          <w:szCs w:val="22"/>
        </w:rPr>
        <w:t xml:space="preserve"> (for</w:t>
      </w:r>
      <w:r w:rsidR="00DF100D" w:rsidRPr="004E192D">
        <w:rPr>
          <w:sz w:val="22"/>
          <w:szCs w:val="22"/>
        </w:rPr>
        <w:t xml:space="preserve"> main pupil-led need provision)</w:t>
      </w:r>
    </w:p>
    <w:p w:rsidR="007E4D68" w:rsidRDefault="007E4D68" w:rsidP="00355873">
      <w:pPr>
        <w:jc w:val="both"/>
        <w:rPr>
          <w:sz w:val="22"/>
          <w:szCs w:val="22"/>
        </w:rPr>
      </w:pPr>
    </w:p>
    <w:p w:rsidR="007E4D68" w:rsidRDefault="00E51C35" w:rsidP="00355873">
      <w:pPr>
        <w:jc w:val="both"/>
        <w:rPr>
          <w:sz w:val="22"/>
          <w:szCs w:val="22"/>
        </w:rPr>
      </w:pPr>
      <w:r>
        <w:rPr>
          <w:sz w:val="22"/>
          <w:szCs w:val="22"/>
        </w:rPr>
        <w:t>8.8</w:t>
      </w:r>
      <w:r w:rsidR="001F210A">
        <w:rPr>
          <w:sz w:val="22"/>
          <w:szCs w:val="22"/>
        </w:rPr>
        <w:t xml:space="preserve"> </w:t>
      </w:r>
      <w:r w:rsidR="006E6604">
        <w:rPr>
          <w:sz w:val="22"/>
          <w:szCs w:val="22"/>
        </w:rPr>
        <w:t xml:space="preserve">We will continue </w:t>
      </w:r>
      <w:r w:rsidR="00907149">
        <w:rPr>
          <w:sz w:val="22"/>
          <w:szCs w:val="22"/>
        </w:rPr>
        <w:t>the following</w:t>
      </w:r>
      <w:r w:rsidR="006223B9">
        <w:rPr>
          <w:sz w:val="22"/>
          <w:szCs w:val="22"/>
        </w:rPr>
        <w:t xml:space="preserve"> </w:t>
      </w:r>
      <w:r w:rsidR="001F210A">
        <w:rPr>
          <w:sz w:val="22"/>
          <w:szCs w:val="22"/>
        </w:rPr>
        <w:t>two</w:t>
      </w:r>
      <w:r w:rsidR="007E4D68">
        <w:rPr>
          <w:sz w:val="22"/>
          <w:szCs w:val="22"/>
        </w:rPr>
        <w:t xml:space="preserve"> technical features</w:t>
      </w:r>
      <w:r w:rsidR="005A70F5">
        <w:rPr>
          <w:sz w:val="22"/>
          <w:szCs w:val="22"/>
        </w:rPr>
        <w:t>, which</w:t>
      </w:r>
      <w:r w:rsidR="00907149">
        <w:rPr>
          <w:sz w:val="22"/>
          <w:szCs w:val="22"/>
        </w:rPr>
        <w:t xml:space="preserve"> </w:t>
      </w:r>
      <w:r w:rsidR="005A70F5">
        <w:rPr>
          <w:sz w:val="22"/>
          <w:szCs w:val="22"/>
        </w:rPr>
        <w:t>relate</w:t>
      </w:r>
      <w:r w:rsidR="00952EDE">
        <w:rPr>
          <w:sz w:val="22"/>
          <w:szCs w:val="22"/>
        </w:rPr>
        <w:t xml:space="preserve"> to</w:t>
      </w:r>
      <w:r w:rsidR="005A70F5">
        <w:rPr>
          <w:sz w:val="22"/>
          <w:szCs w:val="22"/>
        </w:rPr>
        <w:t xml:space="preserve"> the</w:t>
      </w:r>
      <w:r w:rsidR="004627F0">
        <w:rPr>
          <w:sz w:val="22"/>
          <w:szCs w:val="22"/>
        </w:rPr>
        <w:t xml:space="preserve"> application</w:t>
      </w:r>
      <w:r w:rsidR="005A70F5">
        <w:rPr>
          <w:sz w:val="22"/>
          <w:szCs w:val="22"/>
        </w:rPr>
        <w:t xml:space="preserve"> ‘in year’</w:t>
      </w:r>
      <w:r w:rsidR="004627F0">
        <w:rPr>
          <w:sz w:val="22"/>
          <w:szCs w:val="22"/>
        </w:rPr>
        <w:t xml:space="preserve"> of </w:t>
      </w:r>
      <w:r w:rsidR="00726E00">
        <w:rPr>
          <w:sz w:val="22"/>
          <w:szCs w:val="22"/>
        </w:rPr>
        <w:t>the Day Rate M</w:t>
      </w:r>
      <w:r w:rsidR="004627F0">
        <w:rPr>
          <w:sz w:val="22"/>
          <w:szCs w:val="22"/>
        </w:rPr>
        <w:t>odel</w:t>
      </w:r>
      <w:r w:rsidR="003217D8">
        <w:rPr>
          <w:sz w:val="22"/>
          <w:szCs w:val="22"/>
        </w:rPr>
        <w:t xml:space="preserve"> in 2023/24</w:t>
      </w:r>
      <w:r w:rsidR="007E4D68">
        <w:rPr>
          <w:sz w:val="22"/>
          <w:szCs w:val="22"/>
        </w:rPr>
        <w:t>:</w:t>
      </w:r>
    </w:p>
    <w:p w:rsidR="00E8426D" w:rsidRDefault="00E8426D" w:rsidP="00355873">
      <w:pPr>
        <w:jc w:val="both"/>
        <w:rPr>
          <w:sz w:val="22"/>
          <w:szCs w:val="22"/>
        </w:rPr>
      </w:pPr>
    </w:p>
    <w:p w:rsidR="003C4F3B" w:rsidRDefault="005A70F5" w:rsidP="00C96E2B">
      <w:pPr>
        <w:pStyle w:val="ListParagraph"/>
        <w:numPr>
          <w:ilvl w:val="0"/>
          <w:numId w:val="14"/>
        </w:numPr>
        <w:ind w:left="360"/>
        <w:jc w:val="both"/>
        <w:rPr>
          <w:sz w:val="22"/>
          <w:szCs w:val="22"/>
        </w:rPr>
      </w:pPr>
      <w:r>
        <w:rPr>
          <w:sz w:val="22"/>
          <w:szCs w:val="22"/>
        </w:rPr>
        <w:t>W</w:t>
      </w:r>
      <w:r w:rsidR="00E90EF8">
        <w:rPr>
          <w:sz w:val="22"/>
          <w:szCs w:val="22"/>
        </w:rPr>
        <w:t xml:space="preserve">e </w:t>
      </w:r>
      <w:r>
        <w:rPr>
          <w:sz w:val="22"/>
          <w:szCs w:val="22"/>
        </w:rPr>
        <w:t>will continue to use t</w:t>
      </w:r>
      <w:r w:rsidR="00285D38">
        <w:rPr>
          <w:sz w:val="22"/>
          <w:szCs w:val="22"/>
        </w:rPr>
        <w:t>he 10</w:t>
      </w:r>
      <w:r w:rsidR="00285D38" w:rsidRPr="00285D38">
        <w:rPr>
          <w:sz w:val="22"/>
          <w:szCs w:val="22"/>
          <w:vertAlign w:val="superscript"/>
        </w:rPr>
        <w:t>th</w:t>
      </w:r>
      <w:r w:rsidR="00285D38">
        <w:rPr>
          <w:sz w:val="22"/>
          <w:szCs w:val="22"/>
        </w:rPr>
        <w:t xml:space="preserve"> </w:t>
      </w:r>
      <w:r w:rsidR="00E73AD6">
        <w:rPr>
          <w:sz w:val="22"/>
          <w:szCs w:val="22"/>
        </w:rPr>
        <w:t>of the month c</w:t>
      </w:r>
      <w:r w:rsidR="00285D38">
        <w:rPr>
          <w:sz w:val="22"/>
          <w:szCs w:val="22"/>
        </w:rPr>
        <w:t>ensus</w:t>
      </w:r>
      <w:r>
        <w:rPr>
          <w:sz w:val="22"/>
          <w:szCs w:val="22"/>
        </w:rPr>
        <w:t xml:space="preserve"> to count (and re-count) occupancy</w:t>
      </w:r>
      <w:r w:rsidR="00285D38">
        <w:rPr>
          <w:sz w:val="22"/>
          <w:szCs w:val="22"/>
        </w:rPr>
        <w:t xml:space="preserve">, which is the process followed for the re-calculation of Banded Model funding for EHCPs. We </w:t>
      </w:r>
      <w:r w:rsidR="00907149">
        <w:rPr>
          <w:sz w:val="22"/>
          <w:szCs w:val="22"/>
        </w:rPr>
        <w:t>will</w:t>
      </w:r>
      <w:r w:rsidR="00285D38">
        <w:rPr>
          <w:sz w:val="22"/>
          <w:szCs w:val="22"/>
        </w:rPr>
        <w:t xml:space="preserve"> continue to re-c</w:t>
      </w:r>
      <w:r w:rsidR="00E90EF8">
        <w:rPr>
          <w:sz w:val="22"/>
          <w:szCs w:val="22"/>
        </w:rPr>
        <w:t>alc</w:t>
      </w:r>
      <w:r w:rsidR="00C43C67">
        <w:rPr>
          <w:sz w:val="22"/>
          <w:szCs w:val="22"/>
        </w:rPr>
        <w:t>ulate the funding of Park Aspire</w:t>
      </w:r>
      <w:r w:rsidR="00E90EF8">
        <w:rPr>
          <w:sz w:val="22"/>
          <w:szCs w:val="22"/>
        </w:rPr>
        <w:t xml:space="preserve"> and </w:t>
      </w:r>
      <w:r w:rsidR="00786F23">
        <w:rPr>
          <w:sz w:val="22"/>
          <w:szCs w:val="22"/>
        </w:rPr>
        <w:t>BAPA</w:t>
      </w:r>
      <w:r w:rsidR="00E90EF8">
        <w:rPr>
          <w:sz w:val="22"/>
          <w:szCs w:val="22"/>
        </w:rPr>
        <w:t xml:space="preserve"> o</w:t>
      </w:r>
      <w:r w:rsidR="00285D38">
        <w:rPr>
          <w:sz w:val="22"/>
          <w:szCs w:val="22"/>
        </w:rPr>
        <w:t>n a monthly basis as now</w:t>
      </w:r>
      <w:r w:rsidR="00E73AD6">
        <w:rPr>
          <w:sz w:val="22"/>
          <w:szCs w:val="22"/>
        </w:rPr>
        <w:t>, taking</w:t>
      </w:r>
      <w:r w:rsidR="003C4F3B">
        <w:rPr>
          <w:sz w:val="22"/>
          <w:szCs w:val="22"/>
        </w:rPr>
        <w:t xml:space="preserve"> the 10</w:t>
      </w:r>
      <w:r w:rsidR="003C4F3B" w:rsidRPr="003C4F3B">
        <w:rPr>
          <w:sz w:val="22"/>
          <w:szCs w:val="22"/>
          <w:vertAlign w:val="superscript"/>
        </w:rPr>
        <w:t>th</w:t>
      </w:r>
      <w:r w:rsidR="003C4F3B">
        <w:rPr>
          <w:sz w:val="22"/>
          <w:szCs w:val="22"/>
        </w:rPr>
        <w:t xml:space="preserve"> of the month census as the actual </w:t>
      </w:r>
      <w:r w:rsidR="00E73AD6">
        <w:rPr>
          <w:sz w:val="22"/>
          <w:szCs w:val="22"/>
        </w:rPr>
        <w:t>occupancy</w:t>
      </w:r>
      <w:r w:rsidR="003C4F3B">
        <w:rPr>
          <w:sz w:val="22"/>
          <w:szCs w:val="22"/>
        </w:rPr>
        <w:t xml:space="preserve"> for that month</w:t>
      </w:r>
      <w:r w:rsidR="001F210A">
        <w:rPr>
          <w:sz w:val="22"/>
          <w:szCs w:val="22"/>
        </w:rPr>
        <w:t>.</w:t>
      </w:r>
      <w:r w:rsidR="004627F0">
        <w:rPr>
          <w:sz w:val="22"/>
          <w:szCs w:val="22"/>
        </w:rPr>
        <w:t xml:space="preserve"> </w:t>
      </w:r>
      <w:r w:rsidR="00E90EF8">
        <w:rPr>
          <w:sz w:val="22"/>
          <w:szCs w:val="22"/>
        </w:rPr>
        <w:t>W</w:t>
      </w:r>
      <w:r w:rsidR="00907149">
        <w:rPr>
          <w:sz w:val="22"/>
          <w:szCs w:val="22"/>
        </w:rPr>
        <w:t>e will keep this</w:t>
      </w:r>
      <w:r w:rsidR="00E90EF8">
        <w:rPr>
          <w:sz w:val="22"/>
          <w:szCs w:val="22"/>
        </w:rPr>
        <w:t xml:space="preserve"> approach</w:t>
      </w:r>
      <w:r>
        <w:rPr>
          <w:sz w:val="22"/>
          <w:szCs w:val="22"/>
        </w:rPr>
        <w:t xml:space="preserve"> under review for future years. The DfE has signalled</w:t>
      </w:r>
      <w:r w:rsidR="003217D8">
        <w:rPr>
          <w:sz w:val="22"/>
          <w:szCs w:val="22"/>
        </w:rPr>
        <w:t>,</w:t>
      </w:r>
      <w:r>
        <w:rPr>
          <w:sz w:val="22"/>
          <w:szCs w:val="22"/>
        </w:rPr>
        <w:t xml:space="preserve"> in the national SEND and Alternative Provision Review</w:t>
      </w:r>
      <w:r w:rsidR="003217D8">
        <w:rPr>
          <w:sz w:val="22"/>
          <w:szCs w:val="22"/>
        </w:rPr>
        <w:t>,</w:t>
      </w:r>
      <w:r>
        <w:rPr>
          <w:sz w:val="22"/>
          <w:szCs w:val="22"/>
        </w:rPr>
        <w:t xml:space="preserve"> that t</w:t>
      </w:r>
      <w:r w:rsidR="003217D8">
        <w:rPr>
          <w:sz w:val="22"/>
          <w:szCs w:val="22"/>
        </w:rPr>
        <w:t>here will be a</w:t>
      </w:r>
      <w:r>
        <w:rPr>
          <w:sz w:val="22"/>
          <w:szCs w:val="22"/>
        </w:rPr>
        <w:t xml:space="preserve"> move towards ‘fixed’ budgets for PRUs and alternative pr</w:t>
      </w:r>
      <w:r w:rsidR="00F4769B">
        <w:rPr>
          <w:sz w:val="22"/>
          <w:szCs w:val="22"/>
        </w:rPr>
        <w:t>ovision academies, where</w:t>
      </w:r>
      <w:r w:rsidR="003217D8">
        <w:rPr>
          <w:sz w:val="22"/>
          <w:szCs w:val="22"/>
        </w:rPr>
        <w:t xml:space="preserve"> funding allocations</w:t>
      </w:r>
      <w:r w:rsidR="00833415">
        <w:rPr>
          <w:sz w:val="22"/>
          <w:szCs w:val="22"/>
        </w:rPr>
        <w:t xml:space="preserve"> will</w:t>
      </w:r>
      <w:r w:rsidR="003217D8">
        <w:rPr>
          <w:sz w:val="22"/>
          <w:szCs w:val="22"/>
        </w:rPr>
        <w:t xml:space="preserve"> not</w:t>
      </w:r>
      <w:r w:rsidR="00833415">
        <w:rPr>
          <w:sz w:val="22"/>
          <w:szCs w:val="22"/>
        </w:rPr>
        <w:t xml:space="preserve"> be</w:t>
      </w:r>
      <w:r w:rsidR="003217D8">
        <w:rPr>
          <w:sz w:val="22"/>
          <w:szCs w:val="22"/>
        </w:rPr>
        <w:t xml:space="preserve"> affected by ‘in year’</w:t>
      </w:r>
      <w:r>
        <w:rPr>
          <w:sz w:val="22"/>
          <w:szCs w:val="22"/>
        </w:rPr>
        <w:t xml:space="preserve"> occupancy. Whilst we await</w:t>
      </w:r>
      <w:r w:rsidR="00833415">
        <w:rPr>
          <w:sz w:val="22"/>
          <w:szCs w:val="22"/>
        </w:rPr>
        <w:t xml:space="preserve"> further details</w:t>
      </w:r>
      <w:r w:rsidR="003217D8">
        <w:rPr>
          <w:sz w:val="22"/>
          <w:szCs w:val="22"/>
        </w:rPr>
        <w:t>, and the timing of any directed changes</w:t>
      </w:r>
      <w:r>
        <w:rPr>
          <w:sz w:val="22"/>
          <w:szCs w:val="22"/>
        </w:rPr>
        <w:t>, we propose to continue our current</w:t>
      </w:r>
      <w:r w:rsidR="003217D8">
        <w:rPr>
          <w:sz w:val="22"/>
          <w:szCs w:val="22"/>
        </w:rPr>
        <w:t xml:space="preserve"> arrangements. We would emphasise</w:t>
      </w:r>
      <w:r>
        <w:rPr>
          <w:sz w:val="22"/>
          <w:szCs w:val="22"/>
        </w:rPr>
        <w:t xml:space="preserve"> t</w:t>
      </w:r>
      <w:r w:rsidR="003217D8">
        <w:rPr>
          <w:sz w:val="22"/>
          <w:szCs w:val="22"/>
        </w:rPr>
        <w:t xml:space="preserve">hat we already </w:t>
      </w:r>
      <w:r w:rsidR="00F4769B">
        <w:rPr>
          <w:sz w:val="22"/>
          <w:szCs w:val="22"/>
        </w:rPr>
        <w:t>employ a</w:t>
      </w:r>
      <w:r>
        <w:rPr>
          <w:sz w:val="22"/>
          <w:szCs w:val="22"/>
        </w:rPr>
        <w:t xml:space="preserve"> factor, </w:t>
      </w:r>
      <w:r w:rsidR="00833415">
        <w:rPr>
          <w:sz w:val="22"/>
          <w:szCs w:val="22"/>
        </w:rPr>
        <w:t xml:space="preserve">as explained above, </w:t>
      </w:r>
      <w:r>
        <w:rPr>
          <w:sz w:val="22"/>
          <w:szCs w:val="22"/>
        </w:rPr>
        <w:t>which does guarantee settings a minimum level of</w:t>
      </w:r>
      <w:r w:rsidR="003217D8">
        <w:rPr>
          <w:sz w:val="22"/>
          <w:szCs w:val="22"/>
        </w:rPr>
        <w:t xml:space="preserve"> top-up</w:t>
      </w:r>
      <w:r>
        <w:rPr>
          <w:sz w:val="22"/>
          <w:szCs w:val="22"/>
        </w:rPr>
        <w:t xml:space="preserve"> funding, based on the numb</w:t>
      </w:r>
      <w:r w:rsidR="003217D8">
        <w:rPr>
          <w:sz w:val="22"/>
          <w:szCs w:val="22"/>
        </w:rPr>
        <w:t>er of commissioned</w:t>
      </w:r>
      <w:r>
        <w:rPr>
          <w:sz w:val="22"/>
          <w:szCs w:val="22"/>
        </w:rPr>
        <w:t xml:space="preserve"> places, without reference to actual occupancy</w:t>
      </w:r>
      <w:r w:rsidR="003217D8">
        <w:rPr>
          <w:sz w:val="22"/>
          <w:szCs w:val="22"/>
        </w:rPr>
        <w:t xml:space="preserve"> during the year</w:t>
      </w:r>
      <w:r>
        <w:rPr>
          <w:sz w:val="22"/>
          <w:szCs w:val="22"/>
        </w:rPr>
        <w:t>.</w:t>
      </w:r>
    </w:p>
    <w:p w:rsidR="00370FE6" w:rsidRPr="00C96E2B" w:rsidRDefault="00370FE6" w:rsidP="00370FE6">
      <w:pPr>
        <w:pStyle w:val="ListParagraph"/>
        <w:ind w:left="360"/>
        <w:jc w:val="both"/>
        <w:rPr>
          <w:sz w:val="22"/>
          <w:szCs w:val="22"/>
        </w:rPr>
      </w:pPr>
    </w:p>
    <w:p w:rsidR="00833415" w:rsidRPr="00833415" w:rsidRDefault="006223B9" w:rsidP="00833415">
      <w:pPr>
        <w:pStyle w:val="ListParagraph"/>
        <w:numPr>
          <w:ilvl w:val="0"/>
          <w:numId w:val="14"/>
        </w:numPr>
        <w:ind w:left="360"/>
        <w:jc w:val="both"/>
        <w:rPr>
          <w:sz w:val="22"/>
          <w:szCs w:val="22"/>
        </w:rPr>
      </w:pPr>
      <w:r w:rsidRPr="006223B9">
        <w:rPr>
          <w:sz w:val="22"/>
          <w:szCs w:val="22"/>
        </w:rPr>
        <w:t>W</w:t>
      </w:r>
      <w:r w:rsidR="00907149">
        <w:rPr>
          <w:sz w:val="22"/>
          <w:szCs w:val="22"/>
        </w:rPr>
        <w:t>e will</w:t>
      </w:r>
      <w:r w:rsidRPr="006223B9">
        <w:rPr>
          <w:sz w:val="22"/>
          <w:szCs w:val="22"/>
        </w:rPr>
        <w:t xml:space="preserve"> continue to </w:t>
      </w:r>
      <w:r w:rsidR="004627F0">
        <w:rPr>
          <w:sz w:val="22"/>
          <w:szCs w:val="22"/>
        </w:rPr>
        <w:t xml:space="preserve">calculate and </w:t>
      </w:r>
      <w:r w:rsidRPr="006223B9">
        <w:rPr>
          <w:sz w:val="22"/>
          <w:szCs w:val="22"/>
        </w:rPr>
        <w:t xml:space="preserve">profile </w:t>
      </w:r>
      <w:r w:rsidR="00D32993">
        <w:rPr>
          <w:sz w:val="22"/>
          <w:szCs w:val="22"/>
        </w:rPr>
        <w:t>top-up</w:t>
      </w:r>
      <w:r w:rsidR="00907149">
        <w:rPr>
          <w:sz w:val="22"/>
          <w:szCs w:val="22"/>
        </w:rPr>
        <w:t xml:space="preserve"> funding across 12 months. </w:t>
      </w:r>
      <w:r w:rsidR="00833415">
        <w:rPr>
          <w:sz w:val="22"/>
          <w:szCs w:val="22"/>
        </w:rPr>
        <w:t>In previous consultations</w:t>
      </w:r>
      <w:r w:rsidR="006404BA">
        <w:rPr>
          <w:sz w:val="22"/>
          <w:szCs w:val="22"/>
        </w:rPr>
        <w:t>,</w:t>
      </w:r>
      <w:r>
        <w:rPr>
          <w:sz w:val="22"/>
          <w:szCs w:val="22"/>
        </w:rPr>
        <w:t xml:space="preserve"> we</w:t>
      </w:r>
      <w:r w:rsidR="00833415">
        <w:rPr>
          <w:sz w:val="22"/>
          <w:szCs w:val="22"/>
        </w:rPr>
        <w:t xml:space="preserve"> have indicated that we</w:t>
      </w:r>
      <w:r>
        <w:rPr>
          <w:sz w:val="22"/>
          <w:szCs w:val="22"/>
        </w:rPr>
        <w:t xml:space="preserve"> could</w:t>
      </w:r>
      <w:r w:rsidRPr="006223B9">
        <w:rPr>
          <w:sz w:val="22"/>
          <w:szCs w:val="22"/>
        </w:rPr>
        <w:t xml:space="preserve"> </w:t>
      </w:r>
      <w:r w:rsidR="003C4F3B" w:rsidRPr="006223B9">
        <w:rPr>
          <w:sz w:val="22"/>
          <w:szCs w:val="22"/>
        </w:rPr>
        <w:t>be more specific about the number of days delivered</w:t>
      </w:r>
      <w:r w:rsidRPr="006223B9">
        <w:rPr>
          <w:sz w:val="22"/>
          <w:szCs w:val="22"/>
        </w:rPr>
        <w:t xml:space="preserve"> and funded</w:t>
      </w:r>
      <w:r w:rsidR="003C4F3B" w:rsidRPr="006223B9">
        <w:rPr>
          <w:sz w:val="22"/>
          <w:szCs w:val="22"/>
        </w:rPr>
        <w:t xml:space="preserve"> each month, taking account of </w:t>
      </w:r>
      <w:r w:rsidR="001F210A" w:rsidRPr="006223B9">
        <w:rPr>
          <w:sz w:val="22"/>
          <w:szCs w:val="22"/>
        </w:rPr>
        <w:t xml:space="preserve">the profile of </w:t>
      </w:r>
      <w:r w:rsidR="003C4F3B" w:rsidRPr="006223B9">
        <w:rPr>
          <w:sz w:val="22"/>
          <w:szCs w:val="22"/>
        </w:rPr>
        <w:t xml:space="preserve">holidays. </w:t>
      </w:r>
      <w:r w:rsidR="00833415">
        <w:rPr>
          <w:sz w:val="22"/>
          <w:szCs w:val="22"/>
        </w:rPr>
        <w:t>We indicated that t</w:t>
      </w:r>
      <w:r>
        <w:rPr>
          <w:sz w:val="22"/>
          <w:szCs w:val="22"/>
        </w:rPr>
        <w:t xml:space="preserve">his </w:t>
      </w:r>
      <w:r w:rsidR="00833415">
        <w:rPr>
          <w:sz w:val="22"/>
          <w:szCs w:val="22"/>
        </w:rPr>
        <w:t>would</w:t>
      </w:r>
      <w:r w:rsidR="004627F0">
        <w:rPr>
          <w:sz w:val="22"/>
          <w:szCs w:val="22"/>
        </w:rPr>
        <w:t xml:space="preserve"> be a more significant matter to consider</w:t>
      </w:r>
      <w:r w:rsidR="00E0741B">
        <w:rPr>
          <w:sz w:val="22"/>
          <w:szCs w:val="22"/>
        </w:rPr>
        <w:t xml:space="preserve"> if</w:t>
      </w:r>
      <w:r>
        <w:rPr>
          <w:sz w:val="22"/>
          <w:szCs w:val="22"/>
        </w:rPr>
        <w:t xml:space="preserve"> the numbers on ro</w:t>
      </w:r>
      <w:r w:rsidR="00445750">
        <w:rPr>
          <w:sz w:val="22"/>
          <w:szCs w:val="22"/>
        </w:rPr>
        <w:t>ll in the PRU / AP academy</w:t>
      </w:r>
      <w:r>
        <w:rPr>
          <w:sz w:val="22"/>
          <w:szCs w:val="22"/>
        </w:rPr>
        <w:t xml:space="preserve"> are significantly different at different times of the year.</w:t>
      </w:r>
      <w:r w:rsidR="00C96E2B">
        <w:rPr>
          <w:sz w:val="22"/>
          <w:szCs w:val="22"/>
        </w:rPr>
        <w:t xml:space="preserve"> </w:t>
      </w:r>
      <w:r w:rsidR="00833415">
        <w:rPr>
          <w:sz w:val="22"/>
          <w:szCs w:val="22"/>
        </w:rPr>
        <w:t>Again, in the context of the national SEND and Alternative Provision review</w:t>
      </w:r>
      <w:r w:rsidR="000055AE">
        <w:rPr>
          <w:sz w:val="22"/>
          <w:szCs w:val="22"/>
        </w:rPr>
        <w:t>, it does not make sense</w:t>
      </w:r>
      <w:r w:rsidR="00F4769B">
        <w:rPr>
          <w:sz w:val="22"/>
          <w:szCs w:val="22"/>
        </w:rPr>
        <w:t xml:space="preserve"> for us</w:t>
      </w:r>
      <w:r w:rsidR="000055AE">
        <w:rPr>
          <w:sz w:val="22"/>
          <w:szCs w:val="22"/>
        </w:rPr>
        <w:t xml:space="preserve"> now</w:t>
      </w:r>
      <w:r w:rsidR="00F4769B">
        <w:rPr>
          <w:sz w:val="22"/>
          <w:szCs w:val="22"/>
        </w:rPr>
        <w:t xml:space="preserve"> pursue</w:t>
      </w:r>
      <w:r w:rsidR="00833415">
        <w:rPr>
          <w:sz w:val="22"/>
          <w:szCs w:val="22"/>
        </w:rPr>
        <w:t xml:space="preserve"> review</w:t>
      </w:r>
      <w:r w:rsidR="000055AE">
        <w:rPr>
          <w:sz w:val="22"/>
          <w:szCs w:val="22"/>
        </w:rPr>
        <w:t xml:space="preserve"> work, which would take our</w:t>
      </w:r>
      <w:r w:rsidR="00833415">
        <w:rPr>
          <w:sz w:val="22"/>
          <w:szCs w:val="22"/>
        </w:rPr>
        <w:t xml:space="preserve"> approach</w:t>
      </w:r>
      <w:r w:rsidR="000055AE">
        <w:rPr>
          <w:sz w:val="22"/>
          <w:szCs w:val="22"/>
        </w:rPr>
        <w:t xml:space="preserve"> to funding</w:t>
      </w:r>
      <w:r w:rsidR="00833415">
        <w:rPr>
          <w:sz w:val="22"/>
          <w:szCs w:val="22"/>
        </w:rPr>
        <w:t xml:space="preserve"> </w:t>
      </w:r>
      <w:r w:rsidR="000055AE">
        <w:rPr>
          <w:sz w:val="22"/>
          <w:szCs w:val="22"/>
        </w:rPr>
        <w:t>further away from the ‘fixed’ budget approach that the DfE has proposed</w:t>
      </w:r>
      <w:r w:rsidR="00F4769B">
        <w:rPr>
          <w:sz w:val="22"/>
          <w:szCs w:val="22"/>
        </w:rPr>
        <w:t xml:space="preserve"> for the future</w:t>
      </w:r>
      <w:r w:rsidR="000055AE">
        <w:rPr>
          <w:sz w:val="22"/>
          <w:szCs w:val="22"/>
        </w:rPr>
        <w:t>.</w:t>
      </w:r>
    </w:p>
    <w:p w:rsidR="00D93908" w:rsidRPr="001F210A" w:rsidRDefault="00D93908" w:rsidP="00355873">
      <w:pPr>
        <w:jc w:val="both"/>
        <w:rPr>
          <w:sz w:val="22"/>
          <w:szCs w:val="22"/>
        </w:rPr>
      </w:pPr>
    </w:p>
    <w:p w:rsidR="00414949" w:rsidRDefault="00DA6D07" w:rsidP="00355873">
      <w:pPr>
        <w:jc w:val="both"/>
        <w:rPr>
          <w:b/>
          <w:color w:val="548DD4" w:themeColor="text2" w:themeTint="99"/>
          <w:sz w:val="22"/>
          <w:szCs w:val="22"/>
        </w:rPr>
      </w:pPr>
      <w:r>
        <w:rPr>
          <w:b/>
          <w:color w:val="548DD4" w:themeColor="text2" w:themeTint="99"/>
          <w:sz w:val="22"/>
          <w:szCs w:val="22"/>
        </w:rPr>
        <w:t>Question 5</w:t>
      </w:r>
      <w:r w:rsidR="00E724B2">
        <w:rPr>
          <w:b/>
          <w:color w:val="548DD4" w:themeColor="text2" w:themeTint="99"/>
          <w:sz w:val="22"/>
          <w:szCs w:val="22"/>
        </w:rPr>
        <w:t xml:space="preserve"> – Do you agree with the Day Rate mechanism that the Authority proposes to use to</w:t>
      </w:r>
      <w:r w:rsidR="00540764">
        <w:rPr>
          <w:b/>
          <w:color w:val="548DD4" w:themeColor="text2" w:themeTint="99"/>
          <w:sz w:val="22"/>
          <w:szCs w:val="22"/>
        </w:rPr>
        <w:t xml:space="preserve"> fund the PRU and Alternative Provision A</w:t>
      </w:r>
      <w:r w:rsidR="00445750">
        <w:rPr>
          <w:b/>
          <w:color w:val="548DD4" w:themeColor="text2" w:themeTint="99"/>
          <w:sz w:val="22"/>
          <w:szCs w:val="22"/>
        </w:rPr>
        <w:t>cademy</w:t>
      </w:r>
      <w:r w:rsidR="00D93908">
        <w:rPr>
          <w:b/>
          <w:color w:val="548DD4" w:themeColor="text2" w:themeTint="99"/>
          <w:sz w:val="22"/>
          <w:szCs w:val="22"/>
        </w:rPr>
        <w:t xml:space="preserve"> in 2023/24</w:t>
      </w:r>
      <w:r w:rsidR="00E724B2">
        <w:rPr>
          <w:b/>
          <w:color w:val="548DD4" w:themeColor="text2" w:themeTint="99"/>
          <w:sz w:val="22"/>
          <w:szCs w:val="22"/>
        </w:rPr>
        <w:t>?</w:t>
      </w:r>
      <w:r w:rsidR="00A6750E">
        <w:rPr>
          <w:b/>
          <w:color w:val="548DD4" w:themeColor="text2" w:themeTint="99"/>
          <w:sz w:val="22"/>
          <w:szCs w:val="22"/>
        </w:rPr>
        <w:t xml:space="preserve"> If not, please can you explain why not.</w:t>
      </w:r>
    </w:p>
    <w:p w:rsidR="00E724B2" w:rsidRDefault="00E724B2" w:rsidP="00355873">
      <w:pPr>
        <w:jc w:val="both"/>
        <w:rPr>
          <w:b/>
          <w:color w:val="548DD4" w:themeColor="text2" w:themeTint="99"/>
          <w:sz w:val="22"/>
          <w:szCs w:val="22"/>
        </w:rPr>
      </w:pPr>
    </w:p>
    <w:p w:rsidR="000D3A15" w:rsidRPr="00445750" w:rsidRDefault="00DA6D07" w:rsidP="00355873">
      <w:pPr>
        <w:jc w:val="both"/>
        <w:rPr>
          <w:b/>
          <w:color w:val="548DD4" w:themeColor="text2" w:themeTint="99"/>
          <w:sz w:val="22"/>
          <w:szCs w:val="22"/>
        </w:rPr>
      </w:pPr>
      <w:r>
        <w:rPr>
          <w:b/>
          <w:color w:val="548DD4" w:themeColor="text2" w:themeTint="99"/>
          <w:sz w:val="22"/>
          <w:szCs w:val="22"/>
        </w:rPr>
        <w:t>Question 6</w:t>
      </w:r>
      <w:r w:rsidR="00380B51">
        <w:rPr>
          <w:b/>
          <w:color w:val="548DD4" w:themeColor="text2" w:themeTint="99"/>
          <w:sz w:val="22"/>
          <w:szCs w:val="22"/>
        </w:rPr>
        <w:t xml:space="preserve"> – Do you have any comments (including technical comments) on the p</w:t>
      </w:r>
      <w:r w:rsidR="00E724B2">
        <w:rPr>
          <w:b/>
          <w:color w:val="548DD4" w:themeColor="text2" w:themeTint="99"/>
          <w:sz w:val="22"/>
          <w:szCs w:val="22"/>
        </w:rPr>
        <w:t>roposed Day-Rate mechanism</w:t>
      </w:r>
      <w:r w:rsidR="00380B51">
        <w:rPr>
          <w:b/>
          <w:color w:val="548DD4" w:themeColor="text2" w:themeTint="99"/>
          <w:sz w:val="22"/>
          <w:szCs w:val="22"/>
        </w:rPr>
        <w:t xml:space="preserve"> you would like the Authority to consider</w:t>
      </w:r>
      <w:r w:rsidR="00D93908">
        <w:rPr>
          <w:b/>
          <w:color w:val="548DD4" w:themeColor="text2" w:themeTint="99"/>
          <w:sz w:val="22"/>
          <w:szCs w:val="22"/>
        </w:rPr>
        <w:t xml:space="preserve"> for 2023/24</w:t>
      </w:r>
      <w:r w:rsidR="00380B51">
        <w:rPr>
          <w:b/>
          <w:color w:val="548DD4" w:themeColor="text2" w:themeTint="99"/>
          <w:sz w:val="22"/>
          <w:szCs w:val="22"/>
        </w:rPr>
        <w:t xml:space="preserve">? </w:t>
      </w:r>
    </w:p>
    <w:p w:rsidR="00C36ACC" w:rsidRDefault="00C36ACC" w:rsidP="00355873">
      <w:pPr>
        <w:jc w:val="both"/>
        <w:rPr>
          <w:b/>
          <w:sz w:val="22"/>
          <w:szCs w:val="22"/>
        </w:rPr>
      </w:pPr>
    </w:p>
    <w:p w:rsidR="00FF4340" w:rsidRDefault="00FF4340" w:rsidP="00355873">
      <w:pPr>
        <w:jc w:val="both"/>
        <w:rPr>
          <w:b/>
          <w:sz w:val="22"/>
          <w:szCs w:val="22"/>
        </w:rPr>
      </w:pPr>
    </w:p>
    <w:p w:rsidR="00897157" w:rsidRPr="009968E9" w:rsidRDefault="004B4608" w:rsidP="00355873">
      <w:pPr>
        <w:jc w:val="both"/>
        <w:rPr>
          <w:b/>
          <w:sz w:val="22"/>
          <w:szCs w:val="22"/>
        </w:rPr>
      </w:pPr>
      <w:r w:rsidRPr="006D7EBB">
        <w:rPr>
          <w:b/>
          <w:sz w:val="22"/>
          <w:szCs w:val="22"/>
        </w:rPr>
        <w:t>9</w:t>
      </w:r>
      <w:r w:rsidR="007B515F" w:rsidRPr="006D7EBB">
        <w:rPr>
          <w:b/>
          <w:sz w:val="22"/>
          <w:szCs w:val="22"/>
        </w:rPr>
        <w:t>.</w:t>
      </w:r>
      <w:r w:rsidR="007B515F" w:rsidRPr="006D7EBB">
        <w:rPr>
          <w:b/>
          <w:sz w:val="22"/>
          <w:szCs w:val="22"/>
        </w:rPr>
        <w:tab/>
      </w:r>
      <w:r w:rsidR="009968E9" w:rsidRPr="006D7EBB">
        <w:rPr>
          <w:b/>
          <w:sz w:val="22"/>
          <w:szCs w:val="22"/>
        </w:rPr>
        <w:t xml:space="preserve"> </w:t>
      </w:r>
      <w:r w:rsidR="004014BE">
        <w:rPr>
          <w:b/>
          <w:sz w:val="22"/>
          <w:szCs w:val="22"/>
        </w:rPr>
        <w:t xml:space="preserve">Continued </w:t>
      </w:r>
      <w:r w:rsidR="003602DB">
        <w:rPr>
          <w:b/>
          <w:sz w:val="22"/>
          <w:szCs w:val="22"/>
        </w:rPr>
        <w:t>Replication of</w:t>
      </w:r>
      <w:r w:rsidR="006E6604">
        <w:rPr>
          <w:b/>
          <w:sz w:val="22"/>
          <w:szCs w:val="22"/>
        </w:rPr>
        <w:t xml:space="preserve"> </w:t>
      </w:r>
      <w:r w:rsidR="003F5079">
        <w:rPr>
          <w:b/>
          <w:sz w:val="22"/>
          <w:szCs w:val="22"/>
        </w:rPr>
        <w:t>the Former Teacher Pay</w:t>
      </w:r>
      <w:r w:rsidR="008D68CD" w:rsidRPr="006D7EBB">
        <w:rPr>
          <w:b/>
          <w:sz w:val="22"/>
          <w:szCs w:val="22"/>
        </w:rPr>
        <w:t xml:space="preserve"> and Teacher Pensions Grant</w:t>
      </w:r>
      <w:r w:rsidR="003F5079">
        <w:rPr>
          <w:b/>
          <w:sz w:val="22"/>
          <w:szCs w:val="22"/>
        </w:rPr>
        <w:t>s</w:t>
      </w:r>
      <w:r w:rsidR="00D93908">
        <w:rPr>
          <w:b/>
          <w:sz w:val="22"/>
          <w:szCs w:val="22"/>
        </w:rPr>
        <w:t xml:space="preserve"> 2023/24</w:t>
      </w:r>
    </w:p>
    <w:p w:rsidR="00A007D1" w:rsidRPr="007E7582" w:rsidRDefault="00A007D1" w:rsidP="00355873">
      <w:pPr>
        <w:jc w:val="both"/>
        <w:rPr>
          <w:sz w:val="22"/>
          <w:szCs w:val="22"/>
        </w:rPr>
      </w:pPr>
    </w:p>
    <w:p w:rsidR="006A0721" w:rsidRDefault="00C3269C" w:rsidP="006A0721">
      <w:pPr>
        <w:jc w:val="both"/>
        <w:rPr>
          <w:sz w:val="22"/>
          <w:szCs w:val="22"/>
        </w:rPr>
      </w:pPr>
      <w:r w:rsidRPr="006A0721">
        <w:rPr>
          <w:sz w:val="22"/>
          <w:szCs w:val="22"/>
        </w:rPr>
        <w:t>9.1</w:t>
      </w:r>
      <w:r w:rsidR="006A0721" w:rsidRPr="006A0721">
        <w:rPr>
          <w:sz w:val="22"/>
          <w:szCs w:val="22"/>
        </w:rPr>
        <w:t xml:space="preserve"> </w:t>
      </w:r>
      <w:r w:rsidR="000651A2">
        <w:rPr>
          <w:sz w:val="22"/>
          <w:szCs w:val="22"/>
        </w:rPr>
        <w:t>W</w:t>
      </w:r>
      <w:r w:rsidR="00B91F97">
        <w:rPr>
          <w:sz w:val="22"/>
          <w:szCs w:val="22"/>
        </w:rPr>
        <w:t>e have been</w:t>
      </w:r>
      <w:r w:rsidR="006A0721" w:rsidRPr="006A0721">
        <w:rPr>
          <w:sz w:val="22"/>
          <w:szCs w:val="22"/>
        </w:rPr>
        <w:t xml:space="preserve"> required</w:t>
      </w:r>
      <w:r w:rsidR="00B91F97">
        <w:rPr>
          <w:sz w:val="22"/>
          <w:szCs w:val="22"/>
        </w:rPr>
        <w:t xml:space="preserve"> </w:t>
      </w:r>
      <w:r w:rsidR="006A0721" w:rsidRPr="006A0721">
        <w:rPr>
          <w:sz w:val="22"/>
          <w:szCs w:val="22"/>
        </w:rPr>
        <w:t xml:space="preserve">to add into our </w:t>
      </w:r>
      <w:r w:rsidR="00440968">
        <w:rPr>
          <w:sz w:val="22"/>
          <w:szCs w:val="22"/>
        </w:rPr>
        <w:t xml:space="preserve">formula </w:t>
      </w:r>
      <w:r w:rsidR="000651A2">
        <w:rPr>
          <w:sz w:val="22"/>
          <w:szCs w:val="22"/>
        </w:rPr>
        <w:t xml:space="preserve">funding </w:t>
      </w:r>
      <w:r w:rsidR="006A0721" w:rsidRPr="006A0721">
        <w:rPr>
          <w:sz w:val="22"/>
          <w:szCs w:val="22"/>
        </w:rPr>
        <w:t>arrangements for specialist settings the allocation of the</w:t>
      </w:r>
      <w:r w:rsidR="00002824">
        <w:rPr>
          <w:sz w:val="22"/>
          <w:szCs w:val="22"/>
        </w:rPr>
        <w:t xml:space="preserve"> former</w:t>
      </w:r>
      <w:r w:rsidR="006A0721" w:rsidRPr="006A0721">
        <w:rPr>
          <w:sz w:val="22"/>
          <w:szCs w:val="22"/>
        </w:rPr>
        <w:t xml:space="preserve"> Teacher Pay Grant</w:t>
      </w:r>
      <w:r w:rsidR="006A0721">
        <w:rPr>
          <w:sz w:val="22"/>
          <w:szCs w:val="22"/>
        </w:rPr>
        <w:t xml:space="preserve"> (TPG)</w:t>
      </w:r>
      <w:r w:rsidR="006A0721" w:rsidRPr="006A0721">
        <w:rPr>
          <w:sz w:val="22"/>
          <w:szCs w:val="22"/>
        </w:rPr>
        <w:t xml:space="preserve"> and the Teacher Pension Grant</w:t>
      </w:r>
      <w:r w:rsidR="006A0721">
        <w:rPr>
          <w:sz w:val="22"/>
          <w:szCs w:val="22"/>
        </w:rPr>
        <w:t xml:space="preserve"> (TPECG)</w:t>
      </w:r>
      <w:r w:rsidR="006E6604">
        <w:rPr>
          <w:sz w:val="22"/>
          <w:szCs w:val="22"/>
        </w:rPr>
        <w:t>. This change wa</w:t>
      </w:r>
      <w:r w:rsidR="006A0721" w:rsidRPr="006A0721">
        <w:rPr>
          <w:sz w:val="22"/>
          <w:szCs w:val="22"/>
        </w:rPr>
        <w:t>s required</w:t>
      </w:r>
      <w:r w:rsidR="00B91F97">
        <w:rPr>
          <w:sz w:val="22"/>
          <w:szCs w:val="22"/>
        </w:rPr>
        <w:t xml:space="preserve"> at April 2021,</w:t>
      </w:r>
      <w:r w:rsidR="006A0721" w:rsidRPr="006A0721">
        <w:rPr>
          <w:sz w:val="22"/>
          <w:szCs w:val="22"/>
        </w:rPr>
        <w:t xml:space="preserve"> in response to these grants</w:t>
      </w:r>
      <w:r w:rsidR="00BB2A5F">
        <w:rPr>
          <w:sz w:val="22"/>
          <w:szCs w:val="22"/>
        </w:rPr>
        <w:t xml:space="preserve">, </w:t>
      </w:r>
      <w:r w:rsidR="0048372E">
        <w:rPr>
          <w:sz w:val="22"/>
          <w:szCs w:val="22"/>
        </w:rPr>
        <w:t xml:space="preserve">allocated </w:t>
      </w:r>
      <w:r w:rsidR="00BB2A5F">
        <w:rPr>
          <w:sz w:val="22"/>
          <w:szCs w:val="22"/>
        </w:rPr>
        <w:t>in respect of special schools, special school academies, PRU</w:t>
      </w:r>
      <w:r w:rsidR="0048372E">
        <w:rPr>
          <w:sz w:val="22"/>
          <w:szCs w:val="22"/>
        </w:rPr>
        <w:t xml:space="preserve">s, alternative provision academies </w:t>
      </w:r>
      <w:r w:rsidR="00BB2A5F">
        <w:rPr>
          <w:sz w:val="22"/>
          <w:szCs w:val="22"/>
        </w:rPr>
        <w:t>and mainstream primary and secondary pre-16 provisions,</w:t>
      </w:r>
      <w:r w:rsidR="006A0721" w:rsidRPr="006A0721">
        <w:rPr>
          <w:sz w:val="22"/>
          <w:szCs w:val="22"/>
        </w:rPr>
        <w:t xml:space="preserve"> being transferred into the </w:t>
      </w:r>
      <w:r w:rsidR="00BB2A5F">
        <w:rPr>
          <w:sz w:val="22"/>
          <w:szCs w:val="22"/>
        </w:rPr>
        <w:t>Dedicated Schools Grant</w:t>
      </w:r>
      <w:r w:rsidR="0048372E">
        <w:rPr>
          <w:sz w:val="22"/>
          <w:szCs w:val="22"/>
        </w:rPr>
        <w:t xml:space="preserve"> (DSG)</w:t>
      </w:r>
      <w:r w:rsidR="006A0721" w:rsidRPr="006A0721">
        <w:rPr>
          <w:sz w:val="22"/>
          <w:szCs w:val="22"/>
        </w:rPr>
        <w:t>.</w:t>
      </w:r>
    </w:p>
    <w:p w:rsidR="00C93292" w:rsidRDefault="00C93292" w:rsidP="006A0721">
      <w:pPr>
        <w:jc w:val="both"/>
        <w:rPr>
          <w:sz w:val="22"/>
          <w:szCs w:val="22"/>
        </w:rPr>
      </w:pPr>
    </w:p>
    <w:p w:rsidR="00C93292" w:rsidRDefault="00B91F97" w:rsidP="006A0721">
      <w:pPr>
        <w:jc w:val="both"/>
        <w:rPr>
          <w:sz w:val="22"/>
          <w:szCs w:val="22"/>
        </w:rPr>
      </w:pPr>
      <w:r>
        <w:rPr>
          <w:sz w:val="22"/>
          <w:szCs w:val="22"/>
        </w:rPr>
        <w:t>9.2 W</w:t>
      </w:r>
      <w:r w:rsidR="00C030B9">
        <w:rPr>
          <w:sz w:val="22"/>
          <w:szCs w:val="22"/>
        </w:rPr>
        <w:t>e</w:t>
      </w:r>
      <w:r w:rsidR="00C93292">
        <w:rPr>
          <w:sz w:val="22"/>
          <w:szCs w:val="22"/>
        </w:rPr>
        <w:t xml:space="preserve"> allocated</w:t>
      </w:r>
      <w:r>
        <w:rPr>
          <w:sz w:val="22"/>
          <w:szCs w:val="22"/>
        </w:rPr>
        <w:t xml:space="preserve"> the</w:t>
      </w:r>
      <w:r w:rsidR="00C030B9">
        <w:rPr>
          <w:sz w:val="22"/>
          <w:szCs w:val="22"/>
        </w:rPr>
        <w:t>se</w:t>
      </w:r>
      <w:r>
        <w:rPr>
          <w:sz w:val="22"/>
          <w:szCs w:val="22"/>
        </w:rPr>
        <w:t xml:space="preserve"> former TPG and TPECG monies in 2022/</w:t>
      </w:r>
      <w:r w:rsidR="00C93292">
        <w:rPr>
          <w:sz w:val="22"/>
          <w:szCs w:val="22"/>
        </w:rPr>
        <w:t>2</w:t>
      </w:r>
      <w:r>
        <w:rPr>
          <w:sz w:val="22"/>
          <w:szCs w:val="22"/>
        </w:rPr>
        <w:t>3</w:t>
      </w:r>
      <w:r w:rsidR="00C93292">
        <w:rPr>
          <w:sz w:val="22"/>
          <w:szCs w:val="22"/>
        </w:rPr>
        <w:t xml:space="preserve">, separately from both place-element and </w:t>
      </w:r>
      <w:r w:rsidR="00D32993">
        <w:rPr>
          <w:sz w:val="22"/>
          <w:szCs w:val="22"/>
        </w:rPr>
        <w:t>top-up</w:t>
      </w:r>
      <w:r w:rsidR="00C93292">
        <w:rPr>
          <w:sz w:val="22"/>
          <w:szCs w:val="22"/>
        </w:rPr>
        <w:t xml:space="preserve"> funding, as follows:</w:t>
      </w:r>
    </w:p>
    <w:p w:rsidR="00C93292" w:rsidRDefault="00C93292" w:rsidP="006A0721">
      <w:pPr>
        <w:jc w:val="both"/>
        <w:rPr>
          <w:sz w:val="22"/>
          <w:szCs w:val="22"/>
        </w:rPr>
      </w:pPr>
    </w:p>
    <w:p w:rsidR="00C93292" w:rsidRDefault="00C93292" w:rsidP="00315C0C">
      <w:pPr>
        <w:pStyle w:val="ListParagraph"/>
        <w:numPr>
          <w:ilvl w:val="0"/>
          <w:numId w:val="31"/>
        </w:numPr>
        <w:ind w:left="360"/>
        <w:jc w:val="both"/>
        <w:rPr>
          <w:sz w:val="22"/>
          <w:szCs w:val="22"/>
        </w:rPr>
      </w:pPr>
      <w:r>
        <w:rPr>
          <w:sz w:val="22"/>
          <w:szCs w:val="22"/>
        </w:rPr>
        <w:t>To maintained special schools and sp</w:t>
      </w:r>
      <w:r w:rsidR="00C030B9">
        <w:rPr>
          <w:sz w:val="22"/>
          <w:szCs w:val="22"/>
        </w:rPr>
        <w:t>ecial school academies, Park Aspire</w:t>
      </w:r>
      <w:r>
        <w:rPr>
          <w:sz w:val="22"/>
          <w:szCs w:val="22"/>
        </w:rPr>
        <w:t xml:space="preserve"> and </w:t>
      </w:r>
      <w:r w:rsidR="00786F23">
        <w:rPr>
          <w:sz w:val="22"/>
          <w:szCs w:val="22"/>
        </w:rPr>
        <w:t>BAPA</w:t>
      </w:r>
      <w:r w:rsidR="00C030B9">
        <w:rPr>
          <w:sz w:val="22"/>
          <w:szCs w:val="22"/>
        </w:rPr>
        <w:t>: a minimum fixed value of £733</w:t>
      </w:r>
      <w:r>
        <w:rPr>
          <w:sz w:val="22"/>
          <w:szCs w:val="22"/>
        </w:rPr>
        <w:t xml:space="preserve"> per place</w:t>
      </w:r>
      <w:r w:rsidR="0055511E">
        <w:rPr>
          <w:sz w:val="22"/>
          <w:szCs w:val="22"/>
        </w:rPr>
        <w:t xml:space="preserve">, </w:t>
      </w:r>
      <w:r>
        <w:rPr>
          <w:sz w:val="22"/>
          <w:szCs w:val="22"/>
        </w:rPr>
        <w:t>with place numbers fixed at the original agreed commissioned number</w:t>
      </w:r>
      <w:r w:rsidR="00C030B9">
        <w:rPr>
          <w:sz w:val="22"/>
          <w:szCs w:val="22"/>
        </w:rPr>
        <w:t xml:space="preserve"> for the 2022/23</w:t>
      </w:r>
      <w:r w:rsidR="00CA30C6">
        <w:rPr>
          <w:sz w:val="22"/>
          <w:szCs w:val="22"/>
        </w:rPr>
        <w:t xml:space="preserve"> financial year.</w:t>
      </w:r>
      <w:r w:rsidR="00321001">
        <w:rPr>
          <w:sz w:val="22"/>
          <w:szCs w:val="22"/>
        </w:rPr>
        <w:t xml:space="preserve"> These commissioned numbers included </w:t>
      </w:r>
      <w:r w:rsidR="00095D01">
        <w:rPr>
          <w:sz w:val="22"/>
          <w:szCs w:val="22"/>
        </w:rPr>
        <w:t xml:space="preserve">the </w:t>
      </w:r>
      <w:r w:rsidR="00321001">
        <w:rPr>
          <w:sz w:val="22"/>
          <w:szCs w:val="22"/>
        </w:rPr>
        <w:t>planned expansion of provisions.</w:t>
      </w:r>
      <w:r w:rsidR="00CA30C6">
        <w:rPr>
          <w:sz w:val="22"/>
          <w:szCs w:val="22"/>
        </w:rPr>
        <w:t xml:space="preserve"> W</w:t>
      </w:r>
      <w:r>
        <w:rPr>
          <w:sz w:val="22"/>
          <w:szCs w:val="22"/>
        </w:rPr>
        <w:t>here</w:t>
      </w:r>
      <w:r w:rsidR="00782B79">
        <w:rPr>
          <w:sz w:val="22"/>
          <w:szCs w:val="22"/>
        </w:rPr>
        <w:t xml:space="preserve"> a setting</w:t>
      </w:r>
      <w:r w:rsidR="0055511E">
        <w:rPr>
          <w:sz w:val="22"/>
          <w:szCs w:val="22"/>
        </w:rPr>
        <w:t>, prior</w:t>
      </w:r>
      <w:r w:rsidR="00206140">
        <w:rPr>
          <w:sz w:val="22"/>
          <w:szCs w:val="22"/>
        </w:rPr>
        <w:t xml:space="preserve"> April 2021</w:t>
      </w:r>
      <w:r w:rsidR="00782B79">
        <w:rPr>
          <w:sz w:val="22"/>
          <w:szCs w:val="22"/>
        </w:rPr>
        <w:t xml:space="preserve">, </w:t>
      </w:r>
      <w:r w:rsidR="00206140">
        <w:rPr>
          <w:sz w:val="22"/>
          <w:szCs w:val="22"/>
        </w:rPr>
        <w:t>received</w:t>
      </w:r>
      <w:r w:rsidR="00C030B9">
        <w:rPr>
          <w:sz w:val="22"/>
          <w:szCs w:val="22"/>
        </w:rPr>
        <w:t xml:space="preserve"> </w:t>
      </w:r>
      <w:r w:rsidR="00782B79">
        <w:rPr>
          <w:sz w:val="22"/>
          <w:szCs w:val="22"/>
        </w:rPr>
        <w:t>an amount per</w:t>
      </w:r>
      <w:r w:rsidR="0055511E">
        <w:rPr>
          <w:sz w:val="22"/>
          <w:szCs w:val="22"/>
        </w:rPr>
        <w:t xml:space="preserve"> place that was higher than the </w:t>
      </w:r>
      <w:r w:rsidR="00782B79">
        <w:rPr>
          <w:sz w:val="22"/>
          <w:szCs w:val="22"/>
        </w:rPr>
        <w:t>minimum</w:t>
      </w:r>
      <w:r w:rsidR="00206140">
        <w:rPr>
          <w:sz w:val="22"/>
          <w:szCs w:val="22"/>
        </w:rPr>
        <w:t xml:space="preserve"> value</w:t>
      </w:r>
      <w:r w:rsidR="00D56FBE">
        <w:rPr>
          <w:sz w:val="22"/>
          <w:szCs w:val="22"/>
        </w:rPr>
        <w:t>,</w:t>
      </w:r>
      <w:r w:rsidR="00206140">
        <w:rPr>
          <w:sz w:val="22"/>
          <w:szCs w:val="22"/>
        </w:rPr>
        <w:t xml:space="preserve"> and where their</w:t>
      </w:r>
      <w:r w:rsidR="00782B79">
        <w:rPr>
          <w:sz w:val="22"/>
          <w:szCs w:val="22"/>
        </w:rPr>
        <w:t xml:space="preserve"> amount per place, uplifted </w:t>
      </w:r>
      <w:r w:rsidR="0030249E">
        <w:rPr>
          <w:sz w:val="22"/>
          <w:szCs w:val="22"/>
        </w:rPr>
        <w:t xml:space="preserve">by </w:t>
      </w:r>
      <w:r w:rsidR="00782B79">
        <w:rPr>
          <w:sz w:val="22"/>
          <w:szCs w:val="22"/>
        </w:rPr>
        <w:t xml:space="preserve">5% in 2021/22 and </w:t>
      </w:r>
      <w:r w:rsidR="0030249E">
        <w:rPr>
          <w:sz w:val="22"/>
          <w:szCs w:val="22"/>
        </w:rPr>
        <w:t xml:space="preserve">by </w:t>
      </w:r>
      <w:r w:rsidR="00782B79">
        <w:rPr>
          <w:sz w:val="22"/>
          <w:szCs w:val="22"/>
        </w:rPr>
        <w:t>5.8% in 2022/23, was still higher than the minimum £733</w:t>
      </w:r>
      <w:r w:rsidR="0055511E">
        <w:rPr>
          <w:sz w:val="22"/>
          <w:szCs w:val="22"/>
        </w:rPr>
        <w:t xml:space="preserve"> for 2022/23</w:t>
      </w:r>
      <w:r w:rsidR="00782B79">
        <w:rPr>
          <w:sz w:val="22"/>
          <w:szCs w:val="22"/>
        </w:rPr>
        <w:t>, t</w:t>
      </w:r>
      <w:r>
        <w:rPr>
          <w:sz w:val="22"/>
          <w:szCs w:val="22"/>
        </w:rPr>
        <w:t>he setti</w:t>
      </w:r>
      <w:r w:rsidR="0055511E">
        <w:rPr>
          <w:sz w:val="22"/>
          <w:szCs w:val="22"/>
        </w:rPr>
        <w:t>ng</w:t>
      </w:r>
      <w:r w:rsidR="00206140">
        <w:rPr>
          <w:sz w:val="22"/>
          <w:szCs w:val="22"/>
        </w:rPr>
        <w:t xml:space="preserve"> has been</w:t>
      </w:r>
      <w:r w:rsidR="00782B79">
        <w:rPr>
          <w:sz w:val="22"/>
          <w:szCs w:val="22"/>
        </w:rPr>
        <w:t xml:space="preserve"> allocated</w:t>
      </w:r>
      <w:r w:rsidR="00206140">
        <w:rPr>
          <w:sz w:val="22"/>
          <w:szCs w:val="22"/>
        </w:rPr>
        <w:t xml:space="preserve"> </w:t>
      </w:r>
      <w:r w:rsidR="00782B79">
        <w:rPr>
          <w:sz w:val="22"/>
          <w:szCs w:val="22"/>
        </w:rPr>
        <w:t xml:space="preserve">their uplifted pre-April 2021 amount per place. </w:t>
      </w:r>
      <w:r>
        <w:rPr>
          <w:sz w:val="22"/>
          <w:szCs w:val="22"/>
        </w:rPr>
        <w:t xml:space="preserve">This </w:t>
      </w:r>
      <w:r w:rsidR="0055511E">
        <w:rPr>
          <w:sz w:val="22"/>
          <w:szCs w:val="22"/>
        </w:rPr>
        <w:t>‘</w:t>
      </w:r>
      <w:r>
        <w:rPr>
          <w:sz w:val="22"/>
          <w:szCs w:val="22"/>
        </w:rPr>
        <w:t>protection</w:t>
      </w:r>
      <w:r w:rsidR="0055511E">
        <w:rPr>
          <w:sz w:val="22"/>
          <w:szCs w:val="22"/>
        </w:rPr>
        <w:t>’</w:t>
      </w:r>
      <w:r>
        <w:rPr>
          <w:sz w:val="22"/>
          <w:szCs w:val="22"/>
        </w:rPr>
        <w:t xml:space="preserve"> </w:t>
      </w:r>
      <w:r w:rsidR="00C030B9">
        <w:rPr>
          <w:sz w:val="22"/>
          <w:szCs w:val="22"/>
        </w:rPr>
        <w:t>was</w:t>
      </w:r>
      <w:r>
        <w:rPr>
          <w:sz w:val="22"/>
          <w:szCs w:val="22"/>
        </w:rPr>
        <w:t xml:space="preserve"> applied to 4 of 10 settings. Payment has been split so that 5/12ths of the annual value was </w:t>
      </w:r>
      <w:r w:rsidR="007B7B52">
        <w:rPr>
          <w:sz w:val="22"/>
          <w:szCs w:val="22"/>
        </w:rPr>
        <w:t>paid in a lump sum in April 2022</w:t>
      </w:r>
      <w:r>
        <w:rPr>
          <w:sz w:val="22"/>
          <w:szCs w:val="22"/>
        </w:rPr>
        <w:t xml:space="preserve"> and 7/12ths was paid</w:t>
      </w:r>
      <w:r w:rsidR="007B7B52">
        <w:rPr>
          <w:sz w:val="22"/>
          <w:szCs w:val="22"/>
        </w:rPr>
        <w:t xml:space="preserve"> in a lump sum in September 2022</w:t>
      </w:r>
      <w:r>
        <w:rPr>
          <w:sz w:val="22"/>
          <w:szCs w:val="22"/>
        </w:rPr>
        <w:t>.</w:t>
      </w:r>
    </w:p>
    <w:p w:rsidR="00C93292" w:rsidRDefault="00C93292" w:rsidP="00315C0C">
      <w:pPr>
        <w:pStyle w:val="ListParagraph"/>
        <w:ind w:left="360"/>
        <w:jc w:val="both"/>
        <w:rPr>
          <w:sz w:val="22"/>
          <w:szCs w:val="22"/>
        </w:rPr>
      </w:pPr>
    </w:p>
    <w:p w:rsidR="00DE6AA3" w:rsidRPr="00287A1C" w:rsidRDefault="00DE6AA3" w:rsidP="00315C0C">
      <w:pPr>
        <w:pStyle w:val="ListParagraph"/>
        <w:numPr>
          <w:ilvl w:val="0"/>
          <w:numId w:val="31"/>
        </w:numPr>
        <w:ind w:left="360"/>
        <w:jc w:val="both"/>
        <w:rPr>
          <w:sz w:val="22"/>
          <w:szCs w:val="22"/>
        </w:rPr>
      </w:pPr>
      <w:r>
        <w:rPr>
          <w:sz w:val="22"/>
          <w:szCs w:val="22"/>
        </w:rPr>
        <w:t xml:space="preserve">To </w:t>
      </w:r>
      <w:r w:rsidR="00095D01">
        <w:rPr>
          <w:sz w:val="22"/>
          <w:szCs w:val="22"/>
        </w:rPr>
        <w:t>s</w:t>
      </w:r>
      <w:r>
        <w:rPr>
          <w:sz w:val="22"/>
          <w:szCs w:val="22"/>
        </w:rPr>
        <w:t>chool-led resourced provisions</w:t>
      </w:r>
      <w:r w:rsidR="00D17563">
        <w:rPr>
          <w:sz w:val="22"/>
          <w:szCs w:val="22"/>
        </w:rPr>
        <w:t xml:space="preserve"> and</w:t>
      </w:r>
      <w:r>
        <w:rPr>
          <w:sz w:val="22"/>
          <w:szCs w:val="22"/>
        </w:rPr>
        <w:t xml:space="preserve"> Early Years Enhanced Specialist Provisions: based on place numbers fixed at the original agreed commissioned number</w:t>
      </w:r>
      <w:r w:rsidR="00333D5E">
        <w:rPr>
          <w:sz w:val="22"/>
          <w:szCs w:val="22"/>
        </w:rPr>
        <w:t xml:space="preserve"> for the 2022/23</w:t>
      </w:r>
      <w:r w:rsidR="00820E88">
        <w:rPr>
          <w:sz w:val="22"/>
          <w:szCs w:val="22"/>
        </w:rPr>
        <w:t xml:space="preserve"> financial year</w:t>
      </w:r>
      <w:r w:rsidR="00333D5E">
        <w:rPr>
          <w:sz w:val="22"/>
          <w:szCs w:val="22"/>
        </w:rPr>
        <w:t>, a fixed value of £733</w:t>
      </w:r>
      <w:r w:rsidR="00E26F1D">
        <w:rPr>
          <w:sz w:val="22"/>
          <w:szCs w:val="22"/>
        </w:rPr>
        <w:t xml:space="preserve"> per place, where a</w:t>
      </w:r>
      <w:r>
        <w:rPr>
          <w:sz w:val="22"/>
          <w:szCs w:val="22"/>
        </w:rPr>
        <w:t xml:space="preserve"> place was </w:t>
      </w:r>
      <w:r w:rsidR="00333D5E">
        <w:rPr>
          <w:sz w:val="22"/>
          <w:szCs w:val="22"/>
        </w:rPr>
        <w:t>not occupied in the October 2021</w:t>
      </w:r>
      <w:r>
        <w:rPr>
          <w:sz w:val="22"/>
          <w:szCs w:val="22"/>
        </w:rPr>
        <w:t xml:space="preserve"> Census</w:t>
      </w:r>
      <w:r w:rsidR="00E26F1D">
        <w:rPr>
          <w:sz w:val="22"/>
          <w:szCs w:val="22"/>
        </w:rPr>
        <w:t>, and</w:t>
      </w:r>
      <w:r>
        <w:rPr>
          <w:sz w:val="22"/>
          <w:szCs w:val="22"/>
        </w:rPr>
        <w:t xml:space="preserve"> </w:t>
      </w:r>
      <w:r w:rsidR="00820E88">
        <w:rPr>
          <w:sz w:val="22"/>
          <w:szCs w:val="22"/>
        </w:rPr>
        <w:t xml:space="preserve">either </w:t>
      </w:r>
      <w:r w:rsidR="00333D5E">
        <w:rPr>
          <w:sz w:val="22"/>
          <w:szCs w:val="22"/>
        </w:rPr>
        <w:t>a value of £548</w:t>
      </w:r>
      <w:r>
        <w:rPr>
          <w:sz w:val="22"/>
          <w:szCs w:val="22"/>
        </w:rPr>
        <w:t xml:space="preserve"> (primary)</w:t>
      </w:r>
      <w:r w:rsidR="00095D01">
        <w:rPr>
          <w:sz w:val="22"/>
          <w:szCs w:val="22"/>
        </w:rPr>
        <w:t xml:space="preserve"> or</w:t>
      </w:r>
      <w:r w:rsidR="00333D5E">
        <w:rPr>
          <w:sz w:val="22"/>
          <w:szCs w:val="22"/>
        </w:rPr>
        <w:t xml:space="preserve"> £460</w:t>
      </w:r>
      <w:r w:rsidR="00E26F1D">
        <w:rPr>
          <w:sz w:val="22"/>
          <w:szCs w:val="22"/>
        </w:rPr>
        <w:t xml:space="preserve"> (secondary) where a</w:t>
      </w:r>
      <w:r>
        <w:rPr>
          <w:sz w:val="22"/>
          <w:szCs w:val="22"/>
        </w:rPr>
        <w:t xml:space="preserve"> place was occupied in the Octo</w:t>
      </w:r>
      <w:r w:rsidR="00333D5E">
        <w:rPr>
          <w:sz w:val="22"/>
          <w:szCs w:val="22"/>
        </w:rPr>
        <w:t>ber 2021 Census. The values of £548 (primary) and £460</w:t>
      </w:r>
      <w:r>
        <w:rPr>
          <w:sz w:val="22"/>
          <w:szCs w:val="22"/>
        </w:rPr>
        <w:t xml:space="preserve"> (secondary</w:t>
      </w:r>
      <w:r w:rsidR="00820E88">
        <w:rPr>
          <w:sz w:val="22"/>
          <w:szCs w:val="22"/>
        </w:rPr>
        <w:t>) were</w:t>
      </w:r>
      <w:r>
        <w:rPr>
          <w:sz w:val="22"/>
          <w:szCs w:val="22"/>
        </w:rPr>
        <w:t xml:space="preserve"> derived from the difference</w:t>
      </w:r>
      <w:r w:rsidR="00095D01">
        <w:rPr>
          <w:sz w:val="22"/>
          <w:szCs w:val="22"/>
        </w:rPr>
        <w:t>s</w:t>
      </w:r>
      <w:r w:rsidR="00333D5E">
        <w:rPr>
          <w:sz w:val="22"/>
          <w:szCs w:val="22"/>
        </w:rPr>
        <w:t xml:space="preserve"> between the £733</w:t>
      </w:r>
      <w:r>
        <w:rPr>
          <w:sz w:val="22"/>
          <w:szCs w:val="22"/>
        </w:rPr>
        <w:t xml:space="preserve"> and the value of TPG and TPECG monies that been transferred to be allocated</w:t>
      </w:r>
      <w:r w:rsidR="00820E88">
        <w:rPr>
          <w:sz w:val="22"/>
          <w:szCs w:val="22"/>
        </w:rPr>
        <w:t xml:space="preserve"> already</w:t>
      </w:r>
      <w:r>
        <w:rPr>
          <w:sz w:val="22"/>
          <w:szCs w:val="22"/>
        </w:rPr>
        <w:t xml:space="preserve"> through the mainstream primary and secondary funding f</w:t>
      </w:r>
      <w:r w:rsidR="00E26F1D">
        <w:rPr>
          <w:sz w:val="22"/>
          <w:szCs w:val="22"/>
        </w:rPr>
        <w:t xml:space="preserve">ormula. </w:t>
      </w:r>
      <w:r w:rsidR="00820E88">
        <w:rPr>
          <w:sz w:val="22"/>
          <w:szCs w:val="22"/>
        </w:rPr>
        <w:t>All places in the EYESP</w:t>
      </w:r>
      <w:r w:rsidR="000F7477">
        <w:rPr>
          <w:sz w:val="22"/>
          <w:szCs w:val="22"/>
        </w:rPr>
        <w:t>s were recorded</w:t>
      </w:r>
      <w:r w:rsidR="00820E88">
        <w:rPr>
          <w:sz w:val="22"/>
          <w:szCs w:val="22"/>
        </w:rPr>
        <w:t xml:space="preserve"> as unoccupied for the purposes of this calculation</w:t>
      </w:r>
      <w:r w:rsidR="00CF523A">
        <w:rPr>
          <w:sz w:val="22"/>
          <w:szCs w:val="22"/>
        </w:rPr>
        <w:t xml:space="preserve">. </w:t>
      </w:r>
      <w:r w:rsidR="00095D01">
        <w:rPr>
          <w:sz w:val="22"/>
          <w:szCs w:val="22"/>
        </w:rPr>
        <w:t>Commissioned places numbers for all resourced provisions includ</w:t>
      </w:r>
      <w:r w:rsidR="00333D5E">
        <w:rPr>
          <w:sz w:val="22"/>
          <w:szCs w:val="22"/>
        </w:rPr>
        <w:t>ed planned expansion during 2022/23</w:t>
      </w:r>
      <w:r w:rsidR="00095D01">
        <w:rPr>
          <w:sz w:val="22"/>
          <w:szCs w:val="22"/>
        </w:rPr>
        <w:t xml:space="preserve">. </w:t>
      </w:r>
      <w:r>
        <w:rPr>
          <w:sz w:val="22"/>
          <w:szCs w:val="22"/>
        </w:rPr>
        <w:t xml:space="preserve">Payment has been split so that 5/12ths of the annual value was </w:t>
      </w:r>
      <w:r w:rsidR="00333D5E">
        <w:rPr>
          <w:sz w:val="22"/>
          <w:szCs w:val="22"/>
        </w:rPr>
        <w:t>paid in a lump sum in April 2022</w:t>
      </w:r>
      <w:r>
        <w:rPr>
          <w:sz w:val="22"/>
          <w:szCs w:val="22"/>
        </w:rPr>
        <w:t xml:space="preserve"> and 7/12ths was paid</w:t>
      </w:r>
      <w:r w:rsidR="00333D5E">
        <w:rPr>
          <w:sz w:val="22"/>
          <w:szCs w:val="22"/>
        </w:rPr>
        <w:t xml:space="preserve"> in a lump sum in September 2022</w:t>
      </w:r>
      <w:r>
        <w:rPr>
          <w:sz w:val="22"/>
          <w:szCs w:val="22"/>
        </w:rPr>
        <w:t>.</w:t>
      </w:r>
    </w:p>
    <w:p w:rsidR="006A0721" w:rsidRDefault="006A0721" w:rsidP="006A0721">
      <w:pPr>
        <w:jc w:val="both"/>
        <w:rPr>
          <w:sz w:val="22"/>
          <w:szCs w:val="22"/>
        </w:rPr>
      </w:pPr>
    </w:p>
    <w:p w:rsidR="00BB2A5F" w:rsidRDefault="00BB2A5F" w:rsidP="006A0721">
      <w:pPr>
        <w:jc w:val="both"/>
        <w:rPr>
          <w:sz w:val="22"/>
          <w:szCs w:val="22"/>
        </w:rPr>
      </w:pPr>
      <w:r>
        <w:rPr>
          <w:sz w:val="22"/>
          <w:szCs w:val="22"/>
        </w:rPr>
        <w:t>9.3</w:t>
      </w:r>
      <w:r w:rsidR="006A0721">
        <w:rPr>
          <w:sz w:val="22"/>
          <w:szCs w:val="22"/>
        </w:rPr>
        <w:t xml:space="preserve"> </w:t>
      </w:r>
      <w:r>
        <w:rPr>
          <w:sz w:val="22"/>
          <w:szCs w:val="22"/>
        </w:rPr>
        <w:t>We propose to continue to allocate t</w:t>
      </w:r>
      <w:r w:rsidR="00333D5E">
        <w:rPr>
          <w:sz w:val="22"/>
          <w:szCs w:val="22"/>
        </w:rPr>
        <w:t>hese former grant monies in 2023/24</w:t>
      </w:r>
      <w:r w:rsidR="004D303D">
        <w:rPr>
          <w:sz w:val="22"/>
          <w:szCs w:val="22"/>
        </w:rPr>
        <w:t xml:space="preserve"> following</w:t>
      </w:r>
      <w:r>
        <w:rPr>
          <w:sz w:val="22"/>
          <w:szCs w:val="22"/>
        </w:rPr>
        <w:t xml:space="preserve"> the same a</w:t>
      </w:r>
      <w:r w:rsidR="008725D7">
        <w:rPr>
          <w:sz w:val="22"/>
          <w:szCs w:val="22"/>
        </w:rPr>
        <w:t>pproach as we used in 2022/23, and using the same values,</w:t>
      </w:r>
      <w:r>
        <w:rPr>
          <w:sz w:val="22"/>
          <w:szCs w:val="22"/>
        </w:rPr>
        <w:t xml:space="preserve"> as follows:</w:t>
      </w:r>
    </w:p>
    <w:p w:rsidR="00333D5E" w:rsidRDefault="00333D5E" w:rsidP="006A0721">
      <w:pPr>
        <w:jc w:val="both"/>
        <w:rPr>
          <w:sz w:val="22"/>
          <w:szCs w:val="22"/>
        </w:rPr>
      </w:pPr>
    </w:p>
    <w:p w:rsidR="007208B6" w:rsidRDefault="007208B6" w:rsidP="007208B6">
      <w:pPr>
        <w:pStyle w:val="ListParagraph"/>
        <w:numPr>
          <w:ilvl w:val="0"/>
          <w:numId w:val="32"/>
        </w:numPr>
        <w:jc w:val="both"/>
        <w:rPr>
          <w:sz w:val="22"/>
          <w:szCs w:val="22"/>
        </w:rPr>
      </w:pPr>
      <w:r>
        <w:rPr>
          <w:sz w:val="22"/>
          <w:szCs w:val="22"/>
        </w:rPr>
        <w:t>Funding will be calculated and fixed on the original agreed commissioned places numb</w:t>
      </w:r>
      <w:r w:rsidR="008725D7">
        <w:rPr>
          <w:sz w:val="22"/>
          <w:szCs w:val="22"/>
        </w:rPr>
        <w:t>er for each setting for the 2023/24</w:t>
      </w:r>
      <w:r>
        <w:rPr>
          <w:sz w:val="22"/>
          <w:szCs w:val="22"/>
        </w:rPr>
        <w:t xml:space="preserve"> financial year, with</w:t>
      </w:r>
      <w:r w:rsidR="00D9693C">
        <w:rPr>
          <w:sz w:val="22"/>
          <w:szCs w:val="22"/>
        </w:rPr>
        <w:t xml:space="preserve"> these numbers incorporating</w:t>
      </w:r>
      <w:r w:rsidR="001777E0">
        <w:rPr>
          <w:sz w:val="22"/>
          <w:szCs w:val="22"/>
        </w:rPr>
        <w:t xml:space="preserve"> the</w:t>
      </w:r>
      <w:r>
        <w:rPr>
          <w:sz w:val="22"/>
          <w:szCs w:val="22"/>
        </w:rPr>
        <w:t xml:space="preserve"> planned expansion of provision</w:t>
      </w:r>
      <w:r w:rsidR="00D17563">
        <w:rPr>
          <w:sz w:val="22"/>
          <w:szCs w:val="22"/>
        </w:rPr>
        <w:t>s</w:t>
      </w:r>
      <w:r>
        <w:rPr>
          <w:sz w:val="22"/>
          <w:szCs w:val="22"/>
        </w:rPr>
        <w:t xml:space="preserve">. This funding will not be adjusted for over or under occupancy during the year. </w:t>
      </w:r>
    </w:p>
    <w:p w:rsidR="00E8426D" w:rsidRPr="007208B6" w:rsidRDefault="00E8426D" w:rsidP="00E8426D">
      <w:pPr>
        <w:pStyle w:val="ListParagraph"/>
        <w:ind w:left="360"/>
        <w:jc w:val="both"/>
        <w:rPr>
          <w:sz w:val="22"/>
          <w:szCs w:val="22"/>
        </w:rPr>
      </w:pPr>
    </w:p>
    <w:p w:rsidR="00BB2A5F" w:rsidRDefault="00BB2A5F" w:rsidP="00BB2A5F">
      <w:pPr>
        <w:pStyle w:val="ListParagraph"/>
        <w:numPr>
          <w:ilvl w:val="0"/>
          <w:numId w:val="32"/>
        </w:numPr>
        <w:jc w:val="both"/>
        <w:rPr>
          <w:sz w:val="22"/>
          <w:szCs w:val="22"/>
        </w:rPr>
      </w:pPr>
      <w:r w:rsidRPr="00BB2A5F">
        <w:rPr>
          <w:sz w:val="22"/>
          <w:szCs w:val="22"/>
        </w:rPr>
        <w:t>The basic ra</w:t>
      </w:r>
      <w:r w:rsidR="008725D7">
        <w:rPr>
          <w:sz w:val="22"/>
          <w:szCs w:val="22"/>
        </w:rPr>
        <w:t>te of funding per place for 2023/24 is proposed to be retained at</w:t>
      </w:r>
      <w:r w:rsidR="004D303D">
        <w:rPr>
          <w:sz w:val="22"/>
          <w:szCs w:val="22"/>
        </w:rPr>
        <w:t xml:space="preserve"> £733.</w:t>
      </w:r>
    </w:p>
    <w:p w:rsidR="00BB2A5F" w:rsidRDefault="00BB2A5F" w:rsidP="00BB2A5F">
      <w:pPr>
        <w:pStyle w:val="ListParagraph"/>
        <w:ind w:left="360"/>
        <w:jc w:val="both"/>
        <w:rPr>
          <w:sz w:val="22"/>
          <w:szCs w:val="22"/>
        </w:rPr>
      </w:pPr>
    </w:p>
    <w:p w:rsidR="00BB2A5F" w:rsidRDefault="00BB2A5F" w:rsidP="00BB2A5F">
      <w:pPr>
        <w:pStyle w:val="ListParagraph"/>
        <w:numPr>
          <w:ilvl w:val="0"/>
          <w:numId w:val="32"/>
        </w:numPr>
        <w:jc w:val="both"/>
        <w:rPr>
          <w:sz w:val="22"/>
          <w:szCs w:val="22"/>
        </w:rPr>
      </w:pPr>
      <w:r>
        <w:rPr>
          <w:sz w:val="22"/>
          <w:szCs w:val="22"/>
        </w:rPr>
        <w:t xml:space="preserve">The protection of </w:t>
      </w:r>
      <w:r w:rsidR="004D303D">
        <w:rPr>
          <w:sz w:val="22"/>
          <w:szCs w:val="22"/>
        </w:rPr>
        <w:t xml:space="preserve">pre-April 2021 </w:t>
      </w:r>
      <w:r>
        <w:rPr>
          <w:sz w:val="22"/>
          <w:szCs w:val="22"/>
        </w:rPr>
        <w:t>per place funding values for</w:t>
      </w:r>
      <w:r w:rsidR="007208B6">
        <w:rPr>
          <w:sz w:val="22"/>
          <w:szCs w:val="22"/>
        </w:rPr>
        <w:t xml:space="preserve"> individual</w:t>
      </w:r>
      <w:r>
        <w:rPr>
          <w:sz w:val="22"/>
          <w:szCs w:val="22"/>
        </w:rPr>
        <w:t xml:space="preserve"> special schools, special school academies and PRUs / Alternative Provision academies, will continue to be applied</w:t>
      </w:r>
      <w:r w:rsidR="004D303D">
        <w:rPr>
          <w:sz w:val="22"/>
          <w:szCs w:val="22"/>
        </w:rPr>
        <w:t>, as this was in 2022/23</w:t>
      </w:r>
      <w:r>
        <w:rPr>
          <w:sz w:val="22"/>
          <w:szCs w:val="22"/>
        </w:rPr>
        <w:t xml:space="preserve">. </w:t>
      </w:r>
      <w:r w:rsidR="00C8291C">
        <w:rPr>
          <w:sz w:val="22"/>
          <w:szCs w:val="22"/>
        </w:rPr>
        <w:t>We expect this to con</w:t>
      </w:r>
      <w:r w:rsidR="00B01B6E">
        <w:rPr>
          <w:sz w:val="22"/>
          <w:szCs w:val="22"/>
        </w:rPr>
        <w:t xml:space="preserve">tinue for 4 out of 10 settings, where these </w:t>
      </w:r>
      <w:r>
        <w:rPr>
          <w:sz w:val="22"/>
          <w:szCs w:val="22"/>
        </w:rPr>
        <w:t>setting</w:t>
      </w:r>
      <w:r w:rsidR="00B01B6E">
        <w:rPr>
          <w:sz w:val="22"/>
          <w:szCs w:val="22"/>
        </w:rPr>
        <w:t>s</w:t>
      </w:r>
      <w:r>
        <w:rPr>
          <w:sz w:val="22"/>
          <w:szCs w:val="22"/>
        </w:rPr>
        <w:t xml:space="preserve"> will</w:t>
      </w:r>
      <w:r w:rsidR="00C8291C">
        <w:rPr>
          <w:sz w:val="22"/>
          <w:szCs w:val="22"/>
        </w:rPr>
        <w:t xml:space="preserve"> be</w:t>
      </w:r>
      <w:r>
        <w:rPr>
          <w:sz w:val="22"/>
          <w:szCs w:val="22"/>
        </w:rPr>
        <w:t xml:space="preserve"> allocated</w:t>
      </w:r>
      <w:r w:rsidR="001777E0">
        <w:rPr>
          <w:sz w:val="22"/>
          <w:szCs w:val="22"/>
        </w:rPr>
        <w:t xml:space="preserve"> the greater of £733 or</w:t>
      </w:r>
      <w:r w:rsidR="004D303D">
        <w:rPr>
          <w:sz w:val="22"/>
          <w:szCs w:val="22"/>
        </w:rPr>
        <w:t xml:space="preserve"> their 2022</w:t>
      </w:r>
      <w:r>
        <w:rPr>
          <w:sz w:val="22"/>
          <w:szCs w:val="22"/>
        </w:rPr>
        <w:t>/2</w:t>
      </w:r>
      <w:r w:rsidR="004D303D">
        <w:rPr>
          <w:sz w:val="22"/>
          <w:szCs w:val="22"/>
        </w:rPr>
        <w:t>3</w:t>
      </w:r>
      <w:r>
        <w:rPr>
          <w:sz w:val="22"/>
          <w:szCs w:val="22"/>
        </w:rPr>
        <w:t xml:space="preserve"> protected p</w:t>
      </w:r>
      <w:r w:rsidR="004D303D">
        <w:rPr>
          <w:sz w:val="22"/>
          <w:szCs w:val="22"/>
        </w:rPr>
        <w:t>er place value</w:t>
      </w:r>
      <w:r>
        <w:rPr>
          <w:sz w:val="22"/>
          <w:szCs w:val="22"/>
        </w:rPr>
        <w:t>.</w:t>
      </w:r>
    </w:p>
    <w:p w:rsidR="00B3503F" w:rsidRPr="00B3503F" w:rsidRDefault="00B3503F" w:rsidP="00B3503F">
      <w:pPr>
        <w:pStyle w:val="ListParagraph"/>
        <w:rPr>
          <w:sz w:val="22"/>
          <w:szCs w:val="22"/>
        </w:rPr>
      </w:pPr>
    </w:p>
    <w:p w:rsidR="00B3503F" w:rsidRPr="00E26F1D" w:rsidRDefault="001777E0" w:rsidP="00E26F1D">
      <w:pPr>
        <w:pStyle w:val="ListParagraph"/>
        <w:numPr>
          <w:ilvl w:val="0"/>
          <w:numId w:val="32"/>
        </w:numPr>
        <w:jc w:val="both"/>
        <w:rPr>
          <w:sz w:val="22"/>
          <w:szCs w:val="22"/>
        </w:rPr>
      </w:pPr>
      <w:r>
        <w:rPr>
          <w:sz w:val="22"/>
          <w:szCs w:val="22"/>
        </w:rPr>
        <w:t>School–</w:t>
      </w:r>
      <w:r w:rsidR="00E26F1D">
        <w:rPr>
          <w:sz w:val="22"/>
          <w:szCs w:val="22"/>
        </w:rPr>
        <w:t>led resourced provisions will continue to be</w:t>
      </w:r>
      <w:r w:rsidRPr="00E26F1D">
        <w:rPr>
          <w:sz w:val="22"/>
          <w:szCs w:val="22"/>
        </w:rPr>
        <w:t xml:space="preserve"> allocated a fixed va</w:t>
      </w:r>
      <w:r w:rsidR="00E26F1D">
        <w:rPr>
          <w:sz w:val="22"/>
          <w:szCs w:val="22"/>
        </w:rPr>
        <w:t>lue of £733 per place, where a</w:t>
      </w:r>
      <w:r w:rsidRPr="00E26F1D">
        <w:rPr>
          <w:sz w:val="22"/>
          <w:szCs w:val="22"/>
        </w:rPr>
        <w:t xml:space="preserve"> place was </w:t>
      </w:r>
      <w:r w:rsidR="00B01B6E" w:rsidRPr="00E26F1D">
        <w:rPr>
          <w:sz w:val="22"/>
          <w:szCs w:val="22"/>
        </w:rPr>
        <w:t>not occupied in the October 2022</w:t>
      </w:r>
      <w:r w:rsidR="00E26F1D">
        <w:rPr>
          <w:sz w:val="22"/>
          <w:szCs w:val="22"/>
        </w:rPr>
        <w:t xml:space="preserve"> Census, and</w:t>
      </w:r>
      <w:r w:rsidRPr="00E26F1D">
        <w:rPr>
          <w:sz w:val="22"/>
          <w:szCs w:val="22"/>
        </w:rPr>
        <w:t xml:space="preserve"> either a value of £548 (primar</w:t>
      </w:r>
      <w:r w:rsidR="00E26F1D">
        <w:rPr>
          <w:sz w:val="22"/>
          <w:szCs w:val="22"/>
        </w:rPr>
        <w:t>y) or £460 (secondary) where a</w:t>
      </w:r>
      <w:r w:rsidRPr="00E26F1D">
        <w:rPr>
          <w:sz w:val="22"/>
          <w:szCs w:val="22"/>
        </w:rPr>
        <w:t xml:space="preserve"> place </w:t>
      </w:r>
      <w:r w:rsidR="00B01B6E" w:rsidRPr="00E26F1D">
        <w:rPr>
          <w:sz w:val="22"/>
          <w:szCs w:val="22"/>
        </w:rPr>
        <w:t>was occupied in the October 2022 Census.</w:t>
      </w:r>
    </w:p>
    <w:p w:rsidR="00C8291C" w:rsidRPr="00CF523A" w:rsidRDefault="00C8291C" w:rsidP="00C8291C">
      <w:pPr>
        <w:pStyle w:val="ListParagraph"/>
        <w:rPr>
          <w:sz w:val="22"/>
          <w:szCs w:val="22"/>
        </w:rPr>
      </w:pPr>
    </w:p>
    <w:p w:rsidR="00C8291C" w:rsidRPr="00CF523A" w:rsidRDefault="00C8291C" w:rsidP="00BB2A5F">
      <w:pPr>
        <w:pStyle w:val="ListParagraph"/>
        <w:numPr>
          <w:ilvl w:val="0"/>
          <w:numId w:val="32"/>
        </w:numPr>
        <w:jc w:val="both"/>
        <w:rPr>
          <w:sz w:val="22"/>
          <w:szCs w:val="22"/>
        </w:rPr>
      </w:pPr>
      <w:r w:rsidRPr="00CF523A">
        <w:rPr>
          <w:sz w:val="22"/>
          <w:szCs w:val="22"/>
        </w:rPr>
        <w:t>All places in the EYESPs will continue to be recorded as unoccupied for the purposes of the resourced provision calculation</w:t>
      </w:r>
      <w:r w:rsidR="00CF523A" w:rsidRPr="00CF523A">
        <w:rPr>
          <w:sz w:val="22"/>
          <w:szCs w:val="22"/>
        </w:rPr>
        <w:t>.</w:t>
      </w:r>
    </w:p>
    <w:p w:rsidR="00C8291C" w:rsidRPr="00CF523A" w:rsidRDefault="00C8291C" w:rsidP="00C8291C">
      <w:pPr>
        <w:pStyle w:val="ListParagraph"/>
        <w:rPr>
          <w:sz w:val="22"/>
          <w:szCs w:val="22"/>
        </w:rPr>
      </w:pPr>
    </w:p>
    <w:p w:rsidR="00445750" w:rsidRPr="00CF523A" w:rsidRDefault="00C8291C" w:rsidP="00535AAB">
      <w:pPr>
        <w:pStyle w:val="ListParagraph"/>
        <w:numPr>
          <w:ilvl w:val="0"/>
          <w:numId w:val="32"/>
        </w:numPr>
        <w:jc w:val="both"/>
        <w:rPr>
          <w:sz w:val="22"/>
          <w:szCs w:val="22"/>
        </w:rPr>
      </w:pPr>
      <w:r w:rsidRPr="00CF523A">
        <w:rPr>
          <w:sz w:val="22"/>
          <w:szCs w:val="22"/>
        </w:rPr>
        <w:t xml:space="preserve">Payment will be split so that 5/12ths of the annual value will </w:t>
      </w:r>
      <w:r w:rsidR="00B01B6E">
        <w:rPr>
          <w:sz w:val="22"/>
          <w:szCs w:val="22"/>
        </w:rPr>
        <w:t>paid in a lump sum in April 2023</w:t>
      </w:r>
      <w:r w:rsidRPr="00CF523A">
        <w:rPr>
          <w:sz w:val="22"/>
          <w:szCs w:val="22"/>
        </w:rPr>
        <w:t xml:space="preserve"> and 7/12ths will be paid</w:t>
      </w:r>
      <w:r w:rsidR="00B01B6E">
        <w:rPr>
          <w:sz w:val="22"/>
          <w:szCs w:val="22"/>
        </w:rPr>
        <w:t xml:space="preserve"> in a lump sum in September 2023</w:t>
      </w:r>
      <w:r w:rsidRPr="00CF523A">
        <w:rPr>
          <w:sz w:val="22"/>
          <w:szCs w:val="22"/>
        </w:rPr>
        <w:t>.</w:t>
      </w:r>
    </w:p>
    <w:p w:rsidR="00CF523A" w:rsidRPr="00CF523A" w:rsidRDefault="00CF523A" w:rsidP="00CF523A">
      <w:pPr>
        <w:jc w:val="both"/>
        <w:rPr>
          <w:sz w:val="22"/>
          <w:szCs w:val="22"/>
        </w:rPr>
      </w:pPr>
    </w:p>
    <w:p w:rsidR="00535AAB" w:rsidRPr="005848AF" w:rsidRDefault="00535AAB" w:rsidP="00535AAB">
      <w:pPr>
        <w:jc w:val="both"/>
        <w:rPr>
          <w:b/>
          <w:color w:val="548DD4" w:themeColor="text2" w:themeTint="99"/>
          <w:sz w:val="22"/>
          <w:szCs w:val="22"/>
        </w:rPr>
      </w:pPr>
      <w:r>
        <w:rPr>
          <w:b/>
          <w:color w:val="548DD4" w:themeColor="text2" w:themeTint="99"/>
          <w:sz w:val="22"/>
          <w:szCs w:val="22"/>
        </w:rPr>
        <w:t xml:space="preserve">Question 7 – </w:t>
      </w:r>
      <w:r w:rsidR="007A2A6A">
        <w:rPr>
          <w:b/>
          <w:color w:val="548DD4" w:themeColor="text2" w:themeTint="99"/>
          <w:sz w:val="22"/>
          <w:szCs w:val="22"/>
        </w:rPr>
        <w:t>Do you agree with the methodology that the Authority proposes to use to allocate the Teacher Pay G</w:t>
      </w:r>
      <w:r w:rsidR="0083261E">
        <w:rPr>
          <w:b/>
          <w:color w:val="548DD4" w:themeColor="text2" w:themeTint="99"/>
          <w:sz w:val="22"/>
          <w:szCs w:val="22"/>
        </w:rPr>
        <w:t>rant and Teacher Pensions Grant</w:t>
      </w:r>
      <w:r w:rsidR="006C5737">
        <w:rPr>
          <w:b/>
          <w:color w:val="548DD4" w:themeColor="text2" w:themeTint="99"/>
          <w:sz w:val="22"/>
          <w:szCs w:val="22"/>
        </w:rPr>
        <w:t xml:space="preserve"> </w:t>
      </w:r>
      <w:r w:rsidR="00D93908">
        <w:rPr>
          <w:b/>
          <w:color w:val="548DD4" w:themeColor="text2" w:themeTint="99"/>
          <w:sz w:val="22"/>
          <w:szCs w:val="22"/>
        </w:rPr>
        <w:t>in 2023/24</w:t>
      </w:r>
      <w:r w:rsidR="007A2A6A">
        <w:rPr>
          <w:b/>
          <w:color w:val="548DD4" w:themeColor="text2" w:themeTint="99"/>
          <w:sz w:val="22"/>
          <w:szCs w:val="22"/>
        </w:rPr>
        <w:t>? If not, please can you explain why not.</w:t>
      </w:r>
    </w:p>
    <w:p w:rsidR="00A40E08" w:rsidRDefault="00A40E08" w:rsidP="00355873">
      <w:pPr>
        <w:jc w:val="both"/>
        <w:rPr>
          <w:b/>
          <w:sz w:val="22"/>
          <w:szCs w:val="22"/>
        </w:rPr>
      </w:pPr>
    </w:p>
    <w:p w:rsidR="000231F1" w:rsidRDefault="000231F1" w:rsidP="00355873">
      <w:pPr>
        <w:jc w:val="both"/>
        <w:rPr>
          <w:b/>
          <w:sz w:val="22"/>
          <w:szCs w:val="22"/>
        </w:rPr>
      </w:pPr>
    </w:p>
    <w:p w:rsidR="005F6CF2" w:rsidRPr="0055511E" w:rsidRDefault="005F6CF2" w:rsidP="00355873">
      <w:pPr>
        <w:jc w:val="both"/>
        <w:rPr>
          <w:b/>
          <w:color w:val="000000" w:themeColor="text1"/>
          <w:sz w:val="22"/>
          <w:szCs w:val="22"/>
        </w:rPr>
      </w:pPr>
      <w:r w:rsidRPr="0055511E">
        <w:rPr>
          <w:b/>
          <w:color w:val="000000" w:themeColor="text1"/>
          <w:sz w:val="22"/>
          <w:szCs w:val="22"/>
        </w:rPr>
        <w:t>10.</w:t>
      </w:r>
      <w:r w:rsidRPr="0055511E">
        <w:rPr>
          <w:b/>
          <w:color w:val="000000" w:themeColor="text1"/>
          <w:sz w:val="22"/>
          <w:szCs w:val="22"/>
        </w:rPr>
        <w:tab/>
        <w:t>Notional SEND</w:t>
      </w:r>
      <w:r w:rsidR="0055511E">
        <w:rPr>
          <w:b/>
          <w:color w:val="000000" w:themeColor="text1"/>
          <w:sz w:val="22"/>
          <w:szCs w:val="22"/>
        </w:rPr>
        <w:t xml:space="preserve"> Budget Definition</w:t>
      </w:r>
      <w:r w:rsidRPr="0055511E">
        <w:rPr>
          <w:b/>
          <w:color w:val="000000" w:themeColor="text1"/>
          <w:sz w:val="22"/>
          <w:szCs w:val="22"/>
        </w:rPr>
        <w:t xml:space="preserve"> for Mainstream Primary &amp; Secondary 2023/24</w:t>
      </w:r>
    </w:p>
    <w:p w:rsidR="005F6CF2" w:rsidRDefault="005F6CF2" w:rsidP="00355873">
      <w:pPr>
        <w:jc w:val="both"/>
        <w:rPr>
          <w:b/>
          <w:sz w:val="22"/>
          <w:szCs w:val="22"/>
        </w:rPr>
      </w:pPr>
    </w:p>
    <w:p w:rsidR="0055511E" w:rsidRPr="0055511E" w:rsidRDefault="0055511E" w:rsidP="0055511E">
      <w:pPr>
        <w:jc w:val="both"/>
        <w:rPr>
          <w:sz w:val="22"/>
          <w:szCs w:val="22"/>
        </w:rPr>
      </w:pPr>
      <w:r w:rsidRPr="0055511E">
        <w:rPr>
          <w:sz w:val="22"/>
          <w:szCs w:val="22"/>
        </w:rPr>
        <w:t>10.1 We propose to amend in 2023/24 our definition of Notional SEND budgets within mainstream primary and secondary school and academy formula funding allocations.</w:t>
      </w:r>
    </w:p>
    <w:p w:rsidR="0055511E" w:rsidRDefault="0055511E" w:rsidP="0055511E">
      <w:pPr>
        <w:jc w:val="both"/>
        <w:rPr>
          <w:sz w:val="22"/>
          <w:szCs w:val="22"/>
        </w:rPr>
      </w:pPr>
    </w:p>
    <w:p w:rsidR="0055511E" w:rsidRPr="00BA1CC7" w:rsidRDefault="0055511E" w:rsidP="0055511E">
      <w:pPr>
        <w:jc w:val="both"/>
        <w:rPr>
          <w:sz w:val="22"/>
          <w:szCs w:val="22"/>
        </w:rPr>
      </w:pPr>
      <w:r>
        <w:rPr>
          <w:sz w:val="22"/>
          <w:szCs w:val="22"/>
        </w:rPr>
        <w:t>10.2 Local authorities are</w:t>
      </w:r>
      <w:r w:rsidRPr="00BA1CC7">
        <w:rPr>
          <w:sz w:val="22"/>
          <w:szCs w:val="22"/>
        </w:rPr>
        <w:t xml:space="preserve"> required to define for each primary and secondary school</w:t>
      </w:r>
      <w:r>
        <w:rPr>
          <w:sz w:val="22"/>
          <w:szCs w:val="22"/>
        </w:rPr>
        <w:t xml:space="preserve"> and academy</w:t>
      </w:r>
      <w:r w:rsidRPr="00BA1CC7">
        <w:rPr>
          <w:sz w:val="22"/>
          <w:szCs w:val="22"/>
        </w:rPr>
        <w:t xml:space="preserve"> the value of</w:t>
      </w:r>
      <w:r>
        <w:rPr>
          <w:sz w:val="22"/>
          <w:szCs w:val="22"/>
        </w:rPr>
        <w:t xml:space="preserve"> its</w:t>
      </w:r>
      <w:r w:rsidRPr="00BA1CC7">
        <w:rPr>
          <w:sz w:val="22"/>
          <w:szCs w:val="22"/>
        </w:rPr>
        <w:t xml:space="preserve"> </w:t>
      </w:r>
      <w:r>
        <w:rPr>
          <w:sz w:val="22"/>
          <w:szCs w:val="22"/>
        </w:rPr>
        <w:t xml:space="preserve">mainstream </w:t>
      </w:r>
      <w:r w:rsidRPr="00BA1CC7">
        <w:rPr>
          <w:sz w:val="22"/>
          <w:szCs w:val="22"/>
        </w:rPr>
        <w:t>formula funding that is ‘notionally’ allocated for</w:t>
      </w:r>
      <w:r>
        <w:rPr>
          <w:sz w:val="22"/>
          <w:szCs w:val="22"/>
        </w:rPr>
        <w:t xml:space="preserve"> Special Educational Needs and Disabilities (SEND) - </w:t>
      </w:r>
      <w:r w:rsidRPr="00BA1CC7">
        <w:rPr>
          <w:sz w:val="22"/>
          <w:szCs w:val="22"/>
        </w:rPr>
        <w:t xml:space="preserve">for meeting the first </w:t>
      </w:r>
      <w:r w:rsidRPr="0036379B">
        <w:rPr>
          <w:sz w:val="22"/>
          <w:szCs w:val="22"/>
        </w:rPr>
        <w:t xml:space="preserve">£6,000 of </w:t>
      </w:r>
      <w:r>
        <w:rPr>
          <w:sz w:val="22"/>
          <w:szCs w:val="22"/>
        </w:rPr>
        <w:t xml:space="preserve">the cost of the additional </w:t>
      </w:r>
      <w:r w:rsidRPr="00BA1CC7">
        <w:rPr>
          <w:sz w:val="22"/>
          <w:szCs w:val="22"/>
        </w:rPr>
        <w:t xml:space="preserve">needs </w:t>
      </w:r>
      <w:r>
        <w:rPr>
          <w:sz w:val="22"/>
          <w:szCs w:val="22"/>
        </w:rPr>
        <w:t>both of pupils with EHCPs and also of pupils without EHCPs</w:t>
      </w:r>
      <w:r w:rsidRPr="00BA1CC7">
        <w:rPr>
          <w:sz w:val="22"/>
          <w:szCs w:val="22"/>
        </w:rPr>
        <w:t xml:space="preserve">. </w:t>
      </w:r>
      <w:r>
        <w:rPr>
          <w:sz w:val="22"/>
          <w:szCs w:val="22"/>
        </w:rPr>
        <w:t xml:space="preserve">This not additional funding, but a definition of how much funding, that is already allocated, is available to support SEND. </w:t>
      </w:r>
      <w:r w:rsidRPr="00BA1CC7">
        <w:rPr>
          <w:sz w:val="22"/>
          <w:szCs w:val="22"/>
        </w:rPr>
        <w:t>How Bradford currently</w:t>
      </w:r>
      <w:r>
        <w:rPr>
          <w:sz w:val="22"/>
          <w:szCs w:val="22"/>
        </w:rPr>
        <w:t xml:space="preserve"> (in 2022/23)</w:t>
      </w:r>
      <w:r w:rsidRPr="00BA1CC7">
        <w:rPr>
          <w:sz w:val="22"/>
          <w:szCs w:val="22"/>
        </w:rPr>
        <w:t xml:space="preserve"> defines notional SEN</w:t>
      </w:r>
      <w:r>
        <w:rPr>
          <w:sz w:val="22"/>
          <w:szCs w:val="22"/>
        </w:rPr>
        <w:t>D (the %s of funding within</w:t>
      </w:r>
      <w:r w:rsidRPr="00BA1CC7">
        <w:rPr>
          <w:sz w:val="22"/>
          <w:szCs w:val="22"/>
        </w:rPr>
        <w:t xml:space="preserve"> each </w:t>
      </w:r>
      <w:r>
        <w:rPr>
          <w:sz w:val="22"/>
          <w:szCs w:val="22"/>
        </w:rPr>
        <w:t xml:space="preserve">formula </w:t>
      </w:r>
      <w:r w:rsidRPr="00BA1CC7">
        <w:rPr>
          <w:sz w:val="22"/>
          <w:szCs w:val="22"/>
        </w:rPr>
        <w:t>factor that make up this budget) is shown in the table below.</w:t>
      </w:r>
      <w:r>
        <w:rPr>
          <w:sz w:val="22"/>
          <w:szCs w:val="22"/>
        </w:rPr>
        <w:t xml:space="preserve"> We have also explained our current Notional SEND budget approach in Appendix 3. The Section 251 Budget Statements for maintained schools, and the General Annual Grant (GAG) Statements for academies, show the calculation of Notional SEND budgets for individual schools / academies. We also publish on Bradford Schools Online, annually in February, the calculation of Notional SEND budgets for all primary and secondary schools and academies in Bradford for the following financial year.</w:t>
      </w:r>
    </w:p>
    <w:p w:rsidR="0055511E" w:rsidRDefault="0055511E" w:rsidP="0055511E">
      <w:pPr>
        <w:jc w:val="both"/>
        <w:rPr>
          <w:sz w:val="22"/>
          <w:szCs w:val="22"/>
        </w:rPr>
      </w:pPr>
    </w:p>
    <w:p w:rsidR="0055511E" w:rsidRDefault="00651747" w:rsidP="0055511E">
      <w:pPr>
        <w:jc w:val="both"/>
        <w:rPr>
          <w:sz w:val="22"/>
          <w:szCs w:val="22"/>
        </w:rPr>
      </w:pPr>
      <w:r>
        <w:rPr>
          <w:sz w:val="22"/>
          <w:szCs w:val="22"/>
        </w:rPr>
        <w:t>10.3</w:t>
      </w:r>
      <w:r w:rsidR="0055511E">
        <w:rPr>
          <w:sz w:val="22"/>
          <w:szCs w:val="22"/>
        </w:rPr>
        <w:t xml:space="preserve"> Our current definition has built up over time, but, in particular, is based on how we began to delegate EHCP (then known as SEND Statements) funding to schools around 15 years or so ago, before the advent of the current national place-plus high needs funding methodology and the £6,000 element 2. We have identified that we should look again at our definition, but, as we’ve explained in consultations in recent years, we have not progressed a local review because we expected that the DfE’s national SEND Review, as well as the movement to the hard National Funding Formula</w:t>
      </w:r>
      <w:r w:rsidR="00C26F20">
        <w:rPr>
          <w:sz w:val="22"/>
          <w:szCs w:val="22"/>
        </w:rPr>
        <w:t xml:space="preserve"> for primary and secondary schools and academies</w:t>
      </w:r>
      <w:r w:rsidR="0055511E">
        <w:rPr>
          <w:sz w:val="22"/>
          <w:szCs w:val="22"/>
        </w:rPr>
        <w:t>, would determine how Notional SEND would work in the very near future. The DfE did also previously suggest that the concept of a Notional SEND budget could be replaced with something else.</w:t>
      </w:r>
    </w:p>
    <w:p w:rsidR="0055511E" w:rsidRDefault="0055511E" w:rsidP="0055511E">
      <w:pPr>
        <w:jc w:val="both"/>
        <w:rPr>
          <w:sz w:val="22"/>
          <w:szCs w:val="22"/>
        </w:rPr>
      </w:pPr>
    </w:p>
    <w:p w:rsidR="0055511E" w:rsidRDefault="00651747" w:rsidP="0055511E">
      <w:pPr>
        <w:jc w:val="both"/>
        <w:rPr>
          <w:sz w:val="22"/>
          <w:szCs w:val="22"/>
        </w:rPr>
      </w:pPr>
      <w:r>
        <w:rPr>
          <w:sz w:val="22"/>
          <w:szCs w:val="22"/>
        </w:rPr>
        <w:t>10.4</w:t>
      </w:r>
      <w:r w:rsidR="0055511E">
        <w:rPr>
          <w:sz w:val="22"/>
          <w:szCs w:val="22"/>
        </w:rPr>
        <w:t xml:space="preserve"> The DfE however, has now confirmed that Notional SEND budgets will continue to be defined going forward and that, at the point the hard National Funding Formula is introduced </w:t>
      </w:r>
      <w:r w:rsidR="00C26F20">
        <w:rPr>
          <w:sz w:val="22"/>
          <w:szCs w:val="22"/>
        </w:rPr>
        <w:t xml:space="preserve">for mainstream primary and secondary school and academy formula funding </w:t>
      </w:r>
      <w:r w:rsidR="0055511E">
        <w:rPr>
          <w:sz w:val="22"/>
          <w:szCs w:val="22"/>
        </w:rPr>
        <w:t>(by 2027/28 at the latest), there will be a national consistent definition.</w:t>
      </w:r>
    </w:p>
    <w:p w:rsidR="0055511E" w:rsidRDefault="0055511E" w:rsidP="0055511E">
      <w:pPr>
        <w:jc w:val="both"/>
        <w:rPr>
          <w:sz w:val="22"/>
          <w:szCs w:val="22"/>
        </w:rPr>
      </w:pPr>
    </w:p>
    <w:p w:rsidR="0055511E" w:rsidRDefault="00651747" w:rsidP="0055511E">
      <w:pPr>
        <w:jc w:val="both"/>
        <w:rPr>
          <w:sz w:val="22"/>
          <w:szCs w:val="22"/>
        </w:rPr>
      </w:pPr>
      <w:r>
        <w:rPr>
          <w:sz w:val="22"/>
          <w:szCs w:val="22"/>
        </w:rPr>
        <w:t>10.5</w:t>
      </w:r>
      <w:r w:rsidR="0055511E">
        <w:rPr>
          <w:sz w:val="22"/>
          <w:szCs w:val="22"/>
        </w:rPr>
        <w:t xml:space="preserve"> Highlighting that there is currently quite a bit of difference in how local authorities define Notional SEND budgets for schools and academies in their areas, and seeking to encourage movement towards greater consistency prior to the establishment of the hard National Funding Formula, the DfE has recently published new </w:t>
      </w:r>
      <w:hyperlink r:id="rId19" w:history="1">
        <w:r w:rsidR="0055511E" w:rsidRPr="000C33E9">
          <w:rPr>
            <w:rStyle w:val="Hyperlink"/>
            <w:sz w:val="22"/>
            <w:szCs w:val="22"/>
          </w:rPr>
          <w:t>operational guidance</w:t>
        </w:r>
      </w:hyperlink>
      <w:r w:rsidR="0055511E">
        <w:rPr>
          <w:sz w:val="22"/>
          <w:szCs w:val="22"/>
        </w:rPr>
        <w:t xml:space="preserve"> for local authorities. Whilst this guidance does not prescribe how authorities should now define Notional SEND, it does strongly encourage all local authorities to review their approaches, and sets out broad expectations.</w:t>
      </w:r>
    </w:p>
    <w:p w:rsidR="0055511E" w:rsidRDefault="0055511E" w:rsidP="0055511E">
      <w:pPr>
        <w:jc w:val="both"/>
        <w:rPr>
          <w:sz w:val="22"/>
          <w:szCs w:val="22"/>
        </w:rPr>
      </w:pPr>
    </w:p>
    <w:p w:rsidR="0055511E" w:rsidRDefault="00651747" w:rsidP="0055511E">
      <w:pPr>
        <w:jc w:val="both"/>
        <w:rPr>
          <w:sz w:val="22"/>
          <w:szCs w:val="22"/>
        </w:rPr>
      </w:pPr>
      <w:r>
        <w:rPr>
          <w:sz w:val="22"/>
          <w:szCs w:val="22"/>
        </w:rPr>
        <w:t>10.6</w:t>
      </w:r>
      <w:r w:rsidR="0055511E">
        <w:rPr>
          <w:sz w:val="22"/>
          <w:szCs w:val="22"/>
        </w:rPr>
        <w:t xml:space="preserve"> We have reviewed our approach, especially by comparing our definition to national, regional and other useful averages (including similar High Needs Block funded authorities and Metropolitan District Authorities). Our rationale for approaching our review this way is that, as was the case with the initial construction of the National Funding Formula</w:t>
      </w:r>
      <w:r>
        <w:rPr>
          <w:sz w:val="22"/>
          <w:szCs w:val="22"/>
        </w:rPr>
        <w:t xml:space="preserve"> (NFF) within the Schools Block</w:t>
      </w:r>
      <w:r w:rsidR="0055511E">
        <w:rPr>
          <w:sz w:val="22"/>
          <w:szCs w:val="22"/>
        </w:rPr>
        <w:t>, and as is now behind the DfE’s m</w:t>
      </w:r>
      <w:r>
        <w:rPr>
          <w:sz w:val="22"/>
          <w:szCs w:val="22"/>
        </w:rPr>
        <w:t>ethodology for the review of this NFF</w:t>
      </w:r>
      <w:r w:rsidR="0055511E">
        <w:rPr>
          <w:sz w:val="22"/>
          <w:szCs w:val="22"/>
        </w:rPr>
        <w:t xml:space="preserve">, we anticipate that a national consistent definition of Notional SEND will be strongly informed by averages (by the common national picture). Where we are different, we wish to begin to make changes, to bring our approach closer in line with averages, incrementally, rather than having a significant single change at the point the </w:t>
      </w:r>
      <w:r>
        <w:rPr>
          <w:sz w:val="22"/>
          <w:szCs w:val="22"/>
        </w:rPr>
        <w:t>‘</w:t>
      </w:r>
      <w:r w:rsidR="0055511E">
        <w:rPr>
          <w:sz w:val="22"/>
          <w:szCs w:val="22"/>
        </w:rPr>
        <w:t>hard</w:t>
      </w:r>
      <w:r>
        <w:rPr>
          <w:sz w:val="22"/>
          <w:szCs w:val="22"/>
        </w:rPr>
        <w:t>’</w:t>
      </w:r>
      <w:r w:rsidR="0055511E">
        <w:rPr>
          <w:sz w:val="22"/>
          <w:szCs w:val="22"/>
        </w:rPr>
        <w:t xml:space="preserve"> </w:t>
      </w:r>
      <w:r>
        <w:rPr>
          <w:sz w:val="22"/>
          <w:szCs w:val="22"/>
        </w:rPr>
        <w:t>NFF</w:t>
      </w:r>
      <w:r w:rsidR="0055511E">
        <w:rPr>
          <w:sz w:val="22"/>
          <w:szCs w:val="22"/>
        </w:rPr>
        <w:t xml:space="preserve"> is</w:t>
      </w:r>
      <w:r>
        <w:rPr>
          <w:sz w:val="22"/>
          <w:szCs w:val="22"/>
        </w:rPr>
        <w:t xml:space="preserve"> final</w:t>
      </w:r>
      <w:r w:rsidR="0083533A">
        <w:rPr>
          <w:sz w:val="22"/>
          <w:szCs w:val="22"/>
        </w:rPr>
        <w:t>ly</w:t>
      </w:r>
      <w:r w:rsidR="0055511E">
        <w:rPr>
          <w:sz w:val="22"/>
          <w:szCs w:val="22"/>
        </w:rPr>
        <w:t xml:space="preserve"> established. It may also be the case that the DfE does further prescribe approaches for Notional SEND prior to 2027/28, and we wish to be well placed to absorb this.</w:t>
      </w:r>
    </w:p>
    <w:p w:rsidR="0055511E" w:rsidRDefault="0055511E" w:rsidP="0055511E">
      <w:pPr>
        <w:jc w:val="both"/>
        <w:rPr>
          <w:sz w:val="22"/>
          <w:szCs w:val="22"/>
        </w:rPr>
      </w:pPr>
    </w:p>
    <w:p w:rsidR="0055511E" w:rsidRDefault="00651747" w:rsidP="0055511E">
      <w:pPr>
        <w:jc w:val="both"/>
        <w:rPr>
          <w:sz w:val="22"/>
          <w:szCs w:val="22"/>
        </w:rPr>
      </w:pPr>
      <w:r>
        <w:rPr>
          <w:sz w:val="22"/>
          <w:szCs w:val="22"/>
        </w:rPr>
        <w:t>10.7</w:t>
      </w:r>
      <w:r w:rsidR="0055511E">
        <w:rPr>
          <w:sz w:val="22"/>
          <w:szCs w:val="22"/>
        </w:rPr>
        <w:t xml:space="preserve"> In our review, we have not intrinsically set out with the aim of significantly altering the values of Notional SEND budgets that are retained by schools and academies, either overall or by the majority of individual settings. By this, we mean that, if we compare what Notional SEND budgets would be in 2023/24 using our current approach, against a new approach, there aren’t significant differences overall or within the majority of schools / academies (when we look at Notional SEND as a % of funding or on a per pupil basis). </w:t>
      </w:r>
      <w:r w:rsidR="0083533A">
        <w:rPr>
          <w:sz w:val="22"/>
          <w:szCs w:val="22"/>
        </w:rPr>
        <w:t>One of the</w:t>
      </w:r>
      <w:r w:rsidR="0055511E">
        <w:rPr>
          <w:sz w:val="22"/>
          <w:szCs w:val="22"/>
        </w:rPr>
        <w:t xml:space="preserve"> change</w:t>
      </w:r>
      <w:r w:rsidR="0083533A">
        <w:rPr>
          <w:sz w:val="22"/>
          <w:szCs w:val="22"/>
        </w:rPr>
        <w:t>s</w:t>
      </w:r>
      <w:r w:rsidR="0055511E">
        <w:rPr>
          <w:sz w:val="22"/>
          <w:szCs w:val="22"/>
        </w:rPr>
        <w:t xml:space="preserve"> that we propose however, does specifically increase the Notional SEND budgets for schools and academies that </w:t>
      </w:r>
      <w:r w:rsidR="0083533A">
        <w:rPr>
          <w:sz w:val="22"/>
          <w:szCs w:val="22"/>
        </w:rPr>
        <w:t>receive funding via the Minimum Levels of Funding (MFLs)</w:t>
      </w:r>
      <w:r w:rsidR="0055511E">
        <w:rPr>
          <w:sz w:val="22"/>
          <w:szCs w:val="22"/>
        </w:rPr>
        <w:t xml:space="preserve"> factor. However, we feel that there is a clear rationale for this, which is explained below.</w:t>
      </w:r>
    </w:p>
    <w:p w:rsidR="0055511E" w:rsidRDefault="0055511E" w:rsidP="0055511E">
      <w:pPr>
        <w:jc w:val="both"/>
        <w:rPr>
          <w:sz w:val="22"/>
          <w:szCs w:val="22"/>
        </w:rPr>
      </w:pPr>
    </w:p>
    <w:p w:rsidR="0055511E" w:rsidRDefault="0083533A" w:rsidP="0055511E">
      <w:pPr>
        <w:jc w:val="both"/>
        <w:rPr>
          <w:sz w:val="22"/>
          <w:szCs w:val="22"/>
        </w:rPr>
      </w:pPr>
      <w:r>
        <w:rPr>
          <w:sz w:val="22"/>
          <w:szCs w:val="22"/>
        </w:rPr>
        <w:t xml:space="preserve">10.8 </w:t>
      </w:r>
      <w:r w:rsidR="0055511E">
        <w:rPr>
          <w:sz w:val="22"/>
          <w:szCs w:val="22"/>
        </w:rPr>
        <w:t>Irrespective of whether we use the existing or the new method, the overall total value of Notional SEND budgets is expected to increase in 2023/24, due to pupil numbers and other changes (including the merger of the Schools Supplementary Grant</w:t>
      </w:r>
      <w:r>
        <w:rPr>
          <w:sz w:val="22"/>
          <w:szCs w:val="22"/>
        </w:rPr>
        <w:t xml:space="preserve"> into primary and secondary core formula funding</w:t>
      </w:r>
      <w:r w:rsidR="0055511E">
        <w:rPr>
          <w:sz w:val="22"/>
          <w:szCs w:val="22"/>
        </w:rPr>
        <w:t xml:space="preserve">), as well as due to the 2023/24 funding settlement. Individual schools and academies however, will see differences (both up and down) due to pupil numbers and pupil circumstances changes (differences between the October 2022 and the October 2021 Censuses), again, irrespective of whether we use the current or the new method. </w:t>
      </w:r>
    </w:p>
    <w:p w:rsidR="0055511E" w:rsidRDefault="0055511E" w:rsidP="0055511E">
      <w:pPr>
        <w:jc w:val="both"/>
        <w:rPr>
          <w:sz w:val="22"/>
          <w:szCs w:val="22"/>
        </w:rPr>
      </w:pPr>
    </w:p>
    <w:p w:rsidR="0055511E" w:rsidRDefault="0083533A" w:rsidP="0055511E">
      <w:pPr>
        <w:jc w:val="both"/>
        <w:rPr>
          <w:sz w:val="22"/>
          <w:szCs w:val="22"/>
        </w:rPr>
      </w:pPr>
      <w:r>
        <w:rPr>
          <w:sz w:val="22"/>
          <w:szCs w:val="22"/>
        </w:rPr>
        <w:t>10.9</w:t>
      </w:r>
      <w:r w:rsidR="0055511E">
        <w:rPr>
          <w:sz w:val="22"/>
          <w:szCs w:val="22"/>
        </w:rPr>
        <w:t xml:space="preserve"> Following our review, w</w:t>
      </w:r>
      <w:r w:rsidR="007B2B70">
        <w:rPr>
          <w:sz w:val="22"/>
          <w:szCs w:val="22"/>
        </w:rPr>
        <w:t>e propose to make two changes within</w:t>
      </w:r>
      <w:r w:rsidR="0055511E">
        <w:rPr>
          <w:sz w:val="22"/>
          <w:szCs w:val="22"/>
        </w:rPr>
        <w:t xml:space="preserve"> our definition of Notional SEND budgets in 2023/24. Firstly, we propose to bring our definition of Notional SEND more in line with national averages, by adjusting the percentages of the different factors that make up the Notional SEND budget, as follows:</w:t>
      </w:r>
    </w:p>
    <w:p w:rsidR="0055511E" w:rsidRDefault="0055511E" w:rsidP="0055511E">
      <w:pPr>
        <w:jc w:val="both"/>
        <w:rPr>
          <w:sz w:val="22"/>
          <w:szCs w:val="22"/>
        </w:rPr>
      </w:pPr>
    </w:p>
    <w:p w:rsidR="0055511E" w:rsidRPr="00C23190" w:rsidRDefault="0055511E" w:rsidP="0055511E">
      <w:pPr>
        <w:jc w:val="both"/>
        <w:rPr>
          <w:sz w:val="22"/>
          <w:szCs w:val="22"/>
          <w:u w:val="single"/>
        </w:rPr>
      </w:pPr>
      <w:r w:rsidRPr="00C23190">
        <w:rPr>
          <w:sz w:val="22"/>
          <w:szCs w:val="22"/>
          <w:u w:val="single"/>
        </w:rPr>
        <w:t>Current</w:t>
      </w:r>
    </w:p>
    <w:p w:rsidR="0055511E" w:rsidRDefault="0055511E" w:rsidP="0055511E">
      <w:pPr>
        <w:jc w:val="both"/>
        <w:rPr>
          <w:sz w:val="22"/>
          <w:szCs w:val="22"/>
        </w:rPr>
      </w:pPr>
    </w:p>
    <w:tbl>
      <w:tblPr>
        <w:tblStyle w:val="TableGrid"/>
        <w:tblW w:w="0" w:type="auto"/>
        <w:tblLook w:val="04A0" w:firstRow="1" w:lastRow="0" w:firstColumn="1" w:lastColumn="0" w:noHBand="0" w:noVBand="1"/>
      </w:tblPr>
      <w:tblGrid>
        <w:gridCol w:w="6753"/>
        <w:gridCol w:w="1981"/>
        <w:gridCol w:w="2140"/>
      </w:tblGrid>
      <w:tr w:rsidR="0055511E" w:rsidRPr="00D210FF" w:rsidTr="00A2073D">
        <w:tc>
          <w:tcPr>
            <w:tcW w:w="6771" w:type="dxa"/>
          </w:tcPr>
          <w:p w:rsidR="0055511E" w:rsidRPr="00D210FF" w:rsidRDefault="0055511E" w:rsidP="00A2073D">
            <w:pPr>
              <w:jc w:val="both"/>
              <w:rPr>
                <w:b/>
                <w:sz w:val="22"/>
                <w:szCs w:val="22"/>
              </w:rPr>
            </w:pPr>
            <w:r w:rsidRPr="00D210FF">
              <w:rPr>
                <w:b/>
                <w:sz w:val="22"/>
                <w:szCs w:val="22"/>
              </w:rPr>
              <w:t>Formula Factor</w:t>
            </w:r>
          </w:p>
        </w:tc>
        <w:tc>
          <w:tcPr>
            <w:tcW w:w="1984" w:type="dxa"/>
          </w:tcPr>
          <w:p w:rsidR="0055511E" w:rsidRPr="00D210FF" w:rsidRDefault="0055511E" w:rsidP="00A2073D">
            <w:pPr>
              <w:jc w:val="right"/>
              <w:rPr>
                <w:b/>
                <w:sz w:val="22"/>
                <w:szCs w:val="22"/>
              </w:rPr>
            </w:pPr>
            <w:r w:rsidRPr="00D210FF">
              <w:rPr>
                <w:b/>
                <w:sz w:val="22"/>
                <w:szCs w:val="22"/>
              </w:rPr>
              <w:t>% Primary</w:t>
            </w:r>
          </w:p>
        </w:tc>
        <w:tc>
          <w:tcPr>
            <w:tcW w:w="2143" w:type="dxa"/>
          </w:tcPr>
          <w:p w:rsidR="0055511E" w:rsidRPr="00D210FF" w:rsidRDefault="0055511E" w:rsidP="00A2073D">
            <w:pPr>
              <w:jc w:val="right"/>
              <w:rPr>
                <w:b/>
                <w:sz w:val="22"/>
                <w:szCs w:val="22"/>
              </w:rPr>
            </w:pPr>
            <w:r w:rsidRPr="00D210FF">
              <w:rPr>
                <w:b/>
                <w:sz w:val="22"/>
                <w:szCs w:val="22"/>
              </w:rPr>
              <w:t>% Secondary</w:t>
            </w:r>
          </w:p>
        </w:tc>
      </w:tr>
      <w:tr w:rsidR="0055511E" w:rsidTr="00A2073D">
        <w:tc>
          <w:tcPr>
            <w:tcW w:w="6771" w:type="dxa"/>
          </w:tcPr>
          <w:p w:rsidR="0055511E" w:rsidRDefault="0055511E" w:rsidP="00A2073D">
            <w:pPr>
              <w:jc w:val="both"/>
              <w:rPr>
                <w:sz w:val="22"/>
                <w:szCs w:val="22"/>
              </w:rPr>
            </w:pPr>
            <w:r>
              <w:rPr>
                <w:sz w:val="22"/>
                <w:szCs w:val="22"/>
              </w:rPr>
              <w:t>Prior Low Attainment Factor</w:t>
            </w:r>
          </w:p>
        </w:tc>
        <w:tc>
          <w:tcPr>
            <w:tcW w:w="1984" w:type="dxa"/>
          </w:tcPr>
          <w:p w:rsidR="0055511E" w:rsidRDefault="0055511E" w:rsidP="00A2073D">
            <w:pPr>
              <w:jc w:val="right"/>
              <w:rPr>
                <w:sz w:val="22"/>
                <w:szCs w:val="22"/>
              </w:rPr>
            </w:pPr>
            <w:r>
              <w:rPr>
                <w:sz w:val="22"/>
                <w:szCs w:val="22"/>
              </w:rPr>
              <w:t>100%</w:t>
            </w:r>
          </w:p>
        </w:tc>
        <w:tc>
          <w:tcPr>
            <w:tcW w:w="2143" w:type="dxa"/>
          </w:tcPr>
          <w:p w:rsidR="0055511E" w:rsidRDefault="0055511E" w:rsidP="00A2073D">
            <w:pPr>
              <w:jc w:val="right"/>
              <w:rPr>
                <w:sz w:val="22"/>
                <w:szCs w:val="22"/>
              </w:rPr>
            </w:pPr>
            <w:r>
              <w:rPr>
                <w:sz w:val="22"/>
                <w:szCs w:val="22"/>
              </w:rPr>
              <w:t>100%</w:t>
            </w:r>
          </w:p>
        </w:tc>
      </w:tr>
      <w:tr w:rsidR="0055511E" w:rsidTr="00A2073D">
        <w:tc>
          <w:tcPr>
            <w:tcW w:w="6771" w:type="dxa"/>
          </w:tcPr>
          <w:p w:rsidR="0055511E" w:rsidRDefault="0055511E" w:rsidP="00A2073D">
            <w:pPr>
              <w:jc w:val="both"/>
              <w:rPr>
                <w:sz w:val="22"/>
                <w:szCs w:val="22"/>
              </w:rPr>
            </w:pPr>
            <w:r>
              <w:rPr>
                <w:sz w:val="22"/>
                <w:szCs w:val="22"/>
              </w:rPr>
              <w:t>Free School Meals Factor</w:t>
            </w:r>
          </w:p>
        </w:tc>
        <w:tc>
          <w:tcPr>
            <w:tcW w:w="1984" w:type="dxa"/>
          </w:tcPr>
          <w:p w:rsidR="0055511E" w:rsidRDefault="0055511E" w:rsidP="00A2073D">
            <w:pPr>
              <w:jc w:val="right"/>
              <w:rPr>
                <w:sz w:val="22"/>
                <w:szCs w:val="22"/>
              </w:rPr>
            </w:pPr>
            <w:r>
              <w:rPr>
                <w:sz w:val="22"/>
                <w:szCs w:val="22"/>
              </w:rPr>
              <w:t>23.1%</w:t>
            </w:r>
          </w:p>
        </w:tc>
        <w:tc>
          <w:tcPr>
            <w:tcW w:w="2143" w:type="dxa"/>
          </w:tcPr>
          <w:p w:rsidR="0055511E" w:rsidRDefault="0055511E" w:rsidP="00A2073D">
            <w:pPr>
              <w:jc w:val="right"/>
              <w:rPr>
                <w:sz w:val="22"/>
                <w:szCs w:val="22"/>
              </w:rPr>
            </w:pPr>
            <w:r>
              <w:rPr>
                <w:sz w:val="22"/>
                <w:szCs w:val="22"/>
              </w:rPr>
              <w:t>10.2%</w:t>
            </w:r>
          </w:p>
        </w:tc>
      </w:tr>
      <w:tr w:rsidR="0055511E" w:rsidTr="00A2073D">
        <w:tc>
          <w:tcPr>
            <w:tcW w:w="6771" w:type="dxa"/>
          </w:tcPr>
          <w:p w:rsidR="0055511E" w:rsidRDefault="0055511E" w:rsidP="00A2073D">
            <w:pPr>
              <w:jc w:val="both"/>
              <w:rPr>
                <w:sz w:val="22"/>
                <w:szCs w:val="22"/>
              </w:rPr>
            </w:pPr>
            <w:r>
              <w:rPr>
                <w:sz w:val="22"/>
                <w:szCs w:val="22"/>
              </w:rPr>
              <w:t>Income Deprivation Affecting Children Index (IDACI) Factor</w:t>
            </w:r>
          </w:p>
        </w:tc>
        <w:tc>
          <w:tcPr>
            <w:tcW w:w="1984" w:type="dxa"/>
          </w:tcPr>
          <w:p w:rsidR="0055511E" w:rsidRDefault="0055511E" w:rsidP="00A2073D">
            <w:pPr>
              <w:jc w:val="right"/>
              <w:rPr>
                <w:sz w:val="22"/>
                <w:szCs w:val="22"/>
              </w:rPr>
            </w:pPr>
            <w:r>
              <w:rPr>
                <w:sz w:val="22"/>
                <w:szCs w:val="22"/>
              </w:rPr>
              <w:t>22.4%</w:t>
            </w:r>
          </w:p>
        </w:tc>
        <w:tc>
          <w:tcPr>
            <w:tcW w:w="2143" w:type="dxa"/>
          </w:tcPr>
          <w:p w:rsidR="0055511E" w:rsidRDefault="0055511E" w:rsidP="00A2073D">
            <w:pPr>
              <w:jc w:val="right"/>
              <w:rPr>
                <w:sz w:val="22"/>
                <w:szCs w:val="22"/>
              </w:rPr>
            </w:pPr>
            <w:r>
              <w:rPr>
                <w:sz w:val="22"/>
                <w:szCs w:val="22"/>
              </w:rPr>
              <w:t>19.2%</w:t>
            </w:r>
          </w:p>
        </w:tc>
      </w:tr>
      <w:tr w:rsidR="0055511E" w:rsidTr="00A2073D">
        <w:tc>
          <w:tcPr>
            <w:tcW w:w="6771" w:type="dxa"/>
          </w:tcPr>
          <w:p w:rsidR="0055511E" w:rsidRDefault="0055511E" w:rsidP="00A2073D">
            <w:pPr>
              <w:jc w:val="both"/>
              <w:rPr>
                <w:sz w:val="22"/>
                <w:szCs w:val="22"/>
              </w:rPr>
            </w:pPr>
            <w:r>
              <w:rPr>
                <w:sz w:val="22"/>
                <w:szCs w:val="22"/>
              </w:rPr>
              <w:t>Base £APP funding (AWPU)</w:t>
            </w:r>
          </w:p>
        </w:tc>
        <w:tc>
          <w:tcPr>
            <w:tcW w:w="1984" w:type="dxa"/>
          </w:tcPr>
          <w:p w:rsidR="0055511E" w:rsidRDefault="0055511E" w:rsidP="00A2073D">
            <w:pPr>
              <w:jc w:val="right"/>
              <w:rPr>
                <w:sz w:val="22"/>
                <w:szCs w:val="22"/>
              </w:rPr>
            </w:pPr>
            <w:r>
              <w:rPr>
                <w:sz w:val="22"/>
                <w:szCs w:val="22"/>
              </w:rPr>
              <w:t>7.5%</w:t>
            </w:r>
          </w:p>
        </w:tc>
        <w:tc>
          <w:tcPr>
            <w:tcW w:w="2143" w:type="dxa"/>
          </w:tcPr>
          <w:p w:rsidR="0055511E" w:rsidRDefault="0055511E" w:rsidP="00A2073D">
            <w:pPr>
              <w:jc w:val="right"/>
              <w:rPr>
                <w:sz w:val="22"/>
                <w:szCs w:val="22"/>
              </w:rPr>
            </w:pPr>
            <w:r>
              <w:rPr>
                <w:sz w:val="22"/>
                <w:szCs w:val="22"/>
              </w:rPr>
              <w:t>6.3%</w:t>
            </w:r>
          </w:p>
        </w:tc>
      </w:tr>
    </w:tbl>
    <w:p w:rsidR="0055511E" w:rsidRDefault="0055511E" w:rsidP="0055511E">
      <w:pPr>
        <w:jc w:val="both"/>
        <w:rPr>
          <w:sz w:val="22"/>
          <w:szCs w:val="22"/>
        </w:rPr>
      </w:pPr>
    </w:p>
    <w:p w:rsidR="0055511E" w:rsidRPr="00C23190" w:rsidRDefault="0055511E" w:rsidP="0055511E">
      <w:pPr>
        <w:jc w:val="both"/>
        <w:rPr>
          <w:sz w:val="22"/>
          <w:szCs w:val="22"/>
          <w:u w:val="single"/>
        </w:rPr>
      </w:pPr>
      <w:r w:rsidRPr="00C23190">
        <w:rPr>
          <w:sz w:val="22"/>
          <w:szCs w:val="22"/>
          <w:u w:val="single"/>
        </w:rPr>
        <w:t>Adjusted to</w:t>
      </w:r>
    </w:p>
    <w:p w:rsidR="0055511E" w:rsidRDefault="0055511E" w:rsidP="0055511E">
      <w:pPr>
        <w:jc w:val="both"/>
        <w:rPr>
          <w:sz w:val="22"/>
          <w:szCs w:val="22"/>
        </w:rPr>
      </w:pPr>
    </w:p>
    <w:tbl>
      <w:tblPr>
        <w:tblStyle w:val="TableGrid"/>
        <w:tblW w:w="0" w:type="auto"/>
        <w:tblLook w:val="04A0" w:firstRow="1" w:lastRow="0" w:firstColumn="1" w:lastColumn="0" w:noHBand="0" w:noVBand="1"/>
      </w:tblPr>
      <w:tblGrid>
        <w:gridCol w:w="6753"/>
        <w:gridCol w:w="1981"/>
        <w:gridCol w:w="2140"/>
      </w:tblGrid>
      <w:tr w:rsidR="0055511E" w:rsidRPr="00D210FF" w:rsidTr="00A2073D">
        <w:tc>
          <w:tcPr>
            <w:tcW w:w="6771" w:type="dxa"/>
          </w:tcPr>
          <w:p w:rsidR="0055511E" w:rsidRPr="00D210FF" w:rsidRDefault="0055511E" w:rsidP="00A2073D">
            <w:pPr>
              <w:jc w:val="both"/>
              <w:rPr>
                <w:b/>
                <w:sz w:val="22"/>
                <w:szCs w:val="22"/>
              </w:rPr>
            </w:pPr>
            <w:r w:rsidRPr="00D210FF">
              <w:rPr>
                <w:b/>
                <w:sz w:val="22"/>
                <w:szCs w:val="22"/>
              </w:rPr>
              <w:t>Formula Factor</w:t>
            </w:r>
          </w:p>
        </w:tc>
        <w:tc>
          <w:tcPr>
            <w:tcW w:w="1984" w:type="dxa"/>
          </w:tcPr>
          <w:p w:rsidR="0055511E" w:rsidRPr="00D210FF" w:rsidRDefault="0055511E" w:rsidP="00A2073D">
            <w:pPr>
              <w:jc w:val="right"/>
              <w:rPr>
                <w:b/>
                <w:sz w:val="22"/>
                <w:szCs w:val="22"/>
              </w:rPr>
            </w:pPr>
            <w:r w:rsidRPr="00D210FF">
              <w:rPr>
                <w:b/>
                <w:sz w:val="22"/>
                <w:szCs w:val="22"/>
              </w:rPr>
              <w:t>% Primary</w:t>
            </w:r>
          </w:p>
        </w:tc>
        <w:tc>
          <w:tcPr>
            <w:tcW w:w="2143" w:type="dxa"/>
          </w:tcPr>
          <w:p w:rsidR="0055511E" w:rsidRPr="00D210FF" w:rsidRDefault="0055511E" w:rsidP="00A2073D">
            <w:pPr>
              <w:jc w:val="right"/>
              <w:rPr>
                <w:b/>
                <w:sz w:val="22"/>
                <w:szCs w:val="22"/>
              </w:rPr>
            </w:pPr>
            <w:r w:rsidRPr="00D210FF">
              <w:rPr>
                <w:b/>
                <w:sz w:val="22"/>
                <w:szCs w:val="22"/>
              </w:rPr>
              <w:t>% Secondary</w:t>
            </w:r>
          </w:p>
        </w:tc>
      </w:tr>
      <w:tr w:rsidR="0055511E" w:rsidTr="00A2073D">
        <w:tc>
          <w:tcPr>
            <w:tcW w:w="6771" w:type="dxa"/>
          </w:tcPr>
          <w:p w:rsidR="0055511E" w:rsidRDefault="0055511E" w:rsidP="00A2073D">
            <w:pPr>
              <w:jc w:val="both"/>
              <w:rPr>
                <w:sz w:val="22"/>
                <w:szCs w:val="22"/>
              </w:rPr>
            </w:pPr>
            <w:r>
              <w:rPr>
                <w:sz w:val="22"/>
                <w:szCs w:val="22"/>
              </w:rPr>
              <w:t>Prior Low Attainment Factor</w:t>
            </w:r>
          </w:p>
        </w:tc>
        <w:tc>
          <w:tcPr>
            <w:tcW w:w="1984" w:type="dxa"/>
          </w:tcPr>
          <w:p w:rsidR="0055511E" w:rsidRDefault="0055511E" w:rsidP="00A2073D">
            <w:pPr>
              <w:jc w:val="right"/>
              <w:rPr>
                <w:sz w:val="22"/>
                <w:szCs w:val="22"/>
              </w:rPr>
            </w:pPr>
            <w:r>
              <w:rPr>
                <w:sz w:val="22"/>
                <w:szCs w:val="22"/>
              </w:rPr>
              <w:t>100%</w:t>
            </w:r>
          </w:p>
        </w:tc>
        <w:tc>
          <w:tcPr>
            <w:tcW w:w="2143" w:type="dxa"/>
          </w:tcPr>
          <w:p w:rsidR="0055511E" w:rsidRDefault="0055511E" w:rsidP="00A2073D">
            <w:pPr>
              <w:jc w:val="right"/>
              <w:rPr>
                <w:sz w:val="22"/>
                <w:szCs w:val="22"/>
              </w:rPr>
            </w:pPr>
            <w:r>
              <w:rPr>
                <w:sz w:val="22"/>
                <w:szCs w:val="22"/>
              </w:rPr>
              <w:t>100%</w:t>
            </w:r>
          </w:p>
        </w:tc>
      </w:tr>
      <w:tr w:rsidR="0055511E" w:rsidTr="00A2073D">
        <w:tc>
          <w:tcPr>
            <w:tcW w:w="6771" w:type="dxa"/>
          </w:tcPr>
          <w:p w:rsidR="0055511E" w:rsidRDefault="0055511E" w:rsidP="00A2073D">
            <w:pPr>
              <w:jc w:val="both"/>
              <w:rPr>
                <w:sz w:val="22"/>
                <w:szCs w:val="22"/>
              </w:rPr>
            </w:pPr>
            <w:r>
              <w:rPr>
                <w:sz w:val="22"/>
                <w:szCs w:val="22"/>
              </w:rPr>
              <w:t>Free School Meals Factor</w:t>
            </w:r>
          </w:p>
        </w:tc>
        <w:tc>
          <w:tcPr>
            <w:tcW w:w="1984" w:type="dxa"/>
          </w:tcPr>
          <w:p w:rsidR="0055511E" w:rsidRDefault="0055511E" w:rsidP="00A2073D">
            <w:pPr>
              <w:jc w:val="right"/>
              <w:rPr>
                <w:sz w:val="22"/>
                <w:szCs w:val="22"/>
              </w:rPr>
            </w:pPr>
            <w:r>
              <w:rPr>
                <w:sz w:val="22"/>
                <w:szCs w:val="22"/>
              </w:rPr>
              <w:t>25.0%</w:t>
            </w:r>
          </w:p>
        </w:tc>
        <w:tc>
          <w:tcPr>
            <w:tcW w:w="2143" w:type="dxa"/>
          </w:tcPr>
          <w:p w:rsidR="0055511E" w:rsidRDefault="0055511E" w:rsidP="00A2073D">
            <w:pPr>
              <w:jc w:val="right"/>
              <w:rPr>
                <w:sz w:val="22"/>
                <w:szCs w:val="22"/>
              </w:rPr>
            </w:pPr>
            <w:r>
              <w:rPr>
                <w:sz w:val="22"/>
                <w:szCs w:val="22"/>
              </w:rPr>
              <w:t>25.0%</w:t>
            </w:r>
          </w:p>
        </w:tc>
      </w:tr>
      <w:tr w:rsidR="0055511E" w:rsidTr="00A2073D">
        <w:tc>
          <w:tcPr>
            <w:tcW w:w="6771" w:type="dxa"/>
          </w:tcPr>
          <w:p w:rsidR="0055511E" w:rsidRDefault="0055511E" w:rsidP="00A2073D">
            <w:pPr>
              <w:jc w:val="both"/>
              <w:rPr>
                <w:sz w:val="22"/>
                <w:szCs w:val="22"/>
              </w:rPr>
            </w:pPr>
            <w:r>
              <w:rPr>
                <w:sz w:val="22"/>
                <w:szCs w:val="22"/>
              </w:rPr>
              <w:t>Income Deprivation Affecting Children Index (IDACI) Factor</w:t>
            </w:r>
          </w:p>
        </w:tc>
        <w:tc>
          <w:tcPr>
            <w:tcW w:w="1984" w:type="dxa"/>
          </w:tcPr>
          <w:p w:rsidR="0055511E" w:rsidRDefault="0055511E" w:rsidP="00A2073D">
            <w:pPr>
              <w:jc w:val="right"/>
              <w:rPr>
                <w:sz w:val="22"/>
                <w:szCs w:val="22"/>
              </w:rPr>
            </w:pPr>
            <w:r>
              <w:rPr>
                <w:sz w:val="22"/>
                <w:szCs w:val="22"/>
              </w:rPr>
              <w:t>25.0%</w:t>
            </w:r>
          </w:p>
        </w:tc>
        <w:tc>
          <w:tcPr>
            <w:tcW w:w="2143" w:type="dxa"/>
          </w:tcPr>
          <w:p w:rsidR="0055511E" w:rsidRDefault="0055511E" w:rsidP="00A2073D">
            <w:pPr>
              <w:jc w:val="right"/>
              <w:rPr>
                <w:sz w:val="22"/>
                <w:szCs w:val="22"/>
              </w:rPr>
            </w:pPr>
            <w:r>
              <w:rPr>
                <w:sz w:val="22"/>
                <w:szCs w:val="22"/>
              </w:rPr>
              <w:t>25.0%</w:t>
            </w:r>
          </w:p>
        </w:tc>
      </w:tr>
      <w:tr w:rsidR="0055511E" w:rsidTr="00A2073D">
        <w:tc>
          <w:tcPr>
            <w:tcW w:w="6771" w:type="dxa"/>
          </w:tcPr>
          <w:p w:rsidR="0055511E" w:rsidRDefault="0055511E" w:rsidP="00A2073D">
            <w:pPr>
              <w:jc w:val="both"/>
              <w:rPr>
                <w:sz w:val="22"/>
                <w:szCs w:val="22"/>
              </w:rPr>
            </w:pPr>
            <w:r>
              <w:rPr>
                <w:sz w:val="22"/>
                <w:szCs w:val="22"/>
              </w:rPr>
              <w:t>Base £APP funding (AWPU)</w:t>
            </w:r>
          </w:p>
        </w:tc>
        <w:tc>
          <w:tcPr>
            <w:tcW w:w="1984" w:type="dxa"/>
          </w:tcPr>
          <w:p w:rsidR="0055511E" w:rsidRDefault="0055511E" w:rsidP="00A2073D">
            <w:pPr>
              <w:jc w:val="right"/>
              <w:rPr>
                <w:sz w:val="22"/>
                <w:szCs w:val="22"/>
              </w:rPr>
            </w:pPr>
            <w:r>
              <w:rPr>
                <w:sz w:val="22"/>
                <w:szCs w:val="22"/>
              </w:rPr>
              <w:t>6.5%</w:t>
            </w:r>
          </w:p>
        </w:tc>
        <w:tc>
          <w:tcPr>
            <w:tcW w:w="2143" w:type="dxa"/>
          </w:tcPr>
          <w:p w:rsidR="0055511E" w:rsidRDefault="0055511E" w:rsidP="00A2073D">
            <w:pPr>
              <w:jc w:val="right"/>
              <w:rPr>
                <w:sz w:val="22"/>
                <w:szCs w:val="22"/>
              </w:rPr>
            </w:pPr>
            <w:r>
              <w:rPr>
                <w:sz w:val="22"/>
                <w:szCs w:val="22"/>
              </w:rPr>
              <w:t>4.0%</w:t>
            </w:r>
          </w:p>
        </w:tc>
      </w:tr>
    </w:tbl>
    <w:p w:rsidR="0055511E" w:rsidRDefault="0055511E" w:rsidP="0055511E">
      <w:pPr>
        <w:jc w:val="both"/>
        <w:rPr>
          <w:sz w:val="22"/>
          <w:szCs w:val="22"/>
        </w:rPr>
      </w:pPr>
    </w:p>
    <w:p w:rsidR="0055511E" w:rsidRDefault="0083533A" w:rsidP="0055511E">
      <w:pPr>
        <w:jc w:val="both"/>
        <w:rPr>
          <w:sz w:val="22"/>
          <w:szCs w:val="22"/>
        </w:rPr>
      </w:pPr>
      <w:r>
        <w:rPr>
          <w:sz w:val="22"/>
          <w:szCs w:val="22"/>
        </w:rPr>
        <w:t>10.10</w:t>
      </w:r>
      <w:r w:rsidR="0055511E">
        <w:rPr>
          <w:sz w:val="22"/>
          <w:szCs w:val="22"/>
        </w:rPr>
        <w:t xml:space="preserve"> Secondly, we propose to bring into the definition of Notional SEND a proportion of the additional funding that schools and academies receive via the Minimum Levels of per Pupil Funding (MFL) factor. We propose, for both primary and secondary phases, to bring 48% of MFL funding into the Notional SEND Budget. The rationale for this is to improve the fairness and equity of our definition. A principal reason why per pupil funding levels vary between schools / academies is differences in the levels of additional needs of pupils, as measured by Free School Meals, IDACI, Low Prior Attainment etc. The MFL factor brings the per pupil funding for all schools and academies up to a define</w:t>
      </w:r>
      <w:r>
        <w:rPr>
          <w:sz w:val="22"/>
          <w:szCs w:val="22"/>
        </w:rPr>
        <w:t>d minimum. It is the case that two</w:t>
      </w:r>
      <w:r w:rsidR="0055511E">
        <w:rPr>
          <w:sz w:val="22"/>
          <w:szCs w:val="22"/>
        </w:rPr>
        <w:t xml:space="preserve"> primary schools, for example, could receive £4,405 per pupil in 2023/24, one receiving this via the ‘normal’ funding formula and one receiving this because the MFL has kicked in to provide the minimum of £4,405. Using our current definition, the school that receives £4,405 via the normal formula has an appropriate proportion of its additional needs funding included within its Notional SEND budget. However, because we don’t currently bring in the MFL factor, the school that receives a top up to the £4,405 does not. On this basis, we take the view that the inclusion of the MFL factor within our Notional SEND budget definition will improve the fairness and equity of this definition. We have calculated 48% taking an aggregate of the %s that are used across the other factors.</w:t>
      </w:r>
    </w:p>
    <w:p w:rsidR="0055511E" w:rsidRDefault="0055511E" w:rsidP="0055511E">
      <w:pPr>
        <w:jc w:val="both"/>
        <w:rPr>
          <w:sz w:val="22"/>
          <w:szCs w:val="22"/>
        </w:rPr>
      </w:pPr>
    </w:p>
    <w:p w:rsidR="0055511E" w:rsidRDefault="0083533A" w:rsidP="0055511E">
      <w:pPr>
        <w:jc w:val="both"/>
        <w:rPr>
          <w:sz w:val="22"/>
          <w:szCs w:val="22"/>
        </w:rPr>
      </w:pPr>
      <w:r>
        <w:rPr>
          <w:sz w:val="22"/>
          <w:szCs w:val="22"/>
        </w:rPr>
        <w:t>10.11</w:t>
      </w:r>
      <w:r w:rsidR="0055511E">
        <w:rPr>
          <w:sz w:val="22"/>
          <w:szCs w:val="22"/>
        </w:rPr>
        <w:t xml:space="preserve"> Illustrative modelling, showing the impact of these 2 changes on the Notional SEND budgets of individual schools and academ</w:t>
      </w:r>
      <w:r>
        <w:rPr>
          <w:sz w:val="22"/>
          <w:szCs w:val="22"/>
        </w:rPr>
        <w:t>ies, is presented at Appendix 5</w:t>
      </w:r>
      <w:r w:rsidR="0055511E">
        <w:rPr>
          <w:sz w:val="22"/>
          <w:szCs w:val="22"/>
        </w:rPr>
        <w:t>. We must stress that this modelling is illustrative. It is calculated on the same basis as the main Appendix 1a and 1b formula fu</w:t>
      </w:r>
      <w:r>
        <w:rPr>
          <w:sz w:val="22"/>
          <w:szCs w:val="22"/>
        </w:rPr>
        <w:t>nding modelling, which is attached to our Schools Block primary and secondary mainstream formula funding consultation. Appendix 5</w:t>
      </w:r>
      <w:r w:rsidR="0055511E">
        <w:rPr>
          <w:sz w:val="22"/>
          <w:szCs w:val="22"/>
        </w:rPr>
        <w:t xml:space="preserve"> does not show what confirmed final 2023/24 Notional SEND budgets will be. In particular, these final budgets, which will be published in February 2023, will be influenced by the changes in data that are recorded in</w:t>
      </w:r>
      <w:r w:rsidR="005713E2">
        <w:rPr>
          <w:sz w:val="22"/>
          <w:szCs w:val="22"/>
        </w:rPr>
        <w:t xml:space="preserve"> schools and academies within</w:t>
      </w:r>
      <w:r w:rsidR="0055511E">
        <w:rPr>
          <w:sz w:val="22"/>
          <w:szCs w:val="22"/>
        </w:rPr>
        <w:t xml:space="preserve"> the October 2022 Census.</w:t>
      </w:r>
      <w:r w:rsidR="003D1264">
        <w:rPr>
          <w:sz w:val="22"/>
          <w:szCs w:val="22"/>
        </w:rPr>
        <w:t xml:space="preserve"> We would also like to highlight, for the MFL schools and academies, that the increases in their Notional SEND budgets, as a result of the inclusion of the MFL factor, is offset by the other proposed changes in the definition, including the reduction in the % taken from Base £APP (AWPU) funding.</w:t>
      </w:r>
    </w:p>
    <w:p w:rsidR="0055511E" w:rsidRDefault="0055511E" w:rsidP="0055511E">
      <w:pPr>
        <w:jc w:val="both"/>
        <w:rPr>
          <w:sz w:val="22"/>
          <w:szCs w:val="22"/>
        </w:rPr>
      </w:pPr>
    </w:p>
    <w:p w:rsidR="0055511E" w:rsidRDefault="005713E2" w:rsidP="0055511E">
      <w:pPr>
        <w:jc w:val="both"/>
        <w:rPr>
          <w:sz w:val="22"/>
          <w:szCs w:val="22"/>
        </w:rPr>
      </w:pPr>
      <w:r>
        <w:rPr>
          <w:sz w:val="22"/>
          <w:szCs w:val="22"/>
        </w:rPr>
        <w:t>10.12</w:t>
      </w:r>
      <w:r w:rsidR="0055511E">
        <w:rPr>
          <w:sz w:val="22"/>
          <w:szCs w:val="22"/>
        </w:rPr>
        <w:t xml:space="preserve"> We will continue to annually review our Notional SEND definition in the lead up to the hard National Funding Formula, including in response to any further prescription from the DfE, and may consult on further incremental changes.</w:t>
      </w:r>
    </w:p>
    <w:p w:rsidR="0055511E" w:rsidRDefault="0055511E" w:rsidP="0055511E">
      <w:pPr>
        <w:jc w:val="both"/>
        <w:rPr>
          <w:sz w:val="22"/>
          <w:szCs w:val="22"/>
        </w:rPr>
      </w:pPr>
    </w:p>
    <w:p w:rsidR="0055511E" w:rsidRDefault="005713E2" w:rsidP="0055511E">
      <w:pPr>
        <w:jc w:val="both"/>
        <w:rPr>
          <w:sz w:val="22"/>
          <w:szCs w:val="22"/>
        </w:rPr>
      </w:pPr>
      <w:r>
        <w:rPr>
          <w:sz w:val="22"/>
          <w:szCs w:val="22"/>
        </w:rPr>
        <w:t>10.13</w:t>
      </w:r>
      <w:r w:rsidR="0055511E">
        <w:rPr>
          <w:sz w:val="22"/>
          <w:szCs w:val="22"/>
        </w:rPr>
        <w:t xml:space="preserve"> Please note that we intend to continue to add to Notional SEND budgets 6.0% of a mainstream school’s or academy’s allocation from the Early Years Single Funding Formula, for mainstream primary schools and academies that have early years entitlement provision.</w:t>
      </w:r>
    </w:p>
    <w:p w:rsidR="0055511E" w:rsidRDefault="005713E2" w:rsidP="0055511E">
      <w:pPr>
        <w:jc w:val="both"/>
        <w:rPr>
          <w:sz w:val="22"/>
          <w:szCs w:val="22"/>
        </w:rPr>
      </w:pPr>
      <w:r>
        <w:rPr>
          <w:sz w:val="22"/>
          <w:szCs w:val="22"/>
        </w:rPr>
        <w:t>10.14</w:t>
      </w:r>
      <w:r w:rsidR="0055511E">
        <w:rPr>
          <w:sz w:val="22"/>
          <w:szCs w:val="22"/>
        </w:rPr>
        <w:t xml:space="preserve"> Finally, we wish to highlight that our separate consultation on </w:t>
      </w:r>
      <w:r>
        <w:rPr>
          <w:sz w:val="22"/>
          <w:szCs w:val="22"/>
        </w:rPr>
        <w:t>Schools Block</w:t>
      </w:r>
      <w:r w:rsidR="0055511E">
        <w:rPr>
          <w:sz w:val="22"/>
          <w:szCs w:val="22"/>
        </w:rPr>
        <w:t xml:space="preserve"> formula funding </w:t>
      </w:r>
      <w:r>
        <w:rPr>
          <w:sz w:val="22"/>
          <w:szCs w:val="22"/>
        </w:rPr>
        <w:t xml:space="preserve">also </w:t>
      </w:r>
      <w:r w:rsidR="0055511E">
        <w:rPr>
          <w:sz w:val="22"/>
          <w:szCs w:val="22"/>
        </w:rPr>
        <w:t>di</w:t>
      </w:r>
      <w:r>
        <w:rPr>
          <w:sz w:val="22"/>
          <w:szCs w:val="22"/>
        </w:rPr>
        <w:t>scusses this change in Notional SEND budget definition in</w:t>
      </w:r>
      <w:r w:rsidR="0055511E">
        <w:rPr>
          <w:sz w:val="22"/>
          <w:szCs w:val="22"/>
        </w:rPr>
        <w:t xml:space="preserve"> 2023/24</w:t>
      </w:r>
      <w:r>
        <w:rPr>
          <w:sz w:val="22"/>
          <w:szCs w:val="22"/>
        </w:rPr>
        <w:t>. What is said in the two consultation documents is the same</w:t>
      </w:r>
      <w:r w:rsidR="0055511E">
        <w:rPr>
          <w:sz w:val="22"/>
          <w:szCs w:val="22"/>
        </w:rPr>
        <w:t xml:space="preserve">. All </w:t>
      </w:r>
      <w:r>
        <w:rPr>
          <w:sz w:val="22"/>
          <w:szCs w:val="22"/>
        </w:rPr>
        <w:t xml:space="preserve">primary and a secondary </w:t>
      </w:r>
      <w:r w:rsidR="0055511E">
        <w:rPr>
          <w:sz w:val="22"/>
          <w:szCs w:val="22"/>
        </w:rPr>
        <w:t>schools and academies are strongly encouraged to access this consultation.</w:t>
      </w:r>
    </w:p>
    <w:p w:rsidR="0055511E" w:rsidRDefault="0055511E" w:rsidP="0055511E">
      <w:pPr>
        <w:jc w:val="both"/>
        <w:rPr>
          <w:color w:val="FF0000"/>
          <w:sz w:val="22"/>
          <w:szCs w:val="22"/>
          <w:u w:val="single"/>
        </w:rPr>
      </w:pPr>
    </w:p>
    <w:p w:rsidR="0055511E" w:rsidRPr="002101C8" w:rsidRDefault="0055511E" w:rsidP="0055511E">
      <w:pPr>
        <w:jc w:val="both"/>
        <w:rPr>
          <w:b/>
          <w:bCs/>
          <w:color w:val="548DD4" w:themeColor="text2" w:themeTint="99"/>
          <w:sz w:val="22"/>
          <w:szCs w:val="22"/>
        </w:rPr>
      </w:pPr>
      <w:r w:rsidRPr="002101C8">
        <w:rPr>
          <w:b/>
          <w:bCs/>
          <w:color w:val="548DD4" w:themeColor="text2" w:themeTint="99"/>
          <w:sz w:val="22"/>
          <w:szCs w:val="22"/>
        </w:rPr>
        <w:t xml:space="preserve">Question </w:t>
      </w:r>
      <w:r>
        <w:rPr>
          <w:b/>
          <w:bCs/>
          <w:color w:val="548DD4" w:themeColor="text2" w:themeTint="99"/>
          <w:sz w:val="22"/>
          <w:szCs w:val="22"/>
        </w:rPr>
        <w:t>8 - Do you agree with the proposal to adjust our definition of Notional SEND within mainstream primary and secondary formula funding? If not, please explain the reasons why not.</w:t>
      </w:r>
    </w:p>
    <w:p w:rsidR="005F6CF2" w:rsidRDefault="005F6CF2" w:rsidP="00355873">
      <w:pPr>
        <w:jc w:val="both"/>
        <w:rPr>
          <w:b/>
          <w:sz w:val="22"/>
          <w:szCs w:val="22"/>
        </w:rPr>
      </w:pPr>
    </w:p>
    <w:p w:rsidR="00D93908" w:rsidRDefault="00D93908" w:rsidP="00355873">
      <w:pPr>
        <w:jc w:val="both"/>
        <w:rPr>
          <w:b/>
          <w:sz w:val="22"/>
          <w:szCs w:val="22"/>
        </w:rPr>
      </w:pPr>
    </w:p>
    <w:p w:rsidR="008F7E04" w:rsidRPr="00D17563" w:rsidRDefault="005F6CF2" w:rsidP="00355873">
      <w:pPr>
        <w:jc w:val="both"/>
        <w:rPr>
          <w:b/>
          <w:sz w:val="22"/>
          <w:szCs w:val="22"/>
        </w:rPr>
      </w:pPr>
      <w:r>
        <w:rPr>
          <w:b/>
          <w:sz w:val="22"/>
          <w:szCs w:val="22"/>
        </w:rPr>
        <w:t>11</w:t>
      </w:r>
      <w:r w:rsidR="00DC16B8" w:rsidRPr="00D17563">
        <w:rPr>
          <w:b/>
          <w:sz w:val="22"/>
          <w:szCs w:val="22"/>
        </w:rPr>
        <w:t>.</w:t>
      </w:r>
      <w:r w:rsidR="00DC16B8" w:rsidRPr="00D17563">
        <w:rPr>
          <w:b/>
          <w:sz w:val="22"/>
          <w:szCs w:val="22"/>
        </w:rPr>
        <w:tab/>
      </w:r>
      <w:r w:rsidR="00D17563">
        <w:rPr>
          <w:b/>
          <w:sz w:val="22"/>
          <w:szCs w:val="22"/>
        </w:rPr>
        <w:t xml:space="preserve">The </w:t>
      </w:r>
      <w:r w:rsidR="00DC16B8" w:rsidRPr="00D17563">
        <w:rPr>
          <w:b/>
          <w:sz w:val="22"/>
          <w:szCs w:val="22"/>
        </w:rPr>
        <w:t>SEND Funding Floor</w:t>
      </w:r>
      <w:r w:rsidR="00D17563" w:rsidRPr="00D17563">
        <w:rPr>
          <w:b/>
          <w:sz w:val="22"/>
          <w:szCs w:val="22"/>
        </w:rPr>
        <w:t xml:space="preserve"> </w:t>
      </w:r>
      <w:r w:rsidR="00D17563">
        <w:rPr>
          <w:b/>
          <w:sz w:val="22"/>
          <w:szCs w:val="22"/>
        </w:rPr>
        <w:t xml:space="preserve">Mechanism for </w:t>
      </w:r>
      <w:r w:rsidR="00DA6D07" w:rsidRPr="00D17563">
        <w:rPr>
          <w:b/>
          <w:sz w:val="22"/>
          <w:szCs w:val="22"/>
        </w:rPr>
        <w:t>Mainstream Primary &amp; Secondary</w:t>
      </w:r>
      <w:r>
        <w:rPr>
          <w:b/>
          <w:sz w:val="22"/>
          <w:szCs w:val="22"/>
        </w:rPr>
        <w:t xml:space="preserve"> </w:t>
      </w:r>
      <w:r w:rsidR="005743A2">
        <w:rPr>
          <w:b/>
          <w:sz w:val="22"/>
          <w:szCs w:val="22"/>
        </w:rPr>
        <w:t xml:space="preserve">in </w:t>
      </w:r>
      <w:r>
        <w:rPr>
          <w:b/>
          <w:sz w:val="22"/>
          <w:szCs w:val="22"/>
        </w:rPr>
        <w:t>2023/24</w:t>
      </w:r>
    </w:p>
    <w:p w:rsidR="003F5079" w:rsidRDefault="003F5079" w:rsidP="00DA6D07">
      <w:pPr>
        <w:jc w:val="both"/>
        <w:rPr>
          <w:color w:val="FF0000"/>
          <w:sz w:val="22"/>
          <w:szCs w:val="22"/>
        </w:rPr>
      </w:pPr>
    </w:p>
    <w:p w:rsidR="00E142ED" w:rsidRDefault="004447B4" w:rsidP="00361042">
      <w:pPr>
        <w:jc w:val="both"/>
        <w:rPr>
          <w:sz w:val="22"/>
          <w:szCs w:val="22"/>
        </w:rPr>
      </w:pPr>
      <w:r w:rsidRPr="00141EB1">
        <w:rPr>
          <w:sz w:val="22"/>
          <w:szCs w:val="22"/>
        </w:rPr>
        <w:t>11</w:t>
      </w:r>
      <w:r w:rsidR="00DA6D07" w:rsidRPr="00141EB1">
        <w:rPr>
          <w:sz w:val="22"/>
          <w:szCs w:val="22"/>
        </w:rPr>
        <w:t>.1</w:t>
      </w:r>
      <w:r w:rsidR="00141EB1">
        <w:rPr>
          <w:sz w:val="22"/>
          <w:szCs w:val="22"/>
        </w:rPr>
        <w:t xml:space="preserve"> Our SEND Funding Floor is an additional targeted SEND funding mechanism.</w:t>
      </w:r>
      <w:r w:rsidR="00DA6D07" w:rsidRPr="00141EB1">
        <w:rPr>
          <w:sz w:val="22"/>
          <w:szCs w:val="22"/>
        </w:rPr>
        <w:t xml:space="preserve"> </w:t>
      </w:r>
      <w:r w:rsidR="00361042">
        <w:rPr>
          <w:sz w:val="22"/>
          <w:szCs w:val="22"/>
        </w:rPr>
        <w:t xml:space="preserve">How this mechanism works currently </w:t>
      </w:r>
      <w:r w:rsidR="006367EB">
        <w:rPr>
          <w:sz w:val="22"/>
          <w:szCs w:val="22"/>
        </w:rPr>
        <w:t>is explained</w:t>
      </w:r>
      <w:r w:rsidR="00361042">
        <w:rPr>
          <w:sz w:val="22"/>
          <w:szCs w:val="22"/>
        </w:rPr>
        <w:t xml:space="preserve"> in Appendix 3. </w:t>
      </w:r>
    </w:p>
    <w:p w:rsidR="00E142ED" w:rsidRDefault="00E142ED" w:rsidP="00361042">
      <w:pPr>
        <w:jc w:val="both"/>
        <w:rPr>
          <w:sz w:val="22"/>
          <w:szCs w:val="22"/>
        </w:rPr>
      </w:pPr>
    </w:p>
    <w:p w:rsidR="00E142ED" w:rsidRDefault="00E142ED" w:rsidP="00361042">
      <w:pPr>
        <w:jc w:val="both"/>
        <w:rPr>
          <w:sz w:val="22"/>
          <w:szCs w:val="22"/>
        </w:rPr>
      </w:pPr>
      <w:r>
        <w:rPr>
          <w:sz w:val="22"/>
          <w:szCs w:val="22"/>
        </w:rPr>
        <w:t>11.2 When we initially</w:t>
      </w:r>
      <w:r w:rsidR="009365C9">
        <w:rPr>
          <w:sz w:val="22"/>
          <w:szCs w:val="22"/>
        </w:rPr>
        <w:t xml:space="preserve"> introduced our current</w:t>
      </w:r>
      <w:r>
        <w:rPr>
          <w:sz w:val="22"/>
          <w:szCs w:val="22"/>
        </w:rPr>
        <w:t xml:space="preserve"> Floor, at April 2021, we stated that this was for a year in trial, pending further review. When we decided to continue</w:t>
      </w:r>
      <w:r w:rsidR="00711777">
        <w:rPr>
          <w:sz w:val="22"/>
          <w:szCs w:val="22"/>
        </w:rPr>
        <w:t xml:space="preserve"> </w:t>
      </w:r>
      <w:r w:rsidR="009365C9">
        <w:rPr>
          <w:sz w:val="22"/>
          <w:szCs w:val="22"/>
        </w:rPr>
        <w:t>this</w:t>
      </w:r>
      <w:r>
        <w:rPr>
          <w:sz w:val="22"/>
          <w:szCs w:val="22"/>
        </w:rPr>
        <w:t xml:space="preserve"> Floor in 2022/23,</w:t>
      </w:r>
      <w:r w:rsidR="001B0942">
        <w:rPr>
          <w:sz w:val="22"/>
          <w:szCs w:val="22"/>
        </w:rPr>
        <w:t xml:space="preserve"> unchanged,</w:t>
      </w:r>
      <w:r>
        <w:rPr>
          <w:sz w:val="22"/>
          <w:szCs w:val="22"/>
        </w:rPr>
        <w:t xml:space="preserve"> we again stated that the Floor’s use </w:t>
      </w:r>
      <w:r w:rsidR="00E133D5">
        <w:rPr>
          <w:sz w:val="22"/>
          <w:szCs w:val="22"/>
        </w:rPr>
        <w:t>in 2023/24</w:t>
      </w:r>
      <w:r>
        <w:rPr>
          <w:sz w:val="22"/>
          <w:szCs w:val="22"/>
        </w:rPr>
        <w:t xml:space="preserve"> would be </w:t>
      </w:r>
      <w:r w:rsidR="0042455F">
        <w:rPr>
          <w:sz w:val="22"/>
          <w:szCs w:val="22"/>
        </w:rPr>
        <w:t>subject to</w:t>
      </w:r>
      <w:r>
        <w:rPr>
          <w:sz w:val="22"/>
          <w:szCs w:val="22"/>
        </w:rPr>
        <w:t xml:space="preserve"> further review. </w:t>
      </w:r>
    </w:p>
    <w:p w:rsidR="00361042" w:rsidRDefault="00361042" w:rsidP="00DA6D07">
      <w:pPr>
        <w:jc w:val="both"/>
        <w:rPr>
          <w:sz w:val="22"/>
          <w:szCs w:val="22"/>
        </w:rPr>
      </w:pPr>
    </w:p>
    <w:p w:rsidR="00E91AF6" w:rsidRPr="00141EB1" w:rsidRDefault="00A64334" w:rsidP="00DA6D07">
      <w:pPr>
        <w:jc w:val="both"/>
        <w:rPr>
          <w:sz w:val="22"/>
          <w:szCs w:val="22"/>
        </w:rPr>
      </w:pPr>
      <w:r>
        <w:rPr>
          <w:sz w:val="22"/>
          <w:szCs w:val="22"/>
        </w:rPr>
        <w:t>11.3</w:t>
      </w:r>
      <w:r w:rsidR="00141EB1">
        <w:rPr>
          <w:sz w:val="22"/>
          <w:szCs w:val="22"/>
        </w:rPr>
        <w:t xml:space="preserve"> </w:t>
      </w:r>
      <w:r w:rsidR="001B0942">
        <w:rPr>
          <w:sz w:val="22"/>
          <w:szCs w:val="22"/>
        </w:rPr>
        <w:t>Our</w:t>
      </w:r>
      <w:r w:rsidR="00E91AF6" w:rsidRPr="00141EB1">
        <w:rPr>
          <w:sz w:val="22"/>
          <w:szCs w:val="22"/>
        </w:rPr>
        <w:t xml:space="preserve"> </w:t>
      </w:r>
      <w:r w:rsidR="00D17563" w:rsidRPr="00141EB1">
        <w:rPr>
          <w:sz w:val="22"/>
          <w:szCs w:val="22"/>
        </w:rPr>
        <w:t xml:space="preserve">EHCP </w:t>
      </w:r>
      <w:r w:rsidR="00E91AF6" w:rsidRPr="00141EB1">
        <w:rPr>
          <w:sz w:val="22"/>
          <w:szCs w:val="22"/>
        </w:rPr>
        <w:t>Banded Model</w:t>
      </w:r>
      <w:r w:rsidR="00DB2B1B" w:rsidRPr="00141EB1">
        <w:rPr>
          <w:sz w:val="22"/>
          <w:szCs w:val="22"/>
        </w:rPr>
        <w:t xml:space="preserve"> (and the national high needs funding system)</w:t>
      </w:r>
      <w:r w:rsidR="00E91AF6" w:rsidRPr="00141EB1">
        <w:rPr>
          <w:sz w:val="22"/>
          <w:szCs w:val="22"/>
        </w:rPr>
        <w:t xml:space="preserve"> works on the basis that mainstream</w:t>
      </w:r>
      <w:r w:rsidR="00D17563" w:rsidRPr="00141EB1">
        <w:rPr>
          <w:sz w:val="22"/>
          <w:szCs w:val="22"/>
        </w:rPr>
        <w:t xml:space="preserve"> primary and secondary</w:t>
      </w:r>
      <w:r w:rsidR="00E91AF6" w:rsidRPr="00141EB1">
        <w:rPr>
          <w:sz w:val="22"/>
          <w:szCs w:val="22"/>
        </w:rPr>
        <w:t xml:space="preserve"> schools and academies are required to contribute £6,000 (Element 2)</w:t>
      </w:r>
      <w:r w:rsidR="00CF01D6" w:rsidRPr="00141EB1">
        <w:rPr>
          <w:sz w:val="22"/>
          <w:szCs w:val="22"/>
        </w:rPr>
        <w:t>, from their already delegated formula funding derived budgets,</w:t>
      </w:r>
      <w:r w:rsidR="00E91AF6" w:rsidRPr="00141EB1">
        <w:rPr>
          <w:sz w:val="22"/>
          <w:szCs w:val="22"/>
        </w:rPr>
        <w:t xml:space="preserve"> to the cost of support for pupils with EHCPs on their rolls.</w:t>
      </w:r>
      <w:r w:rsidR="00D17563" w:rsidRPr="00141EB1">
        <w:rPr>
          <w:sz w:val="22"/>
          <w:szCs w:val="22"/>
        </w:rPr>
        <w:t xml:space="preserve"> </w:t>
      </w:r>
      <w:r w:rsidR="00593662" w:rsidRPr="00141EB1">
        <w:rPr>
          <w:sz w:val="22"/>
          <w:szCs w:val="22"/>
        </w:rPr>
        <w:t>M</w:t>
      </w:r>
      <w:r w:rsidR="00D17563" w:rsidRPr="00141EB1">
        <w:rPr>
          <w:sz w:val="22"/>
          <w:szCs w:val="22"/>
        </w:rPr>
        <w:t xml:space="preserve">ainstream schools and academies must also use these delegated budgets to </w:t>
      </w:r>
      <w:r w:rsidR="00593662" w:rsidRPr="00141EB1">
        <w:rPr>
          <w:sz w:val="22"/>
          <w:szCs w:val="22"/>
        </w:rPr>
        <w:t xml:space="preserve">support </w:t>
      </w:r>
      <w:r w:rsidR="00D17563" w:rsidRPr="00141EB1">
        <w:rPr>
          <w:sz w:val="22"/>
          <w:szCs w:val="22"/>
        </w:rPr>
        <w:t xml:space="preserve">the wider SEND and alternative </w:t>
      </w:r>
      <w:r w:rsidR="00DB2B1B" w:rsidRPr="00141EB1">
        <w:rPr>
          <w:sz w:val="22"/>
          <w:szCs w:val="22"/>
        </w:rPr>
        <w:t>provision needs of all their pupils on roll.</w:t>
      </w:r>
      <w:r w:rsidR="00F66839">
        <w:rPr>
          <w:sz w:val="22"/>
          <w:szCs w:val="22"/>
        </w:rPr>
        <w:t xml:space="preserve"> </w:t>
      </w:r>
      <w:r>
        <w:rPr>
          <w:sz w:val="22"/>
          <w:szCs w:val="22"/>
        </w:rPr>
        <w:t>Targeted SEND funding mechanism are intended</w:t>
      </w:r>
      <w:r w:rsidR="006367EB">
        <w:rPr>
          <w:sz w:val="22"/>
          <w:szCs w:val="22"/>
        </w:rPr>
        <w:t xml:space="preserve"> / permitted</w:t>
      </w:r>
      <w:r>
        <w:rPr>
          <w:sz w:val="22"/>
          <w:szCs w:val="22"/>
        </w:rPr>
        <w:t xml:space="preserve"> to be used where a school’s or an academy’</w:t>
      </w:r>
      <w:r w:rsidR="00711777">
        <w:rPr>
          <w:sz w:val="22"/>
          <w:szCs w:val="22"/>
        </w:rPr>
        <w:t xml:space="preserve">s level of SEND </w:t>
      </w:r>
      <w:r w:rsidR="00F66839">
        <w:rPr>
          <w:sz w:val="22"/>
          <w:szCs w:val="22"/>
        </w:rPr>
        <w:t>is</w:t>
      </w:r>
      <w:r>
        <w:rPr>
          <w:sz w:val="22"/>
          <w:szCs w:val="22"/>
        </w:rPr>
        <w:t xml:space="preserve"> </w:t>
      </w:r>
      <w:r w:rsidR="0074239D">
        <w:rPr>
          <w:sz w:val="22"/>
          <w:szCs w:val="22"/>
        </w:rPr>
        <w:t>‘disproportionate</w:t>
      </w:r>
      <w:r w:rsidR="006169DC">
        <w:rPr>
          <w:sz w:val="22"/>
          <w:szCs w:val="22"/>
        </w:rPr>
        <w:t xml:space="preserve">’ (compared with other schools and academies) and their </w:t>
      </w:r>
      <w:r w:rsidR="00A64285">
        <w:rPr>
          <w:sz w:val="22"/>
          <w:szCs w:val="22"/>
        </w:rPr>
        <w:t>already delegated</w:t>
      </w:r>
      <w:r w:rsidR="006169DC">
        <w:rPr>
          <w:sz w:val="22"/>
          <w:szCs w:val="22"/>
        </w:rPr>
        <w:t xml:space="preserve"> formula funding is evidenced to be insufficient to meet</w:t>
      </w:r>
      <w:r>
        <w:rPr>
          <w:sz w:val="22"/>
          <w:szCs w:val="22"/>
        </w:rPr>
        <w:t xml:space="preserve"> their</w:t>
      </w:r>
      <w:r w:rsidR="00E65B96">
        <w:rPr>
          <w:sz w:val="22"/>
          <w:szCs w:val="22"/>
        </w:rPr>
        <w:t xml:space="preserve"> </w:t>
      </w:r>
      <w:r w:rsidR="003871B6">
        <w:rPr>
          <w:sz w:val="22"/>
          <w:szCs w:val="22"/>
        </w:rPr>
        <w:t xml:space="preserve">additional </w:t>
      </w:r>
      <w:r>
        <w:rPr>
          <w:sz w:val="22"/>
          <w:szCs w:val="22"/>
        </w:rPr>
        <w:t xml:space="preserve">costs. </w:t>
      </w:r>
      <w:r w:rsidR="00F66839">
        <w:rPr>
          <w:sz w:val="22"/>
          <w:szCs w:val="22"/>
        </w:rPr>
        <w:t>The DfE’s current guidance states that, “</w:t>
      </w:r>
      <w:r w:rsidR="00F66839" w:rsidRPr="009867AE">
        <w:rPr>
          <w:sz w:val="22"/>
          <w:szCs w:val="22"/>
        </w:rPr>
        <w:t>Local authorities should have a formula or other method, based on their experience of distributing additional funding to their mai</w:t>
      </w:r>
      <w:r w:rsidR="00F66839">
        <w:rPr>
          <w:sz w:val="22"/>
          <w:szCs w:val="22"/>
        </w:rPr>
        <w:t>ntained schools and academies…</w:t>
      </w:r>
      <w:r w:rsidR="00F66839" w:rsidRPr="009867AE">
        <w:rPr>
          <w:sz w:val="22"/>
          <w:szCs w:val="22"/>
        </w:rPr>
        <w:t xml:space="preserve">In all cases, the distribution methodology should be simple and </w:t>
      </w:r>
      <w:r w:rsidR="00F66839" w:rsidRPr="00E65B96">
        <w:rPr>
          <w:sz w:val="22"/>
          <w:szCs w:val="22"/>
        </w:rPr>
        <w:t>transparent, and devised so that additional funds are targeted only to a minority of schools which have particular challenges because of their disproportionate number of pupils with SEND or high needs, or their characteristics.</w:t>
      </w:r>
      <w:r w:rsidR="00A64285" w:rsidRPr="00E65B96">
        <w:rPr>
          <w:sz w:val="22"/>
          <w:szCs w:val="22"/>
        </w:rPr>
        <w:t>”</w:t>
      </w:r>
    </w:p>
    <w:p w:rsidR="00E91AF6" w:rsidRPr="004447B4" w:rsidRDefault="00E91AF6" w:rsidP="00DA6D07">
      <w:pPr>
        <w:jc w:val="both"/>
        <w:rPr>
          <w:color w:val="FF0000"/>
          <w:sz w:val="22"/>
          <w:szCs w:val="22"/>
        </w:rPr>
      </w:pPr>
    </w:p>
    <w:p w:rsidR="00141EB1" w:rsidRDefault="004447B4" w:rsidP="00DA6D07">
      <w:pPr>
        <w:jc w:val="both"/>
        <w:rPr>
          <w:sz w:val="22"/>
          <w:szCs w:val="22"/>
        </w:rPr>
      </w:pPr>
      <w:r w:rsidRPr="00141EB1">
        <w:rPr>
          <w:sz w:val="22"/>
          <w:szCs w:val="22"/>
        </w:rPr>
        <w:t>11</w:t>
      </w:r>
      <w:r w:rsidR="00A64334">
        <w:rPr>
          <w:sz w:val="22"/>
          <w:szCs w:val="22"/>
        </w:rPr>
        <w:t>.4</w:t>
      </w:r>
      <w:r w:rsidR="00141EB1" w:rsidRPr="00141EB1">
        <w:rPr>
          <w:sz w:val="22"/>
          <w:szCs w:val="22"/>
        </w:rPr>
        <w:t xml:space="preserve"> In</w:t>
      </w:r>
      <w:r w:rsidR="00D17563" w:rsidRPr="00141EB1">
        <w:rPr>
          <w:sz w:val="22"/>
          <w:szCs w:val="22"/>
        </w:rPr>
        <w:t xml:space="preserve"> </w:t>
      </w:r>
      <w:r w:rsidR="00141EB1" w:rsidRPr="00141EB1">
        <w:rPr>
          <w:sz w:val="22"/>
          <w:szCs w:val="22"/>
        </w:rPr>
        <w:t xml:space="preserve">our </w:t>
      </w:r>
      <w:r w:rsidR="00D17563" w:rsidRPr="00141EB1">
        <w:rPr>
          <w:sz w:val="22"/>
          <w:szCs w:val="22"/>
        </w:rPr>
        <w:t>consultation document</w:t>
      </w:r>
      <w:r w:rsidR="00141EB1" w:rsidRPr="00141EB1">
        <w:rPr>
          <w:sz w:val="22"/>
          <w:szCs w:val="22"/>
        </w:rPr>
        <w:t xml:space="preserve">s, that have been published in the last 2 years, </w:t>
      </w:r>
      <w:r w:rsidR="00DB2B1B" w:rsidRPr="00141EB1">
        <w:rPr>
          <w:sz w:val="22"/>
          <w:szCs w:val="22"/>
        </w:rPr>
        <w:t xml:space="preserve">we </w:t>
      </w:r>
      <w:r w:rsidR="00141EB1" w:rsidRPr="00141EB1">
        <w:rPr>
          <w:sz w:val="22"/>
          <w:szCs w:val="22"/>
        </w:rPr>
        <w:t xml:space="preserve">have </w:t>
      </w:r>
      <w:r w:rsidR="00DB2B1B" w:rsidRPr="00141EB1">
        <w:rPr>
          <w:sz w:val="22"/>
          <w:szCs w:val="22"/>
        </w:rPr>
        <w:t>d</w:t>
      </w:r>
      <w:r w:rsidR="00A64285">
        <w:rPr>
          <w:sz w:val="22"/>
          <w:szCs w:val="22"/>
        </w:rPr>
        <w:t>iscussed the increased</w:t>
      </w:r>
      <w:r w:rsidR="00141EB1" w:rsidRPr="00141EB1">
        <w:rPr>
          <w:sz w:val="22"/>
          <w:szCs w:val="22"/>
        </w:rPr>
        <w:t xml:space="preserve"> </w:t>
      </w:r>
      <w:r w:rsidR="0078088C">
        <w:rPr>
          <w:sz w:val="22"/>
          <w:szCs w:val="22"/>
        </w:rPr>
        <w:t xml:space="preserve">financial </w:t>
      </w:r>
      <w:r w:rsidR="00141EB1" w:rsidRPr="00141EB1">
        <w:rPr>
          <w:sz w:val="22"/>
          <w:szCs w:val="22"/>
        </w:rPr>
        <w:t>pressure on</w:t>
      </w:r>
      <w:r w:rsidR="00DB2B1B" w:rsidRPr="00141EB1">
        <w:rPr>
          <w:sz w:val="22"/>
          <w:szCs w:val="22"/>
        </w:rPr>
        <w:t xml:space="preserve"> mainstream</w:t>
      </w:r>
      <w:r w:rsidR="00D17563" w:rsidRPr="00141EB1">
        <w:rPr>
          <w:sz w:val="22"/>
          <w:szCs w:val="22"/>
        </w:rPr>
        <w:t xml:space="preserve"> school</w:t>
      </w:r>
      <w:r w:rsidR="00DB2B1B" w:rsidRPr="00141EB1">
        <w:rPr>
          <w:sz w:val="22"/>
          <w:szCs w:val="22"/>
        </w:rPr>
        <w:t xml:space="preserve"> and academy</w:t>
      </w:r>
      <w:r w:rsidR="00D17563" w:rsidRPr="00141EB1">
        <w:rPr>
          <w:sz w:val="22"/>
          <w:szCs w:val="22"/>
        </w:rPr>
        <w:t xml:space="preserve"> </w:t>
      </w:r>
      <w:r w:rsidR="00DB2B1B" w:rsidRPr="00141EB1">
        <w:rPr>
          <w:sz w:val="22"/>
          <w:szCs w:val="22"/>
        </w:rPr>
        <w:t xml:space="preserve">delegated </w:t>
      </w:r>
      <w:r w:rsidR="00D17563" w:rsidRPr="00141EB1">
        <w:rPr>
          <w:sz w:val="22"/>
          <w:szCs w:val="22"/>
        </w:rPr>
        <w:t>budgets</w:t>
      </w:r>
      <w:r w:rsidR="00A64285">
        <w:rPr>
          <w:sz w:val="22"/>
          <w:szCs w:val="22"/>
        </w:rPr>
        <w:t xml:space="preserve">, </w:t>
      </w:r>
      <w:r w:rsidR="00D17563" w:rsidRPr="00141EB1">
        <w:rPr>
          <w:sz w:val="22"/>
          <w:szCs w:val="22"/>
        </w:rPr>
        <w:t xml:space="preserve">as the numbers of pupils </w:t>
      </w:r>
      <w:r w:rsidR="00141EB1" w:rsidRPr="00141EB1">
        <w:rPr>
          <w:sz w:val="22"/>
          <w:szCs w:val="22"/>
        </w:rPr>
        <w:t xml:space="preserve">in Bradford </w:t>
      </w:r>
      <w:r w:rsidR="007633FF">
        <w:rPr>
          <w:sz w:val="22"/>
          <w:szCs w:val="22"/>
        </w:rPr>
        <w:t>with SEND (and EHCPs)</w:t>
      </w:r>
      <w:r w:rsidR="00D17563" w:rsidRPr="00141EB1">
        <w:rPr>
          <w:sz w:val="22"/>
          <w:szCs w:val="22"/>
        </w:rPr>
        <w:t xml:space="preserve"> that are educated in mainstream settings continues to grow. We </w:t>
      </w:r>
      <w:r w:rsidR="00141EB1" w:rsidRPr="00141EB1">
        <w:rPr>
          <w:sz w:val="22"/>
          <w:szCs w:val="22"/>
        </w:rPr>
        <w:t xml:space="preserve">have </w:t>
      </w:r>
      <w:r w:rsidR="00D17563" w:rsidRPr="00141EB1">
        <w:rPr>
          <w:sz w:val="22"/>
          <w:szCs w:val="22"/>
        </w:rPr>
        <w:t xml:space="preserve">also </w:t>
      </w:r>
      <w:r w:rsidR="00DB2B1B" w:rsidRPr="00141EB1">
        <w:rPr>
          <w:sz w:val="22"/>
          <w:szCs w:val="22"/>
        </w:rPr>
        <w:t>discussed additional targeted funding</w:t>
      </w:r>
      <w:r w:rsidR="00593662" w:rsidRPr="00141EB1">
        <w:rPr>
          <w:sz w:val="22"/>
          <w:szCs w:val="22"/>
        </w:rPr>
        <w:t xml:space="preserve"> mechanisms</w:t>
      </w:r>
      <w:r w:rsidR="00141EB1" w:rsidRPr="00141EB1">
        <w:rPr>
          <w:sz w:val="22"/>
          <w:szCs w:val="22"/>
        </w:rPr>
        <w:t xml:space="preserve"> to support this pressure</w:t>
      </w:r>
      <w:r w:rsidR="00361042">
        <w:rPr>
          <w:sz w:val="22"/>
          <w:szCs w:val="22"/>
        </w:rPr>
        <w:t>,</w:t>
      </w:r>
      <w:r w:rsidR="00DB2B1B" w:rsidRPr="00141EB1">
        <w:rPr>
          <w:sz w:val="22"/>
          <w:szCs w:val="22"/>
        </w:rPr>
        <w:t xml:space="preserve"> in the context </w:t>
      </w:r>
      <w:r w:rsidR="00D17563" w:rsidRPr="00141EB1">
        <w:rPr>
          <w:sz w:val="22"/>
          <w:szCs w:val="22"/>
        </w:rPr>
        <w:t>the DfE’</w:t>
      </w:r>
      <w:r w:rsidR="00DB2B1B" w:rsidRPr="00141EB1">
        <w:rPr>
          <w:sz w:val="22"/>
          <w:szCs w:val="22"/>
        </w:rPr>
        <w:t xml:space="preserve">s national </w:t>
      </w:r>
      <w:r w:rsidR="00141EB1" w:rsidRPr="00141EB1">
        <w:rPr>
          <w:sz w:val="22"/>
          <w:szCs w:val="22"/>
        </w:rPr>
        <w:t>SEND Revie</w:t>
      </w:r>
      <w:r w:rsidR="007633FF">
        <w:rPr>
          <w:sz w:val="22"/>
          <w:szCs w:val="22"/>
        </w:rPr>
        <w:t>w, which we anticipate will</w:t>
      </w:r>
      <w:r w:rsidR="00141EB1" w:rsidRPr="00141EB1">
        <w:rPr>
          <w:sz w:val="22"/>
          <w:szCs w:val="22"/>
        </w:rPr>
        <w:t xml:space="preserve"> </w:t>
      </w:r>
      <w:r w:rsidR="00785289">
        <w:rPr>
          <w:sz w:val="22"/>
          <w:szCs w:val="22"/>
        </w:rPr>
        <w:t xml:space="preserve">further </w:t>
      </w:r>
      <w:r w:rsidR="00141EB1" w:rsidRPr="00141EB1">
        <w:rPr>
          <w:sz w:val="22"/>
          <w:szCs w:val="22"/>
        </w:rPr>
        <w:t>prescribe how such mechanisms operate in the future</w:t>
      </w:r>
      <w:r w:rsidR="00A64285">
        <w:rPr>
          <w:sz w:val="22"/>
          <w:szCs w:val="22"/>
        </w:rPr>
        <w:t>.</w:t>
      </w:r>
      <w:r w:rsidR="00141EB1" w:rsidRPr="00141EB1">
        <w:rPr>
          <w:sz w:val="22"/>
          <w:szCs w:val="22"/>
        </w:rPr>
        <w:t xml:space="preserve"> As stated in section 1, the </w:t>
      </w:r>
      <w:r w:rsidR="00141EB1">
        <w:rPr>
          <w:sz w:val="22"/>
          <w:szCs w:val="22"/>
        </w:rPr>
        <w:t xml:space="preserve">DfE’s national </w:t>
      </w:r>
      <w:r w:rsidR="00141EB1" w:rsidRPr="00141EB1">
        <w:rPr>
          <w:sz w:val="22"/>
          <w:szCs w:val="22"/>
        </w:rPr>
        <w:t>Review focus</w:t>
      </w:r>
      <w:r w:rsidR="00A64285">
        <w:rPr>
          <w:sz w:val="22"/>
          <w:szCs w:val="22"/>
        </w:rPr>
        <w:t>es very strongly on supporting</w:t>
      </w:r>
      <w:r w:rsidR="00141EB1" w:rsidRPr="00141EB1">
        <w:rPr>
          <w:sz w:val="22"/>
          <w:szCs w:val="22"/>
        </w:rPr>
        <w:t xml:space="preserve"> the inclusion of children and young people with additional needs in mainstream settings, and on universal provision / early intervention to support their needs. The Review aims to reduce the use of / reliance on Education Health and Care Plans (EHCPs), as well and on specialist places (when needs can be appropriately met in mainstream). In driving this, and in seeking greater consistency, there will be clearer guidance on what settings must do (what responsibilities they have within universal provision) and when and in what circumstances to use the EHCP and alternative provision routes of support.</w:t>
      </w:r>
    </w:p>
    <w:p w:rsidR="00A64285" w:rsidRDefault="00A64285" w:rsidP="00DA6D07">
      <w:pPr>
        <w:jc w:val="both"/>
        <w:rPr>
          <w:sz w:val="22"/>
          <w:szCs w:val="22"/>
        </w:rPr>
      </w:pPr>
    </w:p>
    <w:p w:rsidR="00361042" w:rsidRDefault="00A64285" w:rsidP="00DA6D07">
      <w:pPr>
        <w:jc w:val="both"/>
        <w:rPr>
          <w:sz w:val="22"/>
          <w:szCs w:val="22"/>
        </w:rPr>
      </w:pPr>
      <w:r>
        <w:rPr>
          <w:sz w:val="22"/>
          <w:szCs w:val="22"/>
        </w:rPr>
        <w:t>11.5 In the context of the</w:t>
      </w:r>
      <w:r w:rsidR="0097471C">
        <w:rPr>
          <w:sz w:val="22"/>
          <w:szCs w:val="22"/>
        </w:rPr>
        <w:t xml:space="preserve"> national SEND</w:t>
      </w:r>
      <w:r>
        <w:rPr>
          <w:sz w:val="22"/>
          <w:szCs w:val="22"/>
        </w:rPr>
        <w:t xml:space="preserve"> R</w:t>
      </w:r>
      <w:r w:rsidR="0078088C">
        <w:rPr>
          <w:sz w:val="22"/>
          <w:szCs w:val="22"/>
        </w:rPr>
        <w:t>eview, there are two</w:t>
      </w:r>
      <w:r>
        <w:rPr>
          <w:sz w:val="22"/>
          <w:szCs w:val="22"/>
        </w:rPr>
        <w:t xml:space="preserve"> issues</w:t>
      </w:r>
      <w:r w:rsidR="0097471C">
        <w:rPr>
          <w:sz w:val="22"/>
          <w:szCs w:val="22"/>
        </w:rPr>
        <w:t xml:space="preserve"> / matters to consider</w:t>
      </w:r>
      <w:r>
        <w:rPr>
          <w:sz w:val="22"/>
          <w:szCs w:val="22"/>
        </w:rPr>
        <w:t xml:space="preserve"> with our current </w:t>
      </w:r>
      <w:r w:rsidR="0097471C">
        <w:rPr>
          <w:sz w:val="22"/>
          <w:szCs w:val="22"/>
        </w:rPr>
        <w:t xml:space="preserve">SEND </w:t>
      </w:r>
      <w:r>
        <w:rPr>
          <w:sz w:val="22"/>
          <w:szCs w:val="22"/>
        </w:rPr>
        <w:t>Funding F</w:t>
      </w:r>
      <w:r w:rsidR="007633FF">
        <w:rPr>
          <w:sz w:val="22"/>
          <w:szCs w:val="22"/>
        </w:rPr>
        <w:t>loor, when</w:t>
      </w:r>
      <w:r w:rsidR="006C2CCF">
        <w:rPr>
          <w:sz w:val="22"/>
          <w:szCs w:val="22"/>
        </w:rPr>
        <w:t xml:space="preserve"> reviewing our arrangements for 2023/24.</w:t>
      </w:r>
    </w:p>
    <w:p w:rsidR="00E142ED" w:rsidRDefault="00E142ED" w:rsidP="00DA6D07">
      <w:pPr>
        <w:jc w:val="both"/>
        <w:rPr>
          <w:sz w:val="22"/>
          <w:szCs w:val="22"/>
        </w:rPr>
      </w:pPr>
    </w:p>
    <w:p w:rsidR="0030537D" w:rsidRDefault="00A64285" w:rsidP="004358D0">
      <w:pPr>
        <w:pStyle w:val="ListParagraph"/>
        <w:numPr>
          <w:ilvl w:val="0"/>
          <w:numId w:val="38"/>
        </w:numPr>
        <w:jc w:val="both"/>
        <w:rPr>
          <w:sz w:val="22"/>
          <w:szCs w:val="22"/>
        </w:rPr>
      </w:pPr>
      <w:r>
        <w:rPr>
          <w:sz w:val="22"/>
          <w:szCs w:val="22"/>
        </w:rPr>
        <w:t>Firstly,</w:t>
      </w:r>
      <w:r w:rsidR="00BC1636">
        <w:rPr>
          <w:sz w:val="22"/>
          <w:szCs w:val="22"/>
        </w:rPr>
        <w:t xml:space="preserve"> the scope of our</w:t>
      </w:r>
      <w:r w:rsidR="009D41E5">
        <w:rPr>
          <w:sz w:val="22"/>
          <w:szCs w:val="22"/>
        </w:rPr>
        <w:t xml:space="preserve"> </w:t>
      </w:r>
      <w:r w:rsidR="00E142ED" w:rsidRPr="00A64285">
        <w:rPr>
          <w:sz w:val="22"/>
          <w:szCs w:val="22"/>
        </w:rPr>
        <w:t xml:space="preserve">SEND </w:t>
      </w:r>
      <w:r>
        <w:rPr>
          <w:sz w:val="22"/>
          <w:szCs w:val="22"/>
        </w:rPr>
        <w:t>Funding Floor</w:t>
      </w:r>
      <w:r w:rsidR="00E142ED" w:rsidRPr="00A64285">
        <w:rPr>
          <w:sz w:val="22"/>
          <w:szCs w:val="22"/>
        </w:rPr>
        <w:t xml:space="preserve"> </w:t>
      </w:r>
      <w:r w:rsidR="00C11CD1">
        <w:rPr>
          <w:sz w:val="22"/>
          <w:szCs w:val="22"/>
        </w:rPr>
        <w:t>is</w:t>
      </w:r>
      <w:r>
        <w:rPr>
          <w:sz w:val="22"/>
          <w:szCs w:val="22"/>
        </w:rPr>
        <w:t xml:space="preserve"> ‘</w:t>
      </w:r>
      <w:r w:rsidR="00E142ED" w:rsidRPr="00A64285">
        <w:rPr>
          <w:sz w:val="22"/>
          <w:szCs w:val="22"/>
        </w:rPr>
        <w:t>more generous</w:t>
      </w:r>
      <w:r>
        <w:rPr>
          <w:sz w:val="22"/>
          <w:szCs w:val="22"/>
        </w:rPr>
        <w:t>’ than the DfE’s guidance (“</w:t>
      </w:r>
      <w:r w:rsidRPr="00A64285">
        <w:rPr>
          <w:i/>
          <w:sz w:val="22"/>
          <w:szCs w:val="22"/>
        </w:rPr>
        <w:t xml:space="preserve">devised so that additional funds are targeted </w:t>
      </w:r>
      <w:r w:rsidRPr="00A8009D">
        <w:rPr>
          <w:i/>
          <w:sz w:val="22"/>
          <w:szCs w:val="22"/>
        </w:rPr>
        <w:t>only to a minority of schools which have particular challenges</w:t>
      </w:r>
      <w:r>
        <w:rPr>
          <w:i/>
          <w:sz w:val="22"/>
          <w:szCs w:val="22"/>
        </w:rPr>
        <w:t>”)</w:t>
      </w:r>
      <w:r>
        <w:rPr>
          <w:sz w:val="22"/>
          <w:szCs w:val="22"/>
        </w:rPr>
        <w:t>. Only 31 (out of 152) local authorities declared within their Authority Pro-forma Tool (APT) returns to the Education and Skills Funding Agency (EFSA) that they operate any form of additional targeted SEND funding mechanism in the 2022/23 fina</w:t>
      </w:r>
      <w:r w:rsidR="0097471C">
        <w:rPr>
          <w:sz w:val="22"/>
          <w:szCs w:val="22"/>
        </w:rPr>
        <w:t xml:space="preserve">ncial year. </w:t>
      </w:r>
      <w:r>
        <w:rPr>
          <w:sz w:val="22"/>
          <w:szCs w:val="22"/>
        </w:rPr>
        <w:t>In 2020/21 (prior to the implementation</w:t>
      </w:r>
      <w:r w:rsidR="004358D0">
        <w:rPr>
          <w:sz w:val="22"/>
          <w:szCs w:val="22"/>
        </w:rPr>
        <w:t xml:space="preserve"> of our current</w:t>
      </w:r>
      <w:r w:rsidR="005A3A32">
        <w:rPr>
          <w:sz w:val="22"/>
          <w:szCs w:val="22"/>
        </w:rPr>
        <w:t xml:space="preserve"> Floor</w:t>
      </w:r>
      <w:r>
        <w:rPr>
          <w:sz w:val="22"/>
          <w:szCs w:val="22"/>
        </w:rPr>
        <w:t>), we allocated £0.481m in additional targeted SEND support funds</w:t>
      </w:r>
      <w:r w:rsidR="006C2CCF">
        <w:rPr>
          <w:sz w:val="22"/>
          <w:szCs w:val="22"/>
        </w:rPr>
        <w:t>, to 23% of schools / academies</w:t>
      </w:r>
      <w:r>
        <w:rPr>
          <w:sz w:val="22"/>
          <w:szCs w:val="22"/>
        </w:rPr>
        <w:t>. In 2021/22 (</w:t>
      </w:r>
      <w:r w:rsidR="004358D0">
        <w:rPr>
          <w:sz w:val="22"/>
          <w:szCs w:val="22"/>
        </w:rPr>
        <w:t>in the first year of our current</w:t>
      </w:r>
      <w:r>
        <w:rPr>
          <w:sz w:val="22"/>
          <w:szCs w:val="22"/>
        </w:rPr>
        <w:t xml:space="preserve"> mechanism)</w:t>
      </w:r>
      <w:r w:rsidR="0078088C">
        <w:rPr>
          <w:sz w:val="22"/>
          <w:szCs w:val="22"/>
        </w:rPr>
        <w:t>,</w:t>
      </w:r>
      <w:r>
        <w:rPr>
          <w:sz w:val="22"/>
          <w:szCs w:val="22"/>
        </w:rPr>
        <w:t xml:space="preserve"> we allocated £1.645m</w:t>
      </w:r>
      <w:r w:rsidR="006C2CCF">
        <w:rPr>
          <w:sz w:val="22"/>
          <w:szCs w:val="22"/>
        </w:rPr>
        <w:t xml:space="preserve"> to 57% of schools / academies</w:t>
      </w:r>
      <w:r>
        <w:rPr>
          <w:sz w:val="22"/>
          <w:szCs w:val="22"/>
        </w:rPr>
        <w:t>. At July 2022, the annual equivalent cost of our S</w:t>
      </w:r>
      <w:r w:rsidR="00803CC1">
        <w:rPr>
          <w:sz w:val="22"/>
          <w:szCs w:val="22"/>
        </w:rPr>
        <w:t>END Funding Floor in 2022/23 so far is</w:t>
      </w:r>
      <w:r>
        <w:rPr>
          <w:sz w:val="22"/>
          <w:szCs w:val="22"/>
        </w:rPr>
        <w:t xml:space="preserve"> £2.276m</w:t>
      </w:r>
      <w:r w:rsidR="0078088C">
        <w:rPr>
          <w:sz w:val="22"/>
          <w:szCs w:val="22"/>
        </w:rPr>
        <w:t xml:space="preserve">, to </w:t>
      </w:r>
      <w:r>
        <w:rPr>
          <w:sz w:val="22"/>
          <w:szCs w:val="22"/>
        </w:rPr>
        <w:t>53%</w:t>
      </w:r>
      <w:r w:rsidR="0030053D">
        <w:rPr>
          <w:sz w:val="22"/>
          <w:szCs w:val="22"/>
        </w:rPr>
        <w:t xml:space="preserve"> of schools / academies. As</w:t>
      </w:r>
      <w:r w:rsidR="0078088C">
        <w:rPr>
          <w:sz w:val="22"/>
          <w:szCs w:val="22"/>
        </w:rPr>
        <w:t xml:space="preserve"> these percentages</w:t>
      </w:r>
      <w:r w:rsidR="00C11CD1">
        <w:rPr>
          <w:sz w:val="22"/>
          <w:szCs w:val="22"/>
        </w:rPr>
        <w:t xml:space="preserve"> indicate</w:t>
      </w:r>
      <w:r w:rsidR="0078088C">
        <w:rPr>
          <w:sz w:val="22"/>
          <w:szCs w:val="22"/>
        </w:rPr>
        <w:t xml:space="preserve">, our </w:t>
      </w:r>
      <w:r w:rsidR="00C11CD1">
        <w:rPr>
          <w:sz w:val="22"/>
          <w:szCs w:val="22"/>
        </w:rPr>
        <w:t>Floor</w:t>
      </w:r>
      <w:r w:rsidR="0078088C">
        <w:rPr>
          <w:sz w:val="22"/>
          <w:szCs w:val="22"/>
        </w:rPr>
        <w:t xml:space="preserve"> currently allocates additional funding to more than </w:t>
      </w:r>
      <w:r w:rsidR="00765FD7">
        <w:rPr>
          <w:sz w:val="22"/>
          <w:szCs w:val="22"/>
        </w:rPr>
        <w:t>“</w:t>
      </w:r>
      <w:r>
        <w:rPr>
          <w:sz w:val="22"/>
          <w:szCs w:val="22"/>
        </w:rPr>
        <w:t>a minority of schools</w:t>
      </w:r>
      <w:r w:rsidR="0078088C">
        <w:rPr>
          <w:sz w:val="22"/>
          <w:szCs w:val="22"/>
        </w:rPr>
        <w:t xml:space="preserve"> with particular challenges</w:t>
      </w:r>
      <w:r w:rsidR="00765FD7">
        <w:rPr>
          <w:sz w:val="22"/>
          <w:szCs w:val="22"/>
        </w:rPr>
        <w:t>”</w:t>
      </w:r>
      <w:r>
        <w:rPr>
          <w:sz w:val="22"/>
          <w:szCs w:val="22"/>
        </w:rPr>
        <w:t>.</w:t>
      </w:r>
      <w:r w:rsidR="006C2CCF">
        <w:rPr>
          <w:sz w:val="22"/>
          <w:szCs w:val="22"/>
        </w:rPr>
        <w:t xml:space="preserve"> </w:t>
      </w:r>
      <w:r w:rsidR="00E021F5">
        <w:rPr>
          <w:sz w:val="22"/>
          <w:szCs w:val="22"/>
        </w:rPr>
        <w:t>These figures also highlight</w:t>
      </w:r>
      <w:r w:rsidR="00A8009D">
        <w:rPr>
          <w:sz w:val="22"/>
          <w:szCs w:val="22"/>
        </w:rPr>
        <w:t xml:space="preserve"> the significant growth in F</w:t>
      </w:r>
      <w:r w:rsidR="001E7641">
        <w:rPr>
          <w:sz w:val="22"/>
          <w:szCs w:val="22"/>
        </w:rPr>
        <w:t>loor spending</w:t>
      </w:r>
      <w:r w:rsidR="00A8009D">
        <w:rPr>
          <w:sz w:val="22"/>
          <w:szCs w:val="22"/>
        </w:rPr>
        <w:t xml:space="preserve"> over the last 2 financial years</w:t>
      </w:r>
      <w:r w:rsidR="0030053D">
        <w:rPr>
          <w:sz w:val="22"/>
          <w:szCs w:val="22"/>
        </w:rPr>
        <w:t>. We expect</w:t>
      </w:r>
      <w:r w:rsidR="00E021F5">
        <w:rPr>
          <w:sz w:val="22"/>
          <w:szCs w:val="22"/>
        </w:rPr>
        <w:t xml:space="preserve"> spending in 2022/23 to increase further</w:t>
      </w:r>
      <w:r w:rsidR="0030053D">
        <w:rPr>
          <w:sz w:val="22"/>
          <w:szCs w:val="22"/>
        </w:rPr>
        <w:t xml:space="preserve"> in the second half of this</w:t>
      </w:r>
      <w:r w:rsidR="00E021F5">
        <w:rPr>
          <w:sz w:val="22"/>
          <w:szCs w:val="22"/>
        </w:rPr>
        <w:t xml:space="preserve"> financial year</w:t>
      </w:r>
      <w:r w:rsidR="00A8009D">
        <w:rPr>
          <w:sz w:val="22"/>
          <w:szCs w:val="22"/>
        </w:rPr>
        <w:t xml:space="preserve">. </w:t>
      </w:r>
      <w:r w:rsidR="006C2CCF">
        <w:rPr>
          <w:sz w:val="22"/>
          <w:szCs w:val="22"/>
        </w:rPr>
        <w:t>This</w:t>
      </w:r>
      <w:r w:rsidR="00A8009D">
        <w:rPr>
          <w:sz w:val="22"/>
          <w:szCs w:val="22"/>
        </w:rPr>
        <w:t xml:space="preserve"> is one of the</w:t>
      </w:r>
      <w:r w:rsidR="006C2CCF">
        <w:rPr>
          <w:sz w:val="22"/>
          <w:szCs w:val="22"/>
        </w:rPr>
        <w:t xml:space="preserve"> significant aspect</w:t>
      </w:r>
      <w:r w:rsidR="00A8009D">
        <w:rPr>
          <w:sz w:val="22"/>
          <w:szCs w:val="22"/>
        </w:rPr>
        <w:t>s</w:t>
      </w:r>
      <w:r w:rsidR="006C2CCF">
        <w:rPr>
          <w:sz w:val="22"/>
          <w:szCs w:val="22"/>
        </w:rPr>
        <w:t xml:space="preserve"> of our Floor that we need to review</w:t>
      </w:r>
      <w:r w:rsidR="0078088C">
        <w:rPr>
          <w:sz w:val="22"/>
          <w:szCs w:val="22"/>
        </w:rPr>
        <w:t xml:space="preserve"> for 2023/24</w:t>
      </w:r>
      <w:r w:rsidR="006C2CCF">
        <w:rPr>
          <w:sz w:val="22"/>
          <w:szCs w:val="22"/>
        </w:rPr>
        <w:t>,</w:t>
      </w:r>
      <w:r w:rsidR="0078088C">
        <w:rPr>
          <w:sz w:val="22"/>
          <w:szCs w:val="22"/>
        </w:rPr>
        <w:t xml:space="preserve"> in the context of</w:t>
      </w:r>
      <w:r w:rsidR="006C2CCF">
        <w:rPr>
          <w:sz w:val="22"/>
          <w:szCs w:val="22"/>
        </w:rPr>
        <w:t xml:space="preserve"> </w:t>
      </w:r>
      <w:r w:rsidR="00C11CD1">
        <w:rPr>
          <w:sz w:val="22"/>
          <w:szCs w:val="22"/>
        </w:rPr>
        <w:t>the</w:t>
      </w:r>
      <w:r w:rsidR="0078088C">
        <w:rPr>
          <w:sz w:val="22"/>
          <w:szCs w:val="22"/>
        </w:rPr>
        <w:t xml:space="preserve"> </w:t>
      </w:r>
      <w:r w:rsidR="006C2CCF">
        <w:rPr>
          <w:sz w:val="22"/>
          <w:szCs w:val="22"/>
        </w:rPr>
        <w:t>affordability</w:t>
      </w:r>
      <w:r w:rsidR="0078088C">
        <w:rPr>
          <w:sz w:val="22"/>
          <w:szCs w:val="22"/>
        </w:rPr>
        <w:t xml:space="preserve"> of our</w:t>
      </w:r>
      <w:r w:rsidR="006C2CCF">
        <w:rPr>
          <w:sz w:val="22"/>
          <w:szCs w:val="22"/>
        </w:rPr>
        <w:t xml:space="preserve"> High Needs Block</w:t>
      </w:r>
      <w:r w:rsidR="0078088C">
        <w:rPr>
          <w:sz w:val="22"/>
          <w:szCs w:val="22"/>
        </w:rPr>
        <w:t xml:space="preserve"> spending</w:t>
      </w:r>
      <w:r w:rsidR="006C2CCF">
        <w:rPr>
          <w:sz w:val="22"/>
          <w:szCs w:val="22"/>
        </w:rPr>
        <w:t xml:space="preserve"> priorities.</w:t>
      </w:r>
      <w:r w:rsidR="004358D0">
        <w:rPr>
          <w:sz w:val="22"/>
          <w:szCs w:val="22"/>
        </w:rPr>
        <w:t xml:space="preserve"> Our modelling clearly indicates that we cannot afford to continue year-on-year to meet the cost of an expanding Floor mechanism</w:t>
      </w:r>
      <w:r w:rsidR="0030537D">
        <w:rPr>
          <w:sz w:val="22"/>
          <w:szCs w:val="22"/>
        </w:rPr>
        <w:t xml:space="preserve">, that allocates funding </w:t>
      </w:r>
      <w:r w:rsidR="0030053D">
        <w:rPr>
          <w:sz w:val="22"/>
          <w:szCs w:val="22"/>
        </w:rPr>
        <w:t>wider than to</w:t>
      </w:r>
      <w:r w:rsidR="0030537D">
        <w:rPr>
          <w:sz w:val="22"/>
          <w:szCs w:val="22"/>
        </w:rPr>
        <w:t xml:space="preserve"> a minority of schools</w:t>
      </w:r>
      <w:r w:rsidR="00FA60FA">
        <w:rPr>
          <w:sz w:val="22"/>
          <w:szCs w:val="22"/>
        </w:rPr>
        <w:t xml:space="preserve"> with particular challenges</w:t>
      </w:r>
      <w:r w:rsidR="004A443C">
        <w:rPr>
          <w:sz w:val="22"/>
          <w:szCs w:val="22"/>
        </w:rPr>
        <w:t>, at the same time as meeting the cost of the growth in EHCPs and the development of new specialist places.</w:t>
      </w:r>
    </w:p>
    <w:p w:rsidR="00A64285" w:rsidRPr="00306DC8" w:rsidRDefault="004358D0" w:rsidP="0030537D">
      <w:pPr>
        <w:pStyle w:val="ListParagraph"/>
        <w:ind w:left="360"/>
        <w:jc w:val="both"/>
        <w:rPr>
          <w:sz w:val="22"/>
          <w:szCs w:val="22"/>
        </w:rPr>
      </w:pPr>
      <w:r>
        <w:rPr>
          <w:sz w:val="22"/>
          <w:szCs w:val="22"/>
        </w:rPr>
        <w:t xml:space="preserve"> </w:t>
      </w:r>
    </w:p>
    <w:p w:rsidR="00A64285" w:rsidRDefault="00A64285" w:rsidP="00A64285">
      <w:pPr>
        <w:pStyle w:val="ListParagraph"/>
        <w:numPr>
          <w:ilvl w:val="0"/>
          <w:numId w:val="38"/>
        </w:numPr>
        <w:jc w:val="both"/>
        <w:rPr>
          <w:sz w:val="22"/>
          <w:szCs w:val="22"/>
        </w:rPr>
      </w:pPr>
      <w:r>
        <w:rPr>
          <w:sz w:val="22"/>
          <w:szCs w:val="22"/>
        </w:rPr>
        <w:t xml:space="preserve">Secondly, our SEND Funding Floor calculates </w:t>
      </w:r>
      <w:r w:rsidR="00C11CD1">
        <w:rPr>
          <w:sz w:val="22"/>
          <w:szCs w:val="22"/>
        </w:rPr>
        <w:t xml:space="preserve">additional </w:t>
      </w:r>
      <w:r>
        <w:rPr>
          <w:sz w:val="22"/>
          <w:szCs w:val="22"/>
        </w:rPr>
        <w:t>funding with reference to the number of EHCPs a school / academy has on roll.</w:t>
      </w:r>
      <w:r w:rsidR="006C2CCF">
        <w:rPr>
          <w:sz w:val="22"/>
          <w:szCs w:val="22"/>
        </w:rPr>
        <w:t xml:space="preserve"> </w:t>
      </w:r>
      <w:r w:rsidR="00894E26">
        <w:rPr>
          <w:sz w:val="22"/>
          <w:szCs w:val="22"/>
        </w:rPr>
        <w:t>W</w:t>
      </w:r>
      <w:r w:rsidR="00C11CD1">
        <w:rPr>
          <w:sz w:val="22"/>
          <w:szCs w:val="22"/>
        </w:rPr>
        <w:t>hilst this is valid,</w:t>
      </w:r>
      <w:r w:rsidR="006C2CCF">
        <w:rPr>
          <w:sz w:val="22"/>
          <w:szCs w:val="22"/>
        </w:rPr>
        <w:t xml:space="preserve"> in the longer term, as the outcomes of the SEND Review are implemented</w:t>
      </w:r>
      <w:r w:rsidR="0078088C">
        <w:rPr>
          <w:sz w:val="22"/>
          <w:szCs w:val="22"/>
        </w:rPr>
        <w:t xml:space="preserve"> (with a movement away from</w:t>
      </w:r>
      <w:r w:rsidR="00765FD7">
        <w:rPr>
          <w:sz w:val="22"/>
          <w:szCs w:val="22"/>
        </w:rPr>
        <w:t xml:space="preserve"> a</w:t>
      </w:r>
      <w:r w:rsidR="0078088C">
        <w:rPr>
          <w:sz w:val="22"/>
          <w:szCs w:val="22"/>
        </w:rPr>
        <w:t xml:space="preserve"> reliance on EHCPs)</w:t>
      </w:r>
      <w:r w:rsidR="006C2CCF">
        <w:rPr>
          <w:sz w:val="22"/>
          <w:szCs w:val="22"/>
        </w:rPr>
        <w:t xml:space="preserve">, using a school’s / academy’s number of EHCPs to allocate additional targeted SEND funding will need review. It </w:t>
      </w:r>
      <w:r w:rsidR="00646C90">
        <w:rPr>
          <w:sz w:val="22"/>
          <w:szCs w:val="22"/>
        </w:rPr>
        <w:t>can also be argued that</w:t>
      </w:r>
      <w:r w:rsidR="006C2CCF">
        <w:rPr>
          <w:sz w:val="22"/>
          <w:szCs w:val="22"/>
        </w:rPr>
        <w:t xml:space="preserve"> some ‘perverse incentive’</w:t>
      </w:r>
      <w:r w:rsidR="0078088C">
        <w:rPr>
          <w:sz w:val="22"/>
          <w:szCs w:val="22"/>
        </w:rPr>
        <w:t xml:space="preserve"> (</w:t>
      </w:r>
      <w:r w:rsidR="00894E26">
        <w:rPr>
          <w:sz w:val="22"/>
          <w:szCs w:val="22"/>
        </w:rPr>
        <w:t>and some</w:t>
      </w:r>
      <w:r w:rsidR="0078088C">
        <w:rPr>
          <w:sz w:val="22"/>
          <w:szCs w:val="22"/>
        </w:rPr>
        <w:t xml:space="preserve"> movement in the opposite direction to reducing reliance on EHCPs)</w:t>
      </w:r>
      <w:r w:rsidR="00306DC8">
        <w:rPr>
          <w:sz w:val="22"/>
          <w:szCs w:val="22"/>
        </w:rPr>
        <w:t xml:space="preserve"> </w:t>
      </w:r>
      <w:r w:rsidR="00646C90">
        <w:rPr>
          <w:sz w:val="22"/>
          <w:szCs w:val="22"/>
        </w:rPr>
        <w:t>is</w:t>
      </w:r>
      <w:r w:rsidR="0078088C">
        <w:rPr>
          <w:sz w:val="22"/>
          <w:szCs w:val="22"/>
        </w:rPr>
        <w:t xml:space="preserve"> present, </w:t>
      </w:r>
      <w:r w:rsidR="00306DC8">
        <w:rPr>
          <w:sz w:val="22"/>
          <w:szCs w:val="22"/>
        </w:rPr>
        <w:t>where</w:t>
      </w:r>
      <w:r w:rsidR="0078088C">
        <w:rPr>
          <w:sz w:val="22"/>
          <w:szCs w:val="22"/>
        </w:rPr>
        <w:t xml:space="preserve"> we use</w:t>
      </w:r>
      <w:r w:rsidR="006C2CCF">
        <w:rPr>
          <w:sz w:val="22"/>
          <w:szCs w:val="22"/>
        </w:rPr>
        <w:t xml:space="preserve"> the number of EHCP</w:t>
      </w:r>
      <w:r w:rsidR="00894E26">
        <w:rPr>
          <w:sz w:val="22"/>
          <w:szCs w:val="22"/>
        </w:rPr>
        <w:t>s to assess the need for</w:t>
      </w:r>
      <w:r w:rsidR="006C2CCF">
        <w:rPr>
          <w:sz w:val="22"/>
          <w:szCs w:val="22"/>
        </w:rPr>
        <w:t xml:space="preserve"> additional </w:t>
      </w:r>
      <w:r w:rsidR="00894E26">
        <w:rPr>
          <w:sz w:val="22"/>
          <w:szCs w:val="22"/>
        </w:rPr>
        <w:t>Floor Funding</w:t>
      </w:r>
      <w:r w:rsidR="006C2CCF">
        <w:rPr>
          <w:sz w:val="22"/>
          <w:szCs w:val="22"/>
        </w:rPr>
        <w:t>.</w:t>
      </w:r>
      <w:r w:rsidR="0078088C">
        <w:rPr>
          <w:sz w:val="22"/>
          <w:szCs w:val="22"/>
        </w:rPr>
        <w:t xml:space="preserve"> </w:t>
      </w:r>
      <w:r w:rsidR="008F1CEB">
        <w:rPr>
          <w:sz w:val="22"/>
          <w:szCs w:val="22"/>
        </w:rPr>
        <w:t>However, w</w:t>
      </w:r>
      <w:r w:rsidR="0078088C">
        <w:rPr>
          <w:sz w:val="22"/>
          <w:szCs w:val="22"/>
        </w:rPr>
        <w:t>hilst we do wish to look at this more closely</w:t>
      </w:r>
      <w:r w:rsidR="00894E26">
        <w:rPr>
          <w:sz w:val="22"/>
          <w:szCs w:val="22"/>
        </w:rPr>
        <w:t xml:space="preserve">, we do not propose to </w:t>
      </w:r>
      <w:r w:rsidR="00306DC8">
        <w:rPr>
          <w:sz w:val="22"/>
          <w:szCs w:val="22"/>
        </w:rPr>
        <w:t xml:space="preserve">amend the </w:t>
      </w:r>
      <w:r w:rsidR="0078088C">
        <w:rPr>
          <w:sz w:val="22"/>
          <w:szCs w:val="22"/>
        </w:rPr>
        <w:t xml:space="preserve">basis for the calculation </w:t>
      </w:r>
      <w:r w:rsidR="00765FD7">
        <w:rPr>
          <w:sz w:val="22"/>
          <w:szCs w:val="22"/>
        </w:rPr>
        <w:t>of our</w:t>
      </w:r>
      <w:r w:rsidR="0078088C">
        <w:rPr>
          <w:sz w:val="22"/>
          <w:szCs w:val="22"/>
        </w:rPr>
        <w:t xml:space="preserve"> SEND Funding Floor in 2023/24</w:t>
      </w:r>
      <w:r w:rsidR="00306DC8">
        <w:rPr>
          <w:sz w:val="22"/>
          <w:szCs w:val="22"/>
        </w:rPr>
        <w:t xml:space="preserve"> being the number of EHCPs on roll</w:t>
      </w:r>
      <w:r w:rsidR="0078088C">
        <w:rPr>
          <w:sz w:val="22"/>
          <w:szCs w:val="22"/>
        </w:rPr>
        <w:t>.</w:t>
      </w:r>
    </w:p>
    <w:p w:rsidR="00C11CD1" w:rsidRDefault="00C11CD1" w:rsidP="0078088C">
      <w:pPr>
        <w:pStyle w:val="ListParagraph"/>
        <w:ind w:left="0"/>
        <w:jc w:val="both"/>
        <w:rPr>
          <w:sz w:val="22"/>
          <w:szCs w:val="22"/>
        </w:rPr>
      </w:pPr>
    </w:p>
    <w:p w:rsidR="008F1CEB" w:rsidRDefault="00C11CD1" w:rsidP="008F1CEB">
      <w:pPr>
        <w:pStyle w:val="ListParagraph"/>
        <w:ind w:left="0"/>
        <w:jc w:val="both"/>
        <w:rPr>
          <w:sz w:val="22"/>
          <w:szCs w:val="22"/>
        </w:rPr>
      </w:pPr>
      <w:r>
        <w:rPr>
          <w:sz w:val="22"/>
          <w:szCs w:val="22"/>
        </w:rPr>
        <w:t xml:space="preserve">11.6 </w:t>
      </w:r>
      <w:r w:rsidR="008F1CEB">
        <w:rPr>
          <w:sz w:val="22"/>
          <w:szCs w:val="22"/>
        </w:rPr>
        <w:t>W</w:t>
      </w:r>
      <w:r>
        <w:rPr>
          <w:sz w:val="22"/>
          <w:szCs w:val="22"/>
        </w:rPr>
        <w:t xml:space="preserve">e </w:t>
      </w:r>
      <w:r w:rsidR="008F1CEB">
        <w:rPr>
          <w:sz w:val="22"/>
          <w:szCs w:val="22"/>
        </w:rPr>
        <w:t xml:space="preserve">do </w:t>
      </w:r>
      <w:r>
        <w:rPr>
          <w:sz w:val="22"/>
          <w:szCs w:val="22"/>
        </w:rPr>
        <w:t>propose to</w:t>
      </w:r>
      <w:r w:rsidR="008F1CEB">
        <w:rPr>
          <w:sz w:val="22"/>
          <w:szCs w:val="22"/>
        </w:rPr>
        <w:t xml:space="preserve"> continue to use our existing</w:t>
      </w:r>
      <w:r w:rsidR="0094241D">
        <w:rPr>
          <w:sz w:val="22"/>
          <w:szCs w:val="22"/>
        </w:rPr>
        <w:t xml:space="preserve"> SEND Funding Floor</w:t>
      </w:r>
      <w:r w:rsidR="008F1CEB">
        <w:rPr>
          <w:sz w:val="22"/>
          <w:szCs w:val="22"/>
        </w:rPr>
        <w:t xml:space="preserve"> mechanism</w:t>
      </w:r>
      <w:r w:rsidR="0094241D">
        <w:rPr>
          <w:sz w:val="22"/>
          <w:szCs w:val="22"/>
        </w:rPr>
        <w:t xml:space="preserve"> in 2023/24</w:t>
      </w:r>
      <w:r w:rsidR="0046060C">
        <w:rPr>
          <w:sz w:val="22"/>
          <w:szCs w:val="22"/>
        </w:rPr>
        <w:t>,</w:t>
      </w:r>
      <w:r w:rsidR="008F1CEB">
        <w:rPr>
          <w:sz w:val="22"/>
          <w:szCs w:val="22"/>
        </w:rPr>
        <w:t xml:space="preserve"> as described in Appendix 3,</w:t>
      </w:r>
      <w:r w:rsidR="004D3734">
        <w:rPr>
          <w:sz w:val="22"/>
          <w:szCs w:val="22"/>
        </w:rPr>
        <w:t xml:space="preserve"> for a further year pending further review,</w:t>
      </w:r>
      <w:r w:rsidR="0094241D">
        <w:rPr>
          <w:sz w:val="22"/>
          <w:szCs w:val="22"/>
        </w:rPr>
        <w:t xml:space="preserve"> </w:t>
      </w:r>
      <w:r w:rsidR="008F1CEB">
        <w:rPr>
          <w:sz w:val="22"/>
          <w:szCs w:val="22"/>
        </w:rPr>
        <w:t xml:space="preserve">but </w:t>
      </w:r>
      <w:r w:rsidR="0094241D">
        <w:rPr>
          <w:sz w:val="22"/>
          <w:szCs w:val="22"/>
        </w:rPr>
        <w:t>with one</w:t>
      </w:r>
      <w:r w:rsidR="008F1CEB">
        <w:rPr>
          <w:sz w:val="22"/>
          <w:szCs w:val="22"/>
        </w:rPr>
        <w:t xml:space="preserve"> technical</w:t>
      </w:r>
      <w:r w:rsidR="0094241D">
        <w:rPr>
          <w:sz w:val="22"/>
          <w:szCs w:val="22"/>
        </w:rPr>
        <w:t xml:space="preserve"> amendment</w:t>
      </w:r>
      <w:r w:rsidR="004D3734">
        <w:rPr>
          <w:sz w:val="22"/>
          <w:szCs w:val="22"/>
        </w:rPr>
        <w:t>. This change</w:t>
      </w:r>
      <w:r w:rsidR="00014F82">
        <w:rPr>
          <w:sz w:val="22"/>
          <w:szCs w:val="22"/>
        </w:rPr>
        <w:t xml:space="preserve"> is aimed at incrementally </w:t>
      </w:r>
      <w:r w:rsidR="008F1CEB">
        <w:rPr>
          <w:sz w:val="22"/>
          <w:szCs w:val="22"/>
        </w:rPr>
        <w:t>controlling</w:t>
      </w:r>
      <w:r w:rsidR="00014F82">
        <w:rPr>
          <w:sz w:val="22"/>
          <w:szCs w:val="22"/>
        </w:rPr>
        <w:t xml:space="preserve"> growth</w:t>
      </w:r>
      <w:r w:rsidR="008F1CEB">
        <w:rPr>
          <w:sz w:val="22"/>
          <w:szCs w:val="22"/>
        </w:rPr>
        <w:t xml:space="preserve"> in cost and seeks to</w:t>
      </w:r>
      <w:r w:rsidR="00014F82">
        <w:rPr>
          <w:sz w:val="22"/>
          <w:szCs w:val="22"/>
        </w:rPr>
        <w:t xml:space="preserve"> keep</w:t>
      </w:r>
      <w:r w:rsidR="008F1CEB">
        <w:rPr>
          <w:sz w:val="22"/>
          <w:szCs w:val="22"/>
        </w:rPr>
        <w:t xml:space="preserve"> the scope</w:t>
      </w:r>
      <w:r w:rsidR="00014F82">
        <w:rPr>
          <w:sz w:val="22"/>
          <w:szCs w:val="22"/>
        </w:rPr>
        <w:t xml:space="preserve"> of the mechanism as originally intended (</w:t>
      </w:r>
      <w:r w:rsidR="008F1CEB">
        <w:rPr>
          <w:sz w:val="22"/>
          <w:szCs w:val="22"/>
        </w:rPr>
        <w:t>including trying not to move</w:t>
      </w:r>
      <w:r w:rsidR="00014F82">
        <w:rPr>
          <w:sz w:val="22"/>
          <w:szCs w:val="22"/>
        </w:rPr>
        <w:t xml:space="preserve"> further away from</w:t>
      </w:r>
      <w:r w:rsidR="008F1CEB">
        <w:rPr>
          <w:sz w:val="22"/>
          <w:szCs w:val="22"/>
        </w:rPr>
        <w:t xml:space="preserve"> the DfE’s guidance of</w:t>
      </w:r>
      <w:r w:rsidR="00014F82">
        <w:rPr>
          <w:sz w:val="22"/>
          <w:szCs w:val="22"/>
        </w:rPr>
        <w:t xml:space="preserve"> funding “a minority of schools</w:t>
      </w:r>
      <w:r w:rsidR="008F1CEB">
        <w:rPr>
          <w:sz w:val="22"/>
          <w:szCs w:val="22"/>
        </w:rPr>
        <w:t xml:space="preserve"> with particular challenges</w:t>
      </w:r>
      <w:r w:rsidR="00014F82">
        <w:rPr>
          <w:sz w:val="22"/>
          <w:szCs w:val="22"/>
        </w:rPr>
        <w:t xml:space="preserve">”). </w:t>
      </w:r>
      <w:r w:rsidR="00555EED">
        <w:rPr>
          <w:sz w:val="22"/>
          <w:szCs w:val="22"/>
        </w:rPr>
        <w:t>So:</w:t>
      </w:r>
    </w:p>
    <w:p w:rsidR="008F1CEB" w:rsidRDefault="008F1CEB" w:rsidP="008F1CEB">
      <w:pPr>
        <w:pStyle w:val="ListParagraph"/>
        <w:ind w:left="0"/>
        <w:jc w:val="both"/>
        <w:rPr>
          <w:sz w:val="22"/>
          <w:szCs w:val="22"/>
        </w:rPr>
      </w:pPr>
    </w:p>
    <w:p w:rsidR="008F1CEB" w:rsidRDefault="00014F82" w:rsidP="008F1CEB">
      <w:pPr>
        <w:pStyle w:val="ListParagraph"/>
        <w:numPr>
          <w:ilvl w:val="0"/>
          <w:numId w:val="41"/>
        </w:numPr>
        <w:jc w:val="both"/>
        <w:rPr>
          <w:sz w:val="22"/>
          <w:szCs w:val="22"/>
        </w:rPr>
      </w:pPr>
      <w:r w:rsidRPr="008F1CEB">
        <w:rPr>
          <w:sz w:val="22"/>
          <w:szCs w:val="22"/>
        </w:rPr>
        <w:t xml:space="preserve">We propose to </w:t>
      </w:r>
      <w:r w:rsidR="0094241D" w:rsidRPr="008F1CEB">
        <w:rPr>
          <w:sz w:val="22"/>
          <w:szCs w:val="22"/>
        </w:rPr>
        <w:t>increase</w:t>
      </w:r>
      <w:r w:rsidR="00C11CD1" w:rsidRPr="008F1CEB">
        <w:rPr>
          <w:sz w:val="22"/>
          <w:szCs w:val="22"/>
        </w:rPr>
        <w:t xml:space="preserve"> the phase averages that are used</w:t>
      </w:r>
      <w:r w:rsidR="0094241D" w:rsidRPr="008F1CEB">
        <w:rPr>
          <w:sz w:val="22"/>
          <w:szCs w:val="22"/>
        </w:rPr>
        <w:t xml:space="preserve"> </w:t>
      </w:r>
      <w:r w:rsidR="00555EED">
        <w:rPr>
          <w:sz w:val="22"/>
          <w:szCs w:val="22"/>
        </w:rPr>
        <w:t xml:space="preserve">in the calculation of </w:t>
      </w:r>
      <w:r w:rsidR="00A92B92">
        <w:rPr>
          <w:sz w:val="22"/>
          <w:szCs w:val="22"/>
        </w:rPr>
        <w:t>‘p</w:t>
      </w:r>
      <w:r w:rsidR="008F1CEB">
        <w:rPr>
          <w:sz w:val="22"/>
          <w:szCs w:val="22"/>
        </w:rPr>
        <w:t>art B</w:t>
      </w:r>
      <w:r w:rsidR="00A92B92">
        <w:rPr>
          <w:sz w:val="22"/>
          <w:szCs w:val="22"/>
        </w:rPr>
        <w:t>’</w:t>
      </w:r>
      <w:r w:rsidR="008F1CEB">
        <w:rPr>
          <w:sz w:val="22"/>
          <w:szCs w:val="22"/>
        </w:rPr>
        <w:t xml:space="preserve"> </w:t>
      </w:r>
      <w:r w:rsidR="0094241D" w:rsidRPr="008F1CEB">
        <w:rPr>
          <w:sz w:val="22"/>
          <w:szCs w:val="22"/>
        </w:rPr>
        <w:t>(</w:t>
      </w:r>
      <w:r w:rsidR="0046060C" w:rsidRPr="008F1CEB">
        <w:rPr>
          <w:sz w:val="22"/>
          <w:szCs w:val="22"/>
        </w:rPr>
        <w:t>the trigger points at</w:t>
      </w:r>
      <w:r w:rsidR="0094241D" w:rsidRPr="008F1CEB">
        <w:rPr>
          <w:sz w:val="22"/>
          <w:szCs w:val="22"/>
        </w:rPr>
        <w:t xml:space="preserve"> which additional </w:t>
      </w:r>
      <w:r w:rsidR="008F1CEB">
        <w:rPr>
          <w:sz w:val="22"/>
          <w:szCs w:val="22"/>
        </w:rPr>
        <w:t xml:space="preserve">Floor </w:t>
      </w:r>
      <w:r w:rsidR="0094241D" w:rsidRPr="008F1CEB">
        <w:rPr>
          <w:sz w:val="22"/>
          <w:szCs w:val="22"/>
        </w:rPr>
        <w:t>funding is allocated)</w:t>
      </w:r>
      <w:r w:rsidR="00C11CD1" w:rsidRPr="008F1CEB">
        <w:rPr>
          <w:sz w:val="22"/>
          <w:szCs w:val="22"/>
        </w:rPr>
        <w:t xml:space="preserve">. </w:t>
      </w:r>
      <w:r w:rsidR="008F1CEB">
        <w:rPr>
          <w:sz w:val="22"/>
          <w:szCs w:val="22"/>
        </w:rPr>
        <w:t>Rather than using the phase average rounded + 1%, we propose to use the phase average rounded</w:t>
      </w:r>
      <w:r w:rsidR="00071DCE">
        <w:rPr>
          <w:sz w:val="22"/>
          <w:szCs w:val="22"/>
        </w:rPr>
        <w:t xml:space="preserve"> </w:t>
      </w:r>
      <w:r w:rsidR="00071DCE" w:rsidRPr="00DE0467">
        <w:rPr>
          <w:sz w:val="22"/>
          <w:szCs w:val="22"/>
        </w:rPr>
        <w:t>to at least</w:t>
      </w:r>
      <w:r w:rsidR="008F1CEB">
        <w:rPr>
          <w:sz w:val="22"/>
          <w:szCs w:val="22"/>
        </w:rPr>
        <w:t xml:space="preserve"> + 3%.</w:t>
      </w:r>
      <w:r w:rsidR="00071DCE">
        <w:rPr>
          <w:sz w:val="22"/>
          <w:szCs w:val="22"/>
        </w:rPr>
        <w:t xml:space="preserve"> Whether this is increased above 3% will be confirmed in February 2023, using the most up to date formula funding and EHCP numbers data.</w:t>
      </w:r>
      <w:r w:rsidR="008F1CEB">
        <w:rPr>
          <w:sz w:val="22"/>
          <w:szCs w:val="22"/>
        </w:rPr>
        <w:t xml:space="preserve"> </w:t>
      </w:r>
      <w:r w:rsidR="00D4580F">
        <w:rPr>
          <w:sz w:val="22"/>
          <w:szCs w:val="22"/>
        </w:rPr>
        <w:t>All other technical aspects of the Floor will continue unchanged.</w:t>
      </w:r>
    </w:p>
    <w:p w:rsidR="008F1CEB" w:rsidRDefault="008F1CEB" w:rsidP="008F1CEB">
      <w:pPr>
        <w:pStyle w:val="ListParagraph"/>
        <w:ind w:left="0"/>
        <w:jc w:val="both"/>
        <w:rPr>
          <w:sz w:val="22"/>
          <w:szCs w:val="22"/>
        </w:rPr>
      </w:pPr>
    </w:p>
    <w:p w:rsidR="008F1CEB" w:rsidRDefault="00C11CD1" w:rsidP="008F1CEB">
      <w:pPr>
        <w:pStyle w:val="ListParagraph"/>
        <w:numPr>
          <w:ilvl w:val="0"/>
          <w:numId w:val="40"/>
        </w:numPr>
        <w:jc w:val="both"/>
        <w:rPr>
          <w:sz w:val="22"/>
          <w:szCs w:val="22"/>
        </w:rPr>
      </w:pPr>
      <w:r w:rsidRPr="008F1CEB">
        <w:rPr>
          <w:sz w:val="22"/>
          <w:szCs w:val="22"/>
        </w:rPr>
        <w:t xml:space="preserve">This </w:t>
      </w:r>
      <w:r w:rsidR="0094241D" w:rsidRPr="008F1CEB">
        <w:rPr>
          <w:sz w:val="22"/>
          <w:szCs w:val="22"/>
        </w:rPr>
        <w:t>change</w:t>
      </w:r>
      <w:r w:rsidR="00071DCE">
        <w:rPr>
          <w:sz w:val="22"/>
          <w:szCs w:val="22"/>
        </w:rPr>
        <w:t xml:space="preserve"> (at this time - using the July 2022 EHCPs position and increasing to +3%)</w:t>
      </w:r>
      <w:r w:rsidR="0094241D" w:rsidRPr="008F1CEB">
        <w:rPr>
          <w:sz w:val="22"/>
          <w:szCs w:val="22"/>
        </w:rPr>
        <w:t xml:space="preserve"> </w:t>
      </w:r>
      <w:r w:rsidRPr="008F1CEB">
        <w:rPr>
          <w:sz w:val="22"/>
          <w:szCs w:val="22"/>
        </w:rPr>
        <w:t xml:space="preserve">has the effect of reducing the number of schools / academies that </w:t>
      </w:r>
      <w:r w:rsidR="008F1CEB">
        <w:rPr>
          <w:sz w:val="22"/>
          <w:szCs w:val="22"/>
        </w:rPr>
        <w:t>are</w:t>
      </w:r>
      <w:r w:rsidRPr="008F1CEB">
        <w:rPr>
          <w:sz w:val="22"/>
          <w:szCs w:val="22"/>
        </w:rPr>
        <w:t xml:space="preserve"> supported</w:t>
      </w:r>
      <w:r w:rsidR="0094241D" w:rsidRPr="008F1CEB">
        <w:rPr>
          <w:sz w:val="22"/>
          <w:szCs w:val="22"/>
        </w:rPr>
        <w:t>,</w:t>
      </w:r>
      <w:r w:rsidRPr="008F1CEB">
        <w:rPr>
          <w:sz w:val="22"/>
          <w:szCs w:val="22"/>
        </w:rPr>
        <w:t xml:space="preserve"> and the total value of </w:t>
      </w:r>
      <w:r w:rsidR="004D6799">
        <w:rPr>
          <w:sz w:val="22"/>
          <w:szCs w:val="22"/>
        </w:rPr>
        <w:t xml:space="preserve">this </w:t>
      </w:r>
      <w:r w:rsidRPr="008F1CEB">
        <w:rPr>
          <w:sz w:val="22"/>
          <w:szCs w:val="22"/>
        </w:rPr>
        <w:t>support</w:t>
      </w:r>
      <w:r w:rsidR="004D6799">
        <w:rPr>
          <w:sz w:val="22"/>
          <w:szCs w:val="22"/>
        </w:rPr>
        <w:t>, when</w:t>
      </w:r>
      <w:r w:rsidR="0094241D" w:rsidRPr="008F1CEB">
        <w:rPr>
          <w:sz w:val="22"/>
          <w:szCs w:val="22"/>
        </w:rPr>
        <w:t xml:space="preserve"> 2023/24 </w:t>
      </w:r>
      <w:r w:rsidR="004D6799">
        <w:rPr>
          <w:sz w:val="22"/>
          <w:szCs w:val="22"/>
        </w:rPr>
        <w:t xml:space="preserve">is </w:t>
      </w:r>
      <w:r w:rsidR="0094241D" w:rsidRPr="008F1CEB">
        <w:rPr>
          <w:sz w:val="22"/>
          <w:szCs w:val="22"/>
        </w:rPr>
        <w:t>compared with 2022/23</w:t>
      </w:r>
      <w:r w:rsidR="008F1CEB">
        <w:rPr>
          <w:sz w:val="22"/>
          <w:szCs w:val="22"/>
        </w:rPr>
        <w:t xml:space="preserve"> </w:t>
      </w:r>
      <w:r w:rsidR="0094241D" w:rsidRPr="008F1CEB">
        <w:rPr>
          <w:sz w:val="22"/>
          <w:szCs w:val="22"/>
        </w:rPr>
        <w:t>on a like-for-like basis</w:t>
      </w:r>
      <w:r w:rsidRPr="008F1CEB">
        <w:rPr>
          <w:sz w:val="22"/>
          <w:szCs w:val="22"/>
        </w:rPr>
        <w:t>.</w:t>
      </w:r>
      <w:r w:rsidR="0094241D" w:rsidRPr="008F1CEB">
        <w:rPr>
          <w:sz w:val="22"/>
          <w:szCs w:val="22"/>
        </w:rPr>
        <w:t xml:space="preserve"> </w:t>
      </w:r>
      <w:r w:rsidR="008F1CEB">
        <w:rPr>
          <w:sz w:val="22"/>
          <w:szCs w:val="22"/>
        </w:rPr>
        <w:t xml:space="preserve">In reality, the </w:t>
      </w:r>
      <w:r w:rsidR="008661AD">
        <w:rPr>
          <w:sz w:val="22"/>
          <w:szCs w:val="22"/>
        </w:rPr>
        <w:t xml:space="preserve">actual position </w:t>
      </w:r>
      <w:r w:rsidR="00555EED">
        <w:rPr>
          <w:sz w:val="22"/>
          <w:szCs w:val="22"/>
        </w:rPr>
        <w:t>in 2023/24</w:t>
      </w:r>
      <w:r w:rsidR="008F1CEB">
        <w:rPr>
          <w:sz w:val="22"/>
          <w:szCs w:val="22"/>
        </w:rPr>
        <w:t xml:space="preserve"> will be complicated, including because formula funding</w:t>
      </w:r>
      <w:r w:rsidR="00555EED">
        <w:rPr>
          <w:sz w:val="22"/>
          <w:szCs w:val="22"/>
        </w:rPr>
        <w:t xml:space="preserve"> allocations are </w:t>
      </w:r>
      <w:r w:rsidR="008F1CEB">
        <w:rPr>
          <w:sz w:val="22"/>
          <w:szCs w:val="22"/>
        </w:rPr>
        <w:t xml:space="preserve">increasing in 2023/24 and </w:t>
      </w:r>
      <w:r w:rsidR="004D6799">
        <w:rPr>
          <w:sz w:val="22"/>
          <w:szCs w:val="22"/>
        </w:rPr>
        <w:t xml:space="preserve">because the </w:t>
      </w:r>
      <w:r w:rsidR="008F1CEB">
        <w:rPr>
          <w:sz w:val="22"/>
          <w:szCs w:val="22"/>
        </w:rPr>
        <w:t xml:space="preserve">numbers of EHCPs </w:t>
      </w:r>
      <w:r w:rsidR="004D6799">
        <w:rPr>
          <w:sz w:val="22"/>
          <w:szCs w:val="22"/>
        </w:rPr>
        <w:t>at individual schools and academies will</w:t>
      </w:r>
      <w:r w:rsidR="00555EED">
        <w:rPr>
          <w:sz w:val="22"/>
          <w:szCs w:val="22"/>
        </w:rPr>
        <w:t xml:space="preserve"> </w:t>
      </w:r>
      <w:r w:rsidR="008F1CEB">
        <w:rPr>
          <w:sz w:val="22"/>
          <w:szCs w:val="22"/>
        </w:rPr>
        <w:t xml:space="preserve">change. Both these </w:t>
      </w:r>
      <w:r w:rsidR="00555EED">
        <w:rPr>
          <w:sz w:val="22"/>
          <w:szCs w:val="22"/>
        </w:rPr>
        <w:t xml:space="preserve">factors </w:t>
      </w:r>
      <w:r w:rsidR="008F1CEB">
        <w:rPr>
          <w:sz w:val="22"/>
          <w:szCs w:val="22"/>
        </w:rPr>
        <w:t xml:space="preserve">will affect the </w:t>
      </w:r>
      <w:r w:rsidR="00555EED">
        <w:rPr>
          <w:sz w:val="22"/>
          <w:szCs w:val="22"/>
        </w:rPr>
        <w:t xml:space="preserve">final </w:t>
      </w:r>
      <w:r w:rsidR="008F1CEB">
        <w:rPr>
          <w:sz w:val="22"/>
          <w:szCs w:val="22"/>
        </w:rPr>
        <w:t>phase average %</w:t>
      </w:r>
      <w:r w:rsidR="00555EED">
        <w:rPr>
          <w:sz w:val="22"/>
          <w:szCs w:val="22"/>
        </w:rPr>
        <w:t>s</w:t>
      </w:r>
      <w:r w:rsidR="008F1CEB">
        <w:rPr>
          <w:sz w:val="22"/>
          <w:szCs w:val="22"/>
        </w:rPr>
        <w:t xml:space="preserve"> that are used. These</w:t>
      </w:r>
      <w:r w:rsidR="00555EED">
        <w:rPr>
          <w:sz w:val="22"/>
          <w:szCs w:val="22"/>
        </w:rPr>
        <w:t xml:space="preserve"> %s</w:t>
      </w:r>
      <w:r w:rsidR="008F1CEB">
        <w:rPr>
          <w:sz w:val="22"/>
          <w:szCs w:val="22"/>
        </w:rPr>
        <w:t xml:space="preserve"> will be confirmed in F</w:t>
      </w:r>
      <w:r w:rsidR="00555EED">
        <w:rPr>
          <w:sz w:val="22"/>
          <w:szCs w:val="22"/>
        </w:rPr>
        <w:t>ebruary 2023</w:t>
      </w:r>
      <w:r w:rsidR="008F1CEB">
        <w:rPr>
          <w:sz w:val="22"/>
          <w:szCs w:val="22"/>
        </w:rPr>
        <w:t>.</w:t>
      </w:r>
      <w:r w:rsidR="004D6799">
        <w:rPr>
          <w:sz w:val="22"/>
          <w:szCs w:val="22"/>
        </w:rPr>
        <w:t xml:space="preserve"> Both these factors will also affect the</w:t>
      </w:r>
      <w:r w:rsidR="008661AD">
        <w:rPr>
          <w:sz w:val="22"/>
          <w:szCs w:val="22"/>
        </w:rPr>
        <w:t xml:space="preserve"> actual</w:t>
      </w:r>
      <w:r w:rsidR="004D6799">
        <w:rPr>
          <w:sz w:val="22"/>
          <w:szCs w:val="22"/>
        </w:rPr>
        <w:t xml:space="preserve"> Floor allocations that are received by individual primary and secondary schools and academies</w:t>
      </w:r>
      <w:r w:rsidR="00397F3F">
        <w:rPr>
          <w:sz w:val="22"/>
          <w:szCs w:val="22"/>
        </w:rPr>
        <w:t xml:space="preserve"> in 2023/24</w:t>
      </w:r>
      <w:r w:rsidR="004D6799">
        <w:rPr>
          <w:sz w:val="22"/>
          <w:szCs w:val="22"/>
        </w:rPr>
        <w:t>.</w:t>
      </w:r>
    </w:p>
    <w:p w:rsidR="00555EED" w:rsidRDefault="00555EED" w:rsidP="00555EED">
      <w:pPr>
        <w:pStyle w:val="ListParagraph"/>
        <w:ind w:left="360"/>
        <w:jc w:val="both"/>
        <w:rPr>
          <w:sz w:val="22"/>
          <w:szCs w:val="22"/>
        </w:rPr>
      </w:pPr>
    </w:p>
    <w:p w:rsidR="008F1CEB" w:rsidRPr="008F1CEB" w:rsidRDefault="008F1CEB" w:rsidP="008F1CEB">
      <w:pPr>
        <w:pStyle w:val="ListParagraph"/>
        <w:numPr>
          <w:ilvl w:val="0"/>
          <w:numId w:val="40"/>
        </w:numPr>
        <w:jc w:val="both"/>
        <w:rPr>
          <w:sz w:val="22"/>
          <w:szCs w:val="22"/>
        </w:rPr>
      </w:pPr>
      <w:r w:rsidRPr="008F1CEB">
        <w:rPr>
          <w:sz w:val="22"/>
          <w:szCs w:val="22"/>
        </w:rPr>
        <w:t>On current modelling, the support funding allocated in 2023/24</w:t>
      </w:r>
      <w:r w:rsidR="00555EED">
        <w:rPr>
          <w:sz w:val="22"/>
          <w:szCs w:val="22"/>
        </w:rPr>
        <w:t xml:space="preserve"> via the Floor</w:t>
      </w:r>
      <w:r w:rsidR="008661AD">
        <w:rPr>
          <w:sz w:val="22"/>
          <w:szCs w:val="22"/>
        </w:rPr>
        <w:t>, calculated on the same number of EHCPs</w:t>
      </w:r>
      <w:r w:rsidR="009E3DA1">
        <w:rPr>
          <w:sz w:val="22"/>
          <w:szCs w:val="22"/>
        </w:rPr>
        <w:t xml:space="preserve"> (as at July 2022)</w:t>
      </w:r>
      <w:r w:rsidR="00071DCE">
        <w:rPr>
          <w:sz w:val="22"/>
          <w:szCs w:val="22"/>
        </w:rPr>
        <w:t xml:space="preserve"> at using +3%</w:t>
      </w:r>
      <w:r w:rsidR="008661AD">
        <w:rPr>
          <w:sz w:val="22"/>
          <w:szCs w:val="22"/>
        </w:rPr>
        <w:t>,</w:t>
      </w:r>
      <w:r w:rsidRPr="008F1CEB">
        <w:rPr>
          <w:sz w:val="22"/>
          <w:szCs w:val="22"/>
        </w:rPr>
        <w:t xml:space="preserve"> would be equivalent to the funding </w:t>
      </w:r>
      <w:r w:rsidR="00555EED">
        <w:rPr>
          <w:sz w:val="22"/>
          <w:szCs w:val="22"/>
        </w:rPr>
        <w:t xml:space="preserve">that was </w:t>
      </w:r>
      <w:r w:rsidRPr="008F1CEB">
        <w:rPr>
          <w:sz w:val="22"/>
          <w:szCs w:val="22"/>
        </w:rPr>
        <w:t>allocated in the 2021/22 financial year, at c. £1.62m</w:t>
      </w:r>
      <w:r>
        <w:rPr>
          <w:sz w:val="22"/>
          <w:szCs w:val="22"/>
        </w:rPr>
        <w:t>,</w:t>
      </w:r>
      <w:r w:rsidR="00555EED">
        <w:rPr>
          <w:sz w:val="22"/>
          <w:szCs w:val="22"/>
        </w:rPr>
        <w:t xml:space="preserve"> </w:t>
      </w:r>
      <w:r w:rsidRPr="008F1CEB">
        <w:rPr>
          <w:sz w:val="22"/>
          <w:szCs w:val="22"/>
        </w:rPr>
        <w:t xml:space="preserve">across 47% of schools / academies. </w:t>
      </w:r>
      <w:r w:rsidR="009E3DA1">
        <w:rPr>
          <w:sz w:val="22"/>
          <w:szCs w:val="22"/>
        </w:rPr>
        <w:t>We expect</w:t>
      </w:r>
      <w:r w:rsidR="00397F3F">
        <w:rPr>
          <w:sz w:val="22"/>
          <w:szCs w:val="22"/>
        </w:rPr>
        <w:t xml:space="preserve"> however,</w:t>
      </w:r>
      <w:r w:rsidR="009E3DA1">
        <w:rPr>
          <w:sz w:val="22"/>
          <w:szCs w:val="22"/>
        </w:rPr>
        <w:t xml:space="preserve"> that the total value of funding allocated by the Floor will </w:t>
      </w:r>
      <w:r w:rsidR="00397F3F">
        <w:rPr>
          <w:sz w:val="22"/>
          <w:szCs w:val="22"/>
        </w:rPr>
        <w:t xml:space="preserve">be greater than this in </w:t>
      </w:r>
      <w:r w:rsidR="009E3DA1">
        <w:rPr>
          <w:sz w:val="22"/>
          <w:szCs w:val="22"/>
        </w:rPr>
        <w:t xml:space="preserve">2023/24, as the number of EHCPs in mainstream schools and academies continues to increase. </w:t>
      </w:r>
      <w:r w:rsidR="00555EED" w:rsidRPr="008F1CEB">
        <w:rPr>
          <w:sz w:val="22"/>
          <w:szCs w:val="22"/>
        </w:rPr>
        <w:t xml:space="preserve">The level of funding that the Floor will allocate </w:t>
      </w:r>
      <w:r w:rsidR="00555EED">
        <w:rPr>
          <w:sz w:val="22"/>
          <w:szCs w:val="22"/>
        </w:rPr>
        <w:t>therefore,</w:t>
      </w:r>
      <w:r w:rsidR="00555EED" w:rsidRPr="008F1CEB">
        <w:rPr>
          <w:sz w:val="22"/>
          <w:szCs w:val="22"/>
        </w:rPr>
        <w:t xml:space="preserve"> will continue to be substantially higher than was allocated prior to the amendment of our Floor at April 2021.</w:t>
      </w:r>
      <w:r w:rsidR="00397F3F">
        <w:rPr>
          <w:sz w:val="22"/>
          <w:szCs w:val="22"/>
        </w:rPr>
        <w:t xml:space="preserve"> It </w:t>
      </w:r>
      <w:r w:rsidR="000F160D">
        <w:rPr>
          <w:sz w:val="22"/>
          <w:szCs w:val="22"/>
        </w:rPr>
        <w:t>will still represent</w:t>
      </w:r>
      <w:r w:rsidR="00397F3F">
        <w:rPr>
          <w:sz w:val="22"/>
          <w:szCs w:val="22"/>
        </w:rPr>
        <w:t xml:space="preserve"> a substantial SEND funding support mechanism for the mainstream sector.</w:t>
      </w:r>
    </w:p>
    <w:p w:rsidR="008F1CEB" w:rsidRPr="008F1CEB" w:rsidRDefault="008F1CEB" w:rsidP="008F1CEB">
      <w:pPr>
        <w:pStyle w:val="ListParagraph"/>
        <w:ind w:left="360"/>
        <w:jc w:val="both"/>
        <w:rPr>
          <w:sz w:val="22"/>
          <w:szCs w:val="22"/>
        </w:rPr>
      </w:pPr>
    </w:p>
    <w:p w:rsidR="008F1CEB" w:rsidRDefault="0094241D" w:rsidP="008F1CEB">
      <w:pPr>
        <w:pStyle w:val="ListParagraph"/>
        <w:numPr>
          <w:ilvl w:val="0"/>
          <w:numId w:val="40"/>
        </w:numPr>
        <w:jc w:val="both"/>
        <w:rPr>
          <w:sz w:val="22"/>
          <w:szCs w:val="22"/>
        </w:rPr>
      </w:pPr>
      <w:r w:rsidRPr="008F1CEB">
        <w:rPr>
          <w:sz w:val="22"/>
          <w:szCs w:val="22"/>
        </w:rPr>
        <w:t>In proposing to amend out SEND F</w:t>
      </w:r>
      <w:r w:rsidR="0046060C" w:rsidRPr="008F1CEB">
        <w:rPr>
          <w:sz w:val="22"/>
          <w:szCs w:val="22"/>
        </w:rPr>
        <w:t>loor</w:t>
      </w:r>
      <w:r w:rsidR="00555EED">
        <w:rPr>
          <w:sz w:val="22"/>
          <w:szCs w:val="22"/>
        </w:rPr>
        <w:t xml:space="preserve"> in this way</w:t>
      </w:r>
      <w:r w:rsidRPr="008F1CEB">
        <w:rPr>
          <w:sz w:val="22"/>
          <w:szCs w:val="22"/>
        </w:rPr>
        <w:t xml:space="preserve">, we </w:t>
      </w:r>
      <w:r w:rsidR="001F5D9B">
        <w:rPr>
          <w:sz w:val="22"/>
          <w:szCs w:val="22"/>
        </w:rPr>
        <w:t xml:space="preserve">also </w:t>
      </w:r>
      <w:r w:rsidRPr="008F1CEB">
        <w:rPr>
          <w:sz w:val="22"/>
          <w:szCs w:val="22"/>
        </w:rPr>
        <w:t>think that it is important to highlight that, with the substantial growth in the number of pupils with EHCPs in mainstream settings, mo</w:t>
      </w:r>
      <w:r w:rsidR="00555EED">
        <w:rPr>
          <w:sz w:val="22"/>
          <w:szCs w:val="22"/>
        </w:rPr>
        <w:t>re high needs funding is</w:t>
      </w:r>
      <w:r w:rsidRPr="008F1CEB">
        <w:rPr>
          <w:sz w:val="22"/>
          <w:szCs w:val="22"/>
        </w:rPr>
        <w:t xml:space="preserve"> </w:t>
      </w:r>
      <w:r w:rsidR="003C2FF8">
        <w:rPr>
          <w:sz w:val="22"/>
          <w:szCs w:val="22"/>
        </w:rPr>
        <w:t xml:space="preserve">already </w:t>
      </w:r>
      <w:r w:rsidRPr="008F1CEB">
        <w:rPr>
          <w:sz w:val="22"/>
          <w:szCs w:val="22"/>
        </w:rPr>
        <w:t>being allocated (and will continue to be allocated) to the mainstream sector in support of high needs pupils, in the form of top-up funding.</w:t>
      </w:r>
      <w:r w:rsidR="003C2FF8">
        <w:rPr>
          <w:sz w:val="22"/>
          <w:szCs w:val="22"/>
        </w:rPr>
        <w:t xml:space="preserve"> </w:t>
      </w:r>
    </w:p>
    <w:p w:rsidR="00BC15E5" w:rsidRPr="004447B4" w:rsidRDefault="00BC15E5" w:rsidP="00DA6D07">
      <w:pPr>
        <w:jc w:val="both"/>
        <w:rPr>
          <w:color w:val="FF0000"/>
          <w:sz w:val="22"/>
          <w:szCs w:val="22"/>
        </w:rPr>
      </w:pPr>
    </w:p>
    <w:p w:rsidR="00BC15E5" w:rsidRPr="00555EED" w:rsidRDefault="004447B4" w:rsidP="00DA6D07">
      <w:pPr>
        <w:jc w:val="both"/>
        <w:rPr>
          <w:sz w:val="22"/>
          <w:szCs w:val="22"/>
        </w:rPr>
      </w:pPr>
      <w:r w:rsidRPr="00555EED">
        <w:rPr>
          <w:sz w:val="22"/>
          <w:szCs w:val="22"/>
        </w:rPr>
        <w:t>11</w:t>
      </w:r>
      <w:r w:rsidR="00BC15E5" w:rsidRPr="00555EED">
        <w:rPr>
          <w:sz w:val="22"/>
          <w:szCs w:val="22"/>
        </w:rPr>
        <w:t xml:space="preserve">.7 </w:t>
      </w:r>
      <w:r w:rsidR="000B3126">
        <w:rPr>
          <w:sz w:val="22"/>
          <w:szCs w:val="22"/>
        </w:rPr>
        <w:t>Finally, we would</w:t>
      </w:r>
      <w:r w:rsidR="00BC15E5" w:rsidRPr="00555EED">
        <w:rPr>
          <w:sz w:val="22"/>
          <w:szCs w:val="22"/>
        </w:rPr>
        <w:t xml:space="preserve"> like to emphasise that:</w:t>
      </w:r>
    </w:p>
    <w:p w:rsidR="00BC15E5" w:rsidRPr="00555EED" w:rsidRDefault="00BC15E5" w:rsidP="00DA6D07">
      <w:pPr>
        <w:jc w:val="both"/>
        <w:rPr>
          <w:sz w:val="22"/>
          <w:szCs w:val="22"/>
        </w:rPr>
      </w:pPr>
    </w:p>
    <w:p w:rsidR="00555EED" w:rsidRPr="00555EED" w:rsidRDefault="00555EED" w:rsidP="00BC15E5">
      <w:pPr>
        <w:pStyle w:val="ListParagraph"/>
        <w:numPr>
          <w:ilvl w:val="0"/>
          <w:numId w:val="34"/>
        </w:numPr>
        <w:jc w:val="both"/>
        <w:rPr>
          <w:sz w:val="22"/>
          <w:szCs w:val="22"/>
        </w:rPr>
      </w:pPr>
      <w:r w:rsidRPr="00555EED">
        <w:rPr>
          <w:sz w:val="22"/>
          <w:szCs w:val="22"/>
        </w:rPr>
        <w:t>The 2 elements of the ‘part B’ in the calculation</w:t>
      </w:r>
      <w:r w:rsidR="000B3126">
        <w:rPr>
          <w:sz w:val="22"/>
          <w:szCs w:val="22"/>
        </w:rPr>
        <w:t xml:space="preserve"> (as explained in Appendix 3)</w:t>
      </w:r>
      <w:r w:rsidRPr="00555EED">
        <w:rPr>
          <w:sz w:val="22"/>
          <w:szCs w:val="22"/>
        </w:rPr>
        <w:t xml:space="preserve"> will be updated for 2023/24 formula funding allocations and also for updated median phase spending averages. These will both be co</w:t>
      </w:r>
      <w:r w:rsidR="000B3126">
        <w:rPr>
          <w:sz w:val="22"/>
          <w:szCs w:val="22"/>
        </w:rPr>
        <w:t>nfirmed and fixed</w:t>
      </w:r>
      <w:r w:rsidR="00071DCE">
        <w:rPr>
          <w:sz w:val="22"/>
          <w:szCs w:val="22"/>
        </w:rPr>
        <w:t xml:space="preserve"> in February 2023.</w:t>
      </w:r>
    </w:p>
    <w:p w:rsidR="00555EED" w:rsidRPr="00555EED" w:rsidRDefault="00555EED" w:rsidP="00555EED">
      <w:pPr>
        <w:pStyle w:val="ListParagraph"/>
        <w:ind w:left="360"/>
        <w:jc w:val="both"/>
        <w:rPr>
          <w:sz w:val="22"/>
          <w:szCs w:val="22"/>
        </w:rPr>
      </w:pPr>
    </w:p>
    <w:p w:rsidR="00BC15E5" w:rsidRPr="00555EED" w:rsidRDefault="00BC15E5" w:rsidP="00BC15E5">
      <w:pPr>
        <w:pStyle w:val="ListParagraph"/>
        <w:numPr>
          <w:ilvl w:val="0"/>
          <w:numId w:val="34"/>
        </w:numPr>
        <w:jc w:val="both"/>
        <w:rPr>
          <w:sz w:val="22"/>
          <w:szCs w:val="22"/>
        </w:rPr>
      </w:pPr>
      <w:r w:rsidRPr="00555EED">
        <w:rPr>
          <w:sz w:val="22"/>
          <w:szCs w:val="22"/>
        </w:rPr>
        <w:t xml:space="preserve">We will continue to protect the previous </w:t>
      </w:r>
      <w:r w:rsidR="001A5B25" w:rsidRPr="00555EED">
        <w:rPr>
          <w:sz w:val="22"/>
          <w:szCs w:val="22"/>
        </w:rPr>
        <w:t xml:space="preserve">SEND </w:t>
      </w:r>
      <w:r w:rsidRPr="00555EED">
        <w:rPr>
          <w:sz w:val="22"/>
          <w:szCs w:val="22"/>
        </w:rPr>
        <w:t xml:space="preserve">Funding Floor allocations (allocations </w:t>
      </w:r>
      <w:r w:rsidR="001A5B25" w:rsidRPr="00555EED">
        <w:rPr>
          <w:sz w:val="22"/>
          <w:szCs w:val="22"/>
        </w:rPr>
        <w:t xml:space="preserve">that were </w:t>
      </w:r>
      <w:r w:rsidRPr="00555EED">
        <w:rPr>
          <w:sz w:val="22"/>
          <w:szCs w:val="22"/>
        </w:rPr>
        <w:t xml:space="preserve">received in 2020/21) for the </w:t>
      </w:r>
      <w:r w:rsidR="001A5B25" w:rsidRPr="00555EED">
        <w:rPr>
          <w:sz w:val="22"/>
          <w:szCs w:val="22"/>
        </w:rPr>
        <w:t xml:space="preserve">specific </w:t>
      </w:r>
      <w:r w:rsidRPr="00555EED">
        <w:rPr>
          <w:sz w:val="22"/>
          <w:szCs w:val="22"/>
        </w:rPr>
        <w:t>identified and named small primary schools and academies, as w</w:t>
      </w:r>
      <w:r w:rsidR="00555EED" w:rsidRPr="00555EED">
        <w:rPr>
          <w:sz w:val="22"/>
          <w:szCs w:val="22"/>
        </w:rPr>
        <w:t>e have done for the current 2022/23</w:t>
      </w:r>
      <w:r w:rsidRPr="00555EED">
        <w:rPr>
          <w:sz w:val="22"/>
          <w:szCs w:val="22"/>
        </w:rPr>
        <w:t xml:space="preserve"> financial year.</w:t>
      </w:r>
    </w:p>
    <w:p w:rsidR="00BC15E5" w:rsidRPr="00555EED" w:rsidRDefault="00BC15E5" w:rsidP="00BC15E5">
      <w:pPr>
        <w:pStyle w:val="ListParagraph"/>
        <w:ind w:left="360"/>
        <w:jc w:val="both"/>
        <w:rPr>
          <w:sz w:val="22"/>
          <w:szCs w:val="22"/>
        </w:rPr>
      </w:pPr>
    </w:p>
    <w:p w:rsidR="00BC15E5" w:rsidRPr="00555EED" w:rsidRDefault="00BC15E5" w:rsidP="00BC15E5">
      <w:pPr>
        <w:pStyle w:val="ListParagraph"/>
        <w:numPr>
          <w:ilvl w:val="0"/>
          <w:numId w:val="34"/>
        </w:numPr>
        <w:jc w:val="both"/>
        <w:rPr>
          <w:sz w:val="22"/>
          <w:szCs w:val="22"/>
        </w:rPr>
      </w:pPr>
      <w:r w:rsidRPr="00555EED">
        <w:rPr>
          <w:sz w:val="22"/>
          <w:szCs w:val="22"/>
        </w:rPr>
        <w:t xml:space="preserve">The SEND Funding Floor will continue not </w:t>
      </w:r>
      <w:r w:rsidR="001A5B25" w:rsidRPr="00555EED">
        <w:rPr>
          <w:sz w:val="22"/>
          <w:szCs w:val="22"/>
        </w:rPr>
        <w:t xml:space="preserve">to </w:t>
      </w:r>
      <w:r w:rsidRPr="00555EED">
        <w:rPr>
          <w:sz w:val="22"/>
          <w:szCs w:val="22"/>
        </w:rPr>
        <w:t xml:space="preserve">apply to early years providers. This is because Element 2 funding is allocated in addition to </w:t>
      </w:r>
      <w:r w:rsidR="00D32993" w:rsidRPr="00555EED">
        <w:rPr>
          <w:sz w:val="22"/>
          <w:szCs w:val="22"/>
        </w:rPr>
        <w:t>top-up</w:t>
      </w:r>
      <w:r w:rsidRPr="00555EED">
        <w:rPr>
          <w:sz w:val="22"/>
          <w:szCs w:val="22"/>
        </w:rPr>
        <w:t xml:space="preserve"> funding for children with EHCPs in early years settings. There is therefore, no additional pressure placed on early years providers in respect specifically of having to fund £6,000 to contribute to the cost of an EHCP. </w:t>
      </w:r>
    </w:p>
    <w:p w:rsidR="00BC15E5" w:rsidRPr="00555EED" w:rsidRDefault="00BC15E5" w:rsidP="00BC15E5">
      <w:pPr>
        <w:pStyle w:val="ListParagraph"/>
        <w:rPr>
          <w:sz w:val="22"/>
          <w:szCs w:val="22"/>
        </w:rPr>
      </w:pPr>
    </w:p>
    <w:p w:rsidR="00BC15E5" w:rsidRDefault="00BC15E5" w:rsidP="000B3126">
      <w:pPr>
        <w:pStyle w:val="ListParagraph"/>
        <w:numPr>
          <w:ilvl w:val="0"/>
          <w:numId w:val="34"/>
        </w:numPr>
        <w:jc w:val="both"/>
        <w:rPr>
          <w:sz w:val="22"/>
          <w:szCs w:val="22"/>
        </w:rPr>
      </w:pPr>
      <w:r w:rsidRPr="00555EED">
        <w:rPr>
          <w:sz w:val="22"/>
          <w:szCs w:val="22"/>
        </w:rPr>
        <w:t>The SEND Floor also will continue not apply to pos</w:t>
      </w:r>
      <w:r w:rsidR="00555EED" w:rsidRPr="00555EED">
        <w:rPr>
          <w:sz w:val="22"/>
          <w:szCs w:val="22"/>
        </w:rPr>
        <w:t>t-</w:t>
      </w:r>
      <w:r w:rsidRPr="00555EED">
        <w:rPr>
          <w:sz w:val="22"/>
          <w:szCs w:val="22"/>
        </w:rPr>
        <w:t>16 EHCPs (and Further Education</w:t>
      </w:r>
      <w:r w:rsidR="001A5B25" w:rsidRPr="00555EED">
        <w:rPr>
          <w:sz w:val="22"/>
          <w:szCs w:val="22"/>
        </w:rPr>
        <w:t xml:space="preserve"> high needs</w:t>
      </w:r>
      <w:r w:rsidRPr="00555EED">
        <w:rPr>
          <w:sz w:val="22"/>
          <w:szCs w:val="22"/>
        </w:rPr>
        <w:t xml:space="preserve"> provision). This is because Element 2 funding is already allocated on an agreed lagged basis.</w:t>
      </w:r>
    </w:p>
    <w:p w:rsidR="00EC4DAB" w:rsidRPr="00EC4DAB" w:rsidRDefault="00EC4DAB" w:rsidP="00EC4DAB">
      <w:pPr>
        <w:jc w:val="both"/>
        <w:rPr>
          <w:sz w:val="22"/>
          <w:szCs w:val="22"/>
        </w:rPr>
      </w:pPr>
    </w:p>
    <w:p w:rsidR="00E06A8E" w:rsidRDefault="00BC15E5" w:rsidP="00355873">
      <w:pPr>
        <w:pStyle w:val="ListParagraph"/>
        <w:numPr>
          <w:ilvl w:val="0"/>
          <w:numId w:val="34"/>
        </w:numPr>
        <w:jc w:val="both"/>
        <w:rPr>
          <w:sz w:val="22"/>
          <w:szCs w:val="22"/>
        </w:rPr>
      </w:pPr>
      <w:r w:rsidRPr="00555EED">
        <w:rPr>
          <w:sz w:val="22"/>
          <w:szCs w:val="22"/>
        </w:rPr>
        <w:t>Further review, incorporating</w:t>
      </w:r>
      <w:r w:rsidR="00555EED" w:rsidRPr="00555EED">
        <w:rPr>
          <w:sz w:val="22"/>
          <w:szCs w:val="22"/>
        </w:rPr>
        <w:t xml:space="preserve"> the implications of the DfE’s national Review</w:t>
      </w:r>
      <w:r w:rsidRPr="00555EED">
        <w:rPr>
          <w:sz w:val="22"/>
          <w:szCs w:val="22"/>
        </w:rPr>
        <w:t>, will determine the position of the SEN</w:t>
      </w:r>
      <w:r w:rsidR="00555EED" w:rsidRPr="00555EED">
        <w:rPr>
          <w:sz w:val="22"/>
          <w:szCs w:val="22"/>
        </w:rPr>
        <w:t>D Funding Floor after 2023/24</w:t>
      </w:r>
      <w:r w:rsidRPr="00555EED">
        <w:rPr>
          <w:sz w:val="22"/>
          <w:szCs w:val="22"/>
        </w:rPr>
        <w:t>.</w:t>
      </w:r>
      <w:r w:rsidR="001A5B25" w:rsidRPr="00555EED">
        <w:rPr>
          <w:sz w:val="22"/>
          <w:szCs w:val="22"/>
        </w:rPr>
        <w:t xml:space="preserve"> We are only proposing at this stage to extend our existing arrangement for a further financial year.</w:t>
      </w:r>
    </w:p>
    <w:p w:rsidR="000B3126" w:rsidRPr="00555EED" w:rsidRDefault="000B3126" w:rsidP="000B3126">
      <w:pPr>
        <w:pStyle w:val="ListParagraph"/>
        <w:ind w:left="360"/>
        <w:jc w:val="both"/>
        <w:rPr>
          <w:sz w:val="22"/>
          <w:szCs w:val="22"/>
        </w:rPr>
      </w:pPr>
    </w:p>
    <w:p w:rsidR="00535AAB" w:rsidRDefault="00D93908" w:rsidP="00535AAB">
      <w:pPr>
        <w:jc w:val="both"/>
        <w:rPr>
          <w:b/>
          <w:color w:val="548DD4" w:themeColor="text2" w:themeTint="99"/>
          <w:sz w:val="22"/>
          <w:szCs w:val="22"/>
        </w:rPr>
      </w:pPr>
      <w:r>
        <w:rPr>
          <w:b/>
          <w:color w:val="548DD4" w:themeColor="text2" w:themeTint="99"/>
          <w:sz w:val="22"/>
          <w:szCs w:val="22"/>
        </w:rPr>
        <w:t>Question 9</w:t>
      </w:r>
      <w:r w:rsidR="005F6CF2">
        <w:rPr>
          <w:b/>
          <w:color w:val="548DD4" w:themeColor="text2" w:themeTint="99"/>
          <w:sz w:val="22"/>
          <w:szCs w:val="22"/>
        </w:rPr>
        <w:t xml:space="preserve"> – Do you agree </w:t>
      </w:r>
      <w:r w:rsidR="00995BAA">
        <w:rPr>
          <w:b/>
          <w:color w:val="548DD4" w:themeColor="text2" w:themeTint="99"/>
          <w:sz w:val="22"/>
          <w:szCs w:val="22"/>
        </w:rPr>
        <w:t xml:space="preserve">with </w:t>
      </w:r>
      <w:r w:rsidR="005F6CF2">
        <w:rPr>
          <w:b/>
          <w:color w:val="548DD4" w:themeColor="text2" w:themeTint="99"/>
          <w:sz w:val="22"/>
          <w:szCs w:val="22"/>
        </w:rPr>
        <w:t>the continuation</w:t>
      </w:r>
      <w:r w:rsidR="00995BAA">
        <w:rPr>
          <w:b/>
          <w:color w:val="548DD4" w:themeColor="text2" w:themeTint="99"/>
          <w:sz w:val="22"/>
          <w:szCs w:val="22"/>
        </w:rPr>
        <w:t xml:space="preserve"> of</w:t>
      </w:r>
      <w:r w:rsidR="00BC15E5">
        <w:rPr>
          <w:b/>
          <w:color w:val="548DD4" w:themeColor="text2" w:themeTint="99"/>
          <w:sz w:val="22"/>
          <w:szCs w:val="22"/>
        </w:rPr>
        <w:t xml:space="preserve"> our </w:t>
      </w:r>
      <w:r w:rsidR="00535AAB">
        <w:rPr>
          <w:b/>
          <w:color w:val="548DD4" w:themeColor="text2" w:themeTint="99"/>
          <w:sz w:val="22"/>
          <w:szCs w:val="22"/>
        </w:rPr>
        <w:t>SEND Funding</w:t>
      </w:r>
      <w:r w:rsidR="005F6CF2">
        <w:rPr>
          <w:b/>
          <w:color w:val="548DD4" w:themeColor="text2" w:themeTint="99"/>
          <w:sz w:val="22"/>
          <w:szCs w:val="22"/>
        </w:rPr>
        <w:t xml:space="preserve"> Floor mechanism</w:t>
      </w:r>
      <w:r w:rsidR="00F84DB6">
        <w:rPr>
          <w:b/>
          <w:color w:val="548DD4" w:themeColor="text2" w:themeTint="99"/>
          <w:sz w:val="22"/>
          <w:szCs w:val="22"/>
        </w:rPr>
        <w:t xml:space="preserve"> </w:t>
      </w:r>
      <w:r w:rsidR="005F6CF2">
        <w:rPr>
          <w:b/>
          <w:color w:val="548DD4" w:themeColor="text2" w:themeTint="99"/>
          <w:sz w:val="22"/>
          <w:szCs w:val="22"/>
        </w:rPr>
        <w:t>in 2023/24, as proposed</w:t>
      </w:r>
      <w:r w:rsidR="00535AAB">
        <w:rPr>
          <w:b/>
          <w:color w:val="548DD4" w:themeColor="text2" w:themeTint="99"/>
          <w:sz w:val="22"/>
          <w:szCs w:val="22"/>
        </w:rPr>
        <w:t>? If not, please can you explain why not.</w:t>
      </w:r>
    </w:p>
    <w:p w:rsidR="00535AAB" w:rsidRDefault="00535AAB" w:rsidP="00535AAB">
      <w:pPr>
        <w:jc w:val="both"/>
        <w:rPr>
          <w:b/>
          <w:color w:val="548DD4" w:themeColor="text2" w:themeTint="99"/>
          <w:sz w:val="22"/>
          <w:szCs w:val="22"/>
        </w:rPr>
      </w:pPr>
    </w:p>
    <w:p w:rsidR="00535AAB" w:rsidRDefault="00D93908" w:rsidP="00535AAB">
      <w:pPr>
        <w:jc w:val="both"/>
        <w:rPr>
          <w:b/>
          <w:color w:val="548DD4" w:themeColor="text2" w:themeTint="99"/>
          <w:sz w:val="22"/>
          <w:szCs w:val="22"/>
        </w:rPr>
      </w:pPr>
      <w:r>
        <w:rPr>
          <w:b/>
          <w:color w:val="548DD4" w:themeColor="text2" w:themeTint="99"/>
          <w:sz w:val="22"/>
          <w:szCs w:val="22"/>
        </w:rPr>
        <w:t xml:space="preserve">Question 10 </w:t>
      </w:r>
      <w:r w:rsidR="00535AAB">
        <w:rPr>
          <w:b/>
          <w:color w:val="548DD4" w:themeColor="text2" w:themeTint="99"/>
          <w:sz w:val="22"/>
          <w:szCs w:val="22"/>
        </w:rPr>
        <w:t>– Do you have any comments (including tech</w:t>
      </w:r>
      <w:r w:rsidR="008F7E04">
        <w:rPr>
          <w:b/>
          <w:color w:val="548DD4" w:themeColor="text2" w:themeTint="99"/>
          <w:sz w:val="22"/>
          <w:szCs w:val="22"/>
        </w:rPr>
        <w:t>nical comments) on the</w:t>
      </w:r>
      <w:r w:rsidR="003639CA">
        <w:rPr>
          <w:b/>
          <w:color w:val="548DD4" w:themeColor="text2" w:themeTint="99"/>
          <w:sz w:val="22"/>
          <w:szCs w:val="22"/>
        </w:rPr>
        <w:t xml:space="preserve"> SEND Funding Floor</w:t>
      </w:r>
      <w:r w:rsidR="00535AAB">
        <w:rPr>
          <w:b/>
          <w:color w:val="548DD4" w:themeColor="text2" w:themeTint="99"/>
          <w:sz w:val="22"/>
          <w:szCs w:val="22"/>
        </w:rPr>
        <w:t xml:space="preserve"> mechanism you would like the Authority to consider? </w:t>
      </w:r>
    </w:p>
    <w:p w:rsidR="00A50BBF" w:rsidRDefault="00A50BBF" w:rsidP="00535AAB">
      <w:pPr>
        <w:jc w:val="both"/>
        <w:rPr>
          <w:b/>
          <w:color w:val="548DD4" w:themeColor="text2" w:themeTint="99"/>
          <w:sz w:val="22"/>
          <w:szCs w:val="22"/>
        </w:rPr>
      </w:pPr>
    </w:p>
    <w:p w:rsidR="00A50BBF" w:rsidRPr="00A50BBF" w:rsidRDefault="00D93908" w:rsidP="00A50BBF">
      <w:pPr>
        <w:jc w:val="both"/>
        <w:rPr>
          <w:b/>
          <w:color w:val="548DD4" w:themeColor="text2" w:themeTint="99"/>
          <w:sz w:val="22"/>
          <w:szCs w:val="22"/>
        </w:rPr>
      </w:pPr>
      <w:r>
        <w:rPr>
          <w:b/>
          <w:color w:val="548DD4" w:themeColor="text2" w:themeTint="99"/>
          <w:sz w:val="22"/>
          <w:szCs w:val="22"/>
        </w:rPr>
        <w:t xml:space="preserve">Question 11 - </w:t>
      </w:r>
      <w:r w:rsidR="00A50BBF" w:rsidRPr="00A50BBF">
        <w:rPr>
          <w:b/>
          <w:color w:val="548DD4" w:themeColor="text2" w:themeTint="99"/>
          <w:sz w:val="22"/>
          <w:szCs w:val="22"/>
        </w:rPr>
        <w:t xml:space="preserve"> Are there any changes that you would wish to see ma</w:t>
      </w:r>
      <w:r w:rsidR="005F6CF2">
        <w:rPr>
          <w:b/>
          <w:color w:val="548DD4" w:themeColor="text2" w:themeTint="99"/>
          <w:sz w:val="22"/>
          <w:szCs w:val="22"/>
        </w:rPr>
        <w:t>de to the funding models in 2023/24</w:t>
      </w:r>
      <w:r w:rsidR="00BC15E5">
        <w:rPr>
          <w:b/>
          <w:color w:val="548DD4" w:themeColor="text2" w:themeTint="99"/>
          <w:sz w:val="22"/>
          <w:szCs w:val="22"/>
        </w:rPr>
        <w:t xml:space="preserve"> that have not been proposed</w:t>
      </w:r>
      <w:r w:rsidR="00A50BBF" w:rsidRPr="00A50BBF">
        <w:rPr>
          <w:b/>
          <w:color w:val="548DD4" w:themeColor="text2" w:themeTint="99"/>
          <w:sz w:val="22"/>
          <w:szCs w:val="22"/>
        </w:rPr>
        <w:t>? Please give details.</w:t>
      </w:r>
    </w:p>
    <w:p w:rsidR="00A50BBF" w:rsidRDefault="00A50BBF" w:rsidP="00A50BBF">
      <w:pPr>
        <w:jc w:val="both"/>
        <w:rPr>
          <w:b/>
          <w:color w:val="548DD4" w:themeColor="text2" w:themeTint="99"/>
          <w:sz w:val="22"/>
          <w:szCs w:val="22"/>
        </w:rPr>
      </w:pPr>
    </w:p>
    <w:p w:rsidR="00A50BBF" w:rsidRPr="00A50BBF" w:rsidRDefault="00D93908" w:rsidP="00A50BBF">
      <w:pPr>
        <w:jc w:val="both"/>
        <w:rPr>
          <w:b/>
          <w:color w:val="548DD4" w:themeColor="text2" w:themeTint="99"/>
          <w:sz w:val="22"/>
          <w:szCs w:val="22"/>
        </w:rPr>
      </w:pPr>
      <w:r>
        <w:rPr>
          <w:b/>
          <w:color w:val="548DD4" w:themeColor="text2" w:themeTint="99"/>
          <w:sz w:val="22"/>
          <w:szCs w:val="22"/>
        </w:rPr>
        <w:t>Question 12</w:t>
      </w:r>
      <w:r w:rsidR="00A50BBF" w:rsidRPr="00A50BBF">
        <w:rPr>
          <w:b/>
          <w:color w:val="548DD4" w:themeColor="text2" w:themeTint="99"/>
          <w:sz w:val="22"/>
          <w:szCs w:val="22"/>
        </w:rPr>
        <w:t xml:space="preserve"> – Do you have any other comments on the funding model or the proposals that you have not recorded elsewhere?</w:t>
      </w:r>
    </w:p>
    <w:p w:rsidR="008F703A" w:rsidRDefault="008F703A" w:rsidP="00355873">
      <w:pPr>
        <w:jc w:val="both"/>
        <w:rPr>
          <w:b/>
          <w:sz w:val="22"/>
          <w:szCs w:val="22"/>
        </w:rPr>
      </w:pPr>
    </w:p>
    <w:p w:rsidR="00861DEC" w:rsidRDefault="00861DEC" w:rsidP="00355873">
      <w:pPr>
        <w:jc w:val="both"/>
        <w:rPr>
          <w:b/>
          <w:sz w:val="22"/>
          <w:szCs w:val="22"/>
        </w:rPr>
      </w:pPr>
    </w:p>
    <w:p w:rsidR="00C6158B" w:rsidRDefault="005F6CF2" w:rsidP="00355873">
      <w:pPr>
        <w:jc w:val="both"/>
        <w:rPr>
          <w:b/>
          <w:sz w:val="22"/>
          <w:szCs w:val="22"/>
        </w:rPr>
      </w:pPr>
      <w:r>
        <w:rPr>
          <w:b/>
          <w:sz w:val="22"/>
          <w:szCs w:val="22"/>
        </w:rPr>
        <w:t>12</w:t>
      </w:r>
      <w:r w:rsidR="00C6158B">
        <w:rPr>
          <w:b/>
          <w:sz w:val="22"/>
          <w:szCs w:val="22"/>
        </w:rPr>
        <w:t>.</w:t>
      </w:r>
      <w:r w:rsidR="00C6158B">
        <w:rPr>
          <w:b/>
          <w:sz w:val="22"/>
          <w:szCs w:val="22"/>
        </w:rPr>
        <w:tab/>
        <w:t>Consultation Responses</w:t>
      </w:r>
    </w:p>
    <w:p w:rsidR="00300DA2" w:rsidRDefault="00300DA2" w:rsidP="00355873">
      <w:pPr>
        <w:jc w:val="both"/>
        <w:rPr>
          <w:sz w:val="22"/>
          <w:szCs w:val="22"/>
        </w:rPr>
      </w:pPr>
    </w:p>
    <w:p w:rsidR="005713E2" w:rsidRDefault="005713E2" w:rsidP="005713E2">
      <w:pPr>
        <w:jc w:val="both"/>
        <w:rPr>
          <w:sz w:val="22"/>
          <w:szCs w:val="22"/>
        </w:rPr>
      </w:pPr>
      <w:r>
        <w:rPr>
          <w:sz w:val="22"/>
          <w:szCs w:val="22"/>
        </w:rPr>
        <w:t>12</w:t>
      </w:r>
      <w:r w:rsidRPr="004D74CA">
        <w:rPr>
          <w:sz w:val="22"/>
          <w:szCs w:val="22"/>
        </w:rPr>
        <w:t>.1 If you wish to discuss these proposals in m</w:t>
      </w:r>
      <w:r>
        <w:rPr>
          <w:sz w:val="22"/>
          <w:szCs w:val="22"/>
        </w:rPr>
        <w:t>ore detail, or have any</w:t>
      </w:r>
      <w:r w:rsidRPr="004D74CA">
        <w:rPr>
          <w:sz w:val="22"/>
          <w:szCs w:val="22"/>
        </w:rPr>
        <w:t xml:space="preserve"> questions</w:t>
      </w:r>
      <w:r>
        <w:rPr>
          <w:sz w:val="22"/>
          <w:szCs w:val="22"/>
        </w:rPr>
        <w:t xml:space="preserve"> for clarification, before you submit a response, please contact Dawn Haigh</w:t>
      </w:r>
      <w:r w:rsidRPr="00DA3A4D">
        <w:rPr>
          <w:sz w:val="22"/>
          <w:szCs w:val="22"/>
        </w:rPr>
        <w:t xml:space="preserve"> using </w:t>
      </w:r>
      <w:r w:rsidRPr="004D74CA">
        <w:rPr>
          <w:sz w:val="22"/>
          <w:szCs w:val="22"/>
        </w:rPr>
        <w:t xml:space="preserve">the contact details shown in </w:t>
      </w:r>
      <w:r>
        <w:rPr>
          <w:sz w:val="22"/>
          <w:szCs w:val="22"/>
        </w:rPr>
        <w:t>section</w:t>
      </w:r>
      <w:r w:rsidRPr="004D74CA">
        <w:rPr>
          <w:sz w:val="22"/>
          <w:szCs w:val="22"/>
        </w:rPr>
        <w:t xml:space="preserve"> 1.</w:t>
      </w:r>
    </w:p>
    <w:p w:rsidR="005713E2" w:rsidRDefault="005713E2" w:rsidP="005713E2">
      <w:pPr>
        <w:jc w:val="both"/>
        <w:rPr>
          <w:sz w:val="22"/>
          <w:szCs w:val="22"/>
        </w:rPr>
      </w:pPr>
    </w:p>
    <w:p w:rsidR="005713E2" w:rsidRPr="004D74CA" w:rsidRDefault="005713E2" w:rsidP="005713E2">
      <w:pPr>
        <w:jc w:val="both"/>
        <w:rPr>
          <w:sz w:val="22"/>
          <w:szCs w:val="22"/>
        </w:rPr>
      </w:pPr>
      <w:r>
        <w:rPr>
          <w:bCs/>
          <w:sz w:val="22"/>
          <w:szCs w:val="22"/>
        </w:rPr>
        <w:t>12</w:t>
      </w:r>
      <w:r w:rsidRPr="005A5607">
        <w:rPr>
          <w:bCs/>
          <w:sz w:val="22"/>
          <w:szCs w:val="22"/>
        </w:rPr>
        <w:t>.2 A respons</w:t>
      </w:r>
      <w:r>
        <w:rPr>
          <w:bCs/>
          <w:sz w:val="22"/>
          <w:szCs w:val="22"/>
        </w:rPr>
        <w:t>e form is included at Appendix 6</w:t>
      </w:r>
      <w:r w:rsidRPr="005A5607">
        <w:rPr>
          <w:bCs/>
          <w:sz w:val="22"/>
          <w:szCs w:val="22"/>
        </w:rPr>
        <w:t>. However, this year we have introduced a web-based questionnaire, which we encourage you to use to submit your response</w:t>
      </w:r>
      <w:r w:rsidRPr="00092B92">
        <w:rPr>
          <w:bCs/>
          <w:sz w:val="22"/>
          <w:szCs w:val="22"/>
        </w:rPr>
        <w:t xml:space="preserve">. Please access the web-based questionnaire </w:t>
      </w:r>
      <w:hyperlink r:id="rId20" w:history="1">
        <w:r w:rsidRPr="002C30BA">
          <w:rPr>
            <w:rStyle w:val="Hyperlink"/>
            <w:bCs/>
            <w:sz w:val="22"/>
            <w:szCs w:val="22"/>
          </w:rPr>
          <w:t>here</w:t>
        </w:r>
      </w:hyperlink>
      <w:r w:rsidRPr="002C30BA">
        <w:rPr>
          <w:bCs/>
          <w:sz w:val="22"/>
          <w:szCs w:val="22"/>
        </w:rPr>
        <w:t>.</w:t>
      </w:r>
    </w:p>
    <w:p w:rsidR="005713E2" w:rsidRDefault="005713E2" w:rsidP="005713E2">
      <w:pPr>
        <w:jc w:val="both"/>
        <w:rPr>
          <w:sz w:val="22"/>
          <w:szCs w:val="22"/>
        </w:rPr>
      </w:pPr>
    </w:p>
    <w:p w:rsidR="005713E2" w:rsidRPr="004D74CA" w:rsidRDefault="005713E2" w:rsidP="005713E2">
      <w:pPr>
        <w:jc w:val="both"/>
        <w:rPr>
          <w:sz w:val="22"/>
          <w:szCs w:val="22"/>
        </w:rPr>
      </w:pPr>
      <w:r>
        <w:rPr>
          <w:sz w:val="22"/>
          <w:szCs w:val="22"/>
        </w:rPr>
        <w:t>12.3</w:t>
      </w:r>
      <w:r w:rsidRPr="004D74CA">
        <w:rPr>
          <w:sz w:val="22"/>
          <w:szCs w:val="22"/>
        </w:rPr>
        <w:t xml:space="preserve"> Please ensure that your response is submitted</w:t>
      </w:r>
      <w:r>
        <w:rPr>
          <w:sz w:val="22"/>
          <w:szCs w:val="22"/>
        </w:rPr>
        <w:t xml:space="preserve"> (either using the Appendix 6 form or by using the web-based questionnaire)</w:t>
      </w:r>
      <w:r w:rsidRPr="004D74CA">
        <w:rPr>
          <w:sz w:val="22"/>
          <w:szCs w:val="22"/>
        </w:rPr>
        <w:t xml:space="preserve"> by the </w:t>
      </w:r>
      <w:r w:rsidRPr="00ED7829">
        <w:rPr>
          <w:sz w:val="22"/>
          <w:szCs w:val="22"/>
        </w:rPr>
        <w:t xml:space="preserve">deadline </w:t>
      </w:r>
      <w:r w:rsidRPr="00F60A2C">
        <w:rPr>
          <w:color w:val="000000" w:themeColor="text1"/>
          <w:sz w:val="22"/>
          <w:szCs w:val="22"/>
        </w:rPr>
        <w:t xml:space="preserve">of </w:t>
      </w:r>
      <w:r w:rsidRPr="00F60A2C">
        <w:rPr>
          <w:b/>
          <w:bCs/>
          <w:color w:val="000000" w:themeColor="text1"/>
          <w:sz w:val="22"/>
          <w:szCs w:val="22"/>
        </w:rPr>
        <w:t xml:space="preserve">Tuesday </w:t>
      </w:r>
      <w:r>
        <w:rPr>
          <w:b/>
          <w:bCs/>
          <w:color w:val="000000" w:themeColor="text1"/>
          <w:sz w:val="22"/>
          <w:szCs w:val="22"/>
        </w:rPr>
        <w:t>29</w:t>
      </w:r>
      <w:r w:rsidRPr="00F60A2C">
        <w:rPr>
          <w:b/>
          <w:bCs/>
          <w:color w:val="000000" w:themeColor="text1"/>
          <w:sz w:val="22"/>
          <w:szCs w:val="22"/>
        </w:rPr>
        <w:t xml:space="preserve"> November 202</w:t>
      </w:r>
      <w:r>
        <w:rPr>
          <w:b/>
          <w:bCs/>
          <w:color w:val="000000" w:themeColor="text1"/>
          <w:sz w:val="22"/>
          <w:szCs w:val="22"/>
        </w:rPr>
        <w:t>2</w:t>
      </w:r>
      <w:r w:rsidRPr="00F60A2C">
        <w:rPr>
          <w:b/>
          <w:bCs/>
          <w:color w:val="000000" w:themeColor="text1"/>
          <w:sz w:val="22"/>
          <w:szCs w:val="22"/>
        </w:rPr>
        <w:t xml:space="preserve">. </w:t>
      </w:r>
      <w:r w:rsidRPr="00ED7829">
        <w:rPr>
          <w:bCs/>
          <w:sz w:val="22"/>
          <w:szCs w:val="22"/>
        </w:rPr>
        <w:t xml:space="preserve">Any </w:t>
      </w:r>
      <w:r w:rsidRPr="004D74CA">
        <w:rPr>
          <w:bCs/>
          <w:sz w:val="22"/>
          <w:szCs w:val="22"/>
        </w:rPr>
        <w:t>responses r</w:t>
      </w:r>
      <w:r>
        <w:rPr>
          <w:bCs/>
          <w:sz w:val="22"/>
          <w:szCs w:val="22"/>
        </w:rPr>
        <w:t>eceived after this date</w:t>
      </w:r>
      <w:r w:rsidRPr="004D74CA">
        <w:rPr>
          <w:bCs/>
          <w:sz w:val="22"/>
          <w:szCs w:val="22"/>
        </w:rPr>
        <w:t xml:space="preserve"> may not be included</w:t>
      </w:r>
      <w:r>
        <w:rPr>
          <w:bCs/>
          <w:sz w:val="22"/>
          <w:szCs w:val="22"/>
        </w:rPr>
        <w:t xml:space="preserve"> in the analysis that will presented to the Schools Forum.</w:t>
      </w:r>
    </w:p>
    <w:p w:rsidR="009416E9" w:rsidRDefault="009416E9" w:rsidP="00355873">
      <w:pPr>
        <w:jc w:val="both"/>
        <w:rPr>
          <w:sz w:val="22"/>
          <w:szCs w:val="22"/>
        </w:rPr>
      </w:pPr>
    </w:p>
    <w:p w:rsidR="005F6CF2" w:rsidRPr="00E724B2" w:rsidRDefault="005F6CF2" w:rsidP="00355873">
      <w:pPr>
        <w:jc w:val="both"/>
        <w:rPr>
          <w:sz w:val="22"/>
          <w:szCs w:val="22"/>
        </w:rPr>
      </w:pPr>
    </w:p>
    <w:p w:rsidR="00C6158B" w:rsidRDefault="005F6CF2" w:rsidP="00355873">
      <w:pPr>
        <w:jc w:val="both"/>
        <w:rPr>
          <w:b/>
          <w:sz w:val="22"/>
          <w:szCs w:val="22"/>
        </w:rPr>
      </w:pPr>
      <w:r>
        <w:rPr>
          <w:b/>
          <w:sz w:val="22"/>
          <w:szCs w:val="22"/>
        </w:rPr>
        <w:t>13</w:t>
      </w:r>
      <w:r w:rsidR="00C6158B">
        <w:rPr>
          <w:b/>
          <w:sz w:val="22"/>
          <w:szCs w:val="22"/>
        </w:rPr>
        <w:t>.</w:t>
      </w:r>
      <w:r w:rsidR="00C6158B">
        <w:rPr>
          <w:b/>
          <w:sz w:val="22"/>
          <w:szCs w:val="22"/>
        </w:rPr>
        <w:tab/>
        <w:t>Next Steps</w:t>
      </w:r>
    </w:p>
    <w:p w:rsidR="00C6158B" w:rsidRDefault="00C6158B" w:rsidP="00355873">
      <w:pPr>
        <w:jc w:val="both"/>
        <w:rPr>
          <w:b/>
          <w:sz w:val="22"/>
          <w:szCs w:val="22"/>
        </w:rPr>
      </w:pPr>
    </w:p>
    <w:p w:rsidR="008D68CD" w:rsidRPr="00496D5B" w:rsidRDefault="005F6CF2" w:rsidP="00355873">
      <w:pPr>
        <w:jc w:val="both"/>
        <w:rPr>
          <w:sz w:val="22"/>
          <w:szCs w:val="22"/>
        </w:rPr>
      </w:pPr>
      <w:r>
        <w:rPr>
          <w:sz w:val="22"/>
          <w:szCs w:val="22"/>
        </w:rPr>
        <w:t>13</w:t>
      </w:r>
      <w:r w:rsidR="008D68CD" w:rsidRPr="00804A84">
        <w:rPr>
          <w:sz w:val="22"/>
          <w:szCs w:val="22"/>
        </w:rPr>
        <w:t>.1 Following consideration of the responses to this consultation</w:t>
      </w:r>
      <w:r w:rsidR="008D68CD">
        <w:rPr>
          <w:sz w:val="22"/>
          <w:szCs w:val="22"/>
        </w:rPr>
        <w:t>,</w:t>
      </w:r>
      <w:r w:rsidR="008D68CD" w:rsidRPr="00804A84">
        <w:rPr>
          <w:sz w:val="22"/>
          <w:szCs w:val="22"/>
        </w:rPr>
        <w:t xml:space="preserve"> and </w:t>
      </w:r>
      <w:r w:rsidR="008D68CD">
        <w:rPr>
          <w:sz w:val="22"/>
          <w:szCs w:val="22"/>
        </w:rPr>
        <w:t xml:space="preserve">of </w:t>
      </w:r>
      <w:r w:rsidR="008D68CD" w:rsidRPr="00804A84">
        <w:rPr>
          <w:sz w:val="22"/>
          <w:szCs w:val="22"/>
        </w:rPr>
        <w:t>the</w:t>
      </w:r>
      <w:r w:rsidR="008D68CD">
        <w:rPr>
          <w:sz w:val="22"/>
          <w:szCs w:val="22"/>
        </w:rPr>
        <w:t xml:space="preserve"> final</w:t>
      </w:r>
      <w:r w:rsidR="008D68CD" w:rsidRPr="00804A84">
        <w:rPr>
          <w:sz w:val="22"/>
          <w:szCs w:val="22"/>
        </w:rPr>
        <w:t xml:space="preserve"> </w:t>
      </w:r>
      <w:r w:rsidR="00EB19CE">
        <w:rPr>
          <w:sz w:val="22"/>
          <w:szCs w:val="22"/>
        </w:rPr>
        <w:t xml:space="preserve">formal </w:t>
      </w:r>
      <w:r w:rsidR="00D04A76">
        <w:rPr>
          <w:sz w:val="22"/>
          <w:szCs w:val="22"/>
        </w:rPr>
        <w:t>view</w:t>
      </w:r>
      <w:r w:rsidR="008D68CD" w:rsidRPr="00804A84">
        <w:rPr>
          <w:sz w:val="22"/>
          <w:szCs w:val="22"/>
        </w:rPr>
        <w:t xml:space="preserve"> of the Schools Forum, </w:t>
      </w:r>
      <w:r w:rsidR="008D68CD">
        <w:rPr>
          <w:sz w:val="22"/>
          <w:szCs w:val="22"/>
        </w:rPr>
        <w:t>o</w:t>
      </w:r>
      <w:r w:rsidR="009C079C">
        <w:rPr>
          <w:sz w:val="22"/>
          <w:szCs w:val="22"/>
        </w:rPr>
        <w:t>ur high needs funding approach</w:t>
      </w:r>
      <w:r w:rsidR="008D68CD">
        <w:rPr>
          <w:sz w:val="22"/>
          <w:szCs w:val="22"/>
        </w:rPr>
        <w:t xml:space="preserve"> </w:t>
      </w:r>
      <w:r w:rsidR="008D68CD" w:rsidRPr="00804A84">
        <w:rPr>
          <w:sz w:val="22"/>
          <w:szCs w:val="22"/>
        </w:rPr>
        <w:t xml:space="preserve">will be </w:t>
      </w:r>
      <w:r w:rsidR="0058613E">
        <w:rPr>
          <w:sz w:val="22"/>
          <w:szCs w:val="22"/>
        </w:rPr>
        <w:t xml:space="preserve">agreed by </w:t>
      </w:r>
      <w:r w:rsidR="008D68CD">
        <w:rPr>
          <w:sz w:val="22"/>
          <w:szCs w:val="22"/>
        </w:rPr>
        <w:t>Coun</w:t>
      </w:r>
      <w:r>
        <w:rPr>
          <w:sz w:val="22"/>
          <w:szCs w:val="22"/>
        </w:rPr>
        <w:t>cil in February 2023</w:t>
      </w:r>
      <w:r w:rsidR="008D68CD" w:rsidRPr="00804A84">
        <w:rPr>
          <w:sz w:val="22"/>
          <w:szCs w:val="22"/>
        </w:rPr>
        <w:t>.</w:t>
      </w:r>
    </w:p>
    <w:p w:rsidR="008D68CD" w:rsidRDefault="008D68CD" w:rsidP="00355873">
      <w:pPr>
        <w:jc w:val="both"/>
        <w:rPr>
          <w:sz w:val="22"/>
          <w:szCs w:val="22"/>
        </w:rPr>
      </w:pPr>
    </w:p>
    <w:p w:rsidR="009C079C" w:rsidRDefault="005F6CF2" w:rsidP="00355873">
      <w:pPr>
        <w:jc w:val="both"/>
        <w:rPr>
          <w:sz w:val="22"/>
          <w:szCs w:val="22"/>
        </w:rPr>
      </w:pPr>
      <w:r>
        <w:rPr>
          <w:sz w:val="22"/>
          <w:szCs w:val="22"/>
        </w:rPr>
        <w:t>13</w:t>
      </w:r>
      <w:r w:rsidR="008D68CD">
        <w:rPr>
          <w:sz w:val="22"/>
          <w:szCs w:val="22"/>
        </w:rPr>
        <w:t xml:space="preserve">.2 </w:t>
      </w:r>
      <w:r w:rsidR="008D68CD" w:rsidRPr="00496D5B">
        <w:rPr>
          <w:sz w:val="22"/>
          <w:szCs w:val="22"/>
        </w:rPr>
        <w:t xml:space="preserve">It is anticipated that the Schools Forum will </w:t>
      </w:r>
      <w:r w:rsidR="00D04A76">
        <w:rPr>
          <w:sz w:val="22"/>
          <w:szCs w:val="22"/>
        </w:rPr>
        <w:t>give the Authority its final</w:t>
      </w:r>
      <w:r w:rsidR="00EB19CE">
        <w:rPr>
          <w:sz w:val="22"/>
          <w:szCs w:val="22"/>
        </w:rPr>
        <w:t xml:space="preserve"> formal</w:t>
      </w:r>
      <w:r w:rsidR="00D04A76">
        <w:rPr>
          <w:sz w:val="22"/>
          <w:szCs w:val="22"/>
        </w:rPr>
        <w:t xml:space="preserve"> view </w:t>
      </w:r>
      <w:r>
        <w:rPr>
          <w:sz w:val="22"/>
          <w:szCs w:val="22"/>
        </w:rPr>
        <w:t>on 2023/24 arrangements on Wednesday 11 January 2023</w:t>
      </w:r>
      <w:r w:rsidR="008D68CD" w:rsidRPr="00496D5B">
        <w:rPr>
          <w:sz w:val="22"/>
          <w:szCs w:val="22"/>
        </w:rPr>
        <w:t>.</w:t>
      </w:r>
    </w:p>
    <w:p w:rsidR="005F6CF2" w:rsidRDefault="005F6CF2" w:rsidP="00355873">
      <w:pPr>
        <w:jc w:val="both"/>
        <w:rPr>
          <w:sz w:val="22"/>
          <w:szCs w:val="22"/>
        </w:rPr>
      </w:pPr>
    </w:p>
    <w:p w:rsidR="008D68CD" w:rsidRDefault="005F6CF2" w:rsidP="00355873">
      <w:pPr>
        <w:jc w:val="both"/>
        <w:rPr>
          <w:sz w:val="22"/>
          <w:szCs w:val="22"/>
        </w:rPr>
      </w:pPr>
      <w:r>
        <w:rPr>
          <w:sz w:val="22"/>
          <w:szCs w:val="22"/>
        </w:rPr>
        <w:t>13</w:t>
      </w:r>
      <w:r w:rsidR="008D68CD">
        <w:rPr>
          <w:sz w:val="22"/>
          <w:szCs w:val="22"/>
        </w:rPr>
        <w:t>.3 Discussions on the D</w:t>
      </w:r>
      <w:r w:rsidR="00EB19CE">
        <w:rPr>
          <w:sz w:val="22"/>
          <w:szCs w:val="22"/>
        </w:rPr>
        <w:t xml:space="preserve">edicated </w:t>
      </w:r>
      <w:r w:rsidR="008D68CD">
        <w:rPr>
          <w:sz w:val="22"/>
          <w:szCs w:val="22"/>
        </w:rPr>
        <w:t>S</w:t>
      </w:r>
      <w:r w:rsidR="00EB19CE">
        <w:rPr>
          <w:sz w:val="22"/>
          <w:szCs w:val="22"/>
        </w:rPr>
        <w:t xml:space="preserve">chools </w:t>
      </w:r>
      <w:r w:rsidR="008D68CD">
        <w:rPr>
          <w:sz w:val="22"/>
          <w:szCs w:val="22"/>
        </w:rPr>
        <w:t>G</w:t>
      </w:r>
      <w:r w:rsidR="00EB19CE">
        <w:rPr>
          <w:sz w:val="22"/>
          <w:szCs w:val="22"/>
        </w:rPr>
        <w:t>rant funding position,</w:t>
      </w:r>
      <w:r w:rsidR="008D68CD">
        <w:rPr>
          <w:sz w:val="22"/>
          <w:szCs w:val="22"/>
        </w:rPr>
        <w:t xml:space="preserve"> hig</w:t>
      </w:r>
      <w:r>
        <w:rPr>
          <w:sz w:val="22"/>
          <w:szCs w:val="22"/>
        </w:rPr>
        <w:t>h needs funding matters for 2023/24</w:t>
      </w:r>
      <w:r w:rsidR="00EB19CE">
        <w:rPr>
          <w:sz w:val="22"/>
          <w:szCs w:val="22"/>
        </w:rPr>
        <w:t>, and the development and sufficiency of specialist places,</w:t>
      </w:r>
      <w:r w:rsidR="008D68CD">
        <w:rPr>
          <w:sz w:val="22"/>
          <w:szCs w:val="22"/>
        </w:rPr>
        <w:t xml:space="preserve"> </w:t>
      </w:r>
      <w:r w:rsidR="008D68CD" w:rsidRPr="00496D5B">
        <w:rPr>
          <w:sz w:val="22"/>
          <w:szCs w:val="22"/>
        </w:rPr>
        <w:t xml:space="preserve">will </w:t>
      </w:r>
      <w:r w:rsidR="008D68CD">
        <w:rPr>
          <w:sz w:val="22"/>
          <w:szCs w:val="22"/>
        </w:rPr>
        <w:t>continue with</w:t>
      </w:r>
      <w:r w:rsidR="008D68CD" w:rsidRPr="00496D5B">
        <w:rPr>
          <w:sz w:val="22"/>
          <w:szCs w:val="22"/>
        </w:rPr>
        <w:t xml:space="preserve"> the Schools Forum </w:t>
      </w:r>
      <w:r>
        <w:rPr>
          <w:sz w:val="22"/>
          <w:szCs w:val="22"/>
        </w:rPr>
        <w:t>between now and January 2023</w:t>
      </w:r>
      <w:r w:rsidR="008D68CD" w:rsidRPr="00496D5B">
        <w:rPr>
          <w:sz w:val="22"/>
          <w:szCs w:val="22"/>
        </w:rPr>
        <w:t xml:space="preserve">. You are recommended to keep in touch with these discussions by visiting the Schools Forum webpage </w:t>
      </w:r>
      <w:r w:rsidR="008D68CD">
        <w:rPr>
          <w:sz w:val="22"/>
          <w:szCs w:val="22"/>
        </w:rPr>
        <w:t xml:space="preserve">on the Council’s Minutes site </w:t>
      </w:r>
      <w:hyperlink r:id="rId21" w:history="1">
        <w:r w:rsidR="008D68CD" w:rsidRPr="00BB1E24">
          <w:rPr>
            <w:rStyle w:val="Hyperlink"/>
            <w:sz w:val="22"/>
            <w:szCs w:val="22"/>
          </w:rPr>
          <w:t>here</w:t>
        </w:r>
      </w:hyperlink>
      <w:r w:rsidR="008D68CD">
        <w:rPr>
          <w:rStyle w:val="Hyperlink"/>
          <w:sz w:val="22"/>
          <w:szCs w:val="22"/>
        </w:rPr>
        <w:t>.</w:t>
      </w:r>
    </w:p>
    <w:p w:rsidR="00370FE6" w:rsidRDefault="00370FE6" w:rsidP="00C93AF0">
      <w:pPr>
        <w:jc w:val="both"/>
        <w:rPr>
          <w:b/>
          <w:sz w:val="22"/>
          <w:szCs w:val="22"/>
        </w:rPr>
      </w:pPr>
    </w:p>
    <w:p w:rsidR="00370FE6" w:rsidRDefault="00370FE6" w:rsidP="00C93AF0">
      <w:pPr>
        <w:jc w:val="both"/>
        <w:rPr>
          <w:b/>
          <w:sz w:val="22"/>
          <w:szCs w:val="22"/>
        </w:rPr>
      </w:pPr>
    </w:p>
    <w:p w:rsidR="00C93AF0" w:rsidRDefault="005F6CF2" w:rsidP="00C93AF0">
      <w:pPr>
        <w:jc w:val="both"/>
        <w:rPr>
          <w:b/>
          <w:sz w:val="22"/>
          <w:szCs w:val="22"/>
        </w:rPr>
      </w:pPr>
      <w:r>
        <w:rPr>
          <w:b/>
          <w:sz w:val="22"/>
          <w:szCs w:val="22"/>
        </w:rPr>
        <w:t>14</w:t>
      </w:r>
      <w:r w:rsidR="00C93AF0" w:rsidRPr="00EB19CE">
        <w:rPr>
          <w:b/>
          <w:sz w:val="22"/>
          <w:szCs w:val="22"/>
        </w:rPr>
        <w:t>.</w:t>
      </w:r>
      <w:r w:rsidR="00C93AF0" w:rsidRPr="00EB19CE">
        <w:rPr>
          <w:b/>
          <w:sz w:val="22"/>
          <w:szCs w:val="22"/>
        </w:rPr>
        <w:tab/>
        <w:t>Equalities Impact Assessment</w:t>
      </w:r>
    </w:p>
    <w:p w:rsidR="00C93AF0" w:rsidRDefault="00C93AF0" w:rsidP="00355873">
      <w:pPr>
        <w:jc w:val="both"/>
        <w:rPr>
          <w:b/>
          <w:sz w:val="22"/>
          <w:szCs w:val="22"/>
        </w:rPr>
      </w:pPr>
    </w:p>
    <w:p w:rsidR="003602DB" w:rsidRPr="00FF4340" w:rsidRDefault="00025DA7" w:rsidP="003602DB">
      <w:pPr>
        <w:jc w:val="both"/>
        <w:rPr>
          <w:color w:val="000000" w:themeColor="text1"/>
          <w:sz w:val="22"/>
          <w:szCs w:val="22"/>
        </w:rPr>
      </w:pPr>
      <w:r>
        <w:rPr>
          <w:color w:val="000000" w:themeColor="text1"/>
          <w:sz w:val="22"/>
          <w:szCs w:val="22"/>
        </w:rPr>
        <w:t>14</w:t>
      </w:r>
      <w:r w:rsidR="003602DB" w:rsidRPr="00FF4340">
        <w:rPr>
          <w:color w:val="000000" w:themeColor="text1"/>
          <w:sz w:val="22"/>
          <w:szCs w:val="22"/>
        </w:rPr>
        <w:t>.1 The Public Sector Equality Duty (PSED) of the Equality Act 2010 requires the Local Authority to give due regard to achieving the following objectives in exercising its functions:</w:t>
      </w:r>
    </w:p>
    <w:p w:rsidR="003602DB" w:rsidRPr="00FF4340" w:rsidRDefault="003602DB" w:rsidP="003602DB">
      <w:pPr>
        <w:jc w:val="both"/>
        <w:rPr>
          <w:color w:val="000000" w:themeColor="text1"/>
          <w:sz w:val="22"/>
          <w:szCs w:val="22"/>
        </w:rPr>
      </w:pPr>
    </w:p>
    <w:p w:rsidR="003602DB" w:rsidRPr="00FF4340" w:rsidRDefault="003602DB" w:rsidP="003602DB">
      <w:pPr>
        <w:pStyle w:val="ListParagraph"/>
        <w:numPr>
          <w:ilvl w:val="0"/>
          <w:numId w:val="29"/>
        </w:numPr>
        <w:contextualSpacing w:val="0"/>
        <w:jc w:val="both"/>
        <w:rPr>
          <w:color w:val="000000" w:themeColor="text1"/>
          <w:sz w:val="22"/>
          <w:szCs w:val="22"/>
        </w:rPr>
      </w:pPr>
      <w:r w:rsidRPr="00FF4340">
        <w:rPr>
          <w:color w:val="000000" w:themeColor="text1"/>
          <w:sz w:val="22"/>
          <w:szCs w:val="22"/>
        </w:rPr>
        <w:t>Eliminate discrimination, harassment, victimisation and any other conduct that is prohibited by or under the Equality Act 2010.</w:t>
      </w:r>
    </w:p>
    <w:p w:rsidR="003602DB" w:rsidRPr="00FF4340" w:rsidRDefault="003602DB" w:rsidP="003602DB">
      <w:pPr>
        <w:pStyle w:val="ListParagraph"/>
        <w:numPr>
          <w:ilvl w:val="0"/>
          <w:numId w:val="29"/>
        </w:numPr>
        <w:contextualSpacing w:val="0"/>
        <w:jc w:val="both"/>
        <w:rPr>
          <w:color w:val="000000" w:themeColor="text1"/>
          <w:sz w:val="22"/>
          <w:szCs w:val="22"/>
        </w:rPr>
      </w:pPr>
      <w:r w:rsidRPr="00FF4340">
        <w:rPr>
          <w:color w:val="000000" w:themeColor="text1"/>
          <w:sz w:val="22"/>
          <w:szCs w:val="22"/>
        </w:rPr>
        <w:t>Advance equality of opportunity between persons who share a relevant protected characteristic and persons who do not share it.</w:t>
      </w:r>
    </w:p>
    <w:p w:rsidR="003602DB" w:rsidRPr="00FF4340" w:rsidRDefault="003602DB" w:rsidP="003602DB">
      <w:pPr>
        <w:pStyle w:val="ListParagraph"/>
        <w:numPr>
          <w:ilvl w:val="0"/>
          <w:numId w:val="29"/>
        </w:numPr>
        <w:contextualSpacing w:val="0"/>
        <w:jc w:val="both"/>
        <w:rPr>
          <w:color w:val="000000" w:themeColor="text1"/>
          <w:sz w:val="22"/>
          <w:szCs w:val="22"/>
        </w:rPr>
      </w:pPr>
      <w:r w:rsidRPr="00FF4340">
        <w:rPr>
          <w:color w:val="000000" w:themeColor="text1"/>
          <w:sz w:val="22"/>
          <w:szCs w:val="22"/>
        </w:rPr>
        <w:t>Foster good relations between persons who share a relevant protected characteristic and persons who do not share it.</w:t>
      </w:r>
    </w:p>
    <w:p w:rsidR="00C93AF0" w:rsidRPr="00FF4340" w:rsidRDefault="00C93AF0" w:rsidP="00355873">
      <w:pPr>
        <w:jc w:val="both"/>
        <w:rPr>
          <w:b/>
          <w:color w:val="000000" w:themeColor="text1"/>
          <w:sz w:val="22"/>
          <w:szCs w:val="22"/>
        </w:rPr>
      </w:pPr>
    </w:p>
    <w:p w:rsidR="00C93AF0" w:rsidRPr="00FF4340" w:rsidRDefault="00025DA7" w:rsidP="003602DB">
      <w:pPr>
        <w:jc w:val="both"/>
        <w:rPr>
          <w:b/>
          <w:color w:val="000000" w:themeColor="text1"/>
          <w:sz w:val="22"/>
          <w:szCs w:val="22"/>
        </w:rPr>
      </w:pPr>
      <w:r>
        <w:rPr>
          <w:color w:val="000000" w:themeColor="text1"/>
          <w:sz w:val="22"/>
          <w:szCs w:val="22"/>
        </w:rPr>
        <w:t>14</w:t>
      </w:r>
      <w:r w:rsidR="003602DB" w:rsidRPr="00FF4340">
        <w:rPr>
          <w:color w:val="000000" w:themeColor="text1"/>
          <w:sz w:val="22"/>
          <w:szCs w:val="22"/>
        </w:rPr>
        <w:t xml:space="preserve">.2 We assess that our </w:t>
      </w:r>
      <w:r w:rsidR="00EB19CE" w:rsidRPr="00FF4340">
        <w:rPr>
          <w:color w:val="000000" w:themeColor="text1"/>
          <w:sz w:val="22"/>
          <w:szCs w:val="22"/>
        </w:rPr>
        <w:t xml:space="preserve">high needs funding </w:t>
      </w:r>
      <w:r w:rsidR="003602DB" w:rsidRPr="00FF4340">
        <w:rPr>
          <w:color w:val="000000" w:themeColor="text1"/>
          <w:sz w:val="22"/>
          <w:szCs w:val="22"/>
        </w:rPr>
        <w:t>proposals for</w:t>
      </w:r>
      <w:r w:rsidR="00FF4340" w:rsidRPr="00FF4340">
        <w:rPr>
          <w:color w:val="000000" w:themeColor="text1"/>
          <w:sz w:val="22"/>
          <w:szCs w:val="22"/>
        </w:rPr>
        <w:t xml:space="preserve"> 2023/24</w:t>
      </w:r>
      <w:r w:rsidR="003602DB" w:rsidRPr="00FF4340">
        <w:rPr>
          <w:color w:val="000000" w:themeColor="text1"/>
          <w:sz w:val="22"/>
          <w:szCs w:val="22"/>
        </w:rPr>
        <w:t xml:space="preserve"> will have a positive impact on equalities. We have considered the impact on persons who share any of the protected characteristics: age, disability, gender reassignment, marriage and civil partnership, pregnancy and maternity, race, religion or belief, sex, sexual orientation. We have focused on the protected characteristics for which the potential impact is largest, and which are most closely tied to the formula funding proposals we put forward.</w:t>
      </w:r>
    </w:p>
    <w:p w:rsidR="003602DB" w:rsidRPr="005F6CF2" w:rsidRDefault="003602DB" w:rsidP="00355873">
      <w:pPr>
        <w:jc w:val="both"/>
        <w:rPr>
          <w:color w:val="FF0000"/>
          <w:sz w:val="22"/>
          <w:szCs w:val="22"/>
        </w:rPr>
      </w:pPr>
    </w:p>
    <w:p w:rsidR="00D130C1" w:rsidRPr="00FF4340" w:rsidRDefault="00025DA7" w:rsidP="00EB19CE">
      <w:pPr>
        <w:jc w:val="both"/>
        <w:rPr>
          <w:color w:val="000000" w:themeColor="text1"/>
          <w:sz w:val="22"/>
          <w:szCs w:val="22"/>
        </w:rPr>
      </w:pPr>
      <w:r>
        <w:rPr>
          <w:color w:val="000000" w:themeColor="text1"/>
          <w:sz w:val="22"/>
          <w:szCs w:val="22"/>
        </w:rPr>
        <w:t>14</w:t>
      </w:r>
      <w:r w:rsidR="003602DB" w:rsidRPr="00FF4340">
        <w:rPr>
          <w:color w:val="000000" w:themeColor="text1"/>
          <w:sz w:val="22"/>
          <w:szCs w:val="22"/>
        </w:rPr>
        <w:t>.3 The arrangements that the Local Authority proposes i</w:t>
      </w:r>
      <w:r w:rsidR="00FF4340" w:rsidRPr="00FF4340">
        <w:rPr>
          <w:color w:val="000000" w:themeColor="text1"/>
          <w:sz w:val="22"/>
          <w:szCs w:val="22"/>
        </w:rPr>
        <w:t>n this consultation for the 2023/24</w:t>
      </w:r>
      <w:r w:rsidR="003602DB" w:rsidRPr="00FF4340">
        <w:rPr>
          <w:color w:val="000000" w:themeColor="text1"/>
          <w:sz w:val="22"/>
          <w:szCs w:val="22"/>
        </w:rPr>
        <w:t xml:space="preserve"> financial year retain a significant amount of continuity on current practice, Dedicated Schools Grant </w:t>
      </w:r>
      <w:r w:rsidR="00D130C1" w:rsidRPr="00FF4340">
        <w:rPr>
          <w:color w:val="000000" w:themeColor="text1"/>
          <w:sz w:val="22"/>
          <w:szCs w:val="22"/>
        </w:rPr>
        <w:t xml:space="preserve">High Needs Block </w:t>
      </w:r>
      <w:r w:rsidR="003602DB" w:rsidRPr="00FF4340">
        <w:rPr>
          <w:color w:val="000000" w:themeColor="text1"/>
          <w:sz w:val="22"/>
          <w:szCs w:val="22"/>
        </w:rPr>
        <w:t>distribution and formula funding policy and methodology. As such, our equalities impact assessment of our guiding High Needs Block</w:t>
      </w:r>
      <w:r w:rsidR="00FF4340" w:rsidRPr="00FF4340">
        <w:rPr>
          <w:color w:val="000000" w:themeColor="text1"/>
          <w:sz w:val="22"/>
          <w:szCs w:val="22"/>
        </w:rPr>
        <w:t xml:space="preserve"> formula funding policy for 2023/24</w:t>
      </w:r>
      <w:r w:rsidR="003602DB" w:rsidRPr="00FF4340">
        <w:rPr>
          <w:color w:val="000000" w:themeColor="text1"/>
          <w:sz w:val="22"/>
          <w:szCs w:val="22"/>
        </w:rPr>
        <w:t xml:space="preserve"> is neutral (representing no change on current positive practice).</w:t>
      </w:r>
      <w:r w:rsidR="00F41B58" w:rsidRPr="00FF4340">
        <w:rPr>
          <w:color w:val="000000" w:themeColor="text1"/>
          <w:sz w:val="22"/>
          <w:szCs w:val="22"/>
        </w:rPr>
        <w:t xml:space="preserve"> </w:t>
      </w:r>
    </w:p>
    <w:p w:rsidR="00EB19CE" w:rsidRPr="005F6CF2" w:rsidRDefault="00EB19CE" w:rsidP="00EB19CE">
      <w:pPr>
        <w:jc w:val="both"/>
        <w:rPr>
          <w:color w:val="FF0000"/>
          <w:sz w:val="22"/>
          <w:szCs w:val="22"/>
        </w:rPr>
      </w:pPr>
    </w:p>
    <w:p w:rsidR="002E584D" w:rsidRDefault="00025DA7" w:rsidP="00EB19CE">
      <w:pPr>
        <w:jc w:val="both"/>
        <w:rPr>
          <w:sz w:val="22"/>
          <w:szCs w:val="22"/>
        </w:rPr>
      </w:pPr>
      <w:r>
        <w:rPr>
          <w:sz w:val="22"/>
          <w:szCs w:val="22"/>
        </w:rPr>
        <w:t>14</w:t>
      </w:r>
      <w:r w:rsidR="00D94F46" w:rsidRPr="00D94F46">
        <w:rPr>
          <w:sz w:val="22"/>
          <w:szCs w:val="22"/>
        </w:rPr>
        <w:t>.4</w:t>
      </w:r>
      <w:r w:rsidR="00EB19CE" w:rsidRPr="00D94F46">
        <w:rPr>
          <w:sz w:val="22"/>
          <w:szCs w:val="22"/>
        </w:rPr>
        <w:t xml:space="preserve"> The Authority proposes the </w:t>
      </w:r>
      <w:r w:rsidR="002E584D" w:rsidRPr="00D94F46">
        <w:rPr>
          <w:sz w:val="22"/>
          <w:szCs w:val="22"/>
        </w:rPr>
        <w:t xml:space="preserve">continued application of the </w:t>
      </w:r>
      <w:r w:rsidR="00EB19CE" w:rsidRPr="00D94F46">
        <w:rPr>
          <w:sz w:val="22"/>
          <w:szCs w:val="22"/>
        </w:rPr>
        <w:t xml:space="preserve">EHCP </w:t>
      </w:r>
      <w:r w:rsidR="002E584D" w:rsidRPr="00D94F46">
        <w:rPr>
          <w:sz w:val="22"/>
          <w:szCs w:val="22"/>
        </w:rPr>
        <w:t xml:space="preserve">Banded Model, which was first introduced at </w:t>
      </w:r>
      <w:r w:rsidR="009C3A51" w:rsidRPr="00D94F46">
        <w:rPr>
          <w:sz w:val="22"/>
          <w:szCs w:val="22"/>
        </w:rPr>
        <w:t>April 2020. The impact of this m</w:t>
      </w:r>
      <w:r w:rsidR="002E584D" w:rsidRPr="00D94F46">
        <w:rPr>
          <w:sz w:val="22"/>
          <w:szCs w:val="22"/>
        </w:rPr>
        <w:t>odel, on the funding of schools</w:t>
      </w:r>
      <w:r w:rsidR="009C3A51" w:rsidRPr="00D94F46">
        <w:rPr>
          <w:sz w:val="22"/>
          <w:szCs w:val="22"/>
        </w:rPr>
        <w:t>, academies</w:t>
      </w:r>
      <w:r w:rsidR="002E584D" w:rsidRPr="00D94F46">
        <w:rPr>
          <w:sz w:val="22"/>
          <w:szCs w:val="22"/>
        </w:rPr>
        <w:t xml:space="preserve"> and </w:t>
      </w:r>
      <w:r w:rsidR="00DF3E7C">
        <w:rPr>
          <w:sz w:val="22"/>
          <w:szCs w:val="22"/>
        </w:rPr>
        <w:t xml:space="preserve">on </w:t>
      </w:r>
      <w:r w:rsidR="009C3A51" w:rsidRPr="00D94F46">
        <w:rPr>
          <w:sz w:val="22"/>
          <w:szCs w:val="22"/>
        </w:rPr>
        <w:t xml:space="preserve">other </w:t>
      </w:r>
      <w:r w:rsidR="002E584D" w:rsidRPr="00D94F46">
        <w:rPr>
          <w:sz w:val="22"/>
          <w:szCs w:val="22"/>
        </w:rPr>
        <w:t>providers for all children and young people with EHCPs, is assessed to continue to be entirely positive. The Banded Model</w:t>
      </w:r>
      <w:r w:rsidR="00AF6F56">
        <w:rPr>
          <w:sz w:val="22"/>
          <w:szCs w:val="22"/>
        </w:rPr>
        <w:t>, as explained in Appendix 2,</w:t>
      </w:r>
      <w:r w:rsidR="002E584D" w:rsidRPr="00D94F46">
        <w:rPr>
          <w:sz w:val="22"/>
          <w:szCs w:val="22"/>
        </w:rPr>
        <w:t xml:space="preserve"> continues to improve the way schools and providers in Bradford are funded for children and young people with SEND with EHCPs. Although it cannot be evidenced a</w:t>
      </w:r>
      <w:r w:rsidR="009C3A51" w:rsidRPr="00D94F46">
        <w:rPr>
          <w:sz w:val="22"/>
          <w:szCs w:val="22"/>
        </w:rPr>
        <w:t>t this stage that our change in funding model at April 2020</w:t>
      </w:r>
      <w:r w:rsidR="002E584D" w:rsidRPr="00D94F46">
        <w:rPr>
          <w:sz w:val="22"/>
          <w:szCs w:val="22"/>
        </w:rPr>
        <w:t xml:space="preserve"> has directly advanced equality of opportunity for children and young people that share a protected characteri</w:t>
      </w:r>
      <w:r w:rsidR="009C3A51" w:rsidRPr="00D94F46">
        <w:rPr>
          <w:sz w:val="22"/>
          <w:szCs w:val="22"/>
        </w:rPr>
        <w:t>stic, it is expected that this m</w:t>
      </w:r>
      <w:r w:rsidR="002E584D" w:rsidRPr="00D94F46">
        <w:rPr>
          <w:sz w:val="22"/>
          <w:szCs w:val="22"/>
        </w:rPr>
        <w:t>odel will support this.</w:t>
      </w:r>
    </w:p>
    <w:p w:rsidR="008A563C" w:rsidRDefault="008A563C" w:rsidP="00EB19CE">
      <w:pPr>
        <w:jc w:val="both"/>
        <w:rPr>
          <w:sz w:val="22"/>
          <w:szCs w:val="22"/>
        </w:rPr>
      </w:pPr>
    </w:p>
    <w:p w:rsidR="00DF3E7C" w:rsidRDefault="00025DA7" w:rsidP="00EB19CE">
      <w:pPr>
        <w:jc w:val="both"/>
        <w:rPr>
          <w:sz w:val="22"/>
          <w:szCs w:val="22"/>
        </w:rPr>
      </w:pPr>
      <w:r>
        <w:rPr>
          <w:sz w:val="22"/>
          <w:szCs w:val="22"/>
        </w:rPr>
        <w:t>14</w:t>
      </w:r>
      <w:r w:rsidR="008A563C" w:rsidRPr="003D6FDF">
        <w:rPr>
          <w:sz w:val="22"/>
          <w:szCs w:val="22"/>
        </w:rPr>
        <w:t>.5</w:t>
      </w:r>
      <w:r w:rsidR="00C44D9C" w:rsidRPr="003D6FDF">
        <w:rPr>
          <w:sz w:val="22"/>
          <w:szCs w:val="22"/>
        </w:rPr>
        <w:t xml:space="preserve"> The Authority</w:t>
      </w:r>
      <w:r w:rsidR="003D6FDF" w:rsidRPr="003D6FDF">
        <w:rPr>
          <w:sz w:val="22"/>
          <w:szCs w:val="22"/>
        </w:rPr>
        <w:t xml:space="preserve"> proposes to </w:t>
      </w:r>
      <w:r w:rsidR="00AF6F56">
        <w:rPr>
          <w:sz w:val="22"/>
          <w:szCs w:val="22"/>
        </w:rPr>
        <w:t>further</w:t>
      </w:r>
      <w:r w:rsidR="003D6FDF" w:rsidRPr="003D6FDF">
        <w:rPr>
          <w:sz w:val="22"/>
          <w:szCs w:val="22"/>
        </w:rPr>
        <w:t xml:space="preserve"> uplift</w:t>
      </w:r>
      <w:r w:rsidR="00AF6F56">
        <w:rPr>
          <w:sz w:val="22"/>
          <w:szCs w:val="22"/>
        </w:rPr>
        <w:t xml:space="preserve"> in 2023/24</w:t>
      </w:r>
      <w:r w:rsidR="003D6FDF" w:rsidRPr="003D6FDF">
        <w:rPr>
          <w:sz w:val="22"/>
          <w:szCs w:val="22"/>
        </w:rPr>
        <w:t xml:space="preserve"> the values of top-up funding allocated by the EHCP Banded Model and by the Day Rate Model, as set out in section 6. This means that the funding of all high needs children and young people, who are supported by these models, will increase on current values.</w:t>
      </w:r>
      <w:r w:rsidR="00AF6F56">
        <w:rPr>
          <w:sz w:val="22"/>
          <w:szCs w:val="22"/>
        </w:rPr>
        <w:t xml:space="preserve"> A minimum 1% increase in all top-up funding rates (when place-element / Element 2 funding is included) is higher than the </w:t>
      </w:r>
      <w:r w:rsidR="00913BBC">
        <w:rPr>
          <w:sz w:val="22"/>
          <w:szCs w:val="22"/>
        </w:rPr>
        <w:t>floor</w:t>
      </w:r>
      <w:r w:rsidR="00AF6F56">
        <w:rPr>
          <w:sz w:val="22"/>
          <w:szCs w:val="22"/>
        </w:rPr>
        <w:t xml:space="preserve"> increase of 0.5% that the DfE has funded for mainstream schools and academies through the Schools Block settlement. Under our proposals, the funding received by special schools and special school academies will exceed</w:t>
      </w:r>
      <w:r w:rsidR="00891519">
        <w:rPr>
          <w:sz w:val="22"/>
          <w:szCs w:val="22"/>
        </w:rPr>
        <w:t xml:space="preserve"> (by 2.25%)</w:t>
      </w:r>
      <w:r w:rsidR="00AF6F56">
        <w:rPr>
          <w:sz w:val="22"/>
          <w:szCs w:val="22"/>
        </w:rPr>
        <w:t xml:space="preserve"> the requirements of the DfE’s 3% Minimum Funding Guarantee.</w:t>
      </w:r>
      <w:r w:rsidR="003D6FDF" w:rsidRPr="003D6FDF">
        <w:rPr>
          <w:sz w:val="22"/>
          <w:szCs w:val="22"/>
        </w:rPr>
        <w:t xml:space="preserve"> The proposed uplifts in 2023/24 </w:t>
      </w:r>
      <w:r w:rsidR="00DF3E7C">
        <w:rPr>
          <w:sz w:val="22"/>
          <w:szCs w:val="22"/>
        </w:rPr>
        <w:t>should</w:t>
      </w:r>
      <w:r w:rsidR="003D6FDF" w:rsidRPr="003D6FDF">
        <w:rPr>
          <w:sz w:val="22"/>
          <w:szCs w:val="22"/>
        </w:rPr>
        <w:t xml:space="preserve"> be viewed in the context of the very significant increases</w:t>
      </w:r>
      <w:r w:rsidR="00C44D9C" w:rsidRPr="003D6FDF">
        <w:rPr>
          <w:sz w:val="22"/>
          <w:szCs w:val="22"/>
        </w:rPr>
        <w:t xml:space="preserve"> </w:t>
      </w:r>
      <w:r w:rsidR="003D6FDF" w:rsidRPr="003D6FDF">
        <w:rPr>
          <w:sz w:val="22"/>
          <w:szCs w:val="22"/>
        </w:rPr>
        <w:t xml:space="preserve">that have been applied to these models in 2020/21, 2021/22 and in 2022/23. </w:t>
      </w:r>
      <w:r w:rsidR="00DF3E7C">
        <w:rPr>
          <w:sz w:val="22"/>
          <w:szCs w:val="22"/>
        </w:rPr>
        <w:t>The uplifts should also be viewed in the context of the Authority’s prioritisation of the £6.71m increase in High Needs Block funding in 2023/24</w:t>
      </w:r>
      <w:r w:rsidR="00F87BF7">
        <w:rPr>
          <w:sz w:val="22"/>
          <w:szCs w:val="22"/>
        </w:rPr>
        <w:t>,</w:t>
      </w:r>
      <w:r w:rsidR="00DF3E7C">
        <w:rPr>
          <w:sz w:val="22"/>
          <w:szCs w:val="22"/>
        </w:rPr>
        <w:t xml:space="preserve"> towards the further expansion of specialist places capacity (</w:t>
      </w:r>
      <w:r w:rsidR="00F87BF7">
        <w:rPr>
          <w:sz w:val="22"/>
          <w:szCs w:val="22"/>
        </w:rPr>
        <w:t>securing</w:t>
      </w:r>
      <w:r w:rsidR="00DF3E7C">
        <w:rPr>
          <w:sz w:val="22"/>
          <w:szCs w:val="22"/>
        </w:rPr>
        <w:t xml:space="preserve"> appropriate provision for high needs pupils) and of meeting the cost of the growth in the numbers of children and young people in Bradford with EHCPs via the allocation of additional top-up funding.</w:t>
      </w:r>
    </w:p>
    <w:p w:rsidR="00DF3E7C" w:rsidRDefault="00DF3E7C" w:rsidP="00EB19CE">
      <w:pPr>
        <w:jc w:val="both"/>
        <w:rPr>
          <w:sz w:val="22"/>
          <w:szCs w:val="22"/>
        </w:rPr>
      </w:pPr>
    </w:p>
    <w:p w:rsidR="008A563C" w:rsidRPr="003D6FDF" w:rsidRDefault="00025DA7" w:rsidP="00EB19CE">
      <w:pPr>
        <w:jc w:val="both"/>
        <w:rPr>
          <w:sz w:val="22"/>
          <w:szCs w:val="22"/>
        </w:rPr>
      </w:pPr>
      <w:r>
        <w:rPr>
          <w:sz w:val="22"/>
          <w:szCs w:val="22"/>
        </w:rPr>
        <w:t>14</w:t>
      </w:r>
      <w:r w:rsidR="00DF3E7C">
        <w:rPr>
          <w:sz w:val="22"/>
          <w:szCs w:val="22"/>
        </w:rPr>
        <w:t xml:space="preserve">.6 </w:t>
      </w:r>
      <w:r w:rsidR="003D6FDF" w:rsidRPr="003D6FDF">
        <w:rPr>
          <w:sz w:val="22"/>
          <w:szCs w:val="22"/>
        </w:rPr>
        <w:t>The A</w:t>
      </w:r>
      <w:r w:rsidR="00DF3E7C">
        <w:rPr>
          <w:sz w:val="22"/>
          <w:szCs w:val="22"/>
        </w:rPr>
        <w:t>uthority</w:t>
      </w:r>
      <w:r w:rsidR="003D6FDF" w:rsidRPr="003D6FDF">
        <w:rPr>
          <w:sz w:val="22"/>
          <w:szCs w:val="22"/>
        </w:rPr>
        <w:t xml:space="preserve"> proposes to continue, unchanged, the additional setting-led needs factors for specialist settings and the additional separate former Teacher Pay and Pensions Grant funding.</w:t>
      </w:r>
      <w:r w:rsidR="00F87BF7">
        <w:rPr>
          <w:sz w:val="22"/>
          <w:szCs w:val="22"/>
        </w:rPr>
        <w:t xml:space="preserve"> This represents no change on current positive practice.</w:t>
      </w:r>
    </w:p>
    <w:p w:rsidR="00EB19CE" w:rsidRPr="005F6CF2" w:rsidRDefault="00EB19CE" w:rsidP="00EB19CE">
      <w:pPr>
        <w:jc w:val="both"/>
        <w:rPr>
          <w:color w:val="FF0000"/>
          <w:sz w:val="22"/>
          <w:szCs w:val="22"/>
        </w:rPr>
      </w:pPr>
    </w:p>
    <w:p w:rsidR="008A563C" w:rsidRPr="006D0EEE" w:rsidRDefault="00025DA7" w:rsidP="008A563C">
      <w:pPr>
        <w:autoSpaceDE w:val="0"/>
        <w:autoSpaceDN w:val="0"/>
        <w:adjustRightInd w:val="0"/>
        <w:jc w:val="both"/>
        <w:rPr>
          <w:sz w:val="22"/>
          <w:szCs w:val="22"/>
        </w:rPr>
      </w:pPr>
      <w:r>
        <w:rPr>
          <w:sz w:val="22"/>
          <w:szCs w:val="22"/>
        </w:rPr>
        <w:t>14</w:t>
      </w:r>
      <w:r w:rsidR="00DF3E7C">
        <w:rPr>
          <w:sz w:val="22"/>
          <w:szCs w:val="22"/>
        </w:rPr>
        <w:t>.7</w:t>
      </w:r>
      <w:r w:rsidR="008A563C" w:rsidRPr="006D0EEE">
        <w:rPr>
          <w:sz w:val="22"/>
          <w:szCs w:val="22"/>
        </w:rPr>
        <w:t xml:space="preserve"> </w:t>
      </w:r>
      <w:r w:rsidR="00F87BF7">
        <w:rPr>
          <w:sz w:val="22"/>
          <w:szCs w:val="22"/>
        </w:rPr>
        <w:t>We assess that</w:t>
      </w:r>
      <w:r w:rsidR="008A563C" w:rsidRPr="006D0EEE">
        <w:rPr>
          <w:sz w:val="22"/>
          <w:szCs w:val="22"/>
        </w:rPr>
        <w:t xml:space="preserve"> incrementally amend</w:t>
      </w:r>
      <w:r w:rsidR="00F87BF7">
        <w:rPr>
          <w:sz w:val="22"/>
          <w:szCs w:val="22"/>
        </w:rPr>
        <w:t>ing</w:t>
      </w:r>
      <w:r w:rsidR="008A563C" w:rsidRPr="006D0EEE">
        <w:rPr>
          <w:sz w:val="22"/>
          <w:szCs w:val="22"/>
        </w:rPr>
        <w:t xml:space="preserve"> our definition of Notional SEND budgets within mainstream primary and secondary formula funding allocations</w:t>
      </w:r>
      <w:r w:rsidR="00AF6F56">
        <w:rPr>
          <w:sz w:val="22"/>
          <w:szCs w:val="22"/>
        </w:rPr>
        <w:t xml:space="preserve"> (section 10)</w:t>
      </w:r>
      <w:r w:rsidR="008A563C" w:rsidRPr="006D0EEE">
        <w:rPr>
          <w:sz w:val="22"/>
          <w:szCs w:val="22"/>
        </w:rPr>
        <w:t xml:space="preserve">, as encouraged by the DfE and </w:t>
      </w:r>
      <w:r w:rsidR="008A563C">
        <w:rPr>
          <w:sz w:val="22"/>
          <w:szCs w:val="22"/>
        </w:rPr>
        <w:t xml:space="preserve">to </w:t>
      </w:r>
      <w:r w:rsidR="008A563C" w:rsidRPr="006D0EEE">
        <w:rPr>
          <w:sz w:val="22"/>
          <w:szCs w:val="22"/>
        </w:rPr>
        <w:t>bring us more in line with the common national picture</w:t>
      </w:r>
      <w:r w:rsidR="008A563C">
        <w:rPr>
          <w:sz w:val="22"/>
          <w:szCs w:val="22"/>
        </w:rPr>
        <w:t xml:space="preserve"> in the lead up to the hard National Funding Formula</w:t>
      </w:r>
      <w:r w:rsidR="008A563C" w:rsidRPr="006D0EEE">
        <w:rPr>
          <w:sz w:val="22"/>
          <w:szCs w:val="22"/>
        </w:rPr>
        <w:t>, continues to support schools and academies to make effective provision for pupils with additional educational needs and with Special Educational Needs</w:t>
      </w:r>
      <w:r w:rsidR="00AF6F56">
        <w:rPr>
          <w:sz w:val="22"/>
          <w:szCs w:val="22"/>
        </w:rPr>
        <w:t xml:space="preserve"> and Disabilities</w:t>
      </w:r>
      <w:r w:rsidR="008A563C" w:rsidRPr="006D0EEE">
        <w:rPr>
          <w:sz w:val="22"/>
          <w:szCs w:val="22"/>
        </w:rPr>
        <w:t>. The inclusion of funding allocated by the Minimum Level of Per Pupil Funding (MFL) factor will improve the fairness and equity of our definition and will help support schools and academies that receive</w:t>
      </w:r>
      <w:r w:rsidR="008A563C">
        <w:rPr>
          <w:sz w:val="22"/>
          <w:szCs w:val="22"/>
        </w:rPr>
        <w:t xml:space="preserve"> the</w:t>
      </w:r>
      <w:r w:rsidR="008A563C" w:rsidRPr="006D0EEE">
        <w:rPr>
          <w:sz w:val="22"/>
          <w:szCs w:val="22"/>
        </w:rPr>
        <w:t xml:space="preserve"> MFL to use the totality of their</w:t>
      </w:r>
      <w:r w:rsidR="008A563C">
        <w:rPr>
          <w:sz w:val="22"/>
          <w:szCs w:val="22"/>
        </w:rPr>
        <w:t xml:space="preserve"> delegated funding</w:t>
      </w:r>
      <w:r w:rsidR="008A563C" w:rsidRPr="006D0EEE">
        <w:rPr>
          <w:sz w:val="22"/>
          <w:szCs w:val="22"/>
        </w:rPr>
        <w:t xml:space="preserve"> in support of SEND. It is important to stress that an adjustment of the Notional SEND definition does not materially </w:t>
      </w:r>
      <w:r w:rsidR="00AF6F56">
        <w:rPr>
          <w:sz w:val="22"/>
          <w:szCs w:val="22"/>
        </w:rPr>
        <w:t>change</w:t>
      </w:r>
      <w:r w:rsidR="008A563C" w:rsidRPr="006D0EEE">
        <w:rPr>
          <w:sz w:val="22"/>
          <w:szCs w:val="22"/>
        </w:rPr>
        <w:t xml:space="preserve"> the value of formula funding that an individual school or academy receives. </w:t>
      </w:r>
    </w:p>
    <w:p w:rsidR="008A563C" w:rsidRDefault="008A563C" w:rsidP="002E584D">
      <w:pPr>
        <w:jc w:val="both"/>
        <w:rPr>
          <w:color w:val="FF0000"/>
          <w:sz w:val="22"/>
          <w:szCs w:val="22"/>
        </w:rPr>
      </w:pPr>
    </w:p>
    <w:p w:rsidR="002E584D" w:rsidRPr="005465E0" w:rsidRDefault="00025DA7" w:rsidP="002E584D">
      <w:pPr>
        <w:jc w:val="both"/>
        <w:rPr>
          <w:sz w:val="22"/>
          <w:szCs w:val="22"/>
        </w:rPr>
      </w:pPr>
      <w:r>
        <w:rPr>
          <w:sz w:val="22"/>
          <w:szCs w:val="22"/>
        </w:rPr>
        <w:t>14</w:t>
      </w:r>
      <w:r w:rsidR="00DF3E7C" w:rsidRPr="00F87BF7">
        <w:rPr>
          <w:sz w:val="22"/>
          <w:szCs w:val="22"/>
        </w:rPr>
        <w:t>.8</w:t>
      </w:r>
      <w:r w:rsidR="00EB19CE" w:rsidRPr="00F87BF7">
        <w:rPr>
          <w:sz w:val="22"/>
          <w:szCs w:val="22"/>
        </w:rPr>
        <w:t xml:space="preserve"> </w:t>
      </w:r>
      <w:r w:rsidR="005465E0" w:rsidRPr="00F87BF7">
        <w:rPr>
          <w:sz w:val="22"/>
          <w:szCs w:val="22"/>
        </w:rPr>
        <w:t>Whilst we are proposing an amendment to the ‘</w:t>
      </w:r>
      <w:r w:rsidR="00F87BF7" w:rsidRPr="00F87BF7">
        <w:rPr>
          <w:sz w:val="22"/>
          <w:szCs w:val="22"/>
        </w:rPr>
        <w:t>p</w:t>
      </w:r>
      <w:r w:rsidR="005465E0" w:rsidRPr="00F87BF7">
        <w:rPr>
          <w:sz w:val="22"/>
          <w:szCs w:val="22"/>
        </w:rPr>
        <w:t>art B’ calculation, to increase the thresholds</w:t>
      </w:r>
      <w:r w:rsidR="00F87BF7" w:rsidRPr="00F87BF7">
        <w:rPr>
          <w:sz w:val="22"/>
          <w:szCs w:val="22"/>
        </w:rPr>
        <w:t>,</w:t>
      </w:r>
      <w:r w:rsidR="005465E0" w:rsidRPr="00F87BF7">
        <w:rPr>
          <w:sz w:val="22"/>
          <w:szCs w:val="22"/>
        </w:rPr>
        <w:t xml:space="preserve"> as set out in section 11, t</w:t>
      </w:r>
      <w:r w:rsidR="00EB19CE" w:rsidRPr="00F87BF7">
        <w:rPr>
          <w:sz w:val="22"/>
          <w:szCs w:val="22"/>
        </w:rPr>
        <w:t>he A</w:t>
      </w:r>
      <w:r w:rsidR="009C3A51" w:rsidRPr="00F87BF7">
        <w:rPr>
          <w:sz w:val="22"/>
          <w:szCs w:val="22"/>
        </w:rPr>
        <w:t>uthority proposes to continue the</w:t>
      </w:r>
      <w:r w:rsidR="00EB19CE" w:rsidRPr="00F87BF7">
        <w:rPr>
          <w:sz w:val="22"/>
          <w:szCs w:val="22"/>
        </w:rPr>
        <w:t xml:space="preserve"> amended SEND Funding Floor</w:t>
      </w:r>
      <w:r w:rsidR="005465E0" w:rsidRPr="00F87BF7">
        <w:rPr>
          <w:sz w:val="22"/>
          <w:szCs w:val="22"/>
        </w:rPr>
        <w:t xml:space="preserve"> mechanism. The level of funding that the Floor will allocate in 2023/24, will continue to be substantially higher than was allocated prior to the amendment of our Floor at April 2021. </w:t>
      </w:r>
      <w:r w:rsidR="00F87BF7" w:rsidRPr="00F87BF7">
        <w:rPr>
          <w:sz w:val="22"/>
          <w:szCs w:val="22"/>
        </w:rPr>
        <w:t>It will still represent a substantial SEND funding support mechanism for the mainstream sector.</w:t>
      </w:r>
      <w:r w:rsidR="00F87BF7">
        <w:rPr>
          <w:sz w:val="22"/>
          <w:szCs w:val="22"/>
        </w:rPr>
        <w:t xml:space="preserve"> </w:t>
      </w:r>
      <w:r w:rsidR="002E584D" w:rsidRPr="005465E0">
        <w:rPr>
          <w:sz w:val="22"/>
          <w:szCs w:val="22"/>
        </w:rPr>
        <w:t>As well as</w:t>
      </w:r>
      <w:r w:rsidR="00EB19CE" w:rsidRPr="005465E0">
        <w:rPr>
          <w:sz w:val="22"/>
          <w:szCs w:val="22"/>
        </w:rPr>
        <w:t xml:space="preserve"> continuing to support</w:t>
      </w:r>
      <w:r w:rsidR="002E584D" w:rsidRPr="005465E0">
        <w:rPr>
          <w:sz w:val="22"/>
          <w:szCs w:val="22"/>
        </w:rPr>
        <w:t xml:space="preserve"> provisio</w:t>
      </w:r>
      <w:r w:rsidR="00EB19CE" w:rsidRPr="005465E0">
        <w:rPr>
          <w:sz w:val="22"/>
          <w:szCs w:val="22"/>
        </w:rPr>
        <w:t>n for pupils with EHCPs, this approach will continue to protect the funding used by mainstream schools and</w:t>
      </w:r>
      <w:r w:rsidR="002E584D" w:rsidRPr="005465E0">
        <w:rPr>
          <w:sz w:val="22"/>
          <w:szCs w:val="22"/>
        </w:rPr>
        <w:t xml:space="preserve"> academies to support their wider Additional Educational Needs (AEN), SEND and Alternative</w:t>
      </w:r>
      <w:r w:rsidR="00EB19CE" w:rsidRPr="005465E0">
        <w:rPr>
          <w:sz w:val="22"/>
          <w:szCs w:val="22"/>
        </w:rPr>
        <w:t xml:space="preserve"> Provision (AP) activities. The Floor</w:t>
      </w:r>
      <w:r w:rsidR="002E584D" w:rsidRPr="005465E0">
        <w:rPr>
          <w:sz w:val="22"/>
          <w:szCs w:val="22"/>
        </w:rPr>
        <w:t xml:space="preserve"> financially support</w:t>
      </w:r>
      <w:r w:rsidR="00EB19CE" w:rsidRPr="005465E0">
        <w:rPr>
          <w:sz w:val="22"/>
          <w:szCs w:val="22"/>
        </w:rPr>
        <w:t>s mainstream schools and</w:t>
      </w:r>
      <w:r w:rsidR="002E584D" w:rsidRPr="005465E0">
        <w:rPr>
          <w:sz w:val="22"/>
          <w:szCs w:val="22"/>
        </w:rPr>
        <w:t xml:space="preserve"> academies that have higher proportions of pupils with EHCPs, in support of inclusion, com</w:t>
      </w:r>
      <w:r w:rsidR="00EB19CE" w:rsidRPr="005465E0">
        <w:rPr>
          <w:sz w:val="22"/>
          <w:szCs w:val="22"/>
        </w:rPr>
        <w:t>bining also to support schools and</w:t>
      </w:r>
      <w:r w:rsidR="002E584D" w:rsidRPr="005465E0">
        <w:rPr>
          <w:sz w:val="22"/>
          <w:szCs w:val="22"/>
        </w:rPr>
        <w:t xml:space="preserve"> academies that may have lower levels of AEN formula funding and that may </w:t>
      </w:r>
      <w:r w:rsidR="00EB19CE" w:rsidRPr="005465E0">
        <w:rPr>
          <w:sz w:val="22"/>
          <w:szCs w:val="22"/>
        </w:rPr>
        <w:t>be smaller in size. It supports schools and</w:t>
      </w:r>
      <w:r w:rsidR="002E584D" w:rsidRPr="005465E0">
        <w:rPr>
          <w:sz w:val="22"/>
          <w:szCs w:val="22"/>
        </w:rPr>
        <w:t xml:space="preserve"> academies that may have some turbulence in formula funding as a result of in year pupil numbers changes. </w:t>
      </w:r>
      <w:r w:rsidR="00EB19CE" w:rsidRPr="005465E0">
        <w:rPr>
          <w:sz w:val="22"/>
          <w:szCs w:val="22"/>
        </w:rPr>
        <w:t xml:space="preserve">The impact of the Floor </w:t>
      </w:r>
      <w:r w:rsidR="002E584D" w:rsidRPr="005465E0">
        <w:rPr>
          <w:sz w:val="22"/>
          <w:szCs w:val="22"/>
        </w:rPr>
        <w:t xml:space="preserve">is assessed to </w:t>
      </w:r>
      <w:r w:rsidR="00EB19CE" w:rsidRPr="005465E0">
        <w:rPr>
          <w:sz w:val="22"/>
          <w:szCs w:val="22"/>
        </w:rPr>
        <w:t xml:space="preserve">continue to </w:t>
      </w:r>
      <w:r w:rsidR="002E584D" w:rsidRPr="005465E0">
        <w:rPr>
          <w:sz w:val="22"/>
          <w:szCs w:val="22"/>
        </w:rPr>
        <w:t>be positive.</w:t>
      </w:r>
      <w:r w:rsidR="005465E0">
        <w:rPr>
          <w:sz w:val="22"/>
          <w:szCs w:val="22"/>
        </w:rPr>
        <w:t xml:space="preserve"> W</w:t>
      </w:r>
      <w:r w:rsidR="005465E0" w:rsidRPr="008F1CEB">
        <w:rPr>
          <w:sz w:val="22"/>
          <w:szCs w:val="22"/>
        </w:rPr>
        <w:t xml:space="preserve">ith the substantial growth in the number of pupils with EHCPs in mainstream settings, </w:t>
      </w:r>
      <w:r w:rsidR="005465E0">
        <w:rPr>
          <w:sz w:val="22"/>
          <w:szCs w:val="22"/>
        </w:rPr>
        <w:t xml:space="preserve">in addition to the Floor, </w:t>
      </w:r>
      <w:r w:rsidR="005465E0" w:rsidRPr="008F1CEB">
        <w:rPr>
          <w:sz w:val="22"/>
          <w:szCs w:val="22"/>
        </w:rPr>
        <w:t>mo</w:t>
      </w:r>
      <w:r w:rsidR="005465E0">
        <w:rPr>
          <w:sz w:val="22"/>
          <w:szCs w:val="22"/>
        </w:rPr>
        <w:t>re high needs funding is</w:t>
      </w:r>
      <w:r w:rsidR="005465E0" w:rsidRPr="008F1CEB">
        <w:rPr>
          <w:sz w:val="22"/>
          <w:szCs w:val="22"/>
        </w:rPr>
        <w:t xml:space="preserve"> </w:t>
      </w:r>
      <w:r w:rsidR="005465E0">
        <w:rPr>
          <w:sz w:val="22"/>
          <w:szCs w:val="22"/>
        </w:rPr>
        <w:t xml:space="preserve">already </w:t>
      </w:r>
      <w:r w:rsidR="005465E0" w:rsidRPr="008F1CEB">
        <w:rPr>
          <w:sz w:val="22"/>
          <w:szCs w:val="22"/>
        </w:rPr>
        <w:t xml:space="preserve">being allocated (and will continue to be allocated) to the mainstream sector in support of high needs pupils, in the form of </w:t>
      </w:r>
      <w:r w:rsidR="00F87BF7">
        <w:rPr>
          <w:sz w:val="22"/>
          <w:szCs w:val="22"/>
        </w:rPr>
        <w:t xml:space="preserve">additional </w:t>
      </w:r>
      <w:r w:rsidR="005465E0" w:rsidRPr="008F1CEB">
        <w:rPr>
          <w:sz w:val="22"/>
          <w:szCs w:val="22"/>
        </w:rPr>
        <w:t>top-up funding</w:t>
      </w:r>
      <w:r w:rsidR="005465E0">
        <w:rPr>
          <w:sz w:val="22"/>
          <w:szCs w:val="22"/>
        </w:rPr>
        <w:t>.</w:t>
      </w:r>
    </w:p>
    <w:p w:rsidR="00E168DC" w:rsidRDefault="00E168DC" w:rsidP="00355873">
      <w:pPr>
        <w:jc w:val="both"/>
        <w:rPr>
          <w:b/>
          <w:color w:val="FF0000"/>
          <w:sz w:val="22"/>
          <w:szCs w:val="22"/>
        </w:rPr>
      </w:pPr>
    </w:p>
    <w:p w:rsidR="00F87BF7" w:rsidRDefault="00F87BF7" w:rsidP="00355873">
      <w:pPr>
        <w:jc w:val="both"/>
        <w:rPr>
          <w:b/>
          <w:sz w:val="22"/>
          <w:szCs w:val="22"/>
        </w:rPr>
      </w:pPr>
    </w:p>
    <w:p w:rsidR="00C6158B" w:rsidRDefault="005F6CF2" w:rsidP="00355873">
      <w:pPr>
        <w:jc w:val="both"/>
        <w:rPr>
          <w:b/>
          <w:sz w:val="22"/>
          <w:szCs w:val="22"/>
        </w:rPr>
      </w:pPr>
      <w:r>
        <w:rPr>
          <w:b/>
          <w:sz w:val="22"/>
          <w:szCs w:val="22"/>
        </w:rPr>
        <w:t>15</w:t>
      </w:r>
      <w:r w:rsidR="00C6158B">
        <w:rPr>
          <w:b/>
          <w:sz w:val="22"/>
          <w:szCs w:val="22"/>
        </w:rPr>
        <w:t>.</w:t>
      </w:r>
      <w:r w:rsidR="00C6158B">
        <w:rPr>
          <w:b/>
          <w:sz w:val="22"/>
          <w:szCs w:val="22"/>
        </w:rPr>
        <w:tab/>
        <w:t>Appendices</w:t>
      </w:r>
    </w:p>
    <w:p w:rsidR="00C6158B" w:rsidRDefault="00C6158B" w:rsidP="00355873">
      <w:pPr>
        <w:jc w:val="both"/>
        <w:rPr>
          <w:sz w:val="22"/>
          <w:szCs w:val="22"/>
        </w:rPr>
      </w:pPr>
    </w:p>
    <w:p w:rsidR="00C6158B" w:rsidRPr="005D4129" w:rsidRDefault="00C6158B" w:rsidP="00355873">
      <w:pPr>
        <w:jc w:val="both"/>
        <w:rPr>
          <w:sz w:val="22"/>
          <w:szCs w:val="22"/>
        </w:rPr>
      </w:pPr>
      <w:r w:rsidRPr="005D4129">
        <w:rPr>
          <w:sz w:val="22"/>
          <w:szCs w:val="22"/>
        </w:rPr>
        <w:t>Appendix 1</w:t>
      </w:r>
      <w:r w:rsidRPr="005D4129">
        <w:rPr>
          <w:sz w:val="22"/>
          <w:szCs w:val="22"/>
        </w:rPr>
        <w:tab/>
        <w:t>Summary of the Place-Plus system and how this works for different providers</w:t>
      </w:r>
    </w:p>
    <w:p w:rsidR="00CF7030" w:rsidRPr="005D4129" w:rsidRDefault="00877D3E" w:rsidP="00377184">
      <w:pPr>
        <w:ind w:left="1080" w:hanging="1080"/>
        <w:jc w:val="both"/>
        <w:rPr>
          <w:sz w:val="22"/>
          <w:szCs w:val="22"/>
        </w:rPr>
      </w:pPr>
      <w:r w:rsidRPr="005D4129">
        <w:rPr>
          <w:sz w:val="22"/>
          <w:szCs w:val="22"/>
        </w:rPr>
        <w:t>Appendix 2</w:t>
      </w:r>
      <w:r w:rsidRPr="005D4129">
        <w:rPr>
          <w:sz w:val="22"/>
          <w:szCs w:val="22"/>
        </w:rPr>
        <w:tab/>
      </w:r>
      <w:r w:rsidR="004B4608" w:rsidRPr="005D4129">
        <w:rPr>
          <w:sz w:val="22"/>
          <w:szCs w:val="22"/>
        </w:rPr>
        <w:t>Banded</w:t>
      </w:r>
      <w:r w:rsidR="00CF7030" w:rsidRPr="005D4129">
        <w:rPr>
          <w:sz w:val="22"/>
          <w:szCs w:val="22"/>
        </w:rPr>
        <w:t xml:space="preserve"> Model fo</w:t>
      </w:r>
      <w:r w:rsidRPr="005D4129">
        <w:rPr>
          <w:sz w:val="22"/>
          <w:szCs w:val="22"/>
        </w:rPr>
        <w:t xml:space="preserve">r Pupil-Led Need </w:t>
      </w:r>
      <w:r w:rsidR="00D32993" w:rsidRPr="005D4129">
        <w:rPr>
          <w:sz w:val="22"/>
          <w:szCs w:val="22"/>
        </w:rPr>
        <w:t>Top-up</w:t>
      </w:r>
      <w:r w:rsidRPr="005D4129">
        <w:rPr>
          <w:sz w:val="22"/>
          <w:szCs w:val="22"/>
        </w:rPr>
        <w:t xml:space="preserve"> Funding</w:t>
      </w:r>
    </w:p>
    <w:p w:rsidR="00CF7030" w:rsidRPr="005D4129" w:rsidRDefault="00877D3E" w:rsidP="00355873">
      <w:pPr>
        <w:jc w:val="both"/>
        <w:rPr>
          <w:sz w:val="22"/>
          <w:szCs w:val="22"/>
        </w:rPr>
      </w:pPr>
      <w:r w:rsidRPr="005D4129">
        <w:rPr>
          <w:sz w:val="22"/>
          <w:szCs w:val="22"/>
        </w:rPr>
        <w:t>Appendix 3</w:t>
      </w:r>
      <w:r w:rsidR="00CF7030" w:rsidRPr="005D4129">
        <w:rPr>
          <w:sz w:val="22"/>
          <w:szCs w:val="22"/>
        </w:rPr>
        <w:tab/>
        <w:t>Technical Annex</w:t>
      </w:r>
      <w:r w:rsidR="00E6101C" w:rsidRPr="005D4129">
        <w:rPr>
          <w:sz w:val="22"/>
          <w:szCs w:val="22"/>
        </w:rPr>
        <w:t xml:space="preserve"> 2022/23 Approach</w:t>
      </w:r>
      <w:r w:rsidR="00CF7030" w:rsidRPr="005D4129">
        <w:rPr>
          <w:sz w:val="22"/>
          <w:szCs w:val="22"/>
        </w:rPr>
        <w:t xml:space="preserve"> (including Setting-Led Need factors)</w:t>
      </w:r>
    </w:p>
    <w:p w:rsidR="00C6158B" w:rsidRPr="007A5A27" w:rsidRDefault="00877D3E" w:rsidP="00355873">
      <w:pPr>
        <w:jc w:val="both"/>
        <w:rPr>
          <w:sz w:val="22"/>
          <w:szCs w:val="22"/>
        </w:rPr>
      </w:pPr>
      <w:r w:rsidRPr="007A5A27">
        <w:rPr>
          <w:sz w:val="22"/>
          <w:szCs w:val="22"/>
        </w:rPr>
        <w:t>Appendix 4</w:t>
      </w:r>
      <w:r w:rsidR="00CF7030" w:rsidRPr="007A5A27">
        <w:rPr>
          <w:sz w:val="22"/>
          <w:szCs w:val="22"/>
        </w:rPr>
        <w:tab/>
      </w:r>
      <w:r w:rsidR="007A5A27">
        <w:rPr>
          <w:sz w:val="22"/>
          <w:szCs w:val="22"/>
        </w:rPr>
        <w:t xml:space="preserve">Draft </w:t>
      </w:r>
      <w:r w:rsidR="001C7379" w:rsidRPr="007A5A27">
        <w:rPr>
          <w:sz w:val="22"/>
          <w:szCs w:val="22"/>
        </w:rPr>
        <w:t>Planned Commissioned</w:t>
      </w:r>
      <w:r w:rsidR="00C6158B" w:rsidRPr="007A5A27">
        <w:rPr>
          <w:sz w:val="22"/>
          <w:szCs w:val="22"/>
        </w:rPr>
        <w:t xml:space="preserve"> Places</w:t>
      </w:r>
      <w:r w:rsidR="00E93140" w:rsidRPr="007A5A27">
        <w:rPr>
          <w:sz w:val="22"/>
          <w:szCs w:val="22"/>
        </w:rPr>
        <w:t xml:space="preserve"> 2023/24</w:t>
      </w:r>
      <w:r w:rsidR="00C6158B" w:rsidRPr="007A5A27">
        <w:rPr>
          <w:sz w:val="22"/>
          <w:szCs w:val="22"/>
        </w:rPr>
        <w:t xml:space="preserve"> (Bradford-located settings)</w:t>
      </w:r>
    </w:p>
    <w:p w:rsidR="00E93140" w:rsidRPr="00AC1631" w:rsidRDefault="00E93140" w:rsidP="00355873">
      <w:pPr>
        <w:jc w:val="both"/>
        <w:rPr>
          <w:color w:val="000000" w:themeColor="text1"/>
          <w:sz w:val="22"/>
          <w:szCs w:val="22"/>
        </w:rPr>
      </w:pPr>
      <w:r w:rsidRPr="00AC1631">
        <w:rPr>
          <w:color w:val="000000" w:themeColor="text1"/>
          <w:sz w:val="22"/>
          <w:szCs w:val="22"/>
        </w:rPr>
        <w:t>Appendix 5</w:t>
      </w:r>
      <w:r w:rsidRPr="00AC1631">
        <w:rPr>
          <w:color w:val="000000" w:themeColor="text1"/>
          <w:sz w:val="22"/>
          <w:szCs w:val="22"/>
        </w:rPr>
        <w:tab/>
        <w:t>Notional SEND</w:t>
      </w:r>
      <w:r w:rsidR="005F6CF2" w:rsidRPr="00AC1631">
        <w:rPr>
          <w:color w:val="000000" w:themeColor="text1"/>
          <w:sz w:val="22"/>
          <w:szCs w:val="22"/>
        </w:rPr>
        <w:t xml:space="preserve"> M</w:t>
      </w:r>
      <w:r w:rsidRPr="00AC1631">
        <w:rPr>
          <w:color w:val="000000" w:themeColor="text1"/>
          <w:sz w:val="22"/>
          <w:szCs w:val="22"/>
        </w:rPr>
        <w:t>odelling</w:t>
      </w:r>
      <w:r w:rsidR="00AC1631">
        <w:rPr>
          <w:color w:val="000000" w:themeColor="text1"/>
          <w:sz w:val="22"/>
          <w:szCs w:val="22"/>
        </w:rPr>
        <w:t xml:space="preserve"> (presented in a separate file)</w:t>
      </w:r>
    </w:p>
    <w:p w:rsidR="005F6CF2" w:rsidRPr="00AC1631" w:rsidRDefault="00E93140" w:rsidP="00355873">
      <w:pPr>
        <w:jc w:val="both"/>
        <w:rPr>
          <w:color w:val="000000" w:themeColor="text1"/>
          <w:sz w:val="22"/>
          <w:szCs w:val="22"/>
        </w:rPr>
      </w:pPr>
      <w:r w:rsidRPr="00AC1631">
        <w:rPr>
          <w:color w:val="000000" w:themeColor="text1"/>
          <w:sz w:val="22"/>
          <w:szCs w:val="22"/>
        </w:rPr>
        <w:t>Appendix 6</w:t>
      </w:r>
      <w:r w:rsidR="00C6158B" w:rsidRPr="00AC1631">
        <w:rPr>
          <w:color w:val="000000" w:themeColor="text1"/>
          <w:sz w:val="22"/>
          <w:szCs w:val="22"/>
        </w:rPr>
        <w:tab/>
        <w:t>Consultation Responses Form</w:t>
      </w:r>
      <w:r w:rsidRPr="00AC1631">
        <w:rPr>
          <w:color w:val="000000" w:themeColor="text1"/>
          <w:sz w:val="22"/>
          <w:szCs w:val="22"/>
        </w:rPr>
        <w:t xml:space="preserve">. </w:t>
      </w:r>
    </w:p>
    <w:p w:rsidR="005F6CF2" w:rsidRDefault="005F6CF2" w:rsidP="00355873">
      <w:pPr>
        <w:jc w:val="both"/>
        <w:rPr>
          <w:sz w:val="22"/>
          <w:szCs w:val="22"/>
        </w:rPr>
      </w:pPr>
    </w:p>
    <w:p w:rsidR="005A63FC" w:rsidRDefault="005A63FC" w:rsidP="00355873">
      <w:pPr>
        <w:rPr>
          <w:b/>
          <w:sz w:val="22"/>
          <w:szCs w:val="22"/>
        </w:rPr>
        <w:sectPr w:rsidR="005A63FC" w:rsidSect="00ED7708">
          <w:footerReference w:type="even" r:id="rId22"/>
          <w:footerReference w:type="default" r:id="rId23"/>
          <w:pgSz w:w="11906" w:h="16838"/>
          <w:pgMar w:top="624" w:right="624" w:bottom="624" w:left="624" w:header="709" w:footer="709" w:gutter="0"/>
          <w:cols w:space="708"/>
          <w:docGrid w:linePitch="360"/>
        </w:sectPr>
      </w:pPr>
    </w:p>
    <w:p w:rsidR="00395FE8" w:rsidRPr="00716C50" w:rsidRDefault="00B73BBE" w:rsidP="00355873">
      <w:pPr>
        <w:jc w:val="center"/>
        <w:rPr>
          <w:b/>
          <w:sz w:val="22"/>
          <w:szCs w:val="22"/>
        </w:rPr>
      </w:pPr>
      <w:r w:rsidRPr="00716C50">
        <w:rPr>
          <w:b/>
          <w:sz w:val="22"/>
          <w:szCs w:val="22"/>
        </w:rPr>
        <w:t xml:space="preserve">Appendix 1 – </w:t>
      </w:r>
      <w:r w:rsidR="008F34BE">
        <w:rPr>
          <w:b/>
          <w:sz w:val="22"/>
          <w:szCs w:val="22"/>
        </w:rPr>
        <w:t xml:space="preserve">High level </w:t>
      </w:r>
      <w:r w:rsidR="005A63FC">
        <w:rPr>
          <w:b/>
          <w:sz w:val="22"/>
          <w:szCs w:val="22"/>
        </w:rPr>
        <w:t>Summary of Place-Plus</w:t>
      </w:r>
      <w:r w:rsidR="00C6158B" w:rsidRPr="00716C50">
        <w:rPr>
          <w:b/>
          <w:sz w:val="22"/>
          <w:szCs w:val="22"/>
        </w:rPr>
        <w:t xml:space="preserve"> and how this works for different providers</w:t>
      </w:r>
      <w:r w:rsidR="00E06AD5">
        <w:rPr>
          <w:b/>
          <w:sz w:val="22"/>
          <w:szCs w:val="22"/>
        </w:rPr>
        <w:t xml:space="preserve"> in Bradford</w:t>
      </w:r>
    </w:p>
    <w:p w:rsidR="00395FE8" w:rsidRDefault="00395FE8" w:rsidP="00355873">
      <w:pPr>
        <w:jc w:val="both"/>
        <w:rPr>
          <w:sz w:val="22"/>
          <w:szCs w:val="22"/>
        </w:rPr>
      </w:pPr>
    </w:p>
    <w:tbl>
      <w:tblPr>
        <w:tblStyle w:val="TableGrid"/>
        <w:tblW w:w="0" w:type="auto"/>
        <w:tblLook w:val="04A0" w:firstRow="1" w:lastRow="0" w:firstColumn="1" w:lastColumn="0" w:noHBand="0" w:noVBand="1"/>
      </w:tblPr>
      <w:tblGrid>
        <w:gridCol w:w="2376"/>
        <w:gridCol w:w="2268"/>
        <w:gridCol w:w="2410"/>
        <w:gridCol w:w="2410"/>
        <w:gridCol w:w="2126"/>
        <w:gridCol w:w="2126"/>
        <w:gridCol w:w="1985"/>
      </w:tblGrid>
      <w:tr w:rsidR="00B73BBE" w:rsidTr="00355873">
        <w:tc>
          <w:tcPr>
            <w:tcW w:w="2376" w:type="dxa"/>
          </w:tcPr>
          <w:p w:rsidR="00B73BBE" w:rsidRPr="007A178E" w:rsidRDefault="00B73BBE" w:rsidP="008D56E1">
            <w:pPr>
              <w:rPr>
                <w:b/>
                <w:sz w:val="22"/>
                <w:szCs w:val="22"/>
              </w:rPr>
            </w:pPr>
          </w:p>
        </w:tc>
        <w:tc>
          <w:tcPr>
            <w:tcW w:w="2268" w:type="dxa"/>
          </w:tcPr>
          <w:p w:rsidR="00B73BBE" w:rsidRPr="007A178E" w:rsidRDefault="007A178E" w:rsidP="008D4143">
            <w:pPr>
              <w:rPr>
                <w:b/>
                <w:sz w:val="22"/>
                <w:szCs w:val="22"/>
              </w:rPr>
            </w:pPr>
            <w:r w:rsidRPr="007A178E">
              <w:rPr>
                <w:b/>
                <w:sz w:val="22"/>
                <w:szCs w:val="22"/>
              </w:rPr>
              <w:t>Pre-16</w:t>
            </w:r>
          </w:p>
        </w:tc>
        <w:tc>
          <w:tcPr>
            <w:tcW w:w="2410" w:type="dxa"/>
          </w:tcPr>
          <w:p w:rsidR="00B73BBE" w:rsidRPr="007A178E" w:rsidRDefault="007A178E" w:rsidP="008D4143">
            <w:pPr>
              <w:rPr>
                <w:b/>
                <w:sz w:val="22"/>
                <w:szCs w:val="22"/>
              </w:rPr>
            </w:pPr>
            <w:r w:rsidRPr="007A178E">
              <w:rPr>
                <w:b/>
                <w:sz w:val="22"/>
                <w:szCs w:val="22"/>
              </w:rPr>
              <w:t>Pre-16</w:t>
            </w:r>
          </w:p>
        </w:tc>
        <w:tc>
          <w:tcPr>
            <w:tcW w:w="2410" w:type="dxa"/>
          </w:tcPr>
          <w:p w:rsidR="00B73BBE" w:rsidRPr="007A178E" w:rsidRDefault="007A178E" w:rsidP="008D4143">
            <w:pPr>
              <w:rPr>
                <w:b/>
                <w:sz w:val="22"/>
                <w:szCs w:val="22"/>
              </w:rPr>
            </w:pPr>
            <w:r w:rsidRPr="007A178E">
              <w:rPr>
                <w:b/>
                <w:sz w:val="22"/>
                <w:szCs w:val="22"/>
              </w:rPr>
              <w:t>Post-16</w:t>
            </w:r>
          </w:p>
        </w:tc>
        <w:tc>
          <w:tcPr>
            <w:tcW w:w="2126" w:type="dxa"/>
          </w:tcPr>
          <w:p w:rsidR="00B73BBE" w:rsidRPr="007A178E" w:rsidRDefault="007A178E" w:rsidP="008D4143">
            <w:pPr>
              <w:rPr>
                <w:b/>
                <w:sz w:val="22"/>
                <w:szCs w:val="22"/>
              </w:rPr>
            </w:pPr>
            <w:r w:rsidRPr="007A178E">
              <w:rPr>
                <w:b/>
                <w:sz w:val="22"/>
                <w:szCs w:val="22"/>
              </w:rPr>
              <w:t>Post</w:t>
            </w:r>
            <w:r w:rsidR="00157EF5">
              <w:rPr>
                <w:b/>
                <w:sz w:val="22"/>
                <w:szCs w:val="22"/>
              </w:rPr>
              <w:t>-</w:t>
            </w:r>
            <w:r w:rsidRPr="007A178E">
              <w:rPr>
                <w:b/>
                <w:sz w:val="22"/>
                <w:szCs w:val="22"/>
              </w:rPr>
              <w:t>16</w:t>
            </w:r>
          </w:p>
        </w:tc>
        <w:tc>
          <w:tcPr>
            <w:tcW w:w="2126" w:type="dxa"/>
          </w:tcPr>
          <w:p w:rsidR="00B73BBE" w:rsidRPr="007A178E" w:rsidRDefault="00B73BBE" w:rsidP="001B416B">
            <w:pPr>
              <w:jc w:val="both"/>
              <w:rPr>
                <w:b/>
                <w:sz w:val="22"/>
                <w:szCs w:val="22"/>
              </w:rPr>
            </w:pPr>
          </w:p>
        </w:tc>
        <w:tc>
          <w:tcPr>
            <w:tcW w:w="1985" w:type="dxa"/>
          </w:tcPr>
          <w:p w:rsidR="00B73BBE" w:rsidRPr="007A178E" w:rsidRDefault="00B73BBE" w:rsidP="001B416B">
            <w:pPr>
              <w:jc w:val="both"/>
              <w:rPr>
                <w:b/>
                <w:sz w:val="22"/>
                <w:szCs w:val="22"/>
              </w:rPr>
            </w:pPr>
          </w:p>
        </w:tc>
      </w:tr>
      <w:tr w:rsidR="00B73BBE" w:rsidTr="00355873">
        <w:tc>
          <w:tcPr>
            <w:tcW w:w="2376" w:type="dxa"/>
          </w:tcPr>
          <w:p w:rsidR="00B73BBE" w:rsidRPr="007A178E" w:rsidRDefault="007A178E" w:rsidP="008D56E1">
            <w:pPr>
              <w:rPr>
                <w:b/>
                <w:sz w:val="22"/>
                <w:szCs w:val="22"/>
              </w:rPr>
            </w:pPr>
            <w:r w:rsidRPr="007A178E">
              <w:rPr>
                <w:b/>
                <w:sz w:val="22"/>
                <w:szCs w:val="22"/>
              </w:rPr>
              <w:t>Type of Provision</w:t>
            </w:r>
          </w:p>
        </w:tc>
        <w:tc>
          <w:tcPr>
            <w:tcW w:w="2268" w:type="dxa"/>
          </w:tcPr>
          <w:p w:rsidR="00B73BBE" w:rsidRPr="007A178E" w:rsidRDefault="007A178E" w:rsidP="007A178E">
            <w:pPr>
              <w:rPr>
                <w:b/>
                <w:sz w:val="22"/>
                <w:szCs w:val="22"/>
              </w:rPr>
            </w:pPr>
            <w:r w:rsidRPr="007A178E">
              <w:rPr>
                <w:b/>
                <w:sz w:val="22"/>
                <w:szCs w:val="22"/>
              </w:rPr>
              <w:t>Place</w:t>
            </w:r>
            <w:r w:rsidR="00AC7860">
              <w:rPr>
                <w:b/>
                <w:sz w:val="22"/>
                <w:szCs w:val="22"/>
              </w:rPr>
              <w:t xml:space="preserve"> (Core)</w:t>
            </w:r>
            <w:r w:rsidRPr="007A178E">
              <w:rPr>
                <w:b/>
                <w:sz w:val="22"/>
                <w:szCs w:val="22"/>
              </w:rPr>
              <w:t xml:space="preserve"> Funding</w:t>
            </w:r>
          </w:p>
        </w:tc>
        <w:tc>
          <w:tcPr>
            <w:tcW w:w="2410" w:type="dxa"/>
          </w:tcPr>
          <w:p w:rsidR="00B73BBE" w:rsidRPr="007A178E" w:rsidRDefault="007A178E" w:rsidP="007A178E">
            <w:pPr>
              <w:rPr>
                <w:b/>
                <w:sz w:val="22"/>
                <w:szCs w:val="22"/>
              </w:rPr>
            </w:pPr>
            <w:r w:rsidRPr="007A178E">
              <w:rPr>
                <w:b/>
                <w:sz w:val="22"/>
                <w:szCs w:val="22"/>
              </w:rPr>
              <w:t>Top-Up Funding</w:t>
            </w:r>
            <w:r>
              <w:rPr>
                <w:b/>
                <w:sz w:val="22"/>
                <w:szCs w:val="22"/>
              </w:rPr>
              <w:t xml:space="preserve"> (Pupil-Led Need)</w:t>
            </w:r>
          </w:p>
        </w:tc>
        <w:tc>
          <w:tcPr>
            <w:tcW w:w="2410" w:type="dxa"/>
          </w:tcPr>
          <w:p w:rsidR="00B73BBE" w:rsidRPr="007A178E" w:rsidRDefault="007A178E" w:rsidP="007A178E">
            <w:pPr>
              <w:rPr>
                <w:b/>
                <w:sz w:val="22"/>
                <w:szCs w:val="22"/>
              </w:rPr>
            </w:pPr>
            <w:r w:rsidRPr="007A178E">
              <w:rPr>
                <w:b/>
                <w:sz w:val="22"/>
                <w:szCs w:val="22"/>
              </w:rPr>
              <w:t>Place Funding</w:t>
            </w:r>
          </w:p>
        </w:tc>
        <w:tc>
          <w:tcPr>
            <w:tcW w:w="2126" w:type="dxa"/>
          </w:tcPr>
          <w:p w:rsidR="00B73BBE" w:rsidRPr="007A178E" w:rsidRDefault="007A178E" w:rsidP="007A178E">
            <w:pPr>
              <w:rPr>
                <w:b/>
                <w:sz w:val="22"/>
                <w:szCs w:val="22"/>
              </w:rPr>
            </w:pPr>
            <w:r w:rsidRPr="007A178E">
              <w:rPr>
                <w:b/>
                <w:sz w:val="22"/>
                <w:szCs w:val="22"/>
              </w:rPr>
              <w:t>Top-Up Funding</w:t>
            </w:r>
            <w:r>
              <w:rPr>
                <w:b/>
                <w:sz w:val="22"/>
                <w:szCs w:val="22"/>
              </w:rPr>
              <w:t xml:space="preserve"> (Pupil-Led Need)</w:t>
            </w:r>
          </w:p>
        </w:tc>
        <w:tc>
          <w:tcPr>
            <w:tcW w:w="2126" w:type="dxa"/>
          </w:tcPr>
          <w:p w:rsidR="00B73BBE" w:rsidRPr="007A178E" w:rsidRDefault="007A178E" w:rsidP="007A178E">
            <w:pPr>
              <w:rPr>
                <w:b/>
                <w:sz w:val="22"/>
                <w:szCs w:val="22"/>
              </w:rPr>
            </w:pPr>
            <w:r w:rsidRPr="007A178E">
              <w:rPr>
                <w:b/>
                <w:sz w:val="22"/>
                <w:szCs w:val="22"/>
              </w:rPr>
              <w:t>Setting-Led Need Factors</w:t>
            </w:r>
          </w:p>
        </w:tc>
        <w:tc>
          <w:tcPr>
            <w:tcW w:w="1985" w:type="dxa"/>
          </w:tcPr>
          <w:p w:rsidR="00B73BBE" w:rsidRPr="007A178E" w:rsidRDefault="007A178E" w:rsidP="00AB1B5C">
            <w:pPr>
              <w:rPr>
                <w:b/>
                <w:sz w:val="22"/>
                <w:szCs w:val="22"/>
              </w:rPr>
            </w:pPr>
            <w:r w:rsidRPr="007A178E">
              <w:rPr>
                <w:b/>
                <w:sz w:val="22"/>
                <w:szCs w:val="22"/>
              </w:rPr>
              <w:t>Additional Support Measures</w:t>
            </w:r>
            <w:r>
              <w:rPr>
                <w:b/>
                <w:sz w:val="22"/>
                <w:szCs w:val="22"/>
              </w:rPr>
              <w:t xml:space="preserve"> </w:t>
            </w:r>
          </w:p>
        </w:tc>
      </w:tr>
      <w:tr w:rsidR="00B73BBE" w:rsidTr="00355873">
        <w:tc>
          <w:tcPr>
            <w:tcW w:w="2376" w:type="dxa"/>
          </w:tcPr>
          <w:p w:rsidR="00B73BBE" w:rsidRDefault="008D56E1" w:rsidP="008D56E1">
            <w:pPr>
              <w:rPr>
                <w:sz w:val="22"/>
                <w:szCs w:val="22"/>
              </w:rPr>
            </w:pPr>
            <w:r w:rsidRPr="00677053">
              <w:rPr>
                <w:b/>
                <w:sz w:val="22"/>
                <w:szCs w:val="22"/>
              </w:rPr>
              <w:t>Mainstream primary &amp; secondary</w:t>
            </w:r>
            <w:r>
              <w:rPr>
                <w:sz w:val="22"/>
                <w:szCs w:val="22"/>
              </w:rPr>
              <w:t xml:space="preserve"> (</w:t>
            </w:r>
            <w:r w:rsidR="00722E97">
              <w:rPr>
                <w:sz w:val="22"/>
                <w:szCs w:val="22"/>
              </w:rPr>
              <w:t xml:space="preserve">maintained </w:t>
            </w:r>
            <w:r>
              <w:rPr>
                <w:sz w:val="22"/>
                <w:szCs w:val="22"/>
              </w:rPr>
              <w:t>schools, academies and free school</w:t>
            </w:r>
            <w:r w:rsidR="00893C44">
              <w:rPr>
                <w:sz w:val="22"/>
                <w:szCs w:val="22"/>
              </w:rPr>
              <w:t>s)</w:t>
            </w:r>
          </w:p>
        </w:tc>
        <w:tc>
          <w:tcPr>
            <w:tcW w:w="2268" w:type="dxa"/>
          </w:tcPr>
          <w:p w:rsidR="00B73BBE" w:rsidRDefault="00173952" w:rsidP="00AC7860">
            <w:pPr>
              <w:rPr>
                <w:sz w:val="22"/>
                <w:szCs w:val="22"/>
              </w:rPr>
            </w:pPr>
            <w:r>
              <w:rPr>
                <w:sz w:val="22"/>
                <w:szCs w:val="22"/>
              </w:rPr>
              <w:t>Element 1 is i</w:t>
            </w:r>
            <w:r w:rsidR="00AC7860">
              <w:rPr>
                <w:sz w:val="22"/>
                <w:szCs w:val="22"/>
              </w:rPr>
              <w:t>ncluded within the per-pupil funding</w:t>
            </w:r>
            <w:r w:rsidR="00B22A7E">
              <w:rPr>
                <w:sz w:val="22"/>
                <w:szCs w:val="22"/>
              </w:rPr>
              <w:t xml:space="preserve"> allocated</w:t>
            </w:r>
            <w:r w:rsidR="00AC7860">
              <w:rPr>
                <w:sz w:val="22"/>
                <w:szCs w:val="22"/>
              </w:rPr>
              <w:t xml:space="preserve"> through the local school funding formula</w:t>
            </w:r>
            <w:r w:rsidR="00E64CBB">
              <w:rPr>
                <w:sz w:val="22"/>
                <w:szCs w:val="22"/>
              </w:rPr>
              <w:t xml:space="preserve"> (NFF</w:t>
            </w:r>
            <w:r w:rsidR="00E709B8">
              <w:rPr>
                <w:sz w:val="22"/>
                <w:szCs w:val="22"/>
              </w:rPr>
              <w:t>-based</w:t>
            </w:r>
            <w:r w:rsidR="00E64CBB">
              <w:rPr>
                <w:sz w:val="22"/>
                <w:szCs w:val="22"/>
              </w:rPr>
              <w:t>)</w:t>
            </w:r>
            <w:r w:rsidR="00AC7860">
              <w:rPr>
                <w:sz w:val="22"/>
                <w:szCs w:val="22"/>
              </w:rPr>
              <w:t>.</w:t>
            </w:r>
          </w:p>
          <w:p w:rsidR="00173952" w:rsidRDefault="00173952" w:rsidP="00AC7860">
            <w:pPr>
              <w:rPr>
                <w:sz w:val="22"/>
                <w:szCs w:val="22"/>
              </w:rPr>
            </w:pPr>
          </w:p>
          <w:p w:rsidR="00AC7860" w:rsidRDefault="00173952" w:rsidP="00AC7860">
            <w:pPr>
              <w:rPr>
                <w:sz w:val="22"/>
                <w:szCs w:val="22"/>
              </w:rPr>
            </w:pPr>
            <w:r>
              <w:rPr>
                <w:sz w:val="22"/>
                <w:szCs w:val="22"/>
              </w:rPr>
              <w:t xml:space="preserve">Element 2 - </w:t>
            </w:r>
          </w:p>
          <w:p w:rsidR="00AC7860" w:rsidRDefault="00173952" w:rsidP="00AC7860">
            <w:pPr>
              <w:rPr>
                <w:sz w:val="22"/>
                <w:szCs w:val="22"/>
              </w:rPr>
            </w:pPr>
            <w:r>
              <w:rPr>
                <w:sz w:val="22"/>
                <w:szCs w:val="22"/>
              </w:rPr>
              <w:t>t</w:t>
            </w:r>
            <w:r w:rsidR="00AC7860">
              <w:rPr>
                <w:sz w:val="22"/>
                <w:szCs w:val="22"/>
              </w:rPr>
              <w:t>he first £6,000 of additional support cost</w:t>
            </w:r>
            <w:r>
              <w:rPr>
                <w:sz w:val="22"/>
                <w:szCs w:val="22"/>
              </w:rPr>
              <w:t xml:space="preserve"> –</w:t>
            </w:r>
            <w:r w:rsidR="00AC7860">
              <w:rPr>
                <w:sz w:val="22"/>
                <w:szCs w:val="22"/>
              </w:rPr>
              <w:t xml:space="preserve"> is</w:t>
            </w:r>
            <w:r>
              <w:rPr>
                <w:sz w:val="22"/>
                <w:szCs w:val="22"/>
              </w:rPr>
              <w:t xml:space="preserve"> also already</w:t>
            </w:r>
            <w:r w:rsidR="00AC7860">
              <w:rPr>
                <w:sz w:val="22"/>
                <w:szCs w:val="22"/>
              </w:rPr>
              <w:t xml:space="preserve"> delegated with the school’</w:t>
            </w:r>
            <w:r w:rsidR="009F5C48">
              <w:rPr>
                <w:sz w:val="22"/>
                <w:szCs w:val="22"/>
              </w:rPr>
              <w:t xml:space="preserve">s </w:t>
            </w:r>
            <w:r>
              <w:rPr>
                <w:sz w:val="22"/>
                <w:szCs w:val="22"/>
              </w:rPr>
              <w:t>formula funding</w:t>
            </w:r>
            <w:r w:rsidR="009F5C48">
              <w:rPr>
                <w:sz w:val="22"/>
                <w:szCs w:val="22"/>
              </w:rPr>
              <w:t xml:space="preserve"> allocation</w:t>
            </w:r>
            <w:r w:rsidR="00AC7860">
              <w:rPr>
                <w:sz w:val="22"/>
                <w:szCs w:val="22"/>
              </w:rPr>
              <w:t>.</w:t>
            </w:r>
          </w:p>
          <w:p w:rsidR="00E64CBB" w:rsidRDefault="00E64CBB" w:rsidP="00AC7860">
            <w:pPr>
              <w:rPr>
                <w:sz w:val="22"/>
                <w:szCs w:val="22"/>
              </w:rPr>
            </w:pPr>
          </w:p>
          <w:p w:rsidR="00E64CBB" w:rsidRDefault="00E64CBB" w:rsidP="00AC7860">
            <w:pPr>
              <w:rPr>
                <w:sz w:val="22"/>
                <w:szCs w:val="22"/>
              </w:rPr>
            </w:pPr>
            <w:r>
              <w:rPr>
                <w:sz w:val="22"/>
                <w:szCs w:val="22"/>
              </w:rPr>
              <w:t>Notional SEND defines the value of funding already allocated</w:t>
            </w:r>
            <w:r w:rsidR="00A2474E">
              <w:rPr>
                <w:sz w:val="22"/>
                <w:szCs w:val="22"/>
              </w:rPr>
              <w:t xml:space="preserve"> (see </w:t>
            </w:r>
            <w:r w:rsidR="00407FCC" w:rsidRPr="006829B3">
              <w:rPr>
                <w:color w:val="000000" w:themeColor="text1"/>
                <w:sz w:val="22"/>
                <w:szCs w:val="22"/>
              </w:rPr>
              <w:t>section 10</w:t>
            </w:r>
            <w:r w:rsidR="00A2474E" w:rsidRPr="006829B3">
              <w:rPr>
                <w:color w:val="000000" w:themeColor="text1"/>
                <w:sz w:val="22"/>
                <w:szCs w:val="22"/>
              </w:rPr>
              <w:t>)</w:t>
            </w:r>
            <w:r w:rsidRPr="006829B3">
              <w:rPr>
                <w:color w:val="000000" w:themeColor="text1"/>
                <w:sz w:val="22"/>
                <w:szCs w:val="22"/>
              </w:rPr>
              <w:t>.</w:t>
            </w:r>
          </w:p>
          <w:p w:rsidR="00AB1B5C" w:rsidRDefault="00AB1B5C" w:rsidP="00AC7860">
            <w:pPr>
              <w:rPr>
                <w:sz w:val="22"/>
                <w:szCs w:val="22"/>
              </w:rPr>
            </w:pPr>
          </w:p>
        </w:tc>
        <w:tc>
          <w:tcPr>
            <w:tcW w:w="2410" w:type="dxa"/>
          </w:tcPr>
          <w:p w:rsidR="00B73BBE" w:rsidRDefault="00AC7860" w:rsidP="00AC7860">
            <w:pPr>
              <w:rPr>
                <w:sz w:val="22"/>
                <w:szCs w:val="22"/>
              </w:rPr>
            </w:pPr>
            <w:r>
              <w:rPr>
                <w:sz w:val="22"/>
                <w:szCs w:val="22"/>
              </w:rPr>
              <w:t xml:space="preserve">Agreed per-pupil </w:t>
            </w:r>
            <w:r w:rsidR="00D32993">
              <w:rPr>
                <w:sz w:val="22"/>
                <w:szCs w:val="22"/>
              </w:rPr>
              <w:t>top-up</w:t>
            </w:r>
            <w:r>
              <w:rPr>
                <w:sz w:val="22"/>
                <w:szCs w:val="22"/>
              </w:rPr>
              <w:t xml:space="preserve"> paid by the commissioning local authority.</w:t>
            </w:r>
          </w:p>
          <w:p w:rsidR="00AC7860" w:rsidRDefault="00AC7860" w:rsidP="00AC7860">
            <w:pPr>
              <w:rPr>
                <w:sz w:val="22"/>
                <w:szCs w:val="22"/>
              </w:rPr>
            </w:pPr>
          </w:p>
          <w:p w:rsidR="00AC7860" w:rsidRDefault="00AC7860" w:rsidP="00AC7860">
            <w:pPr>
              <w:rPr>
                <w:sz w:val="22"/>
                <w:szCs w:val="22"/>
              </w:rPr>
            </w:pPr>
            <w:r>
              <w:rPr>
                <w:sz w:val="22"/>
                <w:szCs w:val="22"/>
              </w:rPr>
              <w:t>Allocated in ‘real time’ during the year.</w:t>
            </w:r>
            <w:r w:rsidR="00E709B8">
              <w:rPr>
                <w:sz w:val="22"/>
                <w:szCs w:val="22"/>
              </w:rPr>
              <w:t xml:space="preserve"> </w:t>
            </w:r>
            <w:r w:rsidR="00FD3D0F">
              <w:rPr>
                <w:sz w:val="22"/>
                <w:szCs w:val="22"/>
              </w:rPr>
              <w:t>Changes</w:t>
            </w:r>
            <w:r w:rsidR="00926891">
              <w:rPr>
                <w:sz w:val="22"/>
                <w:szCs w:val="22"/>
              </w:rPr>
              <w:t xml:space="preserve"> for starters and leavers.</w:t>
            </w:r>
          </w:p>
          <w:p w:rsidR="00AC7860" w:rsidRDefault="00AC7860" w:rsidP="00AC7860">
            <w:pPr>
              <w:rPr>
                <w:sz w:val="22"/>
                <w:szCs w:val="22"/>
              </w:rPr>
            </w:pPr>
          </w:p>
          <w:p w:rsidR="00893C44" w:rsidRDefault="00180BF8" w:rsidP="00AC7860">
            <w:pPr>
              <w:rPr>
                <w:sz w:val="22"/>
                <w:szCs w:val="22"/>
              </w:rPr>
            </w:pPr>
            <w:r>
              <w:rPr>
                <w:sz w:val="22"/>
                <w:szCs w:val="22"/>
              </w:rPr>
              <w:t xml:space="preserve">Uses the </w:t>
            </w:r>
            <w:r w:rsidR="00893C44">
              <w:rPr>
                <w:sz w:val="22"/>
                <w:szCs w:val="22"/>
              </w:rPr>
              <w:t xml:space="preserve">Banded Model </w:t>
            </w:r>
            <w:r w:rsidR="00877D3E">
              <w:rPr>
                <w:sz w:val="22"/>
                <w:szCs w:val="22"/>
              </w:rPr>
              <w:t>(see appendix 2</w:t>
            </w:r>
            <w:r w:rsidR="00893C44">
              <w:rPr>
                <w:sz w:val="22"/>
                <w:szCs w:val="22"/>
              </w:rPr>
              <w:t>).</w:t>
            </w:r>
          </w:p>
          <w:p w:rsidR="000A6674" w:rsidRDefault="000A6674" w:rsidP="00AC7860">
            <w:pPr>
              <w:rPr>
                <w:sz w:val="22"/>
                <w:szCs w:val="22"/>
              </w:rPr>
            </w:pPr>
          </w:p>
          <w:p w:rsidR="000A6674" w:rsidRDefault="000A6674" w:rsidP="000A6674">
            <w:pPr>
              <w:rPr>
                <w:sz w:val="22"/>
                <w:szCs w:val="22"/>
              </w:rPr>
            </w:pPr>
            <w:r>
              <w:rPr>
                <w:sz w:val="22"/>
                <w:szCs w:val="22"/>
              </w:rPr>
              <w:t xml:space="preserve">The </w:t>
            </w:r>
            <w:r w:rsidR="00D32993">
              <w:rPr>
                <w:sz w:val="22"/>
                <w:szCs w:val="22"/>
              </w:rPr>
              <w:t>top-up</w:t>
            </w:r>
            <w:r>
              <w:rPr>
                <w:sz w:val="22"/>
                <w:szCs w:val="22"/>
              </w:rPr>
              <w:t xml:space="preserve"> funding is allocated to and retained by the school.</w:t>
            </w:r>
          </w:p>
          <w:p w:rsidR="000A6674" w:rsidRDefault="000A6674" w:rsidP="00AC7860">
            <w:pPr>
              <w:rPr>
                <w:sz w:val="22"/>
                <w:szCs w:val="22"/>
              </w:rPr>
            </w:pPr>
          </w:p>
        </w:tc>
        <w:tc>
          <w:tcPr>
            <w:tcW w:w="2410" w:type="dxa"/>
          </w:tcPr>
          <w:p w:rsidR="00B73BBE" w:rsidRDefault="00DA6EC4" w:rsidP="00AC7860">
            <w:pPr>
              <w:rPr>
                <w:sz w:val="22"/>
                <w:szCs w:val="22"/>
              </w:rPr>
            </w:pPr>
            <w:r>
              <w:rPr>
                <w:sz w:val="22"/>
                <w:szCs w:val="22"/>
              </w:rPr>
              <w:t>Element 1 (based on the 16-19 national funding formula) plus Element 2 (£6,000) based on t</w:t>
            </w:r>
            <w:r w:rsidR="00770C2F">
              <w:rPr>
                <w:sz w:val="22"/>
                <w:szCs w:val="22"/>
              </w:rPr>
              <w:t>he number of places to be commissioned</w:t>
            </w:r>
            <w:r>
              <w:rPr>
                <w:sz w:val="22"/>
                <w:szCs w:val="22"/>
              </w:rPr>
              <w:t>.</w:t>
            </w:r>
          </w:p>
        </w:tc>
        <w:tc>
          <w:tcPr>
            <w:tcW w:w="2126" w:type="dxa"/>
          </w:tcPr>
          <w:p w:rsidR="00DA6EC4" w:rsidRDefault="00DA6EC4" w:rsidP="00DA6EC4">
            <w:pPr>
              <w:rPr>
                <w:sz w:val="22"/>
                <w:szCs w:val="22"/>
              </w:rPr>
            </w:pPr>
            <w:r>
              <w:rPr>
                <w:sz w:val="22"/>
                <w:szCs w:val="22"/>
              </w:rPr>
              <w:t xml:space="preserve">Agreed per-pupil </w:t>
            </w:r>
            <w:r w:rsidR="00D32993">
              <w:rPr>
                <w:sz w:val="22"/>
                <w:szCs w:val="22"/>
              </w:rPr>
              <w:t>top-up</w:t>
            </w:r>
            <w:r>
              <w:rPr>
                <w:sz w:val="22"/>
                <w:szCs w:val="22"/>
              </w:rPr>
              <w:t xml:space="preserve"> paid by the commissioning local authority.</w:t>
            </w:r>
          </w:p>
          <w:p w:rsidR="00DA6EC4" w:rsidRDefault="00DA6EC4" w:rsidP="00DA6EC4">
            <w:pPr>
              <w:rPr>
                <w:sz w:val="22"/>
                <w:szCs w:val="22"/>
              </w:rPr>
            </w:pPr>
          </w:p>
          <w:p w:rsidR="00926891" w:rsidRDefault="00926891" w:rsidP="00926891">
            <w:pPr>
              <w:rPr>
                <w:sz w:val="22"/>
                <w:szCs w:val="22"/>
              </w:rPr>
            </w:pPr>
            <w:r>
              <w:rPr>
                <w:sz w:val="22"/>
                <w:szCs w:val="22"/>
              </w:rPr>
              <w:t xml:space="preserve">Allocated in ‘real time’ during the year. </w:t>
            </w:r>
            <w:r w:rsidR="00FD3D0F">
              <w:rPr>
                <w:sz w:val="22"/>
                <w:szCs w:val="22"/>
              </w:rPr>
              <w:t>Changes</w:t>
            </w:r>
            <w:r>
              <w:rPr>
                <w:sz w:val="22"/>
                <w:szCs w:val="22"/>
              </w:rPr>
              <w:t xml:space="preserve"> for starters and leavers.</w:t>
            </w:r>
          </w:p>
          <w:p w:rsidR="00DA6EC4" w:rsidRDefault="00DA6EC4" w:rsidP="00DA6EC4">
            <w:pPr>
              <w:rPr>
                <w:sz w:val="22"/>
                <w:szCs w:val="22"/>
              </w:rPr>
            </w:pPr>
          </w:p>
          <w:p w:rsidR="00877D3E" w:rsidRDefault="00180BF8" w:rsidP="00877D3E">
            <w:pPr>
              <w:rPr>
                <w:sz w:val="22"/>
                <w:szCs w:val="22"/>
              </w:rPr>
            </w:pPr>
            <w:r>
              <w:rPr>
                <w:sz w:val="22"/>
                <w:szCs w:val="22"/>
              </w:rPr>
              <w:t xml:space="preserve">Uses the </w:t>
            </w:r>
            <w:r w:rsidR="00877D3E">
              <w:rPr>
                <w:sz w:val="22"/>
                <w:szCs w:val="22"/>
              </w:rPr>
              <w:t>Banded Model (see appendix 2).</w:t>
            </w:r>
          </w:p>
          <w:p w:rsidR="000A6674" w:rsidRDefault="000A6674" w:rsidP="00DA6EC4">
            <w:pPr>
              <w:rPr>
                <w:sz w:val="22"/>
                <w:szCs w:val="22"/>
              </w:rPr>
            </w:pPr>
          </w:p>
          <w:p w:rsidR="000A6674" w:rsidRDefault="000A6674" w:rsidP="000A6674">
            <w:pPr>
              <w:rPr>
                <w:sz w:val="22"/>
                <w:szCs w:val="22"/>
              </w:rPr>
            </w:pPr>
            <w:r>
              <w:rPr>
                <w:sz w:val="22"/>
                <w:szCs w:val="22"/>
              </w:rPr>
              <w:t xml:space="preserve">The </w:t>
            </w:r>
            <w:r w:rsidR="00D32993">
              <w:rPr>
                <w:sz w:val="22"/>
                <w:szCs w:val="22"/>
              </w:rPr>
              <w:t>top-up</w:t>
            </w:r>
            <w:r>
              <w:rPr>
                <w:sz w:val="22"/>
                <w:szCs w:val="22"/>
              </w:rPr>
              <w:t xml:space="preserve"> funding is allocated to and retained by the school.</w:t>
            </w:r>
          </w:p>
          <w:p w:rsidR="000A6674" w:rsidRDefault="000A6674" w:rsidP="00DA6EC4">
            <w:pPr>
              <w:rPr>
                <w:sz w:val="22"/>
                <w:szCs w:val="22"/>
              </w:rPr>
            </w:pPr>
          </w:p>
        </w:tc>
        <w:tc>
          <w:tcPr>
            <w:tcW w:w="2126" w:type="dxa"/>
          </w:tcPr>
          <w:p w:rsidR="00B73BBE" w:rsidRDefault="00DA6EC4" w:rsidP="00AC7860">
            <w:pPr>
              <w:rPr>
                <w:sz w:val="22"/>
                <w:szCs w:val="22"/>
              </w:rPr>
            </w:pPr>
            <w:r>
              <w:rPr>
                <w:sz w:val="22"/>
                <w:szCs w:val="22"/>
              </w:rPr>
              <w:t>None.</w:t>
            </w:r>
          </w:p>
        </w:tc>
        <w:tc>
          <w:tcPr>
            <w:tcW w:w="1985" w:type="dxa"/>
          </w:tcPr>
          <w:p w:rsidR="00B73BBE" w:rsidRDefault="00DA6EC4" w:rsidP="00AC7860">
            <w:pPr>
              <w:rPr>
                <w:sz w:val="22"/>
                <w:szCs w:val="22"/>
              </w:rPr>
            </w:pPr>
            <w:r>
              <w:rPr>
                <w:sz w:val="22"/>
                <w:szCs w:val="22"/>
              </w:rPr>
              <w:t>SE</w:t>
            </w:r>
            <w:r w:rsidR="00F47E8F">
              <w:rPr>
                <w:sz w:val="22"/>
                <w:szCs w:val="22"/>
              </w:rPr>
              <w:t xml:space="preserve">ND Funding </w:t>
            </w:r>
            <w:r w:rsidR="00180BF8">
              <w:rPr>
                <w:sz w:val="22"/>
                <w:szCs w:val="22"/>
              </w:rPr>
              <w:t>Floor support</w:t>
            </w:r>
            <w:r w:rsidR="00042C1A">
              <w:rPr>
                <w:sz w:val="22"/>
                <w:szCs w:val="22"/>
              </w:rPr>
              <w:t>s</w:t>
            </w:r>
            <w:r w:rsidR="00180BF8">
              <w:rPr>
                <w:sz w:val="22"/>
                <w:szCs w:val="22"/>
              </w:rPr>
              <w:t xml:space="preserve"> Element 2 cost in</w:t>
            </w:r>
            <w:r w:rsidR="00770C2F">
              <w:rPr>
                <w:sz w:val="22"/>
                <w:szCs w:val="22"/>
              </w:rPr>
              <w:t xml:space="preserve"> pre-16 provision</w:t>
            </w:r>
            <w:r w:rsidR="00180BF8">
              <w:rPr>
                <w:sz w:val="22"/>
                <w:szCs w:val="22"/>
              </w:rPr>
              <w:t>s</w:t>
            </w:r>
            <w:r w:rsidR="00770C2F">
              <w:rPr>
                <w:sz w:val="22"/>
                <w:szCs w:val="22"/>
              </w:rPr>
              <w:t xml:space="preserve"> </w:t>
            </w:r>
            <w:r w:rsidR="00EA7546">
              <w:rPr>
                <w:sz w:val="22"/>
                <w:szCs w:val="22"/>
              </w:rPr>
              <w:t xml:space="preserve">(see </w:t>
            </w:r>
            <w:r w:rsidR="00D1596F" w:rsidRPr="006829B3">
              <w:rPr>
                <w:color w:val="000000" w:themeColor="text1"/>
                <w:sz w:val="22"/>
                <w:szCs w:val="22"/>
              </w:rPr>
              <w:t>section</w:t>
            </w:r>
            <w:r w:rsidR="000E6CA7" w:rsidRPr="006829B3">
              <w:rPr>
                <w:color w:val="000000" w:themeColor="text1"/>
                <w:sz w:val="22"/>
                <w:szCs w:val="22"/>
              </w:rPr>
              <w:t xml:space="preserve"> 11</w:t>
            </w:r>
            <w:r w:rsidRPr="006829B3">
              <w:rPr>
                <w:color w:val="000000" w:themeColor="text1"/>
                <w:sz w:val="22"/>
                <w:szCs w:val="22"/>
              </w:rPr>
              <w:t>).</w:t>
            </w:r>
          </w:p>
          <w:p w:rsidR="00677053" w:rsidRDefault="00677053" w:rsidP="00AC7860">
            <w:pPr>
              <w:rPr>
                <w:sz w:val="22"/>
                <w:szCs w:val="22"/>
              </w:rPr>
            </w:pPr>
          </w:p>
          <w:p w:rsidR="00651453" w:rsidRDefault="00651453" w:rsidP="00AC7860">
            <w:pPr>
              <w:rPr>
                <w:sz w:val="22"/>
                <w:szCs w:val="22"/>
              </w:rPr>
            </w:pPr>
          </w:p>
          <w:p w:rsidR="00651453" w:rsidRDefault="00651453" w:rsidP="00AC7860">
            <w:pPr>
              <w:rPr>
                <w:sz w:val="22"/>
                <w:szCs w:val="22"/>
              </w:rPr>
            </w:pPr>
          </w:p>
        </w:tc>
      </w:tr>
      <w:tr w:rsidR="000C6B6C" w:rsidTr="00355873">
        <w:tc>
          <w:tcPr>
            <w:tcW w:w="2376" w:type="dxa"/>
          </w:tcPr>
          <w:p w:rsidR="000C6B6C" w:rsidRDefault="000C6B6C" w:rsidP="008D56E1">
            <w:pPr>
              <w:rPr>
                <w:sz w:val="22"/>
                <w:szCs w:val="22"/>
              </w:rPr>
            </w:pPr>
            <w:r w:rsidRPr="00677053">
              <w:rPr>
                <w:b/>
                <w:sz w:val="22"/>
                <w:szCs w:val="22"/>
              </w:rPr>
              <w:t>M</w:t>
            </w:r>
            <w:r w:rsidR="009F5C48" w:rsidRPr="00677053">
              <w:rPr>
                <w:b/>
                <w:sz w:val="22"/>
                <w:szCs w:val="22"/>
              </w:rPr>
              <w:t>ainstream early years</w:t>
            </w:r>
            <w:r w:rsidR="009F5C48">
              <w:rPr>
                <w:sz w:val="22"/>
                <w:szCs w:val="22"/>
              </w:rPr>
              <w:t xml:space="preserve"> (</w:t>
            </w:r>
            <w:r w:rsidR="00EA10F0">
              <w:rPr>
                <w:sz w:val="22"/>
                <w:szCs w:val="22"/>
              </w:rPr>
              <w:t xml:space="preserve">nursery </w:t>
            </w:r>
            <w:r w:rsidR="009F5C48">
              <w:rPr>
                <w:sz w:val="22"/>
                <w:szCs w:val="22"/>
              </w:rPr>
              <w:t>schools,</w:t>
            </w:r>
            <w:r w:rsidR="00926891">
              <w:rPr>
                <w:sz w:val="22"/>
                <w:szCs w:val="22"/>
              </w:rPr>
              <w:t xml:space="preserve"> </w:t>
            </w:r>
            <w:r>
              <w:rPr>
                <w:sz w:val="22"/>
                <w:szCs w:val="22"/>
              </w:rPr>
              <w:t>classes and PVI</w:t>
            </w:r>
            <w:r w:rsidR="00EA10F0">
              <w:rPr>
                <w:sz w:val="22"/>
                <w:szCs w:val="22"/>
              </w:rPr>
              <w:t xml:space="preserve"> providers</w:t>
            </w:r>
            <w:r>
              <w:rPr>
                <w:sz w:val="22"/>
                <w:szCs w:val="22"/>
              </w:rPr>
              <w:t>)</w:t>
            </w:r>
          </w:p>
        </w:tc>
        <w:tc>
          <w:tcPr>
            <w:tcW w:w="2268" w:type="dxa"/>
          </w:tcPr>
          <w:p w:rsidR="000C6B6C" w:rsidRDefault="00B22A7E" w:rsidP="00AC7860">
            <w:pPr>
              <w:rPr>
                <w:sz w:val="22"/>
                <w:szCs w:val="22"/>
              </w:rPr>
            </w:pPr>
            <w:r>
              <w:rPr>
                <w:sz w:val="22"/>
                <w:szCs w:val="22"/>
              </w:rPr>
              <w:t>Element 1</w:t>
            </w:r>
            <w:r w:rsidR="005D4E9A">
              <w:rPr>
                <w:sz w:val="22"/>
                <w:szCs w:val="22"/>
              </w:rPr>
              <w:t xml:space="preserve"> is</w:t>
            </w:r>
            <w:r>
              <w:rPr>
                <w:sz w:val="22"/>
                <w:szCs w:val="22"/>
              </w:rPr>
              <w:t xml:space="preserve"> included within the per-pupil funding allocated through the local EYSFF.</w:t>
            </w:r>
          </w:p>
          <w:p w:rsidR="00B22A7E" w:rsidRDefault="00B22A7E" w:rsidP="00AC7860">
            <w:pPr>
              <w:rPr>
                <w:sz w:val="22"/>
                <w:szCs w:val="22"/>
              </w:rPr>
            </w:pPr>
          </w:p>
          <w:p w:rsidR="00B22A7E" w:rsidRDefault="00252C11" w:rsidP="00AC7860">
            <w:pPr>
              <w:rPr>
                <w:sz w:val="22"/>
                <w:szCs w:val="22"/>
              </w:rPr>
            </w:pPr>
            <w:r>
              <w:rPr>
                <w:sz w:val="22"/>
                <w:szCs w:val="22"/>
              </w:rPr>
              <w:t>Early Years SEND Inclusion Grant</w:t>
            </w:r>
            <w:r w:rsidR="00B22A7E">
              <w:rPr>
                <w:sz w:val="22"/>
                <w:szCs w:val="22"/>
              </w:rPr>
              <w:t xml:space="preserve"> allocates Element 2 (£6,000) for eligible low level emerging SEND</w:t>
            </w:r>
            <w:r w:rsidR="00C66383">
              <w:rPr>
                <w:sz w:val="22"/>
                <w:szCs w:val="22"/>
              </w:rPr>
              <w:t xml:space="preserve"> (non-EHCP)</w:t>
            </w:r>
            <w:r w:rsidR="003173FD">
              <w:rPr>
                <w:sz w:val="22"/>
                <w:szCs w:val="22"/>
              </w:rPr>
              <w:t xml:space="preserve"> as agreed by Panel</w:t>
            </w:r>
            <w:r w:rsidR="00B22A7E">
              <w:rPr>
                <w:sz w:val="22"/>
                <w:szCs w:val="22"/>
              </w:rPr>
              <w:t>.</w:t>
            </w:r>
          </w:p>
          <w:p w:rsidR="00E709B8" w:rsidRDefault="00E709B8" w:rsidP="00AC7860">
            <w:pPr>
              <w:rPr>
                <w:sz w:val="22"/>
                <w:szCs w:val="22"/>
              </w:rPr>
            </w:pPr>
          </w:p>
          <w:p w:rsidR="00E709B8" w:rsidRDefault="00E709B8" w:rsidP="00AC7860">
            <w:pPr>
              <w:rPr>
                <w:sz w:val="22"/>
                <w:szCs w:val="22"/>
              </w:rPr>
            </w:pPr>
            <w:r>
              <w:rPr>
                <w:sz w:val="22"/>
                <w:szCs w:val="22"/>
              </w:rPr>
              <w:t>Element 2 is</w:t>
            </w:r>
            <w:r w:rsidR="00180BF8">
              <w:rPr>
                <w:sz w:val="22"/>
                <w:szCs w:val="22"/>
              </w:rPr>
              <w:t xml:space="preserve"> allocated to</w:t>
            </w:r>
            <w:r>
              <w:rPr>
                <w:sz w:val="22"/>
                <w:szCs w:val="22"/>
              </w:rPr>
              <w:t xml:space="preserve"> early years EHCPs in addition to </w:t>
            </w:r>
            <w:r w:rsidR="00D32993">
              <w:rPr>
                <w:sz w:val="22"/>
                <w:szCs w:val="22"/>
              </w:rPr>
              <w:t>top-up</w:t>
            </w:r>
            <w:r>
              <w:rPr>
                <w:sz w:val="22"/>
                <w:szCs w:val="22"/>
              </w:rPr>
              <w:t>.</w:t>
            </w:r>
          </w:p>
        </w:tc>
        <w:tc>
          <w:tcPr>
            <w:tcW w:w="2410" w:type="dxa"/>
          </w:tcPr>
          <w:p w:rsidR="00B22A7E" w:rsidRDefault="00B22A7E" w:rsidP="00B22A7E">
            <w:pPr>
              <w:rPr>
                <w:sz w:val="22"/>
                <w:szCs w:val="22"/>
              </w:rPr>
            </w:pPr>
            <w:r>
              <w:rPr>
                <w:sz w:val="22"/>
                <w:szCs w:val="22"/>
              </w:rPr>
              <w:t xml:space="preserve">Agreed per-pupil </w:t>
            </w:r>
            <w:r w:rsidR="00D32993">
              <w:rPr>
                <w:sz w:val="22"/>
                <w:szCs w:val="22"/>
              </w:rPr>
              <w:t>top-up</w:t>
            </w:r>
            <w:r>
              <w:rPr>
                <w:sz w:val="22"/>
                <w:szCs w:val="22"/>
              </w:rPr>
              <w:t xml:space="preserve"> paid by the commissioning local authority.</w:t>
            </w:r>
          </w:p>
          <w:p w:rsidR="00B22A7E" w:rsidRDefault="00B22A7E" w:rsidP="00B22A7E">
            <w:pPr>
              <w:rPr>
                <w:sz w:val="22"/>
                <w:szCs w:val="22"/>
              </w:rPr>
            </w:pPr>
          </w:p>
          <w:p w:rsidR="00926891" w:rsidRDefault="00926891" w:rsidP="00926891">
            <w:pPr>
              <w:rPr>
                <w:sz w:val="22"/>
                <w:szCs w:val="22"/>
              </w:rPr>
            </w:pPr>
            <w:r>
              <w:rPr>
                <w:sz w:val="22"/>
                <w:szCs w:val="22"/>
              </w:rPr>
              <w:t xml:space="preserve">Allocated in ‘real time’ during the year. </w:t>
            </w:r>
            <w:r w:rsidR="00FD3D0F">
              <w:rPr>
                <w:sz w:val="22"/>
                <w:szCs w:val="22"/>
              </w:rPr>
              <w:t>Changes</w:t>
            </w:r>
            <w:r>
              <w:rPr>
                <w:sz w:val="22"/>
                <w:szCs w:val="22"/>
              </w:rPr>
              <w:t xml:space="preserve"> for starters and leavers.</w:t>
            </w:r>
          </w:p>
          <w:p w:rsidR="00877D3E" w:rsidRDefault="00877D3E" w:rsidP="00877D3E">
            <w:pPr>
              <w:rPr>
                <w:sz w:val="22"/>
                <w:szCs w:val="22"/>
              </w:rPr>
            </w:pPr>
          </w:p>
          <w:p w:rsidR="00877D3E" w:rsidRDefault="00877D3E" w:rsidP="00877D3E">
            <w:pPr>
              <w:rPr>
                <w:sz w:val="22"/>
                <w:szCs w:val="22"/>
              </w:rPr>
            </w:pPr>
          </w:p>
          <w:p w:rsidR="00877D3E" w:rsidRDefault="00180BF8" w:rsidP="00877D3E">
            <w:pPr>
              <w:rPr>
                <w:sz w:val="22"/>
                <w:szCs w:val="22"/>
              </w:rPr>
            </w:pPr>
            <w:r>
              <w:rPr>
                <w:sz w:val="22"/>
                <w:szCs w:val="22"/>
              </w:rPr>
              <w:t xml:space="preserve">Uses the </w:t>
            </w:r>
            <w:r w:rsidR="00877D3E">
              <w:rPr>
                <w:sz w:val="22"/>
                <w:szCs w:val="22"/>
              </w:rPr>
              <w:t>Banded Model (see appendix 2).</w:t>
            </w:r>
          </w:p>
          <w:p w:rsidR="002D7067" w:rsidRDefault="002D7067" w:rsidP="00B22A7E">
            <w:pPr>
              <w:rPr>
                <w:sz w:val="22"/>
                <w:szCs w:val="22"/>
              </w:rPr>
            </w:pPr>
          </w:p>
          <w:p w:rsidR="002D7067" w:rsidRDefault="002D7067" w:rsidP="002D7067">
            <w:pPr>
              <w:rPr>
                <w:sz w:val="22"/>
                <w:szCs w:val="22"/>
              </w:rPr>
            </w:pPr>
            <w:r>
              <w:rPr>
                <w:sz w:val="22"/>
                <w:szCs w:val="22"/>
              </w:rPr>
              <w:t xml:space="preserve">The </w:t>
            </w:r>
            <w:r w:rsidR="00D32993">
              <w:rPr>
                <w:sz w:val="22"/>
                <w:szCs w:val="22"/>
              </w:rPr>
              <w:t>top-up</w:t>
            </w:r>
            <w:r>
              <w:rPr>
                <w:sz w:val="22"/>
                <w:szCs w:val="22"/>
              </w:rPr>
              <w:t xml:space="preserve"> funding is allocated to and retained by the school or provider.</w:t>
            </w:r>
          </w:p>
          <w:p w:rsidR="00EA10F0" w:rsidRDefault="00EA10F0" w:rsidP="00B22A7E">
            <w:pPr>
              <w:rPr>
                <w:sz w:val="22"/>
                <w:szCs w:val="22"/>
              </w:rPr>
            </w:pPr>
          </w:p>
        </w:tc>
        <w:tc>
          <w:tcPr>
            <w:tcW w:w="2410" w:type="dxa"/>
          </w:tcPr>
          <w:p w:rsidR="000C6B6C" w:rsidRDefault="00B22A7E" w:rsidP="00AC7860">
            <w:pPr>
              <w:rPr>
                <w:sz w:val="22"/>
                <w:szCs w:val="22"/>
              </w:rPr>
            </w:pPr>
            <w:r>
              <w:rPr>
                <w:sz w:val="22"/>
                <w:szCs w:val="22"/>
              </w:rPr>
              <w:t>n/a</w:t>
            </w:r>
          </w:p>
        </w:tc>
        <w:tc>
          <w:tcPr>
            <w:tcW w:w="2126" w:type="dxa"/>
          </w:tcPr>
          <w:p w:rsidR="000C6B6C" w:rsidRDefault="00B22A7E" w:rsidP="00AC7860">
            <w:pPr>
              <w:rPr>
                <w:sz w:val="22"/>
                <w:szCs w:val="22"/>
              </w:rPr>
            </w:pPr>
            <w:r>
              <w:rPr>
                <w:sz w:val="22"/>
                <w:szCs w:val="22"/>
              </w:rPr>
              <w:t>n/a</w:t>
            </w:r>
          </w:p>
        </w:tc>
        <w:tc>
          <w:tcPr>
            <w:tcW w:w="2126" w:type="dxa"/>
          </w:tcPr>
          <w:p w:rsidR="000C6B6C" w:rsidRDefault="00B22A7E" w:rsidP="00AC7860">
            <w:pPr>
              <w:rPr>
                <w:sz w:val="22"/>
                <w:szCs w:val="22"/>
              </w:rPr>
            </w:pPr>
            <w:r>
              <w:rPr>
                <w:sz w:val="22"/>
                <w:szCs w:val="22"/>
              </w:rPr>
              <w:t>None.</w:t>
            </w:r>
          </w:p>
        </w:tc>
        <w:tc>
          <w:tcPr>
            <w:tcW w:w="1985" w:type="dxa"/>
          </w:tcPr>
          <w:p w:rsidR="000C6B6C" w:rsidRDefault="00B22A7E" w:rsidP="00AC7860">
            <w:pPr>
              <w:rPr>
                <w:sz w:val="22"/>
                <w:szCs w:val="22"/>
              </w:rPr>
            </w:pPr>
            <w:r>
              <w:rPr>
                <w:sz w:val="22"/>
                <w:szCs w:val="22"/>
              </w:rPr>
              <w:t>Early Years SEND Inclusion</w:t>
            </w:r>
            <w:r w:rsidR="00252C11">
              <w:rPr>
                <w:sz w:val="22"/>
                <w:szCs w:val="22"/>
              </w:rPr>
              <w:t xml:space="preserve"> Grant</w:t>
            </w:r>
            <w:r w:rsidR="00072AC0">
              <w:rPr>
                <w:sz w:val="22"/>
                <w:szCs w:val="22"/>
              </w:rPr>
              <w:t xml:space="preserve"> (EYIF)</w:t>
            </w:r>
            <w:r>
              <w:rPr>
                <w:sz w:val="22"/>
                <w:szCs w:val="22"/>
              </w:rPr>
              <w:t>.</w:t>
            </w:r>
          </w:p>
          <w:p w:rsidR="00B22A7E" w:rsidRDefault="00B22A7E" w:rsidP="00AC7860">
            <w:pPr>
              <w:rPr>
                <w:sz w:val="22"/>
                <w:szCs w:val="22"/>
              </w:rPr>
            </w:pPr>
          </w:p>
          <w:p w:rsidR="00B22A7E" w:rsidRDefault="00B22A7E" w:rsidP="00AC7860">
            <w:pPr>
              <w:rPr>
                <w:sz w:val="22"/>
                <w:szCs w:val="22"/>
              </w:rPr>
            </w:pPr>
            <w:r>
              <w:rPr>
                <w:sz w:val="22"/>
                <w:szCs w:val="22"/>
              </w:rPr>
              <w:t>DAF Grant.</w:t>
            </w:r>
          </w:p>
        </w:tc>
      </w:tr>
      <w:tr w:rsidR="00B73BBE" w:rsidTr="00355873">
        <w:tc>
          <w:tcPr>
            <w:tcW w:w="2376" w:type="dxa"/>
          </w:tcPr>
          <w:p w:rsidR="00B73BBE" w:rsidRDefault="00973F70" w:rsidP="008D56E1">
            <w:pPr>
              <w:rPr>
                <w:sz w:val="22"/>
                <w:szCs w:val="22"/>
              </w:rPr>
            </w:pPr>
            <w:r w:rsidRPr="00677053">
              <w:rPr>
                <w:b/>
                <w:sz w:val="22"/>
                <w:szCs w:val="22"/>
              </w:rPr>
              <w:t>School-led Resourced Provisions</w:t>
            </w:r>
            <w:r w:rsidR="008D56E1">
              <w:rPr>
                <w:sz w:val="22"/>
                <w:szCs w:val="22"/>
              </w:rPr>
              <w:t xml:space="preserve"> (mainstream primary &amp; secondary)</w:t>
            </w:r>
          </w:p>
          <w:p w:rsidR="00EA10F0" w:rsidRDefault="00EA10F0" w:rsidP="008D56E1">
            <w:pPr>
              <w:rPr>
                <w:sz w:val="22"/>
                <w:szCs w:val="22"/>
              </w:rPr>
            </w:pPr>
          </w:p>
          <w:p w:rsidR="00EA10F0" w:rsidRPr="00252C11" w:rsidRDefault="00EA10F0" w:rsidP="008D56E1">
            <w:pPr>
              <w:rPr>
                <w:i/>
                <w:sz w:val="22"/>
                <w:szCs w:val="22"/>
              </w:rPr>
            </w:pPr>
          </w:p>
        </w:tc>
        <w:tc>
          <w:tcPr>
            <w:tcW w:w="2268" w:type="dxa"/>
          </w:tcPr>
          <w:p w:rsidR="00B73BBE" w:rsidRDefault="00841C4B" w:rsidP="00AC7860">
            <w:pPr>
              <w:rPr>
                <w:sz w:val="22"/>
                <w:szCs w:val="22"/>
              </w:rPr>
            </w:pPr>
            <w:r>
              <w:rPr>
                <w:sz w:val="22"/>
                <w:szCs w:val="22"/>
              </w:rPr>
              <w:t>Element</w:t>
            </w:r>
            <w:r w:rsidR="00EA10F0">
              <w:rPr>
                <w:sz w:val="22"/>
                <w:szCs w:val="22"/>
              </w:rPr>
              <w:t>s</w:t>
            </w:r>
            <w:r>
              <w:rPr>
                <w:sz w:val="22"/>
                <w:szCs w:val="22"/>
              </w:rPr>
              <w:t xml:space="preserve"> 1 &amp;</w:t>
            </w:r>
            <w:r w:rsidR="00EA10F0">
              <w:rPr>
                <w:sz w:val="22"/>
                <w:szCs w:val="22"/>
              </w:rPr>
              <w:t xml:space="preserve"> 2 are</w:t>
            </w:r>
            <w:r>
              <w:rPr>
                <w:sz w:val="22"/>
                <w:szCs w:val="22"/>
              </w:rPr>
              <w:t xml:space="preserve"> allocated through a combination of per-pupil funding allocated through the local school</w:t>
            </w:r>
            <w:r w:rsidR="00EA10F0">
              <w:rPr>
                <w:sz w:val="22"/>
                <w:szCs w:val="22"/>
              </w:rPr>
              <w:t>’</w:t>
            </w:r>
            <w:r>
              <w:rPr>
                <w:sz w:val="22"/>
                <w:szCs w:val="22"/>
              </w:rPr>
              <w:t>s funding formula</w:t>
            </w:r>
            <w:r w:rsidR="00EA10F0">
              <w:rPr>
                <w:sz w:val="22"/>
                <w:szCs w:val="22"/>
              </w:rPr>
              <w:t xml:space="preserve"> plus £6,000 per place for places</w:t>
            </w:r>
            <w:r>
              <w:rPr>
                <w:sz w:val="22"/>
                <w:szCs w:val="22"/>
              </w:rPr>
              <w:t xml:space="preserve"> occupied by pupils on roll in October</w:t>
            </w:r>
            <w:r w:rsidR="007A6EE0">
              <w:rPr>
                <w:sz w:val="22"/>
                <w:szCs w:val="22"/>
              </w:rPr>
              <w:t xml:space="preserve"> in the previous year</w:t>
            </w:r>
            <w:r>
              <w:rPr>
                <w:sz w:val="22"/>
                <w:szCs w:val="22"/>
              </w:rPr>
              <w:t xml:space="preserve"> and £10,000 per place for the </w:t>
            </w:r>
            <w:r w:rsidR="00EE6B5C">
              <w:rPr>
                <w:sz w:val="22"/>
                <w:szCs w:val="22"/>
              </w:rPr>
              <w:t>remainder of places agreed to be commissioned</w:t>
            </w:r>
            <w:r>
              <w:rPr>
                <w:sz w:val="22"/>
                <w:szCs w:val="22"/>
              </w:rPr>
              <w:t>.</w:t>
            </w:r>
          </w:p>
          <w:p w:rsidR="00541AF9" w:rsidRDefault="00541AF9" w:rsidP="00AC7860">
            <w:pPr>
              <w:rPr>
                <w:sz w:val="22"/>
                <w:szCs w:val="22"/>
              </w:rPr>
            </w:pPr>
          </w:p>
          <w:p w:rsidR="003235F9" w:rsidRDefault="003235F9" w:rsidP="00AC7860">
            <w:pPr>
              <w:rPr>
                <w:sz w:val="22"/>
                <w:szCs w:val="22"/>
              </w:rPr>
            </w:pPr>
            <w:r>
              <w:rPr>
                <w:sz w:val="22"/>
                <w:szCs w:val="22"/>
              </w:rPr>
              <w:t>Additional place-funding is allocated in real time where occupancy is exceeded, with an end of year reconciliation to ensure no overall overpayment of additional place-led funding for the actual total composite occupancy across the year.</w:t>
            </w:r>
          </w:p>
          <w:p w:rsidR="003235F9" w:rsidRDefault="003235F9" w:rsidP="00AC7860">
            <w:pPr>
              <w:rPr>
                <w:sz w:val="22"/>
                <w:szCs w:val="22"/>
              </w:rPr>
            </w:pPr>
          </w:p>
          <w:p w:rsidR="00541AF9" w:rsidRDefault="00541AF9" w:rsidP="00AC7860">
            <w:pPr>
              <w:rPr>
                <w:sz w:val="22"/>
                <w:szCs w:val="22"/>
              </w:rPr>
            </w:pPr>
            <w:r>
              <w:rPr>
                <w:sz w:val="22"/>
                <w:szCs w:val="22"/>
              </w:rPr>
              <w:t>Both Elements 1 and 2 are retained by the school.</w:t>
            </w:r>
          </w:p>
          <w:p w:rsidR="00E5081E" w:rsidRDefault="00E5081E" w:rsidP="00AC7860">
            <w:pPr>
              <w:rPr>
                <w:sz w:val="22"/>
                <w:szCs w:val="22"/>
              </w:rPr>
            </w:pPr>
          </w:p>
          <w:p w:rsidR="00E5081E" w:rsidRDefault="00E5081E" w:rsidP="00AC7860">
            <w:pPr>
              <w:rPr>
                <w:sz w:val="22"/>
                <w:szCs w:val="22"/>
              </w:rPr>
            </w:pPr>
            <w:r>
              <w:rPr>
                <w:sz w:val="22"/>
                <w:szCs w:val="22"/>
              </w:rPr>
              <w:t>Element 1 is set at a minimum of £4,000 per agreed place.</w:t>
            </w:r>
          </w:p>
          <w:p w:rsidR="00841C4B" w:rsidRDefault="00841C4B" w:rsidP="00AC7860">
            <w:pPr>
              <w:rPr>
                <w:sz w:val="22"/>
                <w:szCs w:val="22"/>
              </w:rPr>
            </w:pPr>
          </w:p>
        </w:tc>
        <w:tc>
          <w:tcPr>
            <w:tcW w:w="2410" w:type="dxa"/>
          </w:tcPr>
          <w:p w:rsidR="00841C4B" w:rsidRDefault="00841C4B" w:rsidP="00841C4B">
            <w:pPr>
              <w:rPr>
                <w:sz w:val="22"/>
                <w:szCs w:val="22"/>
              </w:rPr>
            </w:pPr>
            <w:r>
              <w:rPr>
                <w:sz w:val="22"/>
                <w:szCs w:val="22"/>
              </w:rPr>
              <w:t xml:space="preserve">Agreed per-pupil </w:t>
            </w:r>
            <w:r w:rsidR="00D32993">
              <w:rPr>
                <w:sz w:val="22"/>
                <w:szCs w:val="22"/>
              </w:rPr>
              <w:t>top-up</w:t>
            </w:r>
            <w:r>
              <w:rPr>
                <w:sz w:val="22"/>
                <w:szCs w:val="22"/>
              </w:rPr>
              <w:t xml:space="preserve"> paid by the commissioning local authority.</w:t>
            </w:r>
          </w:p>
          <w:p w:rsidR="00841C4B" w:rsidRDefault="00841C4B" w:rsidP="00841C4B">
            <w:pPr>
              <w:rPr>
                <w:sz w:val="22"/>
                <w:szCs w:val="22"/>
              </w:rPr>
            </w:pPr>
          </w:p>
          <w:p w:rsidR="00C56DE0" w:rsidRDefault="00C56DE0" w:rsidP="00C56DE0">
            <w:pPr>
              <w:rPr>
                <w:sz w:val="22"/>
                <w:szCs w:val="22"/>
              </w:rPr>
            </w:pPr>
            <w:r>
              <w:rPr>
                <w:sz w:val="22"/>
                <w:szCs w:val="22"/>
              </w:rPr>
              <w:t xml:space="preserve">Allocated in ‘real time’ during the year. </w:t>
            </w:r>
            <w:r w:rsidR="00FD3D0F">
              <w:rPr>
                <w:sz w:val="22"/>
                <w:szCs w:val="22"/>
              </w:rPr>
              <w:t>Changes</w:t>
            </w:r>
            <w:r>
              <w:rPr>
                <w:sz w:val="22"/>
                <w:szCs w:val="22"/>
              </w:rPr>
              <w:t xml:space="preserve"> for starters and leavers.</w:t>
            </w:r>
          </w:p>
          <w:p w:rsidR="00841C4B" w:rsidRDefault="00841C4B" w:rsidP="00841C4B">
            <w:pPr>
              <w:rPr>
                <w:sz w:val="22"/>
                <w:szCs w:val="22"/>
              </w:rPr>
            </w:pPr>
          </w:p>
          <w:p w:rsidR="00877D3E" w:rsidRDefault="00223F70" w:rsidP="00877D3E">
            <w:pPr>
              <w:rPr>
                <w:sz w:val="22"/>
                <w:szCs w:val="22"/>
              </w:rPr>
            </w:pPr>
            <w:r>
              <w:rPr>
                <w:sz w:val="22"/>
                <w:szCs w:val="22"/>
              </w:rPr>
              <w:t xml:space="preserve">Uses the </w:t>
            </w:r>
            <w:r w:rsidR="00877D3E">
              <w:rPr>
                <w:sz w:val="22"/>
                <w:szCs w:val="22"/>
              </w:rPr>
              <w:t>Banded Model (see appendix 2).</w:t>
            </w:r>
          </w:p>
          <w:p w:rsidR="00B73BBE" w:rsidRDefault="00B73BBE" w:rsidP="00841C4B">
            <w:pPr>
              <w:rPr>
                <w:sz w:val="22"/>
                <w:szCs w:val="22"/>
              </w:rPr>
            </w:pPr>
          </w:p>
          <w:p w:rsidR="00541AF9" w:rsidRDefault="00541AF9" w:rsidP="00541AF9">
            <w:pPr>
              <w:rPr>
                <w:sz w:val="22"/>
                <w:szCs w:val="22"/>
              </w:rPr>
            </w:pPr>
            <w:r>
              <w:rPr>
                <w:sz w:val="22"/>
                <w:szCs w:val="22"/>
              </w:rPr>
              <w:t xml:space="preserve">The </w:t>
            </w:r>
            <w:r w:rsidR="00D32993">
              <w:rPr>
                <w:sz w:val="22"/>
                <w:szCs w:val="22"/>
              </w:rPr>
              <w:t>top-up</w:t>
            </w:r>
            <w:r>
              <w:rPr>
                <w:sz w:val="22"/>
                <w:szCs w:val="22"/>
              </w:rPr>
              <w:t xml:space="preserve"> funding is allocated to</w:t>
            </w:r>
            <w:r w:rsidR="004F4F14">
              <w:rPr>
                <w:sz w:val="22"/>
                <w:szCs w:val="22"/>
              </w:rPr>
              <w:t xml:space="preserve"> and retained by</w:t>
            </w:r>
            <w:r>
              <w:rPr>
                <w:sz w:val="22"/>
                <w:szCs w:val="22"/>
              </w:rPr>
              <w:t xml:space="preserve"> the school.</w:t>
            </w:r>
          </w:p>
          <w:p w:rsidR="00541AF9" w:rsidRDefault="00541AF9" w:rsidP="00841C4B">
            <w:pPr>
              <w:rPr>
                <w:sz w:val="22"/>
                <w:szCs w:val="22"/>
              </w:rPr>
            </w:pPr>
          </w:p>
        </w:tc>
        <w:tc>
          <w:tcPr>
            <w:tcW w:w="2410" w:type="dxa"/>
          </w:tcPr>
          <w:p w:rsidR="00B73BBE" w:rsidRDefault="00841C4B" w:rsidP="00AC7860">
            <w:pPr>
              <w:rPr>
                <w:sz w:val="22"/>
                <w:szCs w:val="22"/>
              </w:rPr>
            </w:pPr>
            <w:r>
              <w:rPr>
                <w:sz w:val="22"/>
                <w:szCs w:val="22"/>
              </w:rPr>
              <w:t>Element 1 (based on the 16-19 national funding formula) plus Element 2 (£6,000) based on t</w:t>
            </w:r>
            <w:r w:rsidR="00DD27BF">
              <w:rPr>
                <w:sz w:val="22"/>
                <w:szCs w:val="22"/>
              </w:rPr>
              <w:t>he number of places to be commissioned</w:t>
            </w:r>
            <w:r>
              <w:rPr>
                <w:sz w:val="22"/>
                <w:szCs w:val="22"/>
              </w:rPr>
              <w:t>.</w:t>
            </w:r>
          </w:p>
          <w:p w:rsidR="004F4F14" w:rsidRDefault="004F4F14" w:rsidP="00AC7860">
            <w:pPr>
              <w:rPr>
                <w:sz w:val="22"/>
                <w:szCs w:val="22"/>
              </w:rPr>
            </w:pPr>
          </w:p>
          <w:p w:rsidR="004F4F14" w:rsidRDefault="004F4F14" w:rsidP="004F4F14">
            <w:pPr>
              <w:rPr>
                <w:sz w:val="22"/>
                <w:szCs w:val="22"/>
              </w:rPr>
            </w:pPr>
            <w:r>
              <w:rPr>
                <w:sz w:val="22"/>
                <w:szCs w:val="22"/>
              </w:rPr>
              <w:t>Both Elements 1 and 2 are retained by the school.</w:t>
            </w:r>
          </w:p>
          <w:p w:rsidR="004F4F14" w:rsidRDefault="004F4F14" w:rsidP="00AC7860">
            <w:pPr>
              <w:rPr>
                <w:sz w:val="22"/>
                <w:szCs w:val="22"/>
              </w:rPr>
            </w:pPr>
          </w:p>
        </w:tc>
        <w:tc>
          <w:tcPr>
            <w:tcW w:w="2126" w:type="dxa"/>
          </w:tcPr>
          <w:p w:rsidR="00841C4B" w:rsidRDefault="00841C4B" w:rsidP="00841C4B">
            <w:pPr>
              <w:rPr>
                <w:sz w:val="22"/>
                <w:szCs w:val="22"/>
              </w:rPr>
            </w:pPr>
            <w:r>
              <w:rPr>
                <w:sz w:val="22"/>
                <w:szCs w:val="22"/>
              </w:rPr>
              <w:t xml:space="preserve">Agreed per-pupil </w:t>
            </w:r>
            <w:r w:rsidR="00D32993">
              <w:rPr>
                <w:sz w:val="22"/>
                <w:szCs w:val="22"/>
              </w:rPr>
              <w:t>top-up</w:t>
            </w:r>
            <w:r>
              <w:rPr>
                <w:sz w:val="22"/>
                <w:szCs w:val="22"/>
              </w:rPr>
              <w:t xml:space="preserve"> paid by the commissioning local authority.</w:t>
            </w:r>
          </w:p>
          <w:p w:rsidR="00841C4B" w:rsidRDefault="00841C4B" w:rsidP="00841C4B">
            <w:pPr>
              <w:rPr>
                <w:sz w:val="22"/>
                <w:szCs w:val="22"/>
              </w:rPr>
            </w:pPr>
          </w:p>
          <w:p w:rsidR="00C56DE0" w:rsidRDefault="00C56DE0" w:rsidP="00C56DE0">
            <w:pPr>
              <w:rPr>
                <w:sz w:val="22"/>
                <w:szCs w:val="22"/>
              </w:rPr>
            </w:pPr>
            <w:r>
              <w:rPr>
                <w:sz w:val="22"/>
                <w:szCs w:val="22"/>
              </w:rPr>
              <w:t xml:space="preserve">Allocated in ‘real time’ during the year. </w:t>
            </w:r>
            <w:r w:rsidR="00FD3D0F">
              <w:rPr>
                <w:sz w:val="22"/>
                <w:szCs w:val="22"/>
              </w:rPr>
              <w:t>Changes</w:t>
            </w:r>
            <w:r>
              <w:rPr>
                <w:sz w:val="22"/>
                <w:szCs w:val="22"/>
              </w:rPr>
              <w:t xml:space="preserve"> for starters and leavers.</w:t>
            </w:r>
          </w:p>
          <w:p w:rsidR="00841C4B" w:rsidRDefault="00841C4B" w:rsidP="00841C4B">
            <w:pPr>
              <w:rPr>
                <w:sz w:val="22"/>
                <w:szCs w:val="22"/>
              </w:rPr>
            </w:pPr>
          </w:p>
          <w:p w:rsidR="00877D3E" w:rsidRDefault="00223F70" w:rsidP="00877D3E">
            <w:pPr>
              <w:rPr>
                <w:sz w:val="22"/>
                <w:szCs w:val="22"/>
              </w:rPr>
            </w:pPr>
            <w:r>
              <w:rPr>
                <w:sz w:val="22"/>
                <w:szCs w:val="22"/>
              </w:rPr>
              <w:t xml:space="preserve">Uses the </w:t>
            </w:r>
            <w:r w:rsidR="00877D3E">
              <w:rPr>
                <w:sz w:val="22"/>
                <w:szCs w:val="22"/>
              </w:rPr>
              <w:t>Banded Model (see appendix 2).</w:t>
            </w:r>
          </w:p>
          <w:p w:rsidR="00B73BBE" w:rsidRDefault="00B73BBE" w:rsidP="00841C4B">
            <w:pPr>
              <w:rPr>
                <w:sz w:val="22"/>
                <w:szCs w:val="22"/>
              </w:rPr>
            </w:pPr>
          </w:p>
          <w:p w:rsidR="004F4F14" w:rsidRDefault="004F4F14" w:rsidP="004F4F14">
            <w:pPr>
              <w:rPr>
                <w:sz w:val="22"/>
                <w:szCs w:val="22"/>
              </w:rPr>
            </w:pPr>
            <w:r>
              <w:rPr>
                <w:sz w:val="22"/>
                <w:szCs w:val="22"/>
              </w:rPr>
              <w:t xml:space="preserve">The </w:t>
            </w:r>
            <w:r w:rsidR="00D32993">
              <w:rPr>
                <w:sz w:val="22"/>
                <w:szCs w:val="22"/>
              </w:rPr>
              <w:t>top-up</w:t>
            </w:r>
            <w:r>
              <w:rPr>
                <w:sz w:val="22"/>
                <w:szCs w:val="22"/>
              </w:rPr>
              <w:t xml:space="preserve"> funding is allocated to and retained by the school.</w:t>
            </w:r>
          </w:p>
          <w:p w:rsidR="004F4F14" w:rsidRDefault="004F4F14" w:rsidP="00841C4B">
            <w:pPr>
              <w:rPr>
                <w:sz w:val="22"/>
                <w:szCs w:val="22"/>
              </w:rPr>
            </w:pPr>
          </w:p>
          <w:p w:rsidR="002D7067" w:rsidRDefault="002D7067" w:rsidP="00841C4B">
            <w:pPr>
              <w:rPr>
                <w:sz w:val="22"/>
                <w:szCs w:val="22"/>
              </w:rPr>
            </w:pPr>
          </w:p>
          <w:p w:rsidR="002D7067" w:rsidRDefault="002D7067" w:rsidP="00841C4B">
            <w:pPr>
              <w:rPr>
                <w:sz w:val="22"/>
                <w:szCs w:val="22"/>
              </w:rPr>
            </w:pPr>
          </w:p>
        </w:tc>
        <w:tc>
          <w:tcPr>
            <w:tcW w:w="2126" w:type="dxa"/>
          </w:tcPr>
          <w:p w:rsidR="00B73BBE" w:rsidRDefault="006A3369" w:rsidP="00AC7860">
            <w:pPr>
              <w:rPr>
                <w:sz w:val="22"/>
                <w:szCs w:val="22"/>
              </w:rPr>
            </w:pPr>
            <w:r>
              <w:rPr>
                <w:sz w:val="22"/>
                <w:szCs w:val="22"/>
              </w:rPr>
              <w:t>Small Setting Protection.</w:t>
            </w:r>
          </w:p>
          <w:p w:rsidR="006A3369" w:rsidRDefault="006A3369" w:rsidP="00AC7860">
            <w:pPr>
              <w:rPr>
                <w:sz w:val="22"/>
                <w:szCs w:val="22"/>
              </w:rPr>
            </w:pPr>
          </w:p>
          <w:p w:rsidR="006A3369" w:rsidRDefault="006A3369" w:rsidP="00AC7860">
            <w:pPr>
              <w:rPr>
                <w:sz w:val="22"/>
                <w:szCs w:val="22"/>
              </w:rPr>
            </w:pPr>
            <w:r>
              <w:rPr>
                <w:sz w:val="22"/>
                <w:szCs w:val="22"/>
              </w:rPr>
              <w:t>3% Cash Budget Protection.</w:t>
            </w:r>
          </w:p>
          <w:p w:rsidR="00FA388E" w:rsidRDefault="00FA388E" w:rsidP="00AC7860">
            <w:pPr>
              <w:rPr>
                <w:sz w:val="22"/>
                <w:szCs w:val="22"/>
              </w:rPr>
            </w:pPr>
          </w:p>
          <w:p w:rsidR="00FA388E" w:rsidRDefault="00FA388E" w:rsidP="00FA388E">
            <w:pPr>
              <w:rPr>
                <w:sz w:val="22"/>
                <w:szCs w:val="22"/>
              </w:rPr>
            </w:pPr>
            <w:r>
              <w:rPr>
                <w:sz w:val="22"/>
                <w:szCs w:val="22"/>
              </w:rPr>
              <w:t xml:space="preserve">See appendix 3. </w:t>
            </w:r>
          </w:p>
          <w:p w:rsidR="00FA388E" w:rsidRDefault="00FA388E" w:rsidP="00AC7860">
            <w:pPr>
              <w:rPr>
                <w:sz w:val="22"/>
                <w:szCs w:val="22"/>
              </w:rPr>
            </w:pPr>
          </w:p>
        </w:tc>
        <w:tc>
          <w:tcPr>
            <w:tcW w:w="1985" w:type="dxa"/>
          </w:tcPr>
          <w:p w:rsidR="00B73BBE" w:rsidRDefault="00232E6A" w:rsidP="00AC7860">
            <w:pPr>
              <w:rPr>
                <w:sz w:val="22"/>
                <w:szCs w:val="22"/>
              </w:rPr>
            </w:pPr>
            <w:r>
              <w:rPr>
                <w:sz w:val="22"/>
                <w:szCs w:val="22"/>
              </w:rPr>
              <w:t xml:space="preserve">Former </w:t>
            </w:r>
            <w:r w:rsidR="00C67C7A">
              <w:rPr>
                <w:sz w:val="22"/>
                <w:szCs w:val="22"/>
              </w:rPr>
              <w:t>Teacher Pay and Teacher Pensions Grants</w:t>
            </w:r>
          </w:p>
        </w:tc>
      </w:tr>
      <w:tr w:rsidR="00B73BBE" w:rsidTr="00355873">
        <w:tc>
          <w:tcPr>
            <w:tcW w:w="2376" w:type="dxa"/>
          </w:tcPr>
          <w:p w:rsidR="00964A10" w:rsidRDefault="00964A10" w:rsidP="008D56E1">
            <w:pPr>
              <w:rPr>
                <w:sz w:val="22"/>
                <w:szCs w:val="22"/>
              </w:rPr>
            </w:pPr>
            <w:r w:rsidRPr="00677053">
              <w:rPr>
                <w:b/>
                <w:sz w:val="22"/>
                <w:szCs w:val="22"/>
              </w:rPr>
              <w:t>Local Authority-led Sensory Need R</w:t>
            </w:r>
            <w:r w:rsidR="00973F70" w:rsidRPr="00677053">
              <w:rPr>
                <w:b/>
                <w:sz w:val="22"/>
                <w:szCs w:val="22"/>
              </w:rPr>
              <w:t>esourced Provisions</w:t>
            </w:r>
            <w:r w:rsidR="008D56E1">
              <w:rPr>
                <w:sz w:val="22"/>
                <w:szCs w:val="22"/>
              </w:rPr>
              <w:t xml:space="preserve"> (mainstream primary &amp; secondary)</w:t>
            </w:r>
            <w:r>
              <w:rPr>
                <w:sz w:val="22"/>
                <w:szCs w:val="22"/>
              </w:rPr>
              <w:t>.</w:t>
            </w:r>
          </w:p>
          <w:p w:rsidR="00964A10" w:rsidRDefault="00964A10" w:rsidP="008D56E1">
            <w:pPr>
              <w:rPr>
                <w:sz w:val="22"/>
                <w:szCs w:val="22"/>
              </w:rPr>
            </w:pPr>
          </w:p>
          <w:p w:rsidR="005A0EA2" w:rsidRDefault="005A0EA2" w:rsidP="008D56E1">
            <w:pPr>
              <w:rPr>
                <w:sz w:val="22"/>
                <w:szCs w:val="22"/>
              </w:rPr>
            </w:pPr>
          </w:p>
          <w:p w:rsidR="005A0EA2" w:rsidRDefault="000C1025" w:rsidP="008D56E1">
            <w:pPr>
              <w:rPr>
                <w:sz w:val="22"/>
                <w:szCs w:val="22"/>
              </w:rPr>
            </w:pPr>
            <w:r>
              <w:rPr>
                <w:sz w:val="22"/>
                <w:szCs w:val="22"/>
              </w:rPr>
              <w:t>.</w:t>
            </w:r>
          </w:p>
        </w:tc>
        <w:tc>
          <w:tcPr>
            <w:tcW w:w="2268" w:type="dxa"/>
          </w:tcPr>
          <w:p w:rsidR="006A3369" w:rsidRDefault="006A3369" w:rsidP="006A3369">
            <w:pPr>
              <w:rPr>
                <w:sz w:val="22"/>
                <w:szCs w:val="22"/>
              </w:rPr>
            </w:pPr>
            <w:r>
              <w:rPr>
                <w:sz w:val="22"/>
                <w:szCs w:val="22"/>
              </w:rPr>
              <w:t>Element</w:t>
            </w:r>
            <w:r w:rsidR="00964A10">
              <w:rPr>
                <w:sz w:val="22"/>
                <w:szCs w:val="22"/>
              </w:rPr>
              <w:t>s 1 &amp; 2 are</w:t>
            </w:r>
            <w:r>
              <w:rPr>
                <w:sz w:val="22"/>
                <w:szCs w:val="22"/>
              </w:rPr>
              <w:t xml:space="preserve"> allocated through a combination of per-pupil funding allocated through the local school</w:t>
            </w:r>
            <w:r w:rsidR="00EA10F0">
              <w:rPr>
                <w:sz w:val="22"/>
                <w:szCs w:val="22"/>
              </w:rPr>
              <w:t>’</w:t>
            </w:r>
            <w:r>
              <w:rPr>
                <w:sz w:val="22"/>
                <w:szCs w:val="22"/>
              </w:rPr>
              <w:t>s funding formula plus £6,000 per place for those occupied by pupils on roll in October</w:t>
            </w:r>
            <w:r w:rsidR="00964A10">
              <w:rPr>
                <w:sz w:val="22"/>
                <w:szCs w:val="22"/>
              </w:rPr>
              <w:t xml:space="preserve"> in the previous year</w:t>
            </w:r>
            <w:r>
              <w:rPr>
                <w:sz w:val="22"/>
                <w:szCs w:val="22"/>
              </w:rPr>
              <w:t xml:space="preserve"> and £10,000 per place for the </w:t>
            </w:r>
            <w:r w:rsidR="00964A10">
              <w:rPr>
                <w:sz w:val="22"/>
                <w:szCs w:val="22"/>
              </w:rPr>
              <w:t>remainder of places agreed to be commissioned</w:t>
            </w:r>
            <w:r>
              <w:rPr>
                <w:sz w:val="22"/>
                <w:szCs w:val="22"/>
              </w:rPr>
              <w:t>.</w:t>
            </w:r>
          </w:p>
          <w:p w:rsidR="00B73BBE" w:rsidRDefault="00B73BBE" w:rsidP="00AC7860">
            <w:pPr>
              <w:rPr>
                <w:sz w:val="22"/>
                <w:szCs w:val="22"/>
              </w:rPr>
            </w:pPr>
          </w:p>
          <w:p w:rsidR="00ED0A54" w:rsidRDefault="00964A10" w:rsidP="00964A10">
            <w:pPr>
              <w:rPr>
                <w:sz w:val="22"/>
                <w:szCs w:val="22"/>
              </w:rPr>
            </w:pPr>
            <w:r>
              <w:rPr>
                <w:sz w:val="22"/>
                <w:szCs w:val="22"/>
              </w:rPr>
              <w:t>The</w:t>
            </w:r>
            <w:r w:rsidR="00ED0A54">
              <w:rPr>
                <w:sz w:val="22"/>
                <w:szCs w:val="22"/>
              </w:rPr>
              <w:t xml:space="preserve"> host school retains Element 1</w:t>
            </w:r>
            <w:r w:rsidR="009D6A3B">
              <w:rPr>
                <w:sz w:val="22"/>
                <w:szCs w:val="22"/>
              </w:rPr>
              <w:t>, set at a minimum of £4,000 per</w:t>
            </w:r>
            <w:r w:rsidR="00ED0A54">
              <w:rPr>
                <w:sz w:val="22"/>
                <w:szCs w:val="22"/>
              </w:rPr>
              <w:t xml:space="preserve"> </w:t>
            </w:r>
            <w:r w:rsidR="00E5081E">
              <w:rPr>
                <w:sz w:val="22"/>
                <w:szCs w:val="22"/>
              </w:rPr>
              <w:t xml:space="preserve">agreed </w:t>
            </w:r>
            <w:r w:rsidR="00ED0A54">
              <w:rPr>
                <w:sz w:val="22"/>
                <w:szCs w:val="22"/>
              </w:rPr>
              <w:t xml:space="preserve">place. </w:t>
            </w:r>
          </w:p>
          <w:p w:rsidR="00ED0A54" w:rsidRDefault="00ED0A54" w:rsidP="00964A10">
            <w:pPr>
              <w:rPr>
                <w:sz w:val="22"/>
                <w:szCs w:val="22"/>
              </w:rPr>
            </w:pPr>
          </w:p>
          <w:p w:rsidR="00964A10" w:rsidRDefault="00964A10" w:rsidP="00964A10">
            <w:pPr>
              <w:rPr>
                <w:sz w:val="22"/>
                <w:szCs w:val="22"/>
              </w:rPr>
            </w:pPr>
            <w:r>
              <w:rPr>
                <w:sz w:val="22"/>
                <w:szCs w:val="22"/>
              </w:rPr>
              <w:t>Element 2 funding is retained by Bradford Council.</w:t>
            </w:r>
            <w:r w:rsidR="00E83FEC">
              <w:rPr>
                <w:sz w:val="22"/>
                <w:szCs w:val="22"/>
              </w:rPr>
              <w:t xml:space="preserve"> This currently requires </w:t>
            </w:r>
            <w:r w:rsidR="00694B60">
              <w:rPr>
                <w:sz w:val="22"/>
                <w:szCs w:val="22"/>
              </w:rPr>
              <w:t xml:space="preserve">host </w:t>
            </w:r>
            <w:r w:rsidR="00E83FEC">
              <w:rPr>
                <w:sz w:val="22"/>
                <w:szCs w:val="22"/>
              </w:rPr>
              <w:t>schools to repa</w:t>
            </w:r>
            <w:r w:rsidR="00910023">
              <w:rPr>
                <w:sz w:val="22"/>
                <w:szCs w:val="22"/>
              </w:rPr>
              <w:t>y Element 2 back to the Council.</w:t>
            </w:r>
          </w:p>
          <w:p w:rsidR="003235F9" w:rsidRDefault="003235F9" w:rsidP="003235F9">
            <w:pPr>
              <w:rPr>
                <w:sz w:val="22"/>
                <w:szCs w:val="22"/>
              </w:rPr>
            </w:pPr>
            <w:r>
              <w:rPr>
                <w:sz w:val="22"/>
                <w:szCs w:val="22"/>
              </w:rPr>
              <w:t>Additional place-funding is allocated in real time where occupancy is exceeded, with an end of year reconciliation to ensure no overall overpayment of additional place-led funding for the actual total composite occupancy across the year.</w:t>
            </w:r>
          </w:p>
          <w:p w:rsidR="00964A10" w:rsidRDefault="00964A10" w:rsidP="00AC7860">
            <w:pPr>
              <w:rPr>
                <w:sz w:val="22"/>
                <w:szCs w:val="22"/>
              </w:rPr>
            </w:pPr>
          </w:p>
        </w:tc>
        <w:tc>
          <w:tcPr>
            <w:tcW w:w="2410" w:type="dxa"/>
          </w:tcPr>
          <w:p w:rsidR="006A3369" w:rsidRDefault="006A3369" w:rsidP="006A3369">
            <w:pPr>
              <w:rPr>
                <w:sz w:val="22"/>
                <w:szCs w:val="22"/>
              </w:rPr>
            </w:pPr>
            <w:r>
              <w:rPr>
                <w:sz w:val="22"/>
                <w:szCs w:val="22"/>
              </w:rPr>
              <w:t xml:space="preserve">Agreed per-pupil </w:t>
            </w:r>
            <w:r w:rsidR="00D32993">
              <w:rPr>
                <w:sz w:val="22"/>
                <w:szCs w:val="22"/>
              </w:rPr>
              <w:t>top-up</w:t>
            </w:r>
            <w:r>
              <w:rPr>
                <w:sz w:val="22"/>
                <w:szCs w:val="22"/>
              </w:rPr>
              <w:t xml:space="preserve"> paid by the commissioning local authority.</w:t>
            </w:r>
          </w:p>
          <w:p w:rsidR="006A3369" w:rsidRDefault="006A3369" w:rsidP="006A3369">
            <w:pPr>
              <w:rPr>
                <w:sz w:val="22"/>
                <w:szCs w:val="22"/>
              </w:rPr>
            </w:pPr>
          </w:p>
          <w:p w:rsidR="00C56DE0" w:rsidRDefault="00C56DE0" w:rsidP="00C56DE0">
            <w:pPr>
              <w:rPr>
                <w:sz w:val="22"/>
                <w:szCs w:val="22"/>
              </w:rPr>
            </w:pPr>
            <w:r>
              <w:rPr>
                <w:sz w:val="22"/>
                <w:szCs w:val="22"/>
              </w:rPr>
              <w:t xml:space="preserve">Allocated in ‘real time’ during the year. </w:t>
            </w:r>
            <w:r w:rsidR="00FD3D0F">
              <w:rPr>
                <w:sz w:val="22"/>
                <w:szCs w:val="22"/>
              </w:rPr>
              <w:t>Changes</w:t>
            </w:r>
            <w:r>
              <w:rPr>
                <w:sz w:val="22"/>
                <w:szCs w:val="22"/>
              </w:rPr>
              <w:t xml:space="preserve"> for starters and leavers.</w:t>
            </w:r>
          </w:p>
          <w:p w:rsidR="006A3369" w:rsidRDefault="006A3369" w:rsidP="006A3369">
            <w:pPr>
              <w:rPr>
                <w:sz w:val="22"/>
                <w:szCs w:val="22"/>
              </w:rPr>
            </w:pPr>
          </w:p>
          <w:p w:rsidR="00877D3E" w:rsidRDefault="00223F70" w:rsidP="00877D3E">
            <w:pPr>
              <w:rPr>
                <w:sz w:val="22"/>
                <w:szCs w:val="22"/>
              </w:rPr>
            </w:pPr>
            <w:r>
              <w:rPr>
                <w:sz w:val="22"/>
                <w:szCs w:val="22"/>
              </w:rPr>
              <w:t xml:space="preserve">Uses the </w:t>
            </w:r>
            <w:r w:rsidR="00877D3E">
              <w:rPr>
                <w:sz w:val="22"/>
                <w:szCs w:val="22"/>
              </w:rPr>
              <w:t>Banded Model (see appendix 2).</w:t>
            </w:r>
          </w:p>
          <w:p w:rsidR="00964A10" w:rsidRDefault="00964A10" w:rsidP="00964A10">
            <w:pPr>
              <w:rPr>
                <w:sz w:val="22"/>
                <w:szCs w:val="22"/>
              </w:rPr>
            </w:pPr>
          </w:p>
          <w:p w:rsidR="00964A10" w:rsidRDefault="00964A10" w:rsidP="00964A10">
            <w:pPr>
              <w:rPr>
                <w:sz w:val="22"/>
                <w:szCs w:val="22"/>
              </w:rPr>
            </w:pPr>
            <w:r>
              <w:rPr>
                <w:sz w:val="22"/>
                <w:szCs w:val="22"/>
              </w:rPr>
              <w:t xml:space="preserve">The </w:t>
            </w:r>
            <w:r w:rsidR="00D32993">
              <w:rPr>
                <w:sz w:val="22"/>
                <w:szCs w:val="22"/>
              </w:rPr>
              <w:t>top-up</w:t>
            </w:r>
            <w:r>
              <w:rPr>
                <w:sz w:val="22"/>
                <w:szCs w:val="22"/>
              </w:rPr>
              <w:t xml:space="preserve"> funding is retained by Bradford Council.</w:t>
            </w:r>
          </w:p>
          <w:p w:rsidR="00B73BBE" w:rsidRDefault="00B73BBE" w:rsidP="006A3369">
            <w:pPr>
              <w:rPr>
                <w:sz w:val="22"/>
                <w:szCs w:val="22"/>
              </w:rPr>
            </w:pPr>
          </w:p>
        </w:tc>
        <w:tc>
          <w:tcPr>
            <w:tcW w:w="2410" w:type="dxa"/>
          </w:tcPr>
          <w:p w:rsidR="00877D3E" w:rsidRDefault="006A3369" w:rsidP="00AC7860">
            <w:pPr>
              <w:rPr>
                <w:sz w:val="22"/>
                <w:szCs w:val="22"/>
              </w:rPr>
            </w:pPr>
            <w:r>
              <w:rPr>
                <w:sz w:val="22"/>
                <w:szCs w:val="22"/>
              </w:rPr>
              <w:t xml:space="preserve">Element 1 (based on the 16-19 national funding formula) plus </w:t>
            </w:r>
          </w:p>
          <w:p w:rsidR="00B73BBE" w:rsidRDefault="006A3369" w:rsidP="00AC7860">
            <w:pPr>
              <w:rPr>
                <w:sz w:val="22"/>
                <w:szCs w:val="22"/>
              </w:rPr>
            </w:pPr>
            <w:r>
              <w:rPr>
                <w:sz w:val="22"/>
                <w:szCs w:val="22"/>
              </w:rPr>
              <w:t>Element 2 (£6,000) based on t</w:t>
            </w:r>
            <w:r w:rsidR="009D6A3B">
              <w:rPr>
                <w:sz w:val="22"/>
                <w:szCs w:val="22"/>
              </w:rPr>
              <w:t>he number of places to be commissioned</w:t>
            </w:r>
            <w:r>
              <w:rPr>
                <w:sz w:val="22"/>
                <w:szCs w:val="22"/>
              </w:rPr>
              <w:t>.</w:t>
            </w:r>
          </w:p>
          <w:p w:rsidR="007426B7" w:rsidRDefault="007426B7" w:rsidP="00AC7860">
            <w:pPr>
              <w:rPr>
                <w:sz w:val="22"/>
                <w:szCs w:val="22"/>
              </w:rPr>
            </w:pPr>
          </w:p>
          <w:p w:rsidR="007426B7" w:rsidRDefault="007426B7" w:rsidP="007426B7">
            <w:pPr>
              <w:rPr>
                <w:sz w:val="22"/>
                <w:szCs w:val="22"/>
              </w:rPr>
            </w:pPr>
            <w:r>
              <w:rPr>
                <w:sz w:val="22"/>
                <w:szCs w:val="22"/>
              </w:rPr>
              <w:t xml:space="preserve">The host school retains Element 1. </w:t>
            </w:r>
          </w:p>
          <w:p w:rsidR="007426B7" w:rsidRDefault="007426B7" w:rsidP="007426B7">
            <w:pPr>
              <w:rPr>
                <w:sz w:val="22"/>
                <w:szCs w:val="22"/>
              </w:rPr>
            </w:pPr>
          </w:p>
          <w:p w:rsidR="00E83FEC" w:rsidRDefault="00E83FEC" w:rsidP="00E83FEC">
            <w:pPr>
              <w:rPr>
                <w:sz w:val="22"/>
                <w:szCs w:val="22"/>
              </w:rPr>
            </w:pPr>
            <w:r>
              <w:rPr>
                <w:sz w:val="22"/>
                <w:szCs w:val="22"/>
              </w:rPr>
              <w:t xml:space="preserve">Element 2 funding is retained by Bradford Council. This currently requires </w:t>
            </w:r>
            <w:r w:rsidR="005437A8">
              <w:rPr>
                <w:sz w:val="22"/>
                <w:szCs w:val="22"/>
              </w:rPr>
              <w:t xml:space="preserve">host </w:t>
            </w:r>
            <w:r>
              <w:rPr>
                <w:sz w:val="22"/>
                <w:szCs w:val="22"/>
              </w:rPr>
              <w:t>schools to repay Element 2 back to the Council.</w:t>
            </w:r>
          </w:p>
          <w:p w:rsidR="007426B7" w:rsidRDefault="007426B7" w:rsidP="00AC7860">
            <w:pPr>
              <w:rPr>
                <w:sz w:val="22"/>
                <w:szCs w:val="22"/>
              </w:rPr>
            </w:pPr>
          </w:p>
        </w:tc>
        <w:tc>
          <w:tcPr>
            <w:tcW w:w="2126" w:type="dxa"/>
          </w:tcPr>
          <w:p w:rsidR="006A3369" w:rsidRDefault="006A3369" w:rsidP="006A3369">
            <w:pPr>
              <w:rPr>
                <w:sz w:val="22"/>
                <w:szCs w:val="22"/>
              </w:rPr>
            </w:pPr>
            <w:r>
              <w:rPr>
                <w:sz w:val="22"/>
                <w:szCs w:val="22"/>
              </w:rPr>
              <w:t xml:space="preserve">Agreed per-pupil </w:t>
            </w:r>
            <w:r w:rsidR="00D32993">
              <w:rPr>
                <w:sz w:val="22"/>
                <w:szCs w:val="22"/>
              </w:rPr>
              <w:t>top-up</w:t>
            </w:r>
            <w:r>
              <w:rPr>
                <w:sz w:val="22"/>
                <w:szCs w:val="22"/>
              </w:rPr>
              <w:t xml:space="preserve"> paid by the commissioning local authority.</w:t>
            </w:r>
          </w:p>
          <w:p w:rsidR="006A3369" w:rsidRDefault="006A3369" w:rsidP="006A3369">
            <w:pPr>
              <w:rPr>
                <w:sz w:val="22"/>
                <w:szCs w:val="22"/>
              </w:rPr>
            </w:pPr>
          </w:p>
          <w:p w:rsidR="00C56DE0" w:rsidRDefault="00C56DE0" w:rsidP="00C56DE0">
            <w:pPr>
              <w:rPr>
                <w:sz w:val="22"/>
                <w:szCs w:val="22"/>
              </w:rPr>
            </w:pPr>
            <w:r>
              <w:rPr>
                <w:sz w:val="22"/>
                <w:szCs w:val="22"/>
              </w:rPr>
              <w:t xml:space="preserve">Allocated in ‘real time’ during the year. </w:t>
            </w:r>
            <w:r w:rsidR="00FD3D0F">
              <w:rPr>
                <w:sz w:val="22"/>
                <w:szCs w:val="22"/>
              </w:rPr>
              <w:t>Changes</w:t>
            </w:r>
            <w:r>
              <w:rPr>
                <w:sz w:val="22"/>
                <w:szCs w:val="22"/>
              </w:rPr>
              <w:t xml:space="preserve"> for starters and leavers.</w:t>
            </w:r>
          </w:p>
          <w:p w:rsidR="006A3369" w:rsidRDefault="006A3369" w:rsidP="006A3369">
            <w:pPr>
              <w:rPr>
                <w:sz w:val="22"/>
                <w:szCs w:val="22"/>
              </w:rPr>
            </w:pPr>
          </w:p>
          <w:p w:rsidR="00877D3E" w:rsidRDefault="00223F70" w:rsidP="00877D3E">
            <w:pPr>
              <w:rPr>
                <w:sz w:val="22"/>
                <w:szCs w:val="22"/>
              </w:rPr>
            </w:pPr>
            <w:r>
              <w:rPr>
                <w:sz w:val="22"/>
                <w:szCs w:val="22"/>
              </w:rPr>
              <w:t xml:space="preserve">Uses the </w:t>
            </w:r>
            <w:r w:rsidR="00877D3E">
              <w:rPr>
                <w:sz w:val="22"/>
                <w:szCs w:val="22"/>
              </w:rPr>
              <w:t>Banded Model (see appendix 2).</w:t>
            </w:r>
          </w:p>
          <w:p w:rsidR="009D6A3B" w:rsidRDefault="009D6A3B" w:rsidP="009D6A3B">
            <w:pPr>
              <w:rPr>
                <w:sz w:val="22"/>
                <w:szCs w:val="22"/>
              </w:rPr>
            </w:pPr>
          </w:p>
          <w:p w:rsidR="009D6A3B" w:rsidRDefault="009D6A3B" w:rsidP="009D6A3B">
            <w:pPr>
              <w:rPr>
                <w:sz w:val="22"/>
                <w:szCs w:val="22"/>
              </w:rPr>
            </w:pPr>
            <w:r>
              <w:rPr>
                <w:sz w:val="22"/>
                <w:szCs w:val="22"/>
              </w:rPr>
              <w:t xml:space="preserve">The </w:t>
            </w:r>
            <w:r w:rsidR="00D32993">
              <w:rPr>
                <w:sz w:val="22"/>
                <w:szCs w:val="22"/>
              </w:rPr>
              <w:t>top-up</w:t>
            </w:r>
            <w:r>
              <w:rPr>
                <w:sz w:val="22"/>
                <w:szCs w:val="22"/>
              </w:rPr>
              <w:t xml:space="preserve"> funding is retained by Bradford Council.</w:t>
            </w:r>
          </w:p>
          <w:p w:rsidR="00B73BBE" w:rsidRDefault="00B73BBE" w:rsidP="006A3369">
            <w:pPr>
              <w:rPr>
                <w:sz w:val="22"/>
                <w:szCs w:val="22"/>
              </w:rPr>
            </w:pPr>
          </w:p>
        </w:tc>
        <w:tc>
          <w:tcPr>
            <w:tcW w:w="2126" w:type="dxa"/>
          </w:tcPr>
          <w:p w:rsidR="00B73BBE" w:rsidRDefault="0059772F" w:rsidP="006A3369">
            <w:pPr>
              <w:rPr>
                <w:sz w:val="22"/>
                <w:szCs w:val="22"/>
              </w:rPr>
            </w:pPr>
            <w:r>
              <w:rPr>
                <w:sz w:val="22"/>
                <w:szCs w:val="22"/>
              </w:rPr>
              <w:t>Small Setting Protection.</w:t>
            </w:r>
          </w:p>
          <w:p w:rsidR="0059772F" w:rsidRDefault="0059772F" w:rsidP="006A3369">
            <w:pPr>
              <w:rPr>
                <w:sz w:val="22"/>
                <w:szCs w:val="22"/>
              </w:rPr>
            </w:pPr>
          </w:p>
          <w:p w:rsidR="0059772F" w:rsidRDefault="0059772F" w:rsidP="006A3369">
            <w:pPr>
              <w:rPr>
                <w:sz w:val="22"/>
                <w:szCs w:val="22"/>
              </w:rPr>
            </w:pPr>
            <w:r>
              <w:rPr>
                <w:sz w:val="22"/>
                <w:szCs w:val="22"/>
              </w:rPr>
              <w:t xml:space="preserve">New </w:t>
            </w:r>
            <w:r w:rsidR="00080B7C">
              <w:rPr>
                <w:sz w:val="22"/>
                <w:szCs w:val="22"/>
              </w:rPr>
              <w:t xml:space="preserve">Services </w:t>
            </w:r>
            <w:r>
              <w:rPr>
                <w:sz w:val="22"/>
                <w:szCs w:val="22"/>
              </w:rPr>
              <w:t>Delegation.</w:t>
            </w:r>
          </w:p>
          <w:p w:rsidR="00FA388E" w:rsidRDefault="00FA388E" w:rsidP="006A3369">
            <w:pPr>
              <w:rPr>
                <w:sz w:val="22"/>
                <w:szCs w:val="22"/>
              </w:rPr>
            </w:pPr>
          </w:p>
          <w:p w:rsidR="00FA388E" w:rsidRDefault="00FA388E" w:rsidP="00FA388E">
            <w:pPr>
              <w:rPr>
                <w:sz w:val="22"/>
                <w:szCs w:val="22"/>
              </w:rPr>
            </w:pPr>
            <w:r>
              <w:rPr>
                <w:sz w:val="22"/>
                <w:szCs w:val="22"/>
              </w:rPr>
              <w:t xml:space="preserve">See appendix 3. </w:t>
            </w:r>
          </w:p>
          <w:p w:rsidR="00FA388E" w:rsidRDefault="00FA388E" w:rsidP="006A3369">
            <w:pPr>
              <w:rPr>
                <w:sz w:val="22"/>
                <w:szCs w:val="22"/>
              </w:rPr>
            </w:pPr>
          </w:p>
        </w:tc>
        <w:tc>
          <w:tcPr>
            <w:tcW w:w="1985" w:type="dxa"/>
          </w:tcPr>
          <w:p w:rsidR="00B73BBE" w:rsidRDefault="00061220" w:rsidP="00AC7860">
            <w:pPr>
              <w:rPr>
                <w:sz w:val="22"/>
                <w:szCs w:val="22"/>
              </w:rPr>
            </w:pPr>
            <w:r>
              <w:rPr>
                <w:sz w:val="22"/>
                <w:szCs w:val="22"/>
              </w:rPr>
              <w:t xml:space="preserve">Former </w:t>
            </w:r>
            <w:r w:rsidR="00C67C7A">
              <w:rPr>
                <w:sz w:val="22"/>
                <w:szCs w:val="22"/>
              </w:rPr>
              <w:t>Teacher Pay and Teacher Pensions Grants</w:t>
            </w:r>
          </w:p>
        </w:tc>
      </w:tr>
      <w:tr w:rsidR="007426B7" w:rsidTr="00355873">
        <w:tc>
          <w:tcPr>
            <w:tcW w:w="2376" w:type="dxa"/>
          </w:tcPr>
          <w:p w:rsidR="007426B7" w:rsidRDefault="007426B7" w:rsidP="007426B7">
            <w:pPr>
              <w:rPr>
                <w:sz w:val="22"/>
                <w:szCs w:val="22"/>
              </w:rPr>
            </w:pPr>
            <w:r w:rsidRPr="00271340">
              <w:rPr>
                <w:b/>
                <w:sz w:val="22"/>
                <w:szCs w:val="22"/>
              </w:rPr>
              <w:t>Local Authority-led Resourced Provisions</w:t>
            </w:r>
            <w:r>
              <w:rPr>
                <w:sz w:val="22"/>
                <w:szCs w:val="22"/>
              </w:rPr>
              <w:t xml:space="preserve"> (mainstream primary &amp; secondary).</w:t>
            </w:r>
          </w:p>
          <w:p w:rsidR="007426B7" w:rsidRDefault="007426B7" w:rsidP="007426B7">
            <w:pPr>
              <w:rPr>
                <w:sz w:val="22"/>
                <w:szCs w:val="22"/>
              </w:rPr>
            </w:pPr>
          </w:p>
          <w:p w:rsidR="007426B7" w:rsidRDefault="007426B7" w:rsidP="0059772F">
            <w:pPr>
              <w:rPr>
                <w:sz w:val="22"/>
                <w:szCs w:val="22"/>
              </w:rPr>
            </w:pPr>
          </w:p>
        </w:tc>
        <w:tc>
          <w:tcPr>
            <w:tcW w:w="2268" w:type="dxa"/>
          </w:tcPr>
          <w:p w:rsidR="007426B7" w:rsidRDefault="007426B7" w:rsidP="007426B7">
            <w:pPr>
              <w:rPr>
                <w:sz w:val="22"/>
                <w:szCs w:val="22"/>
              </w:rPr>
            </w:pPr>
            <w:r>
              <w:rPr>
                <w:sz w:val="22"/>
                <w:szCs w:val="22"/>
              </w:rPr>
              <w:t>Element 1 is allocated through a combination of per-pupil funding allocated through the local scho</w:t>
            </w:r>
            <w:r w:rsidR="00E152D3">
              <w:rPr>
                <w:sz w:val="22"/>
                <w:szCs w:val="22"/>
              </w:rPr>
              <w:t>ol’s funding formula plus £4,000 (or the higher MFL value)</w:t>
            </w:r>
            <w:r>
              <w:rPr>
                <w:sz w:val="22"/>
                <w:szCs w:val="22"/>
              </w:rPr>
              <w:t xml:space="preserve"> for places agreed to be commissioned but not occupied by pupils on roll in October in the previous year.</w:t>
            </w:r>
          </w:p>
          <w:p w:rsidR="007426B7" w:rsidRDefault="007426B7" w:rsidP="007426B7">
            <w:pPr>
              <w:rPr>
                <w:sz w:val="22"/>
                <w:szCs w:val="22"/>
              </w:rPr>
            </w:pPr>
          </w:p>
          <w:p w:rsidR="007426B7" w:rsidRDefault="007426B7" w:rsidP="007426B7">
            <w:pPr>
              <w:rPr>
                <w:sz w:val="22"/>
                <w:szCs w:val="22"/>
              </w:rPr>
            </w:pPr>
            <w:r>
              <w:rPr>
                <w:sz w:val="22"/>
                <w:szCs w:val="22"/>
              </w:rPr>
              <w:t>The host school retains Element 1, set at a minimum of £4,000</w:t>
            </w:r>
            <w:r w:rsidR="00E152D3">
              <w:rPr>
                <w:sz w:val="22"/>
                <w:szCs w:val="22"/>
              </w:rPr>
              <w:t xml:space="preserve"> (or the higher MFL value)</w:t>
            </w:r>
            <w:r>
              <w:rPr>
                <w:sz w:val="22"/>
                <w:szCs w:val="22"/>
              </w:rPr>
              <w:t xml:space="preserve"> per agreed place. </w:t>
            </w:r>
          </w:p>
          <w:p w:rsidR="007426B7" w:rsidRDefault="007426B7" w:rsidP="007426B7">
            <w:pPr>
              <w:rPr>
                <w:sz w:val="22"/>
                <w:szCs w:val="22"/>
              </w:rPr>
            </w:pPr>
          </w:p>
          <w:p w:rsidR="007426B7" w:rsidRDefault="007426B7" w:rsidP="007426B7">
            <w:pPr>
              <w:rPr>
                <w:sz w:val="22"/>
                <w:szCs w:val="22"/>
              </w:rPr>
            </w:pPr>
            <w:r>
              <w:rPr>
                <w:sz w:val="22"/>
                <w:szCs w:val="22"/>
              </w:rPr>
              <w:t>Element 2 funding is calculated at £6,000 per commissioned place and is retained by Bradford Council.</w:t>
            </w:r>
          </w:p>
          <w:p w:rsidR="007426B7" w:rsidRDefault="007426B7" w:rsidP="006A3369">
            <w:pPr>
              <w:rPr>
                <w:sz w:val="22"/>
                <w:szCs w:val="22"/>
              </w:rPr>
            </w:pPr>
          </w:p>
        </w:tc>
        <w:tc>
          <w:tcPr>
            <w:tcW w:w="2410" w:type="dxa"/>
          </w:tcPr>
          <w:p w:rsidR="007426B7" w:rsidRDefault="007426B7" w:rsidP="007426B7">
            <w:pPr>
              <w:rPr>
                <w:sz w:val="22"/>
                <w:szCs w:val="22"/>
              </w:rPr>
            </w:pPr>
            <w:r>
              <w:rPr>
                <w:sz w:val="22"/>
                <w:szCs w:val="22"/>
              </w:rPr>
              <w:t xml:space="preserve">Agreed per-pupil </w:t>
            </w:r>
            <w:r w:rsidR="00D32993">
              <w:rPr>
                <w:sz w:val="22"/>
                <w:szCs w:val="22"/>
              </w:rPr>
              <w:t>top-up</w:t>
            </w:r>
            <w:r>
              <w:rPr>
                <w:sz w:val="22"/>
                <w:szCs w:val="22"/>
              </w:rPr>
              <w:t xml:space="preserve"> paid by the commissioning local authority.</w:t>
            </w:r>
          </w:p>
          <w:p w:rsidR="007426B7" w:rsidRDefault="007426B7" w:rsidP="007426B7">
            <w:pPr>
              <w:rPr>
                <w:sz w:val="22"/>
                <w:szCs w:val="22"/>
              </w:rPr>
            </w:pPr>
          </w:p>
          <w:p w:rsidR="007426B7" w:rsidRDefault="007426B7" w:rsidP="007426B7">
            <w:pPr>
              <w:rPr>
                <w:sz w:val="22"/>
                <w:szCs w:val="22"/>
              </w:rPr>
            </w:pPr>
            <w:r>
              <w:rPr>
                <w:sz w:val="22"/>
                <w:szCs w:val="22"/>
              </w:rPr>
              <w:t>Allocated in ‘real time’ during the year. Changes for starters and leavers.</w:t>
            </w:r>
          </w:p>
          <w:p w:rsidR="00877D3E" w:rsidRDefault="00877D3E" w:rsidP="007426B7">
            <w:pPr>
              <w:rPr>
                <w:sz w:val="22"/>
                <w:szCs w:val="22"/>
              </w:rPr>
            </w:pPr>
          </w:p>
          <w:p w:rsidR="00877D3E" w:rsidRDefault="00223F70" w:rsidP="00877D3E">
            <w:pPr>
              <w:rPr>
                <w:sz w:val="22"/>
                <w:szCs w:val="22"/>
              </w:rPr>
            </w:pPr>
            <w:r>
              <w:rPr>
                <w:sz w:val="22"/>
                <w:szCs w:val="22"/>
              </w:rPr>
              <w:t xml:space="preserve">Uses the </w:t>
            </w:r>
            <w:r w:rsidR="00877D3E">
              <w:rPr>
                <w:sz w:val="22"/>
                <w:szCs w:val="22"/>
              </w:rPr>
              <w:t>Banded Model (see appendix 2).</w:t>
            </w:r>
          </w:p>
          <w:p w:rsidR="007426B7" w:rsidRDefault="007426B7" w:rsidP="007426B7">
            <w:pPr>
              <w:rPr>
                <w:sz w:val="22"/>
                <w:szCs w:val="22"/>
              </w:rPr>
            </w:pPr>
          </w:p>
          <w:p w:rsidR="007426B7" w:rsidRDefault="007426B7" w:rsidP="007426B7">
            <w:pPr>
              <w:rPr>
                <w:sz w:val="22"/>
                <w:szCs w:val="22"/>
              </w:rPr>
            </w:pPr>
            <w:r>
              <w:rPr>
                <w:sz w:val="22"/>
                <w:szCs w:val="22"/>
              </w:rPr>
              <w:t xml:space="preserve">The </w:t>
            </w:r>
            <w:r w:rsidR="00D32993">
              <w:rPr>
                <w:sz w:val="22"/>
                <w:szCs w:val="22"/>
              </w:rPr>
              <w:t>top-up</w:t>
            </w:r>
            <w:r>
              <w:rPr>
                <w:sz w:val="22"/>
                <w:szCs w:val="22"/>
              </w:rPr>
              <w:t xml:space="preserve"> funding is retained by Bradford Council.</w:t>
            </w:r>
          </w:p>
          <w:p w:rsidR="007426B7" w:rsidRDefault="007426B7" w:rsidP="006A3369">
            <w:pPr>
              <w:rPr>
                <w:sz w:val="22"/>
                <w:szCs w:val="22"/>
              </w:rPr>
            </w:pPr>
          </w:p>
        </w:tc>
        <w:tc>
          <w:tcPr>
            <w:tcW w:w="2410" w:type="dxa"/>
          </w:tcPr>
          <w:p w:rsidR="007426B7" w:rsidRDefault="007426B7" w:rsidP="004308EC">
            <w:pPr>
              <w:rPr>
                <w:sz w:val="22"/>
                <w:szCs w:val="22"/>
              </w:rPr>
            </w:pPr>
            <w:r>
              <w:rPr>
                <w:sz w:val="22"/>
                <w:szCs w:val="22"/>
              </w:rPr>
              <w:t>Element 1 (based on the 16-19 national funding formula) plus Element 2 (£6,000) based on the number of places to be commissioned.</w:t>
            </w:r>
          </w:p>
          <w:p w:rsidR="007426B7" w:rsidRDefault="007426B7" w:rsidP="004308EC">
            <w:pPr>
              <w:rPr>
                <w:sz w:val="22"/>
                <w:szCs w:val="22"/>
              </w:rPr>
            </w:pPr>
          </w:p>
          <w:p w:rsidR="007426B7" w:rsidRDefault="007426B7" w:rsidP="004308EC">
            <w:pPr>
              <w:rPr>
                <w:sz w:val="22"/>
                <w:szCs w:val="22"/>
              </w:rPr>
            </w:pPr>
            <w:r>
              <w:rPr>
                <w:sz w:val="22"/>
                <w:szCs w:val="22"/>
              </w:rPr>
              <w:t xml:space="preserve">The host school retains Element 1. </w:t>
            </w:r>
          </w:p>
          <w:p w:rsidR="007426B7" w:rsidRDefault="007426B7" w:rsidP="004308EC">
            <w:pPr>
              <w:rPr>
                <w:sz w:val="22"/>
                <w:szCs w:val="22"/>
              </w:rPr>
            </w:pPr>
          </w:p>
          <w:p w:rsidR="007426B7" w:rsidRDefault="007426B7" w:rsidP="004308EC">
            <w:pPr>
              <w:rPr>
                <w:sz w:val="22"/>
                <w:szCs w:val="22"/>
              </w:rPr>
            </w:pPr>
            <w:r>
              <w:rPr>
                <w:sz w:val="22"/>
                <w:szCs w:val="22"/>
              </w:rPr>
              <w:t>Element 2 funding is retained by Bradford Council.</w:t>
            </w:r>
          </w:p>
          <w:p w:rsidR="007426B7" w:rsidRDefault="007426B7" w:rsidP="004308EC">
            <w:pPr>
              <w:rPr>
                <w:sz w:val="22"/>
                <w:szCs w:val="22"/>
              </w:rPr>
            </w:pPr>
          </w:p>
        </w:tc>
        <w:tc>
          <w:tcPr>
            <w:tcW w:w="2126" w:type="dxa"/>
          </w:tcPr>
          <w:p w:rsidR="007426B7" w:rsidRDefault="007426B7" w:rsidP="004308EC">
            <w:pPr>
              <w:rPr>
                <w:sz w:val="22"/>
                <w:szCs w:val="22"/>
              </w:rPr>
            </w:pPr>
            <w:r>
              <w:rPr>
                <w:sz w:val="22"/>
                <w:szCs w:val="22"/>
              </w:rPr>
              <w:t xml:space="preserve">Agreed per-pupil </w:t>
            </w:r>
            <w:r w:rsidR="00D32993">
              <w:rPr>
                <w:sz w:val="22"/>
                <w:szCs w:val="22"/>
              </w:rPr>
              <w:t>top-up</w:t>
            </w:r>
            <w:r>
              <w:rPr>
                <w:sz w:val="22"/>
                <w:szCs w:val="22"/>
              </w:rPr>
              <w:t xml:space="preserve"> paid by the commissioning local authority.</w:t>
            </w:r>
          </w:p>
          <w:p w:rsidR="007426B7" w:rsidRDefault="007426B7" w:rsidP="004308EC">
            <w:pPr>
              <w:rPr>
                <w:sz w:val="22"/>
                <w:szCs w:val="22"/>
              </w:rPr>
            </w:pPr>
          </w:p>
          <w:p w:rsidR="007426B7" w:rsidRDefault="007426B7" w:rsidP="004308EC">
            <w:pPr>
              <w:rPr>
                <w:sz w:val="22"/>
                <w:szCs w:val="22"/>
              </w:rPr>
            </w:pPr>
            <w:r>
              <w:rPr>
                <w:sz w:val="22"/>
                <w:szCs w:val="22"/>
              </w:rPr>
              <w:t>Allocated in ‘real time’ during the year. Changes for starters and leavers.</w:t>
            </w:r>
          </w:p>
          <w:p w:rsidR="007426B7" w:rsidRDefault="007426B7" w:rsidP="004308EC">
            <w:pPr>
              <w:rPr>
                <w:sz w:val="22"/>
                <w:szCs w:val="22"/>
              </w:rPr>
            </w:pPr>
          </w:p>
          <w:p w:rsidR="00877D3E" w:rsidRDefault="00223F70" w:rsidP="00877D3E">
            <w:pPr>
              <w:rPr>
                <w:sz w:val="22"/>
                <w:szCs w:val="22"/>
              </w:rPr>
            </w:pPr>
            <w:r>
              <w:rPr>
                <w:sz w:val="22"/>
                <w:szCs w:val="22"/>
              </w:rPr>
              <w:t xml:space="preserve">Uses the </w:t>
            </w:r>
            <w:r w:rsidR="00877D3E">
              <w:rPr>
                <w:sz w:val="22"/>
                <w:szCs w:val="22"/>
              </w:rPr>
              <w:t>Banded Model (see appendix 2).</w:t>
            </w:r>
          </w:p>
          <w:p w:rsidR="007426B7" w:rsidRDefault="007426B7" w:rsidP="004308EC">
            <w:pPr>
              <w:rPr>
                <w:sz w:val="22"/>
                <w:szCs w:val="22"/>
              </w:rPr>
            </w:pPr>
          </w:p>
          <w:p w:rsidR="007426B7" w:rsidRDefault="007426B7" w:rsidP="004308EC">
            <w:pPr>
              <w:rPr>
                <w:sz w:val="22"/>
                <w:szCs w:val="22"/>
              </w:rPr>
            </w:pPr>
            <w:r>
              <w:rPr>
                <w:sz w:val="22"/>
                <w:szCs w:val="22"/>
              </w:rPr>
              <w:t xml:space="preserve">The </w:t>
            </w:r>
            <w:r w:rsidR="00D32993">
              <w:rPr>
                <w:sz w:val="22"/>
                <w:szCs w:val="22"/>
              </w:rPr>
              <w:t>top-up</w:t>
            </w:r>
            <w:r>
              <w:rPr>
                <w:sz w:val="22"/>
                <w:szCs w:val="22"/>
              </w:rPr>
              <w:t xml:space="preserve"> funding is retained by Bradford Council.</w:t>
            </w:r>
          </w:p>
          <w:p w:rsidR="007426B7" w:rsidRDefault="007426B7" w:rsidP="004308EC">
            <w:pPr>
              <w:rPr>
                <w:sz w:val="22"/>
                <w:szCs w:val="22"/>
              </w:rPr>
            </w:pPr>
          </w:p>
        </w:tc>
        <w:tc>
          <w:tcPr>
            <w:tcW w:w="2126" w:type="dxa"/>
          </w:tcPr>
          <w:p w:rsidR="00FA388E" w:rsidRDefault="00FA388E" w:rsidP="00FA388E">
            <w:pPr>
              <w:rPr>
                <w:sz w:val="22"/>
                <w:szCs w:val="22"/>
              </w:rPr>
            </w:pPr>
            <w:r>
              <w:rPr>
                <w:sz w:val="22"/>
                <w:szCs w:val="22"/>
              </w:rPr>
              <w:t>Small Setting Protection.</w:t>
            </w:r>
          </w:p>
          <w:p w:rsidR="00FA388E" w:rsidRDefault="00FA388E" w:rsidP="00FA388E">
            <w:pPr>
              <w:rPr>
                <w:sz w:val="22"/>
                <w:szCs w:val="22"/>
              </w:rPr>
            </w:pPr>
          </w:p>
          <w:p w:rsidR="007426B7" w:rsidRDefault="00FA388E" w:rsidP="00FA388E">
            <w:pPr>
              <w:rPr>
                <w:sz w:val="22"/>
                <w:szCs w:val="22"/>
              </w:rPr>
            </w:pPr>
            <w:r>
              <w:rPr>
                <w:sz w:val="22"/>
                <w:szCs w:val="22"/>
              </w:rPr>
              <w:t xml:space="preserve">New </w:t>
            </w:r>
            <w:r w:rsidR="00080B7C">
              <w:rPr>
                <w:sz w:val="22"/>
                <w:szCs w:val="22"/>
              </w:rPr>
              <w:t xml:space="preserve">Services </w:t>
            </w:r>
            <w:r>
              <w:rPr>
                <w:sz w:val="22"/>
                <w:szCs w:val="22"/>
              </w:rPr>
              <w:t>Delegation.</w:t>
            </w:r>
          </w:p>
          <w:p w:rsidR="00FA388E" w:rsidRDefault="00FA388E" w:rsidP="00FA388E">
            <w:pPr>
              <w:rPr>
                <w:sz w:val="22"/>
                <w:szCs w:val="22"/>
              </w:rPr>
            </w:pPr>
          </w:p>
          <w:p w:rsidR="00FA388E" w:rsidRDefault="00FA388E" w:rsidP="00FA388E">
            <w:pPr>
              <w:rPr>
                <w:sz w:val="22"/>
                <w:szCs w:val="22"/>
              </w:rPr>
            </w:pPr>
            <w:r>
              <w:rPr>
                <w:sz w:val="22"/>
                <w:szCs w:val="22"/>
              </w:rPr>
              <w:t xml:space="preserve">See appendix 3. </w:t>
            </w:r>
          </w:p>
          <w:p w:rsidR="00FA388E" w:rsidRDefault="00FA388E" w:rsidP="00FA388E">
            <w:pPr>
              <w:rPr>
                <w:sz w:val="22"/>
                <w:szCs w:val="22"/>
              </w:rPr>
            </w:pPr>
          </w:p>
        </w:tc>
        <w:tc>
          <w:tcPr>
            <w:tcW w:w="1985" w:type="dxa"/>
          </w:tcPr>
          <w:p w:rsidR="007426B7" w:rsidRDefault="00061220" w:rsidP="004308EC">
            <w:pPr>
              <w:rPr>
                <w:sz w:val="22"/>
                <w:szCs w:val="22"/>
              </w:rPr>
            </w:pPr>
            <w:r>
              <w:rPr>
                <w:sz w:val="22"/>
                <w:szCs w:val="22"/>
              </w:rPr>
              <w:t xml:space="preserve">Former </w:t>
            </w:r>
            <w:r w:rsidR="00C67C7A">
              <w:rPr>
                <w:sz w:val="22"/>
                <w:szCs w:val="22"/>
              </w:rPr>
              <w:t>Teacher Pay and Teacher Pensions Grants</w:t>
            </w:r>
          </w:p>
        </w:tc>
      </w:tr>
      <w:tr w:rsidR="007426B7" w:rsidTr="00355873">
        <w:tc>
          <w:tcPr>
            <w:tcW w:w="2376" w:type="dxa"/>
          </w:tcPr>
          <w:p w:rsidR="007426B7" w:rsidRDefault="00910023" w:rsidP="008D56E1">
            <w:pPr>
              <w:rPr>
                <w:sz w:val="22"/>
                <w:szCs w:val="22"/>
              </w:rPr>
            </w:pPr>
            <w:r w:rsidRPr="00271340">
              <w:rPr>
                <w:b/>
                <w:sz w:val="22"/>
                <w:szCs w:val="22"/>
              </w:rPr>
              <w:t>Early Years Enhanced Specialist Provisions</w:t>
            </w:r>
            <w:r>
              <w:rPr>
                <w:sz w:val="22"/>
                <w:szCs w:val="22"/>
              </w:rPr>
              <w:t xml:space="preserve"> </w:t>
            </w:r>
            <w:r w:rsidR="007426B7">
              <w:rPr>
                <w:sz w:val="22"/>
                <w:szCs w:val="22"/>
              </w:rPr>
              <w:t xml:space="preserve"> (maintained nursery schools)</w:t>
            </w:r>
          </w:p>
        </w:tc>
        <w:tc>
          <w:tcPr>
            <w:tcW w:w="2268" w:type="dxa"/>
          </w:tcPr>
          <w:p w:rsidR="007426B7" w:rsidRDefault="007426B7" w:rsidP="00FD3D0F">
            <w:pPr>
              <w:rPr>
                <w:sz w:val="22"/>
                <w:szCs w:val="22"/>
              </w:rPr>
            </w:pPr>
            <w:r>
              <w:rPr>
                <w:sz w:val="22"/>
                <w:szCs w:val="22"/>
              </w:rPr>
              <w:t>Element</w:t>
            </w:r>
            <w:r w:rsidR="00910023">
              <w:rPr>
                <w:sz w:val="22"/>
                <w:szCs w:val="22"/>
              </w:rPr>
              <w:t>s 1 &amp; 2 are</w:t>
            </w:r>
            <w:r>
              <w:rPr>
                <w:sz w:val="22"/>
                <w:szCs w:val="22"/>
              </w:rPr>
              <w:t xml:space="preserve"> allocated through a combination of per-pupil funding allocated through</w:t>
            </w:r>
            <w:r w:rsidR="00FA0815">
              <w:rPr>
                <w:sz w:val="22"/>
                <w:szCs w:val="22"/>
              </w:rPr>
              <w:t xml:space="preserve"> the local EYSFF</w:t>
            </w:r>
            <w:r>
              <w:rPr>
                <w:sz w:val="22"/>
                <w:szCs w:val="22"/>
              </w:rPr>
              <w:t xml:space="preserve"> plus £6,000 per</w:t>
            </w:r>
            <w:r w:rsidR="00FA0815">
              <w:rPr>
                <w:sz w:val="22"/>
                <w:szCs w:val="22"/>
              </w:rPr>
              <w:t xml:space="preserve"> FTE</w:t>
            </w:r>
            <w:r>
              <w:rPr>
                <w:sz w:val="22"/>
                <w:szCs w:val="22"/>
              </w:rPr>
              <w:t xml:space="preserve"> </w:t>
            </w:r>
            <w:r w:rsidR="00910023">
              <w:rPr>
                <w:sz w:val="22"/>
                <w:szCs w:val="22"/>
              </w:rPr>
              <w:t xml:space="preserve">commissioned </w:t>
            </w:r>
            <w:r>
              <w:rPr>
                <w:sz w:val="22"/>
                <w:szCs w:val="22"/>
              </w:rPr>
              <w:t xml:space="preserve">place. </w:t>
            </w:r>
          </w:p>
          <w:p w:rsidR="007426B7" w:rsidRDefault="007426B7" w:rsidP="00FD3D0F">
            <w:pPr>
              <w:rPr>
                <w:sz w:val="22"/>
                <w:szCs w:val="22"/>
              </w:rPr>
            </w:pPr>
          </w:p>
          <w:p w:rsidR="00910023" w:rsidRDefault="00910023" w:rsidP="00910023">
            <w:pPr>
              <w:rPr>
                <w:sz w:val="22"/>
                <w:szCs w:val="22"/>
              </w:rPr>
            </w:pPr>
            <w:r>
              <w:rPr>
                <w:sz w:val="22"/>
                <w:szCs w:val="22"/>
              </w:rPr>
              <w:t>Both Elements 1 and 2 are retained by the school.</w:t>
            </w:r>
          </w:p>
          <w:p w:rsidR="00910023" w:rsidRDefault="00910023" w:rsidP="00FD3D0F">
            <w:pPr>
              <w:rPr>
                <w:sz w:val="22"/>
                <w:szCs w:val="22"/>
              </w:rPr>
            </w:pPr>
          </w:p>
          <w:p w:rsidR="007426B7" w:rsidRDefault="00910023" w:rsidP="00FD3D0F">
            <w:pPr>
              <w:rPr>
                <w:sz w:val="22"/>
                <w:szCs w:val="22"/>
              </w:rPr>
            </w:pPr>
            <w:r>
              <w:rPr>
                <w:sz w:val="22"/>
                <w:szCs w:val="22"/>
              </w:rPr>
              <w:t>Additional Element 1 funding is paid using</w:t>
            </w:r>
            <w:r w:rsidR="007426B7">
              <w:rPr>
                <w:sz w:val="22"/>
                <w:szCs w:val="22"/>
              </w:rPr>
              <w:t xml:space="preserve"> EYSFF </w:t>
            </w:r>
            <w:r>
              <w:rPr>
                <w:sz w:val="22"/>
                <w:szCs w:val="22"/>
              </w:rPr>
              <w:t xml:space="preserve">rates for any </w:t>
            </w:r>
            <w:r w:rsidR="00FA0815">
              <w:rPr>
                <w:sz w:val="22"/>
                <w:szCs w:val="22"/>
              </w:rPr>
              <w:t xml:space="preserve">FTE </w:t>
            </w:r>
            <w:r>
              <w:rPr>
                <w:sz w:val="22"/>
                <w:szCs w:val="22"/>
              </w:rPr>
              <w:t>places not occupied in the EYSFF termly censuses</w:t>
            </w:r>
            <w:r w:rsidR="007426B7">
              <w:rPr>
                <w:sz w:val="22"/>
                <w:szCs w:val="22"/>
              </w:rPr>
              <w:t xml:space="preserve">. </w:t>
            </w:r>
          </w:p>
          <w:p w:rsidR="003235F9" w:rsidRDefault="003235F9" w:rsidP="00FD3D0F">
            <w:pPr>
              <w:rPr>
                <w:sz w:val="22"/>
                <w:szCs w:val="22"/>
              </w:rPr>
            </w:pPr>
          </w:p>
          <w:p w:rsidR="007426B7" w:rsidRDefault="003235F9" w:rsidP="00AC7860">
            <w:pPr>
              <w:rPr>
                <w:sz w:val="22"/>
                <w:szCs w:val="22"/>
              </w:rPr>
            </w:pPr>
            <w:r>
              <w:rPr>
                <w:sz w:val="22"/>
                <w:szCs w:val="22"/>
              </w:rPr>
              <w:t>Additional place-funding is allocated in real time where occupancy is exceeded, with an end of year reconciliation to ensure no overall overpayment of additional place-led funding for the actual total composite occupancy across the year.</w:t>
            </w:r>
          </w:p>
        </w:tc>
        <w:tc>
          <w:tcPr>
            <w:tcW w:w="2410" w:type="dxa"/>
          </w:tcPr>
          <w:p w:rsidR="007426B7" w:rsidRDefault="007426B7" w:rsidP="00FD3D0F">
            <w:pPr>
              <w:rPr>
                <w:sz w:val="22"/>
                <w:szCs w:val="22"/>
              </w:rPr>
            </w:pPr>
            <w:r>
              <w:rPr>
                <w:sz w:val="22"/>
                <w:szCs w:val="22"/>
              </w:rPr>
              <w:t xml:space="preserve">Agreed per-pupil </w:t>
            </w:r>
            <w:r w:rsidR="00D32993">
              <w:rPr>
                <w:sz w:val="22"/>
                <w:szCs w:val="22"/>
              </w:rPr>
              <w:t>top-up</w:t>
            </w:r>
            <w:r>
              <w:rPr>
                <w:sz w:val="22"/>
                <w:szCs w:val="22"/>
              </w:rPr>
              <w:t xml:space="preserve"> paid by the commissioning local authority.</w:t>
            </w:r>
          </w:p>
          <w:p w:rsidR="007426B7" w:rsidRDefault="007426B7" w:rsidP="00FD3D0F">
            <w:pPr>
              <w:rPr>
                <w:sz w:val="22"/>
                <w:szCs w:val="22"/>
              </w:rPr>
            </w:pPr>
          </w:p>
          <w:p w:rsidR="007426B7" w:rsidRDefault="007426B7" w:rsidP="00FD3D0F">
            <w:pPr>
              <w:rPr>
                <w:sz w:val="22"/>
                <w:szCs w:val="22"/>
              </w:rPr>
            </w:pPr>
            <w:r>
              <w:rPr>
                <w:sz w:val="22"/>
                <w:szCs w:val="22"/>
              </w:rPr>
              <w:t>Allocated in ‘real time’ during the year. Changes for starters and leavers.</w:t>
            </w:r>
          </w:p>
          <w:p w:rsidR="007426B7" w:rsidRDefault="007426B7" w:rsidP="00FD3D0F">
            <w:pPr>
              <w:rPr>
                <w:sz w:val="22"/>
                <w:szCs w:val="22"/>
              </w:rPr>
            </w:pPr>
          </w:p>
          <w:p w:rsidR="00910023" w:rsidRDefault="003235F9" w:rsidP="00910023">
            <w:pPr>
              <w:rPr>
                <w:sz w:val="22"/>
                <w:szCs w:val="22"/>
              </w:rPr>
            </w:pPr>
            <w:r>
              <w:rPr>
                <w:sz w:val="22"/>
                <w:szCs w:val="22"/>
              </w:rPr>
              <w:t xml:space="preserve">Uses the </w:t>
            </w:r>
            <w:r w:rsidR="00877D3E">
              <w:rPr>
                <w:sz w:val="22"/>
                <w:szCs w:val="22"/>
              </w:rPr>
              <w:t xml:space="preserve">Banded Model (see appendix 2). </w:t>
            </w:r>
            <w:r w:rsidR="00910023">
              <w:rPr>
                <w:sz w:val="22"/>
                <w:szCs w:val="22"/>
              </w:rPr>
              <w:t xml:space="preserve">All EYESP places </w:t>
            </w:r>
            <w:r w:rsidR="00877D3E">
              <w:rPr>
                <w:sz w:val="22"/>
                <w:szCs w:val="22"/>
              </w:rPr>
              <w:t xml:space="preserve">funded at </w:t>
            </w:r>
            <w:r w:rsidR="00FA388E">
              <w:rPr>
                <w:sz w:val="22"/>
                <w:szCs w:val="22"/>
              </w:rPr>
              <w:t xml:space="preserve">a minimum </w:t>
            </w:r>
            <w:r w:rsidR="00877D3E">
              <w:rPr>
                <w:sz w:val="22"/>
                <w:szCs w:val="22"/>
              </w:rPr>
              <w:t>Band 4L</w:t>
            </w:r>
            <w:r w:rsidR="00FA388E">
              <w:rPr>
                <w:sz w:val="22"/>
                <w:szCs w:val="22"/>
              </w:rPr>
              <w:t xml:space="preserve"> (assessment places)</w:t>
            </w:r>
            <w:r w:rsidR="00910023">
              <w:rPr>
                <w:sz w:val="22"/>
                <w:szCs w:val="22"/>
              </w:rPr>
              <w:t xml:space="preserve">. </w:t>
            </w:r>
          </w:p>
          <w:p w:rsidR="00910023" w:rsidRDefault="00910023" w:rsidP="00910023">
            <w:pPr>
              <w:rPr>
                <w:sz w:val="22"/>
                <w:szCs w:val="22"/>
              </w:rPr>
            </w:pPr>
          </w:p>
          <w:p w:rsidR="00910023" w:rsidRDefault="00910023" w:rsidP="00910023">
            <w:pPr>
              <w:rPr>
                <w:sz w:val="22"/>
                <w:szCs w:val="22"/>
              </w:rPr>
            </w:pPr>
            <w:r>
              <w:rPr>
                <w:sz w:val="22"/>
                <w:szCs w:val="22"/>
              </w:rPr>
              <w:t xml:space="preserve">The </w:t>
            </w:r>
            <w:r w:rsidR="00D32993">
              <w:rPr>
                <w:sz w:val="22"/>
                <w:szCs w:val="22"/>
              </w:rPr>
              <w:t>top-up</w:t>
            </w:r>
            <w:r>
              <w:rPr>
                <w:sz w:val="22"/>
                <w:szCs w:val="22"/>
              </w:rPr>
              <w:t xml:space="preserve"> funding is allocated to and retained by the school.</w:t>
            </w:r>
          </w:p>
          <w:p w:rsidR="007426B7" w:rsidRDefault="007426B7" w:rsidP="00FD3D0F">
            <w:pPr>
              <w:rPr>
                <w:sz w:val="22"/>
                <w:szCs w:val="22"/>
              </w:rPr>
            </w:pPr>
          </w:p>
        </w:tc>
        <w:tc>
          <w:tcPr>
            <w:tcW w:w="2410" w:type="dxa"/>
          </w:tcPr>
          <w:p w:rsidR="007426B7" w:rsidRDefault="007426B7" w:rsidP="00AC7860">
            <w:pPr>
              <w:rPr>
                <w:sz w:val="22"/>
                <w:szCs w:val="22"/>
              </w:rPr>
            </w:pPr>
            <w:r>
              <w:rPr>
                <w:sz w:val="22"/>
                <w:szCs w:val="22"/>
              </w:rPr>
              <w:t>n/a</w:t>
            </w:r>
          </w:p>
        </w:tc>
        <w:tc>
          <w:tcPr>
            <w:tcW w:w="2126" w:type="dxa"/>
          </w:tcPr>
          <w:p w:rsidR="007426B7" w:rsidRDefault="007426B7" w:rsidP="00AC7860">
            <w:pPr>
              <w:rPr>
                <w:sz w:val="22"/>
                <w:szCs w:val="22"/>
              </w:rPr>
            </w:pPr>
            <w:r>
              <w:rPr>
                <w:sz w:val="22"/>
                <w:szCs w:val="22"/>
              </w:rPr>
              <w:t>n/a</w:t>
            </w:r>
          </w:p>
        </w:tc>
        <w:tc>
          <w:tcPr>
            <w:tcW w:w="2126" w:type="dxa"/>
          </w:tcPr>
          <w:p w:rsidR="00FA388E" w:rsidRDefault="00663B9C" w:rsidP="00AC7860">
            <w:pPr>
              <w:rPr>
                <w:sz w:val="22"/>
                <w:szCs w:val="22"/>
              </w:rPr>
            </w:pPr>
            <w:r>
              <w:rPr>
                <w:sz w:val="22"/>
                <w:szCs w:val="22"/>
              </w:rPr>
              <w:t>Small Setting Protection</w:t>
            </w:r>
            <w:r w:rsidR="00877D3E">
              <w:rPr>
                <w:sz w:val="22"/>
                <w:szCs w:val="22"/>
              </w:rPr>
              <w:t>.</w:t>
            </w:r>
          </w:p>
          <w:p w:rsidR="00FA388E" w:rsidRDefault="00FA388E" w:rsidP="00AC7860">
            <w:pPr>
              <w:rPr>
                <w:sz w:val="22"/>
                <w:szCs w:val="22"/>
              </w:rPr>
            </w:pPr>
          </w:p>
          <w:p w:rsidR="00877D3E" w:rsidRDefault="00FA388E" w:rsidP="00AC7860">
            <w:pPr>
              <w:rPr>
                <w:sz w:val="22"/>
                <w:szCs w:val="22"/>
              </w:rPr>
            </w:pPr>
            <w:r>
              <w:rPr>
                <w:sz w:val="22"/>
                <w:szCs w:val="22"/>
              </w:rPr>
              <w:t>See appendix 3.</w:t>
            </w:r>
            <w:r w:rsidR="00877D3E">
              <w:rPr>
                <w:sz w:val="22"/>
                <w:szCs w:val="22"/>
              </w:rPr>
              <w:t xml:space="preserve"> </w:t>
            </w:r>
          </w:p>
          <w:p w:rsidR="00877D3E" w:rsidRDefault="00877D3E" w:rsidP="00AC7860">
            <w:pPr>
              <w:rPr>
                <w:sz w:val="22"/>
                <w:szCs w:val="22"/>
              </w:rPr>
            </w:pPr>
          </w:p>
          <w:p w:rsidR="00A03632" w:rsidRDefault="00A03632" w:rsidP="00AC7860">
            <w:pPr>
              <w:rPr>
                <w:sz w:val="22"/>
                <w:szCs w:val="22"/>
              </w:rPr>
            </w:pPr>
          </w:p>
        </w:tc>
        <w:tc>
          <w:tcPr>
            <w:tcW w:w="1985" w:type="dxa"/>
          </w:tcPr>
          <w:p w:rsidR="007426B7" w:rsidRDefault="00061220" w:rsidP="00AC7860">
            <w:pPr>
              <w:rPr>
                <w:sz w:val="22"/>
                <w:szCs w:val="22"/>
              </w:rPr>
            </w:pPr>
            <w:r>
              <w:rPr>
                <w:sz w:val="22"/>
                <w:szCs w:val="22"/>
              </w:rPr>
              <w:t xml:space="preserve">Former </w:t>
            </w:r>
            <w:r w:rsidR="00C67C7A">
              <w:rPr>
                <w:sz w:val="22"/>
                <w:szCs w:val="22"/>
              </w:rPr>
              <w:t>Teacher Pay and Teacher Pensions Grants</w:t>
            </w:r>
          </w:p>
        </w:tc>
      </w:tr>
      <w:tr w:rsidR="007426B7" w:rsidTr="00355873">
        <w:tc>
          <w:tcPr>
            <w:tcW w:w="2376" w:type="dxa"/>
          </w:tcPr>
          <w:p w:rsidR="007426B7" w:rsidRPr="00271340" w:rsidRDefault="00ED01C0" w:rsidP="008D56E1">
            <w:pPr>
              <w:rPr>
                <w:b/>
                <w:sz w:val="22"/>
                <w:szCs w:val="22"/>
              </w:rPr>
            </w:pPr>
            <w:r w:rsidRPr="00271340">
              <w:rPr>
                <w:b/>
                <w:sz w:val="22"/>
                <w:szCs w:val="22"/>
              </w:rPr>
              <w:t xml:space="preserve">Maintained </w:t>
            </w:r>
            <w:r w:rsidR="007426B7" w:rsidRPr="00271340">
              <w:rPr>
                <w:b/>
                <w:sz w:val="22"/>
                <w:szCs w:val="22"/>
              </w:rPr>
              <w:t>Special Schools &amp; Special</w:t>
            </w:r>
            <w:r w:rsidRPr="00271340">
              <w:rPr>
                <w:b/>
                <w:sz w:val="22"/>
                <w:szCs w:val="22"/>
              </w:rPr>
              <w:t xml:space="preserve"> School</w:t>
            </w:r>
            <w:r w:rsidR="007426B7" w:rsidRPr="00271340">
              <w:rPr>
                <w:b/>
                <w:sz w:val="22"/>
                <w:szCs w:val="22"/>
              </w:rPr>
              <w:t xml:space="preserve"> Academies</w:t>
            </w:r>
          </w:p>
        </w:tc>
        <w:tc>
          <w:tcPr>
            <w:tcW w:w="2268" w:type="dxa"/>
          </w:tcPr>
          <w:p w:rsidR="007426B7" w:rsidRDefault="00965715" w:rsidP="00AC7860">
            <w:pPr>
              <w:rPr>
                <w:sz w:val="22"/>
                <w:szCs w:val="22"/>
              </w:rPr>
            </w:pPr>
            <w:r>
              <w:rPr>
                <w:sz w:val="22"/>
                <w:szCs w:val="22"/>
              </w:rPr>
              <w:t>Element</w:t>
            </w:r>
            <w:r w:rsidR="00E32B6E">
              <w:rPr>
                <w:sz w:val="22"/>
                <w:szCs w:val="22"/>
              </w:rPr>
              <w:t>s</w:t>
            </w:r>
            <w:r>
              <w:rPr>
                <w:sz w:val="22"/>
                <w:szCs w:val="22"/>
              </w:rPr>
              <w:t xml:space="preserve"> 1 and 2 are combined in a fixed </w:t>
            </w:r>
            <w:r w:rsidR="007426B7">
              <w:rPr>
                <w:sz w:val="22"/>
                <w:szCs w:val="22"/>
              </w:rPr>
              <w:t>£10,000 per place</w:t>
            </w:r>
            <w:r>
              <w:rPr>
                <w:sz w:val="22"/>
                <w:szCs w:val="22"/>
              </w:rPr>
              <w:t>,</w:t>
            </w:r>
            <w:r w:rsidR="007426B7">
              <w:rPr>
                <w:sz w:val="22"/>
                <w:szCs w:val="22"/>
              </w:rPr>
              <w:t xml:space="preserve"> based on an agreed number of places</w:t>
            </w:r>
            <w:r w:rsidR="00ED01C0">
              <w:rPr>
                <w:sz w:val="22"/>
                <w:szCs w:val="22"/>
              </w:rPr>
              <w:t xml:space="preserve"> to be commissioned</w:t>
            </w:r>
            <w:r w:rsidR="007426B7">
              <w:rPr>
                <w:sz w:val="22"/>
                <w:szCs w:val="22"/>
              </w:rPr>
              <w:t>.</w:t>
            </w:r>
          </w:p>
          <w:p w:rsidR="007426B7" w:rsidRDefault="007426B7" w:rsidP="00AC7860">
            <w:pPr>
              <w:rPr>
                <w:sz w:val="22"/>
                <w:szCs w:val="22"/>
              </w:rPr>
            </w:pPr>
            <w:r>
              <w:rPr>
                <w:sz w:val="22"/>
                <w:szCs w:val="22"/>
              </w:rPr>
              <w:t>Additional place-funding is allocated</w:t>
            </w:r>
            <w:r w:rsidR="00965715">
              <w:rPr>
                <w:sz w:val="22"/>
                <w:szCs w:val="22"/>
              </w:rPr>
              <w:t xml:space="preserve"> in real time</w:t>
            </w:r>
            <w:r>
              <w:rPr>
                <w:sz w:val="22"/>
                <w:szCs w:val="22"/>
              </w:rPr>
              <w:t xml:space="preserve"> where occupancy </w:t>
            </w:r>
            <w:r w:rsidR="00ED01C0">
              <w:rPr>
                <w:sz w:val="22"/>
                <w:szCs w:val="22"/>
              </w:rPr>
              <w:t>is exceeded,</w:t>
            </w:r>
            <w:r>
              <w:rPr>
                <w:sz w:val="22"/>
                <w:szCs w:val="22"/>
              </w:rPr>
              <w:t xml:space="preserve"> with an end of year reconciliation</w:t>
            </w:r>
            <w:r w:rsidR="00ED01C0">
              <w:rPr>
                <w:sz w:val="22"/>
                <w:szCs w:val="22"/>
              </w:rPr>
              <w:t xml:space="preserve"> to ensure no overall overpayment of additional place-led funding for </w:t>
            </w:r>
            <w:r w:rsidR="00965715">
              <w:rPr>
                <w:sz w:val="22"/>
                <w:szCs w:val="22"/>
              </w:rPr>
              <w:t xml:space="preserve">the </w:t>
            </w:r>
            <w:r w:rsidR="00ED01C0">
              <w:rPr>
                <w:sz w:val="22"/>
                <w:szCs w:val="22"/>
              </w:rPr>
              <w:t>actual total composite occupancy across the year</w:t>
            </w:r>
            <w:r>
              <w:rPr>
                <w:sz w:val="22"/>
                <w:szCs w:val="22"/>
              </w:rPr>
              <w:t>.</w:t>
            </w:r>
          </w:p>
          <w:p w:rsidR="007426B7" w:rsidRDefault="007426B7" w:rsidP="00AC7860">
            <w:pPr>
              <w:rPr>
                <w:sz w:val="22"/>
                <w:szCs w:val="22"/>
              </w:rPr>
            </w:pPr>
          </w:p>
          <w:p w:rsidR="00ED01C0" w:rsidRDefault="004308EC" w:rsidP="00AC7860">
            <w:pPr>
              <w:rPr>
                <w:sz w:val="22"/>
                <w:szCs w:val="22"/>
              </w:rPr>
            </w:pPr>
            <w:r>
              <w:rPr>
                <w:sz w:val="22"/>
                <w:szCs w:val="22"/>
              </w:rPr>
              <w:t>R</w:t>
            </w:r>
            <w:r w:rsidR="00ED01C0">
              <w:rPr>
                <w:sz w:val="22"/>
                <w:szCs w:val="22"/>
              </w:rPr>
              <w:t>etained by the school.</w:t>
            </w:r>
          </w:p>
          <w:p w:rsidR="00ED01C0" w:rsidRDefault="00ED01C0" w:rsidP="00AC7860">
            <w:pPr>
              <w:rPr>
                <w:sz w:val="22"/>
                <w:szCs w:val="22"/>
              </w:rPr>
            </w:pPr>
          </w:p>
        </w:tc>
        <w:tc>
          <w:tcPr>
            <w:tcW w:w="2410" w:type="dxa"/>
          </w:tcPr>
          <w:p w:rsidR="007426B7" w:rsidRDefault="007426B7" w:rsidP="00F47E8F">
            <w:pPr>
              <w:rPr>
                <w:sz w:val="22"/>
                <w:szCs w:val="22"/>
              </w:rPr>
            </w:pPr>
            <w:r>
              <w:rPr>
                <w:sz w:val="22"/>
                <w:szCs w:val="22"/>
              </w:rPr>
              <w:t xml:space="preserve">Agreed per-pupil </w:t>
            </w:r>
            <w:r w:rsidR="00D32993">
              <w:rPr>
                <w:sz w:val="22"/>
                <w:szCs w:val="22"/>
              </w:rPr>
              <w:t>top-up</w:t>
            </w:r>
            <w:r>
              <w:rPr>
                <w:sz w:val="22"/>
                <w:szCs w:val="22"/>
              </w:rPr>
              <w:t xml:space="preserve"> paid by the commissioning local authority.</w:t>
            </w:r>
          </w:p>
          <w:p w:rsidR="007426B7" w:rsidRDefault="007426B7" w:rsidP="00F47E8F">
            <w:pPr>
              <w:rPr>
                <w:sz w:val="22"/>
                <w:szCs w:val="22"/>
              </w:rPr>
            </w:pPr>
          </w:p>
          <w:p w:rsidR="007426B7" w:rsidRDefault="007426B7" w:rsidP="00F47E8F">
            <w:pPr>
              <w:rPr>
                <w:sz w:val="22"/>
                <w:szCs w:val="22"/>
              </w:rPr>
            </w:pPr>
            <w:r>
              <w:rPr>
                <w:sz w:val="22"/>
                <w:szCs w:val="22"/>
              </w:rPr>
              <w:t>Allocated in ‘real time’ during the year. Changes for starters and leavers.</w:t>
            </w:r>
          </w:p>
          <w:p w:rsidR="007426B7" w:rsidRDefault="007426B7" w:rsidP="00F47E8F">
            <w:pPr>
              <w:rPr>
                <w:sz w:val="22"/>
                <w:szCs w:val="22"/>
              </w:rPr>
            </w:pPr>
          </w:p>
          <w:p w:rsidR="00ED01C0" w:rsidRDefault="003235F9" w:rsidP="00ED01C0">
            <w:pPr>
              <w:rPr>
                <w:sz w:val="22"/>
                <w:szCs w:val="22"/>
              </w:rPr>
            </w:pPr>
            <w:r>
              <w:rPr>
                <w:sz w:val="22"/>
                <w:szCs w:val="22"/>
              </w:rPr>
              <w:t xml:space="preserve">Uses the </w:t>
            </w:r>
            <w:r w:rsidR="00877D3E">
              <w:rPr>
                <w:sz w:val="22"/>
                <w:szCs w:val="22"/>
              </w:rPr>
              <w:t xml:space="preserve">Banded Model (see appendix 2). </w:t>
            </w:r>
          </w:p>
          <w:p w:rsidR="00877D3E" w:rsidRDefault="00877D3E" w:rsidP="00ED01C0">
            <w:pPr>
              <w:rPr>
                <w:sz w:val="22"/>
                <w:szCs w:val="22"/>
              </w:rPr>
            </w:pPr>
          </w:p>
          <w:p w:rsidR="00ED01C0" w:rsidRDefault="00ED01C0" w:rsidP="00ED01C0">
            <w:pPr>
              <w:rPr>
                <w:sz w:val="22"/>
                <w:szCs w:val="22"/>
              </w:rPr>
            </w:pPr>
            <w:r>
              <w:rPr>
                <w:sz w:val="22"/>
                <w:szCs w:val="22"/>
              </w:rPr>
              <w:t xml:space="preserve">The </w:t>
            </w:r>
            <w:r w:rsidR="00D32993">
              <w:rPr>
                <w:sz w:val="22"/>
                <w:szCs w:val="22"/>
              </w:rPr>
              <w:t>top-up</w:t>
            </w:r>
            <w:r>
              <w:rPr>
                <w:sz w:val="22"/>
                <w:szCs w:val="22"/>
              </w:rPr>
              <w:t xml:space="preserve"> funding is allocated to and retained by the school.</w:t>
            </w:r>
          </w:p>
          <w:p w:rsidR="007426B7" w:rsidRDefault="007426B7" w:rsidP="00F47E8F">
            <w:pPr>
              <w:rPr>
                <w:sz w:val="22"/>
                <w:szCs w:val="22"/>
              </w:rPr>
            </w:pPr>
          </w:p>
        </w:tc>
        <w:tc>
          <w:tcPr>
            <w:tcW w:w="2410" w:type="dxa"/>
          </w:tcPr>
          <w:p w:rsidR="007426B7" w:rsidRDefault="007426B7" w:rsidP="00FE01F3">
            <w:pPr>
              <w:rPr>
                <w:sz w:val="22"/>
                <w:szCs w:val="22"/>
              </w:rPr>
            </w:pPr>
            <w:r>
              <w:rPr>
                <w:sz w:val="22"/>
                <w:szCs w:val="22"/>
              </w:rPr>
              <w:t>£10,000 per place based on an agreed number of places.</w:t>
            </w:r>
          </w:p>
          <w:p w:rsidR="007426B7" w:rsidRDefault="007426B7" w:rsidP="00FE01F3">
            <w:pPr>
              <w:rPr>
                <w:sz w:val="22"/>
                <w:szCs w:val="22"/>
              </w:rPr>
            </w:pPr>
          </w:p>
          <w:p w:rsidR="00BC21E5" w:rsidRDefault="00BC21E5" w:rsidP="00BC21E5">
            <w:pPr>
              <w:rPr>
                <w:sz w:val="22"/>
                <w:szCs w:val="22"/>
              </w:rPr>
            </w:pPr>
            <w:r>
              <w:rPr>
                <w:sz w:val="22"/>
                <w:szCs w:val="22"/>
              </w:rPr>
              <w:t>Additional place-funding is allocated</w:t>
            </w:r>
            <w:r w:rsidR="00E32B6E">
              <w:rPr>
                <w:sz w:val="22"/>
                <w:szCs w:val="22"/>
              </w:rPr>
              <w:t xml:space="preserve"> in real time</w:t>
            </w:r>
            <w:r>
              <w:rPr>
                <w:sz w:val="22"/>
                <w:szCs w:val="22"/>
              </w:rPr>
              <w:t xml:space="preserve"> where occupancy is exceeded, with an end of year reconciliation to ensure no overall overpayment of additional place-led funding for actual total composite occupancy across the year.</w:t>
            </w:r>
          </w:p>
          <w:p w:rsidR="00BC21E5" w:rsidRDefault="00BC21E5" w:rsidP="00BC21E5">
            <w:pPr>
              <w:rPr>
                <w:sz w:val="22"/>
                <w:szCs w:val="22"/>
              </w:rPr>
            </w:pPr>
          </w:p>
          <w:p w:rsidR="00BC21E5" w:rsidRDefault="00E32B6E" w:rsidP="00BC21E5">
            <w:pPr>
              <w:rPr>
                <w:sz w:val="22"/>
                <w:szCs w:val="22"/>
              </w:rPr>
            </w:pPr>
            <w:r>
              <w:rPr>
                <w:sz w:val="22"/>
                <w:szCs w:val="22"/>
              </w:rPr>
              <w:t>R</w:t>
            </w:r>
            <w:r w:rsidR="00BC21E5">
              <w:rPr>
                <w:sz w:val="22"/>
                <w:szCs w:val="22"/>
              </w:rPr>
              <w:t>etained by the school.</w:t>
            </w:r>
          </w:p>
          <w:p w:rsidR="007426B7" w:rsidRDefault="007426B7" w:rsidP="00FE01F3">
            <w:pPr>
              <w:rPr>
                <w:sz w:val="22"/>
                <w:szCs w:val="22"/>
              </w:rPr>
            </w:pPr>
          </w:p>
        </w:tc>
        <w:tc>
          <w:tcPr>
            <w:tcW w:w="2126" w:type="dxa"/>
          </w:tcPr>
          <w:p w:rsidR="007426B7" w:rsidRDefault="003235F9" w:rsidP="00FE01F3">
            <w:pPr>
              <w:rPr>
                <w:sz w:val="22"/>
                <w:szCs w:val="22"/>
              </w:rPr>
            </w:pPr>
            <w:r>
              <w:rPr>
                <w:sz w:val="22"/>
                <w:szCs w:val="22"/>
              </w:rPr>
              <w:t xml:space="preserve">Uses the </w:t>
            </w:r>
            <w:r w:rsidR="00877D3E">
              <w:rPr>
                <w:sz w:val="22"/>
                <w:szCs w:val="22"/>
              </w:rPr>
              <w:t xml:space="preserve">Banded Model (see appendix 2). </w:t>
            </w:r>
          </w:p>
        </w:tc>
        <w:tc>
          <w:tcPr>
            <w:tcW w:w="2126" w:type="dxa"/>
          </w:tcPr>
          <w:p w:rsidR="007426B7" w:rsidRDefault="007426B7" w:rsidP="00AC7860">
            <w:pPr>
              <w:rPr>
                <w:sz w:val="22"/>
                <w:szCs w:val="22"/>
              </w:rPr>
            </w:pPr>
            <w:r>
              <w:rPr>
                <w:sz w:val="22"/>
                <w:szCs w:val="22"/>
              </w:rPr>
              <w:t>Split Sites</w:t>
            </w:r>
            <w:r w:rsidR="00680B98">
              <w:rPr>
                <w:sz w:val="22"/>
                <w:szCs w:val="22"/>
              </w:rPr>
              <w:t xml:space="preserve">. </w:t>
            </w:r>
          </w:p>
          <w:p w:rsidR="007426B7" w:rsidRDefault="007426B7" w:rsidP="00AC7860">
            <w:pPr>
              <w:rPr>
                <w:sz w:val="22"/>
                <w:szCs w:val="22"/>
              </w:rPr>
            </w:pPr>
          </w:p>
          <w:p w:rsidR="007426B7" w:rsidRDefault="003235F9" w:rsidP="00AC7860">
            <w:pPr>
              <w:rPr>
                <w:sz w:val="22"/>
                <w:szCs w:val="22"/>
              </w:rPr>
            </w:pPr>
            <w:r>
              <w:rPr>
                <w:sz w:val="22"/>
                <w:szCs w:val="22"/>
              </w:rPr>
              <w:t>Post 16 E</w:t>
            </w:r>
            <w:r w:rsidR="007426B7">
              <w:rPr>
                <w:sz w:val="22"/>
                <w:szCs w:val="22"/>
              </w:rPr>
              <w:t>lement 1 enhancement.</w:t>
            </w:r>
          </w:p>
          <w:p w:rsidR="007426B7" w:rsidRDefault="007426B7" w:rsidP="00AC7860">
            <w:pPr>
              <w:rPr>
                <w:sz w:val="22"/>
                <w:szCs w:val="22"/>
              </w:rPr>
            </w:pPr>
          </w:p>
          <w:p w:rsidR="007426B7" w:rsidRDefault="007426B7" w:rsidP="00AC7860">
            <w:pPr>
              <w:rPr>
                <w:sz w:val="22"/>
                <w:szCs w:val="22"/>
              </w:rPr>
            </w:pPr>
            <w:r>
              <w:rPr>
                <w:sz w:val="22"/>
                <w:szCs w:val="22"/>
              </w:rPr>
              <w:t>New Services Delegation.</w:t>
            </w:r>
          </w:p>
          <w:p w:rsidR="007426B7" w:rsidRDefault="007426B7" w:rsidP="00AC7860">
            <w:pPr>
              <w:rPr>
                <w:sz w:val="22"/>
                <w:szCs w:val="22"/>
              </w:rPr>
            </w:pPr>
          </w:p>
          <w:p w:rsidR="007426B7" w:rsidRDefault="007426B7" w:rsidP="00AC7860">
            <w:pPr>
              <w:rPr>
                <w:sz w:val="22"/>
                <w:szCs w:val="22"/>
              </w:rPr>
            </w:pPr>
            <w:r>
              <w:rPr>
                <w:sz w:val="22"/>
                <w:szCs w:val="22"/>
              </w:rPr>
              <w:t>Small Setting Protection</w:t>
            </w:r>
            <w:r w:rsidR="00FA388E">
              <w:rPr>
                <w:sz w:val="22"/>
                <w:szCs w:val="22"/>
              </w:rPr>
              <w:t>.</w:t>
            </w:r>
          </w:p>
          <w:p w:rsidR="007426B7" w:rsidRDefault="007426B7" w:rsidP="00AC7860">
            <w:pPr>
              <w:rPr>
                <w:sz w:val="22"/>
                <w:szCs w:val="22"/>
              </w:rPr>
            </w:pPr>
          </w:p>
          <w:p w:rsidR="007426B7" w:rsidRDefault="007426B7" w:rsidP="00AC7860">
            <w:pPr>
              <w:rPr>
                <w:sz w:val="22"/>
                <w:szCs w:val="22"/>
              </w:rPr>
            </w:pPr>
            <w:r>
              <w:rPr>
                <w:sz w:val="22"/>
                <w:szCs w:val="22"/>
              </w:rPr>
              <w:t>3% Cash Budget Protection.</w:t>
            </w:r>
          </w:p>
          <w:p w:rsidR="00A03632" w:rsidRDefault="00A03632" w:rsidP="00AC7860">
            <w:pPr>
              <w:rPr>
                <w:sz w:val="22"/>
                <w:szCs w:val="22"/>
              </w:rPr>
            </w:pPr>
          </w:p>
          <w:p w:rsidR="00A03632" w:rsidRDefault="00FA388E" w:rsidP="00877D3E">
            <w:pPr>
              <w:rPr>
                <w:sz w:val="22"/>
                <w:szCs w:val="22"/>
              </w:rPr>
            </w:pPr>
            <w:r>
              <w:rPr>
                <w:sz w:val="22"/>
                <w:szCs w:val="22"/>
              </w:rPr>
              <w:t>S</w:t>
            </w:r>
            <w:r w:rsidR="00A03632">
              <w:rPr>
                <w:sz w:val="22"/>
                <w:szCs w:val="22"/>
              </w:rPr>
              <w:t xml:space="preserve">ee appendix </w:t>
            </w:r>
            <w:r w:rsidR="00877D3E">
              <w:rPr>
                <w:sz w:val="22"/>
                <w:szCs w:val="22"/>
              </w:rPr>
              <w:t>3.</w:t>
            </w:r>
          </w:p>
        </w:tc>
        <w:tc>
          <w:tcPr>
            <w:tcW w:w="1985" w:type="dxa"/>
          </w:tcPr>
          <w:p w:rsidR="007426B7" w:rsidRDefault="00061220" w:rsidP="00AC7860">
            <w:pPr>
              <w:rPr>
                <w:sz w:val="22"/>
                <w:szCs w:val="22"/>
              </w:rPr>
            </w:pPr>
            <w:r>
              <w:rPr>
                <w:sz w:val="22"/>
                <w:szCs w:val="22"/>
              </w:rPr>
              <w:t xml:space="preserve">Former </w:t>
            </w:r>
            <w:r w:rsidR="007A2A6A">
              <w:rPr>
                <w:sz w:val="22"/>
                <w:szCs w:val="22"/>
              </w:rPr>
              <w:t>Teacher Pay and Teacher Pensions Grants</w:t>
            </w:r>
          </w:p>
        </w:tc>
      </w:tr>
      <w:tr w:rsidR="007426B7" w:rsidTr="00355873">
        <w:tc>
          <w:tcPr>
            <w:tcW w:w="2376" w:type="dxa"/>
          </w:tcPr>
          <w:p w:rsidR="007426B7" w:rsidRPr="003235F9" w:rsidRDefault="007426B7" w:rsidP="004308EC">
            <w:pPr>
              <w:rPr>
                <w:sz w:val="22"/>
                <w:szCs w:val="22"/>
              </w:rPr>
            </w:pPr>
            <w:r w:rsidRPr="003235F9">
              <w:rPr>
                <w:b/>
                <w:sz w:val="22"/>
                <w:szCs w:val="22"/>
              </w:rPr>
              <w:t>PRUs</w:t>
            </w:r>
            <w:r w:rsidR="003235F9">
              <w:rPr>
                <w:b/>
                <w:sz w:val="22"/>
                <w:szCs w:val="22"/>
              </w:rPr>
              <w:t xml:space="preserve"> &amp; AP </w:t>
            </w:r>
            <w:r w:rsidR="00E64EE3">
              <w:rPr>
                <w:b/>
                <w:sz w:val="22"/>
                <w:szCs w:val="22"/>
              </w:rPr>
              <w:t>Academies</w:t>
            </w:r>
            <w:r w:rsidR="004308EC" w:rsidRPr="003235F9">
              <w:rPr>
                <w:sz w:val="22"/>
                <w:szCs w:val="22"/>
              </w:rPr>
              <w:t xml:space="preserve"> (funding provision for pupils permanently excluded).</w:t>
            </w:r>
          </w:p>
          <w:p w:rsidR="004308EC" w:rsidRDefault="004308EC" w:rsidP="004308EC">
            <w:pPr>
              <w:rPr>
                <w:sz w:val="22"/>
                <w:szCs w:val="22"/>
              </w:rPr>
            </w:pPr>
          </w:p>
          <w:p w:rsidR="004308EC" w:rsidRPr="004308EC" w:rsidRDefault="004308EC" w:rsidP="003235F9">
            <w:pPr>
              <w:rPr>
                <w:i/>
                <w:sz w:val="22"/>
                <w:szCs w:val="22"/>
              </w:rPr>
            </w:pPr>
          </w:p>
        </w:tc>
        <w:tc>
          <w:tcPr>
            <w:tcW w:w="2268" w:type="dxa"/>
          </w:tcPr>
          <w:p w:rsidR="00E32B6E" w:rsidRDefault="00E32B6E" w:rsidP="00E32B6E">
            <w:pPr>
              <w:rPr>
                <w:sz w:val="22"/>
                <w:szCs w:val="22"/>
              </w:rPr>
            </w:pPr>
            <w:r>
              <w:rPr>
                <w:sz w:val="22"/>
                <w:szCs w:val="22"/>
              </w:rPr>
              <w:t>Elements 1 and 2 are combined in a fixed £10,000 per place, based on an agreed number of places to be commissioned.</w:t>
            </w:r>
          </w:p>
          <w:p w:rsidR="007426B7" w:rsidRDefault="007426B7" w:rsidP="00FE01F3">
            <w:pPr>
              <w:rPr>
                <w:sz w:val="22"/>
                <w:szCs w:val="22"/>
              </w:rPr>
            </w:pPr>
          </w:p>
          <w:p w:rsidR="004308EC" w:rsidRDefault="004308EC" w:rsidP="004308EC">
            <w:pPr>
              <w:rPr>
                <w:sz w:val="22"/>
                <w:szCs w:val="22"/>
              </w:rPr>
            </w:pPr>
            <w:r>
              <w:rPr>
                <w:sz w:val="22"/>
                <w:szCs w:val="22"/>
              </w:rPr>
              <w:t>Retained by the PRU</w:t>
            </w:r>
            <w:r w:rsidR="00061220">
              <w:rPr>
                <w:sz w:val="22"/>
                <w:szCs w:val="22"/>
              </w:rPr>
              <w:t xml:space="preserve"> / AP Academy</w:t>
            </w:r>
            <w:r>
              <w:rPr>
                <w:sz w:val="22"/>
                <w:szCs w:val="22"/>
              </w:rPr>
              <w:t>.</w:t>
            </w:r>
          </w:p>
          <w:p w:rsidR="004308EC" w:rsidRDefault="004308EC" w:rsidP="004308EC">
            <w:pPr>
              <w:rPr>
                <w:sz w:val="22"/>
                <w:szCs w:val="22"/>
              </w:rPr>
            </w:pPr>
          </w:p>
          <w:p w:rsidR="003235F9" w:rsidRDefault="003235F9" w:rsidP="004308EC">
            <w:pPr>
              <w:rPr>
                <w:sz w:val="22"/>
                <w:szCs w:val="22"/>
              </w:rPr>
            </w:pPr>
            <w:r>
              <w:rPr>
                <w:sz w:val="22"/>
                <w:szCs w:val="22"/>
              </w:rPr>
              <w:t>Additional place-funding is allocated in real time where occupancy is exceeded, with an end of year reconciliation to ensure no overall overpayment of additional place-led funding for the actual total composite occupancy across the year.</w:t>
            </w:r>
          </w:p>
          <w:p w:rsidR="004308EC" w:rsidRDefault="004308EC" w:rsidP="003235F9">
            <w:pPr>
              <w:rPr>
                <w:sz w:val="22"/>
                <w:szCs w:val="22"/>
              </w:rPr>
            </w:pPr>
          </w:p>
        </w:tc>
        <w:tc>
          <w:tcPr>
            <w:tcW w:w="2410" w:type="dxa"/>
          </w:tcPr>
          <w:p w:rsidR="007426B7" w:rsidRDefault="007426B7" w:rsidP="00FE01F3">
            <w:pPr>
              <w:rPr>
                <w:sz w:val="22"/>
                <w:szCs w:val="22"/>
              </w:rPr>
            </w:pPr>
            <w:r>
              <w:rPr>
                <w:sz w:val="22"/>
                <w:szCs w:val="22"/>
              </w:rPr>
              <w:t xml:space="preserve">Agreed per-pupil </w:t>
            </w:r>
            <w:r w:rsidR="00D32993">
              <w:rPr>
                <w:sz w:val="22"/>
                <w:szCs w:val="22"/>
              </w:rPr>
              <w:t>top-up</w:t>
            </w:r>
            <w:r>
              <w:rPr>
                <w:sz w:val="22"/>
                <w:szCs w:val="22"/>
              </w:rPr>
              <w:t xml:space="preserve"> paid by th</w:t>
            </w:r>
            <w:r w:rsidR="004308EC">
              <w:rPr>
                <w:sz w:val="22"/>
                <w:szCs w:val="22"/>
              </w:rPr>
              <w:t>e commissioning local authority.</w:t>
            </w:r>
          </w:p>
          <w:p w:rsidR="007426B7" w:rsidRDefault="007426B7" w:rsidP="00FE01F3">
            <w:pPr>
              <w:rPr>
                <w:sz w:val="22"/>
                <w:szCs w:val="22"/>
              </w:rPr>
            </w:pPr>
          </w:p>
          <w:p w:rsidR="007426B7" w:rsidRDefault="007426B7" w:rsidP="00FE01F3">
            <w:pPr>
              <w:rPr>
                <w:sz w:val="22"/>
                <w:szCs w:val="22"/>
              </w:rPr>
            </w:pPr>
            <w:r>
              <w:rPr>
                <w:sz w:val="22"/>
                <w:szCs w:val="22"/>
              </w:rPr>
              <w:t>Allocated in ‘real time’ during the year. Changes for starters and leavers.</w:t>
            </w:r>
          </w:p>
          <w:p w:rsidR="007426B7" w:rsidRDefault="007426B7" w:rsidP="00FE01F3">
            <w:pPr>
              <w:rPr>
                <w:sz w:val="22"/>
                <w:szCs w:val="22"/>
              </w:rPr>
            </w:pPr>
          </w:p>
          <w:p w:rsidR="004308EC" w:rsidRPr="00A17E7D" w:rsidRDefault="003235F9" w:rsidP="004308EC">
            <w:pPr>
              <w:rPr>
                <w:sz w:val="22"/>
                <w:szCs w:val="22"/>
              </w:rPr>
            </w:pPr>
            <w:r>
              <w:rPr>
                <w:sz w:val="22"/>
                <w:szCs w:val="22"/>
              </w:rPr>
              <w:t xml:space="preserve">Uses the </w:t>
            </w:r>
            <w:r w:rsidR="004308EC" w:rsidRPr="00A17E7D">
              <w:rPr>
                <w:sz w:val="22"/>
                <w:szCs w:val="22"/>
              </w:rPr>
              <w:t xml:space="preserve">Day Rate </w:t>
            </w:r>
            <w:r w:rsidRPr="00A17E7D">
              <w:rPr>
                <w:sz w:val="22"/>
                <w:szCs w:val="22"/>
              </w:rPr>
              <w:t xml:space="preserve">Model (see </w:t>
            </w:r>
            <w:r w:rsidR="00D1596F" w:rsidRPr="006829B3">
              <w:rPr>
                <w:color w:val="000000" w:themeColor="text1"/>
                <w:sz w:val="22"/>
                <w:szCs w:val="22"/>
              </w:rPr>
              <w:t>section</w:t>
            </w:r>
            <w:r w:rsidR="00483240" w:rsidRPr="006829B3">
              <w:rPr>
                <w:color w:val="000000" w:themeColor="text1"/>
                <w:sz w:val="22"/>
                <w:szCs w:val="22"/>
              </w:rPr>
              <w:t xml:space="preserve"> 8</w:t>
            </w:r>
            <w:r w:rsidRPr="006829B3">
              <w:rPr>
                <w:color w:val="000000" w:themeColor="text1"/>
                <w:sz w:val="22"/>
                <w:szCs w:val="22"/>
              </w:rPr>
              <w:t>)</w:t>
            </w:r>
          </w:p>
          <w:p w:rsidR="004308EC" w:rsidRDefault="004308EC" w:rsidP="004308EC">
            <w:pPr>
              <w:rPr>
                <w:sz w:val="22"/>
                <w:szCs w:val="22"/>
              </w:rPr>
            </w:pPr>
          </w:p>
          <w:p w:rsidR="004308EC" w:rsidRDefault="004308EC" w:rsidP="004308EC">
            <w:pPr>
              <w:rPr>
                <w:sz w:val="22"/>
                <w:szCs w:val="22"/>
              </w:rPr>
            </w:pPr>
            <w:r>
              <w:rPr>
                <w:sz w:val="22"/>
                <w:szCs w:val="22"/>
              </w:rPr>
              <w:t xml:space="preserve">The </w:t>
            </w:r>
            <w:r w:rsidR="00D32993">
              <w:rPr>
                <w:sz w:val="22"/>
                <w:szCs w:val="22"/>
              </w:rPr>
              <w:t>top-up</w:t>
            </w:r>
            <w:r>
              <w:rPr>
                <w:sz w:val="22"/>
                <w:szCs w:val="22"/>
              </w:rPr>
              <w:t xml:space="preserve"> funding is allocat</w:t>
            </w:r>
            <w:r w:rsidR="00020933">
              <w:rPr>
                <w:sz w:val="22"/>
                <w:szCs w:val="22"/>
              </w:rPr>
              <w:t>ed to and retained by the PRU</w:t>
            </w:r>
            <w:r w:rsidR="00061220">
              <w:rPr>
                <w:sz w:val="22"/>
                <w:szCs w:val="22"/>
              </w:rPr>
              <w:t xml:space="preserve"> / AP Academy</w:t>
            </w:r>
            <w:r>
              <w:rPr>
                <w:sz w:val="22"/>
                <w:szCs w:val="22"/>
              </w:rPr>
              <w:t>.</w:t>
            </w:r>
          </w:p>
          <w:p w:rsidR="00995305" w:rsidRDefault="00995305" w:rsidP="00FE01F3">
            <w:pPr>
              <w:rPr>
                <w:sz w:val="22"/>
                <w:szCs w:val="22"/>
              </w:rPr>
            </w:pPr>
          </w:p>
        </w:tc>
        <w:tc>
          <w:tcPr>
            <w:tcW w:w="2410" w:type="dxa"/>
          </w:tcPr>
          <w:p w:rsidR="007426B7" w:rsidRDefault="007426B7" w:rsidP="00FE01F3">
            <w:pPr>
              <w:rPr>
                <w:sz w:val="22"/>
                <w:szCs w:val="22"/>
              </w:rPr>
            </w:pPr>
            <w:r>
              <w:rPr>
                <w:sz w:val="22"/>
                <w:szCs w:val="22"/>
              </w:rPr>
              <w:t>n/a</w:t>
            </w:r>
          </w:p>
        </w:tc>
        <w:tc>
          <w:tcPr>
            <w:tcW w:w="2126" w:type="dxa"/>
          </w:tcPr>
          <w:p w:rsidR="007426B7" w:rsidRDefault="007426B7" w:rsidP="00FE01F3">
            <w:pPr>
              <w:rPr>
                <w:sz w:val="22"/>
                <w:szCs w:val="22"/>
              </w:rPr>
            </w:pPr>
            <w:r>
              <w:rPr>
                <w:sz w:val="22"/>
                <w:szCs w:val="22"/>
              </w:rPr>
              <w:t>n/a</w:t>
            </w:r>
          </w:p>
        </w:tc>
        <w:tc>
          <w:tcPr>
            <w:tcW w:w="2126" w:type="dxa"/>
          </w:tcPr>
          <w:p w:rsidR="007426B7" w:rsidRDefault="00020933" w:rsidP="00FE01F3">
            <w:pPr>
              <w:rPr>
                <w:sz w:val="22"/>
                <w:szCs w:val="22"/>
              </w:rPr>
            </w:pPr>
            <w:r>
              <w:rPr>
                <w:sz w:val="22"/>
                <w:szCs w:val="22"/>
              </w:rPr>
              <w:t>No specific additional factors –setting-led need costs are</w:t>
            </w:r>
            <w:r w:rsidR="00995305">
              <w:rPr>
                <w:sz w:val="22"/>
                <w:szCs w:val="22"/>
              </w:rPr>
              <w:t xml:space="preserve"> to be</w:t>
            </w:r>
            <w:r>
              <w:rPr>
                <w:sz w:val="22"/>
                <w:szCs w:val="22"/>
              </w:rPr>
              <w:t xml:space="preserve"> covered</w:t>
            </w:r>
            <w:r w:rsidR="00995305">
              <w:rPr>
                <w:sz w:val="22"/>
                <w:szCs w:val="22"/>
              </w:rPr>
              <w:t xml:space="preserve"> within the calculation of the Day R</w:t>
            </w:r>
            <w:r>
              <w:rPr>
                <w:sz w:val="22"/>
                <w:szCs w:val="22"/>
              </w:rPr>
              <w:t>ate.</w:t>
            </w:r>
          </w:p>
        </w:tc>
        <w:tc>
          <w:tcPr>
            <w:tcW w:w="1985" w:type="dxa"/>
          </w:tcPr>
          <w:p w:rsidR="007426B7" w:rsidRDefault="00061220" w:rsidP="00FE01F3">
            <w:pPr>
              <w:rPr>
                <w:sz w:val="22"/>
                <w:szCs w:val="22"/>
              </w:rPr>
            </w:pPr>
            <w:r>
              <w:rPr>
                <w:sz w:val="22"/>
                <w:szCs w:val="22"/>
              </w:rPr>
              <w:t xml:space="preserve">Former </w:t>
            </w:r>
            <w:r w:rsidR="007A2A6A">
              <w:rPr>
                <w:sz w:val="22"/>
                <w:szCs w:val="22"/>
              </w:rPr>
              <w:t>Teacher Pay and Teacher Pensions Grants</w:t>
            </w:r>
          </w:p>
        </w:tc>
      </w:tr>
      <w:tr w:rsidR="007426B7" w:rsidTr="00355873">
        <w:tc>
          <w:tcPr>
            <w:tcW w:w="2376" w:type="dxa"/>
          </w:tcPr>
          <w:p w:rsidR="007426B7" w:rsidRPr="003235F9" w:rsidRDefault="007426B7" w:rsidP="008D56E1">
            <w:pPr>
              <w:rPr>
                <w:b/>
                <w:sz w:val="22"/>
                <w:szCs w:val="22"/>
              </w:rPr>
            </w:pPr>
            <w:r w:rsidRPr="003235F9">
              <w:rPr>
                <w:b/>
                <w:sz w:val="22"/>
                <w:szCs w:val="22"/>
              </w:rPr>
              <w:t>Hospital Education</w:t>
            </w:r>
            <w:r w:rsidR="002859AA" w:rsidRPr="003235F9">
              <w:rPr>
                <w:b/>
                <w:sz w:val="22"/>
                <w:szCs w:val="22"/>
              </w:rPr>
              <w:t>, Tracks and Medical Home Tuition.</w:t>
            </w:r>
          </w:p>
          <w:p w:rsidR="002859AA" w:rsidRDefault="002859AA" w:rsidP="008D56E1">
            <w:pPr>
              <w:rPr>
                <w:sz w:val="22"/>
                <w:szCs w:val="22"/>
              </w:rPr>
            </w:pPr>
          </w:p>
          <w:p w:rsidR="002859AA" w:rsidRPr="002859AA" w:rsidRDefault="002859AA" w:rsidP="003235F9">
            <w:pPr>
              <w:rPr>
                <w:i/>
                <w:sz w:val="22"/>
                <w:szCs w:val="22"/>
              </w:rPr>
            </w:pPr>
          </w:p>
        </w:tc>
        <w:tc>
          <w:tcPr>
            <w:tcW w:w="2268" w:type="dxa"/>
          </w:tcPr>
          <w:p w:rsidR="007426B7" w:rsidRDefault="002859AA" w:rsidP="00AC7860">
            <w:pPr>
              <w:rPr>
                <w:sz w:val="22"/>
                <w:szCs w:val="22"/>
              </w:rPr>
            </w:pPr>
            <w:r w:rsidRPr="002859AA">
              <w:rPr>
                <w:sz w:val="22"/>
                <w:szCs w:val="22"/>
              </w:rPr>
              <w:t>The funding of the centrally managed</w:t>
            </w:r>
            <w:r w:rsidR="003235F9">
              <w:rPr>
                <w:sz w:val="22"/>
                <w:szCs w:val="22"/>
              </w:rPr>
              <w:t xml:space="preserve"> services</w:t>
            </w:r>
            <w:r w:rsidR="00995305">
              <w:rPr>
                <w:sz w:val="22"/>
                <w:szCs w:val="22"/>
              </w:rPr>
              <w:t xml:space="preserve"> operate</w:t>
            </w:r>
            <w:r w:rsidR="003235F9">
              <w:rPr>
                <w:sz w:val="22"/>
                <w:szCs w:val="22"/>
              </w:rPr>
              <w:t>s</w:t>
            </w:r>
            <w:r w:rsidR="00995305">
              <w:rPr>
                <w:sz w:val="22"/>
                <w:szCs w:val="22"/>
              </w:rPr>
              <w:t xml:space="preserve"> outside</w:t>
            </w:r>
            <w:r w:rsidRPr="002859AA">
              <w:rPr>
                <w:sz w:val="22"/>
                <w:szCs w:val="22"/>
              </w:rPr>
              <w:t xml:space="preserve"> the Place-Plus mechanism, working within </w:t>
            </w:r>
            <w:r w:rsidR="00F952FE">
              <w:rPr>
                <w:sz w:val="22"/>
                <w:szCs w:val="22"/>
              </w:rPr>
              <w:t>the discrete allocation provided</w:t>
            </w:r>
            <w:r w:rsidRPr="002859AA">
              <w:rPr>
                <w:sz w:val="22"/>
                <w:szCs w:val="22"/>
              </w:rPr>
              <w:t xml:space="preserve"> for this service within our HNB</w:t>
            </w:r>
            <w:r>
              <w:rPr>
                <w:sz w:val="22"/>
                <w:szCs w:val="22"/>
              </w:rPr>
              <w:t>. This will be subject to annual review</w:t>
            </w:r>
            <w:r w:rsidR="003B3C06">
              <w:rPr>
                <w:sz w:val="22"/>
                <w:szCs w:val="22"/>
              </w:rPr>
              <w:t xml:space="preserve"> to incorporate</w:t>
            </w:r>
            <w:r w:rsidR="00995305">
              <w:rPr>
                <w:sz w:val="22"/>
                <w:szCs w:val="22"/>
              </w:rPr>
              <w:t xml:space="preserve"> any changes </w:t>
            </w:r>
            <w:r w:rsidR="003B3C06">
              <w:rPr>
                <w:sz w:val="22"/>
                <w:szCs w:val="22"/>
              </w:rPr>
              <w:t xml:space="preserve">in </w:t>
            </w:r>
            <w:r w:rsidR="00995305">
              <w:rPr>
                <w:sz w:val="22"/>
                <w:szCs w:val="22"/>
              </w:rPr>
              <w:t>the DfE</w:t>
            </w:r>
            <w:r w:rsidR="00024671">
              <w:rPr>
                <w:sz w:val="22"/>
                <w:szCs w:val="22"/>
              </w:rPr>
              <w:t>’s funding methodology and requirements</w:t>
            </w:r>
            <w:r>
              <w:rPr>
                <w:sz w:val="22"/>
                <w:szCs w:val="22"/>
              </w:rPr>
              <w:t>.</w:t>
            </w:r>
          </w:p>
          <w:p w:rsidR="002859AA" w:rsidRPr="002859AA" w:rsidRDefault="002859AA" w:rsidP="003235F9">
            <w:pPr>
              <w:rPr>
                <w:sz w:val="22"/>
                <w:szCs w:val="22"/>
              </w:rPr>
            </w:pPr>
          </w:p>
        </w:tc>
        <w:tc>
          <w:tcPr>
            <w:tcW w:w="2410" w:type="dxa"/>
          </w:tcPr>
          <w:p w:rsidR="007426B7" w:rsidRPr="00673F1E" w:rsidRDefault="002859AA" w:rsidP="00AC7860">
            <w:pPr>
              <w:rPr>
                <w:sz w:val="22"/>
                <w:szCs w:val="22"/>
              </w:rPr>
            </w:pPr>
            <w:r w:rsidRPr="00673F1E">
              <w:rPr>
                <w:sz w:val="22"/>
                <w:szCs w:val="22"/>
              </w:rPr>
              <w:t>n/a</w:t>
            </w:r>
          </w:p>
        </w:tc>
        <w:tc>
          <w:tcPr>
            <w:tcW w:w="2410" w:type="dxa"/>
          </w:tcPr>
          <w:p w:rsidR="007426B7" w:rsidRPr="00673F1E" w:rsidRDefault="007426B7" w:rsidP="00AC7860">
            <w:pPr>
              <w:rPr>
                <w:sz w:val="22"/>
                <w:szCs w:val="22"/>
              </w:rPr>
            </w:pPr>
            <w:r w:rsidRPr="00673F1E">
              <w:rPr>
                <w:sz w:val="22"/>
                <w:szCs w:val="22"/>
              </w:rPr>
              <w:t>n/a</w:t>
            </w:r>
          </w:p>
        </w:tc>
        <w:tc>
          <w:tcPr>
            <w:tcW w:w="2126" w:type="dxa"/>
          </w:tcPr>
          <w:p w:rsidR="007426B7" w:rsidRPr="00673F1E" w:rsidRDefault="007426B7" w:rsidP="00AC7860">
            <w:pPr>
              <w:rPr>
                <w:sz w:val="22"/>
                <w:szCs w:val="22"/>
              </w:rPr>
            </w:pPr>
            <w:r w:rsidRPr="00673F1E">
              <w:rPr>
                <w:sz w:val="22"/>
                <w:szCs w:val="22"/>
              </w:rPr>
              <w:t>n/a</w:t>
            </w:r>
          </w:p>
        </w:tc>
        <w:tc>
          <w:tcPr>
            <w:tcW w:w="2126" w:type="dxa"/>
          </w:tcPr>
          <w:p w:rsidR="007426B7" w:rsidRPr="00673F1E" w:rsidRDefault="007426B7" w:rsidP="00AC7860">
            <w:pPr>
              <w:rPr>
                <w:sz w:val="22"/>
                <w:szCs w:val="22"/>
              </w:rPr>
            </w:pPr>
            <w:r w:rsidRPr="00673F1E">
              <w:rPr>
                <w:sz w:val="22"/>
                <w:szCs w:val="22"/>
              </w:rPr>
              <w:t>None.</w:t>
            </w:r>
          </w:p>
        </w:tc>
        <w:tc>
          <w:tcPr>
            <w:tcW w:w="1985" w:type="dxa"/>
          </w:tcPr>
          <w:p w:rsidR="007426B7" w:rsidRPr="00673F1E" w:rsidRDefault="00061220" w:rsidP="00AC7860">
            <w:pPr>
              <w:rPr>
                <w:sz w:val="22"/>
                <w:szCs w:val="22"/>
              </w:rPr>
            </w:pPr>
            <w:r>
              <w:rPr>
                <w:sz w:val="22"/>
                <w:szCs w:val="22"/>
              </w:rPr>
              <w:t xml:space="preserve">Former </w:t>
            </w:r>
            <w:r w:rsidR="007A2A6A">
              <w:rPr>
                <w:sz w:val="22"/>
                <w:szCs w:val="22"/>
              </w:rPr>
              <w:t>Teacher Pay and Teacher Pensions Grants</w:t>
            </w:r>
          </w:p>
        </w:tc>
      </w:tr>
      <w:tr w:rsidR="007426B7" w:rsidTr="00355873">
        <w:tc>
          <w:tcPr>
            <w:tcW w:w="2376" w:type="dxa"/>
          </w:tcPr>
          <w:p w:rsidR="007426B7" w:rsidRDefault="007426B7" w:rsidP="008D56E1">
            <w:pPr>
              <w:rPr>
                <w:sz w:val="22"/>
                <w:szCs w:val="22"/>
              </w:rPr>
            </w:pPr>
            <w:r w:rsidRPr="00271340">
              <w:rPr>
                <w:b/>
                <w:sz w:val="22"/>
                <w:szCs w:val="22"/>
              </w:rPr>
              <w:t>Further Education Institutions, special institutions and ILPs</w:t>
            </w:r>
            <w:r>
              <w:rPr>
                <w:sz w:val="22"/>
                <w:szCs w:val="22"/>
              </w:rPr>
              <w:t xml:space="preserve"> (post 16) </w:t>
            </w:r>
          </w:p>
        </w:tc>
        <w:tc>
          <w:tcPr>
            <w:tcW w:w="2268" w:type="dxa"/>
          </w:tcPr>
          <w:p w:rsidR="007426B7" w:rsidRDefault="007426B7" w:rsidP="00AC7860">
            <w:pPr>
              <w:rPr>
                <w:sz w:val="22"/>
                <w:szCs w:val="22"/>
              </w:rPr>
            </w:pPr>
            <w:r>
              <w:rPr>
                <w:sz w:val="22"/>
                <w:szCs w:val="22"/>
              </w:rPr>
              <w:t>n/a</w:t>
            </w:r>
          </w:p>
          <w:p w:rsidR="007426B7" w:rsidRDefault="007426B7" w:rsidP="00AC7860">
            <w:pPr>
              <w:rPr>
                <w:sz w:val="22"/>
                <w:szCs w:val="22"/>
              </w:rPr>
            </w:pPr>
          </w:p>
          <w:p w:rsidR="007426B7" w:rsidRDefault="007426B7" w:rsidP="00AC7860">
            <w:pPr>
              <w:rPr>
                <w:sz w:val="22"/>
                <w:szCs w:val="22"/>
              </w:rPr>
            </w:pPr>
          </w:p>
        </w:tc>
        <w:tc>
          <w:tcPr>
            <w:tcW w:w="2410" w:type="dxa"/>
          </w:tcPr>
          <w:p w:rsidR="007426B7" w:rsidRDefault="007426B7" w:rsidP="00AC7860">
            <w:pPr>
              <w:rPr>
                <w:sz w:val="22"/>
                <w:szCs w:val="22"/>
              </w:rPr>
            </w:pPr>
            <w:r>
              <w:rPr>
                <w:sz w:val="22"/>
                <w:szCs w:val="22"/>
              </w:rPr>
              <w:t>n/a</w:t>
            </w:r>
          </w:p>
        </w:tc>
        <w:tc>
          <w:tcPr>
            <w:tcW w:w="2410" w:type="dxa"/>
          </w:tcPr>
          <w:p w:rsidR="007426B7" w:rsidRDefault="007426B7" w:rsidP="00AC7860">
            <w:pPr>
              <w:rPr>
                <w:sz w:val="22"/>
                <w:szCs w:val="22"/>
              </w:rPr>
            </w:pPr>
            <w:r>
              <w:rPr>
                <w:sz w:val="22"/>
                <w:szCs w:val="22"/>
              </w:rPr>
              <w:t>Element 1 (based on the 16-19 national funding formula) plus Element 2 (£6,000) based on the number of places to be funded.</w:t>
            </w:r>
          </w:p>
          <w:p w:rsidR="007426B7" w:rsidRDefault="007426B7" w:rsidP="00AC7860">
            <w:pPr>
              <w:rPr>
                <w:sz w:val="22"/>
                <w:szCs w:val="22"/>
              </w:rPr>
            </w:pPr>
          </w:p>
          <w:p w:rsidR="007426B7" w:rsidRDefault="007426B7" w:rsidP="00B779AD">
            <w:pPr>
              <w:rPr>
                <w:sz w:val="22"/>
                <w:szCs w:val="22"/>
              </w:rPr>
            </w:pPr>
            <w:r>
              <w:rPr>
                <w:sz w:val="22"/>
                <w:szCs w:val="22"/>
              </w:rPr>
              <w:t xml:space="preserve">Additional place-funding (element 2 only) can be allocated </w:t>
            </w:r>
            <w:r w:rsidR="00995305">
              <w:rPr>
                <w:sz w:val="22"/>
                <w:szCs w:val="22"/>
              </w:rPr>
              <w:t xml:space="preserve">in year </w:t>
            </w:r>
            <w:r>
              <w:rPr>
                <w:sz w:val="22"/>
                <w:szCs w:val="22"/>
              </w:rPr>
              <w:t>where occupancy exceeds</w:t>
            </w:r>
            <w:r w:rsidR="00995305">
              <w:rPr>
                <w:sz w:val="22"/>
                <w:szCs w:val="22"/>
              </w:rPr>
              <w:t xml:space="preserve"> agreed places,</w:t>
            </w:r>
            <w:r>
              <w:rPr>
                <w:sz w:val="22"/>
                <w:szCs w:val="22"/>
              </w:rPr>
              <w:t xml:space="preserve"> with an end of year reconciliation</w:t>
            </w:r>
            <w:r w:rsidR="00995305">
              <w:rPr>
                <w:sz w:val="22"/>
                <w:szCs w:val="22"/>
              </w:rPr>
              <w:t xml:space="preserve"> to ensure no overall overpayment</w:t>
            </w:r>
            <w:r>
              <w:rPr>
                <w:sz w:val="22"/>
                <w:szCs w:val="22"/>
              </w:rPr>
              <w:t>.</w:t>
            </w:r>
          </w:p>
          <w:p w:rsidR="007426B7" w:rsidRDefault="007426B7" w:rsidP="00AC7860">
            <w:pPr>
              <w:rPr>
                <w:sz w:val="22"/>
                <w:szCs w:val="22"/>
              </w:rPr>
            </w:pPr>
          </w:p>
          <w:p w:rsidR="00271340" w:rsidRDefault="00271340" w:rsidP="00271340">
            <w:pPr>
              <w:rPr>
                <w:sz w:val="22"/>
                <w:szCs w:val="22"/>
              </w:rPr>
            </w:pPr>
            <w:r>
              <w:rPr>
                <w:sz w:val="22"/>
                <w:szCs w:val="22"/>
              </w:rPr>
              <w:t>Both Elements 1 and 2 are retained by the institution.</w:t>
            </w:r>
          </w:p>
          <w:p w:rsidR="00271340" w:rsidRDefault="00271340" w:rsidP="00AC7860">
            <w:pPr>
              <w:rPr>
                <w:sz w:val="22"/>
                <w:szCs w:val="22"/>
              </w:rPr>
            </w:pPr>
          </w:p>
        </w:tc>
        <w:tc>
          <w:tcPr>
            <w:tcW w:w="2126" w:type="dxa"/>
          </w:tcPr>
          <w:p w:rsidR="007426B7" w:rsidRDefault="007426B7" w:rsidP="00B779AD">
            <w:pPr>
              <w:rPr>
                <w:sz w:val="22"/>
                <w:szCs w:val="22"/>
              </w:rPr>
            </w:pPr>
            <w:r>
              <w:rPr>
                <w:sz w:val="22"/>
                <w:szCs w:val="22"/>
              </w:rPr>
              <w:t xml:space="preserve">Agreed per-pupil </w:t>
            </w:r>
            <w:r w:rsidR="00D32993">
              <w:rPr>
                <w:sz w:val="22"/>
                <w:szCs w:val="22"/>
              </w:rPr>
              <w:t>top-up</w:t>
            </w:r>
            <w:r>
              <w:rPr>
                <w:sz w:val="22"/>
                <w:szCs w:val="22"/>
              </w:rPr>
              <w:t xml:space="preserve"> paid by the commissioning local authority.</w:t>
            </w:r>
          </w:p>
          <w:p w:rsidR="007426B7" w:rsidRDefault="007426B7" w:rsidP="00B779AD">
            <w:pPr>
              <w:rPr>
                <w:sz w:val="22"/>
                <w:szCs w:val="22"/>
              </w:rPr>
            </w:pPr>
          </w:p>
          <w:p w:rsidR="007426B7" w:rsidRDefault="007426B7" w:rsidP="00B779AD">
            <w:pPr>
              <w:rPr>
                <w:sz w:val="22"/>
                <w:szCs w:val="22"/>
              </w:rPr>
            </w:pPr>
            <w:r>
              <w:rPr>
                <w:sz w:val="22"/>
                <w:szCs w:val="22"/>
              </w:rPr>
              <w:t>Allocated in ‘real time’ during the year. Changes for starters and leavers.</w:t>
            </w:r>
          </w:p>
          <w:p w:rsidR="007426B7" w:rsidRDefault="007426B7" w:rsidP="00B779AD">
            <w:pPr>
              <w:rPr>
                <w:sz w:val="22"/>
                <w:szCs w:val="22"/>
              </w:rPr>
            </w:pPr>
          </w:p>
          <w:p w:rsidR="008F34BE" w:rsidRDefault="00024671" w:rsidP="00271340">
            <w:pPr>
              <w:rPr>
                <w:sz w:val="22"/>
                <w:szCs w:val="22"/>
              </w:rPr>
            </w:pPr>
            <w:r>
              <w:rPr>
                <w:sz w:val="22"/>
                <w:szCs w:val="22"/>
              </w:rPr>
              <w:t xml:space="preserve">Uses the </w:t>
            </w:r>
            <w:r w:rsidR="00877D3E">
              <w:rPr>
                <w:sz w:val="22"/>
                <w:szCs w:val="22"/>
              </w:rPr>
              <w:t xml:space="preserve">Banded Model (see appendix 2). </w:t>
            </w:r>
          </w:p>
          <w:p w:rsidR="008F34BE" w:rsidRDefault="008F34BE" w:rsidP="00271340">
            <w:pPr>
              <w:rPr>
                <w:sz w:val="22"/>
                <w:szCs w:val="22"/>
              </w:rPr>
            </w:pPr>
          </w:p>
          <w:p w:rsidR="00271340" w:rsidRDefault="00061220" w:rsidP="00271340">
            <w:pPr>
              <w:rPr>
                <w:sz w:val="22"/>
                <w:szCs w:val="22"/>
              </w:rPr>
            </w:pPr>
            <w:r>
              <w:rPr>
                <w:sz w:val="22"/>
                <w:szCs w:val="22"/>
              </w:rPr>
              <w:t>Typically,</w:t>
            </w:r>
            <w:r w:rsidR="00271340">
              <w:rPr>
                <w:sz w:val="22"/>
                <w:szCs w:val="22"/>
              </w:rPr>
              <w:t xml:space="preserve"> values are funded at 60% for most </w:t>
            </w:r>
            <w:r w:rsidR="00271340" w:rsidRPr="006829B3">
              <w:rPr>
                <w:color w:val="000000" w:themeColor="text1"/>
                <w:sz w:val="22"/>
                <w:szCs w:val="22"/>
              </w:rPr>
              <w:t>placements</w:t>
            </w:r>
            <w:r w:rsidR="00CA51CD" w:rsidRPr="006829B3">
              <w:rPr>
                <w:color w:val="000000" w:themeColor="text1"/>
                <w:sz w:val="22"/>
                <w:szCs w:val="22"/>
              </w:rPr>
              <w:t xml:space="preserve"> (adjusted for the additional 40 hours)</w:t>
            </w:r>
            <w:r w:rsidR="00271340" w:rsidRPr="006829B3">
              <w:rPr>
                <w:color w:val="000000" w:themeColor="text1"/>
                <w:sz w:val="22"/>
                <w:szCs w:val="22"/>
              </w:rPr>
              <w:t>.</w:t>
            </w:r>
            <w:r w:rsidR="00995305" w:rsidRPr="006829B3">
              <w:rPr>
                <w:color w:val="000000" w:themeColor="text1"/>
                <w:sz w:val="22"/>
                <w:szCs w:val="22"/>
              </w:rPr>
              <w:t xml:space="preserve"> Higher cost placements </w:t>
            </w:r>
            <w:r w:rsidR="00995305">
              <w:rPr>
                <w:sz w:val="22"/>
                <w:szCs w:val="22"/>
              </w:rPr>
              <w:t>(low incidence high need) are typically funded on an actual cost basis.</w:t>
            </w:r>
          </w:p>
          <w:p w:rsidR="00271340" w:rsidRDefault="00271340" w:rsidP="00877D3E">
            <w:pPr>
              <w:rPr>
                <w:sz w:val="22"/>
                <w:szCs w:val="22"/>
              </w:rPr>
            </w:pPr>
          </w:p>
        </w:tc>
        <w:tc>
          <w:tcPr>
            <w:tcW w:w="2126" w:type="dxa"/>
          </w:tcPr>
          <w:p w:rsidR="007426B7" w:rsidRDefault="007426B7" w:rsidP="00AC7860">
            <w:pPr>
              <w:rPr>
                <w:sz w:val="22"/>
                <w:szCs w:val="22"/>
              </w:rPr>
            </w:pPr>
            <w:r>
              <w:rPr>
                <w:sz w:val="22"/>
                <w:szCs w:val="22"/>
              </w:rPr>
              <w:t>None.</w:t>
            </w:r>
          </w:p>
        </w:tc>
        <w:tc>
          <w:tcPr>
            <w:tcW w:w="1985" w:type="dxa"/>
          </w:tcPr>
          <w:p w:rsidR="007426B7" w:rsidRDefault="007426B7" w:rsidP="00AC7860">
            <w:pPr>
              <w:rPr>
                <w:sz w:val="22"/>
                <w:szCs w:val="22"/>
              </w:rPr>
            </w:pPr>
            <w:r>
              <w:rPr>
                <w:sz w:val="22"/>
                <w:szCs w:val="22"/>
              </w:rPr>
              <w:t>None.</w:t>
            </w:r>
          </w:p>
        </w:tc>
      </w:tr>
      <w:tr w:rsidR="007426B7" w:rsidTr="00355873">
        <w:tc>
          <w:tcPr>
            <w:tcW w:w="2376" w:type="dxa"/>
          </w:tcPr>
          <w:p w:rsidR="007426B7" w:rsidRPr="00271340" w:rsidRDefault="007426B7" w:rsidP="008D56E1">
            <w:pPr>
              <w:rPr>
                <w:b/>
                <w:sz w:val="22"/>
                <w:szCs w:val="22"/>
              </w:rPr>
            </w:pPr>
            <w:r w:rsidRPr="00271340">
              <w:rPr>
                <w:b/>
                <w:sz w:val="22"/>
                <w:szCs w:val="22"/>
              </w:rPr>
              <w:t>Independent Schools</w:t>
            </w:r>
          </w:p>
        </w:tc>
        <w:tc>
          <w:tcPr>
            <w:tcW w:w="2268" w:type="dxa"/>
          </w:tcPr>
          <w:p w:rsidR="007426B7" w:rsidRDefault="007426B7" w:rsidP="00AC7860">
            <w:pPr>
              <w:rPr>
                <w:sz w:val="22"/>
                <w:szCs w:val="22"/>
              </w:rPr>
            </w:pPr>
            <w:r>
              <w:rPr>
                <w:sz w:val="22"/>
                <w:szCs w:val="22"/>
              </w:rPr>
              <w:t>The place funding system doesn’t operate in independent schools.</w:t>
            </w:r>
          </w:p>
          <w:p w:rsidR="007426B7" w:rsidRDefault="007426B7" w:rsidP="00AC7860">
            <w:pPr>
              <w:rPr>
                <w:sz w:val="22"/>
                <w:szCs w:val="22"/>
              </w:rPr>
            </w:pPr>
          </w:p>
        </w:tc>
        <w:tc>
          <w:tcPr>
            <w:tcW w:w="2410" w:type="dxa"/>
          </w:tcPr>
          <w:p w:rsidR="007426B7" w:rsidRDefault="007426B7" w:rsidP="00DB57B8">
            <w:pPr>
              <w:rPr>
                <w:sz w:val="22"/>
                <w:szCs w:val="22"/>
              </w:rPr>
            </w:pPr>
            <w:r>
              <w:rPr>
                <w:sz w:val="22"/>
                <w:szCs w:val="22"/>
              </w:rPr>
              <w:t xml:space="preserve">Agreed per-pupil </w:t>
            </w:r>
            <w:r w:rsidR="00D32993">
              <w:rPr>
                <w:sz w:val="22"/>
                <w:szCs w:val="22"/>
              </w:rPr>
              <w:t>top-up</w:t>
            </w:r>
            <w:r>
              <w:rPr>
                <w:sz w:val="22"/>
                <w:szCs w:val="22"/>
              </w:rPr>
              <w:t xml:space="preserve"> paid by the commissioning local authority.</w:t>
            </w:r>
          </w:p>
          <w:p w:rsidR="007426B7" w:rsidRDefault="007426B7" w:rsidP="00AC7860">
            <w:pPr>
              <w:rPr>
                <w:sz w:val="22"/>
                <w:szCs w:val="22"/>
              </w:rPr>
            </w:pPr>
          </w:p>
        </w:tc>
        <w:tc>
          <w:tcPr>
            <w:tcW w:w="2410" w:type="dxa"/>
          </w:tcPr>
          <w:p w:rsidR="007426B7" w:rsidRDefault="007426B7" w:rsidP="00FE01F3">
            <w:pPr>
              <w:rPr>
                <w:sz w:val="22"/>
                <w:szCs w:val="22"/>
              </w:rPr>
            </w:pPr>
            <w:r>
              <w:rPr>
                <w:sz w:val="22"/>
                <w:szCs w:val="22"/>
              </w:rPr>
              <w:t>The place funding system doesn’t operate in independent schools.</w:t>
            </w:r>
          </w:p>
          <w:p w:rsidR="007426B7" w:rsidRDefault="007426B7" w:rsidP="00FE01F3">
            <w:pPr>
              <w:rPr>
                <w:sz w:val="22"/>
                <w:szCs w:val="22"/>
              </w:rPr>
            </w:pPr>
          </w:p>
        </w:tc>
        <w:tc>
          <w:tcPr>
            <w:tcW w:w="2126" w:type="dxa"/>
          </w:tcPr>
          <w:p w:rsidR="007426B7" w:rsidRDefault="007426B7" w:rsidP="00FE01F3">
            <w:pPr>
              <w:rPr>
                <w:sz w:val="22"/>
                <w:szCs w:val="22"/>
              </w:rPr>
            </w:pPr>
            <w:r>
              <w:rPr>
                <w:sz w:val="22"/>
                <w:szCs w:val="22"/>
              </w:rPr>
              <w:t xml:space="preserve">Agreed per-pupil </w:t>
            </w:r>
            <w:r w:rsidR="00D32993">
              <w:rPr>
                <w:sz w:val="22"/>
                <w:szCs w:val="22"/>
              </w:rPr>
              <w:t>top-up</w:t>
            </w:r>
            <w:r>
              <w:rPr>
                <w:sz w:val="22"/>
                <w:szCs w:val="22"/>
              </w:rPr>
              <w:t xml:space="preserve"> paid by the commissioning local authority.</w:t>
            </w:r>
          </w:p>
          <w:p w:rsidR="007426B7" w:rsidRDefault="007426B7" w:rsidP="00FE01F3">
            <w:pPr>
              <w:rPr>
                <w:sz w:val="22"/>
                <w:szCs w:val="22"/>
              </w:rPr>
            </w:pPr>
          </w:p>
        </w:tc>
        <w:tc>
          <w:tcPr>
            <w:tcW w:w="2126" w:type="dxa"/>
          </w:tcPr>
          <w:p w:rsidR="007426B7" w:rsidRDefault="007426B7" w:rsidP="00AC7860">
            <w:pPr>
              <w:rPr>
                <w:sz w:val="22"/>
                <w:szCs w:val="22"/>
              </w:rPr>
            </w:pPr>
            <w:r>
              <w:rPr>
                <w:sz w:val="22"/>
                <w:szCs w:val="22"/>
              </w:rPr>
              <w:t>None.</w:t>
            </w:r>
          </w:p>
        </w:tc>
        <w:tc>
          <w:tcPr>
            <w:tcW w:w="1985" w:type="dxa"/>
          </w:tcPr>
          <w:p w:rsidR="007426B7" w:rsidRDefault="00061220" w:rsidP="00AC7860">
            <w:pPr>
              <w:rPr>
                <w:sz w:val="22"/>
                <w:szCs w:val="22"/>
              </w:rPr>
            </w:pPr>
            <w:r>
              <w:rPr>
                <w:sz w:val="22"/>
                <w:szCs w:val="22"/>
              </w:rPr>
              <w:t xml:space="preserve">Former </w:t>
            </w:r>
            <w:r w:rsidR="007A2A6A">
              <w:rPr>
                <w:sz w:val="22"/>
                <w:szCs w:val="22"/>
              </w:rPr>
              <w:t>Teacher Pensions Grant (for EHCPs)</w:t>
            </w:r>
          </w:p>
        </w:tc>
      </w:tr>
    </w:tbl>
    <w:p w:rsidR="00D9166A" w:rsidRDefault="00D9166A" w:rsidP="00355873">
      <w:pPr>
        <w:jc w:val="both"/>
        <w:rPr>
          <w:sz w:val="22"/>
          <w:szCs w:val="22"/>
        </w:rPr>
      </w:pPr>
    </w:p>
    <w:p w:rsidR="00517A8F" w:rsidRDefault="00517A8F" w:rsidP="00355873">
      <w:pPr>
        <w:jc w:val="both"/>
        <w:rPr>
          <w:sz w:val="22"/>
          <w:szCs w:val="22"/>
        </w:rPr>
      </w:pPr>
    </w:p>
    <w:p w:rsidR="001F06CE" w:rsidRDefault="001F06CE" w:rsidP="00355873">
      <w:pPr>
        <w:jc w:val="both"/>
        <w:rPr>
          <w:sz w:val="22"/>
          <w:szCs w:val="22"/>
        </w:rPr>
      </w:pPr>
    </w:p>
    <w:p w:rsidR="001F06CE" w:rsidRDefault="001F06CE" w:rsidP="00355873">
      <w:pPr>
        <w:jc w:val="both"/>
        <w:rPr>
          <w:sz w:val="22"/>
          <w:szCs w:val="22"/>
        </w:rPr>
      </w:pPr>
    </w:p>
    <w:p w:rsidR="001F06CE" w:rsidRDefault="001F06CE" w:rsidP="00355873">
      <w:pPr>
        <w:jc w:val="both"/>
        <w:rPr>
          <w:sz w:val="22"/>
          <w:szCs w:val="22"/>
        </w:rPr>
      </w:pPr>
    </w:p>
    <w:p w:rsidR="001F06CE" w:rsidRDefault="001F06CE" w:rsidP="00355873">
      <w:pPr>
        <w:jc w:val="both"/>
        <w:rPr>
          <w:sz w:val="22"/>
          <w:szCs w:val="22"/>
        </w:rPr>
      </w:pPr>
    </w:p>
    <w:p w:rsidR="001F06CE" w:rsidRDefault="001F06CE" w:rsidP="00355873">
      <w:pPr>
        <w:jc w:val="both"/>
        <w:rPr>
          <w:sz w:val="22"/>
          <w:szCs w:val="22"/>
        </w:rPr>
      </w:pPr>
    </w:p>
    <w:p w:rsidR="001F06CE" w:rsidRDefault="001F06CE" w:rsidP="00355873">
      <w:pPr>
        <w:jc w:val="both"/>
        <w:rPr>
          <w:sz w:val="22"/>
          <w:szCs w:val="22"/>
        </w:rPr>
      </w:pPr>
    </w:p>
    <w:p w:rsidR="001F06CE" w:rsidRDefault="001F06CE" w:rsidP="00355873">
      <w:pPr>
        <w:jc w:val="both"/>
        <w:rPr>
          <w:sz w:val="22"/>
          <w:szCs w:val="22"/>
        </w:rPr>
      </w:pPr>
    </w:p>
    <w:p w:rsidR="005A63FC" w:rsidRDefault="005A63FC" w:rsidP="00355873">
      <w:pPr>
        <w:jc w:val="both"/>
        <w:rPr>
          <w:sz w:val="22"/>
          <w:szCs w:val="22"/>
        </w:rPr>
        <w:sectPr w:rsidR="005A63FC" w:rsidSect="005A63FC">
          <w:pgSz w:w="16838" w:h="11906" w:orient="landscape"/>
          <w:pgMar w:top="624" w:right="624" w:bottom="624" w:left="624" w:header="709" w:footer="709" w:gutter="0"/>
          <w:cols w:space="708"/>
          <w:docGrid w:linePitch="360"/>
        </w:sectPr>
      </w:pPr>
    </w:p>
    <w:p w:rsidR="006F5C94" w:rsidRDefault="006F5C94" w:rsidP="005356A2">
      <w:pPr>
        <w:rPr>
          <w:b/>
          <w:sz w:val="22"/>
          <w:szCs w:val="22"/>
        </w:rPr>
      </w:pPr>
    </w:p>
    <w:p w:rsidR="003B75EF" w:rsidRPr="007642E8" w:rsidRDefault="00877D3E" w:rsidP="009C3A51">
      <w:pPr>
        <w:jc w:val="center"/>
        <w:rPr>
          <w:b/>
          <w:sz w:val="22"/>
          <w:szCs w:val="22"/>
        </w:rPr>
      </w:pPr>
      <w:r w:rsidRPr="007642E8">
        <w:rPr>
          <w:b/>
          <w:sz w:val="22"/>
          <w:szCs w:val="22"/>
        </w:rPr>
        <w:t>Appendix 2</w:t>
      </w:r>
    </w:p>
    <w:p w:rsidR="00BD0097" w:rsidRDefault="00BD0097" w:rsidP="00355873">
      <w:pPr>
        <w:jc w:val="center"/>
        <w:rPr>
          <w:b/>
          <w:sz w:val="22"/>
          <w:szCs w:val="22"/>
        </w:rPr>
      </w:pPr>
    </w:p>
    <w:p w:rsidR="003B75EF" w:rsidRPr="00716C50" w:rsidRDefault="007642E8" w:rsidP="00355873">
      <w:pPr>
        <w:jc w:val="center"/>
        <w:rPr>
          <w:b/>
          <w:sz w:val="22"/>
          <w:szCs w:val="22"/>
        </w:rPr>
      </w:pPr>
      <w:r>
        <w:rPr>
          <w:b/>
          <w:sz w:val="22"/>
          <w:szCs w:val="22"/>
        </w:rPr>
        <w:t xml:space="preserve">The </w:t>
      </w:r>
      <w:r w:rsidR="00840F75">
        <w:rPr>
          <w:b/>
          <w:sz w:val="22"/>
          <w:szCs w:val="22"/>
        </w:rPr>
        <w:t xml:space="preserve">EHCP </w:t>
      </w:r>
      <w:r w:rsidR="003B75EF" w:rsidRPr="003B75EF">
        <w:rPr>
          <w:b/>
          <w:sz w:val="22"/>
          <w:szCs w:val="22"/>
        </w:rPr>
        <w:t xml:space="preserve">Banded Model for </w:t>
      </w:r>
      <w:r w:rsidR="00F3262F">
        <w:rPr>
          <w:b/>
          <w:sz w:val="22"/>
          <w:szCs w:val="22"/>
        </w:rPr>
        <w:t xml:space="preserve">Funding </w:t>
      </w:r>
      <w:r w:rsidR="003B75EF" w:rsidRPr="003B75EF">
        <w:rPr>
          <w:b/>
          <w:sz w:val="22"/>
          <w:szCs w:val="22"/>
        </w:rPr>
        <w:t xml:space="preserve">Pupil-Led Need </w:t>
      </w:r>
      <w:r w:rsidR="00D32993">
        <w:rPr>
          <w:b/>
          <w:sz w:val="22"/>
          <w:szCs w:val="22"/>
        </w:rPr>
        <w:t>Top-up</w:t>
      </w:r>
      <w:r w:rsidR="003B75EF" w:rsidRPr="003B75EF">
        <w:rPr>
          <w:b/>
          <w:sz w:val="22"/>
          <w:szCs w:val="22"/>
        </w:rPr>
        <w:t xml:space="preserve"> </w:t>
      </w:r>
      <w:r w:rsidR="00082FC4">
        <w:rPr>
          <w:b/>
          <w:sz w:val="22"/>
          <w:szCs w:val="22"/>
        </w:rPr>
        <w:t>2023/24</w:t>
      </w:r>
    </w:p>
    <w:p w:rsidR="003B75EF" w:rsidRDefault="003B75EF" w:rsidP="00355873">
      <w:pPr>
        <w:rPr>
          <w:rFonts w:cs="Arial"/>
          <w:b/>
          <w:sz w:val="22"/>
          <w:szCs w:val="22"/>
          <w:u w:val="single"/>
        </w:rPr>
      </w:pPr>
    </w:p>
    <w:p w:rsidR="003B75EF" w:rsidRDefault="003B75EF" w:rsidP="00355873">
      <w:pPr>
        <w:rPr>
          <w:rFonts w:cs="Arial"/>
          <w:b/>
          <w:sz w:val="22"/>
          <w:szCs w:val="22"/>
          <w:u w:val="single"/>
        </w:rPr>
      </w:pPr>
      <w:r>
        <w:rPr>
          <w:rFonts w:cs="Arial"/>
          <w:b/>
          <w:sz w:val="22"/>
          <w:szCs w:val="22"/>
          <w:u w:val="single"/>
        </w:rPr>
        <w:t>Introduction</w:t>
      </w:r>
    </w:p>
    <w:p w:rsidR="003B75EF" w:rsidRDefault="003B75EF" w:rsidP="00355873">
      <w:pPr>
        <w:jc w:val="both"/>
        <w:rPr>
          <w:rFonts w:cs="Arial"/>
          <w:b/>
          <w:sz w:val="22"/>
          <w:szCs w:val="22"/>
          <w:u w:val="single"/>
        </w:rPr>
      </w:pPr>
    </w:p>
    <w:p w:rsidR="003B75EF" w:rsidRPr="00BD0097" w:rsidRDefault="003B75EF" w:rsidP="00355873">
      <w:pPr>
        <w:jc w:val="both"/>
        <w:rPr>
          <w:rFonts w:cs="Arial"/>
          <w:sz w:val="22"/>
          <w:szCs w:val="22"/>
        </w:rPr>
      </w:pPr>
      <w:r w:rsidRPr="003B75EF">
        <w:rPr>
          <w:rFonts w:cs="Arial"/>
          <w:sz w:val="22"/>
          <w:szCs w:val="22"/>
        </w:rPr>
        <w:t>1.</w:t>
      </w:r>
      <w:r w:rsidRPr="00BD0097">
        <w:rPr>
          <w:rFonts w:cs="Arial"/>
          <w:sz w:val="22"/>
          <w:szCs w:val="22"/>
        </w:rPr>
        <w:t xml:space="preserve">1 Top-up funding (also known as Element 3 or ‘Plus’ funding) is the funding required by an institution, over and above place funding, to enable a child or young person with high needs to participate in education and learning. Top-up funding is expected </w:t>
      </w:r>
      <w:r w:rsidR="002B6DB0">
        <w:rPr>
          <w:rFonts w:cs="Arial"/>
          <w:sz w:val="22"/>
          <w:szCs w:val="22"/>
        </w:rPr>
        <w:t xml:space="preserve">to </w:t>
      </w:r>
      <w:r w:rsidRPr="00BD0097">
        <w:rPr>
          <w:rFonts w:cs="Arial"/>
          <w:sz w:val="22"/>
          <w:szCs w:val="22"/>
        </w:rPr>
        <w:t xml:space="preserve">reflect the cost of additional support an institution incurs related to the individual needs of the child or young person. </w:t>
      </w:r>
    </w:p>
    <w:p w:rsidR="003B75EF" w:rsidRPr="00BD0097" w:rsidRDefault="003B75EF" w:rsidP="00355873">
      <w:pPr>
        <w:rPr>
          <w:rFonts w:cs="Arial"/>
          <w:sz w:val="22"/>
          <w:szCs w:val="22"/>
        </w:rPr>
      </w:pPr>
    </w:p>
    <w:p w:rsidR="005170C9" w:rsidRDefault="003B75EF" w:rsidP="00355873">
      <w:pPr>
        <w:spacing w:after="200" w:line="276" w:lineRule="auto"/>
        <w:jc w:val="both"/>
        <w:rPr>
          <w:rFonts w:cs="Arial"/>
          <w:sz w:val="22"/>
          <w:szCs w:val="22"/>
        </w:rPr>
      </w:pPr>
      <w:r>
        <w:rPr>
          <w:rFonts w:cs="Arial"/>
          <w:sz w:val="22"/>
          <w:szCs w:val="22"/>
        </w:rPr>
        <w:t>1.2 As with many</w:t>
      </w:r>
      <w:r w:rsidR="007642E8">
        <w:rPr>
          <w:rFonts w:cs="Arial"/>
          <w:sz w:val="22"/>
          <w:szCs w:val="22"/>
        </w:rPr>
        <w:t xml:space="preserve"> authorities, Bradford</w:t>
      </w:r>
      <w:r w:rsidR="008A7E65">
        <w:rPr>
          <w:rFonts w:cs="Arial"/>
          <w:sz w:val="22"/>
          <w:szCs w:val="22"/>
        </w:rPr>
        <w:t xml:space="preserve"> allocates</w:t>
      </w:r>
      <w:r w:rsidR="00BA6FCE">
        <w:rPr>
          <w:rFonts w:cs="Arial"/>
          <w:sz w:val="22"/>
          <w:szCs w:val="22"/>
        </w:rPr>
        <w:t xml:space="preserve"> top-</w:t>
      </w:r>
      <w:r w:rsidR="00DF115E">
        <w:rPr>
          <w:rFonts w:cs="Arial"/>
          <w:sz w:val="22"/>
          <w:szCs w:val="22"/>
        </w:rPr>
        <w:t>up funding using a b</w:t>
      </w:r>
      <w:r w:rsidR="001807E5">
        <w:rPr>
          <w:rFonts w:cs="Arial"/>
          <w:sz w:val="22"/>
          <w:szCs w:val="22"/>
        </w:rPr>
        <w:t>and model</w:t>
      </w:r>
      <w:r w:rsidR="00DF115E">
        <w:rPr>
          <w:rFonts w:cs="Arial"/>
          <w:sz w:val="22"/>
          <w:szCs w:val="22"/>
        </w:rPr>
        <w:t xml:space="preserve">. </w:t>
      </w:r>
      <w:r w:rsidR="005170C9" w:rsidRPr="00BD0097">
        <w:rPr>
          <w:rFonts w:cs="Arial"/>
          <w:sz w:val="22"/>
          <w:szCs w:val="22"/>
        </w:rPr>
        <w:t>This m</w:t>
      </w:r>
      <w:r w:rsidR="005170C9">
        <w:rPr>
          <w:rFonts w:cs="Arial"/>
          <w:sz w:val="22"/>
          <w:szCs w:val="22"/>
        </w:rPr>
        <w:t>odel is used to assign E</w:t>
      </w:r>
      <w:r w:rsidR="000F5D3C">
        <w:rPr>
          <w:rFonts w:cs="Arial"/>
          <w:sz w:val="22"/>
          <w:szCs w:val="22"/>
        </w:rPr>
        <w:t xml:space="preserve">ducation </w:t>
      </w:r>
      <w:r w:rsidR="005170C9">
        <w:rPr>
          <w:rFonts w:cs="Arial"/>
          <w:sz w:val="22"/>
          <w:szCs w:val="22"/>
        </w:rPr>
        <w:t>H</w:t>
      </w:r>
      <w:r w:rsidR="000F5D3C">
        <w:rPr>
          <w:rFonts w:cs="Arial"/>
          <w:sz w:val="22"/>
          <w:szCs w:val="22"/>
        </w:rPr>
        <w:t xml:space="preserve">ealth and </w:t>
      </w:r>
      <w:r w:rsidR="005170C9">
        <w:rPr>
          <w:rFonts w:cs="Arial"/>
          <w:sz w:val="22"/>
          <w:szCs w:val="22"/>
        </w:rPr>
        <w:t>C</w:t>
      </w:r>
      <w:r w:rsidR="000F5D3C">
        <w:rPr>
          <w:rFonts w:cs="Arial"/>
          <w:sz w:val="22"/>
          <w:szCs w:val="22"/>
        </w:rPr>
        <w:t xml:space="preserve">are </w:t>
      </w:r>
      <w:r w:rsidR="005170C9">
        <w:rPr>
          <w:rFonts w:cs="Arial"/>
          <w:sz w:val="22"/>
          <w:szCs w:val="22"/>
        </w:rPr>
        <w:t>P</w:t>
      </w:r>
      <w:r w:rsidR="000F5D3C">
        <w:rPr>
          <w:rFonts w:cs="Arial"/>
          <w:sz w:val="22"/>
          <w:szCs w:val="22"/>
        </w:rPr>
        <w:t>lans (EHCPs)</w:t>
      </w:r>
      <w:r w:rsidR="008A7E65">
        <w:rPr>
          <w:rFonts w:cs="Arial"/>
          <w:sz w:val="22"/>
          <w:szCs w:val="22"/>
        </w:rPr>
        <w:t xml:space="preserve"> into bands</w:t>
      </w:r>
      <w:r w:rsidR="005170C9" w:rsidRPr="00BD0097">
        <w:rPr>
          <w:rFonts w:cs="Arial"/>
          <w:sz w:val="22"/>
          <w:szCs w:val="22"/>
        </w:rPr>
        <w:t xml:space="preserve"> of need </w:t>
      </w:r>
      <w:r w:rsidR="007642E8">
        <w:rPr>
          <w:rFonts w:cs="Arial"/>
          <w:sz w:val="22"/>
          <w:szCs w:val="22"/>
        </w:rPr>
        <w:t>for funding purposes. Each band</w:t>
      </w:r>
      <w:r w:rsidR="005170C9" w:rsidRPr="00BD0097">
        <w:rPr>
          <w:rFonts w:cs="Arial"/>
          <w:sz w:val="22"/>
          <w:szCs w:val="22"/>
        </w:rPr>
        <w:t xml:space="preserve"> has an applicable l</w:t>
      </w:r>
      <w:r w:rsidR="000C43C4">
        <w:rPr>
          <w:rFonts w:cs="Arial"/>
          <w:sz w:val="22"/>
          <w:szCs w:val="22"/>
        </w:rPr>
        <w:t>evel of funding and every EHCP</w:t>
      </w:r>
      <w:r w:rsidR="005170C9" w:rsidRPr="00BD0097">
        <w:rPr>
          <w:rFonts w:cs="Arial"/>
          <w:sz w:val="22"/>
          <w:szCs w:val="22"/>
        </w:rPr>
        <w:t xml:space="preserve"> assi</w:t>
      </w:r>
      <w:r w:rsidR="007642E8">
        <w:rPr>
          <w:rFonts w:cs="Arial"/>
          <w:sz w:val="22"/>
          <w:szCs w:val="22"/>
        </w:rPr>
        <w:t>gned to a band</w:t>
      </w:r>
      <w:r w:rsidR="008763CA">
        <w:rPr>
          <w:rFonts w:cs="Arial"/>
          <w:sz w:val="22"/>
          <w:szCs w:val="22"/>
        </w:rPr>
        <w:t xml:space="preserve"> is allocated a</w:t>
      </w:r>
      <w:r w:rsidR="005170C9" w:rsidRPr="00BD0097">
        <w:rPr>
          <w:rFonts w:cs="Arial"/>
          <w:sz w:val="22"/>
          <w:szCs w:val="22"/>
        </w:rPr>
        <w:t xml:space="preserve"> set value of funding.</w:t>
      </w:r>
    </w:p>
    <w:p w:rsidR="007642E8" w:rsidRDefault="007642E8" w:rsidP="00355873">
      <w:pPr>
        <w:spacing w:after="200" w:line="276" w:lineRule="auto"/>
        <w:jc w:val="both"/>
        <w:rPr>
          <w:rFonts w:cs="Arial"/>
          <w:sz w:val="22"/>
          <w:szCs w:val="22"/>
        </w:rPr>
      </w:pPr>
      <w:r>
        <w:rPr>
          <w:sz w:val="22"/>
          <w:szCs w:val="22"/>
        </w:rPr>
        <w:t xml:space="preserve">1.3 </w:t>
      </w:r>
      <w:r w:rsidR="001D7EC4">
        <w:rPr>
          <w:sz w:val="22"/>
          <w:szCs w:val="22"/>
        </w:rPr>
        <w:t>At April 2020, for the</w:t>
      </w:r>
      <w:r>
        <w:rPr>
          <w:sz w:val="22"/>
          <w:szCs w:val="22"/>
        </w:rPr>
        <w:t xml:space="preserve"> 2020/21 financial year, we introduced a new Banded Model. This model replaced our previous ‘Ranges Model’ and quite significantly uplifted the funding of EHCPs in all settings</w:t>
      </w:r>
      <w:r w:rsidR="00D90A7F">
        <w:rPr>
          <w:sz w:val="22"/>
          <w:szCs w:val="22"/>
        </w:rPr>
        <w:t>. This</w:t>
      </w:r>
      <w:r>
        <w:rPr>
          <w:sz w:val="22"/>
          <w:szCs w:val="22"/>
        </w:rPr>
        <w:t xml:space="preserve"> model includes protections, which have ensured</w:t>
      </w:r>
      <w:r w:rsidR="008A7E65">
        <w:rPr>
          <w:sz w:val="22"/>
          <w:szCs w:val="22"/>
        </w:rPr>
        <w:t>, and will continue to ensure,</w:t>
      </w:r>
      <w:r>
        <w:rPr>
          <w:sz w:val="22"/>
          <w:szCs w:val="22"/>
        </w:rPr>
        <w:t xml:space="preserve"> that no EHCP in place on 1 April 2020 reduce</w:t>
      </w:r>
      <w:r w:rsidR="008A7E65">
        <w:rPr>
          <w:sz w:val="22"/>
          <w:szCs w:val="22"/>
        </w:rPr>
        <w:t>s</w:t>
      </w:r>
      <w:r>
        <w:rPr>
          <w:sz w:val="22"/>
          <w:szCs w:val="22"/>
        </w:rPr>
        <w:t xml:space="preserve"> in value</w:t>
      </w:r>
      <w:r w:rsidR="00545173">
        <w:rPr>
          <w:sz w:val="22"/>
          <w:szCs w:val="22"/>
        </w:rPr>
        <w:t xml:space="preserve"> as a result of funding model change</w:t>
      </w:r>
      <w:r w:rsidR="008A7E65">
        <w:rPr>
          <w:sz w:val="22"/>
          <w:szCs w:val="22"/>
        </w:rPr>
        <w:t>.</w:t>
      </w:r>
      <w:r w:rsidR="001D7EC4">
        <w:rPr>
          <w:sz w:val="22"/>
          <w:szCs w:val="22"/>
        </w:rPr>
        <w:t xml:space="preserve"> We</w:t>
      </w:r>
      <w:r w:rsidR="00082FC4">
        <w:rPr>
          <w:sz w:val="22"/>
          <w:szCs w:val="22"/>
        </w:rPr>
        <w:t xml:space="preserve"> substantially</w:t>
      </w:r>
      <w:r w:rsidR="001D7EC4">
        <w:rPr>
          <w:sz w:val="22"/>
          <w:szCs w:val="22"/>
        </w:rPr>
        <w:t xml:space="preserve"> uplifted the values allocated by the Banded M</w:t>
      </w:r>
      <w:r w:rsidR="00D90A7F">
        <w:rPr>
          <w:sz w:val="22"/>
          <w:szCs w:val="22"/>
        </w:rPr>
        <w:t>odel in 2021/22,</w:t>
      </w:r>
      <w:r w:rsidR="00082FC4">
        <w:rPr>
          <w:sz w:val="22"/>
          <w:szCs w:val="22"/>
        </w:rPr>
        <w:t xml:space="preserve"> and again in 2022/23,</w:t>
      </w:r>
      <w:r w:rsidR="00D90A7F">
        <w:rPr>
          <w:sz w:val="22"/>
          <w:szCs w:val="22"/>
        </w:rPr>
        <w:t xml:space="preserve"> as set out in our consultation </w:t>
      </w:r>
      <w:r w:rsidR="000F5D3C">
        <w:rPr>
          <w:sz w:val="22"/>
          <w:szCs w:val="22"/>
        </w:rPr>
        <w:t xml:space="preserve">published </w:t>
      </w:r>
      <w:r w:rsidR="00D90A7F">
        <w:rPr>
          <w:sz w:val="22"/>
          <w:szCs w:val="22"/>
        </w:rPr>
        <w:t>this time last year.</w:t>
      </w:r>
    </w:p>
    <w:p w:rsidR="003B75EF" w:rsidRDefault="007642E8" w:rsidP="00355873">
      <w:pPr>
        <w:spacing w:after="200" w:line="276" w:lineRule="auto"/>
        <w:jc w:val="both"/>
        <w:rPr>
          <w:rFonts w:cs="Arial"/>
          <w:sz w:val="22"/>
          <w:szCs w:val="22"/>
        </w:rPr>
      </w:pPr>
      <w:r>
        <w:rPr>
          <w:rFonts w:cs="Arial"/>
          <w:sz w:val="22"/>
          <w:szCs w:val="22"/>
        </w:rPr>
        <w:t>1.4</w:t>
      </w:r>
      <w:r w:rsidR="005170C9">
        <w:rPr>
          <w:rFonts w:cs="Arial"/>
          <w:sz w:val="22"/>
          <w:szCs w:val="22"/>
        </w:rPr>
        <w:t xml:space="preserve"> A band</w:t>
      </w:r>
      <w:r w:rsidR="00BD0097">
        <w:rPr>
          <w:rFonts w:cs="Arial"/>
          <w:sz w:val="22"/>
          <w:szCs w:val="22"/>
        </w:rPr>
        <w:t xml:space="preserve"> </w:t>
      </w:r>
      <w:r w:rsidR="005170C9">
        <w:rPr>
          <w:rFonts w:cs="Arial"/>
          <w:sz w:val="22"/>
          <w:szCs w:val="22"/>
        </w:rPr>
        <w:t>s</w:t>
      </w:r>
      <w:r w:rsidR="00BD0097">
        <w:rPr>
          <w:rFonts w:cs="Arial"/>
          <w:sz w:val="22"/>
          <w:szCs w:val="22"/>
        </w:rPr>
        <w:t>ystem</w:t>
      </w:r>
      <w:r w:rsidR="003B75EF">
        <w:rPr>
          <w:rFonts w:cs="Arial"/>
          <w:sz w:val="22"/>
          <w:szCs w:val="22"/>
        </w:rPr>
        <w:t xml:space="preserve"> </w:t>
      </w:r>
      <w:r w:rsidR="00317362">
        <w:rPr>
          <w:rFonts w:cs="Arial"/>
          <w:sz w:val="22"/>
          <w:szCs w:val="22"/>
        </w:rPr>
        <w:t>is</w:t>
      </w:r>
      <w:r w:rsidR="003B75EF">
        <w:rPr>
          <w:rFonts w:cs="Arial"/>
          <w:sz w:val="22"/>
          <w:szCs w:val="22"/>
        </w:rPr>
        <w:t xml:space="preserve"> more responsive to the needs of an individual child or young person than a blanket lump sum style</w:t>
      </w:r>
      <w:r w:rsidR="00C84B37">
        <w:rPr>
          <w:rFonts w:cs="Arial"/>
          <w:sz w:val="22"/>
          <w:szCs w:val="22"/>
        </w:rPr>
        <w:t xml:space="preserve"> approach but</w:t>
      </w:r>
      <w:r w:rsidR="003B75EF">
        <w:rPr>
          <w:rFonts w:cs="Arial"/>
          <w:sz w:val="22"/>
          <w:szCs w:val="22"/>
        </w:rPr>
        <w:t xml:space="preserve"> is not quite as sensitive as an approach where the</w:t>
      </w:r>
      <w:r w:rsidR="000C43C4">
        <w:rPr>
          <w:rFonts w:cs="Arial"/>
          <w:sz w:val="22"/>
          <w:szCs w:val="22"/>
        </w:rPr>
        <w:t xml:space="preserve"> cost of the</w:t>
      </w:r>
      <w:r w:rsidR="003B75EF">
        <w:rPr>
          <w:rFonts w:cs="Arial"/>
          <w:sz w:val="22"/>
          <w:szCs w:val="22"/>
        </w:rPr>
        <w:t xml:space="preserve"> nee</w:t>
      </w:r>
      <w:r w:rsidR="00A47365">
        <w:rPr>
          <w:rFonts w:cs="Arial"/>
          <w:sz w:val="22"/>
          <w:szCs w:val="22"/>
        </w:rPr>
        <w:t>d</w:t>
      </w:r>
      <w:r w:rsidR="000C43C4">
        <w:rPr>
          <w:rFonts w:cs="Arial"/>
          <w:sz w:val="22"/>
          <w:szCs w:val="22"/>
        </w:rPr>
        <w:t>s of a child or young person is</w:t>
      </w:r>
      <w:r w:rsidR="003B75EF">
        <w:rPr>
          <w:rFonts w:cs="Arial"/>
          <w:sz w:val="22"/>
          <w:szCs w:val="22"/>
        </w:rPr>
        <w:t xml:space="preserve"> calculated </w:t>
      </w:r>
      <w:r w:rsidR="00C84B37">
        <w:rPr>
          <w:rFonts w:cs="Arial"/>
          <w:sz w:val="22"/>
          <w:szCs w:val="22"/>
        </w:rPr>
        <w:t>on an exact</w:t>
      </w:r>
      <w:r w:rsidR="003B75EF">
        <w:rPr>
          <w:rFonts w:cs="Arial"/>
          <w:sz w:val="22"/>
          <w:szCs w:val="22"/>
        </w:rPr>
        <w:t xml:space="preserve"> b</w:t>
      </w:r>
      <w:r w:rsidR="00420C64">
        <w:rPr>
          <w:rFonts w:cs="Arial"/>
          <w:sz w:val="22"/>
          <w:szCs w:val="22"/>
        </w:rPr>
        <w:t xml:space="preserve">asis. Blanket, </w:t>
      </w:r>
      <w:r w:rsidR="005170C9">
        <w:rPr>
          <w:rFonts w:cs="Arial"/>
          <w:sz w:val="22"/>
          <w:szCs w:val="22"/>
        </w:rPr>
        <w:t>band</w:t>
      </w:r>
      <w:r w:rsidR="00420C64">
        <w:rPr>
          <w:rFonts w:cs="Arial"/>
          <w:sz w:val="22"/>
          <w:szCs w:val="22"/>
        </w:rPr>
        <w:t>, and individual</w:t>
      </w:r>
      <w:r w:rsidR="00595E04">
        <w:rPr>
          <w:rFonts w:cs="Arial"/>
          <w:sz w:val="22"/>
          <w:szCs w:val="22"/>
        </w:rPr>
        <w:t>ly</w:t>
      </w:r>
      <w:r w:rsidR="00420C64">
        <w:rPr>
          <w:rFonts w:cs="Arial"/>
          <w:sz w:val="22"/>
          <w:szCs w:val="22"/>
        </w:rPr>
        <w:t>-costed systems all have pros and cons</w:t>
      </w:r>
      <w:r w:rsidR="003B75EF">
        <w:rPr>
          <w:rFonts w:cs="Arial"/>
          <w:sz w:val="22"/>
          <w:szCs w:val="22"/>
        </w:rPr>
        <w:t xml:space="preserve">. </w:t>
      </w:r>
      <w:r w:rsidR="00D35D20">
        <w:rPr>
          <w:rFonts w:cs="Arial"/>
          <w:sz w:val="22"/>
          <w:szCs w:val="22"/>
        </w:rPr>
        <w:t>The main positive features of b</w:t>
      </w:r>
      <w:r w:rsidR="005170C9">
        <w:rPr>
          <w:rFonts w:cs="Arial"/>
          <w:sz w:val="22"/>
          <w:szCs w:val="22"/>
        </w:rPr>
        <w:t>and</w:t>
      </w:r>
      <w:r w:rsidR="00D35D20">
        <w:rPr>
          <w:rFonts w:cs="Arial"/>
          <w:sz w:val="22"/>
          <w:szCs w:val="22"/>
        </w:rPr>
        <w:t xml:space="preserve"> m</w:t>
      </w:r>
      <w:r w:rsidR="003B75EF">
        <w:rPr>
          <w:rFonts w:cs="Arial"/>
          <w:sz w:val="22"/>
          <w:szCs w:val="22"/>
        </w:rPr>
        <w:t>odel</w:t>
      </w:r>
      <w:r w:rsidR="00D35D20">
        <w:rPr>
          <w:rFonts w:cs="Arial"/>
          <w:sz w:val="22"/>
          <w:szCs w:val="22"/>
        </w:rPr>
        <w:t>s</w:t>
      </w:r>
      <w:r w:rsidR="003B75EF">
        <w:rPr>
          <w:rFonts w:cs="Arial"/>
          <w:sz w:val="22"/>
          <w:szCs w:val="22"/>
        </w:rPr>
        <w:t xml:space="preserve">, and </w:t>
      </w:r>
      <w:r w:rsidR="000C43C4">
        <w:rPr>
          <w:rFonts w:cs="Arial"/>
          <w:sz w:val="22"/>
          <w:szCs w:val="22"/>
        </w:rPr>
        <w:t xml:space="preserve">of </w:t>
      </w:r>
      <w:r w:rsidR="003B75EF">
        <w:rPr>
          <w:rFonts w:cs="Arial"/>
          <w:sz w:val="22"/>
          <w:szCs w:val="22"/>
        </w:rPr>
        <w:t xml:space="preserve">our </w:t>
      </w:r>
      <w:r>
        <w:rPr>
          <w:rFonts w:cs="Arial"/>
          <w:sz w:val="22"/>
          <w:szCs w:val="22"/>
        </w:rPr>
        <w:t>Banded M</w:t>
      </w:r>
      <w:r w:rsidR="003B75EF" w:rsidRPr="003B75EF">
        <w:rPr>
          <w:rFonts w:cs="Arial"/>
          <w:sz w:val="22"/>
          <w:szCs w:val="22"/>
        </w:rPr>
        <w:t>odel</w:t>
      </w:r>
      <w:r w:rsidR="003B75EF">
        <w:rPr>
          <w:rFonts w:cs="Arial"/>
          <w:sz w:val="22"/>
          <w:szCs w:val="22"/>
        </w:rPr>
        <w:t>,</w:t>
      </w:r>
      <w:r w:rsidR="00A47365">
        <w:rPr>
          <w:rFonts w:cs="Arial"/>
          <w:sz w:val="22"/>
          <w:szCs w:val="22"/>
        </w:rPr>
        <w:t xml:space="preserve"> are</w:t>
      </w:r>
      <w:r w:rsidR="00420C64">
        <w:rPr>
          <w:rFonts w:cs="Arial"/>
          <w:sz w:val="22"/>
          <w:szCs w:val="22"/>
        </w:rPr>
        <w:t xml:space="preserve"> </w:t>
      </w:r>
      <w:r w:rsidR="00D35D20">
        <w:rPr>
          <w:rFonts w:cs="Arial"/>
          <w:sz w:val="22"/>
          <w:szCs w:val="22"/>
        </w:rPr>
        <w:t>that these help promote consistency and transparency</w:t>
      </w:r>
      <w:r w:rsidR="00A47365">
        <w:rPr>
          <w:rFonts w:cs="Arial"/>
          <w:sz w:val="22"/>
          <w:szCs w:val="22"/>
        </w:rPr>
        <w:t>, reduce complication</w:t>
      </w:r>
      <w:r w:rsidR="000C43C4">
        <w:rPr>
          <w:rFonts w:cs="Arial"/>
          <w:sz w:val="22"/>
          <w:szCs w:val="22"/>
        </w:rPr>
        <w:t>, support</w:t>
      </w:r>
      <w:r w:rsidR="00317362">
        <w:rPr>
          <w:rFonts w:cs="Arial"/>
          <w:sz w:val="22"/>
          <w:szCs w:val="22"/>
        </w:rPr>
        <w:t xml:space="preserve"> the quick assessment and release of funds, whilst also</w:t>
      </w:r>
      <w:r w:rsidR="00420C64">
        <w:rPr>
          <w:rFonts w:cs="Arial"/>
          <w:sz w:val="22"/>
          <w:szCs w:val="22"/>
        </w:rPr>
        <w:t xml:space="preserve"> </w:t>
      </w:r>
      <w:r w:rsidR="00317362">
        <w:rPr>
          <w:rFonts w:cs="Arial"/>
          <w:sz w:val="22"/>
          <w:szCs w:val="22"/>
        </w:rPr>
        <w:t>enabling</w:t>
      </w:r>
      <w:r w:rsidR="003B75EF" w:rsidRPr="003B75EF">
        <w:rPr>
          <w:rFonts w:cs="Arial"/>
          <w:sz w:val="22"/>
          <w:szCs w:val="22"/>
        </w:rPr>
        <w:t xml:space="preserve"> the </w:t>
      </w:r>
      <w:r w:rsidR="003B75EF">
        <w:rPr>
          <w:rFonts w:cs="Arial"/>
          <w:sz w:val="22"/>
          <w:szCs w:val="22"/>
        </w:rPr>
        <w:t xml:space="preserve">SEND </w:t>
      </w:r>
      <w:r w:rsidR="00317362">
        <w:rPr>
          <w:rFonts w:cs="Arial"/>
          <w:sz w:val="22"/>
          <w:szCs w:val="22"/>
        </w:rPr>
        <w:t>Panel to find a ‘close</w:t>
      </w:r>
      <w:r w:rsidR="00B04342">
        <w:rPr>
          <w:rFonts w:cs="Arial"/>
          <w:sz w:val="22"/>
          <w:szCs w:val="22"/>
        </w:rPr>
        <w:t xml:space="preserve"> fit’ for</w:t>
      </w:r>
      <w:r w:rsidR="003B75EF" w:rsidRPr="003B75EF">
        <w:rPr>
          <w:rFonts w:cs="Arial"/>
          <w:sz w:val="22"/>
          <w:szCs w:val="22"/>
        </w:rPr>
        <w:t xml:space="preserve"> funding</w:t>
      </w:r>
      <w:r w:rsidR="009506FA">
        <w:rPr>
          <w:rFonts w:cs="Arial"/>
          <w:sz w:val="22"/>
          <w:szCs w:val="22"/>
        </w:rPr>
        <w:t xml:space="preserve"> the needs of a</w:t>
      </w:r>
      <w:r w:rsidR="00545173">
        <w:rPr>
          <w:rFonts w:cs="Arial"/>
          <w:sz w:val="22"/>
          <w:szCs w:val="22"/>
        </w:rPr>
        <w:t>n individual</w:t>
      </w:r>
      <w:r w:rsidR="009506FA">
        <w:rPr>
          <w:rFonts w:cs="Arial"/>
          <w:sz w:val="22"/>
          <w:szCs w:val="22"/>
        </w:rPr>
        <w:t xml:space="preserve"> child or young person</w:t>
      </w:r>
      <w:r w:rsidR="000E2966">
        <w:rPr>
          <w:rFonts w:cs="Arial"/>
          <w:sz w:val="22"/>
          <w:szCs w:val="22"/>
        </w:rPr>
        <w:t xml:space="preserve"> with an EHCP</w:t>
      </w:r>
      <w:r w:rsidR="009506FA">
        <w:rPr>
          <w:rFonts w:cs="Arial"/>
          <w:sz w:val="22"/>
          <w:szCs w:val="22"/>
        </w:rPr>
        <w:t>.</w:t>
      </w:r>
    </w:p>
    <w:p w:rsidR="006675AF" w:rsidRPr="007642E8" w:rsidRDefault="00BD0097" w:rsidP="000F5D3C">
      <w:pPr>
        <w:spacing w:after="200" w:line="276" w:lineRule="auto"/>
        <w:jc w:val="both"/>
        <w:rPr>
          <w:rFonts w:cs="Arial"/>
          <w:sz w:val="22"/>
          <w:szCs w:val="22"/>
        </w:rPr>
      </w:pPr>
      <w:r w:rsidRPr="007642E8">
        <w:rPr>
          <w:rFonts w:cs="Arial"/>
          <w:sz w:val="22"/>
          <w:szCs w:val="22"/>
        </w:rPr>
        <w:t>1.5</w:t>
      </w:r>
      <w:r w:rsidR="007642E8" w:rsidRPr="007642E8">
        <w:rPr>
          <w:rFonts w:cs="Arial"/>
          <w:sz w:val="22"/>
          <w:szCs w:val="22"/>
        </w:rPr>
        <w:t xml:space="preserve"> In continuing to use </w:t>
      </w:r>
      <w:r w:rsidR="008763CA">
        <w:rPr>
          <w:rFonts w:cs="Arial"/>
          <w:sz w:val="22"/>
          <w:szCs w:val="22"/>
        </w:rPr>
        <w:t>our</w:t>
      </w:r>
      <w:r w:rsidR="007642E8" w:rsidRPr="007642E8">
        <w:rPr>
          <w:rFonts w:cs="Arial"/>
          <w:sz w:val="22"/>
          <w:szCs w:val="22"/>
        </w:rPr>
        <w:t xml:space="preserve"> Banded M</w:t>
      </w:r>
      <w:r w:rsidRPr="007642E8">
        <w:rPr>
          <w:rFonts w:cs="Arial"/>
          <w:sz w:val="22"/>
          <w:szCs w:val="22"/>
        </w:rPr>
        <w:t>odel</w:t>
      </w:r>
      <w:r w:rsidR="00933B99">
        <w:rPr>
          <w:rFonts w:cs="Arial"/>
          <w:sz w:val="22"/>
          <w:szCs w:val="22"/>
        </w:rPr>
        <w:t xml:space="preserve"> in 2023/24</w:t>
      </w:r>
      <w:r w:rsidRPr="007642E8">
        <w:rPr>
          <w:rFonts w:cs="Arial"/>
          <w:sz w:val="22"/>
          <w:szCs w:val="22"/>
        </w:rPr>
        <w:t xml:space="preserve">, the Council’s intention is still to retain </w:t>
      </w:r>
      <w:r w:rsidR="00F3262F" w:rsidRPr="007642E8">
        <w:rPr>
          <w:rFonts w:cs="Arial"/>
          <w:sz w:val="22"/>
          <w:szCs w:val="22"/>
        </w:rPr>
        <w:t>a</w:t>
      </w:r>
      <w:r w:rsidRPr="007642E8">
        <w:rPr>
          <w:rFonts w:cs="Arial"/>
          <w:sz w:val="22"/>
          <w:szCs w:val="22"/>
        </w:rPr>
        <w:t xml:space="preserve"> uniform framework for calculating top-up funding for EHCPs. The Council’s expectation continues to be that this framework will enable a close fit to be found for the funding of the vast majority of EHCPs and will ensure consistency of approach in the funding of high needs across mainstream and specialist settings both pre and post 16. It is accepted that there will be a small number of children or young people that will si</w:t>
      </w:r>
      <w:r w:rsidR="00B04342" w:rsidRPr="007642E8">
        <w:rPr>
          <w:rFonts w:cs="Arial"/>
          <w:sz w:val="22"/>
          <w:szCs w:val="22"/>
        </w:rPr>
        <w:t>t outside this banded framework,</w:t>
      </w:r>
      <w:r w:rsidRPr="007642E8">
        <w:rPr>
          <w:rFonts w:cs="Arial"/>
          <w:sz w:val="22"/>
          <w:szCs w:val="22"/>
        </w:rPr>
        <w:t xml:space="preserve"> most of whom will be placed in sp</w:t>
      </w:r>
      <w:r w:rsidR="006675AF" w:rsidRPr="007642E8">
        <w:rPr>
          <w:rFonts w:cs="Arial"/>
          <w:sz w:val="22"/>
          <w:szCs w:val="22"/>
        </w:rPr>
        <w:t>ecialist independent provisions.</w:t>
      </w:r>
    </w:p>
    <w:p w:rsidR="007642E8" w:rsidRPr="000F5D3C" w:rsidRDefault="007642E8" w:rsidP="000F5D3C">
      <w:pPr>
        <w:spacing w:after="200" w:line="276" w:lineRule="auto"/>
        <w:jc w:val="both"/>
        <w:rPr>
          <w:rFonts w:cs="Arial"/>
          <w:sz w:val="22"/>
          <w:szCs w:val="22"/>
        </w:rPr>
      </w:pPr>
      <w:r w:rsidRPr="007642E8">
        <w:rPr>
          <w:rFonts w:cs="Arial"/>
          <w:sz w:val="22"/>
          <w:szCs w:val="22"/>
        </w:rPr>
        <w:t xml:space="preserve">1.6 </w:t>
      </w:r>
      <w:r w:rsidR="008763CA">
        <w:rPr>
          <w:rFonts w:cs="Arial"/>
          <w:sz w:val="22"/>
          <w:szCs w:val="22"/>
        </w:rPr>
        <w:t>W</w:t>
      </w:r>
      <w:r w:rsidRPr="007642E8">
        <w:rPr>
          <w:rFonts w:cs="Arial"/>
          <w:sz w:val="22"/>
          <w:szCs w:val="22"/>
        </w:rPr>
        <w:t>e are not proposing technical ch</w:t>
      </w:r>
      <w:r w:rsidR="008763CA">
        <w:rPr>
          <w:rFonts w:cs="Arial"/>
          <w:sz w:val="22"/>
          <w:szCs w:val="22"/>
        </w:rPr>
        <w:t>anges to our Banded M</w:t>
      </w:r>
      <w:r w:rsidR="00933B99">
        <w:rPr>
          <w:rFonts w:cs="Arial"/>
          <w:sz w:val="22"/>
          <w:szCs w:val="22"/>
        </w:rPr>
        <w:t>odel in 2023/24</w:t>
      </w:r>
      <w:r w:rsidRPr="007642E8">
        <w:rPr>
          <w:rFonts w:cs="Arial"/>
          <w:sz w:val="22"/>
          <w:szCs w:val="22"/>
        </w:rPr>
        <w:t>. We</w:t>
      </w:r>
      <w:r>
        <w:rPr>
          <w:rFonts w:cs="Arial"/>
          <w:sz w:val="22"/>
          <w:szCs w:val="22"/>
        </w:rPr>
        <w:t xml:space="preserve"> </w:t>
      </w:r>
      <w:r w:rsidR="008763CA">
        <w:rPr>
          <w:rFonts w:cs="Arial"/>
          <w:sz w:val="22"/>
          <w:szCs w:val="22"/>
        </w:rPr>
        <w:t xml:space="preserve">do </w:t>
      </w:r>
      <w:r>
        <w:rPr>
          <w:rFonts w:cs="Arial"/>
          <w:sz w:val="22"/>
          <w:szCs w:val="22"/>
        </w:rPr>
        <w:t>propose</w:t>
      </w:r>
      <w:r w:rsidR="008763CA">
        <w:rPr>
          <w:rFonts w:cs="Arial"/>
          <w:sz w:val="22"/>
          <w:szCs w:val="22"/>
        </w:rPr>
        <w:t xml:space="preserve"> however, </w:t>
      </w:r>
      <w:r w:rsidRPr="000F5D3C">
        <w:rPr>
          <w:rFonts w:cs="Arial"/>
          <w:sz w:val="22"/>
          <w:szCs w:val="22"/>
        </w:rPr>
        <w:t xml:space="preserve">to uplift </w:t>
      </w:r>
      <w:r w:rsidR="001A56DC">
        <w:rPr>
          <w:rFonts w:cs="Arial"/>
          <w:sz w:val="22"/>
          <w:szCs w:val="22"/>
        </w:rPr>
        <w:t xml:space="preserve">the </w:t>
      </w:r>
      <w:r w:rsidRPr="000F5D3C">
        <w:rPr>
          <w:rFonts w:cs="Arial"/>
          <w:sz w:val="22"/>
          <w:szCs w:val="22"/>
        </w:rPr>
        <w:t xml:space="preserve">rates of </w:t>
      </w:r>
      <w:r w:rsidR="00D32993">
        <w:rPr>
          <w:rFonts w:cs="Arial"/>
          <w:sz w:val="22"/>
          <w:szCs w:val="22"/>
        </w:rPr>
        <w:t>top-up</w:t>
      </w:r>
      <w:r w:rsidR="008763CA" w:rsidRPr="000F5D3C">
        <w:rPr>
          <w:rFonts w:cs="Arial"/>
          <w:sz w:val="22"/>
          <w:szCs w:val="22"/>
        </w:rPr>
        <w:t xml:space="preserve"> </w:t>
      </w:r>
      <w:r w:rsidRPr="000F5D3C">
        <w:rPr>
          <w:rFonts w:cs="Arial"/>
          <w:sz w:val="22"/>
          <w:szCs w:val="22"/>
        </w:rPr>
        <w:t>funding</w:t>
      </w:r>
      <w:r w:rsidR="00301FD8" w:rsidRPr="000F5D3C">
        <w:rPr>
          <w:rFonts w:cs="Arial"/>
          <w:sz w:val="22"/>
          <w:szCs w:val="22"/>
        </w:rPr>
        <w:t xml:space="preserve"> that this model allocates</w:t>
      </w:r>
      <w:r w:rsidR="008763CA" w:rsidRPr="000F5D3C">
        <w:rPr>
          <w:rFonts w:cs="Arial"/>
          <w:sz w:val="22"/>
          <w:szCs w:val="22"/>
        </w:rPr>
        <w:t xml:space="preserve">. </w:t>
      </w:r>
      <w:r w:rsidR="008763CA" w:rsidRPr="00CA245F">
        <w:rPr>
          <w:rFonts w:cs="Arial"/>
          <w:color w:val="000000" w:themeColor="text1"/>
          <w:sz w:val="22"/>
          <w:szCs w:val="22"/>
        </w:rPr>
        <w:t>P</w:t>
      </w:r>
      <w:r w:rsidRPr="00CA245F">
        <w:rPr>
          <w:rFonts w:cs="Arial"/>
          <w:color w:val="000000" w:themeColor="text1"/>
          <w:sz w:val="22"/>
          <w:szCs w:val="22"/>
        </w:rPr>
        <w:t xml:space="preserve">lease see </w:t>
      </w:r>
      <w:r w:rsidR="00D1596F" w:rsidRPr="00CA245F">
        <w:rPr>
          <w:rFonts w:cs="Arial"/>
          <w:color w:val="000000" w:themeColor="text1"/>
          <w:sz w:val="22"/>
          <w:szCs w:val="22"/>
        </w:rPr>
        <w:t>section</w:t>
      </w:r>
      <w:r w:rsidRPr="00CA245F">
        <w:rPr>
          <w:rFonts w:cs="Arial"/>
          <w:color w:val="000000" w:themeColor="text1"/>
          <w:sz w:val="22"/>
          <w:szCs w:val="22"/>
        </w:rPr>
        <w:t xml:space="preserve"> </w:t>
      </w:r>
      <w:r w:rsidR="008763CA" w:rsidRPr="00CA245F">
        <w:rPr>
          <w:rFonts w:cs="Arial"/>
          <w:color w:val="000000" w:themeColor="text1"/>
          <w:sz w:val="22"/>
          <w:szCs w:val="22"/>
        </w:rPr>
        <w:t>6</w:t>
      </w:r>
      <w:r w:rsidRPr="00CA245F">
        <w:rPr>
          <w:rFonts w:cs="Arial"/>
          <w:color w:val="000000" w:themeColor="text1"/>
          <w:sz w:val="22"/>
          <w:szCs w:val="22"/>
        </w:rPr>
        <w:t xml:space="preserve"> for </w:t>
      </w:r>
      <w:r w:rsidRPr="000F5D3C">
        <w:rPr>
          <w:rFonts w:cs="Arial"/>
          <w:sz w:val="22"/>
          <w:szCs w:val="22"/>
        </w:rPr>
        <w:t>explanation</w:t>
      </w:r>
      <w:r w:rsidR="001A56DC">
        <w:rPr>
          <w:rFonts w:cs="Arial"/>
          <w:sz w:val="22"/>
          <w:szCs w:val="22"/>
        </w:rPr>
        <w:t xml:space="preserve"> of the uplifted values that are proposed</w:t>
      </w:r>
      <w:r w:rsidRPr="000F5D3C">
        <w:rPr>
          <w:rFonts w:cs="Arial"/>
          <w:sz w:val="22"/>
          <w:szCs w:val="22"/>
        </w:rPr>
        <w:t>. Below is a summary of how the Banded Model operates.</w:t>
      </w:r>
    </w:p>
    <w:p w:rsidR="007642E8" w:rsidRPr="007642E8" w:rsidRDefault="007642E8" w:rsidP="00355873">
      <w:pPr>
        <w:jc w:val="both"/>
        <w:rPr>
          <w:b/>
          <w:sz w:val="22"/>
          <w:szCs w:val="22"/>
        </w:rPr>
      </w:pPr>
    </w:p>
    <w:p w:rsidR="003B75EF" w:rsidRPr="00F3262F" w:rsidRDefault="00F3262F" w:rsidP="00355873">
      <w:pPr>
        <w:spacing w:after="200" w:line="276" w:lineRule="auto"/>
        <w:rPr>
          <w:rFonts w:cs="Arial"/>
          <w:b/>
          <w:sz w:val="22"/>
          <w:szCs w:val="22"/>
          <w:u w:val="single"/>
        </w:rPr>
      </w:pPr>
      <w:r w:rsidRPr="00F3262F">
        <w:rPr>
          <w:rFonts w:cs="Arial"/>
          <w:b/>
          <w:sz w:val="22"/>
          <w:szCs w:val="22"/>
          <w:u w:val="single"/>
        </w:rPr>
        <w:t>The Banded Model</w:t>
      </w:r>
      <w:r w:rsidR="00933B99">
        <w:rPr>
          <w:rFonts w:cs="Arial"/>
          <w:b/>
          <w:sz w:val="22"/>
          <w:szCs w:val="22"/>
          <w:u w:val="single"/>
        </w:rPr>
        <w:t xml:space="preserve"> 2023/24</w:t>
      </w:r>
    </w:p>
    <w:p w:rsidR="003B75EF" w:rsidRPr="00F3262F" w:rsidRDefault="00967573" w:rsidP="00355873">
      <w:pPr>
        <w:spacing w:after="200" w:line="276" w:lineRule="auto"/>
        <w:jc w:val="both"/>
        <w:rPr>
          <w:rFonts w:cs="Arial"/>
          <w:sz w:val="22"/>
          <w:szCs w:val="22"/>
        </w:rPr>
      </w:pPr>
      <w:r>
        <w:rPr>
          <w:rFonts w:cs="Arial"/>
          <w:sz w:val="22"/>
          <w:szCs w:val="22"/>
        </w:rPr>
        <w:t xml:space="preserve">2.1 </w:t>
      </w:r>
      <w:r w:rsidR="00B04342">
        <w:rPr>
          <w:rFonts w:cs="Arial"/>
          <w:sz w:val="22"/>
          <w:szCs w:val="22"/>
        </w:rPr>
        <w:t xml:space="preserve">The </w:t>
      </w:r>
      <w:r w:rsidR="007642E8">
        <w:rPr>
          <w:rFonts w:cs="Arial"/>
          <w:sz w:val="22"/>
          <w:szCs w:val="22"/>
        </w:rPr>
        <w:t>Banded Model</w:t>
      </w:r>
      <w:r w:rsidR="00B04342">
        <w:rPr>
          <w:rFonts w:cs="Arial"/>
          <w:sz w:val="22"/>
          <w:szCs w:val="22"/>
        </w:rPr>
        <w:t xml:space="preserve"> use</w:t>
      </w:r>
      <w:r w:rsidR="007642E8">
        <w:rPr>
          <w:rFonts w:cs="Arial"/>
          <w:sz w:val="22"/>
          <w:szCs w:val="22"/>
        </w:rPr>
        <w:t>s</w:t>
      </w:r>
      <w:r w:rsidR="00B04342">
        <w:rPr>
          <w:rFonts w:cs="Arial"/>
          <w:sz w:val="22"/>
          <w:szCs w:val="22"/>
        </w:rPr>
        <w:t xml:space="preserve"> </w:t>
      </w:r>
      <w:r w:rsidR="006675AF">
        <w:rPr>
          <w:rFonts w:cs="Arial"/>
          <w:sz w:val="22"/>
          <w:szCs w:val="22"/>
        </w:rPr>
        <w:t>at its base</w:t>
      </w:r>
      <w:r w:rsidR="00C51158">
        <w:rPr>
          <w:rFonts w:cs="Arial"/>
          <w:sz w:val="22"/>
          <w:szCs w:val="22"/>
        </w:rPr>
        <w:t xml:space="preserve"> </w:t>
      </w:r>
      <w:r w:rsidR="00B04342">
        <w:rPr>
          <w:rFonts w:cs="Arial"/>
          <w:sz w:val="22"/>
          <w:szCs w:val="22"/>
        </w:rPr>
        <w:t>the</w:t>
      </w:r>
      <w:r w:rsidR="003B75EF" w:rsidRPr="00F3262F">
        <w:rPr>
          <w:rFonts w:cs="Arial"/>
          <w:sz w:val="22"/>
          <w:szCs w:val="22"/>
        </w:rPr>
        <w:t xml:space="preserve"> </w:t>
      </w:r>
      <w:hyperlink r:id="rId24" w:history="1">
        <w:r w:rsidR="003B75EF" w:rsidRPr="00CE0A5F">
          <w:rPr>
            <w:rStyle w:val="Hyperlink"/>
            <w:rFonts w:cs="Arial"/>
            <w:sz w:val="22"/>
            <w:szCs w:val="22"/>
          </w:rPr>
          <w:t>Bradford Matrix of Need</w:t>
        </w:r>
      </w:hyperlink>
      <w:r w:rsidR="00AC064E">
        <w:rPr>
          <w:rFonts w:cs="Arial"/>
          <w:sz w:val="22"/>
          <w:szCs w:val="22"/>
        </w:rPr>
        <w:t>,</w:t>
      </w:r>
      <w:r w:rsidR="00CE0A5F">
        <w:rPr>
          <w:rFonts w:cs="Arial"/>
          <w:sz w:val="22"/>
          <w:szCs w:val="22"/>
        </w:rPr>
        <w:t xml:space="preserve"> which outlines waves of</w:t>
      </w:r>
      <w:r w:rsidR="007D587E">
        <w:rPr>
          <w:rFonts w:cs="Arial"/>
          <w:sz w:val="22"/>
          <w:szCs w:val="22"/>
        </w:rPr>
        <w:t xml:space="preserve"> intervention</w:t>
      </w:r>
      <w:r w:rsidR="00AC064E">
        <w:rPr>
          <w:rFonts w:cs="Arial"/>
          <w:sz w:val="22"/>
          <w:szCs w:val="22"/>
        </w:rPr>
        <w:t>:</w:t>
      </w:r>
    </w:p>
    <w:p w:rsidR="003B75EF" w:rsidRPr="001A56DC" w:rsidRDefault="003B75EF" w:rsidP="000651A2">
      <w:pPr>
        <w:pStyle w:val="ListParagraph"/>
        <w:numPr>
          <w:ilvl w:val="0"/>
          <w:numId w:val="11"/>
        </w:numPr>
        <w:spacing w:after="200" w:line="276" w:lineRule="auto"/>
        <w:ind w:left="360"/>
        <w:jc w:val="both"/>
        <w:rPr>
          <w:rFonts w:cs="Arial"/>
          <w:sz w:val="22"/>
          <w:szCs w:val="22"/>
        </w:rPr>
      </w:pPr>
      <w:r w:rsidRPr="001A56DC">
        <w:rPr>
          <w:rFonts w:cs="Arial"/>
          <w:sz w:val="22"/>
          <w:szCs w:val="22"/>
        </w:rPr>
        <w:t>Band 1 (Quality First Teaching)</w:t>
      </w:r>
    </w:p>
    <w:p w:rsidR="003B75EF" w:rsidRPr="001A56DC" w:rsidRDefault="003B75EF" w:rsidP="000651A2">
      <w:pPr>
        <w:pStyle w:val="ListParagraph"/>
        <w:numPr>
          <w:ilvl w:val="0"/>
          <w:numId w:val="11"/>
        </w:numPr>
        <w:spacing w:after="200" w:line="276" w:lineRule="auto"/>
        <w:ind w:left="360"/>
        <w:jc w:val="both"/>
        <w:rPr>
          <w:rFonts w:cs="Arial"/>
          <w:sz w:val="22"/>
          <w:szCs w:val="22"/>
        </w:rPr>
      </w:pPr>
      <w:r w:rsidRPr="001A56DC">
        <w:rPr>
          <w:rFonts w:cs="Arial"/>
          <w:sz w:val="22"/>
          <w:szCs w:val="22"/>
        </w:rPr>
        <w:t>Band 2 (SEND Support)</w:t>
      </w:r>
      <w:r w:rsidR="00DB4822" w:rsidRPr="001A56DC">
        <w:rPr>
          <w:rFonts w:cs="Arial"/>
          <w:sz w:val="22"/>
          <w:szCs w:val="22"/>
        </w:rPr>
        <w:t xml:space="preserve"> </w:t>
      </w:r>
    </w:p>
    <w:p w:rsidR="003B75EF" w:rsidRPr="001A56DC" w:rsidRDefault="003B75EF" w:rsidP="000651A2">
      <w:pPr>
        <w:pStyle w:val="ListParagraph"/>
        <w:numPr>
          <w:ilvl w:val="0"/>
          <w:numId w:val="11"/>
        </w:numPr>
        <w:spacing w:after="200" w:line="276" w:lineRule="auto"/>
        <w:ind w:left="360"/>
        <w:jc w:val="both"/>
        <w:rPr>
          <w:rFonts w:cs="Arial"/>
          <w:sz w:val="22"/>
          <w:szCs w:val="22"/>
        </w:rPr>
      </w:pPr>
      <w:r w:rsidRPr="001A56DC">
        <w:rPr>
          <w:rFonts w:cs="Arial"/>
          <w:sz w:val="22"/>
          <w:szCs w:val="22"/>
        </w:rPr>
        <w:t>Band 3 (EHCP) – typically mainstre</w:t>
      </w:r>
      <w:r w:rsidR="00DB4822" w:rsidRPr="001A56DC">
        <w:rPr>
          <w:rFonts w:cs="Arial"/>
          <w:sz w:val="22"/>
          <w:szCs w:val="22"/>
        </w:rPr>
        <w:t>am - this is the band at which E</w:t>
      </w:r>
      <w:r w:rsidRPr="001A56DC">
        <w:rPr>
          <w:rFonts w:cs="Arial"/>
          <w:sz w:val="22"/>
          <w:szCs w:val="22"/>
        </w:rPr>
        <w:t>lement 3 EHCP funding begins</w:t>
      </w:r>
    </w:p>
    <w:p w:rsidR="0041486C" w:rsidRPr="001A56DC" w:rsidRDefault="003B75EF" w:rsidP="000651A2">
      <w:pPr>
        <w:pStyle w:val="ListParagraph"/>
        <w:numPr>
          <w:ilvl w:val="0"/>
          <w:numId w:val="11"/>
        </w:numPr>
        <w:spacing w:after="200" w:line="276" w:lineRule="auto"/>
        <w:ind w:left="360"/>
        <w:jc w:val="both"/>
        <w:rPr>
          <w:rFonts w:cs="Arial"/>
          <w:sz w:val="22"/>
          <w:szCs w:val="22"/>
        </w:rPr>
      </w:pPr>
      <w:r w:rsidRPr="001A56DC">
        <w:rPr>
          <w:rFonts w:cs="Arial"/>
          <w:sz w:val="22"/>
          <w:szCs w:val="22"/>
        </w:rPr>
        <w:t>Band 4 (EHCP Plus) – typically specialist provision</w:t>
      </w:r>
    </w:p>
    <w:p w:rsidR="003B75EF" w:rsidRPr="001A56DC" w:rsidRDefault="00CE0A5F" w:rsidP="00355873">
      <w:pPr>
        <w:jc w:val="both"/>
        <w:rPr>
          <w:rFonts w:cs="Arial"/>
          <w:sz w:val="22"/>
          <w:szCs w:val="22"/>
        </w:rPr>
      </w:pPr>
      <w:r w:rsidRPr="001A56DC">
        <w:rPr>
          <w:rFonts w:cs="Arial"/>
          <w:sz w:val="22"/>
          <w:szCs w:val="22"/>
        </w:rPr>
        <w:t>This Matrix identifies the responsibilities of schools and providers in their use of already delegated funds</w:t>
      </w:r>
      <w:r w:rsidR="000E2966" w:rsidRPr="001A56DC">
        <w:rPr>
          <w:rFonts w:cs="Arial"/>
          <w:sz w:val="22"/>
          <w:szCs w:val="22"/>
        </w:rPr>
        <w:t xml:space="preserve"> in meeting</w:t>
      </w:r>
      <w:r w:rsidR="0041486C" w:rsidRPr="001A56DC">
        <w:rPr>
          <w:rFonts w:cs="Arial"/>
          <w:sz w:val="22"/>
          <w:szCs w:val="22"/>
        </w:rPr>
        <w:t xml:space="preserve"> the cost of support up to Band </w:t>
      </w:r>
      <w:r w:rsidR="000E2966" w:rsidRPr="001A56DC">
        <w:rPr>
          <w:rFonts w:cs="Arial"/>
          <w:sz w:val="22"/>
          <w:szCs w:val="22"/>
        </w:rPr>
        <w:t>3. It then identifies t</w:t>
      </w:r>
      <w:r w:rsidR="000A6DBF" w:rsidRPr="001A56DC">
        <w:rPr>
          <w:rFonts w:cs="Arial"/>
          <w:sz w:val="22"/>
          <w:szCs w:val="22"/>
        </w:rPr>
        <w:t>he point at which</w:t>
      </w:r>
      <w:r w:rsidR="000E2966" w:rsidRPr="001A56DC">
        <w:rPr>
          <w:rFonts w:cs="Arial"/>
          <w:sz w:val="22"/>
          <w:szCs w:val="22"/>
        </w:rPr>
        <w:t xml:space="preserve"> </w:t>
      </w:r>
      <w:r w:rsidR="00D32993">
        <w:rPr>
          <w:rFonts w:cs="Arial"/>
          <w:sz w:val="22"/>
          <w:szCs w:val="22"/>
        </w:rPr>
        <w:t>top-up</w:t>
      </w:r>
      <w:r w:rsidR="0041486C" w:rsidRPr="001A56DC">
        <w:rPr>
          <w:rFonts w:cs="Arial"/>
          <w:sz w:val="22"/>
          <w:szCs w:val="22"/>
        </w:rPr>
        <w:t xml:space="preserve"> f</w:t>
      </w:r>
      <w:r w:rsidR="00390086" w:rsidRPr="001A56DC">
        <w:rPr>
          <w:rFonts w:cs="Arial"/>
          <w:sz w:val="22"/>
          <w:szCs w:val="22"/>
        </w:rPr>
        <w:t>unding will begin in our model, which is EHCP Band 3</w:t>
      </w:r>
      <w:r w:rsidR="0041486C" w:rsidRPr="001A56DC">
        <w:rPr>
          <w:rFonts w:cs="Arial"/>
          <w:sz w:val="22"/>
          <w:szCs w:val="22"/>
        </w:rPr>
        <w:t>.</w:t>
      </w:r>
      <w:r w:rsidR="000E2966" w:rsidRPr="001A56DC">
        <w:rPr>
          <w:rFonts w:cs="Arial"/>
          <w:sz w:val="22"/>
          <w:szCs w:val="22"/>
        </w:rPr>
        <w:t xml:space="preserve"> </w:t>
      </w:r>
    </w:p>
    <w:p w:rsidR="00CE0A5F" w:rsidRPr="00CE0A5F" w:rsidRDefault="00CE0A5F" w:rsidP="00355873">
      <w:pPr>
        <w:jc w:val="both"/>
        <w:rPr>
          <w:rFonts w:cs="Arial"/>
          <w:sz w:val="22"/>
          <w:szCs w:val="22"/>
        </w:rPr>
      </w:pPr>
    </w:p>
    <w:p w:rsidR="000039A4" w:rsidRDefault="00623C6E" w:rsidP="00355873">
      <w:pPr>
        <w:spacing w:after="200" w:line="276" w:lineRule="auto"/>
        <w:jc w:val="both"/>
        <w:rPr>
          <w:rFonts w:cs="Arial"/>
          <w:sz w:val="22"/>
          <w:szCs w:val="22"/>
        </w:rPr>
      </w:pPr>
      <w:r>
        <w:rPr>
          <w:rFonts w:cs="Arial"/>
          <w:sz w:val="22"/>
          <w:szCs w:val="22"/>
        </w:rPr>
        <w:t xml:space="preserve">2.2 </w:t>
      </w:r>
      <w:r w:rsidR="007642E8">
        <w:rPr>
          <w:rFonts w:cs="Arial"/>
          <w:sz w:val="22"/>
          <w:szCs w:val="22"/>
        </w:rPr>
        <w:t xml:space="preserve">The </w:t>
      </w:r>
      <w:r>
        <w:rPr>
          <w:rFonts w:cs="Arial"/>
          <w:sz w:val="22"/>
          <w:szCs w:val="22"/>
        </w:rPr>
        <w:t xml:space="preserve">Banded Model has 6 bands and 6 </w:t>
      </w:r>
      <w:r w:rsidR="00F40218">
        <w:rPr>
          <w:rFonts w:cs="Arial"/>
          <w:sz w:val="22"/>
          <w:szCs w:val="22"/>
        </w:rPr>
        <w:t>funding steps</w:t>
      </w:r>
      <w:r w:rsidR="00DF0E19">
        <w:rPr>
          <w:rFonts w:cs="Arial"/>
          <w:sz w:val="22"/>
          <w:szCs w:val="22"/>
        </w:rPr>
        <w:t>, with values for 1</w:t>
      </w:r>
      <w:r w:rsidR="00933B99">
        <w:rPr>
          <w:rFonts w:cs="Arial"/>
          <w:sz w:val="22"/>
          <w:szCs w:val="22"/>
        </w:rPr>
        <w:t xml:space="preserve"> April 2023</w:t>
      </w:r>
      <w:r w:rsidR="000F4635">
        <w:rPr>
          <w:rFonts w:cs="Arial"/>
          <w:sz w:val="22"/>
          <w:szCs w:val="22"/>
        </w:rPr>
        <w:t xml:space="preserve"> proposed as set out in the ta</w:t>
      </w:r>
      <w:r w:rsidR="0043067C">
        <w:rPr>
          <w:rFonts w:cs="Arial"/>
          <w:sz w:val="22"/>
          <w:szCs w:val="22"/>
        </w:rPr>
        <w:t>b</w:t>
      </w:r>
      <w:r w:rsidR="000F4635">
        <w:rPr>
          <w:rFonts w:cs="Arial"/>
          <w:sz w:val="22"/>
          <w:szCs w:val="22"/>
        </w:rPr>
        <w:t>le below</w:t>
      </w:r>
      <w:r w:rsidR="000231F1">
        <w:rPr>
          <w:rFonts w:cs="Arial"/>
          <w:sz w:val="22"/>
          <w:szCs w:val="22"/>
        </w:rPr>
        <w:t xml:space="preserve"> (subject to the warnings given in paragraphs 1.6 and 1.7)</w:t>
      </w:r>
      <w:r w:rsidR="000F4635">
        <w:rPr>
          <w:rFonts w:cs="Arial"/>
          <w:sz w:val="22"/>
          <w:szCs w:val="22"/>
        </w:rPr>
        <w:t xml:space="preserve">. This table shows the proposed value of </w:t>
      </w:r>
      <w:r w:rsidR="00D32993">
        <w:rPr>
          <w:rFonts w:cs="Arial"/>
          <w:sz w:val="22"/>
          <w:szCs w:val="22"/>
        </w:rPr>
        <w:t>top-up</w:t>
      </w:r>
      <w:r w:rsidR="000F4635">
        <w:rPr>
          <w:rFonts w:cs="Arial"/>
          <w:sz w:val="22"/>
          <w:szCs w:val="22"/>
        </w:rPr>
        <w:t xml:space="preserve"> by band</w:t>
      </w:r>
      <w:r w:rsidR="00F40218">
        <w:rPr>
          <w:rFonts w:cs="Arial"/>
          <w:sz w:val="22"/>
          <w:szCs w:val="22"/>
        </w:rPr>
        <w:t xml:space="preserve"> and</w:t>
      </w:r>
      <w:r w:rsidR="000F33B5">
        <w:rPr>
          <w:rFonts w:cs="Arial"/>
          <w:sz w:val="22"/>
          <w:szCs w:val="22"/>
        </w:rPr>
        <w:t xml:space="preserve"> the value of E</w:t>
      </w:r>
      <w:r w:rsidR="000F4635">
        <w:rPr>
          <w:rFonts w:cs="Arial"/>
          <w:sz w:val="22"/>
          <w:szCs w:val="22"/>
        </w:rPr>
        <w:t xml:space="preserve">lement 2 </w:t>
      </w:r>
      <w:r w:rsidR="008763CA">
        <w:rPr>
          <w:rFonts w:cs="Arial"/>
          <w:sz w:val="22"/>
          <w:szCs w:val="22"/>
        </w:rPr>
        <w:t>contributions</w:t>
      </w:r>
      <w:r w:rsidR="000F4635">
        <w:rPr>
          <w:rFonts w:cs="Arial"/>
          <w:sz w:val="22"/>
          <w:szCs w:val="22"/>
        </w:rPr>
        <w:t>, which schools and provider</w:t>
      </w:r>
      <w:r w:rsidR="00F40218">
        <w:rPr>
          <w:rFonts w:cs="Arial"/>
          <w:sz w:val="22"/>
          <w:szCs w:val="22"/>
        </w:rPr>
        <w:t xml:space="preserve">s will add to the </w:t>
      </w:r>
      <w:r w:rsidR="00D32993">
        <w:rPr>
          <w:rFonts w:cs="Arial"/>
          <w:sz w:val="22"/>
          <w:szCs w:val="22"/>
        </w:rPr>
        <w:t>top-up</w:t>
      </w:r>
      <w:r w:rsidR="00F40218">
        <w:rPr>
          <w:rFonts w:cs="Arial"/>
          <w:sz w:val="22"/>
          <w:szCs w:val="22"/>
        </w:rPr>
        <w:t xml:space="preserve"> </w:t>
      </w:r>
      <w:r w:rsidR="0043067C">
        <w:rPr>
          <w:rFonts w:cs="Arial"/>
          <w:sz w:val="22"/>
          <w:szCs w:val="22"/>
        </w:rPr>
        <w:t xml:space="preserve">from their budgets </w:t>
      </w:r>
      <w:r w:rsidR="00F40218">
        <w:rPr>
          <w:rFonts w:cs="Arial"/>
          <w:sz w:val="22"/>
          <w:szCs w:val="22"/>
        </w:rPr>
        <w:t>to</w:t>
      </w:r>
      <w:r w:rsidR="000F4635">
        <w:rPr>
          <w:rFonts w:cs="Arial"/>
          <w:sz w:val="22"/>
          <w:szCs w:val="22"/>
        </w:rPr>
        <w:t xml:space="preserve"> produce the total value of funding available for supporting the costs of an EHCP.</w:t>
      </w:r>
    </w:p>
    <w:p w:rsidR="000F4635" w:rsidRDefault="00390086" w:rsidP="00355873">
      <w:pPr>
        <w:spacing w:after="200" w:line="276" w:lineRule="auto"/>
        <w:jc w:val="both"/>
        <w:rPr>
          <w:rFonts w:cs="Arial"/>
          <w:sz w:val="22"/>
          <w:szCs w:val="22"/>
        </w:rPr>
      </w:pPr>
      <w:r>
        <w:rPr>
          <w:rFonts w:cs="Arial"/>
          <w:sz w:val="22"/>
          <w:szCs w:val="22"/>
        </w:rPr>
        <w:t xml:space="preserve">In all steps within the </w:t>
      </w:r>
      <w:r w:rsidR="00D90A7F">
        <w:rPr>
          <w:rFonts w:cs="Arial"/>
          <w:sz w:val="22"/>
          <w:szCs w:val="22"/>
        </w:rPr>
        <w:t xml:space="preserve">model </w:t>
      </w:r>
      <w:r w:rsidR="00D90A7F" w:rsidRPr="000F4635">
        <w:rPr>
          <w:rFonts w:cs="Arial"/>
          <w:sz w:val="22"/>
          <w:szCs w:val="22"/>
        </w:rPr>
        <w:t>the</w:t>
      </w:r>
      <w:r w:rsidR="000F4635" w:rsidRPr="000F4635">
        <w:rPr>
          <w:rFonts w:cs="Arial"/>
          <w:sz w:val="22"/>
          <w:szCs w:val="22"/>
        </w:rPr>
        <w:t xml:space="preserve"> school / provider, with the excepti</w:t>
      </w:r>
      <w:r w:rsidR="000F4635">
        <w:rPr>
          <w:rFonts w:cs="Arial"/>
          <w:sz w:val="22"/>
          <w:szCs w:val="22"/>
        </w:rPr>
        <w:t>on of EHCPs for 2, 3 and 4 year</w:t>
      </w:r>
      <w:r w:rsidR="000F4635" w:rsidRPr="000F4635">
        <w:rPr>
          <w:rFonts w:cs="Arial"/>
          <w:sz w:val="22"/>
          <w:szCs w:val="22"/>
        </w:rPr>
        <w:t xml:space="preserve"> olds (</w:t>
      </w:r>
      <w:r w:rsidR="000F4635">
        <w:rPr>
          <w:rFonts w:cs="Arial"/>
          <w:sz w:val="22"/>
          <w:szCs w:val="22"/>
        </w:rPr>
        <w:t xml:space="preserve">in </w:t>
      </w:r>
      <w:r w:rsidR="000F4635" w:rsidRPr="000F4635">
        <w:rPr>
          <w:rFonts w:cs="Arial"/>
          <w:sz w:val="22"/>
          <w:szCs w:val="22"/>
        </w:rPr>
        <w:t>pre-reception)</w:t>
      </w:r>
      <w:r w:rsidR="008553CE">
        <w:rPr>
          <w:rFonts w:cs="Arial"/>
          <w:sz w:val="22"/>
          <w:szCs w:val="22"/>
        </w:rPr>
        <w:t xml:space="preserve"> in mainstream not specialist provision</w:t>
      </w:r>
      <w:r w:rsidR="000F33B5">
        <w:rPr>
          <w:rFonts w:cs="Arial"/>
          <w:sz w:val="22"/>
          <w:szCs w:val="22"/>
        </w:rPr>
        <w:t>, is expected to contribute E</w:t>
      </w:r>
      <w:r w:rsidR="000F4635" w:rsidRPr="000F4635">
        <w:rPr>
          <w:rFonts w:cs="Arial"/>
          <w:sz w:val="22"/>
          <w:szCs w:val="22"/>
        </w:rPr>
        <w:t>lement 2 funding</w:t>
      </w:r>
      <w:r w:rsidR="0043067C">
        <w:rPr>
          <w:rFonts w:cs="Arial"/>
          <w:sz w:val="22"/>
          <w:szCs w:val="22"/>
        </w:rPr>
        <w:t>,</w:t>
      </w:r>
      <w:r w:rsidR="000F4635" w:rsidRPr="000F4635">
        <w:rPr>
          <w:rFonts w:cs="Arial"/>
          <w:sz w:val="22"/>
          <w:szCs w:val="22"/>
        </w:rPr>
        <w:t xml:space="preserve"> currently at a value of £6,000</w:t>
      </w:r>
      <w:r w:rsidR="00F40218">
        <w:rPr>
          <w:rFonts w:cs="Arial"/>
          <w:sz w:val="22"/>
          <w:szCs w:val="22"/>
        </w:rPr>
        <w:t xml:space="preserve"> per 1 FTE</w:t>
      </w:r>
      <w:r w:rsidR="0043067C">
        <w:rPr>
          <w:rFonts w:cs="Arial"/>
          <w:sz w:val="22"/>
          <w:szCs w:val="22"/>
        </w:rPr>
        <w:t>,</w:t>
      </w:r>
      <w:r w:rsidR="000F4635" w:rsidRPr="000F4635">
        <w:rPr>
          <w:rFonts w:cs="Arial"/>
          <w:sz w:val="22"/>
          <w:szCs w:val="22"/>
        </w:rPr>
        <w:t xml:space="preserve"> to the cost of</w:t>
      </w:r>
      <w:r w:rsidR="000F4635">
        <w:rPr>
          <w:rFonts w:cs="Arial"/>
          <w:sz w:val="22"/>
          <w:szCs w:val="22"/>
        </w:rPr>
        <w:t xml:space="preserve"> the</w:t>
      </w:r>
      <w:r w:rsidR="000F4635" w:rsidRPr="000F4635">
        <w:rPr>
          <w:rFonts w:cs="Arial"/>
          <w:sz w:val="22"/>
          <w:szCs w:val="22"/>
        </w:rPr>
        <w:t xml:space="preserve"> additional needs</w:t>
      </w:r>
      <w:r w:rsidR="000F4635">
        <w:rPr>
          <w:rFonts w:cs="Arial"/>
          <w:sz w:val="22"/>
          <w:szCs w:val="22"/>
        </w:rPr>
        <w:t xml:space="preserve"> set out in the EHCP</w:t>
      </w:r>
      <w:r w:rsidR="000F4635" w:rsidRPr="000F4635">
        <w:rPr>
          <w:rFonts w:cs="Arial"/>
          <w:sz w:val="22"/>
          <w:szCs w:val="22"/>
        </w:rPr>
        <w:t>.</w:t>
      </w:r>
      <w:r w:rsidR="000F4635">
        <w:rPr>
          <w:rFonts w:cs="Arial"/>
          <w:sz w:val="22"/>
          <w:szCs w:val="22"/>
        </w:rPr>
        <w:t xml:space="preserve"> For EHCPs for 2,</w:t>
      </w:r>
      <w:r w:rsidR="00B76B7C">
        <w:rPr>
          <w:rFonts w:cs="Arial"/>
          <w:sz w:val="22"/>
          <w:szCs w:val="22"/>
        </w:rPr>
        <w:t xml:space="preserve"> </w:t>
      </w:r>
      <w:r w:rsidR="000F4635">
        <w:rPr>
          <w:rFonts w:cs="Arial"/>
          <w:sz w:val="22"/>
          <w:szCs w:val="22"/>
        </w:rPr>
        <w:t>3 and 4 year olds (in pre-reception)</w:t>
      </w:r>
      <w:r w:rsidR="00724228">
        <w:rPr>
          <w:rFonts w:cs="Arial"/>
          <w:sz w:val="22"/>
          <w:szCs w:val="22"/>
        </w:rPr>
        <w:t xml:space="preserve"> in mainstream</w:t>
      </w:r>
      <w:r w:rsidR="008553CE">
        <w:rPr>
          <w:rFonts w:cs="Arial"/>
          <w:sz w:val="22"/>
          <w:szCs w:val="22"/>
        </w:rPr>
        <w:t xml:space="preserve"> not specialist provision</w:t>
      </w:r>
      <w:r w:rsidR="000F4635">
        <w:rPr>
          <w:rFonts w:cs="Arial"/>
          <w:sz w:val="22"/>
          <w:szCs w:val="22"/>
        </w:rPr>
        <w:t>, that are</w:t>
      </w:r>
      <w:r w:rsidR="00FA26BB">
        <w:rPr>
          <w:rFonts w:cs="Arial"/>
          <w:sz w:val="22"/>
          <w:szCs w:val="22"/>
        </w:rPr>
        <w:t xml:space="preserve"> only</w:t>
      </w:r>
      <w:r w:rsidR="000F4635">
        <w:rPr>
          <w:rFonts w:cs="Arial"/>
          <w:sz w:val="22"/>
          <w:szCs w:val="22"/>
        </w:rPr>
        <w:t xml:space="preserve"> funded through the Early Years Single Funding Formula (EYSFF), becau</w:t>
      </w:r>
      <w:r w:rsidR="000F33B5">
        <w:rPr>
          <w:rFonts w:cs="Arial"/>
          <w:sz w:val="22"/>
          <w:szCs w:val="22"/>
        </w:rPr>
        <w:t>se the EYSFF does not allocate Element 2 funding, E</w:t>
      </w:r>
      <w:r w:rsidR="000F4635">
        <w:rPr>
          <w:rFonts w:cs="Arial"/>
          <w:sz w:val="22"/>
          <w:szCs w:val="22"/>
        </w:rPr>
        <w:t xml:space="preserve">lement 2 </w:t>
      </w:r>
      <w:r w:rsidR="0043067C">
        <w:rPr>
          <w:rFonts w:cs="Arial"/>
          <w:sz w:val="22"/>
          <w:szCs w:val="22"/>
        </w:rPr>
        <w:t>is</w:t>
      </w:r>
      <w:r w:rsidR="000F4635">
        <w:rPr>
          <w:rFonts w:cs="Arial"/>
          <w:sz w:val="22"/>
          <w:szCs w:val="22"/>
        </w:rPr>
        <w:t xml:space="preserve"> allocated</w:t>
      </w:r>
      <w:r w:rsidR="006C68CF">
        <w:rPr>
          <w:rFonts w:cs="Arial"/>
          <w:sz w:val="22"/>
          <w:szCs w:val="22"/>
        </w:rPr>
        <w:t xml:space="preserve"> on an FTE basis</w:t>
      </w:r>
      <w:r w:rsidR="000F4635">
        <w:rPr>
          <w:rFonts w:cs="Arial"/>
          <w:sz w:val="22"/>
          <w:szCs w:val="22"/>
        </w:rPr>
        <w:t xml:space="preserve"> in addition to the </w:t>
      </w:r>
      <w:r w:rsidR="00D32993">
        <w:rPr>
          <w:rFonts w:cs="Arial"/>
          <w:sz w:val="22"/>
          <w:szCs w:val="22"/>
        </w:rPr>
        <w:t>top-up</w:t>
      </w:r>
      <w:r w:rsidR="000F4635">
        <w:rPr>
          <w:rFonts w:cs="Arial"/>
          <w:sz w:val="22"/>
          <w:szCs w:val="22"/>
        </w:rPr>
        <w:t xml:space="preserve"> value for these EHCPs until these children enter reception</w:t>
      </w:r>
      <w:r w:rsidR="00724228">
        <w:rPr>
          <w:rFonts w:cs="Arial"/>
          <w:sz w:val="22"/>
          <w:szCs w:val="22"/>
        </w:rPr>
        <w:t xml:space="preserve"> year. This </w:t>
      </w:r>
      <w:r w:rsidR="008553CE">
        <w:rPr>
          <w:rFonts w:cs="Arial"/>
          <w:sz w:val="22"/>
          <w:szCs w:val="22"/>
        </w:rPr>
        <w:t xml:space="preserve">addition </w:t>
      </w:r>
      <w:r w:rsidR="00724228">
        <w:rPr>
          <w:rFonts w:cs="Arial"/>
          <w:sz w:val="22"/>
          <w:szCs w:val="22"/>
        </w:rPr>
        <w:t>does not apply to early years children that are placed in special schools or in resourced provision</w:t>
      </w:r>
      <w:r w:rsidR="008553CE">
        <w:rPr>
          <w:rFonts w:cs="Arial"/>
          <w:sz w:val="22"/>
          <w:szCs w:val="22"/>
        </w:rPr>
        <w:t>s</w:t>
      </w:r>
      <w:r w:rsidR="00FA26BB">
        <w:rPr>
          <w:rFonts w:cs="Arial"/>
          <w:sz w:val="22"/>
          <w:szCs w:val="22"/>
        </w:rPr>
        <w:t xml:space="preserve"> as</w:t>
      </w:r>
      <w:r w:rsidR="00724228">
        <w:rPr>
          <w:rFonts w:cs="Arial"/>
          <w:sz w:val="22"/>
          <w:szCs w:val="22"/>
        </w:rPr>
        <w:t xml:space="preserve"> these</w:t>
      </w:r>
      <w:r w:rsidR="008553CE">
        <w:rPr>
          <w:rFonts w:cs="Arial"/>
          <w:sz w:val="22"/>
          <w:szCs w:val="22"/>
        </w:rPr>
        <w:t xml:space="preserve"> provisions</w:t>
      </w:r>
      <w:r w:rsidR="00724228">
        <w:rPr>
          <w:rFonts w:cs="Arial"/>
          <w:sz w:val="22"/>
          <w:szCs w:val="22"/>
        </w:rPr>
        <w:t xml:space="preserve"> are funded on a p</w:t>
      </w:r>
      <w:r w:rsidR="000F33B5">
        <w:rPr>
          <w:rFonts w:cs="Arial"/>
          <w:sz w:val="22"/>
          <w:szCs w:val="22"/>
        </w:rPr>
        <w:t>lace-led basis, which includes E</w:t>
      </w:r>
      <w:r w:rsidR="00724228">
        <w:rPr>
          <w:rFonts w:cs="Arial"/>
          <w:sz w:val="22"/>
          <w:szCs w:val="22"/>
        </w:rPr>
        <w:t>lement 2.</w:t>
      </w:r>
    </w:p>
    <w:tbl>
      <w:tblPr>
        <w:tblStyle w:val="TableGrid"/>
        <w:tblW w:w="0" w:type="auto"/>
        <w:tblLook w:val="04A0" w:firstRow="1" w:lastRow="0" w:firstColumn="1" w:lastColumn="0" w:noHBand="0" w:noVBand="1"/>
      </w:tblPr>
      <w:tblGrid>
        <w:gridCol w:w="2718"/>
        <w:gridCol w:w="2718"/>
        <w:gridCol w:w="2719"/>
        <w:gridCol w:w="2719"/>
      </w:tblGrid>
      <w:tr w:rsidR="000E2966" w:rsidRPr="0076284D" w:rsidTr="00355873">
        <w:tc>
          <w:tcPr>
            <w:tcW w:w="2718" w:type="dxa"/>
          </w:tcPr>
          <w:p w:rsidR="000E2966" w:rsidRPr="000F4635" w:rsidRDefault="000E2966" w:rsidP="000F4635">
            <w:pPr>
              <w:spacing w:after="200" w:line="276" w:lineRule="auto"/>
              <w:rPr>
                <w:rFonts w:cs="Arial"/>
                <w:b/>
                <w:sz w:val="22"/>
                <w:szCs w:val="22"/>
              </w:rPr>
            </w:pPr>
          </w:p>
        </w:tc>
        <w:tc>
          <w:tcPr>
            <w:tcW w:w="2718" w:type="dxa"/>
          </w:tcPr>
          <w:p w:rsidR="000E2966" w:rsidRPr="001A00C7" w:rsidRDefault="000E2966" w:rsidP="000F4635">
            <w:pPr>
              <w:spacing w:after="200" w:line="276" w:lineRule="auto"/>
              <w:jc w:val="right"/>
              <w:rPr>
                <w:rFonts w:cs="Arial"/>
                <w:b/>
                <w:color w:val="000000" w:themeColor="text1"/>
                <w:sz w:val="22"/>
                <w:szCs w:val="22"/>
              </w:rPr>
            </w:pPr>
            <w:r w:rsidRPr="001A00C7">
              <w:rPr>
                <w:rFonts w:cs="Arial"/>
                <w:b/>
                <w:color w:val="000000" w:themeColor="text1"/>
                <w:sz w:val="22"/>
                <w:szCs w:val="22"/>
              </w:rPr>
              <w:t xml:space="preserve">Proposed </w:t>
            </w:r>
            <w:r w:rsidR="008763CA" w:rsidRPr="001A00C7">
              <w:rPr>
                <w:rFonts w:cs="Arial"/>
                <w:b/>
                <w:color w:val="000000" w:themeColor="text1"/>
                <w:sz w:val="22"/>
                <w:szCs w:val="22"/>
              </w:rPr>
              <w:t xml:space="preserve">Indicative </w:t>
            </w:r>
            <w:r w:rsidR="00D32993" w:rsidRPr="001A00C7">
              <w:rPr>
                <w:rFonts w:cs="Arial"/>
                <w:b/>
                <w:color w:val="000000" w:themeColor="text1"/>
                <w:sz w:val="22"/>
                <w:szCs w:val="22"/>
              </w:rPr>
              <w:t>Top-up</w:t>
            </w:r>
            <w:r w:rsidRPr="001A00C7">
              <w:rPr>
                <w:rFonts w:cs="Arial"/>
                <w:b/>
                <w:color w:val="000000" w:themeColor="text1"/>
                <w:sz w:val="22"/>
                <w:szCs w:val="22"/>
              </w:rPr>
              <w:t xml:space="preserve"> Value</w:t>
            </w:r>
            <w:r w:rsidR="00712C24" w:rsidRPr="001A00C7">
              <w:rPr>
                <w:rFonts w:cs="Arial"/>
                <w:b/>
                <w:color w:val="000000" w:themeColor="text1"/>
                <w:sz w:val="22"/>
                <w:szCs w:val="22"/>
              </w:rPr>
              <w:t xml:space="preserve"> at </w:t>
            </w:r>
            <w:r w:rsidRPr="001A00C7">
              <w:rPr>
                <w:rFonts w:cs="Arial"/>
                <w:b/>
                <w:color w:val="000000" w:themeColor="text1"/>
                <w:sz w:val="22"/>
                <w:szCs w:val="22"/>
              </w:rPr>
              <w:t xml:space="preserve"> April 202</w:t>
            </w:r>
            <w:r w:rsidR="00933B99" w:rsidRPr="001A00C7">
              <w:rPr>
                <w:rFonts w:cs="Arial"/>
                <w:b/>
                <w:color w:val="000000" w:themeColor="text1"/>
                <w:sz w:val="22"/>
                <w:szCs w:val="22"/>
              </w:rPr>
              <w:t>3</w:t>
            </w:r>
          </w:p>
        </w:tc>
        <w:tc>
          <w:tcPr>
            <w:tcW w:w="2719" w:type="dxa"/>
          </w:tcPr>
          <w:p w:rsidR="000E2966" w:rsidRPr="000F4635" w:rsidRDefault="000E2966" w:rsidP="00712C24">
            <w:pPr>
              <w:spacing w:after="200" w:line="276" w:lineRule="auto"/>
              <w:jc w:val="right"/>
              <w:rPr>
                <w:rFonts w:cs="Arial"/>
                <w:b/>
                <w:sz w:val="22"/>
                <w:szCs w:val="22"/>
              </w:rPr>
            </w:pPr>
            <w:r w:rsidRPr="000F4635">
              <w:rPr>
                <w:rFonts w:cs="Arial"/>
                <w:b/>
                <w:sz w:val="22"/>
                <w:szCs w:val="22"/>
              </w:rPr>
              <w:t>Element 2 Value</w:t>
            </w:r>
            <w:r w:rsidR="00B76B7C">
              <w:rPr>
                <w:rFonts w:cs="Arial"/>
                <w:b/>
                <w:sz w:val="22"/>
                <w:szCs w:val="22"/>
              </w:rPr>
              <w:t xml:space="preserve"> FTE</w:t>
            </w:r>
            <w:r w:rsidR="00712C24">
              <w:rPr>
                <w:rFonts w:cs="Arial"/>
                <w:b/>
                <w:sz w:val="22"/>
                <w:szCs w:val="22"/>
              </w:rPr>
              <w:t xml:space="preserve"> the school / provider adds</w:t>
            </w:r>
          </w:p>
        </w:tc>
        <w:tc>
          <w:tcPr>
            <w:tcW w:w="2719" w:type="dxa"/>
          </w:tcPr>
          <w:p w:rsidR="000E2966" w:rsidRPr="0076284D" w:rsidRDefault="000F4635" w:rsidP="000F4635">
            <w:pPr>
              <w:spacing w:after="200" w:line="276" w:lineRule="auto"/>
              <w:jc w:val="right"/>
              <w:rPr>
                <w:rFonts w:cs="Arial"/>
                <w:b/>
                <w:color w:val="000000" w:themeColor="text1"/>
                <w:sz w:val="22"/>
                <w:szCs w:val="22"/>
              </w:rPr>
            </w:pPr>
            <w:r w:rsidRPr="0076284D">
              <w:rPr>
                <w:rFonts w:cs="Arial"/>
                <w:b/>
                <w:color w:val="000000" w:themeColor="text1"/>
                <w:sz w:val="22"/>
                <w:szCs w:val="22"/>
              </w:rPr>
              <w:t>Total Value of Funding</w:t>
            </w:r>
            <w:r w:rsidR="00712C24" w:rsidRPr="0076284D">
              <w:rPr>
                <w:rFonts w:cs="Arial"/>
                <w:b/>
                <w:color w:val="000000" w:themeColor="text1"/>
                <w:sz w:val="22"/>
                <w:szCs w:val="22"/>
              </w:rPr>
              <w:t xml:space="preserve"> to support the EHCP</w:t>
            </w:r>
          </w:p>
        </w:tc>
      </w:tr>
      <w:tr w:rsidR="00D90A7F" w:rsidTr="00355873">
        <w:tc>
          <w:tcPr>
            <w:tcW w:w="2718" w:type="dxa"/>
          </w:tcPr>
          <w:p w:rsidR="00D90A7F" w:rsidRPr="000F4635" w:rsidRDefault="00D90A7F" w:rsidP="00D90A7F">
            <w:pPr>
              <w:spacing w:after="200" w:line="276" w:lineRule="auto"/>
              <w:rPr>
                <w:rFonts w:cs="Arial"/>
                <w:b/>
                <w:sz w:val="22"/>
                <w:szCs w:val="22"/>
              </w:rPr>
            </w:pPr>
            <w:r w:rsidRPr="000F4635">
              <w:rPr>
                <w:rFonts w:cs="Arial"/>
                <w:b/>
                <w:sz w:val="22"/>
                <w:szCs w:val="22"/>
              </w:rPr>
              <w:t>Band 3 Low (3L)</w:t>
            </w:r>
          </w:p>
        </w:tc>
        <w:tc>
          <w:tcPr>
            <w:tcW w:w="2718" w:type="dxa"/>
          </w:tcPr>
          <w:p w:rsidR="00D90A7F" w:rsidRPr="001A00C7" w:rsidRDefault="001A00C7" w:rsidP="00D90A7F">
            <w:pPr>
              <w:pStyle w:val="ListParagraph"/>
              <w:ind w:left="0"/>
              <w:jc w:val="right"/>
              <w:rPr>
                <w:rFonts w:cs="Arial"/>
                <w:b/>
                <w:color w:val="000000" w:themeColor="text1"/>
                <w:sz w:val="22"/>
                <w:szCs w:val="22"/>
              </w:rPr>
            </w:pPr>
            <w:r w:rsidRPr="001A00C7">
              <w:rPr>
                <w:rFonts w:cs="Arial"/>
                <w:b/>
                <w:color w:val="000000" w:themeColor="text1"/>
                <w:sz w:val="22"/>
                <w:szCs w:val="22"/>
              </w:rPr>
              <w:t>£2,318</w:t>
            </w:r>
          </w:p>
        </w:tc>
        <w:tc>
          <w:tcPr>
            <w:tcW w:w="2719" w:type="dxa"/>
          </w:tcPr>
          <w:p w:rsidR="00D90A7F" w:rsidRPr="001A56DC" w:rsidRDefault="00D90A7F" w:rsidP="00D90A7F">
            <w:pPr>
              <w:spacing w:after="200" w:line="276" w:lineRule="auto"/>
              <w:jc w:val="right"/>
              <w:rPr>
                <w:rFonts w:cs="Arial"/>
                <w:sz w:val="22"/>
                <w:szCs w:val="22"/>
              </w:rPr>
            </w:pPr>
            <w:r w:rsidRPr="001A56DC">
              <w:rPr>
                <w:rFonts w:cs="Arial"/>
                <w:sz w:val="22"/>
                <w:szCs w:val="22"/>
              </w:rPr>
              <w:t>£6,000</w:t>
            </w:r>
          </w:p>
        </w:tc>
        <w:tc>
          <w:tcPr>
            <w:tcW w:w="2719" w:type="dxa"/>
          </w:tcPr>
          <w:p w:rsidR="00D90A7F" w:rsidRPr="001A56DC" w:rsidRDefault="001A00C7" w:rsidP="00D90A7F">
            <w:pPr>
              <w:pStyle w:val="ListParagraph"/>
              <w:ind w:left="0"/>
              <w:jc w:val="right"/>
              <w:rPr>
                <w:rFonts w:cs="Arial"/>
                <w:b/>
                <w:sz w:val="22"/>
                <w:szCs w:val="22"/>
              </w:rPr>
            </w:pPr>
            <w:r>
              <w:rPr>
                <w:rFonts w:cs="Arial"/>
                <w:b/>
                <w:sz w:val="22"/>
                <w:szCs w:val="22"/>
              </w:rPr>
              <w:t>£8,318</w:t>
            </w:r>
          </w:p>
        </w:tc>
      </w:tr>
      <w:tr w:rsidR="00D90A7F" w:rsidTr="00355873">
        <w:tc>
          <w:tcPr>
            <w:tcW w:w="2718" w:type="dxa"/>
          </w:tcPr>
          <w:p w:rsidR="00D90A7F" w:rsidRPr="000F4635" w:rsidRDefault="00D90A7F" w:rsidP="00D90A7F">
            <w:pPr>
              <w:spacing w:after="200" w:line="276" w:lineRule="auto"/>
              <w:rPr>
                <w:rFonts w:cs="Arial"/>
                <w:b/>
                <w:sz w:val="22"/>
                <w:szCs w:val="22"/>
              </w:rPr>
            </w:pPr>
            <w:r w:rsidRPr="000F4635">
              <w:rPr>
                <w:rFonts w:cs="Arial"/>
                <w:b/>
                <w:sz w:val="22"/>
                <w:szCs w:val="22"/>
              </w:rPr>
              <w:t>Band 3 Medium (3M)</w:t>
            </w:r>
          </w:p>
        </w:tc>
        <w:tc>
          <w:tcPr>
            <w:tcW w:w="2718" w:type="dxa"/>
          </w:tcPr>
          <w:p w:rsidR="00D90A7F" w:rsidRPr="001A56DC" w:rsidRDefault="001A00C7" w:rsidP="00D90A7F">
            <w:pPr>
              <w:pStyle w:val="ListParagraph"/>
              <w:ind w:left="0"/>
              <w:jc w:val="right"/>
              <w:rPr>
                <w:rFonts w:cs="Arial"/>
                <w:b/>
                <w:sz w:val="22"/>
                <w:szCs w:val="22"/>
              </w:rPr>
            </w:pPr>
            <w:r>
              <w:rPr>
                <w:rFonts w:cs="Arial"/>
                <w:b/>
                <w:sz w:val="22"/>
                <w:szCs w:val="22"/>
              </w:rPr>
              <w:t>£4,136</w:t>
            </w:r>
          </w:p>
        </w:tc>
        <w:tc>
          <w:tcPr>
            <w:tcW w:w="2719" w:type="dxa"/>
          </w:tcPr>
          <w:p w:rsidR="00D90A7F" w:rsidRPr="001A56DC" w:rsidRDefault="00D90A7F" w:rsidP="00D90A7F">
            <w:pPr>
              <w:spacing w:after="200" w:line="276" w:lineRule="auto"/>
              <w:jc w:val="right"/>
              <w:rPr>
                <w:rFonts w:cs="Arial"/>
                <w:sz w:val="22"/>
                <w:szCs w:val="22"/>
              </w:rPr>
            </w:pPr>
            <w:r w:rsidRPr="001A56DC">
              <w:rPr>
                <w:rFonts w:cs="Arial"/>
                <w:sz w:val="22"/>
                <w:szCs w:val="22"/>
              </w:rPr>
              <w:t>£6,000</w:t>
            </w:r>
          </w:p>
        </w:tc>
        <w:tc>
          <w:tcPr>
            <w:tcW w:w="2719" w:type="dxa"/>
          </w:tcPr>
          <w:p w:rsidR="00D90A7F" w:rsidRPr="001A56DC" w:rsidRDefault="001A00C7" w:rsidP="00D90A7F">
            <w:pPr>
              <w:pStyle w:val="ListParagraph"/>
              <w:ind w:left="0"/>
              <w:jc w:val="right"/>
              <w:rPr>
                <w:rFonts w:cs="Arial"/>
                <w:b/>
                <w:sz w:val="22"/>
                <w:szCs w:val="22"/>
              </w:rPr>
            </w:pPr>
            <w:r>
              <w:rPr>
                <w:rFonts w:cs="Arial"/>
                <w:b/>
                <w:sz w:val="22"/>
                <w:szCs w:val="22"/>
              </w:rPr>
              <w:t>£1</w:t>
            </w:r>
            <w:r w:rsidR="0076284D">
              <w:rPr>
                <w:rFonts w:cs="Arial"/>
                <w:b/>
                <w:sz w:val="22"/>
                <w:szCs w:val="22"/>
              </w:rPr>
              <w:t>0,136</w:t>
            </w:r>
          </w:p>
        </w:tc>
      </w:tr>
      <w:tr w:rsidR="00D90A7F" w:rsidTr="00355873">
        <w:tc>
          <w:tcPr>
            <w:tcW w:w="2718" w:type="dxa"/>
          </w:tcPr>
          <w:p w:rsidR="00D90A7F" w:rsidRPr="000F4635" w:rsidRDefault="00D90A7F" w:rsidP="00D90A7F">
            <w:pPr>
              <w:spacing w:after="200" w:line="276" w:lineRule="auto"/>
              <w:rPr>
                <w:rFonts w:cs="Arial"/>
                <w:b/>
                <w:sz w:val="22"/>
                <w:szCs w:val="22"/>
              </w:rPr>
            </w:pPr>
            <w:r w:rsidRPr="000F4635">
              <w:rPr>
                <w:rFonts w:cs="Arial"/>
                <w:b/>
                <w:sz w:val="22"/>
                <w:szCs w:val="22"/>
              </w:rPr>
              <w:t>Band 3 High (3H)</w:t>
            </w:r>
          </w:p>
        </w:tc>
        <w:tc>
          <w:tcPr>
            <w:tcW w:w="2718" w:type="dxa"/>
          </w:tcPr>
          <w:p w:rsidR="00D90A7F" w:rsidRPr="001A56DC" w:rsidRDefault="001A00C7" w:rsidP="00D90A7F">
            <w:pPr>
              <w:pStyle w:val="ListParagraph"/>
              <w:ind w:left="0"/>
              <w:jc w:val="right"/>
              <w:rPr>
                <w:rFonts w:cs="Arial"/>
                <w:b/>
                <w:sz w:val="22"/>
                <w:szCs w:val="22"/>
              </w:rPr>
            </w:pPr>
            <w:r>
              <w:rPr>
                <w:rFonts w:cs="Arial"/>
                <w:b/>
                <w:sz w:val="22"/>
                <w:szCs w:val="22"/>
              </w:rPr>
              <w:t>£5,900</w:t>
            </w:r>
          </w:p>
        </w:tc>
        <w:tc>
          <w:tcPr>
            <w:tcW w:w="2719" w:type="dxa"/>
          </w:tcPr>
          <w:p w:rsidR="00D90A7F" w:rsidRPr="001A56DC" w:rsidRDefault="00D90A7F" w:rsidP="00D90A7F">
            <w:pPr>
              <w:spacing w:after="200" w:line="276" w:lineRule="auto"/>
              <w:jc w:val="right"/>
              <w:rPr>
                <w:rFonts w:cs="Arial"/>
                <w:sz w:val="22"/>
                <w:szCs w:val="22"/>
              </w:rPr>
            </w:pPr>
            <w:r w:rsidRPr="001A56DC">
              <w:rPr>
                <w:rFonts w:cs="Arial"/>
                <w:sz w:val="22"/>
                <w:szCs w:val="22"/>
              </w:rPr>
              <w:t>£6,000</w:t>
            </w:r>
          </w:p>
        </w:tc>
        <w:tc>
          <w:tcPr>
            <w:tcW w:w="2719" w:type="dxa"/>
          </w:tcPr>
          <w:p w:rsidR="00D90A7F" w:rsidRPr="001A56DC" w:rsidRDefault="0076284D" w:rsidP="00D90A7F">
            <w:pPr>
              <w:pStyle w:val="ListParagraph"/>
              <w:ind w:left="0"/>
              <w:jc w:val="right"/>
              <w:rPr>
                <w:rFonts w:cs="Arial"/>
                <w:b/>
                <w:sz w:val="22"/>
                <w:szCs w:val="22"/>
              </w:rPr>
            </w:pPr>
            <w:r>
              <w:rPr>
                <w:rFonts w:cs="Arial"/>
                <w:b/>
                <w:sz w:val="22"/>
                <w:szCs w:val="22"/>
              </w:rPr>
              <w:t>£11,900</w:t>
            </w:r>
          </w:p>
        </w:tc>
      </w:tr>
      <w:tr w:rsidR="00D90A7F" w:rsidTr="00355873">
        <w:tc>
          <w:tcPr>
            <w:tcW w:w="2718" w:type="dxa"/>
          </w:tcPr>
          <w:p w:rsidR="00D90A7F" w:rsidRPr="000F4635" w:rsidRDefault="00D90A7F" w:rsidP="00D90A7F">
            <w:pPr>
              <w:spacing w:after="200" w:line="276" w:lineRule="auto"/>
              <w:rPr>
                <w:rFonts w:cs="Arial"/>
                <w:b/>
                <w:sz w:val="22"/>
                <w:szCs w:val="22"/>
              </w:rPr>
            </w:pPr>
            <w:r w:rsidRPr="000F4635">
              <w:rPr>
                <w:rFonts w:cs="Arial"/>
                <w:b/>
                <w:sz w:val="22"/>
                <w:szCs w:val="22"/>
              </w:rPr>
              <w:t>Band 4 Low (4L)</w:t>
            </w:r>
          </w:p>
        </w:tc>
        <w:tc>
          <w:tcPr>
            <w:tcW w:w="2718" w:type="dxa"/>
          </w:tcPr>
          <w:p w:rsidR="00D90A7F" w:rsidRPr="001A56DC" w:rsidRDefault="001A00C7" w:rsidP="00D90A7F">
            <w:pPr>
              <w:pStyle w:val="ListParagraph"/>
              <w:ind w:left="0"/>
              <w:jc w:val="right"/>
              <w:rPr>
                <w:rFonts w:cs="Arial"/>
                <w:b/>
                <w:sz w:val="22"/>
                <w:szCs w:val="22"/>
              </w:rPr>
            </w:pPr>
            <w:r>
              <w:rPr>
                <w:rFonts w:cs="Arial"/>
                <w:b/>
                <w:sz w:val="22"/>
                <w:szCs w:val="22"/>
              </w:rPr>
              <w:t>£9,411</w:t>
            </w:r>
          </w:p>
        </w:tc>
        <w:tc>
          <w:tcPr>
            <w:tcW w:w="2719" w:type="dxa"/>
          </w:tcPr>
          <w:p w:rsidR="00D90A7F" w:rsidRPr="001A56DC" w:rsidRDefault="00D90A7F" w:rsidP="00D90A7F">
            <w:pPr>
              <w:spacing w:after="200" w:line="276" w:lineRule="auto"/>
              <w:jc w:val="right"/>
              <w:rPr>
                <w:rFonts w:cs="Arial"/>
                <w:sz w:val="22"/>
                <w:szCs w:val="22"/>
              </w:rPr>
            </w:pPr>
            <w:r w:rsidRPr="001A56DC">
              <w:rPr>
                <w:rFonts w:cs="Arial"/>
                <w:sz w:val="22"/>
                <w:szCs w:val="22"/>
              </w:rPr>
              <w:t>£6,000</w:t>
            </w:r>
          </w:p>
        </w:tc>
        <w:tc>
          <w:tcPr>
            <w:tcW w:w="2719" w:type="dxa"/>
          </w:tcPr>
          <w:p w:rsidR="00D90A7F" w:rsidRPr="001A56DC" w:rsidRDefault="0076284D" w:rsidP="00D90A7F">
            <w:pPr>
              <w:pStyle w:val="ListParagraph"/>
              <w:ind w:left="0"/>
              <w:jc w:val="right"/>
              <w:rPr>
                <w:rFonts w:cs="Arial"/>
                <w:b/>
                <w:sz w:val="22"/>
                <w:szCs w:val="22"/>
              </w:rPr>
            </w:pPr>
            <w:r>
              <w:rPr>
                <w:rFonts w:cs="Arial"/>
                <w:b/>
                <w:sz w:val="22"/>
                <w:szCs w:val="22"/>
              </w:rPr>
              <w:t>£15,411</w:t>
            </w:r>
          </w:p>
        </w:tc>
      </w:tr>
      <w:tr w:rsidR="00D90A7F" w:rsidTr="00355873">
        <w:tc>
          <w:tcPr>
            <w:tcW w:w="2718" w:type="dxa"/>
          </w:tcPr>
          <w:p w:rsidR="00D90A7F" w:rsidRPr="000F4635" w:rsidRDefault="00D90A7F" w:rsidP="00D90A7F">
            <w:pPr>
              <w:spacing w:after="200" w:line="276" w:lineRule="auto"/>
              <w:rPr>
                <w:rFonts w:cs="Arial"/>
                <w:b/>
                <w:sz w:val="22"/>
                <w:szCs w:val="22"/>
              </w:rPr>
            </w:pPr>
            <w:r w:rsidRPr="000F4635">
              <w:rPr>
                <w:rFonts w:cs="Arial"/>
                <w:b/>
                <w:sz w:val="22"/>
                <w:szCs w:val="22"/>
              </w:rPr>
              <w:t>Band 4 Medium (4M)</w:t>
            </w:r>
          </w:p>
        </w:tc>
        <w:tc>
          <w:tcPr>
            <w:tcW w:w="2718" w:type="dxa"/>
          </w:tcPr>
          <w:p w:rsidR="00D90A7F" w:rsidRPr="001A56DC" w:rsidRDefault="001A00C7" w:rsidP="00D90A7F">
            <w:pPr>
              <w:pStyle w:val="ListParagraph"/>
              <w:ind w:left="0"/>
              <w:jc w:val="right"/>
              <w:rPr>
                <w:rFonts w:cs="Arial"/>
                <w:b/>
                <w:sz w:val="22"/>
                <w:szCs w:val="22"/>
              </w:rPr>
            </w:pPr>
            <w:r>
              <w:rPr>
                <w:rFonts w:cs="Arial"/>
                <w:b/>
                <w:sz w:val="22"/>
                <w:szCs w:val="22"/>
              </w:rPr>
              <w:t>£13,524</w:t>
            </w:r>
          </w:p>
        </w:tc>
        <w:tc>
          <w:tcPr>
            <w:tcW w:w="2719" w:type="dxa"/>
          </w:tcPr>
          <w:p w:rsidR="00D90A7F" w:rsidRPr="001A56DC" w:rsidRDefault="00D90A7F" w:rsidP="00D90A7F">
            <w:pPr>
              <w:spacing w:after="200" w:line="276" w:lineRule="auto"/>
              <w:jc w:val="right"/>
              <w:rPr>
                <w:rFonts w:cs="Arial"/>
                <w:sz w:val="22"/>
                <w:szCs w:val="22"/>
              </w:rPr>
            </w:pPr>
            <w:r w:rsidRPr="001A56DC">
              <w:rPr>
                <w:rFonts w:cs="Arial"/>
                <w:sz w:val="22"/>
                <w:szCs w:val="22"/>
              </w:rPr>
              <w:t>£6,000</w:t>
            </w:r>
          </w:p>
        </w:tc>
        <w:tc>
          <w:tcPr>
            <w:tcW w:w="2719" w:type="dxa"/>
          </w:tcPr>
          <w:p w:rsidR="00D90A7F" w:rsidRPr="001A56DC" w:rsidRDefault="0076284D" w:rsidP="00D90A7F">
            <w:pPr>
              <w:pStyle w:val="ListParagraph"/>
              <w:ind w:left="0"/>
              <w:jc w:val="right"/>
              <w:rPr>
                <w:rFonts w:cs="Arial"/>
                <w:b/>
                <w:sz w:val="22"/>
                <w:szCs w:val="22"/>
              </w:rPr>
            </w:pPr>
            <w:r>
              <w:rPr>
                <w:rFonts w:cs="Arial"/>
                <w:b/>
                <w:sz w:val="22"/>
                <w:szCs w:val="22"/>
              </w:rPr>
              <w:t>£19,524</w:t>
            </w:r>
          </w:p>
        </w:tc>
      </w:tr>
      <w:tr w:rsidR="00D90A7F" w:rsidTr="00355873">
        <w:tc>
          <w:tcPr>
            <w:tcW w:w="2718" w:type="dxa"/>
          </w:tcPr>
          <w:p w:rsidR="00D90A7F" w:rsidRPr="000F4635" w:rsidRDefault="00D90A7F" w:rsidP="00D90A7F">
            <w:pPr>
              <w:spacing w:after="200" w:line="276" w:lineRule="auto"/>
              <w:rPr>
                <w:rFonts w:cs="Arial"/>
                <w:b/>
                <w:sz w:val="22"/>
                <w:szCs w:val="22"/>
              </w:rPr>
            </w:pPr>
            <w:r w:rsidRPr="000F4635">
              <w:rPr>
                <w:rFonts w:cs="Arial"/>
                <w:b/>
                <w:sz w:val="22"/>
                <w:szCs w:val="22"/>
              </w:rPr>
              <w:t>Band 4 High (4H)</w:t>
            </w:r>
          </w:p>
        </w:tc>
        <w:tc>
          <w:tcPr>
            <w:tcW w:w="2718" w:type="dxa"/>
          </w:tcPr>
          <w:p w:rsidR="00D90A7F" w:rsidRPr="001A56DC" w:rsidRDefault="001A00C7" w:rsidP="00D90A7F">
            <w:pPr>
              <w:pStyle w:val="ListParagraph"/>
              <w:ind w:left="0"/>
              <w:jc w:val="right"/>
              <w:rPr>
                <w:rFonts w:cs="Arial"/>
                <w:b/>
                <w:sz w:val="22"/>
                <w:szCs w:val="22"/>
              </w:rPr>
            </w:pPr>
            <w:r>
              <w:rPr>
                <w:rFonts w:cs="Arial"/>
                <w:b/>
                <w:sz w:val="22"/>
                <w:szCs w:val="22"/>
              </w:rPr>
              <w:t>£17,678</w:t>
            </w:r>
          </w:p>
        </w:tc>
        <w:tc>
          <w:tcPr>
            <w:tcW w:w="2719" w:type="dxa"/>
          </w:tcPr>
          <w:p w:rsidR="00D90A7F" w:rsidRPr="001A56DC" w:rsidRDefault="00D90A7F" w:rsidP="00D90A7F">
            <w:pPr>
              <w:spacing w:after="200" w:line="276" w:lineRule="auto"/>
              <w:jc w:val="right"/>
              <w:rPr>
                <w:rFonts w:cs="Arial"/>
                <w:sz w:val="22"/>
                <w:szCs w:val="22"/>
              </w:rPr>
            </w:pPr>
            <w:r w:rsidRPr="001A56DC">
              <w:rPr>
                <w:rFonts w:cs="Arial"/>
                <w:sz w:val="22"/>
                <w:szCs w:val="22"/>
              </w:rPr>
              <w:t>£6,000</w:t>
            </w:r>
          </w:p>
        </w:tc>
        <w:tc>
          <w:tcPr>
            <w:tcW w:w="2719" w:type="dxa"/>
          </w:tcPr>
          <w:p w:rsidR="00D90A7F" w:rsidRPr="001A56DC" w:rsidRDefault="0076284D" w:rsidP="00D90A7F">
            <w:pPr>
              <w:pStyle w:val="ListParagraph"/>
              <w:ind w:left="0"/>
              <w:jc w:val="right"/>
              <w:rPr>
                <w:rFonts w:cs="Arial"/>
                <w:b/>
                <w:sz w:val="22"/>
                <w:szCs w:val="22"/>
              </w:rPr>
            </w:pPr>
            <w:r>
              <w:rPr>
                <w:rFonts w:cs="Arial"/>
                <w:b/>
                <w:sz w:val="22"/>
                <w:szCs w:val="22"/>
              </w:rPr>
              <w:t>£23,678</w:t>
            </w:r>
          </w:p>
        </w:tc>
      </w:tr>
      <w:tr w:rsidR="00D90A7F" w:rsidTr="00355873">
        <w:tc>
          <w:tcPr>
            <w:tcW w:w="2718" w:type="dxa"/>
          </w:tcPr>
          <w:p w:rsidR="00D90A7F" w:rsidRPr="000F4635" w:rsidRDefault="00D90A7F" w:rsidP="00D90A7F">
            <w:pPr>
              <w:spacing w:after="200" w:line="276" w:lineRule="auto"/>
              <w:rPr>
                <w:rFonts w:cs="Arial"/>
                <w:b/>
                <w:sz w:val="22"/>
                <w:szCs w:val="22"/>
              </w:rPr>
            </w:pPr>
            <w:r>
              <w:rPr>
                <w:rFonts w:cs="Arial"/>
                <w:b/>
                <w:sz w:val="22"/>
                <w:szCs w:val="22"/>
              </w:rPr>
              <w:t>Protected 7</w:t>
            </w:r>
          </w:p>
        </w:tc>
        <w:tc>
          <w:tcPr>
            <w:tcW w:w="2718" w:type="dxa"/>
          </w:tcPr>
          <w:p w:rsidR="00D90A7F" w:rsidRPr="001A56DC" w:rsidRDefault="001A00C7" w:rsidP="00D90A7F">
            <w:pPr>
              <w:pStyle w:val="ListParagraph"/>
              <w:ind w:left="0"/>
              <w:jc w:val="right"/>
              <w:rPr>
                <w:rFonts w:cs="Arial"/>
                <w:b/>
                <w:sz w:val="22"/>
                <w:szCs w:val="22"/>
              </w:rPr>
            </w:pPr>
            <w:r>
              <w:rPr>
                <w:rFonts w:cs="Arial"/>
                <w:b/>
                <w:sz w:val="22"/>
                <w:szCs w:val="22"/>
              </w:rPr>
              <w:t>£29,048</w:t>
            </w:r>
          </w:p>
        </w:tc>
        <w:tc>
          <w:tcPr>
            <w:tcW w:w="2719" w:type="dxa"/>
          </w:tcPr>
          <w:p w:rsidR="00D90A7F" w:rsidRPr="001A56DC" w:rsidRDefault="00D90A7F" w:rsidP="00D90A7F">
            <w:pPr>
              <w:spacing w:after="200" w:line="276" w:lineRule="auto"/>
              <w:jc w:val="right"/>
              <w:rPr>
                <w:rFonts w:cs="Arial"/>
                <w:sz w:val="22"/>
                <w:szCs w:val="22"/>
              </w:rPr>
            </w:pPr>
            <w:r w:rsidRPr="001A56DC">
              <w:rPr>
                <w:rFonts w:cs="Arial"/>
                <w:sz w:val="22"/>
                <w:szCs w:val="22"/>
              </w:rPr>
              <w:t>£6,000</w:t>
            </w:r>
          </w:p>
        </w:tc>
        <w:tc>
          <w:tcPr>
            <w:tcW w:w="2719" w:type="dxa"/>
          </w:tcPr>
          <w:p w:rsidR="00D90A7F" w:rsidRPr="001A56DC" w:rsidRDefault="0076284D" w:rsidP="00D90A7F">
            <w:pPr>
              <w:pStyle w:val="ListParagraph"/>
              <w:ind w:left="0"/>
              <w:jc w:val="right"/>
              <w:rPr>
                <w:rFonts w:cs="Arial"/>
                <w:b/>
                <w:sz w:val="22"/>
                <w:szCs w:val="22"/>
              </w:rPr>
            </w:pPr>
            <w:r>
              <w:rPr>
                <w:rFonts w:cs="Arial"/>
                <w:b/>
                <w:sz w:val="22"/>
                <w:szCs w:val="22"/>
              </w:rPr>
              <w:t>£35,048</w:t>
            </w:r>
          </w:p>
        </w:tc>
      </w:tr>
    </w:tbl>
    <w:p w:rsidR="00371DA9" w:rsidRDefault="00371DA9" w:rsidP="00355873">
      <w:pPr>
        <w:spacing w:after="200" w:line="276" w:lineRule="auto"/>
        <w:jc w:val="both"/>
        <w:rPr>
          <w:rFonts w:cs="Arial"/>
          <w:sz w:val="22"/>
          <w:szCs w:val="22"/>
        </w:rPr>
      </w:pPr>
    </w:p>
    <w:p w:rsidR="000B5D1C" w:rsidRDefault="008763CA" w:rsidP="00355873">
      <w:pPr>
        <w:spacing w:after="200" w:line="276" w:lineRule="auto"/>
        <w:jc w:val="both"/>
        <w:rPr>
          <w:rFonts w:cs="Arial"/>
          <w:sz w:val="22"/>
          <w:szCs w:val="22"/>
        </w:rPr>
      </w:pPr>
      <w:r>
        <w:rPr>
          <w:rFonts w:cs="Arial"/>
          <w:sz w:val="22"/>
          <w:szCs w:val="22"/>
        </w:rPr>
        <w:t>The</w:t>
      </w:r>
      <w:r w:rsidR="000B5D1C">
        <w:rPr>
          <w:rFonts w:cs="Arial"/>
          <w:sz w:val="22"/>
          <w:szCs w:val="22"/>
        </w:rPr>
        <w:t xml:space="preserve"> model </w:t>
      </w:r>
      <w:r w:rsidR="00705526">
        <w:rPr>
          <w:rFonts w:cs="Arial"/>
          <w:sz w:val="22"/>
          <w:szCs w:val="22"/>
        </w:rPr>
        <w:t>is calculated on a</w:t>
      </w:r>
      <w:r w:rsidR="000B5D1C">
        <w:rPr>
          <w:rFonts w:cs="Arial"/>
          <w:sz w:val="22"/>
          <w:szCs w:val="22"/>
        </w:rPr>
        <w:t xml:space="preserve"> provision-mapping</w:t>
      </w:r>
      <w:r w:rsidR="00705526">
        <w:rPr>
          <w:rFonts w:cs="Arial"/>
          <w:sz w:val="22"/>
          <w:szCs w:val="22"/>
        </w:rPr>
        <w:t xml:space="preserve"> approach</w:t>
      </w:r>
      <w:r w:rsidR="000B5D1C">
        <w:rPr>
          <w:rFonts w:cs="Arial"/>
          <w:sz w:val="22"/>
          <w:szCs w:val="22"/>
        </w:rPr>
        <w:t xml:space="preserve">. </w:t>
      </w:r>
      <w:r w:rsidR="00705526">
        <w:rPr>
          <w:rFonts w:cs="Arial"/>
          <w:sz w:val="22"/>
          <w:szCs w:val="22"/>
        </w:rPr>
        <w:t xml:space="preserve">The </w:t>
      </w:r>
      <w:r w:rsidR="004B3F7B">
        <w:rPr>
          <w:rFonts w:cs="Arial"/>
          <w:sz w:val="22"/>
          <w:szCs w:val="22"/>
        </w:rPr>
        <w:t xml:space="preserve">additional educational </w:t>
      </w:r>
      <w:r w:rsidR="00705526">
        <w:rPr>
          <w:rFonts w:cs="Arial"/>
          <w:sz w:val="22"/>
          <w:szCs w:val="22"/>
        </w:rPr>
        <w:t xml:space="preserve">needs of a child with an EHCP typically will be met through additional adult contact time. </w:t>
      </w:r>
      <w:r w:rsidR="00371DA9">
        <w:rPr>
          <w:rFonts w:cs="Arial"/>
          <w:sz w:val="22"/>
          <w:szCs w:val="22"/>
        </w:rPr>
        <w:t>Typically,</w:t>
      </w:r>
      <w:r w:rsidR="00705526">
        <w:rPr>
          <w:rFonts w:cs="Arial"/>
          <w:sz w:val="22"/>
          <w:szCs w:val="22"/>
        </w:rPr>
        <w:t xml:space="preserve"> this will be delivered in a combination of individual</w:t>
      </w:r>
      <w:r w:rsidR="002869A7">
        <w:rPr>
          <w:rFonts w:cs="Arial"/>
          <w:sz w:val="22"/>
          <w:szCs w:val="22"/>
        </w:rPr>
        <w:t xml:space="preserve"> time and time in</w:t>
      </w:r>
      <w:r w:rsidR="00705526">
        <w:rPr>
          <w:rFonts w:cs="Arial"/>
          <w:sz w:val="22"/>
          <w:szCs w:val="22"/>
        </w:rPr>
        <w:t xml:space="preserve"> smaller groups. The </w:t>
      </w:r>
      <w:r w:rsidR="006C68CF">
        <w:rPr>
          <w:rFonts w:cs="Arial"/>
          <w:sz w:val="22"/>
          <w:szCs w:val="22"/>
        </w:rPr>
        <w:t xml:space="preserve">overall </w:t>
      </w:r>
      <w:r w:rsidR="00705526">
        <w:rPr>
          <w:rFonts w:cs="Arial"/>
          <w:sz w:val="22"/>
          <w:szCs w:val="22"/>
        </w:rPr>
        <w:t xml:space="preserve">volume of time will increase as needs increase and the proportion of this time that is delivered </w:t>
      </w:r>
      <w:r w:rsidR="002869A7">
        <w:rPr>
          <w:rFonts w:cs="Arial"/>
          <w:sz w:val="22"/>
          <w:szCs w:val="22"/>
        </w:rPr>
        <w:t>on a more bespoke</w:t>
      </w:r>
      <w:r w:rsidR="00705526">
        <w:rPr>
          <w:rFonts w:cs="Arial"/>
          <w:sz w:val="22"/>
          <w:szCs w:val="22"/>
        </w:rPr>
        <w:t xml:space="preserve"> basis will also increase as needs increase</w:t>
      </w:r>
      <w:r w:rsidR="002869A7">
        <w:rPr>
          <w:rFonts w:cs="Arial"/>
          <w:sz w:val="22"/>
          <w:szCs w:val="22"/>
        </w:rPr>
        <w:t xml:space="preserve">. </w:t>
      </w:r>
      <w:r w:rsidR="000B5D1C">
        <w:rPr>
          <w:rFonts w:cs="Arial"/>
          <w:sz w:val="22"/>
          <w:szCs w:val="22"/>
        </w:rPr>
        <w:t>The values of the bands have been built up on</w:t>
      </w:r>
      <w:r w:rsidR="00E8426D">
        <w:rPr>
          <w:rFonts w:cs="Arial"/>
          <w:sz w:val="22"/>
          <w:szCs w:val="22"/>
        </w:rPr>
        <w:t xml:space="preserve"> assumptions</w:t>
      </w:r>
      <w:r w:rsidR="000B5D1C" w:rsidRPr="000B5D1C">
        <w:rPr>
          <w:rFonts w:cs="Arial"/>
          <w:sz w:val="22"/>
          <w:szCs w:val="22"/>
        </w:rPr>
        <w:t xml:space="preserve"> about the proportion of additional support given to an EHCP, with this support split between bespoke time and time in smaller groups. This is a model for the SEND Panel to use to determine the volume and type of support </w:t>
      </w:r>
      <w:r w:rsidR="000B5D1C">
        <w:rPr>
          <w:rFonts w:cs="Arial"/>
          <w:sz w:val="22"/>
          <w:szCs w:val="22"/>
        </w:rPr>
        <w:t xml:space="preserve">required to </w:t>
      </w:r>
      <w:r w:rsidR="002869A7">
        <w:rPr>
          <w:rFonts w:cs="Arial"/>
          <w:sz w:val="22"/>
          <w:szCs w:val="22"/>
        </w:rPr>
        <w:t xml:space="preserve">then </w:t>
      </w:r>
      <w:r w:rsidR="000B5D1C" w:rsidRPr="000B5D1C">
        <w:rPr>
          <w:rFonts w:cs="Arial"/>
          <w:sz w:val="22"/>
          <w:szCs w:val="22"/>
        </w:rPr>
        <w:t xml:space="preserve">closely meet the needs of an individual EHCP. </w:t>
      </w:r>
    </w:p>
    <w:p w:rsidR="00305E97" w:rsidRDefault="00305E97" w:rsidP="00355873">
      <w:pPr>
        <w:spacing w:after="200" w:line="276" w:lineRule="auto"/>
        <w:jc w:val="both"/>
        <w:rPr>
          <w:rFonts w:cs="Arial"/>
          <w:sz w:val="22"/>
          <w:szCs w:val="22"/>
        </w:rPr>
      </w:pPr>
      <w:r>
        <w:rPr>
          <w:rFonts w:cs="Arial"/>
          <w:sz w:val="22"/>
          <w:szCs w:val="22"/>
        </w:rPr>
        <w:t xml:space="preserve">2.3 </w:t>
      </w:r>
      <w:r w:rsidRPr="00DF0E19">
        <w:rPr>
          <w:rFonts w:cs="Arial"/>
          <w:sz w:val="22"/>
          <w:szCs w:val="22"/>
        </w:rPr>
        <w:t>Band 3 (EHCP) typically will support the cost of EHCPs placed in mainstream provisions. Band 4 (EHCP plus) typically will support the cost of EHCPs placed in specialist provisions.</w:t>
      </w:r>
      <w:r w:rsidR="00875471">
        <w:rPr>
          <w:rFonts w:cs="Arial"/>
          <w:sz w:val="22"/>
          <w:szCs w:val="22"/>
        </w:rPr>
        <w:t xml:space="preserve"> However, this is not an absolute position and the </w:t>
      </w:r>
      <w:r w:rsidR="004F596F">
        <w:rPr>
          <w:rFonts w:cs="Arial"/>
          <w:sz w:val="22"/>
          <w:szCs w:val="22"/>
        </w:rPr>
        <w:t xml:space="preserve">SEND </w:t>
      </w:r>
      <w:r w:rsidR="00875471">
        <w:rPr>
          <w:rFonts w:cs="Arial"/>
          <w:sz w:val="22"/>
          <w:szCs w:val="22"/>
        </w:rPr>
        <w:t>Panel will use the model flexibly to closely meet need.</w:t>
      </w:r>
    </w:p>
    <w:p w:rsidR="000B5D1C" w:rsidRPr="007A2A6A" w:rsidRDefault="000B5D1C" w:rsidP="00355873">
      <w:pPr>
        <w:spacing w:after="200" w:line="276" w:lineRule="auto"/>
        <w:jc w:val="both"/>
        <w:rPr>
          <w:rFonts w:cs="Arial"/>
          <w:sz w:val="22"/>
          <w:szCs w:val="22"/>
        </w:rPr>
      </w:pPr>
      <w:r w:rsidRPr="007A2A6A">
        <w:rPr>
          <w:rFonts w:cs="Arial"/>
          <w:sz w:val="22"/>
          <w:szCs w:val="22"/>
        </w:rPr>
        <w:t>The Band 3 values are calculated on assumptions on additional ‘</w:t>
      </w:r>
      <w:r w:rsidR="004F596F" w:rsidRPr="007A2A6A">
        <w:rPr>
          <w:rFonts w:cs="Arial"/>
          <w:sz w:val="22"/>
          <w:szCs w:val="22"/>
        </w:rPr>
        <w:t>support</w:t>
      </w:r>
      <w:r w:rsidRPr="007A2A6A">
        <w:rPr>
          <w:rFonts w:cs="Arial"/>
          <w:sz w:val="22"/>
          <w:szCs w:val="22"/>
        </w:rPr>
        <w:t xml:space="preserve"> assistant’ time (where bespoke means 1:1 and group </w:t>
      </w:r>
      <w:r w:rsidRPr="006756BF">
        <w:rPr>
          <w:rFonts w:cs="Arial"/>
          <w:color w:val="000000" w:themeColor="text1"/>
          <w:sz w:val="22"/>
          <w:szCs w:val="22"/>
        </w:rPr>
        <w:t>time is in groups of 1:3). The cost per</w:t>
      </w:r>
      <w:r w:rsidR="008763CA" w:rsidRPr="006756BF">
        <w:rPr>
          <w:rFonts w:cs="Arial"/>
          <w:color w:val="000000" w:themeColor="text1"/>
          <w:sz w:val="22"/>
          <w:szCs w:val="22"/>
        </w:rPr>
        <w:t xml:space="preserve"> hour assumption within the</w:t>
      </w:r>
      <w:r w:rsidR="00545173" w:rsidRPr="006756BF">
        <w:rPr>
          <w:rFonts w:cs="Arial"/>
          <w:color w:val="000000" w:themeColor="text1"/>
          <w:sz w:val="22"/>
          <w:szCs w:val="22"/>
        </w:rPr>
        <w:t xml:space="preserve"> indicative</w:t>
      </w:r>
      <w:r w:rsidR="00933B99" w:rsidRPr="006756BF">
        <w:rPr>
          <w:rFonts w:cs="Arial"/>
          <w:color w:val="000000" w:themeColor="text1"/>
          <w:sz w:val="22"/>
          <w:szCs w:val="22"/>
        </w:rPr>
        <w:t xml:space="preserve"> 2023/24</w:t>
      </w:r>
      <w:r w:rsidRPr="006756BF">
        <w:rPr>
          <w:rFonts w:cs="Arial"/>
          <w:color w:val="000000" w:themeColor="text1"/>
          <w:sz w:val="22"/>
          <w:szCs w:val="22"/>
        </w:rPr>
        <w:t xml:space="preserve"> financial year model, on a term time only basis and incorporating assumptions about on-costs, is </w:t>
      </w:r>
      <w:r w:rsidR="00D90A7F" w:rsidRPr="006756BF">
        <w:rPr>
          <w:rFonts w:cs="Arial"/>
          <w:color w:val="000000" w:themeColor="text1"/>
          <w:sz w:val="22"/>
          <w:szCs w:val="22"/>
        </w:rPr>
        <w:t>£</w:t>
      </w:r>
      <w:r w:rsidR="006756BF" w:rsidRPr="006756BF">
        <w:rPr>
          <w:rFonts w:cs="Arial"/>
          <w:color w:val="000000" w:themeColor="text1"/>
          <w:sz w:val="22"/>
          <w:szCs w:val="22"/>
        </w:rPr>
        <w:t>16.95</w:t>
      </w:r>
      <w:r w:rsidRPr="006756BF">
        <w:rPr>
          <w:rFonts w:cs="Arial"/>
          <w:color w:val="000000" w:themeColor="text1"/>
          <w:sz w:val="22"/>
          <w:szCs w:val="22"/>
        </w:rPr>
        <w:t>.</w:t>
      </w:r>
      <w:r w:rsidR="008763CA" w:rsidRPr="006756BF">
        <w:rPr>
          <w:rFonts w:cs="Arial"/>
          <w:color w:val="000000" w:themeColor="text1"/>
          <w:sz w:val="22"/>
          <w:szCs w:val="22"/>
        </w:rPr>
        <w:t xml:space="preserve"> This represents a </w:t>
      </w:r>
      <w:r w:rsidR="006756BF" w:rsidRPr="006756BF">
        <w:rPr>
          <w:rFonts w:cs="Arial"/>
          <w:color w:val="000000" w:themeColor="text1"/>
          <w:sz w:val="22"/>
          <w:szCs w:val="22"/>
        </w:rPr>
        <w:t>1</w:t>
      </w:r>
      <w:r w:rsidR="00371DA9" w:rsidRPr="006756BF">
        <w:rPr>
          <w:rFonts w:cs="Arial"/>
          <w:color w:val="000000" w:themeColor="text1"/>
          <w:sz w:val="22"/>
          <w:szCs w:val="22"/>
        </w:rPr>
        <w:t>.0</w:t>
      </w:r>
      <w:r w:rsidR="006756BF">
        <w:rPr>
          <w:rFonts w:cs="Arial"/>
          <w:color w:val="000000" w:themeColor="text1"/>
          <w:sz w:val="22"/>
          <w:szCs w:val="22"/>
        </w:rPr>
        <w:t>0</w:t>
      </w:r>
      <w:r w:rsidR="008763CA" w:rsidRPr="006756BF">
        <w:rPr>
          <w:rFonts w:cs="Arial"/>
          <w:color w:val="000000" w:themeColor="text1"/>
          <w:sz w:val="22"/>
          <w:szCs w:val="22"/>
        </w:rPr>
        <w:t xml:space="preserve">% </w:t>
      </w:r>
      <w:r w:rsidR="00D90A7F" w:rsidRPr="006756BF">
        <w:rPr>
          <w:rFonts w:cs="Arial"/>
          <w:color w:val="000000" w:themeColor="text1"/>
          <w:sz w:val="22"/>
          <w:szCs w:val="22"/>
        </w:rPr>
        <w:t xml:space="preserve">increase on the </w:t>
      </w:r>
      <w:r w:rsidR="006756BF" w:rsidRPr="006756BF">
        <w:rPr>
          <w:rFonts w:cs="Arial"/>
          <w:color w:val="000000" w:themeColor="text1"/>
          <w:sz w:val="22"/>
          <w:szCs w:val="22"/>
        </w:rPr>
        <w:t>£16.78</w:t>
      </w:r>
      <w:r w:rsidR="008763CA" w:rsidRPr="006756BF">
        <w:rPr>
          <w:rFonts w:cs="Arial"/>
          <w:color w:val="000000" w:themeColor="text1"/>
          <w:sz w:val="22"/>
          <w:szCs w:val="22"/>
        </w:rPr>
        <w:t xml:space="preserve"> </w:t>
      </w:r>
      <w:r w:rsidR="004F41F3" w:rsidRPr="006756BF">
        <w:rPr>
          <w:rFonts w:cs="Arial"/>
          <w:color w:val="000000" w:themeColor="text1"/>
          <w:sz w:val="22"/>
          <w:szCs w:val="22"/>
        </w:rPr>
        <w:t xml:space="preserve">that was used </w:t>
      </w:r>
      <w:r w:rsidR="00933B99" w:rsidRPr="006756BF">
        <w:rPr>
          <w:rFonts w:cs="Arial"/>
          <w:color w:val="000000" w:themeColor="text1"/>
          <w:sz w:val="22"/>
          <w:szCs w:val="22"/>
        </w:rPr>
        <w:t>in the 2022/23</w:t>
      </w:r>
      <w:r w:rsidR="008763CA" w:rsidRPr="006756BF">
        <w:rPr>
          <w:rFonts w:cs="Arial"/>
          <w:color w:val="000000" w:themeColor="text1"/>
          <w:sz w:val="22"/>
          <w:szCs w:val="22"/>
        </w:rPr>
        <w:t xml:space="preserve"> model.</w:t>
      </w:r>
      <w:r w:rsidRPr="006756BF">
        <w:rPr>
          <w:rFonts w:cs="Arial"/>
          <w:color w:val="000000" w:themeColor="text1"/>
          <w:sz w:val="22"/>
          <w:szCs w:val="22"/>
        </w:rPr>
        <w:t xml:space="preserve"> </w:t>
      </w:r>
    </w:p>
    <w:p w:rsidR="000B5D1C" w:rsidRPr="007A2A6A" w:rsidRDefault="000B5D1C" w:rsidP="00355873">
      <w:pPr>
        <w:spacing w:after="200" w:line="276" w:lineRule="auto"/>
        <w:jc w:val="both"/>
        <w:rPr>
          <w:rFonts w:cs="Arial"/>
          <w:sz w:val="22"/>
          <w:szCs w:val="22"/>
        </w:rPr>
      </w:pPr>
      <w:r w:rsidRPr="007A2A6A">
        <w:rPr>
          <w:rFonts w:cs="Arial"/>
          <w:sz w:val="22"/>
          <w:szCs w:val="22"/>
        </w:rPr>
        <w:t xml:space="preserve">The Band 4 values </w:t>
      </w:r>
      <w:r w:rsidR="006C68CF" w:rsidRPr="007A2A6A">
        <w:rPr>
          <w:rFonts w:cs="Arial"/>
          <w:sz w:val="22"/>
          <w:szCs w:val="22"/>
        </w:rPr>
        <w:t xml:space="preserve">are </w:t>
      </w:r>
      <w:r w:rsidRPr="007A2A6A">
        <w:rPr>
          <w:rFonts w:cs="Arial"/>
          <w:sz w:val="22"/>
          <w:szCs w:val="22"/>
        </w:rPr>
        <w:t>calculated on assumptions on</w:t>
      </w:r>
      <w:r w:rsidR="004F596F" w:rsidRPr="007A2A6A">
        <w:rPr>
          <w:rFonts w:cs="Arial"/>
          <w:sz w:val="22"/>
          <w:szCs w:val="22"/>
        </w:rPr>
        <w:t xml:space="preserve"> both support</w:t>
      </w:r>
      <w:r w:rsidRPr="007A2A6A">
        <w:rPr>
          <w:rFonts w:cs="Arial"/>
          <w:sz w:val="22"/>
          <w:szCs w:val="22"/>
        </w:rPr>
        <w:t xml:space="preserve"> assistant time (where bespoke means 1:1 and group </w:t>
      </w:r>
      <w:r w:rsidRPr="00371DA9">
        <w:rPr>
          <w:rFonts w:cs="Arial"/>
          <w:sz w:val="22"/>
          <w:szCs w:val="22"/>
        </w:rPr>
        <w:t xml:space="preserve">time is in groups of 1:2) </w:t>
      </w:r>
      <w:r w:rsidR="002869A7" w:rsidRPr="00371DA9">
        <w:rPr>
          <w:rFonts w:cs="Arial"/>
          <w:sz w:val="22"/>
          <w:szCs w:val="22"/>
        </w:rPr>
        <w:t>and</w:t>
      </w:r>
      <w:r w:rsidRPr="00371DA9">
        <w:rPr>
          <w:rFonts w:cs="Arial"/>
          <w:sz w:val="22"/>
          <w:szCs w:val="22"/>
        </w:rPr>
        <w:t xml:space="preserve"> teacher time in group sizes of 1:12, 1:8 and 1:6. The cost </w:t>
      </w:r>
      <w:r w:rsidR="004F596F" w:rsidRPr="00371DA9">
        <w:rPr>
          <w:rFonts w:cs="Arial"/>
          <w:sz w:val="22"/>
          <w:szCs w:val="22"/>
        </w:rPr>
        <w:t xml:space="preserve">per hour </w:t>
      </w:r>
      <w:r w:rsidR="004F596F" w:rsidRPr="006756BF">
        <w:rPr>
          <w:rFonts w:cs="Arial"/>
          <w:color w:val="000000" w:themeColor="text1"/>
          <w:sz w:val="22"/>
          <w:szCs w:val="22"/>
        </w:rPr>
        <w:t xml:space="preserve">assumption for support assistant time </w:t>
      </w:r>
      <w:r w:rsidRPr="006756BF">
        <w:rPr>
          <w:rFonts w:cs="Arial"/>
          <w:color w:val="000000" w:themeColor="text1"/>
          <w:sz w:val="22"/>
          <w:szCs w:val="22"/>
        </w:rPr>
        <w:t>within</w:t>
      </w:r>
      <w:r w:rsidR="008763CA" w:rsidRPr="006756BF">
        <w:rPr>
          <w:rFonts w:cs="Arial"/>
          <w:color w:val="000000" w:themeColor="text1"/>
          <w:sz w:val="22"/>
          <w:szCs w:val="22"/>
        </w:rPr>
        <w:t xml:space="preserve"> the </w:t>
      </w:r>
      <w:r w:rsidR="00545173" w:rsidRPr="006756BF">
        <w:rPr>
          <w:rFonts w:cs="Arial"/>
          <w:color w:val="000000" w:themeColor="text1"/>
          <w:sz w:val="22"/>
          <w:szCs w:val="22"/>
        </w:rPr>
        <w:t xml:space="preserve">indicative </w:t>
      </w:r>
      <w:r w:rsidR="00933B99" w:rsidRPr="006756BF">
        <w:rPr>
          <w:rFonts w:cs="Arial"/>
          <w:color w:val="000000" w:themeColor="text1"/>
          <w:sz w:val="22"/>
          <w:szCs w:val="22"/>
        </w:rPr>
        <w:t>2023/24</w:t>
      </w:r>
      <w:r w:rsidR="008763CA" w:rsidRPr="006756BF">
        <w:rPr>
          <w:rFonts w:cs="Arial"/>
          <w:color w:val="000000" w:themeColor="text1"/>
          <w:sz w:val="22"/>
          <w:szCs w:val="22"/>
        </w:rPr>
        <w:t xml:space="preserve"> financial year model is </w:t>
      </w:r>
      <w:r w:rsidR="006756BF" w:rsidRPr="006756BF">
        <w:rPr>
          <w:rFonts w:cs="Arial"/>
          <w:color w:val="000000" w:themeColor="text1"/>
          <w:sz w:val="22"/>
          <w:szCs w:val="22"/>
        </w:rPr>
        <w:t>£16.95</w:t>
      </w:r>
      <w:r w:rsidRPr="006756BF">
        <w:rPr>
          <w:rFonts w:cs="Arial"/>
          <w:color w:val="000000" w:themeColor="text1"/>
          <w:sz w:val="22"/>
          <w:szCs w:val="22"/>
        </w:rPr>
        <w:t xml:space="preserve"> as in Band 3. The </w:t>
      </w:r>
      <w:r w:rsidR="00545173" w:rsidRPr="006756BF">
        <w:rPr>
          <w:rFonts w:cs="Arial"/>
          <w:color w:val="000000" w:themeColor="text1"/>
          <w:sz w:val="22"/>
          <w:szCs w:val="22"/>
        </w:rPr>
        <w:t xml:space="preserve">indicative </w:t>
      </w:r>
      <w:r w:rsidRPr="006756BF">
        <w:rPr>
          <w:rFonts w:cs="Arial"/>
          <w:color w:val="000000" w:themeColor="text1"/>
          <w:sz w:val="22"/>
          <w:szCs w:val="22"/>
        </w:rPr>
        <w:t>cost per hour assumpti</w:t>
      </w:r>
      <w:r w:rsidR="002869A7" w:rsidRPr="006756BF">
        <w:rPr>
          <w:rFonts w:cs="Arial"/>
          <w:color w:val="000000" w:themeColor="text1"/>
          <w:sz w:val="22"/>
          <w:szCs w:val="22"/>
        </w:rPr>
        <w:t>on</w:t>
      </w:r>
      <w:r w:rsidRPr="006756BF">
        <w:rPr>
          <w:rFonts w:cs="Arial"/>
          <w:color w:val="000000" w:themeColor="text1"/>
          <w:sz w:val="22"/>
          <w:szCs w:val="22"/>
        </w:rPr>
        <w:t xml:space="preserve"> for teacher time in the model is </w:t>
      </w:r>
      <w:r w:rsidR="006756BF" w:rsidRPr="006756BF">
        <w:rPr>
          <w:rFonts w:cs="Arial"/>
          <w:color w:val="000000" w:themeColor="text1"/>
          <w:sz w:val="22"/>
          <w:szCs w:val="22"/>
        </w:rPr>
        <w:t>£49</w:t>
      </w:r>
      <w:r w:rsidRPr="006756BF">
        <w:rPr>
          <w:rFonts w:cs="Arial"/>
          <w:color w:val="000000" w:themeColor="text1"/>
          <w:sz w:val="22"/>
          <w:szCs w:val="22"/>
        </w:rPr>
        <w:t>.</w:t>
      </w:r>
      <w:r w:rsidR="006756BF" w:rsidRPr="006756BF">
        <w:rPr>
          <w:rFonts w:cs="Arial"/>
          <w:color w:val="000000" w:themeColor="text1"/>
          <w:sz w:val="22"/>
          <w:szCs w:val="22"/>
        </w:rPr>
        <w:t>42</w:t>
      </w:r>
      <w:r w:rsidRPr="006756BF">
        <w:rPr>
          <w:rFonts w:cs="Arial"/>
          <w:color w:val="000000" w:themeColor="text1"/>
          <w:sz w:val="22"/>
          <w:szCs w:val="22"/>
        </w:rPr>
        <w:t>.</w:t>
      </w:r>
      <w:r w:rsidR="008763CA" w:rsidRPr="006756BF">
        <w:rPr>
          <w:rFonts w:cs="Arial"/>
          <w:color w:val="000000" w:themeColor="text1"/>
          <w:sz w:val="22"/>
          <w:szCs w:val="22"/>
        </w:rPr>
        <w:t xml:space="preserve"> This represents a </w:t>
      </w:r>
      <w:r w:rsidR="006756BF" w:rsidRPr="006756BF">
        <w:rPr>
          <w:rFonts w:cs="Arial"/>
          <w:color w:val="000000" w:themeColor="text1"/>
          <w:sz w:val="22"/>
          <w:szCs w:val="22"/>
        </w:rPr>
        <w:t>1.8</w:t>
      </w:r>
      <w:r w:rsidR="008763CA" w:rsidRPr="006756BF">
        <w:rPr>
          <w:rFonts w:cs="Arial"/>
          <w:color w:val="000000" w:themeColor="text1"/>
          <w:sz w:val="22"/>
          <w:szCs w:val="22"/>
        </w:rPr>
        <w:t xml:space="preserve">% </w:t>
      </w:r>
      <w:r w:rsidR="00D90A7F" w:rsidRPr="006756BF">
        <w:rPr>
          <w:rFonts w:cs="Arial"/>
          <w:color w:val="000000" w:themeColor="text1"/>
          <w:sz w:val="22"/>
          <w:szCs w:val="22"/>
        </w:rPr>
        <w:t xml:space="preserve">increase on the </w:t>
      </w:r>
      <w:r w:rsidR="006756BF" w:rsidRPr="006756BF">
        <w:rPr>
          <w:rFonts w:cs="Arial"/>
          <w:color w:val="000000" w:themeColor="text1"/>
          <w:sz w:val="22"/>
          <w:szCs w:val="22"/>
        </w:rPr>
        <w:t>£48.56</w:t>
      </w:r>
      <w:r w:rsidR="004F41F3" w:rsidRPr="006756BF">
        <w:rPr>
          <w:rFonts w:cs="Arial"/>
          <w:color w:val="000000" w:themeColor="text1"/>
          <w:sz w:val="22"/>
          <w:szCs w:val="22"/>
        </w:rPr>
        <w:t xml:space="preserve"> that was used</w:t>
      </w:r>
      <w:r w:rsidR="00933B99" w:rsidRPr="006756BF">
        <w:rPr>
          <w:rFonts w:cs="Arial"/>
          <w:color w:val="000000" w:themeColor="text1"/>
          <w:sz w:val="22"/>
          <w:szCs w:val="22"/>
        </w:rPr>
        <w:t xml:space="preserve"> in the 2022</w:t>
      </w:r>
      <w:r w:rsidR="00D90A7F" w:rsidRPr="006756BF">
        <w:rPr>
          <w:rFonts w:cs="Arial"/>
          <w:color w:val="000000" w:themeColor="text1"/>
          <w:sz w:val="22"/>
          <w:szCs w:val="22"/>
        </w:rPr>
        <w:t>/</w:t>
      </w:r>
      <w:r w:rsidR="00933B99" w:rsidRPr="006756BF">
        <w:rPr>
          <w:rFonts w:cs="Arial"/>
          <w:color w:val="000000" w:themeColor="text1"/>
          <w:sz w:val="22"/>
          <w:szCs w:val="22"/>
        </w:rPr>
        <w:t>23</w:t>
      </w:r>
      <w:r w:rsidR="008763CA" w:rsidRPr="006756BF">
        <w:rPr>
          <w:rFonts w:cs="Arial"/>
          <w:color w:val="000000" w:themeColor="text1"/>
          <w:sz w:val="22"/>
          <w:szCs w:val="22"/>
        </w:rPr>
        <w:t xml:space="preserve"> model. </w:t>
      </w:r>
    </w:p>
    <w:p w:rsidR="00623C6E" w:rsidRDefault="00DF0E19" w:rsidP="00355873">
      <w:pPr>
        <w:spacing w:after="200" w:line="276" w:lineRule="auto"/>
        <w:jc w:val="both"/>
        <w:rPr>
          <w:rFonts w:cs="Arial"/>
          <w:sz w:val="22"/>
          <w:szCs w:val="22"/>
        </w:rPr>
      </w:pPr>
      <w:r>
        <w:rPr>
          <w:rFonts w:cs="Arial"/>
          <w:sz w:val="22"/>
          <w:szCs w:val="22"/>
        </w:rPr>
        <w:t>2.4</w:t>
      </w:r>
      <w:r w:rsidR="000039A4">
        <w:rPr>
          <w:rFonts w:cs="Arial"/>
          <w:sz w:val="22"/>
          <w:szCs w:val="22"/>
        </w:rPr>
        <w:t xml:space="preserve"> </w:t>
      </w:r>
      <w:r w:rsidR="00623C6E">
        <w:rPr>
          <w:rFonts w:cs="Arial"/>
          <w:sz w:val="22"/>
          <w:szCs w:val="22"/>
        </w:rPr>
        <w:t>Each EHCP</w:t>
      </w:r>
      <w:r w:rsidR="00FC49FC">
        <w:rPr>
          <w:rFonts w:cs="Arial"/>
          <w:sz w:val="22"/>
          <w:szCs w:val="22"/>
        </w:rPr>
        <w:t xml:space="preserve"> will</w:t>
      </w:r>
      <w:r w:rsidR="00623C6E">
        <w:rPr>
          <w:rFonts w:cs="Arial"/>
          <w:sz w:val="22"/>
          <w:szCs w:val="22"/>
        </w:rPr>
        <w:t xml:space="preserve"> be funded at the ban</w:t>
      </w:r>
      <w:r w:rsidR="00C13413">
        <w:rPr>
          <w:rFonts w:cs="Arial"/>
          <w:sz w:val="22"/>
          <w:szCs w:val="22"/>
        </w:rPr>
        <w:t>d value that provides the close</w:t>
      </w:r>
      <w:r w:rsidR="008A3776">
        <w:rPr>
          <w:rFonts w:cs="Arial"/>
          <w:sz w:val="22"/>
          <w:szCs w:val="22"/>
        </w:rPr>
        <w:t>st</w:t>
      </w:r>
      <w:r w:rsidR="00623C6E">
        <w:rPr>
          <w:rFonts w:cs="Arial"/>
          <w:sz w:val="22"/>
          <w:szCs w:val="22"/>
        </w:rPr>
        <w:t xml:space="preserve"> fit for</w:t>
      </w:r>
      <w:r w:rsidR="00FC49FC">
        <w:rPr>
          <w:rFonts w:cs="Arial"/>
          <w:sz w:val="22"/>
          <w:szCs w:val="22"/>
        </w:rPr>
        <w:t xml:space="preserve"> meeting</w:t>
      </w:r>
      <w:r w:rsidR="00623C6E">
        <w:rPr>
          <w:rFonts w:cs="Arial"/>
          <w:sz w:val="22"/>
          <w:szCs w:val="22"/>
        </w:rPr>
        <w:t xml:space="preserve"> the cost of the needs of the child or young</w:t>
      </w:r>
      <w:r w:rsidR="00007D54">
        <w:rPr>
          <w:rFonts w:cs="Arial"/>
          <w:sz w:val="22"/>
          <w:szCs w:val="22"/>
        </w:rPr>
        <w:t xml:space="preserve"> person. In the </w:t>
      </w:r>
      <w:r w:rsidR="00712C24">
        <w:rPr>
          <w:rFonts w:cs="Arial"/>
          <w:sz w:val="22"/>
          <w:szCs w:val="22"/>
        </w:rPr>
        <w:t>model, the closest fit</w:t>
      </w:r>
      <w:r w:rsidR="00623C6E">
        <w:rPr>
          <w:rFonts w:cs="Arial"/>
          <w:sz w:val="22"/>
          <w:szCs w:val="22"/>
        </w:rPr>
        <w:t xml:space="preserve"> may </w:t>
      </w:r>
      <w:r w:rsidR="00FC49FC">
        <w:rPr>
          <w:rFonts w:cs="Arial"/>
          <w:sz w:val="22"/>
          <w:szCs w:val="22"/>
        </w:rPr>
        <w:t xml:space="preserve">also </w:t>
      </w:r>
      <w:r w:rsidR="00623C6E">
        <w:rPr>
          <w:rFonts w:cs="Arial"/>
          <w:sz w:val="22"/>
          <w:szCs w:val="22"/>
        </w:rPr>
        <w:t>be found by combining (</w:t>
      </w:r>
      <w:r w:rsidR="000043B2">
        <w:rPr>
          <w:rFonts w:cs="Arial"/>
          <w:sz w:val="22"/>
          <w:szCs w:val="22"/>
        </w:rPr>
        <w:t>‘</w:t>
      </w:r>
      <w:r w:rsidR="00623C6E">
        <w:rPr>
          <w:rFonts w:cs="Arial"/>
          <w:sz w:val="22"/>
          <w:szCs w:val="22"/>
        </w:rPr>
        <w:t>stacking</w:t>
      </w:r>
      <w:r w:rsidR="000043B2">
        <w:rPr>
          <w:rFonts w:cs="Arial"/>
          <w:sz w:val="22"/>
          <w:szCs w:val="22"/>
        </w:rPr>
        <w:t>’</w:t>
      </w:r>
      <w:r w:rsidR="00553D4C">
        <w:rPr>
          <w:rFonts w:cs="Arial"/>
          <w:sz w:val="22"/>
          <w:szCs w:val="22"/>
        </w:rPr>
        <w:t>) more than one</w:t>
      </w:r>
      <w:r w:rsidR="00623C6E">
        <w:rPr>
          <w:rFonts w:cs="Arial"/>
          <w:sz w:val="22"/>
          <w:szCs w:val="22"/>
        </w:rPr>
        <w:t xml:space="preserve"> band value. The facility to combine values means that the SEND Panel can use the model</w:t>
      </w:r>
      <w:r w:rsidR="00FC49FC">
        <w:rPr>
          <w:rFonts w:cs="Arial"/>
          <w:sz w:val="22"/>
          <w:szCs w:val="22"/>
        </w:rPr>
        <w:t xml:space="preserve"> in a flexible way</w:t>
      </w:r>
      <w:r w:rsidR="00623C6E">
        <w:rPr>
          <w:rFonts w:cs="Arial"/>
          <w:sz w:val="22"/>
          <w:szCs w:val="22"/>
        </w:rPr>
        <w:t xml:space="preserve"> to find a </w:t>
      </w:r>
      <w:r w:rsidR="00C13413">
        <w:rPr>
          <w:rFonts w:cs="Arial"/>
          <w:sz w:val="22"/>
          <w:szCs w:val="22"/>
        </w:rPr>
        <w:t xml:space="preserve">very </w:t>
      </w:r>
      <w:r w:rsidR="00623C6E">
        <w:rPr>
          <w:rFonts w:cs="Arial"/>
          <w:sz w:val="22"/>
          <w:szCs w:val="22"/>
        </w:rPr>
        <w:t>close fit for the funding especially of children and young people with significant secondary needs as well as those that require additional functional support</w:t>
      </w:r>
      <w:r w:rsidR="000043B2">
        <w:rPr>
          <w:rFonts w:cs="Arial"/>
          <w:sz w:val="22"/>
          <w:szCs w:val="22"/>
        </w:rPr>
        <w:t xml:space="preserve"> </w:t>
      </w:r>
      <w:r w:rsidR="00FC49FC">
        <w:rPr>
          <w:rFonts w:cs="Arial"/>
          <w:sz w:val="22"/>
          <w:szCs w:val="22"/>
        </w:rPr>
        <w:t xml:space="preserve">both </w:t>
      </w:r>
      <w:r w:rsidR="001E1106">
        <w:rPr>
          <w:rFonts w:cs="Arial"/>
          <w:sz w:val="22"/>
          <w:szCs w:val="22"/>
        </w:rPr>
        <w:t>within and outside of</w:t>
      </w:r>
      <w:r w:rsidR="004F596F">
        <w:rPr>
          <w:rFonts w:cs="Arial"/>
          <w:sz w:val="22"/>
          <w:szCs w:val="22"/>
        </w:rPr>
        <w:t xml:space="preserve"> the standard taught</w:t>
      </w:r>
      <w:r>
        <w:rPr>
          <w:rFonts w:cs="Arial"/>
          <w:sz w:val="22"/>
          <w:szCs w:val="22"/>
        </w:rPr>
        <w:t xml:space="preserve"> school day</w:t>
      </w:r>
      <w:r w:rsidR="00511054">
        <w:rPr>
          <w:rFonts w:cs="Arial"/>
          <w:sz w:val="22"/>
          <w:szCs w:val="22"/>
        </w:rPr>
        <w:t xml:space="preserve"> where this i</w:t>
      </w:r>
      <w:r w:rsidR="001E1106">
        <w:rPr>
          <w:rFonts w:cs="Arial"/>
          <w:sz w:val="22"/>
          <w:szCs w:val="22"/>
        </w:rPr>
        <w:t>s not already funded within a single band value</w:t>
      </w:r>
      <w:r>
        <w:rPr>
          <w:rFonts w:cs="Arial"/>
          <w:sz w:val="22"/>
          <w:szCs w:val="22"/>
        </w:rPr>
        <w:t>.</w:t>
      </w:r>
    </w:p>
    <w:p w:rsidR="00C13413" w:rsidRDefault="000039A4" w:rsidP="00355873">
      <w:pPr>
        <w:spacing w:after="200" w:line="276" w:lineRule="auto"/>
        <w:jc w:val="both"/>
        <w:rPr>
          <w:rFonts w:cs="Arial"/>
          <w:sz w:val="22"/>
          <w:szCs w:val="22"/>
        </w:rPr>
      </w:pPr>
      <w:r>
        <w:rPr>
          <w:rFonts w:cs="Arial"/>
          <w:sz w:val="22"/>
          <w:szCs w:val="22"/>
        </w:rPr>
        <w:t>2.</w:t>
      </w:r>
      <w:r w:rsidR="00FC49FC">
        <w:rPr>
          <w:rFonts w:cs="Arial"/>
          <w:sz w:val="22"/>
          <w:szCs w:val="22"/>
        </w:rPr>
        <w:t>5</w:t>
      </w:r>
      <w:r w:rsidR="00C13413">
        <w:rPr>
          <w:rFonts w:cs="Arial"/>
          <w:sz w:val="22"/>
          <w:szCs w:val="22"/>
        </w:rPr>
        <w:t xml:space="preserve"> </w:t>
      </w:r>
      <w:r w:rsidR="00007D54">
        <w:rPr>
          <w:rFonts w:cs="Arial"/>
          <w:sz w:val="22"/>
          <w:szCs w:val="22"/>
        </w:rPr>
        <w:t>It is helpful t</w:t>
      </w:r>
      <w:r w:rsidR="00C13413">
        <w:rPr>
          <w:rFonts w:cs="Arial"/>
          <w:sz w:val="22"/>
          <w:szCs w:val="22"/>
        </w:rPr>
        <w:t xml:space="preserve">o </w:t>
      </w:r>
      <w:r w:rsidR="00CD1122">
        <w:rPr>
          <w:rFonts w:cs="Arial"/>
          <w:sz w:val="22"/>
          <w:szCs w:val="22"/>
        </w:rPr>
        <w:t xml:space="preserve">continue to </w:t>
      </w:r>
      <w:r w:rsidR="00C13413">
        <w:rPr>
          <w:rFonts w:cs="Arial"/>
          <w:sz w:val="22"/>
          <w:szCs w:val="22"/>
        </w:rPr>
        <w:t>highlight</w:t>
      </w:r>
      <w:r w:rsidR="008A3776">
        <w:rPr>
          <w:rFonts w:cs="Arial"/>
          <w:sz w:val="22"/>
          <w:szCs w:val="22"/>
        </w:rPr>
        <w:t xml:space="preserve"> </w:t>
      </w:r>
      <w:r w:rsidR="00FC49FC">
        <w:rPr>
          <w:rFonts w:cs="Arial"/>
          <w:sz w:val="22"/>
          <w:szCs w:val="22"/>
        </w:rPr>
        <w:t>the</w:t>
      </w:r>
      <w:r w:rsidR="00774213">
        <w:rPr>
          <w:rFonts w:cs="Arial"/>
          <w:sz w:val="22"/>
          <w:szCs w:val="22"/>
        </w:rPr>
        <w:t xml:space="preserve"> main differences between our</w:t>
      </w:r>
      <w:r w:rsidR="00C13413">
        <w:rPr>
          <w:rFonts w:cs="Arial"/>
          <w:sz w:val="22"/>
          <w:szCs w:val="22"/>
        </w:rPr>
        <w:t xml:space="preserve"> </w:t>
      </w:r>
      <w:r w:rsidR="00226F66">
        <w:rPr>
          <w:rFonts w:cs="Arial"/>
          <w:sz w:val="22"/>
          <w:szCs w:val="22"/>
        </w:rPr>
        <w:t xml:space="preserve">current </w:t>
      </w:r>
      <w:r w:rsidR="00774213">
        <w:rPr>
          <w:rFonts w:cs="Arial"/>
          <w:sz w:val="22"/>
          <w:szCs w:val="22"/>
        </w:rPr>
        <w:t>Banded Model and our</w:t>
      </w:r>
      <w:r w:rsidR="00007D54">
        <w:rPr>
          <w:rFonts w:cs="Arial"/>
          <w:sz w:val="22"/>
          <w:szCs w:val="22"/>
        </w:rPr>
        <w:t xml:space="preserve"> previous</w:t>
      </w:r>
      <w:r w:rsidR="00C13413">
        <w:rPr>
          <w:rFonts w:cs="Arial"/>
          <w:sz w:val="22"/>
          <w:szCs w:val="22"/>
        </w:rPr>
        <w:t xml:space="preserve"> Ranges Model</w:t>
      </w:r>
      <w:r w:rsidR="00007D54">
        <w:rPr>
          <w:rFonts w:cs="Arial"/>
          <w:sz w:val="22"/>
          <w:szCs w:val="22"/>
        </w:rPr>
        <w:t xml:space="preserve"> that was used up to 31 March 2020</w:t>
      </w:r>
      <w:r w:rsidR="00C13413">
        <w:rPr>
          <w:rFonts w:cs="Arial"/>
          <w:sz w:val="22"/>
          <w:szCs w:val="22"/>
        </w:rPr>
        <w:t>:</w:t>
      </w:r>
    </w:p>
    <w:p w:rsidR="00DF0E19" w:rsidRDefault="00007D54" w:rsidP="000651A2">
      <w:pPr>
        <w:pStyle w:val="ListParagraph"/>
        <w:numPr>
          <w:ilvl w:val="0"/>
          <w:numId w:val="13"/>
        </w:numPr>
        <w:spacing w:after="200" w:line="276" w:lineRule="auto"/>
        <w:jc w:val="both"/>
        <w:rPr>
          <w:rFonts w:cs="Arial"/>
          <w:sz w:val="22"/>
          <w:szCs w:val="22"/>
        </w:rPr>
      </w:pPr>
      <w:r>
        <w:rPr>
          <w:rFonts w:cs="Arial"/>
          <w:sz w:val="22"/>
          <w:szCs w:val="22"/>
        </w:rPr>
        <w:t>The Banded M</w:t>
      </w:r>
      <w:r w:rsidR="00DF0E19" w:rsidRPr="003B75EF">
        <w:rPr>
          <w:rFonts w:cs="Arial"/>
          <w:sz w:val="22"/>
          <w:szCs w:val="22"/>
        </w:rPr>
        <w:t>odel does not have a 7</w:t>
      </w:r>
      <w:r w:rsidR="00DF0E19" w:rsidRPr="003B75EF">
        <w:rPr>
          <w:rFonts w:cs="Arial"/>
          <w:sz w:val="22"/>
          <w:szCs w:val="22"/>
          <w:vertAlign w:val="superscript"/>
        </w:rPr>
        <w:t>th</w:t>
      </w:r>
      <w:r w:rsidR="00DF0E19" w:rsidRPr="003B75EF">
        <w:rPr>
          <w:rFonts w:cs="Arial"/>
          <w:sz w:val="22"/>
          <w:szCs w:val="22"/>
        </w:rPr>
        <w:t xml:space="preserve"> step (the equivalent of </w:t>
      </w:r>
      <w:r>
        <w:rPr>
          <w:rFonts w:cs="Arial"/>
          <w:sz w:val="22"/>
          <w:szCs w:val="22"/>
        </w:rPr>
        <w:t>the previous</w:t>
      </w:r>
      <w:r w:rsidR="00DF0E19">
        <w:rPr>
          <w:rFonts w:cs="Arial"/>
          <w:sz w:val="22"/>
          <w:szCs w:val="22"/>
        </w:rPr>
        <w:t xml:space="preserve"> Range 7). It is</w:t>
      </w:r>
      <w:r w:rsidR="00960671">
        <w:rPr>
          <w:rFonts w:cs="Arial"/>
          <w:sz w:val="22"/>
          <w:szCs w:val="22"/>
        </w:rPr>
        <w:t xml:space="preserve"> expected that stacking will</w:t>
      </w:r>
      <w:r w:rsidR="00DF0E19" w:rsidRPr="003B75EF">
        <w:rPr>
          <w:rFonts w:cs="Arial"/>
          <w:sz w:val="22"/>
          <w:szCs w:val="22"/>
        </w:rPr>
        <w:t xml:space="preserve"> deliver a level of support higher than the single </w:t>
      </w:r>
      <w:r w:rsidR="00FC49FC">
        <w:rPr>
          <w:rFonts w:cs="Arial"/>
          <w:sz w:val="22"/>
          <w:szCs w:val="22"/>
        </w:rPr>
        <w:t xml:space="preserve">band </w:t>
      </w:r>
      <w:r w:rsidR="00DF0E19">
        <w:rPr>
          <w:rFonts w:cs="Arial"/>
          <w:sz w:val="22"/>
          <w:szCs w:val="22"/>
        </w:rPr>
        <w:t>4H</w:t>
      </w:r>
      <w:r w:rsidR="00953092">
        <w:rPr>
          <w:rFonts w:cs="Arial"/>
          <w:sz w:val="22"/>
          <w:szCs w:val="22"/>
        </w:rPr>
        <w:t>,</w:t>
      </w:r>
      <w:r w:rsidR="00DF0E19">
        <w:rPr>
          <w:rFonts w:cs="Arial"/>
          <w:sz w:val="22"/>
          <w:szCs w:val="22"/>
        </w:rPr>
        <w:t xml:space="preserve"> where this is necessary. S</w:t>
      </w:r>
      <w:r w:rsidR="00DF0E19" w:rsidRPr="003B75EF">
        <w:rPr>
          <w:rFonts w:cs="Arial"/>
          <w:sz w:val="22"/>
          <w:szCs w:val="22"/>
        </w:rPr>
        <w:t xml:space="preserve">pecific transition arrangements </w:t>
      </w:r>
      <w:r>
        <w:rPr>
          <w:rFonts w:cs="Arial"/>
          <w:sz w:val="22"/>
          <w:szCs w:val="22"/>
        </w:rPr>
        <w:t>are in place for</w:t>
      </w:r>
      <w:r w:rsidR="00FC49FC">
        <w:rPr>
          <w:rFonts w:cs="Arial"/>
          <w:sz w:val="22"/>
          <w:szCs w:val="22"/>
        </w:rPr>
        <w:t xml:space="preserve"> Range 7 EHCPs </w:t>
      </w:r>
      <w:r>
        <w:rPr>
          <w:rFonts w:cs="Arial"/>
          <w:sz w:val="22"/>
          <w:szCs w:val="22"/>
        </w:rPr>
        <w:t>that existed at 1 April 2020.</w:t>
      </w:r>
    </w:p>
    <w:p w:rsidR="00511054" w:rsidRDefault="00511054" w:rsidP="0046317B">
      <w:pPr>
        <w:pStyle w:val="ListParagraph"/>
        <w:spacing w:after="200" w:line="276" w:lineRule="auto"/>
        <w:ind w:left="360"/>
        <w:jc w:val="both"/>
        <w:rPr>
          <w:rFonts w:cs="Arial"/>
          <w:sz w:val="22"/>
          <w:szCs w:val="22"/>
        </w:rPr>
      </w:pPr>
    </w:p>
    <w:p w:rsidR="00DF0E19" w:rsidRDefault="00511054" w:rsidP="000651A2">
      <w:pPr>
        <w:pStyle w:val="ListParagraph"/>
        <w:numPr>
          <w:ilvl w:val="0"/>
          <w:numId w:val="13"/>
        </w:numPr>
        <w:spacing w:after="200" w:line="276" w:lineRule="auto"/>
        <w:jc w:val="both"/>
        <w:rPr>
          <w:rFonts w:cs="Arial"/>
          <w:sz w:val="22"/>
          <w:szCs w:val="22"/>
        </w:rPr>
      </w:pPr>
      <w:r>
        <w:rPr>
          <w:rFonts w:cs="Arial"/>
          <w:sz w:val="22"/>
          <w:szCs w:val="22"/>
        </w:rPr>
        <w:t>The Panel can</w:t>
      </w:r>
      <w:r w:rsidRPr="003B75EF">
        <w:rPr>
          <w:rFonts w:cs="Arial"/>
          <w:sz w:val="22"/>
          <w:szCs w:val="22"/>
        </w:rPr>
        <w:t xml:space="preserve"> ‘stack’ values (meaning an E</w:t>
      </w:r>
      <w:r w:rsidR="00207EEB">
        <w:rPr>
          <w:rFonts w:cs="Arial"/>
          <w:sz w:val="22"/>
          <w:szCs w:val="22"/>
        </w:rPr>
        <w:t>HCP can be allocated more than one</w:t>
      </w:r>
      <w:r w:rsidRPr="003B75EF">
        <w:rPr>
          <w:rFonts w:cs="Arial"/>
          <w:sz w:val="22"/>
          <w:szCs w:val="22"/>
        </w:rPr>
        <w:t xml:space="preserve"> value) in order to find </w:t>
      </w:r>
      <w:r>
        <w:rPr>
          <w:rFonts w:cs="Arial"/>
          <w:sz w:val="22"/>
          <w:szCs w:val="22"/>
        </w:rPr>
        <w:t>a close fit.</w:t>
      </w:r>
    </w:p>
    <w:p w:rsidR="00511054" w:rsidRPr="00511054" w:rsidRDefault="00511054" w:rsidP="0046317B">
      <w:pPr>
        <w:pStyle w:val="ListParagraph"/>
        <w:spacing w:after="200" w:line="276" w:lineRule="auto"/>
        <w:ind w:left="360"/>
        <w:jc w:val="both"/>
        <w:rPr>
          <w:rFonts w:cs="Arial"/>
          <w:sz w:val="22"/>
          <w:szCs w:val="22"/>
        </w:rPr>
      </w:pPr>
    </w:p>
    <w:p w:rsidR="00C13413" w:rsidRPr="00CA745D" w:rsidRDefault="00007D54" w:rsidP="000651A2">
      <w:pPr>
        <w:pStyle w:val="ListParagraph"/>
        <w:numPr>
          <w:ilvl w:val="0"/>
          <w:numId w:val="13"/>
        </w:numPr>
        <w:spacing w:after="200" w:line="276" w:lineRule="auto"/>
        <w:jc w:val="both"/>
        <w:rPr>
          <w:rFonts w:cs="Arial"/>
          <w:sz w:val="22"/>
          <w:szCs w:val="22"/>
        </w:rPr>
      </w:pPr>
      <w:r>
        <w:rPr>
          <w:rFonts w:cs="Arial"/>
          <w:sz w:val="22"/>
          <w:szCs w:val="22"/>
        </w:rPr>
        <w:t>The Banded M</w:t>
      </w:r>
      <w:r w:rsidR="00511054" w:rsidRPr="00CA745D">
        <w:rPr>
          <w:rFonts w:cs="Arial"/>
          <w:sz w:val="22"/>
          <w:szCs w:val="22"/>
        </w:rPr>
        <w:t xml:space="preserve">odel does not use primary need as </w:t>
      </w:r>
      <w:r w:rsidR="00D13E26">
        <w:rPr>
          <w:rFonts w:cs="Arial"/>
          <w:sz w:val="22"/>
          <w:szCs w:val="22"/>
        </w:rPr>
        <w:t xml:space="preserve">a </w:t>
      </w:r>
      <w:r w:rsidR="00511054" w:rsidRPr="00CA745D">
        <w:rPr>
          <w:rFonts w:cs="Arial"/>
          <w:sz w:val="22"/>
          <w:szCs w:val="22"/>
        </w:rPr>
        <w:t>marker for the placement of an EHCP into a band.</w:t>
      </w:r>
      <w:r w:rsidR="004F596F">
        <w:rPr>
          <w:rFonts w:cs="Arial"/>
          <w:sz w:val="22"/>
          <w:szCs w:val="22"/>
        </w:rPr>
        <w:t xml:space="preserve"> Placement is based on </w:t>
      </w:r>
      <w:r w:rsidR="00960671">
        <w:rPr>
          <w:rFonts w:cs="Arial"/>
          <w:sz w:val="22"/>
          <w:szCs w:val="22"/>
        </w:rPr>
        <w:t xml:space="preserve">assessed </w:t>
      </w:r>
      <w:r w:rsidR="004F596F">
        <w:rPr>
          <w:rFonts w:cs="Arial"/>
          <w:sz w:val="22"/>
          <w:szCs w:val="22"/>
        </w:rPr>
        <w:t>level of need.</w:t>
      </w:r>
    </w:p>
    <w:p w:rsidR="00305E97" w:rsidRPr="00CA745D" w:rsidRDefault="00305E97" w:rsidP="0046317B">
      <w:pPr>
        <w:pStyle w:val="ListParagraph"/>
        <w:spacing w:after="200" w:line="276" w:lineRule="auto"/>
        <w:ind w:left="360"/>
        <w:jc w:val="both"/>
        <w:rPr>
          <w:rFonts w:cs="Arial"/>
          <w:sz w:val="22"/>
          <w:szCs w:val="22"/>
        </w:rPr>
      </w:pPr>
    </w:p>
    <w:p w:rsidR="00C13413" w:rsidRDefault="00007D54" w:rsidP="000651A2">
      <w:pPr>
        <w:pStyle w:val="ListParagraph"/>
        <w:numPr>
          <w:ilvl w:val="0"/>
          <w:numId w:val="13"/>
        </w:numPr>
        <w:spacing w:after="200" w:line="276" w:lineRule="auto"/>
        <w:jc w:val="both"/>
        <w:rPr>
          <w:rFonts w:cs="Arial"/>
          <w:sz w:val="22"/>
          <w:szCs w:val="22"/>
        </w:rPr>
      </w:pPr>
      <w:r>
        <w:rPr>
          <w:rFonts w:cs="Arial"/>
          <w:sz w:val="22"/>
          <w:szCs w:val="22"/>
        </w:rPr>
        <w:t>Whereas the previous Ranges Model defined</w:t>
      </w:r>
      <w:r w:rsidR="00511054" w:rsidRPr="00CA745D">
        <w:rPr>
          <w:rFonts w:cs="Arial"/>
          <w:sz w:val="22"/>
          <w:szCs w:val="22"/>
        </w:rPr>
        <w:t xml:space="preserve"> need in terms o</w:t>
      </w:r>
      <w:r>
        <w:rPr>
          <w:rFonts w:cs="Arial"/>
          <w:sz w:val="22"/>
          <w:szCs w:val="22"/>
        </w:rPr>
        <w:t>f 1:1 hours of support, the Banded M</w:t>
      </w:r>
      <w:r w:rsidR="00E8426D">
        <w:rPr>
          <w:rFonts w:cs="Arial"/>
          <w:sz w:val="22"/>
          <w:szCs w:val="22"/>
        </w:rPr>
        <w:t>odel uses a</w:t>
      </w:r>
      <w:r w:rsidR="00960671">
        <w:rPr>
          <w:rFonts w:cs="Arial"/>
          <w:sz w:val="22"/>
          <w:szCs w:val="22"/>
        </w:rPr>
        <w:t xml:space="preserve"> </w:t>
      </w:r>
      <w:r w:rsidR="00511054" w:rsidRPr="00CA745D">
        <w:rPr>
          <w:rFonts w:cs="Arial"/>
          <w:sz w:val="22"/>
          <w:szCs w:val="22"/>
        </w:rPr>
        <w:t>p</w:t>
      </w:r>
      <w:r w:rsidR="00305E97" w:rsidRPr="00CA745D">
        <w:rPr>
          <w:rFonts w:cs="Arial"/>
          <w:sz w:val="22"/>
          <w:szCs w:val="22"/>
        </w:rPr>
        <w:t>rovision mapping</w:t>
      </w:r>
      <w:r w:rsidR="00511054" w:rsidRPr="00CA745D">
        <w:rPr>
          <w:rFonts w:cs="Arial"/>
          <w:sz w:val="22"/>
          <w:szCs w:val="22"/>
        </w:rPr>
        <w:t xml:space="preserve"> approach</w:t>
      </w:r>
      <w:r w:rsidR="00CA745D" w:rsidRPr="00CA745D">
        <w:rPr>
          <w:rFonts w:cs="Arial"/>
          <w:sz w:val="22"/>
          <w:szCs w:val="22"/>
        </w:rPr>
        <w:t xml:space="preserve"> and </w:t>
      </w:r>
      <w:r w:rsidR="004F596F">
        <w:rPr>
          <w:rFonts w:cs="Arial"/>
          <w:sz w:val="22"/>
          <w:szCs w:val="22"/>
        </w:rPr>
        <w:t>a combination of bespoke</w:t>
      </w:r>
      <w:r w:rsidR="00CA745D" w:rsidRPr="00CA745D">
        <w:rPr>
          <w:rFonts w:cs="Arial"/>
          <w:sz w:val="22"/>
          <w:szCs w:val="22"/>
        </w:rPr>
        <w:t xml:space="preserve"> time and time in smaller groups.</w:t>
      </w:r>
    </w:p>
    <w:p w:rsidR="00CA745D" w:rsidRPr="00CA745D" w:rsidRDefault="00CA745D" w:rsidP="0046317B">
      <w:pPr>
        <w:pStyle w:val="ListParagraph"/>
        <w:spacing w:after="200" w:line="276" w:lineRule="auto"/>
        <w:ind w:left="360"/>
        <w:jc w:val="both"/>
        <w:rPr>
          <w:rFonts w:cs="Arial"/>
          <w:sz w:val="22"/>
          <w:szCs w:val="22"/>
        </w:rPr>
      </w:pPr>
    </w:p>
    <w:p w:rsidR="008A3776" w:rsidRPr="00CA745D" w:rsidRDefault="008A3776" w:rsidP="000651A2">
      <w:pPr>
        <w:pStyle w:val="ListParagraph"/>
        <w:numPr>
          <w:ilvl w:val="0"/>
          <w:numId w:val="13"/>
        </w:numPr>
        <w:spacing w:after="200" w:line="276" w:lineRule="auto"/>
        <w:jc w:val="both"/>
        <w:rPr>
          <w:rFonts w:cs="Arial"/>
          <w:sz w:val="22"/>
          <w:szCs w:val="22"/>
        </w:rPr>
      </w:pPr>
      <w:r w:rsidRPr="00CA745D">
        <w:rPr>
          <w:rFonts w:cs="Arial"/>
          <w:sz w:val="22"/>
          <w:szCs w:val="22"/>
        </w:rPr>
        <w:t xml:space="preserve">The values </w:t>
      </w:r>
      <w:r w:rsidR="00CA745D" w:rsidRPr="00CA745D">
        <w:rPr>
          <w:rFonts w:cs="Arial"/>
          <w:sz w:val="22"/>
          <w:szCs w:val="22"/>
        </w:rPr>
        <w:t>alloca</w:t>
      </w:r>
      <w:r w:rsidR="00007D54">
        <w:rPr>
          <w:rFonts w:cs="Arial"/>
          <w:sz w:val="22"/>
          <w:szCs w:val="22"/>
        </w:rPr>
        <w:t>ted by the Banded M</w:t>
      </w:r>
      <w:r w:rsidR="00CD1122">
        <w:rPr>
          <w:rFonts w:cs="Arial"/>
          <w:sz w:val="22"/>
          <w:szCs w:val="22"/>
        </w:rPr>
        <w:t xml:space="preserve">odel are </w:t>
      </w:r>
      <w:r w:rsidR="000F33B5">
        <w:rPr>
          <w:rFonts w:cs="Arial"/>
          <w:sz w:val="22"/>
          <w:szCs w:val="22"/>
        </w:rPr>
        <w:t>significantly</w:t>
      </w:r>
      <w:r w:rsidR="00CD1122">
        <w:rPr>
          <w:rFonts w:cs="Arial"/>
          <w:sz w:val="22"/>
          <w:szCs w:val="22"/>
        </w:rPr>
        <w:t xml:space="preserve"> increased on those allocated by the Ranges Model</w:t>
      </w:r>
      <w:r w:rsidR="00672FCB" w:rsidRPr="00CA745D">
        <w:rPr>
          <w:rFonts w:cs="Arial"/>
          <w:sz w:val="22"/>
          <w:szCs w:val="22"/>
        </w:rPr>
        <w:t>.</w:t>
      </w:r>
      <w:r w:rsidR="003F3E31">
        <w:rPr>
          <w:rFonts w:cs="Arial"/>
          <w:sz w:val="22"/>
          <w:szCs w:val="22"/>
        </w:rPr>
        <w:t xml:space="preserve"> Th</w:t>
      </w:r>
      <w:r w:rsidR="00207EEB">
        <w:rPr>
          <w:rFonts w:cs="Arial"/>
          <w:sz w:val="22"/>
          <w:szCs w:val="22"/>
        </w:rPr>
        <w:t>e</w:t>
      </w:r>
      <w:r w:rsidR="00ED1601">
        <w:rPr>
          <w:rFonts w:cs="Arial"/>
          <w:sz w:val="22"/>
          <w:szCs w:val="22"/>
        </w:rPr>
        <w:t>se</w:t>
      </w:r>
      <w:r w:rsidR="00D13E26">
        <w:rPr>
          <w:rFonts w:cs="Arial"/>
          <w:sz w:val="22"/>
          <w:szCs w:val="22"/>
        </w:rPr>
        <w:t xml:space="preserve"> increase</w:t>
      </w:r>
      <w:r w:rsidR="003F3E31">
        <w:rPr>
          <w:rFonts w:cs="Arial"/>
          <w:sz w:val="22"/>
          <w:szCs w:val="22"/>
        </w:rPr>
        <w:t>s are</w:t>
      </w:r>
      <w:r w:rsidR="00D13E26">
        <w:rPr>
          <w:rFonts w:cs="Arial"/>
          <w:sz w:val="22"/>
          <w:szCs w:val="22"/>
        </w:rPr>
        <w:t xml:space="preserve"> the result of two</w:t>
      </w:r>
      <w:r w:rsidR="001B41B9">
        <w:rPr>
          <w:rFonts w:cs="Arial"/>
          <w:sz w:val="22"/>
          <w:szCs w:val="22"/>
        </w:rPr>
        <w:t xml:space="preserve"> main adjustments</w:t>
      </w:r>
      <w:r w:rsidR="00CA51CD">
        <w:rPr>
          <w:rFonts w:cs="Arial"/>
          <w:sz w:val="22"/>
          <w:szCs w:val="22"/>
        </w:rPr>
        <w:t xml:space="preserve"> between 2020 and 2023</w:t>
      </w:r>
      <w:r w:rsidR="00D13E26">
        <w:rPr>
          <w:rFonts w:cs="Arial"/>
          <w:sz w:val="22"/>
          <w:szCs w:val="22"/>
        </w:rPr>
        <w:t>;</w:t>
      </w:r>
      <w:r w:rsidR="00CA745D" w:rsidRPr="00CA745D">
        <w:rPr>
          <w:rFonts w:cs="Arial"/>
          <w:sz w:val="22"/>
          <w:szCs w:val="22"/>
        </w:rPr>
        <w:t xml:space="preserve"> a) refreshing the assumptions about the salaries of support assistants an</w:t>
      </w:r>
      <w:r w:rsidR="003F3E31">
        <w:rPr>
          <w:rFonts w:cs="Arial"/>
          <w:sz w:val="22"/>
          <w:szCs w:val="22"/>
        </w:rPr>
        <w:t>d teachers</w:t>
      </w:r>
      <w:r w:rsidR="00D13E26">
        <w:rPr>
          <w:rFonts w:cs="Arial"/>
          <w:sz w:val="22"/>
          <w:szCs w:val="22"/>
        </w:rPr>
        <w:t>;</w:t>
      </w:r>
      <w:r w:rsidR="00CA745D" w:rsidRPr="00CA745D">
        <w:rPr>
          <w:rFonts w:cs="Arial"/>
          <w:sz w:val="22"/>
          <w:szCs w:val="22"/>
        </w:rPr>
        <w:t xml:space="preserve"> </w:t>
      </w:r>
      <w:r w:rsidR="00953092">
        <w:rPr>
          <w:rFonts w:cs="Arial"/>
          <w:sz w:val="22"/>
          <w:szCs w:val="22"/>
        </w:rPr>
        <w:t xml:space="preserve">b) allowing the </w:t>
      </w:r>
      <w:r w:rsidR="00D32993">
        <w:rPr>
          <w:rFonts w:cs="Arial"/>
          <w:sz w:val="22"/>
          <w:szCs w:val="22"/>
        </w:rPr>
        <w:t>top-up</w:t>
      </w:r>
      <w:r w:rsidR="00953092">
        <w:rPr>
          <w:rFonts w:cs="Arial"/>
          <w:sz w:val="22"/>
          <w:szCs w:val="22"/>
        </w:rPr>
        <w:t xml:space="preserve"> model</w:t>
      </w:r>
      <w:r w:rsidR="00CA745D" w:rsidRPr="00CA745D">
        <w:rPr>
          <w:rFonts w:cs="Arial"/>
          <w:sz w:val="22"/>
          <w:szCs w:val="22"/>
        </w:rPr>
        <w:t xml:space="preserve"> to compensate for the </w:t>
      </w:r>
      <w:r w:rsidR="003F3E31">
        <w:rPr>
          <w:rFonts w:cs="Arial"/>
          <w:sz w:val="22"/>
          <w:szCs w:val="22"/>
        </w:rPr>
        <w:t xml:space="preserve">fixed </w:t>
      </w:r>
      <w:r w:rsidR="00007D54">
        <w:rPr>
          <w:rFonts w:cs="Arial"/>
          <w:sz w:val="22"/>
          <w:szCs w:val="22"/>
        </w:rPr>
        <w:t>£6,000 E</w:t>
      </w:r>
      <w:r w:rsidR="00960671">
        <w:rPr>
          <w:rFonts w:cs="Arial"/>
          <w:sz w:val="22"/>
          <w:szCs w:val="22"/>
        </w:rPr>
        <w:t>lement 2</w:t>
      </w:r>
      <w:r w:rsidR="00CA745D" w:rsidRPr="00CA745D">
        <w:rPr>
          <w:rFonts w:cs="Arial"/>
          <w:sz w:val="22"/>
          <w:szCs w:val="22"/>
        </w:rPr>
        <w:t>.</w:t>
      </w:r>
      <w:r w:rsidR="00672FCB" w:rsidRPr="00CA745D">
        <w:rPr>
          <w:rFonts w:cs="Arial"/>
          <w:sz w:val="22"/>
          <w:szCs w:val="22"/>
        </w:rPr>
        <w:t xml:space="preserve"> </w:t>
      </w:r>
      <w:r w:rsidR="00960671" w:rsidRPr="00953092">
        <w:rPr>
          <w:rFonts w:cs="Arial"/>
          <w:sz w:val="22"/>
          <w:szCs w:val="22"/>
        </w:rPr>
        <w:t xml:space="preserve">Please </w:t>
      </w:r>
      <w:r w:rsidR="00960671" w:rsidRPr="006756BF">
        <w:rPr>
          <w:rFonts w:cs="Arial"/>
          <w:color w:val="000000" w:themeColor="text1"/>
          <w:sz w:val="22"/>
          <w:szCs w:val="22"/>
        </w:rPr>
        <w:t xml:space="preserve">see </w:t>
      </w:r>
      <w:r w:rsidR="00D1596F" w:rsidRPr="006756BF">
        <w:rPr>
          <w:rFonts w:cs="Arial"/>
          <w:color w:val="000000" w:themeColor="text1"/>
          <w:sz w:val="22"/>
          <w:szCs w:val="22"/>
        </w:rPr>
        <w:t>section</w:t>
      </w:r>
      <w:r w:rsidR="00960671" w:rsidRPr="006756BF">
        <w:rPr>
          <w:rFonts w:cs="Arial"/>
          <w:color w:val="000000" w:themeColor="text1"/>
          <w:sz w:val="22"/>
          <w:szCs w:val="22"/>
        </w:rPr>
        <w:t xml:space="preserve"> 6 for </w:t>
      </w:r>
      <w:r w:rsidR="00960671" w:rsidRPr="00953092">
        <w:rPr>
          <w:rFonts w:cs="Arial"/>
          <w:sz w:val="22"/>
          <w:szCs w:val="22"/>
        </w:rPr>
        <w:t>explanation of this.</w:t>
      </w:r>
      <w:r w:rsidR="003F3E31" w:rsidRPr="00953092">
        <w:rPr>
          <w:rFonts w:cs="Arial"/>
          <w:sz w:val="22"/>
          <w:szCs w:val="22"/>
        </w:rPr>
        <w:t xml:space="preserve"> </w:t>
      </w:r>
    </w:p>
    <w:p w:rsidR="00FC49FC" w:rsidRDefault="00FC49FC" w:rsidP="0046317B">
      <w:pPr>
        <w:pStyle w:val="ListParagraph"/>
        <w:spacing w:after="200" w:line="276" w:lineRule="auto"/>
        <w:ind w:left="360"/>
        <w:jc w:val="both"/>
        <w:rPr>
          <w:rFonts w:cs="Arial"/>
          <w:color w:val="FF0000"/>
          <w:sz w:val="22"/>
          <w:szCs w:val="22"/>
        </w:rPr>
      </w:pPr>
    </w:p>
    <w:p w:rsidR="00FC49FC" w:rsidRPr="008869EA" w:rsidRDefault="00FC49FC" w:rsidP="000651A2">
      <w:pPr>
        <w:pStyle w:val="ListParagraph"/>
        <w:numPr>
          <w:ilvl w:val="0"/>
          <w:numId w:val="13"/>
        </w:numPr>
        <w:spacing w:after="200" w:line="276" w:lineRule="auto"/>
        <w:jc w:val="both"/>
        <w:rPr>
          <w:rFonts w:cs="Arial"/>
          <w:sz w:val="22"/>
          <w:szCs w:val="22"/>
        </w:rPr>
      </w:pPr>
      <w:r w:rsidRPr="003B75EF">
        <w:rPr>
          <w:rFonts w:cs="Arial"/>
          <w:sz w:val="22"/>
          <w:szCs w:val="22"/>
        </w:rPr>
        <w:t xml:space="preserve">The </w:t>
      </w:r>
      <w:r w:rsidR="00007D54">
        <w:rPr>
          <w:rFonts w:cs="Arial"/>
          <w:sz w:val="22"/>
          <w:szCs w:val="22"/>
        </w:rPr>
        <w:t>Banded</w:t>
      </w:r>
      <w:r w:rsidR="00D13E26">
        <w:rPr>
          <w:rFonts w:cs="Arial"/>
          <w:sz w:val="22"/>
          <w:szCs w:val="22"/>
        </w:rPr>
        <w:t xml:space="preserve"> </w:t>
      </w:r>
      <w:r w:rsidR="00007D54">
        <w:rPr>
          <w:rFonts w:cs="Arial"/>
          <w:sz w:val="22"/>
          <w:szCs w:val="22"/>
        </w:rPr>
        <w:t xml:space="preserve">Model </w:t>
      </w:r>
      <w:r w:rsidRPr="003B75EF">
        <w:rPr>
          <w:rFonts w:cs="Arial"/>
          <w:sz w:val="22"/>
          <w:szCs w:val="22"/>
        </w:rPr>
        <w:t>work</w:t>
      </w:r>
      <w:r w:rsidR="00007D54">
        <w:rPr>
          <w:rFonts w:cs="Arial"/>
          <w:sz w:val="22"/>
          <w:szCs w:val="22"/>
        </w:rPr>
        <w:t>s</w:t>
      </w:r>
      <w:r w:rsidRPr="003B75EF">
        <w:rPr>
          <w:rFonts w:cs="Arial"/>
          <w:sz w:val="22"/>
          <w:szCs w:val="22"/>
        </w:rPr>
        <w:t xml:space="preserve"> alongside </w:t>
      </w:r>
      <w:r>
        <w:rPr>
          <w:rFonts w:cs="Arial"/>
          <w:sz w:val="22"/>
          <w:szCs w:val="22"/>
        </w:rPr>
        <w:t xml:space="preserve">a </w:t>
      </w:r>
      <w:r w:rsidRPr="003B75EF">
        <w:rPr>
          <w:rFonts w:cs="Arial"/>
          <w:sz w:val="22"/>
          <w:szCs w:val="22"/>
        </w:rPr>
        <w:t>clarified</w:t>
      </w:r>
      <w:r>
        <w:rPr>
          <w:rFonts w:cs="Arial"/>
          <w:sz w:val="22"/>
          <w:szCs w:val="22"/>
        </w:rPr>
        <w:t xml:space="preserve"> / amended approach to the sharing of the cost of </w:t>
      </w:r>
      <w:r w:rsidRPr="003B75EF">
        <w:rPr>
          <w:rFonts w:cs="Arial"/>
          <w:sz w:val="22"/>
          <w:szCs w:val="22"/>
        </w:rPr>
        <w:t>speciali</w:t>
      </w:r>
      <w:r>
        <w:rPr>
          <w:rFonts w:cs="Arial"/>
          <w:sz w:val="22"/>
          <w:szCs w:val="22"/>
        </w:rPr>
        <w:t>st equipment</w:t>
      </w:r>
      <w:r w:rsidRPr="003B75EF">
        <w:rPr>
          <w:rFonts w:cs="Arial"/>
          <w:sz w:val="22"/>
          <w:szCs w:val="22"/>
        </w:rPr>
        <w:t>.</w:t>
      </w:r>
      <w:r w:rsidR="00CA745D">
        <w:rPr>
          <w:rFonts w:cs="Arial"/>
          <w:sz w:val="22"/>
          <w:szCs w:val="22"/>
        </w:rPr>
        <w:t xml:space="preserve"> </w:t>
      </w:r>
    </w:p>
    <w:p w:rsidR="00D13E26" w:rsidRPr="00D13E26" w:rsidRDefault="00D13E26" w:rsidP="00355873">
      <w:pPr>
        <w:spacing w:after="200" w:line="276" w:lineRule="auto"/>
        <w:jc w:val="both"/>
        <w:rPr>
          <w:rFonts w:cs="Arial"/>
          <w:sz w:val="22"/>
          <w:szCs w:val="22"/>
        </w:rPr>
      </w:pPr>
      <w:r w:rsidRPr="00D13E26">
        <w:rPr>
          <w:rFonts w:cs="Arial"/>
          <w:sz w:val="22"/>
          <w:szCs w:val="22"/>
        </w:rPr>
        <w:t>2.</w:t>
      </w:r>
      <w:r>
        <w:rPr>
          <w:rFonts w:cs="Arial"/>
          <w:sz w:val="22"/>
          <w:szCs w:val="22"/>
        </w:rPr>
        <w:t>6</w:t>
      </w:r>
      <w:r w:rsidRPr="00D13E26">
        <w:rPr>
          <w:rFonts w:cs="Arial"/>
          <w:sz w:val="22"/>
          <w:szCs w:val="22"/>
        </w:rPr>
        <w:t xml:space="preserve"> To highlight </w:t>
      </w:r>
      <w:r>
        <w:rPr>
          <w:rFonts w:cs="Arial"/>
          <w:sz w:val="22"/>
          <w:szCs w:val="22"/>
        </w:rPr>
        <w:t xml:space="preserve">how the </w:t>
      </w:r>
      <w:r w:rsidR="000F33B5">
        <w:rPr>
          <w:rFonts w:cs="Arial"/>
          <w:sz w:val="22"/>
          <w:szCs w:val="22"/>
        </w:rPr>
        <w:t>Banded Model continues to be</w:t>
      </w:r>
      <w:r>
        <w:rPr>
          <w:rFonts w:cs="Arial"/>
          <w:sz w:val="22"/>
          <w:szCs w:val="22"/>
        </w:rPr>
        <w:t xml:space="preserve"> the same or similar to</w:t>
      </w:r>
      <w:r w:rsidR="00007D54">
        <w:rPr>
          <w:rFonts w:cs="Arial"/>
          <w:sz w:val="22"/>
          <w:szCs w:val="22"/>
        </w:rPr>
        <w:t xml:space="preserve"> the previous</w:t>
      </w:r>
      <w:r w:rsidRPr="00D13E26">
        <w:rPr>
          <w:rFonts w:cs="Arial"/>
          <w:sz w:val="22"/>
          <w:szCs w:val="22"/>
        </w:rPr>
        <w:t xml:space="preserve"> Ranges Model:</w:t>
      </w:r>
    </w:p>
    <w:p w:rsidR="00FC49FC" w:rsidRDefault="00FC49FC" w:rsidP="000651A2">
      <w:pPr>
        <w:pStyle w:val="ListParagraph"/>
        <w:numPr>
          <w:ilvl w:val="0"/>
          <w:numId w:val="12"/>
        </w:numPr>
        <w:spacing w:after="200" w:line="276" w:lineRule="auto"/>
        <w:jc w:val="both"/>
        <w:rPr>
          <w:rFonts w:cs="Arial"/>
          <w:sz w:val="22"/>
          <w:szCs w:val="22"/>
        </w:rPr>
      </w:pPr>
      <w:r w:rsidRPr="00EC42D8">
        <w:rPr>
          <w:rFonts w:cs="Arial"/>
          <w:sz w:val="22"/>
          <w:szCs w:val="22"/>
        </w:rPr>
        <w:t>Decisions on the application of the Banded Model</w:t>
      </w:r>
      <w:r w:rsidR="000F33B5">
        <w:rPr>
          <w:rFonts w:cs="Arial"/>
          <w:sz w:val="22"/>
          <w:szCs w:val="22"/>
        </w:rPr>
        <w:t xml:space="preserve"> – which of the 6 bands an</w:t>
      </w:r>
      <w:r>
        <w:rPr>
          <w:rFonts w:cs="Arial"/>
          <w:sz w:val="22"/>
          <w:szCs w:val="22"/>
        </w:rPr>
        <w:t xml:space="preserve"> EHCP is placed in and whether an EHCP is</w:t>
      </w:r>
      <w:r w:rsidR="00524427">
        <w:rPr>
          <w:rFonts w:cs="Arial"/>
          <w:sz w:val="22"/>
          <w:szCs w:val="22"/>
        </w:rPr>
        <w:t xml:space="preserve"> given more than </w:t>
      </w:r>
      <w:r w:rsidR="002510CF">
        <w:rPr>
          <w:rFonts w:cs="Arial"/>
          <w:sz w:val="22"/>
          <w:szCs w:val="22"/>
        </w:rPr>
        <w:t>one</w:t>
      </w:r>
      <w:r w:rsidR="00524427">
        <w:rPr>
          <w:rFonts w:cs="Arial"/>
          <w:sz w:val="22"/>
          <w:szCs w:val="22"/>
        </w:rPr>
        <w:t xml:space="preserve"> band value -</w:t>
      </w:r>
      <w:r w:rsidRPr="00EC42D8">
        <w:rPr>
          <w:rFonts w:cs="Arial"/>
          <w:sz w:val="22"/>
          <w:szCs w:val="22"/>
        </w:rPr>
        <w:t xml:space="preserve"> </w:t>
      </w:r>
      <w:r>
        <w:rPr>
          <w:rFonts w:cs="Arial"/>
          <w:sz w:val="22"/>
          <w:szCs w:val="22"/>
        </w:rPr>
        <w:t>continue</w:t>
      </w:r>
      <w:r w:rsidRPr="00EC42D8">
        <w:rPr>
          <w:rFonts w:cs="Arial"/>
          <w:sz w:val="22"/>
          <w:szCs w:val="22"/>
        </w:rPr>
        <w:t xml:space="preserve"> </w:t>
      </w:r>
      <w:r>
        <w:rPr>
          <w:rFonts w:cs="Arial"/>
          <w:sz w:val="22"/>
          <w:szCs w:val="22"/>
        </w:rPr>
        <w:t xml:space="preserve">to </w:t>
      </w:r>
      <w:r w:rsidRPr="00EC42D8">
        <w:rPr>
          <w:rFonts w:cs="Arial"/>
          <w:sz w:val="22"/>
          <w:szCs w:val="22"/>
        </w:rPr>
        <w:t>be taken by Bradford Council’s SEND Panel with refere</w:t>
      </w:r>
      <w:r w:rsidR="003F3E31">
        <w:rPr>
          <w:rFonts w:cs="Arial"/>
          <w:sz w:val="22"/>
          <w:szCs w:val="22"/>
        </w:rPr>
        <w:t>nce to the evidence submitted through</w:t>
      </w:r>
      <w:r w:rsidRPr="00EC42D8">
        <w:rPr>
          <w:rFonts w:cs="Arial"/>
          <w:sz w:val="22"/>
          <w:szCs w:val="22"/>
        </w:rPr>
        <w:t xml:space="preserve"> the EHCP assessment process.</w:t>
      </w:r>
      <w:r w:rsidR="00237167">
        <w:rPr>
          <w:rFonts w:cs="Arial"/>
          <w:sz w:val="22"/>
          <w:szCs w:val="22"/>
        </w:rPr>
        <w:t xml:space="preserve"> Appeals and dispute</w:t>
      </w:r>
      <w:r w:rsidR="001D4BD1">
        <w:rPr>
          <w:rFonts w:cs="Arial"/>
          <w:sz w:val="22"/>
          <w:szCs w:val="22"/>
        </w:rPr>
        <w:t>s</w:t>
      </w:r>
      <w:r w:rsidR="00237167">
        <w:rPr>
          <w:rFonts w:cs="Arial"/>
          <w:sz w:val="22"/>
          <w:szCs w:val="22"/>
        </w:rPr>
        <w:t xml:space="preserve"> also continue to be resolved through the Panel process.</w:t>
      </w:r>
    </w:p>
    <w:p w:rsidR="00FC49FC" w:rsidRDefault="00FC49FC" w:rsidP="0046317B">
      <w:pPr>
        <w:pStyle w:val="ListParagraph"/>
        <w:spacing w:after="200" w:line="276" w:lineRule="auto"/>
        <w:ind w:left="360"/>
        <w:jc w:val="both"/>
        <w:rPr>
          <w:rFonts w:cs="Arial"/>
          <w:sz w:val="22"/>
          <w:szCs w:val="22"/>
        </w:rPr>
      </w:pPr>
    </w:p>
    <w:p w:rsidR="00DF0E19" w:rsidRDefault="00DF0E19" w:rsidP="000651A2">
      <w:pPr>
        <w:pStyle w:val="ListParagraph"/>
        <w:numPr>
          <w:ilvl w:val="0"/>
          <w:numId w:val="12"/>
        </w:numPr>
        <w:spacing w:after="200" w:line="276" w:lineRule="auto"/>
        <w:jc w:val="both"/>
        <w:rPr>
          <w:rFonts w:cs="Arial"/>
          <w:sz w:val="22"/>
          <w:szCs w:val="22"/>
        </w:rPr>
      </w:pPr>
      <w:r w:rsidRPr="006C1D2E">
        <w:rPr>
          <w:rFonts w:cs="Arial"/>
          <w:sz w:val="22"/>
          <w:szCs w:val="22"/>
        </w:rPr>
        <w:t>In all steps within the model, the school</w:t>
      </w:r>
      <w:r>
        <w:rPr>
          <w:rFonts w:cs="Arial"/>
          <w:sz w:val="22"/>
          <w:szCs w:val="22"/>
        </w:rPr>
        <w:t xml:space="preserve"> / provider, with the exception of EHCPs for 2, 3 and 4 years olds (pre-reception)</w:t>
      </w:r>
      <w:r w:rsidR="003F3E31">
        <w:rPr>
          <w:rFonts w:cs="Arial"/>
          <w:sz w:val="22"/>
          <w:szCs w:val="22"/>
        </w:rPr>
        <w:t xml:space="preserve"> in mainstream not specialist provision</w:t>
      </w:r>
      <w:r>
        <w:rPr>
          <w:rFonts w:cs="Arial"/>
          <w:sz w:val="22"/>
          <w:szCs w:val="22"/>
        </w:rPr>
        <w:t>,</w:t>
      </w:r>
      <w:r w:rsidR="000F33B5">
        <w:rPr>
          <w:rFonts w:cs="Arial"/>
          <w:sz w:val="22"/>
          <w:szCs w:val="22"/>
        </w:rPr>
        <w:t xml:space="preserve"> is expected to contribute E</w:t>
      </w:r>
      <w:r w:rsidRPr="006C1D2E">
        <w:rPr>
          <w:rFonts w:cs="Arial"/>
          <w:sz w:val="22"/>
          <w:szCs w:val="22"/>
        </w:rPr>
        <w:t>lement 2 funding currently at a value of £6,000</w:t>
      </w:r>
      <w:r>
        <w:rPr>
          <w:rFonts w:cs="Arial"/>
          <w:sz w:val="22"/>
          <w:szCs w:val="22"/>
        </w:rPr>
        <w:t xml:space="preserve"> to the cost of additional needs</w:t>
      </w:r>
      <w:r w:rsidRPr="006C1D2E">
        <w:rPr>
          <w:rFonts w:cs="Arial"/>
          <w:sz w:val="22"/>
          <w:szCs w:val="22"/>
        </w:rPr>
        <w:t>.</w:t>
      </w:r>
      <w:r>
        <w:rPr>
          <w:rFonts w:cs="Arial"/>
          <w:sz w:val="22"/>
          <w:szCs w:val="22"/>
        </w:rPr>
        <w:t xml:space="preserve"> </w:t>
      </w:r>
    </w:p>
    <w:p w:rsidR="00DF0E19" w:rsidRPr="006C1D2E" w:rsidRDefault="00DF0E19" w:rsidP="0046317B">
      <w:pPr>
        <w:pStyle w:val="ListParagraph"/>
        <w:spacing w:after="200" w:line="276" w:lineRule="auto"/>
        <w:ind w:left="360"/>
        <w:jc w:val="both"/>
        <w:rPr>
          <w:rFonts w:cs="Arial"/>
          <w:sz w:val="22"/>
          <w:szCs w:val="22"/>
        </w:rPr>
      </w:pPr>
    </w:p>
    <w:p w:rsidR="000707A8" w:rsidRDefault="00DF0E19" w:rsidP="000651A2">
      <w:pPr>
        <w:pStyle w:val="ListParagraph"/>
        <w:numPr>
          <w:ilvl w:val="0"/>
          <w:numId w:val="12"/>
        </w:numPr>
        <w:spacing w:after="200" w:line="276" w:lineRule="auto"/>
        <w:jc w:val="both"/>
        <w:rPr>
          <w:rFonts w:cs="Arial"/>
          <w:sz w:val="22"/>
          <w:szCs w:val="22"/>
        </w:rPr>
      </w:pPr>
      <w:r w:rsidRPr="003B75EF">
        <w:rPr>
          <w:rFonts w:cs="Arial"/>
          <w:sz w:val="22"/>
          <w:szCs w:val="22"/>
        </w:rPr>
        <w:t xml:space="preserve">The bottom </w:t>
      </w:r>
      <w:r w:rsidR="003F3E31">
        <w:rPr>
          <w:rFonts w:cs="Arial"/>
          <w:sz w:val="22"/>
          <w:szCs w:val="22"/>
        </w:rPr>
        <w:t>‘</w:t>
      </w:r>
      <w:r w:rsidRPr="003B75EF">
        <w:rPr>
          <w:rFonts w:cs="Arial"/>
          <w:sz w:val="22"/>
          <w:szCs w:val="22"/>
        </w:rPr>
        <w:t>threshold</w:t>
      </w:r>
      <w:r w:rsidR="003F3E31">
        <w:rPr>
          <w:rFonts w:cs="Arial"/>
          <w:sz w:val="22"/>
          <w:szCs w:val="22"/>
        </w:rPr>
        <w:t>’</w:t>
      </w:r>
      <w:r w:rsidRPr="003B75EF">
        <w:rPr>
          <w:rFonts w:cs="Arial"/>
          <w:sz w:val="22"/>
          <w:szCs w:val="22"/>
        </w:rPr>
        <w:t xml:space="preserve"> for the 1</w:t>
      </w:r>
      <w:r w:rsidRPr="003B75EF">
        <w:rPr>
          <w:rFonts w:cs="Arial"/>
          <w:sz w:val="22"/>
          <w:szCs w:val="22"/>
          <w:vertAlign w:val="superscript"/>
        </w:rPr>
        <w:t>st</w:t>
      </w:r>
      <w:r w:rsidR="003F3E31">
        <w:rPr>
          <w:rFonts w:cs="Arial"/>
          <w:sz w:val="22"/>
          <w:szCs w:val="22"/>
        </w:rPr>
        <w:t xml:space="preserve"> step of Band </w:t>
      </w:r>
      <w:r w:rsidRPr="003B75EF">
        <w:rPr>
          <w:rFonts w:cs="Arial"/>
          <w:sz w:val="22"/>
          <w:szCs w:val="22"/>
        </w:rPr>
        <w:t>3</w:t>
      </w:r>
      <w:r w:rsidR="003F3E31">
        <w:rPr>
          <w:rFonts w:cs="Arial"/>
          <w:sz w:val="22"/>
          <w:szCs w:val="22"/>
        </w:rPr>
        <w:t xml:space="preserve"> </w:t>
      </w:r>
      <w:r w:rsidR="000707A8">
        <w:rPr>
          <w:rFonts w:cs="Arial"/>
          <w:sz w:val="22"/>
          <w:szCs w:val="22"/>
        </w:rPr>
        <w:t xml:space="preserve">(3 </w:t>
      </w:r>
      <w:r w:rsidRPr="003B75EF">
        <w:rPr>
          <w:rFonts w:cs="Arial"/>
          <w:sz w:val="22"/>
          <w:szCs w:val="22"/>
        </w:rPr>
        <w:t>L</w:t>
      </w:r>
      <w:r w:rsidR="003F3E31">
        <w:rPr>
          <w:rFonts w:cs="Arial"/>
          <w:sz w:val="22"/>
          <w:szCs w:val="22"/>
        </w:rPr>
        <w:t>ow</w:t>
      </w:r>
      <w:r w:rsidR="000707A8">
        <w:rPr>
          <w:rFonts w:cs="Arial"/>
          <w:sz w:val="22"/>
          <w:szCs w:val="22"/>
        </w:rPr>
        <w:t>)</w:t>
      </w:r>
      <w:r w:rsidR="00207EEB">
        <w:rPr>
          <w:rFonts w:cs="Arial"/>
          <w:sz w:val="22"/>
          <w:szCs w:val="22"/>
        </w:rPr>
        <w:t xml:space="preserve"> </w:t>
      </w:r>
      <w:r w:rsidR="000F33B5">
        <w:rPr>
          <w:rFonts w:cs="Arial"/>
          <w:sz w:val="22"/>
          <w:szCs w:val="22"/>
        </w:rPr>
        <w:t xml:space="preserve">is the same as the </w:t>
      </w:r>
      <w:r w:rsidR="00CD1122">
        <w:rPr>
          <w:rFonts w:cs="Arial"/>
          <w:sz w:val="22"/>
          <w:szCs w:val="22"/>
        </w:rPr>
        <w:t>Ranges Model</w:t>
      </w:r>
      <w:r w:rsidR="000F33B5">
        <w:rPr>
          <w:rFonts w:cs="Arial"/>
          <w:sz w:val="22"/>
          <w:szCs w:val="22"/>
        </w:rPr>
        <w:t>. The Banded M</w:t>
      </w:r>
      <w:r w:rsidR="003F3E31">
        <w:rPr>
          <w:rFonts w:cs="Arial"/>
          <w:sz w:val="22"/>
          <w:szCs w:val="22"/>
        </w:rPr>
        <w:t xml:space="preserve">odel </w:t>
      </w:r>
      <w:r w:rsidR="000F33B5">
        <w:rPr>
          <w:rFonts w:cs="Arial"/>
          <w:sz w:val="22"/>
          <w:szCs w:val="22"/>
        </w:rPr>
        <w:t xml:space="preserve">itself has not </w:t>
      </w:r>
      <w:r w:rsidR="003F3E31">
        <w:rPr>
          <w:rFonts w:cs="Arial"/>
          <w:sz w:val="22"/>
          <w:szCs w:val="22"/>
        </w:rPr>
        <w:t>change</w:t>
      </w:r>
      <w:r w:rsidR="000F33B5">
        <w:rPr>
          <w:rFonts w:cs="Arial"/>
          <w:sz w:val="22"/>
          <w:szCs w:val="22"/>
        </w:rPr>
        <w:t>d</w:t>
      </w:r>
      <w:r w:rsidR="003F3E31">
        <w:rPr>
          <w:rFonts w:cs="Arial"/>
          <w:sz w:val="22"/>
          <w:szCs w:val="22"/>
        </w:rPr>
        <w:t xml:space="preserve"> the thr</w:t>
      </w:r>
      <w:r w:rsidR="00524427">
        <w:rPr>
          <w:rFonts w:cs="Arial"/>
          <w:sz w:val="22"/>
          <w:szCs w:val="22"/>
        </w:rPr>
        <w:t>eshold at which EHCP funding can</w:t>
      </w:r>
      <w:r w:rsidR="003F3E31">
        <w:rPr>
          <w:rFonts w:cs="Arial"/>
          <w:sz w:val="22"/>
          <w:szCs w:val="22"/>
        </w:rPr>
        <w:t xml:space="preserve"> initiate</w:t>
      </w:r>
      <w:r w:rsidR="000F33B5">
        <w:rPr>
          <w:rFonts w:cs="Arial"/>
          <w:sz w:val="22"/>
          <w:szCs w:val="22"/>
        </w:rPr>
        <w:t xml:space="preserve"> nor has it</w:t>
      </w:r>
      <w:r w:rsidR="00237167">
        <w:rPr>
          <w:rFonts w:cs="Arial"/>
          <w:sz w:val="22"/>
          <w:szCs w:val="22"/>
        </w:rPr>
        <w:t xml:space="preserve"> change</w:t>
      </w:r>
      <w:r w:rsidR="000F33B5">
        <w:rPr>
          <w:rFonts w:cs="Arial"/>
          <w:sz w:val="22"/>
          <w:szCs w:val="22"/>
        </w:rPr>
        <w:t>d</w:t>
      </w:r>
      <w:r w:rsidR="00237167">
        <w:rPr>
          <w:rFonts w:cs="Arial"/>
          <w:sz w:val="22"/>
          <w:szCs w:val="22"/>
        </w:rPr>
        <w:t xml:space="preserve"> the point</w:t>
      </w:r>
      <w:r w:rsidR="00393B38">
        <w:rPr>
          <w:rFonts w:cs="Arial"/>
          <w:sz w:val="22"/>
          <w:szCs w:val="22"/>
        </w:rPr>
        <w:t>s</w:t>
      </w:r>
      <w:r w:rsidR="00237167">
        <w:rPr>
          <w:rFonts w:cs="Arial"/>
          <w:sz w:val="22"/>
          <w:szCs w:val="22"/>
        </w:rPr>
        <w:t xml:space="preserve"> of access to an</w:t>
      </w:r>
      <w:r w:rsidR="00B52CAF">
        <w:rPr>
          <w:rFonts w:cs="Arial"/>
          <w:sz w:val="22"/>
          <w:szCs w:val="22"/>
        </w:rPr>
        <w:t xml:space="preserve"> EHCP. It </w:t>
      </w:r>
      <w:r w:rsidR="000F33B5">
        <w:rPr>
          <w:rFonts w:cs="Arial"/>
          <w:sz w:val="22"/>
          <w:szCs w:val="22"/>
        </w:rPr>
        <w:t>simply has changed</w:t>
      </w:r>
      <w:r w:rsidR="00B52CAF">
        <w:rPr>
          <w:rFonts w:cs="Arial"/>
          <w:sz w:val="22"/>
          <w:szCs w:val="22"/>
        </w:rPr>
        <w:t xml:space="preserve"> the options that are available to the </w:t>
      </w:r>
      <w:r w:rsidR="00281907">
        <w:rPr>
          <w:rFonts w:cs="Arial"/>
          <w:sz w:val="22"/>
          <w:szCs w:val="22"/>
        </w:rPr>
        <w:t xml:space="preserve">SEND </w:t>
      </w:r>
      <w:r w:rsidR="00B52CAF">
        <w:rPr>
          <w:rFonts w:cs="Arial"/>
          <w:sz w:val="22"/>
          <w:szCs w:val="22"/>
        </w:rPr>
        <w:t>Panel to use to ensure that</w:t>
      </w:r>
      <w:r w:rsidR="00237167">
        <w:rPr>
          <w:rFonts w:cs="Arial"/>
          <w:sz w:val="22"/>
          <w:szCs w:val="22"/>
        </w:rPr>
        <w:t xml:space="preserve"> </w:t>
      </w:r>
      <w:r w:rsidR="00281907">
        <w:rPr>
          <w:rFonts w:cs="Arial"/>
          <w:sz w:val="22"/>
          <w:szCs w:val="22"/>
        </w:rPr>
        <w:t xml:space="preserve">an </w:t>
      </w:r>
      <w:r w:rsidR="00237167">
        <w:rPr>
          <w:rFonts w:cs="Arial"/>
          <w:sz w:val="22"/>
          <w:szCs w:val="22"/>
        </w:rPr>
        <w:t>EHCP</w:t>
      </w:r>
      <w:r w:rsidR="00281907">
        <w:rPr>
          <w:rFonts w:cs="Arial"/>
          <w:sz w:val="22"/>
          <w:szCs w:val="22"/>
        </w:rPr>
        <w:t xml:space="preserve"> is appropriately and</w:t>
      </w:r>
      <w:r w:rsidR="00B52CAF">
        <w:rPr>
          <w:rFonts w:cs="Arial"/>
          <w:sz w:val="22"/>
          <w:szCs w:val="22"/>
        </w:rPr>
        <w:t xml:space="preserve"> accurately funded</w:t>
      </w:r>
      <w:r w:rsidR="003F3E31">
        <w:rPr>
          <w:rFonts w:cs="Arial"/>
          <w:sz w:val="22"/>
          <w:szCs w:val="22"/>
        </w:rPr>
        <w:t>.</w:t>
      </w:r>
    </w:p>
    <w:p w:rsidR="000707A8" w:rsidRDefault="000707A8" w:rsidP="00355873">
      <w:pPr>
        <w:pStyle w:val="ListParagraph"/>
        <w:spacing w:after="200" w:line="276" w:lineRule="auto"/>
        <w:ind w:left="0"/>
        <w:jc w:val="both"/>
        <w:rPr>
          <w:rFonts w:cs="Arial"/>
          <w:sz w:val="22"/>
          <w:szCs w:val="22"/>
        </w:rPr>
      </w:pPr>
    </w:p>
    <w:p w:rsidR="00DF0E19" w:rsidRDefault="000707A8" w:rsidP="000651A2">
      <w:pPr>
        <w:pStyle w:val="ListParagraph"/>
        <w:numPr>
          <w:ilvl w:val="0"/>
          <w:numId w:val="12"/>
        </w:numPr>
        <w:spacing w:after="200" w:line="276" w:lineRule="auto"/>
        <w:jc w:val="both"/>
        <w:rPr>
          <w:rFonts w:cs="Arial"/>
          <w:sz w:val="22"/>
          <w:szCs w:val="22"/>
        </w:rPr>
      </w:pPr>
      <w:r w:rsidRPr="000707A8">
        <w:rPr>
          <w:rFonts w:cs="Arial"/>
          <w:sz w:val="22"/>
          <w:szCs w:val="22"/>
        </w:rPr>
        <w:t xml:space="preserve">For the top-up funding of post 16 high needs students with EHCPs in the Further Education sector, it has been agreed previously with the relevant providers that, as, on average, colleges deliver around 60% of the hours delivered by schools, colleges are funded for the vast majority of students at 60% of the Banded Model value for the primary need of the student. The exceptions are students with the primary need of sensory impairment (Hearing / Visual), where funding continues to be allocated on an actual cost basis. Due to the specific support needs of these students in Further Education, and the diverse nature of their curriculum choices, it is not possible to formularise this funding element. </w:t>
      </w:r>
      <w:r w:rsidR="00F95257">
        <w:rPr>
          <w:rFonts w:cs="Arial"/>
          <w:sz w:val="22"/>
          <w:szCs w:val="22"/>
        </w:rPr>
        <w:t>T</w:t>
      </w:r>
      <w:r w:rsidRPr="000707A8">
        <w:rPr>
          <w:rFonts w:cs="Arial"/>
          <w:sz w:val="22"/>
          <w:szCs w:val="22"/>
        </w:rPr>
        <w:t xml:space="preserve">his approach </w:t>
      </w:r>
      <w:r w:rsidR="00F95257">
        <w:rPr>
          <w:rFonts w:cs="Arial"/>
          <w:sz w:val="22"/>
          <w:szCs w:val="22"/>
        </w:rPr>
        <w:t xml:space="preserve">is continued in the </w:t>
      </w:r>
      <w:r w:rsidRPr="000707A8">
        <w:rPr>
          <w:rFonts w:cs="Arial"/>
          <w:sz w:val="22"/>
          <w:szCs w:val="22"/>
        </w:rPr>
        <w:t>application Banded Model</w:t>
      </w:r>
      <w:r w:rsidR="00CA51CD">
        <w:rPr>
          <w:rFonts w:cs="Arial"/>
          <w:sz w:val="22"/>
          <w:szCs w:val="22"/>
        </w:rPr>
        <w:t xml:space="preserve"> in 2023/24</w:t>
      </w:r>
      <w:r w:rsidR="003619BF">
        <w:rPr>
          <w:rFonts w:cs="Arial"/>
          <w:sz w:val="22"/>
          <w:szCs w:val="22"/>
        </w:rPr>
        <w:t>, adjusted for funding, as appropriate, for the delivery of the additional 40 post-16 study hours, which is part of the 2022/23 post-16 financial settlement and part of the Government’s COVID-19 pandemic support response</w:t>
      </w:r>
      <w:r w:rsidR="00CA51CD" w:rsidRPr="003619BF">
        <w:rPr>
          <w:rFonts w:cs="Arial"/>
          <w:color w:val="000000" w:themeColor="text1"/>
          <w:sz w:val="22"/>
          <w:szCs w:val="22"/>
        </w:rPr>
        <w:t>.</w:t>
      </w:r>
    </w:p>
    <w:p w:rsidR="00F95257" w:rsidRPr="00F95257" w:rsidRDefault="00F95257" w:rsidP="0046317B">
      <w:pPr>
        <w:pStyle w:val="ListParagraph"/>
        <w:spacing w:after="200" w:line="276" w:lineRule="auto"/>
        <w:ind w:left="360"/>
        <w:jc w:val="both"/>
        <w:rPr>
          <w:rFonts w:cs="Arial"/>
          <w:sz w:val="22"/>
          <w:szCs w:val="22"/>
        </w:rPr>
      </w:pPr>
    </w:p>
    <w:p w:rsidR="00FC49FC" w:rsidRDefault="00F95257" w:rsidP="000651A2">
      <w:pPr>
        <w:pStyle w:val="ListParagraph"/>
        <w:numPr>
          <w:ilvl w:val="0"/>
          <w:numId w:val="12"/>
        </w:numPr>
        <w:spacing w:after="200" w:line="276" w:lineRule="auto"/>
        <w:jc w:val="both"/>
        <w:rPr>
          <w:rFonts w:cs="Arial"/>
          <w:sz w:val="22"/>
          <w:szCs w:val="22"/>
        </w:rPr>
      </w:pPr>
      <w:r>
        <w:rPr>
          <w:rFonts w:cs="Arial"/>
          <w:sz w:val="22"/>
          <w:szCs w:val="22"/>
        </w:rPr>
        <w:t>The</w:t>
      </w:r>
      <w:r w:rsidR="00DF0E19" w:rsidRPr="003B75EF">
        <w:rPr>
          <w:rFonts w:cs="Arial"/>
          <w:sz w:val="22"/>
          <w:szCs w:val="22"/>
        </w:rPr>
        <w:t xml:space="preserve"> ‘technical f</w:t>
      </w:r>
      <w:r>
        <w:rPr>
          <w:rFonts w:cs="Arial"/>
          <w:sz w:val="22"/>
          <w:szCs w:val="22"/>
        </w:rPr>
        <w:t xml:space="preserve">ramework’ is the same for </w:t>
      </w:r>
      <w:r w:rsidR="000A28E1">
        <w:rPr>
          <w:rFonts w:cs="Arial"/>
          <w:sz w:val="22"/>
          <w:szCs w:val="22"/>
        </w:rPr>
        <w:t xml:space="preserve">the </w:t>
      </w:r>
      <w:r w:rsidR="00DF0E19" w:rsidRPr="003B75EF">
        <w:rPr>
          <w:rFonts w:cs="Arial"/>
          <w:sz w:val="22"/>
          <w:szCs w:val="22"/>
        </w:rPr>
        <w:t xml:space="preserve">operation of the </w:t>
      </w:r>
      <w:r w:rsidR="00CD1122">
        <w:rPr>
          <w:rFonts w:cs="Arial"/>
          <w:sz w:val="22"/>
          <w:szCs w:val="22"/>
        </w:rPr>
        <w:t>Banded M</w:t>
      </w:r>
      <w:r w:rsidR="00DF0E19" w:rsidRPr="003B75EF">
        <w:rPr>
          <w:rFonts w:cs="Arial"/>
          <w:sz w:val="22"/>
          <w:szCs w:val="22"/>
        </w:rPr>
        <w:t>odel during the year e.g. the monthly re-calculation</w:t>
      </w:r>
      <w:r w:rsidR="00FC49FC">
        <w:rPr>
          <w:rFonts w:cs="Arial"/>
          <w:sz w:val="22"/>
          <w:szCs w:val="22"/>
        </w:rPr>
        <w:t xml:space="preserve"> of EHCP funding from the c</w:t>
      </w:r>
      <w:r w:rsidR="00DF0E19" w:rsidRPr="003B75EF">
        <w:rPr>
          <w:rFonts w:cs="Arial"/>
          <w:sz w:val="22"/>
          <w:szCs w:val="22"/>
        </w:rPr>
        <w:t>ensus</w:t>
      </w:r>
      <w:r w:rsidR="00D63721">
        <w:rPr>
          <w:rFonts w:cs="Arial"/>
          <w:sz w:val="22"/>
          <w:szCs w:val="22"/>
        </w:rPr>
        <w:t xml:space="preserve"> of EHCPs on roll</w:t>
      </w:r>
      <w:r w:rsidR="00DF0E19" w:rsidRPr="003B75EF">
        <w:rPr>
          <w:rFonts w:cs="Arial"/>
          <w:sz w:val="22"/>
          <w:szCs w:val="22"/>
        </w:rPr>
        <w:t xml:space="preserve"> on 10</w:t>
      </w:r>
      <w:r w:rsidR="00DF0E19" w:rsidRPr="003B75EF">
        <w:rPr>
          <w:rFonts w:cs="Arial"/>
          <w:sz w:val="22"/>
          <w:szCs w:val="22"/>
          <w:vertAlign w:val="superscript"/>
        </w:rPr>
        <w:t>th</w:t>
      </w:r>
      <w:r w:rsidR="00FC49FC">
        <w:rPr>
          <w:rFonts w:cs="Arial"/>
          <w:sz w:val="22"/>
          <w:szCs w:val="22"/>
        </w:rPr>
        <w:t xml:space="preserve"> of each month.</w:t>
      </w:r>
    </w:p>
    <w:p w:rsidR="000707A8" w:rsidRPr="000707A8" w:rsidRDefault="000707A8" w:rsidP="0046317B">
      <w:pPr>
        <w:pStyle w:val="ListParagraph"/>
        <w:spacing w:after="200" w:line="276" w:lineRule="auto"/>
        <w:ind w:left="360"/>
        <w:jc w:val="both"/>
        <w:rPr>
          <w:rFonts w:cs="Arial"/>
          <w:sz w:val="22"/>
          <w:szCs w:val="22"/>
        </w:rPr>
      </w:pPr>
    </w:p>
    <w:p w:rsidR="003B75EF" w:rsidRPr="00D378FE" w:rsidRDefault="00F95257" w:rsidP="000651A2">
      <w:pPr>
        <w:pStyle w:val="ListParagraph"/>
        <w:numPr>
          <w:ilvl w:val="0"/>
          <w:numId w:val="12"/>
        </w:numPr>
        <w:spacing w:after="200" w:line="276" w:lineRule="auto"/>
        <w:jc w:val="both"/>
        <w:rPr>
          <w:rFonts w:cs="Arial"/>
          <w:sz w:val="22"/>
          <w:szCs w:val="22"/>
        </w:rPr>
      </w:pPr>
      <w:r>
        <w:rPr>
          <w:rFonts w:cs="Arial"/>
          <w:sz w:val="22"/>
          <w:szCs w:val="22"/>
        </w:rPr>
        <w:t>An assessment place (which was</w:t>
      </w:r>
      <w:r w:rsidR="00FC49FC" w:rsidRPr="003B75EF">
        <w:rPr>
          <w:rFonts w:cs="Arial"/>
          <w:sz w:val="22"/>
          <w:szCs w:val="22"/>
        </w:rPr>
        <w:t xml:space="preserve"> Range</w:t>
      </w:r>
      <w:r>
        <w:rPr>
          <w:rFonts w:cs="Arial"/>
          <w:sz w:val="22"/>
          <w:szCs w:val="22"/>
        </w:rPr>
        <w:t xml:space="preserve"> 4D) has</w:t>
      </w:r>
      <w:r w:rsidR="000707A8">
        <w:rPr>
          <w:rFonts w:cs="Arial"/>
          <w:sz w:val="22"/>
          <w:szCs w:val="22"/>
        </w:rPr>
        <w:t xml:space="preserve"> become </w:t>
      </w:r>
      <w:r w:rsidR="00D378FE">
        <w:rPr>
          <w:rFonts w:cs="Arial"/>
          <w:sz w:val="22"/>
          <w:szCs w:val="22"/>
        </w:rPr>
        <w:t xml:space="preserve">Band </w:t>
      </w:r>
      <w:r>
        <w:rPr>
          <w:rFonts w:cs="Arial"/>
          <w:sz w:val="22"/>
          <w:szCs w:val="22"/>
        </w:rPr>
        <w:t>4L. This</w:t>
      </w:r>
      <w:r w:rsidR="00FC49FC" w:rsidRPr="003B75EF">
        <w:rPr>
          <w:rFonts w:cs="Arial"/>
          <w:sz w:val="22"/>
          <w:szCs w:val="22"/>
        </w:rPr>
        <w:t xml:space="preserve"> fund</w:t>
      </w:r>
      <w:r>
        <w:rPr>
          <w:rFonts w:cs="Arial"/>
          <w:sz w:val="22"/>
          <w:szCs w:val="22"/>
        </w:rPr>
        <w:t>s</w:t>
      </w:r>
      <w:r w:rsidR="00FC49FC" w:rsidRPr="003B75EF">
        <w:rPr>
          <w:rFonts w:cs="Arial"/>
          <w:sz w:val="22"/>
          <w:szCs w:val="22"/>
        </w:rPr>
        <w:t xml:space="preserve"> EHCPs placed in specialist provisions </w:t>
      </w:r>
      <w:r w:rsidR="00CD1122">
        <w:rPr>
          <w:rFonts w:cs="Arial"/>
          <w:sz w:val="22"/>
          <w:szCs w:val="22"/>
        </w:rPr>
        <w:t>until a final determination of b</w:t>
      </w:r>
      <w:r w:rsidR="00FC49FC" w:rsidRPr="003B75EF">
        <w:rPr>
          <w:rFonts w:cs="Arial"/>
          <w:sz w:val="22"/>
          <w:szCs w:val="22"/>
        </w:rPr>
        <w:t>and from the Panel is received.</w:t>
      </w:r>
      <w:r>
        <w:rPr>
          <w:rFonts w:cs="Arial"/>
          <w:sz w:val="22"/>
          <w:szCs w:val="22"/>
        </w:rPr>
        <w:t xml:space="preserve"> </w:t>
      </w:r>
      <w:r w:rsidRPr="003B75EF">
        <w:rPr>
          <w:rFonts w:cs="Arial"/>
          <w:sz w:val="22"/>
          <w:szCs w:val="22"/>
        </w:rPr>
        <w:t xml:space="preserve">Funding </w:t>
      </w:r>
      <w:r w:rsidR="00CD1122">
        <w:rPr>
          <w:rFonts w:cs="Arial"/>
          <w:sz w:val="22"/>
          <w:szCs w:val="22"/>
        </w:rPr>
        <w:t>is</w:t>
      </w:r>
      <w:r w:rsidRPr="003B75EF">
        <w:rPr>
          <w:rFonts w:cs="Arial"/>
          <w:sz w:val="22"/>
          <w:szCs w:val="22"/>
        </w:rPr>
        <w:t xml:space="preserve"> changed at this point if this is different from 4L. </w:t>
      </w:r>
      <w:r w:rsidR="00FC49FC" w:rsidRPr="003B75EF">
        <w:rPr>
          <w:rFonts w:cs="Arial"/>
          <w:sz w:val="22"/>
          <w:szCs w:val="22"/>
        </w:rPr>
        <w:t xml:space="preserve"> </w:t>
      </w:r>
      <w:r>
        <w:rPr>
          <w:rFonts w:cs="Arial"/>
          <w:sz w:val="22"/>
          <w:szCs w:val="22"/>
        </w:rPr>
        <w:t xml:space="preserve">Band 4L also continues to be used to </w:t>
      </w:r>
      <w:r w:rsidR="00226F66">
        <w:rPr>
          <w:rFonts w:cs="Arial"/>
          <w:sz w:val="22"/>
          <w:szCs w:val="22"/>
        </w:rPr>
        <w:t xml:space="preserve">more </w:t>
      </w:r>
      <w:r w:rsidR="00CD1122">
        <w:rPr>
          <w:rFonts w:cs="Arial"/>
          <w:sz w:val="22"/>
          <w:szCs w:val="22"/>
        </w:rPr>
        <w:t xml:space="preserve">permanently </w:t>
      </w:r>
      <w:r w:rsidR="00226F66">
        <w:rPr>
          <w:rFonts w:cs="Arial"/>
          <w:sz w:val="22"/>
          <w:szCs w:val="22"/>
        </w:rPr>
        <w:t>fund</w:t>
      </w:r>
      <w:r>
        <w:rPr>
          <w:rFonts w:cs="Arial"/>
          <w:sz w:val="22"/>
          <w:szCs w:val="22"/>
        </w:rPr>
        <w:t xml:space="preserve"> placements in the Early Years ESPs that are attached to maintained nursery schools. </w:t>
      </w:r>
      <w:r w:rsidR="00FC49FC" w:rsidRPr="003B75EF">
        <w:rPr>
          <w:rFonts w:cs="Arial"/>
          <w:sz w:val="22"/>
          <w:szCs w:val="22"/>
        </w:rPr>
        <w:t xml:space="preserve"> </w:t>
      </w:r>
    </w:p>
    <w:p w:rsidR="00D378FE" w:rsidRDefault="00D378FE" w:rsidP="00355873">
      <w:pPr>
        <w:jc w:val="both"/>
        <w:rPr>
          <w:rFonts w:cs="Arial"/>
          <w:b/>
          <w:sz w:val="22"/>
          <w:szCs w:val="22"/>
          <w:u w:val="single"/>
        </w:rPr>
      </w:pPr>
    </w:p>
    <w:p w:rsidR="00CC0CA3" w:rsidRDefault="00150A5E" w:rsidP="00355873">
      <w:pPr>
        <w:jc w:val="both"/>
        <w:rPr>
          <w:rFonts w:cs="Arial"/>
          <w:b/>
          <w:sz w:val="22"/>
          <w:szCs w:val="22"/>
          <w:u w:val="single"/>
        </w:rPr>
      </w:pPr>
      <w:r>
        <w:rPr>
          <w:rFonts w:cs="Arial"/>
          <w:b/>
          <w:sz w:val="22"/>
          <w:szCs w:val="22"/>
          <w:u w:val="single"/>
        </w:rPr>
        <w:t xml:space="preserve">A </w:t>
      </w:r>
      <w:r w:rsidR="00CD1122">
        <w:rPr>
          <w:rFonts w:cs="Arial"/>
          <w:b/>
          <w:sz w:val="22"/>
          <w:szCs w:val="22"/>
          <w:u w:val="single"/>
        </w:rPr>
        <w:t>r</w:t>
      </w:r>
      <w:r>
        <w:rPr>
          <w:rFonts w:cs="Arial"/>
          <w:b/>
          <w:sz w:val="22"/>
          <w:szCs w:val="22"/>
          <w:u w:val="single"/>
        </w:rPr>
        <w:t xml:space="preserve">eminder of the </w:t>
      </w:r>
      <w:r w:rsidR="00CD1122">
        <w:rPr>
          <w:rFonts w:cs="Arial"/>
          <w:b/>
          <w:sz w:val="22"/>
          <w:szCs w:val="22"/>
          <w:u w:val="single"/>
        </w:rPr>
        <w:t>t</w:t>
      </w:r>
      <w:r w:rsidR="003B75EF" w:rsidRPr="00F3262F">
        <w:rPr>
          <w:rFonts w:cs="Arial"/>
          <w:b/>
          <w:sz w:val="22"/>
          <w:szCs w:val="22"/>
          <w:u w:val="single"/>
        </w:rPr>
        <w:t>ransition</w:t>
      </w:r>
      <w:r>
        <w:rPr>
          <w:rFonts w:cs="Arial"/>
          <w:b/>
          <w:sz w:val="22"/>
          <w:szCs w:val="22"/>
          <w:u w:val="single"/>
        </w:rPr>
        <w:t xml:space="preserve"> from the previous Ranges Model</w:t>
      </w:r>
    </w:p>
    <w:p w:rsidR="00CC0CA3" w:rsidRPr="00CC0CA3" w:rsidRDefault="00CC0CA3" w:rsidP="00355873">
      <w:pPr>
        <w:jc w:val="both"/>
        <w:rPr>
          <w:rFonts w:cs="Arial"/>
          <w:b/>
          <w:sz w:val="22"/>
          <w:szCs w:val="22"/>
          <w:u w:val="single"/>
        </w:rPr>
      </w:pPr>
    </w:p>
    <w:p w:rsidR="00CC0CA3" w:rsidRPr="003B75EF" w:rsidRDefault="00CC0CA3" w:rsidP="00355873">
      <w:pPr>
        <w:spacing w:after="200" w:line="276" w:lineRule="auto"/>
        <w:jc w:val="both"/>
        <w:rPr>
          <w:rFonts w:cs="Arial"/>
          <w:sz w:val="22"/>
          <w:szCs w:val="22"/>
        </w:rPr>
      </w:pPr>
      <w:r>
        <w:rPr>
          <w:rFonts w:cs="Arial"/>
          <w:sz w:val="22"/>
          <w:szCs w:val="22"/>
        </w:rPr>
        <w:t xml:space="preserve">3.1 </w:t>
      </w:r>
      <w:r w:rsidR="00150A5E">
        <w:rPr>
          <w:rFonts w:cs="Arial"/>
          <w:sz w:val="22"/>
          <w:szCs w:val="22"/>
        </w:rPr>
        <w:t>It is helpful to remind provid</w:t>
      </w:r>
      <w:r w:rsidR="00CD1122">
        <w:rPr>
          <w:rFonts w:cs="Arial"/>
          <w:sz w:val="22"/>
          <w:szCs w:val="22"/>
        </w:rPr>
        <w:t>ers of how we moved from the</w:t>
      </w:r>
      <w:r w:rsidR="00150A5E">
        <w:rPr>
          <w:rFonts w:cs="Arial"/>
          <w:sz w:val="22"/>
          <w:szCs w:val="22"/>
        </w:rPr>
        <w:t xml:space="preserve"> Ranges Model to the now established Banded Model </w:t>
      </w:r>
      <w:r w:rsidR="00CD1122">
        <w:rPr>
          <w:rFonts w:cs="Arial"/>
          <w:sz w:val="22"/>
          <w:szCs w:val="22"/>
        </w:rPr>
        <w:t>and what protections continue to be in place</w:t>
      </w:r>
      <w:r w:rsidR="00150A5E">
        <w:rPr>
          <w:rFonts w:cs="Arial"/>
          <w:sz w:val="22"/>
          <w:szCs w:val="22"/>
        </w:rPr>
        <w:t>.</w:t>
      </w:r>
      <w:r w:rsidR="001B1431">
        <w:rPr>
          <w:rFonts w:cs="Arial"/>
          <w:sz w:val="22"/>
          <w:szCs w:val="22"/>
        </w:rPr>
        <w:t xml:space="preserve"> </w:t>
      </w:r>
      <w:r w:rsidR="005C06D6" w:rsidRPr="00150A5E">
        <w:rPr>
          <w:rFonts w:cs="Arial"/>
          <w:sz w:val="22"/>
          <w:szCs w:val="22"/>
        </w:rPr>
        <w:t>All EHCPs in place</w:t>
      </w:r>
      <w:r w:rsidR="003B75EF" w:rsidRPr="00150A5E">
        <w:rPr>
          <w:rFonts w:cs="Arial"/>
          <w:sz w:val="22"/>
          <w:szCs w:val="22"/>
        </w:rPr>
        <w:t xml:space="preserve"> at 1 April </w:t>
      </w:r>
      <w:r w:rsidR="00150A5E">
        <w:rPr>
          <w:rFonts w:cs="Arial"/>
          <w:sz w:val="22"/>
          <w:szCs w:val="22"/>
        </w:rPr>
        <w:t>2020 were automatically</w:t>
      </w:r>
      <w:r w:rsidR="003B75EF" w:rsidRPr="00150A5E">
        <w:rPr>
          <w:rFonts w:cs="Arial"/>
          <w:sz w:val="22"/>
          <w:szCs w:val="22"/>
        </w:rPr>
        <w:t xml:space="preserve"> transferred on to the</w:t>
      </w:r>
      <w:r w:rsidR="00150A5E">
        <w:rPr>
          <w:rFonts w:cs="Arial"/>
          <w:sz w:val="22"/>
          <w:szCs w:val="22"/>
        </w:rPr>
        <w:t xml:space="preserve"> new Banded Model system at 1 April 2020 </w:t>
      </w:r>
      <w:r w:rsidR="003B75EF" w:rsidRPr="00150A5E">
        <w:rPr>
          <w:rFonts w:cs="Arial"/>
          <w:sz w:val="22"/>
          <w:szCs w:val="22"/>
        </w:rPr>
        <w:t>as follows:</w:t>
      </w:r>
    </w:p>
    <w:tbl>
      <w:tblPr>
        <w:tblStyle w:val="TableGrid"/>
        <w:tblW w:w="0" w:type="auto"/>
        <w:tblInd w:w="536" w:type="dxa"/>
        <w:tblLook w:val="04A0" w:firstRow="1" w:lastRow="0" w:firstColumn="1" w:lastColumn="0" w:noHBand="0" w:noVBand="1"/>
      </w:tblPr>
      <w:tblGrid>
        <w:gridCol w:w="1488"/>
        <w:gridCol w:w="1506"/>
        <w:gridCol w:w="1540"/>
      </w:tblGrid>
      <w:tr w:rsidR="00150A5E" w:rsidRPr="003B75EF" w:rsidTr="00355873">
        <w:tc>
          <w:tcPr>
            <w:tcW w:w="1488" w:type="dxa"/>
          </w:tcPr>
          <w:p w:rsidR="00150A5E" w:rsidRPr="003B75EF" w:rsidRDefault="00150A5E" w:rsidP="00CC0CA3">
            <w:pPr>
              <w:pStyle w:val="ListParagraph"/>
              <w:ind w:left="0"/>
              <w:jc w:val="both"/>
              <w:rPr>
                <w:rFonts w:cs="Arial"/>
                <w:b/>
                <w:color w:val="548DD4" w:themeColor="text2" w:themeTint="99"/>
                <w:sz w:val="22"/>
                <w:szCs w:val="22"/>
              </w:rPr>
            </w:pPr>
            <w:r>
              <w:rPr>
                <w:rFonts w:cs="Arial"/>
                <w:b/>
                <w:color w:val="548DD4" w:themeColor="text2" w:themeTint="99"/>
                <w:sz w:val="22"/>
                <w:szCs w:val="22"/>
              </w:rPr>
              <w:t xml:space="preserve">Range </w:t>
            </w:r>
            <w:r w:rsidRPr="003B75EF">
              <w:rPr>
                <w:rFonts w:cs="Arial"/>
                <w:b/>
                <w:color w:val="548DD4" w:themeColor="text2" w:themeTint="99"/>
                <w:sz w:val="22"/>
                <w:szCs w:val="22"/>
              </w:rPr>
              <w:t xml:space="preserve"> </w:t>
            </w:r>
          </w:p>
        </w:tc>
        <w:tc>
          <w:tcPr>
            <w:tcW w:w="1506" w:type="dxa"/>
          </w:tcPr>
          <w:p w:rsidR="00150A5E" w:rsidRPr="003B75EF" w:rsidRDefault="00150A5E" w:rsidP="00150A5E">
            <w:pPr>
              <w:pStyle w:val="ListParagraph"/>
              <w:ind w:left="0"/>
              <w:jc w:val="center"/>
              <w:rPr>
                <w:rFonts w:cs="Arial"/>
                <w:b/>
                <w:color w:val="548DD4" w:themeColor="text2" w:themeTint="99"/>
                <w:sz w:val="22"/>
                <w:szCs w:val="22"/>
              </w:rPr>
            </w:pPr>
          </w:p>
        </w:tc>
        <w:tc>
          <w:tcPr>
            <w:tcW w:w="1540" w:type="dxa"/>
          </w:tcPr>
          <w:p w:rsidR="00150A5E" w:rsidRPr="003B75EF" w:rsidRDefault="00150A5E" w:rsidP="00CC0CA3">
            <w:pPr>
              <w:pStyle w:val="ListParagraph"/>
              <w:ind w:left="0"/>
              <w:jc w:val="both"/>
              <w:rPr>
                <w:rFonts w:cs="Arial"/>
                <w:b/>
                <w:color w:val="548DD4" w:themeColor="text2" w:themeTint="99"/>
                <w:sz w:val="22"/>
                <w:szCs w:val="22"/>
              </w:rPr>
            </w:pPr>
            <w:r w:rsidRPr="003B75EF">
              <w:rPr>
                <w:rFonts w:cs="Arial"/>
                <w:b/>
                <w:color w:val="548DD4" w:themeColor="text2" w:themeTint="99"/>
                <w:sz w:val="22"/>
                <w:szCs w:val="22"/>
              </w:rPr>
              <w:t>Band</w:t>
            </w:r>
          </w:p>
        </w:tc>
      </w:tr>
      <w:tr w:rsidR="00150A5E" w:rsidRPr="003B75EF" w:rsidTr="00355873">
        <w:tc>
          <w:tcPr>
            <w:tcW w:w="1488" w:type="dxa"/>
          </w:tcPr>
          <w:p w:rsidR="00150A5E" w:rsidRPr="003B75EF" w:rsidRDefault="00150A5E" w:rsidP="00CC0CA3">
            <w:pPr>
              <w:pStyle w:val="ListParagraph"/>
              <w:ind w:left="0"/>
              <w:jc w:val="both"/>
              <w:rPr>
                <w:rFonts w:cs="Arial"/>
                <w:b/>
                <w:color w:val="548DD4" w:themeColor="text2" w:themeTint="99"/>
                <w:sz w:val="22"/>
                <w:szCs w:val="22"/>
              </w:rPr>
            </w:pPr>
            <w:r w:rsidRPr="003B75EF">
              <w:rPr>
                <w:rFonts w:cs="Arial"/>
                <w:b/>
                <w:color w:val="548DD4" w:themeColor="text2" w:themeTint="99"/>
                <w:sz w:val="22"/>
                <w:szCs w:val="22"/>
              </w:rPr>
              <w:t>Range 4A</w:t>
            </w:r>
          </w:p>
        </w:tc>
        <w:tc>
          <w:tcPr>
            <w:tcW w:w="1506" w:type="dxa"/>
          </w:tcPr>
          <w:p w:rsidR="00150A5E" w:rsidRPr="003B75EF" w:rsidRDefault="00150A5E" w:rsidP="00150A5E">
            <w:pPr>
              <w:pStyle w:val="ListParagraph"/>
              <w:ind w:left="0"/>
              <w:jc w:val="center"/>
              <w:rPr>
                <w:rFonts w:cs="Arial"/>
                <w:b/>
                <w:color w:val="548DD4" w:themeColor="text2" w:themeTint="99"/>
                <w:sz w:val="22"/>
                <w:szCs w:val="22"/>
              </w:rPr>
            </w:pPr>
            <w:r>
              <w:rPr>
                <w:rFonts w:cs="Arial"/>
                <w:b/>
                <w:color w:val="548DD4" w:themeColor="text2" w:themeTint="99"/>
                <w:sz w:val="22"/>
                <w:szCs w:val="22"/>
              </w:rPr>
              <w:t>became</w:t>
            </w:r>
          </w:p>
        </w:tc>
        <w:tc>
          <w:tcPr>
            <w:tcW w:w="1540" w:type="dxa"/>
          </w:tcPr>
          <w:p w:rsidR="00150A5E" w:rsidRPr="003B75EF" w:rsidRDefault="00150A5E" w:rsidP="00CC0CA3">
            <w:pPr>
              <w:pStyle w:val="ListParagraph"/>
              <w:ind w:left="0"/>
              <w:jc w:val="both"/>
              <w:rPr>
                <w:rFonts w:cs="Arial"/>
                <w:b/>
                <w:color w:val="548DD4" w:themeColor="text2" w:themeTint="99"/>
                <w:sz w:val="22"/>
                <w:szCs w:val="22"/>
              </w:rPr>
            </w:pPr>
            <w:r w:rsidRPr="003B75EF">
              <w:rPr>
                <w:rFonts w:cs="Arial"/>
                <w:b/>
                <w:color w:val="548DD4" w:themeColor="text2" w:themeTint="99"/>
                <w:sz w:val="22"/>
                <w:szCs w:val="22"/>
              </w:rPr>
              <w:t>Band 3L</w:t>
            </w:r>
          </w:p>
        </w:tc>
      </w:tr>
      <w:tr w:rsidR="00150A5E" w:rsidRPr="003B75EF" w:rsidTr="00355873">
        <w:tc>
          <w:tcPr>
            <w:tcW w:w="1488" w:type="dxa"/>
          </w:tcPr>
          <w:p w:rsidR="00150A5E" w:rsidRPr="003B75EF" w:rsidRDefault="00150A5E" w:rsidP="00CC0CA3">
            <w:pPr>
              <w:pStyle w:val="ListParagraph"/>
              <w:ind w:left="0"/>
              <w:jc w:val="both"/>
              <w:rPr>
                <w:rFonts w:cs="Arial"/>
                <w:b/>
                <w:color w:val="548DD4" w:themeColor="text2" w:themeTint="99"/>
                <w:sz w:val="22"/>
                <w:szCs w:val="22"/>
              </w:rPr>
            </w:pPr>
            <w:r w:rsidRPr="003B75EF">
              <w:rPr>
                <w:rFonts w:cs="Arial"/>
                <w:b/>
                <w:color w:val="548DD4" w:themeColor="text2" w:themeTint="99"/>
                <w:sz w:val="22"/>
                <w:szCs w:val="22"/>
              </w:rPr>
              <w:t>Range 4B</w:t>
            </w:r>
          </w:p>
        </w:tc>
        <w:tc>
          <w:tcPr>
            <w:tcW w:w="1506" w:type="dxa"/>
          </w:tcPr>
          <w:p w:rsidR="00150A5E" w:rsidRDefault="00150A5E" w:rsidP="00150A5E">
            <w:pPr>
              <w:jc w:val="center"/>
            </w:pPr>
            <w:r w:rsidRPr="00923377">
              <w:rPr>
                <w:rFonts w:cs="Arial"/>
                <w:b/>
                <w:color w:val="548DD4" w:themeColor="text2" w:themeTint="99"/>
                <w:sz w:val="22"/>
                <w:szCs w:val="22"/>
              </w:rPr>
              <w:t>became</w:t>
            </w:r>
          </w:p>
        </w:tc>
        <w:tc>
          <w:tcPr>
            <w:tcW w:w="1540" w:type="dxa"/>
          </w:tcPr>
          <w:p w:rsidR="00150A5E" w:rsidRPr="003B75EF" w:rsidRDefault="00150A5E" w:rsidP="00CC0CA3">
            <w:pPr>
              <w:pStyle w:val="ListParagraph"/>
              <w:ind w:left="0"/>
              <w:jc w:val="both"/>
              <w:rPr>
                <w:rFonts w:cs="Arial"/>
                <w:b/>
                <w:color w:val="548DD4" w:themeColor="text2" w:themeTint="99"/>
                <w:sz w:val="22"/>
                <w:szCs w:val="22"/>
              </w:rPr>
            </w:pPr>
            <w:r w:rsidRPr="003B75EF">
              <w:rPr>
                <w:rFonts w:cs="Arial"/>
                <w:b/>
                <w:color w:val="548DD4" w:themeColor="text2" w:themeTint="99"/>
                <w:sz w:val="22"/>
                <w:szCs w:val="22"/>
              </w:rPr>
              <w:t>Band 3M</w:t>
            </w:r>
          </w:p>
        </w:tc>
      </w:tr>
      <w:tr w:rsidR="00150A5E" w:rsidRPr="003B75EF" w:rsidTr="00355873">
        <w:tc>
          <w:tcPr>
            <w:tcW w:w="1488" w:type="dxa"/>
          </w:tcPr>
          <w:p w:rsidR="00150A5E" w:rsidRPr="003B75EF" w:rsidRDefault="00150A5E" w:rsidP="00CC0CA3">
            <w:pPr>
              <w:pStyle w:val="ListParagraph"/>
              <w:ind w:left="0"/>
              <w:jc w:val="both"/>
              <w:rPr>
                <w:rFonts w:cs="Arial"/>
                <w:b/>
                <w:color w:val="548DD4" w:themeColor="text2" w:themeTint="99"/>
                <w:sz w:val="22"/>
                <w:szCs w:val="22"/>
              </w:rPr>
            </w:pPr>
            <w:r w:rsidRPr="003B75EF">
              <w:rPr>
                <w:rFonts w:cs="Arial"/>
                <w:b/>
                <w:color w:val="548DD4" w:themeColor="text2" w:themeTint="99"/>
                <w:sz w:val="22"/>
                <w:szCs w:val="22"/>
              </w:rPr>
              <w:t>Range 4C</w:t>
            </w:r>
          </w:p>
        </w:tc>
        <w:tc>
          <w:tcPr>
            <w:tcW w:w="1506" w:type="dxa"/>
          </w:tcPr>
          <w:p w:rsidR="00150A5E" w:rsidRDefault="00150A5E" w:rsidP="00150A5E">
            <w:pPr>
              <w:jc w:val="center"/>
            </w:pPr>
            <w:r w:rsidRPr="00923377">
              <w:rPr>
                <w:rFonts w:cs="Arial"/>
                <w:b/>
                <w:color w:val="548DD4" w:themeColor="text2" w:themeTint="99"/>
                <w:sz w:val="22"/>
                <w:szCs w:val="22"/>
              </w:rPr>
              <w:t>became</w:t>
            </w:r>
          </w:p>
        </w:tc>
        <w:tc>
          <w:tcPr>
            <w:tcW w:w="1540" w:type="dxa"/>
          </w:tcPr>
          <w:p w:rsidR="00150A5E" w:rsidRPr="003B75EF" w:rsidRDefault="00150A5E" w:rsidP="00CC0CA3">
            <w:pPr>
              <w:pStyle w:val="ListParagraph"/>
              <w:ind w:left="0"/>
              <w:jc w:val="both"/>
              <w:rPr>
                <w:rFonts w:cs="Arial"/>
                <w:b/>
                <w:color w:val="548DD4" w:themeColor="text2" w:themeTint="99"/>
                <w:sz w:val="22"/>
                <w:szCs w:val="22"/>
              </w:rPr>
            </w:pPr>
            <w:r w:rsidRPr="003B75EF">
              <w:rPr>
                <w:rFonts w:cs="Arial"/>
                <w:b/>
                <w:color w:val="548DD4" w:themeColor="text2" w:themeTint="99"/>
                <w:sz w:val="22"/>
                <w:szCs w:val="22"/>
              </w:rPr>
              <w:t>Band 3H</w:t>
            </w:r>
          </w:p>
        </w:tc>
      </w:tr>
      <w:tr w:rsidR="00150A5E" w:rsidRPr="003B75EF" w:rsidTr="00355873">
        <w:tc>
          <w:tcPr>
            <w:tcW w:w="1488" w:type="dxa"/>
          </w:tcPr>
          <w:p w:rsidR="00150A5E" w:rsidRPr="003B75EF" w:rsidRDefault="00150A5E" w:rsidP="00CC0CA3">
            <w:pPr>
              <w:pStyle w:val="ListParagraph"/>
              <w:ind w:left="0"/>
              <w:jc w:val="both"/>
              <w:rPr>
                <w:rFonts w:cs="Arial"/>
                <w:b/>
                <w:color w:val="548DD4" w:themeColor="text2" w:themeTint="99"/>
                <w:sz w:val="22"/>
                <w:szCs w:val="22"/>
              </w:rPr>
            </w:pPr>
            <w:r w:rsidRPr="003B75EF">
              <w:rPr>
                <w:rFonts w:cs="Arial"/>
                <w:b/>
                <w:color w:val="548DD4" w:themeColor="text2" w:themeTint="99"/>
                <w:sz w:val="22"/>
                <w:szCs w:val="22"/>
              </w:rPr>
              <w:t>Range 4D</w:t>
            </w:r>
          </w:p>
        </w:tc>
        <w:tc>
          <w:tcPr>
            <w:tcW w:w="1506" w:type="dxa"/>
          </w:tcPr>
          <w:p w:rsidR="00150A5E" w:rsidRDefault="00150A5E" w:rsidP="00150A5E">
            <w:pPr>
              <w:jc w:val="center"/>
            </w:pPr>
            <w:r w:rsidRPr="00923377">
              <w:rPr>
                <w:rFonts w:cs="Arial"/>
                <w:b/>
                <w:color w:val="548DD4" w:themeColor="text2" w:themeTint="99"/>
                <w:sz w:val="22"/>
                <w:szCs w:val="22"/>
              </w:rPr>
              <w:t>became</w:t>
            </w:r>
          </w:p>
        </w:tc>
        <w:tc>
          <w:tcPr>
            <w:tcW w:w="1540" w:type="dxa"/>
          </w:tcPr>
          <w:p w:rsidR="00150A5E" w:rsidRPr="003B75EF" w:rsidRDefault="00150A5E" w:rsidP="00CC0CA3">
            <w:pPr>
              <w:pStyle w:val="ListParagraph"/>
              <w:ind w:left="0"/>
              <w:jc w:val="both"/>
              <w:rPr>
                <w:rFonts w:cs="Arial"/>
                <w:b/>
                <w:color w:val="548DD4" w:themeColor="text2" w:themeTint="99"/>
                <w:sz w:val="22"/>
                <w:szCs w:val="22"/>
              </w:rPr>
            </w:pPr>
            <w:r w:rsidRPr="003B75EF">
              <w:rPr>
                <w:rFonts w:cs="Arial"/>
                <w:b/>
                <w:color w:val="548DD4" w:themeColor="text2" w:themeTint="99"/>
                <w:sz w:val="22"/>
                <w:szCs w:val="22"/>
              </w:rPr>
              <w:t>Band 4L</w:t>
            </w:r>
          </w:p>
        </w:tc>
      </w:tr>
      <w:tr w:rsidR="00150A5E" w:rsidRPr="003B75EF" w:rsidTr="00355873">
        <w:tc>
          <w:tcPr>
            <w:tcW w:w="1488" w:type="dxa"/>
          </w:tcPr>
          <w:p w:rsidR="00150A5E" w:rsidRPr="003B75EF" w:rsidRDefault="00150A5E" w:rsidP="00CC0CA3">
            <w:pPr>
              <w:pStyle w:val="ListParagraph"/>
              <w:ind w:left="0"/>
              <w:jc w:val="both"/>
              <w:rPr>
                <w:rFonts w:cs="Arial"/>
                <w:b/>
                <w:color w:val="548DD4" w:themeColor="text2" w:themeTint="99"/>
                <w:sz w:val="22"/>
                <w:szCs w:val="22"/>
              </w:rPr>
            </w:pPr>
            <w:r w:rsidRPr="003B75EF">
              <w:rPr>
                <w:rFonts w:cs="Arial"/>
                <w:b/>
                <w:color w:val="548DD4" w:themeColor="text2" w:themeTint="99"/>
                <w:sz w:val="22"/>
                <w:szCs w:val="22"/>
              </w:rPr>
              <w:t>Range 5</w:t>
            </w:r>
          </w:p>
        </w:tc>
        <w:tc>
          <w:tcPr>
            <w:tcW w:w="1506" w:type="dxa"/>
          </w:tcPr>
          <w:p w:rsidR="00150A5E" w:rsidRDefault="00150A5E" w:rsidP="00150A5E">
            <w:pPr>
              <w:jc w:val="center"/>
            </w:pPr>
            <w:r w:rsidRPr="00923377">
              <w:rPr>
                <w:rFonts w:cs="Arial"/>
                <w:b/>
                <w:color w:val="548DD4" w:themeColor="text2" w:themeTint="99"/>
                <w:sz w:val="22"/>
                <w:szCs w:val="22"/>
              </w:rPr>
              <w:t>became</w:t>
            </w:r>
          </w:p>
        </w:tc>
        <w:tc>
          <w:tcPr>
            <w:tcW w:w="1540" w:type="dxa"/>
          </w:tcPr>
          <w:p w:rsidR="00150A5E" w:rsidRPr="003B75EF" w:rsidRDefault="00150A5E" w:rsidP="00CC0CA3">
            <w:pPr>
              <w:pStyle w:val="ListParagraph"/>
              <w:ind w:left="0"/>
              <w:jc w:val="both"/>
              <w:rPr>
                <w:rFonts w:cs="Arial"/>
                <w:b/>
                <w:color w:val="548DD4" w:themeColor="text2" w:themeTint="99"/>
                <w:sz w:val="22"/>
                <w:szCs w:val="22"/>
              </w:rPr>
            </w:pPr>
            <w:r w:rsidRPr="003B75EF">
              <w:rPr>
                <w:rFonts w:cs="Arial"/>
                <w:b/>
                <w:color w:val="548DD4" w:themeColor="text2" w:themeTint="99"/>
                <w:sz w:val="22"/>
                <w:szCs w:val="22"/>
              </w:rPr>
              <w:t>Band 4M</w:t>
            </w:r>
          </w:p>
        </w:tc>
      </w:tr>
      <w:tr w:rsidR="00150A5E" w:rsidRPr="003B75EF" w:rsidTr="00355873">
        <w:tc>
          <w:tcPr>
            <w:tcW w:w="1488" w:type="dxa"/>
          </w:tcPr>
          <w:p w:rsidR="00150A5E" w:rsidRPr="003B75EF" w:rsidRDefault="00150A5E" w:rsidP="00CC0CA3">
            <w:pPr>
              <w:pStyle w:val="ListParagraph"/>
              <w:ind w:left="0"/>
              <w:jc w:val="both"/>
              <w:rPr>
                <w:rFonts w:cs="Arial"/>
                <w:b/>
                <w:color w:val="548DD4" w:themeColor="text2" w:themeTint="99"/>
                <w:sz w:val="22"/>
                <w:szCs w:val="22"/>
              </w:rPr>
            </w:pPr>
            <w:r w:rsidRPr="003B75EF">
              <w:rPr>
                <w:rFonts w:cs="Arial"/>
                <w:b/>
                <w:color w:val="548DD4" w:themeColor="text2" w:themeTint="99"/>
                <w:sz w:val="22"/>
                <w:szCs w:val="22"/>
              </w:rPr>
              <w:t>Range 6</w:t>
            </w:r>
          </w:p>
        </w:tc>
        <w:tc>
          <w:tcPr>
            <w:tcW w:w="1506" w:type="dxa"/>
          </w:tcPr>
          <w:p w:rsidR="00150A5E" w:rsidRDefault="00150A5E" w:rsidP="00150A5E">
            <w:pPr>
              <w:jc w:val="center"/>
            </w:pPr>
            <w:r w:rsidRPr="00923377">
              <w:rPr>
                <w:rFonts w:cs="Arial"/>
                <w:b/>
                <w:color w:val="548DD4" w:themeColor="text2" w:themeTint="99"/>
                <w:sz w:val="22"/>
                <w:szCs w:val="22"/>
              </w:rPr>
              <w:t>became</w:t>
            </w:r>
          </w:p>
        </w:tc>
        <w:tc>
          <w:tcPr>
            <w:tcW w:w="1540" w:type="dxa"/>
          </w:tcPr>
          <w:p w:rsidR="00150A5E" w:rsidRPr="003B75EF" w:rsidRDefault="00150A5E" w:rsidP="00CC0CA3">
            <w:pPr>
              <w:pStyle w:val="ListParagraph"/>
              <w:ind w:left="0"/>
              <w:jc w:val="both"/>
              <w:rPr>
                <w:rFonts w:cs="Arial"/>
                <w:b/>
                <w:color w:val="548DD4" w:themeColor="text2" w:themeTint="99"/>
                <w:sz w:val="22"/>
                <w:szCs w:val="22"/>
              </w:rPr>
            </w:pPr>
            <w:r w:rsidRPr="003B75EF">
              <w:rPr>
                <w:rFonts w:cs="Arial"/>
                <w:b/>
                <w:color w:val="548DD4" w:themeColor="text2" w:themeTint="99"/>
                <w:sz w:val="22"/>
                <w:szCs w:val="22"/>
              </w:rPr>
              <w:t>Band 4H</w:t>
            </w:r>
          </w:p>
        </w:tc>
      </w:tr>
      <w:tr w:rsidR="00150A5E" w:rsidRPr="003B75EF" w:rsidTr="00355873">
        <w:tc>
          <w:tcPr>
            <w:tcW w:w="1488" w:type="dxa"/>
          </w:tcPr>
          <w:p w:rsidR="00150A5E" w:rsidRPr="003B75EF" w:rsidRDefault="00150A5E" w:rsidP="00CC0CA3">
            <w:pPr>
              <w:pStyle w:val="ListParagraph"/>
              <w:ind w:left="0"/>
              <w:jc w:val="both"/>
              <w:rPr>
                <w:rFonts w:cs="Arial"/>
                <w:b/>
                <w:color w:val="548DD4" w:themeColor="text2" w:themeTint="99"/>
                <w:sz w:val="22"/>
                <w:szCs w:val="22"/>
              </w:rPr>
            </w:pPr>
            <w:r w:rsidRPr="003B75EF">
              <w:rPr>
                <w:rFonts w:cs="Arial"/>
                <w:b/>
                <w:color w:val="548DD4" w:themeColor="text2" w:themeTint="99"/>
                <w:sz w:val="22"/>
                <w:szCs w:val="22"/>
              </w:rPr>
              <w:t>Range 7</w:t>
            </w:r>
          </w:p>
        </w:tc>
        <w:tc>
          <w:tcPr>
            <w:tcW w:w="1506" w:type="dxa"/>
          </w:tcPr>
          <w:p w:rsidR="00150A5E" w:rsidRDefault="00150A5E" w:rsidP="00150A5E">
            <w:pPr>
              <w:jc w:val="center"/>
            </w:pPr>
            <w:r w:rsidRPr="00923377">
              <w:rPr>
                <w:rFonts w:cs="Arial"/>
                <w:b/>
                <w:color w:val="548DD4" w:themeColor="text2" w:themeTint="99"/>
                <w:sz w:val="22"/>
                <w:szCs w:val="22"/>
              </w:rPr>
              <w:t>became</w:t>
            </w:r>
          </w:p>
        </w:tc>
        <w:tc>
          <w:tcPr>
            <w:tcW w:w="1540" w:type="dxa"/>
          </w:tcPr>
          <w:p w:rsidR="00150A5E" w:rsidRPr="003B75EF" w:rsidRDefault="00150A5E" w:rsidP="00CC0CA3">
            <w:pPr>
              <w:pStyle w:val="ListParagraph"/>
              <w:ind w:left="0"/>
              <w:jc w:val="both"/>
              <w:rPr>
                <w:rFonts w:cs="Arial"/>
                <w:b/>
                <w:color w:val="548DD4" w:themeColor="text2" w:themeTint="99"/>
                <w:sz w:val="22"/>
                <w:szCs w:val="22"/>
              </w:rPr>
            </w:pPr>
            <w:r w:rsidRPr="003B75EF">
              <w:rPr>
                <w:rFonts w:cs="Arial"/>
                <w:b/>
                <w:color w:val="548DD4" w:themeColor="text2" w:themeTint="99"/>
                <w:sz w:val="22"/>
                <w:szCs w:val="22"/>
              </w:rPr>
              <w:t>Protected 7</w:t>
            </w:r>
          </w:p>
        </w:tc>
      </w:tr>
    </w:tbl>
    <w:p w:rsidR="003B75EF" w:rsidRPr="003B75EF" w:rsidRDefault="003B75EF" w:rsidP="00355873">
      <w:pPr>
        <w:jc w:val="both"/>
        <w:rPr>
          <w:rFonts w:cs="Arial"/>
          <w:sz w:val="22"/>
          <w:szCs w:val="22"/>
        </w:rPr>
      </w:pPr>
    </w:p>
    <w:p w:rsidR="00150A5E" w:rsidRDefault="001B1431" w:rsidP="00355873">
      <w:pPr>
        <w:spacing w:after="200" w:line="276" w:lineRule="auto"/>
        <w:jc w:val="both"/>
        <w:rPr>
          <w:rFonts w:cs="Arial"/>
          <w:sz w:val="22"/>
          <w:szCs w:val="22"/>
        </w:rPr>
      </w:pPr>
      <w:r>
        <w:rPr>
          <w:rFonts w:cs="Arial"/>
          <w:sz w:val="22"/>
          <w:szCs w:val="22"/>
        </w:rPr>
        <w:t>3.2</w:t>
      </w:r>
      <w:r w:rsidR="00150A5E">
        <w:rPr>
          <w:rFonts w:cs="Arial"/>
          <w:sz w:val="22"/>
          <w:szCs w:val="22"/>
        </w:rPr>
        <w:t xml:space="preserve"> </w:t>
      </w:r>
      <w:r w:rsidR="00CD1122">
        <w:rPr>
          <w:rFonts w:cs="Arial"/>
          <w:sz w:val="22"/>
          <w:szCs w:val="22"/>
        </w:rPr>
        <w:t>M</w:t>
      </w:r>
      <w:r w:rsidR="003B75EF" w:rsidRPr="00150A5E">
        <w:rPr>
          <w:rFonts w:cs="Arial"/>
          <w:sz w:val="22"/>
          <w:szCs w:val="22"/>
        </w:rPr>
        <w:t>ost</w:t>
      </w:r>
      <w:r w:rsidR="00D378FE" w:rsidRPr="00150A5E">
        <w:rPr>
          <w:rFonts w:cs="Arial"/>
          <w:sz w:val="22"/>
          <w:szCs w:val="22"/>
        </w:rPr>
        <w:t xml:space="preserve"> existing</w:t>
      </w:r>
      <w:r w:rsidR="00CD1122">
        <w:rPr>
          <w:rFonts w:cs="Arial"/>
          <w:sz w:val="22"/>
          <w:szCs w:val="22"/>
        </w:rPr>
        <w:t xml:space="preserve"> EHCPs on an on-going basis will</w:t>
      </w:r>
      <w:r w:rsidR="003B75EF" w:rsidRPr="00150A5E">
        <w:rPr>
          <w:rFonts w:cs="Arial"/>
          <w:sz w:val="22"/>
          <w:szCs w:val="22"/>
        </w:rPr>
        <w:t xml:space="preserve"> remain within the band they </w:t>
      </w:r>
      <w:r w:rsidR="00150A5E">
        <w:rPr>
          <w:rFonts w:cs="Arial"/>
          <w:sz w:val="22"/>
          <w:szCs w:val="22"/>
        </w:rPr>
        <w:t>were</w:t>
      </w:r>
      <w:r w:rsidR="003B75EF" w:rsidRPr="00150A5E">
        <w:rPr>
          <w:rFonts w:cs="Arial"/>
          <w:sz w:val="22"/>
          <w:szCs w:val="22"/>
        </w:rPr>
        <w:t xml:space="preserve"> transferred to. The </w:t>
      </w:r>
      <w:r w:rsidR="00D378FE" w:rsidRPr="00150A5E">
        <w:rPr>
          <w:rFonts w:cs="Arial"/>
          <w:sz w:val="22"/>
          <w:szCs w:val="22"/>
        </w:rPr>
        <w:t xml:space="preserve">SEND </w:t>
      </w:r>
      <w:r w:rsidR="003B75EF" w:rsidRPr="00150A5E">
        <w:rPr>
          <w:rFonts w:cs="Arial"/>
          <w:sz w:val="22"/>
          <w:szCs w:val="22"/>
        </w:rPr>
        <w:t xml:space="preserve">Panel will </w:t>
      </w:r>
      <w:r w:rsidR="00150A5E">
        <w:rPr>
          <w:rFonts w:cs="Arial"/>
          <w:sz w:val="22"/>
          <w:szCs w:val="22"/>
        </w:rPr>
        <w:t xml:space="preserve">continue to </w:t>
      </w:r>
      <w:r w:rsidR="003B75EF" w:rsidRPr="00150A5E">
        <w:rPr>
          <w:rFonts w:cs="Arial"/>
          <w:sz w:val="22"/>
          <w:szCs w:val="22"/>
        </w:rPr>
        <w:t xml:space="preserve">review, through the annual review process, individual EHCPs where the banding may be disputed, where there are obvious </w:t>
      </w:r>
      <w:r w:rsidR="00E642E9" w:rsidRPr="00150A5E">
        <w:rPr>
          <w:rFonts w:cs="Arial"/>
          <w:sz w:val="22"/>
          <w:szCs w:val="22"/>
        </w:rPr>
        <w:t xml:space="preserve">existing </w:t>
      </w:r>
      <w:r w:rsidR="003B75EF" w:rsidRPr="00150A5E">
        <w:rPr>
          <w:rFonts w:cs="Arial"/>
          <w:sz w:val="22"/>
          <w:szCs w:val="22"/>
        </w:rPr>
        <w:t>inaccuracies</w:t>
      </w:r>
      <w:r w:rsidR="00E642E9" w:rsidRPr="00150A5E">
        <w:rPr>
          <w:rFonts w:cs="Arial"/>
          <w:sz w:val="22"/>
          <w:szCs w:val="22"/>
        </w:rPr>
        <w:t xml:space="preserve"> or where the needs of the child or young person h</w:t>
      </w:r>
      <w:r w:rsidR="000A28E1" w:rsidRPr="00150A5E">
        <w:rPr>
          <w:rFonts w:cs="Arial"/>
          <w:sz w:val="22"/>
          <w:szCs w:val="22"/>
        </w:rPr>
        <w:t>ave</w:t>
      </w:r>
      <w:r w:rsidR="003B75EF" w:rsidRPr="00150A5E">
        <w:rPr>
          <w:rFonts w:cs="Arial"/>
          <w:sz w:val="22"/>
          <w:szCs w:val="22"/>
        </w:rPr>
        <w:t xml:space="preserve"> changed.</w:t>
      </w:r>
    </w:p>
    <w:p w:rsidR="00D378FE" w:rsidRPr="00150A5E" w:rsidRDefault="001B1431" w:rsidP="00377184">
      <w:pPr>
        <w:spacing w:after="200" w:line="276" w:lineRule="auto"/>
        <w:jc w:val="both"/>
        <w:rPr>
          <w:rFonts w:cs="Arial"/>
          <w:sz w:val="22"/>
          <w:szCs w:val="22"/>
        </w:rPr>
      </w:pPr>
      <w:r>
        <w:rPr>
          <w:rFonts w:cs="Arial"/>
          <w:sz w:val="22"/>
          <w:szCs w:val="22"/>
        </w:rPr>
        <w:t>3.3</w:t>
      </w:r>
      <w:r w:rsidR="00150A5E">
        <w:rPr>
          <w:rFonts w:cs="Arial"/>
          <w:sz w:val="22"/>
          <w:szCs w:val="22"/>
        </w:rPr>
        <w:t xml:space="preserve"> </w:t>
      </w:r>
      <w:r w:rsidR="003B75EF" w:rsidRPr="00150A5E">
        <w:rPr>
          <w:rFonts w:cs="Arial"/>
          <w:sz w:val="22"/>
          <w:szCs w:val="22"/>
        </w:rPr>
        <w:t xml:space="preserve">The </w:t>
      </w:r>
      <w:r w:rsidR="00150A5E">
        <w:rPr>
          <w:rFonts w:cs="Arial"/>
          <w:sz w:val="22"/>
          <w:szCs w:val="22"/>
        </w:rPr>
        <w:t>B</w:t>
      </w:r>
      <w:r w:rsidR="00377184">
        <w:rPr>
          <w:rFonts w:cs="Arial"/>
          <w:sz w:val="22"/>
          <w:szCs w:val="22"/>
        </w:rPr>
        <w:t>a</w:t>
      </w:r>
      <w:r w:rsidR="00150A5E">
        <w:rPr>
          <w:rFonts w:cs="Arial"/>
          <w:sz w:val="22"/>
          <w:szCs w:val="22"/>
        </w:rPr>
        <w:t>nded Model operates u</w:t>
      </w:r>
      <w:r w:rsidR="003B75EF" w:rsidRPr="00150A5E">
        <w:rPr>
          <w:rFonts w:cs="Arial"/>
          <w:sz w:val="22"/>
          <w:szCs w:val="22"/>
        </w:rPr>
        <w:t>nder the guarantee that, for EHCPs in place at 1 April 2020, the EHCP will not ever drop to a lower valued band unless the</w:t>
      </w:r>
      <w:r w:rsidR="00D378FE" w:rsidRPr="00150A5E">
        <w:rPr>
          <w:rFonts w:cs="Arial"/>
          <w:sz w:val="22"/>
          <w:szCs w:val="22"/>
        </w:rPr>
        <w:t xml:space="preserve"> SEND</w:t>
      </w:r>
      <w:r w:rsidR="003B75EF" w:rsidRPr="00150A5E">
        <w:rPr>
          <w:rFonts w:cs="Arial"/>
          <w:sz w:val="22"/>
          <w:szCs w:val="22"/>
        </w:rPr>
        <w:t xml:space="preserve"> Panel ag</w:t>
      </w:r>
      <w:r w:rsidR="00D378FE" w:rsidRPr="00150A5E">
        <w:rPr>
          <w:rFonts w:cs="Arial"/>
          <w:sz w:val="22"/>
          <w:szCs w:val="22"/>
        </w:rPr>
        <w:t>rees that the needs of the child or young person</w:t>
      </w:r>
      <w:r w:rsidR="003B75EF" w:rsidRPr="00150A5E">
        <w:rPr>
          <w:rFonts w:cs="Arial"/>
          <w:sz w:val="22"/>
          <w:szCs w:val="22"/>
        </w:rPr>
        <w:t xml:space="preserve"> are reduced when compared against the needs presented to the Panel in the original EHCP de</w:t>
      </w:r>
      <w:r w:rsidR="00150A5E">
        <w:rPr>
          <w:rFonts w:cs="Arial"/>
          <w:sz w:val="22"/>
          <w:szCs w:val="22"/>
        </w:rPr>
        <w:t>termination. This guarantee</w:t>
      </w:r>
      <w:r w:rsidR="003B75EF" w:rsidRPr="00150A5E">
        <w:rPr>
          <w:rFonts w:cs="Arial"/>
          <w:sz w:val="22"/>
          <w:szCs w:val="22"/>
        </w:rPr>
        <w:t xml:space="preserve"> remain</w:t>
      </w:r>
      <w:r w:rsidR="00150A5E">
        <w:rPr>
          <w:rFonts w:cs="Arial"/>
          <w:sz w:val="22"/>
          <w:szCs w:val="22"/>
        </w:rPr>
        <w:t>s</w:t>
      </w:r>
      <w:r w:rsidR="003B75EF" w:rsidRPr="00150A5E">
        <w:rPr>
          <w:rFonts w:cs="Arial"/>
          <w:sz w:val="22"/>
          <w:szCs w:val="22"/>
        </w:rPr>
        <w:t xml:space="preserve"> until the pupil reaches the end of year 11. This guarantee does not extend to assessment places </w:t>
      </w:r>
      <w:r w:rsidR="00150A5E">
        <w:rPr>
          <w:rFonts w:cs="Arial"/>
          <w:sz w:val="22"/>
          <w:szCs w:val="22"/>
        </w:rPr>
        <w:t xml:space="preserve">that were </w:t>
      </w:r>
      <w:r w:rsidR="003B75EF" w:rsidRPr="00150A5E">
        <w:rPr>
          <w:rFonts w:cs="Arial"/>
          <w:sz w:val="22"/>
          <w:szCs w:val="22"/>
        </w:rPr>
        <w:t xml:space="preserve">funded at </w:t>
      </w:r>
      <w:r w:rsidR="00150A5E">
        <w:rPr>
          <w:rFonts w:cs="Arial"/>
          <w:sz w:val="22"/>
          <w:szCs w:val="22"/>
        </w:rPr>
        <w:t>1 April 2020 (as these pupils did</w:t>
      </w:r>
      <w:r w:rsidR="003B75EF" w:rsidRPr="00150A5E">
        <w:rPr>
          <w:rFonts w:cs="Arial"/>
          <w:sz w:val="22"/>
          <w:szCs w:val="22"/>
        </w:rPr>
        <w:t xml:space="preserve"> not yet have EHCPs).</w:t>
      </w:r>
    </w:p>
    <w:p w:rsidR="00545173" w:rsidRPr="00405067" w:rsidRDefault="001B1431" w:rsidP="00405067">
      <w:pPr>
        <w:spacing w:after="200" w:line="276" w:lineRule="auto"/>
        <w:jc w:val="both"/>
        <w:rPr>
          <w:rFonts w:cs="Arial"/>
          <w:sz w:val="22"/>
          <w:szCs w:val="22"/>
        </w:rPr>
      </w:pPr>
      <w:r>
        <w:rPr>
          <w:rFonts w:cs="Arial"/>
          <w:sz w:val="22"/>
          <w:szCs w:val="22"/>
        </w:rPr>
        <w:t>3.4</w:t>
      </w:r>
      <w:r w:rsidR="00150A5E">
        <w:rPr>
          <w:rFonts w:cs="Arial"/>
          <w:sz w:val="22"/>
          <w:szCs w:val="22"/>
        </w:rPr>
        <w:t xml:space="preserve"> The </w:t>
      </w:r>
      <w:r w:rsidR="00CD1122">
        <w:rPr>
          <w:rFonts w:cs="Arial"/>
          <w:sz w:val="22"/>
          <w:szCs w:val="22"/>
        </w:rPr>
        <w:t>Banded M</w:t>
      </w:r>
      <w:r w:rsidR="00150A5E">
        <w:rPr>
          <w:rFonts w:cs="Arial"/>
          <w:sz w:val="22"/>
          <w:szCs w:val="22"/>
        </w:rPr>
        <w:t xml:space="preserve">odel </w:t>
      </w:r>
      <w:r w:rsidR="00150A5E" w:rsidRPr="00150A5E">
        <w:rPr>
          <w:rFonts w:cs="Arial"/>
          <w:sz w:val="22"/>
          <w:szCs w:val="22"/>
        </w:rPr>
        <w:t>retain</w:t>
      </w:r>
      <w:r w:rsidR="00150A5E">
        <w:rPr>
          <w:rFonts w:cs="Arial"/>
          <w:sz w:val="22"/>
          <w:szCs w:val="22"/>
        </w:rPr>
        <w:t>s</w:t>
      </w:r>
      <w:r w:rsidR="00150A5E" w:rsidRPr="00150A5E">
        <w:rPr>
          <w:rFonts w:cs="Arial"/>
          <w:sz w:val="22"/>
          <w:szCs w:val="22"/>
        </w:rPr>
        <w:t xml:space="preserve"> a transitional ‘Protected 7’ band, which will </w:t>
      </w:r>
      <w:r w:rsidR="00150A5E">
        <w:rPr>
          <w:rFonts w:cs="Arial"/>
          <w:sz w:val="22"/>
          <w:szCs w:val="22"/>
        </w:rPr>
        <w:t>continue to fund EHCPs</w:t>
      </w:r>
      <w:r w:rsidR="00150A5E" w:rsidRPr="00150A5E">
        <w:rPr>
          <w:rFonts w:cs="Arial"/>
          <w:sz w:val="22"/>
          <w:szCs w:val="22"/>
        </w:rPr>
        <w:t xml:space="preserve"> </w:t>
      </w:r>
      <w:r w:rsidR="00CD1122">
        <w:rPr>
          <w:rFonts w:cs="Arial"/>
          <w:sz w:val="22"/>
          <w:szCs w:val="22"/>
        </w:rPr>
        <w:t xml:space="preserve">that we </w:t>
      </w:r>
      <w:r w:rsidR="00150A5E" w:rsidRPr="00150A5E">
        <w:rPr>
          <w:rFonts w:cs="Arial"/>
          <w:sz w:val="22"/>
          <w:szCs w:val="22"/>
        </w:rPr>
        <w:t>graded at Range 7</w:t>
      </w:r>
      <w:r w:rsidR="00150A5E">
        <w:rPr>
          <w:rFonts w:cs="Arial"/>
          <w:sz w:val="22"/>
          <w:szCs w:val="22"/>
        </w:rPr>
        <w:t xml:space="preserve"> </w:t>
      </w:r>
      <w:r w:rsidR="00CD1122">
        <w:rPr>
          <w:rFonts w:cs="Arial"/>
          <w:sz w:val="22"/>
          <w:szCs w:val="22"/>
        </w:rPr>
        <w:t>under the old model</w:t>
      </w:r>
      <w:r w:rsidR="00150A5E" w:rsidRPr="00150A5E">
        <w:rPr>
          <w:rFonts w:cs="Arial"/>
          <w:sz w:val="22"/>
          <w:szCs w:val="22"/>
        </w:rPr>
        <w:t xml:space="preserve">. </w:t>
      </w:r>
      <w:r w:rsidR="00CD1122">
        <w:rPr>
          <w:rFonts w:cs="Arial"/>
          <w:sz w:val="22"/>
          <w:szCs w:val="22"/>
        </w:rPr>
        <w:t xml:space="preserve">These </w:t>
      </w:r>
      <w:r w:rsidR="00150A5E" w:rsidRPr="00150A5E">
        <w:rPr>
          <w:rFonts w:cs="Arial"/>
          <w:sz w:val="22"/>
          <w:szCs w:val="22"/>
        </w:rPr>
        <w:t>Range 7 pupils will stay funded by the Protected 7 band unless an annual review gives them a higher level of funding using the new model (via stacking), when the pupil would be transferred onto the new model at this point, or where the pupil’s needs are agreed to have reduced when compared against the needs presented to the Panel in the original EHCP Range 7 determinat</w:t>
      </w:r>
      <w:r w:rsidR="00150A5E">
        <w:rPr>
          <w:rFonts w:cs="Arial"/>
          <w:sz w:val="22"/>
          <w:szCs w:val="22"/>
        </w:rPr>
        <w:t>ion. This guarantee</w:t>
      </w:r>
      <w:r w:rsidR="00150A5E" w:rsidRPr="00150A5E">
        <w:rPr>
          <w:rFonts w:cs="Arial"/>
          <w:sz w:val="22"/>
          <w:szCs w:val="22"/>
        </w:rPr>
        <w:t xml:space="preserve"> remain</w:t>
      </w:r>
      <w:r w:rsidR="00150A5E">
        <w:rPr>
          <w:rFonts w:cs="Arial"/>
          <w:sz w:val="22"/>
          <w:szCs w:val="22"/>
        </w:rPr>
        <w:t>s</w:t>
      </w:r>
      <w:r w:rsidR="00150A5E" w:rsidRPr="00150A5E">
        <w:rPr>
          <w:rFonts w:cs="Arial"/>
          <w:sz w:val="22"/>
          <w:szCs w:val="22"/>
        </w:rPr>
        <w:t xml:space="preserve"> in place until the pupil reaches the end of year 11.  </w:t>
      </w:r>
      <w:r w:rsidR="00150A5E">
        <w:rPr>
          <w:rFonts w:cs="Arial"/>
          <w:sz w:val="22"/>
          <w:szCs w:val="22"/>
        </w:rPr>
        <w:t xml:space="preserve">The value of Protected 7 will be uplifted each year by the same </w:t>
      </w:r>
      <w:r w:rsidR="00CD1122">
        <w:rPr>
          <w:rFonts w:cs="Arial"/>
          <w:sz w:val="22"/>
          <w:szCs w:val="22"/>
        </w:rPr>
        <w:t>%</w:t>
      </w:r>
      <w:r w:rsidR="00150A5E">
        <w:rPr>
          <w:rFonts w:cs="Arial"/>
          <w:sz w:val="22"/>
          <w:szCs w:val="22"/>
        </w:rPr>
        <w:t xml:space="preserve"> that is applied to Band 4H.</w:t>
      </w:r>
    </w:p>
    <w:p w:rsidR="00E8426D" w:rsidRDefault="00E8426D" w:rsidP="00355873">
      <w:pPr>
        <w:jc w:val="center"/>
        <w:rPr>
          <w:b/>
          <w:sz w:val="22"/>
          <w:szCs w:val="22"/>
        </w:rPr>
      </w:pPr>
    </w:p>
    <w:p w:rsidR="00756FF2" w:rsidRDefault="00756FF2" w:rsidP="00355873">
      <w:pPr>
        <w:jc w:val="center"/>
        <w:rPr>
          <w:b/>
          <w:sz w:val="22"/>
          <w:szCs w:val="22"/>
        </w:rPr>
      </w:pPr>
    </w:p>
    <w:p w:rsidR="00756FF2" w:rsidRDefault="00756FF2" w:rsidP="00355873">
      <w:pPr>
        <w:jc w:val="center"/>
        <w:rPr>
          <w:b/>
          <w:sz w:val="22"/>
          <w:szCs w:val="22"/>
        </w:rPr>
      </w:pPr>
    </w:p>
    <w:p w:rsidR="00756FF2" w:rsidRDefault="00756FF2" w:rsidP="00355873">
      <w:pPr>
        <w:jc w:val="center"/>
        <w:rPr>
          <w:b/>
          <w:sz w:val="22"/>
          <w:szCs w:val="22"/>
        </w:rPr>
      </w:pPr>
    </w:p>
    <w:p w:rsidR="00756FF2" w:rsidRDefault="00756FF2" w:rsidP="00355873">
      <w:pPr>
        <w:jc w:val="center"/>
        <w:rPr>
          <w:b/>
          <w:sz w:val="22"/>
          <w:szCs w:val="22"/>
        </w:rPr>
      </w:pPr>
    </w:p>
    <w:p w:rsidR="00756FF2" w:rsidRDefault="00756FF2" w:rsidP="00355873">
      <w:pPr>
        <w:jc w:val="center"/>
        <w:rPr>
          <w:b/>
          <w:sz w:val="22"/>
          <w:szCs w:val="22"/>
        </w:rPr>
      </w:pPr>
    </w:p>
    <w:p w:rsidR="00756FF2" w:rsidRDefault="00756FF2" w:rsidP="00355873">
      <w:pPr>
        <w:jc w:val="center"/>
        <w:rPr>
          <w:b/>
          <w:sz w:val="22"/>
          <w:szCs w:val="22"/>
        </w:rPr>
      </w:pPr>
    </w:p>
    <w:p w:rsidR="00E8426D" w:rsidRDefault="00E8426D" w:rsidP="003619BF">
      <w:pPr>
        <w:rPr>
          <w:b/>
          <w:sz w:val="22"/>
          <w:szCs w:val="22"/>
        </w:rPr>
      </w:pPr>
    </w:p>
    <w:p w:rsidR="00E37FC5" w:rsidRPr="005301F8" w:rsidRDefault="00877D3E" w:rsidP="00355873">
      <w:pPr>
        <w:jc w:val="center"/>
        <w:rPr>
          <w:b/>
          <w:sz w:val="22"/>
          <w:szCs w:val="22"/>
        </w:rPr>
      </w:pPr>
      <w:r w:rsidRPr="005301F8">
        <w:rPr>
          <w:b/>
          <w:sz w:val="22"/>
          <w:szCs w:val="22"/>
        </w:rPr>
        <w:t>Appendix 3</w:t>
      </w:r>
      <w:r w:rsidR="00E37FC5" w:rsidRPr="005301F8">
        <w:rPr>
          <w:b/>
          <w:sz w:val="22"/>
          <w:szCs w:val="22"/>
        </w:rPr>
        <w:t xml:space="preserve"> – Technical Annex</w:t>
      </w:r>
      <w:r w:rsidR="00756FF2">
        <w:rPr>
          <w:b/>
          <w:sz w:val="22"/>
          <w:szCs w:val="22"/>
        </w:rPr>
        <w:t xml:space="preserve"> 2022/23</w:t>
      </w:r>
      <w:r w:rsidR="00E6101C">
        <w:rPr>
          <w:b/>
          <w:sz w:val="22"/>
          <w:szCs w:val="22"/>
        </w:rPr>
        <w:t xml:space="preserve"> Approach</w:t>
      </w:r>
    </w:p>
    <w:p w:rsidR="00E37FC5" w:rsidRDefault="00E37FC5" w:rsidP="00355873">
      <w:pPr>
        <w:jc w:val="both"/>
        <w:rPr>
          <w:sz w:val="22"/>
          <w:szCs w:val="22"/>
        </w:rPr>
      </w:pPr>
    </w:p>
    <w:p w:rsidR="00E37FC5" w:rsidRDefault="00890444" w:rsidP="00355873">
      <w:pPr>
        <w:jc w:val="both"/>
        <w:rPr>
          <w:sz w:val="22"/>
          <w:szCs w:val="22"/>
        </w:rPr>
      </w:pPr>
      <w:r>
        <w:rPr>
          <w:sz w:val="22"/>
          <w:szCs w:val="22"/>
        </w:rPr>
        <w:t>This appendix contains more technical detail on the definition</w:t>
      </w:r>
      <w:r w:rsidR="0066340D">
        <w:rPr>
          <w:sz w:val="22"/>
          <w:szCs w:val="22"/>
        </w:rPr>
        <w:t>s</w:t>
      </w:r>
      <w:r>
        <w:rPr>
          <w:sz w:val="22"/>
          <w:szCs w:val="22"/>
        </w:rPr>
        <w:t xml:space="preserve"> and calculation</w:t>
      </w:r>
      <w:r w:rsidR="0066340D">
        <w:rPr>
          <w:sz w:val="22"/>
          <w:szCs w:val="22"/>
        </w:rPr>
        <w:t xml:space="preserve">s </w:t>
      </w:r>
      <w:r>
        <w:rPr>
          <w:sz w:val="22"/>
          <w:szCs w:val="22"/>
        </w:rPr>
        <w:t>of factors that are contained within Bradford Coun</w:t>
      </w:r>
      <w:r w:rsidR="007B515F">
        <w:rPr>
          <w:sz w:val="22"/>
          <w:szCs w:val="22"/>
        </w:rPr>
        <w:t>cil’s</w:t>
      </w:r>
      <w:r w:rsidR="00756FF2">
        <w:rPr>
          <w:sz w:val="22"/>
          <w:szCs w:val="22"/>
        </w:rPr>
        <w:t xml:space="preserve"> </w:t>
      </w:r>
      <w:r w:rsidR="00756FF2" w:rsidRPr="00756FF2">
        <w:rPr>
          <w:sz w:val="22"/>
          <w:szCs w:val="22"/>
          <w:u w:val="single"/>
        </w:rPr>
        <w:t>CURRENT 2022/23</w:t>
      </w:r>
      <w:r w:rsidR="00756FF2">
        <w:rPr>
          <w:sz w:val="22"/>
          <w:szCs w:val="22"/>
          <w:u w:val="single"/>
        </w:rPr>
        <w:t xml:space="preserve"> financial year</w:t>
      </w:r>
      <w:r w:rsidR="00D40BAA">
        <w:rPr>
          <w:sz w:val="22"/>
          <w:szCs w:val="22"/>
        </w:rPr>
        <w:t xml:space="preserve"> EHCP</w:t>
      </w:r>
      <w:r w:rsidR="007B515F">
        <w:rPr>
          <w:sz w:val="22"/>
          <w:szCs w:val="22"/>
        </w:rPr>
        <w:t xml:space="preserve"> high needs funding model.</w:t>
      </w:r>
    </w:p>
    <w:p w:rsidR="003235F9" w:rsidRDefault="003235F9" w:rsidP="00355873">
      <w:pPr>
        <w:jc w:val="both"/>
        <w:rPr>
          <w:sz w:val="22"/>
          <w:szCs w:val="22"/>
        </w:rPr>
      </w:pPr>
    </w:p>
    <w:p w:rsidR="00890444" w:rsidRPr="009879CD" w:rsidRDefault="00890444" w:rsidP="00355873">
      <w:pPr>
        <w:jc w:val="both"/>
        <w:rPr>
          <w:b/>
          <w:sz w:val="22"/>
          <w:szCs w:val="22"/>
          <w:u w:val="single"/>
        </w:rPr>
      </w:pPr>
      <w:r w:rsidRPr="009879CD">
        <w:rPr>
          <w:b/>
          <w:sz w:val="22"/>
          <w:szCs w:val="22"/>
          <w:u w:val="single"/>
        </w:rPr>
        <w:t>Notional SEND</w:t>
      </w:r>
      <w:r w:rsidR="00E13622">
        <w:rPr>
          <w:b/>
          <w:sz w:val="22"/>
          <w:szCs w:val="22"/>
          <w:u w:val="single"/>
        </w:rPr>
        <w:t xml:space="preserve"> Budgets</w:t>
      </w:r>
      <w:r w:rsidRPr="009879CD">
        <w:rPr>
          <w:b/>
          <w:sz w:val="22"/>
          <w:szCs w:val="22"/>
          <w:u w:val="single"/>
        </w:rPr>
        <w:t xml:space="preserve"> (Mainstream Schools Block</w:t>
      </w:r>
      <w:r w:rsidR="005921B5" w:rsidRPr="009879CD">
        <w:rPr>
          <w:b/>
          <w:sz w:val="22"/>
          <w:szCs w:val="22"/>
          <w:u w:val="single"/>
        </w:rPr>
        <w:t xml:space="preserve"> Primary &amp; Secondary</w:t>
      </w:r>
      <w:r w:rsidRPr="009879CD">
        <w:rPr>
          <w:b/>
          <w:sz w:val="22"/>
          <w:szCs w:val="22"/>
          <w:u w:val="single"/>
        </w:rPr>
        <w:t>)</w:t>
      </w:r>
    </w:p>
    <w:p w:rsidR="00BA1CC7" w:rsidRDefault="00BA1CC7" w:rsidP="00355873">
      <w:pPr>
        <w:jc w:val="both"/>
        <w:rPr>
          <w:sz w:val="22"/>
          <w:szCs w:val="22"/>
        </w:rPr>
      </w:pPr>
    </w:p>
    <w:p w:rsidR="00BC07E7" w:rsidRPr="00BA1CC7" w:rsidRDefault="00BC07E7" w:rsidP="00BC07E7">
      <w:pPr>
        <w:jc w:val="both"/>
        <w:rPr>
          <w:sz w:val="22"/>
          <w:szCs w:val="22"/>
        </w:rPr>
      </w:pPr>
      <w:r>
        <w:rPr>
          <w:sz w:val="22"/>
          <w:szCs w:val="22"/>
        </w:rPr>
        <w:t>Local authorities are</w:t>
      </w:r>
      <w:r w:rsidRPr="00BA1CC7">
        <w:rPr>
          <w:sz w:val="22"/>
          <w:szCs w:val="22"/>
        </w:rPr>
        <w:t xml:space="preserve"> required to define for each primary and secondary school</w:t>
      </w:r>
      <w:r>
        <w:rPr>
          <w:sz w:val="22"/>
          <w:szCs w:val="22"/>
        </w:rPr>
        <w:t xml:space="preserve"> and academy</w:t>
      </w:r>
      <w:r w:rsidRPr="00BA1CC7">
        <w:rPr>
          <w:sz w:val="22"/>
          <w:szCs w:val="22"/>
        </w:rPr>
        <w:t xml:space="preserve"> the value of </w:t>
      </w:r>
      <w:r>
        <w:rPr>
          <w:sz w:val="22"/>
          <w:szCs w:val="22"/>
        </w:rPr>
        <w:t xml:space="preserve">mainstream </w:t>
      </w:r>
      <w:r w:rsidRPr="00BA1CC7">
        <w:rPr>
          <w:sz w:val="22"/>
          <w:szCs w:val="22"/>
        </w:rPr>
        <w:t xml:space="preserve">formula funding that is ‘notionally’ allocated for SEND (for meeting the first </w:t>
      </w:r>
      <w:r w:rsidRPr="0036379B">
        <w:rPr>
          <w:sz w:val="22"/>
          <w:szCs w:val="22"/>
        </w:rPr>
        <w:t xml:space="preserve">£6,000 of </w:t>
      </w:r>
      <w:r w:rsidRPr="00BA1CC7">
        <w:rPr>
          <w:sz w:val="22"/>
          <w:szCs w:val="22"/>
        </w:rPr>
        <w:t xml:space="preserve">needs </w:t>
      </w:r>
      <w:r>
        <w:rPr>
          <w:sz w:val="22"/>
          <w:szCs w:val="22"/>
        </w:rPr>
        <w:t xml:space="preserve">both </w:t>
      </w:r>
      <w:r w:rsidRPr="00BA1CC7">
        <w:rPr>
          <w:sz w:val="22"/>
          <w:szCs w:val="22"/>
        </w:rPr>
        <w:t>for pupils with EHCPs and the needs of pupils without EHCPs). How Bradford currently defines notional SEN</w:t>
      </w:r>
      <w:r w:rsidR="00756FF2">
        <w:rPr>
          <w:sz w:val="22"/>
          <w:szCs w:val="22"/>
        </w:rPr>
        <w:t>D in the 2022/23</w:t>
      </w:r>
      <w:r>
        <w:rPr>
          <w:sz w:val="22"/>
          <w:szCs w:val="22"/>
        </w:rPr>
        <w:t xml:space="preserve"> financial year</w:t>
      </w:r>
      <w:r w:rsidRPr="00BA1CC7">
        <w:rPr>
          <w:sz w:val="22"/>
          <w:szCs w:val="22"/>
        </w:rPr>
        <w:t xml:space="preserve"> (the %s of funding in each </w:t>
      </w:r>
      <w:r>
        <w:rPr>
          <w:sz w:val="22"/>
          <w:szCs w:val="22"/>
        </w:rPr>
        <w:t xml:space="preserve">formula </w:t>
      </w:r>
      <w:r w:rsidRPr="00BA1CC7">
        <w:rPr>
          <w:sz w:val="22"/>
          <w:szCs w:val="22"/>
        </w:rPr>
        <w:t>factor that make up this budget) is shown in the table below.</w:t>
      </w:r>
    </w:p>
    <w:p w:rsidR="00BC07E7" w:rsidRPr="00D9470F" w:rsidRDefault="00BC07E7" w:rsidP="00BC07E7">
      <w:pPr>
        <w:pStyle w:val="ListParagraph"/>
        <w:jc w:val="both"/>
        <w:rPr>
          <w:sz w:val="22"/>
          <w:szCs w:val="22"/>
        </w:rPr>
      </w:pPr>
    </w:p>
    <w:tbl>
      <w:tblPr>
        <w:tblStyle w:val="TableGrid"/>
        <w:tblW w:w="0" w:type="auto"/>
        <w:tblLook w:val="04A0" w:firstRow="1" w:lastRow="0" w:firstColumn="1" w:lastColumn="0" w:noHBand="0" w:noVBand="1"/>
      </w:tblPr>
      <w:tblGrid>
        <w:gridCol w:w="6753"/>
        <w:gridCol w:w="1981"/>
        <w:gridCol w:w="2140"/>
      </w:tblGrid>
      <w:tr w:rsidR="00BC07E7" w:rsidTr="00AA1D1B">
        <w:tc>
          <w:tcPr>
            <w:tcW w:w="6771" w:type="dxa"/>
          </w:tcPr>
          <w:p w:rsidR="00BC07E7" w:rsidRPr="00D210FF" w:rsidRDefault="00BC07E7" w:rsidP="00AA1D1B">
            <w:pPr>
              <w:jc w:val="both"/>
              <w:rPr>
                <w:b/>
                <w:sz w:val="22"/>
                <w:szCs w:val="22"/>
              </w:rPr>
            </w:pPr>
            <w:r w:rsidRPr="00D210FF">
              <w:rPr>
                <w:b/>
                <w:sz w:val="22"/>
                <w:szCs w:val="22"/>
              </w:rPr>
              <w:t>Formula Factor</w:t>
            </w:r>
          </w:p>
        </w:tc>
        <w:tc>
          <w:tcPr>
            <w:tcW w:w="1984" w:type="dxa"/>
          </w:tcPr>
          <w:p w:rsidR="00BC07E7" w:rsidRPr="00D210FF" w:rsidRDefault="00BC07E7" w:rsidP="00AA1D1B">
            <w:pPr>
              <w:jc w:val="right"/>
              <w:rPr>
                <w:b/>
                <w:sz w:val="22"/>
                <w:szCs w:val="22"/>
              </w:rPr>
            </w:pPr>
            <w:r w:rsidRPr="00D210FF">
              <w:rPr>
                <w:b/>
                <w:sz w:val="22"/>
                <w:szCs w:val="22"/>
              </w:rPr>
              <w:t>% Primary</w:t>
            </w:r>
          </w:p>
        </w:tc>
        <w:tc>
          <w:tcPr>
            <w:tcW w:w="2143" w:type="dxa"/>
          </w:tcPr>
          <w:p w:rsidR="00BC07E7" w:rsidRPr="00D210FF" w:rsidRDefault="00BC07E7" w:rsidP="00AA1D1B">
            <w:pPr>
              <w:jc w:val="right"/>
              <w:rPr>
                <w:b/>
                <w:sz w:val="22"/>
                <w:szCs w:val="22"/>
              </w:rPr>
            </w:pPr>
            <w:r w:rsidRPr="00D210FF">
              <w:rPr>
                <w:b/>
                <w:sz w:val="22"/>
                <w:szCs w:val="22"/>
              </w:rPr>
              <w:t>% Secondary</w:t>
            </w:r>
          </w:p>
        </w:tc>
      </w:tr>
      <w:tr w:rsidR="00BC07E7" w:rsidTr="00AA1D1B">
        <w:tc>
          <w:tcPr>
            <w:tcW w:w="6771" w:type="dxa"/>
          </w:tcPr>
          <w:p w:rsidR="00BC07E7" w:rsidRDefault="00BC07E7" w:rsidP="00AA1D1B">
            <w:pPr>
              <w:jc w:val="both"/>
              <w:rPr>
                <w:sz w:val="22"/>
                <w:szCs w:val="22"/>
              </w:rPr>
            </w:pPr>
            <w:r>
              <w:rPr>
                <w:sz w:val="22"/>
                <w:szCs w:val="22"/>
              </w:rPr>
              <w:t>Prior Low Attainment</w:t>
            </w:r>
          </w:p>
        </w:tc>
        <w:tc>
          <w:tcPr>
            <w:tcW w:w="1984" w:type="dxa"/>
          </w:tcPr>
          <w:p w:rsidR="00BC07E7" w:rsidRDefault="00BC07E7" w:rsidP="00AA1D1B">
            <w:pPr>
              <w:jc w:val="right"/>
              <w:rPr>
                <w:sz w:val="22"/>
                <w:szCs w:val="22"/>
              </w:rPr>
            </w:pPr>
            <w:r>
              <w:rPr>
                <w:sz w:val="22"/>
                <w:szCs w:val="22"/>
              </w:rPr>
              <w:t>100%</w:t>
            </w:r>
          </w:p>
        </w:tc>
        <w:tc>
          <w:tcPr>
            <w:tcW w:w="2143" w:type="dxa"/>
          </w:tcPr>
          <w:p w:rsidR="00BC07E7" w:rsidRDefault="00BC07E7" w:rsidP="00AA1D1B">
            <w:pPr>
              <w:jc w:val="right"/>
              <w:rPr>
                <w:sz w:val="22"/>
                <w:szCs w:val="22"/>
              </w:rPr>
            </w:pPr>
            <w:r>
              <w:rPr>
                <w:sz w:val="22"/>
                <w:szCs w:val="22"/>
              </w:rPr>
              <w:t>100%</w:t>
            </w:r>
          </w:p>
        </w:tc>
      </w:tr>
      <w:tr w:rsidR="00BC07E7" w:rsidTr="00AA1D1B">
        <w:tc>
          <w:tcPr>
            <w:tcW w:w="6771" w:type="dxa"/>
          </w:tcPr>
          <w:p w:rsidR="00BC07E7" w:rsidRDefault="00BC07E7" w:rsidP="00AA1D1B">
            <w:pPr>
              <w:jc w:val="both"/>
              <w:rPr>
                <w:sz w:val="22"/>
                <w:szCs w:val="22"/>
              </w:rPr>
            </w:pPr>
            <w:r>
              <w:rPr>
                <w:sz w:val="22"/>
                <w:szCs w:val="22"/>
              </w:rPr>
              <w:t>Free School Meals Factor</w:t>
            </w:r>
          </w:p>
        </w:tc>
        <w:tc>
          <w:tcPr>
            <w:tcW w:w="1984" w:type="dxa"/>
          </w:tcPr>
          <w:p w:rsidR="00BC07E7" w:rsidRDefault="00BC07E7" w:rsidP="00AA1D1B">
            <w:pPr>
              <w:jc w:val="right"/>
              <w:rPr>
                <w:sz w:val="22"/>
                <w:szCs w:val="22"/>
              </w:rPr>
            </w:pPr>
            <w:r>
              <w:rPr>
                <w:sz w:val="22"/>
                <w:szCs w:val="22"/>
              </w:rPr>
              <w:t>23.1%</w:t>
            </w:r>
          </w:p>
        </w:tc>
        <w:tc>
          <w:tcPr>
            <w:tcW w:w="2143" w:type="dxa"/>
          </w:tcPr>
          <w:p w:rsidR="00BC07E7" w:rsidRDefault="00BC07E7" w:rsidP="00AA1D1B">
            <w:pPr>
              <w:jc w:val="right"/>
              <w:rPr>
                <w:sz w:val="22"/>
                <w:szCs w:val="22"/>
              </w:rPr>
            </w:pPr>
            <w:r>
              <w:rPr>
                <w:sz w:val="22"/>
                <w:szCs w:val="22"/>
              </w:rPr>
              <w:t>10.2%</w:t>
            </w:r>
          </w:p>
        </w:tc>
      </w:tr>
      <w:tr w:rsidR="00BC07E7" w:rsidTr="00AA1D1B">
        <w:tc>
          <w:tcPr>
            <w:tcW w:w="6771" w:type="dxa"/>
          </w:tcPr>
          <w:p w:rsidR="00BC07E7" w:rsidRDefault="00BC07E7" w:rsidP="00AA1D1B">
            <w:pPr>
              <w:jc w:val="both"/>
              <w:rPr>
                <w:sz w:val="22"/>
                <w:szCs w:val="22"/>
              </w:rPr>
            </w:pPr>
            <w:r>
              <w:rPr>
                <w:sz w:val="22"/>
                <w:szCs w:val="22"/>
              </w:rPr>
              <w:t>IDACI Factor</w:t>
            </w:r>
          </w:p>
        </w:tc>
        <w:tc>
          <w:tcPr>
            <w:tcW w:w="1984" w:type="dxa"/>
          </w:tcPr>
          <w:p w:rsidR="00BC07E7" w:rsidRDefault="00BC07E7" w:rsidP="00AA1D1B">
            <w:pPr>
              <w:jc w:val="right"/>
              <w:rPr>
                <w:sz w:val="22"/>
                <w:szCs w:val="22"/>
              </w:rPr>
            </w:pPr>
            <w:r>
              <w:rPr>
                <w:sz w:val="22"/>
                <w:szCs w:val="22"/>
              </w:rPr>
              <w:t>22.4%</w:t>
            </w:r>
          </w:p>
        </w:tc>
        <w:tc>
          <w:tcPr>
            <w:tcW w:w="2143" w:type="dxa"/>
          </w:tcPr>
          <w:p w:rsidR="00BC07E7" w:rsidRDefault="00BC07E7" w:rsidP="00AA1D1B">
            <w:pPr>
              <w:jc w:val="right"/>
              <w:rPr>
                <w:sz w:val="22"/>
                <w:szCs w:val="22"/>
              </w:rPr>
            </w:pPr>
            <w:r>
              <w:rPr>
                <w:sz w:val="22"/>
                <w:szCs w:val="22"/>
              </w:rPr>
              <w:t>19.2%</w:t>
            </w:r>
          </w:p>
        </w:tc>
      </w:tr>
      <w:tr w:rsidR="00BC07E7" w:rsidTr="00AA1D1B">
        <w:tc>
          <w:tcPr>
            <w:tcW w:w="6771" w:type="dxa"/>
          </w:tcPr>
          <w:p w:rsidR="00BC07E7" w:rsidRDefault="00BC07E7" w:rsidP="00AA1D1B">
            <w:pPr>
              <w:jc w:val="both"/>
              <w:rPr>
                <w:sz w:val="22"/>
                <w:szCs w:val="22"/>
              </w:rPr>
            </w:pPr>
            <w:r>
              <w:rPr>
                <w:sz w:val="22"/>
                <w:szCs w:val="22"/>
              </w:rPr>
              <w:t>Base £APP</w:t>
            </w:r>
          </w:p>
        </w:tc>
        <w:tc>
          <w:tcPr>
            <w:tcW w:w="1984" w:type="dxa"/>
          </w:tcPr>
          <w:p w:rsidR="00BC07E7" w:rsidRDefault="00BC07E7" w:rsidP="00AA1D1B">
            <w:pPr>
              <w:jc w:val="right"/>
              <w:rPr>
                <w:sz w:val="22"/>
                <w:szCs w:val="22"/>
              </w:rPr>
            </w:pPr>
            <w:r>
              <w:rPr>
                <w:sz w:val="22"/>
                <w:szCs w:val="22"/>
              </w:rPr>
              <w:t>7.5%</w:t>
            </w:r>
          </w:p>
        </w:tc>
        <w:tc>
          <w:tcPr>
            <w:tcW w:w="2143" w:type="dxa"/>
          </w:tcPr>
          <w:p w:rsidR="00BC07E7" w:rsidRDefault="00BC07E7" w:rsidP="00AA1D1B">
            <w:pPr>
              <w:jc w:val="right"/>
              <w:rPr>
                <w:sz w:val="22"/>
                <w:szCs w:val="22"/>
              </w:rPr>
            </w:pPr>
            <w:r>
              <w:rPr>
                <w:sz w:val="22"/>
                <w:szCs w:val="22"/>
              </w:rPr>
              <w:t>6.3%</w:t>
            </w:r>
          </w:p>
        </w:tc>
      </w:tr>
    </w:tbl>
    <w:p w:rsidR="00BC07E7" w:rsidRDefault="00BC07E7" w:rsidP="00BC07E7">
      <w:pPr>
        <w:jc w:val="both"/>
        <w:rPr>
          <w:sz w:val="22"/>
          <w:szCs w:val="22"/>
        </w:rPr>
      </w:pPr>
    </w:p>
    <w:p w:rsidR="00BC07E7" w:rsidRDefault="00BC07E7" w:rsidP="00BC07E7">
      <w:pPr>
        <w:jc w:val="both"/>
        <w:rPr>
          <w:sz w:val="22"/>
          <w:szCs w:val="22"/>
        </w:rPr>
      </w:pPr>
      <w:r>
        <w:rPr>
          <w:sz w:val="22"/>
          <w:szCs w:val="22"/>
        </w:rPr>
        <w:t>In addition, 6.0% of a mainstream school’s or academy’s allocation from the Early Years Single Funding Formula, for mainstream primary schools and academies that have early years entitlement provision, is also defined to be available for supporting SEND in early years.</w:t>
      </w:r>
    </w:p>
    <w:p w:rsidR="00BC07E7" w:rsidRDefault="00BC07E7" w:rsidP="00BC07E7">
      <w:pPr>
        <w:jc w:val="both"/>
        <w:rPr>
          <w:sz w:val="22"/>
          <w:szCs w:val="22"/>
        </w:rPr>
      </w:pPr>
    </w:p>
    <w:p w:rsidR="00BC07E7" w:rsidRDefault="00E8426D" w:rsidP="00BC07E7">
      <w:pPr>
        <w:jc w:val="both"/>
        <w:rPr>
          <w:sz w:val="22"/>
          <w:szCs w:val="22"/>
        </w:rPr>
      </w:pPr>
      <w:r>
        <w:rPr>
          <w:sz w:val="22"/>
          <w:szCs w:val="22"/>
        </w:rPr>
        <w:t>Following the introduction of the Minimum Level of Per Pupil Funding Factor (MFLs) in the primary and s</w:t>
      </w:r>
      <w:r w:rsidR="00756FF2">
        <w:rPr>
          <w:sz w:val="22"/>
          <w:szCs w:val="22"/>
        </w:rPr>
        <w:t>econdary funding formula</w:t>
      </w:r>
      <w:r>
        <w:rPr>
          <w:sz w:val="22"/>
          <w:szCs w:val="22"/>
        </w:rPr>
        <w:t xml:space="preserve">, some mainstream schools and academies now receive what can be determined to be Additional Educational Needs (AEN) pupil-led funding through the MFLs, rather than through the AEN formula factors, which are used to define </w:t>
      </w:r>
      <w:r w:rsidR="009034EB">
        <w:rPr>
          <w:sz w:val="22"/>
          <w:szCs w:val="22"/>
        </w:rPr>
        <w:t xml:space="preserve">published </w:t>
      </w:r>
      <w:r>
        <w:rPr>
          <w:sz w:val="22"/>
          <w:szCs w:val="22"/>
        </w:rPr>
        <w:t xml:space="preserve">notional SEND budgets. For point of clarity therefore, although the Authority </w:t>
      </w:r>
      <w:r w:rsidR="00756FF2">
        <w:rPr>
          <w:sz w:val="22"/>
          <w:szCs w:val="22"/>
        </w:rPr>
        <w:t xml:space="preserve">has not </w:t>
      </w:r>
      <w:r w:rsidR="003619BF">
        <w:rPr>
          <w:sz w:val="22"/>
          <w:szCs w:val="22"/>
        </w:rPr>
        <w:t xml:space="preserve">yet </w:t>
      </w:r>
      <w:r w:rsidR="00756FF2">
        <w:rPr>
          <w:sz w:val="22"/>
          <w:szCs w:val="22"/>
        </w:rPr>
        <w:t>brought MFL funding into the definition of notional SEND</w:t>
      </w:r>
      <w:r>
        <w:rPr>
          <w:sz w:val="22"/>
          <w:szCs w:val="22"/>
        </w:rPr>
        <w:t>, the Authority will consider MFL allocations within discussions that may be had with individual schools and academies about available delegated SEND monies.</w:t>
      </w:r>
    </w:p>
    <w:p w:rsidR="00E6101C" w:rsidRDefault="00E6101C" w:rsidP="00BC07E7">
      <w:pPr>
        <w:jc w:val="both"/>
        <w:rPr>
          <w:sz w:val="22"/>
          <w:szCs w:val="22"/>
        </w:rPr>
      </w:pPr>
    </w:p>
    <w:p w:rsidR="00E6101C" w:rsidRPr="003619BF" w:rsidRDefault="00E6101C" w:rsidP="00BC07E7">
      <w:pPr>
        <w:jc w:val="both"/>
        <w:rPr>
          <w:color w:val="000000" w:themeColor="text1"/>
          <w:sz w:val="22"/>
          <w:szCs w:val="22"/>
        </w:rPr>
      </w:pPr>
      <w:r w:rsidRPr="003619BF">
        <w:rPr>
          <w:color w:val="000000" w:themeColor="text1"/>
          <w:sz w:val="22"/>
          <w:szCs w:val="22"/>
        </w:rPr>
        <w:t xml:space="preserve">Please see section </w:t>
      </w:r>
      <w:r w:rsidR="00587CBC" w:rsidRPr="003619BF">
        <w:rPr>
          <w:color w:val="000000" w:themeColor="text1"/>
          <w:sz w:val="22"/>
          <w:szCs w:val="22"/>
        </w:rPr>
        <w:t>10</w:t>
      </w:r>
      <w:r w:rsidRPr="003619BF">
        <w:rPr>
          <w:color w:val="000000" w:themeColor="text1"/>
          <w:sz w:val="22"/>
          <w:szCs w:val="22"/>
        </w:rPr>
        <w:t>, where the Authority proposes to amend the definition of notional SEND budgets for 2023/24.</w:t>
      </w:r>
    </w:p>
    <w:p w:rsidR="005731CF" w:rsidRDefault="005731CF" w:rsidP="00355873">
      <w:pPr>
        <w:jc w:val="both"/>
        <w:rPr>
          <w:sz w:val="22"/>
          <w:szCs w:val="22"/>
        </w:rPr>
      </w:pPr>
    </w:p>
    <w:p w:rsidR="0096548C" w:rsidRDefault="0096548C" w:rsidP="00355873">
      <w:pPr>
        <w:jc w:val="both"/>
        <w:rPr>
          <w:sz w:val="22"/>
          <w:szCs w:val="22"/>
        </w:rPr>
      </w:pPr>
    </w:p>
    <w:p w:rsidR="00E37FC5" w:rsidRPr="009879CD" w:rsidRDefault="00890444" w:rsidP="00355873">
      <w:pPr>
        <w:jc w:val="both"/>
        <w:rPr>
          <w:b/>
          <w:sz w:val="22"/>
          <w:szCs w:val="22"/>
          <w:u w:val="single"/>
        </w:rPr>
      </w:pPr>
      <w:r w:rsidRPr="009879CD">
        <w:rPr>
          <w:b/>
          <w:sz w:val="22"/>
          <w:szCs w:val="22"/>
          <w:u w:val="single"/>
        </w:rPr>
        <w:t>SEND Funding Floor (Mainstream</w:t>
      </w:r>
      <w:r w:rsidR="005921B5" w:rsidRPr="009879CD">
        <w:rPr>
          <w:b/>
          <w:sz w:val="22"/>
          <w:szCs w:val="22"/>
          <w:u w:val="single"/>
        </w:rPr>
        <w:t xml:space="preserve"> Primary &amp; Secondary</w:t>
      </w:r>
      <w:r w:rsidRPr="009879CD">
        <w:rPr>
          <w:b/>
          <w:sz w:val="22"/>
          <w:szCs w:val="22"/>
          <w:u w:val="single"/>
        </w:rPr>
        <w:t>)</w:t>
      </w:r>
    </w:p>
    <w:p w:rsidR="00890444" w:rsidRDefault="00890444" w:rsidP="00355873">
      <w:pPr>
        <w:jc w:val="both"/>
        <w:rPr>
          <w:sz w:val="22"/>
          <w:szCs w:val="22"/>
        </w:rPr>
      </w:pPr>
    </w:p>
    <w:p w:rsidR="00BC07E7" w:rsidRDefault="00BC07E7" w:rsidP="00BC07E7">
      <w:pPr>
        <w:jc w:val="both"/>
        <w:rPr>
          <w:sz w:val="22"/>
          <w:szCs w:val="22"/>
        </w:rPr>
      </w:pPr>
      <w:r>
        <w:rPr>
          <w:sz w:val="22"/>
          <w:szCs w:val="22"/>
        </w:rPr>
        <w:t xml:space="preserve">Please </w:t>
      </w:r>
      <w:r w:rsidRPr="00E13622">
        <w:rPr>
          <w:color w:val="000000" w:themeColor="text1"/>
          <w:sz w:val="22"/>
          <w:szCs w:val="22"/>
        </w:rPr>
        <w:t>see section 1</w:t>
      </w:r>
      <w:r w:rsidR="00587CBC" w:rsidRPr="00E13622">
        <w:rPr>
          <w:color w:val="000000" w:themeColor="text1"/>
          <w:sz w:val="22"/>
          <w:szCs w:val="22"/>
        </w:rPr>
        <w:t>1</w:t>
      </w:r>
      <w:r w:rsidRPr="00E13622">
        <w:rPr>
          <w:color w:val="000000" w:themeColor="text1"/>
          <w:sz w:val="22"/>
          <w:szCs w:val="22"/>
        </w:rPr>
        <w:t xml:space="preserve"> for further </w:t>
      </w:r>
      <w:r>
        <w:rPr>
          <w:sz w:val="22"/>
          <w:szCs w:val="22"/>
        </w:rPr>
        <w:t xml:space="preserve">discussion on the </w:t>
      </w:r>
      <w:r w:rsidR="00587CBC">
        <w:rPr>
          <w:sz w:val="22"/>
          <w:szCs w:val="22"/>
        </w:rPr>
        <w:t>position of this factor for 2023/24</w:t>
      </w:r>
      <w:r>
        <w:rPr>
          <w:sz w:val="22"/>
          <w:szCs w:val="22"/>
        </w:rPr>
        <w:t>. How t</w:t>
      </w:r>
      <w:r w:rsidR="00587CBC">
        <w:rPr>
          <w:sz w:val="22"/>
          <w:szCs w:val="22"/>
        </w:rPr>
        <w:t>he Floor works currently in 2022/23</w:t>
      </w:r>
      <w:r>
        <w:rPr>
          <w:sz w:val="22"/>
          <w:szCs w:val="22"/>
        </w:rPr>
        <w:t xml:space="preserve"> is described below.</w:t>
      </w:r>
    </w:p>
    <w:p w:rsidR="00BC07E7" w:rsidRDefault="00BC07E7" w:rsidP="00BC07E7">
      <w:pPr>
        <w:jc w:val="both"/>
        <w:rPr>
          <w:color w:val="FF0000"/>
          <w:sz w:val="22"/>
          <w:szCs w:val="22"/>
        </w:rPr>
      </w:pPr>
    </w:p>
    <w:p w:rsidR="00BC07E7" w:rsidRDefault="00587CBC" w:rsidP="00BC07E7">
      <w:pPr>
        <w:jc w:val="both"/>
        <w:rPr>
          <w:sz w:val="22"/>
          <w:szCs w:val="22"/>
        </w:rPr>
      </w:pPr>
      <w:r>
        <w:rPr>
          <w:sz w:val="22"/>
          <w:szCs w:val="22"/>
        </w:rPr>
        <w:t>The SEND Funding Floor</w:t>
      </w:r>
      <w:r w:rsidR="00BC07E7">
        <w:rPr>
          <w:sz w:val="22"/>
          <w:szCs w:val="22"/>
        </w:rPr>
        <w:t xml:space="preserve"> is aimed at ensuring</w:t>
      </w:r>
      <w:r w:rsidR="00BC07E7" w:rsidRPr="005145F0">
        <w:rPr>
          <w:sz w:val="22"/>
          <w:szCs w:val="22"/>
        </w:rPr>
        <w:t xml:space="preserve"> that no</w:t>
      </w:r>
      <w:r w:rsidR="00BC07E7">
        <w:rPr>
          <w:sz w:val="22"/>
          <w:szCs w:val="22"/>
        </w:rPr>
        <w:t xml:space="preserve"> mainstream primary or secondary school or academy</w:t>
      </w:r>
      <w:r w:rsidR="00BC07E7" w:rsidRPr="005145F0">
        <w:rPr>
          <w:sz w:val="22"/>
          <w:szCs w:val="22"/>
        </w:rPr>
        <w:t xml:space="preserve"> </w:t>
      </w:r>
      <w:r w:rsidR="00BC07E7">
        <w:rPr>
          <w:sz w:val="22"/>
          <w:szCs w:val="22"/>
        </w:rPr>
        <w:t xml:space="preserve">will </w:t>
      </w:r>
      <w:r w:rsidR="00BC07E7" w:rsidRPr="005145F0">
        <w:rPr>
          <w:sz w:val="22"/>
          <w:szCs w:val="22"/>
        </w:rPr>
        <w:t>have to manage</w:t>
      </w:r>
      <w:r w:rsidR="00BC07E7">
        <w:rPr>
          <w:sz w:val="22"/>
          <w:szCs w:val="22"/>
        </w:rPr>
        <w:t xml:space="preserve"> from their own mainstream delegated formula funding</w:t>
      </w:r>
      <w:r w:rsidR="00BC07E7" w:rsidRPr="005145F0">
        <w:rPr>
          <w:sz w:val="22"/>
          <w:szCs w:val="22"/>
        </w:rPr>
        <w:t xml:space="preserve"> a</w:t>
      </w:r>
      <w:r w:rsidR="00BC07E7">
        <w:rPr>
          <w:sz w:val="22"/>
          <w:szCs w:val="22"/>
        </w:rPr>
        <w:t>n above phase-average cost pressure in respect of their commitment to meet the cost of E</w:t>
      </w:r>
      <w:r w:rsidR="00BC07E7" w:rsidRPr="005145F0">
        <w:rPr>
          <w:sz w:val="22"/>
          <w:szCs w:val="22"/>
        </w:rPr>
        <w:t>lement 2</w:t>
      </w:r>
      <w:r w:rsidR="00BC07E7">
        <w:rPr>
          <w:sz w:val="22"/>
          <w:szCs w:val="22"/>
        </w:rPr>
        <w:t xml:space="preserve"> £6,000</w:t>
      </w:r>
      <w:r w:rsidR="00BC07E7" w:rsidRPr="005145F0">
        <w:rPr>
          <w:sz w:val="22"/>
          <w:szCs w:val="22"/>
        </w:rPr>
        <w:t xml:space="preserve"> for </w:t>
      </w:r>
      <w:r w:rsidR="00BC07E7">
        <w:rPr>
          <w:sz w:val="22"/>
          <w:szCs w:val="22"/>
        </w:rPr>
        <w:t>their EHCPs</w:t>
      </w:r>
      <w:r w:rsidR="00BC07E7" w:rsidRPr="005145F0">
        <w:rPr>
          <w:sz w:val="22"/>
          <w:szCs w:val="22"/>
        </w:rPr>
        <w:t>.</w:t>
      </w:r>
      <w:r w:rsidR="00BC07E7">
        <w:rPr>
          <w:sz w:val="22"/>
          <w:szCs w:val="22"/>
        </w:rPr>
        <w:t xml:space="preserve"> As well as supporting provision for pupils with EHCPs, this approach helps to protect the funding used by schools and academies to support their wider Additional Educational Needs, SEND and Alternative Provision activities. It directly financially supports schools and academies that have higher proportions of pupils with EHCPs, in support of inclusion, combining also to support schools and academies that may have lower levels of maintained Additional Education Needs formula funding (because they have e.g. lower levels of deprivation) but higher numbers of EHCPs and also that may be smaller in size. It supports schools and academies that may have some turbulence in formula funding as a result of in year pupil numbers changes.</w:t>
      </w:r>
    </w:p>
    <w:p w:rsidR="00BC07E7" w:rsidRDefault="00BC07E7" w:rsidP="00BC07E7">
      <w:pPr>
        <w:jc w:val="both"/>
        <w:rPr>
          <w:sz w:val="22"/>
          <w:szCs w:val="22"/>
        </w:rPr>
      </w:pPr>
    </w:p>
    <w:p w:rsidR="00BC07E7" w:rsidRPr="006842B2" w:rsidRDefault="00BC07E7" w:rsidP="00BC07E7">
      <w:pPr>
        <w:jc w:val="both"/>
        <w:rPr>
          <w:sz w:val="22"/>
          <w:szCs w:val="22"/>
        </w:rPr>
      </w:pPr>
      <w:r w:rsidRPr="006842B2">
        <w:rPr>
          <w:sz w:val="22"/>
          <w:szCs w:val="22"/>
        </w:rPr>
        <w:t>The formula</w:t>
      </w:r>
      <w:r w:rsidR="00587CBC">
        <w:rPr>
          <w:sz w:val="22"/>
          <w:szCs w:val="22"/>
        </w:rPr>
        <w:t xml:space="preserve"> for 2022/23</w:t>
      </w:r>
      <w:r w:rsidRPr="006842B2">
        <w:rPr>
          <w:sz w:val="22"/>
          <w:szCs w:val="22"/>
        </w:rPr>
        <w:t xml:space="preserve"> is as follows</w:t>
      </w:r>
      <w:r>
        <w:rPr>
          <w:sz w:val="22"/>
          <w:szCs w:val="22"/>
        </w:rPr>
        <w:t>:</w:t>
      </w:r>
    </w:p>
    <w:p w:rsidR="00BC07E7" w:rsidRDefault="00BC07E7" w:rsidP="00BC07E7">
      <w:pPr>
        <w:jc w:val="both"/>
        <w:rPr>
          <w:color w:val="FF0000"/>
          <w:sz w:val="22"/>
          <w:szCs w:val="22"/>
        </w:rPr>
      </w:pPr>
    </w:p>
    <w:p w:rsidR="00894326" w:rsidRDefault="00894326" w:rsidP="00894326">
      <w:pPr>
        <w:jc w:val="both"/>
        <w:rPr>
          <w:sz w:val="22"/>
          <w:szCs w:val="22"/>
        </w:rPr>
      </w:pPr>
      <w:r>
        <w:rPr>
          <w:sz w:val="22"/>
          <w:szCs w:val="22"/>
        </w:rPr>
        <w:t>The SEND Funding Floor is re-calculated on a monthly basis for changes in the numbers of Education Health and Care Plans (EHCPs) on roll.</w:t>
      </w:r>
    </w:p>
    <w:p w:rsidR="00894326" w:rsidRDefault="00894326" w:rsidP="00BC07E7">
      <w:pPr>
        <w:jc w:val="both"/>
        <w:rPr>
          <w:sz w:val="22"/>
          <w:szCs w:val="22"/>
        </w:rPr>
      </w:pPr>
    </w:p>
    <w:p w:rsidR="00BC07E7" w:rsidRDefault="00BC07E7" w:rsidP="00BC07E7">
      <w:pPr>
        <w:jc w:val="both"/>
        <w:rPr>
          <w:sz w:val="22"/>
          <w:szCs w:val="22"/>
        </w:rPr>
      </w:pPr>
      <w:r w:rsidRPr="00843AE6">
        <w:rPr>
          <w:sz w:val="22"/>
          <w:szCs w:val="22"/>
        </w:rPr>
        <w:t xml:space="preserve">Where A is greater than B a school / academy receives a </w:t>
      </w:r>
      <w:r w:rsidR="00D32993">
        <w:rPr>
          <w:sz w:val="22"/>
          <w:szCs w:val="22"/>
        </w:rPr>
        <w:t>top-up</w:t>
      </w:r>
      <w:r w:rsidRPr="00843AE6">
        <w:rPr>
          <w:sz w:val="22"/>
          <w:szCs w:val="22"/>
        </w:rPr>
        <w:t xml:space="preserve"> for the difference</w:t>
      </w:r>
      <w:r>
        <w:rPr>
          <w:sz w:val="22"/>
          <w:szCs w:val="22"/>
        </w:rPr>
        <w:t xml:space="preserve"> between A and B</w:t>
      </w:r>
      <w:r w:rsidRPr="00843AE6">
        <w:rPr>
          <w:sz w:val="22"/>
          <w:szCs w:val="22"/>
        </w:rPr>
        <w:t>.</w:t>
      </w:r>
    </w:p>
    <w:p w:rsidR="00BC07E7" w:rsidRDefault="00BC07E7" w:rsidP="00BC07E7">
      <w:pPr>
        <w:jc w:val="both"/>
        <w:rPr>
          <w:sz w:val="22"/>
          <w:szCs w:val="22"/>
        </w:rPr>
      </w:pPr>
    </w:p>
    <w:p w:rsidR="00BC07E7" w:rsidRPr="003F45F0" w:rsidRDefault="00BC07E7" w:rsidP="00BC07E7">
      <w:pPr>
        <w:jc w:val="both"/>
        <w:rPr>
          <w:sz w:val="22"/>
          <w:szCs w:val="22"/>
        </w:rPr>
      </w:pPr>
      <w:r w:rsidRPr="003F45F0">
        <w:rPr>
          <w:sz w:val="22"/>
          <w:szCs w:val="22"/>
        </w:rPr>
        <w:t>A =</w:t>
      </w:r>
      <w:r>
        <w:rPr>
          <w:sz w:val="22"/>
          <w:szCs w:val="22"/>
        </w:rPr>
        <w:t xml:space="preserve"> is the</w:t>
      </w:r>
      <w:r w:rsidRPr="003F45F0">
        <w:rPr>
          <w:sz w:val="22"/>
          <w:szCs w:val="22"/>
        </w:rPr>
        <w:t xml:space="preserve"> </w:t>
      </w:r>
      <w:r>
        <w:rPr>
          <w:sz w:val="22"/>
          <w:szCs w:val="22"/>
        </w:rPr>
        <w:t>Full Time Equivalent (FTE) number of EHCPs in a school / academy (mainstream provision, excluding early years and post 16 students) multiplied by £6,000 (E</w:t>
      </w:r>
      <w:r w:rsidRPr="003F45F0">
        <w:rPr>
          <w:sz w:val="22"/>
          <w:szCs w:val="22"/>
        </w:rPr>
        <w:t>lement 2)</w:t>
      </w:r>
      <w:r>
        <w:rPr>
          <w:sz w:val="22"/>
          <w:szCs w:val="22"/>
        </w:rPr>
        <w:t>.</w:t>
      </w:r>
    </w:p>
    <w:p w:rsidR="00BC07E7" w:rsidRPr="003F45F0" w:rsidRDefault="00BC07E7" w:rsidP="00BC07E7">
      <w:pPr>
        <w:jc w:val="both"/>
        <w:rPr>
          <w:sz w:val="22"/>
          <w:szCs w:val="22"/>
        </w:rPr>
      </w:pPr>
      <w:r>
        <w:rPr>
          <w:sz w:val="22"/>
          <w:szCs w:val="22"/>
        </w:rPr>
        <w:t>B = is the % of a school’s</w:t>
      </w:r>
      <w:r w:rsidRPr="003F45F0">
        <w:rPr>
          <w:sz w:val="22"/>
          <w:szCs w:val="22"/>
        </w:rPr>
        <w:t xml:space="preserve"> A</w:t>
      </w:r>
      <w:r>
        <w:rPr>
          <w:sz w:val="22"/>
          <w:szCs w:val="22"/>
        </w:rPr>
        <w:t xml:space="preserve">dditional Educational Needs delegated formula </w:t>
      </w:r>
      <w:r w:rsidRPr="003F45F0">
        <w:rPr>
          <w:sz w:val="22"/>
          <w:szCs w:val="22"/>
        </w:rPr>
        <w:t>funding</w:t>
      </w:r>
      <w:r>
        <w:rPr>
          <w:sz w:val="22"/>
          <w:szCs w:val="22"/>
        </w:rPr>
        <w:t xml:space="preserve"> that is required to be put to the Element 2 £6,000 cost of a school’s EHCPs</w:t>
      </w:r>
      <w:r w:rsidRPr="003F45F0">
        <w:rPr>
          <w:sz w:val="22"/>
          <w:szCs w:val="22"/>
        </w:rPr>
        <w:t>,</w:t>
      </w:r>
      <w:r>
        <w:rPr>
          <w:sz w:val="22"/>
          <w:szCs w:val="22"/>
        </w:rPr>
        <w:t xml:space="preserve"> before the SEND Funding Floor will provide additional financial support. There are 2 parts to the calculation, the % and what is meant by Additional Educational Needs delegated formula funding. B</w:t>
      </w:r>
      <w:r w:rsidR="00894326">
        <w:rPr>
          <w:sz w:val="22"/>
          <w:szCs w:val="22"/>
        </w:rPr>
        <w:t>oth these are fixed for the 2022/23</w:t>
      </w:r>
      <w:r>
        <w:rPr>
          <w:sz w:val="22"/>
          <w:szCs w:val="22"/>
        </w:rPr>
        <w:t xml:space="preserve"> financial year, as follows</w:t>
      </w:r>
    </w:p>
    <w:p w:rsidR="00BC07E7" w:rsidRPr="003F45F0" w:rsidRDefault="00BC07E7" w:rsidP="00BC07E7">
      <w:pPr>
        <w:rPr>
          <w:sz w:val="22"/>
          <w:szCs w:val="22"/>
        </w:rPr>
      </w:pPr>
    </w:p>
    <w:p w:rsidR="00BC07E7" w:rsidRPr="001B5DD4" w:rsidRDefault="00BC07E7" w:rsidP="00BC07E7">
      <w:pPr>
        <w:pStyle w:val="ListParagraph"/>
        <w:numPr>
          <w:ilvl w:val="0"/>
          <w:numId w:val="23"/>
        </w:numPr>
        <w:ind w:left="360"/>
        <w:contextualSpacing w:val="0"/>
        <w:jc w:val="both"/>
        <w:rPr>
          <w:sz w:val="22"/>
          <w:szCs w:val="22"/>
        </w:rPr>
      </w:pPr>
      <w:r>
        <w:rPr>
          <w:sz w:val="22"/>
          <w:szCs w:val="22"/>
        </w:rPr>
        <w:t xml:space="preserve">The </w:t>
      </w:r>
      <w:r w:rsidRPr="009A28BF">
        <w:rPr>
          <w:sz w:val="22"/>
          <w:szCs w:val="22"/>
        </w:rPr>
        <w:t xml:space="preserve">% is the </w:t>
      </w:r>
      <w:r>
        <w:rPr>
          <w:sz w:val="22"/>
          <w:szCs w:val="22"/>
        </w:rPr>
        <w:t xml:space="preserve">phase </w:t>
      </w:r>
      <w:r w:rsidRPr="009A28BF">
        <w:rPr>
          <w:sz w:val="22"/>
          <w:szCs w:val="22"/>
        </w:rPr>
        <w:t>m</w:t>
      </w:r>
      <w:r>
        <w:rPr>
          <w:sz w:val="22"/>
          <w:szCs w:val="22"/>
        </w:rPr>
        <w:t xml:space="preserve">edian average % of </w:t>
      </w:r>
      <w:r w:rsidRPr="009A28BF">
        <w:rPr>
          <w:sz w:val="22"/>
          <w:szCs w:val="22"/>
        </w:rPr>
        <w:t>A</w:t>
      </w:r>
      <w:r>
        <w:rPr>
          <w:sz w:val="22"/>
          <w:szCs w:val="22"/>
        </w:rPr>
        <w:t xml:space="preserve">dditional </w:t>
      </w:r>
      <w:r w:rsidRPr="009A28BF">
        <w:rPr>
          <w:sz w:val="22"/>
          <w:szCs w:val="22"/>
        </w:rPr>
        <w:t>E</w:t>
      </w:r>
      <w:r>
        <w:rPr>
          <w:sz w:val="22"/>
          <w:szCs w:val="22"/>
        </w:rPr>
        <w:t xml:space="preserve">ducational </w:t>
      </w:r>
      <w:r w:rsidRPr="009A28BF">
        <w:rPr>
          <w:sz w:val="22"/>
          <w:szCs w:val="22"/>
        </w:rPr>
        <w:t>N</w:t>
      </w:r>
      <w:r>
        <w:rPr>
          <w:sz w:val="22"/>
          <w:szCs w:val="22"/>
        </w:rPr>
        <w:t>eeds</w:t>
      </w:r>
      <w:r w:rsidRPr="009A28BF">
        <w:rPr>
          <w:sz w:val="22"/>
          <w:szCs w:val="22"/>
        </w:rPr>
        <w:t xml:space="preserve"> formula funding</w:t>
      </w:r>
      <w:r>
        <w:rPr>
          <w:sz w:val="22"/>
          <w:szCs w:val="22"/>
        </w:rPr>
        <w:t xml:space="preserve"> that schools / academies contribute</w:t>
      </w:r>
      <w:r w:rsidRPr="009A28BF">
        <w:rPr>
          <w:sz w:val="22"/>
          <w:szCs w:val="22"/>
        </w:rPr>
        <w:t xml:space="preserve"> to E</w:t>
      </w:r>
      <w:r>
        <w:rPr>
          <w:sz w:val="22"/>
          <w:szCs w:val="22"/>
        </w:rPr>
        <w:t xml:space="preserve">lement 2 £6,000 costs in respect of their EHCPs. The phase average is rounded plus 1%. Separate percentages are used for primary and for secondary phases. </w:t>
      </w:r>
      <w:r w:rsidR="00894326">
        <w:rPr>
          <w:sz w:val="22"/>
          <w:szCs w:val="22"/>
        </w:rPr>
        <w:t>For 2022/23</w:t>
      </w:r>
      <w:r w:rsidRPr="001B5DD4">
        <w:rPr>
          <w:sz w:val="22"/>
          <w:szCs w:val="22"/>
        </w:rPr>
        <w:t>, these averages are set at 11% for the primary phase and 10% for the secondary phase.</w:t>
      </w:r>
    </w:p>
    <w:p w:rsidR="00BC07E7" w:rsidRPr="003F45F0" w:rsidRDefault="00BC07E7" w:rsidP="00BC07E7">
      <w:pPr>
        <w:pStyle w:val="ListParagraph"/>
        <w:ind w:left="0"/>
        <w:jc w:val="both"/>
        <w:rPr>
          <w:sz w:val="22"/>
          <w:szCs w:val="22"/>
        </w:rPr>
      </w:pPr>
    </w:p>
    <w:p w:rsidR="00BC07E7" w:rsidRDefault="00BC07E7" w:rsidP="00BC07E7">
      <w:pPr>
        <w:pStyle w:val="ListParagraph"/>
        <w:numPr>
          <w:ilvl w:val="0"/>
          <w:numId w:val="23"/>
        </w:numPr>
        <w:ind w:left="360"/>
        <w:contextualSpacing w:val="0"/>
        <w:jc w:val="both"/>
        <w:rPr>
          <w:sz w:val="22"/>
          <w:szCs w:val="22"/>
        </w:rPr>
      </w:pPr>
      <w:r>
        <w:rPr>
          <w:sz w:val="22"/>
          <w:szCs w:val="22"/>
        </w:rPr>
        <w:t>Additional Educational Needs delegated formula funding i</w:t>
      </w:r>
      <w:r w:rsidRPr="003F45F0">
        <w:rPr>
          <w:sz w:val="22"/>
          <w:szCs w:val="22"/>
        </w:rPr>
        <w:t>s</w:t>
      </w:r>
      <w:r>
        <w:rPr>
          <w:sz w:val="22"/>
          <w:szCs w:val="22"/>
        </w:rPr>
        <w:t xml:space="preserve"> calculated by taking the following funding factors within the delegated formula funding allocations received by mainstream schools / academies. </w:t>
      </w:r>
      <w:r w:rsidR="00894326">
        <w:rPr>
          <w:sz w:val="22"/>
          <w:szCs w:val="22"/>
        </w:rPr>
        <w:t xml:space="preserve">For maintained schools, this is within their Section 251 Budget Statement funding. </w:t>
      </w:r>
      <w:r>
        <w:rPr>
          <w:sz w:val="22"/>
          <w:szCs w:val="22"/>
        </w:rPr>
        <w:t>For academies, this is within their General Annual Grant (GAG) funding:</w:t>
      </w:r>
    </w:p>
    <w:p w:rsidR="00BC07E7" w:rsidRPr="00F42B6D" w:rsidRDefault="00BC07E7" w:rsidP="00BC07E7">
      <w:pPr>
        <w:jc w:val="both"/>
        <w:rPr>
          <w:sz w:val="22"/>
          <w:szCs w:val="22"/>
        </w:rPr>
      </w:pPr>
    </w:p>
    <w:p w:rsidR="00BC07E7" w:rsidRDefault="00BC07E7" w:rsidP="00BC07E7">
      <w:pPr>
        <w:pStyle w:val="ListParagraph"/>
        <w:ind w:left="360"/>
        <w:jc w:val="both"/>
        <w:rPr>
          <w:sz w:val="22"/>
          <w:szCs w:val="22"/>
        </w:rPr>
      </w:pPr>
      <w:r>
        <w:rPr>
          <w:sz w:val="22"/>
          <w:szCs w:val="22"/>
        </w:rPr>
        <w:t>1</w:t>
      </w:r>
      <w:r w:rsidRPr="003F45F0">
        <w:rPr>
          <w:sz w:val="22"/>
          <w:szCs w:val="22"/>
        </w:rPr>
        <w:t xml:space="preserve">00% of </w:t>
      </w:r>
      <w:r>
        <w:rPr>
          <w:sz w:val="22"/>
          <w:szCs w:val="22"/>
        </w:rPr>
        <w:t xml:space="preserve">the </w:t>
      </w:r>
      <w:r w:rsidRPr="003F45F0">
        <w:rPr>
          <w:sz w:val="22"/>
          <w:szCs w:val="22"/>
        </w:rPr>
        <w:t>E</w:t>
      </w:r>
      <w:r>
        <w:rPr>
          <w:sz w:val="22"/>
          <w:szCs w:val="22"/>
        </w:rPr>
        <w:t xml:space="preserve">nglish as an </w:t>
      </w:r>
      <w:r w:rsidRPr="003F45F0">
        <w:rPr>
          <w:sz w:val="22"/>
          <w:szCs w:val="22"/>
        </w:rPr>
        <w:t>A</w:t>
      </w:r>
      <w:r>
        <w:rPr>
          <w:sz w:val="22"/>
          <w:szCs w:val="22"/>
        </w:rPr>
        <w:t xml:space="preserve">dditional </w:t>
      </w:r>
      <w:r w:rsidRPr="003F45F0">
        <w:rPr>
          <w:sz w:val="22"/>
          <w:szCs w:val="22"/>
        </w:rPr>
        <w:t>L</w:t>
      </w:r>
      <w:r>
        <w:rPr>
          <w:sz w:val="22"/>
          <w:szCs w:val="22"/>
        </w:rPr>
        <w:t>anguage factor</w:t>
      </w:r>
    </w:p>
    <w:p w:rsidR="00BC07E7" w:rsidRDefault="00BC07E7" w:rsidP="00BC07E7">
      <w:pPr>
        <w:pStyle w:val="ListParagraph"/>
        <w:ind w:left="360"/>
        <w:jc w:val="both"/>
        <w:rPr>
          <w:sz w:val="22"/>
          <w:szCs w:val="22"/>
        </w:rPr>
      </w:pPr>
      <w:r>
        <w:rPr>
          <w:sz w:val="22"/>
          <w:szCs w:val="22"/>
        </w:rPr>
        <w:t xml:space="preserve">100% of the </w:t>
      </w:r>
      <w:r w:rsidRPr="003F45F0">
        <w:rPr>
          <w:sz w:val="22"/>
          <w:szCs w:val="22"/>
        </w:rPr>
        <w:t>F</w:t>
      </w:r>
      <w:r>
        <w:rPr>
          <w:sz w:val="22"/>
          <w:szCs w:val="22"/>
        </w:rPr>
        <w:t xml:space="preserve">ree </w:t>
      </w:r>
      <w:r w:rsidRPr="003F45F0">
        <w:rPr>
          <w:sz w:val="22"/>
          <w:szCs w:val="22"/>
        </w:rPr>
        <w:t>S</w:t>
      </w:r>
      <w:r>
        <w:rPr>
          <w:sz w:val="22"/>
          <w:szCs w:val="22"/>
        </w:rPr>
        <w:t xml:space="preserve">chool </w:t>
      </w:r>
      <w:r w:rsidRPr="003F45F0">
        <w:rPr>
          <w:sz w:val="22"/>
          <w:szCs w:val="22"/>
        </w:rPr>
        <w:t>M</w:t>
      </w:r>
      <w:r>
        <w:rPr>
          <w:sz w:val="22"/>
          <w:szCs w:val="22"/>
        </w:rPr>
        <w:t>eals factors</w:t>
      </w:r>
      <w:r w:rsidRPr="003F45F0">
        <w:rPr>
          <w:sz w:val="22"/>
          <w:szCs w:val="22"/>
        </w:rPr>
        <w:t xml:space="preserve"> </w:t>
      </w:r>
    </w:p>
    <w:p w:rsidR="00BC07E7" w:rsidRDefault="00BC07E7" w:rsidP="00BC07E7">
      <w:pPr>
        <w:pStyle w:val="ListParagraph"/>
        <w:ind w:left="360"/>
        <w:jc w:val="both"/>
        <w:rPr>
          <w:sz w:val="22"/>
          <w:szCs w:val="22"/>
        </w:rPr>
      </w:pPr>
      <w:r>
        <w:rPr>
          <w:sz w:val="22"/>
          <w:szCs w:val="22"/>
        </w:rPr>
        <w:t xml:space="preserve">100% of the </w:t>
      </w:r>
      <w:r w:rsidRPr="003F45F0">
        <w:rPr>
          <w:sz w:val="22"/>
          <w:szCs w:val="22"/>
        </w:rPr>
        <w:t>Prior Attainment</w:t>
      </w:r>
      <w:r>
        <w:rPr>
          <w:sz w:val="22"/>
          <w:szCs w:val="22"/>
        </w:rPr>
        <w:t xml:space="preserve"> factor</w:t>
      </w:r>
    </w:p>
    <w:p w:rsidR="00BC07E7" w:rsidRDefault="00BC07E7" w:rsidP="00BC07E7">
      <w:pPr>
        <w:pStyle w:val="ListParagraph"/>
        <w:ind w:left="360"/>
        <w:jc w:val="both"/>
        <w:rPr>
          <w:sz w:val="22"/>
          <w:szCs w:val="22"/>
        </w:rPr>
      </w:pPr>
      <w:r>
        <w:rPr>
          <w:sz w:val="22"/>
          <w:szCs w:val="22"/>
        </w:rPr>
        <w:t xml:space="preserve">100% of the </w:t>
      </w:r>
      <w:r w:rsidRPr="003F45F0">
        <w:rPr>
          <w:sz w:val="22"/>
          <w:szCs w:val="22"/>
        </w:rPr>
        <w:t>M</w:t>
      </w:r>
      <w:r>
        <w:rPr>
          <w:sz w:val="22"/>
          <w:szCs w:val="22"/>
        </w:rPr>
        <w:t xml:space="preserve">inimum </w:t>
      </w:r>
      <w:r w:rsidRPr="003F45F0">
        <w:rPr>
          <w:sz w:val="22"/>
          <w:szCs w:val="22"/>
        </w:rPr>
        <w:t>F</w:t>
      </w:r>
      <w:r>
        <w:rPr>
          <w:sz w:val="22"/>
          <w:szCs w:val="22"/>
        </w:rPr>
        <w:t xml:space="preserve">unding </w:t>
      </w:r>
      <w:r w:rsidRPr="003F45F0">
        <w:rPr>
          <w:sz w:val="22"/>
          <w:szCs w:val="22"/>
        </w:rPr>
        <w:t>L</w:t>
      </w:r>
      <w:r>
        <w:rPr>
          <w:sz w:val="22"/>
          <w:szCs w:val="22"/>
        </w:rPr>
        <w:t>evel factor</w:t>
      </w:r>
    </w:p>
    <w:p w:rsidR="00BC07E7" w:rsidRDefault="00BC07E7" w:rsidP="00BC07E7">
      <w:pPr>
        <w:pStyle w:val="ListParagraph"/>
        <w:ind w:left="360"/>
        <w:jc w:val="both"/>
        <w:rPr>
          <w:sz w:val="22"/>
          <w:szCs w:val="22"/>
        </w:rPr>
      </w:pPr>
      <w:r>
        <w:rPr>
          <w:sz w:val="22"/>
          <w:szCs w:val="22"/>
        </w:rPr>
        <w:t>100% of the Income Deprivation Affecting Children Index (IDACI) factor</w:t>
      </w:r>
    </w:p>
    <w:p w:rsidR="00BC07E7" w:rsidRDefault="00080D04" w:rsidP="00BC07E7">
      <w:pPr>
        <w:pStyle w:val="ListParagraph"/>
        <w:ind w:left="360"/>
        <w:jc w:val="both"/>
        <w:rPr>
          <w:sz w:val="22"/>
          <w:szCs w:val="22"/>
        </w:rPr>
      </w:pPr>
      <w:r>
        <w:rPr>
          <w:sz w:val="22"/>
          <w:szCs w:val="22"/>
        </w:rPr>
        <w:t xml:space="preserve"> </w:t>
      </w:r>
      <w:r w:rsidR="00BC07E7" w:rsidRPr="003F45F0">
        <w:rPr>
          <w:sz w:val="22"/>
          <w:szCs w:val="22"/>
        </w:rPr>
        <w:t xml:space="preserve">80% </w:t>
      </w:r>
      <w:r w:rsidR="00BC07E7">
        <w:rPr>
          <w:sz w:val="22"/>
          <w:szCs w:val="22"/>
        </w:rPr>
        <w:t>of Minimum Funding Guarantee factor</w:t>
      </w:r>
    </w:p>
    <w:p w:rsidR="00587CBC" w:rsidRDefault="00587CBC" w:rsidP="00355873">
      <w:pPr>
        <w:jc w:val="both"/>
        <w:rPr>
          <w:sz w:val="22"/>
          <w:szCs w:val="22"/>
        </w:rPr>
      </w:pPr>
    </w:p>
    <w:p w:rsidR="00587CBC" w:rsidRDefault="00587CBC" w:rsidP="00355873">
      <w:pPr>
        <w:jc w:val="both"/>
        <w:rPr>
          <w:sz w:val="22"/>
          <w:szCs w:val="22"/>
        </w:rPr>
      </w:pPr>
    </w:p>
    <w:p w:rsidR="00890444" w:rsidRPr="005462B3" w:rsidRDefault="00E2556D" w:rsidP="00355873">
      <w:pPr>
        <w:jc w:val="both"/>
        <w:rPr>
          <w:b/>
          <w:sz w:val="22"/>
          <w:szCs w:val="22"/>
          <w:u w:val="single"/>
        </w:rPr>
      </w:pPr>
      <w:r w:rsidRPr="005462B3">
        <w:rPr>
          <w:b/>
          <w:sz w:val="22"/>
          <w:szCs w:val="22"/>
          <w:u w:val="single"/>
        </w:rPr>
        <w:t xml:space="preserve">Setting-Led Needs Factors – </w:t>
      </w:r>
      <w:r w:rsidR="000A3DE9" w:rsidRPr="005462B3">
        <w:rPr>
          <w:b/>
          <w:sz w:val="22"/>
          <w:szCs w:val="22"/>
          <w:u w:val="single"/>
        </w:rPr>
        <w:t xml:space="preserve">Maintained </w:t>
      </w:r>
      <w:r w:rsidRPr="005462B3">
        <w:rPr>
          <w:b/>
          <w:sz w:val="22"/>
          <w:szCs w:val="22"/>
          <w:u w:val="single"/>
        </w:rPr>
        <w:t>Special Schools</w:t>
      </w:r>
      <w:r w:rsidR="004C1C0E" w:rsidRPr="005462B3">
        <w:rPr>
          <w:b/>
          <w:sz w:val="22"/>
          <w:szCs w:val="22"/>
          <w:u w:val="single"/>
        </w:rPr>
        <w:t xml:space="preserve"> &amp; Special </w:t>
      </w:r>
      <w:r w:rsidR="000A3DE9" w:rsidRPr="005462B3">
        <w:rPr>
          <w:b/>
          <w:sz w:val="22"/>
          <w:szCs w:val="22"/>
          <w:u w:val="single"/>
        </w:rPr>
        <w:t xml:space="preserve">School </w:t>
      </w:r>
      <w:r w:rsidR="004C1C0E" w:rsidRPr="005462B3">
        <w:rPr>
          <w:b/>
          <w:sz w:val="22"/>
          <w:szCs w:val="22"/>
          <w:u w:val="single"/>
        </w:rPr>
        <w:t>Academies</w:t>
      </w:r>
    </w:p>
    <w:p w:rsidR="00890444" w:rsidRDefault="00890444" w:rsidP="00355873">
      <w:pPr>
        <w:jc w:val="both"/>
        <w:rPr>
          <w:sz w:val="22"/>
          <w:szCs w:val="22"/>
        </w:rPr>
      </w:pPr>
    </w:p>
    <w:p w:rsidR="009879CD" w:rsidRPr="007A2A6A" w:rsidRDefault="009879CD" w:rsidP="00355873">
      <w:pPr>
        <w:numPr>
          <w:ilvl w:val="0"/>
          <w:numId w:val="2"/>
        </w:numPr>
        <w:tabs>
          <w:tab w:val="clear" w:pos="720"/>
          <w:tab w:val="num" w:pos="-1440"/>
        </w:tabs>
        <w:ind w:left="360"/>
        <w:jc w:val="both"/>
        <w:rPr>
          <w:sz w:val="22"/>
          <w:szCs w:val="22"/>
          <w:u w:val="single"/>
        </w:rPr>
      </w:pPr>
      <w:r>
        <w:rPr>
          <w:sz w:val="22"/>
          <w:szCs w:val="22"/>
          <w:u w:val="single"/>
        </w:rPr>
        <w:t xml:space="preserve">New </w:t>
      </w:r>
      <w:r w:rsidR="004C1C0E">
        <w:rPr>
          <w:sz w:val="22"/>
          <w:szCs w:val="22"/>
          <w:u w:val="single"/>
        </w:rPr>
        <w:t xml:space="preserve">Services </w:t>
      </w:r>
      <w:r>
        <w:rPr>
          <w:sz w:val="22"/>
          <w:szCs w:val="22"/>
          <w:u w:val="single"/>
        </w:rPr>
        <w:t>Delegation</w:t>
      </w:r>
      <w:r>
        <w:rPr>
          <w:sz w:val="22"/>
          <w:szCs w:val="22"/>
        </w:rPr>
        <w:t xml:space="preserve"> – an additional amount per pupil to reflect that stand alone </w:t>
      </w:r>
      <w:r w:rsidR="003D0A94">
        <w:rPr>
          <w:sz w:val="22"/>
          <w:szCs w:val="22"/>
        </w:rPr>
        <w:t>special schools</w:t>
      </w:r>
      <w:r w:rsidR="00355873">
        <w:rPr>
          <w:sz w:val="22"/>
          <w:szCs w:val="22"/>
        </w:rPr>
        <w:t xml:space="preserve"> and special school academies</w:t>
      </w:r>
      <w:r w:rsidR="003D0A94">
        <w:rPr>
          <w:sz w:val="22"/>
          <w:szCs w:val="22"/>
        </w:rPr>
        <w:t xml:space="preserve"> </w:t>
      </w:r>
      <w:r>
        <w:rPr>
          <w:sz w:val="22"/>
          <w:szCs w:val="22"/>
        </w:rPr>
        <w:t>cannot access de-delegated and centrally managed services wit</w:t>
      </w:r>
      <w:r w:rsidR="007077B7">
        <w:rPr>
          <w:sz w:val="22"/>
          <w:szCs w:val="22"/>
        </w:rPr>
        <w:t>hout charge –</w:t>
      </w:r>
      <w:r w:rsidR="000A3DE9" w:rsidRPr="007A2A6A">
        <w:rPr>
          <w:sz w:val="22"/>
          <w:szCs w:val="22"/>
        </w:rPr>
        <w:t xml:space="preserve"> set at a </w:t>
      </w:r>
      <w:r w:rsidR="000A3DE9" w:rsidRPr="00B11043">
        <w:rPr>
          <w:sz w:val="22"/>
          <w:szCs w:val="22"/>
        </w:rPr>
        <w:t xml:space="preserve">flat </w:t>
      </w:r>
      <w:r w:rsidR="00B11043" w:rsidRPr="00B11043">
        <w:rPr>
          <w:sz w:val="22"/>
          <w:szCs w:val="22"/>
        </w:rPr>
        <w:t>£449.88</w:t>
      </w:r>
      <w:r w:rsidRPr="00B11043">
        <w:rPr>
          <w:sz w:val="22"/>
          <w:szCs w:val="22"/>
        </w:rPr>
        <w:t xml:space="preserve"> per pupil</w:t>
      </w:r>
      <w:r w:rsidR="005462B3" w:rsidRPr="00B11043">
        <w:rPr>
          <w:sz w:val="22"/>
          <w:szCs w:val="22"/>
        </w:rPr>
        <w:t xml:space="preserve"> </w:t>
      </w:r>
      <w:r w:rsidR="005462B3" w:rsidRPr="007A2A6A">
        <w:rPr>
          <w:sz w:val="22"/>
          <w:szCs w:val="22"/>
        </w:rPr>
        <w:t>in</w:t>
      </w:r>
      <w:r w:rsidR="00DE345E">
        <w:rPr>
          <w:sz w:val="22"/>
          <w:szCs w:val="22"/>
        </w:rPr>
        <w:t xml:space="preserve"> 2022</w:t>
      </w:r>
      <w:r w:rsidR="00355873" w:rsidRPr="007A2A6A">
        <w:rPr>
          <w:sz w:val="22"/>
          <w:szCs w:val="22"/>
        </w:rPr>
        <w:t>/</w:t>
      </w:r>
      <w:r w:rsidR="00DE345E">
        <w:rPr>
          <w:sz w:val="22"/>
          <w:szCs w:val="22"/>
        </w:rPr>
        <w:t>23</w:t>
      </w:r>
      <w:r w:rsidRPr="007A2A6A">
        <w:rPr>
          <w:sz w:val="22"/>
          <w:szCs w:val="22"/>
        </w:rPr>
        <w:t>. So a setting with 100 pupils receives</w:t>
      </w:r>
      <w:r w:rsidR="00355873" w:rsidRPr="007A2A6A">
        <w:rPr>
          <w:sz w:val="22"/>
          <w:szCs w:val="22"/>
        </w:rPr>
        <w:t xml:space="preserve"> 100 x £</w:t>
      </w:r>
      <w:r w:rsidR="00B11043">
        <w:rPr>
          <w:sz w:val="22"/>
          <w:szCs w:val="22"/>
        </w:rPr>
        <w:t>449.88</w:t>
      </w:r>
      <w:r w:rsidR="000A3DE9" w:rsidRPr="007A2A6A">
        <w:rPr>
          <w:sz w:val="22"/>
          <w:szCs w:val="22"/>
        </w:rPr>
        <w:t xml:space="preserve"> </w:t>
      </w:r>
      <w:r w:rsidR="00355873" w:rsidRPr="007A2A6A">
        <w:rPr>
          <w:sz w:val="22"/>
          <w:szCs w:val="22"/>
        </w:rPr>
        <w:t xml:space="preserve">= </w:t>
      </w:r>
      <w:r w:rsidR="00B11043">
        <w:rPr>
          <w:sz w:val="22"/>
          <w:szCs w:val="22"/>
        </w:rPr>
        <w:t>£44,988</w:t>
      </w:r>
      <w:r w:rsidR="003D0A94" w:rsidRPr="007A2A6A">
        <w:rPr>
          <w:sz w:val="22"/>
          <w:szCs w:val="22"/>
        </w:rPr>
        <w:t xml:space="preserve"> </w:t>
      </w:r>
      <w:r w:rsidRPr="007A2A6A">
        <w:rPr>
          <w:sz w:val="22"/>
          <w:szCs w:val="22"/>
        </w:rPr>
        <w:t>funding.</w:t>
      </w:r>
    </w:p>
    <w:p w:rsidR="009879CD" w:rsidRPr="007A2A6A" w:rsidRDefault="009879CD" w:rsidP="00355873">
      <w:pPr>
        <w:jc w:val="both"/>
        <w:rPr>
          <w:sz w:val="22"/>
          <w:szCs w:val="22"/>
        </w:rPr>
      </w:pPr>
    </w:p>
    <w:p w:rsidR="009879CD" w:rsidRPr="007A2A6A" w:rsidRDefault="009879CD" w:rsidP="00355873">
      <w:pPr>
        <w:numPr>
          <w:ilvl w:val="0"/>
          <w:numId w:val="2"/>
        </w:numPr>
        <w:tabs>
          <w:tab w:val="clear" w:pos="720"/>
          <w:tab w:val="num" w:pos="-1080"/>
        </w:tabs>
        <w:ind w:left="360"/>
        <w:jc w:val="both"/>
        <w:rPr>
          <w:sz w:val="22"/>
          <w:szCs w:val="22"/>
        </w:rPr>
      </w:pPr>
      <w:r w:rsidRPr="007A2A6A">
        <w:rPr>
          <w:sz w:val="22"/>
          <w:szCs w:val="22"/>
          <w:u w:val="single"/>
        </w:rPr>
        <w:t>Small Setting Protection</w:t>
      </w:r>
      <w:r w:rsidRPr="007A2A6A">
        <w:rPr>
          <w:sz w:val="22"/>
          <w:szCs w:val="22"/>
        </w:rPr>
        <w:t xml:space="preserve"> – an additional sum, for stand-alone settings with fewer than 75 places, to ensure a minimum level of funding for fixed costs. The</w:t>
      </w:r>
      <w:r w:rsidR="000A3DE9" w:rsidRPr="007A2A6A">
        <w:rPr>
          <w:sz w:val="22"/>
          <w:szCs w:val="22"/>
        </w:rPr>
        <w:t xml:space="preserve"> formula</w:t>
      </w:r>
      <w:r w:rsidRPr="007A2A6A">
        <w:rPr>
          <w:sz w:val="22"/>
          <w:szCs w:val="22"/>
        </w:rPr>
        <w:t xml:space="preserve"> is:</w:t>
      </w:r>
    </w:p>
    <w:p w:rsidR="003D0A94" w:rsidRPr="007A2A6A" w:rsidRDefault="003D0A94" w:rsidP="00355873">
      <w:pPr>
        <w:ind w:left="360"/>
        <w:jc w:val="both"/>
        <w:rPr>
          <w:sz w:val="22"/>
          <w:szCs w:val="22"/>
        </w:rPr>
      </w:pPr>
    </w:p>
    <w:p w:rsidR="009879CD" w:rsidRPr="007A2A6A" w:rsidRDefault="009879CD" w:rsidP="00355873">
      <w:pPr>
        <w:jc w:val="both"/>
        <w:rPr>
          <w:sz w:val="22"/>
          <w:szCs w:val="22"/>
        </w:rPr>
      </w:pPr>
      <w:r w:rsidRPr="007A2A6A">
        <w:rPr>
          <w:sz w:val="22"/>
          <w:szCs w:val="22"/>
        </w:rPr>
        <w:tab/>
        <w:t xml:space="preserve">A </w:t>
      </w:r>
      <w:r w:rsidRPr="007A2A6A">
        <w:rPr>
          <w:sz w:val="22"/>
          <w:szCs w:val="22"/>
        </w:rPr>
        <w:tab/>
        <w:t xml:space="preserve">(75 x £10,000 x 20%) </w:t>
      </w:r>
    </w:p>
    <w:p w:rsidR="009879CD" w:rsidRPr="007A2A6A" w:rsidRDefault="009879CD" w:rsidP="00355873">
      <w:pPr>
        <w:jc w:val="both"/>
        <w:rPr>
          <w:sz w:val="22"/>
          <w:szCs w:val="22"/>
        </w:rPr>
      </w:pPr>
      <w:r w:rsidRPr="007A2A6A">
        <w:rPr>
          <w:sz w:val="22"/>
          <w:szCs w:val="22"/>
        </w:rPr>
        <w:tab/>
        <w:t xml:space="preserve">B  </w:t>
      </w:r>
      <w:r w:rsidRPr="007A2A6A">
        <w:rPr>
          <w:sz w:val="22"/>
          <w:szCs w:val="22"/>
        </w:rPr>
        <w:tab/>
        <w:t xml:space="preserve">(setting’s place funding x 20%) </w:t>
      </w:r>
    </w:p>
    <w:p w:rsidR="009879CD" w:rsidRPr="007A2A6A" w:rsidRDefault="009879CD" w:rsidP="00355873">
      <w:pPr>
        <w:jc w:val="both"/>
        <w:rPr>
          <w:sz w:val="22"/>
          <w:szCs w:val="22"/>
        </w:rPr>
      </w:pPr>
      <w:r w:rsidRPr="007A2A6A">
        <w:rPr>
          <w:sz w:val="22"/>
          <w:szCs w:val="22"/>
        </w:rPr>
        <w:tab/>
        <w:t xml:space="preserve">= </w:t>
      </w:r>
      <w:r w:rsidR="00D32993">
        <w:rPr>
          <w:sz w:val="22"/>
          <w:szCs w:val="22"/>
        </w:rPr>
        <w:t>top-up</w:t>
      </w:r>
      <w:r w:rsidRPr="007A2A6A">
        <w:rPr>
          <w:sz w:val="22"/>
          <w:szCs w:val="22"/>
        </w:rPr>
        <w:t xml:space="preserve"> to the value of A where B is less than A</w:t>
      </w:r>
    </w:p>
    <w:p w:rsidR="009879CD" w:rsidRPr="007A2A6A" w:rsidRDefault="009879CD" w:rsidP="00355873">
      <w:pPr>
        <w:jc w:val="both"/>
        <w:rPr>
          <w:sz w:val="22"/>
          <w:szCs w:val="22"/>
        </w:rPr>
      </w:pPr>
    </w:p>
    <w:p w:rsidR="00355873" w:rsidRPr="007A2A6A" w:rsidRDefault="00355873" w:rsidP="00355873">
      <w:pPr>
        <w:ind w:left="360"/>
        <w:jc w:val="both"/>
        <w:rPr>
          <w:sz w:val="22"/>
          <w:szCs w:val="22"/>
          <w:u w:val="single"/>
        </w:rPr>
      </w:pPr>
      <w:r w:rsidRPr="007A2A6A">
        <w:rPr>
          <w:sz w:val="22"/>
          <w:szCs w:val="22"/>
        </w:rPr>
        <w:t xml:space="preserve">As all special schools </w:t>
      </w:r>
      <w:r w:rsidR="00377184" w:rsidRPr="007A2A6A">
        <w:rPr>
          <w:sz w:val="22"/>
          <w:szCs w:val="22"/>
        </w:rPr>
        <w:t xml:space="preserve">and special school academies </w:t>
      </w:r>
      <w:r w:rsidRPr="007A2A6A">
        <w:rPr>
          <w:sz w:val="22"/>
          <w:szCs w:val="22"/>
        </w:rPr>
        <w:t xml:space="preserve">are now larger than 75, this is not a factor that is currently </w:t>
      </w:r>
      <w:r w:rsidR="00A36764">
        <w:rPr>
          <w:sz w:val="22"/>
          <w:szCs w:val="22"/>
        </w:rPr>
        <w:t>employed</w:t>
      </w:r>
      <w:r w:rsidRPr="007A2A6A">
        <w:rPr>
          <w:sz w:val="22"/>
          <w:szCs w:val="22"/>
        </w:rPr>
        <w:t>.</w:t>
      </w:r>
    </w:p>
    <w:p w:rsidR="00355873" w:rsidRPr="007A2A6A" w:rsidRDefault="00355873" w:rsidP="00355873">
      <w:pPr>
        <w:jc w:val="both"/>
        <w:rPr>
          <w:sz w:val="22"/>
          <w:szCs w:val="22"/>
        </w:rPr>
      </w:pPr>
      <w:r w:rsidRPr="007A2A6A">
        <w:rPr>
          <w:sz w:val="22"/>
          <w:szCs w:val="22"/>
        </w:rPr>
        <w:tab/>
      </w:r>
    </w:p>
    <w:p w:rsidR="009879CD" w:rsidRPr="001C07EB" w:rsidRDefault="009879CD" w:rsidP="00355873">
      <w:pPr>
        <w:numPr>
          <w:ilvl w:val="0"/>
          <w:numId w:val="2"/>
        </w:numPr>
        <w:tabs>
          <w:tab w:val="clear" w:pos="720"/>
          <w:tab w:val="num" w:pos="-720"/>
        </w:tabs>
        <w:ind w:left="360"/>
        <w:jc w:val="both"/>
        <w:rPr>
          <w:sz w:val="22"/>
          <w:szCs w:val="22"/>
          <w:u w:val="single"/>
        </w:rPr>
      </w:pPr>
      <w:r w:rsidRPr="007A2A6A">
        <w:rPr>
          <w:sz w:val="22"/>
          <w:szCs w:val="22"/>
          <w:u w:val="single"/>
        </w:rPr>
        <w:t>Split Sites</w:t>
      </w:r>
      <w:r w:rsidRPr="007A2A6A">
        <w:rPr>
          <w:sz w:val="22"/>
          <w:szCs w:val="22"/>
        </w:rPr>
        <w:t xml:space="preserve"> – an additional sum for </w:t>
      </w:r>
      <w:r w:rsidR="00377184" w:rsidRPr="007A2A6A">
        <w:rPr>
          <w:sz w:val="22"/>
          <w:szCs w:val="22"/>
        </w:rPr>
        <w:t xml:space="preserve">special </w:t>
      </w:r>
      <w:r w:rsidRPr="007A2A6A">
        <w:rPr>
          <w:sz w:val="22"/>
          <w:szCs w:val="22"/>
        </w:rPr>
        <w:t xml:space="preserve">schools </w:t>
      </w:r>
      <w:r w:rsidR="000A3DE9" w:rsidRPr="007A2A6A">
        <w:rPr>
          <w:sz w:val="22"/>
          <w:szCs w:val="22"/>
        </w:rPr>
        <w:t xml:space="preserve">and </w:t>
      </w:r>
      <w:r w:rsidR="00377184" w:rsidRPr="007A2A6A">
        <w:rPr>
          <w:sz w:val="22"/>
          <w:szCs w:val="22"/>
        </w:rPr>
        <w:t xml:space="preserve">special school </w:t>
      </w:r>
      <w:r w:rsidR="000A3DE9" w:rsidRPr="007A2A6A">
        <w:rPr>
          <w:sz w:val="22"/>
          <w:szCs w:val="22"/>
        </w:rPr>
        <w:t xml:space="preserve">academies </w:t>
      </w:r>
      <w:r w:rsidRPr="007A2A6A">
        <w:rPr>
          <w:sz w:val="22"/>
          <w:szCs w:val="22"/>
        </w:rPr>
        <w:t xml:space="preserve">that operate across </w:t>
      </w:r>
      <w:r w:rsidR="000A3DE9" w:rsidRPr="007A2A6A">
        <w:rPr>
          <w:sz w:val="22"/>
          <w:szCs w:val="22"/>
        </w:rPr>
        <w:t xml:space="preserve">split / satellite </w:t>
      </w:r>
      <w:r w:rsidRPr="007A2A6A">
        <w:rPr>
          <w:sz w:val="22"/>
          <w:szCs w:val="22"/>
        </w:rPr>
        <w:t>sites</w:t>
      </w:r>
      <w:r w:rsidR="000A3DE9" w:rsidRPr="007A2A6A">
        <w:rPr>
          <w:sz w:val="22"/>
          <w:szCs w:val="22"/>
        </w:rPr>
        <w:t xml:space="preserve">. The full year value </w:t>
      </w:r>
      <w:r w:rsidR="00A36764">
        <w:rPr>
          <w:sz w:val="22"/>
          <w:szCs w:val="22"/>
        </w:rPr>
        <w:t>of this lump sum is</w:t>
      </w:r>
      <w:r w:rsidR="00377184" w:rsidRPr="00B11043">
        <w:rPr>
          <w:sz w:val="22"/>
          <w:szCs w:val="22"/>
        </w:rPr>
        <w:t xml:space="preserve"> </w:t>
      </w:r>
      <w:r w:rsidR="004F509B" w:rsidRPr="00B11043">
        <w:rPr>
          <w:sz w:val="22"/>
          <w:szCs w:val="22"/>
        </w:rPr>
        <w:t>£</w:t>
      </w:r>
      <w:r w:rsidR="00B11043" w:rsidRPr="00B11043">
        <w:rPr>
          <w:sz w:val="22"/>
          <w:szCs w:val="22"/>
        </w:rPr>
        <w:t>226,74</w:t>
      </w:r>
      <w:r w:rsidR="00DE345E" w:rsidRPr="00B11043">
        <w:rPr>
          <w:sz w:val="22"/>
          <w:szCs w:val="22"/>
        </w:rPr>
        <w:t>0</w:t>
      </w:r>
      <w:r w:rsidR="00355873" w:rsidRPr="00B11043">
        <w:rPr>
          <w:sz w:val="22"/>
          <w:szCs w:val="22"/>
        </w:rPr>
        <w:t xml:space="preserve"> </w:t>
      </w:r>
      <w:r w:rsidR="00DE345E" w:rsidRPr="00B11043">
        <w:rPr>
          <w:sz w:val="22"/>
          <w:szCs w:val="22"/>
        </w:rPr>
        <w:t>in 2022/23</w:t>
      </w:r>
      <w:r w:rsidR="00355873" w:rsidRPr="00B11043">
        <w:rPr>
          <w:sz w:val="22"/>
          <w:szCs w:val="22"/>
        </w:rPr>
        <w:t>.</w:t>
      </w:r>
    </w:p>
    <w:p w:rsidR="009879CD" w:rsidRPr="005B2B0F" w:rsidRDefault="009879CD" w:rsidP="00355873">
      <w:pPr>
        <w:ind w:left="360"/>
        <w:jc w:val="both"/>
        <w:rPr>
          <w:sz w:val="22"/>
          <w:szCs w:val="22"/>
          <w:u w:val="single"/>
        </w:rPr>
      </w:pPr>
    </w:p>
    <w:p w:rsidR="003D0A94" w:rsidRPr="00D33119" w:rsidRDefault="006F5C94" w:rsidP="00355873">
      <w:pPr>
        <w:numPr>
          <w:ilvl w:val="0"/>
          <w:numId w:val="2"/>
        </w:numPr>
        <w:tabs>
          <w:tab w:val="clear" w:pos="720"/>
          <w:tab w:val="num" w:pos="-360"/>
        </w:tabs>
        <w:ind w:left="360"/>
        <w:jc w:val="both"/>
        <w:rPr>
          <w:sz w:val="22"/>
          <w:szCs w:val="22"/>
          <w:u w:val="single"/>
        </w:rPr>
      </w:pPr>
      <w:r>
        <w:rPr>
          <w:sz w:val="22"/>
          <w:szCs w:val="22"/>
          <w:u w:val="single"/>
        </w:rPr>
        <w:t>Post-</w:t>
      </w:r>
      <w:r w:rsidR="009879CD" w:rsidRPr="00D33119">
        <w:rPr>
          <w:sz w:val="22"/>
          <w:szCs w:val="22"/>
          <w:u w:val="single"/>
        </w:rPr>
        <w:t>16 Places</w:t>
      </w:r>
      <w:r w:rsidR="009879CD" w:rsidRPr="00D33119">
        <w:rPr>
          <w:sz w:val="22"/>
          <w:szCs w:val="22"/>
        </w:rPr>
        <w:t xml:space="preserve"> – an </w:t>
      </w:r>
      <w:r>
        <w:rPr>
          <w:sz w:val="22"/>
          <w:szCs w:val="22"/>
        </w:rPr>
        <w:t>additional sum per Post-</w:t>
      </w:r>
      <w:r w:rsidR="009879CD" w:rsidRPr="00B11043">
        <w:rPr>
          <w:sz w:val="22"/>
          <w:szCs w:val="22"/>
        </w:rPr>
        <w:t>16 place, t</w:t>
      </w:r>
      <w:r w:rsidR="009968E9" w:rsidRPr="00B11043">
        <w:rPr>
          <w:sz w:val="22"/>
          <w:szCs w:val="22"/>
        </w:rPr>
        <w:t>o allocate an</w:t>
      </w:r>
      <w:r w:rsidR="004F509B" w:rsidRPr="00B11043">
        <w:rPr>
          <w:sz w:val="22"/>
          <w:szCs w:val="22"/>
        </w:rPr>
        <w:t xml:space="preserve"> additional </w:t>
      </w:r>
      <w:r w:rsidR="00D33119" w:rsidRPr="00B11043">
        <w:rPr>
          <w:sz w:val="22"/>
          <w:szCs w:val="22"/>
        </w:rPr>
        <w:t>£1,2</w:t>
      </w:r>
      <w:r w:rsidR="009879CD" w:rsidRPr="00B11043">
        <w:rPr>
          <w:sz w:val="22"/>
          <w:szCs w:val="22"/>
        </w:rPr>
        <w:t>00 per</w:t>
      </w:r>
      <w:r w:rsidR="005462B3" w:rsidRPr="00B11043">
        <w:rPr>
          <w:sz w:val="22"/>
          <w:szCs w:val="22"/>
        </w:rPr>
        <w:t xml:space="preserve"> </w:t>
      </w:r>
      <w:r w:rsidR="009879CD" w:rsidRPr="00B11043">
        <w:rPr>
          <w:sz w:val="22"/>
          <w:szCs w:val="22"/>
        </w:rPr>
        <w:t>place</w:t>
      </w:r>
      <w:r w:rsidR="004F509B" w:rsidRPr="00B11043">
        <w:rPr>
          <w:sz w:val="22"/>
          <w:szCs w:val="22"/>
        </w:rPr>
        <w:t xml:space="preserve">. </w:t>
      </w:r>
      <w:r w:rsidR="009879CD" w:rsidRPr="00B11043">
        <w:rPr>
          <w:sz w:val="22"/>
          <w:szCs w:val="22"/>
        </w:rPr>
        <w:t>This ensures</w:t>
      </w:r>
      <w:r>
        <w:rPr>
          <w:sz w:val="22"/>
          <w:szCs w:val="22"/>
        </w:rPr>
        <w:t xml:space="preserve"> that special schools with post-</w:t>
      </w:r>
      <w:r w:rsidR="009879CD" w:rsidRPr="00B11043">
        <w:rPr>
          <w:sz w:val="22"/>
          <w:szCs w:val="22"/>
        </w:rPr>
        <w:t xml:space="preserve">16 places </w:t>
      </w:r>
      <w:r w:rsidR="004F509B" w:rsidRPr="00B11043">
        <w:rPr>
          <w:sz w:val="22"/>
          <w:szCs w:val="22"/>
        </w:rPr>
        <w:t xml:space="preserve">receive the nationally set </w:t>
      </w:r>
      <w:r>
        <w:rPr>
          <w:sz w:val="22"/>
          <w:szCs w:val="22"/>
        </w:rPr>
        <w:t>DfE value of element 1 for post-</w:t>
      </w:r>
      <w:r w:rsidR="004F509B" w:rsidRPr="00B11043">
        <w:rPr>
          <w:sz w:val="22"/>
          <w:szCs w:val="22"/>
        </w:rPr>
        <w:t>16 pupils, which is £</w:t>
      </w:r>
      <w:r w:rsidR="00D33119" w:rsidRPr="00B11043">
        <w:rPr>
          <w:sz w:val="22"/>
          <w:szCs w:val="22"/>
        </w:rPr>
        <w:t>5,2</w:t>
      </w:r>
      <w:r w:rsidR="004F509B" w:rsidRPr="00B11043">
        <w:rPr>
          <w:sz w:val="22"/>
          <w:szCs w:val="22"/>
        </w:rPr>
        <w:t>00</w:t>
      </w:r>
      <w:r w:rsidR="00A36764">
        <w:rPr>
          <w:sz w:val="22"/>
          <w:szCs w:val="22"/>
        </w:rPr>
        <w:t xml:space="preserve"> for the 2021/22 academic year</w:t>
      </w:r>
      <w:r w:rsidR="004F509B" w:rsidRPr="00B11043">
        <w:rPr>
          <w:sz w:val="22"/>
          <w:szCs w:val="22"/>
        </w:rPr>
        <w:t>.</w:t>
      </w:r>
      <w:r w:rsidR="00A36764">
        <w:rPr>
          <w:sz w:val="22"/>
          <w:szCs w:val="22"/>
        </w:rPr>
        <w:t xml:space="preserve"> This has increased to £5,600 for the 2022/23 academic year. We propose to uplift this sum to £1,600 in our 2023/24 financial year formula. </w:t>
      </w:r>
    </w:p>
    <w:p w:rsidR="00A03632" w:rsidRPr="003D0A94" w:rsidRDefault="00A03632" w:rsidP="00355873">
      <w:pPr>
        <w:ind w:left="360"/>
        <w:jc w:val="both"/>
        <w:rPr>
          <w:sz w:val="22"/>
          <w:szCs w:val="22"/>
          <w:u w:val="single"/>
        </w:rPr>
      </w:pPr>
    </w:p>
    <w:p w:rsidR="00890444" w:rsidRPr="004C1C0E" w:rsidRDefault="004C1C0E" w:rsidP="00355873">
      <w:pPr>
        <w:numPr>
          <w:ilvl w:val="0"/>
          <w:numId w:val="2"/>
        </w:numPr>
        <w:tabs>
          <w:tab w:val="clear" w:pos="720"/>
          <w:tab w:val="num" w:pos="0"/>
        </w:tabs>
        <w:ind w:left="360"/>
        <w:jc w:val="both"/>
        <w:rPr>
          <w:sz w:val="22"/>
          <w:szCs w:val="22"/>
          <w:u w:val="single"/>
        </w:rPr>
      </w:pPr>
      <w:r>
        <w:rPr>
          <w:color w:val="000000"/>
          <w:sz w:val="22"/>
          <w:szCs w:val="22"/>
          <w:u w:val="single"/>
        </w:rPr>
        <w:t xml:space="preserve">3% </w:t>
      </w:r>
      <w:r w:rsidR="009879CD" w:rsidRPr="004C1C0E">
        <w:rPr>
          <w:color w:val="000000"/>
          <w:sz w:val="22"/>
          <w:szCs w:val="22"/>
          <w:u w:val="single"/>
        </w:rPr>
        <w:t>Cash Budget Protection</w:t>
      </w:r>
      <w:r w:rsidR="009879CD" w:rsidRPr="004C1C0E">
        <w:rPr>
          <w:color w:val="000000"/>
          <w:sz w:val="22"/>
          <w:szCs w:val="22"/>
        </w:rPr>
        <w:t xml:space="preserve"> – an additional total cash budget </w:t>
      </w:r>
      <w:r w:rsidR="005462B3">
        <w:rPr>
          <w:color w:val="000000"/>
          <w:sz w:val="22"/>
          <w:szCs w:val="22"/>
        </w:rPr>
        <w:t xml:space="preserve">safety net </w:t>
      </w:r>
      <w:r w:rsidR="009879CD" w:rsidRPr="004C1C0E">
        <w:rPr>
          <w:color w:val="000000"/>
          <w:sz w:val="22"/>
          <w:szCs w:val="22"/>
        </w:rPr>
        <w:t>protection,</w:t>
      </w:r>
      <w:r>
        <w:rPr>
          <w:color w:val="000000"/>
          <w:sz w:val="22"/>
          <w:szCs w:val="22"/>
        </w:rPr>
        <w:t xml:space="preserve"> </w:t>
      </w:r>
      <w:r w:rsidR="009879CD" w:rsidRPr="004C1C0E">
        <w:rPr>
          <w:color w:val="000000"/>
          <w:sz w:val="22"/>
          <w:szCs w:val="22"/>
        </w:rPr>
        <w:t>which ensures that at no po</w:t>
      </w:r>
      <w:r w:rsidR="00E13622">
        <w:rPr>
          <w:color w:val="000000"/>
          <w:sz w:val="22"/>
          <w:szCs w:val="22"/>
        </w:rPr>
        <w:t>int during 2022/23</w:t>
      </w:r>
      <w:r w:rsidR="009879CD" w:rsidRPr="004C1C0E">
        <w:rPr>
          <w:color w:val="000000"/>
          <w:sz w:val="22"/>
          <w:szCs w:val="22"/>
        </w:rPr>
        <w:t xml:space="preserve"> will the total ‘Place Plus’ calculated </w:t>
      </w:r>
      <w:r w:rsidR="003D0A94">
        <w:rPr>
          <w:color w:val="000000"/>
          <w:sz w:val="22"/>
          <w:szCs w:val="22"/>
        </w:rPr>
        <w:t>budget for an individual special school</w:t>
      </w:r>
      <w:r w:rsidR="009879CD" w:rsidRPr="004C1C0E">
        <w:rPr>
          <w:color w:val="000000"/>
          <w:sz w:val="22"/>
          <w:szCs w:val="22"/>
        </w:rPr>
        <w:t xml:space="preserve"> be more tha</w:t>
      </w:r>
      <w:r w:rsidR="003D0A94">
        <w:rPr>
          <w:color w:val="000000"/>
          <w:sz w:val="22"/>
          <w:szCs w:val="22"/>
        </w:rPr>
        <w:t>n 3</w:t>
      </w:r>
      <w:r w:rsidR="004F509B">
        <w:rPr>
          <w:color w:val="000000"/>
          <w:sz w:val="22"/>
          <w:szCs w:val="22"/>
        </w:rPr>
        <w:t>% lower than</w:t>
      </w:r>
      <w:r w:rsidR="00E13622">
        <w:rPr>
          <w:color w:val="000000"/>
          <w:sz w:val="22"/>
          <w:szCs w:val="22"/>
        </w:rPr>
        <w:t xml:space="preserve"> the 2021/22</w:t>
      </w:r>
      <w:r w:rsidR="005462B3">
        <w:rPr>
          <w:color w:val="000000"/>
          <w:sz w:val="22"/>
          <w:szCs w:val="22"/>
        </w:rPr>
        <w:t xml:space="preserve"> total level of funding. </w:t>
      </w:r>
      <w:r w:rsidR="004F509B">
        <w:rPr>
          <w:color w:val="000000"/>
          <w:sz w:val="22"/>
          <w:szCs w:val="22"/>
        </w:rPr>
        <w:t>As most special schools are</w:t>
      </w:r>
      <w:r w:rsidR="005462B3">
        <w:rPr>
          <w:color w:val="000000"/>
          <w:sz w:val="22"/>
          <w:szCs w:val="22"/>
        </w:rPr>
        <w:t xml:space="preserve"> / have been</w:t>
      </w:r>
      <w:r w:rsidR="004F509B">
        <w:rPr>
          <w:color w:val="000000"/>
          <w:sz w:val="22"/>
          <w:szCs w:val="22"/>
        </w:rPr>
        <w:t xml:space="preserve"> increasing place</w:t>
      </w:r>
      <w:r w:rsidR="005462B3">
        <w:rPr>
          <w:color w:val="000000"/>
          <w:sz w:val="22"/>
          <w:szCs w:val="22"/>
        </w:rPr>
        <w:t>s</w:t>
      </w:r>
      <w:r w:rsidR="004F509B">
        <w:rPr>
          <w:color w:val="000000"/>
          <w:sz w:val="22"/>
          <w:szCs w:val="22"/>
        </w:rPr>
        <w:t>,</w:t>
      </w:r>
      <w:r w:rsidR="00377184">
        <w:rPr>
          <w:color w:val="000000"/>
          <w:sz w:val="22"/>
          <w:szCs w:val="22"/>
        </w:rPr>
        <w:t xml:space="preserve"> together with the uplifted Banded Model funding rates,</w:t>
      </w:r>
      <w:r w:rsidR="004F509B">
        <w:rPr>
          <w:color w:val="000000"/>
          <w:sz w:val="22"/>
          <w:szCs w:val="22"/>
        </w:rPr>
        <w:t xml:space="preserve"> this is not </w:t>
      </w:r>
      <w:r w:rsidR="00080D04">
        <w:rPr>
          <w:color w:val="000000"/>
          <w:sz w:val="22"/>
          <w:szCs w:val="22"/>
        </w:rPr>
        <w:t>a factor that was needed in 2022/23</w:t>
      </w:r>
      <w:r w:rsidR="004F509B">
        <w:rPr>
          <w:color w:val="000000"/>
          <w:sz w:val="22"/>
          <w:szCs w:val="22"/>
        </w:rPr>
        <w:t xml:space="preserve">, but </w:t>
      </w:r>
      <w:r w:rsidR="00A856BB">
        <w:rPr>
          <w:color w:val="000000"/>
          <w:sz w:val="22"/>
          <w:szCs w:val="22"/>
        </w:rPr>
        <w:t>will remain</w:t>
      </w:r>
      <w:r w:rsidR="004F509B">
        <w:rPr>
          <w:color w:val="000000"/>
          <w:sz w:val="22"/>
          <w:szCs w:val="22"/>
        </w:rPr>
        <w:t xml:space="preserve"> in place to ensure a safety net</w:t>
      </w:r>
      <w:r w:rsidR="00A856BB">
        <w:rPr>
          <w:color w:val="000000"/>
          <w:sz w:val="22"/>
          <w:szCs w:val="22"/>
        </w:rPr>
        <w:t xml:space="preserve"> (in 2023/24, </w:t>
      </w:r>
      <w:r w:rsidR="006F5C94">
        <w:rPr>
          <w:color w:val="000000"/>
          <w:sz w:val="22"/>
          <w:szCs w:val="22"/>
        </w:rPr>
        <w:t xml:space="preserve">in places to protect the </w:t>
      </w:r>
      <w:r w:rsidR="00A856BB">
        <w:rPr>
          <w:color w:val="000000"/>
          <w:sz w:val="22"/>
          <w:szCs w:val="22"/>
        </w:rPr>
        <w:t>difference between 2023/24 and 2022/23 financial year allocations)</w:t>
      </w:r>
      <w:r w:rsidR="004F509B">
        <w:rPr>
          <w:color w:val="000000"/>
          <w:sz w:val="22"/>
          <w:szCs w:val="22"/>
        </w:rPr>
        <w:t>.</w:t>
      </w:r>
    </w:p>
    <w:p w:rsidR="0066340D" w:rsidRDefault="0066340D" w:rsidP="00E37FC5">
      <w:pPr>
        <w:jc w:val="both"/>
        <w:rPr>
          <w:sz w:val="22"/>
          <w:szCs w:val="22"/>
        </w:rPr>
      </w:pPr>
    </w:p>
    <w:p w:rsidR="00080D04" w:rsidRDefault="00080D04" w:rsidP="00E37FC5">
      <w:pPr>
        <w:jc w:val="both"/>
        <w:rPr>
          <w:sz w:val="22"/>
          <w:szCs w:val="22"/>
        </w:rPr>
      </w:pPr>
    </w:p>
    <w:p w:rsidR="00080D04" w:rsidRDefault="00080D04" w:rsidP="00E37FC5">
      <w:pPr>
        <w:jc w:val="both"/>
        <w:rPr>
          <w:sz w:val="22"/>
          <w:szCs w:val="22"/>
        </w:rPr>
      </w:pPr>
    </w:p>
    <w:p w:rsidR="00080D04" w:rsidRDefault="00080D04" w:rsidP="00E37FC5">
      <w:pPr>
        <w:jc w:val="both"/>
        <w:rPr>
          <w:sz w:val="22"/>
          <w:szCs w:val="22"/>
        </w:rPr>
      </w:pPr>
    </w:p>
    <w:p w:rsidR="00377184" w:rsidRDefault="00377184" w:rsidP="00E37FC5">
      <w:pPr>
        <w:jc w:val="both"/>
        <w:rPr>
          <w:sz w:val="22"/>
          <w:szCs w:val="22"/>
        </w:rPr>
      </w:pPr>
    </w:p>
    <w:p w:rsidR="003D0A94" w:rsidRPr="000A3DE9" w:rsidRDefault="003D0A94" w:rsidP="003D0A94">
      <w:pPr>
        <w:jc w:val="both"/>
        <w:rPr>
          <w:sz w:val="22"/>
          <w:szCs w:val="22"/>
        </w:rPr>
      </w:pPr>
      <w:r w:rsidRPr="000A3DE9">
        <w:rPr>
          <w:b/>
          <w:sz w:val="22"/>
          <w:szCs w:val="22"/>
          <w:u w:val="single"/>
        </w:rPr>
        <w:t xml:space="preserve">Setting-Led Needs Factors – </w:t>
      </w:r>
      <w:r w:rsidR="00A03632" w:rsidRPr="000A3DE9">
        <w:rPr>
          <w:b/>
          <w:sz w:val="22"/>
          <w:szCs w:val="22"/>
          <w:u w:val="single"/>
        </w:rPr>
        <w:t xml:space="preserve">School-Led </w:t>
      </w:r>
      <w:r w:rsidRPr="000A3DE9">
        <w:rPr>
          <w:b/>
          <w:sz w:val="22"/>
          <w:szCs w:val="22"/>
          <w:u w:val="single"/>
        </w:rPr>
        <w:t>R</w:t>
      </w:r>
      <w:r w:rsidR="00A03632" w:rsidRPr="000A3DE9">
        <w:rPr>
          <w:b/>
          <w:sz w:val="22"/>
          <w:szCs w:val="22"/>
          <w:u w:val="single"/>
        </w:rPr>
        <w:t>esourced Provisions</w:t>
      </w:r>
      <w:r w:rsidR="00FC0D5E" w:rsidRPr="000A3DE9">
        <w:rPr>
          <w:b/>
          <w:sz w:val="22"/>
          <w:szCs w:val="22"/>
          <w:u w:val="single"/>
        </w:rPr>
        <w:t xml:space="preserve"> </w:t>
      </w:r>
      <w:r w:rsidRPr="000A3DE9">
        <w:rPr>
          <w:b/>
          <w:sz w:val="22"/>
          <w:szCs w:val="22"/>
          <w:u w:val="single"/>
        </w:rPr>
        <w:t>Mainstream Primary &amp; Secondary Schools</w:t>
      </w:r>
      <w:r w:rsidR="00FC0D5E" w:rsidRPr="000A3DE9">
        <w:rPr>
          <w:b/>
          <w:sz w:val="22"/>
          <w:szCs w:val="22"/>
          <w:u w:val="single"/>
        </w:rPr>
        <w:t xml:space="preserve"> and Academies</w:t>
      </w:r>
    </w:p>
    <w:p w:rsidR="00BE2009" w:rsidRPr="000A3DE9" w:rsidRDefault="00BE2009" w:rsidP="000A3DE9">
      <w:pPr>
        <w:jc w:val="both"/>
        <w:rPr>
          <w:sz w:val="22"/>
          <w:szCs w:val="22"/>
        </w:rPr>
      </w:pPr>
    </w:p>
    <w:p w:rsidR="00BE2009" w:rsidRDefault="00BE2009" w:rsidP="00355873">
      <w:pPr>
        <w:numPr>
          <w:ilvl w:val="0"/>
          <w:numId w:val="8"/>
        </w:numPr>
        <w:ind w:left="360"/>
        <w:jc w:val="both"/>
        <w:rPr>
          <w:sz w:val="22"/>
          <w:szCs w:val="22"/>
        </w:rPr>
      </w:pPr>
      <w:r w:rsidRPr="0006685B">
        <w:rPr>
          <w:sz w:val="22"/>
          <w:szCs w:val="22"/>
          <w:u w:val="single"/>
        </w:rPr>
        <w:t>Small</w:t>
      </w:r>
      <w:r>
        <w:rPr>
          <w:sz w:val="22"/>
          <w:szCs w:val="22"/>
          <w:u w:val="single"/>
        </w:rPr>
        <w:t xml:space="preserve"> Setting</w:t>
      </w:r>
      <w:r w:rsidRPr="0006685B">
        <w:rPr>
          <w:sz w:val="22"/>
          <w:szCs w:val="22"/>
          <w:u w:val="single"/>
        </w:rPr>
        <w:t xml:space="preserve"> Protection</w:t>
      </w:r>
      <w:r w:rsidR="000A3DE9">
        <w:rPr>
          <w:sz w:val="22"/>
          <w:szCs w:val="22"/>
        </w:rPr>
        <w:t xml:space="preserve"> – an additional sum for provisions</w:t>
      </w:r>
      <w:r w:rsidR="00DA358B">
        <w:rPr>
          <w:sz w:val="22"/>
          <w:szCs w:val="22"/>
        </w:rPr>
        <w:t xml:space="preserve"> with fewer than 24</w:t>
      </w:r>
      <w:r>
        <w:rPr>
          <w:sz w:val="22"/>
          <w:szCs w:val="22"/>
        </w:rPr>
        <w:t xml:space="preserve"> </w:t>
      </w:r>
      <w:r w:rsidR="000A3DE9">
        <w:rPr>
          <w:sz w:val="22"/>
          <w:szCs w:val="22"/>
        </w:rPr>
        <w:t xml:space="preserve">FTE </w:t>
      </w:r>
      <w:r>
        <w:rPr>
          <w:sz w:val="22"/>
          <w:szCs w:val="22"/>
        </w:rPr>
        <w:t xml:space="preserve">places, to ensure a minimum level of funding for </w:t>
      </w:r>
      <w:r w:rsidR="000A3DE9">
        <w:rPr>
          <w:sz w:val="22"/>
          <w:szCs w:val="22"/>
        </w:rPr>
        <w:t xml:space="preserve">fixed costs. The formula </w:t>
      </w:r>
      <w:r>
        <w:rPr>
          <w:sz w:val="22"/>
          <w:szCs w:val="22"/>
        </w:rPr>
        <w:t>is:</w:t>
      </w:r>
    </w:p>
    <w:p w:rsidR="00BE2009" w:rsidRDefault="00BE2009" w:rsidP="00355873">
      <w:pPr>
        <w:pStyle w:val="ListParagraph"/>
        <w:ind w:left="360"/>
        <w:jc w:val="both"/>
        <w:rPr>
          <w:sz w:val="22"/>
          <w:szCs w:val="22"/>
        </w:rPr>
      </w:pPr>
    </w:p>
    <w:p w:rsidR="00DA358B" w:rsidRDefault="00DA358B" w:rsidP="00355873">
      <w:pPr>
        <w:jc w:val="both"/>
        <w:rPr>
          <w:sz w:val="22"/>
          <w:szCs w:val="22"/>
        </w:rPr>
      </w:pPr>
      <w:r>
        <w:rPr>
          <w:sz w:val="22"/>
          <w:szCs w:val="22"/>
        </w:rPr>
        <w:tab/>
        <w:t xml:space="preserve">A </w:t>
      </w:r>
      <w:r>
        <w:rPr>
          <w:sz w:val="22"/>
          <w:szCs w:val="22"/>
        </w:rPr>
        <w:tab/>
        <w:t>(24</w:t>
      </w:r>
      <w:r w:rsidR="000A3DE9">
        <w:rPr>
          <w:sz w:val="22"/>
          <w:szCs w:val="22"/>
        </w:rPr>
        <w:t xml:space="preserve"> FTE</w:t>
      </w:r>
      <w:r>
        <w:rPr>
          <w:sz w:val="22"/>
          <w:szCs w:val="22"/>
        </w:rPr>
        <w:t xml:space="preserve"> x £10,000 x 20%) </w:t>
      </w:r>
    </w:p>
    <w:p w:rsidR="00DA358B" w:rsidRDefault="00DA358B" w:rsidP="00355873">
      <w:pPr>
        <w:jc w:val="both"/>
        <w:rPr>
          <w:sz w:val="22"/>
          <w:szCs w:val="22"/>
        </w:rPr>
      </w:pPr>
      <w:r>
        <w:rPr>
          <w:sz w:val="22"/>
          <w:szCs w:val="22"/>
        </w:rPr>
        <w:tab/>
        <w:t xml:space="preserve">B  </w:t>
      </w:r>
      <w:r>
        <w:rPr>
          <w:sz w:val="22"/>
          <w:szCs w:val="22"/>
        </w:rPr>
        <w:tab/>
        <w:t>(setting’s place funding</w:t>
      </w:r>
      <w:r w:rsidR="00133239">
        <w:rPr>
          <w:sz w:val="22"/>
          <w:szCs w:val="22"/>
        </w:rPr>
        <w:t xml:space="preserve"> (where each</w:t>
      </w:r>
      <w:r w:rsidR="00BA58DD">
        <w:rPr>
          <w:sz w:val="22"/>
          <w:szCs w:val="22"/>
        </w:rPr>
        <w:t xml:space="preserve"> place is worth £10,000)</w:t>
      </w:r>
      <w:r>
        <w:rPr>
          <w:sz w:val="22"/>
          <w:szCs w:val="22"/>
        </w:rPr>
        <w:t xml:space="preserve"> x 20%) </w:t>
      </w:r>
    </w:p>
    <w:p w:rsidR="00DA358B" w:rsidRPr="00133239" w:rsidRDefault="00DA358B" w:rsidP="00355873">
      <w:pPr>
        <w:jc w:val="both"/>
        <w:rPr>
          <w:sz w:val="22"/>
          <w:szCs w:val="22"/>
        </w:rPr>
      </w:pPr>
      <w:r>
        <w:rPr>
          <w:sz w:val="22"/>
          <w:szCs w:val="22"/>
        </w:rPr>
        <w:tab/>
        <w:t xml:space="preserve">= </w:t>
      </w:r>
      <w:r w:rsidR="00D32993">
        <w:rPr>
          <w:sz w:val="22"/>
          <w:szCs w:val="22"/>
        </w:rPr>
        <w:t>top-up</w:t>
      </w:r>
      <w:r>
        <w:rPr>
          <w:sz w:val="22"/>
          <w:szCs w:val="22"/>
        </w:rPr>
        <w:t xml:space="preserve"> to the value of A where B is less than A</w:t>
      </w:r>
    </w:p>
    <w:p w:rsidR="00DA358B" w:rsidRDefault="00DA358B" w:rsidP="00355873">
      <w:pPr>
        <w:pStyle w:val="ListParagraph"/>
        <w:ind w:left="360"/>
        <w:jc w:val="both"/>
        <w:rPr>
          <w:sz w:val="22"/>
          <w:szCs w:val="22"/>
        </w:rPr>
      </w:pPr>
    </w:p>
    <w:p w:rsidR="00BE2009" w:rsidRPr="00355873" w:rsidRDefault="00BE2009" w:rsidP="00355873">
      <w:pPr>
        <w:pStyle w:val="ListParagraph"/>
        <w:numPr>
          <w:ilvl w:val="0"/>
          <w:numId w:val="8"/>
        </w:numPr>
        <w:ind w:left="360"/>
        <w:jc w:val="both"/>
        <w:rPr>
          <w:sz w:val="22"/>
          <w:szCs w:val="22"/>
        </w:rPr>
      </w:pPr>
      <w:r>
        <w:rPr>
          <w:color w:val="000000"/>
          <w:sz w:val="22"/>
          <w:szCs w:val="22"/>
          <w:u w:val="single"/>
        </w:rPr>
        <w:t xml:space="preserve">3% </w:t>
      </w:r>
      <w:r w:rsidRPr="004C1C0E">
        <w:rPr>
          <w:color w:val="000000"/>
          <w:sz w:val="22"/>
          <w:szCs w:val="22"/>
          <w:u w:val="single"/>
        </w:rPr>
        <w:t>Cash Budget Protection</w:t>
      </w:r>
      <w:r>
        <w:rPr>
          <w:color w:val="000000"/>
          <w:sz w:val="22"/>
          <w:szCs w:val="22"/>
        </w:rPr>
        <w:t xml:space="preserve"> – as special schools above.</w:t>
      </w:r>
    </w:p>
    <w:p w:rsidR="00355873" w:rsidRPr="00BE2009" w:rsidRDefault="00355873" w:rsidP="00355873">
      <w:pPr>
        <w:pStyle w:val="ListParagraph"/>
        <w:ind w:left="360"/>
        <w:jc w:val="both"/>
        <w:rPr>
          <w:sz w:val="22"/>
          <w:szCs w:val="22"/>
        </w:rPr>
      </w:pPr>
    </w:p>
    <w:p w:rsidR="005462B3" w:rsidRDefault="005462B3" w:rsidP="001B416B">
      <w:pPr>
        <w:jc w:val="both"/>
        <w:rPr>
          <w:sz w:val="22"/>
          <w:szCs w:val="22"/>
        </w:rPr>
      </w:pPr>
    </w:p>
    <w:p w:rsidR="00DE345E" w:rsidRPr="000A3DE9" w:rsidRDefault="00DE345E" w:rsidP="00DE345E">
      <w:pPr>
        <w:jc w:val="both"/>
        <w:rPr>
          <w:sz w:val="22"/>
          <w:szCs w:val="22"/>
        </w:rPr>
      </w:pPr>
      <w:r w:rsidRPr="000A3DE9">
        <w:rPr>
          <w:b/>
          <w:sz w:val="22"/>
          <w:szCs w:val="22"/>
          <w:u w:val="single"/>
        </w:rPr>
        <w:t xml:space="preserve">Setting-Led Needs Factors – </w:t>
      </w:r>
      <w:r>
        <w:rPr>
          <w:b/>
          <w:sz w:val="22"/>
          <w:szCs w:val="22"/>
          <w:u w:val="single"/>
        </w:rPr>
        <w:t>Local Authority</w:t>
      </w:r>
      <w:r w:rsidRPr="000A3DE9">
        <w:rPr>
          <w:b/>
          <w:sz w:val="22"/>
          <w:szCs w:val="22"/>
          <w:u w:val="single"/>
        </w:rPr>
        <w:t>-Led Resourced Provisions Mainstream Primary &amp; Secondary Schools and Academies</w:t>
      </w:r>
      <w:r>
        <w:rPr>
          <w:b/>
          <w:sz w:val="22"/>
          <w:szCs w:val="22"/>
          <w:u w:val="single"/>
        </w:rPr>
        <w:t xml:space="preserve"> (both Sensory and SEMH)</w:t>
      </w:r>
    </w:p>
    <w:p w:rsidR="00DE345E" w:rsidRDefault="00DE345E" w:rsidP="00DE345E">
      <w:pPr>
        <w:jc w:val="both"/>
        <w:rPr>
          <w:sz w:val="22"/>
          <w:szCs w:val="22"/>
        </w:rPr>
      </w:pPr>
    </w:p>
    <w:p w:rsidR="00DE345E" w:rsidRDefault="00DE345E" w:rsidP="00DE345E">
      <w:pPr>
        <w:jc w:val="both"/>
        <w:rPr>
          <w:sz w:val="22"/>
          <w:szCs w:val="22"/>
        </w:rPr>
      </w:pPr>
      <w:r>
        <w:rPr>
          <w:sz w:val="22"/>
          <w:szCs w:val="22"/>
        </w:rPr>
        <w:t xml:space="preserve">Please note that the Local Authority retains this </w:t>
      </w:r>
      <w:r w:rsidR="00D32993">
        <w:rPr>
          <w:sz w:val="22"/>
          <w:szCs w:val="22"/>
        </w:rPr>
        <w:t>top-up</w:t>
      </w:r>
      <w:r>
        <w:rPr>
          <w:sz w:val="22"/>
          <w:szCs w:val="22"/>
        </w:rPr>
        <w:t xml:space="preserve"> funding.</w:t>
      </w:r>
    </w:p>
    <w:p w:rsidR="00DE345E" w:rsidRPr="000A3DE9" w:rsidRDefault="00DE345E" w:rsidP="00DE345E">
      <w:pPr>
        <w:jc w:val="both"/>
        <w:rPr>
          <w:sz w:val="22"/>
          <w:szCs w:val="22"/>
        </w:rPr>
      </w:pPr>
    </w:p>
    <w:p w:rsidR="00DE345E" w:rsidRDefault="00DE345E" w:rsidP="00DE345E">
      <w:pPr>
        <w:numPr>
          <w:ilvl w:val="0"/>
          <w:numId w:val="8"/>
        </w:numPr>
        <w:ind w:left="360"/>
        <w:jc w:val="both"/>
        <w:rPr>
          <w:sz w:val="22"/>
          <w:szCs w:val="22"/>
        </w:rPr>
      </w:pPr>
      <w:r w:rsidRPr="0006685B">
        <w:rPr>
          <w:sz w:val="22"/>
          <w:szCs w:val="22"/>
          <w:u w:val="single"/>
        </w:rPr>
        <w:t>Small</w:t>
      </w:r>
      <w:r>
        <w:rPr>
          <w:sz w:val="22"/>
          <w:szCs w:val="22"/>
          <w:u w:val="single"/>
        </w:rPr>
        <w:t xml:space="preserve"> Setting</w:t>
      </w:r>
      <w:r w:rsidRPr="0006685B">
        <w:rPr>
          <w:sz w:val="22"/>
          <w:szCs w:val="22"/>
          <w:u w:val="single"/>
        </w:rPr>
        <w:t xml:space="preserve"> Protection</w:t>
      </w:r>
      <w:r>
        <w:rPr>
          <w:sz w:val="22"/>
          <w:szCs w:val="22"/>
        </w:rPr>
        <w:t xml:space="preserve"> – an additional sum for provisions with fewer than 24 FTE places, to ensure a minimum level of funding for fixed costs. The formula is:</w:t>
      </w:r>
    </w:p>
    <w:p w:rsidR="00DE345E" w:rsidRDefault="00DE345E" w:rsidP="00DE345E">
      <w:pPr>
        <w:pStyle w:val="ListParagraph"/>
        <w:ind w:left="360"/>
        <w:jc w:val="both"/>
        <w:rPr>
          <w:sz w:val="22"/>
          <w:szCs w:val="22"/>
        </w:rPr>
      </w:pPr>
    </w:p>
    <w:p w:rsidR="00DE345E" w:rsidRDefault="00DE345E" w:rsidP="00DE345E">
      <w:pPr>
        <w:jc w:val="both"/>
        <w:rPr>
          <w:sz w:val="22"/>
          <w:szCs w:val="22"/>
        </w:rPr>
      </w:pPr>
      <w:r>
        <w:rPr>
          <w:sz w:val="22"/>
          <w:szCs w:val="22"/>
        </w:rPr>
        <w:tab/>
        <w:t xml:space="preserve">A </w:t>
      </w:r>
      <w:r>
        <w:rPr>
          <w:sz w:val="22"/>
          <w:szCs w:val="22"/>
        </w:rPr>
        <w:tab/>
        <w:t xml:space="preserve">(24 FTE x £10,000 x 20%) </w:t>
      </w:r>
    </w:p>
    <w:p w:rsidR="00DE345E" w:rsidRDefault="00DE345E" w:rsidP="00DE345E">
      <w:pPr>
        <w:jc w:val="both"/>
        <w:rPr>
          <w:sz w:val="22"/>
          <w:szCs w:val="22"/>
        </w:rPr>
      </w:pPr>
      <w:r>
        <w:rPr>
          <w:sz w:val="22"/>
          <w:szCs w:val="22"/>
        </w:rPr>
        <w:tab/>
        <w:t xml:space="preserve">B  </w:t>
      </w:r>
      <w:r>
        <w:rPr>
          <w:sz w:val="22"/>
          <w:szCs w:val="22"/>
        </w:rPr>
        <w:tab/>
        <w:t xml:space="preserve">(setting’s place funding (where each place is worth £10,000) x 20%) </w:t>
      </w:r>
    </w:p>
    <w:p w:rsidR="00DE345E" w:rsidRPr="00133239" w:rsidRDefault="00DE345E" w:rsidP="00DE345E">
      <w:pPr>
        <w:jc w:val="both"/>
        <w:rPr>
          <w:sz w:val="22"/>
          <w:szCs w:val="22"/>
        </w:rPr>
      </w:pPr>
      <w:r>
        <w:rPr>
          <w:sz w:val="22"/>
          <w:szCs w:val="22"/>
        </w:rPr>
        <w:tab/>
        <w:t xml:space="preserve">= </w:t>
      </w:r>
      <w:r w:rsidR="00D32993">
        <w:rPr>
          <w:sz w:val="22"/>
          <w:szCs w:val="22"/>
        </w:rPr>
        <w:t>top-up</w:t>
      </w:r>
      <w:r>
        <w:rPr>
          <w:sz w:val="22"/>
          <w:szCs w:val="22"/>
        </w:rPr>
        <w:t xml:space="preserve"> to the value of A where B is less than A</w:t>
      </w:r>
    </w:p>
    <w:p w:rsidR="00DE345E" w:rsidRDefault="00DE345E" w:rsidP="00DE345E">
      <w:pPr>
        <w:pStyle w:val="ListParagraph"/>
        <w:ind w:left="360"/>
        <w:jc w:val="both"/>
        <w:rPr>
          <w:sz w:val="22"/>
          <w:szCs w:val="22"/>
        </w:rPr>
      </w:pPr>
    </w:p>
    <w:p w:rsidR="00DE345E" w:rsidRPr="00355873" w:rsidRDefault="00DE345E" w:rsidP="00DE345E">
      <w:pPr>
        <w:pStyle w:val="ListParagraph"/>
        <w:numPr>
          <w:ilvl w:val="0"/>
          <w:numId w:val="8"/>
        </w:numPr>
        <w:ind w:left="360"/>
        <w:jc w:val="both"/>
        <w:rPr>
          <w:sz w:val="22"/>
          <w:szCs w:val="22"/>
        </w:rPr>
      </w:pPr>
      <w:r>
        <w:rPr>
          <w:sz w:val="22"/>
          <w:szCs w:val="22"/>
          <w:u w:val="single"/>
        </w:rPr>
        <w:t>New Services Delegation</w:t>
      </w:r>
      <w:r>
        <w:rPr>
          <w:sz w:val="22"/>
          <w:szCs w:val="22"/>
        </w:rPr>
        <w:t xml:space="preserve"> </w:t>
      </w:r>
      <w:r>
        <w:rPr>
          <w:color w:val="000000"/>
          <w:sz w:val="22"/>
          <w:szCs w:val="22"/>
        </w:rPr>
        <w:t xml:space="preserve">– as special schools above. This is allocated because the Authority’s centrally managed services do not access services and funds </w:t>
      </w:r>
      <w:r w:rsidR="00080D04">
        <w:rPr>
          <w:color w:val="000000"/>
          <w:sz w:val="22"/>
          <w:szCs w:val="22"/>
        </w:rPr>
        <w:t xml:space="preserve">that are </w:t>
      </w:r>
      <w:r>
        <w:rPr>
          <w:color w:val="000000"/>
          <w:sz w:val="22"/>
          <w:szCs w:val="22"/>
        </w:rPr>
        <w:t>otherwise funded for school-led resourced provisions through de-delegation within the Schools Block.</w:t>
      </w:r>
    </w:p>
    <w:p w:rsidR="00DE345E" w:rsidRDefault="00DE345E" w:rsidP="00A03632">
      <w:pPr>
        <w:jc w:val="both"/>
        <w:rPr>
          <w:b/>
          <w:sz w:val="22"/>
          <w:szCs w:val="22"/>
          <w:u w:val="single"/>
        </w:rPr>
      </w:pPr>
    </w:p>
    <w:p w:rsidR="00DE345E" w:rsidRDefault="00DE345E" w:rsidP="00A03632">
      <w:pPr>
        <w:jc w:val="both"/>
        <w:rPr>
          <w:b/>
          <w:sz w:val="22"/>
          <w:szCs w:val="22"/>
          <w:u w:val="single"/>
        </w:rPr>
      </w:pPr>
    </w:p>
    <w:p w:rsidR="00A03632" w:rsidRPr="000A3DE9" w:rsidRDefault="00A03632" w:rsidP="00A03632">
      <w:pPr>
        <w:jc w:val="both"/>
        <w:rPr>
          <w:sz w:val="22"/>
          <w:szCs w:val="22"/>
        </w:rPr>
      </w:pPr>
      <w:r w:rsidRPr="000A3DE9">
        <w:rPr>
          <w:b/>
          <w:sz w:val="22"/>
          <w:szCs w:val="22"/>
          <w:u w:val="single"/>
        </w:rPr>
        <w:t>Setting-Led Needs Factors – E</w:t>
      </w:r>
      <w:r w:rsidR="000A3DE9" w:rsidRPr="000A3DE9">
        <w:rPr>
          <w:b/>
          <w:sz w:val="22"/>
          <w:szCs w:val="22"/>
          <w:u w:val="single"/>
        </w:rPr>
        <w:t>arly Years Enhanced Specialist Provisions</w:t>
      </w:r>
    </w:p>
    <w:p w:rsidR="001F06CE" w:rsidRDefault="001F06CE" w:rsidP="001B416B">
      <w:pPr>
        <w:jc w:val="both"/>
        <w:rPr>
          <w:sz w:val="22"/>
          <w:szCs w:val="22"/>
        </w:rPr>
      </w:pPr>
    </w:p>
    <w:p w:rsidR="000A3DE9" w:rsidRPr="00355873" w:rsidRDefault="000A3DE9" w:rsidP="00355873">
      <w:pPr>
        <w:pStyle w:val="ListParagraph"/>
        <w:numPr>
          <w:ilvl w:val="0"/>
          <w:numId w:val="8"/>
        </w:numPr>
        <w:ind w:left="360"/>
        <w:jc w:val="both"/>
        <w:rPr>
          <w:color w:val="000000"/>
          <w:sz w:val="22"/>
          <w:szCs w:val="22"/>
          <w:u w:val="single"/>
        </w:rPr>
      </w:pPr>
      <w:r w:rsidRPr="00355873">
        <w:rPr>
          <w:color w:val="000000"/>
          <w:sz w:val="22"/>
          <w:szCs w:val="22"/>
          <w:u w:val="single"/>
        </w:rPr>
        <w:t xml:space="preserve">Small Setting </w:t>
      </w:r>
      <w:r w:rsidRPr="0046317B">
        <w:rPr>
          <w:color w:val="000000"/>
          <w:sz w:val="22"/>
          <w:szCs w:val="22"/>
          <w:u w:val="single"/>
        </w:rPr>
        <w:t>Protection</w:t>
      </w:r>
      <w:r w:rsidRPr="0046317B">
        <w:rPr>
          <w:color w:val="000000"/>
          <w:sz w:val="22"/>
          <w:szCs w:val="22"/>
        </w:rPr>
        <w:t xml:space="preserve"> –</w:t>
      </w:r>
      <w:r w:rsidR="0046317B" w:rsidRPr="0046317B">
        <w:rPr>
          <w:color w:val="000000"/>
          <w:sz w:val="22"/>
          <w:szCs w:val="22"/>
        </w:rPr>
        <w:t xml:space="preserve"> as</w:t>
      </w:r>
      <w:r w:rsidRPr="0046317B">
        <w:rPr>
          <w:color w:val="000000"/>
          <w:sz w:val="22"/>
          <w:szCs w:val="22"/>
        </w:rPr>
        <w:t xml:space="preserve"> School-Led Resourced Provisions above.</w:t>
      </w:r>
    </w:p>
    <w:p w:rsidR="001F06CE" w:rsidRDefault="001F06CE" w:rsidP="001B416B">
      <w:pPr>
        <w:jc w:val="both"/>
        <w:rPr>
          <w:sz w:val="22"/>
          <w:szCs w:val="22"/>
        </w:rPr>
      </w:pPr>
    </w:p>
    <w:p w:rsidR="00E37FC5" w:rsidRDefault="00E37FC5" w:rsidP="00E37FC5">
      <w:pPr>
        <w:jc w:val="both"/>
        <w:rPr>
          <w:sz w:val="22"/>
          <w:szCs w:val="22"/>
        </w:rPr>
      </w:pPr>
    </w:p>
    <w:p w:rsidR="00C87C73" w:rsidRDefault="00C87C73" w:rsidP="00E37FC5">
      <w:pPr>
        <w:jc w:val="both"/>
        <w:rPr>
          <w:sz w:val="22"/>
          <w:szCs w:val="22"/>
        </w:rPr>
      </w:pPr>
    </w:p>
    <w:p w:rsidR="00C87C73" w:rsidRDefault="00C87C73" w:rsidP="00E37FC5">
      <w:pPr>
        <w:jc w:val="both"/>
        <w:rPr>
          <w:sz w:val="22"/>
          <w:szCs w:val="22"/>
        </w:rPr>
      </w:pPr>
    </w:p>
    <w:p w:rsidR="00C87C73" w:rsidRDefault="00C87C73" w:rsidP="00E37FC5">
      <w:pPr>
        <w:jc w:val="both"/>
        <w:rPr>
          <w:sz w:val="22"/>
          <w:szCs w:val="22"/>
        </w:rPr>
      </w:pPr>
    </w:p>
    <w:p w:rsidR="00C87C73" w:rsidRDefault="00C87C73" w:rsidP="00E37FC5">
      <w:pPr>
        <w:jc w:val="both"/>
        <w:rPr>
          <w:sz w:val="22"/>
          <w:szCs w:val="22"/>
        </w:rPr>
      </w:pPr>
    </w:p>
    <w:p w:rsidR="00C87C73" w:rsidRDefault="00C87C73" w:rsidP="00E37FC5">
      <w:pPr>
        <w:jc w:val="both"/>
        <w:rPr>
          <w:sz w:val="22"/>
          <w:szCs w:val="22"/>
        </w:rPr>
      </w:pPr>
    </w:p>
    <w:p w:rsidR="00C87C73" w:rsidRDefault="00C87C73" w:rsidP="00E37FC5">
      <w:pPr>
        <w:jc w:val="both"/>
        <w:rPr>
          <w:sz w:val="22"/>
          <w:szCs w:val="22"/>
        </w:rPr>
      </w:pPr>
    </w:p>
    <w:p w:rsidR="00C87C73" w:rsidRDefault="00C87C73" w:rsidP="00E37FC5">
      <w:pPr>
        <w:jc w:val="both"/>
        <w:rPr>
          <w:sz w:val="22"/>
          <w:szCs w:val="22"/>
        </w:rPr>
      </w:pPr>
    </w:p>
    <w:p w:rsidR="00C87C73" w:rsidRDefault="00C87C73" w:rsidP="00E37FC5">
      <w:pPr>
        <w:jc w:val="both"/>
        <w:rPr>
          <w:sz w:val="22"/>
          <w:szCs w:val="22"/>
        </w:rPr>
      </w:pPr>
    </w:p>
    <w:p w:rsidR="00C87C73" w:rsidRDefault="00C87C73" w:rsidP="00E37FC5">
      <w:pPr>
        <w:jc w:val="both"/>
        <w:rPr>
          <w:sz w:val="22"/>
          <w:szCs w:val="22"/>
        </w:rPr>
      </w:pPr>
    </w:p>
    <w:p w:rsidR="00C87C73" w:rsidRDefault="00C87C73" w:rsidP="00E37FC5">
      <w:pPr>
        <w:jc w:val="both"/>
        <w:rPr>
          <w:sz w:val="22"/>
          <w:szCs w:val="22"/>
        </w:rPr>
      </w:pPr>
    </w:p>
    <w:p w:rsidR="00C87C73" w:rsidRDefault="00C87C73" w:rsidP="00E37FC5">
      <w:pPr>
        <w:jc w:val="both"/>
        <w:rPr>
          <w:sz w:val="22"/>
          <w:szCs w:val="22"/>
        </w:rPr>
      </w:pPr>
    </w:p>
    <w:p w:rsidR="00C87C73" w:rsidRDefault="00C87C73" w:rsidP="00E37FC5">
      <w:pPr>
        <w:jc w:val="both"/>
        <w:rPr>
          <w:sz w:val="22"/>
          <w:szCs w:val="22"/>
        </w:rPr>
      </w:pPr>
    </w:p>
    <w:p w:rsidR="00C87C73" w:rsidRDefault="00C87C73" w:rsidP="00E37FC5">
      <w:pPr>
        <w:jc w:val="both"/>
        <w:rPr>
          <w:sz w:val="22"/>
          <w:szCs w:val="22"/>
        </w:rPr>
      </w:pPr>
    </w:p>
    <w:p w:rsidR="00C87C73" w:rsidRDefault="00C87C73" w:rsidP="00E37FC5">
      <w:pPr>
        <w:jc w:val="both"/>
        <w:rPr>
          <w:sz w:val="22"/>
          <w:szCs w:val="22"/>
        </w:rPr>
      </w:pPr>
    </w:p>
    <w:p w:rsidR="00C87C73" w:rsidRDefault="00C87C73" w:rsidP="00E37FC5">
      <w:pPr>
        <w:jc w:val="both"/>
        <w:rPr>
          <w:sz w:val="22"/>
          <w:szCs w:val="22"/>
        </w:rPr>
      </w:pPr>
    </w:p>
    <w:p w:rsidR="00C87C73" w:rsidRDefault="00C87C73" w:rsidP="00E37FC5">
      <w:pPr>
        <w:jc w:val="both"/>
        <w:rPr>
          <w:sz w:val="22"/>
          <w:szCs w:val="22"/>
        </w:rPr>
      </w:pPr>
    </w:p>
    <w:p w:rsidR="00C87C73" w:rsidRDefault="00C87C73" w:rsidP="00E37FC5">
      <w:pPr>
        <w:jc w:val="both"/>
        <w:rPr>
          <w:sz w:val="22"/>
          <w:szCs w:val="22"/>
        </w:rPr>
      </w:pPr>
    </w:p>
    <w:p w:rsidR="00C87C73" w:rsidRDefault="00C87C73" w:rsidP="00E37FC5">
      <w:pPr>
        <w:jc w:val="both"/>
        <w:rPr>
          <w:sz w:val="22"/>
          <w:szCs w:val="22"/>
        </w:rPr>
      </w:pPr>
    </w:p>
    <w:p w:rsidR="00C87C73" w:rsidRDefault="00C87C73" w:rsidP="00E37FC5">
      <w:pPr>
        <w:jc w:val="both"/>
        <w:rPr>
          <w:sz w:val="22"/>
          <w:szCs w:val="22"/>
        </w:rPr>
      </w:pPr>
    </w:p>
    <w:p w:rsidR="00C87C73" w:rsidRDefault="00C87C73" w:rsidP="00E37FC5">
      <w:pPr>
        <w:jc w:val="both"/>
        <w:rPr>
          <w:sz w:val="22"/>
          <w:szCs w:val="22"/>
        </w:rPr>
      </w:pPr>
    </w:p>
    <w:p w:rsidR="00C87C73" w:rsidRDefault="00C87C73" w:rsidP="00E37FC5">
      <w:pPr>
        <w:jc w:val="both"/>
        <w:rPr>
          <w:sz w:val="22"/>
          <w:szCs w:val="22"/>
        </w:rPr>
      </w:pPr>
    </w:p>
    <w:p w:rsidR="00C87C73" w:rsidRDefault="00C87C73" w:rsidP="00E37FC5">
      <w:pPr>
        <w:jc w:val="both"/>
        <w:rPr>
          <w:sz w:val="22"/>
          <w:szCs w:val="22"/>
        </w:rPr>
      </w:pPr>
    </w:p>
    <w:p w:rsidR="00C87C73" w:rsidRDefault="00C87C73" w:rsidP="00E37FC5">
      <w:pPr>
        <w:jc w:val="both"/>
        <w:rPr>
          <w:sz w:val="22"/>
          <w:szCs w:val="22"/>
        </w:rPr>
      </w:pPr>
    </w:p>
    <w:p w:rsidR="00C87C73" w:rsidRDefault="00C87C73" w:rsidP="00E37FC5">
      <w:pPr>
        <w:jc w:val="both"/>
        <w:rPr>
          <w:sz w:val="22"/>
          <w:szCs w:val="22"/>
        </w:rPr>
      </w:pPr>
    </w:p>
    <w:p w:rsidR="00C87C73" w:rsidRDefault="00C87C73" w:rsidP="00E37FC5">
      <w:pPr>
        <w:jc w:val="both"/>
        <w:rPr>
          <w:sz w:val="22"/>
          <w:szCs w:val="22"/>
        </w:rPr>
      </w:pPr>
    </w:p>
    <w:p w:rsidR="005356A2" w:rsidRDefault="005356A2" w:rsidP="00E37FC5">
      <w:pPr>
        <w:jc w:val="both"/>
        <w:rPr>
          <w:sz w:val="22"/>
          <w:szCs w:val="22"/>
        </w:rPr>
      </w:pPr>
    </w:p>
    <w:p w:rsidR="005356A2" w:rsidRDefault="005356A2" w:rsidP="00E37FC5">
      <w:pPr>
        <w:jc w:val="both"/>
      </w:pPr>
    </w:p>
    <w:p w:rsidR="006F5C94" w:rsidRDefault="005356A2" w:rsidP="00E37FC5">
      <w:pPr>
        <w:jc w:val="both"/>
        <w:rPr>
          <w:sz w:val="22"/>
          <w:szCs w:val="22"/>
        </w:rPr>
        <w:sectPr w:rsidR="006F5C94" w:rsidSect="00ED7708">
          <w:pgSz w:w="11906" w:h="16838"/>
          <w:pgMar w:top="624" w:right="624" w:bottom="624" w:left="624" w:header="709" w:footer="709" w:gutter="0"/>
          <w:cols w:space="708"/>
          <w:docGrid w:linePitch="360"/>
        </w:sectPr>
      </w:pPr>
      <w:r w:rsidRPr="005356A2">
        <w:rPr>
          <w:noProof/>
        </w:rPr>
        <w:drawing>
          <wp:inline distT="0" distB="0" distL="0" distR="0">
            <wp:extent cx="6767778" cy="100901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70745" cy="10094574"/>
                    </a:xfrm>
                    <a:prstGeom prst="rect">
                      <a:avLst/>
                    </a:prstGeom>
                    <a:noFill/>
                    <a:ln>
                      <a:noFill/>
                    </a:ln>
                  </pic:spPr>
                </pic:pic>
              </a:graphicData>
            </a:graphic>
          </wp:inline>
        </w:drawing>
      </w:r>
    </w:p>
    <w:p w:rsidR="00E6101C" w:rsidRDefault="00E6101C" w:rsidP="00417557">
      <w:pPr>
        <w:rPr>
          <w:b/>
          <w:sz w:val="28"/>
          <w:szCs w:val="28"/>
          <w:u w:val="single"/>
        </w:rPr>
        <w:sectPr w:rsidR="00E6101C" w:rsidSect="00995305">
          <w:footerReference w:type="default" r:id="rId26"/>
          <w:pgSz w:w="11906" w:h="16838" w:code="9"/>
          <w:pgMar w:top="907" w:right="851" w:bottom="907" w:left="851" w:header="567" w:footer="709" w:gutter="0"/>
          <w:cols w:space="708"/>
          <w:docGrid w:linePitch="360"/>
        </w:sectPr>
      </w:pPr>
      <w:bookmarkStart w:id="0" w:name="_GoBack"/>
      <w:bookmarkEnd w:id="0"/>
    </w:p>
    <w:p w:rsidR="007629C4" w:rsidRPr="007A2A6A" w:rsidRDefault="00E6101C" w:rsidP="005356A2">
      <w:pPr>
        <w:jc w:val="center"/>
        <w:rPr>
          <w:b/>
          <w:sz w:val="28"/>
          <w:szCs w:val="28"/>
          <w:u w:val="single"/>
        </w:rPr>
      </w:pPr>
      <w:r>
        <w:rPr>
          <w:b/>
          <w:sz w:val="28"/>
          <w:szCs w:val="28"/>
          <w:u w:val="single"/>
        </w:rPr>
        <w:t>Appendix 6</w:t>
      </w:r>
      <w:r w:rsidR="002D189F" w:rsidRPr="00BE792B">
        <w:rPr>
          <w:b/>
          <w:sz w:val="28"/>
          <w:szCs w:val="28"/>
          <w:u w:val="single"/>
        </w:rPr>
        <w:t xml:space="preserve"> - </w:t>
      </w:r>
      <w:r w:rsidR="007629C4" w:rsidRPr="00BE792B">
        <w:rPr>
          <w:b/>
          <w:sz w:val="28"/>
          <w:szCs w:val="28"/>
          <w:u w:val="single"/>
        </w:rPr>
        <w:t>RESPONSES FORM</w:t>
      </w:r>
    </w:p>
    <w:p w:rsidR="007629C4" w:rsidRDefault="007629C4" w:rsidP="007629C4">
      <w:pPr>
        <w:jc w:val="center"/>
        <w:rPr>
          <w:b/>
          <w:sz w:val="28"/>
          <w:szCs w:val="28"/>
          <w:u w:val="single"/>
        </w:rPr>
      </w:pPr>
    </w:p>
    <w:p w:rsidR="007629C4" w:rsidRPr="00B74359" w:rsidRDefault="007629C4" w:rsidP="007629C4">
      <w:pPr>
        <w:jc w:val="center"/>
        <w:rPr>
          <w:b/>
          <w:sz w:val="28"/>
          <w:szCs w:val="28"/>
          <w:u w:val="single"/>
        </w:rPr>
      </w:pPr>
      <w:r w:rsidRPr="00B74359">
        <w:rPr>
          <w:b/>
          <w:sz w:val="28"/>
          <w:szCs w:val="28"/>
          <w:u w:val="single"/>
        </w:rPr>
        <w:t xml:space="preserve">Consultation on </w:t>
      </w:r>
      <w:r>
        <w:rPr>
          <w:b/>
          <w:sz w:val="28"/>
          <w:szCs w:val="28"/>
          <w:u w:val="single"/>
        </w:rPr>
        <w:t>F</w:t>
      </w:r>
      <w:r w:rsidR="00CA245F">
        <w:rPr>
          <w:b/>
          <w:sz w:val="28"/>
          <w:szCs w:val="28"/>
          <w:u w:val="single"/>
        </w:rPr>
        <w:t>unding High Needs Provision 2023/24</w:t>
      </w:r>
    </w:p>
    <w:p w:rsidR="007629C4" w:rsidRPr="00406CDD" w:rsidRDefault="007629C4" w:rsidP="007629C4">
      <w:pPr>
        <w:jc w:val="center"/>
        <w:rPr>
          <w:rFonts w:cs="Arial"/>
          <w:b/>
          <w:sz w:val="32"/>
          <w:szCs w:val="32"/>
          <w:u w:val="single"/>
        </w:rPr>
      </w:pPr>
    </w:p>
    <w:p w:rsidR="00CA245F" w:rsidRPr="00F6149C" w:rsidRDefault="00CA245F" w:rsidP="00CA245F">
      <w:pPr>
        <w:jc w:val="both"/>
        <w:rPr>
          <w:b/>
          <w:bCs/>
          <w:color w:val="FF0000"/>
          <w:sz w:val="22"/>
          <w:szCs w:val="22"/>
        </w:rPr>
      </w:pPr>
      <w:r w:rsidRPr="00092B92">
        <w:rPr>
          <w:b/>
        </w:rPr>
        <w:t xml:space="preserve">This form </w:t>
      </w:r>
      <w:r w:rsidRPr="00092B92">
        <w:rPr>
          <w:b/>
          <w:bCs/>
          <w:sz w:val="22"/>
          <w:szCs w:val="22"/>
        </w:rPr>
        <w:t xml:space="preserve">can be used to submit your response. However, this year we have introduced a web-based questionnaire, which we encourage you to use to submit your response, instead of using this paper form. Please access the web-based questionnaire </w:t>
      </w:r>
      <w:hyperlink r:id="rId27" w:history="1">
        <w:r w:rsidRPr="002C30BA">
          <w:rPr>
            <w:rStyle w:val="Hyperlink"/>
            <w:b/>
            <w:bCs/>
            <w:sz w:val="22"/>
            <w:szCs w:val="22"/>
          </w:rPr>
          <w:t>here</w:t>
        </w:r>
      </w:hyperlink>
      <w:r w:rsidR="002C30BA" w:rsidRPr="002C30BA">
        <w:rPr>
          <w:b/>
          <w:bCs/>
          <w:sz w:val="22"/>
          <w:szCs w:val="22"/>
        </w:rPr>
        <w:t>.</w:t>
      </w:r>
    </w:p>
    <w:p w:rsidR="00CA245F" w:rsidRDefault="00CA245F" w:rsidP="007629C4">
      <w:pPr>
        <w:jc w:val="both"/>
        <w:rPr>
          <w:rFonts w:cs="Arial"/>
          <w:b/>
          <w:u w:val="single"/>
        </w:rPr>
      </w:pPr>
    </w:p>
    <w:p w:rsidR="00CA245F" w:rsidRDefault="00CA245F" w:rsidP="007629C4">
      <w:pPr>
        <w:jc w:val="both"/>
        <w:rPr>
          <w:rFonts w:cs="Arial"/>
          <w:b/>
          <w:u w:val="single"/>
        </w:rPr>
      </w:pPr>
    </w:p>
    <w:p w:rsidR="007629C4" w:rsidRPr="00B74359" w:rsidRDefault="007629C4" w:rsidP="007629C4">
      <w:pPr>
        <w:jc w:val="both"/>
        <w:rPr>
          <w:rFonts w:cs="Arial"/>
          <w:sz w:val="22"/>
          <w:szCs w:val="22"/>
        </w:rPr>
      </w:pPr>
      <w:r w:rsidRPr="00B74359">
        <w:rPr>
          <w:rFonts w:cs="Arial"/>
          <w:sz w:val="22"/>
          <w:szCs w:val="22"/>
        </w:rPr>
        <w:t xml:space="preserve">Name </w:t>
      </w:r>
      <w:r>
        <w:rPr>
          <w:rFonts w:cs="Arial"/>
          <w:sz w:val="22"/>
          <w:szCs w:val="22"/>
        </w:rPr>
        <w:t>_____________________________</w:t>
      </w:r>
      <w:r>
        <w:rPr>
          <w:rFonts w:cs="Arial"/>
          <w:sz w:val="22"/>
          <w:szCs w:val="22"/>
        </w:rPr>
        <w:tab/>
        <w:t xml:space="preserve">Setting Name </w:t>
      </w:r>
      <w:r w:rsidRPr="00B74359">
        <w:rPr>
          <w:rFonts w:cs="Arial"/>
          <w:sz w:val="22"/>
          <w:szCs w:val="22"/>
        </w:rPr>
        <w:t>__</w:t>
      </w:r>
      <w:r>
        <w:rPr>
          <w:rFonts w:cs="Arial"/>
          <w:sz w:val="22"/>
          <w:szCs w:val="22"/>
        </w:rPr>
        <w:t>_______________________________</w:t>
      </w:r>
    </w:p>
    <w:p w:rsidR="007629C4" w:rsidRPr="00A70F31" w:rsidRDefault="007629C4" w:rsidP="007629C4">
      <w:pPr>
        <w:jc w:val="both"/>
        <w:rPr>
          <w:rFonts w:cs="Arial"/>
          <w:b/>
          <w:sz w:val="16"/>
          <w:szCs w:val="16"/>
          <w:u w:val="single"/>
        </w:rPr>
      </w:pPr>
    </w:p>
    <w:p w:rsidR="007629C4" w:rsidRPr="00A70F31" w:rsidRDefault="007629C4" w:rsidP="007629C4">
      <w:pPr>
        <w:jc w:val="center"/>
        <w:rPr>
          <w:rFonts w:cs="Arial"/>
          <w:b/>
          <w:color w:val="FF0000"/>
          <w:sz w:val="16"/>
          <w:szCs w:val="16"/>
        </w:rPr>
      </w:pPr>
    </w:p>
    <w:p w:rsidR="007629C4" w:rsidRPr="00B74359" w:rsidRDefault="007629C4" w:rsidP="007629C4">
      <w:pPr>
        <w:jc w:val="center"/>
        <w:rPr>
          <w:rFonts w:cs="Arial"/>
          <w:b/>
          <w:color w:val="FF0000"/>
          <w:sz w:val="22"/>
          <w:szCs w:val="22"/>
        </w:rPr>
      </w:pPr>
      <w:r>
        <w:rPr>
          <w:rFonts w:cs="Arial"/>
          <w:b/>
          <w:color w:val="FF0000"/>
          <w:sz w:val="22"/>
          <w:szCs w:val="22"/>
        </w:rPr>
        <w:t xml:space="preserve">THE </w:t>
      </w:r>
      <w:r w:rsidRPr="00B74359">
        <w:rPr>
          <w:rFonts w:cs="Arial"/>
          <w:b/>
          <w:color w:val="FF0000"/>
          <w:sz w:val="22"/>
          <w:szCs w:val="22"/>
        </w:rPr>
        <w:t>DEADLINE FOR RESPONSES TO THIS CONSULTATI</w:t>
      </w:r>
      <w:r w:rsidR="00CA245F">
        <w:rPr>
          <w:rFonts w:cs="Arial"/>
          <w:b/>
          <w:color w:val="FF0000"/>
          <w:sz w:val="22"/>
          <w:szCs w:val="22"/>
        </w:rPr>
        <w:t>ON IS TUESDAY 29</w:t>
      </w:r>
      <w:r w:rsidR="000D04FA">
        <w:rPr>
          <w:rFonts w:cs="Arial"/>
          <w:b/>
          <w:color w:val="FF0000"/>
          <w:sz w:val="22"/>
          <w:szCs w:val="22"/>
        </w:rPr>
        <w:t xml:space="preserve"> </w:t>
      </w:r>
      <w:r w:rsidR="00CA245F">
        <w:rPr>
          <w:rFonts w:cs="Arial"/>
          <w:b/>
          <w:color w:val="FF0000"/>
          <w:sz w:val="22"/>
          <w:szCs w:val="22"/>
        </w:rPr>
        <w:t>NOVEMBER 2022</w:t>
      </w:r>
    </w:p>
    <w:p w:rsidR="007629C4" w:rsidRPr="00A70F31" w:rsidRDefault="007629C4" w:rsidP="007629C4">
      <w:pPr>
        <w:jc w:val="both"/>
        <w:rPr>
          <w:rFonts w:cs="Arial"/>
          <w:sz w:val="16"/>
          <w:szCs w:val="16"/>
        </w:rPr>
      </w:pPr>
    </w:p>
    <w:p w:rsidR="007629C4" w:rsidRPr="00A70F31" w:rsidRDefault="007629C4" w:rsidP="007629C4">
      <w:pPr>
        <w:jc w:val="both"/>
        <w:rPr>
          <w:rFonts w:cs="Arial"/>
          <w:sz w:val="16"/>
          <w:szCs w:val="16"/>
        </w:rPr>
      </w:pPr>
    </w:p>
    <w:p w:rsidR="007629C4" w:rsidRDefault="007629C4" w:rsidP="007629C4">
      <w:pPr>
        <w:jc w:val="both"/>
        <w:rPr>
          <w:rFonts w:cs="Arial"/>
        </w:rPr>
      </w:pPr>
      <w:r>
        <w:rPr>
          <w:rFonts w:cs="Arial"/>
        </w:rPr>
        <w:t>Please send completed questionnaire responses to:</w:t>
      </w:r>
    </w:p>
    <w:p w:rsidR="007629C4" w:rsidRDefault="007629C4" w:rsidP="007629C4">
      <w:pPr>
        <w:jc w:val="both"/>
        <w:rPr>
          <w:rFonts w:cs="Arial"/>
        </w:rPr>
      </w:pPr>
    </w:p>
    <w:p w:rsidR="007629C4" w:rsidRDefault="007629C4" w:rsidP="007629C4">
      <w:pPr>
        <w:jc w:val="both"/>
        <w:rPr>
          <w:rFonts w:cs="Arial"/>
        </w:rPr>
      </w:pPr>
      <w:r>
        <w:rPr>
          <w:rFonts w:cs="Arial"/>
        </w:rPr>
        <w:t>School Funding Team</w:t>
      </w:r>
    </w:p>
    <w:p w:rsidR="007629C4" w:rsidRDefault="007629C4" w:rsidP="007629C4">
      <w:pPr>
        <w:jc w:val="both"/>
        <w:rPr>
          <w:rFonts w:cs="Arial"/>
        </w:rPr>
      </w:pPr>
      <w:r>
        <w:rPr>
          <w:rFonts w:cs="Arial"/>
        </w:rPr>
        <w:t>City of Bradford Metropolitan District Council</w:t>
      </w:r>
    </w:p>
    <w:p w:rsidR="007629C4" w:rsidRDefault="007629C4" w:rsidP="007629C4">
      <w:pPr>
        <w:jc w:val="both"/>
        <w:rPr>
          <w:rFonts w:cs="Arial"/>
        </w:rPr>
      </w:pPr>
      <w:r>
        <w:rPr>
          <w:rFonts w:cs="Arial"/>
        </w:rPr>
        <w:t>1st Floor, Britannia House,</w:t>
      </w:r>
    </w:p>
    <w:p w:rsidR="007629C4" w:rsidRDefault="007629C4" w:rsidP="007629C4">
      <w:pPr>
        <w:jc w:val="both"/>
        <w:rPr>
          <w:rFonts w:cs="Arial"/>
        </w:rPr>
      </w:pPr>
      <w:r>
        <w:rPr>
          <w:rFonts w:cs="Arial"/>
        </w:rPr>
        <w:t>Hall Ings</w:t>
      </w:r>
    </w:p>
    <w:p w:rsidR="007629C4" w:rsidRDefault="007629C4" w:rsidP="007629C4">
      <w:pPr>
        <w:jc w:val="both"/>
        <w:rPr>
          <w:rFonts w:cs="Arial"/>
        </w:rPr>
      </w:pPr>
      <w:r>
        <w:rPr>
          <w:rFonts w:cs="Arial"/>
        </w:rPr>
        <w:t>Bradford</w:t>
      </w:r>
    </w:p>
    <w:p w:rsidR="007629C4" w:rsidRDefault="007629C4" w:rsidP="007629C4">
      <w:pPr>
        <w:jc w:val="both"/>
        <w:rPr>
          <w:rFonts w:cs="Arial"/>
        </w:rPr>
      </w:pPr>
      <w:r>
        <w:rPr>
          <w:rFonts w:cs="Arial"/>
        </w:rPr>
        <w:t>BD1 1HX</w:t>
      </w:r>
    </w:p>
    <w:p w:rsidR="007629C4" w:rsidRDefault="007629C4" w:rsidP="007629C4">
      <w:pPr>
        <w:jc w:val="both"/>
        <w:rPr>
          <w:rFonts w:cs="Arial"/>
        </w:rPr>
      </w:pPr>
    </w:p>
    <w:p w:rsidR="007629C4" w:rsidRDefault="00BE792B" w:rsidP="007629C4">
      <w:pPr>
        <w:jc w:val="both"/>
        <w:rPr>
          <w:rFonts w:cs="Arial"/>
        </w:rPr>
      </w:pPr>
      <w:r>
        <w:rPr>
          <w:rFonts w:cs="Arial"/>
        </w:rPr>
        <w:t xml:space="preserve">Tel: </w:t>
      </w:r>
      <w:r>
        <w:rPr>
          <w:rFonts w:cs="Arial"/>
        </w:rPr>
        <w:tab/>
        <w:t>01274 433775</w:t>
      </w:r>
    </w:p>
    <w:p w:rsidR="007629C4" w:rsidRDefault="007629C4" w:rsidP="007629C4">
      <w:pPr>
        <w:jc w:val="both"/>
        <w:rPr>
          <w:rFonts w:cs="Arial"/>
        </w:rPr>
      </w:pPr>
      <w:r>
        <w:rPr>
          <w:rFonts w:cs="Arial"/>
        </w:rPr>
        <w:t xml:space="preserve">Email: </w:t>
      </w:r>
      <w:r>
        <w:rPr>
          <w:rFonts w:cs="Arial"/>
        </w:rPr>
        <w:tab/>
      </w:r>
      <w:hyperlink r:id="rId28" w:history="1">
        <w:r w:rsidR="00BE792B" w:rsidRPr="00B06874">
          <w:rPr>
            <w:rStyle w:val="Hyperlink"/>
            <w:rFonts w:cs="Arial"/>
          </w:rPr>
          <w:t>dawn.haigh@bradford.gov.uk</w:t>
        </w:r>
      </w:hyperlink>
    </w:p>
    <w:p w:rsidR="00BE792B" w:rsidRDefault="00BE792B" w:rsidP="007629C4">
      <w:pPr>
        <w:jc w:val="both"/>
        <w:rPr>
          <w:rFonts w:cs="Arial"/>
        </w:rPr>
      </w:pPr>
    </w:p>
    <w:p w:rsidR="007629C4" w:rsidRPr="00A70F31" w:rsidRDefault="007629C4" w:rsidP="007629C4">
      <w:pPr>
        <w:jc w:val="both"/>
        <w:rPr>
          <w:rFonts w:cs="Arial"/>
          <w:sz w:val="16"/>
          <w:szCs w:val="16"/>
        </w:rPr>
      </w:pPr>
    </w:p>
    <w:p w:rsidR="007629C4" w:rsidRDefault="007629C4" w:rsidP="007629C4">
      <w:pPr>
        <w:jc w:val="both"/>
        <w:rPr>
          <w:rFonts w:cs="Arial"/>
        </w:rPr>
      </w:pPr>
      <w:r>
        <w:rPr>
          <w:rFonts w:cs="Arial"/>
        </w:rPr>
        <w:t>Please complete the questionnaire by marking the appropriate boxes. There is a space below each question for you to record comments.</w:t>
      </w:r>
    </w:p>
    <w:p w:rsidR="007629C4" w:rsidRPr="00246EEE" w:rsidRDefault="007629C4" w:rsidP="007629C4">
      <w:pPr>
        <w:jc w:val="both"/>
        <w:rPr>
          <w:rFonts w:cs="Arial"/>
        </w:rPr>
      </w:pPr>
    </w:p>
    <w:p w:rsidR="007629C4" w:rsidRPr="009E4371" w:rsidRDefault="007629C4" w:rsidP="007629C4">
      <w:pPr>
        <w:jc w:val="both"/>
        <w:rPr>
          <w:rFonts w:cs="Arial"/>
        </w:rPr>
      </w:pPr>
      <w:r>
        <w:rPr>
          <w:rFonts w:cs="Arial"/>
          <w:noProof/>
        </w:rPr>
        <mc:AlternateContent>
          <mc:Choice Requires="wps">
            <w:drawing>
              <wp:anchor distT="0" distB="0" distL="114300" distR="114300" simplePos="0" relativeHeight="251659264" behindDoc="0" locked="0" layoutInCell="1" allowOverlap="1" wp14:anchorId="4A0DFAFC" wp14:editId="1562613A">
                <wp:simplePos x="0" y="0"/>
                <wp:positionH relativeFrom="column">
                  <wp:posOffset>0</wp:posOffset>
                </wp:positionH>
                <wp:positionV relativeFrom="paragraph">
                  <wp:posOffset>45720</wp:posOffset>
                </wp:positionV>
                <wp:extent cx="6743700" cy="0"/>
                <wp:effectExtent l="19050" t="17145" r="19050" b="20955"/>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627B4"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53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oevFAIAACo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" strokeweight="2.25pt"/>
            </w:pict>
          </mc:Fallback>
        </mc:AlternateContent>
      </w:r>
    </w:p>
    <w:p w:rsidR="007629C4" w:rsidRDefault="007629C4" w:rsidP="007629C4">
      <w:pPr>
        <w:jc w:val="both"/>
        <w:rPr>
          <w:b/>
          <w:color w:val="0000FF"/>
          <w:sz w:val="22"/>
          <w:szCs w:val="22"/>
        </w:rPr>
      </w:pPr>
    </w:p>
    <w:p w:rsidR="006B5AEB" w:rsidRPr="006B5AEB" w:rsidRDefault="006B5AEB" w:rsidP="006B5AEB">
      <w:pPr>
        <w:jc w:val="both"/>
        <w:rPr>
          <w:b/>
          <w:color w:val="0000FF"/>
          <w:sz w:val="22"/>
          <w:szCs w:val="22"/>
        </w:rPr>
      </w:pPr>
      <w:r w:rsidRPr="006B5AEB">
        <w:rPr>
          <w:b/>
          <w:color w:val="0000FF"/>
          <w:sz w:val="22"/>
          <w:szCs w:val="22"/>
        </w:rPr>
        <w:t xml:space="preserve">Question 1 – Do you agree with </w:t>
      </w:r>
      <w:r w:rsidR="00686AB6">
        <w:rPr>
          <w:b/>
          <w:color w:val="0000FF"/>
          <w:sz w:val="22"/>
          <w:szCs w:val="22"/>
        </w:rPr>
        <w:t xml:space="preserve">the </w:t>
      </w:r>
      <w:r w:rsidRPr="006B5AEB">
        <w:rPr>
          <w:b/>
          <w:color w:val="0000FF"/>
          <w:sz w:val="22"/>
          <w:szCs w:val="22"/>
        </w:rPr>
        <w:t>approach that is proposed for uplifting the va</w:t>
      </w:r>
      <w:r w:rsidR="00F84DB6">
        <w:rPr>
          <w:b/>
          <w:color w:val="0000FF"/>
          <w:sz w:val="22"/>
          <w:szCs w:val="22"/>
        </w:rPr>
        <w:t xml:space="preserve">lues </w:t>
      </w:r>
      <w:r w:rsidR="00A2073D">
        <w:rPr>
          <w:b/>
          <w:color w:val="0000FF"/>
          <w:sz w:val="22"/>
          <w:szCs w:val="22"/>
        </w:rPr>
        <w:t>of the EHCP Banded Model in 2023/24</w:t>
      </w:r>
      <w:r w:rsidRPr="006B5AEB">
        <w:rPr>
          <w:b/>
          <w:color w:val="0000FF"/>
          <w:sz w:val="22"/>
          <w:szCs w:val="22"/>
        </w:rPr>
        <w:t>? If not, please can you explain why not.</w:t>
      </w:r>
    </w:p>
    <w:p w:rsidR="007629C4" w:rsidRDefault="007629C4" w:rsidP="007629C4">
      <w:pPr>
        <w:pStyle w:val="ListParagraph"/>
        <w:ind w:left="0"/>
        <w:jc w:val="both"/>
        <w:rPr>
          <w:b/>
          <w:color w:val="0000FF"/>
          <w:sz w:val="22"/>
          <w:szCs w:val="22"/>
        </w:rPr>
      </w:pPr>
    </w:p>
    <w:p w:rsidR="007629C4" w:rsidRDefault="007629C4" w:rsidP="007629C4">
      <w:pPr>
        <w:pStyle w:val="ListParagraph"/>
        <w:ind w:left="0"/>
        <w:jc w:val="both"/>
        <w:rPr>
          <w:b/>
          <w:color w:val="0000FF"/>
          <w:sz w:val="22"/>
          <w:szCs w:val="22"/>
        </w:rPr>
      </w:pPr>
      <w:r>
        <w:rPr>
          <w:rFonts w:cs="Arial"/>
          <w:b/>
          <w:color w:val="0000FF"/>
        </w:rPr>
        <w:t>Strongly Agree</w:t>
      </w:r>
      <w:r>
        <w:rPr>
          <w:rFonts w:cs="Arial"/>
          <w:b/>
          <w:color w:val="0000FF"/>
        </w:rPr>
        <w:tab/>
        <w:t xml:space="preserve">     </w:t>
      </w:r>
      <w:r>
        <w:rPr>
          <w:rFonts w:cs="Arial"/>
          <w:b/>
          <w:color w:val="0000FF"/>
        </w:rPr>
        <w:fldChar w:fldCharType="begin">
          <w:ffData>
            <w:name w:val=""/>
            <w:enabled/>
            <w:calcOnExit w:val="0"/>
            <w:checkBox>
              <w:size w:val="26"/>
              <w:default w:val="0"/>
            </w:checkBox>
          </w:ffData>
        </w:fldChar>
      </w:r>
      <w:r>
        <w:rPr>
          <w:rFonts w:cs="Arial"/>
          <w:b/>
          <w:color w:val="0000FF"/>
        </w:rPr>
        <w:instrText xml:space="preserve"> FORMCHECKBOX </w:instrText>
      </w:r>
      <w:r w:rsidR="00DE0467">
        <w:rPr>
          <w:rFonts w:cs="Arial"/>
          <w:b/>
          <w:color w:val="0000FF"/>
        </w:rPr>
      </w:r>
      <w:r w:rsidR="00DE0467">
        <w:rPr>
          <w:rFonts w:cs="Arial"/>
          <w:b/>
          <w:color w:val="0000FF"/>
        </w:rPr>
        <w:fldChar w:fldCharType="separate"/>
      </w:r>
      <w:r>
        <w:rPr>
          <w:rFonts w:cs="Arial"/>
          <w:b/>
          <w:color w:val="0000FF"/>
        </w:rPr>
        <w:fldChar w:fldCharType="end"/>
      </w:r>
      <w:r>
        <w:rPr>
          <w:rFonts w:cs="Arial"/>
          <w:b/>
          <w:color w:val="0000FF"/>
        </w:rPr>
        <w:tab/>
        <w:t xml:space="preserve">        On Balance Agree (some reservations)</w:t>
      </w:r>
      <w:r>
        <w:rPr>
          <w:rFonts w:cs="Arial"/>
          <w:b/>
          <w:color w:val="0000FF"/>
        </w:rPr>
        <w:tab/>
      </w:r>
      <w:r>
        <w:rPr>
          <w:rFonts w:cs="Arial"/>
          <w:b/>
          <w:color w:val="0000FF"/>
        </w:rPr>
        <w:fldChar w:fldCharType="begin">
          <w:ffData>
            <w:name w:val="Check1"/>
            <w:enabled/>
            <w:calcOnExit w:val="0"/>
            <w:checkBox>
              <w:size w:val="26"/>
              <w:default w:val="0"/>
            </w:checkBox>
          </w:ffData>
        </w:fldChar>
      </w:r>
      <w:r>
        <w:rPr>
          <w:rFonts w:cs="Arial"/>
          <w:b/>
          <w:color w:val="0000FF"/>
        </w:rPr>
        <w:instrText xml:space="preserve"> FORMCHECKBOX </w:instrText>
      </w:r>
      <w:r w:rsidR="00DE0467">
        <w:rPr>
          <w:rFonts w:cs="Arial"/>
          <w:b/>
          <w:color w:val="0000FF"/>
        </w:rPr>
      </w:r>
      <w:r w:rsidR="00DE0467">
        <w:rPr>
          <w:rFonts w:cs="Arial"/>
          <w:b/>
          <w:color w:val="0000FF"/>
        </w:rPr>
        <w:fldChar w:fldCharType="separate"/>
      </w:r>
      <w:r>
        <w:rPr>
          <w:rFonts w:cs="Arial"/>
          <w:b/>
          <w:color w:val="0000FF"/>
        </w:rPr>
        <w:fldChar w:fldCharType="end"/>
      </w:r>
      <w:r>
        <w:rPr>
          <w:rFonts w:cs="Arial"/>
          <w:b/>
          <w:color w:val="0000FF"/>
        </w:rPr>
        <w:t xml:space="preserve">  </w:t>
      </w:r>
      <w:r>
        <w:rPr>
          <w:rFonts w:cs="Arial"/>
          <w:b/>
          <w:color w:val="0000FF"/>
        </w:rPr>
        <w:tab/>
        <w:t>Strongly Disagree</w:t>
      </w:r>
      <w:r>
        <w:rPr>
          <w:rFonts w:cs="Arial"/>
          <w:b/>
          <w:color w:val="0000FF"/>
        </w:rPr>
        <w:tab/>
      </w:r>
      <w:r>
        <w:rPr>
          <w:rFonts w:cs="Arial"/>
          <w:b/>
          <w:color w:val="0000FF"/>
        </w:rPr>
        <w:fldChar w:fldCharType="begin">
          <w:ffData>
            <w:name w:val="Check2"/>
            <w:enabled/>
            <w:calcOnExit w:val="0"/>
            <w:checkBox>
              <w:size w:val="26"/>
              <w:default w:val="0"/>
            </w:checkBox>
          </w:ffData>
        </w:fldChar>
      </w:r>
      <w:r>
        <w:rPr>
          <w:rFonts w:cs="Arial"/>
          <w:b/>
          <w:color w:val="0000FF"/>
        </w:rPr>
        <w:instrText xml:space="preserve"> FORMCHECKBOX </w:instrText>
      </w:r>
      <w:r w:rsidR="00DE0467">
        <w:rPr>
          <w:rFonts w:cs="Arial"/>
          <w:b/>
          <w:color w:val="0000FF"/>
        </w:rPr>
      </w:r>
      <w:r w:rsidR="00DE0467">
        <w:rPr>
          <w:rFonts w:cs="Arial"/>
          <w:b/>
          <w:color w:val="0000FF"/>
        </w:rPr>
        <w:fldChar w:fldCharType="separate"/>
      </w:r>
      <w:r>
        <w:rPr>
          <w:rFonts w:cs="Arial"/>
          <w:b/>
          <w:color w:val="0000FF"/>
        </w:rPr>
        <w:fldChar w:fldCharType="end"/>
      </w:r>
      <w:r>
        <w:rPr>
          <w:rFonts w:cs="Arial"/>
          <w:b/>
          <w:color w:val="0000FF"/>
        </w:rPr>
        <w:tab/>
      </w:r>
    </w:p>
    <w:p w:rsidR="007629C4" w:rsidRDefault="007629C4" w:rsidP="007629C4">
      <w:pPr>
        <w:jc w:val="both"/>
        <w:rPr>
          <w:rFonts w:cs="Arial"/>
          <w:b/>
          <w:color w:val="0000FF"/>
        </w:rPr>
      </w:pPr>
      <w:r>
        <w:rPr>
          <w:rFonts w:cs="Arial"/>
          <w:b/>
          <w:noProof/>
          <w:color w:val="0000FF"/>
        </w:rPr>
        <mc:AlternateContent>
          <mc:Choice Requires="wps">
            <w:drawing>
              <wp:anchor distT="0" distB="0" distL="114300" distR="114300" simplePos="0" relativeHeight="251663360" behindDoc="0" locked="0" layoutInCell="1" allowOverlap="1" wp14:anchorId="7A38B313" wp14:editId="6C3AEB44">
                <wp:simplePos x="0" y="0"/>
                <wp:positionH relativeFrom="column">
                  <wp:posOffset>2540</wp:posOffset>
                </wp:positionH>
                <wp:positionV relativeFrom="paragraph">
                  <wp:posOffset>107314</wp:posOffset>
                </wp:positionV>
                <wp:extent cx="6400800" cy="1609725"/>
                <wp:effectExtent l="0" t="0" r="19050" b="2857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09725"/>
                        </a:xfrm>
                        <a:prstGeom prst="rect">
                          <a:avLst/>
                        </a:prstGeom>
                        <a:solidFill>
                          <a:srgbClr val="FFFFFF"/>
                        </a:solidFill>
                        <a:ln w="9525">
                          <a:solidFill>
                            <a:srgbClr val="0000FF"/>
                          </a:solidFill>
                          <a:miter lim="800000"/>
                          <a:headEnd/>
                          <a:tailEnd/>
                        </a:ln>
                      </wps:spPr>
                      <wps:txbx>
                        <w:txbxContent>
                          <w:p w:rsidR="009867AE" w:rsidRPr="00B102E7" w:rsidRDefault="009867AE" w:rsidP="007629C4">
                            <w:pPr>
                              <w:rPr>
                                <w:color w:val="0000FF"/>
                              </w:rPr>
                            </w:pPr>
                            <w:r w:rsidRPr="00B102E7">
                              <w:rPr>
                                <w:color w:val="0000FF"/>
                              </w:rPr>
                              <w:t>If not, please provide further explanation here:</w:t>
                            </w:r>
                          </w:p>
                          <w:p w:rsidR="009867AE" w:rsidRDefault="009867AE" w:rsidP="007629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8B313" id="_x0000_t202" coordsize="21600,21600" o:spt="202" path="m,l,21600r21600,l21600,xe">
                <v:stroke joinstyle="miter"/>
                <v:path gradientshapeok="t" o:connecttype="rect"/>
              </v:shapetype>
              <v:shape id="Text Box 10" o:spid="_x0000_s1026" type="#_x0000_t202" style="position:absolute;left:0;text-align:left;margin-left:.2pt;margin-top:8.45pt;width:7in;height:12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" strokecolor="blue">
                <v:textbox>
                  <w:txbxContent>
                    <w:p w:rsidR="009867AE" w:rsidRPr="00B102E7" w:rsidRDefault="009867AE" w:rsidP="007629C4">
                      <w:pPr>
                        <w:rPr>
                          <w:color w:val="0000FF"/>
                        </w:rPr>
                      </w:pPr>
                      <w:r w:rsidRPr="00B102E7">
                        <w:rPr>
                          <w:color w:val="0000FF"/>
                        </w:rPr>
                        <w:t>If not, please provide further explanation here:</w:t>
                      </w:r>
                    </w:p>
                    <w:p w:rsidR="009867AE" w:rsidRDefault="009867AE" w:rsidP="007629C4"/>
                  </w:txbxContent>
                </v:textbox>
              </v:shape>
            </w:pict>
          </mc:Fallback>
        </mc:AlternateContent>
      </w:r>
    </w:p>
    <w:p w:rsidR="007629C4" w:rsidRPr="00DE1A1C"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Pr="00597C8C" w:rsidRDefault="007629C4" w:rsidP="007629C4">
      <w:pPr>
        <w:jc w:val="both"/>
        <w:rPr>
          <w:b/>
          <w:color w:val="0000FF"/>
          <w:sz w:val="16"/>
          <w:szCs w:val="16"/>
        </w:rPr>
      </w:pPr>
    </w:p>
    <w:p w:rsidR="006B5AEB" w:rsidRPr="006B5AEB" w:rsidRDefault="006B5AEB" w:rsidP="006B5AEB">
      <w:pPr>
        <w:jc w:val="both"/>
        <w:rPr>
          <w:b/>
          <w:color w:val="0000FF"/>
          <w:sz w:val="22"/>
          <w:szCs w:val="22"/>
        </w:rPr>
      </w:pPr>
      <w:r w:rsidRPr="006B5AEB">
        <w:rPr>
          <w:b/>
          <w:color w:val="0000FF"/>
          <w:sz w:val="22"/>
          <w:szCs w:val="22"/>
        </w:rPr>
        <w:t xml:space="preserve">Question 2 – Do you have any comments (including technical comments) on the </w:t>
      </w:r>
      <w:r w:rsidR="00BE792B">
        <w:rPr>
          <w:b/>
          <w:color w:val="0000FF"/>
          <w:sz w:val="22"/>
          <w:szCs w:val="22"/>
        </w:rPr>
        <w:t xml:space="preserve">EHCP </w:t>
      </w:r>
      <w:r w:rsidRPr="006B5AEB">
        <w:rPr>
          <w:b/>
          <w:color w:val="0000FF"/>
          <w:sz w:val="22"/>
          <w:szCs w:val="22"/>
        </w:rPr>
        <w:t>Banded Model you would like the Authori</w:t>
      </w:r>
      <w:r w:rsidR="00A2073D">
        <w:rPr>
          <w:b/>
          <w:color w:val="0000FF"/>
          <w:sz w:val="22"/>
          <w:szCs w:val="22"/>
        </w:rPr>
        <w:t>ty to consider for 2023/24</w:t>
      </w:r>
      <w:r w:rsidRPr="006B5AEB">
        <w:rPr>
          <w:b/>
          <w:color w:val="0000FF"/>
          <w:sz w:val="22"/>
          <w:szCs w:val="22"/>
        </w:rPr>
        <w:t xml:space="preserve">? </w:t>
      </w:r>
    </w:p>
    <w:p w:rsidR="000D04FA" w:rsidRDefault="00A2073D" w:rsidP="007629C4">
      <w:pPr>
        <w:jc w:val="both"/>
        <w:rPr>
          <w:rFonts w:cs="Arial"/>
          <w:b/>
          <w:color w:val="0000FF"/>
        </w:rPr>
      </w:pPr>
      <w:r>
        <w:rPr>
          <w:rFonts w:cs="Arial"/>
          <w:b/>
          <w:noProof/>
          <w:color w:val="0000FF"/>
        </w:rPr>
        <mc:AlternateContent>
          <mc:Choice Requires="wps">
            <w:drawing>
              <wp:anchor distT="0" distB="0" distL="114300" distR="114300" simplePos="0" relativeHeight="251658240" behindDoc="0" locked="0" layoutInCell="1" allowOverlap="1" wp14:anchorId="0F2B3FCF" wp14:editId="093BA80B">
                <wp:simplePos x="0" y="0"/>
                <wp:positionH relativeFrom="column">
                  <wp:posOffset>-635</wp:posOffset>
                </wp:positionH>
                <wp:positionV relativeFrom="paragraph">
                  <wp:posOffset>59690</wp:posOffset>
                </wp:positionV>
                <wp:extent cx="6400800" cy="1993900"/>
                <wp:effectExtent l="0" t="0" r="19050" b="2540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93900"/>
                        </a:xfrm>
                        <a:prstGeom prst="rect">
                          <a:avLst/>
                        </a:prstGeom>
                        <a:solidFill>
                          <a:srgbClr val="FFFFFF"/>
                        </a:solidFill>
                        <a:ln w="9525">
                          <a:solidFill>
                            <a:srgbClr val="0000FF"/>
                          </a:solidFill>
                          <a:miter lim="800000"/>
                          <a:headEnd/>
                          <a:tailEnd/>
                        </a:ln>
                      </wps:spPr>
                      <wps:txbx>
                        <w:txbxContent>
                          <w:p w:rsidR="009867AE" w:rsidRDefault="009867AE" w:rsidP="000D04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B3FCF" id="_x0000_s1027" type="#_x0000_t202" style="position:absolute;left:0;text-align:left;margin-left:-.05pt;margin-top:4.7pt;width:7in;height:1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" strokecolor="blue">
                <v:textbox>
                  <w:txbxContent>
                    <w:p w:rsidR="009867AE" w:rsidRDefault="009867AE" w:rsidP="000D04FA"/>
                  </w:txbxContent>
                </v:textbox>
              </v:shape>
            </w:pict>
          </mc:Fallback>
        </mc:AlternateContent>
      </w:r>
    </w:p>
    <w:p w:rsidR="000D04FA" w:rsidRDefault="000D04FA" w:rsidP="000D04FA">
      <w:pPr>
        <w:jc w:val="both"/>
        <w:rPr>
          <w:rFonts w:cs="Arial"/>
          <w:b/>
          <w:color w:val="0000FF"/>
        </w:rPr>
      </w:pPr>
    </w:p>
    <w:p w:rsidR="000D04FA" w:rsidRPr="00DE1A1C" w:rsidRDefault="000D04FA" w:rsidP="000D04FA">
      <w:pPr>
        <w:jc w:val="both"/>
        <w:rPr>
          <w:b/>
          <w:color w:val="0000FF"/>
          <w:sz w:val="22"/>
          <w:szCs w:val="22"/>
        </w:rPr>
      </w:pPr>
    </w:p>
    <w:p w:rsidR="000D04FA" w:rsidRDefault="000D04FA" w:rsidP="000D04FA">
      <w:pPr>
        <w:jc w:val="both"/>
        <w:rPr>
          <w:b/>
          <w:color w:val="0000FF"/>
          <w:sz w:val="22"/>
          <w:szCs w:val="22"/>
        </w:rPr>
      </w:pPr>
    </w:p>
    <w:p w:rsidR="000D04FA" w:rsidRDefault="000D04FA" w:rsidP="000D04FA">
      <w:pPr>
        <w:jc w:val="both"/>
        <w:rPr>
          <w:b/>
          <w:color w:val="0000FF"/>
          <w:sz w:val="22"/>
          <w:szCs w:val="22"/>
        </w:rPr>
      </w:pPr>
    </w:p>
    <w:p w:rsidR="000D04FA" w:rsidRDefault="000D04FA" w:rsidP="000D04FA">
      <w:pPr>
        <w:jc w:val="both"/>
        <w:rPr>
          <w:b/>
          <w:color w:val="0000FF"/>
          <w:sz w:val="22"/>
          <w:szCs w:val="22"/>
        </w:rPr>
      </w:pPr>
    </w:p>
    <w:p w:rsidR="000D04FA" w:rsidRDefault="000D04FA" w:rsidP="000D04FA">
      <w:pPr>
        <w:jc w:val="both"/>
        <w:rPr>
          <w:b/>
          <w:color w:val="0000FF"/>
          <w:sz w:val="22"/>
          <w:szCs w:val="22"/>
        </w:rPr>
      </w:pPr>
    </w:p>
    <w:p w:rsidR="006E05EB" w:rsidRDefault="006E05EB" w:rsidP="007629C4">
      <w:pPr>
        <w:pStyle w:val="ListParagraph"/>
        <w:ind w:left="0"/>
        <w:jc w:val="both"/>
        <w:rPr>
          <w:b/>
          <w:color w:val="0000FF"/>
          <w:sz w:val="22"/>
          <w:szCs w:val="22"/>
        </w:rPr>
      </w:pPr>
    </w:p>
    <w:p w:rsidR="00A2073D" w:rsidRDefault="00A2073D" w:rsidP="007629C4">
      <w:pPr>
        <w:pStyle w:val="ListParagraph"/>
        <w:ind w:left="0"/>
        <w:jc w:val="both"/>
        <w:rPr>
          <w:b/>
          <w:color w:val="0000FF"/>
          <w:sz w:val="22"/>
          <w:szCs w:val="22"/>
        </w:rPr>
      </w:pPr>
    </w:p>
    <w:p w:rsidR="006B5AEB" w:rsidRPr="006B5AEB" w:rsidRDefault="006B5AEB" w:rsidP="006B5AEB">
      <w:pPr>
        <w:jc w:val="both"/>
        <w:rPr>
          <w:b/>
          <w:color w:val="0000FF"/>
          <w:sz w:val="22"/>
          <w:szCs w:val="22"/>
        </w:rPr>
      </w:pPr>
      <w:r w:rsidRPr="006B5AEB">
        <w:rPr>
          <w:b/>
          <w:color w:val="0000FF"/>
          <w:sz w:val="22"/>
          <w:szCs w:val="22"/>
        </w:rPr>
        <w:t>Question 3 – Do you agree with</w:t>
      </w:r>
      <w:r w:rsidR="00A2073D">
        <w:rPr>
          <w:b/>
          <w:color w:val="0000FF"/>
          <w:sz w:val="22"/>
          <w:szCs w:val="22"/>
        </w:rPr>
        <w:t xml:space="preserve"> the approach to setting-led need factors in 2023/24 that is proposed</w:t>
      </w:r>
      <w:r w:rsidRPr="006B5AEB">
        <w:rPr>
          <w:b/>
          <w:color w:val="0000FF"/>
          <w:sz w:val="22"/>
          <w:szCs w:val="22"/>
        </w:rPr>
        <w:t>? If not, please can you explain why not.</w:t>
      </w:r>
    </w:p>
    <w:p w:rsidR="007629C4" w:rsidRDefault="007629C4" w:rsidP="007629C4">
      <w:pPr>
        <w:jc w:val="both"/>
        <w:rPr>
          <w:b/>
          <w:i/>
          <w:color w:val="0000FF"/>
          <w:sz w:val="22"/>
          <w:szCs w:val="22"/>
        </w:rPr>
      </w:pPr>
    </w:p>
    <w:p w:rsidR="007629C4" w:rsidRDefault="007629C4" w:rsidP="007629C4">
      <w:pPr>
        <w:pStyle w:val="ListParagraph"/>
        <w:ind w:left="0"/>
        <w:jc w:val="both"/>
        <w:rPr>
          <w:rFonts w:cs="Arial"/>
          <w:b/>
          <w:color w:val="0000FF"/>
        </w:rPr>
      </w:pPr>
      <w:r>
        <w:rPr>
          <w:rFonts w:cs="Arial"/>
          <w:b/>
          <w:color w:val="0000FF"/>
        </w:rPr>
        <w:t>Strongly Agree</w:t>
      </w:r>
      <w:r>
        <w:rPr>
          <w:rFonts w:cs="Arial"/>
          <w:b/>
          <w:color w:val="0000FF"/>
        </w:rPr>
        <w:tab/>
        <w:t xml:space="preserve">     </w:t>
      </w:r>
      <w:r>
        <w:rPr>
          <w:rFonts w:cs="Arial"/>
          <w:b/>
          <w:color w:val="0000FF"/>
        </w:rPr>
        <w:fldChar w:fldCharType="begin">
          <w:ffData>
            <w:name w:val=""/>
            <w:enabled/>
            <w:calcOnExit w:val="0"/>
            <w:checkBox>
              <w:size w:val="26"/>
              <w:default w:val="0"/>
            </w:checkBox>
          </w:ffData>
        </w:fldChar>
      </w:r>
      <w:r>
        <w:rPr>
          <w:rFonts w:cs="Arial"/>
          <w:b/>
          <w:color w:val="0000FF"/>
        </w:rPr>
        <w:instrText xml:space="preserve"> FORMCHECKBOX </w:instrText>
      </w:r>
      <w:r w:rsidR="00DE0467">
        <w:rPr>
          <w:rFonts w:cs="Arial"/>
          <w:b/>
          <w:color w:val="0000FF"/>
        </w:rPr>
      </w:r>
      <w:r w:rsidR="00DE0467">
        <w:rPr>
          <w:rFonts w:cs="Arial"/>
          <w:b/>
          <w:color w:val="0000FF"/>
        </w:rPr>
        <w:fldChar w:fldCharType="separate"/>
      </w:r>
      <w:r>
        <w:rPr>
          <w:rFonts w:cs="Arial"/>
          <w:b/>
          <w:color w:val="0000FF"/>
        </w:rPr>
        <w:fldChar w:fldCharType="end"/>
      </w:r>
      <w:r>
        <w:rPr>
          <w:rFonts w:cs="Arial"/>
          <w:b/>
          <w:color w:val="0000FF"/>
        </w:rPr>
        <w:tab/>
        <w:t xml:space="preserve">        On Balance Agree (some reservations)</w:t>
      </w:r>
      <w:r>
        <w:rPr>
          <w:rFonts w:cs="Arial"/>
          <w:b/>
          <w:color w:val="0000FF"/>
        </w:rPr>
        <w:tab/>
      </w:r>
      <w:r>
        <w:rPr>
          <w:rFonts w:cs="Arial"/>
          <w:b/>
          <w:color w:val="0000FF"/>
        </w:rPr>
        <w:fldChar w:fldCharType="begin">
          <w:ffData>
            <w:name w:val="Check1"/>
            <w:enabled/>
            <w:calcOnExit w:val="0"/>
            <w:checkBox>
              <w:size w:val="26"/>
              <w:default w:val="0"/>
            </w:checkBox>
          </w:ffData>
        </w:fldChar>
      </w:r>
      <w:r>
        <w:rPr>
          <w:rFonts w:cs="Arial"/>
          <w:b/>
          <w:color w:val="0000FF"/>
        </w:rPr>
        <w:instrText xml:space="preserve"> FORMCHECKBOX </w:instrText>
      </w:r>
      <w:r w:rsidR="00DE0467">
        <w:rPr>
          <w:rFonts w:cs="Arial"/>
          <w:b/>
          <w:color w:val="0000FF"/>
        </w:rPr>
      </w:r>
      <w:r w:rsidR="00DE0467">
        <w:rPr>
          <w:rFonts w:cs="Arial"/>
          <w:b/>
          <w:color w:val="0000FF"/>
        </w:rPr>
        <w:fldChar w:fldCharType="separate"/>
      </w:r>
      <w:r>
        <w:rPr>
          <w:rFonts w:cs="Arial"/>
          <w:b/>
          <w:color w:val="0000FF"/>
        </w:rPr>
        <w:fldChar w:fldCharType="end"/>
      </w:r>
      <w:r>
        <w:rPr>
          <w:rFonts w:cs="Arial"/>
          <w:b/>
          <w:color w:val="0000FF"/>
        </w:rPr>
        <w:t xml:space="preserve">  </w:t>
      </w:r>
      <w:r>
        <w:rPr>
          <w:rFonts w:cs="Arial"/>
          <w:b/>
          <w:color w:val="0000FF"/>
        </w:rPr>
        <w:tab/>
        <w:t>Strongly Disagree</w:t>
      </w:r>
      <w:r>
        <w:rPr>
          <w:rFonts w:cs="Arial"/>
          <w:b/>
          <w:color w:val="0000FF"/>
        </w:rPr>
        <w:tab/>
      </w:r>
      <w:r>
        <w:rPr>
          <w:rFonts w:cs="Arial"/>
          <w:b/>
          <w:color w:val="0000FF"/>
        </w:rPr>
        <w:fldChar w:fldCharType="begin">
          <w:ffData>
            <w:name w:val="Check2"/>
            <w:enabled/>
            <w:calcOnExit w:val="0"/>
            <w:checkBox>
              <w:size w:val="26"/>
              <w:default w:val="0"/>
            </w:checkBox>
          </w:ffData>
        </w:fldChar>
      </w:r>
      <w:r>
        <w:rPr>
          <w:rFonts w:cs="Arial"/>
          <w:b/>
          <w:color w:val="0000FF"/>
        </w:rPr>
        <w:instrText xml:space="preserve"> FORMCHECKBOX </w:instrText>
      </w:r>
      <w:r w:rsidR="00DE0467">
        <w:rPr>
          <w:rFonts w:cs="Arial"/>
          <w:b/>
          <w:color w:val="0000FF"/>
        </w:rPr>
      </w:r>
      <w:r w:rsidR="00DE0467">
        <w:rPr>
          <w:rFonts w:cs="Arial"/>
          <w:b/>
          <w:color w:val="0000FF"/>
        </w:rPr>
        <w:fldChar w:fldCharType="separate"/>
      </w:r>
      <w:r>
        <w:rPr>
          <w:rFonts w:cs="Arial"/>
          <w:b/>
          <w:color w:val="0000FF"/>
        </w:rPr>
        <w:fldChar w:fldCharType="end"/>
      </w:r>
      <w:r>
        <w:rPr>
          <w:rFonts w:cs="Arial"/>
          <w:b/>
          <w:color w:val="0000FF"/>
        </w:rPr>
        <w:tab/>
      </w:r>
    </w:p>
    <w:p w:rsidR="007629C4" w:rsidRPr="00C460C8" w:rsidRDefault="007629C4" w:rsidP="007629C4">
      <w:pPr>
        <w:pStyle w:val="ListParagraph"/>
        <w:ind w:left="0"/>
        <w:jc w:val="both"/>
        <w:rPr>
          <w:b/>
          <w:color w:val="0000FF"/>
          <w:sz w:val="22"/>
          <w:szCs w:val="22"/>
        </w:rPr>
      </w:pPr>
    </w:p>
    <w:p w:rsidR="007629C4" w:rsidRDefault="007629C4" w:rsidP="007629C4">
      <w:pPr>
        <w:jc w:val="both"/>
        <w:rPr>
          <w:b/>
          <w:color w:val="0000FF"/>
          <w:sz w:val="22"/>
          <w:szCs w:val="22"/>
        </w:rPr>
      </w:pPr>
      <w:r>
        <w:rPr>
          <w:rFonts w:cs="Arial"/>
          <w:b/>
          <w:noProof/>
          <w:color w:val="0000FF"/>
        </w:rPr>
        <mc:AlternateContent>
          <mc:Choice Requires="wps">
            <w:drawing>
              <wp:anchor distT="0" distB="0" distL="114300" distR="114300" simplePos="0" relativeHeight="251664384" behindDoc="0" locked="0" layoutInCell="1" allowOverlap="1" wp14:anchorId="58174236" wp14:editId="0F53E59D">
                <wp:simplePos x="0" y="0"/>
                <wp:positionH relativeFrom="column">
                  <wp:posOffset>2540</wp:posOffset>
                </wp:positionH>
                <wp:positionV relativeFrom="paragraph">
                  <wp:posOffset>29845</wp:posOffset>
                </wp:positionV>
                <wp:extent cx="6400800" cy="1809750"/>
                <wp:effectExtent l="0" t="0" r="19050"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809750"/>
                        </a:xfrm>
                        <a:prstGeom prst="rect">
                          <a:avLst/>
                        </a:prstGeom>
                        <a:solidFill>
                          <a:srgbClr val="FFFFFF"/>
                        </a:solidFill>
                        <a:ln w="9525">
                          <a:solidFill>
                            <a:srgbClr val="0000FF"/>
                          </a:solidFill>
                          <a:miter lim="800000"/>
                          <a:headEnd/>
                          <a:tailEnd/>
                        </a:ln>
                      </wps:spPr>
                      <wps:txbx>
                        <w:txbxContent>
                          <w:p w:rsidR="009867AE" w:rsidRPr="00B102E7" w:rsidRDefault="009867AE" w:rsidP="007629C4">
                            <w:pPr>
                              <w:rPr>
                                <w:color w:val="0000FF"/>
                              </w:rPr>
                            </w:pPr>
                            <w:r w:rsidRPr="00B102E7">
                              <w:rPr>
                                <w:color w:val="0000FF"/>
                              </w:rPr>
                              <w:t>If not, please provide further explanation here:</w:t>
                            </w:r>
                          </w:p>
                          <w:p w:rsidR="009867AE" w:rsidRDefault="009867AE" w:rsidP="007629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74236" id="Text Box 6" o:spid="_x0000_s1028" type="#_x0000_t202" style="position:absolute;left:0;text-align:left;margin-left:.2pt;margin-top:2.35pt;width:7in;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" strokecolor="blue">
                <v:textbox>
                  <w:txbxContent>
                    <w:p w:rsidR="009867AE" w:rsidRPr="00B102E7" w:rsidRDefault="009867AE" w:rsidP="007629C4">
                      <w:pPr>
                        <w:rPr>
                          <w:color w:val="0000FF"/>
                        </w:rPr>
                      </w:pPr>
                      <w:r w:rsidRPr="00B102E7">
                        <w:rPr>
                          <w:color w:val="0000FF"/>
                        </w:rPr>
                        <w:t>If not, please provide further explanation here:</w:t>
                      </w:r>
                    </w:p>
                    <w:p w:rsidR="009867AE" w:rsidRDefault="009867AE" w:rsidP="007629C4"/>
                  </w:txbxContent>
                </v:textbox>
              </v:shape>
            </w:pict>
          </mc:Fallback>
        </mc:AlternateContent>
      </w: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6E05EB" w:rsidRDefault="006E05EB" w:rsidP="007629C4">
      <w:pPr>
        <w:jc w:val="both"/>
        <w:rPr>
          <w:b/>
          <w:color w:val="0000FF"/>
          <w:sz w:val="22"/>
          <w:szCs w:val="22"/>
        </w:rPr>
      </w:pPr>
    </w:p>
    <w:p w:rsidR="006E05EB" w:rsidRDefault="006E05EB" w:rsidP="007629C4">
      <w:pPr>
        <w:jc w:val="both"/>
        <w:rPr>
          <w:b/>
          <w:color w:val="0000FF"/>
          <w:sz w:val="22"/>
          <w:szCs w:val="22"/>
        </w:rPr>
      </w:pPr>
    </w:p>
    <w:p w:rsidR="006B5AEB" w:rsidRPr="006B5AEB" w:rsidRDefault="006B5AEB" w:rsidP="006B5AEB">
      <w:pPr>
        <w:jc w:val="both"/>
        <w:rPr>
          <w:b/>
          <w:color w:val="0000FF"/>
          <w:sz w:val="22"/>
          <w:szCs w:val="22"/>
        </w:rPr>
      </w:pPr>
      <w:r w:rsidRPr="006B5AEB">
        <w:rPr>
          <w:b/>
          <w:color w:val="0000FF"/>
          <w:sz w:val="22"/>
          <w:szCs w:val="22"/>
        </w:rPr>
        <w:t>Question 4 – Do you have any comments (including technical comments) on the setting-led need factors you would like th</w:t>
      </w:r>
      <w:r w:rsidR="00A2073D">
        <w:rPr>
          <w:b/>
          <w:color w:val="0000FF"/>
          <w:sz w:val="22"/>
          <w:szCs w:val="22"/>
        </w:rPr>
        <w:t>e Authority to consider for 2023/24</w:t>
      </w:r>
      <w:r w:rsidRPr="006B5AEB">
        <w:rPr>
          <w:b/>
          <w:color w:val="0000FF"/>
          <w:sz w:val="22"/>
          <w:szCs w:val="22"/>
        </w:rPr>
        <w:t xml:space="preserve">? </w:t>
      </w:r>
    </w:p>
    <w:p w:rsidR="000D04FA" w:rsidRDefault="000D04FA" w:rsidP="000D04FA">
      <w:pPr>
        <w:jc w:val="both"/>
        <w:rPr>
          <w:rFonts w:cs="Arial"/>
          <w:b/>
          <w:color w:val="0000FF"/>
        </w:rPr>
      </w:pPr>
      <w:r>
        <w:rPr>
          <w:rFonts w:cs="Arial"/>
          <w:b/>
          <w:noProof/>
          <w:color w:val="0000FF"/>
        </w:rPr>
        <mc:AlternateContent>
          <mc:Choice Requires="wps">
            <w:drawing>
              <wp:anchor distT="0" distB="0" distL="114300" distR="114300" simplePos="0" relativeHeight="251674624" behindDoc="0" locked="0" layoutInCell="1" allowOverlap="1" wp14:anchorId="4350BD16" wp14:editId="0B72BB34">
                <wp:simplePos x="0" y="0"/>
                <wp:positionH relativeFrom="column">
                  <wp:posOffset>2540</wp:posOffset>
                </wp:positionH>
                <wp:positionV relativeFrom="paragraph">
                  <wp:posOffset>106045</wp:posOffset>
                </wp:positionV>
                <wp:extent cx="6400800" cy="2447925"/>
                <wp:effectExtent l="0" t="0" r="19050" b="2857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47925"/>
                        </a:xfrm>
                        <a:prstGeom prst="rect">
                          <a:avLst/>
                        </a:prstGeom>
                        <a:solidFill>
                          <a:srgbClr val="FFFFFF"/>
                        </a:solidFill>
                        <a:ln w="9525">
                          <a:solidFill>
                            <a:srgbClr val="0000FF"/>
                          </a:solidFill>
                          <a:miter lim="800000"/>
                          <a:headEnd/>
                          <a:tailEnd/>
                        </a:ln>
                      </wps:spPr>
                      <wps:txbx>
                        <w:txbxContent>
                          <w:p w:rsidR="009867AE" w:rsidRDefault="009867AE" w:rsidP="000D04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0BD16" id="Text Box 3" o:spid="_x0000_s1029" type="#_x0000_t202" style="position:absolute;left:0;text-align:left;margin-left:.2pt;margin-top:8.35pt;width:7in;height:19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" strokecolor="blue">
                <v:textbox>
                  <w:txbxContent>
                    <w:p w:rsidR="009867AE" w:rsidRDefault="009867AE" w:rsidP="000D04FA"/>
                  </w:txbxContent>
                </v:textbox>
              </v:shape>
            </w:pict>
          </mc:Fallback>
        </mc:AlternateContent>
      </w:r>
    </w:p>
    <w:p w:rsidR="000D04FA" w:rsidRDefault="000D04FA" w:rsidP="000D04FA">
      <w:pPr>
        <w:jc w:val="both"/>
        <w:rPr>
          <w:rFonts w:cs="Arial"/>
          <w:b/>
          <w:color w:val="0000FF"/>
        </w:rPr>
      </w:pPr>
    </w:p>
    <w:p w:rsidR="000D04FA" w:rsidRDefault="000D04FA" w:rsidP="000D04FA">
      <w:pPr>
        <w:jc w:val="both"/>
        <w:rPr>
          <w:rFonts w:cs="Arial"/>
          <w:b/>
          <w:color w:val="0000FF"/>
        </w:rPr>
      </w:pPr>
    </w:p>
    <w:p w:rsidR="000D04FA" w:rsidRDefault="000D04FA" w:rsidP="000D04FA">
      <w:pPr>
        <w:jc w:val="both"/>
        <w:rPr>
          <w:rFonts w:cs="Arial"/>
          <w:b/>
          <w:color w:val="0000FF"/>
        </w:rPr>
      </w:pPr>
    </w:p>
    <w:p w:rsidR="000D04FA" w:rsidRDefault="000D04FA" w:rsidP="000D04FA">
      <w:pPr>
        <w:jc w:val="both"/>
        <w:rPr>
          <w:rFonts w:cs="Arial"/>
          <w:b/>
          <w:color w:val="0000FF"/>
        </w:rPr>
      </w:pPr>
    </w:p>
    <w:p w:rsidR="000D04FA" w:rsidRDefault="000D04FA" w:rsidP="000D04FA">
      <w:pPr>
        <w:jc w:val="both"/>
        <w:rPr>
          <w:rFonts w:cs="Arial"/>
          <w:b/>
          <w:color w:val="0000FF"/>
        </w:rPr>
      </w:pPr>
    </w:p>
    <w:p w:rsidR="000D04FA" w:rsidRDefault="000D04FA" w:rsidP="000D04FA">
      <w:pPr>
        <w:jc w:val="both"/>
        <w:rPr>
          <w:rFonts w:cs="Arial"/>
          <w:b/>
          <w:color w:val="0000FF"/>
        </w:rPr>
      </w:pPr>
    </w:p>
    <w:p w:rsidR="000D04FA" w:rsidRDefault="000D04FA" w:rsidP="000D04FA">
      <w:pPr>
        <w:jc w:val="both"/>
        <w:rPr>
          <w:rFonts w:cs="Arial"/>
          <w:b/>
          <w:color w:val="0000FF"/>
        </w:rPr>
      </w:pPr>
    </w:p>
    <w:p w:rsidR="000D04FA" w:rsidRDefault="000D04FA" w:rsidP="000D04FA">
      <w:pPr>
        <w:jc w:val="both"/>
        <w:rPr>
          <w:rFonts w:cs="Arial"/>
          <w:b/>
          <w:color w:val="0000FF"/>
        </w:rPr>
      </w:pPr>
    </w:p>
    <w:p w:rsidR="000D04FA" w:rsidRDefault="000D04FA" w:rsidP="000D04FA">
      <w:pPr>
        <w:jc w:val="both"/>
        <w:rPr>
          <w:rFonts w:cs="Arial"/>
          <w:b/>
          <w:color w:val="0000FF"/>
        </w:rPr>
      </w:pPr>
    </w:p>
    <w:p w:rsidR="000D04FA" w:rsidRDefault="000D04FA" w:rsidP="000D04FA">
      <w:pPr>
        <w:jc w:val="both"/>
        <w:rPr>
          <w:i/>
          <w:color w:val="0000FF"/>
          <w:sz w:val="22"/>
          <w:szCs w:val="22"/>
        </w:rPr>
      </w:pPr>
    </w:p>
    <w:p w:rsidR="000D04FA" w:rsidRDefault="000D04FA" w:rsidP="000D04FA">
      <w:pPr>
        <w:pStyle w:val="ListParagraph"/>
        <w:ind w:left="0"/>
        <w:jc w:val="both"/>
        <w:rPr>
          <w:b/>
          <w:color w:val="0000FF"/>
          <w:sz w:val="22"/>
          <w:szCs w:val="22"/>
        </w:rPr>
      </w:pPr>
    </w:p>
    <w:p w:rsidR="006B5AEB" w:rsidRDefault="006B5AEB" w:rsidP="000D04FA">
      <w:pPr>
        <w:pStyle w:val="ListParagraph"/>
        <w:ind w:left="0"/>
        <w:jc w:val="both"/>
        <w:rPr>
          <w:b/>
          <w:color w:val="0000FF"/>
          <w:sz w:val="22"/>
          <w:szCs w:val="22"/>
        </w:rPr>
      </w:pPr>
    </w:p>
    <w:p w:rsidR="006B5AEB" w:rsidRDefault="006B5AEB" w:rsidP="000D04FA">
      <w:pPr>
        <w:pStyle w:val="ListParagraph"/>
        <w:ind w:left="0"/>
        <w:jc w:val="both"/>
        <w:rPr>
          <w:b/>
          <w:color w:val="0000FF"/>
          <w:sz w:val="22"/>
          <w:szCs w:val="22"/>
        </w:rPr>
      </w:pPr>
    </w:p>
    <w:p w:rsidR="006B5AEB" w:rsidRDefault="006B5AEB" w:rsidP="000D04FA">
      <w:pPr>
        <w:pStyle w:val="ListParagraph"/>
        <w:ind w:left="0"/>
        <w:jc w:val="both"/>
        <w:rPr>
          <w:b/>
          <w:color w:val="0000FF"/>
          <w:sz w:val="22"/>
          <w:szCs w:val="22"/>
        </w:rPr>
      </w:pPr>
    </w:p>
    <w:p w:rsidR="000D04FA" w:rsidRDefault="000D04FA" w:rsidP="007629C4">
      <w:pPr>
        <w:jc w:val="both"/>
        <w:rPr>
          <w:b/>
          <w:color w:val="0000FF"/>
          <w:sz w:val="22"/>
          <w:szCs w:val="22"/>
        </w:rPr>
      </w:pPr>
    </w:p>
    <w:p w:rsidR="006E05EB" w:rsidRDefault="006E05EB" w:rsidP="007629C4">
      <w:pPr>
        <w:jc w:val="both"/>
        <w:rPr>
          <w:b/>
          <w:color w:val="0000FF"/>
          <w:sz w:val="22"/>
          <w:szCs w:val="22"/>
        </w:rPr>
      </w:pPr>
    </w:p>
    <w:p w:rsidR="006E05EB" w:rsidRDefault="006E05EB" w:rsidP="007629C4">
      <w:pPr>
        <w:jc w:val="both"/>
        <w:rPr>
          <w:b/>
          <w:color w:val="0000FF"/>
          <w:sz w:val="22"/>
          <w:szCs w:val="22"/>
        </w:rPr>
      </w:pPr>
    </w:p>
    <w:p w:rsidR="006B5AEB" w:rsidRPr="006B5AEB" w:rsidRDefault="006B5AEB" w:rsidP="006B5AEB">
      <w:pPr>
        <w:jc w:val="both"/>
        <w:rPr>
          <w:b/>
          <w:color w:val="0000FF"/>
          <w:sz w:val="22"/>
          <w:szCs w:val="22"/>
        </w:rPr>
      </w:pPr>
      <w:r w:rsidRPr="006B5AEB">
        <w:rPr>
          <w:b/>
          <w:color w:val="0000FF"/>
          <w:sz w:val="22"/>
          <w:szCs w:val="22"/>
        </w:rPr>
        <w:t>Question 5 – Do you agree with the Day Rate mechanism that the Authority proposes to use to</w:t>
      </w:r>
      <w:r w:rsidR="00BE792B">
        <w:rPr>
          <w:b/>
          <w:color w:val="0000FF"/>
          <w:sz w:val="22"/>
          <w:szCs w:val="22"/>
        </w:rPr>
        <w:t xml:space="preserve"> fund the PRU / Alternative Provision A</w:t>
      </w:r>
      <w:r w:rsidR="00445750">
        <w:rPr>
          <w:b/>
          <w:color w:val="0000FF"/>
          <w:sz w:val="22"/>
          <w:szCs w:val="22"/>
        </w:rPr>
        <w:t>cademy</w:t>
      </w:r>
      <w:r w:rsidR="00A2073D">
        <w:rPr>
          <w:b/>
          <w:color w:val="0000FF"/>
          <w:sz w:val="22"/>
          <w:szCs w:val="22"/>
        </w:rPr>
        <w:t xml:space="preserve"> in 2023/24</w:t>
      </w:r>
      <w:r w:rsidRPr="006B5AEB">
        <w:rPr>
          <w:b/>
          <w:color w:val="0000FF"/>
          <w:sz w:val="22"/>
          <w:szCs w:val="22"/>
        </w:rPr>
        <w:t>? If not, please can you explain why not.</w:t>
      </w:r>
    </w:p>
    <w:p w:rsidR="007629C4" w:rsidRDefault="007629C4" w:rsidP="007629C4">
      <w:pPr>
        <w:jc w:val="both"/>
        <w:rPr>
          <w:b/>
          <w:i/>
          <w:color w:val="0000FF"/>
          <w:sz w:val="22"/>
          <w:szCs w:val="22"/>
        </w:rPr>
      </w:pPr>
    </w:p>
    <w:p w:rsidR="007629C4" w:rsidRDefault="007629C4" w:rsidP="007629C4">
      <w:pPr>
        <w:pStyle w:val="ListParagraph"/>
        <w:ind w:left="0"/>
        <w:jc w:val="both"/>
        <w:rPr>
          <w:rFonts w:cs="Arial"/>
          <w:b/>
          <w:color w:val="0000FF"/>
        </w:rPr>
      </w:pPr>
      <w:r>
        <w:rPr>
          <w:rFonts w:cs="Arial"/>
          <w:b/>
          <w:color w:val="0000FF"/>
        </w:rPr>
        <w:t>Strongly Agree</w:t>
      </w:r>
      <w:r>
        <w:rPr>
          <w:rFonts w:cs="Arial"/>
          <w:b/>
          <w:color w:val="0000FF"/>
        </w:rPr>
        <w:tab/>
        <w:t xml:space="preserve">     </w:t>
      </w:r>
      <w:r>
        <w:rPr>
          <w:rFonts w:cs="Arial"/>
          <w:b/>
          <w:color w:val="0000FF"/>
        </w:rPr>
        <w:fldChar w:fldCharType="begin">
          <w:ffData>
            <w:name w:val=""/>
            <w:enabled/>
            <w:calcOnExit w:val="0"/>
            <w:checkBox>
              <w:size w:val="26"/>
              <w:default w:val="0"/>
            </w:checkBox>
          </w:ffData>
        </w:fldChar>
      </w:r>
      <w:r>
        <w:rPr>
          <w:rFonts w:cs="Arial"/>
          <w:b/>
          <w:color w:val="0000FF"/>
        </w:rPr>
        <w:instrText xml:space="preserve"> FORMCHECKBOX </w:instrText>
      </w:r>
      <w:r w:rsidR="00DE0467">
        <w:rPr>
          <w:rFonts w:cs="Arial"/>
          <w:b/>
          <w:color w:val="0000FF"/>
        </w:rPr>
      </w:r>
      <w:r w:rsidR="00DE0467">
        <w:rPr>
          <w:rFonts w:cs="Arial"/>
          <w:b/>
          <w:color w:val="0000FF"/>
        </w:rPr>
        <w:fldChar w:fldCharType="separate"/>
      </w:r>
      <w:r>
        <w:rPr>
          <w:rFonts w:cs="Arial"/>
          <w:b/>
          <w:color w:val="0000FF"/>
        </w:rPr>
        <w:fldChar w:fldCharType="end"/>
      </w:r>
      <w:r>
        <w:rPr>
          <w:rFonts w:cs="Arial"/>
          <w:b/>
          <w:color w:val="0000FF"/>
        </w:rPr>
        <w:tab/>
        <w:t xml:space="preserve">        On Balance Agree (some reservations)</w:t>
      </w:r>
      <w:r>
        <w:rPr>
          <w:rFonts w:cs="Arial"/>
          <w:b/>
          <w:color w:val="0000FF"/>
        </w:rPr>
        <w:tab/>
      </w:r>
      <w:r>
        <w:rPr>
          <w:rFonts w:cs="Arial"/>
          <w:b/>
          <w:color w:val="0000FF"/>
        </w:rPr>
        <w:fldChar w:fldCharType="begin">
          <w:ffData>
            <w:name w:val="Check1"/>
            <w:enabled/>
            <w:calcOnExit w:val="0"/>
            <w:checkBox>
              <w:size w:val="26"/>
              <w:default w:val="0"/>
            </w:checkBox>
          </w:ffData>
        </w:fldChar>
      </w:r>
      <w:r>
        <w:rPr>
          <w:rFonts w:cs="Arial"/>
          <w:b/>
          <w:color w:val="0000FF"/>
        </w:rPr>
        <w:instrText xml:space="preserve"> FORMCHECKBOX </w:instrText>
      </w:r>
      <w:r w:rsidR="00DE0467">
        <w:rPr>
          <w:rFonts w:cs="Arial"/>
          <w:b/>
          <w:color w:val="0000FF"/>
        </w:rPr>
      </w:r>
      <w:r w:rsidR="00DE0467">
        <w:rPr>
          <w:rFonts w:cs="Arial"/>
          <w:b/>
          <w:color w:val="0000FF"/>
        </w:rPr>
        <w:fldChar w:fldCharType="separate"/>
      </w:r>
      <w:r>
        <w:rPr>
          <w:rFonts w:cs="Arial"/>
          <w:b/>
          <w:color w:val="0000FF"/>
        </w:rPr>
        <w:fldChar w:fldCharType="end"/>
      </w:r>
      <w:r>
        <w:rPr>
          <w:rFonts w:cs="Arial"/>
          <w:b/>
          <w:color w:val="0000FF"/>
        </w:rPr>
        <w:t xml:space="preserve">  </w:t>
      </w:r>
      <w:r>
        <w:rPr>
          <w:rFonts w:cs="Arial"/>
          <w:b/>
          <w:color w:val="0000FF"/>
        </w:rPr>
        <w:tab/>
        <w:t>Strongly Disagree</w:t>
      </w:r>
      <w:r>
        <w:rPr>
          <w:rFonts w:cs="Arial"/>
          <w:b/>
          <w:color w:val="0000FF"/>
        </w:rPr>
        <w:tab/>
      </w:r>
      <w:r>
        <w:rPr>
          <w:rFonts w:cs="Arial"/>
          <w:b/>
          <w:color w:val="0000FF"/>
        </w:rPr>
        <w:fldChar w:fldCharType="begin">
          <w:ffData>
            <w:name w:val="Check2"/>
            <w:enabled/>
            <w:calcOnExit w:val="0"/>
            <w:checkBox>
              <w:size w:val="26"/>
              <w:default w:val="0"/>
            </w:checkBox>
          </w:ffData>
        </w:fldChar>
      </w:r>
      <w:r>
        <w:rPr>
          <w:rFonts w:cs="Arial"/>
          <w:b/>
          <w:color w:val="0000FF"/>
        </w:rPr>
        <w:instrText xml:space="preserve"> FORMCHECKBOX </w:instrText>
      </w:r>
      <w:r w:rsidR="00DE0467">
        <w:rPr>
          <w:rFonts w:cs="Arial"/>
          <w:b/>
          <w:color w:val="0000FF"/>
        </w:rPr>
      </w:r>
      <w:r w:rsidR="00DE0467">
        <w:rPr>
          <w:rFonts w:cs="Arial"/>
          <w:b/>
          <w:color w:val="0000FF"/>
        </w:rPr>
        <w:fldChar w:fldCharType="separate"/>
      </w:r>
      <w:r>
        <w:rPr>
          <w:rFonts w:cs="Arial"/>
          <w:b/>
          <w:color w:val="0000FF"/>
        </w:rPr>
        <w:fldChar w:fldCharType="end"/>
      </w:r>
      <w:r>
        <w:rPr>
          <w:rFonts w:cs="Arial"/>
          <w:b/>
          <w:color w:val="0000FF"/>
        </w:rPr>
        <w:tab/>
      </w:r>
    </w:p>
    <w:p w:rsidR="007629C4" w:rsidRDefault="000D04FA" w:rsidP="006E05EB">
      <w:pPr>
        <w:pStyle w:val="ListParagraph"/>
        <w:ind w:left="0"/>
        <w:jc w:val="both"/>
        <w:rPr>
          <w:b/>
          <w:color w:val="0000FF"/>
          <w:sz w:val="22"/>
          <w:szCs w:val="22"/>
        </w:rPr>
      </w:pPr>
      <w:r>
        <w:rPr>
          <w:rFonts w:cs="Arial"/>
          <w:b/>
          <w:noProof/>
          <w:color w:val="0000FF"/>
        </w:rPr>
        <mc:AlternateContent>
          <mc:Choice Requires="wps">
            <w:drawing>
              <wp:anchor distT="0" distB="0" distL="114300" distR="114300" simplePos="0" relativeHeight="251670528" behindDoc="0" locked="0" layoutInCell="1" allowOverlap="1" wp14:anchorId="3405D6BD" wp14:editId="5F0BCF73">
                <wp:simplePos x="0" y="0"/>
                <wp:positionH relativeFrom="column">
                  <wp:posOffset>2540</wp:posOffset>
                </wp:positionH>
                <wp:positionV relativeFrom="paragraph">
                  <wp:posOffset>60960</wp:posOffset>
                </wp:positionV>
                <wp:extent cx="6400800" cy="2628900"/>
                <wp:effectExtent l="0" t="0" r="19050" b="1905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28900"/>
                        </a:xfrm>
                        <a:prstGeom prst="rect">
                          <a:avLst/>
                        </a:prstGeom>
                        <a:solidFill>
                          <a:srgbClr val="FFFFFF"/>
                        </a:solidFill>
                        <a:ln w="9525">
                          <a:solidFill>
                            <a:srgbClr val="0000FF"/>
                          </a:solidFill>
                          <a:miter lim="800000"/>
                          <a:headEnd/>
                          <a:tailEnd/>
                        </a:ln>
                      </wps:spPr>
                      <wps:txbx>
                        <w:txbxContent>
                          <w:p w:rsidR="009867AE" w:rsidRPr="00B102E7" w:rsidRDefault="009867AE" w:rsidP="007629C4">
                            <w:pPr>
                              <w:rPr>
                                <w:color w:val="0000FF"/>
                              </w:rPr>
                            </w:pPr>
                            <w:r w:rsidRPr="00B102E7">
                              <w:rPr>
                                <w:color w:val="0000FF"/>
                              </w:rPr>
                              <w:t>If not, please provide further explanation here:</w:t>
                            </w:r>
                          </w:p>
                          <w:p w:rsidR="009867AE" w:rsidRDefault="009867AE" w:rsidP="007629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5D6BD" id="_x0000_s1030" type="#_x0000_t202" style="position:absolute;left:0;text-align:left;margin-left:.2pt;margin-top:4.8pt;width:7in;height:20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HQKLgIAAFg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" strokecolor="blue">
                <v:textbox>
                  <w:txbxContent>
                    <w:p w:rsidR="009867AE" w:rsidRPr="00B102E7" w:rsidRDefault="009867AE" w:rsidP="007629C4">
                      <w:pPr>
                        <w:rPr>
                          <w:color w:val="0000FF"/>
                        </w:rPr>
                      </w:pPr>
                      <w:r w:rsidRPr="00B102E7">
                        <w:rPr>
                          <w:color w:val="0000FF"/>
                        </w:rPr>
                        <w:t>If not, please provide further explanation here:</w:t>
                      </w:r>
                    </w:p>
                    <w:p w:rsidR="009867AE" w:rsidRDefault="009867AE" w:rsidP="007629C4"/>
                  </w:txbxContent>
                </v:textbox>
              </v:shape>
            </w:pict>
          </mc:Fallback>
        </mc:AlternateContent>
      </w:r>
    </w:p>
    <w:p w:rsidR="006E05EB" w:rsidRDefault="006E05EB" w:rsidP="006E05EB">
      <w:pPr>
        <w:pStyle w:val="ListParagraph"/>
        <w:ind w:left="0"/>
        <w:jc w:val="both"/>
        <w:rPr>
          <w:b/>
          <w:color w:val="0000FF"/>
          <w:sz w:val="22"/>
          <w:szCs w:val="22"/>
        </w:rPr>
      </w:pPr>
    </w:p>
    <w:p w:rsidR="006E05EB" w:rsidRDefault="006E05EB" w:rsidP="006E05EB">
      <w:pPr>
        <w:pStyle w:val="ListParagraph"/>
        <w:ind w:left="0"/>
        <w:jc w:val="both"/>
        <w:rPr>
          <w:b/>
          <w:color w:val="0000FF"/>
          <w:sz w:val="22"/>
          <w:szCs w:val="22"/>
        </w:rPr>
      </w:pPr>
    </w:p>
    <w:p w:rsidR="006E05EB" w:rsidRDefault="006E05EB" w:rsidP="006E05EB">
      <w:pPr>
        <w:pStyle w:val="ListParagraph"/>
        <w:ind w:left="0"/>
        <w:jc w:val="both"/>
        <w:rPr>
          <w:b/>
          <w:color w:val="0000FF"/>
          <w:sz w:val="22"/>
          <w:szCs w:val="22"/>
        </w:rPr>
      </w:pPr>
    </w:p>
    <w:p w:rsidR="006E05EB" w:rsidRDefault="006E05EB" w:rsidP="006E05EB">
      <w:pPr>
        <w:pStyle w:val="ListParagraph"/>
        <w:ind w:left="0"/>
        <w:jc w:val="both"/>
        <w:rPr>
          <w:b/>
          <w:color w:val="0000FF"/>
          <w:sz w:val="22"/>
          <w:szCs w:val="22"/>
        </w:rPr>
      </w:pPr>
    </w:p>
    <w:p w:rsidR="006B5AEB" w:rsidRDefault="006B5AEB" w:rsidP="006E05EB">
      <w:pPr>
        <w:pStyle w:val="ListParagraph"/>
        <w:ind w:left="0"/>
        <w:jc w:val="both"/>
        <w:rPr>
          <w:b/>
          <w:color w:val="0000FF"/>
          <w:sz w:val="22"/>
          <w:szCs w:val="22"/>
        </w:rPr>
      </w:pPr>
    </w:p>
    <w:p w:rsidR="006B5AEB" w:rsidRDefault="006B5AEB" w:rsidP="006E05EB">
      <w:pPr>
        <w:pStyle w:val="ListParagraph"/>
        <w:ind w:left="0"/>
        <w:jc w:val="both"/>
        <w:rPr>
          <w:b/>
          <w:color w:val="0000FF"/>
          <w:sz w:val="22"/>
          <w:szCs w:val="22"/>
        </w:rPr>
      </w:pPr>
    </w:p>
    <w:p w:rsidR="006B5AEB" w:rsidRDefault="006B5AEB" w:rsidP="006E05EB">
      <w:pPr>
        <w:pStyle w:val="ListParagraph"/>
        <w:ind w:left="0"/>
        <w:jc w:val="both"/>
        <w:rPr>
          <w:b/>
          <w:color w:val="0000FF"/>
          <w:sz w:val="22"/>
          <w:szCs w:val="22"/>
        </w:rPr>
      </w:pPr>
    </w:p>
    <w:p w:rsidR="006B5AEB" w:rsidRDefault="006B5AEB" w:rsidP="006E05EB">
      <w:pPr>
        <w:pStyle w:val="ListParagraph"/>
        <w:ind w:left="0"/>
        <w:jc w:val="both"/>
        <w:rPr>
          <w:b/>
          <w:color w:val="0000FF"/>
          <w:sz w:val="22"/>
          <w:szCs w:val="22"/>
        </w:rPr>
      </w:pPr>
    </w:p>
    <w:p w:rsidR="006B5AEB" w:rsidRDefault="006B5AEB" w:rsidP="006E05EB">
      <w:pPr>
        <w:pStyle w:val="ListParagraph"/>
        <w:ind w:left="0"/>
        <w:jc w:val="both"/>
        <w:rPr>
          <w:b/>
          <w:color w:val="0000FF"/>
          <w:sz w:val="22"/>
          <w:szCs w:val="22"/>
        </w:rPr>
      </w:pPr>
    </w:p>
    <w:p w:rsidR="006B5AEB" w:rsidRDefault="006B5AEB" w:rsidP="006E05EB">
      <w:pPr>
        <w:pStyle w:val="ListParagraph"/>
        <w:ind w:left="0"/>
        <w:jc w:val="both"/>
        <w:rPr>
          <w:b/>
          <w:color w:val="0000FF"/>
          <w:sz w:val="22"/>
          <w:szCs w:val="22"/>
        </w:rPr>
      </w:pPr>
    </w:p>
    <w:p w:rsidR="006E05EB" w:rsidRDefault="006E05EB" w:rsidP="006E05EB">
      <w:pPr>
        <w:pStyle w:val="ListParagraph"/>
        <w:ind w:left="0"/>
        <w:jc w:val="both"/>
        <w:rPr>
          <w:b/>
          <w:color w:val="0000FF"/>
          <w:sz w:val="22"/>
          <w:szCs w:val="22"/>
        </w:rPr>
      </w:pPr>
    </w:p>
    <w:p w:rsidR="006E05EB" w:rsidRDefault="006E05EB" w:rsidP="006E05EB">
      <w:pPr>
        <w:pStyle w:val="ListParagraph"/>
        <w:ind w:left="0"/>
        <w:jc w:val="both"/>
        <w:rPr>
          <w:b/>
          <w:color w:val="0000FF"/>
          <w:sz w:val="22"/>
          <w:szCs w:val="22"/>
        </w:rPr>
      </w:pPr>
    </w:p>
    <w:p w:rsidR="006E05EB" w:rsidRDefault="006E05EB" w:rsidP="006E05EB">
      <w:pPr>
        <w:pStyle w:val="ListParagraph"/>
        <w:ind w:left="0"/>
        <w:jc w:val="both"/>
        <w:rPr>
          <w:b/>
          <w:color w:val="0000FF"/>
          <w:sz w:val="22"/>
          <w:szCs w:val="22"/>
        </w:rPr>
      </w:pPr>
    </w:p>
    <w:p w:rsidR="007629C4" w:rsidRDefault="007629C4" w:rsidP="007629C4">
      <w:pPr>
        <w:jc w:val="both"/>
        <w:rPr>
          <w:b/>
          <w:color w:val="0000FF"/>
          <w:sz w:val="22"/>
          <w:szCs w:val="22"/>
        </w:rPr>
      </w:pPr>
    </w:p>
    <w:p w:rsidR="006B5AEB" w:rsidRPr="006B5AEB" w:rsidRDefault="006B5AEB" w:rsidP="006B5AEB">
      <w:pPr>
        <w:jc w:val="both"/>
        <w:rPr>
          <w:b/>
          <w:color w:val="0000FF"/>
          <w:sz w:val="22"/>
          <w:szCs w:val="22"/>
        </w:rPr>
      </w:pPr>
      <w:r w:rsidRPr="006B5AEB">
        <w:rPr>
          <w:b/>
          <w:color w:val="0000FF"/>
          <w:sz w:val="22"/>
          <w:szCs w:val="22"/>
        </w:rPr>
        <w:t>Question 6 – Do you have any comments (including technical comments) on the proposed Day-Rate mechanism you would like th</w:t>
      </w:r>
      <w:r w:rsidR="00A2073D">
        <w:rPr>
          <w:b/>
          <w:color w:val="0000FF"/>
          <w:sz w:val="22"/>
          <w:szCs w:val="22"/>
        </w:rPr>
        <w:t>e Authority to consider for 2023/24</w:t>
      </w:r>
      <w:r w:rsidRPr="006B5AEB">
        <w:rPr>
          <w:b/>
          <w:color w:val="0000FF"/>
          <w:sz w:val="22"/>
          <w:szCs w:val="22"/>
        </w:rPr>
        <w:t xml:space="preserve">? </w:t>
      </w:r>
    </w:p>
    <w:p w:rsidR="007629C4" w:rsidRDefault="000D04FA" w:rsidP="007629C4">
      <w:pPr>
        <w:jc w:val="both"/>
        <w:rPr>
          <w:b/>
          <w:color w:val="0000FF"/>
          <w:sz w:val="22"/>
          <w:szCs w:val="22"/>
        </w:rPr>
      </w:pPr>
      <w:r>
        <w:rPr>
          <w:rFonts w:cs="Arial"/>
          <w:b/>
          <w:noProof/>
          <w:color w:val="0000FF"/>
        </w:rPr>
        <mc:AlternateContent>
          <mc:Choice Requires="wps">
            <w:drawing>
              <wp:anchor distT="0" distB="0" distL="114300" distR="114300" simplePos="0" relativeHeight="251676672" behindDoc="0" locked="0" layoutInCell="1" allowOverlap="1" wp14:anchorId="68C5B699" wp14:editId="03FAF995">
                <wp:simplePos x="0" y="0"/>
                <wp:positionH relativeFrom="column">
                  <wp:posOffset>2540</wp:posOffset>
                </wp:positionH>
                <wp:positionV relativeFrom="paragraph">
                  <wp:posOffset>112395</wp:posOffset>
                </wp:positionV>
                <wp:extent cx="6400800" cy="2076450"/>
                <wp:effectExtent l="0" t="0" r="19050" b="1905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076450"/>
                        </a:xfrm>
                        <a:prstGeom prst="rect">
                          <a:avLst/>
                        </a:prstGeom>
                        <a:solidFill>
                          <a:srgbClr val="FFFFFF"/>
                        </a:solidFill>
                        <a:ln w="9525">
                          <a:solidFill>
                            <a:srgbClr val="0000FF"/>
                          </a:solidFill>
                          <a:miter lim="800000"/>
                          <a:headEnd/>
                          <a:tailEnd/>
                        </a:ln>
                      </wps:spPr>
                      <wps:txbx>
                        <w:txbxContent>
                          <w:p w:rsidR="009867AE" w:rsidRDefault="009867AE" w:rsidP="000D04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5B699" id="_x0000_s1031" type="#_x0000_t202" style="position:absolute;left:0;text-align:left;margin-left:.2pt;margin-top:8.85pt;width:7in;height:16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" strokecolor="blue">
                <v:textbox>
                  <w:txbxContent>
                    <w:p w:rsidR="009867AE" w:rsidRDefault="009867AE" w:rsidP="000D04FA"/>
                  </w:txbxContent>
                </v:textbox>
              </v:shape>
            </w:pict>
          </mc:Fallback>
        </mc:AlternateContent>
      </w: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0D04FA" w:rsidRDefault="000D04FA" w:rsidP="007629C4">
      <w:pPr>
        <w:jc w:val="both"/>
        <w:rPr>
          <w:b/>
          <w:color w:val="0000FF"/>
          <w:sz w:val="22"/>
          <w:szCs w:val="22"/>
        </w:rPr>
      </w:pPr>
    </w:p>
    <w:p w:rsidR="000D04FA" w:rsidRDefault="000D04FA" w:rsidP="007629C4">
      <w:pPr>
        <w:jc w:val="both"/>
        <w:rPr>
          <w:b/>
          <w:color w:val="0000FF"/>
          <w:sz w:val="22"/>
          <w:szCs w:val="22"/>
        </w:rPr>
      </w:pPr>
    </w:p>
    <w:p w:rsidR="000D04FA" w:rsidRDefault="000D04FA" w:rsidP="007629C4">
      <w:pPr>
        <w:jc w:val="both"/>
        <w:rPr>
          <w:b/>
          <w:color w:val="0000FF"/>
          <w:sz w:val="22"/>
          <w:szCs w:val="22"/>
        </w:rPr>
      </w:pPr>
    </w:p>
    <w:p w:rsidR="000D04FA" w:rsidRDefault="000D04FA" w:rsidP="007629C4">
      <w:pPr>
        <w:jc w:val="both"/>
        <w:rPr>
          <w:b/>
          <w:color w:val="0000FF"/>
          <w:sz w:val="22"/>
          <w:szCs w:val="22"/>
        </w:rPr>
      </w:pPr>
    </w:p>
    <w:p w:rsidR="000D04FA" w:rsidRDefault="000D04FA" w:rsidP="007629C4">
      <w:pPr>
        <w:jc w:val="both"/>
        <w:rPr>
          <w:b/>
          <w:color w:val="0000FF"/>
          <w:sz w:val="22"/>
          <w:szCs w:val="22"/>
        </w:rPr>
      </w:pPr>
    </w:p>
    <w:p w:rsidR="000D04FA" w:rsidRDefault="000D04FA" w:rsidP="007629C4">
      <w:pPr>
        <w:jc w:val="both"/>
        <w:rPr>
          <w:b/>
          <w:color w:val="0000FF"/>
          <w:sz w:val="22"/>
          <w:szCs w:val="22"/>
        </w:rPr>
      </w:pPr>
    </w:p>
    <w:p w:rsidR="000D04FA" w:rsidRDefault="000D04FA" w:rsidP="007629C4">
      <w:pPr>
        <w:jc w:val="both"/>
        <w:rPr>
          <w:b/>
          <w:color w:val="0000FF"/>
          <w:sz w:val="22"/>
          <w:szCs w:val="22"/>
        </w:rPr>
      </w:pPr>
    </w:p>
    <w:p w:rsidR="000D04FA" w:rsidRDefault="000D04FA" w:rsidP="007629C4">
      <w:pPr>
        <w:jc w:val="both"/>
        <w:rPr>
          <w:b/>
          <w:color w:val="0000FF"/>
          <w:sz w:val="22"/>
          <w:szCs w:val="22"/>
        </w:rPr>
      </w:pPr>
    </w:p>
    <w:p w:rsidR="006C5737" w:rsidRDefault="006C5737" w:rsidP="000D04FA">
      <w:pPr>
        <w:jc w:val="both"/>
        <w:rPr>
          <w:b/>
          <w:color w:val="0000FF"/>
          <w:sz w:val="22"/>
          <w:szCs w:val="22"/>
        </w:rPr>
      </w:pPr>
    </w:p>
    <w:p w:rsidR="00A50BBF" w:rsidRDefault="00A50BBF" w:rsidP="000D04FA">
      <w:pPr>
        <w:jc w:val="both"/>
        <w:rPr>
          <w:b/>
          <w:color w:val="0000FF"/>
          <w:sz w:val="22"/>
          <w:szCs w:val="22"/>
        </w:rPr>
      </w:pPr>
    </w:p>
    <w:p w:rsidR="00A50BBF" w:rsidRDefault="00A50BBF" w:rsidP="000D04FA">
      <w:pPr>
        <w:jc w:val="both"/>
        <w:rPr>
          <w:b/>
          <w:color w:val="0000FF"/>
          <w:sz w:val="22"/>
          <w:szCs w:val="22"/>
        </w:rPr>
      </w:pPr>
    </w:p>
    <w:p w:rsidR="007629C4" w:rsidRDefault="006C5737" w:rsidP="007629C4">
      <w:pPr>
        <w:jc w:val="both"/>
        <w:rPr>
          <w:b/>
          <w:color w:val="0000FF"/>
          <w:sz w:val="22"/>
          <w:szCs w:val="22"/>
        </w:rPr>
      </w:pPr>
      <w:r w:rsidRPr="006C5737">
        <w:rPr>
          <w:b/>
          <w:color w:val="0000FF"/>
          <w:sz w:val="22"/>
          <w:szCs w:val="22"/>
        </w:rPr>
        <w:t>Question 7 – Do you agree with the methodology that the Authority proposes to use to allocate the Teacher Pay Grant and Teacher Pensions Grant</w:t>
      </w:r>
      <w:r>
        <w:rPr>
          <w:b/>
          <w:color w:val="0000FF"/>
          <w:sz w:val="22"/>
          <w:szCs w:val="22"/>
        </w:rPr>
        <w:t xml:space="preserve"> </w:t>
      </w:r>
      <w:r w:rsidR="00A2073D">
        <w:rPr>
          <w:b/>
          <w:color w:val="0000FF"/>
          <w:sz w:val="22"/>
          <w:szCs w:val="22"/>
        </w:rPr>
        <w:t>in 2023/24</w:t>
      </w:r>
      <w:r w:rsidRPr="006C5737">
        <w:rPr>
          <w:b/>
          <w:color w:val="0000FF"/>
          <w:sz w:val="22"/>
          <w:szCs w:val="22"/>
        </w:rPr>
        <w:t>? If not, please can you explain why not.</w:t>
      </w:r>
    </w:p>
    <w:p w:rsidR="006C5737" w:rsidRPr="006C5737" w:rsidRDefault="006C5737" w:rsidP="007629C4">
      <w:pPr>
        <w:jc w:val="both"/>
        <w:rPr>
          <w:b/>
          <w:color w:val="0000FF"/>
          <w:sz w:val="22"/>
          <w:szCs w:val="22"/>
        </w:rPr>
      </w:pPr>
    </w:p>
    <w:p w:rsidR="007629C4" w:rsidRDefault="007629C4" w:rsidP="007629C4">
      <w:pPr>
        <w:jc w:val="both"/>
        <w:rPr>
          <w:rFonts w:cs="Arial"/>
          <w:b/>
          <w:color w:val="0000FF"/>
        </w:rPr>
      </w:pPr>
      <w:r>
        <w:rPr>
          <w:rFonts w:cs="Arial"/>
          <w:b/>
          <w:color w:val="0000FF"/>
        </w:rPr>
        <w:t>Strongly Agree</w:t>
      </w:r>
      <w:r>
        <w:rPr>
          <w:rFonts w:cs="Arial"/>
          <w:b/>
          <w:color w:val="0000FF"/>
        </w:rPr>
        <w:tab/>
        <w:t xml:space="preserve">     </w:t>
      </w:r>
      <w:r>
        <w:rPr>
          <w:rFonts w:cs="Arial"/>
          <w:b/>
          <w:color w:val="0000FF"/>
        </w:rPr>
        <w:fldChar w:fldCharType="begin">
          <w:ffData>
            <w:name w:val=""/>
            <w:enabled/>
            <w:calcOnExit w:val="0"/>
            <w:checkBox>
              <w:size w:val="26"/>
              <w:default w:val="0"/>
            </w:checkBox>
          </w:ffData>
        </w:fldChar>
      </w:r>
      <w:r>
        <w:rPr>
          <w:rFonts w:cs="Arial"/>
          <w:b/>
          <w:color w:val="0000FF"/>
        </w:rPr>
        <w:instrText xml:space="preserve"> FORMCHECKBOX </w:instrText>
      </w:r>
      <w:r w:rsidR="00DE0467">
        <w:rPr>
          <w:rFonts w:cs="Arial"/>
          <w:b/>
          <w:color w:val="0000FF"/>
        </w:rPr>
      </w:r>
      <w:r w:rsidR="00DE0467">
        <w:rPr>
          <w:rFonts w:cs="Arial"/>
          <w:b/>
          <w:color w:val="0000FF"/>
        </w:rPr>
        <w:fldChar w:fldCharType="separate"/>
      </w:r>
      <w:r>
        <w:rPr>
          <w:rFonts w:cs="Arial"/>
          <w:b/>
          <w:color w:val="0000FF"/>
        </w:rPr>
        <w:fldChar w:fldCharType="end"/>
      </w:r>
      <w:r>
        <w:rPr>
          <w:rFonts w:cs="Arial"/>
          <w:b/>
          <w:color w:val="0000FF"/>
        </w:rPr>
        <w:tab/>
        <w:t xml:space="preserve">        On Balance Agree (some reservations)</w:t>
      </w:r>
      <w:r>
        <w:rPr>
          <w:rFonts w:cs="Arial"/>
          <w:b/>
          <w:color w:val="0000FF"/>
        </w:rPr>
        <w:tab/>
      </w:r>
      <w:r>
        <w:rPr>
          <w:rFonts w:cs="Arial"/>
          <w:b/>
          <w:color w:val="0000FF"/>
        </w:rPr>
        <w:fldChar w:fldCharType="begin">
          <w:ffData>
            <w:name w:val="Check1"/>
            <w:enabled/>
            <w:calcOnExit w:val="0"/>
            <w:checkBox>
              <w:size w:val="26"/>
              <w:default w:val="0"/>
            </w:checkBox>
          </w:ffData>
        </w:fldChar>
      </w:r>
      <w:r>
        <w:rPr>
          <w:rFonts w:cs="Arial"/>
          <w:b/>
          <w:color w:val="0000FF"/>
        </w:rPr>
        <w:instrText xml:space="preserve"> FORMCHECKBOX </w:instrText>
      </w:r>
      <w:r w:rsidR="00DE0467">
        <w:rPr>
          <w:rFonts w:cs="Arial"/>
          <w:b/>
          <w:color w:val="0000FF"/>
        </w:rPr>
      </w:r>
      <w:r w:rsidR="00DE0467">
        <w:rPr>
          <w:rFonts w:cs="Arial"/>
          <w:b/>
          <w:color w:val="0000FF"/>
        </w:rPr>
        <w:fldChar w:fldCharType="separate"/>
      </w:r>
      <w:r>
        <w:rPr>
          <w:rFonts w:cs="Arial"/>
          <w:b/>
          <w:color w:val="0000FF"/>
        </w:rPr>
        <w:fldChar w:fldCharType="end"/>
      </w:r>
      <w:r>
        <w:rPr>
          <w:rFonts w:cs="Arial"/>
          <w:b/>
          <w:color w:val="0000FF"/>
        </w:rPr>
        <w:t xml:space="preserve">  </w:t>
      </w:r>
      <w:r>
        <w:rPr>
          <w:rFonts w:cs="Arial"/>
          <w:b/>
          <w:color w:val="0000FF"/>
        </w:rPr>
        <w:tab/>
        <w:t>Strongly Disagree</w:t>
      </w:r>
      <w:r>
        <w:rPr>
          <w:rFonts w:cs="Arial"/>
          <w:b/>
          <w:color w:val="0000FF"/>
        </w:rPr>
        <w:tab/>
      </w:r>
      <w:r>
        <w:rPr>
          <w:rFonts w:cs="Arial"/>
          <w:b/>
          <w:color w:val="0000FF"/>
        </w:rPr>
        <w:fldChar w:fldCharType="begin">
          <w:ffData>
            <w:name w:val="Check2"/>
            <w:enabled/>
            <w:calcOnExit w:val="0"/>
            <w:checkBox>
              <w:size w:val="26"/>
              <w:default w:val="0"/>
            </w:checkBox>
          </w:ffData>
        </w:fldChar>
      </w:r>
      <w:r>
        <w:rPr>
          <w:rFonts w:cs="Arial"/>
          <w:b/>
          <w:color w:val="0000FF"/>
        </w:rPr>
        <w:instrText xml:space="preserve"> FORMCHECKBOX </w:instrText>
      </w:r>
      <w:r w:rsidR="00DE0467">
        <w:rPr>
          <w:rFonts w:cs="Arial"/>
          <w:b/>
          <w:color w:val="0000FF"/>
        </w:rPr>
      </w:r>
      <w:r w:rsidR="00DE0467">
        <w:rPr>
          <w:rFonts w:cs="Arial"/>
          <w:b/>
          <w:color w:val="0000FF"/>
        </w:rPr>
        <w:fldChar w:fldCharType="separate"/>
      </w:r>
      <w:r>
        <w:rPr>
          <w:rFonts w:cs="Arial"/>
          <w:b/>
          <w:color w:val="0000FF"/>
        </w:rPr>
        <w:fldChar w:fldCharType="end"/>
      </w:r>
      <w:r>
        <w:rPr>
          <w:rFonts w:cs="Arial"/>
          <w:b/>
          <w:color w:val="0000FF"/>
        </w:rPr>
        <w:tab/>
      </w:r>
      <w:r>
        <w:rPr>
          <w:rFonts w:cs="Arial"/>
          <w:b/>
          <w:color w:val="0000FF"/>
        </w:rPr>
        <w:tab/>
      </w:r>
      <w:r>
        <w:rPr>
          <w:rFonts w:cs="Arial"/>
          <w:b/>
          <w:color w:val="0000FF"/>
        </w:rPr>
        <w:tab/>
      </w:r>
      <w:r>
        <w:rPr>
          <w:rFonts w:cs="Arial"/>
          <w:b/>
          <w:color w:val="0000FF"/>
        </w:rPr>
        <w:tab/>
      </w:r>
      <w:r>
        <w:rPr>
          <w:rFonts w:cs="Arial"/>
          <w:b/>
          <w:color w:val="0000FF"/>
        </w:rPr>
        <w:tab/>
      </w:r>
      <w:r>
        <w:rPr>
          <w:rFonts w:cs="Arial"/>
          <w:b/>
          <w:color w:val="0000FF"/>
        </w:rPr>
        <w:tab/>
      </w:r>
    </w:p>
    <w:p w:rsidR="007629C4" w:rsidRDefault="007629C4" w:rsidP="007629C4">
      <w:pPr>
        <w:jc w:val="both"/>
        <w:rPr>
          <w:rFonts w:cs="Arial"/>
          <w:b/>
          <w:color w:val="0000FF"/>
        </w:rPr>
      </w:pPr>
      <w:r>
        <w:rPr>
          <w:rFonts w:cs="Arial"/>
          <w:b/>
          <w:noProof/>
          <w:color w:val="0000FF"/>
        </w:rPr>
        <mc:AlternateContent>
          <mc:Choice Requires="wps">
            <w:drawing>
              <wp:anchor distT="0" distB="0" distL="114300" distR="114300" simplePos="0" relativeHeight="251661312" behindDoc="0" locked="0" layoutInCell="1" allowOverlap="1" wp14:anchorId="209C8344" wp14:editId="2F648944">
                <wp:simplePos x="0" y="0"/>
                <wp:positionH relativeFrom="column">
                  <wp:posOffset>2540</wp:posOffset>
                </wp:positionH>
                <wp:positionV relativeFrom="paragraph">
                  <wp:posOffset>635</wp:posOffset>
                </wp:positionV>
                <wp:extent cx="6400800" cy="2066925"/>
                <wp:effectExtent l="0" t="0" r="19050" b="2857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066925"/>
                        </a:xfrm>
                        <a:prstGeom prst="rect">
                          <a:avLst/>
                        </a:prstGeom>
                        <a:solidFill>
                          <a:srgbClr val="FFFFFF"/>
                        </a:solidFill>
                        <a:ln w="9525">
                          <a:solidFill>
                            <a:srgbClr val="0000FF"/>
                          </a:solidFill>
                          <a:miter lim="800000"/>
                          <a:headEnd/>
                          <a:tailEnd/>
                        </a:ln>
                      </wps:spPr>
                      <wps:txbx>
                        <w:txbxContent>
                          <w:p w:rsidR="009867AE" w:rsidRPr="00B102E7" w:rsidRDefault="009867AE" w:rsidP="007629C4">
                            <w:pPr>
                              <w:rPr>
                                <w:color w:val="0000FF"/>
                              </w:rPr>
                            </w:pPr>
                            <w:r w:rsidRPr="00B102E7">
                              <w:rPr>
                                <w:color w:val="0000FF"/>
                              </w:rPr>
                              <w:t>If not, please provide further explanation here:</w:t>
                            </w:r>
                          </w:p>
                          <w:p w:rsidR="009867AE" w:rsidRDefault="009867AE" w:rsidP="007629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C8344" id="Text Box 5" o:spid="_x0000_s1032" type="#_x0000_t202" style="position:absolute;left:0;text-align:left;margin-left:.2pt;margin-top:.05pt;width:7in;height:16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" strokecolor="blue">
                <v:textbox>
                  <w:txbxContent>
                    <w:p w:rsidR="009867AE" w:rsidRPr="00B102E7" w:rsidRDefault="009867AE" w:rsidP="007629C4">
                      <w:pPr>
                        <w:rPr>
                          <w:color w:val="0000FF"/>
                        </w:rPr>
                      </w:pPr>
                      <w:r w:rsidRPr="00B102E7">
                        <w:rPr>
                          <w:color w:val="0000FF"/>
                        </w:rPr>
                        <w:t>If not, please provide further explanation here:</w:t>
                      </w:r>
                    </w:p>
                    <w:p w:rsidR="009867AE" w:rsidRDefault="009867AE" w:rsidP="007629C4"/>
                  </w:txbxContent>
                </v:textbox>
              </v:shape>
            </w:pict>
          </mc:Fallback>
        </mc:AlternateContent>
      </w: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Pr="00A70F31" w:rsidRDefault="007629C4" w:rsidP="007629C4">
      <w:pPr>
        <w:jc w:val="both"/>
        <w:rPr>
          <w:b/>
          <w:i/>
          <w:color w:val="0000FF"/>
          <w:sz w:val="22"/>
          <w:szCs w:val="22"/>
        </w:rPr>
      </w:pPr>
    </w:p>
    <w:p w:rsidR="007629C4" w:rsidRDefault="007629C4" w:rsidP="007629C4">
      <w:pPr>
        <w:jc w:val="both"/>
        <w:rPr>
          <w:b/>
          <w:i/>
          <w:color w:val="0000FF"/>
          <w:sz w:val="22"/>
          <w:szCs w:val="22"/>
        </w:rPr>
      </w:pPr>
    </w:p>
    <w:p w:rsidR="007629C4" w:rsidRDefault="007629C4" w:rsidP="007629C4">
      <w:pPr>
        <w:jc w:val="both"/>
        <w:rPr>
          <w:b/>
          <w:i/>
          <w:color w:val="0000FF"/>
          <w:sz w:val="22"/>
          <w:szCs w:val="22"/>
        </w:rPr>
      </w:pPr>
    </w:p>
    <w:p w:rsidR="00804553" w:rsidRDefault="00804553" w:rsidP="007629C4">
      <w:pPr>
        <w:jc w:val="both"/>
        <w:rPr>
          <w:b/>
          <w:color w:val="0000FF"/>
          <w:sz w:val="22"/>
          <w:szCs w:val="22"/>
        </w:rPr>
      </w:pPr>
    </w:p>
    <w:p w:rsidR="00A50BBF" w:rsidRDefault="00A50BBF" w:rsidP="007629C4">
      <w:pPr>
        <w:jc w:val="both"/>
        <w:rPr>
          <w:b/>
          <w:color w:val="0000FF"/>
          <w:sz w:val="22"/>
          <w:szCs w:val="22"/>
        </w:rPr>
      </w:pPr>
    </w:p>
    <w:p w:rsidR="00A50BBF" w:rsidRDefault="00A50BBF" w:rsidP="007629C4">
      <w:pPr>
        <w:jc w:val="both"/>
        <w:rPr>
          <w:b/>
          <w:color w:val="0000FF"/>
          <w:sz w:val="22"/>
          <w:szCs w:val="22"/>
        </w:rPr>
      </w:pPr>
    </w:p>
    <w:p w:rsidR="00A2073D" w:rsidRPr="006C5737" w:rsidRDefault="00A2073D" w:rsidP="00A2073D">
      <w:pPr>
        <w:jc w:val="both"/>
        <w:rPr>
          <w:b/>
          <w:color w:val="0000FF"/>
          <w:sz w:val="22"/>
          <w:szCs w:val="22"/>
        </w:rPr>
      </w:pPr>
      <w:r w:rsidRPr="006C5737">
        <w:rPr>
          <w:b/>
          <w:color w:val="0000FF"/>
          <w:sz w:val="22"/>
          <w:szCs w:val="22"/>
        </w:rPr>
        <w:t>Question 8 – Do you agree with proposal to</w:t>
      </w:r>
      <w:r>
        <w:rPr>
          <w:b/>
          <w:color w:val="0000FF"/>
          <w:sz w:val="22"/>
          <w:szCs w:val="22"/>
        </w:rPr>
        <w:t xml:space="preserve"> adjust our definition of Notional SEND within mainstream primary and secondary formula funding</w:t>
      </w:r>
      <w:r w:rsidRPr="006C5737">
        <w:rPr>
          <w:b/>
          <w:color w:val="0000FF"/>
          <w:sz w:val="22"/>
          <w:szCs w:val="22"/>
        </w:rPr>
        <w:t>? If not, please can you explain why not.</w:t>
      </w:r>
    </w:p>
    <w:p w:rsidR="00A2073D" w:rsidRDefault="00A2073D" w:rsidP="00A2073D">
      <w:pPr>
        <w:jc w:val="both"/>
        <w:rPr>
          <w:b/>
          <w:color w:val="548DD4" w:themeColor="text2" w:themeTint="99"/>
          <w:sz w:val="22"/>
          <w:szCs w:val="22"/>
        </w:rPr>
      </w:pPr>
    </w:p>
    <w:p w:rsidR="00A2073D" w:rsidRDefault="00A2073D" w:rsidP="00A2073D">
      <w:pPr>
        <w:jc w:val="both"/>
        <w:rPr>
          <w:rFonts w:cs="Arial"/>
          <w:b/>
          <w:color w:val="0000FF"/>
        </w:rPr>
      </w:pPr>
      <w:r>
        <w:rPr>
          <w:rFonts w:cs="Arial"/>
          <w:b/>
          <w:color w:val="0000FF"/>
        </w:rPr>
        <w:t>Strongly Agree</w:t>
      </w:r>
      <w:r>
        <w:rPr>
          <w:rFonts w:cs="Arial"/>
          <w:b/>
          <w:color w:val="0000FF"/>
        </w:rPr>
        <w:tab/>
        <w:t xml:space="preserve">     </w:t>
      </w:r>
      <w:r>
        <w:rPr>
          <w:rFonts w:cs="Arial"/>
          <w:b/>
          <w:color w:val="0000FF"/>
        </w:rPr>
        <w:fldChar w:fldCharType="begin">
          <w:ffData>
            <w:name w:val=""/>
            <w:enabled/>
            <w:calcOnExit w:val="0"/>
            <w:checkBox>
              <w:size w:val="26"/>
              <w:default w:val="0"/>
            </w:checkBox>
          </w:ffData>
        </w:fldChar>
      </w:r>
      <w:r>
        <w:rPr>
          <w:rFonts w:cs="Arial"/>
          <w:b/>
          <w:color w:val="0000FF"/>
        </w:rPr>
        <w:instrText xml:space="preserve"> FORMCHECKBOX </w:instrText>
      </w:r>
      <w:r w:rsidR="00DE0467">
        <w:rPr>
          <w:rFonts w:cs="Arial"/>
          <w:b/>
          <w:color w:val="0000FF"/>
        </w:rPr>
      </w:r>
      <w:r w:rsidR="00DE0467">
        <w:rPr>
          <w:rFonts w:cs="Arial"/>
          <w:b/>
          <w:color w:val="0000FF"/>
        </w:rPr>
        <w:fldChar w:fldCharType="separate"/>
      </w:r>
      <w:r>
        <w:rPr>
          <w:rFonts w:cs="Arial"/>
          <w:b/>
          <w:color w:val="0000FF"/>
        </w:rPr>
        <w:fldChar w:fldCharType="end"/>
      </w:r>
      <w:r>
        <w:rPr>
          <w:rFonts w:cs="Arial"/>
          <w:b/>
          <w:color w:val="0000FF"/>
        </w:rPr>
        <w:tab/>
        <w:t xml:space="preserve">        On Balance Agree (some reservations)</w:t>
      </w:r>
      <w:r>
        <w:rPr>
          <w:rFonts w:cs="Arial"/>
          <w:b/>
          <w:color w:val="0000FF"/>
        </w:rPr>
        <w:tab/>
      </w:r>
      <w:r>
        <w:rPr>
          <w:rFonts w:cs="Arial"/>
          <w:b/>
          <w:color w:val="0000FF"/>
        </w:rPr>
        <w:fldChar w:fldCharType="begin">
          <w:ffData>
            <w:name w:val="Check1"/>
            <w:enabled/>
            <w:calcOnExit w:val="0"/>
            <w:checkBox>
              <w:size w:val="26"/>
              <w:default w:val="0"/>
            </w:checkBox>
          </w:ffData>
        </w:fldChar>
      </w:r>
      <w:r>
        <w:rPr>
          <w:rFonts w:cs="Arial"/>
          <w:b/>
          <w:color w:val="0000FF"/>
        </w:rPr>
        <w:instrText xml:space="preserve"> FORMCHECKBOX </w:instrText>
      </w:r>
      <w:r w:rsidR="00DE0467">
        <w:rPr>
          <w:rFonts w:cs="Arial"/>
          <w:b/>
          <w:color w:val="0000FF"/>
        </w:rPr>
      </w:r>
      <w:r w:rsidR="00DE0467">
        <w:rPr>
          <w:rFonts w:cs="Arial"/>
          <w:b/>
          <w:color w:val="0000FF"/>
        </w:rPr>
        <w:fldChar w:fldCharType="separate"/>
      </w:r>
      <w:r>
        <w:rPr>
          <w:rFonts w:cs="Arial"/>
          <w:b/>
          <w:color w:val="0000FF"/>
        </w:rPr>
        <w:fldChar w:fldCharType="end"/>
      </w:r>
      <w:r>
        <w:rPr>
          <w:rFonts w:cs="Arial"/>
          <w:b/>
          <w:color w:val="0000FF"/>
        </w:rPr>
        <w:t xml:space="preserve">  </w:t>
      </w:r>
      <w:r>
        <w:rPr>
          <w:rFonts w:cs="Arial"/>
          <w:b/>
          <w:color w:val="0000FF"/>
        </w:rPr>
        <w:tab/>
        <w:t>Strongly Disagree</w:t>
      </w:r>
      <w:r>
        <w:rPr>
          <w:rFonts w:cs="Arial"/>
          <w:b/>
          <w:color w:val="0000FF"/>
        </w:rPr>
        <w:tab/>
      </w:r>
      <w:r>
        <w:rPr>
          <w:rFonts w:cs="Arial"/>
          <w:b/>
          <w:color w:val="0000FF"/>
        </w:rPr>
        <w:fldChar w:fldCharType="begin">
          <w:ffData>
            <w:name w:val="Check2"/>
            <w:enabled/>
            <w:calcOnExit w:val="0"/>
            <w:checkBox>
              <w:size w:val="26"/>
              <w:default w:val="0"/>
            </w:checkBox>
          </w:ffData>
        </w:fldChar>
      </w:r>
      <w:r>
        <w:rPr>
          <w:rFonts w:cs="Arial"/>
          <w:b/>
          <w:color w:val="0000FF"/>
        </w:rPr>
        <w:instrText xml:space="preserve"> FORMCHECKBOX </w:instrText>
      </w:r>
      <w:r w:rsidR="00DE0467">
        <w:rPr>
          <w:rFonts w:cs="Arial"/>
          <w:b/>
          <w:color w:val="0000FF"/>
        </w:rPr>
      </w:r>
      <w:r w:rsidR="00DE0467">
        <w:rPr>
          <w:rFonts w:cs="Arial"/>
          <w:b/>
          <w:color w:val="0000FF"/>
        </w:rPr>
        <w:fldChar w:fldCharType="separate"/>
      </w:r>
      <w:r>
        <w:rPr>
          <w:rFonts w:cs="Arial"/>
          <w:b/>
          <w:color w:val="0000FF"/>
        </w:rPr>
        <w:fldChar w:fldCharType="end"/>
      </w:r>
      <w:r>
        <w:rPr>
          <w:rFonts w:cs="Arial"/>
          <w:b/>
          <w:color w:val="0000FF"/>
        </w:rPr>
        <w:tab/>
      </w:r>
      <w:r>
        <w:rPr>
          <w:rFonts w:cs="Arial"/>
          <w:b/>
          <w:color w:val="0000FF"/>
        </w:rPr>
        <w:tab/>
      </w:r>
      <w:r>
        <w:rPr>
          <w:rFonts w:cs="Arial"/>
          <w:b/>
          <w:color w:val="0000FF"/>
        </w:rPr>
        <w:tab/>
      </w:r>
      <w:r>
        <w:rPr>
          <w:rFonts w:cs="Arial"/>
          <w:b/>
          <w:color w:val="0000FF"/>
        </w:rPr>
        <w:tab/>
      </w:r>
      <w:r>
        <w:rPr>
          <w:rFonts w:cs="Arial"/>
          <w:b/>
          <w:color w:val="0000FF"/>
        </w:rPr>
        <w:tab/>
      </w:r>
      <w:r>
        <w:rPr>
          <w:rFonts w:cs="Arial"/>
          <w:b/>
          <w:color w:val="0000FF"/>
        </w:rPr>
        <w:tab/>
      </w:r>
    </w:p>
    <w:p w:rsidR="00A2073D" w:rsidRDefault="00A2073D" w:rsidP="00A2073D">
      <w:pPr>
        <w:jc w:val="both"/>
        <w:rPr>
          <w:rFonts w:cs="Arial"/>
          <w:b/>
          <w:color w:val="0000FF"/>
        </w:rPr>
      </w:pPr>
      <w:r>
        <w:rPr>
          <w:rFonts w:cs="Arial"/>
          <w:b/>
          <w:noProof/>
          <w:color w:val="0000FF"/>
        </w:rPr>
        <mc:AlternateContent>
          <mc:Choice Requires="wps">
            <w:drawing>
              <wp:anchor distT="0" distB="0" distL="114300" distR="114300" simplePos="0" relativeHeight="251682816" behindDoc="0" locked="0" layoutInCell="1" allowOverlap="1" wp14:anchorId="2E5EDB2D" wp14:editId="080B0C11">
                <wp:simplePos x="0" y="0"/>
                <wp:positionH relativeFrom="column">
                  <wp:posOffset>2540</wp:posOffset>
                </wp:positionH>
                <wp:positionV relativeFrom="paragraph">
                  <wp:posOffset>635</wp:posOffset>
                </wp:positionV>
                <wp:extent cx="6400800" cy="24479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47925"/>
                        </a:xfrm>
                        <a:prstGeom prst="rect">
                          <a:avLst/>
                        </a:prstGeom>
                        <a:solidFill>
                          <a:srgbClr val="FFFFFF"/>
                        </a:solidFill>
                        <a:ln w="9525">
                          <a:solidFill>
                            <a:srgbClr val="0000FF"/>
                          </a:solidFill>
                          <a:miter lim="800000"/>
                          <a:headEnd/>
                          <a:tailEnd/>
                        </a:ln>
                      </wps:spPr>
                      <wps:txbx>
                        <w:txbxContent>
                          <w:p w:rsidR="009867AE" w:rsidRPr="00B102E7" w:rsidRDefault="009867AE" w:rsidP="00A2073D">
                            <w:pPr>
                              <w:rPr>
                                <w:color w:val="0000FF"/>
                              </w:rPr>
                            </w:pPr>
                            <w:r w:rsidRPr="00B102E7">
                              <w:rPr>
                                <w:color w:val="0000FF"/>
                              </w:rPr>
                              <w:t>If not, please provide further explanation here:</w:t>
                            </w:r>
                          </w:p>
                          <w:p w:rsidR="009867AE" w:rsidRDefault="009867AE" w:rsidP="00A207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EDB2D" id="_x0000_s1033" type="#_x0000_t202" style="position:absolute;left:0;text-align:left;margin-left:.2pt;margin-top:.05pt;width:7in;height:19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" strokecolor="blue">
                <v:textbox>
                  <w:txbxContent>
                    <w:p w:rsidR="009867AE" w:rsidRPr="00B102E7" w:rsidRDefault="009867AE" w:rsidP="00A2073D">
                      <w:pPr>
                        <w:rPr>
                          <w:color w:val="0000FF"/>
                        </w:rPr>
                      </w:pPr>
                      <w:r w:rsidRPr="00B102E7">
                        <w:rPr>
                          <w:color w:val="0000FF"/>
                        </w:rPr>
                        <w:t>If not, please provide further explanation here:</w:t>
                      </w:r>
                    </w:p>
                    <w:p w:rsidR="009867AE" w:rsidRDefault="009867AE" w:rsidP="00A2073D"/>
                  </w:txbxContent>
                </v:textbox>
              </v:shape>
            </w:pict>
          </mc:Fallback>
        </mc:AlternateContent>
      </w:r>
    </w:p>
    <w:p w:rsidR="00A2073D" w:rsidRDefault="00A2073D" w:rsidP="00A2073D">
      <w:pPr>
        <w:jc w:val="both"/>
        <w:rPr>
          <w:rFonts w:cs="Arial"/>
          <w:b/>
          <w:color w:val="0000FF"/>
        </w:rPr>
      </w:pPr>
    </w:p>
    <w:p w:rsidR="00A2073D" w:rsidRDefault="00A2073D" w:rsidP="00A2073D">
      <w:pPr>
        <w:jc w:val="both"/>
        <w:rPr>
          <w:rFonts w:cs="Arial"/>
          <w:b/>
          <w:color w:val="0000FF"/>
        </w:rPr>
      </w:pPr>
    </w:p>
    <w:p w:rsidR="00A2073D" w:rsidRDefault="00A2073D" w:rsidP="00A2073D">
      <w:pPr>
        <w:jc w:val="both"/>
        <w:rPr>
          <w:rFonts w:cs="Arial"/>
          <w:b/>
          <w:color w:val="0000FF"/>
        </w:rPr>
      </w:pPr>
    </w:p>
    <w:p w:rsidR="00A2073D" w:rsidRDefault="00A2073D" w:rsidP="00A2073D">
      <w:pPr>
        <w:jc w:val="both"/>
        <w:rPr>
          <w:rFonts w:cs="Arial"/>
          <w:b/>
          <w:color w:val="0000FF"/>
        </w:rPr>
      </w:pPr>
    </w:p>
    <w:p w:rsidR="00A2073D" w:rsidRDefault="00A2073D" w:rsidP="00A2073D">
      <w:pPr>
        <w:jc w:val="both"/>
        <w:rPr>
          <w:rFonts w:cs="Arial"/>
          <w:b/>
          <w:color w:val="0000FF"/>
        </w:rPr>
      </w:pPr>
    </w:p>
    <w:p w:rsidR="00A2073D" w:rsidRDefault="00A2073D" w:rsidP="00A2073D">
      <w:pPr>
        <w:jc w:val="both"/>
        <w:rPr>
          <w:rFonts w:cs="Arial"/>
          <w:b/>
          <w:color w:val="0000FF"/>
        </w:rPr>
      </w:pPr>
    </w:p>
    <w:p w:rsidR="00A2073D" w:rsidRDefault="00A2073D" w:rsidP="00A2073D">
      <w:pPr>
        <w:jc w:val="both"/>
        <w:rPr>
          <w:rFonts w:cs="Arial"/>
          <w:b/>
          <w:color w:val="0000FF"/>
        </w:rPr>
      </w:pPr>
    </w:p>
    <w:p w:rsidR="00A2073D" w:rsidRDefault="00A2073D" w:rsidP="00A2073D">
      <w:pPr>
        <w:jc w:val="both"/>
        <w:rPr>
          <w:rFonts w:cs="Arial"/>
          <w:b/>
          <w:color w:val="0000FF"/>
        </w:rPr>
      </w:pPr>
    </w:p>
    <w:p w:rsidR="00A2073D" w:rsidRDefault="00A2073D" w:rsidP="00A2073D">
      <w:pPr>
        <w:jc w:val="both"/>
        <w:rPr>
          <w:rFonts w:cs="Arial"/>
          <w:b/>
          <w:color w:val="0000FF"/>
        </w:rPr>
      </w:pPr>
    </w:p>
    <w:p w:rsidR="00A2073D" w:rsidRDefault="00A2073D" w:rsidP="00A2073D">
      <w:pPr>
        <w:jc w:val="both"/>
        <w:rPr>
          <w:rFonts w:cs="Arial"/>
          <w:b/>
          <w:color w:val="0000FF"/>
        </w:rPr>
      </w:pPr>
    </w:p>
    <w:p w:rsidR="00A2073D" w:rsidRDefault="00A2073D" w:rsidP="00A2073D">
      <w:pPr>
        <w:jc w:val="both"/>
        <w:rPr>
          <w:rFonts w:cs="Arial"/>
          <w:b/>
          <w:color w:val="0000FF"/>
        </w:rPr>
      </w:pPr>
    </w:p>
    <w:p w:rsidR="00A2073D" w:rsidRDefault="00A2073D" w:rsidP="00A2073D">
      <w:pPr>
        <w:jc w:val="both"/>
        <w:rPr>
          <w:rFonts w:cs="Arial"/>
          <w:b/>
          <w:color w:val="0000FF"/>
        </w:rPr>
      </w:pPr>
    </w:p>
    <w:p w:rsidR="00A2073D" w:rsidRDefault="00A2073D" w:rsidP="00A2073D">
      <w:pPr>
        <w:jc w:val="both"/>
        <w:rPr>
          <w:b/>
          <w:color w:val="548DD4" w:themeColor="text2" w:themeTint="99"/>
          <w:sz w:val="22"/>
          <w:szCs w:val="22"/>
        </w:rPr>
      </w:pPr>
    </w:p>
    <w:p w:rsidR="00A2073D" w:rsidRDefault="00A2073D" w:rsidP="00A2073D">
      <w:pPr>
        <w:jc w:val="both"/>
        <w:rPr>
          <w:b/>
          <w:color w:val="548DD4" w:themeColor="text2" w:themeTint="99"/>
          <w:sz w:val="22"/>
          <w:szCs w:val="22"/>
        </w:rPr>
      </w:pPr>
    </w:p>
    <w:p w:rsidR="00A2073D" w:rsidRDefault="00A2073D" w:rsidP="006C5737">
      <w:pPr>
        <w:jc w:val="both"/>
        <w:rPr>
          <w:b/>
          <w:color w:val="0000FF"/>
          <w:sz w:val="22"/>
          <w:szCs w:val="22"/>
        </w:rPr>
      </w:pPr>
    </w:p>
    <w:p w:rsidR="006C5737" w:rsidRPr="006C5737" w:rsidRDefault="00DA1FC2" w:rsidP="006C5737">
      <w:pPr>
        <w:jc w:val="both"/>
        <w:rPr>
          <w:b/>
          <w:color w:val="0000FF"/>
          <w:sz w:val="22"/>
          <w:szCs w:val="22"/>
        </w:rPr>
      </w:pPr>
      <w:r>
        <w:rPr>
          <w:b/>
          <w:color w:val="0000FF"/>
          <w:sz w:val="22"/>
          <w:szCs w:val="22"/>
        </w:rPr>
        <w:t>Question 9</w:t>
      </w:r>
      <w:r w:rsidR="006C5737" w:rsidRPr="006C5737">
        <w:rPr>
          <w:b/>
          <w:color w:val="0000FF"/>
          <w:sz w:val="22"/>
          <w:szCs w:val="22"/>
        </w:rPr>
        <w:t xml:space="preserve"> – Do you agree with </w:t>
      </w:r>
      <w:r>
        <w:rPr>
          <w:b/>
          <w:color w:val="0000FF"/>
          <w:sz w:val="22"/>
          <w:szCs w:val="22"/>
        </w:rPr>
        <w:t>the continuation of our SEND Funding Floor mechanism in 2023/24, as proposed</w:t>
      </w:r>
      <w:r w:rsidR="006C5737" w:rsidRPr="006C5737">
        <w:rPr>
          <w:b/>
          <w:color w:val="0000FF"/>
          <w:sz w:val="22"/>
          <w:szCs w:val="22"/>
        </w:rPr>
        <w:t>? If not, please can you explain why not.</w:t>
      </w:r>
    </w:p>
    <w:p w:rsidR="006C5737" w:rsidRDefault="006C5737" w:rsidP="006C5737">
      <w:pPr>
        <w:jc w:val="both"/>
        <w:rPr>
          <w:b/>
          <w:color w:val="548DD4" w:themeColor="text2" w:themeTint="99"/>
          <w:sz w:val="22"/>
          <w:szCs w:val="22"/>
        </w:rPr>
      </w:pPr>
    </w:p>
    <w:p w:rsidR="00A50BBF" w:rsidRDefault="00A50BBF" w:rsidP="00A50BBF">
      <w:pPr>
        <w:jc w:val="both"/>
        <w:rPr>
          <w:rFonts w:cs="Arial"/>
          <w:b/>
          <w:color w:val="0000FF"/>
        </w:rPr>
      </w:pPr>
      <w:r>
        <w:rPr>
          <w:rFonts w:cs="Arial"/>
          <w:b/>
          <w:color w:val="0000FF"/>
        </w:rPr>
        <w:t>Strongly Agree</w:t>
      </w:r>
      <w:r>
        <w:rPr>
          <w:rFonts w:cs="Arial"/>
          <w:b/>
          <w:color w:val="0000FF"/>
        </w:rPr>
        <w:tab/>
        <w:t xml:space="preserve">     </w:t>
      </w:r>
      <w:r>
        <w:rPr>
          <w:rFonts w:cs="Arial"/>
          <w:b/>
          <w:color w:val="0000FF"/>
        </w:rPr>
        <w:fldChar w:fldCharType="begin">
          <w:ffData>
            <w:name w:val=""/>
            <w:enabled/>
            <w:calcOnExit w:val="0"/>
            <w:checkBox>
              <w:size w:val="26"/>
              <w:default w:val="0"/>
            </w:checkBox>
          </w:ffData>
        </w:fldChar>
      </w:r>
      <w:r>
        <w:rPr>
          <w:rFonts w:cs="Arial"/>
          <w:b/>
          <w:color w:val="0000FF"/>
        </w:rPr>
        <w:instrText xml:space="preserve"> FORMCHECKBOX </w:instrText>
      </w:r>
      <w:r w:rsidR="00DE0467">
        <w:rPr>
          <w:rFonts w:cs="Arial"/>
          <w:b/>
          <w:color w:val="0000FF"/>
        </w:rPr>
      </w:r>
      <w:r w:rsidR="00DE0467">
        <w:rPr>
          <w:rFonts w:cs="Arial"/>
          <w:b/>
          <w:color w:val="0000FF"/>
        </w:rPr>
        <w:fldChar w:fldCharType="separate"/>
      </w:r>
      <w:r>
        <w:rPr>
          <w:rFonts w:cs="Arial"/>
          <w:b/>
          <w:color w:val="0000FF"/>
        </w:rPr>
        <w:fldChar w:fldCharType="end"/>
      </w:r>
      <w:r>
        <w:rPr>
          <w:rFonts w:cs="Arial"/>
          <w:b/>
          <w:color w:val="0000FF"/>
        </w:rPr>
        <w:tab/>
        <w:t xml:space="preserve">        On Balance Agree (some reservations)</w:t>
      </w:r>
      <w:r>
        <w:rPr>
          <w:rFonts w:cs="Arial"/>
          <w:b/>
          <w:color w:val="0000FF"/>
        </w:rPr>
        <w:tab/>
      </w:r>
      <w:r>
        <w:rPr>
          <w:rFonts w:cs="Arial"/>
          <w:b/>
          <w:color w:val="0000FF"/>
        </w:rPr>
        <w:fldChar w:fldCharType="begin">
          <w:ffData>
            <w:name w:val="Check1"/>
            <w:enabled/>
            <w:calcOnExit w:val="0"/>
            <w:checkBox>
              <w:size w:val="26"/>
              <w:default w:val="0"/>
            </w:checkBox>
          </w:ffData>
        </w:fldChar>
      </w:r>
      <w:r>
        <w:rPr>
          <w:rFonts w:cs="Arial"/>
          <w:b/>
          <w:color w:val="0000FF"/>
        </w:rPr>
        <w:instrText xml:space="preserve"> FORMCHECKBOX </w:instrText>
      </w:r>
      <w:r w:rsidR="00DE0467">
        <w:rPr>
          <w:rFonts w:cs="Arial"/>
          <w:b/>
          <w:color w:val="0000FF"/>
        </w:rPr>
      </w:r>
      <w:r w:rsidR="00DE0467">
        <w:rPr>
          <w:rFonts w:cs="Arial"/>
          <w:b/>
          <w:color w:val="0000FF"/>
        </w:rPr>
        <w:fldChar w:fldCharType="separate"/>
      </w:r>
      <w:r>
        <w:rPr>
          <w:rFonts w:cs="Arial"/>
          <w:b/>
          <w:color w:val="0000FF"/>
        </w:rPr>
        <w:fldChar w:fldCharType="end"/>
      </w:r>
      <w:r>
        <w:rPr>
          <w:rFonts w:cs="Arial"/>
          <w:b/>
          <w:color w:val="0000FF"/>
        </w:rPr>
        <w:t xml:space="preserve">  </w:t>
      </w:r>
      <w:r>
        <w:rPr>
          <w:rFonts w:cs="Arial"/>
          <w:b/>
          <w:color w:val="0000FF"/>
        </w:rPr>
        <w:tab/>
        <w:t>Strongly Disagree</w:t>
      </w:r>
      <w:r>
        <w:rPr>
          <w:rFonts w:cs="Arial"/>
          <w:b/>
          <w:color w:val="0000FF"/>
        </w:rPr>
        <w:tab/>
      </w:r>
      <w:r>
        <w:rPr>
          <w:rFonts w:cs="Arial"/>
          <w:b/>
          <w:color w:val="0000FF"/>
        </w:rPr>
        <w:fldChar w:fldCharType="begin">
          <w:ffData>
            <w:name w:val="Check2"/>
            <w:enabled/>
            <w:calcOnExit w:val="0"/>
            <w:checkBox>
              <w:size w:val="26"/>
              <w:default w:val="0"/>
            </w:checkBox>
          </w:ffData>
        </w:fldChar>
      </w:r>
      <w:r>
        <w:rPr>
          <w:rFonts w:cs="Arial"/>
          <w:b/>
          <w:color w:val="0000FF"/>
        </w:rPr>
        <w:instrText xml:space="preserve"> FORMCHECKBOX </w:instrText>
      </w:r>
      <w:r w:rsidR="00DE0467">
        <w:rPr>
          <w:rFonts w:cs="Arial"/>
          <w:b/>
          <w:color w:val="0000FF"/>
        </w:rPr>
      </w:r>
      <w:r w:rsidR="00DE0467">
        <w:rPr>
          <w:rFonts w:cs="Arial"/>
          <w:b/>
          <w:color w:val="0000FF"/>
        </w:rPr>
        <w:fldChar w:fldCharType="separate"/>
      </w:r>
      <w:r>
        <w:rPr>
          <w:rFonts w:cs="Arial"/>
          <w:b/>
          <w:color w:val="0000FF"/>
        </w:rPr>
        <w:fldChar w:fldCharType="end"/>
      </w:r>
      <w:r>
        <w:rPr>
          <w:rFonts w:cs="Arial"/>
          <w:b/>
          <w:color w:val="0000FF"/>
        </w:rPr>
        <w:tab/>
      </w:r>
      <w:r>
        <w:rPr>
          <w:rFonts w:cs="Arial"/>
          <w:b/>
          <w:color w:val="0000FF"/>
        </w:rPr>
        <w:tab/>
      </w:r>
      <w:r>
        <w:rPr>
          <w:rFonts w:cs="Arial"/>
          <w:b/>
          <w:color w:val="0000FF"/>
        </w:rPr>
        <w:tab/>
      </w:r>
      <w:r>
        <w:rPr>
          <w:rFonts w:cs="Arial"/>
          <w:b/>
          <w:color w:val="0000FF"/>
        </w:rPr>
        <w:tab/>
      </w:r>
      <w:r>
        <w:rPr>
          <w:rFonts w:cs="Arial"/>
          <w:b/>
          <w:color w:val="0000FF"/>
        </w:rPr>
        <w:tab/>
      </w:r>
      <w:r>
        <w:rPr>
          <w:rFonts w:cs="Arial"/>
          <w:b/>
          <w:color w:val="0000FF"/>
        </w:rPr>
        <w:tab/>
      </w:r>
    </w:p>
    <w:p w:rsidR="00A50BBF" w:rsidRDefault="00A50BBF" w:rsidP="00A50BBF">
      <w:pPr>
        <w:jc w:val="both"/>
        <w:rPr>
          <w:rFonts w:cs="Arial"/>
          <w:b/>
          <w:color w:val="0000FF"/>
        </w:rPr>
      </w:pPr>
      <w:r>
        <w:rPr>
          <w:rFonts w:cs="Arial"/>
          <w:b/>
          <w:noProof/>
          <w:color w:val="0000FF"/>
        </w:rPr>
        <mc:AlternateContent>
          <mc:Choice Requires="wps">
            <w:drawing>
              <wp:anchor distT="0" distB="0" distL="114300" distR="114300" simplePos="0" relativeHeight="251678720" behindDoc="0" locked="0" layoutInCell="1" allowOverlap="1" wp14:anchorId="1F43CD7C" wp14:editId="072ED562">
                <wp:simplePos x="0" y="0"/>
                <wp:positionH relativeFrom="column">
                  <wp:posOffset>2540</wp:posOffset>
                </wp:positionH>
                <wp:positionV relativeFrom="paragraph">
                  <wp:posOffset>635</wp:posOffset>
                </wp:positionV>
                <wp:extent cx="6400800" cy="24479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47925"/>
                        </a:xfrm>
                        <a:prstGeom prst="rect">
                          <a:avLst/>
                        </a:prstGeom>
                        <a:solidFill>
                          <a:srgbClr val="FFFFFF"/>
                        </a:solidFill>
                        <a:ln w="9525">
                          <a:solidFill>
                            <a:srgbClr val="0000FF"/>
                          </a:solidFill>
                          <a:miter lim="800000"/>
                          <a:headEnd/>
                          <a:tailEnd/>
                        </a:ln>
                      </wps:spPr>
                      <wps:txbx>
                        <w:txbxContent>
                          <w:p w:rsidR="009867AE" w:rsidRPr="00B102E7" w:rsidRDefault="009867AE" w:rsidP="00A50BBF">
                            <w:pPr>
                              <w:rPr>
                                <w:color w:val="0000FF"/>
                              </w:rPr>
                            </w:pPr>
                            <w:r w:rsidRPr="00B102E7">
                              <w:rPr>
                                <w:color w:val="0000FF"/>
                              </w:rPr>
                              <w:t>If not, please provide further explanation here:</w:t>
                            </w:r>
                          </w:p>
                          <w:p w:rsidR="009867AE" w:rsidRDefault="009867AE" w:rsidP="00A50B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3CD7C" id="_x0000_s1034" type="#_x0000_t202" style="position:absolute;left:0;text-align:left;margin-left:.2pt;margin-top:.05pt;width:7in;height:19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" strokecolor="blue">
                <v:textbox>
                  <w:txbxContent>
                    <w:p w:rsidR="009867AE" w:rsidRPr="00B102E7" w:rsidRDefault="009867AE" w:rsidP="00A50BBF">
                      <w:pPr>
                        <w:rPr>
                          <w:color w:val="0000FF"/>
                        </w:rPr>
                      </w:pPr>
                      <w:r w:rsidRPr="00B102E7">
                        <w:rPr>
                          <w:color w:val="0000FF"/>
                        </w:rPr>
                        <w:t>If not, please provide further explanation here:</w:t>
                      </w:r>
                    </w:p>
                    <w:p w:rsidR="009867AE" w:rsidRDefault="009867AE" w:rsidP="00A50BBF"/>
                  </w:txbxContent>
                </v:textbox>
              </v:shape>
            </w:pict>
          </mc:Fallback>
        </mc:AlternateContent>
      </w:r>
    </w:p>
    <w:p w:rsidR="00A50BBF" w:rsidRDefault="00A50BBF" w:rsidP="00A50BBF">
      <w:pPr>
        <w:jc w:val="both"/>
        <w:rPr>
          <w:rFonts w:cs="Arial"/>
          <w:b/>
          <w:color w:val="0000FF"/>
        </w:rPr>
      </w:pPr>
    </w:p>
    <w:p w:rsidR="00A50BBF" w:rsidRDefault="00A50BBF" w:rsidP="00A50BBF">
      <w:pPr>
        <w:jc w:val="both"/>
        <w:rPr>
          <w:rFonts w:cs="Arial"/>
          <w:b/>
          <w:color w:val="0000FF"/>
        </w:rPr>
      </w:pPr>
    </w:p>
    <w:p w:rsidR="00A50BBF" w:rsidRDefault="00A50BBF" w:rsidP="00A50BBF">
      <w:pPr>
        <w:jc w:val="both"/>
        <w:rPr>
          <w:rFonts w:cs="Arial"/>
          <w:b/>
          <w:color w:val="0000FF"/>
        </w:rPr>
      </w:pPr>
    </w:p>
    <w:p w:rsidR="00A50BBF" w:rsidRDefault="00A50BBF" w:rsidP="00A50BBF">
      <w:pPr>
        <w:jc w:val="both"/>
        <w:rPr>
          <w:rFonts w:cs="Arial"/>
          <w:b/>
          <w:color w:val="0000FF"/>
        </w:rPr>
      </w:pPr>
    </w:p>
    <w:p w:rsidR="00A50BBF" w:rsidRDefault="00A50BBF" w:rsidP="00A50BBF">
      <w:pPr>
        <w:jc w:val="both"/>
        <w:rPr>
          <w:rFonts w:cs="Arial"/>
          <w:b/>
          <w:color w:val="0000FF"/>
        </w:rPr>
      </w:pPr>
    </w:p>
    <w:p w:rsidR="00A50BBF" w:rsidRDefault="00A50BBF" w:rsidP="006C5737">
      <w:pPr>
        <w:jc w:val="both"/>
        <w:rPr>
          <w:rFonts w:cs="Arial"/>
          <w:b/>
          <w:color w:val="0000FF"/>
        </w:rPr>
      </w:pPr>
    </w:p>
    <w:p w:rsidR="00A2073D" w:rsidRDefault="00A2073D" w:rsidP="006C5737">
      <w:pPr>
        <w:jc w:val="both"/>
        <w:rPr>
          <w:rFonts w:cs="Arial"/>
          <w:b/>
          <w:color w:val="0000FF"/>
        </w:rPr>
      </w:pPr>
    </w:p>
    <w:p w:rsidR="00A2073D" w:rsidRDefault="00A2073D" w:rsidP="006C5737">
      <w:pPr>
        <w:jc w:val="both"/>
        <w:rPr>
          <w:rFonts w:cs="Arial"/>
          <w:b/>
          <w:color w:val="0000FF"/>
        </w:rPr>
      </w:pPr>
    </w:p>
    <w:p w:rsidR="00A2073D" w:rsidRDefault="00A2073D" w:rsidP="006C5737">
      <w:pPr>
        <w:jc w:val="both"/>
        <w:rPr>
          <w:rFonts w:cs="Arial"/>
          <w:b/>
          <w:color w:val="0000FF"/>
        </w:rPr>
      </w:pPr>
    </w:p>
    <w:p w:rsidR="00A2073D" w:rsidRDefault="00A2073D" w:rsidP="006C5737">
      <w:pPr>
        <w:jc w:val="both"/>
        <w:rPr>
          <w:rFonts w:cs="Arial"/>
          <w:b/>
          <w:color w:val="0000FF"/>
        </w:rPr>
      </w:pPr>
    </w:p>
    <w:p w:rsidR="00A2073D" w:rsidRDefault="00A2073D" w:rsidP="006C5737">
      <w:pPr>
        <w:jc w:val="both"/>
        <w:rPr>
          <w:rFonts w:cs="Arial"/>
          <w:b/>
          <w:color w:val="0000FF"/>
        </w:rPr>
      </w:pPr>
    </w:p>
    <w:p w:rsidR="00A2073D" w:rsidRDefault="00A2073D" w:rsidP="006C5737">
      <w:pPr>
        <w:jc w:val="both"/>
        <w:rPr>
          <w:rFonts w:cs="Arial"/>
          <w:b/>
          <w:color w:val="0000FF"/>
        </w:rPr>
      </w:pPr>
    </w:p>
    <w:p w:rsidR="00A2073D" w:rsidRDefault="00A2073D" w:rsidP="006C5737">
      <w:pPr>
        <w:jc w:val="both"/>
        <w:rPr>
          <w:b/>
          <w:color w:val="548DD4" w:themeColor="text2" w:themeTint="99"/>
          <w:sz w:val="22"/>
          <w:szCs w:val="22"/>
        </w:rPr>
      </w:pPr>
    </w:p>
    <w:p w:rsidR="00A50BBF" w:rsidRDefault="00A50BBF" w:rsidP="006C5737">
      <w:pPr>
        <w:jc w:val="both"/>
        <w:rPr>
          <w:b/>
          <w:color w:val="548DD4" w:themeColor="text2" w:themeTint="99"/>
          <w:sz w:val="22"/>
          <w:szCs w:val="22"/>
        </w:rPr>
      </w:pPr>
    </w:p>
    <w:p w:rsidR="00A50BBF" w:rsidRDefault="00A50BBF" w:rsidP="006C5737">
      <w:pPr>
        <w:jc w:val="both"/>
        <w:rPr>
          <w:b/>
          <w:color w:val="548DD4" w:themeColor="text2" w:themeTint="99"/>
          <w:sz w:val="22"/>
          <w:szCs w:val="22"/>
        </w:rPr>
      </w:pPr>
    </w:p>
    <w:p w:rsidR="00A50BBF" w:rsidRDefault="00A50BBF" w:rsidP="006C5737">
      <w:pPr>
        <w:jc w:val="both"/>
        <w:rPr>
          <w:b/>
          <w:color w:val="548DD4" w:themeColor="text2" w:themeTint="99"/>
          <w:sz w:val="22"/>
          <w:szCs w:val="22"/>
        </w:rPr>
      </w:pPr>
    </w:p>
    <w:p w:rsidR="00A50BBF" w:rsidRDefault="00A50BBF" w:rsidP="006C5737">
      <w:pPr>
        <w:jc w:val="both"/>
        <w:rPr>
          <w:b/>
          <w:color w:val="548DD4" w:themeColor="text2" w:themeTint="99"/>
          <w:sz w:val="22"/>
          <w:szCs w:val="22"/>
        </w:rPr>
      </w:pPr>
    </w:p>
    <w:p w:rsidR="006C5737" w:rsidRPr="006C5737" w:rsidRDefault="00DA1FC2" w:rsidP="006C5737">
      <w:pPr>
        <w:jc w:val="both"/>
        <w:rPr>
          <w:b/>
          <w:color w:val="0000FF"/>
          <w:sz w:val="22"/>
          <w:szCs w:val="22"/>
        </w:rPr>
      </w:pPr>
      <w:r>
        <w:rPr>
          <w:b/>
          <w:color w:val="0000FF"/>
          <w:sz w:val="22"/>
          <w:szCs w:val="22"/>
        </w:rPr>
        <w:t>Question 10</w:t>
      </w:r>
      <w:r w:rsidR="006C5737" w:rsidRPr="006C5737">
        <w:rPr>
          <w:b/>
          <w:color w:val="0000FF"/>
          <w:sz w:val="22"/>
          <w:szCs w:val="22"/>
        </w:rPr>
        <w:t xml:space="preserve"> – Do you have any comments (including technical comments) on the SEND Funding Floor mechanism you would like the Authority to consider? </w:t>
      </w:r>
    </w:p>
    <w:p w:rsidR="006C5737" w:rsidRDefault="00A50BBF" w:rsidP="006C5737">
      <w:pPr>
        <w:jc w:val="both"/>
        <w:rPr>
          <w:b/>
          <w:color w:val="548DD4" w:themeColor="text2" w:themeTint="99"/>
          <w:sz w:val="22"/>
          <w:szCs w:val="22"/>
        </w:rPr>
      </w:pPr>
      <w:r>
        <w:rPr>
          <w:rFonts w:cs="Arial"/>
          <w:b/>
          <w:noProof/>
          <w:color w:val="0000FF"/>
        </w:rPr>
        <mc:AlternateContent>
          <mc:Choice Requires="wps">
            <w:drawing>
              <wp:anchor distT="0" distB="0" distL="114300" distR="114300" simplePos="0" relativeHeight="251680768" behindDoc="0" locked="0" layoutInCell="1" allowOverlap="1" wp14:anchorId="7E991980" wp14:editId="52743624">
                <wp:simplePos x="0" y="0"/>
                <wp:positionH relativeFrom="column">
                  <wp:posOffset>2540</wp:posOffset>
                </wp:positionH>
                <wp:positionV relativeFrom="paragraph">
                  <wp:posOffset>131445</wp:posOffset>
                </wp:positionV>
                <wp:extent cx="6400800" cy="2076450"/>
                <wp:effectExtent l="0" t="0" r="19050" b="1905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076450"/>
                        </a:xfrm>
                        <a:prstGeom prst="rect">
                          <a:avLst/>
                        </a:prstGeom>
                        <a:solidFill>
                          <a:srgbClr val="FFFFFF"/>
                        </a:solidFill>
                        <a:ln w="9525">
                          <a:solidFill>
                            <a:srgbClr val="0000FF"/>
                          </a:solidFill>
                          <a:miter lim="800000"/>
                          <a:headEnd/>
                          <a:tailEnd/>
                        </a:ln>
                      </wps:spPr>
                      <wps:txbx>
                        <w:txbxContent>
                          <w:p w:rsidR="009867AE" w:rsidRDefault="009867AE" w:rsidP="00A50B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91980" id="_x0000_s1035" type="#_x0000_t202" style="position:absolute;left:0;text-align:left;margin-left:.2pt;margin-top:10.35pt;width:7in;height:16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" strokecolor="blue">
                <v:textbox>
                  <w:txbxContent>
                    <w:p w:rsidR="009867AE" w:rsidRDefault="009867AE" w:rsidP="00A50BBF"/>
                  </w:txbxContent>
                </v:textbox>
              </v:shape>
            </w:pict>
          </mc:Fallback>
        </mc:AlternateContent>
      </w:r>
    </w:p>
    <w:p w:rsidR="006C5737" w:rsidRDefault="006C5737" w:rsidP="006C5737">
      <w:pPr>
        <w:jc w:val="both"/>
        <w:rPr>
          <w:b/>
          <w:color w:val="548DD4" w:themeColor="text2" w:themeTint="99"/>
          <w:sz w:val="22"/>
          <w:szCs w:val="22"/>
        </w:rPr>
      </w:pPr>
    </w:p>
    <w:p w:rsidR="006C5737" w:rsidRDefault="006C5737" w:rsidP="006C5737">
      <w:pPr>
        <w:jc w:val="both"/>
        <w:rPr>
          <w:b/>
          <w:color w:val="548DD4" w:themeColor="text2" w:themeTint="99"/>
          <w:sz w:val="22"/>
          <w:szCs w:val="22"/>
        </w:rPr>
      </w:pPr>
    </w:p>
    <w:p w:rsidR="00A50BBF" w:rsidRDefault="00A50BBF" w:rsidP="006C5737">
      <w:pPr>
        <w:jc w:val="both"/>
        <w:rPr>
          <w:b/>
          <w:color w:val="548DD4" w:themeColor="text2" w:themeTint="99"/>
          <w:sz w:val="22"/>
          <w:szCs w:val="22"/>
        </w:rPr>
      </w:pPr>
    </w:p>
    <w:p w:rsidR="00A50BBF" w:rsidRDefault="00A50BBF" w:rsidP="006C5737">
      <w:pPr>
        <w:jc w:val="both"/>
        <w:rPr>
          <w:b/>
          <w:color w:val="548DD4" w:themeColor="text2" w:themeTint="99"/>
          <w:sz w:val="22"/>
          <w:szCs w:val="22"/>
        </w:rPr>
      </w:pPr>
    </w:p>
    <w:p w:rsidR="00A50BBF" w:rsidRDefault="00A50BBF" w:rsidP="006C5737">
      <w:pPr>
        <w:jc w:val="both"/>
        <w:rPr>
          <w:b/>
          <w:color w:val="548DD4" w:themeColor="text2" w:themeTint="99"/>
          <w:sz w:val="22"/>
          <w:szCs w:val="22"/>
        </w:rPr>
      </w:pPr>
    </w:p>
    <w:p w:rsidR="00A50BBF" w:rsidRDefault="00A50BBF" w:rsidP="006C5737">
      <w:pPr>
        <w:jc w:val="both"/>
        <w:rPr>
          <w:b/>
          <w:color w:val="548DD4" w:themeColor="text2" w:themeTint="99"/>
          <w:sz w:val="22"/>
          <w:szCs w:val="22"/>
        </w:rPr>
      </w:pPr>
    </w:p>
    <w:p w:rsidR="00A50BBF" w:rsidRDefault="00A50BBF" w:rsidP="006C5737">
      <w:pPr>
        <w:jc w:val="both"/>
        <w:rPr>
          <w:b/>
          <w:color w:val="548DD4" w:themeColor="text2" w:themeTint="99"/>
          <w:sz w:val="22"/>
          <w:szCs w:val="22"/>
        </w:rPr>
      </w:pPr>
    </w:p>
    <w:p w:rsidR="00A50BBF" w:rsidRDefault="00A50BBF" w:rsidP="006C5737">
      <w:pPr>
        <w:jc w:val="both"/>
        <w:rPr>
          <w:b/>
          <w:color w:val="548DD4" w:themeColor="text2" w:themeTint="99"/>
          <w:sz w:val="22"/>
          <w:szCs w:val="22"/>
        </w:rPr>
      </w:pPr>
    </w:p>
    <w:p w:rsidR="00A50BBF" w:rsidRDefault="00A50BBF" w:rsidP="006C5737">
      <w:pPr>
        <w:jc w:val="both"/>
        <w:rPr>
          <w:b/>
          <w:color w:val="548DD4" w:themeColor="text2" w:themeTint="99"/>
          <w:sz w:val="22"/>
          <w:szCs w:val="22"/>
        </w:rPr>
      </w:pPr>
    </w:p>
    <w:p w:rsidR="00A50BBF" w:rsidRDefault="00A50BBF" w:rsidP="006C5737">
      <w:pPr>
        <w:jc w:val="both"/>
        <w:rPr>
          <w:b/>
          <w:color w:val="548DD4" w:themeColor="text2" w:themeTint="99"/>
          <w:sz w:val="22"/>
          <w:szCs w:val="22"/>
        </w:rPr>
      </w:pPr>
    </w:p>
    <w:p w:rsidR="00A50BBF" w:rsidRDefault="00A50BBF" w:rsidP="006C5737">
      <w:pPr>
        <w:jc w:val="both"/>
        <w:rPr>
          <w:b/>
          <w:color w:val="548DD4" w:themeColor="text2" w:themeTint="99"/>
          <w:sz w:val="22"/>
          <w:szCs w:val="22"/>
        </w:rPr>
      </w:pPr>
    </w:p>
    <w:p w:rsidR="00A50BBF" w:rsidRDefault="00A50BBF" w:rsidP="006C5737">
      <w:pPr>
        <w:jc w:val="both"/>
        <w:rPr>
          <w:b/>
          <w:color w:val="548DD4" w:themeColor="text2" w:themeTint="99"/>
          <w:sz w:val="22"/>
          <w:szCs w:val="22"/>
        </w:rPr>
      </w:pPr>
    </w:p>
    <w:p w:rsidR="007629C4" w:rsidRDefault="007629C4" w:rsidP="007629C4">
      <w:pPr>
        <w:jc w:val="both"/>
        <w:rPr>
          <w:rFonts w:cs="Arial"/>
          <w:b/>
          <w:color w:val="0000FF"/>
        </w:rPr>
      </w:pPr>
      <w:r>
        <w:rPr>
          <w:rFonts w:cs="Arial"/>
          <w:b/>
          <w:color w:val="0000FF"/>
        </w:rPr>
        <w:tab/>
      </w:r>
    </w:p>
    <w:p w:rsidR="007629C4" w:rsidRDefault="007629C4" w:rsidP="007629C4">
      <w:pPr>
        <w:jc w:val="both"/>
        <w:rPr>
          <w:rFonts w:cs="Arial"/>
          <w:b/>
          <w:color w:val="0000FF"/>
        </w:rPr>
      </w:pPr>
    </w:p>
    <w:p w:rsidR="007629C4" w:rsidRDefault="00DA1FC2" w:rsidP="007629C4">
      <w:pPr>
        <w:jc w:val="both"/>
        <w:rPr>
          <w:b/>
          <w:color w:val="0000FF"/>
          <w:sz w:val="22"/>
          <w:szCs w:val="22"/>
        </w:rPr>
      </w:pPr>
      <w:r>
        <w:rPr>
          <w:b/>
          <w:color w:val="0000FF"/>
          <w:sz w:val="22"/>
          <w:szCs w:val="22"/>
        </w:rPr>
        <w:t>Question 11</w:t>
      </w:r>
      <w:r w:rsidR="007629C4">
        <w:rPr>
          <w:b/>
          <w:color w:val="0000FF"/>
          <w:sz w:val="22"/>
          <w:szCs w:val="22"/>
        </w:rPr>
        <w:t>: Are there any changes that you would wish to see m</w:t>
      </w:r>
      <w:r w:rsidR="00A50BBF">
        <w:rPr>
          <w:b/>
          <w:color w:val="0000FF"/>
          <w:sz w:val="22"/>
          <w:szCs w:val="22"/>
        </w:rPr>
        <w:t>a</w:t>
      </w:r>
      <w:r>
        <w:rPr>
          <w:b/>
          <w:color w:val="0000FF"/>
          <w:sz w:val="22"/>
          <w:szCs w:val="22"/>
        </w:rPr>
        <w:t>de to the funding models in 2023/24</w:t>
      </w:r>
      <w:r w:rsidR="00BE792B">
        <w:rPr>
          <w:b/>
          <w:color w:val="0000FF"/>
          <w:sz w:val="22"/>
          <w:szCs w:val="22"/>
        </w:rPr>
        <w:t xml:space="preserve"> that have not been proposed</w:t>
      </w:r>
      <w:r w:rsidR="007629C4">
        <w:rPr>
          <w:b/>
          <w:color w:val="0000FF"/>
          <w:sz w:val="22"/>
          <w:szCs w:val="22"/>
        </w:rPr>
        <w:t>? Please give details.</w:t>
      </w:r>
    </w:p>
    <w:p w:rsidR="007629C4" w:rsidRDefault="007629C4" w:rsidP="007629C4">
      <w:pPr>
        <w:jc w:val="both"/>
        <w:rPr>
          <w:b/>
          <w:color w:val="FF0000"/>
          <w:sz w:val="22"/>
          <w:szCs w:val="22"/>
        </w:rPr>
      </w:pPr>
      <w:r>
        <w:rPr>
          <w:rFonts w:cs="Arial"/>
          <w:b/>
          <w:noProof/>
          <w:color w:val="0000FF"/>
        </w:rPr>
        <mc:AlternateContent>
          <mc:Choice Requires="wps">
            <w:drawing>
              <wp:anchor distT="0" distB="0" distL="114300" distR="114300" simplePos="0" relativeHeight="251668480" behindDoc="0" locked="0" layoutInCell="1" allowOverlap="1" wp14:anchorId="53B477B9" wp14:editId="4D61CE58">
                <wp:simplePos x="0" y="0"/>
                <wp:positionH relativeFrom="column">
                  <wp:posOffset>2540</wp:posOffset>
                </wp:positionH>
                <wp:positionV relativeFrom="paragraph">
                  <wp:posOffset>122555</wp:posOffset>
                </wp:positionV>
                <wp:extent cx="6400800" cy="2600325"/>
                <wp:effectExtent l="0" t="0" r="19050" b="285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00325"/>
                        </a:xfrm>
                        <a:prstGeom prst="rect">
                          <a:avLst/>
                        </a:prstGeom>
                        <a:solidFill>
                          <a:srgbClr val="FFFFFF"/>
                        </a:solidFill>
                        <a:ln w="9525">
                          <a:solidFill>
                            <a:srgbClr val="0000FF"/>
                          </a:solidFill>
                          <a:miter lim="800000"/>
                          <a:headEnd/>
                          <a:tailEnd/>
                        </a:ln>
                      </wps:spPr>
                      <wps:txbx>
                        <w:txbxContent>
                          <w:p w:rsidR="009867AE" w:rsidRDefault="009867AE" w:rsidP="007629C4">
                            <w:pPr>
                              <w:rPr>
                                <w:color w:val="0000FF"/>
                              </w:rPr>
                            </w:pPr>
                          </w:p>
                          <w:p w:rsidR="009867AE" w:rsidRDefault="009867AE" w:rsidP="007629C4">
                            <w:pPr>
                              <w:rPr>
                                <w:color w:val="0000FF"/>
                              </w:rPr>
                            </w:pPr>
                          </w:p>
                          <w:p w:rsidR="009867AE" w:rsidRDefault="009867AE" w:rsidP="007629C4">
                            <w:pPr>
                              <w:rPr>
                                <w:color w:val="0000FF"/>
                              </w:rPr>
                            </w:pPr>
                          </w:p>
                          <w:p w:rsidR="009867AE" w:rsidRDefault="009867AE" w:rsidP="007629C4">
                            <w:pPr>
                              <w:rPr>
                                <w:color w:val="0000FF"/>
                              </w:rPr>
                            </w:pPr>
                          </w:p>
                          <w:p w:rsidR="009867AE" w:rsidRDefault="009867AE" w:rsidP="007629C4">
                            <w:pPr>
                              <w:rPr>
                                <w:color w:val="0000FF"/>
                              </w:rPr>
                            </w:pPr>
                          </w:p>
                          <w:p w:rsidR="009867AE" w:rsidRDefault="009867AE" w:rsidP="007629C4">
                            <w:pPr>
                              <w:rPr>
                                <w:color w:val="0000FF"/>
                              </w:rPr>
                            </w:pPr>
                          </w:p>
                          <w:p w:rsidR="009867AE" w:rsidRDefault="009867AE" w:rsidP="007629C4">
                            <w:pPr>
                              <w:rPr>
                                <w:color w:val="0000FF"/>
                              </w:rPr>
                            </w:pPr>
                          </w:p>
                          <w:p w:rsidR="009867AE" w:rsidRDefault="009867AE" w:rsidP="007629C4">
                            <w:pPr>
                              <w:rPr>
                                <w:color w:val="0000FF"/>
                              </w:rPr>
                            </w:pPr>
                          </w:p>
                          <w:p w:rsidR="009867AE" w:rsidRPr="00B102E7" w:rsidRDefault="009867AE" w:rsidP="007629C4">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477B9" id="Text Box 7" o:spid="_x0000_s1036" type="#_x0000_t202" style="position:absolute;left:0;text-align:left;margin-left:.2pt;margin-top:9.65pt;width:7in;height:20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" strokecolor="blue">
                <v:textbox>
                  <w:txbxContent>
                    <w:p w:rsidR="009867AE" w:rsidRDefault="009867AE" w:rsidP="007629C4">
                      <w:pPr>
                        <w:rPr>
                          <w:color w:val="0000FF"/>
                        </w:rPr>
                      </w:pPr>
                    </w:p>
                    <w:p w:rsidR="009867AE" w:rsidRDefault="009867AE" w:rsidP="007629C4">
                      <w:pPr>
                        <w:rPr>
                          <w:color w:val="0000FF"/>
                        </w:rPr>
                      </w:pPr>
                    </w:p>
                    <w:p w:rsidR="009867AE" w:rsidRDefault="009867AE" w:rsidP="007629C4">
                      <w:pPr>
                        <w:rPr>
                          <w:color w:val="0000FF"/>
                        </w:rPr>
                      </w:pPr>
                    </w:p>
                    <w:p w:rsidR="009867AE" w:rsidRDefault="009867AE" w:rsidP="007629C4">
                      <w:pPr>
                        <w:rPr>
                          <w:color w:val="0000FF"/>
                        </w:rPr>
                      </w:pPr>
                    </w:p>
                    <w:p w:rsidR="009867AE" w:rsidRDefault="009867AE" w:rsidP="007629C4">
                      <w:pPr>
                        <w:rPr>
                          <w:color w:val="0000FF"/>
                        </w:rPr>
                      </w:pPr>
                    </w:p>
                    <w:p w:rsidR="009867AE" w:rsidRDefault="009867AE" w:rsidP="007629C4">
                      <w:pPr>
                        <w:rPr>
                          <w:color w:val="0000FF"/>
                        </w:rPr>
                      </w:pPr>
                    </w:p>
                    <w:p w:rsidR="009867AE" w:rsidRDefault="009867AE" w:rsidP="007629C4">
                      <w:pPr>
                        <w:rPr>
                          <w:color w:val="0000FF"/>
                        </w:rPr>
                      </w:pPr>
                    </w:p>
                    <w:p w:rsidR="009867AE" w:rsidRDefault="009867AE" w:rsidP="007629C4">
                      <w:pPr>
                        <w:rPr>
                          <w:color w:val="0000FF"/>
                        </w:rPr>
                      </w:pPr>
                    </w:p>
                    <w:p w:rsidR="009867AE" w:rsidRPr="00B102E7" w:rsidRDefault="009867AE" w:rsidP="007629C4">
                      <w:pPr>
                        <w:rPr>
                          <w:color w:val="0000FF"/>
                        </w:rPr>
                      </w:pPr>
                    </w:p>
                  </w:txbxContent>
                </v:textbox>
              </v:shape>
            </w:pict>
          </mc:Fallback>
        </mc:AlternateContent>
      </w: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Default="007629C4" w:rsidP="007629C4">
      <w:pPr>
        <w:jc w:val="both"/>
        <w:rPr>
          <w:b/>
          <w:color w:val="0000FF"/>
          <w:sz w:val="22"/>
          <w:szCs w:val="22"/>
        </w:rPr>
      </w:pPr>
    </w:p>
    <w:p w:rsidR="007629C4" w:rsidRPr="00655BA5" w:rsidRDefault="00DA1FC2" w:rsidP="007629C4">
      <w:pPr>
        <w:jc w:val="both"/>
        <w:rPr>
          <w:b/>
          <w:color w:val="0000FF"/>
          <w:sz w:val="22"/>
          <w:szCs w:val="22"/>
        </w:rPr>
      </w:pPr>
      <w:r>
        <w:rPr>
          <w:b/>
          <w:color w:val="0000FF"/>
          <w:sz w:val="22"/>
          <w:szCs w:val="22"/>
        </w:rPr>
        <w:t>Question 12</w:t>
      </w:r>
      <w:r w:rsidR="007629C4">
        <w:rPr>
          <w:b/>
          <w:color w:val="0000FF"/>
          <w:sz w:val="22"/>
          <w:szCs w:val="22"/>
        </w:rPr>
        <w:t xml:space="preserve"> – Do you have any other comments on the funding model</w:t>
      </w:r>
      <w:r w:rsidR="00826A90">
        <w:rPr>
          <w:b/>
          <w:color w:val="0000FF"/>
          <w:sz w:val="22"/>
          <w:szCs w:val="22"/>
        </w:rPr>
        <w:t>s</w:t>
      </w:r>
      <w:r w:rsidR="007629C4">
        <w:rPr>
          <w:b/>
          <w:color w:val="0000FF"/>
          <w:sz w:val="22"/>
          <w:szCs w:val="22"/>
        </w:rPr>
        <w:t xml:space="preserve"> or</w:t>
      </w:r>
      <w:r w:rsidR="00826A90">
        <w:rPr>
          <w:b/>
          <w:color w:val="0000FF"/>
          <w:sz w:val="22"/>
          <w:szCs w:val="22"/>
        </w:rPr>
        <w:t xml:space="preserve"> on</w:t>
      </w:r>
      <w:r w:rsidR="007629C4">
        <w:rPr>
          <w:b/>
          <w:color w:val="0000FF"/>
          <w:sz w:val="22"/>
          <w:szCs w:val="22"/>
        </w:rPr>
        <w:t xml:space="preserve"> the proposals that you have not recorded elsewhere?</w:t>
      </w:r>
    </w:p>
    <w:p w:rsidR="007629C4" w:rsidRDefault="007629C4" w:rsidP="007629C4">
      <w:pPr>
        <w:jc w:val="both"/>
        <w:rPr>
          <w:rFonts w:cs="Arial"/>
          <w:b/>
          <w:color w:val="0000FF"/>
        </w:rPr>
      </w:pPr>
      <w:r>
        <w:rPr>
          <w:rFonts w:cs="Arial"/>
          <w:b/>
          <w:color w:val="0000FF"/>
        </w:rPr>
        <w:tab/>
      </w:r>
      <w:r>
        <w:rPr>
          <w:rFonts w:cs="Arial"/>
          <w:b/>
          <w:color w:val="0000FF"/>
        </w:rPr>
        <w:tab/>
      </w:r>
      <w:r>
        <w:rPr>
          <w:rFonts w:cs="Arial"/>
          <w:b/>
          <w:noProof/>
          <w:color w:val="0000FF"/>
        </w:rPr>
        <mc:AlternateContent>
          <mc:Choice Requires="wps">
            <w:drawing>
              <wp:anchor distT="0" distB="0" distL="114300" distR="114300" simplePos="0" relativeHeight="251662336" behindDoc="0" locked="0" layoutInCell="1" allowOverlap="1" wp14:anchorId="3C35F384" wp14:editId="7CCBD7DB">
                <wp:simplePos x="0" y="0"/>
                <wp:positionH relativeFrom="column">
                  <wp:posOffset>2540</wp:posOffset>
                </wp:positionH>
                <wp:positionV relativeFrom="paragraph">
                  <wp:posOffset>125729</wp:posOffset>
                </wp:positionV>
                <wp:extent cx="6400800" cy="2600325"/>
                <wp:effectExtent l="0" t="0" r="19050" b="285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00325"/>
                        </a:xfrm>
                        <a:prstGeom prst="rect">
                          <a:avLst/>
                        </a:prstGeom>
                        <a:solidFill>
                          <a:srgbClr val="FFFFFF"/>
                        </a:solidFill>
                        <a:ln w="9525">
                          <a:solidFill>
                            <a:srgbClr val="0000FF"/>
                          </a:solidFill>
                          <a:miter lim="800000"/>
                          <a:headEnd/>
                          <a:tailEnd/>
                        </a:ln>
                      </wps:spPr>
                      <wps:txbx>
                        <w:txbxContent>
                          <w:p w:rsidR="009867AE" w:rsidRDefault="009867AE" w:rsidP="007629C4">
                            <w:pPr>
                              <w:rPr>
                                <w:color w:val="0000FF"/>
                              </w:rPr>
                            </w:pPr>
                          </w:p>
                          <w:p w:rsidR="009867AE" w:rsidRDefault="009867AE" w:rsidP="007629C4">
                            <w:pPr>
                              <w:rPr>
                                <w:color w:val="0000FF"/>
                              </w:rPr>
                            </w:pPr>
                          </w:p>
                          <w:p w:rsidR="009867AE" w:rsidRDefault="009867AE" w:rsidP="007629C4">
                            <w:pPr>
                              <w:rPr>
                                <w:color w:val="0000FF"/>
                              </w:rPr>
                            </w:pPr>
                          </w:p>
                          <w:p w:rsidR="009867AE" w:rsidRDefault="009867AE" w:rsidP="007629C4">
                            <w:pPr>
                              <w:rPr>
                                <w:color w:val="0000FF"/>
                              </w:rPr>
                            </w:pPr>
                          </w:p>
                          <w:p w:rsidR="009867AE" w:rsidRDefault="009867AE" w:rsidP="007629C4">
                            <w:pPr>
                              <w:rPr>
                                <w:color w:val="0000FF"/>
                              </w:rPr>
                            </w:pPr>
                          </w:p>
                          <w:p w:rsidR="009867AE" w:rsidRDefault="009867AE" w:rsidP="007629C4">
                            <w:pPr>
                              <w:rPr>
                                <w:color w:val="0000FF"/>
                              </w:rPr>
                            </w:pPr>
                          </w:p>
                          <w:p w:rsidR="009867AE" w:rsidRDefault="009867AE" w:rsidP="007629C4">
                            <w:pPr>
                              <w:rPr>
                                <w:color w:val="0000FF"/>
                              </w:rPr>
                            </w:pPr>
                          </w:p>
                          <w:p w:rsidR="009867AE" w:rsidRDefault="009867AE" w:rsidP="007629C4">
                            <w:pPr>
                              <w:rPr>
                                <w:color w:val="0000FF"/>
                              </w:rPr>
                            </w:pPr>
                          </w:p>
                          <w:p w:rsidR="009867AE" w:rsidRPr="00B102E7" w:rsidRDefault="009867AE" w:rsidP="007629C4">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5F384" id="_x0000_s1037" type="#_x0000_t202" style="position:absolute;left:0;text-align:left;margin-left:.2pt;margin-top:9.9pt;width:7in;height:20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" strokecolor="blue">
                <v:textbox>
                  <w:txbxContent>
                    <w:p w:rsidR="009867AE" w:rsidRDefault="009867AE" w:rsidP="007629C4">
                      <w:pPr>
                        <w:rPr>
                          <w:color w:val="0000FF"/>
                        </w:rPr>
                      </w:pPr>
                    </w:p>
                    <w:p w:rsidR="009867AE" w:rsidRDefault="009867AE" w:rsidP="007629C4">
                      <w:pPr>
                        <w:rPr>
                          <w:color w:val="0000FF"/>
                        </w:rPr>
                      </w:pPr>
                    </w:p>
                    <w:p w:rsidR="009867AE" w:rsidRDefault="009867AE" w:rsidP="007629C4">
                      <w:pPr>
                        <w:rPr>
                          <w:color w:val="0000FF"/>
                        </w:rPr>
                      </w:pPr>
                    </w:p>
                    <w:p w:rsidR="009867AE" w:rsidRDefault="009867AE" w:rsidP="007629C4">
                      <w:pPr>
                        <w:rPr>
                          <w:color w:val="0000FF"/>
                        </w:rPr>
                      </w:pPr>
                    </w:p>
                    <w:p w:rsidR="009867AE" w:rsidRDefault="009867AE" w:rsidP="007629C4">
                      <w:pPr>
                        <w:rPr>
                          <w:color w:val="0000FF"/>
                        </w:rPr>
                      </w:pPr>
                    </w:p>
                    <w:p w:rsidR="009867AE" w:rsidRDefault="009867AE" w:rsidP="007629C4">
                      <w:pPr>
                        <w:rPr>
                          <w:color w:val="0000FF"/>
                        </w:rPr>
                      </w:pPr>
                    </w:p>
                    <w:p w:rsidR="009867AE" w:rsidRDefault="009867AE" w:rsidP="007629C4">
                      <w:pPr>
                        <w:rPr>
                          <w:color w:val="0000FF"/>
                        </w:rPr>
                      </w:pPr>
                    </w:p>
                    <w:p w:rsidR="009867AE" w:rsidRDefault="009867AE" w:rsidP="007629C4">
                      <w:pPr>
                        <w:rPr>
                          <w:color w:val="0000FF"/>
                        </w:rPr>
                      </w:pPr>
                    </w:p>
                    <w:p w:rsidR="009867AE" w:rsidRPr="00B102E7" w:rsidRDefault="009867AE" w:rsidP="007629C4">
                      <w:pPr>
                        <w:rPr>
                          <w:color w:val="0000FF"/>
                        </w:rPr>
                      </w:pPr>
                    </w:p>
                  </w:txbxContent>
                </v:textbox>
              </v:shape>
            </w:pict>
          </mc:Fallback>
        </mc:AlternateContent>
      </w: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jc w:val="both"/>
        <w:rPr>
          <w:rFonts w:cs="Arial"/>
          <w:b/>
          <w:color w:val="0000FF"/>
        </w:rPr>
      </w:pPr>
    </w:p>
    <w:p w:rsidR="007629C4" w:rsidRDefault="007629C4" w:rsidP="007629C4">
      <w:pPr>
        <w:rPr>
          <w:sz w:val="22"/>
          <w:szCs w:val="22"/>
        </w:rPr>
      </w:pPr>
    </w:p>
    <w:p w:rsidR="007629C4" w:rsidRDefault="007629C4" w:rsidP="007629C4">
      <w:pPr>
        <w:jc w:val="both"/>
        <w:rPr>
          <w:b/>
          <w:color w:val="0000FF"/>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1F06CE" w:rsidRDefault="001F06CE" w:rsidP="001B416B">
      <w:pPr>
        <w:jc w:val="both"/>
        <w:rPr>
          <w:sz w:val="22"/>
          <w:szCs w:val="22"/>
        </w:rPr>
      </w:pPr>
    </w:p>
    <w:p w:rsidR="000D04FA" w:rsidRDefault="000D04FA" w:rsidP="001B416B">
      <w:pPr>
        <w:jc w:val="both"/>
        <w:rPr>
          <w:sz w:val="22"/>
          <w:szCs w:val="22"/>
        </w:rPr>
      </w:pPr>
    </w:p>
    <w:p w:rsidR="000D04FA" w:rsidRDefault="000D04FA" w:rsidP="001B416B">
      <w:pPr>
        <w:jc w:val="both"/>
        <w:rPr>
          <w:sz w:val="22"/>
          <w:szCs w:val="22"/>
        </w:rPr>
      </w:pPr>
    </w:p>
    <w:p w:rsidR="000D04FA" w:rsidRPr="000D04FA" w:rsidRDefault="000D04FA" w:rsidP="001B416B">
      <w:pPr>
        <w:jc w:val="both"/>
        <w:rPr>
          <w:b/>
          <w:color w:val="0000FF"/>
          <w:sz w:val="22"/>
          <w:szCs w:val="22"/>
        </w:rPr>
      </w:pPr>
    </w:p>
    <w:p w:rsidR="000D04FA" w:rsidRPr="000D04FA" w:rsidRDefault="000D04FA" w:rsidP="000D04FA">
      <w:pPr>
        <w:jc w:val="both"/>
        <w:rPr>
          <w:b/>
          <w:color w:val="0000FF"/>
          <w:sz w:val="22"/>
          <w:szCs w:val="22"/>
        </w:rPr>
      </w:pPr>
    </w:p>
    <w:p w:rsidR="000D04FA" w:rsidRPr="000D04FA" w:rsidRDefault="000D04FA" w:rsidP="001B416B">
      <w:pPr>
        <w:jc w:val="both"/>
        <w:rPr>
          <w:b/>
          <w:color w:val="0000FF"/>
          <w:sz w:val="22"/>
          <w:szCs w:val="22"/>
        </w:rPr>
      </w:pPr>
    </w:p>
    <w:p w:rsidR="001F06CE" w:rsidRDefault="001F06CE" w:rsidP="001B416B">
      <w:pPr>
        <w:jc w:val="both"/>
        <w:rPr>
          <w:sz w:val="22"/>
          <w:szCs w:val="22"/>
        </w:rPr>
      </w:pPr>
    </w:p>
    <w:sectPr w:rsidR="001F06CE" w:rsidSect="007629C4">
      <w:pgSz w:w="11906" w:h="16838" w:code="9"/>
      <w:pgMar w:top="907" w:right="851" w:bottom="907"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7AE" w:rsidRDefault="009867AE">
      <w:r>
        <w:separator/>
      </w:r>
    </w:p>
  </w:endnote>
  <w:endnote w:type="continuationSeparator" w:id="0">
    <w:p w:rsidR="009867AE" w:rsidRDefault="0098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7AE" w:rsidRDefault="009867AE" w:rsidP="005A33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67AE" w:rsidRDefault="009867AE" w:rsidP="005A33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7AE" w:rsidRDefault="009867AE" w:rsidP="005A33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0467">
      <w:rPr>
        <w:rStyle w:val="PageNumber"/>
        <w:noProof/>
      </w:rPr>
      <w:t>39</w:t>
    </w:r>
    <w:r>
      <w:rPr>
        <w:rStyle w:val="PageNumber"/>
      </w:rPr>
      <w:fldChar w:fldCharType="end"/>
    </w:r>
  </w:p>
  <w:p w:rsidR="009867AE" w:rsidRDefault="009867AE" w:rsidP="005A33F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576587"/>
      <w:docPartObj>
        <w:docPartGallery w:val="Page Numbers (Bottom of Page)"/>
        <w:docPartUnique/>
      </w:docPartObj>
    </w:sdtPr>
    <w:sdtEndPr>
      <w:rPr>
        <w:noProof/>
      </w:rPr>
    </w:sdtEndPr>
    <w:sdtContent>
      <w:p w:rsidR="009867AE" w:rsidRDefault="009867AE">
        <w:pPr>
          <w:pStyle w:val="Footer"/>
          <w:jc w:val="right"/>
        </w:pPr>
        <w:r>
          <w:fldChar w:fldCharType="begin"/>
        </w:r>
        <w:r>
          <w:instrText xml:space="preserve"> PAGE   \* MERGEFORMAT </w:instrText>
        </w:r>
        <w:r>
          <w:fldChar w:fldCharType="separate"/>
        </w:r>
        <w:r w:rsidR="00DE0467">
          <w:rPr>
            <w:noProof/>
          </w:rPr>
          <w:t>40</w:t>
        </w:r>
        <w:r>
          <w:rPr>
            <w:noProof/>
          </w:rPr>
          <w:fldChar w:fldCharType="end"/>
        </w:r>
      </w:p>
    </w:sdtContent>
  </w:sdt>
  <w:p w:rsidR="009867AE" w:rsidRDefault="00986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7AE" w:rsidRDefault="009867AE">
      <w:r>
        <w:separator/>
      </w:r>
    </w:p>
  </w:footnote>
  <w:footnote w:type="continuationSeparator" w:id="0">
    <w:p w:rsidR="009867AE" w:rsidRDefault="00986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5EA8"/>
    <w:multiLevelType w:val="hybridMultilevel"/>
    <w:tmpl w:val="2BCC9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242E4"/>
    <w:multiLevelType w:val="hybridMultilevel"/>
    <w:tmpl w:val="DA8E2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F03CF9"/>
    <w:multiLevelType w:val="hybridMultilevel"/>
    <w:tmpl w:val="93D02E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2E76A0E"/>
    <w:multiLevelType w:val="hybridMultilevel"/>
    <w:tmpl w:val="D4369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AF5C24"/>
    <w:multiLevelType w:val="hybridMultilevel"/>
    <w:tmpl w:val="2C8A3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925CEC"/>
    <w:multiLevelType w:val="hybridMultilevel"/>
    <w:tmpl w:val="3468D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D4C76"/>
    <w:multiLevelType w:val="hybridMultilevel"/>
    <w:tmpl w:val="17A8C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BD1CF1"/>
    <w:multiLevelType w:val="hybridMultilevel"/>
    <w:tmpl w:val="E0CA2B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E64502"/>
    <w:multiLevelType w:val="hybridMultilevel"/>
    <w:tmpl w:val="2BF23F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0D7F88"/>
    <w:multiLevelType w:val="hybridMultilevel"/>
    <w:tmpl w:val="98A46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B80C09"/>
    <w:multiLevelType w:val="hybridMultilevel"/>
    <w:tmpl w:val="FA9A9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7F51A3"/>
    <w:multiLevelType w:val="hybridMultilevel"/>
    <w:tmpl w:val="26A04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82365D"/>
    <w:multiLevelType w:val="hybridMultilevel"/>
    <w:tmpl w:val="76F61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3A19F8"/>
    <w:multiLevelType w:val="hybridMultilevel"/>
    <w:tmpl w:val="F2568A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026C76"/>
    <w:multiLevelType w:val="hybridMultilevel"/>
    <w:tmpl w:val="7AFCA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D048BD"/>
    <w:multiLevelType w:val="hybridMultilevel"/>
    <w:tmpl w:val="8E84F5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495246"/>
    <w:multiLevelType w:val="hybridMultilevel"/>
    <w:tmpl w:val="D244F1BC"/>
    <w:lvl w:ilvl="0" w:tplc="39F842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EE6E1F"/>
    <w:multiLevelType w:val="hybridMultilevel"/>
    <w:tmpl w:val="F31AB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5173C8"/>
    <w:multiLevelType w:val="hybridMultilevel"/>
    <w:tmpl w:val="071E5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620E20"/>
    <w:multiLevelType w:val="hybridMultilevel"/>
    <w:tmpl w:val="062039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9F10CD"/>
    <w:multiLevelType w:val="hybridMultilevel"/>
    <w:tmpl w:val="55F867F8"/>
    <w:lvl w:ilvl="0" w:tplc="08090001">
      <w:start w:val="1"/>
      <w:numFmt w:val="bullet"/>
      <w:lvlText w:val=""/>
      <w:lvlJc w:val="left"/>
      <w:pPr>
        <w:ind w:left="420" w:hanging="360"/>
      </w:pPr>
      <w:rPr>
        <w:rFonts w:ascii="Symbol" w:hAnsi="Symbol"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1" w15:restartNumberingAfterBreak="0">
    <w:nsid w:val="47375006"/>
    <w:multiLevelType w:val="hybridMultilevel"/>
    <w:tmpl w:val="0AA6C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3A65D9"/>
    <w:multiLevelType w:val="multilevel"/>
    <w:tmpl w:val="282C62C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E18464A"/>
    <w:multiLevelType w:val="hybridMultilevel"/>
    <w:tmpl w:val="A2308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9D1BF7"/>
    <w:multiLevelType w:val="multilevel"/>
    <w:tmpl w:val="0ED085E2"/>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1F22C8"/>
    <w:multiLevelType w:val="hybridMultilevel"/>
    <w:tmpl w:val="24B0C9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5345BC"/>
    <w:multiLevelType w:val="hybridMultilevel"/>
    <w:tmpl w:val="F3E05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D2282F"/>
    <w:multiLevelType w:val="hybridMultilevel"/>
    <w:tmpl w:val="7B863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26352F"/>
    <w:multiLevelType w:val="hybridMultilevel"/>
    <w:tmpl w:val="2A9C1D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5B8F33C7"/>
    <w:multiLevelType w:val="hybridMultilevel"/>
    <w:tmpl w:val="AD96EA30"/>
    <w:lvl w:ilvl="0" w:tplc="19D2D302">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0352795"/>
    <w:multiLevelType w:val="hybridMultilevel"/>
    <w:tmpl w:val="511CF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401884"/>
    <w:multiLevelType w:val="multilevel"/>
    <w:tmpl w:val="683AD60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1B532BF"/>
    <w:multiLevelType w:val="hybridMultilevel"/>
    <w:tmpl w:val="200CE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2435ED0"/>
    <w:multiLevelType w:val="hybridMultilevel"/>
    <w:tmpl w:val="124C4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4402B77"/>
    <w:multiLevelType w:val="hybridMultilevel"/>
    <w:tmpl w:val="5AFC0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B2A656F"/>
    <w:multiLevelType w:val="hybridMultilevel"/>
    <w:tmpl w:val="9B0CC0A6"/>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2421914"/>
    <w:multiLevelType w:val="hybridMultilevel"/>
    <w:tmpl w:val="D2F6E3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8E64FC"/>
    <w:multiLevelType w:val="hybridMultilevel"/>
    <w:tmpl w:val="B62E8E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793134A"/>
    <w:multiLevelType w:val="hybridMultilevel"/>
    <w:tmpl w:val="5ED0C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1D3085"/>
    <w:multiLevelType w:val="hybridMultilevel"/>
    <w:tmpl w:val="73E6C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E5150AD"/>
    <w:multiLevelType w:val="hybridMultilevel"/>
    <w:tmpl w:val="A21C9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36"/>
  </w:num>
  <w:num w:numId="3">
    <w:abstractNumId w:val="35"/>
  </w:num>
  <w:num w:numId="4">
    <w:abstractNumId w:val="21"/>
  </w:num>
  <w:num w:numId="5">
    <w:abstractNumId w:val="5"/>
  </w:num>
  <w:num w:numId="6">
    <w:abstractNumId w:val="26"/>
  </w:num>
  <w:num w:numId="7">
    <w:abstractNumId w:val="38"/>
  </w:num>
  <w:num w:numId="8">
    <w:abstractNumId w:val="10"/>
  </w:num>
  <w:num w:numId="9">
    <w:abstractNumId w:val="4"/>
  </w:num>
  <w:num w:numId="10">
    <w:abstractNumId w:val="0"/>
  </w:num>
  <w:num w:numId="11">
    <w:abstractNumId w:val="25"/>
  </w:num>
  <w:num w:numId="12">
    <w:abstractNumId w:val="8"/>
  </w:num>
  <w:num w:numId="13">
    <w:abstractNumId w:val="13"/>
  </w:num>
  <w:num w:numId="14">
    <w:abstractNumId w:val="3"/>
  </w:num>
  <w:num w:numId="15">
    <w:abstractNumId w:val="19"/>
  </w:num>
  <w:num w:numId="16">
    <w:abstractNumId w:val="32"/>
  </w:num>
  <w:num w:numId="17">
    <w:abstractNumId w:val="34"/>
  </w:num>
  <w:num w:numId="18">
    <w:abstractNumId w:val="31"/>
  </w:num>
  <w:num w:numId="19">
    <w:abstractNumId w:val="20"/>
  </w:num>
  <w:num w:numId="20">
    <w:abstractNumId w:val="39"/>
  </w:num>
  <w:num w:numId="21">
    <w:abstractNumId w:val="16"/>
  </w:num>
  <w:num w:numId="22">
    <w:abstractNumId w:val="17"/>
  </w:num>
  <w:num w:numId="23">
    <w:abstractNumId w:val="2"/>
  </w:num>
  <w:num w:numId="24">
    <w:abstractNumId w:val="9"/>
  </w:num>
  <w:num w:numId="25">
    <w:abstractNumId w:val="37"/>
  </w:num>
  <w:num w:numId="26">
    <w:abstractNumId w:val="12"/>
  </w:num>
  <w:num w:numId="27">
    <w:abstractNumId w:val="27"/>
  </w:num>
  <w:num w:numId="28">
    <w:abstractNumId w:val="24"/>
  </w:num>
  <w:num w:numId="29">
    <w:abstractNumId w:val="6"/>
  </w:num>
  <w:num w:numId="30">
    <w:abstractNumId w:val="33"/>
  </w:num>
  <w:num w:numId="31">
    <w:abstractNumId w:val="28"/>
  </w:num>
  <w:num w:numId="32">
    <w:abstractNumId w:val="18"/>
  </w:num>
  <w:num w:numId="33">
    <w:abstractNumId w:val="30"/>
  </w:num>
  <w:num w:numId="34">
    <w:abstractNumId w:val="14"/>
  </w:num>
  <w:num w:numId="35">
    <w:abstractNumId w:val="22"/>
  </w:num>
  <w:num w:numId="36">
    <w:abstractNumId w:val="7"/>
  </w:num>
  <w:num w:numId="37">
    <w:abstractNumId w:val="29"/>
  </w:num>
  <w:num w:numId="38">
    <w:abstractNumId w:val="11"/>
  </w:num>
  <w:num w:numId="39">
    <w:abstractNumId w:val="1"/>
  </w:num>
  <w:num w:numId="40">
    <w:abstractNumId w:val="40"/>
  </w:num>
  <w:num w:numId="41">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60"/>
    <w:rsid w:val="0000051E"/>
    <w:rsid w:val="000008CF"/>
    <w:rsid w:val="00000F99"/>
    <w:rsid w:val="000011E8"/>
    <w:rsid w:val="0000177A"/>
    <w:rsid w:val="000018C1"/>
    <w:rsid w:val="00001C2A"/>
    <w:rsid w:val="00002824"/>
    <w:rsid w:val="0000290F"/>
    <w:rsid w:val="00002F3C"/>
    <w:rsid w:val="00003041"/>
    <w:rsid w:val="000034E3"/>
    <w:rsid w:val="00003966"/>
    <w:rsid w:val="000039A4"/>
    <w:rsid w:val="00003B29"/>
    <w:rsid w:val="00003FDF"/>
    <w:rsid w:val="0000438D"/>
    <w:rsid w:val="000043B2"/>
    <w:rsid w:val="00004734"/>
    <w:rsid w:val="00004A12"/>
    <w:rsid w:val="000055AE"/>
    <w:rsid w:val="0000585C"/>
    <w:rsid w:val="00005E46"/>
    <w:rsid w:val="00006697"/>
    <w:rsid w:val="000071B1"/>
    <w:rsid w:val="000075C2"/>
    <w:rsid w:val="00007D54"/>
    <w:rsid w:val="00007F33"/>
    <w:rsid w:val="00007F6E"/>
    <w:rsid w:val="0001033E"/>
    <w:rsid w:val="00010787"/>
    <w:rsid w:val="00010E0E"/>
    <w:rsid w:val="000122AD"/>
    <w:rsid w:val="000124CD"/>
    <w:rsid w:val="0001320E"/>
    <w:rsid w:val="00013467"/>
    <w:rsid w:val="00013EBA"/>
    <w:rsid w:val="00014071"/>
    <w:rsid w:val="00014F82"/>
    <w:rsid w:val="0001529A"/>
    <w:rsid w:val="000158E1"/>
    <w:rsid w:val="00015B45"/>
    <w:rsid w:val="00015E47"/>
    <w:rsid w:val="00016341"/>
    <w:rsid w:val="000163EF"/>
    <w:rsid w:val="00016829"/>
    <w:rsid w:val="000169B3"/>
    <w:rsid w:val="00016B43"/>
    <w:rsid w:val="00016D5C"/>
    <w:rsid w:val="00017073"/>
    <w:rsid w:val="00017315"/>
    <w:rsid w:val="0001776B"/>
    <w:rsid w:val="00017CE4"/>
    <w:rsid w:val="000201D9"/>
    <w:rsid w:val="00020420"/>
    <w:rsid w:val="00020421"/>
    <w:rsid w:val="00020933"/>
    <w:rsid w:val="000222C5"/>
    <w:rsid w:val="00022504"/>
    <w:rsid w:val="0002315A"/>
    <w:rsid w:val="000231A3"/>
    <w:rsid w:val="000231F1"/>
    <w:rsid w:val="000232CB"/>
    <w:rsid w:val="000233D9"/>
    <w:rsid w:val="00023740"/>
    <w:rsid w:val="00023DD2"/>
    <w:rsid w:val="00023FB6"/>
    <w:rsid w:val="00024581"/>
    <w:rsid w:val="00024596"/>
    <w:rsid w:val="00024671"/>
    <w:rsid w:val="000248F0"/>
    <w:rsid w:val="00024CCF"/>
    <w:rsid w:val="0002509E"/>
    <w:rsid w:val="00025DA7"/>
    <w:rsid w:val="00027604"/>
    <w:rsid w:val="00027825"/>
    <w:rsid w:val="00027DBC"/>
    <w:rsid w:val="000303CF"/>
    <w:rsid w:val="00030497"/>
    <w:rsid w:val="0003079A"/>
    <w:rsid w:val="000307C9"/>
    <w:rsid w:val="0003085F"/>
    <w:rsid w:val="00030FF0"/>
    <w:rsid w:val="00031825"/>
    <w:rsid w:val="0003204A"/>
    <w:rsid w:val="0003210B"/>
    <w:rsid w:val="000328A4"/>
    <w:rsid w:val="0003399C"/>
    <w:rsid w:val="00033E97"/>
    <w:rsid w:val="000349E8"/>
    <w:rsid w:val="00034A13"/>
    <w:rsid w:val="00034F71"/>
    <w:rsid w:val="0003530E"/>
    <w:rsid w:val="0003652D"/>
    <w:rsid w:val="000366E5"/>
    <w:rsid w:val="000370CF"/>
    <w:rsid w:val="00037602"/>
    <w:rsid w:val="00040139"/>
    <w:rsid w:val="00040651"/>
    <w:rsid w:val="0004094D"/>
    <w:rsid w:val="00040B45"/>
    <w:rsid w:val="00041BB9"/>
    <w:rsid w:val="00041F0B"/>
    <w:rsid w:val="00042922"/>
    <w:rsid w:val="00042C1A"/>
    <w:rsid w:val="00042E9A"/>
    <w:rsid w:val="000431BA"/>
    <w:rsid w:val="00044A9D"/>
    <w:rsid w:val="00045088"/>
    <w:rsid w:val="0004562B"/>
    <w:rsid w:val="00045F67"/>
    <w:rsid w:val="00046CC9"/>
    <w:rsid w:val="000501E1"/>
    <w:rsid w:val="00050C0E"/>
    <w:rsid w:val="00050CF8"/>
    <w:rsid w:val="00050D4D"/>
    <w:rsid w:val="00052A4A"/>
    <w:rsid w:val="00053930"/>
    <w:rsid w:val="00053D23"/>
    <w:rsid w:val="000543BB"/>
    <w:rsid w:val="0005478B"/>
    <w:rsid w:val="000548E4"/>
    <w:rsid w:val="0005574F"/>
    <w:rsid w:val="00055DD7"/>
    <w:rsid w:val="00056363"/>
    <w:rsid w:val="00056580"/>
    <w:rsid w:val="0005672B"/>
    <w:rsid w:val="0005739F"/>
    <w:rsid w:val="000611D8"/>
    <w:rsid w:val="00061220"/>
    <w:rsid w:val="00061587"/>
    <w:rsid w:val="00061604"/>
    <w:rsid w:val="00061EA5"/>
    <w:rsid w:val="00062611"/>
    <w:rsid w:val="00062671"/>
    <w:rsid w:val="00062D4D"/>
    <w:rsid w:val="000631E1"/>
    <w:rsid w:val="00063796"/>
    <w:rsid w:val="00063E83"/>
    <w:rsid w:val="00064345"/>
    <w:rsid w:val="0006518D"/>
    <w:rsid w:val="000651A2"/>
    <w:rsid w:val="000653AD"/>
    <w:rsid w:val="00066227"/>
    <w:rsid w:val="00066237"/>
    <w:rsid w:val="0006685B"/>
    <w:rsid w:val="00066CCC"/>
    <w:rsid w:val="00067AEE"/>
    <w:rsid w:val="00070057"/>
    <w:rsid w:val="000707A8"/>
    <w:rsid w:val="00070DB3"/>
    <w:rsid w:val="00071924"/>
    <w:rsid w:val="00071DCE"/>
    <w:rsid w:val="00071F76"/>
    <w:rsid w:val="0007235F"/>
    <w:rsid w:val="00072519"/>
    <w:rsid w:val="00072AC0"/>
    <w:rsid w:val="00072EE1"/>
    <w:rsid w:val="000733F8"/>
    <w:rsid w:val="000738DF"/>
    <w:rsid w:val="00073CDD"/>
    <w:rsid w:val="00073DE8"/>
    <w:rsid w:val="000745CD"/>
    <w:rsid w:val="000747DD"/>
    <w:rsid w:val="00074F08"/>
    <w:rsid w:val="00075A27"/>
    <w:rsid w:val="00076098"/>
    <w:rsid w:val="00076EDC"/>
    <w:rsid w:val="000771A4"/>
    <w:rsid w:val="0007745B"/>
    <w:rsid w:val="00080345"/>
    <w:rsid w:val="0008069D"/>
    <w:rsid w:val="000809E6"/>
    <w:rsid w:val="00080B7C"/>
    <w:rsid w:val="00080C6E"/>
    <w:rsid w:val="00080D04"/>
    <w:rsid w:val="00080FA4"/>
    <w:rsid w:val="00081239"/>
    <w:rsid w:val="0008132D"/>
    <w:rsid w:val="00081A86"/>
    <w:rsid w:val="00081FAA"/>
    <w:rsid w:val="00082A16"/>
    <w:rsid w:val="00082FC4"/>
    <w:rsid w:val="000832D5"/>
    <w:rsid w:val="00083560"/>
    <w:rsid w:val="00083BB8"/>
    <w:rsid w:val="00083DD1"/>
    <w:rsid w:val="00083F51"/>
    <w:rsid w:val="00084624"/>
    <w:rsid w:val="00085987"/>
    <w:rsid w:val="00085F3D"/>
    <w:rsid w:val="00086BBD"/>
    <w:rsid w:val="00087D2E"/>
    <w:rsid w:val="00090A2B"/>
    <w:rsid w:val="00091B7E"/>
    <w:rsid w:val="00092024"/>
    <w:rsid w:val="000920C6"/>
    <w:rsid w:val="0009250D"/>
    <w:rsid w:val="00092815"/>
    <w:rsid w:val="00092965"/>
    <w:rsid w:val="000930A6"/>
    <w:rsid w:val="0009335C"/>
    <w:rsid w:val="00093C4F"/>
    <w:rsid w:val="00094567"/>
    <w:rsid w:val="00095D01"/>
    <w:rsid w:val="00095F54"/>
    <w:rsid w:val="00096314"/>
    <w:rsid w:val="000968E3"/>
    <w:rsid w:val="00097D67"/>
    <w:rsid w:val="000A01CC"/>
    <w:rsid w:val="000A14A6"/>
    <w:rsid w:val="000A1518"/>
    <w:rsid w:val="000A1C51"/>
    <w:rsid w:val="000A2095"/>
    <w:rsid w:val="000A21B7"/>
    <w:rsid w:val="000A2294"/>
    <w:rsid w:val="000A2363"/>
    <w:rsid w:val="000A28E1"/>
    <w:rsid w:val="000A2957"/>
    <w:rsid w:val="000A3C3F"/>
    <w:rsid w:val="000A3DE9"/>
    <w:rsid w:val="000A4011"/>
    <w:rsid w:val="000A44F8"/>
    <w:rsid w:val="000A492F"/>
    <w:rsid w:val="000A5E22"/>
    <w:rsid w:val="000A5EC7"/>
    <w:rsid w:val="000A61E9"/>
    <w:rsid w:val="000A662B"/>
    <w:rsid w:val="000A6674"/>
    <w:rsid w:val="000A6D86"/>
    <w:rsid w:val="000A6DBF"/>
    <w:rsid w:val="000B1608"/>
    <w:rsid w:val="000B1C8A"/>
    <w:rsid w:val="000B1F80"/>
    <w:rsid w:val="000B201E"/>
    <w:rsid w:val="000B3126"/>
    <w:rsid w:val="000B3927"/>
    <w:rsid w:val="000B3A27"/>
    <w:rsid w:val="000B434E"/>
    <w:rsid w:val="000B4425"/>
    <w:rsid w:val="000B45EB"/>
    <w:rsid w:val="000B4B16"/>
    <w:rsid w:val="000B4C5A"/>
    <w:rsid w:val="000B4EA2"/>
    <w:rsid w:val="000B5168"/>
    <w:rsid w:val="000B5382"/>
    <w:rsid w:val="000B53A9"/>
    <w:rsid w:val="000B584C"/>
    <w:rsid w:val="000B5D1C"/>
    <w:rsid w:val="000B675F"/>
    <w:rsid w:val="000B67E3"/>
    <w:rsid w:val="000B6980"/>
    <w:rsid w:val="000B70DE"/>
    <w:rsid w:val="000B7311"/>
    <w:rsid w:val="000B7953"/>
    <w:rsid w:val="000B7E49"/>
    <w:rsid w:val="000C050B"/>
    <w:rsid w:val="000C0F17"/>
    <w:rsid w:val="000C1025"/>
    <w:rsid w:val="000C10F8"/>
    <w:rsid w:val="000C1D3C"/>
    <w:rsid w:val="000C28C3"/>
    <w:rsid w:val="000C28D0"/>
    <w:rsid w:val="000C2E1C"/>
    <w:rsid w:val="000C2E43"/>
    <w:rsid w:val="000C31DD"/>
    <w:rsid w:val="000C35B6"/>
    <w:rsid w:val="000C3C21"/>
    <w:rsid w:val="000C3F03"/>
    <w:rsid w:val="000C4395"/>
    <w:rsid w:val="000C43C4"/>
    <w:rsid w:val="000C55E9"/>
    <w:rsid w:val="000C5E85"/>
    <w:rsid w:val="000C6B12"/>
    <w:rsid w:val="000C6B6C"/>
    <w:rsid w:val="000C6EA6"/>
    <w:rsid w:val="000C7723"/>
    <w:rsid w:val="000C7C70"/>
    <w:rsid w:val="000C7D31"/>
    <w:rsid w:val="000D02D4"/>
    <w:rsid w:val="000D03D4"/>
    <w:rsid w:val="000D04FA"/>
    <w:rsid w:val="000D0904"/>
    <w:rsid w:val="000D1A5F"/>
    <w:rsid w:val="000D1AEE"/>
    <w:rsid w:val="000D1D3E"/>
    <w:rsid w:val="000D2917"/>
    <w:rsid w:val="000D29B2"/>
    <w:rsid w:val="000D3463"/>
    <w:rsid w:val="000D3A15"/>
    <w:rsid w:val="000D40F2"/>
    <w:rsid w:val="000D48C3"/>
    <w:rsid w:val="000D559A"/>
    <w:rsid w:val="000D5F9F"/>
    <w:rsid w:val="000D61CA"/>
    <w:rsid w:val="000D6F8E"/>
    <w:rsid w:val="000D7E51"/>
    <w:rsid w:val="000D7E8B"/>
    <w:rsid w:val="000E0510"/>
    <w:rsid w:val="000E081E"/>
    <w:rsid w:val="000E13BC"/>
    <w:rsid w:val="000E1437"/>
    <w:rsid w:val="000E15D2"/>
    <w:rsid w:val="000E161F"/>
    <w:rsid w:val="000E1EBA"/>
    <w:rsid w:val="000E2204"/>
    <w:rsid w:val="000E25AE"/>
    <w:rsid w:val="000E2966"/>
    <w:rsid w:val="000E42EC"/>
    <w:rsid w:val="000E48D9"/>
    <w:rsid w:val="000E55AF"/>
    <w:rsid w:val="000E58D6"/>
    <w:rsid w:val="000E5E2B"/>
    <w:rsid w:val="000E604A"/>
    <w:rsid w:val="000E6AD4"/>
    <w:rsid w:val="000E6B8E"/>
    <w:rsid w:val="000E6CA7"/>
    <w:rsid w:val="000E6F68"/>
    <w:rsid w:val="000E6FD3"/>
    <w:rsid w:val="000F13C5"/>
    <w:rsid w:val="000F160D"/>
    <w:rsid w:val="000F1840"/>
    <w:rsid w:val="000F29CB"/>
    <w:rsid w:val="000F2FCF"/>
    <w:rsid w:val="000F2FE7"/>
    <w:rsid w:val="000F33B5"/>
    <w:rsid w:val="000F38FA"/>
    <w:rsid w:val="000F4635"/>
    <w:rsid w:val="000F52E0"/>
    <w:rsid w:val="000F54D3"/>
    <w:rsid w:val="000F5D3C"/>
    <w:rsid w:val="000F5E84"/>
    <w:rsid w:val="000F6FB5"/>
    <w:rsid w:val="000F7477"/>
    <w:rsid w:val="000F75B8"/>
    <w:rsid w:val="000F76DD"/>
    <w:rsid w:val="000F7A08"/>
    <w:rsid w:val="001000A3"/>
    <w:rsid w:val="00100D16"/>
    <w:rsid w:val="00101046"/>
    <w:rsid w:val="00101394"/>
    <w:rsid w:val="00102A50"/>
    <w:rsid w:val="00102C7C"/>
    <w:rsid w:val="00103670"/>
    <w:rsid w:val="001036A5"/>
    <w:rsid w:val="0010409C"/>
    <w:rsid w:val="001040B4"/>
    <w:rsid w:val="00104188"/>
    <w:rsid w:val="001050B4"/>
    <w:rsid w:val="00105DEF"/>
    <w:rsid w:val="00106177"/>
    <w:rsid w:val="001062C5"/>
    <w:rsid w:val="001069A7"/>
    <w:rsid w:val="00106D30"/>
    <w:rsid w:val="00106E16"/>
    <w:rsid w:val="00107E49"/>
    <w:rsid w:val="00110077"/>
    <w:rsid w:val="001103E2"/>
    <w:rsid w:val="00110D6B"/>
    <w:rsid w:val="00111103"/>
    <w:rsid w:val="00111AF7"/>
    <w:rsid w:val="00112688"/>
    <w:rsid w:val="00112A82"/>
    <w:rsid w:val="00112F3B"/>
    <w:rsid w:val="00113E4F"/>
    <w:rsid w:val="001145C5"/>
    <w:rsid w:val="00114DF5"/>
    <w:rsid w:val="00115154"/>
    <w:rsid w:val="00115B49"/>
    <w:rsid w:val="00116816"/>
    <w:rsid w:val="00116AC1"/>
    <w:rsid w:val="00116F74"/>
    <w:rsid w:val="00117A1F"/>
    <w:rsid w:val="00117DF4"/>
    <w:rsid w:val="00120761"/>
    <w:rsid w:val="00121AAE"/>
    <w:rsid w:val="001221A2"/>
    <w:rsid w:val="00122868"/>
    <w:rsid w:val="00122E39"/>
    <w:rsid w:val="001230A4"/>
    <w:rsid w:val="00123315"/>
    <w:rsid w:val="001233C2"/>
    <w:rsid w:val="001237A3"/>
    <w:rsid w:val="00123E23"/>
    <w:rsid w:val="00123FF3"/>
    <w:rsid w:val="00124CE0"/>
    <w:rsid w:val="00124EA8"/>
    <w:rsid w:val="00125589"/>
    <w:rsid w:val="00125F78"/>
    <w:rsid w:val="001261CB"/>
    <w:rsid w:val="00126D8D"/>
    <w:rsid w:val="0012780E"/>
    <w:rsid w:val="001310DA"/>
    <w:rsid w:val="00132464"/>
    <w:rsid w:val="001328C5"/>
    <w:rsid w:val="00132ED6"/>
    <w:rsid w:val="00133239"/>
    <w:rsid w:val="00133F2D"/>
    <w:rsid w:val="00134075"/>
    <w:rsid w:val="00134169"/>
    <w:rsid w:val="0013458E"/>
    <w:rsid w:val="001345BF"/>
    <w:rsid w:val="00134673"/>
    <w:rsid w:val="00134A11"/>
    <w:rsid w:val="0013532B"/>
    <w:rsid w:val="00135336"/>
    <w:rsid w:val="00135E3D"/>
    <w:rsid w:val="00136ACA"/>
    <w:rsid w:val="00136DA7"/>
    <w:rsid w:val="001372A5"/>
    <w:rsid w:val="00140119"/>
    <w:rsid w:val="001402CD"/>
    <w:rsid w:val="00141EB1"/>
    <w:rsid w:val="00141EFB"/>
    <w:rsid w:val="00141F78"/>
    <w:rsid w:val="001431F8"/>
    <w:rsid w:val="00143BA6"/>
    <w:rsid w:val="00144BC8"/>
    <w:rsid w:val="00144BE9"/>
    <w:rsid w:val="00145225"/>
    <w:rsid w:val="001458FC"/>
    <w:rsid w:val="0014609D"/>
    <w:rsid w:val="00147266"/>
    <w:rsid w:val="00147860"/>
    <w:rsid w:val="001478FB"/>
    <w:rsid w:val="0015027F"/>
    <w:rsid w:val="0015069B"/>
    <w:rsid w:val="00150971"/>
    <w:rsid w:val="00150A5E"/>
    <w:rsid w:val="00150C94"/>
    <w:rsid w:val="00150DDF"/>
    <w:rsid w:val="0015118D"/>
    <w:rsid w:val="001511F2"/>
    <w:rsid w:val="0015213D"/>
    <w:rsid w:val="00152260"/>
    <w:rsid w:val="00152993"/>
    <w:rsid w:val="00152C7F"/>
    <w:rsid w:val="00152D2C"/>
    <w:rsid w:val="001535F5"/>
    <w:rsid w:val="00154164"/>
    <w:rsid w:val="0015569A"/>
    <w:rsid w:val="00155E38"/>
    <w:rsid w:val="00155E64"/>
    <w:rsid w:val="00156D01"/>
    <w:rsid w:val="00157236"/>
    <w:rsid w:val="00157EF5"/>
    <w:rsid w:val="00161046"/>
    <w:rsid w:val="001616A5"/>
    <w:rsid w:val="00162108"/>
    <w:rsid w:val="001627A9"/>
    <w:rsid w:val="00162B9D"/>
    <w:rsid w:val="00163F30"/>
    <w:rsid w:val="001644AE"/>
    <w:rsid w:val="0016494C"/>
    <w:rsid w:val="0016497B"/>
    <w:rsid w:val="001649E6"/>
    <w:rsid w:val="00164FBB"/>
    <w:rsid w:val="00165132"/>
    <w:rsid w:val="00165208"/>
    <w:rsid w:val="00165641"/>
    <w:rsid w:val="001660F8"/>
    <w:rsid w:val="00166504"/>
    <w:rsid w:val="0016660A"/>
    <w:rsid w:val="001667D1"/>
    <w:rsid w:val="00167232"/>
    <w:rsid w:val="00167386"/>
    <w:rsid w:val="001677B1"/>
    <w:rsid w:val="00167917"/>
    <w:rsid w:val="001706F9"/>
    <w:rsid w:val="00170ABF"/>
    <w:rsid w:val="00170C8A"/>
    <w:rsid w:val="00171423"/>
    <w:rsid w:val="00172906"/>
    <w:rsid w:val="00173406"/>
    <w:rsid w:val="00173952"/>
    <w:rsid w:val="001755F6"/>
    <w:rsid w:val="00175B7F"/>
    <w:rsid w:val="001764C8"/>
    <w:rsid w:val="0017684B"/>
    <w:rsid w:val="00176D9E"/>
    <w:rsid w:val="00176ED1"/>
    <w:rsid w:val="001777E0"/>
    <w:rsid w:val="0017782E"/>
    <w:rsid w:val="00180740"/>
    <w:rsid w:val="001807E5"/>
    <w:rsid w:val="00180BF8"/>
    <w:rsid w:val="00181D68"/>
    <w:rsid w:val="00182380"/>
    <w:rsid w:val="001826CA"/>
    <w:rsid w:val="00182E6C"/>
    <w:rsid w:val="00183200"/>
    <w:rsid w:val="00183BFA"/>
    <w:rsid w:val="0018439C"/>
    <w:rsid w:val="00184849"/>
    <w:rsid w:val="00184E27"/>
    <w:rsid w:val="0018529F"/>
    <w:rsid w:val="00185870"/>
    <w:rsid w:val="001870E0"/>
    <w:rsid w:val="00187EF4"/>
    <w:rsid w:val="00190528"/>
    <w:rsid w:val="00193774"/>
    <w:rsid w:val="00194006"/>
    <w:rsid w:val="00194ABA"/>
    <w:rsid w:val="00195EF4"/>
    <w:rsid w:val="0019612D"/>
    <w:rsid w:val="00196362"/>
    <w:rsid w:val="00196A2C"/>
    <w:rsid w:val="00196B75"/>
    <w:rsid w:val="00196D11"/>
    <w:rsid w:val="00196DF9"/>
    <w:rsid w:val="001972DD"/>
    <w:rsid w:val="0019745E"/>
    <w:rsid w:val="00197D3D"/>
    <w:rsid w:val="00197E00"/>
    <w:rsid w:val="001A00C7"/>
    <w:rsid w:val="001A0272"/>
    <w:rsid w:val="001A035F"/>
    <w:rsid w:val="001A06E4"/>
    <w:rsid w:val="001A0E8E"/>
    <w:rsid w:val="001A1127"/>
    <w:rsid w:val="001A1358"/>
    <w:rsid w:val="001A16E3"/>
    <w:rsid w:val="001A1C44"/>
    <w:rsid w:val="001A209B"/>
    <w:rsid w:val="001A2499"/>
    <w:rsid w:val="001A3F38"/>
    <w:rsid w:val="001A483D"/>
    <w:rsid w:val="001A5684"/>
    <w:rsid w:val="001A56DC"/>
    <w:rsid w:val="001A588A"/>
    <w:rsid w:val="001A5B25"/>
    <w:rsid w:val="001A5D69"/>
    <w:rsid w:val="001A617F"/>
    <w:rsid w:val="001A6358"/>
    <w:rsid w:val="001A6741"/>
    <w:rsid w:val="001A6939"/>
    <w:rsid w:val="001B025A"/>
    <w:rsid w:val="001B0530"/>
    <w:rsid w:val="001B0942"/>
    <w:rsid w:val="001B113E"/>
    <w:rsid w:val="001B1431"/>
    <w:rsid w:val="001B1A21"/>
    <w:rsid w:val="001B2920"/>
    <w:rsid w:val="001B3093"/>
    <w:rsid w:val="001B3CAA"/>
    <w:rsid w:val="001B416B"/>
    <w:rsid w:val="001B41B9"/>
    <w:rsid w:val="001B447B"/>
    <w:rsid w:val="001B502E"/>
    <w:rsid w:val="001B50CE"/>
    <w:rsid w:val="001B5262"/>
    <w:rsid w:val="001B539D"/>
    <w:rsid w:val="001B54B2"/>
    <w:rsid w:val="001B55EA"/>
    <w:rsid w:val="001B6998"/>
    <w:rsid w:val="001B79F5"/>
    <w:rsid w:val="001B7E0D"/>
    <w:rsid w:val="001C07EB"/>
    <w:rsid w:val="001C0A33"/>
    <w:rsid w:val="001C0A4A"/>
    <w:rsid w:val="001C0E8C"/>
    <w:rsid w:val="001C0EA3"/>
    <w:rsid w:val="001C16B5"/>
    <w:rsid w:val="001C16EB"/>
    <w:rsid w:val="001C2268"/>
    <w:rsid w:val="001C291C"/>
    <w:rsid w:val="001C3CE4"/>
    <w:rsid w:val="001C4477"/>
    <w:rsid w:val="001C47DB"/>
    <w:rsid w:val="001C5482"/>
    <w:rsid w:val="001C5AF0"/>
    <w:rsid w:val="001C60D1"/>
    <w:rsid w:val="001C6B4E"/>
    <w:rsid w:val="001C705F"/>
    <w:rsid w:val="001C7379"/>
    <w:rsid w:val="001C79BA"/>
    <w:rsid w:val="001D0048"/>
    <w:rsid w:val="001D004C"/>
    <w:rsid w:val="001D050C"/>
    <w:rsid w:val="001D11F4"/>
    <w:rsid w:val="001D158F"/>
    <w:rsid w:val="001D29AE"/>
    <w:rsid w:val="001D2D87"/>
    <w:rsid w:val="001D3251"/>
    <w:rsid w:val="001D392E"/>
    <w:rsid w:val="001D4BC8"/>
    <w:rsid w:val="001D4BD1"/>
    <w:rsid w:val="001D53F5"/>
    <w:rsid w:val="001D618B"/>
    <w:rsid w:val="001D6C54"/>
    <w:rsid w:val="001D6F80"/>
    <w:rsid w:val="001D6F8E"/>
    <w:rsid w:val="001D7005"/>
    <w:rsid w:val="001D758A"/>
    <w:rsid w:val="001D7E60"/>
    <w:rsid w:val="001D7EC4"/>
    <w:rsid w:val="001D7F5A"/>
    <w:rsid w:val="001E00CE"/>
    <w:rsid w:val="001E010D"/>
    <w:rsid w:val="001E0130"/>
    <w:rsid w:val="001E0E81"/>
    <w:rsid w:val="001E100A"/>
    <w:rsid w:val="001E1106"/>
    <w:rsid w:val="001E1470"/>
    <w:rsid w:val="001E15B3"/>
    <w:rsid w:val="001E1DAB"/>
    <w:rsid w:val="001E20E8"/>
    <w:rsid w:val="001E241F"/>
    <w:rsid w:val="001E2903"/>
    <w:rsid w:val="001E2928"/>
    <w:rsid w:val="001E2FD6"/>
    <w:rsid w:val="001E4062"/>
    <w:rsid w:val="001E437E"/>
    <w:rsid w:val="001E49A2"/>
    <w:rsid w:val="001E5187"/>
    <w:rsid w:val="001E550A"/>
    <w:rsid w:val="001E6175"/>
    <w:rsid w:val="001E65B6"/>
    <w:rsid w:val="001E70DA"/>
    <w:rsid w:val="001E74E8"/>
    <w:rsid w:val="001E7641"/>
    <w:rsid w:val="001E7D93"/>
    <w:rsid w:val="001F06CE"/>
    <w:rsid w:val="001F14EC"/>
    <w:rsid w:val="001F210A"/>
    <w:rsid w:val="001F235E"/>
    <w:rsid w:val="001F2F0B"/>
    <w:rsid w:val="001F3430"/>
    <w:rsid w:val="001F4135"/>
    <w:rsid w:val="001F4895"/>
    <w:rsid w:val="001F4A8B"/>
    <w:rsid w:val="001F546A"/>
    <w:rsid w:val="001F5D9B"/>
    <w:rsid w:val="001F6054"/>
    <w:rsid w:val="001F6595"/>
    <w:rsid w:val="001F6F4E"/>
    <w:rsid w:val="001F727D"/>
    <w:rsid w:val="001F76E3"/>
    <w:rsid w:val="001F774C"/>
    <w:rsid w:val="0020278C"/>
    <w:rsid w:val="00202CAB"/>
    <w:rsid w:val="00202E7F"/>
    <w:rsid w:val="00203143"/>
    <w:rsid w:val="00203806"/>
    <w:rsid w:val="002044F1"/>
    <w:rsid w:val="00205738"/>
    <w:rsid w:val="00205D25"/>
    <w:rsid w:val="00205F15"/>
    <w:rsid w:val="00206140"/>
    <w:rsid w:val="00206E5D"/>
    <w:rsid w:val="00207120"/>
    <w:rsid w:val="002079FD"/>
    <w:rsid w:val="00207EEB"/>
    <w:rsid w:val="00210ADC"/>
    <w:rsid w:val="0021126C"/>
    <w:rsid w:val="002119C9"/>
    <w:rsid w:val="00211F35"/>
    <w:rsid w:val="0021298E"/>
    <w:rsid w:val="00213900"/>
    <w:rsid w:val="002149B9"/>
    <w:rsid w:val="00214CB1"/>
    <w:rsid w:val="002151F4"/>
    <w:rsid w:val="00215269"/>
    <w:rsid w:val="00215393"/>
    <w:rsid w:val="002177E0"/>
    <w:rsid w:val="0022087E"/>
    <w:rsid w:val="00220DCE"/>
    <w:rsid w:val="00221195"/>
    <w:rsid w:val="00221881"/>
    <w:rsid w:val="00222738"/>
    <w:rsid w:val="00222D2B"/>
    <w:rsid w:val="00223E97"/>
    <w:rsid w:val="00223F70"/>
    <w:rsid w:val="00223F95"/>
    <w:rsid w:val="00224C4E"/>
    <w:rsid w:val="00225A33"/>
    <w:rsid w:val="002261F2"/>
    <w:rsid w:val="00226980"/>
    <w:rsid w:val="00226F66"/>
    <w:rsid w:val="002279E0"/>
    <w:rsid w:val="00227DCA"/>
    <w:rsid w:val="00230C5B"/>
    <w:rsid w:val="002310A6"/>
    <w:rsid w:val="002324B2"/>
    <w:rsid w:val="0023255D"/>
    <w:rsid w:val="00232D1F"/>
    <w:rsid w:val="00232D5F"/>
    <w:rsid w:val="00232E6A"/>
    <w:rsid w:val="00233188"/>
    <w:rsid w:val="00233685"/>
    <w:rsid w:val="002336ED"/>
    <w:rsid w:val="00233DD7"/>
    <w:rsid w:val="00233EDD"/>
    <w:rsid w:val="002351A7"/>
    <w:rsid w:val="00235349"/>
    <w:rsid w:val="0023551A"/>
    <w:rsid w:val="002357B6"/>
    <w:rsid w:val="00235BF6"/>
    <w:rsid w:val="00235E82"/>
    <w:rsid w:val="00235F05"/>
    <w:rsid w:val="002364E2"/>
    <w:rsid w:val="002365F5"/>
    <w:rsid w:val="00236A7C"/>
    <w:rsid w:val="00236F03"/>
    <w:rsid w:val="0023702E"/>
    <w:rsid w:val="00237167"/>
    <w:rsid w:val="00237C97"/>
    <w:rsid w:val="00237ECB"/>
    <w:rsid w:val="00237FA7"/>
    <w:rsid w:val="00240014"/>
    <w:rsid w:val="0024006E"/>
    <w:rsid w:val="00240B56"/>
    <w:rsid w:val="0024120F"/>
    <w:rsid w:val="0024126A"/>
    <w:rsid w:val="002413C0"/>
    <w:rsid w:val="00241509"/>
    <w:rsid w:val="00241900"/>
    <w:rsid w:val="00242D47"/>
    <w:rsid w:val="00242E4B"/>
    <w:rsid w:val="002435C3"/>
    <w:rsid w:val="00243696"/>
    <w:rsid w:val="0024377D"/>
    <w:rsid w:val="00243AD0"/>
    <w:rsid w:val="00244014"/>
    <w:rsid w:val="0024409C"/>
    <w:rsid w:val="00245109"/>
    <w:rsid w:val="00245E27"/>
    <w:rsid w:val="00246308"/>
    <w:rsid w:val="0024639E"/>
    <w:rsid w:val="002463BD"/>
    <w:rsid w:val="002473FF"/>
    <w:rsid w:val="00247716"/>
    <w:rsid w:val="00247BCE"/>
    <w:rsid w:val="002510CF"/>
    <w:rsid w:val="00251903"/>
    <w:rsid w:val="002524B2"/>
    <w:rsid w:val="00252B08"/>
    <w:rsid w:val="00252C11"/>
    <w:rsid w:val="00253889"/>
    <w:rsid w:val="00253ABC"/>
    <w:rsid w:val="00253C91"/>
    <w:rsid w:val="0025415A"/>
    <w:rsid w:val="002542A9"/>
    <w:rsid w:val="00254EB2"/>
    <w:rsid w:val="00255248"/>
    <w:rsid w:val="00255371"/>
    <w:rsid w:val="00255884"/>
    <w:rsid w:val="002558CC"/>
    <w:rsid w:val="002558F0"/>
    <w:rsid w:val="002560BE"/>
    <w:rsid w:val="00256410"/>
    <w:rsid w:val="00256E21"/>
    <w:rsid w:val="002575E6"/>
    <w:rsid w:val="00260127"/>
    <w:rsid w:val="0026103F"/>
    <w:rsid w:val="0026209D"/>
    <w:rsid w:val="0026279B"/>
    <w:rsid w:val="00262D2F"/>
    <w:rsid w:val="002644BF"/>
    <w:rsid w:val="002647EF"/>
    <w:rsid w:val="00264A08"/>
    <w:rsid w:val="00264AB1"/>
    <w:rsid w:val="00264BCF"/>
    <w:rsid w:val="00266101"/>
    <w:rsid w:val="002662B8"/>
    <w:rsid w:val="002662E0"/>
    <w:rsid w:val="002667A9"/>
    <w:rsid w:val="0026684E"/>
    <w:rsid w:val="00266B28"/>
    <w:rsid w:val="002679DA"/>
    <w:rsid w:val="00267FB4"/>
    <w:rsid w:val="00270006"/>
    <w:rsid w:val="0027118D"/>
    <w:rsid w:val="002712BE"/>
    <w:rsid w:val="00271340"/>
    <w:rsid w:val="002716AA"/>
    <w:rsid w:val="00271AFE"/>
    <w:rsid w:val="00271C38"/>
    <w:rsid w:val="0027290C"/>
    <w:rsid w:val="00273508"/>
    <w:rsid w:val="0027400C"/>
    <w:rsid w:val="0027400D"/>
    <w:rsid w:val="00274389"/>
    <w:rsid w:val="0027461F"/>
    <w:rsid w:val="0027470F"/>
    <w:rsid w:val="00274A83"/>
    <w:rsid w:val="002753D8"/>
    <w:rsid w:val="0027601E"/>
    <w:rsid w:val="002761CE"/>
    <w:rsid w:val="0027641C"/>
    <w:rsid w:val="002769C3"/>
    <w:rsid w:val="00276DAE"/>
    <w:rsid w:val="002778D7"/>
    <w:rsid w:val="00277972"/>
    <w:rsid w:val="0028034D"/>
    <w:rsid w:val="00280B34"/>
    <w:rsid w:val="00281114"/>
    <w:rsid w:val="00281907"/>
    <w:rsid w:val="00281CAA"/>
    <w:rsid w:val="0028208E"/>
    <w:rsid w:val="0028248B"/>
    <w:rsid w:val="002827F7"/>
    <w:rsid w:val="00283214"/>
    <w:rsid w:val="00283E5D"/>
    <w:rsid w:val="002845CB"/>
    <w:rsid w:val="00284B42"/>
    <w:rsid w:val="00284D06"/>
    <w:rsid w:val="002859AA"/>
    <w:rsid w:val="00285D38"/>
    <w:rsid w:val="00285D49"/>
    <w:rsid w:val="00285D75"/>
    <w:rsid w:val="00285F9B"/>
    <w:rsid w:val="0028648F"/>
    <w:rsid w:val="002869A7"/>
    <w:rsid w:val="002875F3"/>
    <w:rsid w:val="00287A1C"/>
    <w:rsid w:val="0029015E"/>
    <w:rsid w:val="002907FD"/>
    <w:rsid w:val="0029203F"/>
    <w:rsid w:val="002928F1"/>
    <w:rsid w:val="00292B86"/>
    <w:rsid w:val="00293077"/>
    <w:rsid w:val="00293710"/>
    <w:rsid w:val="0029385C"/>
    <w:rsid w:val="00293B55"/>
    <w:rsid w:val="00294705"/>
    <w:rsid w:val="00295095"/>
    <w:rsid w:val="002957DE"/>
    <w:rsid w:val="00295D12"/>
    <w:rsid w:val="002965AA"/>
    <w:rsid w:val="002968E8"/>
    <w:rsid w:val="00296BEA"/>
    <w:rsid w:val="0029715B"/>
    <w:rsid w:val="0029771B"/>
    <w:rsid w:val="002977CE"/>
    <w:rsid w:val="00297835"/>
    <w:rsid w:val="00297B0F"/>
    <w:rsid w:val="00297E32"/>
    <w:rsid w:val="002A02E6"/>
    <w:rsid w:val="002A090B"/>
    <w:rsid w:val="002A0D81"/>
    <w:rsid w:val="002A116A"/>
    <w:rsid w:val="002A176F"/>
    <w:rsid w:val="002A1AA3"/>
    <w:rsid w:val="002A1F08"/>
    <w:rsid w:val="002A2019"/>
    <w:rsid w:val="002A2B5C"/>
    <w:rsid w:val="002A3059"/>
    <w:rsid w:val="002A30B8"/>
    <w:rsid w:val="002A3591"/>
    <w:rsid w:val="002A38B8"/>
    <w:rsid w:val="002A4D4F"/>
    <w:rsid w:val="002A5334"/>
    <w:rsid w:val="002A5B9D"/>
    <w:rsid w:val="002A630F"/>
    <w:rsid w:val="002A6B53"/>
    <w:rsid w:val="002A6DCB"/>
    <w:rsid w:val="002B0462"/>
    <w:rsid w:val="002B05BC"/>
    <w:rsid w:val="002B0681"/>
    <w:rsid w:val="002B07AC"/>
    <w:rsid w:val="002B0AE7"/>
    <w:rsid w:val="002B176E"/>
    <w:rsid w:val="002B1C96"/>
    <w:rsid w:val="002B1F3A"/>
    <w:rsid w:val="002B3601"/>
    <w:rsid w:val="002B37B8"/>
    <w:rsid w:val="002B3FE5"/>
    <w:rsid w:val="002B4AC0"/>
    <w:rsid w:val="002B4CE0"/>
    <w:rsid w:val="002B5356"/>
    <w:rsid w:val="002B5662"/>
    <w:rsid w:val="002B591E"/>
    <w:rsid w:val="002B6183"/>
    <w:rsid w:val="002B61E0"/>
    <w:rsid w:val="002B6DB0"/>
    <w:rsid w:val="002B726B"/>
    <w:rsid w:val="002B7BAC"/>
    <w:rsid w:val="002B7C66"/>
    <w:rsid w:val="002B7D8B"/>
    <w:rsid w:val="002B7F7A"/>
    <w:rsid w:val="002C067F"/>
    <w:rsid w:val="002C0798"/>
    <w:rsid w:val="002C1010"/>
    <w:rsid w:val="002C1891"/>
    <w:rsid w:val="002C253D"/>
    <w:rsid w:val="002C25B8"/>
    <w:rsid w:val="002C30BA"/>
    <w:rsid w:val="002C458B"/>
    <w:rsid w:val="002C4886"/>
    <w:rsid w:val="002C62AF"/>
    <w:rsid w:val="002C6C9F"/>
    <w:rsid w:val="002D004D"/>
    <w:rsid w:val="002D07C7"/>
    <w:rsid w:val="002D189F"/>
    <w:rsid w:val="002D1A98"/>
    <w:rsid w:val="002D1F21"/>
    <w:rsid w:val="002D2580"/>
    <w:rsid w:val="002D36BC"/>
    <w:rsid w:val="002D3FD9"/>
    <w:rsid w:val="002D457D"/>
    <w:rsid w:val="002D4B9A"/>
    <w:rsid w:val="002D575A"/>
    <w:rsid w:val="002D5CFB"/>
    <w:rsid w:val="002D6378"/>
    <w:rsid w:val="002D667F"/>
    <w:rsid w:val="002D67AA"/>
    <w:rsid w:val="002D69A1"/>
    <w:rsid w:val="002D6CD9"/>
    <w:rsid w:val="002D7059"/>
    <w:rsid w:val="002D7067"/>
    <w:rsid w:val="002D7577"/>
    <w:rsid w:val="002D7D85"/>
    <w:rsid w:val="002D7E38"/>
    <w:rsid w:val="002E0638"/>
    <w:rsid w:val="002E1D84"/>
    <w:rsid w:val="002E20D1"/>
    <w:rsid w:val="002E26AB"/>
    <w:rsid w:val="002E3A2B"/>
    <w:rsid w:val="002E3AAE"/>
    <w:rsid w:val="002E3C40"/>
    <w:rsid w:val="002E3DEB"/>
    <w:rsid w:val="002E43E1"/>
    <w:rsid w:val="002E46EB"/>
    <w:rsid w:val="002E494B"/>
    <w:rsid w:val="002E5076"/>
    <w:rsid w:val="002E584D"/>
    <w:rsid w:val="002E5BC6"/>
    <w:rsid w:val="002E5EC9"/>
    <w:rsid w:val="002E6408"/>
    <w:rsid w:val="002E6E44"/>
    <w:rsid w:val="002E70F8"/>
    <w:rsid w:val="002F04CC"/>
    <w:rsid w:val="002F0BEC"/>
    <w:rsid w:val="002F0C2C"/>
    <w:rsid w:val="002F161E"/>
    <w:rsid w:val="002F1C3A"/>
    <w:rsid w:val="002F1DA6"/>
    <w:rsid w:val="002F229E"/>
    <w:rsid w:val="002F24B8"/>
    <w:rsid w:val="002F2BC2"/>
    <w:rsid w:val="002F3460"/>
    <w:rsid w:val="002F37D9"/>
    <w:rsid w:val="002F3843"/>
    <w:rsid w:val="002F41D0"/>
    <w:rsid w:val="002F4317"/>
    <w:rsid w:val="002F464F"/>
    <w:rsid w:val="002F46DD"/>
    <w:rsid w:val="002F47F2"/>
    <w:rsid w:val="002F4AD1"/>
    <w:rsid w:val="002F4F42"/>
    <w:rsid w:val="002F618F"/>
    <w:rsid w:val="002F6407"/>
    <w:rsid w:val="002F6593"/>
    <w:rsid w:val="002F6C99"/>
    <w:rsid w:val="002F7559"/>
    <w:rsid w:val="002F79E5"/>
    <w:rsid w:val="0030053D"/>
    <w:rsid w:val="00300DA2"/>
    <w:rsid w:val="00301FD8"/>
    <w:rsid w:val="0030249E"/>
    <w:rsid w:val="003027C3"/>
    <w:rsid w:val="003028F1"/>
    <w:rsid w:val="0030362F"/>
    <w:rsid w:val="00303A12"/>
    <w:rsid w:val="00304933"/>
    <w:rsid w:val="003050A7"/>
    <w:rsid w:val="0030537D"/>
    <w:rsid w:val="00305690"/>
    <w:rsid w:val="00305744"/>
    <w:rsid w:val="0030579B"/>
    <w:rsid w:val="00305B0E"/>
    <w:rsid w:val="00305E97"/>
    <w:rsid w:val="00305EE8"/>
    <w:rsid w:val="00305FD4"/>
    <w:rsid w:val="003063CF"/>
    <w:rsid w:val="00306421"/>
    <w:rsid w:val="00306D2B"/>
    <w:rsid w:val="00306D85"/>
    <w:rsid w:val="00306DC8"/>
    <w:rsid w:val="00307556"/>
    <w:rsid w:val="00307E43"/>
    <w:rsid w:val="00307FFD"/>
    <w:rsid w:val="00311403"/>
    <w:rsid w:val="00311DE4"/>
    <w:rsid w:val="00312003"/>
    <w:rsid w:val="00312B2A"/>
    <w:rsid w:val="00312BFB"/>
    <w:rsid w:val="0031317E"/>
    <w:rsid w:val="00313E0E"/>
    <w:rsid w:val="00314EBB"/>
    <w:rsid w:val="003155A4"/>
    <w:rsid w:val="00315C0C"/>
    <w:rsid w:val="003160AA"/>
    <w:rsid w:val="00316541"/>
    <w:rsid w:val="003171F9"/>
    <w:rsid w:val="00317362"/>
    <w:rsid w:val="003173FD"/>
    <w:rsid w:val="00317A53"/>
    <w:rsid w:val="00320CF3"/>
    <w:rsid w:val="00320CFD"/>
    <w:rsid w:val="00321001"/>
    <w:rsid w:val="003213DA"/>
    <w:rsid w:val="0032140C"/>
    <w:rsid w:val="003217D8"/>
    <w:rsid w:val="003218E3"/>
    <w:rsid w:val="00321DDF"/>
    <w:rsid w:val="0032260D"/>
    <w:rsid w:val="003227EC"/>
    <w:rsid w:val="003229DA"/>
    <w:rsid w:val="00322A23"/>
    <w:rsid w:val="00322B49"/>
    <w:rsid w:val="00322D1E"/>
    <w:rsid w:val="0032317E"/>
    <w:rsid w:val="003235F9"/>
    <w:rsid w:val="00323F56"/>
    <w:rsid w:val="0032489E"/>
    <w:rsid w:val="003248B1"/>
    <w:rsid w:val="003253BF"/>
    <w:rsid w:val="00325707"/>
    <w:rsid w:val="00325CE0"/>
    <w:rsid w:val="00326EBC"/>
    <w:rsid w:val="00327115"/>
    <w:rsid w:val="00327390"/>
    <w:rsid w:val="00327DD6"/>
    <w:rsid w:val="00331357"/>
    <w:rsid w:val="00331CB9"/>
    <w:rsid w:val="003327B5"/>
    <w:rsid w:val="00332BC8"/>
    <w:rsid w:val="00333AD8"/>
    <w:rsid w:val="00333B9C"/>
    <w:rsid w:val="00333D5E"/>
    <w:rsid w:val="0033427A"/>
    <w:rsid w:val="00334435"/>
    <w:rsid w:val="00334B35"/>
    <w:rsid w:val="00334C07"/>
    <w:rsid w:val="0033546D"/>
    <w:rsid w:val="0033569C"/>
    <w:rsid w:val="003362B9"/>
    <w:rsid w:val="003365F9"/>
    <w:rsid w:val="00336BCA"/>
    <w:rsid w:val="00336C8C"/>
    <w:rsid w:val="00337027"/>
    <w:rsid w:val="00337202"/>
    <w:rsid w:val="0033735A"/>
    <w:rsid w:val="003373DF"/>
    <w:rsid w:val="00337617"/>
    <w:rsid w:val="00340477"/>
    <w:rsid w:val="0034071E"/>
    <w:rsid w:val="00341D9E"/>
    <w:rsid w:val="00341F5F"/>
    <w:rsid w:val="003422D5"/>
    <w:rsid w:val="00342886"/>
    <w:rsid w:val="00342AF0"/>
    <w:rsid w:val="0034581F"/>
    <w:rsid w:val="00345CBC"/>
    <w:rsid w:val="00346A65"/>
    <w:rsid w:val="00347A8F"/>
    <w:rsid w:val="00347FBE"/>
    <w:rsid w:val="0035083B"/>
    <w:rsid w:val="003510E4"/>
    <w:rsid w:val="00352835"/>
    <w:rsid w:val="00352984"/>
    <w:rsid w:val="003530D9"/>
    <w:rsid w:val="00353596"/>
    <w:rsid w:val="00353BCD"/>
    <w:rsid w:val="003540C8"/>
    <w:rsid w:val="00354DB9"/>
    <w:rsid w:val="00354E41"/>
    <w:rsid w:val="00355192"/>
    <w:rsid w:val="00355873"/>
    <w:rsid w:val="00355875"/>
    <w:rsid w:val="0035596C"/>
    <w:rsid w:val="00355C57"/>
    <w:rsid w:val="00355EB4"/>
    <w:rsid w:val="003569B5"/>
    <w:rsid w:val="00356E35"/>
    <w:rsid w:val="003571FC"/>
    <w:rsid w:val="00357CCD"/>
    <w:rsid w:val="00357F92"/>
    <w:rsid w:val="003602DB"/>
    <w:rsid w:val="0036058F"/>
    <w:rsid w:val="00360CFB"/>
    <w:rsid w:val="00361042"/>
    <w:rsid w:val="003619BF"/>
    <w:rsid w:val="00362A61"/>
    <w:rsid w:val="0036308E"/>
    <w:rsid w:val="003639CA"/>
    <w:rsid w:val="00363D15"/>
    <w:rsid w:val="003640C4"/>
    <w:rsid w:val="003642BD"/>
    <w:rsid w:val="00364AD3"/>
    <w:rsid w:val="00364CEB"/>
    <w:rsid w:val="003654D6"/>
    <w:rsid w:val="00365810"/>
    <w:rsid w:val="00365FCB"/>
    <w:rsid w:val="003661EF"/>
    <w:rsid w:val="00366A60"/>
    <w:rsid w:val="00366B5C"/>
    <w:rsid w:val="003671AB"/>
    <w:rsid w:val="0036749E"/>
    <w:rsid w:val="003677AC"/>
    <w:rsid w:val="00367841"/>
    <w:rsid w:val="00370FE6"/>
    <w:rsid w:val="00371214"/>
    <w:rsid w:val="003718CA"/>
    <w:rsid w:val="00371DA9"/>
    <w:rsid w:val="003732F1"/>
    <w:rsid w:val="00373923"/>
    <w:rsid w:val="003739C7"/>
    <w:rsid w:val="00373C1D"/>
    <w:rsid w:val="00373FCD"/>
    <w:rsid w:val="00374AFD"/>
    <w:rsid w:val="00374FD5"/>
    <w:rsid w:val="0037594A"/>
    <w:rsid w:val="00375EEB"/>
    <w:rsid w:val="00376A88"/>
    <w:rsid w:val="0037709D"/>
    <w:rsid w:val="00377184"/>
    <w:rsid w:val="0037792D"/>
    <w:rsid w:val="00377B90"/>
    <w:rsid w:val="00377E32"/>
    <w:rsid w:val="00380548"/>
    <w:rsid w:val="00380B51"/>
    <w:rsid w:val="00380D18"/>
    <w:rsid w:val="003811E4"/>
    <w:rsid w:val="00381735"/>
    <w:rsid w:val="003817FF"/>
    <w:rsid w:val="00381C14"/>
    <w:rsid w:val="00381DC9"/>
    <w:rsid w:val="00382105"/>
    <w:rsid w:val="003822A6"/>
    <w:rsid w:val="00382C79"/>
    <w:rsid w:val="003841AB"/>
    <w:rsid w:val="003850B1"/>
    <w:rsid w:val="00386068"/>
    <w:rsid w:val="003866BA"/>
    <w:rsid w:val="00386C74"/>
    <w:rsid w:val="00387008"/>
    <w:rsid w:val="003871B6"/>
    <w:rsid w:val="0038778B"/>
    <w:rsid w:val="00390086"/>
    <w:rsid w:val="00390242"/>
    <w:rsid w:val="00390555"/>
    <w:rsid w:val="00390B30"/>
    <w:rsid w:val="00391005"/>
    <w:rsid w:val="00391DED"/>
    <w:rsid w:val="00392DC3"/>
    <w:rsid w:val="00393B38"/>
    <w:rsid w:val="0039416E"/>
    <w:rsid w:val="00394595"/>
    <w:rsid w:val="003945C6"/>
    <w:rsid w:val="00394726"/>
    <w:rsid w:val="00394A1B"/>
    <w:rsid w:val="00395402"/>
    <w:rsid w:val="00395AE4"/>
    <w:rsid w:val="00395FE8"/>
    <w:rsid w:val="00396A6B"/>
    <w:rsid w:val="00396B47"/>
    <w:rsid w:val="00396C07"/>
    <w:rsid w:val="00396D3A"/>
    <w:rsid w:val="00397F3F"/>
    <w:rsid w:val="003A0328"/>
    <w:rsid w:val="003A09E5"/>
    <w:rsid w:val="003A0B34"/>
    <w:rsid w:val="003A1420"/>
    <w:rsid w:val="003A243E"/>
    <w:rsid w:val="003A24CA"/>
    <w:rsid w:val="003A269C"/>
    <w:rsid w:val="003A3261"/>
    <w:rsid w:val="003A35EE"/>
    <w:rsid w:val="003A3905"/>
    <w:rsid w:val="003A4382"/>
    <w:rsid w:val="003A48DB"/>
    <w:rsid w:val="003A4F95"/>
    <w:rsid w:val="003A5794"/>
    <w:rsid w:val="003A5825"/>
    <w:rsid w:val="003A5BB3"/>
    <w:rsid w:val="003A5CAE"/>
    <w:rsid w:val="003A600E"/>
    <w:rsid w:val="003A6060"/>
    <w:rsid w:val="003A7475"/>
    <w:rsid w:val="003B027E"/>
    <w:rsid w:val="003B060F"/>
    <w:rsid w:val="003B0B26"/>
    <w:rsid w:val="003B0F72"/>
    <w:rsid w:val="003B10D0"/>
    <w:rsid w:val="003B1983"/>
    <w:rsid w:val="003B19BE"/>
    <w:rsid w:val="003B262C"/>
    <w:rsid w:val="003B291C"/>
    <w:rsid w:val="003B296C"/>
    <w:rsid w:val="003B2D3D"/>
    <w:rsid w:val="003B3874"/>
    <w:rsid w:val="003B38E1"/>
    <w:rsid w:val="003B3C06"/>
    <w:rsid w:val="003B4E51"/>
    <w:rsid w:val="003B56E9"/>
    <w:rsid w:val="003B5B79"/>
    <w:rsid w:val="003B5C98"/>
    <w:rsid w:val="003B6610"/>
    <w:rsid w:val="003B6CCF"/>
    <w:rsid w:val="003B75EF"/>
    <w:rsid w:val="003C0948"/>
    <w:rsid w:val="003C2473"/>
    <w:rsid w:val="003C263E"/>
    <w:rsid w:val="003C2A3F"/>
    <w:rsid w:val="003C2D37"/>
    <w:rsid w:val="003C2FF8"/>
    <w:rsid w:val="003C30ED"/>
    <w:rsid w:val="003C3778"/>
    <w:rsid w:val="003C3873"/>
    <w:rsid w:val="003C3CD7"/>
    <w:rsid w:val="003C4F3B"/>
    <w:rsid w:val="003C52A9"/>
    <w:rsid w:val="003C5584"/>
    <w:rsid w:val="003C5689"/>
    <w:rsid w:val="003C5C82"/>
    <w:rsid w:val="003C5F16"/>
    <w:rsid w:val="003C6106"/>
    <w:rsid w:val="003C6B60"/>
    <w:rsid w:val="003C7453"/>
    <w:rsid w:val="003C7D92"/>
    <w:rsid w:val="003C7EC7"/>
    <w:rsid w:val="003D035D"/>
    <w:rsid w:val="003D05B5"/>
    <w:rsid w:val="003D0A94"/>
    <w:rsid w:val="003D0CF8"/>
    <w:rsid w:val="003D1264"/>
    <w:rsid w:val="003D133D"/>
    <w:rsid w:val="003D14C5"/>
    <w:rsid w:val="003D1A7E"/>
    <w:rsid w:val="003D228D"/>
    <w:rsid w:val="003D250E"/>
    <w:rsid w:val="003D2EE0"/>
    <w:rsid w:val="003D4711"/>
    <w:rsid w:val="003D48F0"/>
    <w:rsid w:val="003D61BA"/>
    <w:rsid w:val="003D6647"/>
    <w:rsid w:val="003D6FDF"/>
    <w:rsid w:val="003E1D62"/>
    <w:rsid w:val="003E2064"/>
    <w:rsid w:val="003E211E"/>
    <w:rsid w:val="003E22D6"/>
    <w:rsid w:val="003E238F"/>
    <w:rsid w:val="003E2910"/>
    <w:rsid w:val="003E2B7C"/>
    <w:rsid w:val="003E2BF1"/>
    <w:rsid w:val="003E30D6"/>
    <w:rsid w:val="003E33CE"/>
    <w:rsid w:val="003E34D1"/>
    <w:rsid w:val="003E3908"/>
    <w:rsid w:val="003E3A25"/>
    <w:rsid w:val="003E3C15"/>
    <w:rsid w:val="003E4B89"/>
    <w:rsid w:val="003E4C16"/>
    <w:rsid w:val="003E4D3A"/>
    <w:rsid w:val="003E558D"/>
    <w:rsid w:val="003E6B81"/>
    <w:rsid w:val="003E752D"/>
    <w:rsid w:val="003F0267"/>
    <w:rsid w:val="003F18E3"/>
    <w:rsid w:val="003F319F"/>
    <w:rsid w:val="003F3303"/>
    <w:rsid w:val="003F33B1"/>
    <w:rsid w:val="003F3E08"/>
    <w:rsid w:val="003F3E31"/>
    <w:rsid w:val="003F40C5"/>
    <w:rsid w:val="003F45F0"/>
    <w:rsid w:val="003F5079"/>
    <w:rsid w:val="003F50C4"/>
    <w:rsid w:val="003F633C"/>
    <w:rsid w:val="003F65F1"/>
    <w:rsid w:val="003F6609"/>
    <w:rsid w:val="003F7CD2"/>
    <w:rsid w:val="004001AE"/>
    <w:rsid w:val="0040028A"/>
    <w:rsid w:val="00400720"/>
    <w:rsid w:val="00400F72"/>
    <w:rsid w:val="00401175"/>
    <w:rsid w:val="004014BE"/>
    <w:rsid w:val="0040191E"/>
    <w:rsid w:val="00401D17"/>
    <w:rsid w:val="00402858"/>
    <w:rsid w:val="00402E1D"/>
    <w:rsid w:val="0040300F"/>
    <w:rsid w:val="004038F8"/>
    <w:rsid w:val="004045C4"/>
    <w:rsid w:val="00404CB2"/>
    <w:rsid w:val="00405067"/>
    <w:rsid w:val="00406056"/>
    <w:rsid w:val="0040643D"/>
    <w:rsid w:val="0040686D"/>
    <w:rsid w:val="00406B20"/>
    <w:rsid w:val="00406EDA"/>
    <w:rsid w:val="00406F67"/>
    <w:rsid w:val="0040710F"/>
    <w:rsid w:val="00407447"/>
    <w:rsid w:val="004074B0"/>
    <w:rsid w:val="00407644"/>
    <w:rsid w:val="004077D7"/>
    <w:rsid w:val="00407A09"/>
    <w:rsid w:val="00407B13"/>
    <w:rsid w:val="00407FCC"/>
    <w:rsid w:val="004101ED"/>
    <w:rsid w:val="00412025"/>
    <w:rsid w:val="00412AE7"/>
    <w:rsid w:val="004130AE"/>
    <w:rsid w:val="00413263"/>
    <w:rsid w:val="00414339"/>
    <w:rsid w:val="00414520"/>
    <w:rsid w:val="004145E3"/>
    <w:rsid w:val="0041486C"/>
    <w:rsid w:val="00414949"/>
    <w:rsid w:val="00414A69"/>
    <w:rsid w:val="0041552C"/>
    <w:rsid w:val="0041564E"/>
    <w:rsid w:val="0041571D"/>
    <w:rsid w:val="00416111"/>
    <w:rsid w:val="00416BC2"/>
    <w:rsid w:val="00417557"/>
    <w:rsid w:val="00417AFB"/>
    <w:rsid w:val="00417F20"/>
    <w:rsid w:val="00420C64"/>
    <w:rsid w:val="00420EF0"/>
    <w:rsid w:val="00421206"/>
    <w:rsid w:val="004213A7"/>
    <w:rsid w:val="00421A1F"/>
    <w:rsid w:val="00421A20"/>
    <w:rsid w:val="00422560"/>
    <w:rsid w:val="00422A9B"/>
    <w:rsid w:val="0042353F"/>
    <w:rsid w:val="00423A2A"/>
    <w:rsid w:val="00423C14"/>
    <w:rsid w:val="00423EEC"/>
    <w:rsid w:val="0042455F"/>
    <w:rsid w:val="00424D27"/>
    <w:rsid w:val="0042513F"/>
    <w:rsid w:val="004251BC"/>
    <w:rsid w:val="004263A2"/>
    <w:rsid w:val="00426465"/>
    <w:rsid w:val="0042649D"/>
    <w:rsid w:val="0042696B"/>
    <w:rsid w:val="00426D6E"/>
    <w:rsid w:val="00427E9E"/>
    <w:rsid w:val="0043067C"/>
    <w:rsid w:val="004308EC"/>
    <w:rsid w:val="00430C9A"/>
    <w:rsid w:val="00431B67"/>
    <w:rsid w:val="00432801"/>
    <w:rsid w:val="00433121"/>
    <w:rsid w:val="004336E5"/>
    <w:rsid w:val="00435087"/>
    <w:rsid w:val="00435273"/>
    <w:rsid w:val="004356D9"/>
    <w:rsid w:val="004358D0"/>
    <w:rsid w:val="0043667F"/>
    <w:rsid w:val="00436826"/>
    <w:rsid w:val="00436B34"/>
    <w:rsid w:val="00436D4E"/>
    <w:rsid w:val="0043764E"/>
    <w:rsid w:val="00440968"/>
    <w:rsid w:val="0044174F"/>
    <w:rsid w:val="0044315E"/>
    <w:rsid w:val="004438D5"/>
    <w:rsid w:val="00443B8B"/>
    <w:rsid w:val="00443D04"/>
    <w:rsid w:val="004440DD"/>
    <w:rsid w:val="004441B4"/>
    <w:rsid w:val="00444558"/>
    <w:rsid w:val="004447B4"/>
    <w:rsid w:val="00444A8E"/>
    <w:rsid w:val="0044503E"/>
    <w:rsid w:val="00445182"/>
    <w:rsid w:val="0044558C"/>
    <w:rsid w:val="00445750"/>
    <w:rsid w:val="00445B03"/>
    <w:rsid w:val="00445D41"/>
    <w:rsid w:val="00445D5E"/>
    <w:rsid w:val="00446160"/>
    <w:rsid w:val="00446F5D"/>
    <w:rsid w:val="0044725F"/>
    <w:rsid w:val="00447605"/>
    <w:rsid w:val="00447A99"/>
    <w:rsid w:val="00447C23"/>
    <w:rsid w:val="00447FD3"/>
    <w:rsid w:val="0045075E"/>
    <w:rsid w:val="00450C94"/>
    <w:rsid w:val="00450FF6"/>
    <w:rsid w:val="00451274"/>
    <w:rsid w:val="004512D4"/>
    <w:rsid w:val="004525A0"/>
    <w:rsid w:val="00452A9D"/>
    <w:rsid w:val="00452C9E"/>
    <w:rsid w:val="00452D41"/>
    <w:rsid w:val="0045362B"/>
    <w:rsid w:val="00453D88"/>
    <w:rsid w:val="00454167"/>
    <w:rsid w:val="00454454"/>
    <w:rsid w:val="004549A6"/>
    <w:rsid w:val="004554E1"/>
    <w:rsid w:val="00455858"/>
    <w:rsid w:val="00455EED"/>
    <w:rsid w:val="004567D2"/>
    <w:rsid w:val="004571D0"/>
    <w:rsid w:val="0045738A"/>
    <w:rsid w:val="00457878"/>
    <w:rsid w:val="00457B1A"/>
    <w:rsid w:val="00457DD4"/>
    <w:rsid w:val="0046060C"/>
    <w:rsid w:val="00460DCB"/>
    <w:rsid w:val="00461412"/>
    <w:rsid w:val="0046147E"/>
    <w:rsid w:val="00461491"/>
    <w:rsid w:val="004614D6"/>
    <w:rsid w:val="00461B30"/>
    <w:rsid w:val="004623E9"/>
    <w:rsid w:val="004627F0"/>
    <w:rsid w:val="00462BDB"/>
    <w:rsid w:val="0046317B"/>
    <w:rsid w:val="00464907"/>
    <w:rsid w:val="0046528A"/>
    <w:rsid w:val="00465378"/>
    <w:rsid w:val="00466026"/>
    <w:rsid w:val="00466C62"/>
    <w:rsid w:val="00466E58"/>
    <w:rsid w:val="004676E2"/>
    <w:rsid w:val="00467764"/>
    <w:rsid w:val="00467EF2"/>
    <w:rsid w:val="00467F8C"/>
    <w:rsid w:val="00470315"/>
    <w:rsid w:val="004705CC"/>
    <w:rsid w:val="00470823"/>
    <w:rsid w:val="00470D3E"/>
    <w:rsid w:val="00470D86"/>
    <w:rsid w:val="00470EAB"/>
    <w:rsid w:val="00471018"/>
    <w:rsid w:val="00471ACE"/>
    <w:rsid w:val="004721BC"/>
    <w:rsid w:val="004732A1"/>
    <w:rsid w:val="004734B2"/>
    <w:rsid w:val="00473ED1"/>
    <w:rsid w:val="004747E8"/>
    <w:rsid w:val="00474ADA"/>
    <w:rsid w:val="004755BE"/>
    <w:rsid w:val="00475B93"/>
    <w:rsid w:val="00475BB1"/>
    <w:rsid w:val="00475F21"/>
    <w:rsid w:val="004760E0"/>
    <w:rsid w:val="00476752"/>
    <w:rsid w:val="0047781D"/>
    <w:rsid w:val="0048062C"/>
    <w:rsid w:val="00481AC2"/>
    <w:rsid w:val="00481F92"/>
    <w:rsid w:val="004822CA"/>
    <w:rsid w:val="00482577"/>
    <w:rsid w:val="00482894"/>
    <w:rsid w:val="00482D0A"/>
    <w:rsid w:val="00483240"/>
    <w:rsid w:val="0048372E"/>
    <w:rsid w:val="004837A0"/>
    <w:rsid w:val="00483C8D"/>
    <w:rsid w:val="00483F7F"/>
    <w:rsid w:val="004844D7"/>
    <w:rsid w:val="00484D77"/>
    <w:rsid w:val="0048720B"/>
    <w:rsid w:val="00487221"/>
    <w:rsid w:val="0049048D"/>
    <w:rsid w:val="00491C34"/>
    <w:rsid w:val="004926F0"/>
    <w:rsid w:val="00493D04"/>
    <w:rsid w:val="00493F7B"/>
    <w:rsid w:val="0049424D"/>
    <w:rsid w:val="004953EE"/>
    <w:rsid w:val="00496167"/>
    <w:rsid w:val="004970CA"/>
    <w:rsid w:val="0049763D"/>
    <w:rsid w:val="004977C0"/>
    <w:rsid w:val="00497B51"/>
    <w:rsid w:val="004A0745"/>
    <w:rsid w:val="004A17B6"/>
    <w:rsid w:val="004A23A5"/>
    <w:rsid w:val="004A24A3"/>
    <w:rsid w:val="004A25BF"/>
    <w:rsid w:val="004A2A94"/>
    <w:rsid w:val="004A2BBB"/>
    <w:rsid w:val="004A2F62"/>
    <w:rsid w:val="004A3E7A"/>
    <w:rsid w:val="004A443C"/>
    <w:rsid w:val="004A461F"/>
    <w:rsid w:val="004A4CEC"/>
    <w:rsid w:val="004A4D3C"/>
    <w:rsid w:val="004A5F9F"/>
    <w:rsid w:val="004A62C7"/>
    <w:rsid w:val="004A6AB9"/>
    <w:rsid w:val="004A6BFF"/>
    <w:rsid w:val="004A7A28"/>
    <w:rsid w:val="004A7AD9"/>
    <w:rsid w:val="004B067A"/>
    <w:rsid w:val="004B09D5"/>
    <w:rsid w:val="004B1827"/>
    <w:rsid w:val="004B1947"/>
    <w:rsid w:val="004B3180"/>
    <w:rsid w:val="004B3867"/>
    <w:rsid w:val="004B39DC"/>
    <w:rsid w:val="004B3B5F"/>
    <w:rsid w:val="004B3F7B"/>
    <w:rsid w:val="004B3F91"/>
    <w:rsid w:val="004B4608"/>
    <w:rsid w:val="004B59AA"/>
    <w:rsid w:val="004B5D87"/>
    <w:rsid w:val="004B5EAD"/>
    <w:rsid w:val="004B5FA9"/>
    <w:rsid w:val="004B60D8"/>
    <w:rsid w:val="004B657B"/>
    <w:rsid w:val="004B65FC"/>
    <w:rsid w:val="004B65FD"/>
    <w:rsid w:val="004B6E18"/>
    <w:rsid w:val="004B6F04"/>
    <w:rsid w:val="004B72F2"/>
    <w:rsid w:val="004C0B0E"/>
    <w:rsid w:val="004C0FBB"/>
    <w:rsid w:val="004C191F"/>
    <w:rsid w:val="004C1C0E"/>
    <w:rsid w:val="004C1D23"/>
    <w:rsid w:val="004C1E44"/>
    <w:rsid w:val="004C2650"/>
    <w:rsid w:val="004C26EC"/>
    <w:rsid w:val="004C2812"/>
    <w:rsid w:val="004C2D8C"/>
    <w:rsid w:val="004C2F3E"/>
    <w:rsid w:val="004C3C55"/>
    <w:rsid w:val="004C49D7"/>
    <w:rsid w:val="004C5CD2"/>
    <w:rsid w:val="004C6EA3"/>
    <w:rsid w:val="004C7540"/>
    <w:rsid w:val="004D008C"/>
    <w:rsid w:val="004D0E03"/>
    <w:rsid w:val="004D1260"/>
    <w:rsid w:val="004D16BC"/>
    <w:rsid w:val="004D29B2"/>
    <w:rsid w:val="004D2C53"/>
    <w:rsid w:val="004D303D"/>
    <w:rsid w:val="004D31E9"/>
    <w:rsid w:val="004D36DC"/>
    <w:rsid w:val="004D3734"/>
    <w:rsid w:val="004D40B5"/>
    <w:rsid w:val="004D41B3"/>
    <w:rsid w:val="004D437F"/>
    <w:rsid w:val="004D4410"/>
    <w:rsid w:val="004D4843"/>
    <w:rsid w:val="004D4AED"/>
    <w:rsid w:val="004D4E4F"/>
    <w:rsid w:val="004D5AB3"/>
    <w:rsid w:val="004D5F34"/>
    <w:rsid w:val="004D6799"/>
    <w:rsid w:val="004D6F36"/>
    <w:rsid w:val="004D721D"/>
    <w:rsid w:val="004E0417"/>
    <w:rsid w:val="004E06F9"/>
    <w:rsid w:val="004E08C0"/>
    <w:rsid w:val="004E0CD1"/>
    <w:rsid w:val="004E192D"/>
    <w:rsid w:val="004E2AD7"/>
    <w:rsid w:val="004E372F"/>
    <w:rsid w:val="004E4A5E"/>
    <w:rsid w:val="004E5450"/>
    <w:rsid w:val="004E556D"/>
    <w:rsid w:val="004E617D"/>
    <w:rsid w:val="004E654F"/>
    <w:rsid w:val="004E6F33"/>
    <w:rsid w:val="004E76F6"/>
    <w:rsid w:val="004E78EF"/>
    <w:rsid w:val="004E7DDC"/>
    <w:rsid w:val="004F056D"/>
    <w:rsid w:val="004F09F4"/>
    <w:rsid w:val="004F13BB"/>
    <w:rsid w:val="004F19B1"/>
    <w:rsid w:val="004F1E2F"/>
    <w:rsid w:val="004F1F03"/>
    <w:rsid w:val="004F2823"/>
    <w:rsid w:val="004F2888"/>
    <w:rsid w:val="004F30A0"/>
    <w:rsid w:val="004F37A7"/>
    <w:rsid w:val="004F39A6"/>
    <w:rsid w:val="004F39E0"/>
    <w:rsid w:val="004F3F5C"/>
    <w:rsid w:val="004F41F3"/>
    <w:rsid w:val="004F4F14"/>
    <w:rsid w:val="004F4F8B"/>
    <w:rsid w:val="004F509B"/>
    <w:rsid w:val="004F50ED"/>
    <w:rsid w:val="004F52B9"/>
    <w:rsid w:val="004F5648"/>
    <w:rsid w:val="004F596F"/>
    <w:rsid w:val="004F60BA"/>
    <w:rsid w:val="004F63F2"/>
    <w:rsid w:val="004F6605"/>
    <w:rsid w:val="004F70AF"/>
    <w:rsid w:val="004F772F"/>
    <w:rsid w:val="005005A4"/>
    <w:rsid w:val="005006CF"/>
    <w:rsid w:val="00500ED5"/>
    <w:rsid w:val="00501447"/>
    <w:rsid w:val="00501B70"/>
    <w:rsid w:val="00502557"/>
    <w:rsid w:val="0050368D"/>
    <w:rsid w:val="00503D47"/>
    <w:rsid w:val="00503E75"/>
    <w:rsid w:val="00505054"/>
    <w:rsid w:val="00505225"/>
    <w:rsid w:val="00505DFC"/>
    <w:rsid w:val="0050612D"/>
    <w:rsid w:val="005072BE"/>
    <w:rsid w:val="00507B08"/>
    <w:rsid w:val="00507E3A"/>
    <w:rsid w:val="005109B9"/>
    <w:rsid w:val="00510F82"/>
    <w:rsid w:val="00511054"/>
    <w:rsid w:val="00512946"/>
    <w:rsid w:val="00512FB1"/>
    <w:rsid w:val="00512FD9"/>
    <w:rsid w:val="00513869"/>
    <w:rsid w:val="00513D1B"/>
    <w:rsid w:val="00514569"/>
    <w:rsid w:val="005145F0"/>
    <w:rsid w:val="00514A56"/>
    <w:rsid w:val="00515162"/>
    <w:rsid w:val="005170C9"/>
    <w:rsid w:val="00517476"/>
    <w:rsid w:val="00517A8F"/>
    <w:rsid w:val="00520745"/>
    <w:rsid w:val="00520821"/>
    <w:rsid w:val="005211BE"/>
    <w:rsid w:val="00521354"/>
    <w:rsid w:val="00521649"/>
    <w:rsid w:val="00521A76"/>
    <w:rsid w:val="00522069"/>
    <w:rsid w:val="00522399"/>
    <w:rsid w:val="005224E7"/>
    <w:rsid w:val="00522700"/>
    <w:rsid w:val="00522CDD"/>
    <w:rsid w:val="00523205"/>
    <w:rsid w:val="0052400E"/>
    <w:rsid w:val="00524317"/>
    <w:rsid w:val="00524427"/>
    <w:rsid w:val="00524C2F"/>
    <w:rsid w:val="00524D41"/>
    <w:rsid w:val="005250ED"/>
    <w:rsid w:val="00525234"/>
    <w:rsid w:val="005254FE"/>
    <w:rsid w:val="00525C1C"/>
    <w:rsid w:val="00526B01"/>
    <w:rsid w:val="00527AA1"/>
    <w:rsid w:val="00527F12"/>
    <w:rsid w:val="00527FF5"/>
    <w:rsid w:val="005300E3"/>
    <w:rsid w:val="005301F8"/>
    <w:rsid w:val="00530AC9"/>
    <w:rsid w:val="00532ECC"/>
    <w:rsid w:val="00533131"/>
    <w:rsid w:val="00533684"/>
    <w:rsid w:val="00533A03"/>
    <w:rsid w:val="00533B0A"/>
    <w:rsid w:val="00533CB2"/>
    <w:rsid w:val="005348FE"/>
    <w:rsid w:val="00535035"/>
    <w:rsid w:val="00535039"/>
    <w:rsid w:val="00535162"/>
    <w:rsid w:val="005353D2"/>
    <w:rsid w:val="005356A2"/>
    <w:rsid w:val="00535AAB"/>
    <w:rsid w:val="00535F45"/>
    <w:rsid w:val="0053613B"/>
    <w:rsid w:val="005364E8"/>
    <w:rsid w:val="005366A0"/>
    <w:rsid w:val="00536958"/>
    <w:rsid w:val="00536AFA"/>
    <w:rsid w:val="005370BC"/>
    <w:rsid w:val="0054041F"/>
    <w:rsid w:val="00540764"/>
    <w:rsid w:val="00540899"/>
    <w:rsid w:val="00541AF9"/>
    <w:rsid w:val="00541B7C"/>
    <w:rsid w:val="0054203B"/>
    <w:rsid w:val="00542663"/>
    <w:rsid w:val="00542E23"/>
    <w:rsid w:val="00543789"/>
    <w:rsid w:val="005437A8"/>
    <w:rsid w:val="00543CA9"/>
    <w:rsid w:val="0054491D"/>
    <w:rsid w:val="0054493C"/>
    <w:rsid w:val="00545173"/>
    <w:rsid w:val="005462B3"/>
    <w:rsid w:val="005465E0"/>
    <w:rsid w:val="00547C16"/>
    <w:rsid w:val="00550749"/>
    <w:rsid w:val="0055165D"/>
    <w:rsid w:val="00551BE2"/>
    <w:rsid w:val="005534DF"/>
    <w:rsid w:val="00553B94"/>
    <w:rsid w:val="00553D4C"/>
    <w:rsid w:val="00553DE1"/>
    <w:rsid w:val="0055467B"/>
    <w:rsid w:val="0055481D"/>
    <w:rsid w:val="0055511E"/>
    <w:rsid w:val="005554D8"/>
    <w:rsid w:val="00555A3F"/>
    <w:rsid w:val="00555EED"/>
    <w:rsid w:val="0055643E"/>
    <w:rsid w:val="00556456"/>
    <w:rsid w:val="00556C00"/>
    <w:rsid w:val="00557B59"/>
    <w:rsid w:val="00557CA6"/>
    <w:rsid w:val="00560CCC"/>
    <w:rsid w:val="00561335"/>
    <w:rsid w:val="005613C3"/>
    <w:rsid w:val="0056216E"/>
    <w:rsid w:val="0056217F"/>
    <w:rsid w:val="00562256"/>
    <w:rsid w:val="005624C3"/>
    <w:rsid w:val="00562949"/>
    <w:rsid w:val="00562AF3"/>
    <w:rsid w:val="00562C60"/>
    <w:rsid w:val="00563229"/>
    <w:rsid w:val="0056336C"/>
    <w:rsid w:val="00563A6A"/>
    <w:rsid w:val="00563BA5"/>
    <w:rsid w:val="00563C62"/>
    <w:rsid w:val="005642BE"/>
    <w:rsid w:val="0056473A"/>
    <w:rsid w:val="00564AE1"/>
    <w:rsid w:val="0056500E"/>
    <w:rsid w:val="005657A2"/>
    <w:rsid w:val="00565BC0"/>
    <w:rsid w:val="00565ED5"/>
    <w:rsid w:val="00566FBE"/>
    <w:rsid w:val="005674C6"/>
    <w:rsid w:val="00567699"/>
    <w:rsid w:val="00567C89"/>
    <w:rsid w:val="00570A90"/>
    <w:rsid w:val="00570AC6"/>
    <w:rsid w:val="00571206"/>
    <w:rsid w:val="005713E2"/>
    <w:rsid w:val="005714A4"/>
    <w:rsid w:val="005724F2"/>
    <w:rsid w:val="00572779"/>
    <w:rsid w:val="005731CF"/>
    <w:rsid w:val="00573954"/>
    <w:rsid w:val="00573BD7"/>
    <w:rsid w:val="00573C96"/>
    <w:rsid w:val="005743A2"/>
    <w:rsid w:val="00575874"/>
    <w:rsid w:val="005768F9"/>
    <w:rsid w:val="0057697A"/>
    <w:rsid w:val="00576DA7"/>
    <w:rsid w:val="00580058"/>
    <w:rsid w:val="00580A52"/>
    <w:rsid w:val="00581441"/>
    <w:rsid w:val="00581848"/>
    <w:rsid w:val="00581BE8"/>
    <w:rsid w:val="00582577"/>
    <w:rsid w:val="0058281A"/>
    <w:rsid w:val="00582C07"/>
    <w:rsid w:val="00582C13"/>
    <w:rsid w:val="00583201"/>
    <w:rsid w:val="00583686"/>
    <w:rsid w:val="0058404A"/>
    <w:rsid w:val="0058465C"/>
    <w:rsid w:val="005848AF"/>
    <w:rsid w:val="00585A45"/>
    <w:rsid w:val="0058613E"/>
    <w:rsid w:val="00586622"/>
    <w:rsid w:val="0058749F"/>
    <w:rsid w:val="005877CF"/>
    <w:rsid w:val="00587CBC"/>
    <w:rsid w:val="00587EE2"/>
    <w:rsid w:val="005900E7"/>
    <w:rsid w:val="005906AF"/>
    <w:rsid w:val="005912FB"/>
    <w:rsid w:val="00591FF7"/>
    <w:rsid w:val="00592093"/>
    <w:rsid w:val="005921B5"/>
    <w:rsid w:val="0059221C"/>
    <w:rsid w:val="0059246F"/>
    <w:rsid w:val="00593662"/>
    <w:rsid w:val="00594C60"/>
    <w:rsid w:val="00595E04"/>
    <w:rsid w:val="00596526"/>
    <w:rsid w:val="00596789"/>
    <w:rsid w:val="00597084"/>
    <w:rsid w:val="0059772F"/>
    <w:rsid w:val="00597DA6"/>
    <w:rsid w:val="005A0065"/>
    <w:rsid w:val="005A0EA2"/>
    <w:rsid w:val="005A13B5"/>
    <w:rsid w:val="005A1654"/>
    <w:rsid w:val="005A1B7C"/>
    <w:rsid w:val="005A1E11"/>
    <w:rsid w:val="005A20CE"/>
    <w:rsid w:val="005A20DC"/>
    <w:rsid w:val="005A2E3C"/>
    <w:rsid w:val="005A2F08"/>
    <w:rsid w:val="005A33B4"/>
    <w:rsid w:val="005A33F2"/>
    <w:rsid w:val="005A39DC"/>
    <w:rsid w:val="005A3A32"/>
    <w:rsid w:val="005A4399"/>
    <w:rsid w:val="005A5727"/>
    <w:rsid w:val="005A60EA"/>
    <w:rsid w:val="005A622C"/>
    <w:rsid w:val="005A63FC"/>
    <w:rsid w:val="005A65EE"/>
    <w:rsid w:val="005A70F5"/>
    <w:rsid w:val="005A746B"/>
    <w:rsid w:val="005A7F86"/>
    <w:rsid w:val="005B0630"/>
    <w:rsid w:val="005B0B14"/>
    <w:rsid w:val="005B0B5D"/>
    <w:rsid w:val="005B1722"/>
    <w:rsid w:val="005B181E"/>
    <w:rsid w:val="005B1F32"/>
    <w:rsid w:val="005B2092"/>
    <w:rsid w:val="005B22D3"/>
    <w:rsid w:val="005B2B0F"/>
    <w:rsid w:val="005B32F7"/>
    <w:rsid w:val="005B3E48"/>
    <w:rsid w:val="005B41C9"/>
    <w:rsid w:val="005B4991"/>
    <w:rsid w:val="005B4A40"/>
    <w:rsid w:val="005B6DDD"/>
    <w:rsid w:val="005B72C5"/>
    <w:rsid w:val="005C04B5"/>
    <w:rsid w:val="005C06D6"/>
    <w:rsid w:val="005C07FD"/>
    <w:rsid w:val="005C10D4"/>
    <w:rsid w:val="005C1689"/>
    <w:rsid w:val="005C1B99"/>
    <w:rsid w:val="005C2DBF"/>
    <w:rsid w:val="005C31F9"/>
    <w:rsid w:val="005C37C8"/>
    <w:rsid w:val="005C3F07"/>
    <w:rsid w:val="005C53F3"/>
    <w:rsid w:val="005C5735"/>
    <w:rsid w:val="005C65C6"/>
    <w:rsid w:val="005C736F"/>
    <w:rsid w:val="005C753B"/>
    <w:rsid w:val="005C7B0D"/>
    <w:rsid w:val="005C7C2B"/>
    <w:rsid w:val="005C7D0D"/>
    <w:rsid w:val="005C7ECE"/>
    <w:rsid w:val="005D0648"/>
    <w:rsid w:val="005D091B"/>
    <w:rsid w:val="005D0CD1"/>
    <w:rsid w:val="005D15C8"/>
    <w:rsid w:val="005D206B"/>
    <w:rsid w:val="005D26FD"/>
    <w:rsid w:val="005D2C7A"/>
    <w:rsid w:val="005D2C81"/>
    <w:rsid w:val="005D2E74"/>
    <w:rsid w:val="005D35FF"/>
    <w:rsid w:val="005D4129"/>
    <w:rsid w:val="005D4187"/>
    <w:rsid w:val="005D48AA"/>
    <w:rsid w:val="005D4D03"/>
    <w:rsid w:val="005D4E9A"/>
    <w:rsid w:val="005D5C11"/>
    <w:rsid w:val="005D6828"/>
    <w:rsid w:val="005D7250"/>
    <w:rsid w:val="005D7274"/>
    <w:rsid w:val="005D7671"/>
    <w:rsid w:val="005D77DF"/>
    <w:rsid w:val="005D780F"/>
    <w:rsid w:val="005D7E23"/>
    <w:rsid w:val="005D7F88"/>
    <w:rsid w:val="005E0894"/>
    <w:rsid w:val="005E0FB9"/>
    <w:rsid w:val="005E1A25"/>
    <w:rsid w:val="005E26C3"/>
    <w:rsid w:val="005E29D5"/>
    <w:rsid w:val="005E2AF3"/>
    <w:rsid w:val="005E3458"/>
    <w:rsid w:val="005E3C35"/>
    <w:rsid w:val="005E3E9D"/>
    <w:rsid w:val="005E4B4E"/>
    <w:rsid w:val="005E6A25"/>
    <w:rsid w:val="005E6E41"/>
    <w:rsid w:val="005E70DE"/>
    <w:rsid w:val="005E7F8C"/>
    <w:rsid w:val="005F04E0"/>
    <w:rsid w:val="005F0BD6"/>
    <w:rsid w:val="005F154C"/>
    <w:rsid w:val="005F1CE8"/>
    <w:rsid w:val="005F2241"/>
    <w:rsid w:val="005F293F"/>
    <w:rsid w:val="005F3362"/>
    <w:rsid w:val="005F36B4"/>
    <w:rsid w:val="005F3899"/>
    <w:rsid w:val="005F39C9"/>
    <w:rsid w:val="005F3AA9"/>
    <w:rsid w:val="005F3CBE"/>
    <w:rsid w:val="005F40FA"/>
    <w:rsid w:val="005F45C7"/>
    <w:rsid w:val="005F53C9"/>
    <w:rsid w:val="005F5FA8"/>
    <w:rsid w:val="005F6CF2"/>
    <w:rsid w:val="005F716F"/>
    <w:rsid w:val="005F72A2"/>
    <w:rsid w:val="005F7689"/>
    <w:rsid w:val="00601F51"/>
    <w:rsid w:val="00603E14"/>
    <w:rsid w:val="00604725"/>
    <w:rsid w:val="00604B1D"/>
    <w:rsid w:val="00604C85"/>
    <w:rsid w:val="00604E91"/>
    <w:rsid w:val="006051C3"/>
    <w:rsid w:val="006052E1"/>
    <w:rsid w:val="006053FA"/>
    <w:rsid w:val="0060593A"/>
    <w:rsid w:val="006059A2"/>
    <w:rsid w:val="00605D04"/>
    <w:rsid w:val="00605E3A"/>
    <w:rsid w:val="0060641A"/>
    <w:rsid w:val="00606697"/>
    <w:rsid w:val="00606745"/>
    <w:rsid w:val="0060699C"/>
    <w:rsid w:val="0060724B"/>
    <w:rsid w:val="00607FAA"/>
    <w:rsid w:val="0061039D"/>
    <w:rsid w:val="00611871"/>
    <w:rsid w:val="00611A32"/>
    <w:rsid w:val="00611CCA"/>
    <w:rsid w:val="00611D98"/>
    <w:rsid w:val="00611ED9"/>
    <w:rsid w:val="00613167"/>
    <w:rsid w:val="00613545"/>
    <w:rsid w:val="00614599"/>
    <w:rsid w:val="0061501B"/>
    <w:rsid w:val="006155E7"/>
    <w:rsid w:val="0061571F"/>
    <w:rsid w:val="00615A6A"/>
    <w:rsid w:val="00615FCF"/>
    <w:rsid w:val="006169DC"/>
    <w:rsid w:val="00616D0A"/>
    <w:rsid w:val="00616F52"/>
    <w:rsid w:val="006172E5"/>
    <w:rsid w:val="006173BE"/>
    <w:rsid w:val="00617BC0"/>
    <w:rsid w:val="00620916"/>
    <w:rsid w:val="00620EB0"/>
    <w:rsid w:val="00621766"/>
    <w:rsid w:val="006220CB"/>
    <w:rsid w:val="006223B9"/>
    <w:rsid w:val="00622559"/>
    <w:rsid w:val="006227B6"/>
    <w:rsid w:val="00622C8B"/>
    <w:rsid w:val="00622CD1"/>
    <w:rsid w:val="00623C6E"/>
    <w:rsid w:val="0062430D"/>
    <w:rsid w:val="006244F2"/>
    <w:rsid w:val="006256DB"/>
    <w:rsid w:val="0062642B"/>
    <w:rsid w:val="006266DF"/>
    <w:rsid w:val="00626D2D"/>
    <w:rsid w:val="006270CC"/>
    <w:rsid w:val="00630787"/>
    <w:rsid w:val="006311CB"/>
    <w:rsid w:val="0063186D"/>
    <w:rsid w:val="00631D09"/>
    <w:rsid w:val="0063248F"/>
    <w:rsid w:val="006327B3"/>
    <w:rsid w:val="00632A21"/>
    <w:rsid w:val="00633402"/>
    <w:rsid w:val="00633455"/>
    <w:rsid w:val="00633901"/>
    <w:rsid w:val="00633BEA"/>
    <w:rsid w:val="00633EF1"/>
    <w:rsid w:val="006348B4"/>
    <w:rsid w:val="00634D27"/>
    <w:rsid w:val="00635033"/>
    <w:rsid w:val="0063543A"/>
    <w:rsid w:val="00635779"/>
    <w:rsid w:val="00635FB9"/>
    <w:rsid w:val="00636014"/>
    <w:rsid w:val="00636224"/>
    <w:rsid w:val="006367EB"/>
    <w:rsid w:val="006372E3"/>
    <w:rsid w:val="006404BA"/>
    <w:rsid w:val="00640E8F"/>
    <w:rsid w:val="00640F50"/>
    <w:rsid w:val="00640FF3"/>
    <w:rsid w:val="00642515"/>
    <w:rsid w:val="006429EA"/>
    <w:rsid w:val="00642B61"/>
    <w:rsid w:val="00642CD9"/>
    <w:rsid w:val="00642D4D"/>
    <w:rsid w:val="00642F2C"/>
    <w:rsid w:val="0064331B"/>
    <w:rsid w:val="0064336C"/>
    <w:rsid w:val="006438B1"/>
    <w:rsid w:val="006439AA"/>
    <w:rsid w:val="00643BCA"/>
    <w:rsid w:val="00643CF0"/>
    <w:rsid w:val="00643E50"/>
    <w:rsid w:val="00643FF4"/>
    <w:rsid w:val="006459C9"/>
    <w:rsid w:val="006464A0"/>
    <w:rsid w:val="00646C90"/>
    <w:rsid w:val="00647A6F"/>
    <w:rsid w:val="00647B3B"/>
    <w:rsid w:val="00650CEB"/>
    <w:rsid w:val="00650E4E"/>
    <w:rsid w:val="00650FA3"/>
    <w:rsid w:val="00651370"/>
    <w:rsid w:val="00651453"/>
    <w:rsid w:val="00651747"/>
    <w:rsid w:val="00651974"/>
    <w:rsid w:val="00651B51"/>
    <w:rsid w:val="00652CC9"/>
    <w:rsid w:val="00652DD7"/>
    <w:rsid w:val="00653593"/>
    <w:rsid w:val="006539E4"/>
    <w:rsid w:val="00653F61"/>
    <w:rsid w:val="00655839"/>
    <w:rsid w:val="00655BA5"/>
    <w:rsid w:val="00655E2C"/>
    <w:rsid w:val="0065629D"/>
    <w:rsid w:val="006566CB"/>
    <w:rsid w:val="0066087E"/>
    <w:rsid w:val="006617FD"/>
    <w:rsid w:val="006619C7"/>
    <w:rsid w:val="00662B0B"/>
    <w:rsid w:val="00662C69"/>
    <w:rsid w:val="00662CB9"/>
    <w:rsid w:val="0066340D"/>
    <w:rsid w:val="006635A3"/>
    <w:rsid w:val="00663B9C"/>
    <w:rsid w:val="00663F76"/>
    <w:rsid w:val="00664157"/>
    <w:rsid w:val="00664DF2"/>
    <w:rsid w:val="00665267"/>
    <w:rsid w:val="006656AE"/>
    <w:rsid w:val="006658F9"/>
    <w:rsid w:val="00665D6A"/>
    <w:rsid w:val="00665F36"/>
    <w:rsid w:val="00666E2C"/>
    <w:rsid w:val="006675AF"/>
    <w:rsid w:val="00667EE0"/>
    <w:rsid w:val="0067061B"/>
    <w:rsid w:val="006706DE"/>
    <w:rsid w:val="00670743"/>
    <w:rsid w:val="006711BA"/>
    <w:rsid w:val="0067126A"/>
    <w:rsid w:val="0067136B"/>
    <w:rsid w:val="00671C4D"/>
    <w:rsid w:val="00672FCB"/>
    <w:rsid w:val="00673F1E"/>
    <w:rsid w:val="006741B3"/>
    <w:rsid w:val="006741E6"/>
    <w:rsid w:val="006756BF"/>
    <w:rsid w:val="00676FAA"/>
    <w:rsid w:val="00676FD3"/>
    <w:rsid w:val="00677053"/>
    <w:rsid w:val="00677A16"/>
    <w:rsid w:val="00677C41"/>
    <w:rsid w:val="00680485"/>
    <w:rsid w:val="00680B3A"/>
    <w:rsid w:val="00680B98"/>
    <w:rsid w:val="0068183B"/>
    <w:rsid w:val="006829B3"/>
    <w:rsid w:val="00682CA9"/>
    <w:rsid w:val="00682CFF"/>
    <w:rsid w:val="00683211"/>
    <w:rsid w:val="0068338C"/>
    <w:rsid w:val="00683529"/>
    <w:rsid w:val="00683669"/>
    <w:rsid w:val="00684089"/>
    <w:rsid w:val="00684AE4"/>
    <w:rsid w:val="00684CBE"/>
    <w:rsid w:val="00684CDF"/>
    <w:rsid w:val="00684E9D"/>
    <w:rsid w:val="00684FA0"/>
    <w:rsid w:val="006854DC"/>
    <w:rsid w:val="0068590C"/>
    <w:rsid w:val="00685A43"/>
    <w:rsid w:val="00685D21"/>
    <w:rsid w:val="00686A8F"/>
    <w:rsid w:val="00686AB6"/>
    <w:rsid w:val="0068759A"/>
    <w:rsid w:val="006878C5"/>
    <w:rsid w:val="00687A49"/>
    <w:rsid w:val="00687B8D"/>
    <w:rsid w:val="0069041D"/>
    <w:rsid w:val="006916B0"/>
    <w:rsid w:val="00692A4C"/>
    <w:rsid w:val="00692C3A"/>
    <w:rsid w:val="00692F98"/>
    <w:rsid w:val="00693965"/>
    <w:rsid w:val="00693AEC"/>
    <w:rsid w:val="00693CCB"/>
    <w:rsid w:val="00694120"/>
    <w:rsid w:val="00694B60"/>
    <w:rsid w:val="0069512E"/>
    <w:rsid w:val="00696411"/>
    <w:rsid w:val="006979F3"/>
    <w:rsid w:val="006A0415"/>
    <w:rsid w:val="006A0721"/>
    <w:rsid w:val="006A0CBF"/>
    <w:rsid w:val="006A0E07"/>
    <w:rsid w:val="006A136B"/>
    <w:rsid w:val="006A166C"/>
    <w:rsid w:val="006A1CA7"/>
    <w:rsid w:val="006A1CE3"/>
    <w:rsid w:val="006A1CED"/>
    <w:rsid w:val="006A3369"/>
    <w:rsid w:val="006A40B3"/>
    <w:rsid w:val="006A4AA0"/>
    <w:rsid w:val="006A4CFA"/>
    <w:rsid w:val="006A5818"/>
    <w:rsid w:val="006A6169"/>
    <w:rsid w:val="006A72FC"/>
    <w:rsid w:val="006A72FF"/>
    <w:rsid w:val="006A77E0"/>
    <w:rsid w:val="006A7DFB"/>
    <w:rsid w:val="006A7FA7"/>
    <w:rsid w:val="006B1CA8"/>
    <w:rsid w:val="006B2D75"/>
    <w:rsid w:val="006B2F3A"/>
    <w:rsid w:val="006B2F4B"/>
    <w:rsid w:val="006B32C2"/>
    <w:rsid w:val="006B3D51"/>
    <w:rsid w:val="006B40BF"/>
    <w:rsid w:val="006B433A"/>
    <w:rsid w:val="006B5608"/>
    <w:rsid w:val="006B5AEB"/>
    <w:rsid w:val="006B6E8D"/>
    <w:rsid w:val="006B7933"/>
    <w:rsid w:val="006C0567"/>
    <w:rsid w:val="006C075F"/>
    <w:rsid w:val="006C0D84"/>
    <w:rsid w:val="006C13EB"/>
    <w:rsid w:val="006C1D2E"/>
    <w:rsid w:val="006C21B2"/>
    <w:rsid w:val="006C21B7"/>
    <w:rsid w:val="006C2372"/>
    <w:rsid w:val="006C29D3"/>
    <w:rsid w:val="006C2CCF"/>
    <w:rsid w:val="006C2E57"/>
    <w:rsid w:val="006C3997"/>
    <w:rsid w:val="006C3E84"/>
    <w:rsid w:val="006C5737"/>
    <w:rsid w:val="006C68CF"/>
    <w:rsid w:val="006C722E"/>
    <w:rsid w:val="006C7CF6"/>
    <w:rsid w:val="006D096E"/>
    <w:rsid w:val="006D0E55"/>
    <w:rsid w:val="006D10F1"/>
    <w:rsid w:val="006D11C7"/>
    <w:rsid w:val="006D11FA"/>
    <w:rsid w:val="006D1F16"/>
    <w:rsid w:val="006D21D3"/>
    <w:rsid w:val="006D23D2"/>
    <w:rsid w:val="006D2457"/>
    <w:rsid w:val="006D27E3"/>
    <w:rsid w:val="006D2CBD"/>
    <w:rsid w:val="006D3744"/>
    <w:rsid w:val="006D3B88"/>
    <w:rsid w:val="006D4283"/>
    <w:rsid w:val="006D478D"/>
    <w:rsid w:val="006D499B"/>
    <w:rsid w:val="006D4BE3"/>
    <w:rsid w:val="006D51E4"/>
    <w:rsid w:val="006D55CD"/>
    <w:rsid w:val="006D5C2E"/>
    <w:rsid w:val="006D5C82"/>
    <w:rsid w:val="006D6055"/>
    <w:rsid w:val="006D60F6"/>
    <w:rsid w:val="006D636E"/>
    <w:rsid w:val="006D6448"/>
    <w:rsid w:val="006D6D63"/>
    <w:rsid w:val="006D7062"/>
    <w:rsid w:val="006D7EBB"/>
    <w:rsid w:val="006E03C4"/>
    <w:rsid w:val="006E05EB"/>
    <w:rsid w:val="006E0987"/>
    <w:rsid w:val="006E0B09"/>
    <w:rsid w:val="006E10C0"/>
    <w:rsid w:val="006E2BC6"/>
    <w:rsid w:val="006E31D1"/>
    <w:rsid w:val="006E3614"/>
    <w:rsid w:val="006E36BF"/>
    <w:rsid w:val="006E4013"/>
    <w:rsid w:val="006E40A7"/>
    <w:rsid w:val="006E43D8"/>
    <w:rsid w:val="006E4CBC"/>
    <w:rsid w:val="006E4CBF"/>
    <w:rsid w:val="006E5A69"/>
    <w:rsid w:val="006E6604"/>
    <w:rsid w:val="006E680B"/>
    <w:rsid w:val="006E696E"/>
    <w:rsid w:val="006E7301"/>
    <w:rsid w:val="006E7372"/>
    <w:rsid w:val="006E7D8B"/>
    <w:rsid w:val="006E7F7A"/>
    <w:rsid w:val="006F0179"/>
    <w:rsid w:val="006F05BB"/>
    <w:rsid w:val="006F0A70"/>
    <w:rsid w:val="006F0F19"/>
    <w:rsid w:val="006F14F3"/>
    <w:rsid w:val="006F1A01"/>
    <w:rsid w:val="006F1DF0"/>
    <w:rsid w:val="006F2CAC"/>
    <w:rsid w:val="006F3C02"/>
    <w:rsid w:val="006F3C92"/>
    <w:rsid w:val="006F4BF7"/>
    <w:rsid w:val="006F52F4"/>
    <w:rsid w:val="006F5859"/>
    <w:rsid w:val="006F5C94"/>
    <w:rsid w:val="006F5E43"/>
    <w:rsid w:val="006F5F52"/>
    <w:rsid w:val="006F6979"/>
    <w:rsid w:val="006F6A01"/>
    <w:rsid w:val="006F6CB6"/>
    <w:rsid w:val="00700033"/>
    <w:rsid w:val="0070092D"/>
    <w:rsid w:val="0070118A"/>
    <w:rsid w:val="007017A7"/>
    <w:rsid w:val="00703E66"/>
    <w:rsid w:val="00703FA8"/>
    <w:rsid w:val="007049CC"/>
    <w:rsid w:val="00705526"/>
    <w:rsid w:val="00705923"/>
    <w:rsid w:val="00705BF0"/>
    <w:rsid w:val="00705F72"/>
    <w:rsid w:val="007074E8"/>
    <w:rsid w:val="007077B7"/>
    <w:rsid w:val="00710E69"/>
    <w:rsid w:val="00711777"/>
    <w:rsid w:val="00711F1F"/>
    <w:rsid w:val="00712158"/>
    <w:rsid w:val="0071220C"/>
    <w:rsid w:val="00712C24"/>
    <w:rsid w:val="007134A5"/>
    <w:rsid w:val="00713D09"/>
    <w:rsid w:val="00714B53"/>
    <w:rsid w:val="00714E92"/>
    <w:rsid w:val="0071506B"/>
    <w:rsid w:val="00716C50"/>
    <w:rsid w:val="00717009"/>
    <w:rsid w:val="00717F1A"/>
    <w:rsid w:val="00720192"/>
    <w:rsid w:val="00720578"/>
    <w:rsid w:val="007208B6"/>
    <w:rsid w:val="00720FD5"/>
    <w:rsid w:val="00721953"/>
    <w:rsid w:val="00721B28"/>
    <w:rsid w:val="007220CD"/>
    <w:rsid w:val="00722192"/>
    <w:rsid w:val="0072259D"/>
    <w:rsid w:val="0072279D"/>
    <w:rsid w:val="007229A6"/>
    <w:rsid w:val="00722BCE"/>
    <w:rsid w:val="00722DCE"/>
    <w:rsid w:val="00722E97"/>
    <w:rsid w:val="00723184"/>
    <w:rsid w:val="00723AA0"/>
    <w:rsid w:val="00724228"/>
    <w:rsid w:val="00725574"/>
    <w:rsid w:val="00725A90"/>
    <w:rsid w:val="00725CD2"/>
    <w:rsid w:val="007260DE"/>
    <w:rsid w:val="00726E00"/>
    <w:rsid w:val="00727798"/>
    <w:rsid w:val="007279F4"/>
    <w:rsid w:val="00727CFC"/>
    <w:rsid w:val="00730190"/>
    <w:rsid w:val="00730940"/>
    <w:rsid w:val="00731372"/>
    <w:rsid w:val="007314DF"/>
    <w:rsid w:val="007315B6"/>
    <w:rsid w:val="00731700"/>
    <w:rsid w:val="007320E5"/>
    <w:rsid w:val="00732116"/>
    <w:rsid w:val="007321DC"/>
    <w:rsid w:val="007324BF"/>
    <w:rsid w:val="007325B2"/>
    <w:rsid w:val="00732A6B"/>
    <w:rsid w:val="0073356B"/>
    <w:rsid w:val="00733B8C"/>
    <w:rsid w:val="00733F29"/>
    <w:rsid w:val="00734364"/>
    <w:rsid w:val="007347FD"/>
    <w:rsid w:val="00734829"/>
    <w:rsid w:val="00734CF0"/>
    <w:rsid w:val="007354B2"/>
    <w:rsid w:val="00735E25"/>
    <w:rsid w:val="00736165"/>
    <w:rsid w:val="0073663C"/>
    <w:rsid w:val="007367AF"/>
    <w:rsid w:val="00737829"/>
    <w:rsid w:val="00737D13"/>
    <w:rsid w:val="00737E3D"/>
    <w:rsid w:val="00740E54"/>
    <w:rsid w:val="00741136"/>
    <w:rsid w:val="0074138F"/>
    <w:rsid w:val="00742240"/>
    <w:rsid w:val="0074239D"/>
    <w:rsid w:val="007426B7"/>
    <w:rsid w:val="00742AA0"/>
    <w:rsid w:val="0074317A"/>
    <w:rsid w:val="00743283"/>
    <w:rsid w:val="00743784"/>
    <w:rsid w:val="00744B6E"/>
    <w:rsid w:val="00744F2E"/>
    <w:rsid w:val="007458C4"/>
    <w:rsid w:val="00745F8E"/>
    <w:rsid w:val="0075006E"/>
    <w:rsid w:val="0075070B"/>
    <w:rsid w:val="00750975"/>
    <w:rsid w:val="00750A01"/>
    <w:rsid w:val="00751E61"/>
    <w:rsid w:val="00752254"/>
    <w:rsid w:val="007523DB"/>
    <w:rsid w:val="007526D1"/>
    <w:rsid w:val="00752747"/>
    <w:rsid w:val="00753A32"/>
    <w:rsid w:val="00754587"/>
    <w:rsid w:val="007545BE"/>
    <w:rsid w:val="00754B39"/>
    <w:rsid w:val="00755542"/>
    <w:rsid w:val="00755625"/>
    <w:rsid w:val="00756403"/>
    <w:rsid w:val="007568EF"/>
    <w:rsid w:val="00756FF2"/>
    <w:rsid w:val="007572F6"/>
    <w:rsid w:val="0076027F"/>
    <w:rsid w:val="007606EC"/>
    <w:rsid w:val="0076086D"/>
    <w:rsid w:val="007617A5"/>
    <w:rsid w:val="00762658"/>
    <w:rsid w:val="0076284D"/>
    <w:rsid w:val="007629C4"/>
    <w:rsid w:val="007633FF"/>
    <w:rsid w:val="0076399D"/>
    <w:rsid w:val="00764171"/>
    <w:rsid w:val="007642E8"/>
    <w:rsid w:val="00764797"/>
    <w:rsid w:val="00764D4E"/>
    <w:rsid w:val="00764DE6"/>
    <w:rsid w:val="0076520C"/>
    <w:rsid w:val="0076547B"/>
    <w:rsid w:val="007655EA"/>
    <w:rsid w:val="00765892"/>
    <w:rsid w:val="00765AD9"/>
    <w:rsid w:val="00765E8C"/>
    <w:rsid w:val="00765FD7"/>
    <w:rsid w:val="00766DD1"/>
    <w:rsid w:val="007670AF"/>
    <w:rsid w:val="00767B83"/>
    <w:rsid w:val="0077002E"/>
    <w:rsid w:val="00770616"/>
    <w:rsid w:val="00770801"/>
    <w:rsid w:val="00770AC8"/>
    <w:rsid w:val="00770C2F"/>
    <w:rsid w:val="00770DAD"/>
    <w:rsid w:val="007713F2"/>
    <w:rsid w:val="00771840"/>
    <w:rsid w:val="00772195"/>
    <w:rsid w:val="007728F7"/>
    <w:rsid w:val="00773799"/>
    <w:rsid w:val="00774213"/>
    <w:rsid w:val="00774FFB"/>
    <w:rsid w:val="00776312"/>
    <w:rsid w:val="00777367"/>
    <w:rsid w:val="0078088C"/>
    <w:rsid w:val="00780B38"/>
    <w:rsid w:val="007825EC"/>
    <w:rsid w:val="00782B79"/>
    <w:rsid w:val="00782B86"/>
    <w:rsid w:val="00782FAF"/>
    <w:rsid w:val="0078343E"/>
    <w:rsid w:val="00783AD9"/>
    <w:rsid w:val="00783B16"/>
    <w:rsid w:val="00783E72"/>
    <w:rsid w:val="00784633"/>
    <w:rsid w:val="007848E3"/>
    <w:rsid w:val="00785289"/>
    <w:rsid w:val="00785E2C"/>
    <w:rsid w:val="007864C4"/>
    <w:rsid w:val="00786ED8"/>
    <w:rsid w:val="00786F18"/>
    <w:rsid w:val="00786F23"/>
    <w:rsid w:val="00787013"/>
    <w:rsid w:val="0078730C"/>
    <w:rsid w:val="00787D88"/>
    <w:rsid w:val="00787F2F"/>
    <w:rsid w:val="00790DF5"/>
    <w:rsid w:val="0079156F"/>
    <w:rsid w:val="0079178D"/>
    <w:rsid w:val="00792422"/>
    <w:rsid w:val="00792952"/>
    <w:rsid w:val="0079346A"/>
    <w:rsid w:val="00793715"/>
    <w:rsid w:val="007940E6"/>
    <w:rsid w:val="00794978"/>
    <w:rsid w:val="00795D4F"/>
    <w:rsid w:val="00796A22"/>
    <w:rsid w:val="00796B2A"/>
    <w:rsid w:val="00797706"/>
    <w:rsid w:val="0079788A"/>
    <w:rsid w:val="007979E5"/>
    <w:rsid w:val="007A0E6F"/>
    <w:rsid w:val="007A14FF"/>
    <w:rsid w:val="007A1587"/>
    <w:rsid w:val="007A178E"/>
    <w:rsid w:val="007A2A6A"/>
    <w:rsid w:val="007A41E5"/>
    <w:rsid w:val="007A4467"/>
    <w:rsid w:val="007A4919"/>
    <w:rsid w:val="007A4F61"/>
    <w:rsid w:val="007A50A3"/>
    <w:rsid w:val="007A50D0"/>
    <w:rsid w:val="007A5253"/>
    <w:rsid w:val="007A539A"/>
    <w:rsid w:val="007A5A27"/>
    <w:rsid w:val="007A607B"/>
    <w:rsid w:val="007A6452"/>
    <w:rsid w:val="007A6B8D"/>
    <w:rsid w:val="007A6EE0"/>
    <w:rsid w:val="007A72AC"/>
    <w:rsid w:val="007B062A"/>
    <w:rsid w:val="007B08B0"/>
    <w:rsid w:val="007B0C6A"/>
    <w:rsid w:val="007B0D66"/>
    <w:rsid w:val="007B1982"/>
    <w:rsid w:val="007B2B70"/>
    <w:rsid w:val="007B3E3F"/>
    <w:rsid w:val="007B4706"/>
    <w:rsid w:val="007B4803"/>
    <w:rsid w:val="007B515F"/>
    <w:rsid w:val="007B55F4"/>
    <w:rsid w:val="007B5DCB"/>
    <w:rsid w:val="007B5E90"/>
    <w:rsid w:val="007B5F34"/>
    <w:rsid w:val="007B698C"/>
    <w:rsid w:val="007B6ECD"/>
    <w:rsid w:val="007B72D2"/>
    <w:rsid w:val="007B764D"/>
    <w:rsid w:val="007B7B52"/>
    <w:rsid w:val="007C030A"/>
    <w:rsid w:val="007C0B61"/>
    <w:rsid w:val="007C0B8E"/>
    <w:rsid w:val="007C0F7A"/>
    <w:rsid w:val="007C10C0"/>
    <w:rsid w:val="007C173C"/>
    <w:rsid w:val="007C1A73"/>
    <w:rsid w:val="007C1E16"/>
    <w:rsid w:val="007C21A9"/>
    <w:rsid w:val="007C2455"/>
    <w:rsid w:val="007C24CD"/>
    <w:rsid w:val="007C2C1C"/>
    <w:rsid w:val="007C3155"/>
    <w:rsid w:val="007C3B14"/>
    <w:rsid w:val="007C3BB2"/>
    <w:rsid w:val="007C409E"/>
    <w:rsid w:val="007C40EB"/>
    <w:rsid w:val="007C4291"/>
    <w:rsid w:val="007C4568"/>
    <w:rsid w:val="007C47D7"/>
    <w:rsid w:val="007C5165"/>
    <w:rsid w:val="007C5DE4"/>
    <w:rsid w:val="007C61BF"/>
    <w:rsid w:val="007C637E"/>
    <w:rsid w:val="007C638C"/>
    <w:rsid w:val="007C6553"/>
    <w:rsid w:val="007C6E7F"/>
    <w:rsid w:val="007D015C"/>
    <w:rsid w:val="007D07B5"/>
    <w:rsid w:val="007D1694"/>
    <w:rsid w:val="007D1963"/>
    <w:rsid w:val="007D2263"/>
    <w:rsid w:val="007D2E20"/>
    <w:rsid w:val="007D3C47"/>
    <w:rsid w:val="007D4220"/>
    <w:rsid w:val="007D560E"/>
    <w:rsid w:val="007D5638"/>
    <w:rsid w:val="007D587E"/>
    <w:rsid w:val="007D5A12"/>
    <w:rsid w:val="007D5B58"/>
    <w:rsid w:val="007D68F7"/>
    <w:rsid w:val="007E0236"/>
    <w:rsid w:val="007E06F0"/>
    <w:rsid w:val="007E123E"/>
    <w:rsid w:val="007E132E"/>
    <w:rsid w:val="007E2D53"/>
    <w:rsid w:val="007E2E7D"/>
    <w:rsid w:val="007E2EBA"/>
    <w:rsid w:val="007E2EDF"/>
    <w:rsid w:val="007E361D"/>
    <w:rsid w:val="007E3D67"/>
    <w:rsid w:val="007E4133"/>
    <w:rsid w:val="007E4686"/>
    <w:rsid w:val="007E476C"/>
    <w:rsid w:val="007E4D68"/>
    <w:rsid w:val="007E54BC"/>
    <w:rsid w:val="007E56DA"/>
    <w:rsid w:val="007E5F58"/>
    <w:rsid w:val="007E6AB2"/>
    <w:rsid w:val="007E6DF0"/>
    <w:rsid w:val="007E7146"/>
    <w:rsid w:val="007E7582"/>
    <w:rsid w:val="007E786F"/>
    <w:rsid w:val="007E7EC0"/>
    <w:rsid w:val="007F01FF"/>
    <w:rsid w:val="007F039D"/>
    <w:rsid w:val="007F06C2"/>
    <w:rsid w:val="007F0722"/>
    <w:rsid w:val="007F0DB7"/>
    <w:rsid w:val="007F1AB6"/>
    <w:rsid w:val="007F3336"/>
    <w:rsid w:val="007F3CA5"/>
    <w:rsid w:val="007F3CFB"/>
    <w:rsid w:val="007F44F1"/>
    <w:rsid w:val="007F4EBD"/>
    <w:rsid w:val="007F56BA"/>
    <w:rsid w:val="007F5947"/>
    <w:rsid w:val="007F5B40"/>
    <w:rsid w:val="007F65AE"/>
    <w:rsid w:val="007F688A"/>
    <w:rsid w:val="007F6D3D"/>
    <w:rsid w:val="007F7353"/>
    <w:rsid w:val="007F73F6"/>
    <w:rsid w:val="00800203"/>
    <w:rsid w:val="00800279"/>
    <w:rsid w:val="0080044D"/>
    <w:rsid w:val="008009E9"/>
    <w:rsid w:val="008010FE"/>
    <w:rsid w:val="0080167F"/>
    <w:rsid w:val="00801D46"/>
    <w:rsid w:val="00802137"/>
    <w:rsid w:val="0080270C"/>
    <w:rsid w:val="00802859"/>
    <w:rsid w:val="00802922"/>
    <w:rsid w:val="00802D03"/>
    <w:rsid w:val="00803CC1"/>
    <w:rsid w:val="00803CDB"/>
    <w:rsid w:val="00804235"/>
    <w:rsid w:val="0080443E"/>
    <w:rsid w:val="00804553"/>
    <w:rsid w:val="008048EC"/>
    <w:rsid w:val="00805663"/>
    <w:rsid w:val="008056DF"/>
    <w:rsid w:val="00805F13"/>
    <w:rsid w:val="00805F14"/>
    <w:rsid w:val="008063D1"/>
    <w:rsid w:val="00806CAD"/>
    <w:rsid w:val="0080747E"/>
    <w:rsid w:val="008074E0"/>
    <w:rsid w:val="00807B13"/>
    <w:rsid w:val="00807D9B"/>
    <w:rsid w:val="00811543"/>
    <w:rsid w:val="00812ACC"/>
    <w:rsid w:val="00814897"/>
    <w:rsid w:val="00816976"/>
    <w:rsid w:val="00816ACF"/>
    <w:rsid w:val="00816ECB"/>
    <w:rsid w:val="00817653"/>
    <w:rsid w:val="00817B03"/>
    <w:rsid w:val="00817C5D"/>
    <w:rsid w:val="00820551"/>
    <w:rsid w:val="00820E88"/>
    <w:rsid w:val="00820F21"/>
    <w:rsid w:val="00821460"/>
    <w:rsid w:val="008216F4"/>
    <w:rsid w:val="00821736"/>
    <w:rsid w:val="0082291D"/>
    <w:rsid w:val="0082295C"/>
    <w:rsid w:val="008229B6"/>
    <w:rsid w:val="0082311B"/>
    <w:rsid w:val="0082348E"/>
    <w:rsid w:val="008237ED"/>
    <w:rsid w:val="008238A1"/>
    <w:rsid w:val="00823EE1"/>
    <w:rsid w:val="00824754"/>
    <w:rsid w:val="008249D9"/>
    <w:rsid w:val="00824FDB"/>
    <w:rsid w:val="00825F60"/>
    <w:rsid w:val="00826698"/>
    <w:rsid w:val="00826A90"/>
    <w:rsid w:val="0082709B"/>
    <w:rsid w:val="00830ED8"/>
    <w:rsid w:val="00831DC5"/>
    <w:rsid w:val="0083261E"/>
    <w:rsid w:val="00833415"/>
    <w:rsid w:val="00834086"/>
    <w:rsid w:val="00834112"/>
    <w:rsid w:val="00834239"/>
    <w:rsid w:val="0083533A"/>
    <w:rsid w:val="008360A6"/>
    <w:rsid w:val="00836FB0"/>
    <w:rsid w:val="0083779B"/>
    <w:rsid w:val="00837814"/>
    <w:rsid w:val="00837980"/>
    <w:rsid w:val="008403A8"/>
    <w:rsid w:val="00840D39"/>
    <w:rsid w:val="00840F75"/>
    <w:rsid w:val="0084185C"/>
    <w:rsid w:val="00841C4B"/>
    <w:rsid w:val="00842493"/>
    <w:rsid w:val="008428AF"/>
    <w:rsid w:val="00843048"/>
    <w:rsid w:val="008434B5"/>
    <w:rsid w:val="00843F5C"/>
    <w:rsid w:val="00844A22"/>
    <w:rsid w:val="00844B63"/>
    <w:rsid w:val="00844E33"/>
    <w:rsid w:val="008450C6"/>
    <w:rsid w:val="008451AB"/>
    <w:rsid w:val="0084545D"/>
    <w:rsid w:val="008458DA"/>
    <w:rsid w:val="00845ADD"/>
    <w:rsid w:val="00845D33"/>
    <w:rsid w:val="00845FAE"/>
    <w:rsid w:val="008472E0"/>
    <w:rsid w:val="00847909"/>
    <w:rsid w:val="00847947"/>
    <w:rsid w:val="00847C09"/>
    <w:rsid w:val="00850624"/>
    <w:rsid w:val="00850AF2"/>
    <w:rsid w:val="00851B7B"/>
    <w:rsid w:val="00851CC0"/>
    <w:rsid w:val="0085223B"/>
    <w:rsid w:val="008525B0"/>
    <w:rsid w:val="00852953"/>
    <w:rsid w:val="00852C80"/>
    <w:rsid w:val="0085304D"/>
    <w:rsid w:val="0085345C"/>
    <w:rsid w:val="00854869"/>
    <w:rsid w:val="00854CB8"/>
    <w:rsid w:val="00855225"/>
    <w:rsid w:val="0085538E"/>
    <w:rsid w:val="008553CE"/>
    <w:rsid w:val="00857BD0"/>
    <w:rsid w:val="00860341"/>
    <w:rsid w:val="00860D84"/>
    <w:rsid w:val="008616C1"/>
    <w:rsid w:val="00861DEC"/>
    <w:rsid w:val="0086219F"/>
    <w:rsid w:val="00862951"/>
    <w:rsid w:val="0086313C"/>
    <w:rsid w:val="00863300"/>
    <w:rsid w:val="00863EBE"/>
    <w:rsid w:val="008654B4"/>
    <w:rsid w:val="00865770"/>
    <w:rsid w:val="008661AD"/>
    <w:rsid w:val="008663DB"/>
    <w:rsid w:val="0086662B"/>
    <w:rsid w:val="00866D69"/>
    <w:rsid w:val="0086786A"/>
    <w:rsid w:val="008679F4"/>
    <w:rsid w:val="00867A95"/>
    <w:rsid w:val="00867BB2"/>
    <w:rsid w:val="00870873"/>
    <w:rsid w:val="00871DB2"/>
    <w:rsid w:val="00871F81"/>
    <w:rsid w:val="008725D7"/>
    <w:rsid w:val="008733F4"/>
    <w:rsid w:val="0087370D"/>
    <w:rsid w:val="00874585"/>
    <w:rsid w:val="008746F9"/>
    <w:rsid w:val="00874BAF"/>
    <w:rsid w:val="00875471"/>
    <w:rsid w:val="008757AE"/>
    <w:rsid w:val="008763CA"/>
    <w:rsid w:val="0087640B"/>
    <w:rsid w:val="008767B2"/>
    <w:rsid w:val="00877250"/>
    <w:rsid w:val="008773BD"/>
    <w:rsid w:val="00877529"/>
    <w:rsid w:val="008775E2"/>
    <w:rsid w:val="00877A59"/>
    <w:rsid w:val="00877D3E"/>
    <w:rsid w:val="0088045A"/>
    <w:rsid w:val="008807E6"/>
    <w:rsid w:val="008825CF"/>
    <w:rsid w:val="00883567"/>
    <w:rsid w:val="00883D57"/>
    <w:rsid w:val="0088482A"/>
    <w:rsid w:val="00884CD7"/>
    <w:rsid w:val="00884CF4"/>
    <w:rsid w:val="00884D2B"/>
    <w:rsid w:val="00884DE2"/>
    <w:rsid w:val="008853A1"/>
    <w:rsid w:val="00885551"/>
    <w:rsid w:val="00885844"/>
    <w:rsid w:val="00885FB2"/>
    <w:rsid w:val="008869EA"/>
    <w:rsid w:val="00886B1C"/>
    <w:rsid w:val="00887661"/>
    <w:rsid w:val="008876D6"/>
    <w:rsid w:val="00890444"/>
    <w:rsid w:val="00890B4A"/>
    <w:rsid w:val="00891519"/>
    <w:rsid w:val="00891C92"/>
    <w:rsid w:val="00893C44"/>
    <w:rsid w:val="00894326"/>
    <w:rsid w:val="00894E26"/>
    <w:rsid w:val="00894FAA"/>
    <w:rsid w:val="00895145"/>
    <w:rsid w:val="00895383"/>
    <w:rsid w:val="008958B9"/>
    <w:rsid w:val="008962AC"/>
    <w:rsid w:val="008962F0"/>
    <w:rsid w:val="00896AAE"/>
    <w:rsid w:val="00896AAF"/>
    <w:rsid w:val="00896F39"/>
    <w:rsid w:val="00897157"/>
    <w:rsid w:val="0089719E"/>
    <w:rsid w:val="008A0C9E"/>
    <w:rsid w:val="008A2220"/>
    <w:rsid w:val="008A262C"/>
    <w:rsid w:val="008A2C3A"/>
    <w:rsid w:val="008A2DA2"/>
    <w:rsid w:val="008A3776"/>
    <w:rsid w:val="008A37DE"/>
    <w:rsid w:val="008A4249"/>
    <w:rsid w:val="008A434C"/>
    <w:rsid w:val="008A4D74"/>
    <w:rsid w:val="008A53A2"/>
    <w:rsid w:val="008A563C"/>
    <w:rsid w:val="008A590D"/>
    <w:rsid w:val="008A6757"/>
    <w:rsid w:val="008A67EF"/>
    <w:rsid w:val="008A708D"/>
    <w:rsid w:val="008A71B3"/>
    <w:rsid w:val="008A7E65"/>
    <w:rsid w:val="008B006E"/>
    <w:rsid w:val="008B00BF"/>
    <w:rsid w:val="008B02F6"/>
    <w:rsid w:val="008B0A79"/>
    <w:rsid w:val="008B15BD"/>
    <w:rsid w:val="008B334A"/>
    <w:rsid w:val="008B356C"/>
    <w:rsid w:val="008B36B5"/>
    <w:rsid w:val="008B4054"/>
    <w:rsid w:val="008B406D"/>
    <w:rsid w:val="008B4731"/>
    <w:rsid w:val="008B4823"/>
    <w:rsid w:val="008B4B06"/>
    <w:rsid w:val="008B4B3D"/>
    <w:rsid w:val="008B4FB0"/>
    <w:rsid w:val="008B51BB"/>
    <w:rsid w:val="008B5A2B"/>
    <w:rsid w:val="008B5C31"/>
    <w:rsid w:val="008B66AC"/>
    <w:rsid w:val="008B66C7"/>
    <w:rsid w:val="008B6EF5"/>
    <w:rsid w:val="008B7D3F"/>
    <w:rsid w:val="008C004B"/>
    <w:rsid w:val="008C01A7"/>
    <w:rsid w:val="008C09EB"/>
    <w:rsid w:val="008C0EAB"/>
    <w:rsid w:val="008C19EE"/>
    <w:rsid w:val="008C2371"/>
    <w:rsid w:val="008C275F"/>
    <w:rsid w:val="008C27AF"/>
    <w:rsid w:val="008C33C4"/>
    <w:rsid w:val="008C348B"/>
    <w:rsid w:val="008C34D3"/>
    <w:rsid w:val="008C364C"/>
    <w:rsid w:val="008C454D"/>
    <w:rsid w:val="008C479B"/>
    <w:rsid w:val="008C4B6E"/>
    <w:rsid w:val="008C58C6"/>
    <w:rsid w:val="008C6D70"/>
    <w:rsid w:val="008C6E7D"/>
    <w:rsid w:val="008C7442"/>
    <w:rsid w:val="008D01C5"/>
    <w:rsid w:val="008D0842"/>
    <w:rsid w:val="008D08C2"/>
    <w:rsid w:val="008D09A7"/>
    <w:rsid w:val="008D144D"/>
    <w:rsid w:val="008D15CE"/>
    <w:rsid w:val="008D16A1"/>
    <w:rsid w:val="008D2326"/>
    <w:rsid w:val="008D29E6"/>
    <w:rsid w:val="008D2A9D"/>
    <w:rsid w:val="008D2B36"/>
    <w:rsid w:val="008D2E5B"/>
    <w:rsid w:val="008D2E9E"/>
    <w:rsid w:val="008D30E7"/>
    <w:rsid w:val="008D3AA0"/>
    <w:rsid w:val="008D4143"/>
    <w:rsid w:val="008D47A2"/>
    <w:rsid w:val="008D56E1"/>
    <w:rsid w:val="008D5EC7"/>
    <w:rsid w:val="008D61CF"/>
    <w:rsid w:val="008D6368"/>
    <w:rsid w:val="008D68CD"/>
    <w:rsid w:val="008D7097"/>
    <w:rsid w:val="008D72A4"/>
    <w:rsid w:val="008D7802"/>
    <w:rsid w:val="008D7C10"/>
    <w:rsid w:val="008E19C3"/>
    <w:rsid w:val="008E1CF0"/>
    <w:rsid w:val="008E1D20"/>
    <w:rsid w:val="008E1E33"/>
    <w:rsid w:val="008E2586"/>
    <w:rsid w:val="008E394C"/>
    <w:rsid w:val="008E4B87"/>
    <w:rsid w:val="008E5484"/>
    <w:rsid w:val="008E5566"/>
    <w:rsid w:val="008E565D"/>
    <w:rsid w:val="008E567C"/>
    <w:rsid w:val="008E5DF9"/>
    <w:rsid w:val="008E5E4E"/>
    <w:rsid w:val="008E6946"/>
    <w:rsid w:val="008E6D90"/>
    <w:rsid w:val="008E75DF"/>
    <w:rsid w:val="008E7F85"/>
    <w:rsid w:val="008F0131"/>
    <w:rsid w:val="008F01E1"/>
    <w:rsid w:val="008F0265"/>
    <w:rsid w:val="008F03F3"/>
    <w:rsid w:val="008F1265"/>
    <w:rsid w:val="008F176C"/>
    <w:rsid w:val="008F1A60"/>
    <w:rsid w:val="008F1CEB"/>
    <w:rsid w:val="008F291F"/>
    <w:rsid w:val="008F34BE"/>
    <w:rsid w:val="008F38BC"/>
    <w:rsid w:val="008F3CD1"/>
    <w:rsid w:val="008F4B56"/>
    <w:rsid w:val="008F4E11"/>
    <w:rsid w:val="008F4E8F"/>
    <w:rsid w:val="008F590D"/>
    <w:rsid w:val="008F6082"/>
    <w:rsid w:val="008F6BDC"/>
    <w:rsid w:val="008F703A"/>
    <w:rsid w:val="008F7E04"/>
    <w:rsid w:val="009000FE"/>
    <w:rsid w:val="00900ED0"/>
    <w:rsid w:val="00900EE2"/>
    <w:rsid w:val="0090119B"/>
    <w:rsid w:val="00901715"/>
    <w:rsid w:val="00901CA8"/>
    <w:rsid w:val="00901E03"/>
    <w:rsid w:val="009034EB"/>
    <w:rsid w:val="009036B0"/>
    <w:rsid w:val="009041DE"/>
    <w:rsid w:val="00904E3A"/>
    <w:rsid w:val="00905771"/>
    <w:rsid w:val="0090591F"/>
    <w:rsid w:val="00906E41"/>
    <w:rsid w:val="00907149"/>
    <w:rsid w:val="00910023"/>
    <w:rsid w:val="009106E1"/>
    <w:rsid w:val="00910E5D"/>
    <w:rsid w:val="009113AE"/>
    <w:rsid w:val="0091173B"/>
    <w:rsid w:val="00911DF8"/>
    <w:rsid w:val="009122B7"/>
    <w:rsid w:val="009123BF"/>
    <w:rsid w:val="00913165"/>
    <w:rsid w:val="00913653"/>
    <w:rsid w:val="00913BBC"/>
    <w:rsid w:val="00913FCB"/>
    <w:rsid w:val="00914732"/>
    <w:rsid w:val="00915319"/>
    <w:rsid w:val="00916365"/>
    <w:rsid w:val="00916984"/>
    <w:rsid w:val="009169A6"/>
    <w:rsid w:val="00916CE1"/>
    <w:rsid w:val="00916D06"/>
    <w:rsid w:val="00916E88"/>
    <w:rsid w:val="0091741D"/>
    <w:rsid w:val="00917578"/>
    <w:rsid w:val="009177FC"/>
    <w:rsid w:val="00917E83"/>
    <w:rsid w:val="00920929"/>
    <w:rsid w:val="009209B9"/>
    <w:rsid w:val="009211B4"/>
    <w:rsid w:val="0092120A"/>
    <w:rsid w:val="00921318"/>
    <w:rsid w:val="009215FC"/>
    <w:rsid w:val="00921E3E"/>
    <w:rsid w:val="00922622"/>
    <w:rsid w:val="00922BD7"/>
    <w:rsid w:val="0092360D"/>
    <w:rsid w:val="00923889"/>
    <w:rsid w:val="00923BF3"/>
    <w:rsid w:val="00924575"/>
    <w:rsid w:val="00924C42"/>
    <w:rsid w:val="009254A1"/>
    <w:rsid w:val="009255A5"/>
    <w:rsid w:val="00926103"/>
    <w:rsid w:val="00926315"/>
    <w:rsid w:val="00926891"/>
    <w:rsid w:val="00926A82"/>
    <w:rsid w:val="00926FC6"/>
    <w:rsid w:val="009271C3"/>
    <w:rsid w:val="00930177"/>
    <w:rsid w:val="00930200"/>
    <w:rsid w:val="0093159E"/>
    <w:rsid w:val="00931BC1"/>
    <w:rsid w:val="00932B77"/>
    <w:rsid w:val="00932FB9"/>
    <w:rsid w:val="00933A82"/>
    <w:rsid w:val="00933B8B"/>
    <w:rsid w:val="00933B99"/>
    <w:rsid w:val="00933DF3"/>
    <w:rsid w:val="009346B2"/>
    <w:rsid w:val="00934F81"/>
    <w:rsid w:val="009350F6"/>
    <w:rsid w:val="009357AD"/>
    <w:rsid w:val="009358CE"/>
    <w:rsid w:val="00935C30"/>
    <w:rsid w:val="00935F21"/>
    <w:rsid w:val="009365C9"/>
    <w:rsid w:val="00936B57"/>
    <w:rsid w:val="009403C9"/>
    <w:rsid w:val="00940EB6"/>
    <w:rsid w:val="009416E9"/>
    <w:rsid w:val="00941865"/>
    <w:rsid w:val="00941B89"/>
    <w:rsid w:val="00941F0D"/>
    <w:rsid w:val="0094226F"/>
    <w:rsid w:val="00942293"/>
    <w:rsid w:val="0094241D"/>
    <w:rsid w:val="0094281F"/>
    <w:rsid w:val="009428D3"/>
    <w:rsid w:val="00942F6E"/>
    <w:rsid w:val="00943EB6"/>
    <w:rsid w:val="0094409A"/>
    <w:rsid w:val="00944593"/>
    <w:rsid w:val="009446F9"/>
    <w:rsid w:val="00945960"/>
    <w:rsid w:val="0094692E"/>
    <w:rsid w:val="00947A5F"/>
    <w:rsid w:val="009506FA"/>
    <w:rsid w:val="0095151D"/>
    <w:rsid w:val="00951E3C"/>
    <w:rsid w:val="0095211E"/>
    <w:rsid w:val="00952EDE"/>
    <w:rsid w:val="00953092"/>
    <w:rsid w:val="0095349F"/>
    <w:rsid w:val="009540DB"/>
    <w:rsid w:val="009544D1"/>
    <w:rsid w:val="009550C2"/>
    <w:rsid w:val="00955B88"/>
    <w:rsid w:val="00955BF7"/>
    <w:rsid w:val="00956482"/>
    <w:rsid w:val="009568EB"/>
    <w:rsid w:val="00956A85"/>
    <w:rsid w:val="00960671"/>
    <w:rsid w:val="00960A5D"/>
    <w:rsid w:val="00960E12"/>
    <w:rsid w:val="00961C7C"/>
    <w:rsid w:val="00961F09"/>
    <w:rsid w:val="00962035"/>
    <w:rsid w:val="00962524"/>
    <w:rsid w:val="009638FA"/>
    <w:rsid w:val="0096406E"/>
    <w:rsid w:val="00964454"/>
    <w:rsid w:val="00964725"/>
    <w:rsid w:val="00964853"/>
    <w:rsid w:val="00964A10"/>
    <w:rsid w:val="0096548C"/>
    <w:rsid w:val="0096562D"/>
    <w:rsid w:val="00965715"/>
    <w:rsid w:val="00965D06"/>
    <w:rsid w:val="00965F12"/>
    <w:rsid w:val="00966B39"/>
    <w:rsid w:val="00966B84"/>
    <w:rsid w:val="0096706D"/>
    <w:rsid w:val="00967573"/>
    <w:rsid w:val="00970C68"/>
    <w:rsid w:val="0097125F"/>
    <w:rsid w:val="009717EF"/>
    <w:rsid w:val="009725A4"/>
    <w:rsid w:val="00972D63"/>
    <w:rsid w:val="00973F70"/>
    <w:rsid w:val="0097446E"/>
    <w:rsid w:val="0097471C"/>
    <w:rsid w:val="00974B7A"/>
    <w:rsid w:val="00975F8B"/>
    <w:rsid w:val="00976197"/>
    <w:rsid w:val="0097692D"/>
    <w:rsid w:val="00976D4F"/>
    <w:rsid w:val="0097727C"/>
    <w:rsid w:val="009772E7"/>
    <w:rsid w:val="00977313"/>
    <w:rsid w:val="00977397"/>
    <w:rsid w:val="00977479"/>
    <w:rsid w:val="00977D3B"/>
    <w:rsid w:val="00977F2C"/>
    <w:rsid w:val="00980344"/>
    <w:rsid w:val="00981507"/>
    <w:rsid w:val="00981933"/>
    <w:rsid w:val="00981B23"/>
    <w:rsid w:val="00981CF1"/>
    <w:rsid w:val="00982725"/>
    <w:rsid w:val="00982D7B"/>
    <w:rsid w:val="00982F4B"/>
    <w:rsid w:val="00983170"/>
    <w:rsid w:val="00983B7E"/>
    <w:rsid w:val="009846A3"/>
    <w:rsid w:val="00984840"/>
    <w:rsid w:val="009849DA"/>
    <w:rsid w:val="0098541B"/>
    <w:rsid w:val="00985523"/>
    <w:rsid w:val="009867AE"/>
    <w:rsid w:val="009879CD"/>
    <w:rsid w:val="00990358"/>
    <w:rsid w:val="00990480"/>
    <w:rsid w:val="00990E31"/>
    <w:rsid w:val="00991226"/>
    <w:rsid w:val="009917FB"/>
    <w:rsid w:val="00992CE9"/>
    <w:rsid w:val="00993335"/>
    <w:rsid w:val="00995305"/>
    <w:rsid w:val="00995832"/>
    <w:rsid w:val="00995BAA"/>
    <w:rsid w:val="00995C1E"/>
    <w:rsid w:val="009960FB"/>
    <w:rsid w:val="009968E9"/>
    <w:rsid w:val="00996AAC"/>
    <w:rsid w:val="0099705B"/>
    <w:rsid w:val="009976E5"/>
    <w:rsid w:val="00997B75"/>
    <w:rsid w:val="009A05CC"/>
    <w:rsid w:val="009A0A13"/>
    <w:rsid w:val="009A0DF5"/>
    <w:rsid w:val="009A1683"/>
    <w:rsid w:val="009A214D"/>
    <w:rsid w:val="009A2389"/>
    <w:rsid w:val="009A2660"/>
    <w:rsid w:val="009A26B6"/>
    <w:rsid w:val="009A2869"/>
    <w:rsid w:val="009A28BF"/>
    <w:rsid w:val="009A2BB2"/>
    <w:rsid w:val="009A3593"/>
    <w:rsid w:val="009A3783"/>
    <w:rsid w:val="009A3E28"/>
    <w:rsid w:val="009A3F87"/>
    <w:rsid w:val="009A408A"/>
    <w:rsid w:val="009A47FF"/>
    <w:rsid w:val="009A4DE8"/>
    <w:rsid w:val="009A50E6"/>
    <w:rsid w:val="009A66A4"/>
    <w:rsid w:val="009A68C7"/>
    <w:rsid w:val="009A6BD7"/>
    <w:rsid w:val="009A7648"/>
    <w:rsid w:val="009A790D"/>
    <w:rsid w:val="009A7D1C"/>
    <w:rsid w:val="009B00B7"/>
    <w:rsid w:val="009B0824"/>
    <w:rsid w:val="009B086A"/>
    <w:rsid w:val="009B18F3"/>
    <w:rsid w:val="009B1D6F"/>
    <w:rsid w:val="009B22D6"/>
    <w:rsid w:val="009B2784"/>
    <w:rsid w:val="009B283C"/>
    <w:rsid w:val="009B30D9"/>
    <w:rsid w:val="009B3FD1"/>
    <w:rsid w:val="009B5FE8"/>
    <w:rsid w:val="009B76F4"/>
    <w:rsid w:val="009B7AB2"/>
    <w:rsid w:val="009C01C5"/>
    <w:rsid w:val="009C079C"/>
    <w:rsid w:val="009C0E36"/>
    <w:rsid w:val="009C1508"/>
    <w:rsid w:val="009C1A94"/>
    <w:rsid w:val="009C2D7B"/>
    <w:rsid w:val="009C3A51"/>
    <w:rsid w:val="009C3C68"/>
    <w:rsid w:val="009C4549"/>
    <w:rsid w:val="009C47BA"/>
    <w:rsid w:val="009C5E3D"/>
    <w:rsid w:val="009C63FD"/>
    <w:rsid w:val="009C65BC"/>
    <w:rsid w:val="009C7A66"/>
    <w:rsid w:val="009D01BF"/>
    <w:rsid w:val="009D0F42"/>
    <w:rsid w:val="009D12B5"/>
    <w:rsid w:val="009D16B4"/>
    <w:rsid w:val="009D28B2"/>
    <w:rsid w:val="009D2983"/>
    <w:rsid w:val="009D335B"/>
    <w:rsid w:val="009D41E5"/>
    <w:rsid w:val="009D5076"/>
    <w:rsid w:val="009D5861"/>
    <w:rsid w:val="009D64BB"/>
    <w:rsid w:val="009D6587"/>
    <w:rsid w:val="009D6A3B"/>
    <w:rsid w:val="009D6B23"/>
    <w:rsid w:val="009D6CFE"/>
    <w:rsid w:val="009D7255"/>
    <w:rsid w:val="009D739A"/>
    <w:rsid w:val="009D743F"/>
    <w:rsid w:val="009D7B79"/>
    <w:rsid w:val="009D7DC0"/>
    <w:rsid w:val="009D7DC8"/>
    <w:rsid w:val="009E045E"/>
    <w:rsid w:val="009E0842"/>
    <w:rsid w:val="009E180E"/>
    <w:rsid w:val="009E28D5"/>
    <w:rsid w:val="009E3D45"/>
    <w:rsid w:val="009E3DA1"/>
    <w:rsid w:val="009E521E"/>
    <w:rsid w:val="009E5C55"/>
    <w:rsid w:val="009E5E7B"/>
    <w:rsid w:val="009E65DA"/>
    <w:rsid w:val="009E6751"/>
    <w:rsid w:val="009E6D2E"/>
    <w:rsid w:val="009E7655"/>
    <w:rsid w:val="009E7C79"/>
    <w:rsid w:val="009F0079"/>
    <w:rsid w:val="009F008C"/>
    <w:rsid w:val="009F0AAD"/>
    <w:rsid w:val="009F0D1B"/>
    <w:rsid w:val="009F2352"/>
    <w:rsid w:val="009F24EB"/>
    <w:rsid w:val="009F276D"/>
    <w:rsid w:val="009F2D68"/>
    <w:rsid w:val="009F34E4"/>
    <w:rsid w:val="009F394F"/>
    <w:rsid w:val="009F43F8"/>
    <w:rsid w:val="009F5549"/>
    <w:rsid w:val="009F5B3D"/>
    <w:rsid w:val="009F5C48"/>
    <w:rsid w:val="009F6CB2"/>
    <w:rsid w:val="00A002B0"/>
    <w:rsid w:val="00A002FB"/>
    <w:rsid w:val="00A007D1"/>
    <w:rsid w:val="00A00A68"/>
    <w:rsid w:val="00A00ACC"/>
    <w:rsid w:val="00A01D14"/>
    <w:rsid w:val="00A02B0E"/>
    <w:rsid w:val="00A02C24"/>
    <w:rsid w:val="00A02FAD"/>
    <w:rsid w:val="00A03632"/>
    <w:rsid w:val="00A03EE9"/>
    <w:rsid w:val="00A044F8"/>
    <w:rsid w:val="00A0484E"/>
    <w:rsid w:val="00A05806"/>
    <w:rsid w:val="00A058DF"/>
    <w:rsid w:val="00A059A2"/>
    <w:rsid w:val="00A06219"/>
    <w:rsid w:val="00A06976"/>
    <w:rsid w:val="00A104BB"/>
    <w:rsid w:val="00A11117"/>
    <w:rsid w:val="00A11182"/>
    <w:rsid w:val="00A11DC6"/>
    <w:rsid w:val="00A12941"/>
    <w:rsid w:val="00A1363B"/>
    <w:rsid w:val="00A139C8"/>
    <w:rsid w:val="00A13CA3"/>
    <w:rsid w:val="00A13ED4"/>
    <w:rsid w:val="00A13EDB"/>
    <w:rsid w:val="00A13F40"/>
    <w:rsid w:val="00A13FDA"/>
    <w:rsid w:val="00A14A68"/>
    <w:rsid w:val="00A14BB7"/>
    <w:rsid w:val="00A14E57"/>
    <w:rsid w:val="00A14E96"/>
    <w:rsid w:val="00A15080"/>
    <w:rsid w:val="00A1641A"/>
    <w:rsid w:val="00A1660D"/>
    <w:rsid w:val="00A17707"/>
    <w:rsid w:val="00A17E7D"/>
    <w:rsid w:val="00A20157"/>
    <w:rsid w:val="00A206A0"/>
    <w:rsid w:val="00A2073D"/>
    <w:rsid w:val="00A213F6"/>
    <w:rsid w:val="00A21BA7"/>
    <w:rsid w:val="00A22485"/>
    <w:rsid w:val="00A224E6"/>
    <w:rsid w:val="00A23D81"/>
    <w:rsid w:val="00A24278"/>
    <w:rsid w:val="00A2474E"/>
    <w:rsid w:val="00A24890"/>
    <w:rsid w:val="00A24F44"/>
    <w:rsid w:val="00A25EBD"/>
    <w:rsid w:val="00A25FAD"/>
    <w:rsid w:val="00A2687F"/>
    <w:rsid w:val="00A2737E"/>
    <w:rsid w:val="00A3043F"/>
    <w:rsid w:val="00A315BF"/>
    <w:rsid w:val="00A31948"/>
    <w:rsid w:val="00A31D7E"/>
    <w:rsid w:val="00A32864"/>
    <w:rsid w:val="00A3393F"/>
    <w:rsid w:val="00A33CD2"/>
    <w:rsid w:val="00A34F36"/>
    <w:rsid w:val="00A35C56"/>
    <w:rsid w:val="00A36764"/>
    <w:rsid w:val="00A3677C"/>
    <w:rsid w:val="00A36A78"/>
    <w:rsid w:val="00A371EE"/>
    <w:rsid w:val="00A37F75"/>
    <w:rsid w:val="00A404BD"/>
    <w:rsid w:val="00A409B1"/>
    <w:rsid w:val="00A40D99"/>
    <w:rsid w:val="00A40E08"/>
    <w:rsid w:val="00A415EB"/>
    <w:rsid w:val="00A417EA"/>
    <w:rsid w:val="00A41DD6"/>
    <w:rsid w:val="00A42A60"/>
    <w:rsid w:val="00A42C0D"/>
    <w:rsid w:val="00A42D8B"/>
    <w:rsid w:val="00A43DB9"/>
    <w:rsid w:val="00A44893"/>
    <w:rsid w:val="00A45FE6"/>
    <w:rsid w:val="00A462C0"/>
    <w:rsid w:val="00A46385"/>
    <w:rsid w:val="00A469C2"/>
    <w:rsid w:val="00A47365"/>
    <w:rsid w:val="00A50480"/>
    <w:rsid w:val="00A50497"/>
    <w:rsid w:val="00A50BBF"/>
    <w:rsid w:val="00A50DC2"/>
    <w:rsid w:val="00A516E2"/>
    <w:rsid w:val="00A520E8"/>
    <w:rsid w:val="00A5227F"/>
    <w:rsid w:val="00A5319C"/>
    <w:rsid w:val="00A53BEA"/>
    <w:rsid w:val="00A53DD7"/>
    <w:rsid w:val="00A54194"/>
    <w:rsid w:val="00A54827"/>
    <w:rsid w:val="00A54C03"/>
    <w:rsid w:val="00A55E8B"/>
    <w:rsid w:val="00A5619B"/>
    <w:rsid w:val="00A56FFA"/>
    <w:rsid w:val="00A57574"/>
    <w:rsid w:val="00A57621"/>
    <w:rsid w:val="00A609CC"/>
    <w:rsid w:val="00A609DD"/>
    <w:rsid w:val="00A60AC5"/>
    <w:rsid w:val="00A60F4D"/>
    <w:rsid w:val="00A60FDB"/>
    <w:rsid w:val="00A622D9"/>
    <w:rsid w:val="00A62415"/>
    <w:rsid w:val="00A62A74"/>
    <w:rsid w:val="00A6336E"/>
    <w:rsid w:val="00A63514"/>
    <w:rsid w:val="00A6367C"/>
    <w:rsid w:val="00A63E14"/>
    <w:rsid w:val="00A63E3C"/>
    <w:rsid w:val="00A640C3"/>
    <w:rsid w:val="00A64285"/>
    <w:rsid w:val="00A64334"/>
    <w:rsid w:val="00A65BCB"/>
    <w:rsid w:val="00A661F2"/>
    <w:rsid w:val="00A662D4"/>
    <w:rsid w:val="00A6659F"/>
    <w:rsid w:val="00A6697B"/>
    <w:rsid w:val="00A66C1B"/>
    <w:rsid w:val="00A67009"/>
    <w:rsid w:val="00A67224"/>
    <w:rsid w:val="00A67313"/>
    <w:rsid w:val="00A6750E"/>
    <w:rsid w:val="00A67C0B"/>
    <w:rsid w:val="00A70715"/>
    <w:rsid w:val="00A707FF"/>
    <w:rsid w:val="00A7090A"/>
    <w:rsid w:val="00A71186"/>
    <w:rsid w:val="00A7154F"/>
    <w:rsid w:val="00A71A41"/>
    <w:rsid w:val="00A72220"/>
    <w:rsid w:val="00A7229B"/>
    <w:rsid w:val="00A733D3"/>
    <w:rsid w:val="00A737BB"/>
    <w:rsid w:val="00A7423F"/>
    <w:rsid w:val="00A74431"/>
    <w:rsid w:val="00A748D3"/>
    <w:rsid w:val="00A75215"/>
    <w:rsid w:val="00A755E8"/>
    <w:rsid w:val="00A75B27"/>
    <w:rsid w:val="00A76C6A"/>
    <w:rsid w:val="00A77233"/>
    <w:rsid w:val="00A77554"/>
    <w:rsid w:val="00A8009D"/>
    <w:rsid w:val="00A8051D"/>
    <w:rsid w:val="00A80743"/>
    <w:rsid w:val="00A81086"/>
    <w:rsid w:val="00A81214"/>
    <w:rsid w:val="00A815AB"/>
    <w:rsid w:val="00A82212"/>
    <w:rsid w:val="00A8282B"/>
    <w:rsid w:val="00A8314C"/>
    <w:rsid w:val="00A83A37"/>
    <w:rsid w:val="00A83AAC"/>
    <w:rsid w:val="00A85130"/>
    <w:rsid w:val="00A85146"/>
    <w:rsid w:val="00A855C6"/>
    <w:rsid w:val="00A856BB"/>
    <w:rsid w:val="00A85F21"/>
    <w:rsid w:val="00A86796"/>
    <w:rsid w:val="00A8759E"/>
    <w:rsid w:val="00A8793D"/>
    <w:rsid w:val="00A9000B"/>
    <w:rsid w:val="00A902E4"/>
    <w:rsid w:val="00A90B42"/>
    <w:rsid w:val="00A90EF4"/>
    <w:rsid w:val="00A92B92"/>
    <w:rsid w:val="00A9318E"/>
    <w:rsid w:val="00A931F6"/>
    <w:rsid w:val="00A934A6"/>
    <w:rsid w:val="00A937A7"/>
    <w:rsid w:val="00A9444C"/>
    <w:rsid w:val="00A94F6E"/>
    <w:rsid w:val="00A9569B"/>
    <w:rsid w:val="00A9574C"/>
    <w:rsid w:val="00A96CD7"/>
    <w:rsid w:val="00A97923"/>
    <w:rsid w:val="00AA0283"/>
    <w:rsid w:val="00AA05E1"/>
    <w:rsid w:val="00AA118D"/>
    <w:rsid w:val="00AA1651"/>
    <w:rsid w:val="00AA16F5"/>
    <w:rsid w:val="00AA1D1B"/>
    <w:rsid w:val="00AA245B"/>
    <w:rsid w:val="00AA2525"/>
    <w:rsid w:val="00AA322C"/>
    <w:rsid w:val="00AA4218"/>
    <w:rsid w:val="00AA4AB8"/>
    <w:rsid w:val="00AA4B12"/>
    <w:rsid w:val="00AA4DF4"/>
    <w:rsid w:val="00AA5AF3"/>
    <w:rsid w:val="00AA5E9B"/>
    <w:rsid w:val="00AA5F07"/>
    <w:rsid w:val="00AA60A3"/>
    <w:rsid w:val="00AA6681"/>
    <w:rsid w:val="00AA6DF9"/>
    <w:rsid w:val="00AA71B2"/>
    <w:rsid w:val="00AA7531"/>
    <w:rsid w:val="00AB01BF"/>
    <w:rsid w:val="00AB0BE9"/>
    <w:rsid w:val="00AB1404"/>
    <w:rsid w:val="00AB1B5C"/>
    <w:rsid w:val="00AB2DDA"/>
    <w:rsid w:val="00AB3DF2"/>
    <w:rsid w:val="00AB4263"/>
    <w:rsid w:val="00AB4801"/>
    <w:rsid w:val="00AB4E1C"/>
    <w:rsid w:val="00AB5754"/>
    <w:rsid w:val="00AB5F81"/>
    <w:rsid w:val="00AB6CCA"/>
    <w:rsid w:val="00AB7CC3"/>
    <w:rsid w:val="00AB7EC1"/>
    <w:rsid w:val="00AC00EE"/>
    <w:rsid w:val="00AC064E"/>
    <w:rsid w:val="00AC0800"/>
    <w:rsid w:val="00AC0B5A"/>
    <w:rsid w:val="00AC0DD4"/>
    <w:rsid w:val="00AC0F87"/>
    <w:rsid w:val="00AC12ED"/>
    <w:rsid w:val="00AC1631"/>
    <w:rsid w:val="00AC16AA"/>
    <w:rsid w:val="00AC22F4"/>
    <w:rsid w:val="00AC2679"/>
    <w:rsid w:val="00AC39CD"/>
    <w:rsid w:val="00AC41FA"/>
    <w:rsid w:val="00AC451C"/>
    <w:rsid w:val="00AC4BBC"/>
    <w:rsid w:val="00AC4C98"/>
    <w:rsid w:val="00AC513C"/>
    <w:rsid w:val="00AC5161"/>
    <w:rsid w:val="00AC59AF"/>
    <w:rsid w:val="00AC5A54"/>
    <w:rsid w:val="00AC5C2B"/>
    <w:rsid w:val="00AC63DD"/>
    <w:rsid w:val="00AC69F2"/>
    <w:rsid w:val="00AC6BE1"/>
    <w:rsid w:val="00AC6DE9"/>
    <w:rsid w:val="00AC6E53"/>
    <w:rsid w:val="00AC76C8"/>
    <w:rsid w:val="00AC7860"/>
    <w:rsid w:val="00AC7C48"/>
    <w:rsid w:val="00AC7F09"/>
    <w:rsid w:val="00AC7FD7"/>
    <w:rsid w:val="00AD04BD"/>
    <w:rsid w:val="00AD04E6"/>
    <w:rsid w:val="00AD080B"/>
    <w:rsid w:val="00AD0E59"/>
    <w:rsid w:val="00AD0E9A"/>
    <w:rsid w:val="00AD1A09"/>
    <w:rsid w:val="00AD1F52"/>
    <w:rsid w:val="00AD23BF"/>
    <w:rsid w:val="00AD2A78"/>
    <w:rsid w:val="00AD2ACE"/>
    <w:rsid w:val="00AD2DE7"/>
    <w:rsid w:val="00AD2EF1"/>
    <w:rsid w:val="00AD32BE"/>
    <w:rsid w:val="00AD3551"/>
    <w:rsid w:val="00AD390A"/>
    <w:rsid w:val="00AD4C82"/>
    <w:rsid w:val="00AD4C84"/>
    <w:rsid w:val="00AD4C86"/>
    <w:rsid w:val="00AD58AE"/>
    <w:rsid w:val="00AD5BF5"/>
    <w:rsid w:val="00AD6E8C"/>
    <w:rsid w:val="00AD6EA3"/>
    <w:rsid w:val="00AD7973"/>
    <w:rsid w:val="00AD7EB6"/>
    <w:rsid w:val="00AD7FAF"/>
    <w:rsid w:val="00AE0882"/>
    <w:rsid w:val="00AE1138"/>
    <w:rsid w:val="00AE24D0"/>
    <w:rsid w:val="00AE34D7"/>
    <w:rsid w:val="00AE39EC"/>
    <w:rsid w:val="00AE3DC9"/>
    <w:rsid w:val="00AE3F83"/>
    <w:rsid w:val="00AE40C0"/>
    <w:rsid w:val="00AE439B"/>
    <w:rsid w:val="00AE5D03"/>
    <w:rsid w:val="00AE6654"/>
    <w:rsid w:val="00AE6B53"/>
    <w:rsid w:val="00AE7042"/>
    <w:rsid w:val="00AE7795"/>
    <w:rsid w:val="00AE7E6D"/>
    <w:rsid w:val="00AE7ECB"/>
    <w:rsid w:val="00AF00AA"/>
    <w:rsid w:val="00AF07E8"/>
    <w:rsid w:val="00AF10EC"/>
    <w:rsid w:val="00AF2532"/>
    <w:rsid w:val="00AF2AB8"/>
    <w:rsid w:val="00AF3647"/>
    <w:rsid w:val="00AF376F"/>
    <w:rsid w:val="00AF3BD1"/>
    <w:rsid w:val="00AF3D54"/>
    <w:rsid w:val="00AF3DC5"/>
    <w:rsid w:val="00AF44CF"/>
    <w:rsid w:val="00AF533B"/>
    <w:rsid w:val="00AF59AA"/>
    <w:rsid w:val="00AF5BB5"/>
    <w:rsid w:val="00AF6F56"/>
    <w:rsid w:val="00AF78C1"/>
    <w:rsid w:val="00AF7D55"/>
    <w:rsid w:val="00B0085D"/>
    <w:rsid w:val="00B00889"/>
    <w:rsid w:val="00B00971"/>
    <w:rsid w:val="00B00C29"/>
    <w:rsid w:val="00B00D63"/>
    <w:rsid w:val="00B00ECA"/>
    <w:rsid w:val="00B01B6E"/>
    <w:rsid w:val="00B0266F"/>
    <w:rsid w:val="00B027ED"/>
    <w:rsid w:val="00B02994"/>
    <w:rsid w:val="00B04342"/>
    <w:rsid w:val="00B04D2E"/>
    <w:rsid w:val="00B07185"/>
    <w:rsid w:val="00B071FA"/>
    <w:rsid w:val="00B07351"/>
    <w:rsid w:val="00B07880"/>
    <w:rsid w:val="00B079E8"/>
    <w:rsid w:val="00B10F0B"/>
    <w:rsid w:val="00B11043"/>
    <w:rsid w:val="00B1146D"/>
    <w:rsid w:val="00B11CDF"/>
    <w:rsid w:val="00B11F59"/>
    <w:rsid w:val="00B12780"/>
    <w:rsid w:val="00B12A38"/>
    <w:rsid w:val="00B137E4"/>
    <w:rsid w:val="00B13F04"/>
    <w:rsid w:val="00B145C7"/>
    <w:rsid w:val="00B14CA3"/>
    <w:rsid w:val="00B14CD7"/>
    <w:rsid w:val="00B14F45"/>
    <w:rsid w:val="00B16FAF"/>
    <w:rsid w:val="00B1700C"/>
    <w:rsid w:val="00B202BC"/>
    <w:rsid w:val="00B2058D"/>
    <w:rsid w:val="00B20A72"/>
    <w:rsid w:val="00B20D6D"/>
    <w:rsid w:val="00B21720"/>
    <w:rsid w:val="00B229CE"/>
    <w:rsid w:val="00B22A7E"/>
    <w:rsid w:val="00B237B6"/>
    <w:rsid w:val="00B23B2A"/>
    <w:rsid w:val="00B23DC4"/>
    <w:rsid w:val="00B24307"/>
    <w:rsid w:val="00B24422"/>
    <w:rsid w:val="00B24B38"/>
    <w:rsid w:val="00B24B71"/>
    <w:rsid w:val="00B251B6"/>
    <w:rsid w:val="00B25364"/>
    <w:rsid w:val="00B254F4"/>
    <w:rsid w:val="00B2552D"/>
    <w:rsid w:val="00B25D3E"/>
    <w:rsid w:val="00B25FEF"/>
    <w:rsid w:val="00B26595"/>
    <w:rsid w:val="00B30055"/>
    <w:rsid w:val="00B30372"/>
    <w:rsid w:val="00B307D1"/>
    <w:rsid w:val="00B30FC0"/>
    <w:rsid w:val="00B31749"/>
    <w:rsid w:val="00B31857"/>
    <w:rsid w:val="00B3249C"/>
    <w:rsid w:val="00B3263A"/>
    <w:rsid w:val="00B32673"/>
    <w:rsid w:val="00B32F7A"/>
    <w:rsid w:val="00B337B5"/>
    <w:rsid w:val="00B34DAF"/>
    <w:rsid w:val="00B3503F"/>
    <w:rsid w:val="00B351ED"/>
    <w:rsid w:val="00B3562E"/>
    <w:rsid w:val="00B35874"/>
    <w:rsid w:val="00B35A00"/>
    <w:rsid w:val="00B377E8"/>
    <w:rsid w:val="00B40087"/>
    <w:rsid w:val="00B40204"/>
    <w:rsid w:val="00B417FB"/>
    <w:rsid w:val="00B420B0"/>
    <w:rsid w:val="00B42376"/>
    <w:rsid w:val="00B4268E"/>
    <w:rsid w:val="00B42A66"/>
    <w:rsid w:val="00B42AE7"/>
    <w:rsid w:val="00B42C6D"/>
    <w:rsid w:val="00B42FE2"/>
    <w:rsid w:val="00B43F04"/>
    <w:rsid w:val="00B44069"/>
    <w:rsid w:val="00B444ED"/>
    <w:rsid w:val="00B445EE"/>
    <w:rsid w:val="00B445F3"/>
    <w:rsid w:val="00B44627"/>
    <w:rsid w:val="00B446DD"/>
    <w:rsid w:val="00B44775"/>
    <w:rsid w:val="00B45249"/>
    <w:rsid w:val="00B45B21"/>
    <w:rsid w:val="00B45E9D"/>
    <w:rsid w:val="00B46C02"/>
    <w:rsid w:val="00B46FAB"/>
    <w:rsid w:val="00B4771C"/>
    <w:rsid w:val="00B47AB5"/>
    <w:rsid w:val="00B47EA8"/>
    <w:rsid w:val="00B500B3"/>
    <w:rsid w:val="00B50175"/>
    <w:rsid w:val="00B50C21"/>
    <w:rsid w:val="00B51983"/>
    <w:rsid w:val="00B51E1C"/>
    <w:rsid w:val="00B52192"/>
    <w:rsid w:val="00B52CAF"/>
    <w:rsid w:val="00B52F1E"/>
    <w:rsid w:val="00B532B9"/>
    <w:rsid w:val="00B537D3"/>
    <w:rsid w:val="00B54BD3"/>
    <w:rsid w:val="00B54CD3"/>
    <w:rsid w:val="00B5702F"/>
    <w:rsid w:val="00B5760C"/>
    <w:rsid w:val="00B57CCC"/>
    <w:rsid w:val="00B60B6F"/>
    <w:rsid w:val="00B613BF"/>
    <w:rsid w:val="00B61694"/>
    <w:rsid w:val="00B61C81"/>
    <w:rsid w:val="00B62BB4"/>
    <w:rsid w:val="00B62D99"/>
    <w:rsid w:val="00B63098"/>
    <w:rsid w:val="00B6384B"/>
    <w:rsid w:val="00B63FC6"/>
    <w:rsid w:val="00B64113"/>
    <w:rsid w:val="00B64551"/>
    <w:rsid w:val="00B646FA"/>
    <w:rsid w:val="00B649D6"/>
    <w:rsid w:val="00B64AB2"/>
    <w:rsid w:val="00B65CC7"/>
    <w:rsid w:val="00B661CB"/>
    <w:rsid w:val="00B66310"/>
    <w:rsid w:val="00B66CCB"/>
    <w:rsid w:val="00B67D2D"/>
    <w:rsid w:val="00B67F4F"/>
    <w:rsid w:val="00B701C4"/>
    <w:rsid w:val="00B7020B"/>
    <w:rsid w:val="00B70930"/>
    <w:rsid w:val="00B709C1"/>
    <w:rsid w:val="00B70E5A"/>
    <w:rsid w:val="00B70E98"/>
    <w:rsid w:val="00B717E3"/>
    <w:rsid w:val="00B7184C"/>
    <w:rsid w:val="00B718B7"/>
    <w:rsid w:val="00B71B3A"/>
    <w:rsid w:val="00B71E8A"/>
    <w:rsid w:val="00B724AE"/>
    <w:rsid w:val="00B72540"/>
    <w:rsid w:val="00B73024"/>
    <w:rsid w:val="00B734AF"/>
    <w:rsid w:val="00B73585"/>
    <w:rsid w:val="00B73AF0"/>
    <w:rsid w:val="00B73BBE"/>
    <w:rsid w:val="00B740B7"/>
    <w:rsid w:val="00B741E4"/>
    <w:rsid w:val="00B74448"/>
    <w:rsid w:val="00B75C35"/>
    <w:rsid w:val="00B76452"/>
    <w:rsid w:val="00B76B7C"/>
    <w:rsid w:val="00B77471"/>
    <w:rsid w:val="00B775BC"/>
    <w:rsid w:val="00B779AD"/>
    <w:rsid w:val="00B801C6"/>
    <w:rsid w:val="00B802AF"/>
    <w:rsid w:val="00B810BA"/>
    <w:rsid w:val="00B814EA"/>
    <w:rsid w:val="00B81A0D"/>
    <w:rsid w:val="00B81E5B"/>
    <w:rsid w:val="00B82DC3"/>
    <w:rsid w:val="00B830AB"/>
    <w:rsid w:val="00B83D45"/>
    <w:rsid w:val="00B84169"/>
    <w:rsid w:val="00B845DB"/>
    <w:rsid w:val="00B85531"/>
    <w:rsid w:val="00B855BB"/>
    <w:rsid w:val="00B8561D"/>
    <w:rsid w:val="00B85795"/>
    <w:rsid w:val="00B85E33"/>
    <w:rsid w:val="00B86A03"/>
    <w:rsid w:val="00B90011"/>
    <w:rsid w:val="00B90B15"/>
    <w:rsid w:val="00B917AD"/>
    <w:rsid w:val="00B91F97"/>
    <w:rsid w:val="00B92B94"/>
    <w:rsid w:val="00B9307A"/>
    <w:rsid w:val="00B953CE"/>
    <w:rsid w:val="00B9692A"/>
    <w:rsid w:val="00B96D7A"/>
    <w:rsid w:val="00B97FC1"/>
    <w:rsid w:val="00BA0282"/>
    <w:rsid w:val="00BA06BD"/>
    <w:rsid w:val="00BA0822"/>
    <w:rsid w:val="00BA0F37"/>
    <w:rsid w:val="00BA14BC"/>
    <w:rsid w:val="00BA1963"/>
    <w:rsid w:val="00BA1CC7"/>
    <w:rsid w:val="00BA25CF"/>
    <w:rsid w:val="00BA4933"/>
    <w:rsid w:val="00BA4CE3"/>
    <w:rsid w:val="00BA4E8F"/>
    <w:rsid w:val="00BA56D8"/>
    <w:rsid w:val="00BA58DD"/>
    <w:rsid w:val="00BA5C6D"/>
    <w:rsid w:val="00BA5F78"/>
    <w:rsid w:val="00BA66BB"/>
    <w:rsid w:val="00BA6AFF"/>
    <w:rsid w:val="00BA6CED"/>
    <w:rsid w:val="00BA6FCE"/>
    <w:rsid w:val="00BA7565"/>
    <w:rsid w:val="00BB0226"/>
    <w:rsid w:val="00BB0D04"/>
    <w:rsid w:val="00BB0E44"/>
    <w:rsid w:val="00BB0E8A"/>
    <w:rsid w:val="00BB0F19"/>
    <w:rsid w:val="00BB2034"/>
    <w:rsid w:val="00BB2147"/>
    <w:rsid w:val="00BB2A5F"/>
    <w:rsid w:val="00BB2C23"/>
    <w:rsid w:val="00BB2E5E"/>
    <w:rsid w:val="00BB485B"/>
    <w:rsid w:val="00BB4B5F"/>
    <w:rsid w:val="00BB5029"/>
    <w:rsid w:val="00BB5326"/>
    <w:rsid w:val="00BB55E1"/>
    <w:rsid w:val="00BB5EF0"/>
    <w:rsid w:val="00BB6529"/>
    <w:rsid w:val="00BB67F9"/>
    <w:rsid w:val="00BB6BE4"/>
    <w:rsid w:val="00BB7412"/>
    <w:rsid w:val="00BB796C"/>
    <w:rsid w:val="00BC07E7"/>
    <w:rsid w:val="00BC08BB"/>
    <w:rsid w:val="00BC1089"/>
    <w:rsid w:val="00BC15E5"/>
    <w:rsid w:val="00BC1636"/>
    <w:rsid w:val="00BC1B28"/>
    <w:rsid w:val="00BC21E5"/>
    <w:rsid w:val="00BC2425"/>
    <w:rsid w:val="00BC29D1"/>
    <w:rsid w:val="00BC509E"/>
    <w:rsid w:val="00BC5AB5"/>
    <w:rsid w:val="00BC5B40"/>
    <w:rsid w:val="00BC6094"/>
    <w:rsid w:val="00BC6385"/>
    <w:rsid w:val="00BC7F3E"/>
    <w:rsid w:val="00BD0097"/>
    <w:rsid w:val="00BD0812"/>
    <w:rsid w:val="00BD112A"/>
    <w:rsid w:val="00BD17FA"/>
    <w:rsid w:val="00BD1A38"/>
    <w:rsid w:val="00BD1CCD"/>
    <w:rsid w:val="00BD24A1"/>
    <w:rsid w:val="00BD2A11"/>
    <w:rsid w:val="00BD2CE3"/>
    <w:rsid w:val="00BD2DB5"/>
    <w:rsid w:val="00BD2E00"/>
    <w:rsid w:val="00BD3968"/>
    <w:rsid w:val="00BD441E"/>
    <w:rsid w:val="00BD4537"/>
    <w:rsid w:val="00BD487C"/>
    <w:rsid w:val="00BD51AF"/>
    <w:rsid w:val="00BD58B1"/>
    <w:rsid w:val="00BD5DFA"/>
    <w:rsid w:val="00BD62AC"/>
    <w:rsid w:val="00BD66E3"/>
    <w:rsid w:val="00BD6BA6"/>
    <w:rsid w:val="00BD78C2"/>
    <w:rsid w:val="00BE0824"/>
    <w:rsid w:val="00BE09CD"/>
    <w:rsid w:val="00BE0EED"/>
    <w:rsid w:val="00BE10B7"/>
    <w:rsid w:val="00BE11EA"/>
    <w:rsid w:val="00BE2009"/>
    <w:rsid w:val="00BE2DB7"/>
    <w:rsid w:val="00BE3505"/>
    <w:rsid w:val="00BE47CB"/>
    <w:rsid w:val="00BE4CD6"/>
    <w:rsid w:val="00BE5903"/>
    <w:rsid w:val="00BE6CE1"/>
    <w:rsid w:val="00BE6F7F"/>
    <w:rsid w:val="00BE70AE"/>
    <w:rsid w:val="00BE792B"/>
    <w:rsid w:val="00BE7D57"/>
    <w:rsid w:val="00BF002F"/>
    <w:rsid w:val="00BF0FDD"/>
    <w:rsid w:val="00BF13A5"/>
    <w:rsid w:val="00BF27F5"/>
    <w:rsid w:val="00BF2808"/>
    <w:rsid w:val="00BF28E1"/>
    <w:rsid w:val="00BF2A8C"/>
    <w:rsid w:val="00BF33D8"/>
    <w:rsid w:val="00BF341C"/>
    <w:rsid w:val="00BF373C"/>
    <w:rsid w:val="00BF3B22"/>
    <w:rsid w:val="00BF41E0"/>
    <w:rsid w:val="00BF47FC"/>
    <w:rsid w:val="00BF4A91"/>
    <w:rsid w:val="00BF5419"/>
    <w:rsid w:val="00BF5F0F"/>
    <w:rsid w:val="00BF63EB"/>
    <w:rsid w:val="00BF65F5"/>
    <w:rsid w:val="00BF65FB"/>
    <w:rsid w:val="00BF6F28"/>
    <w:rsid w:val="00BF7041"/>
    <w:rsid w:val="00C00205"/>
    <w:rsid w:val="00C00742"/>
    <w:rsid w:val="00C007E2"/>
    <w:rsid w:val="00C01881"/>
    <w:rsid w:val="00C01C3C"/>
    <w:rsid w:val="00C020B5"/>
    <w:rsid w:val="00C02106"/>
    <w:rsid w:val="00C0255C"/>
    <w:rsid w:val="00C02F25"/>
    <w:rsid w:val="00C02FCC"/>
    <w:rsid w:val="00C030B9"/>
    <w:rsid w:val="00C0360A"/>
    <w:rsid w:val="00C044FB"/>
    <w:rsid w:val="00C050EC"/>
    <w:rsid w:val="00C056E6"/>
    <w:rsid w:val="00C065A6"/>
    <w:rsid w:val="00C0682E"/>
    <w:rsid w:val="00C0751B"/>
    <w:rsid w:val="00C1017B"/>
    <w:rsid w:val="00C10EEE"/>
    <w:rsid w:val="00C113B2"/>
    <w:rsid w:val="00C11527"/>
    <w:rsid w:val="00C11CD1"/>
    <w:rsid w:val="00C12FE1"/>
    <w:rsid w:val="00C13413"/>
    <w:rsid w:val="00C13B28"/>
    <w:rsid w:val="00C14094"/>
    <w:rsid w:val="00C14431"/>
    <w:rsid w:val="00C14698"/>
    <w:rsid w:val="00C14A96"/>
    <w:rsid w:val="00C14EDE"/>
    <w:rsid w:val="00C1546B"/>
    <w:rsid w:val="00C15538"/>
    <w:rsid w:val="00C15620"/>
    <w:rsid w:val="00C15FE5"/>
    <w:rsid w:val="00C16186"/>
    <w:rsid w:val="00C169D1"/>
    <w:rsid w:val="00C172BC"/>
    <w:rsid w:val="00C1738E"/>
    <w:rsid w:val="00C174C9"/>
    <w:rsid w:val="00C177FF"/>
    <w:rsid w:val="00C179F4"/>
    <w:rsid w:val="00C17BFD"/>
    <w:rsid w:val="00C17CD7"/>
    <w:rsid w:val="00C17F0A"/>
    <w:rsid w:val="00C20678"/>
    <w:rsid w:val="00C20DD3"/>
    <w:rsid w:val="00C20DDC"/>
    <w:rsid w:val="00C212D7"/>
    <w:rsid w:val="00C212DD"/>
    <w:rsid w:val="00C21658"/>
    <w:rsid w:val="00C217F2"/>
    <w:rsid w:val="00C21F17"/>
    <w:rsid w:val="00C2230C"/>
    <w:rsid w:val="00C22624"/>
    <w:rsid w:val="00C23622"/>
    <w:rsid w:val="00C24103"/>
    <w:rsid w:val="00C2527D"/>
    <w:rsid w:val="00C255A3"/>
    <w:rsid w:val="00C257FF"/>
    <w:rsid w:val="00C25D14"/>
    <w:rsid w:val="00C26190"/>
    <w:rsid w:val="00C26D4F"/>
    <w:rsid w:val="00C26F20"/>
    <w:rsid w:val="00C274F9"/>
    <w:rsid w:val="00C302A9"/>
    <w:rsid w:val="00C320A1"/>
    <w:rsid w:val="00C32144"/>
    <w:rsid w:val="00C3269C"/>
    <w:rsid w:val="00C33026"/>
    <w:rsid w:val="00C33DE4"/>
    <w:rsid w:val="00C33F44"/>
    <w:rsid w:val="00C345F3"/>
    <w:rsid w:val="00C34C3D"/>
    <w:rsid w:val="00C36ACC"/>
    <w:rsid w:val="00C36F07"/>
    <w:rsid w:val="00C37399"/>
    <w:rsid w:val="00C37B4B"/>
    <w:rsid w:val="00C40015"/>
    <w:rsid w:val="00C403D9"/>
    <w:rsid w:val="00C40793"/>
    <w:rsid w:val="00C40917"/>
    <w:rsid w:val="00C40E73"/>
    <w:rsid w:val="00C41189"/>
    <w:rsid w:val="00C41511"/>
    <w:rsid w:val="00C41CF3"/>
    <w:rsid w:val="00C428AB"/>
    <w:rsid w:val="00C42B9F"/>
    <w:rsid w:val="00C42C8F"/>
    <w:rsid w:val="00C42D97"/>
    <w:rsid w:val="00C43C67"/>
    <w:rsid w:val="00C44D9C"/>
    <w:rsid w:val="00C44E4D"/>
    <w:rsid w:val="00C4528C"/>
    <w:rsid w:val="00C457F3"/>
    <w:rsid w:val="00C4599A"/>
    <w:rsid w:val="00C460C8"/>
    <w:rsid w:val="00C47555"/>
    <w:rsid w:val="00C47C81"/>
    <w:rsid w:val="00C47E64"/>
    <w:rsid w:val="00C50292"/>
    <w:rsid w:val="00C50339"/>
    <w:rsid w:val="00C50FF6"/>
    <w:rsid w:val="00C51158"/>
    <w:rsid w:val="00C51839"/>
    <w:rsid w:val="00C519EB"/>
    <w:rsid w:val="00C523EE"/>
    <w:rsid w:val="00C527F3"/>
    <w:rsid w:val="00C52BDD"/>
    <w:rsid w:val="00C5330B"/>
    <w:rsid w:val="00C53984"/>
    <w:rsid w:val="00C53F08"/>
    <w:rsid w:val="00C54C1C"/>
    <w:rsid w:val="00C561AA"/>
    <w:rsid w:val="00C565D7"/>
    <w:rsid w:val="00C56A19"/>
    <w:rsid w:val="00C56DE0"/>
    <w:rsid w:val="00C5711B"/>
    <w:rsid w:val="00C57BE6"/>
    <w:rsid w:val="00C60492"/>
    <w:rsid w:val="00C605FE"/>
    <w:rsid w:val="00C61385"/>
    <w:rsid w:val="00C6158B"/>
    <w:rsid w:val="00C61A76"/>
    <w:rsid w:val="00C621A4"/>
    <w:rsid w:val="00C62EF7"/>
    <w:rsid w:val="00C6389E"/>
    <w:rsid w:val="00C638AC"/>
    <w:rsid w:val="00C64DE9"/>
    <w:rsid w:val="00C650F9"/>
    <w:rsid w:val="00C6555C"/>
    <w:rsid w:val="00C661A3"/>
    <w:rsid w:val="00C66383"/>
    <w:rsid w:val="00C66D7E"/>
    <w:rsid w:val="00C66DD0"/>
    <w:rsid w:val="00C67127"/>
    <w:rsid w:val="00C67888"/>
    <w:rsid w:val="00C67C7A"/>
    <w:rsid w:val="00C67CB0"/>
    <w:rsid w:val="00C67E87"/>
    <w:rsid w:val="00C702C0"/>
    <w:rsid w:val="00C706D2"/>
    <w:rsid w:val="00C70739"/>
    <w:rsid w:val="00C715B2"/>
    <w:rsid w:val="00C71970"/>
    <w:rsid w:val="00C71BDD"/>
    <w:rsid w:val="00C71CA2"/>
    <w:rsid w:val="00C71DFD"/>
    <w:rsid w:val="00C71E49"/>
    <w:rsid w:val="00C71EFB"/>
    <w:rsid w:val="00C72A8C"/>
    <w:rsid w:val="00C72DEB"/>
    <w:rsid w:val="00C73B70"/>
    <w:rsid w:val="00C74463"/>
    <w:rsid w:val="00C74E87"/>
    <w:rsid w:val="00C75278"/>
    <w:rsid w:val="00C7555B"/>
    <w:rsid w:val="00C75676"/>
    <w:rsid w:val="00C756E1"/>
    <w:rsid w:val="00C75F56"/>
    <w:rsid w:val="00C75FFD"/>
    <w:rsid w:val="00C76148"/>
    <w:rsid w:val="00C774DF"/>
    <w:rsid w:val="00C77945"/>
    <w:rsid w:val="00C779F9"/>
    <w:rsid w:val="00C77D7A"/>
    <w:rsid w:val="00C80515"/>
    <w:rsid w:val="00C805B0"/>
    <w:rsid w:val="00C80AEF"/>
    <w:rsid w:val="00C81306"/>
    <w:rsid w:val="00C82385"/>
    <w:rsid w:val="00C82537"/>
    <w:rsid w:val="00C825C0"/>
    <w:rsid w:val="00C8291C"/>
    <w:rsid w:val="00C82A95"/>
    <w:rsid w:val="00C83179"/>
    <w:rsid w:val="00C84B37"/>
    <w:rsid w:val="00C8557E"/>
    <w:rsid w:val="00C8582E"/>
    <w:rsid w:val="00C85CB4"/>
    <w:rsid w:val="00C86D11"/>
    <w:rsid w:val="00C86E07"/>
    <w:rsid w:val="00C878B7"/>
    <w:rsid w:val="00C87C09"/>
    <w:rsid w:val="00C87C73"/>
    <w:rsid w:val="00C87F1F"/>
    <w:rsid w:val="00C9001B"/>
    <w:rsid w:val="00C906AB"/>
    <w:rsid w:val="00C916B2"/>
    <w:rsid w:val="00C92717"/>
    <w:rsid w:val="00C92AA4"/>
    <w:rsid w:val="00C93292"/>
    <w:rsid w:val="00C93AF0"/>
    <w:rsid w:val="00C93D27"/>
    <w:rsid w:val="00C941F4"/>
    <w:rsid w:val="00C9420D"/>
    <w:rsid w:val="00C95584"/>
    <w:rsid w:val="00C95F06"/>
    <w:rsid w:val="00C95FE7"/>
    <w:rsid w:val="00C96E2B"/>
    <w:rsid w:val="00CA0A1B"/>
    <w:rsid w:val="00CA0DA2"/>
    <w:rsid w:val="00CA148D"/>
    <w:rsid w:val="00CA1F0E"/>
    <w:rsid w:val="00CA245F"/>
    <w:rsid w:val="00CA2768"/>
    <w:rsid w:val="00CA2B83"/>
    <w:rsid w:val="00CA30C6"/>
    <w:rsid w:val="00CA3548"/>
    <w:rsid w:val="00CA4527"/>
    <w:rsid w:val="00CA4623"/>
    <w:rsid w:val="00CA50E7"/>
    <w:rsid w:val="00CA51CD"/>
    <w:rsid w:val="00CA5BA4"/>
    <w:rsid w:val="00CA5C69"/>
    <w:rsid w:val="00CA5CB6"/>
    <w:rsid w:val="00CA6E06"/>
    <w:rsid w:val="00CA745D"/>
    <w:rsid w:val="00CB0630"/>
    <w:rsid w:val="00CB088B"/>
    <w:rsid w:val="00CB1A47"/>
    <w:rsid w:val="00CB1A97"/>
    <w:rsid w:val="00CB1EDE"/>
    <w:rsid w:val="00CB3F01"/>
    <w:rsid w:val="00CB5544"/>
    <w:rsid w:val="00CB55B9"/>
    <w:rsid w:val="00CB5BC5"/>
    <w:rsid w:val="00CB70E3"/>
    <w:rsid w:val="00CB739C"/>
    <w:rsid w:val="00CB79FF"/>
    <w:rsid w:val="00CB7C47"/>
    <w:rsid w:val="00CB7D64"/>
    <w:rsid w:val="00CC0534"/>
    <w:rsid w:val="00CC085E"/>
    <w:rsid w:val="00CC0CA3"/>
    <w:rsid w:val="00CC0D16"/>
    <w:rsid w:val="00CC0DA3"/>
    <w:rsid w:val="00CC1D5D"/>
    <w:rsid w:val="00CC225E"/>
    <w:rsid w:val="00CC2278"/>
    <w:rsid w:val="00CC2827"/>
    <w:rsid w:val="00CC2998"/>
    <w:rsid w:val="00CC2A87"/>
    <w:rsid w:val="00CC2D31"/>
    <w:rsid w:val="00CC3FB1"/>
    <w:rsid w:val="00CC407F"/>
    <w:rsid w:val="00CC44F0"/>
    <w:rsid w:val="00CC4FEA"/>
    <w:rsid w:val="00CC5729"/>
    <w:rsid w:val="00CC5811"/>
    <w:rsid w:val="00CC650B"/>
    <w:rsid w:val="00CC6FF9"/>
    <w:rsid w:val="00CC73BF"/>
    <w:rsid w:val="00CC7B67"/>
    <w:rsid w:val="00CD00C6"/>
    <w:rsid w:val="00CD06AA"/>
    <w:rsid w:val="00CD10F7"/>
    <w:rsid w:val="00CD1122"/>
    <w:rsid w:val="00CD1293"/>
    <w:rsid w:val="00CD1441"/>
    <w:rsid w:val="00CD1482"/>
    <w:rsid w:val="00CD1724"/>
    <w:rsid w:val="00CD246B"/>
    <w:rsid w:val="00CD29C2"/>
    <w:rsid w:val="00CD2DD8"/>
    <w:rsid w:val="00CD3BE4"/>
    <w:rsid w:val="00CD3C4F"/>
    <w:rsid w:val="00CD3DC5"/>
    <w:rsid w:val="00CD4304"/>
    <w:rsid w:val="00CD48D9"/>
    <w:rsid w:val="00CD4E49"/>
    <w:rsid w:val="00CD5A86"/>
    <w:rsid w:val="00CD7A73"/>
    <w:rsid w:val="00CD7ADF"/>
    <w:rsid w:val="00CE04A7"/>
    <w:rsid w:val="00CE0A5F"/>
    <w:rsid w:val="00CE0E26"/>
    <w:rsid w:val="00CE1F5B"/>
    <w:rsid w:val="00CE2A53"/>
    <w:rsid w:val="00CE2DEB"/>
    <w:rsid w:val="00CE3918"/>
    <w:rsid w:val="00CE4539"/>
    <w:rsid w:val="00CE4670"/>
    <w:rsid w:val="00CE576C"/>
    <w:rsid w:val="00CE6CB2"/>
    <w:rsid w:val="00CE6F94"/>
    <w:rsid w:val="00CE743D"/>
    <w:rsid w:val="00CE770B"/>
    <w:rsid w:val="00CE7ABB"/>
    <w:rsid w:val="00CE7FEE"/>
    <w:rsid w:val="00CF0161"/>
    <w:rsid w:val="00CF01D6"/>
    <w:rsid w:val="00CF1441"/>
    <w:rsid w:val="00CF182C"/>
    <w:rsid w:val="00CF18BD"/>
    <w:rsid w:val="00CF27BD"/>
    <w:rsid w:val="00CF2D67"/>
    <w:rsid w:val="00CF3ABB"/>
    <w:rsid w:val="00CF3BB6"/>
    <w:rsid w:val="00CF523A"/>
    <w:rsid w:val="00CF5964"/>
    <w:rsid w:val="00CF59AC"/>
    <w:rsid w:val="00CF5BDF"/>
    <w:rsid w:val="00CF687E"/>
    <w:rsid w:val="00CF7030"/>
    <w:rsid w:val="00CF715B"/>
    <w:rsid w:val="00CF73B0"/>
    <w:rsid w:val="00CF7D46"/>
    <w:rsid w:val="00D00597"/>
    <w:rsid w:val="00D00C2F"/>
    <w:rsid w:val="00D01386"/>
    <w:rsid w:val="00D017C1"/>
    <w:rsid w:val="00D01DC1"/>
    <w:rsid w:val="00D0286B"/>
    <w:rsid w:val="00D033BD"/>
    <w:rsid w:val="00D0388B"/>
    <w:rsid w:val="00D04100"/>
    <w:rsid w:val="00D049D5"/>
    <w:rsid w:val="00D04A76"/>
    <w:rsid w:val="00D05138"/>
    <w:rsid w:val="00D0518F"/>
    <w:rsid w:val="00D06517"/>
    <w:rsid w:val="00D06796"/>
    <w:rsid w:val="00D0747C"/>
    <w:rsid w:val="00D0785E"/>
    <w:rsid w:val="00D07DCD"/>
    <w:rsid w:val="00D10737"/>
    <w:rsid w:val="00D10D4C"/>
    <w:rsid w:val="00D1124A"/>
    <w:rsid w:val="00D1158C"/>
    <w:rsid w:val="00D118C9"/>
    <w:rsid w:val="00D11A08"/>
    <w:rsid w:val="00D11D13"/>
    <w:rsid w:val="00D128EC"/>
    <w:rsid w:val="00D12CCF"/>
    <w:rsid w:val="00D12F5E"/>
    <w:rsid w:val="00D130C1"/>
    <w:rsid w:val="00D13E26"/>
    <w:rsid w:val="00D14C6F"/>
    <w:rsid w:val="00D1596F"/>
    <w:rsid w:val="00D16094"/>
    <w:rsid w:val="00D16702"/>
    <w:rsid w:val="00D17563"/>
    <w:rsid w:val="00D1781A"/>
    <w:rsid w:val="00D178BF"/>
    <w:rsid w:val="00D17A78"/>
    <w:rsid w:val="00D17E50"/>
    <w:rsid w:val="00D202FE"/>
    <w:rsid w:val="00D2233A"/>
    <w:rsid w:val="00D2239B"/>
    <w:rsid w:val="00D2286C"/>
    <w:rsid w:val="00D22AED"/>
    <w:rsid w:val="00D23264"/>
    <w:rsid w:val="00D23FF0"/>
    <w:rsid w:val="00D241B1"/>
    <w:rsid w:val="00D24A30"/>
    <w:rsid w:val="00D2581A"/>
    <w:rsid w:val="00D25AB8"/>
    <w:rsid w:val="00D262EE"/>
    <w:rsid w:val="00D276B2"/>
    <w:rsid w:val="00D27885"/>
    <w:rsid w:val="00D278CD"/>
    <w:rsid w:val="00D27E3C"/>
    <w:rsid w:val="00D27FD9"/>
    <w:rsid w:val="00D3071C"/>
    <w:rsid w:val="00D30F4F"/>
    <w:rsid w:val="00D317B3"/>
    <w:rsid w:val="00D3247E"/>
    <w:rsid w:val="00D32993"/>
    <w:rsid w:val="00D32B2B"/>
    <w:rsid w:val="00D32B81"/>
    <w:rsid w:val="00D33119"/>
    <w:rsid w:val="00D33620"/>
    <w:rsid w:val="00D33AFD"/>
    <w:rsid w:val="00D33B8F"/>
    <w:rsid w:val="00D342D6"/>
    <w:rsid w:val="00D3472B"/>
    <w:rsid w:val="00D34CB1"/>
    <w:rsid w:val="00D34E4F"/>
    <w:rsid w:val="00D35A42"/>
    <w:rsid w:val="00D35D20"/>
    <w:rsid w:val="00D35ECB"/>
    <w:rsid w:val="00D361C0"/>
    <w:rsid w:val="00D36D67"/>
    <w:rsid w:val="00D36E13"/>
    <w:rsid w:val="00D3722B"/>
    <w:rsid w:val="00D376E2"/>
    <w:rsid w:val="00D378FE"/>
    <w:rsid w:val="00D37FC1"/>
    <w:rsid w:val="00D40BAA"/>
    <w:rsid w:val="00D41AE0"/>
    <w:rsid w:val="00D424A3"/>
    <w:rsid w:val="00D42B29"/>
    <w:rsid w:val="00D4389C"/>
    <w:rsid w:val="00D43FCF"/>
    <w:rsid w:val="00D4461F"/>
    <w:rsid w:val="00D45025"/>
    <w:rsid w:val="00D4546C"/>
    <w:rsid w:val="00D456BE"/>
    <w:rsid w:val="00D4580F"/>
    <w:rsid w:val="00D45A5D"/>
    <w:rsid w:val="00D4650C"/>
    <w:rsid w:val="00D475CD"/>
    <w:rsid w:val="00D47892"/>
    <w:rsid w:val="00D50A08"/>
    <w:rsid w:val="00D50AD0"/>
    <w:rsid w:val="00D51851"/>
    <w:rsid w:val="00D52642"/>
    <w:rsid w:val="00D5369E"/>
    <w:rsid w:val="00D53A77"/>
    <w:rsid w:val="00D53DBF"/>
    <w:rsid w:val="00D541DA"/>
    <w:rsid w:val="00D546BC"/>
    <w:rsid w:val="00D54752"/>
    <w:rsid w:val="00D54A32"/>
    <w:rsid w:val="00D55B19"/>
    <w:rsid w:val="00D561B2"/>
    <w:rsid w:val="00D56651"/>
    <w:rsid w:val="00D56719"/>
    <w:rsid w:val="00D56FBE"/>
    <w:rsid w:val="00D575B5"/>
    <w:rsid w:val="00D57BC2"/>
    <w:rsid w:val="00D57E25"/>
    <w:rsid w:val="00D601B7"/>
    <w:rsid w:val="00D6059D"/>
    <w:rsid w:val="00D6075C"/>
    <w:rsid w:val="00D61255"/>
    <w:rsid w:val="00D615EA"/>
    <w:rsid w:val="00D61F4B"/>
    <w:rsid w:val="00D621E9"/>
    <w:rsid w:val="00D62239"/>
    <w:rsid w:val="00D6229B"/>
    <w:rsid w:val="00D62FC6"/>
    <w:rsid w:val="00D63721"/>
    <w:rsid w:val="00D63C1D"/>
    <w:rsid w:val="00D63FBE"/>
    <w:rsid w:val="00D6448F"/>
    <w:rsid w:val="00D64560"/>
    <w:rsid w:val="00D6567E"/>
    <w:rsid w:val="00D66791"/>
    <w:rsid w:val="00D66C76"/>
    <w:rsid w:val="00D67A8E"/>
    <w:rsid w:val="00D67A90"/>
    <w:rsid w:val="00D67B52"/>
    <w:rsid w:val="00D67D2E"/>
    <w:rsid w:val="00D70F4C"/>
    <w:rsid w:val="00D714BE"/>
    <w:rsid w:val="00D7177E"/>
    <w:rsid w:val="00D71A30"/>
    <w:rsid w:val="00D71D1A"/>
    <w:rsid w:val="00D71FBF"/>
    <w:rsid w:val="00D7211A"/>
    <w:rsid w:val="00D72CD8"/>
    <w:rsid w:val="00D72D11"/>
    <w:rsid w:val="00D73E14"/>
    <w:rsid w:val="00D75FE0"/>
    <w:rsid w:val="00D768CB"/>
    <w:rsid w:val="00D76A6C"/>
    <w:rsid w:val="00D80E3B"/>
    <w:rsid w:val="00D810AF"/>
    <w:rsid w:val="00D81A5D"/>
    <w:rsid w:val="00D82F8B"/>
    <w:rsid w:val="00D83124"/>
    <w:rsid w:val="00D831F5"/>
    <w:rsid w:val="00D83272"/>
    <w:rsid w:val="00D83482"/>
    <w:rsid w:val="00D83D13"/>
    <w:rsid w:val="00D83F78"/>
    <w:rsid w:val="00D84A9D"/>
    <w:rsid w:val="00D8548D"/>
    <w:rsid w:val="00D856F2"/>
    <w:rsid w:val="00D85834"/>
    <w:rsid w:val="00D8614B"/>
    <w:rsid w:val="00D86DA8"/>
    <w:rsid w:val="00D87DF3"/>
    <w:rsid w:val="00D9041B"/>
    <w:rsid w:val="00D905B9"/>
    <w:rsid w:val="00D905D2"/>
    <w:rsid w:val="00D90A7F"/>
    <w:rsid w:val="00D90BA9"/>
    <w:rsid w:val="00D90D48"/>
    <w:rsid w:val="00D90E63"/>
    <w:rsid w:val="00D9139E"/>
    <w:rsid w:val="00D9166A"/>
    <w:rsid w:val="00D91BE4"/>
    <w:rsid w:val="00D91E66"/>
    <w:rsid w:val="00D92075"/>
    <w:rsid w:val="00D93908"/>
    <w:rsid w:val="00D939CC"/>
    <w:rsid w:val="00D93CB9"/>
    <w:rsid w:val="00D947FE"/>
    <w:rsid w:val="00D94BB3"/>
    <w:rsid w:val="00D94F46"/>
    <w:rsid w:val="00D95392"/>
    <w:rsid w:val="00D9568D"/>
    <w:rsid w:val="00D9693C"/>
    <w:rsid w:val="00D96F3C"/>
    <w:rsid w:val="00DA0B32"/>
    <w:rsid w:val="00DA0DEE"/>
    <w:rsid w:val="00DA1B78"/>
    <w:rsid w:val="00DA1FC2"/>
    <w:rsid w:val="00DA207C"/>
    <w:rsid w:val="00DA252A"/>
    <w:rsid w:val="00DA25AD"/>
    <w:rsid w:val="00DA358B"/>
    <w:rsid w:val="00DA361B"/>
    <w:rsid w:val="00DA39D7"/>
    <w:rsid w:val="00DA3FD8"/>
    <w:rsid w:val="00DA43F4"/>
    <w:rsid w:val="00DA5A19"/>
    <w:rsid w:val="00DA5C8C"/>
    <w:rsid w:val="00DA5D70"/>
    <w:rsid w:val="00DA6449"/>
    <w:rsid w:val="00DA6D07"/>
    <w:rsid w:val="00DA6EC4"/>
    <w:rsid w:val="00DB06F6"/>
    <w:rsid w:val="00DB09F0"/>
    <w:rsid w:val="00DB0C83"/>
    <w:rsid w:val="00DB1593"/>
    <w:rsid w:val="00DB1ADE"/>
    <w:rsid w:val="00DB1ECF"/>
    <w:rsid w:val="00DB207F"/>
    <w:rsid w:val="00DB2B1B"/>
    <w:rsid w:val="00DB2B8E"/>
    <w:rsid w:val="00DB32D5"/>
    <w:rsid w:val="00DB3E6A"/>
    <w:rsid w:val="00DB3EFC"/>
    <w:rsid w:val="00DB407E"/>
    <w:rsid w:val="00DB47DA"/>
    <w:rsid w:val="00DB4822"/>
    <w:rsid w:val="00DB4A13"/>
    <w:rsid w:val="00DB57B8"/>
    <w:rsid w:val="00DB5EC5"/>
    <w:rsid w:val="00DB60C0"/>
    <w:rsid w:val="00DB62A1"/>
    <w:rsid w:val="00DB6666"/>
    <w:rsid w:val="00DB6993"/>
    <w:rsid w:val="00DB7A63"/>
    <w:rsid w:val="00DC0415"/>
    <w:rsid w:val="00DC072D"/>
    <w:rsid w:val="00DC0ACC"/>
    <w:rsid w:val="00DC0FD2"/>
    <w:rsid w:val="00DC10F6"/>
    <w:rsid w:val="00DC16B8"/>
    <w:rsid w:val="00DC17AD"/>
    <w:rsid w:val="00DC1DBF"/>
    <w:rsid w:val="00DC20AC"/>
    <w:rsid w:val="00DC2EFC"/>
    <w:rsid w:val="00DC3B65"/>
    <w:rsid w:val="00DC42B4"/>
    <w:rsid w:val="00DC7303"/>
    <w:rsid w:val="00DC768A"/>
    <w:rsid w:val="00DC7B37"/>
    <w:rsid w:val="00DC7EF1"/>
    <w:rsid w:val="00DD11A3"/>
    <w:rsid w:val="00DD17A1"/>
    <w:rsid w:val="00DD186A"/>
    <w:rsid w:val="00DD1D4E"/>
    <w:rsid w:val="00DD204B"/>
    <w:rsid w:val="00DD226C"/>
    <w:rsid w:val="00DD27BF"/>
    <w:rsid w:val="00DD289D"/>
    <w:rsid w:val="00DD2927"/>
    <w:rsid w:val="00DD2A83"/>
    <w:rsid w:val="00DD4633"/>
    <w:rsid w:val="00DD4B84"/>
    <w:rsid w:val="00DD51B1"/>
    <w:rsid w:val="00DD5694"/>
    <w:rsid w:val="00DD5C1B"/>
    <w:rsid w:val="00DD5CB4"/>
    <w:rsid w:val="00DD5F8D"/>
    <w:rsid w:val="00DD72B5"/>
    <w:rsid w:val="00DD7850"/>
    <w:rsid w:val="00DD7CAB"/>
    <w:rsid w:val="00DE0189"/>
    <w:rsid w:val="00DE0467"/>
    <w:rsid w:val="00DE0922"/>
    <w:rsid w:val="00DE1101"/>
    <w:rsid w:val="00DE1A1C"/>
    <w:rsid w:val="00DE1FA4"/>
    <w:rsid w:val="00DE25D2"/>
    <w:rsid w:val="00DE2B5A"/>
    <w:rsid w:val="00DE31D2"/>
    <w:rsid w:val="00DE3269"/>
    <w:rsid w:val="00DE345E"/>
    <w:rsid w:val="00DE3B9A"/>
    <w:rsid w:val="00DE436A"/>
    <w:rsid w:val="00DE4767"/>
    <w:rsid w:val="00DE4F6D"/>
    <w:rsid w:val="00DE57AB"/>
    <w:rsid w:val="00DE5B39"/>
    <w:rsid w:val="00DE608F"/>
    <w:rsid w:val="00DE686B"/>
    <w:rsid w:val="00DE6AA3"/>
    <w:rsid w:val="00DE70CE"/>
    <w:rsid w:val="00DE780F"/>
    <w:rsid w:val="00DE79FF"/>
    <w:rsid w:val="00DE7FB4"/>
    <w:rsid w:val="00DF0CAB"/>
    <w:rsid w:val="00DF0D1C"/>
    <w:rsid w:val="00DF0E19"/>
    <w:rsid w:val="00DF0E92"/>
    <w:rsid w:val="00DF100D"/>
    <w:rsid w:val="00DF115E"/>
    <w:rsid w:val="00DF131E"/>
    <w:rsid w:val="00DF156D"/>
    <w:rsid w:val="00DF193B"/>
    <w:rsid w:val="00DF19B9"/>
    <w:rsid w:val="00DF2AFA"/>
    <w:rsid w:val="00DF3238"/>
    <w:rsid w:val="00DF3E7C"/>
    <w:rsid w:val="00DF4946"/>
    <w:rsid w:val="00DF5DF4"/>
    <w:rsid w:val="00DF6237"/>
    <w:rsid w:val="00DF633D"/>
    <w:rsid w:val="00DF651B"/>
    <w:rsid w:val="00DF7962"/>
    <w:rsid w:val="00DF7DCD"/>
    <w:rsid w:val="00E00B30"/>
    <w:rsid w:val="00E00F90"/>
    <w:rsid w:val="00E0101F"/>
    <w:rsid w:val="00E01BC9"/>
    <w:rsid w:val="00E02009"/>
    <w:rsid w:val="00E021E2"/>
    <w:rsid w:val="00E021F5"/>
    <w:rsid w:val="00E03181"/>
    <w:rsid w:val="00E037A3"/>
    <w:rsid w:val="00E04283"/>
    <w:rsid w:val="00E043B6"/>
    <w:rsid w:val="00E0444E"/>
    <w:rsid w:val="00E04E27"/>
    <w:rsid w:val="00E04EE2"/>
    <w:rsid w:val="00E059F3"/>
    <w:rsid w:val="00E06033"/>
    <w:rsid w:val="00E065D8"/>
    <w:rsid w:val="00E06A8E"/>
    <w:rsid w:val="00E06AD5"/>
    <w:rsid w:val="00E06CF1"/>
    <w:rsid w:val="00E071EC"/>
    <w:rsid w:val="00E0741B"/>
    <w:rsid w:val="00E077FA"/>
    <w:rsid w:val="00E07894"/>
    <w:rsid w:val="00E07989"/>
    <w:rsid w:val="00E079DC"/>
    <w:rsid w:val="00E07D22"/>
    <w:rsid w:val="00E100EE"/>
    <w:rsid w:val="00E1015E"/>
    <w:rsid w:val="00E102D4"/>
    <w:rsid w:val="00E11312"/>
    <w:rsid w:val="00E119DE"/>
    <w:rsid w:val="00E11B67"/>
    <w:rsid w:val="00E11CF5"/>
    <w:rsid w:val="00E11DAA"/>
    <w:rsid w:val="00E12D5F"/>
    <w:rsid w:val="00E131C6"/>
    <w:rsid w:val="00E132F1"/>
    <w:rsid w:val="00E13360"/>
    <w:rsid w:val="00E133D5"/>
    <w:rsid w:val="00E13622"/>
    <w:rsid w:val="00E1374E"/>
    <w:rsid w:val="00E142ED"/>
    <w:rsid w:val="00E144D0"/>
    <w:rsid w:val="00E14744"/>
    <w:rsid w:val="00E14F17"/>
    <w:rsid w:val="00E15111"/>
    <w:rsid w:val="00E152D3"/>
    <w:rsid w:val="00E15C5D"/>
    <w:rsid w:val="00E168DC"/>
    <w:rsid w:val="00E16D60"/>
    <w:rsid w:val="00E16D93"/>
    <w:rsid w:val="00E214C7"/>
    <w:rsid w:val="00E21DF3"/>
    <w:rsid w:val="00E22154"/>
    <w:rsid w:val="00E222E4"/>
    <w:rsid w:val="00E23283"/>
    <w:rsid w:val="00E24522"/>
    <w:rsid w:val="00E24625"/>
    <w:rsid w:val="00E2497B"/>
    <w:rsid w:val="00E24B14"/>
    <w:rsid w:val="00E24CDB"/>
    <w:rsid w:val="00E2556D"/>
    <w:rsid w:val="00E25B37"/>
    <w:rsid w:val="00E2618A"/>
    <w:rsid w:val="00E26885"/>
    <w:rsid w:val="00E26EC0"/>
    <w:rsid w:val="00E26F1D"/>
    <w:rsid w:val="00E2706C"/>
    <w:rsid w:val="00E27EC5"/>
    <w:rsid w:val="00E27F4B"/>
    <w:rsid w:val="00E30972"/>
    <w:rsid w:val="00E30A11"/>
    <w:rsid w:val="00E30A94"/>
    <w:rsid w:val="00E30AE9"/>
    <w:rsid w:val="00E30B53"/>
    <w:rsid w:val="00E325A4"/>
    <w:rsid w:val="00E32B6E"/>
    <w:rsid w:val="00E33117"/>
    <w:rsid w:val="00E339D4"/>
    <w:rsid w:val="00E33C72"/>
    <w:rsid w:val="00E34C27"/>
    <w:rsid w:val="00E35725"/>
    <w:rsid w:val="00E358E3"/>
    <w:rsid w:val="00E35B58"/>
    <w:rsid w:val="00E36084"/>
    <w:rsid w:val="00E360E8"/>
    <w:rsid w:val="00E3732F"/>
    <w:rsid w:val="00E37CC1"/>
    <w:rsid w:val="00E37FC5"/>
    <w:rsid w:val="00E40344"/>
    <w:rsid w:val="00E40B2E"/>
    <w:rsid w:val="00E417C0"/>
    <w:rsid w:val="00E417CE"/>
    <w:rsid w:val="00E417D0"/>
    <w:rsid w:val="00E41A73"/>
    <w:rsid w:val="00E41B77"/>
    <w:rsid w:val="00E41E31"/>
    <w:rsid w:val="00E42E4B"/>
    <w:rsid w:val="00E436A2"/>
    <w:rsid w:val="00E439E1"/>
    <w:rsid w:val="00E4411B"/>
    <w:rsid w:val="00E443B1"/>
    <w:rsid w:val="00E449B4"/>
    <w:rsid w:val="00E45608"/>
    <w:rsid w:val="00E45B76"/>
    <w:rsid w:val="00E45B96"/>
    <w:rsid w:val="00E461E0"/>
    <w:rsid w:val="00E46295"/>
    <w:rsid w:val="00E46A8B"/>
    <w:rsid w:val="00E46C03"/>
    <w:rsid w:val="00E5081E"/>
    <w:rsid w:val="00E5197E"/>
    <w:rsid w:val="00E51B56"/>
    <w:rsid w:val="00E51B6B"/>
    <w:rsid w:val="00E51C35"/>
    <w:rsid w:val="00E52317"/>
    <w:rsid w:val="00E52738"/>
    <w:rsid w:val="00E52CCC"/>
    <w:rsid w:val="00E53CB6"/>
    <w:rsid w:val="00E545F2"/>
    <w:rsid w:val="00E54659"/>
    <w:rsid w:val="00E55608"/>
    <w:rsid w:val="00E55610"/>
    <w:rsid w:val="00E5663F"/>
    <w:rsid w:val="00E56885"/>
    <w:rsid w:val="00E56C24"/>
    <w:rsid w:val="00E5725D"/>
    <w:rsid w:val="00E57949"/>
    <w:rsid w:val="00E605E3"/>
    <w:rsid w:val="00E606C6"/>
    <w:rsid w:val="00E6089E"/>
    <w:rsid w:val="00E60DBC"/>
    <w:rsid w:val="00E6101C"/>
    <w:rsid w:val="00E614B7"/>
    <w:rsid w:val="00E61A54"/>
    <w:rsid w:val="00E62B33"/>
    <w:rsid w:val="00E62F3B"/>
    <w:rsid w:val="00E63307"/>
    <w:rsid w:val="00E63B98"/>
    <w:rsid w:val="00E63EE4"/>
    <w:rsid w:val="00E642E9"/>
    <w:rsid w:val="00E64BBD"/>
    <w:rsid w:val="00E64CBB"/>
    <w:rsid w:val="00E64EE3"/>
    <w:rsid w:val="00E65263"/>
    <w:rsid w:val="00E654F9"/>
    <w:rsid w:val="00E655D0"/>
    <w:rsid w:val="00E65604"/>
    <w:rsid w:val="00E65B96"/>
    <w:rsid w:val="00E65E3A"/>
    <w:rsid w:val="00E66048"/>
    <w:rsid w:val="00E66958"/>
    <w:rsid w:val="00E676A6"/>
    <w:rsid w:val="00E67D4D"/>
    <w:rsid w:val="00E67FBD"/>
    <w:rsid w:val="00E70769"/>
    <w:rsid w:val="00E709B8"/>
    <w:rsid w:val="00E70D1B"/>
    <w:rsid w:val="00E71EA8"/>
    <w:rsid w:val="00E721A8"/>
    <w:rsid w:val="00E724B2"/>
    <w:rsid w:val="00E728D4"/>
    <w:rsid w:val="00E73424"/>
    <w:rsid w:val="00E73521"/>
    <w:rsid w:val="00E73AD6"/>
    <w:rsid w:val="00E74B8F"/>
    <w:rsid w:val="00E753EF"/>
    <w:rsid w:val="00E75780"/>
    <w:rsid w:val="00E75850"/>
    <w:rsid w:val="00E75A51"/>
    <w:rsid w:val="00E75E31"/>
    <w:rsid w:val="00E75EFC"/>
    <w:rsid w:val="00E76168"/>
    <w:rsid w:val="00E767EE"/>
    <w:rsid w:val="00E8017F"/>
    <w:rsid w:val="00E80191"/>
    <w:rsid w:val="00E8096A"/>
    <w:rsid w:val="00E80A19"/>
    <w:rsid w:val="00E80EA8"/>
    <w:rsid w:val="00E818DE"/>
    <w:rsid w:val="00E81B54"/>
    <w:rsid w:val="00E828A5"/>
    <w:rsid w:val="00E830BA"/>
    <w:rsid w:val="00E83FEC"/>
    <w:rsid w:val="00E8426D"/>
    <w:rsid w:val="00E85379"/>
    <w:rsid w:val="00E85ADF"/>
    <w:rsid w:val="00E87E2B"/>
    <w:rsid w:val="00E90140"/>
    <w:rsid w:val="00E90524"/>
    <w:rsid w:val="00E90D0F"/>
    <w:rsid w:val="00E90EF8"/>
    <w:rsid w:val="00E91641"/>
    <w:rsid w:val="00E916E6"/>
    <w:rsid w:val="00E91AF6"/>
    <w:rsid w:val="00E91C3C"/>
    <w:rsid w:val="00E91CF0"/>
    <w:rsid w:val="00E91E00"/>
    <w:rsid w:val="00E91FB6"/>
    <w:rsid w:val="00E922FA"/>
    <w:rsid w:val="00E92D58"/>
    <w:rsid w:val="00E93140"/>
    <w:rsid w:val="00E933DE"/>
    <w:rsid w:val="00E940BC"/>
    <w:rsid w:val="00E941EA"/>
    <w:rsid w:val="00E95069"/>
    <w:rsid w:val="00E95702"/>
    <w:rsid w:val="00E96496"/>
    <w:rsid w:val="00E970F4"/>
    <w:rsid w:val="00E97599"/>
    <w:rsid w:val="00E97D96"/>
    <w:rsid w:val="00E97F79"/>
    <w:rsid w:val="00EA00F2"/>
    <w:rsid w:val="00EA07A6"/>
    <w:rsid w:val="00EA0BFA"/>
    <w:rsid w:val="00EA10F0"/>
    <w:rsid w:val="00EA115E"/>
    <w:rsid w:val="00EA128B"/>
    <w:rsid w:val="00EA20A7"/>
    <w:rsid w:val="00EA2B2E"/>
    <w:rsid w:val="00EA2EFE"/>
    <w:rsid w:val="00EA304C"/>
    <w:rsid w:val="00EA32CA"/>
    <w:rsid w:val="00EA4424"/>
    <w:rsid w:val="00EA4D2E"/>
    <w:rsid w:val="00EA54BB"/>
    <w:rsid w:val="00EA5997"/>
    <w:rsid w:val="00EA5B76"/>
    <w:rsid w:val="00EA691C"/>
    <w:rsid w:val="00EA7546"/>
    <w:rsid w:val="00EA7BD1"/>
    <w:rsid w:val="00EB0CB9"/>
    <w:rsid w:val="00EB11EB"/>
    <w:rsid w:val="00EB19BC"/>
    <w:rsid w:val="00EB19CE"/>
    <w:rsid w:val="00EB2628"/>
    <w:rsid w:val="00EB3B65"/>
    <w:rsid w:val="00EB4729"/>
    <w:rsid w:val="00EB5668"/>
    <w:rsid w:val="00EB5CD7"/>
    <w:rsid w:val="00EB6095"/>
    <w:rsid w:val="00EB70C8"/>
    <w:rsid w:val="00EB7DC1"/>
    <w:rsid w:val="00EB7FEC"/>
    <w:rsid w:val="00EC1009"/>
    <w:rsid w:val="00EC1E98"/>
    <w:rsid w:val="00EC24C6"/>
    <w:rsid w:val="00EC37E4"/>
    <w:rsid w:val="00EC3D94"/>
    <w:rsid w:val="00EC42D8"/>
    <w:rsid w:val="00EC42E8"/>
    <w:rsid w:val="00EC485E"/>
    <w:rsid w:val="00EC4C05"/>
    <w:rsid w:val="00EC4DAB"/>
    <w:rsid w:val="00EC4E55"/>
    <w:rsid w:val="00EC5978"/>
    <w:rsid w:val="00EC59E4"/>
    <w:rsid w:val="00EC6184"/>
    <w:rsid w:val="00EC6C08"/>
    <w:rsid w:val="00EC7037"/>
    <w:rsid w:val="00EC7050"/>
    <w:rsid w:val="00ED01C0"/>
    <w:rsid w:val="00ED0A54"/>
    <w:rsid w:val="00ED139B"/>
    <w:rsid w:val="00ED1478"/>
    <w:rsid w:val="00ED1518"/>
    <w:rsid w:val="00ED1601"/>
    <w:rsid w:val="00ED25AD"/>
    <w:rsid w:val="00ED32ED"/>
    <w:rsid w:val="00ED3724"/>
    <w:rsid w:val="00ED4A3E"/>
    <w:rsid w:val="00ED4AAE"/>
    <w:rsid w:val="00ED4EC7"/>
    <w:rsid w:val="00ED5103"/>
    <w:rsid w:val="00ED6BE9"/>
    <w:rsid w:val="00ED6F8D"/>
    <w:rsid w:val="00ED74B7"/>
    <w:rsid w:val="00ED7708"/>
    <w:rsid w:val="00ED7774"/>
    <w:rsid w:val="00ED7E4E"/>
    <w:rsid w:val="00EE0407"/>
    <w:rsid w:val="00EE0ACE"/>
    <w:rsid w:val="00EE0DA2"/>
    <w:rsid w:val="00EE0E31"/>
    <w:rsid w:val="00EE1A3C"/>
    <w:rsid w:val="00EE248A"/>
    <w:rsid w:val="00EE257A"/>
    <w:rsid w:val="00EE269C"/>
    <w:rsid w:val="00EE3979"/>
    <w:rsid w:val="00EE3A13"/>
    <w:rsid w:val="00EE3AC1"/>
    <w:rsid w:val="00EE42EB"/>
    <w:rsid w:val="00EE454C"/>
    <w:rsid w:val="00EE482D"/>
    <w:rsid w:val="00EE48AA"/>
    <w:rsid w:val="00EE4DD6"/>
    <w:rsid w:val="00EE59C9"/>
    <w:rsid w:val="00EE6704"/>
    <w:rsid w:val="00EE6B5C"/>
    <w:rsid w:val="00EE7685"/>
    <w:rsid w:val="00EE7B4B"/>
    <w:rsid w:val="00EF06D8"/>
    <w:rsid w:val="00EF1814"/>
    <w:rsid w:val="00EF1F3E"/>
    <w:rsid w:val="00EF2183"/>
    <w:rsid w:val="00EF2501"/>
    <w:rsid w:val="00EF278F"/>
    <w:rsid w:val="00EF372D"/>
    <w:rsid w:val="00EF4223"/>
    <w:rsid w:val="00EF4898"/>
    <w:rsid w:val="00EF5E7E"/>
    <w:rsid w:val="00EF6880"/>
    <w:rsid w:val="00EF72ED"/>
    <w:rsid w:val="00EF73ED"/>
    <w:rsid w:val="00EF79D6"/>
    <w:rsid w:val="00EF7A19"/>
    <w:rsid w:val="00F00263"/>
    <w:rsid w:val="00F010AE"/>
    <w:rsid w:val="00F014E3"/>
    <w:rsid w:val="00F019F0"/>
    <w:rsid w:val="00F027AB"/>
    <w:rsid w:val="00F03D45"/>
    <w:rsid w:val="00F0416C"/>
    <w:rsid w:val="00F046EF"/>
    <w:rsid w:val="00F04E9F"/>
    <w:rsid w:val="00F064C8"/>
    <w:rsid w:val="00F06C26"/>
    <w:rsid w:val="00F06ECB"/>
    <w:rsid w:val="00F07540"/>
    <w:rsid w:val="00F078BC"/>
    <w:rsid w:val="00F078C9"/>
    <w:rsid w:val="00F07BED"/>
    <w:rsid w:val="00F07EB8"/>
    <w:rsid w:val="00F11903"/>
    <w:rsid w:val="00F119BA"/>
    <w:rsid w:val="00F124B8"/>
    <w:rsid w:val="00F1284C"/>
    <w:rsid w:val="00F12D07"/>
    <w:rsid w:val="00F12D23"/>
    <w:rsid w:val="00F131F5"/>
    <w:rsid w:val="00F14032"/>
    <w:rsid w:val="00F14717"/>
    <w:rsid w:val="00F14D97"/>
    <w:rsid w:val="00F15056"/>
    <w:rsid w:val="00F1514B"/>
    <w:rsid w:val="00F15529"/>
    <w:rsid w:val="00F15662"/>
    <w:rsid w:val="00F15756"/>
    <w:rsid w:val="00F16161"/>
    <w:rsid w:val="00F161C5"/>
    <w:rsid w:val="00F16455"/>
    <w:rsid w:val="00F16AE6"/>
    <w:rsid w:val="00F16CA0"/>
    <w:rsid w:val="00F16D1B"/>
    <w:rsid w:val="00F17525"/>
    <w:rsid w:val="00F17C96"/>
    <w:rsid w:val="00F201DC"/>
    <w:rsid w:val="00F20676"/>
    <w:rsid w:val="00F2080D"/>
    <w:rsid w:val="00F20994"/>
    <w:rsid w:val="00F20C91"/>
    <w:rsid w:val="00F218F8"/>
    <w:rsid w:val="00F21C23"/>
    <w:rsid w:val="00F227D5"/>
    <w:rsid w:val="00F22FC7"/>
    <w:rsid w:val="00F2307B"/>
    <w:rsid w:val="00F23D3E"/>
    <w:rsid w:val="00F24505"/>
    <w:rsid w:val="00F247AB"/>
    <w:rsid w:val="00F251CA"/>
    <w:rsid w:val="00F2577D"/>
    <w:rsid w:val="00F26054"/>
    <w:rsid w:val="00F2674A"/>
    <w:rsid w:val="00F26B80"/>
    <w:rsid w:val="00F2795E"/>
    <w:rsid w:val="00F30097"/>
    <w:rsid w:val="00F304FB"/>
    <w:rsid w:val="00F30E1F"/>
    <w:rsid w:val="00F31A7F"/>
    <w:rsid w:val="00F3262F"/>
    <w:rsid w:val="00F328DF"/>
    <w:rsid w:val="00F32909"/>
    <w:rsid w:val="00F32D1B"/>
    <w:rsid w:val="00F3395D"/>
    <w:rsid w:val="00F33D7C"/>
    <w:rsid w:val="00F33E8B"/>
    <w:rsid w:val="00F3506F"/>
    <w:rsid w:val="00F3584C"/>
    <w:rsid w:val="00F360FA"/>
    <w:rsid w:val="00F368E0"/>
    <w:rsid w:val="00F36933"/>
    <w:rsid w:val="00F3743B"/>
    <w:rsid w:val="00F37AB2"/>
    <w:rsid w:val="00F40218"/>
    <w:rsid w:val="00F41A2D"/>
    <w:rsid w:val="00F41B58"/>
    <w:rsid w:val="00F41ECB"/>
    <w:rsid w:val="00F42947"/>
    <w:rsid w:val="00F43EDE"/>
    <w:rsid w:val="00F44ABE"/>
    <w:rsid w:val="00F44ECE"/>
    <w:rsid w:val="00F44F36"/>
    <w:rsid w:val="00F44F6C"/>
    <w:rsid w:val="00F45079"/>
    <w:rsid w:val="00F457B8"/>
    <w:rsid w:val="00F45C6B"/>
    <w:rsid w:val="00F46924"/>
    <w:rsid w:val="00F4703C"/>
    <w:rsid w:val="00F4769B"/>
    <w:rsid w:val="00F47760"/>
    <w:rsid w:val="00F4797A"/>
    <w:rsid w:val="00F47E0B"/>
    <w:rsid w:val="00F47E8F"/>
    <w:rsid w:val="00F506A0"/>
    <w:rsid w:val="00F506C4"/>
    <w:rsid w:val="00F50ACD"/>
    <w:rsid w:val="00F515E9"/>
    <w:rsid w:val="00F51694"/>
    <w:rsid w:val="00F51BAE"/>
    <w:rsid w:val="00F52AF7"/>
    <w:rsid w:val="00F52B8F"/>
    <w:rsid w:val="00F52BC7"/>
    <w:rsid w:val="00F53353"/>
    <w:rsid w:val="00F53C2E"/>
    <w:rsid w:val="00F53E2F"/>
    <w:rsid w:val="00F542E7"/>
    <w:rsid w:val="00F54D1A"/>
    <w:rsid w:val="00F54D50"/>
    <w:rsid w:val="00F55BC8"/>
    <w:rsid w:val="00F56180"/>
    <w:rsid w:val="00F56C5E"/>
    <w:rsid w:val="00F574DC"/>
    <w:rsid w:val="00F57570"/>
    <w:rsid w:val="00F57783"/>
    <w:rsid w:val="00F578D2"/>
    <w:rsid w:val="00F57BCC"/>
    <w:rsid w:val="00F60303"/>
    <w:rsid w:val="00F6146C"/>
    <w:rsid w:val="00F61ECF"/>
    <w:rsid w:val="00F61FFD"/>
    <w:rsid w:val="00F62027"/>
    <w:rsid w:val="00F63C62"/>
    <w:rsid w:val="00F63F4E"/>
    <w:rsid w:val="00F6486A"/>
    <w:rsid w:val="00F65EC8"/>
    <w:rsid w:val="00F66839"/>
    <w:rsid w:val="00F669A4"/>
    <w:rsid w:val="00F66A7E"/>
    <w:rsid w:val="00F66E1B"/>
    <w:rsid w:val="00F7043F"/>
    <w:rsid w:val="00F70CFB"/>
    <w:rsid w:val="00F70E86"/>
    <w:rsid w:val="00F70F15"/>
    <w:rsid w:val="00F71017"/>
    <w:rsid w:val="00F71D8F"/>
    <w:rsid w:val="00F73192"/>
    <w:rsid w:val="00F7401D"/>
    <w:rsid w:val="00F75D4E"/>
    <w:rsid w:val="00F7760A"/>
    <w:rsid w:val="00F77861"/>
    <w:rsid w:val="00F80659"/>
    <w:rsid w:val="00F8085A"/>
    <w:rsid w:val="00F8089A"/>
    <w:rsid w:val="00F8165A"/>
    <w:rsid w:val="00F823DE"/>
    <w:rsid w:val="00F8285C"/>
    <w:rsid w:val="00F82AE3"/>
    <w:rsid w:val="00F83B21"/>
    <w:rsid w:val="00F83E11"/>
    <w:rsid w:val="00F83EAB"/>
    <w:rsid w:val="00F84410"/>
    <w:rsid w:val="00F84DB6"/>
    <w:rsid w:val="00F85DD6"/>
    <w:rsid w:val="00F862DA"/>
    <w:rsid w:val="00F86357"/>
    <w:rsid w:val="00F86C18"/>
    <w:rsid w:val="00F86D3B"/>
    <w:rsid w:val="00F870FB"/>
    <w:rsid w:val="00F87BF7"/>
    <w:rsid w:val="00F9051E"/>
    <w:rsid w:val="00F9114E"/>
    <w:rsid w:val="00F92AD8"/>
    <w:rsid w:val="00F92CE4"/>
    <w:rsid w:val="00F9372E"/>
    <w:rsid w:val="00F93893"/>
    <w:rsid w:val="00F93B6E"/>
    <w:rsid w:val="00F94581"/>
    <w:rsid w:val="00F94A05"/>
    <w:rsid w:val="00F95257"/>
    <w:rsid w:val="00F952FE"/>
    <w:rsid w:val="00F9551D"/>
    <w:rsid w:val="00F95818"/>
    <w:rsid w:val="00F9583D"/>
    <w:rsid w:val="00F965A3"/>
    <w:rsid w:val="00F9660B"/>
    <w:rsid w:val="00F97748"/>
    <w:rsid w:val="00F97D04"/>
    <w:rsid w:val="00F97EC9"/>
    <w:rsid w:val="00FA018B"/>
    <w:rsid w:val="00FA033D"/>
    <w:rsid w:val="00FA0479"/>
    <w:rsid w:val="00FA0815"/>
    <w:rsid w:val="00FA12E4"/>
    <w:rsid w:val="00FA14F4"/>
    <w:rsid w:val="00FA197F"/>
    <w:rsid w:val="00FA26BB"/>
    <w:rsid w:val="00FA2B5B"/>
    <w:rsid w:val="00FA2D8D"/>
    <w:rsid w:val="00FA388E"/>
    <w:rsid w:val="00FA4176"/>
    <w:rsid w:val="00FA475E"/>
    <w:rsid w:val="00FA4B5E"/>
    <w:rsid w:val="00FA5479"/>
    <w:rsid w:val="00FA5D50"/>
    <w:rsid w:val="00FA60FA"/>
    <w:rsid w:val="00FA6524"/>
    <w:rsid w:val="00FA7424"/>
    <w:rsid w:val="00FA7864"/>
    <w:rsid w:val="00FA7A31"/>
    <w:rsid w:val="00FB050E"/>
    <w:rsid w:val="00FB121E"/>
    <w:rsid w:val="00FB1948"/>
    <w:rsid w:val="00FB1A10"/>
    <w:rsid w:val="00FB1B62"/>
    <w:rsid w:val="00FB1E72"/>
    <w:rsid w:val="00FB1FAD"/>
    <w:rsid w:val="00FB2A39"/>
    <w:rsid w:val="00FB2F09"/>
    <w:rsid w:val="00FB313D"/>
    <w:rsid w:val="00FB376E"/>
    <w:rsid w:val="00FB3CEA"/>
    <w:rsid w:val="00FB42EF"/>
    <w:rsid w:val="00FB445D"/>
    <w:rsid w:val="00FB4811"/>
    <w:rsid w:val="00FB4F2D"/>
    <w:rsid w:val="00FB58E2"/>
    <w:rsid w:val="00FB5D41"/>
    <w:rsid w:val="00FB61B6"/>
    <w:rsid w:val="00FB71B4"/>
    <w:rsid w:val="00FB79EE"/>
    <w:rsid w:val="00FB7BFD"/>
    <w:rsid w:val="00FB7C26"/>
    <w:rsid w:val="00FB7DE0"/>
    <w:rsid w:val="00FB7F5F"/>
    <w:rsid w:val="00FC03A9"/>
    <w:rsid w:val="00FC05AF"/>
    <w:rsid w:val="00FC0917"/>
    <w:rsid w:val="00FC0B2C"/>
    <w:rsid w:val="00FC0D5E"/>
    <w:rsid w:val="00FC1361"/>
    <w:rsid w:val="00FC1400"/>
    <w:rsid w:val="00FC179B"/>
    <w:rsid w:val="00FC1862"/>
    <w:rsid w:val="00FC2370"/>
    <w:rsid w:val="00FC26A4"/>
    <w:rsid w:val="00FC3827"/>
    <w:rsid w:val="00FC3A67"/>
    <w:rsid w:val="00FC3B36"/>
    <w:rsid w:val="00FC49FC"/>
    <w:rsid w:val="00FC4E8D"/>
    <w:rsid w:val="00FC52D9"/>
    <w:rsid w:val="00FC555C"/>
    <w:rsid w:val="00FC5CAD"/>
    <w:rsid w:val="00FC5E2D"/>
    <w:rsid w:val="00FC6A20"/>
    <w:rsid w:val="00FC7139"/>
    <w:rsid w:val="00FC7918"/>
    <w:rsid w:val="00FC7C3C"/>
    <w:rsid w:val="00FC7E35"/>
    <w:rsid w:val="00FD079E"/>
    <w:rsid w:val="00FD0897"/>
    <w:rsid w:val="00FD08E5"/>
    <w:rsid w:val="00FD0BB6"/>
    <w:rsid w:val="00FD0EEE"/>
    <w:rsid w:val="00FD16C9"/>
    <w:rsid w:val="00FD1CEA"/>
    <w:rsid w:val="00FD1E5A"/>
    <w:rsid w:val="00FD2944"/>
    <w:rsid w:val="00FD2EE4"/>
    <w:rsid w:val="00FD3147"/>
    <w:rsid w:val="00FD31C5"/>
    <w:rsid w:val="00FD3D0F"/>
    <w:rsid w:val="00FD3E35"/>
    <w:rsid w:val="00FD4D77"/>
    <w:rsid w:val="00FD591C"/>
    <w:rsid w:val="00FD5AC4"/>
    <w:rsid w:val="00FD652A"/>
    <w:rsid w:val="00FD672C"/>
    <w:rsid w:val="00FD73FA"/>
    <w:rsid w:val="00FE01DA"/>
    <w:rsid w:val="00FE01F3"/>
    <w:rsid w:val="00FE0857"/>
    <w:rsid w:val="00FE0A9C"/>
    <w:rsid w:val="00FE0C3A"/>
    <w:rsid w:val="00FE134F"/>
    <w:rsid w:val="00FE1546"/>
    <w:rsid w:val="00FE1862"/>
    <w:rsid w:val="00FE1E0A"/>
    <w:rsid w:val="00FE2814"/>
    <w:rsid w:val="00FE28B8"/>
    <w:rsid w:val="00FE3794"/>
    <w:rsid w:val="00FE37E3"/>
    <w:rsid w:val="00FE3AE6"/>
    <w:rsid w:val="00FE4E2E"/>
    <w:rsid w:val="00FE524C"/>
    <w:rsid w:val="00FE5457"/>
    <w:rsid w:val="00FE559F"/>
    <w:rsid w:val="00FE6751"/>
    <w:rsid w:val="00FE67C9"/>
    <w:rsid w:val="00FE6BD4"/>
    <w:rsid w:val="00FE74DB"/>
    <w:rsid w:val="00FE74F3"/>
    <w:rsid w:val="00FE774E"/>
    <w:rsid w:val="00FE7CA6"/>
    <w:rsid w:val="00FF03C5"/>
    <w:rsid w:val="00FF0C91"/>
    <w:rsid w:val="00FF2C92"/>
    <w:rsid w:val="00FF32F3"/>
    <w:rsid w:val="00FF3C1C"/>
    <w:rsid w:val="00FF3EBB"/>
    <w:rsid w:val="00FF4340"/>
    <w:rsid w:val="00FF452A"/>
    <w:rsid w:val="00FF5981"/>
    <w:rsid w:val="00FF60BD"/>
    <w:rsid w:val="00FF614C"/>
    <w:rsid w:val="00FF61DE"/>
    <w:rsid w:val="00FF6524"/>
    <w:rsid w:val="00FF6871"/>
    <w:rsid w:val="00FF6DB2"/>
    <w:rsid w:val="00FF772B"/>
    <w:rsid w:val="00FF781F"/>
    <w:rsid w:val="00FF7C75"/>
    <w:rsid w:val="00FF7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4B0697-E0BD-478F-98D4-B93E2233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1983"/>
    <w:rPr>
      <w:color w:val="0000FF"/>
      <w:u w:val="single"/>
    </w:rPr>
  </w:style>
  <w:style w:type="character" w:styleId="FollowedHyperlink">
    <w:name w:val="FollowedHyperlink"/>
    <w:rsid w:val="00857BD0"/>
    <w:rPr>
      <w:color w:val="800080"/>
      <w:u w:val="single"/>
    </w:rPr>
  </w:style>
  <w:style w:type="table" w:styleId="TableGrid">
    <w:name w:val="Table Grid"/>
    <w:basedOn w:val="TableNormal"/>
    <w:uiPriority w:val="59"/>
    <w:rsid w:val="00E02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A33F2"/>
    <w:pPr>
      <w:tabs>
        <w:tab w:val="center" w:pos="4153"/>
        <w:tab w:val="right" w:pos="8306"/>
      </w:tabs>
    </w:pPr>
  </w:style>
  <w:style w:type="character" w:styleId="PageNumber">
    <w:name w:val="page number"/>
    <w:basedOn w:val="DefaultParagraphFont"/>
    <w:rsid w:val="005A33F2"/>
  </w:style>
  <w:style w:type="paragraph" w:styleId="Header">
    <w:name w:val="header"/>
    <w:basedOn w:val="Normal"/>
    <w:rsid w:val="006348B4"/>
    <w:pPr>
      <w:tabs>
        <w:tab w:val="center" w:pos="4153"/>
        <w:tab w:val="right" w:pos="8306"/>
      </w:tabs>
    </w:p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34"/>
    <w:qFormat/>
    <w:rsid w:val="00E85379"/>
    <w:pPr>
      <w:ind w:left="720"/>
      <w:contextualSpacing/>
    </w:pPr>
  </w:style>
  <w:style w:type="paragraph" w:styleId="BalloonText">
    <w:name w:val="Balloon Text"/>
    <w:basedOn w:val="Normal"/>
    <w:link w:val="BalloonTextChar"/>
    <w:uiPriority w:val="99"/>
    <w:semiHidden/>
    <w:unhideWhenUsed/>
    <w:rsid w:val="00DC42B4"/>
    <w:rPr>
      <w:rFonts w:ascii="Tahoma" w:hAnsi="Tahoma" w:cs="Tahoma"/>
      <w:sz w:val="16"/>
      <w:szCs w:val="16"/>
    </w:rPr>
  </w:style>
  <w:style w:type="character" w:customStyle="1" w:styleId="BalloonTextChar">
    <w:name w:val="Balloon Text Char"/>
    <w:basedOn w:val="DefaultParagraphFont"/>
    <w:link w:val="BalloonText"/>
    <w:uiPriority w:val="99"/>
    <w:semiHidden/>
    <w:rsid w:val="00DC42B4"/>
    <w:rPr>
      <w:rFonts w:ascii="Tahoma" w:hAnsi="Tahoma" w:cs="Tahoma"/>
      <w:sz w:val="16"/>
      <w:szCs w:val="16"/>
    </w:rPr>
  </w:style>
  <w:style w:type="table" w:customStyle="1" w:styleId="TableGrid1">
    <w:name w:val="Table Grid1"/>
    <w:basedOn w:val="TableNormal"/>
    <w:next w:val="TableGrid"/>
    <w:rsid w:val="00F83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80344"/>
    <w:rPr>
      <w:rFonts w:ascii="Arial" w:hAnsi="Arial"/>
    </w:rPr>
  </w:style>
  <w:style w:type="paragraph" w:customStyle="1" w:styleId="Char1CharChar">
    <w:name w:val="Char1 Char Char"/>
    <w:basedOn w:val="Normal"/>
    <w:rsid w:val="00535162"/>
    <w:pPr>
      <w:keepLines/>
      <w:spacing w:after="160" w:line="240" w:lineRule="exact"/>
      <w:ind w:left="2977"/>
    </w:pPr>
    <w:rPr>
      <w:rFonts w:ascii="Tahoma" w:hAnsi="Tahoma"/>
      <w:szCs w:val="24"/>
      <w:lang w:val="en-US" w:eastAsia="en-US"/>
    </w:r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link w:val="ListParagraph"/>
    <w:uiPriority w:val="34"/>
    <w:qFormat/>
    <w:rsid w:val="009D16B4"/>
    <w:rPr>
      <w:rFonts w:ascii="Arial" w:hAnsi="Arial"/>
    </w:rPr>
  </w:style>
  <w:style w:type="character" w:customStyle="1" w:styleId="fontstyle01">
    <w:name w:val="fontstyle01"/>
    <w:basedOn w:val="DefaultParagraphFont"/>
    <w:rsid w:val="00816ECB"/>
    <w:rPr>
      <w:rFonts w:ascii="ArialMT" w:hAnsi="ArialMT" w:hint="default"/>
      <w:b w:val="0"/>
      <w:bCs w:val="0"/>
      <w:i w:val="0"/>
      <w:iCs w:val="0"/>
      <w:color w:val="000000"/>
      <w:sz w:val="24"/>
      <w:szCs w:val="24"/>
    </w:rPr>
  </w:style>
  <w:style w:type="character" w:customStyle="1" w:styleId="fontstyle21">
    <w:name w:val="fontstyle21"/>
    <w:basedOn w:val="DefaultParagraphFont"/>
    <w:rsid w:val="00575874"/>
    <w:rPr>
      <w:rFonts w:ascii="Arial-BoldMT" w:hAnsi="Arial-BoldMT" w:hint="default"/>
      <w:b/>
      <w:bCs/>
      <w:i w:val="0"/>
      <w:iCs w:val="0"/>
      <w:color w:val="000000"/>
      <w:sz w:val="24"/>
      <w:szCs w:val="24"/>
    </w:rPr>
  </w:style>
  <w:style w:type="character" w:customStyle="1" w:styleId="fontstyle31">
    <w:name w:val="fontstyle31"/>
    <w:basedOn w:val="DefaultParagraphFont"/>
    <w:rsid w:val="00575874"/>
    <w:rPr>
      <w:rFonts w:ascii="ArialMT" w:hAnsi="ArialMT" w:hint="default"/>
      <w:b w:val="0"/>
      <w:bCs w:val="0"/>
      <w:i w:val="0"/>
      <w:iCs w:val="0"/>
      <w:color w:val="000000"/>
      <w:sz w:val="24"/>
      <w:szCs w:val="24"/>
    </w:rPr>
  </w:style>
  <w:style w:type="paragraph" w:customStyle="1" w:styleId="Char1CharChar0">
    <w:name w:val="Char1 Char Char"/>
    <w:basedOn w:val="Normal"/>
    <w:rsid w:val="0030579B"/>
    <w:pPr>
      <w:keepLines/>
      <w:spacing w:after="160" w:line="240" w:lineRule="exact"/>
      <w:ind w:left="2977"/>
    </w:pPr>
    <w:rPr>
      <w:rFonts w:ascii="Tahoma" w:hAnsi="Tahoma"/>
      <w:szCs w:val="24"/>
      <w:lang w:val="en-US" w:eastAsia="en-US"/>
    </w:rPr>
  </w:style>
  <w:style w:type="paragraph" w:customStyle="1" w:styleId="Char1CharChar1">
    <w:name w:val="Char1 Char Char"/>
    <w:basedOn w:val="Normal"/>
    <w:rsid w:val="00E06A8E"/>
    <w:pPr>
      <w:keepLines/>
      <w:spacing w:after="160" w:line="240" w:lineRule="exact"/>
      <w:ind w:left="2977"/>
    </w:pPr>
    <w:rPr>
      <w:rFonts w:ascii="Tahoma" w:hAnsi="Tahoma"/>
      <w:szCs w:val="24"/>
      <w:lang w:val="en-US" w:eastAsia="en-US"/>
    </w:rPr>
  </w:style>
  <w:style w:type="paragraph" w:customStyle="1" w:styleId="Char1CharChar2">
    <w:name w:val="Char1 Char Char"/>
    <w:basedOn w:val="Normal"/>
    <w:rsid w:val="007D2263"/>
    <w:pPr>
      <w:keepLines/>
      <w:spacing w:after="160" w:line="240" w:lineRule="exact"/>
      <w:ind w:left="2977"/>
    </w:pPr>
    <w:rPr>
      <w:rFonts w:ascii="Tahoma" w:hAnsi="Tahoma"/>
      <w:szCs w:val="24"/>
      <w:lang w:val="en-US" w:eastAsia="en-US"/>
    </w:rPr>
  </w:style>
  <w:style w:type="paragraph" w:customStyle="1" w:styleId="Char1CharChar3">
    <w:name w:val="Char1 Char Char"/>
    <w:basedOn w:val="Normal"/>
    <w:rsid w:val="00B31749"/>
    <w:pPr>
      <w:keepLines/>
      <w:spacing w:after="160" w:line="240" w:lineRule="exact"/>
      <w:ind w:left="2977"/>
    </w:pPr>
    <w:rPr>
      <w:rFonts w:ascii="Tahoma" w:hAnsi="Tahoma"/>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1160">
      <w:bodyDiv w:val="1"/>
      <w:marLeft w:val="0"/>
      <w:marRight w:val="0"/>
      <w:marTop w:val="0"/>
      <w:marBottom w:val="0"/>
      <w:divBdr>
        <w:top w:val="none" w:sz="0" w:space="0" w:color="auto"/>
        <w:left w:val="none" w:sz="0" w:space="0" w:color="auto"/>
        <w:bottom w:val="none" w:sz="0" w:space="0" w:color="auto"/>
        <w:right w:val="none" w:sz="0" w:space="0" w:color="auto"/>
      </w:divBdr>
    </w:div>
    <w:div w:id="339508097">
      <w:bodyDiv w:val="1"/>
      <w:marLeft w:val="0"/>
      <w:marRight w:val="0"/>
      <w:marTop w:val="0"/>
      <w:marBottom w:val="0"/>
      <w:divBdr>
        <w:top w:val="none" w:sz="0" w:space="0" w:color="auto"/>
        <w:left w:val="none" w:sz="0" w:space="0" w:color="auto"/>
        <w:bottom w:val="none" w:sz="0" w:space="0" w:color="auto"/>
        <w:right w:val="none" w:sz="0" w:space="0" w:color="auto"/>
      </w:divBdr>
    </w:div>
    <w:div w:id="535116884">
      <w:bodyDiv w:val="1"/>
      <w:marLeft w:val="0"/>
      <w:marRight w:val="0"/>
      <w:marTop w:val="0"/>
      <w:marBottom w:val="0"/>
      <w:divBdr>
        <w:top w:val="none" w:sz="0" w:space="0" w:color="auto"/>
        <w:left w:val="none" w:sz="0" w:space="0" w:color="auto"/>
        <w:bottom w:val="none" w:sz="0" w:space="0" w:color="auto"/>
        <w:right w:val="none" w:sz="0" w:space="0" w:color="auto"/>
      </w:divBdr>
    </w:div>
    <w:div w:id="618031487">
      <w:bodyDiv w:val="1"/>
      <w:marLeft w:val="0"/>
      <w:marRight w:val="0"/>
      <w:marTop w:val="0"/>
      <w:marBottom w:val="0"/>
      <w:divBdr>
        <w:top w:val="none" w:sz="0" w:space="0" w:color="auto"/>
        <w:left w:val="none" w:sz="0" w:space="0" w:color="auto"/>
        <w:bottom w:val="none" w:sz="0" w:space="0" w:color="auto"/>
        <w:right w:val="none" w:sz="0" w:space="0" w:color="auto"/>
      </w:divBdr>
    </w:div>
    <w:div w:id="618072925">
      <w:bodyDiv w:val="1"/>
      <w:marLeft w:val="0"/>
      <w:marRight w:val="0"/>
      <w:marTop w:val="0"/>
      <w:marBottom w:val="0"/>
      <w:divBdr>
        <w:top w:val="none" w:sz="0" w:space="0" w:color="auto"/>
        <w:left w:val="none" w:sz="0" w:space="0" w:color="auto"/>
        <w:bottom w:val="none" w:sz="0" w:space="0" w:color="auto"/>
        <w:right w:val="none" w:sz="0" w:space="0" w:color="auto"/>
      </w:divBdr>
    </w:div>
    <w:div w:id="932978929">
      <w:bodyDiv w:val="1"/>
      <w:marLeft w:val="0"/>
      <w:marRight w:val="0"/>
      <w:marTop w:val="0"/>
      <w:marBottom w:val="0"/>
      <w:divBdr>
        <w:top w:val="none" w:sz="0" w:space="0" w:color="auto"/>
        <w:left w:val="none" w:sz="0" w:space="0" w:color="auto"/>
        <w:bottom w:val="none" w:sz="0" w:space="0" w:color="auto"/>
        <w:right w:val="none" w:sz="0" w:space="0" w:color="auto"/>
      </w:divBdr>
    </w:div>
    <w:div w:id="1067219185">
      <w:bodyDiv w:val="1"/>
      <w:marLeft w:val="0"/>
      <w:marRight w:val="0"/>
      <w:marTop w:val="0"/>
      <w:marBottom w:val="0"/>
      <w:divBdr>
        <w:top w:val="none" w:sz="0" w:space="0" w:color="auto"/>
        <w:left w:val="none" w:sz="0" w:space="0" w:color="auto"/>
        <w:bottom w:val="none" w:sz="0" w:space="0" w:color="auto"/>
        <w:right w:val="none" w:sz="0" w:space="0" w:color="auto"/>
      </w:divBdr>
    </w:div>
    <w:div w:id="1245604794">
      <w:bodyDiv w:val="1"/>
      <w:marLeft w:val="0"/>
      <w:marRight w:val="0"/>
      <w:marTop w:val="0"/>
      <w:marBottom w:val="0"/>
      <w:divBdr>
        <w:top w:val="none" w:sz="0" w:space="0" w:color="auto"/>
        <w:left w:val="none" w:sz="0" w:space="0" w:color="auto"/>
        <w:bottom w:val="none" w:sz="0" w:space="0" w:color="auto"/>
        <w:right w:val="none" w:sz="0" w:space="0" w:color="auto"/>
      </w:divBdr>
    </w:div>
    <w:div w:id="1385836201">
      <w:bodyDiv w:val="1"/>
      <w:marLeft w:val="0"/>
      <w:marRight w:val="0"/>
      <w:marTop w:val="0"/>
      <w:marBottom w:val="0"/>
      <w:divBdr>
        <w:top w:val="none" w:sz="0" w:space="0" w:color="auto"/>
        <w:left w:val="none" w:sz="0" w:space="0" w:color="auto"/>
        <w:bottom w:val="none" w:sz="0" w:space="0" w:color="auto"/>
        <w:right w:val="none" w:sz="0" w:space="0" w:color="auto"/>
      </w:divBdr>
    </w:div>
    <w:div w:id="1445886446">
      <w:bodyDiv w:val="1"/>
      <w:marLeft w:val="0"/>
      <w:marRight w:val="0"/>
      <w:marTop w:val="0"/>
      <w:marBottom w:val="0"/>
      <w:divBdr>
        <w:top w:val="none" w:sz="0" w:space="0" w:color="auto"/>
        <w:left w:val="none" w:sz="0" w:space="0" w:color="auto"/>
        <w:bottom w:val="none" w:sz="0" w:space="0" w:color="auto"/>
        <w:right w:val="none" w:sz="0" w:space="0" w:color="auto"/>
      </w:divBdr>
    </w:div>
    <w:div w:id="1553423806">
      <w:bodyDiv w:val="1"/>
      <w:marLeft w:val="0"/>
      <w:marRight w:val="0"/>
      <w:marTop w:val="0"/>
      <w:marBottom w:val="0"/>
      <w:divBdr>
        <w:top w:val="none" w:sz="0" w:space="0" w:color="auto"/>
        <w:left w:val="none" w:sz="0" w:space="0" w:color="auto"/>
        <w:bottom w:val="none" w:sz="0" w:space="0" w:color="auto"/>
        <w:right w:val="none" w:sz="0" w:space="0" w:color="auto"/>
      </w:divBdr>
    </w:div>
    <w:div w:id="1557745052">
      <w:bodyDiv w:val="1"/>
      <w:marLeft w:val="0"/>
      <w:marRight w:val="0"/>
      <w:marTop w:val="0"/>
      <w:marBottom w:val="0"/>
      <w:divBdr>
        <w:top w:val="none" w:sz="0" w:space="0" w:color="auto"/>
        <w:left w:val="none" w:sz="0" w:space="0" w:color="auto"/>
        <w:bottom w:val="none" w:sz="0" w:space="0" w:color="auto"/>
        <w:right w:val="none" w:sz="0" w:space="0" w:color="auto"/>
      </w:divBdr>
    </w:div>
    <w:div w:id="190448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so.bradford.gov.uk/content/latest-news-and-updates-from-school-funding-team" TargetMode="External"/><Relationship Id="rId18" Type="http://schemas.openxmlformats.org/officeDocument/2006/relationships/hyperlink" Target="https://bso.bradford.gov.uk/content/send-documentation"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bradford.moderngov.co.uk/ieListMeetings.aspx?CId=160&amp;Year=0" TargetMode="External"/><Relationship Id="rId7" Type="http://schemas.openxmlformats.org/officeDocument/2006/relationships/endnotes" Target="endnotes.xml"/><Relationship Id="rId12" Type="http://schemas.openxmlformats.org/officeDocument/2006/relationships/hyperlink" Target="https://online1.snapsurveys.com/ka9dfi" TargetMode="External"/><Relationship Id="rId17" Type="http://schemas.openxmlformats.org/officeDocument/2006/relationships/hyperlink" Target="https://bso.bradford.gov.uk/content/send-documentation" TargetMode="Externa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s://bso.bradford.gov.uk/secure/content/high-needs-funding-statements" TargetMode="External"/><Relationship Id="rId20" Type="http://schemas.openxmlformats.org/officeDocument/2006/relationships/hyperlink" Target="https://online1.snapsurveys.com/ka9df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wn.haigh@bradford.gov.uk" TargetMode="External"/><Relationship Id="rId24" Type="http://schemas.openxmlformats.org/officeDocument/2006/relationships/hyperlink" Target="https://bso.bradford.gov.uk/content/send-documentation" TargetMode="External"/><Relationship Id="rId5" Type="http://schemas.openxmlformats.org/officeDocument/2006/relationships/webSettings" Target="webSettings.xml"/><Relationship Id="rId15" Type="http://schemas.openxmlformats.org/officeDocument/2006/relationships/hyperlink" Target="https://bso.bradford.gov.uk/secure/content/high-needs-funding-statements" TargetMode="External"/><Relationship Id="rId23" Type="http://schemas.openxmlformats.org/officeDocument/2006/relationships/footer" Target="footer2.xml"/><Relationship Id="rId28" Type="http://schemas.openxmlformats.org/officeDocument/2006/relationships/hyperlink" Target="mailto:dawn.haigh@bradford.gov.uk" TargetMode="External"/><Relationship Id="rId10" Type="http://schemas.openxmlformats.org/officeDocument/2006/relationships/hyperlink" Target="https://www.gov.uk/government/consultations/send-review-right-support-right-place-right-time" TargetMode="External"/><Relationship Id="rId19" Type="http://schemas.openxmlformats.org/officeDocument/2006/relationships/hyperlink" Target="https://www.gov.uk/government/publications/pre-16-schools-funding-local-authority-guidance-for-2023-to-2024/the-notional-sen-budget-for-mainstream-schools-operational-guidance" TargetMode="External"/><Relationship Id="rId4" Type="http://schemas.openxmlformats.org/officeDocument/2006/relationships/settings" Target="settings.xml"/><Relationship Id="rId9" Type="http://schemas.openxmlformats.org/officeDocument/2006/relationships/image" Target="cid:image003.jpg@01D2DACB.7DFC7900" TargetMode="External"/><Relationship Id="rId14" Type="http://schemas.openxmlformats.org/officeDocument/2006/relationships/hyperlink" Target="https://bso.bradford.gov.uk/Secure/CMSPage.aspx?mid=1904" TargetMode="External"/><Relationship Id="rId22" Type="http://schemas.openxmlformats.org/officeDocument/2006/relationships/footer" Target="footer1.xml"/><Relationship Id="rId27" Type="http://schemas.openxmlformats.org/officeDocument/2006/relationships/hyperlink" Target="https://online1.snapsurveys.com/ka9dfi"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41E7B-2C5D-4E4C-8EC6-655F834B2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3717</TotalTime>
  <Pages>45</Pages>
  <Words>19792</Words>
  <Characters>112820</Characters>
  <Application>Microsoft Office Word</Application>
  <DocSecurity>0</DocSecurity>
  <Lines>940</Lines>
  <Paragraphs>264</Paragraphs>
  <ScaleCrop>false</ScaleCrop>
  <HeadingPairs>
    <vt:vector size="2" baseType="variant">
      <vt:variant>
        <vt:lpstr>Title</vt:lpstr>
      </vt:variant>
      <vt:variant>
        <vt:i4>1</vt:i4>
      </vt:variant>
    </vt:vector>
  </HeadingPairs>
  <TitlesOfParts>
    <vt:vector size="1" baseType="lpstr">
      <vt:lpstr>High Needs</vt:lpstr>
    </vt:vector>
  </TitlesOfParts>
  <Company>Serco-EB</Company>
  <LinksUpToDate>false</LinksUpToDate>
  <CharactersWithSpaces>132348</CharactersWithSpaces>
  <SharedDoc>false</SharedDoc>
  <HLinks>
    <vt:vector size="18" baseType="variant">
      <vt:variant>
        <vt:i4>2752528</vt:i4>
      </vt:variant>
      <vt:variant>
        <vt:i4>6</vt:i4>
      </vt:variant>
      <vt:variant>
        <vt:i4>0</vt:i4>
      </vt:variant>
      <vt:variant>
        <vt:i4>5</vt:i4>
      </vt:variant>
      <vt:variant>
        <vt:lpwstr>mailto:andrew.redding@bradford.gov.uk?subject=CONSULTATION%20RESPONSE%20FORM</vt:lpwstr>
      </vt:variant>
      <vt:variant>
        <vt:lpwstr/>
      </vt:variant>
      <vt:variant>
        <vt:i4>5636219</vt:i4>
      </vt:variant>
      <vt:variant>
        <vt:i4>3</vt:i4>
      </vt:variant>
      <vt:variant>
        <vt:i4>0</vt:i4>
      </vt:variant>
      <vt:variant>
        <vt:i4>5</vt:i4>
      </vt:variant>
      <vt:variant>
        <vt:lpwstr>mailto:sarah.north@bradford.gov.uk?subject=CONSULTATION%20RESPONSE%20FORM</vt:lpwstr>
      </vt:variant>
      <vt:variant>
        <vt:lpwstr/>
      </vt:variant>
      <vt:variant>
        <vt:i4>7995457</vt:i4>
      </vt:variant>
      <vt:variant>
        <vt:i4>0</vt:i4>
      </vt:variant>
      <vt:variant>
        <vt:i4>0</vt:i4>
      </vt:variant>
      <vt:variant>
        <vt:i4>5</vt:i4>
      </vt:variant>
      <vt:variant>
        <vt:lpwstr>mailto:andrew.redding@bradford.gov.uk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Needs</dc:title>
  <dc:creator>andrew.redding</dc:creator>
  <cp:lastModifiedBy>Andrew Redding</cp:lastModifiedBy>
  <cp:revision>955</cp:revision>
  <cp:lastPrinted>2014-10-06T11:44:00Z</cp:lastPrinted>
  <dcterms:created xsi:type="dcterms:W3CDTF">2019-11-28T15:34:00Z</dcterms:created>
  <dcterms:modified xsi:type="dcterms:W3CDTF">2022-10-12T13:02:00Z</dcterms:modified>
</cp:coreProperties>
</file>