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23" w:rsidRDefault="000D02D4" w:rsidP="00981B23">
      <w:pPr>
        <w:jc w:val="center"/>
        <w:rPr>
          <w:sz w:val="28"/>
          <w:szCs w:val="28"/>
        </w:rPr>
      </w:pPr>
      <w:r>
        <w:rPr>
          <w:b/>
          <w:sz w:val="28"/>
          <w:szCs w:val="28"/>
          <w:u w:val="single"/>
        </w:rPr>
        <w:t>INFOR</w:t>
      </w:r>
      <w:r w:rsidR="00143BA6">
        <w:rPr>
          <w:b/>
          <w:sz w:val="28"/>
          <w:szCs w:val="28"/>
          <w:u w:val="single"/>
        </w:rPr>
        <w:t>M</w:t>
      </w:r>
      <w:r>
        <w:rPr>
          <w:b/>
          <w:sz w:val="28"/>
          <w:szCs w:val="28"/>
          <w:u w:val="single"/>
        </w:rPr>
        <w:t>A</w:t>
      </w:r>
      <w:r w:rsidR="00143BA6">
        <w:rPr>
          <w:b/>
          <w:sz w:val="28"/>
          <w:szCs w:val="28"/>
          <w:u w:val="single"/>
        </w:rPr>
        <w:t xml:space="preserve">TION AND </w:t>
      </w:r>
      <w:r w:rsidR="00981B23">
        <w:rPr>
          <w:b/>
          <w:sz w:val="28"/>
          <w:szCs w:val="28"/>
          <w:u w:val="single"/>
        </w:rPr>
        <w:t>CONSULTATION ON FUND</w:t>
      </w:r>
      <w:r w:rsidR="00447605">
        <w:rPr>
          <w:b/>
          <w:sz w:val="28"/>
          <w:szCs w:val="28"/>
          <w:u w:val="single"/>
        </w:rPr>
        <w:t>ING HIGH NEEDS PROVISION 2016</w:t>
      </w:r>
      <w:r w:rsidR="007B4706">
        <w:rPr>
          <w:b/>
          <w:sz w:val="28"/>
          <w:szCs w:val="28"/>
          <w:u w:val="single"/>
        </w:rPr>
        <w:t>/1</w:t>
      </w:r>
      <w:r w:rsidR="00447605">
        <w:rPr>
          <w:b/>
          <w:sz w:val="28"/>
          <w:szCs w:val="28"/>
          <w:u w:val="single"/>
        </w:rPr>
        <w:t>7</w:t>
      </w:r>
      <w:r w:rsidR="00143BA6">
        <w:rPr>
          <w:b/>
          <w:sz w:val="28"/>
          <w:szCs w:val="28"/>
          <w:u w:val="single"/>
        </w:rPr>
        <w:t xml:space="preserve"> FINANCIAL YEAR</w:t>
      </w:r>
    </w:p>
    <w:p w:rsidR="004A24A3" w:rsidRDefault="004A24A3" w:rsidP="00225A33">
      <w:pPr>
        <w:jc w:val="both"/>
        <w:rPr>
          <w:sz w:val="22"/>
          <w:szCs w:val="22"/>
        </w:rPr>
      </w:pPr>
    </w:p>
    <w:p w:rsidR="00854869" w:rsidRPr="00924C42" w:rsidRDefault="00854869" w:rsidP="00225A33">
      <w:pPr>
        <w:jc w:val="both"/>
        <w:rPr>
          <w:sz w:val="22"/>
          <w:szCs w:val="22"/>
        </w:rPr>
      </w:pPr>
    </w:p>
    <w:p w:rsidR="00BF65FB" w:rsidRPr="00924C42" w:rsidRDefault="00BF65FB" w:rsidP="00225A33">
      <w:pPr>
        <w:jc w:val="both"/>
        <w:rPr>
          <w:sz w:val="22"/>
          <w:szCs w:val="22"/>
        </w:rPr>
      </w:pPr>
      <w:r w:rsidRPr="00924C42">
        <w:rPr>
          <w:b/>
          <w:sz w:val="22"/>
          <w:szCs w:val="22"/>
        </w:rPr>
        <w:t>1.</w:t>
      </w:r>
      <w:r w:rsidRPr="00924C42">
        <w:rPr>
          <w:b/>
          <w:sz w:val="22"/>
          <w:szCs w:val="22"/>
        </w:rPr>
        <w:tab/>
      </w:r>
      <w:r w:rsidR="00D96F3C" w:rsidRPr="00981B23">
        <w:rPr>
          <w:b/>
          <w:sz w:val="22"/>
          <w:szCs w:val="22"/>
        </w:rPr>
        <w:t>Introduction</w:t>
      </w:r>
    </w:p>
    <w:p w:rsidR="007E476C" w:rsidRDefault="007E476C" w:rsidP="00225A33">
      <w:pPr>
        <w:jc w:val="both"/>
        <w:rPr>
          <w:sz w:val="22"/>
          <w:szCs w:val="22"/>
        </w:rPr>
      </w:pPr>
    </w:p>
    <w:p w:rsidR="007B4706" w:rsidRDefault="003A6060" w:rsidP="0094692E">
      <w:pPr>
        <w:jc w:val="both"/>
        <w:rPr>
          <w:sz w:val="22"/>
          <w:szCs w:val="22"/>
        </w:rPr>
      </w:pPr>
      <w:r>
        <w:rPr>
          <w:sz w:val="22"/>
          <w:szCs w:val="22"/>
        </w:rPr>
        <w:t>1.1</w:t>
      </w:r>
      <w:r w:rsidR="003B1983">
        <w:rPr>
          <w:sz w:val="22"/>
          <w:szCs w:val="22"/>
        </w:rPr>
        <w:t xml:space="preserve"> Significant changes</w:t>
      </w:r>
      <w:r w:rsidR="00001C2A">
        <w:rPr>
          <w:sz w:val="22"/>
          <w:szCs w:val="22"/>
        </w:rPr>
        <w:t xml:space="preserve"> to the way ‘High Needs’ pro</w:t>
      </w:r>
      <w:r w:rsidR="003D14C5">
        <w:rPr>
          <w:sz w:val="22"/>
          <w:szCs w:val="22"/>
        </w:rPr>
        <w:t>vision is funded</w:t>
      </w:r>
      <w:r w:rsidR="007B4706">
        <w:rPr>
          <w:sz w:val="22"/>
          <w:szCs w:val="22"/>
        </w:rPr>
        <w:t xml:space="preserve"> were</w:t>
      </w:r>
      <w:r w:rsidR="003B1983">
        <w:rPr>
          <w:sz w:val="22"/>
          <w:szCs w:val="22"/>
        </w:rPr>
        <w:t xml:space="preserve"> required </w:t>
      </w:r>
      <w:r w:rsidR="00001C2A">
        <w:rPr>
          <w:sz w:val="22"/>
          <w:szCs w:val="22"/>
        </w:rPr>
        <w:t>to be i</w:t>
      </w:r>
      <w:r w:rsidR="00854869">
        <w:rPr>
          <w:sz w:val="22"/>
          <w:szCs w:val="22"/>
        </w:rPr>
        <w:t>mplemented by the D</w:t>
      </w:r>
      <w:r w:rsidR="00E85379">
        <w:rPr>
          <w:sz w:val="22"/>
          <w:szCs w:val="22"/>
        </w:rPr>
        <w:t>epartment for Education (DfE)</w:t>
      </w:r>
      <w:r w:rsidR="007B4706">
        <w:rPr>
          <w:sz w:val="22"/>
          <w:szCs w:val="22"/>
        </w:rPr>
        <w:t xml:space="preserve"> for the 2013/14 financial year</w:t>
      </w:r>
      <w:r w:rsidR="003B1983">
        <w:rPr>
          <w:sz w:val="22"/>
          <w:szCs w:val="22"/>
        </w:rPr>
        <w:t>.</w:t>
      </w:r>
      <w:r w:rsidR="00F61ECF">
        <w:rPr>
          <w:sz w:val="22"/>
          <w:szCs w:val="22"/>
        </w:rPr>
        <w:t xml:space="preserve"> These changes affect</w:t>
      </w:r>
      <w:r w:rsidR="00143BA6">
        <w:rPr>
          <w:sz w:val="22"/>
          <w:szCs w:val="22"/>
        </w:rPr>
        <w:t>ed</w:t>
      </w:r>
      <w:r w:rsidR="007B4706">
        <w:rPr>
          <w:sz w:val="22"/>
          <w:szCs w:val="22"/>
        </w:rPr>
        <w:t xml:space="preserve"> activities funded by the High Needs Block, which is a specific block within the Dedicated Schools Grant (the DSG) that amounts to about 10% of the overall DSG resources available t</w:t>
      </w:r>
      <w:r w:rsidR="00073DE8">
        <w:rPr>
          <w:sz w:val="22"/>
          <w:szCs w:val="22"/>
        </w:rPr>
        <w:t>o the Local Authority</w:t>
      </w:r>
      <w:r w:rsidR="007B4706">
        <w:rPr>
          <w:sz w:val="22"/>
          <w:szCs w:val="22"/>
        </w:rPr>
        <w:t>:</w:t>
      </w:r>
    </w:p>
    <w:p w:rsidR="007B4706" w:rsidRDefault="007B4706" w:rsidP="00C1738E">
      <w:pPr>
        <w:numPr>
          <w:ilvl w:val="0"/>
          <w:numId w:val="1"/>
        </w:numPr>
        <w:jc w:val="both"/>
        <w:rPr>
          <w:sz w:val="22"/>
          <w:szCs w:val="22"/>
        </w:rPr>
      </w:pPr>
      <w:r>
        <w:rPr>
          <w:sz w:val="22"/>
          <w:szCs w:val="22"/>
        </w:rPr>
        <w:t xml:space="preserve">Children with Statements in </w:t>
      </w:r>
      <w:r w:rsidR="00446F5D">
        <w:rPr>
          <w:sz w:val="22"/>
          <w:szCs w:val="22"/>
        </w:rPr>
        <w:t xml:space="preserve">all </w:t>
      </w:r>
      <w:r>
        <w:rPr>
          <w:sz w:val="22"/>
          <w:szCs w:val="22"/>
        </w:rPr>
        <w:t>mainstream settings</w:t>
      </w:r>
    </w:p>
    <w:p w:rsidR="007B4706" w:rsidRDefault="007B4706" w:rsidP="00C1738E">
      <w:pPr>
        <w:numPr>
          <w:ilvl w:val="0"/>
          <w:numId w:val="1"/>
        </w:numPr>
        <w:jc w:val="both"/>
        <w:rPr>
          <w:sz w:val="22"/>
          <w:szCs w:val="22"/>
        </w:rPr>
      </w:pPr>
      <w:r>
        <w:rPr>
          <w:sz w:val="22"/>
          <w:szCs w:val="22"/>
        </w:rPr>
        <w:t>Special Schools</w:t>
      </w:r>
      <w:r w:rsidR="00446F5D">
        <w:rPr>
          <w:sz w:val="22"/>
          <w:szCs w:val="22"/>
        </w:rPr>
        <w:t xml:space="preserve">, </w:t>
      </w:r>
      <w:r w:rsidR="00C50339">
        <w:rPr>
          <w:sz w:val="22"/>
          <w:szCs w:val="22"/>
        </w:rPr>
        <w:t>Academies</w:t>
      </w:r>
      <w:r w:rsidR="00446F5D">
        <w:rPr>
          <w:sz w:val="22"/>
          <w:szCs w:val="22"/>
        </w:rPr>
        <w:t xml:space="preserve"> and Free Schools</w:t>
      </w:r>
    </w:p>
    <w:p w:rsidR="007B4706" w:rsidRDefault="007B4706" w:rsidP="00C1738E">
      <w:pPr>
        <w:numPr>
          <w:ilvl w:val="0"/>
          <w:numId w:val="1"/>
        </w:numPr>
        <w:jc w:val="both"/>
        <w:rPr>
          <w:sz w:val="22"/>
          <w:szCs w:val="22"/>
        </w:rPr>
      </w:pPr>
      <w:r>
        <w:rPr>
          <w:sz w:val="22"/>
          <w:szCs w:val="22"/>
        </w:rPr>
        <w:t>Resourced Unit</w:t>
      </w:r>
      <w:r w:rsidR="00446F5D">
        <w:rPr>
          <w:sz w:val="22"/>
          <w:szCs w:val="22"/>
        </w:rPr>
        <w:t>s attached to mainstream schools,</w:t>
      </w:r>
      <w:r w:rsidR="00C50339">
        <w:rPr>
          <w:sz w:val="22"/>
          <w:szCs w:val="22"/>
        </w:rPr>
        <w:t xml:space="preserve"> academies</w:t>
      </w:r>
      <w:r w:rsidR="00446F5D">
        <w:rPr>
          <w:sz w:val="22"/>
          <w:szCs w:val="22"/>
        </w:rPr>
        <w:t xml:space="preserve"> and Free Schools</w:t>
      </w:r>
    </w:p>
    <w:p w:rsidR="007B4706" w:rsidRDefault="007B4706" w:rsidP="00C1738E">
      <w:pPr>
        <w:numPr>
          <w:ilvl w:val="0"/>
          <w:numId w:val="1"/>
        </w:numPr>
        <w:jc w:val="both"/>
        <w:rPr>
          <w:sz w:val="22"/>
          <w:szCs w:val="22"/>
        </w:rPr>
      </w:pPr>
      <w:r>
        <w:rPr>
          <w:sz w:val="22"/>
          <w:szCs w:val="22"/>
        </w:rPr>
        <w:t>Pupil Referral Units</w:t>
      </w:r>
      <w:r w:rsidR="00D83D13">
        <w:rPr>
          <w:sz w:val="22"/>
          <w:szCs w:val="22"/>
        </w:rPr>
        <w:t xml:space="preserve"> (PRUs)</w:t>
      </w:r>
    </w:p>
    <w:p w:rsidR="007B4706" w:rsidRDefault="007B4706" w:rsidP="00C1738E">
      <w:pPr>
        <w:numPr>
          <w:ilvl w:val="0"/>
          <w:numId w:val="1"/>
        </w:numPr>
        <w:jc w:val="both"/>
        <w:rPr>
          <w:sz w:val="22"/>
          <w:szCs w:val="22"/>
        </w:rPr>
      </w:pPr>
      <w:r>
        <w:rPr>
          <w:sz w:val="22"/>
          <w:szCs w:val="22"/>
        </w:rPr>
        <w:t>Behaviour Centres</w:t>
      </w:r>
    </w:p>
    <w:p w:rsidR="007B4706" w:rsidRDefault="007B4706" w:rsidP="00C1738E">
      <w:pPr>
        <w:numPr>
          <w:ilvl w:val="0"/>
          <w:numId w:val="1"/>
        </w:numPr>
        <w:jc w:val="both"/>
        <w:rPr>
          <w:sz w:val="22"/>
          <w:szCs w:val="22"/>
        </w:rPr>
      </w:pPr>
      <w:r>
        <w:rPr>
          <w:sz w:val="22"/>
          <w:szCs w:val="22"/>
        </w:rPr>
        <w:t>Behaviour &amp; Attendance Collaboratives (the BACS)</w:t>
      </w:r>
    </w:p>
    <w:p w:rsidR="00854869" w:rsidRDefault="00854869" w:rsidP="00C1738E">
      <w:pPr>
        <w:numPr>
          <w:ilvl w:val="0"/>
          <w:numId w:val="1"/>
        </w:numPr>
        <w:jc w:val="both"/>
        <w:rPr>
          <w:sz w:val="22"/>
          <w:szCs w:val="22"/>
        </w:rPr>
      </w:pPr>
      <w:r>
        <w:rPr>
          <w:sz w:val="22"/>
          <w:szCs w:val="22"/>
        </w:rPr>
        <w:t xml:space="preserve">Provision </w:t>
      </w:r>
      <w:r w:rsidR="00BD5DFA">
        <w:rPr>
          <w:sz w:val="22"/>
          <w:szCs w:val="22"/>
        </w:rPr>
        <w:t xml:space="preserve">for students aged </w:t>
      </w:r>
      <w:r>
        <w:rPr>
          <w:sz w:val="22"/>
          <w:szCs w:val="22"/>
        </w:rPr>
        <w:t>post 16</w:t>
      </w:r>
      <w:r w:rsidR="007B4706">
        <w:rPr>
          <w:sz w:val="22"/>
          <w:szCs w:val="22"/>
        </w:rPr>
        <w:t xml:space="preserve"> in Further Education</w:t>
      </w:r>
      <w:r w:rsidR="00D83D13">
        <w:rPr>
          <w:sz w:val="22"/>
          <w:szCs w:val="22"/>
        </w:rPr>
        <w:t xml:space="preserve"> (FE)</w:t>
      </w:r>
      <w:r w:rsidR="007B4706">
        <w:rPr>
          <w:sz w:val="22"/>
          <w:szCs w:val="22"/>
        </w:rPr>
        <w:t xml:space="preserve"> settings</w:t>
      </w:r>
    </w:p>
    <w:p w:rsidR="007B4706" w:rsidRDefault="00854869" w:rsidP="00C1738E">
      <w:pPr>
        <w:numPr>
          <w:ilvl w:val="0"/>
          <w:numId w:val="1"/>
        </w:numPr>
        <w:jc w:val="both"/>
        <w:rPr>
          <w:sz w:val="22"/>
          <w:szCs w:val="22"/>
        </w:rPr>
      </w:pPr>
      <w:r>
        <w:rPr>
          <w:sz w:val="22"/>
          <w:szCs w:val="22"/>
        </w:rPr>
        <w:t>Services for high needs children that are managed centrally by the Local Authority</w:t>
      </w:r>
    </w:p>
    <w:p w:rsidR="007B4706" w:rsidRDefault="007B4706" w:rsidP="00C1738E">
      <w:pPr>
        <w:numPr>
          <w:ilvl w:val="0"/>
          <w:numId w:val="1"/>
        </w:numPr>
        <w:jc w:val="both"/>
        <w:rPr>
          <w:sz w:val="22"/>
          <w:szCs w:val="22"/>
        </w:rPr>
      </w:pPr>
      <w:r>
        <w:rPr>
          <w:sz w:val="22"/>
          <w:szCs w:val="22"/>
        </w:rPr>
        <w:t>Education in Hospital provision</w:t>
      </w:r>
    </w:p>
    <w:p w:rsidR="007B4706" w:rsidRDefault="00854869" w:rsidP="00C1738E">
      <w:pPr>
        <w:numPr>
          <w:ilvl w:val="0"/>
          <w:numId w:val="1"/>
        </w:numPr>
        <w:jc w:val="both"/>
        <w:rPr>
          <w:sz w:val="22"/>
          <w:szCs w:val="22"/>
        </w:rPr>
      </w:pPr>
      <w:r>
        <w:rPr>
          <w:sz w:val="22"/>
          <w:szCs w:val="22"/>
        </w:rPr>
        <w:t>Children placed in out of authority and non-maintained settings</w:t>
      </w:r>
    </w:p>
    <w:p w:rsidR="007B4706" w:rsidRDefault="007B4706" w:rsidP="0094692E">
      <w:pPr>
        <w:jc w:val="both"/>
        <w:rPr>
          <w:sz w:val="22"/>
          <w:szCs w:val="22"/>
        </w:rPr>
      </w:pPr>
    </w:p>
    <w:p w:rsidR="007B4706" w:rsidRDefault="003A6060" w:rsidP="0094692E">
      <w:pPr>
        <w:jc w:val="both"/>
        <w:rPr>
          <w:sz w:val="22"/>
          <w:szCs w:val="22"/>
        </w:rPr>
      </w:pPr>
      <w:r>
        <w:rPr>
          <w:sz w:val="22"/>
          <w:szCs w:val="22"/>
        </w:rPr>
        <w:t>1.2</w:t>
      </w:r>
      <w:r w:rsidR="007B4706">
        <w:rPr>
          <w:sz w:val="22"/>
          <w:szCs w:val="22"/>
        </w:rPr>
        <w:t xml:space="preserve"> </w:t>
      </w:r>
      <w:r w:rsidR="00E27F4B">
        <w:rPr>
          <w:sz w:val="22"/>
          <w:szCs w:val="22"/>
        </w:rPr>
        <w:t>This</w:t>
      </w:r>
      <w:r w:rsidR="007B4706">
        <w:rPr>
          <w:sz w:val="22"/>
          <w:szCs w:val="22"/>
        </w:rPr>
        <w:t xml:space="preserve"> new </w:t>
      </w:r>
      <w:r w:rsidR="00073DE8">
        <w:rPr>
          <w:sz w:val="22"/>
          <w:szCs w:val="22"/>
        </w:rPr>
        <w:t xml:space="preserve">funding </w:t>
      </w:r>
      <w:r w:rsidR="007B4706">
        <w:rPr>
          <w:sz w:val="22"/>
          <w:szCs w:val="22"/>
        </w:rPr>
        <w:t>approach</w:t>
      </w:r>
      <w:r w:rsidR="00073DE8">
        <w:rPr>
          <w:sz w:val="22"/>
          <w:szCs w:val="22"/>
        </w:rPr>
        <w:t xml:space="preserve"> is based on the</w:t>
      </w:r>
      <w:r w:rsidR="007B4706">
        <w:rPr>
          <w:sz w:val="22"/>
          <w:szCs w:val="22"/>
        </w:rPr>
        <w:t xml:space="preserve"> </w:t>
      </w:r>
      <w:r w:rsidR="007B4706" w:rsidRPr="00241900">
        <w:rPr>
          <w:sz w:val="22"/>
          <w:szCs w:val="22"/>
        </w:rPr>
        <w:t xml:space="preserve">financial definition of a </w:t>
      </w:r>
      <w:r w:rsidR="007B4706">
        <w:rPr>
          <w:sz w:val="22"/>
          <w:szCs w:val="22"/>
        </w:rPr>
        <w:t>‘</w:t>
      </w:r>
      <w:r w:rsidR="007B4706" w:rsidRPr="00241900">
        <w:rPr>
          <w:sz w:val="22"/>
          <w:szCs w:val="22"/>
        </w:rPr>
        <w:t>High Needs</w:t>
      </w:r>
      <w:r w:rsidR="00E85379">
        <w:rPr>
          <w:sz w:val="22"/>
          <w:szCs w:val="22"/>
        </w:rPr>
        <w:t>’ student</w:t>
      </w:r>
      <w:r w:rsidR="007B4706">
        <w:rPr>
          <w:sz w:val="22"/>
          <w:szCs w:val="22"/>
        </w:rPr>
        <w:t xml:space="preserve"> being one whose education (incorporating</w:t>
      </w:r>
      <w:r w:rsidR="007B4706" w:rsidRPr="00241900">
        <w:rPr>
          <w:sz w:val="22"/>
          <w:szCs w:val="22"/>
        </w:rPr>
        <w:t xml:space="preserve"> all additional support) costs more than £10,</w:t>
      </w:r>
      <w:r w:rsidR="007B4706">
        <w:rPr>
          <w:sz w:val="22"/>
          <w:szCs w:val="22"/>
        </w:rPr>
        <w:t>000 per annum. This threshold</w:t>
      </w:r>
      <w:r w:rsidR="007B4706" w:rsidRPr="00241900">
        <w:rPr>
          <w:sz w:val="22"/>
          <w:szCs w:val="22"/>
        </w:rPr>
        <w:t xml:space="preserve"> lays the foundation of </w:t>
      </w:r>
      <w:r w:rsidR="007B4706">
        <w:rPr>
          <w:sz w:val="22"/>
          <w:szCs w:val="22"/>
        </w:rPr>
        <w:t>the</w:t>
      </w:r>
      <w:r w:rsidR="00E85379">
        <w:rPr>
          <w:sz w:val="22"/>
          <w:szCs w:val="22"/>
        </w:rPr>
        <w:t xml:space="preserve"> national</w:t>
      </w:r>
      <w:r w:rsidR="007B4706" w:rsidRPr="00241900">
        <w:rPr>
          <w:sz w:val="22"/>
          <w:szCs w:val="22"/>
        </w:rPr>
        <w:t xml:space="preserve"> </w:t>
      </w:r>
      <w:r w:rsidR="007B4706">
        <w:rPr>
          <w:sz w:val="22"/>
          <w:szCs w:val="22"/>
        </w:rPr>
        <w:t>‘Place Plus’ framework and the basis of the definition of the financial responsibility that maintained schools</w:t>
      </w:r>
      <w:r w:rsidR="006B2F3A">
        <w:rPr>
          <w:sz w:val="22"/>
          <w:szCs w:val="22"/>
        </w:rPr>
        <w:t>, academies</w:t>
      </w:r>
      <w:r w:rsidR="007B4706">
        <w:rPr>
          <w:sz w:val="22"/>
          <w:szCs w:val="22"/>
        </w:rPr>
        <w:t xml:space="preserve"> and other settings</w:t>
      </w:r>
      <w:r w:rsidR="00073DE8">
        <w:rPr>
          <w:sz w:val="22"/>
          <w:szCs w:val="22"/>
        </w:rPr>
        <w:t xml:space="preserve"> have for meeting the needs of children</w:t>
      </w:r>
      <w:r w:rsidR="007B4706">
        <w:rPr>
          <w:sz w:val="22"/>
          <w:szCs w:val="22"/>
        </w:rPr>
        <w:t xml:space="preserve"> from their delegated budgets.</w:t>
      </w:r>
      <w:r w:rsidR="00F83EAB">
        <w:rPr>
          <w:sz w:val="22"/>
          <w:szCs w:val="22"/>
        </w:rPr>
        <w:t xml:space="preserve"> </w:t>
      </w:r>
    </w:p>
    <w:p w:rsidR="00FE1862" w:rsidRDefault="00FE1862" w:rsidP="0094692E">
      <w:pPr>
        <w:jc w:val="both"/>
        <w:rPr>
          <w:sz w:val="22"/>
          <w:szCs w:val="22"/>
        </w:rPr>
      </w:pPr>
    </w:p>
    <w:p w:rsidR="00143BA6" w:rsidRDefault="003A6060" w:rsidP="0094692E">
      <w:pPr>
        <w:jc w:val="both"/>
        <w:rPr>
          <w:sz w:val="22"/>
          <w:szCs w:val="22"/>
        </w:rPr>
      </w:pPr>
      <w:r>
        <w:rPr>
          <w:sz w:val="22"/>
          <w:szCs w:val="22"/>
        </w:rPr>
        <w:t>1.3</w:t>
      </w:r>
      <w:r w:rsidR="008D2326">
        <w:rPr>
          <w:sz w:val="22"/>
          <w:szCs w:val="22"/>
        </w:rPr>
        <w:t xml:space="preserve"> </w:t>
      </w:r>
      <w:r w:rsidR="00E85379">
        <w:rPr>
          <w:sz w:val="22"/>
          <w:szCs w:val="22"/>
        </w:rPr>
        <w:t>Bradford Local Authority’s</w:t>
      </w:r>
      <w:r w:rsidR="00143BA6">
        <w:rPr>
          <w:sz w:val="22"/>
          <w:szCs w:val="22"/>
        </w:rPr>
        <w:t xml:space="preserve"> response to these changes</w:t>
      </w:r>
      <w:r w:rsidR="009B5FE8">
        <w:rPr>
          <w:sz w:val="22"/>
          <w:szCs w:val="22"/>
        </w:rPr>
        <w:t xml:space="preserve"> has been</w:t>
      </w:r>
      <w:r w:rsidR="00143BA6">
        <w:rPr>
          <w:sz w:val="22"/>
          <w:szCs w:val="22"/>
        </w:rPr>
        <w:t xml:space="preserve"> as follows:</w:t>
      </w:r>
    </w:p>
    <w:p w:rsidR="00143BA6" w:rsidRDefault="00143BA6" w:rsidP="0094692E">
      <w:pPr>
        <w:jc w:val="both"/>
        <w:rPr>
          <w:sz w:val="22"/>
          <w:szCs w:val="22"/>
        </w:rPr>
      </w:pPr>
    </w:p>
    <w:p w:rsidR="00E85379" w:rsidRDefault="008D2326" w:rsidP="00C1738E">
      <w:pPr>
        <w:numPr>
          <w:ilvl w:val="0"/>
          <w:numId w:val="19"/>
        </w:numPr>
        <w:jc w:val="both"/>
        <w:rPr>
          <w:sz w:val="22"/>
          <w:szCs w:val="22"/>
        </w:rPr>
      </w:pPr>
      <w:r>
        <w:rPr>
          <w:sz w:val="22"/>
          <w:szCs w:val="22"/>
        </w:rPr>
        <w:t>Our</w:t>
      </w:r>
      <w:r w:rsidR="00FE1862">
        <w:rPr>
          <w:sz w:val="22"/>
          <w:szCs w:val="22"/>
        </w:rPr>
        <w:t xml:space="preserve"> consultation document, published in autumn term 2012, outlined the major changes brought about by the new </w:t>
      </w:r>
      <w:r>
        <w:rPr>
          <w:sz w:val="22"/>
          <w:szCs w:val="22"/>
        </w:rPr>
        <w:t>system and explained the</w:t>
      </w:r>
      <w:r w:rsidR="00FE1862">
        <w:rPr>
          <w:sz w:val="22"/>
          <w:szCs w:val="22"/>
        </w:rPr>
        <w:t xml:space="preserve"> proposals for our approach to High Needs funding for the 2013/14 financial year.</w:t>
      </w:r>
      <w:r w:rsidR="00E85379">
        <w:rPr>
          <w:sz w:val="22"/>
          <w:szCs w:val="22"/>
        </w:rPr>
        <w:t xml:space="preserve"> Our</w:t>
      </w:r>
      <w:r w:rsidR="00FE1862">
        <w:rPr>
          <w:sz w:val="22"/>
          <w:szCs w:val="22"/>
        </w:rPr>
        <w:t xml:space="preserve"> approach</w:t>
      </w:r>
      <w:r w:rsidR="00E85379">
        <w:rPr>
          <w:sz w:val="22"/>
          <w:szCs w:val="22"/>
        </w:rPr>
        <w:t xml:space="preserve"> was</w:t>
      </w:r>
      <w:r>
        <w:rPr>
          <w:sz w:val="22"/>
          <w:szCs w:val="22"/>
        </w:rPr>
        <w:t xml:space="preserve"> </w:t>
      </w:r>
      <w:r w:rsidR="00FE1862">
        <w:rPr>
          <w:sz w:val="22"/>
          <w:szCs w:val="22"/>
        </w:rPr>
        <w:t xml:space="preserve">agreed by the Schools </w:t>
      </w:r>
      <w:r w:rsidR="00D34E4F">
        <w:rPr>
          <w:sz w:val="22"/>
          <w:szCs w:val="22"/>
        </w:rPr>
        <w:t>Forum in</w:t>
      </w:r>
      <w:r w:rsidR="00143BA6">
        <w:rPr>
          <w:sz w:val="22"/>
          <w:szCs w:val="22"/>
        </w:rPr>
        <w:t xml:space="preserve"> January 2013</w:t>
      </w:r>
      <w:r w:rsidR="00FE1862">
        <w:rPr>
          <w:sz w:val="22"/>
          <w:szCs w:val="22"/>
        </w:rPr>
        <w:t>.</w:t>
      </w:r>
      <w:r w:rsidR="0029385C">
        <w:rPr>
          <w:sz w:val="22"/>
          <w:szCs w:val="22"/>
        </w:rPr>
        <w:t xml:space="preserve"> At the c</w:t>
      </w:r>
      <w:r w:rsidR="002D1A98">
        <w:rPr>
          <w:sz w:val="22"/>
          <w:szCs w:val="22"/>
        </w:rPr>
        <w:t>entre of our approach</w:t>
      </w:r>
      <w:r w:rsidR="0029385C">
        <w:rPr>
          <w:sz w:val="22"/>
          <w:szCs w:val="22"/>
        </w:rPr>
        <w:t xml:space="preserve"> is</w:t>
      </w:r>
      <w:r>
        <w:rPr>
          <w:sz w:val="22"/>
          <w:szCs w:val="22"/>
        </w:rPr>
        <w:t xml:space="preserve"> the applicat</w:t>
      </w:r>
      <w:r w:rsidR="0027118D">
        <w:rPr>
          <w:sz w:val="22"/>
          <w:szCs w:val="22"/>
        </w:rPr>
        <w:t xml:space="preserve">ion of a uniform banding model </w:t>
      </w:r>
      <w:r>
        <w:rPr>
          <w:sz w:val="22"/>
          <w:szCs w:val="22"/>
        </w:rPr>
        <w:t>containing</w:t>
      </w:r>
      <w:r w:rsidR="0029385C">
        <w:rPr>
          <w:sz w:val="22"/>
          <w:szCs w:val="22"/>
        </w:rPr>
        <w:t xml:space="preserve"> </w:t>
      </w:r>
      <w:r w:rsidR="00F83EAB">
        <w:rPr>
          <w:sz w:val="22"/>
          <w:szCs w:val="22"/>
        </w:rPr>
        <w:t xml:space="preserve"> 7 ‘range</w:t>
      </w:r>
      <w:r>
        <w:rPr>
          <w:sz w:val="22"/>
          <w:szCs w:val="22"/>
        </w:rPr>
        <w:t>s’ of need, with 7 bands of funding</w:t>
      </w:r>
      <w:r w:rsidR="006A72FF">
        <w:rPr>
          <w:sz w:val="22"/>
          <w:szCs w:val="22"/>
        </w:rPr>
        <w:t xml:space="preserve"> (referred to in this document as the ‘Ranges Model’)</w:t>
      </w:r>
      <w:r>
        <w:rPr>
          <w:sz w:val="22"/>
          <w:szCs w:val="22"/>
        </w:rPr>
        <w:t>.</w:t>
      </w:r>
    </w:p>
    <w:p w:rsidR="00E85379" w:rsidRDefault="00E85379" w:rsidP="00E85379">
      <w:pPr>
        <w:ind w:left="720"/>
        <w:jc w:val="both"/>
        <w:rPr>
          <w:sz w:val="22"/>
          <w:szCs w:val="22"/>
        </w:rPr>
      </w:pPr>
      <w:r>
        <w:rPr>
          <w:sz w:val="22"/>
          <w:szCs w:val="22"/>
        </w:rPr>
        <w:t xml:space="preserve"> </w:t>
      </w:r>
    </w:p>
    <w:p w:rsidR="00E85379" w:rsidRPr="007C6E7F" w:rsidRDefault="00E85379" w:rsidP="00E85379">
      <w:pPr>
        <w:numPr>
          <w:ilvl w:val="0"/>
          <w:numId w:val="19"/>
        </w:numPr>
        <w:jc w:val="both"/>
        <w:rPr>
          <w:sz w:val="22"/>
          <w:szCs w:val="22"/>
        </w:rPr>
      </w:pPr>
      <w:r w:rsidRPr="007C6E7F">
        <w:rPr>
          <w:sz w:val="22"/>
          <w:szCs w:val="22"/>
        </w:rPr>
        <w:t xml:space="preserve">In March 2013, </w:t>
      </w:r>
      <w:r w:rsidR="00143BA6" w:rsidRPr="007C6E7F">
        <w:rPr>
          <w:sz w:val="22"/>
          <w:szCs w:val="22"/>
        </w:rPr>
        <w:t xml:space="preserve">the Schools Forum agreed a series of reviews, 8 of which related to items </w:t>
      </w:r>
      <w:r w:rsidR="00D34E4F">
        <w:rPr>
          <w:sz w:val="22"/>
          <w:szCs w:val="22"/>
        </w:rPr>
        <w:t xml:space="preserve">from the High Needs Block. </w:t>
      </w:r>
      <w:r w:rsidRPr="007C6E7F">
        <w:rPr>
          <w:sz w:val="22"/>
          <w:szCs w:val="22"/>
        </w:rPr>
        <w:t>Our</w:t>
      </w:r>
      <w:r w:rsidR="00143BA6" w:rsidRPr="007C6E7F">
        <w:rPr>
          <w:sz w:val="22"/>
          <w:szCs w:val="22"/>
        </w:rPr>
        <w:t xml:space="preserve"> c</w:t>
      </w:r>
      <w:r w:rsidR="00F37AB2">
        <w:rPr>
          <w:sz w:val="22"/>
          <w:szCs w:val="22"/>
        </w:rPr>
        <w:t>onsultation document</w:t>
      </w:r>
      <w:r w:rsidR="00B3263A">
        <w:rPr>
          <w:sz w:val="22"/>
          <w:szCs w:val="22"/>
        </w:rPr>
        <w:t>,</w:t>
      </w:r>
      <w:r w:rsidR="00F37AB2">
        <w:rPr>
          <w:sz w:val="22"/>
          <w:szCs w:val="22"/>
        </w:rPr>
        <w:t xml:space="preserve"> published</w:t>
      </w:r>
      <w:r w:rsidR="00D34E4F">
        <w:rPr>
          <w:sz w:val="22"/>
          <w:szCs w:val="22"/>
        </w:rPr>
        <w:t xml:space="preserve"> in autumn 2013</w:t>
      </w:r>
      <w:r w:rsidR="00B3263A">
        <w:rPr>
          <w:sz w:val="22"/>
          <w:szCs w:val="22"/>
        </w:rPr>
        <w:t>,</w:t>
      </w:r>
      <w:r w:rsidRPr="007C6E7F">
        <w:rPr>
          <w:sz w:val="22"/>
          <w:szCs w:val="22"/>
        </w:rPr>
        <w:t xml:space="preserve"> proposed mostly incremental changes</w:t>
      </w:r>
      <w:r w:rsidR="001B502E" w:rsidRPr="007C6E7F">
        <w:rPr>
          <w:sz w:val="22"/>
          <w:szCs w:val="22"/>
        </w:rPr>
        <w:t xml:space="preserve"> and resolved some outstanding </w:t>
      </w:r>
      <w:r w:rsidR="00467F8C">
        <w:rPr>
          <w:sz w:val="22"/>
          <w:szCs w:val="22"/>
        </w:rPr>
        <w:t>issues</w:t>
      </w:r>
      <w:r w:rsidR="001B502E" w:rsidRPr="007C6E7F">
        <w:rPr>
          <w:sz w:val="22"/>
          <w:szCs w:val="22"/>
        </w:rPr>
        <w:t>,</w:t>
      </w:r>
      <w:r w:rsidRPr="007C6E7F">
        <w:rPr>
          <w:sz w:val="22"/>
          <w:szCs w:val="22"/>
        </w:rPr>
        <w:t xml:space="preserve"> including:</w:t>
      </w:r>
    </w:p>
    <w:p w:rsidR="00E85379" w:rsidRDefault="00467F8C" w:rsidP="00E85379">
      <w:pPr>
        <w:numPr>
          <w:ilvl w:val="1"/>
          <w:numId w:val="19"/>
        </w:numPr>
        <w:jc w:val="both"/>
        <w:rPr>
          <w:sz w:val="22"/>
          <w:szCs w:val="22"/>
        </w:rPr>
      </w:pPr>
      <w:r>
        <w:rPr>
          <w:sz w:val="22"/>
          <w:szCs w:val="22"/>
        </w:rPr>
        <w:t>The</w:t>
      </w:r>
      <w:r w:rsidR="009B5FE8">
        <w:rPr>
          <w:sz w:val="22"/>
          <w:szCs w:val="22"/>
        </w:rPr>
        <w:t xml:space="preserve"> funding of</w:t>
      </w:r>
      <w:r w:rsidR="00F37AB2">
        <w:rPr>
          <w:sz w:val="22"/>
          <w:szCs w:val="22"/>
        </w:rPr>
        <w:t xml:space="preserve"> high needs provisions via</w:t>
      </w:r>
      <w:r w:rsidR="00015E47" w:rsidRPr="007C6E7F">
        <w:rPr>
          <w:sz w:val="22"/>
          <w:szCs w:val="22"/>
        </w:rPr>
        <w:t xml:space="preserve"> our full Ranges</w:t>
      </w:r>
      <w:r w:rsidR="00D34E4F">
        <w:rPr>
          <w:sz w:val="22"/>
          <w:szCs w:val="22"/>
        </w:rPr>
        <w:t xml:space="preserve"> Model</w:t>
      </w:r>
      <w:r w:rsidR="00015E47" w:rsidRPr="007C6E7F">
        <w:rPr>
          <w:sz w:val="22"/>
          <w:szCs w:val="22"/>
        </w:rPr>
        <w:t xml:space="preserve"> </w:t>
      </w:r>
      <w:r w:rsidR="00D30F4F" w:rsidRPr="007C6E7F">
        <w:rPr>
          <w:sz w:val="22"/>
          <w:szCs w:val="22"/>
        </w:rPr>
        <w:t xml:space="preserve">/ Place-Plus </w:t>
      </w:r>
      <w:r w:rsidR="00015E47" w:rsidRPr="007C6E7F">
        <w:rPr>
          <w:sz w:val="22"/>
          <w:szCs w:val="22"/>
        </w:rPr>
        <w:t>Framework, including ARCs, Early Years Children’s Centre Plus, Primary Behaviour Centres and t</w:t>
      </w:r>
      <w:r w:rsidR="00D34E4F">
        <w:rPr>
          <w:sz w:val="22"/>
          <w:szCs w:val="22"/>
        </w:rPr>
        <w:t>he PRUs</w:t>
      </w:r>
    </w:p>
    <w:p w:rsidR="000B4B16" w:rsidRPr="007C6E7F" w:rsidRDefault="000B4B16" w:rsidP="00E85379">
      <w:pPr>
        <w:numPr>
          <w:ilvl w:val="1"/>
          <w:numId w:val="19"/>
        </w:numPr>
        <w:jc w:val="both"/>
        <w:rPr>
          <w:sz w:val="22"/>
          <w:szCs w:val="22"/>
        </w:rPr>
      </w:pPr>
      <w:r>
        <w:rPr>
          <w:sz w:val="22"/>
          <w:szCs w:val="22"/>
        </w:rPr>
        <w:t>The continuation of the cash budget protec</w:t>
      </w:r>
      <w:r w:rsidR="009B5FE8">
        <w:rPr>
          <w:sz w:val="22"/>
          <w:szCs w:val="22"/>
        </w:rPr>
        <w:t>tion factor, which helps guard</w:t>
      </w:r>
      <w:r>
        <w:rPr>
          <w:sz w:val="22"/>
          <w:szCs w:val="22"/>
        </w:rPr>
        <w:t xml:space="preserve"> settings against unexpected monthly budget fluctuations</w:t>
      </w:r>
    </w:p>
    <w:p w:rsidR="00E85379" w:rsidRPr="007C6E7F" w:rsidRDefault="00F37AB2" w:rsidP="00E85379">
      <w:pPr>
        <w:numPr>
          <w:ilvl w:val="1"/>
          <w:numId w:val="19"/>
        </w:numPr>
        <w:jc w:val="both"/>
        <w:rPr>
          <w:sz w:val="22"/>
          <w:szCs w:val="22"/>
        </w:rPr>
      </w:pPr>
      <w:r>
        <w:rPr>
          <w:sz w:val="22"/>
          <w:szCs w:val="22"/>
        </w:rPr>
        <w:t>Improvements</w:t>
      </w:r>
      <w:r w:rsidR="00106E16">
        <w:rPr>
          <w:sz w:val="22"/>
          <w:szCs w:val="22"/>
        </w:rPr>
        <w:t xml:space="preserve"> in</w:t>
      </w:r>
      <w:r w:rsidR="00E87E2B" w:rsidRPr="007C6E7F">
        <w:rPr>
          <w:sz w:val="22"/>
          <w:szCs w:val="22"/>
        </w:rPr>
        <w:t xml:space="preserve"> the processes for the identification and moderation of pupil-need, so that information about Ranges is more accessible and </w:t>
      </w:r>
      <w:r w:rsidR="00106E16">
        <w:rPr>
          <w:sz w:val="22"/>
          <w:szCs w:val="22"/>
        </w:rPr>
        <w:t>so that the</w:t>
      </w:r>
      <w:r w:rsidR="007C6E7F">
        <w:rPr>
          <w:sz w:val="22"/>
          <w:szCs w:val="22"/>
        </w:rPr>
        <w:t xml:space="preserve"> system is</w:t>
      </w:r>
      <w:r w:rsidR="00E87E2B" w:rsidRPr="007C6E7F">
        <w:rPr>
          <w:sz w:val="22"/>
          <w:szCs w:val="22"/>
        </w:rPr>
        <w:t xml:space="preserve"> more responsive to in year changes</w:t>
      </w:r>
    </w:p>
    <w:p w:rsidR="00E85379" w:rsidRPr="007C6E7F" w:rsidRDefault="00D30F4F" w:rsidP="00E85379">
      <w:pPr>
        <w:numPr>
          <w:ilvl w:val="1"/>
          <w:numId w:val="19"/>
        </w:numPr>
        <w:jc w:val="both"/>
        <w:rPr>
          <w:sz w:val="22"/>
          <w:szCs w:val="22"/>
        </w:rPr>
      </w:pPr>
      <w:r w:rsidRPr="007C6E7F">
        <w:rPr>
          <w:sz w:val="22"/>
          <w:szCs w:val="22"/>
        </w:rPr>
        <w:t>Additional setting-based factors for the PRUs (split sites, rates and churn factors)</w:t>
      </w:r>
    </w:p>
    <w:p w:rsidR="00E85379" w:rsidRPr="007C6E7F" w:rsidRDefault="00D30F4F" w:rsidP="00E85379">
      <w:pPr>
        <w:numPr>
          <w:ilvl w:val="1"/>
          <w:numId w:val="19"/>
        </w:numPr>
        <w:jc w:val="both"/>
        <w:rPr>
          <w:sz w:val="22"/>
          <w:szCs w:val="22"/>
        </w:rPr>
      </w:pPr>
      <w:r w:rsidRPr="007C6E7F">
        <w:rPr>
          <w:sz w:val="22"/>
          <w:szCs w:val="22"/>
        </w:rPr>
        <w:t>An increase in the value of the SEN Funding Floor for students with statements in mainstream schools</w:t>
      </w:r>
    </w:p>
    <w:p w:rsidR="0018529F" w:rsidRPr="0018529F" w:rsidRDefault="00106E16" w:rsidP="0018529F">
      <w:pPr>
        <w:ind w:left="720"/>
        <w:jc w:val="both"/>
        <w:rPr>
          <w:sz w:val="22"/>
          <w:szCs w:val="22"/>
        </w:rPr>
      </w:pPr>
      <w:r>
        <w:rPr>
          <w:sz w:val="22"/>
          <w:szCs w:val="22"/>
        </w:rPr>
        <w:t>The Schools Forum agreed our</w:t>
      </w:r>
      <w:r w:rsidR="0018529F" w:rsidRPr="0018529F">
        <w:rPr>
          <w:sz w:val="22"/>
          <w:szCs w:val="22"/>
        </w:rPr>
        <w:t xml:space="preserve"> 2</w:t>
      </w:r>
      <w:r w:rsidR="00D34E4F">
        <w:rPr>
          <w:sz w:val="22"/>
          <w:szCs w:val="22"/>
        </w:rPr>
        <w:t>014/15 funding model in</w:t>
      </w:r>
      <w:r w:rsidR="0018529F" w:rsidRPr="0018529F">
        <w:rPr>
          <w:sz w:val="22"/>
          <w:szCs w:val="22"/>
        </w:rPr>
        <w:t xml:space="preserve"> January 2014.</w:t>
      </w:r>
    </w:p>
    <w:p w:rsidR="00E85379" w:rsidRPr="00E85379" w:rsidRDefault="00E85379" w:rsidP="00E85379">
      <w:pPr>
        <w:ind w:left="1440"/>
        <w:jc w:val="both"/>
        <w:rPr>
          <w:sz w:val="22"/>
          <w:szCs w:val="22"/>
        </w:rPr>
      </w:pPr>
    </w:p>
    <w:p w:rsidR="00F07BED" w:rsidRDefault="00E85379" w:rsidP="00293B55">
      <w:pPr>
        <w:numPr>
          <w:ilvl w:val="0"/>
          <w:numId w:val="19"/>
        </w:numPr>
        <w:jc w:val="both"/>
        <w:rPr>
          <w:sz w:val="22"/>
          <w:szCs w:val="22"/>
        </w:rPr>
      </w:pPr>
      <w:r w:rsidRPr="0018529F">
        <w:rPr>
          <w:sz w:val="22"/>
          <w:szCs w:val="22"/>
        </w:rPr>
        <w:t>In March 2014</w:t>
      </w:r>
      <w:r w:rsidR="00143BA6" w:rsidRPr="0018529F">
        <w:rPr>
          <w:sz w:val="22"/>
          <w:szCs w:val="22"/>
        </w:rPr>
        <w:t>, the Schools Forum again agreed a number of reviews</w:t>
      </w:r>
      <w:r w:rsidR="00447605">
        <w:rPr>
          <w:sz w:val="22"/>
          <w:szCs w:val="22"/>
        </w:rPr>
        <w:t xml:space="preserve"> (outlined in a DSG Reviews Matrix)</w:t>
      </w:r>
      <w:r w:rsidR="00143BA6" w:rsidRPr="0018529F">
        <w:rPr>
          <w:sz w:val="22"/>
          <w:szCs w:val="22"/>
        </w:rPr>
        <w:t xml:space="preserve"> relating to the High Needs Block, </w:t>
      </w:r>
      <w:r w:rsidRPr="0018529F">
        <w:rPr>
          <w:sz w:val="22"/>
          <w:szCs w:val="22"/>
        </w:rPr>
        <w:t>which</w:t>
      </w:r>
      <w:r w:rsidR="00143BA6" w:rsidRPr="0018529F">
        <w:rPr>
          <w:sz w:val="22"/>
          <w:szCs w:val="22"/>
        </w:rPr>
        <w:t xml:space="preserve"> completed to inform decisions for </w:t>
      </w:r>
      <w:r w:rsidR="0018529F">
        <w:rPr>
          <w:sz w:val="22"/>
          <w:szCs w:val="22"/>
        </w:rPr>
        <w:t>the</w:t>
      </w:r>
      <w:r w:rsidR="00B3263A">
        <w:rPr>
          <w:sz w:val="22"/>
          <w:szCs w:val="22"/>
        </w:rPr>
        <w:t xml:space="preserve"> current</w:t>
      </w:r>
      <w:r w:rsidR="0018529F">
        <w:rPr>
          <w:sz w:val="22"/>
          <w:szCs w:val="22"/>
        </w:rPr>
        <w:t xml:space="preserve"> </w:t>
      </w:r>
      <w:r w:rsidR="00143BA6" w:rsidRPr="0018529F">
        <w:rPr>
          <w:sz w:val="22"/>
          <w:szCs w:val="22"/>
        </w:rPr>
        <w:t>2015/16</w:t>
      </w:r>
      <w:r w:rsidR="0018529F">
        <w:rPr>
          <w:sz w:val="22"/>
          <w:szCs w:val="22"/>
        </w:rPr>
        <w:t xml:space="preserve"> financial year</w:t>
      </w:r>
      <w:r w:rsidR="00447605">
        <w:rPr>
          <w:sz w:val="22"/>
          <w:szCs w:val="22"/>
        </w:rPr>
        <w:t>.</w:t>
      </w:r>
      <w:r w:rsidR="00B3263A">
        <w:rPr>
          <w:sz w:val="22"/>
          <w:szCs w:val="22"/>
        </w:rPr>
        <w:t xml:space="preserve"> The </w:t>
      </w:r>
      <w:r w:rsidR="00771840">
        <w:rPr>
          <w:sz w:val="22"/>
          <w:szCs w:val="22"/>
        </w:rPr>
        <w:t xml:space="preserve">Schools Forum agreed our 2015/16 funding model in January 2015, which included only </w:t>
      </w:r>
      <w:r w:rsidR="002C25B8">
        <w:rPr>
          <w:sz w:val="22"/>
          <w:szCs w:val="22"/>
        </w:rPr>
        <w:t>incremental changes on 2014/15</w:t>
      </w:r>
      <w:r w:rsidR="00B649D6">
        <w:rPr>
          <w:sz w:val="22"/>
          <w:szCs w:val="22"/>
        </w:rPr>
        <w:t>, some of which were changes directed by the DfE</w:t>
      </w:r>
      <w:r w:rsidR="00771840">
        <w:rPr>
          <w:sz w:val="22"/>
          <w:szCs w:val="22"/>
        </w:rPr>
        <w:t>:</w:t>
      </w:r>
    </w:p>
    <w:p w:rsidR="00771840" w:rsidRPr="005366A0" w:rsidRDefault="00771840" w:rsidP="00771840">
      <w:pPr>
        <w:pStyle w:val="ListParagraph"/>
        <w:numPr>
          <w:ilvl w:val="1"/>
          <w:numId w:val="19"/>
        </w:numPr>
        <w:jc w:val="both"/>
        <w:rPr>
          <w:color w:val="000000" w:themeColor="text1"/>
          <w:sz w:val="22"/>
          <w:szCs w:val="22"/>
        </w:rPr>
      </w:pPr>
      <w:r>
        <w:rPr>
          <w:sz w:val="22"/>
          <w:szCs w:val="22"/>
        </w:rPr>
        <w:t>Fol</w:t>
      </w:r>
      <w:r w:rsidR="002C25B8">
        <w:rPr>
          <w:sz w:val="22"/>
          <w:szCs w:val="22"/>
        </w:rPr>
        <w:t>lowing the DfE’s direction</w:t>
      </w:r>
      <w:r w:rsidR="00E25B37">
        <w:rPr>
          <w:sz w:val="22"/>
          <w:szCs w:val="22"/>
        </w:rPr>
        <w:t xml:space="preserve"> -</w:t>
      </w:r>
      <w:r>
        <w:rPr>
          <w:sz w:val="22"/>
          <w:szCs w:val="22"/>
        </w:rPr>
        <w:t xml:space="preserve"> the value of </w:t>
      </w:r>
      <w:r w:rsidR="002C25B8">
        <w:rPr>
          <w:sz w:val="22"/>
          <w:szCs w:val="22"/>
        </w:rPr>
        <w:t xml:space="preserve">an </w:t>
      </w:r>
      <w:r w:rsidR="00B649D6">
        <w:rPr>
          <w:sz w:val="22"/>
          <w:szCs w:val="22"/>
        </w:rPr>
        <w:t xml:space="preserve">alternative provision </w:t>
      </w:r>
      <w:r w:rsidR="002C25B8">
        <w:rPr>
          <w:color w:val="000000" w:themeColor="text1"/>
          <w:sz w:val="22"/>
          <w:szCs w:val="22"/>
        </w:rPr>
        <w:t>place</w:t>
      </w:r>
      <w:r w:rsidR="00B649D6" w:rsidRPr="005366A0">
        <w:rPr>
          <w:color w:val="000000" w:themeColor="text1"/>
          <w:sz w:val="22"/>
          <w:szCs w:val="22"/>
        </w:rPr>
        <w:t xml:space="preserve"> </w:t>
      </w:r>
      <w:r w:rsidRPr="005366A0">
        <w:rPr>
          <w:color w:val="000000" w:themeColor="text1"/>
          <w:sz w:val="22"/>
          <w:szCs w:val="22"/>
        </w:rPr>
        <w:t xml:space="preserve">was increased from £8,000 to £10,000, with a corresponding decrease of £2,000 per place made to each setting’s Plus </w:t>
      </w:r>
      <w:r w:rsidR="002C25B8">
        <w:rPr>
          <w:color w:val="000000" w:themeColor="text1"/>
          <w:sz w:val="22"/>
          <w:szCs w:val="22"/>
        </w:rPr>
        <w:t>element, so that this change is impact neutral.</w:t>
      </w:r>
    </w:p>
    <w:p w:rsidR="00771840" w:rsidRPr="005366A0" w:rsidRDefault="00771840" w:rsidP="00771840">
      <w:pPr>
        <w:numPr>
          <w:ilvl w:val="1"/>
          <w:numId w:val="19"/>
        </w:numPr>
        <w:jc w:val="both"/>
        <w:rPr>
          <w:color w:val="000000" w:themeColor="text1"/>
          <w:sz w:val="22"/>
          <w:szCs w:val="22"/>
        </w:rPr>
      </w:pPr>
      <w:r w:rsidRPr="005366A0">
        <w:rPr>
          <w:color w:val="000000" w:themeColor="text1"/>
          <w:sz w:val="22"/>
          <w:szCs w:val="22"/>
        </w:rPr>
        <w:t>Fol</w:t>
      </w:r>
      <w:r w:rsidR="002C25B8">
        <w:rPr>
          <w:color w:val="000000" w:themeColor="text1"/>
          <w:sz w:val="22"/>
          <w:szCs w:val="22"/>
        </w:rPr>
        <w:t>lowing the DfE’s direction</w:t>
      </w:r>
      <w:r w:rsidR="00E25B37">
        <w:rPr>
          <w:color w:val="000000" w:themeColor="text1"/>
          <w:sz w:val="22"/>
          <w:szCs w:val="22"/>
        </w:rPr>
        <w:t xml:space="preserve"> -</w:t>
      </w:r>
      <w:r w:rsidRPr="005366A0">
        <w:rPr>
          <w:color w:val="000000" w:themeColor="text1"/>
          <w:sz w:val="22"/>
          <w:szCs w:val="22"/>
        </w:rPr>
        <w:t xml:space="preserve"> Post 16 places were changed to be funded on the basis of the location of the setting rather than </w:t>
      </w:r>
      <w:r w:rsidR="000248F0">
        <w:rPr>
          <w:color w:val="000000" w:themeColor="text1"/>
          <w:sz w:val="22"/>
          <w:szCs w:val="22"/>
        </w:rPr>
        <w:t xml:space="preserve">who </w:t>
      </w:r>
      <w:r w:rsidRPr="005366A0">
        <w:rPr>
          <w:color w:val="000000" w:themeColor="text1"/>
          <w:sz w:val="22"/>
          <w:szCs w:val="22"/>
        </w:rPr>
        <w:t>commissions the place</w:t>
      </w:r>
      <w:r w:rsidR="000248F0">
        <w:rPr>
          <w:color w:val="000000" w:themeColor="text1"/>
          <w:sz w:val="22"/>
          <w:szCs w:val="22"/>
        </w:rPr>
        <w:t>, bringing this is line with pre-16</w:t>
      </w:r>
      <w:r w:rsidRPr="005366A0">
        <w:rPr>
          <w:color w:val="000000" w:themeColor="text1"/>
          <w:sz w:val="22"/>
          <w:szCs w:val="22"/>
        </w:rPr>
        <w:t>.</w:t>
      </w:r>
    </w:p>
    <w:p w:rsidR="00771840" w:rsidRDefault="00B52192" w:rsidP="00771840">
      <w:pPr>
        <w:numPr>
          <w:ilvl w:val="1"/>
          <w:numId w:val="19"/>
        </w:numPr>
        <w:jc w:val="both"/>
        <w:rPr>
          <w:color w:val="000000" w:themeColor="text1"/>
          <w:sz w:val="22"/>
          <w:szCs w:val="22"/>
        </w:rPr>
      </w:pPr>
      <w:r w:rsidRPr="005366A0">
        <w:rPr>
          <w:color w:val="000000" w:themeColor="text1"/>
          <w:sz w:val="22"/>
          <w:szCs w:val="22"/>
        </w:rPr>
        <w:lastRenderedPageBreak/>
        <w:t>Early Years Children’s Centre Pus - the total planned DSG budget allocated to this provision was adjusted to remove the previous double funding within the £6,000 place-led element per FTE place.</w:t>
      </w:r>
    </w:p>
    <w:p w:rsidR="00E25B37" w:rsidRPr="005366A0" w:rsidRDefault="00E25B37" w:rsidP="00771840">
      <w:pPr>
        <w:numPr>
          <w:ilvl w:val="1"/>
          <w:numId w:val="19"/>
        </w:numPr>
        <w:jc w:val="both"/>
        <w:rPr>
          <w:color w:val="000000" w:themeColor="text1"/>
          <w:sz w:val="22"/>
          <w:szCs w:val="22"/>
        </w:rPr>
      </w:pPr>
      <w:r>
        <w:rPr>
          <w:color w:val="000000" w:themeColor="text1"/>
          <w:sz w:val="22"/>
          <w:szCs w:val="22"/>
        </w:rPr>
        <w:t>Alternative Provision – a change to calculate the Plus element for all students without a statement on a formula of 50% Range 4D and 50% Range 5.</w:t>
      </w:r>
    </w:p>
    <w:p w:rsidR="00B52192" w:rsidRPr="005366A0" w:rsidRDefault="00B649D6" w:rsidP="00B52192">
      <w:pPr>
        <w:numPr>
          <w:ilvl w:val="1"/>
          <w:numId w:val="19"/>
        </w:numPr>
        <w:jc w:val="both"/>
        <w:rPr>
          <w:color w:val="000000" w:themeColor="text1"/>
          <w:sz w:val="22"/>
          <w:szCs w:val="22"/>
        </w:rPr>
      </w:pPr>
      <w:r w:rsidRPr="005366A0">
        <w:rPr>
          <w:color w:val="000000" w:themeColor="text1"/>
          <w:sz w:val="22"/>
          <w:szCs w:val="22"/>
        </w:rPr>
        <w:t xml:space="preserve">SEN Funding Floor Primary schools and academies – the value of the SEN Funding Floor for primary schools and academies was increased. The </w:t>
      </w:r>
      <w:smartTag w:uri="urn:schemas-microsoft-com:office:smarttags" w:element="stockticker">
        <w:r w:rsidRPr="005366A0">
          <w:rPr>
            <w:color w:val="000000" w:themeColor="text1"/>
            <w:sz w:val="22"/>
            <w:szCs w:val="22"/>
          </w:rPr>
          <w:t>SEN</w:t>
        </w:r>
      </w:smartTag>
      <w:r w:rsidRPr="005366A0">
        <w:rPr>
          <w:color w:val="000000" w:themeColor="text1"/>
          <w:sz w:val="22"/>
          <w:szCs w:val="22"/>
        </w:rPr>
        <w:t xml:space="preserve"> Funding Floor is a protection mechanism that ensures that all schools / academies receive a minimum amount of </w:t>
      </w:r>
      <w:smartTag w:uri="urn:schemas-microsoft-com:office:smarttags" w:element="stockticker">
        <w:r w:rsidRPr="005366A0">
          <w:rPr>
            <w:color w:val="000000" w:themeColor="text1"/>
            <w:sz w:val="22"/>
            <w:szCs w:val="22"/>
          </w:rPr>
          <w:t>SEN</w:t>
        </w:r>
      </w:smartTag>
      <w:r w:rsidRPr="005366A0">
        <w:rPr>
          <w:color w:val="000000" w:themeColor="text1"/>
          <w:sz w:val="22"/>
          <w:szCs w:val="22"/>
        </w:rPr>
        <w:t xml:space="preserve"> funding</w:t>
      </w:r>
      <w:r w:rsidR="005366A0" w:rsidRPr="005366A0">
        <w:rPr>
          <w:color w:val="000000" w:themeColor="text1"/>
          <w:sz w:val="22"/>
          <w:szCs w:val="22"/>
        </w:rPr>
        <w:t>.</w:t>
      </w:r>
    </w:p>
    <w:p w:rsidR="004F2888" w:rsidRPr="005366A0" w:rsidRDefault="004B3180" w:rsidP="00B52192">
      <w:pPr>
        <w:numPr>
          <w:ilvl w:val="1"/>
          <w:numId w:val="19"/>
        </w:numPr>
        <w:jc w:val="both"/>
        <w:rPr>
          <w:color w:val="000000" w:themeColor="text1"/>
          <w:sz w:val="22"/>
          <w:szCs w:val="22"/>
        </w:rPr>
      </w:pPr>
      <w:r w:rsidRPr="005366A0">
        <w:rPr>
          <w:color w:val="000000" w:themeColor="text1"/>
          <w:sz w:val="22"/>
          <w:szCs w:val="22"/>
        </w:rPr>
        <w:t>Cash Budget Protection Factor –</w:t>
      </w:r>
      <w:r w:rsidR="002C25B8">
        <w:rPr>
          <w:color w:val="000000" w:themeColor="text1"/>
          <w:sz w:val="22"/>
          <w:szCs w:val="22"/>
        </w:rPr>
        <w:t xml:space="preserve"> </w:t>
      </w:r>
      <w:r w:rsidRPr="005366A0">
        <w:rPr>
          <w:color w:val="000000" w:themeColor="text1"/>
          <w:sz w:val="22"/>
          <w:szCs w:val="22"/>
        </w:rPr>
        <w:t>the cash budget protection factor for special schools and DSPs</w:t>
      </w:r>
      <w:r w:rsidR="002C25B8">
        <w:rPr>
          <w:color w:val="000000" w:themeColor="text1"/>
          <w:sz w:val="22"/>
          <w:szCs w:val="22"/>
        </w:rPr>
        <w:t xml:space="preserve"> was continued</w:t>
      </w:r>
      <w:r w:rsidRPr="005366A0">
        <w:rPr>
          <w:color w:val="000000" w:themeColor="text1"/>
          <w:sz w:val="22"/>
          <w:szCs w:val="22"/>
        </w:rPr>
        <w:t xml:space="preserve">, but with the </w:t>
      </w:r>
      <w:r w:rsidR="000248F0">
        <w:rPr>
          <w:color w:val="000000" w:themeColor="text1"/>
          <w:sz w:val="22"/>
          <w:szCs w:val="22"/>
        </w:rPr>
        <w:t xml:space="preserve">eligibility for </w:t>
      </w:r>
      <w:r w:rsidRPr="005366A0">
        <w:rPr>
          <w:color w:val="000000" w:themeColor="text1"/>
          <w:sz w:val="22"/>
          <w:szCs w:val="22"/>
        </w:rPr>
        <w:t>this factor based</w:t>
      </w:r>
      <w:r w:rsidR="002C25B8">
        <w:rPr>
          <w:color w:val="000000" w:themeColor="text1"/>
          <w:sz w:val="22"/>
          <w:szCs w:val="22"/>
        </w:rPr>
        <w:t xml:space="preserve"> on criteria, so that protection</w:t>
      </w:r>
      <w:r w:rsidR="005366A0" w:rsidRPr="005366A0">
        <w:rPr>
          <w:color w:val="000000" w:themeColor="text1"/>
          <w:sz w:val="22"/>
          <w:szCs w:val="22"/>
        </w:rPr>
        <w:t xml:space="preserve"> </w:t>
      </w:r>
      <w:r w:rsidRPr="005366A0">
        <w:rPr>
          <w:color w:val="000000" w:themeColor="text1"/>
          <w:sz w:val="22"/>
          <w:szCs w:val="22"/>
        </w:rPr>
        <w:t>is not continued in settings that are more permanently reducing their pupil numbers</w:t>
      </w:r>
      <w:r w:rsidR="005366A0" w:rsidRPr="005366A0">
        <w:rPr>
          <w:color w:val="000000" w:themeColor="text1"/>
          <w:sz w:val="22"/>
          <w:szCs w:val="22"/>
        </w:rPr>
        <w:t>.</w:t>
      </w:r>
    </w:p>
    <w:p w:rsidR="00B52192" w:rsidRPr="005366A0" w:rsidRDefault="004F2888" w:rsidP="00B52192">
      <w:pPr>
        <w:numPr>
          <w:ilvl w:val="1"/>
          <w:numId w:val="19"/>
        </w:numPr>
        <w:jc w:val="both"/>
        <w:rPr>
          <w:color w:val="000000" w:themeColor="text1"/>
          <w:sz w:val="22"/>
          <w:szCs w:val="22"/>
        </w:rPr>
      </w:pPr>
      <w:r w:rsidRPr="005366A0">
        <w:rPr>
          <w:color w:val="000000" w:themeColor="text1"/>
          <w:sz w:val="22"/>
          <w:szCs w:val="22"/>
        </w:rPr>
        <w:t>Exceptional circumstances / financial difficulties –a more formal Exceptional Circumstances / Financial Difficulty mechanism within the High Needs Funding Model</w:t>
      </w:r>
      <w:r w:rsidR="002C25B8">
        <w:rPr>
          <w:color w:val="000000" w:themeColor="text1"/>
          <w:sz w:val="22"/>
          <w:szCs w:val="22"/>
        </w:rPr>
        <w:t xml:space="preserve"> was adopted</w:t>
      </w:r>
      <w:r w:rsidRPr="005366A0">
        <w:rPr>
          <w:color w:val="000000" w:themeColor="text1"/>
          <w:sz w:val="22"/>
          <w:szCs w:val="22"/>
        </w:rPr>
        <w:t>, in line with that of mainstream provision.</w:t>
      </w:r>
    </w:p>
    <w:p w:rsidR="00771840" w:rsidRPr="002C25B8" w:rsidRDefault="004F2888" w:rsidP="002C25B8">
      <w:pPr>
        <w:numPr>
          <w:ilvl w:val="1"/>
          <w:numId w:val="19"/>
        </w:numPr>
        <w:jc w:val="both"/>
        <w:rPr>
          <w:color w:val="000000" w:themeColor="text1"/>
          <w:sz w:val="22"/>
          <w:szCs w:val="22"/>
        </w:rPr>
      </w:pPr>
      <w:r w:rsidRPr="005366A0">
        <w:rPr>
          <w:color w:val="000000" w:themeColor="text1"/>
          <w:sz w:val="22"/>
          <w:szCs w:val="22"/>
        </w:rPr>
        <w:t>The Authority’s Control of E</w:t>
      </w:r>
      <w:r w:rsidR="002C25B8">
        <w:rPr>
          <w:color w:val="000000" w:themeColor="text1"/>
          <w:sz w:val="22"/>
          <w:szCs w:val="22"/>
        </w:rPr>
        <w:t>xcess Surplus Balances mechanism was adjusted</w:t>
      </w:r>
      <w:r w:rsidRPr="005366A0">
        <w:rPr>
          <w:color w:val="000000" w:themeColor="text1"/>
          <w:sz w:val="22"/>
          <w:szCs w:val="22"/>
        </w:rPr>
        <w:t xml:space="preserve"> to provide a greater amount of flexibility for stand-alone maintained high needs providers in managing the possible negative</w:t>
      </w:r>
      <w:r w:rsidR="002C25B8">
        <w:rPr>
          <w:color w:val="000000" w:themeColor="text1"/>
          <w:sz w:val="22"/>
          <w:szCs w:val="22"/>
        </w:rPr>
        <w:t xml:space="preserve"> impact</w:t>
      </w:r>
      <w:r w:rsidRPr="005366A0">
        <w:rPr>
          <w:color w:val="000000" w:themeColor="text1"/>
          <w:sz w:val="22"/>
          <w:szCs w:val="22"/>
        </w:rPr>
        <w:t xml:space="preserve"> of in year changes in pupil population.</w:t>
      </w:r>
    </w:p>
    <w:p w:rsidR="00771840" w:rsidRPr="00293B55" w:rsidRDefault="00771840" w:rsidP="00293B55">
      <w:pPr>
        <w:ind w:left="720"/>
        <w:jc w:val="both"/>
        <w:rPr>
          <w:sz w:val="22"/>
          <w:szCs w:val="22"/>
        </w:rPr>
      </w:pPr>
    </w:p>
    <w:p w:rsidR="00F07BED" w:rsidRDefault="00F07BED" w:rsidP="00E85379">
      <w:pPr>
        <w:numPr>
          <w:ilvl w:val="0"/>
          <w:numId w:val="19"/>
        </w:numPr>
        <w:jc w:val="both"/>
        <w:rPr>
          <w:sz w:val="22"/>
          <w:szCs w:val="22"/>
        </w:rPr>
      </w:pPr>
      <w:r>
        <w:rPr>
          <w:sz w:val="22"/>
          <w:szCs w:val="22"/>
        </w:rPr>
        <w:t>In July 2014, following consultation, the School</w:t>
      </w:r>
      <w:r w:rsidR="00B734AF">
        <w:rPr>
          <w:sz w:val="22"/>
          <w:szCs w:val="22"/>
        </w:rPr>
        <w:t>s</w:t>
      </w:r>
      <w:r>
        <w:rPr>
          <w:sz w:val="22"/>
          <w:szCs w:val="22"/>
        </w:rPr>
        <w:t xml:space="preserve"> Forum agreed </w:t>
      </w:r>
      <w:r w:rsidR="000248F0">
        <w:rPr>
          <w:sz w:val="22"/>
          <w:szCs w:val="22"/>
        </w:rPr>
        <w:t xml:space="preserve">an </w:t>
      </w:r>
      <w:r>
        <w:rPr>
          <w:sz w:val="22"/>
          <w:szCs w:val="22"/>
        </w:rPr>
        <w:t>initial step towards the funding of</w:t>
      </w:r>
      <w:r w:rsidR="00990E31">
        <w:rPr>
          <w:sz w:val="22"/>
          <w:szCs w:val="22"/>
        </w:rPr>
        <w:t xml:space="preserve"> post 16</w:t>
      </w:r>
      <w:r>
        <w:rPr>
          <w:sz w:val="22"/>
          <w:szCs w:val="22"/>
        </w:rPr>
        <w:t xml:space="preserve"> high needs students in Further Education (FE) settings on a formula-basis for the 2014/15 academic year.</w:t>
      </w:r>
      <w:r w:rsidR="00B3263A">
        <w:rPr>
          <w:sz w:val="22"/>
          <w:szCs w:val="22"/>
        </w:rPr>
        <w:t xml:space="preserve"> A further step towards a funding formula for FE settings has been made for the 2015/16 academic year, which is outlined later in this paper.</w:t>
      </w:r>
    </w:p>
    <w:p w:rsidR="004D721D" w:rsidRDefault="004D721D" w:rsidP="004D721D">
      <w:pPr>
        <w:ind w:left="720"/>
        <w:jc w:val="both"/>
        <w:rPr>
          <w:sz w:val="22"/>
          <w:szCs w:val="22"/>
        </w:rPr>
      </w:pPr>
    </w:p>
    <w:p w:rsidR="004D721D" w:rsidRDefault="004D721D" w:rsidP="00E85379">
      <w:pPr>
        <w:numPr>
          <w:ilvl w:val="0"/>
          <w:numId w:val="19"/>
        </w:numPr>
        <w:jc w:val="both"/>
        <w:rPr>
          <w:sz w:val="22"/>
          <w:szCs w:val="22"/>
        </w:rPr>
      </w:pPr>
      <w:r>
        <w:rPr>
          <w:sz w:val="22"/>
          <w:szCs w:val="22"/>
        </w:rPr>
        <w:t>During 2015</w:t>
      </w:r>
      <w:r w:rsidR="000248F0">
        <w:rPr>
          <w:sz w:val="22"/>
          <w:szCs w:val="22"/>
        </w:rPr>
        <w:t>,</w:t>
      </w:r>
      <w:r>
        <w:rPr>
          <w:sz w:val="22"/>
          <w:szCs w:val="22"/>
        </w:rPr>
        <w:t xml:space="preserve"> the Schools Forum has received regular reports of the development of the District’s ASD strategy. </w:t>
      </w:r>
      <w:r w:rsidR="000248F0">
        <w:rPr>
          <w:sz w:val="22"/>
          <w:szCs w:val="22"/>
        </w:rPr>
        <w:t>Discussions on this are continuing.</w:t>
      </w:r>
    </w:p>
    <w:p w:rsidR="00FB7C26" w:rsidRDefault="00FB7C26" w:rsidP="0094692E">
      <w:pPr>
        <w:jc w:val="both"/>
        <w:rPr>
          <w:sz w:val="22"/>
          <w:szCs w:val="22"/>
        </w:rPr>
      </w:pPr>
    </w:p>
    <w:p w:rsidR="00ED4EC7" w:rsidRDefault="003A6060" w:rsidP="0094692E">
      <w:pPr>
        <w:jc w:val="both"/>
        <w:rPr>
          <w:sz w:val="22"/>
          <w:szCs w:val="22"/>
        </w:rPr>
      </w:pPr>
      <w:r>
        <w:rPr>
          <w:sz w:val="22"/>
          <w:szCs w:val="22"/>
        </w:rPr>
        <w:t>1.4</w:t>
      </w:r>
      <w:r w:rsidR="00B54BD3">
        <w:rPr>
          <w:sz w:val="22"/>
          <w:szCs w:val="22"/>
        </w:rPr>
        <w:t xml:space="preserve"> </w:t>
      </w:r>
      <w:r w:rsidR="00CF687E" w:rsidRPr="008A590D">
        <w:rPr>
          <w:sz w:val="22"/>
          <w:szCs w:val="22"/>
        </w:rPr>
        <w:t>As indicated</w:t>
      </w:r>
      <w:r w:rsidR="00134075">
        <w:rPr>
          <w:sz w:val="22"/>
          <w:szCs w:val="22"/>
        </w:rPr>
        <w:t xml:space="preserve"> in </w:t>
      </w:r>
      <w:r w:rsidR="007C637E">
        <w:rPr>
          <w:sz w:val="22"/>
          <w:szCs w:val="22"/>
        </w:rPr>
        <w:t>consultation documents in previous years</w:t>
      </w:r>
      <w:r w:rsidR="00134075">
        <w:rPr>
          <w:sz w:val="22"/>
          <w:szCs w:val="22"/>
        </w:rPr>
        <w:t>,</w:t>
      </w:r>
      <w:r w:rsidR="00CF687E" w:rsidRPr="008A590D">
        <w:rPr>
          <w:sz w:val="22"/>
          <w:szCs w:val="22"/>
        </w:rPr>
        <w:t xml:space="preserve"> </w:t>
      </w:r>
      <w:r w:rsidR="00ED4EC7">
        <w:rPr>
          <w:sz w:val="22"/>
          <w:szCs w:val="22"/>
        </w:rPr>
        <w:t xml:space="preserve">and has been outlined recently in national Press, </w:t>
      </w:r>
      <w:r w:rsidR="005D15C8">
        <w:rPr>
          <w:sz w:val="22"/>
          <w:szCs w:val="22"/>
        </w:rPr>
        <w:t xml:space="preserve">some significant </w:t>
      </w:r>
      <w:r w:rsidR="00CF687E" w:rsidRPr="008A590D">
        <w:rPr>
          <w:sz w:val="22"/>
          <w:szCs w:val="22"/>
        </w:rPr>
        <w:t>changes</w:t>
      </w:r>
      <w:r w:rsidR="00EB0CB9" w:rsidRPr="008A590D">
        <w:rPr>
          <w:sz w:val="22"/>
          <w:szCs w:val="22"/>
        </w:rPr>
        <w:t xml:space="preserve"> </w:t>
      </w:r>
      <w:r w:rsidR="00ED4EC7">
        <w:rPr>
          <w:sz w:val="22"/>
          <w:szCs w:val="22"/>
        </w:rPr>
        <w:t xml:space="preserve">are on the horizon for the funding of </w:t>
      </w:r>
      <w:r w:rsidR="00E5725D">
        <w:rPr>
          <w:sz w:val="22"/>
          <w:szCs w:val="22"/>
        </w:rPr>
        <w:t xml:space="preserve">education and </w:t>
      </w:r>
      <w:r w:rsidR="00ED4EC7">
        <w:rPr>
          <w:sz w:val="22"/>
          <w:szCs w:val="22"/>
        </w:rPr>
        <w:t xml:space="preserve">schools. We expect, possibly from April 2017, the introduction of a national funding formula. We do not know </w:t>
      </w:r>
      <w:r w:rsidR="004D721D">
        <w:rPr>
          <w:sz w:val="22"/>
          <w:szCs w:val="22"/>
        </w:rPr>
        <w:t xml:space="preserve">the detail of this formula yet, </w:t>
      </w:r>
      <w:r w:rsidR="00ED4EC7">
        <w:rPr>
          <w:sz w:val="22"/>
          <w:szCs w:val="22"/>
        </w:rPr>
        <w:t>or t</w:t>
      </w:r>
      <w:r w:rsidR="004D721D">
        <w:rPr>
          <w:sz w:val="22"/>
          <w:szCs w:val="22"/>
        </w:rPr>
        <w:t>he timescale for implementation, or what this will mean for the funding of high needs</w:t>
      </w:r>
      <w:r w:rsidR="00ED4EC7">
        <w:rPr>
          <w:sz w:val="22"/>
          <w:szCs w:val="22"/>
        </w:rPr>
        <w:t>.</w:t>
      </w:r>
      <w:r w:rsidR="004D721D">
        <w:rPr>
          <w:sz w:val="22"/>
          <w:szCs w:val="22"/>
        </w:rPr>
        <w:t xml:space="preserve"> We do not know, at this time, whether a national formula will establish a consistent national needs-assessment and banding framework, which can be used for funding individual settings, or whether it will stop short of this.</w:t>
      </w:r>
      <w:r w:rsidR="00ED4EC7">
        <w:rPr>
          <w:sz w:val="22"/>
          <w:szCs w:val="22"/>
        </w:rPr>
        <w:t xml:space="preserve"> We anticipate further announcements from the DfE following the autumn Spending Review in November. A national funding formula</w:t>
      </w:r>
      <w:r w:rsidR="000248F0">
        <w:rPr>
          <w:sz w:val="22"/>
          <w:szCs w:val="22"/>
        </w:rPr>
        <w:t xml:space="preserve"> however,</w:t>
      </w:r>
      <w:r w:rsidR="00ED4EC7">
        <w:rPr>
          <w:sz w:val="22"/>
          <w:szCs w:val="22"/>
        </w:rPr>
        <w:t xml:space="preserve"> is likely to have significant consequences for all aspects of local education and school funding</w:t>
      </w:r>
      <w:r w:rsidR="000248F0">
        <w:rPr>
          <w:sz w:val="22"/>
          <w:szCs w:val="22"/>
        </w:rPr>
        <w:t xml:space="preserve"> and this</w:t>
      </w:r>
      <w:r w:rsidR="004D721D">
        <w:rPr>
          <w:sz w:val="22"/>
          <w:szCs w:val="22"/>
        </w:rPr>
        <w:t xml:space="preserve"> is</w:t>
      </w:r>
      <w:r w:rsidR="000248F0">
        <w:rPr>
          <w:sz w:val="22"/>
          <w:szCs w:val="22"/>
        </w:rPr>
        <w:t xml:space="preserve"> currently clearly</w:t>
      </w:r>
      <w:r w:rsidR="004D721D">
        <w:rPr>
          <w:sz w:val="22"/>
          <w:szCs w:val="22"/>
        </w:rPr>
        <w:t xml:space="preserve"> on the radar of the Schools Forum and its working groups. The Schools Forum has a specific SEN Reference Group in place, made up of representatives across the high </w:t>
      </w:r>
      <w:r w:rsidR="000248F0">
        <w:rPr>
          <w:sz w:val="22"/>
          <w:szCs w:val="22"/>
        </w:rPr>
        <w:t>needs sector in Bradford. This g</w:t>
      </w:r>
      <w:r w:rsidR="004D721D">
        <w:rPr>
          <w:sz w:val="22"/>
          <w:szCs w:val="22"/>
        </w:rPr>
        <w:t>roup has begun to discuss the possible implicat</w:t>
      </w:r>
      <w:r w:rsidR="000248F0">
        <w:rPr>
          <w:sz w:val="22"/>
          <w:szCs w:val="22"/>
        </w:rPr>
        <w:t>ions and risks associated with funding changes and</w:t>
      </w:r>
      <w:r w:rsidR="004D721D">
        <w:rPr>
          <w:sz w:val="22"/>
          <w:szCs w:val="22"/>
        </w:rPr>
        <w:t xml:space="preserve"> other key matters, including the</w:t>
      </w:r>
      <w:r w:rsidR="00642B61">
        <w:rPr>
          <w:sz w:val="22"/>
          <w:szCs w:val="22"/>
        </w:rPr>
        <w:t xml:space="preserve"> sufficiency of places</w:t>
      </w:r>
      <w:r w:rsidR="004D721D">
        <w:rPr>
          <w:sz w:val="22"/>
          <w:szCs w:val="22"/>
        </w:rPr>
        <w:t>.</w:t>
      </w:r>
    </w:p>
    <w:p w:rsidR="00642B61" w:rsidRDefault="00642B61" w:rsidP="0094692E">
      <w:pPr>
        <w:jc w:val="both"/>
        <w:rPr>
          <w:sz w:val="22"/>
          <w:szCs w:val="22"/>
        </w:rPr>
      </w:pPr>
    </w:p>
    <w:p w:rsidR="00ED4EC7" w:rsidRDefault="003A6060" w:rsidP="0094692E">
      <w:pPr>
        <w:jc w:val="both"/>
        <w:rPr>
          <w:sz w:val="22"/>
          <w:szCs w:val="22"/>
        </w:rPr>
      </w:pPr>
      <w:r>
        <w:rPr>
          <w:sz w:val="22"/>
          <w:szCs w:val="22"/>
        </w:rPr>
        <w:t>1.5</w:t>
      </w:r>
      <w:r w:rsidR="009B76F4">
        <w:rPr>
          <w:sz w:val="22"/>
          <w:szCs w:val="22"/>
        </w:rPr>
        <w:t xml:space="preserve"> The DfE has announced that 2016/17 is a ‘stand-still’ year and no major technical changes are being made to the funding framework in so far as this affects high needs providers.</w:t>
      </w:r>
      <w:r w:rsidR="0025415A">
        <w:rPr>
          <w:sz w:val="22"/>
          <w:szCs w:val="22"/>
        </w:rPr>
        <w:t xml:space="preserve"> By stand still:</w:t>
      </w:r>
    </w:p>
    <w:p w:rsidR="0025415A" w:rsidRDefault="0025415A" w:rsidP="0094692E">
      <w:pPr>
        <w:jc w:val="both"/>
        <w:rPr>
          <w:sz w:val="22"/>
          <w:szCs w:val="22"/>
        </w:rPr>
      </w:pPr>
    </w:p>
    <w:p w:rsidR="0025415A" w:rsidRDefault="0025415A" w:rsidP="0025415A">
      <w:pPr>
        <w:pStyle w:val="ListParagraph"/>
        <w:numPr>
          <w:ilvl w:val="0"/>
          <w:numId w:val="35"/>
        </w:numPr>
        <w:jc w:val="both"/>
        <w:rPr>
          <w:sz w:val="22"/>
          <w:szCs w:val="22"/>
        </w:rPr>
      </w:pPr>
      <w:r w:rsidRPr="0025415A">
        <w:rPr>
          <w:sz w:val="22"/>
          <w:szCs w:val="22"/>
        </w:rPr>
        <w:t>DSG per pupil rates of funding (Schools Block and Early Years Block) are expected to remain at 2015/16 levels (cash flat). The Schools Block rate has been confirmed at cash flat</w:t>
      </w:r>
      <w:r w:rsidR="00005E46">
        <w:rPr>
          <w:sz w:val="22"/>
          <w:szCs w:val="22"/>
        </w:rPr>
        <w:t>.</w:t>
      </w:r>
    </w:p>
    <w:p w:rsidR="00005E46" w:rsidRPr="0025415A" w:rsidRDefault="00005E46" w:rsidP="00005E46">
      <w:pPr>
        <w:pStyle w:val="ListParagraph"/>
        <w:jc w:val="both"/>
        <w:rPr>
          <w:sz w:val="22"/>
          <w:szCs w:val="22"/>
        </w:rPr>
      </w:pPr>
    </w:p>
    <w:p w:rsidR="0025415A" w:rsidRDefault="0025415A" w:rsidP="0025415A">
      <w:pPr>
        <w:pStyle w:val="ListParagraph"/>
        <w:numPr>
          <w:ilvl w:val="0"/>
          <w:numId w:val="35"/>
        </w:numPr>
        <w:jc w:val="both"/>
        <w:rPr>
          <w:sz w:val="22"/>
          <w:szCs w:val="22"/>
        </w:rPr>
      </w:pPr>
      <w:r w:rsidRPr="0025415A">
        <w:rPr>
          <w:sz w:val="22"/>
          <w:szCs w:val="22"/>
        </w:rPr>
        <w:t xml:space="preserve">The DfE has said in its guidance that authorities cannot claim additional funding for additional </w:t>
      </w:r>
      <w:r>
        <w:rPr>
          <w:sz w:val="22"/>
          <w:szCs w:val="22"/>
        </w:rPr>
        <w:t xml:space="preserve">high needs </w:t>
      </w:r>
      <w:r w:rsidRPr="0025415A">
        <w:rPr>
          <w:sz w:val="22"/>
          <w:szCs w:val="22"/>
        </w:rPr>
        <w:t xml:space="preserve">places and that increases in High Needs Block funding for demographic growth are unlikely i.e. Bradford will not receive any further HNB funding on </w:t>
      </w:r>
      <w:r w:rsidR="00770616">
        <w:rPr>
          <w:sz w:val="22"/>
          <w:szCs w:val="22"/>
        </w:rPr>
        <w:t>20</w:t>
      </w:r>
      <w:r w:rsidRPr="0025415A">
        <w:rPr>
          <w:sz w:val="22"/>
          <w:szCs w:val="22"/>
        </w:rPr>
        <w:t>15/16 levels</w:t>
      </w:r>
      <w:r w:rsidR="00005E46">
        <w:rPr>
          <w:sz w:val="22"/>
          <w:szCs w:val="22"/>
        </w:rPr>
        <w:t>.</w:t>
      </w:r>
    </w:p>
    <w:p w:rsidR="00005E46" w:rsidRPr="0025415A" w:rsidRDefault="00005E46" w:rsidP="00005E46">
      <w:pPr>
        <w:pStyle w:val="ListParagraph"/>
        <w:jc w:val="both"/>
        <w:rPr>
          <w:sz w:val="22"/>
          <w:szCs w:val="22"/>
        </w:rPr>
      </w:pPr>
    </w:p>
    <w:p w:rsidR="0025415A" w:rsidRPr="0025415A" w:rsidRDefault="0025415A" w:rsidP="0025415A">
      <w:pPr>
        <w:pStyle w:val="ListParagraph"/>
        <w:numPr>
          <w:ilvl w:val="0"/>
          <w:numId w:val="35"/>
        </w:numPr>
        <w:jc w:val="both"/>
        <w:rPr>
          <w:sz w:val="22"/>
          <w:szCs w:val="22"/>
        </w:rPr>
      </w:pPr>
      <w:r w:rsidRPr="0025415A">
        <w:rPr>
          <w:sz w:val="22"/>
          <w:szCs w:val="22"/>
        </w:rPr>
        <w:t>The Minimum Funding Guarantee</w:t>
      </w:r>
      <w:r>
        <w:rPr>
          <w:sz w:val="22"/>
          <w:szCs w:val="22"/>
        </w:rPr>
        <w:t>, including for special school funding,</w:t>
      </w:r>
      <w:r w:rsidRPr="0025415A">
        <w:rPr>
          <w:sz w:val="22"/>
          <w:szCs w:val="22"/>
        </w:rPr>
        <w:t xml:space="preserve"> is set again at minus 1.5%</w:t>
      </w:r>
      <w:r w:rsidR="00005E46">
        <w:rPr>
          <w:sz w:val="22"/>
          <w:szCs w:val="22"/>
        </w:rPr>
        <w:t>.</w:t>
      </w:r>
    </w:p>
    <w:p w:rsidR="00143BA6" w:rsidRDefault="00143BA6" w:rsidP="0094692E">
      <w:pPr>
        <w:jc w:val="both"/>
        <w:rPr>
          <w:sz w:val="22"/>
          <w:szCs w:val="22"/>
        </w:rPr>
      </w:pPr>
    </w:p>
    <w:p w:rsidR="00770616" w:rsidRDefault="003A6060" w:rsidP="00134169">
      <w:pPr>
        <w:jc w:val="both"/>
        <w:rPr>
          <w:sz w:val="22"/>
          <w:szCs w:val="22"/>
        </w:rPr>
      </w:pPr>
      <w:r>
        <w:rPr>
          <w:sz w:val="22"/>
          <w:szCs w:val="22"/>
        </w:rPr>
        <w:t>1.6</w:t>
      </w:r>
      <w:r w:rsidR="00143BA6" w:rsidRPr="00AD1A09">
        <w:rPr>
          <w:sz w:val="22"/>
          <w:szCs w:val="22"/>
        </w:rPr>
        <w:t xml:space="preserve"> </w:t>
      </w:r>
      <w:r w:rsidR="00AD3551">
        <w:rPr>
          <w:sz w:val="22"/>
          <w:szCs w:val="22"/>
        </w:rPr>
        <w:t>No change means that</w:t>
      </w:r>
      <w:r w:rsidR="00770616">
        <w:rPr>
          <w:sz w:val="22"/>
          <w:szCs w:val="22"/>
        </w:rPr>
        <w:t xml:space="preserve"> we continue to have complete flexibility in how we</w:t>
      </w:r>
      <w:r w:rsidR="00AD3551">
        <w:rPr>
          <w:sz w:val="22"/>
          <w:szCs w:val="22"/>
        </w:rPr>
        <w:t xml:space="preserve"> define an</w:t>
      </w:r>
      <w:r w:rsidR="000248F0">
        <w:rPr>
          <w:sz w:val="22"/>
          <w:szCs w:val="22"/>
        </w:rPr>
        <w:t>d fund levels of need</w:t>
      </w:r>
      <w:r w:rsidR="00AD3551">
        <w:rPr>
          <w:sz w:val="22"/>
          <w:szCs w:val="22"/>
        </w:rPr>
        <w:t xml:space="preserve">. It is the Authority’s view that our current Place-Plus funding system is still robust and fit </w:t>
      </w:r>
      <w:r w:rsidR="00BA0282">
        <w:rPr>
          <w:sz w:val="22"/>
          <w:szCs w:val="22"/>
        </w:rPr>
        <w:t>for purpose. As a result, we propose to make</w:t>
      </w:r>
      <w:r w:rsidR="00AD3551">
        <w:rPr>
          <w:sz w:val="22"/>
          <w:szCs w:val="22"/>
        </w:rPr>
        <w:t xml:space="preserve"> only minor adjustments to the structure of </w:t>
      </w:r>
      <w:r w:rsidR="000248F0">
        <w:rPr>
          <w:sz w:val="22"/>
          <w:szCs w:val="22"/>
        </w:rPr>
        <w:t>our funding approach</w:t>
      </w:r>
      <w:r w:rsidR="00AD3551">
        <w:rPr>
          <w:sz w:val="22"/>
          <w:szCs w:val="22"/>
        </w:rPr>
        <w:t xml:space="preserve">. These proposals are </w:t>
      </w:r>
      <w:r w:rsidR="00AD3551" w:rsidRPr="00015B45">
        <w:rPr>
          <w:sz w:val="22"/>
          <w:szCs w:val="22"/>
        </w:rPr>
        <w:t>explained in paragraph</w:t>
      </w:r>
      <w:r w:rsidR="00015B45" w:rsidRPr="00015B45">
        <w:rPr>
          <w:sz w:val="22"/>
          <w:szCs w:val="22"/>
        </w:rPr>
        <w:t xml:space="preserve"> 6</w:t>
      </w:r>
      <w:r w:rsidR="00005E46" w:rsidRPr="00015B45">
        <w:rPr>
          <w:sz w:val="22"/>
          <w:szCs w:val="22"/>
        </w:rPr>
        <w:t>.</w:t>
      </w:r>
    </w:p>
    <w:p w:rsidR="00770616" w:rsidRDefault="00770616" w:rsidP="00134169">
      <w:pPr>
        <w:jc w:val="both"/>
        <w:rPr>
          <w:sz w:val="22"/>
          <w:szCs w:val="22"/>
        </w:rPr>
      </w:pPr>
    </w:p>
    <w:p w:rsidR="00770616" w:rsidRDefault="003A6060" w:rsidP="00134169">
      <w:pPr>
        <w:jc w:val="both"/>
        <w:rPr>
          <w:sz w:val="22"/>
          <w:szCs w:val="22"/>
        </w:rPr>
      </w:pPr>
      <w:r>
        <w:rPr>
          <w:sz w:val="22"/>
          <w:szCs w:val="22"/>
        </w:rPr>
        <w:t>1.7</w:t>
      </w:r>
      <w:r w:rsidR="00005E46">
        <w:rPr>
          <w:sz w:val="22"/>
          <w:szCs w:val="22"/>
        </w:rPr>
        <w:t xml:space="preserve"> The</w:t>
      </w:r>
      <w:r w:rsidR="00AD3551">
        <w:rPr>
          <w:sz w:val="22"/>
          <w:szCs w:val="22"/>
        </w:rPr>
        <w:t xml:space="preserve"> challenging aspect of</w:t>
      </w:r>
      <w:r w:rsidR="00005E46">
        <w:rPr>
          <w:sz w:val="22"/>
          <w:szCs w:val="22"/>
        </w:rPr>
        <w:t xml:space="preserve"> the 2016/17 funding position will be</w:t>
      </w:r>
      <w:r w:rsidR="00AD3551">
        <w:rPr>
          <w:sz w:val="22"/>
          <w:szCs w:val="22"/>
        </w:rPr>
        <w:t xml:space="preserve"> managing the additional financial pressure brought into the DSG as a result of needing to fund additional high needs places from </w:t>
      </w:r>
      <w:r w:rsidR="000248F0">
        <w:rPr>
          <w:sz w:val="22"/>
          <w:szCs w:val="22"/>
        </w:rPr>
        <w:t xml:space="preserve">a </w:t>
      </w:r>
      <w:r w:rsidR="00AD3551">
        <w:rPr>
          <w:sz w:val="22"/>
          <w:szCs w:val="22"/>
        </w:rPr>
        <w:t>cash</w:t>
      </w:r>
      <w:r w:rsidR="000248F0">
        <w:rPr>
          <w:sz w:val="22"/>
          <w:szCs w:val="22"/>
        </w:rPr>
        <w:t xml:space="preserve"> flat</w:t>
      </w:r>
      <w:r w:rsidR="00AD3551">
        <w:rPr>
          <w:sz w:val="22"/>
          <w:szCs w:val="22"/>
        </w:rPr>
        <w:t xml:space="preserve"> funding position. This will dominate the Schools Forum’s discu</w:t>
      </w:r>
      <w:r w:rsidR="000248F0">
        <w:rPr>
          <w:sz w:val="22"/>
          <w:szCs w:val="22"/>
        </w:rPr>
        <w:t>ssions</w:t>
      </w:r>
      <w:r w:rsidR="00AD3551">
        <w:rPr>
          <w:sz w:val="22"/>
          <w:szCs w:val="22"/>
        </w:rPr>
        <w:t xml:space="preserve"> on the 2016/17 DSG allocation. This may (is </w:t>
      </w:r>
      <w:r w:rsidR="00AD3551">
        <w:rPr>
          <w:sz w:val="22"/>
          <w:szCs w:val="22"/>
        </w:rPr>
        <w:lastRenderedPageBreak/>
        <w:t>likely) to require a reduction in the values of funding rates across all 3 DSG Blocks, including a reduction in the top up ‘Plus’ rates for high needs providers. Providers are encouraged to keep track of the School Forum’s discussion over the autumn term. The Forum will make its final recommendations at its meeting on 6 January 2016.</w:t>
      </w:r>
      <w:r w:rsidR="000248F0">
        <w:rPr>
          <w:sz w:val="22"/>
          <w:szCs w:val="22"/>
        </w:rPr>
        <w:t xml:space="preserve"> The Authority has met</w:t>
      </w:r>
      <w:r w:rsidR="00A71186">
        <w:rPr>
          <w:sz w:val="22"/>
          <w:szCs w:val="22"/>
        </w:rPr>
        <w:t xml:space="preserve"> with the District Achievement Partnership to further</w:t>
      </w:r>
      <w:r w:rsidR="00005E46">
        <w:rPr>
          <w:sz w:val="22"/>
          <w:szCs w:val="22"/>
        </w:rPr>
        <w:t xml:space="preserve"> discuss</w:t>
      </w:r>
      <w:r w:rsidR="00A71186">
        <w:rPr>
          <w:sz w:val="22"/>
          <w:szCs w:val="22"/>
        </w:rPr>
        <w:t>, where reductions to Plus</w:t>
      </w:r>
      <w:r w:rsidR="00005E46">
        <w:rPr>
          <w:sz w:val="22"/>
          <w:szCs w:val="22"/>
        </w:rPr>
        <w:t xml:space="preserve"> rates are needed, </w:t>
      </w:r>
      <w:r w:rsidR="000248F0">
        <w:rPr>
          <w:sz w:val="22"/>
          <w:szCs w:val="22"/>
        </w:rPr>
        <w:t>how these reductions could be</w:t>
      </w:r>
      <w:r w:rsidR="00A71186">
        <w:rPr>
          <w:sz w:val="22"/>
          <w:szCs w:val="22"/>
        </w:rPr>
        <w:t xml:space="preserve"> taken i.e. whether all</w:t>
      </w:r>
      <w:r w:rsidR="00005E46">
        <w:rPr>
          <w:sz w:val="22"/>
          <w:szCs w:val="22"/>
        </w:rPr>
        <w:t xml:space="preserve"> rates</w:t>
      </w:r>
      <w:r w:rsidR="000248F0">
        <w:rPr>
          <w:sz w:val="22"/>
          <w:szCs w:val="22"/>
        </w:rPr>
        <w:t xml:space="preserve"> in all 7 Ranges</w:t>
      </w:r>
      <w:r w:rsidR="00005E46">
        <w:rPr>
          <w:sz w:val="22"/>
          <w:szCs w:val="22"/>
        </w:rPr>
        <w:t xml:space="preserve"> are adjusted or whether some form of</w:t>
      </w:r>
      <w:r w:rsidR="00A71186">
        <w:rPr>
          <w:sz w:val="22"/>
          <w:szCs w:val="22"/>
        </w:rPr>
        <w:t xml:space="preserve"> sliding-scale approach is applied.</w:t>
      </w:r>
    </w:p>
    <w:p w:rsidR="00784633" w:rsidRDefault="00784633" w:rsidP="0094692E">
      <w:pPr>
        <w:jc w:val="both"/>
        <w:rPr>
          <w:sz w:val="22"/>
          <w:szCs w:val="22"/>
        </w:rPr>
      </w:pPr>
    </w:p>
    <w:p w:rsidR="00755625" w:rsidRDefault="003A6060" w:rsidP="00755625">
      <w:pPr>
        <w:jc w:val="both"/>
        <w:rPr>
          <w:sz w:val="22"/>
          <w:szCs w:val="22"/>
        </w:rPr>
      </w:pPr>
      <w:r>
        <w:rPr>
          <w:sz w:val="22"/>
          <w:szCs w:val="22"/>
        </w:rPr>
        <w:t>1.8</w:t>
      </w:r>
      <w:r w:rsidR="00755625">
        <w:rPr>
          <w:sz w:val="22"/>
          <w:szCs w:val="22"/>
        </w:rPr>
        <w:t xml:space="preserve"> The deadline for responses to this consultation is </w:t>
      </w:r>
      <w:r w:rsidR="00755625">
        <w:rPr>
          <w:b/>
          <w:sz w:val="22"/>
          <w:szCs w:val="22"/>
        </w:rPr>
        <w:t>Mon</w:t>
      </w:r>
      <w:r w:rsidR="003569B5">
        <w:rPr>
          <w:b/>
          <w:sz w:val="22"/>
          <w:szCs w:val="22"/>
        </w:rPr>
        <w:t>day 30 November</w:t>
      </w:r>
      <w:r w:rsidR="00755625" w:rsidRPr="00AA0283">
        <w:rPr>
          <w:b/>
          <w:sz w:val="22"/>
          <w:szCs w:val="22"/>
        </w:rPr>
        <w:t xml:space="preserve"> 201</w:t>
      </w:r>
      <w:r w:rsidR="003569B5">
        <w:rPr>
          <w:b/>
          <w:sz w:val="22"/>
          <w:szCs w:val="22"/>
        </w:rPr>
        <w:t>5</w:t>
      </w:r>
      <w:r w:rsidR="00755625" w:rsidRPr="000F13C5">
        <w:rPr>
          <w:sz w:val="22"/>
          <w:szCs w:val="22"/>
        </w:rPr>
        <w:t xml:space="preserve">. </w:t>
      </w:r>
      <w:r w:rsidR="00755625">
        <w:rPr>
          <w:sz w:val="22"/>
          <w:szCs w:val="22"/>
        </w:rPr>
        <w:t>Please address all questions and response</w:t>
      </w:r>
      <w:r w:rsidR="003569B5">
        <w:rPr>
          <w:sz w:val="22"/>
          <w:szCs w:val="22"/>
        </w:rPr>
        <w:t>s to Andrew Redding 01274 432678</w:t>
      </w:r>
      <w:r w:rsidR="00755625">
        <w:rPr>
          <w:sz w:val="22"/>
          <w:szCs w:val="22"/>
        </w:rPr>
        <w:t xml:space="preserve"> </w:t>
      </w:r>
      <w:hyperlink r:id="rId9" w:history="1">
        <w:r w:rsidR="00755625" w:rsidRPr="009435DC">
          <w:rPr>
            <w:rStyle w:val="Hyperlink"/>
            <w:sz w:val="22"/>
            <w:szCs w:val="22"/>
          </w:rPr>
          <w:t>andrew.redding@bradford.gov.uk</w:t>
        </w:r>
      </w:hyperlink>
      <w:r w:rsidR="00755625">
        <w:rPr>
          <w:sz w:val="22"/>
          <w:szCs w:val="22"/>
        </w:rPr>
        <w:t xml:space="preserve">. </w:t>
      </w:r>
      <w:r w:rsidR="00755625" w:rsidRPr="00896A65">
        <w:rPr>
          <w:sz w:val="22"/>
          <w:szCs w:val="22"/>
        </w:rPr>
        <w:t xml:space="preserve">A response form is </w:t>
      </w:r>
      <w:r w:rsidR="008A2C3A">
        <w:rPr>
          <w:sz w:val="22"/>
          <w:szCs w:val="22"/>
        </w:rPr>
        <w:t>included at Appendix 2</w:t>
      </w:r>
      <w:r w:rsidR="00755625" w:rsidRPr="00E13360">
        <w:rPr>
          <w:sz w:val="22"/>
          <w:szCs w:val="22"/>
        </w:rPr>
        <w:t>.</w:t>
      </w:r>
    </w:p>
    <w:p w:rsidR="000F76DD" w:rsidRDefault="000F76DD" w:rsidP="00755625">
      <w:pPr>
        <w:jc w:val="both"/>
        <w:rPr>
          <w:sz w:val="22"/>
          <w:szCs w:val="22"/>
        </w:rPr>
      </w:pPr>
    </w:p>
    <w:p w:rsidR="00755625" w:rsidRDefault="00755625" w:rsidP="0094692E">
      <w:pPr>
        <w:jc w:val="both"/>
        <w:rPr>
          <w:sz w:val="22"/>
          <w:szCs w:val="22"/>
        </w:rPr>
      </w:pPr>
    </w:p>
    <w:p w:rsidR="00755625" w:rsidRPr="00295D12" w:rsidRDefault="00755625" w:rsidP="00221195">
      <w:pPr>
        <w:jc w:val="both"/>
        <w:rPr>
          <w:b/>
          <w:sz w:val="22"/>
          <w:szCs w:val="22"/>
        </w:rPr>
      </w:pPr>
      <w:r>
        <w:rPr>
          <w:b/>
          <w:sz w:val="22"/>
          <w:szCs w:val="22"/>
        </w:rPr>
        <w:t>2</w:t>
      </w:r>
      <w:r w:rsidRPr="00755625">
        <w:rPr>
          <w:b/>
          <w:sz w:val="22"/>
          <w:szCs w:val="22"/>
        </w:rPr>
        <w:t>.</w:t>
      </w:r>
      <w:r w:rsidRPr="00755625">
        <w:rPr>
          <w:b/>
          <w:sz w:val="22"/>
          <w:szCs w:val="22"/>
        </w:rPr>
        <w:tab/>
        <w:t xml:space="preserve">High Needs Block </w:t>
      </w:r>
      <w:r w:rsidR="00805F14">
        <w:rPr>
          <w:b/>
          <w:sz w:val="22"/>
          <w:szCs w:val="22"/>
        </w:rPr>
        <w:t xml:space="preserve">Rates Comparisons, </w:t>
      </w:r>
      <w:r w:rsidRPr="00755625">
        <w:rPr>
          <w:b/>
          <w:sz w:val="22"/>
          <w:szCs w:val="22"/>
        </w:rPr>
        <w:t xml:space="preserve">Cost Pressures </w:t>
      </w:r>
      <w:r w:rsidR="00E04E27">
        <w:rPr>
          <w:b/>
          <w:sz w:val="22"/>
          <w:szCs w:val="22"/>
        </w:rPr>
        <w:t>(and Sustainability)</w:t>
      </w:r>
    </w:p>
    <w:p w:rsidR="00755625" w:rsidRDefault="00755625" w:rsidP="00221195">
      <w:pPr>
        <w:jc w:val="both"/>
        <w:rPr>
          <w:sz w:val="22"/>
          <w:szCs w:val="22"/>
        </w:rPr>
      </w:pPr>
    </w:p>
    <w:p w:rsidR="00CF5964" w:rsidRDefault="00295D12" w:rsidP="00221195">
      <w:pPr>
        <w:jc w:val="both"/>
        <w:rPr>
          <w:sz w:val="22"/>
          <w:szCs w:val="22"/>
        </w:rPr>
      </w:pPr>
      <w:r>
        <w:rPr>
          <w:sz w:val="22"/>
          <w:szCs w:val="22"/>
        </w:rPr>
        <w:t>2.1</w:t>
      </w:r>
      <w:r w:rsidR="00755625">
        <w:rPr>
          <w:sz w:val="22"/>
          <w:szCs w:val="22"/>
        </w:rPr>
        <w:t xml:space="preserve"> </w:t>
      </w:r>
      <w:r w:rsidR="00BC5AB5" w:rsidRPr="005C736F">
        <w:rPr>
          <w:sz w:val="22"/>
          <w:szCs w:val="22"/>
        </w:rPr>
        <w:t xml:space="preserve">The values </w:t>
      </w:r>
      <w:r w:rsidR="000248F0">
        <w:rPr>
          <w:sz w:val="22"/>
          <w:szCs w:val="22"/>
        </w:rPr>
        <w:t>of formula factors quoted in this</w:t>
      </w:r>
      <w:r w:rsidR="00BC5AB5" w:rsidRPr="005C736F">
        <w:rPr>
          <w:sz w:val="22"/>
          <w:szCs w:val="22"/>
        </w:rPr>
        <w:t xml:space="preserve"> document e.g. the value</w:t>
      </w:r>
      <w:r w:rsidR="00CF5964">
        <w:rPr>
          <w:sz w:val="22"/>
          <w:szCs w:val="22"/>
        </w:rPr>
        <w:t>s</w:t>
      </w:r>
      <w:r w:rsidR="00BC5AB5" w:rsidRPr="005C736F">
        <w:rPr>
          <w:sz w:val="22"/>
          <w:szCs w:val="22"/>
        </w:rPr>
        <w:t xml:space="preserve"> of ‘Plus’ funding by Range</w:t>
      </w:r>
      <w:r w:rsidR="008A2C3A">
        <w:rPr>
          <w:sz w:val="22"/>
          <w:szCs w:val="22"/>
        </w:rPr>
        <w:t xml:space="preserve"> shown in Appendix 1</w:t>
      </w:r>
      <w:r w:rsidR="00BC5AB5" w:rsidRPr="005C736F">
        <w:rPr>
          <w:sz w:val="22"/>
          <w:szCs w:val="22"/>
        </w:rPr>
        <w:t>, are in</w:t>
      </w:r>
      <w:r w:rsidR="00CF5964">
        <w:rPr>
          <w:sz w:val="22"/>
          <w:szCs w:val="22"/>
        </w:rPr>
        <w:t>dicative only</w:t>
      </w:r>
      <w:r w:rsidR="000248F0">
        <w:rPr>
          <w:sz w:val="22"/>
          <w:szCs w:val="22"/>
        </w:rPr>
        <w:t xml:space="preserve"> for 2016/17</w:t>
      </w:r>
      <w:r w:rsidR="00BC5AB5" w:rsidRPr="005C736F">
        <w:rPr>
          <w:sz w:val="22"/>
          <w:szCs w:val="22"/>
        </w:rPr>
        <w:t xml:space="preserve">. In particular, these </w:t>
      </w:r>
      <w:r w:rsidR="002A5334" w:rsidRPr="005C736F">
        <w:rPr>
          <w:sz w:val="22"/>
          <w:szCs w:val="22"/>
        </w:rPr>
        <w:t xml:space="preserve">values </w:t>
      </w:r>
      <w:r w:rsidR="00BC5AB5" w:rsidRPr="005C736F">
        <w:rPr>
          <w:sz w:val="22"/>
          <w:szCs w:val="22"/>
        </w:rPr>
        <w:t xml:space="preserve">will be subject to the </w:t>
      </w:r>
      <w:r w:rsidR="00CF5964">
        <w:rPr>
          <w:sz w:val="22"/>
          <w:szCs w:val="22"/>
        </w:rPr>
        <w:t xml:space="preserve">School </w:t>
      </w:r>
      <w:r w:rsidR="00B71B3A">
        <w:rPr>
          <w:sz w:val="22"/>
          <w:szCs w:val="22"/>
        </w:rPr>
        <w:t>Forum’s management of</w:t>
      </w:r>
      <w:r w:rsidR="00BC5AB5" w:rsidRPr="005C736F">
        <w:rPr>
          <w:sz w:val="22"/>
          <w:szCs w:val="22"/>
        </w:rPr>
        <w:t xml:space="preserve"> costs p</w:t>
      </w:r>
      <w:r w:rsidR="003569B5">
        <w:rPr>
          <w:sz w:val="22"/>
          <w:szCs w:val="22"/>
        </w:rPr>
        <w:t>ressures within the DSG</w:t>
      </w:r>
      <w:r w:rsidR="00BC5AB5" w:rsidRPr="005C736F">
        <w:rPr>
          <w:sz w:val="22"/>
          <w:szCs w:val="22"/>
        </w:rPr>
        <w:t xml:space="preserve">. </w:t>
      </w:r>
    </w:p>
    <w:p w:rsidR="0013458E" w:rsidRDefault="0013458E" w:rsidP="00221195">
      <w:pPr>
        <w:jc w:val="both"/>
        <w:rPr>
          <w:sz w:val="22"/>
          <w:szCs w:val="22"/>
        </w:rPr>
      </w:pPr>
    </w:p>
    <w:p w:rsidR="0013458E" w:rsidRPr="00F201DC" w:rsidRDefault="003569B5" w:rsidP="00221195">
      <w:pPr>
        <w:jc w:val="both"/>
        <w:rPr>
          <w:sz w:val="22"/>
          <w:szCs w:val="22"/>
        </w:rPr>
      </w:pPr>
      <w:r>
        <w:rPr>
          <w:sz w:val="22"/>
          <w:szCs w:val="22"/>
        </w:rPr>
        <w:t>2.2</w:t>
      </w:r>
      <w:r w:rsidR="0013458E" w:rsidRPr="00F201DC">
        <w:rPr>
          <w:sz w:val="22"/>
          <w:szCs w:val="22"/>
        </w:rPr>
        <w:t xml:space="preserve"> </w:t>
      </w:r>
      <w:r w:rsidR="003B38E1" w:rsidRPr="00F201DC">
        <w:rPr>
          <w:sz w:val="22"/>
          <w:szCs w:val="22"/>
        </w:rPr>
        <w:t>The Authority’s benchmarking of Top up (Plus element) rates against other</w:t>
      </w:r>
      <w:r>
        <w:rPr>
          <w:sz w:val="22"/>
          <w:szCs w:val="22"/>
        </w:rPr>
        <w:t xml:space="preserve"> authorities shows that our 2015/16</w:t>
      </w:r>
      <w:r w:rsidR="003B38E1" w:rsidRPr="00F201DC">
        <w:rPr>
          <w:sz w:val="22"/>
          <w:szCs w:val="22"/>
        </w:rPr>
        <w:t xml:space="preserve"> rates </w:t>
      </w:r>
      <w:r w:rsidR="000248F0">
        <w:rPr>
          <w:sz w:val="22"/>
          <w:szCs w:val="22"/>
        </w:rPr>
        <w:t>can be said,</w:t>
      </w:r>
      <w:r w:rsidR="0070092D">
        <w:rPr>
          <w:sz w:val="22"/>
          <w:szCs w:val="22"/>
        </w:rPr>
        <w:t xml:space="preserve"> at the very least</w:t>
      </w:r>
      <w:r w:rsidR="000248F0">
        <w:rPr>
          <w:sz w:val="22"/>
          <w:szCs w:val="22"/>
        </w:rPr>
        <w:t>,</w:t>
      </w:r>
      <w:r w:rsidR="0070092D">
        <w:rPr>
          <w:sz w:val="22"/>
          <w:szCs w:val="22"/>
        </w:rPr>
        <w:t xml:space="preserve"> </w:t>
      </w:r>
      <w:r w:rsidR="000248F0">
        <w:rPr>
          <w:sz w:val="22"/>
          <w:szCs w:val="22"/>
        </w:rPr>
        <w:t xml:space="preserve">to be </w:t>
      </w:r>
      <w:r w:rsidR="0070092D">
        <w:rPr>
          <w:sz w:val="22"/>
          <w:szCs w:val="22"/>
        </w:rPr>
        <w:t xml:space="preserve">comparable </w:t>
      </w:r>
      <w:r w:rsidR="003B38E1" w:rsidRPr="00F201DC">
        <w:rPr>
          <w:sz w:val="22"/>
          <w:szCs w:val="22"/>
        </w:rPr>
        <w:t>for both SEN and Alternative Provisions.</w:t>
      </w:r>
      <w:r w:rsidR="002E3A2B" w:rsidRPr="00F201DC">
        <w:rPr>
          <w:sz w:val="22"/>
          <w:szCs w:val="22"/>
        </w:rPr>
        <w:t xml:space="preserve"> Accepting the limitations of the data taken from Section 251 </w:t>
      </w:r>
      <w:r w:rsidR="005F3362" w:rsidRPr="00F201DC">
        <w:rPr>
          <w:sz w:val="22"/>
          <w:szCs w:val="22"/>
        </w:rPr>
        <w:t xml:space="preserve">Planned </w:t>
      </w:r>
      <w:r w:rsidR="002E3A2B" w:rsidRPr="00F201DC">
        <w:rPr>
          <w:sz w:val="22"/>
          <w:szCs w:val="22"/>
        </w:rPr>
        <w:t>Budget returns,</w:t>
      </w:r>
      <w:r w:rsidR="00720192">
        <w:rPr>
          <w:sz w:val="22"/>
          <w:szCs w:val="22"/>
        </w:rPr>
        <w:t xml:space="preserve"> and that this makes no reference to differences in levels of need between authorities or </w:t>
      </w:r>
      <w:r w:rsidR="001C0A4A">
        <w:rPr>
          <w:sz w:val="22"/>
          <w:szCs w:val="22"/>
        </w:rPr>
        <w:t xml:space="preserve">in </w:t>
      </w:r>
      <w:r w:rsidR="00720192">
        <w:rPr>
          <w:sz w:val="22"/>
          <w:szCs w:val="22"/>
        </w:rPr>
        <w:t>how provision is delivered</w:t>
      </w:r>
      <w:r w:rsidR="004B5FA9">
        <w:rPr>
          <w:sz w:val="22"/>
          <w:szCs w:val="22"/>
        </w:rPr>
        <w:t xml:space="preserve"> or the nature of PRU provision</w:t>
      </w:r>
      <w:r w:rsidR="00720192">
        <w:rPr>
          <w:sz w:val="22"/>
          <w:szCs w:val="22"/>
        </w:rPr>
        <w:t>,</w:t>
      </w:r>
      <w:r w:rsidR="002E3A2B" w:rsidRPr="00F201DC">
        <w:rPr>
          <w:sz w:val="22"/>
          <w:szCs w:val="22"/>
        </w:rPr>
        <w:t xml:space="preserve"> this data indicates that our top up rates</w:t>
      </w:r>
      <w:r w:rsidR="006C3997" w:rsidRPr="00F201DC">
        <w:rPr>
          <w:sz w:val="22"/>
          <w:szCs w:val="22"/>
        </w:rPr>
        <w:t xml:space="preserve"> per place</w:t>
      </w:r>
      <w:r w:rsidR="002E3A2B" w:rsidRPr="00F201DC">
        <w:rPr>
          <w:sz w:val="22"/>
          <w:szCs w:val="22"/>
        </w:rPr>
        <w:t xml:space="preserve"> (</w:t>
      </w:r>
      <w:r w:rsidR="006C3997" w:rsidRPr="00F201DC">
        <w:rPr>
          <w:sz w:val="22"/>
          <w:szCs w:val="22"/>
        </w:rPr>
        <w:t xml:space="preserve">this is the </w:t>
      </w:r>
      <w:r w:rsidR="002E3A2B" w:rsidRPr="00F201DC">
        <w:rPr>
          <w:sz w:val="22"/>
          <w:szCs w:val="22"/>
        </w:rPr>
        <w:t>total</w:t>
      </w:r>
      <w:r w:rsidR="006C3997" w:rsidRPr="00F201DC">
        <w:rPr>
          <w:sz w:val="22"/>
          <w:szCs w:val="22"/>
        </w:rPr>
        <w:t xml:space="preserve"> of</w:t>
      </w:r>
      <w:r w:rsidR="002E3A2B" w:rsidRPr="00F201DC">
        <w:rPr>
          <w:sz w:val="22"/>
          <w:szCs w:val="22"/>
        </w:rPr>
        <w:t xml:space="preserve"> funding </w:t>
      </w:r>
      <w:r w:rsidR="006C3997" w:rsidRPr="00F201DC">
        <w:rPr>
          <w:sz w:val="22"/>
          <w:szCs w:val="22"/>
        </w:rPr>
        <w:t xml:space="preserve">allocated </w:t>
      </w:r>
      <w:r w:rsidR="002E3A2B" w:rsidRPr="00F201DC">
        <w:rPr>
          <w:sz w:val="22"/>
          <w:szCs w:val="22"/>
        </w:rPr>
        <w:t xml:space="preserve">in addition to the </w:t>
      </w:r>
      <w:r w:rsidR="006C3997" w:rsidRPr="00F201DC">
        <w:rPr>
          <w:sz w:val="22"/>
          <w:szCs w:val="22"/>
        </w:rPr>
        <w:t xml:space="preserve">nationally set </w:t>
      </w:r>
      <w:r w:rsidR="002E3A2B" w:rsidRPr="00F201DC">
        <w:rPr>
          <w:sz w:val="22"/>
          <w:szCs w:val="22"/>
        </w:rPr>
        <w:t>place-element) compare as follows:</w:t>
      </w:r>
    </w:p>
    <w:p w:rsidR="002E3A2B" w:rsidRDefault="002E3A2B" w:rsidP="00221195">
      <w:pPr>
        <w:jc w:val="both"/>
        <w:rPr>
          <w:color w:val="FF0000"/>
          <w:sz w:val="22"/>
          <w:szCs w:val="22"/>
        </w:rPr>
      </w:pPr>
    </w:p>
    <w:tbl>
      <w:tblPr>
        <w:tblStyle w:val="TableGrid"/>
        <w:tblW w:w="0" w:type="auto"/>
        <w:tblLook w:val="04A0" w:firstRow="1" w:lastRow="0" w:firstColumn="1" w:lastColumn="0" w:noHBand="0" w:noVBand="1"/>
      </w:tblPr>
      <w:tblGrid>
        <w:gridCol w:w="3652"/>
        <w:gridCol w:w="2410"/>
        <w:gridCol w:w="2410"/>
        <w:gridCol w:w="2402"/>
      </w:tblGrid>
      <w:tr w:rsidR="002E3A2B" w:rsidTr="002E3A2B">
        <w:tc>
          <w:tcPr>
            <w:tcW w:w="3652" w:type="dxa"/>
          </w:tcPr>
          <w:p w:rsidR="002E3A2B" w:rsidRPr="002E3A2B" w:rsidRDefault="002E3A2B" w:rsidP="00221195">
            <w:pPr>
              <w:jc w:val="both"/>
              <w:rPr>
                <w:b/>
                <w:sz w:val="22"/>
                <w:szCs w:val="22"/>
              </w:rPr>
            </w:pPr>
          </w:p>
        </w:tc>
        <w:tc>
          <w:tcPr>
            <w:tcW w:w="2410" w:type="dxa"/>
          </w:tcPr>
          <w:p w:rsidR="002E3A2B" w:rsidRPr="002E3A2B" w:rsidRDefault="002E3A2B" w:rsidP="002E3A2B">
            <w:pPr>
              <w:jc w:val="right"/>
              <w:rPr>
                <w:b/>
                <w:sz w:val="22"/>
                <w:szCs w:val="22"/>
              </w:rPr>
            </w:pPr>
            <w:r w:rsidRPr="002E3A2B">
              <w:rPr>
                <w:b/>
                <w:sz w:val="22"/>
                <w:szCs w:val="22"/>
              </w:rPr>
              <w:t>Bradford</w:t>
            </w:r>
          </w:p>
        </w:tc>
        <w:tc>
          <w:tcPr>
            <w:tcW w:w="2410" w:type="dxa"/>
          </w:tcPr>
          <w:p w:rsidR="002E3A2B" w:rsidRPr="002E3A2B" w:rsidRDefault="002E3A2B" w:rsidP="002E3A2B">
            <w:pPr>
              <w:jc w:val="right"/>
              <w:rPr>
                <w:b/>
                <w:sz w:val="22"/>
                <w:szCs w:val="22"/>
              </w:rPr>
            </w:pPr>
            <w:r w:rsidRPr="002E3A2B">
              <w:rPr>
                <w:b/>
                <w:sz w:val="22"/>
                <w:szCs w:val="22"/>
              </w:rPr>
              <w:t>National  Median</w:t>
            </w:r>
          </w:p>
        </w:tc>
        <w:tc>
          <w:tcPr>
            <w:tcW w:w="2402" w:type="dxa"/>
          </w:tcPr>
          <w:p w:rsidR="002E3A2B" w:rsidRPr="002E3A2B" w:rsidRDefault="002E3A2B" w:rsidP="002E3A2B">
            <w:pPr>
              <w:jc w:val="right"/>
              <w:rPr>
                <w:b/>
                <w:sz w:val="22"/>
                <w:szCs w:val="22"/>
              </w:rPr>
            </w:pPr>
            <w:r w:rsidRPr="002E3A2B">
              <w:rPr>
                <w:b/>
                <w:sz w:val="22"/>
                <w:szCs w:val="22"/>
              </w:rPr>
              <w:t xml:space="preserve">Statistical Neighbour Median </w:t>
            </w:r>
          </w:p>
        </w:tc>
      </w:tr>
      <w:tr w:rsidR="002E3A2B" w:rsidTr="002E3A2B">
        <w:tc>
          <w:tcPr>
            <w:tcW w:w="3652" w:type="dxa"/>
          </w:tcPr>
          <w:p w:rsidR="002E3A2B" w:rsidRDefault="002E3A2B" w:rsidP="00221195">
            <w:pPr>
              <w:jc w:val="both"/>
              <w:rPr>
                <w:sz w:val="22"/>
                <w:szCs w:val="22"/>
              </w:rPr>
            </w:pPr>
            <w:r>
              <w:rPr>
                <w:sz w:val="22"/>
                <w:szCs w:val="22"/>
              </w:rPr>
              <w:t>SEN Places</w:t>
            </w:r>
          </w:p>
        </w:tc>
        <w:tc>
          <w:tcPr>
            <w:tcW w:w="2410" w:type="dxa"/>
          </w:tcPr>
          <w:p w:rsidR="002E3A2B" w:rsidRPr="00E22154" w:rsidRDefault="005F3362" w:rsidP="002E3A2B">
            <w:pPr>
              <w:jc w:val="right"/>
              <w:rPr>
                <w:color w:val="000000" w:themeColor="text1"/>
                <w:sz w:val="22"/>
                <w:szCs w:val="22"/>
              </w:rPr>
            </w:pPr>
            <w:r w:rsidRPr="00E22154">
              <w:rPr>
                <w:color w:val="000000" w:themeColor="text1"/>
                <w:sz w:val="22"/>
                <w:szCs w:val="22"/>
              </w:rPr>
              <w:t>£1</w:t>
            </w:r>
            <w:r w:rsidR="00E25B37" w:rsidRPr="00E22154">
              <w:rPr>
                <w:color w:val="000000" w:themeColor="text1"/>
                <w:sz w:val="22"/>
                <w:szCs w:val="22"/>
              </w:rPr>
              <w:t>1,396</w:t>
            </w:r>
          </w:p>
        </w:tc>
        <w:tc>
          <w:tcPr>
            <w:tcW w:w="2410" w:type="dxa"/>
          </w:tcPr>
          <w:p w:rsidR="002E3A2B" w:rsidRPr="00E22154" w:rsidRDefault="005F3362" w:rsidP="002E3A2B">
            <w:pPr>
              <w:jc w:val="right"/>
              <w:rPr>
                <w:color w:val="000000" w:themeColor="text1"/>
                <w:sz w:val="22"/>
                <w:szCs w:val="22"/>
              </w:rPr>
            </w:pPr>
            <w:r w:rsidRPr="00E22154">
              <w:rPr>
                <w:color w:val="000000" w:themeColor="text1"/>
                <w:sz w:val="22"/>
                <w:szCs w:val="22"/>
              </w:rPr>
              <w:t>£10</w:t>
            </w:r>
            <w:r w:rsidR="00E25B37" w:rsidRPr="00E22154">
              <w:rPr>
                <w:color w:val="000000" w:themeColor="text1"/>
                <w:sz w:val="22"/>
                <w:szCs w:val="22"/>
              </w:rPr>
              <w:t>,460</w:t>
            </w:r>
          </w:p>
        </w:tc>
        <w:tc>
          <w:tcPr>
            <w:tcW w:w="2402" w:type="dxa"/>
          </w:tcPr>
          <w:p w:rsidR="002E3A2B" w:rsidRPr="00E22154" w:rsidRDefault="005F3362" w:rsidP="002E3A2B">
            <w:pPr>
              <w:jc w:val="right"/>
              <w:rPr>
                <w:color w:val="000000" w:themeColor="text1"/>
                <w:sz w:val="22"/>
                <w:szCs w:val="22"/>
              </w:rPr>
            </w:pPr>
            <w:r w:rsidRPr="00E22154">
              <w:rPr>
                <w:color w:val="000000" w:themeColor="text1"/>
                <w:sz w:val="22"/>
                <w:szCs w:val="22"/>
              </w:rPr>
              <w:t>£1</w:t>
            </w:r>
            <w:r w:rsidR="00E25B37" w:rsidRPr="00E22154">
              <w:rPr>
                <w:color w:val="000000" w:themeColor="text1"/>
                <w:sz w:val="22"/>
                <w:szCs w:val="22"/>
              </w:rPr>
              <w:t>0,713</w:t>
            </w:r>
          </w:p>
        </w:tc>
      </w:tr>
      <w:tr w:rsidR="002E3A2B" w:rsidTr="002E3A2B">
        <w:tc>
          <w:tcPr>
            <w:tcW w:w="3652" w:type="dxa"/>
          </w:tcPr>
          <w:p w:rsidR="002E3A2B" w:rsidRDefault="002E3A2B" w:rsidP="00221195">
            <w:pPr>
              <w:jc w:val="both"/>
              <w:rPr>
                <w:sz w:val="22"/>
                <w:szCs w:val="22"/>
              </w:rPr>
            </w:pPr>
            <w:r>
              <w:rPr>
                <w:sz w:val="22"/>
                <w:szCs w:val="22"/>
              </w:rPr>
              <w:t>Alternative Provision Places</w:t>
            </w:r>
            <w:r w:rsidR="005F3362">
              <w:rPr>
                <w:sz w:val="22"/>
                <w:szCs w:val="22"/>
              </w:rPr>
              <w:t xml:space="preserve"> </w:t>
            </w:r>
            <w:r w:rsidR="00E25B37">
              <w:rPr>
                <w:sz w:val="22"/>
                <w:szCs w:val="22"/>
              </w:rPr>
              <w:t xml:space="preserve">– All </w:t>
            </w:r>
            <w:r w:rsidR="00E22154">
              <w:rPr>
                <w:sz w:val="22"/>
                <w:szCs w:val="22"/>
              </w:rPr>
              <w:t xml:space="preserve">our </w:t>
            </w:r>
            <w:r w:rsidR="00E25B37">
              <w:rPr>
                <w:sz w:val="22"/>
                <w:szCs w:val="22"/>
              </w:rPr>
              <w:t>PRUs</w:t>
            </w:r>
            <w:r w:rsidR="0042696B">
              <w:rPr>
                <w:sz w:val="22"/>
                <w:szCs w:val="22"/>
              </w:rPr>
              <w:t xml:space="preserve"> *</w:t>
            </w:r>
          </w:p>
        </w:tc>
        <w:tc>
          <w:tcPr>
            <w:tcW w:w="2410" w:type="dxa"/>
          </w:tcPr>
          <w:p w:rsidR="002E3A2B" w:rsidRPr="00E22154" w:rsidRDefault="00E25B37" w:rsidP="002E3A2B">
            <w:pPr>
              <w:jc w:val="right"/>
              <w:rPr>
                <w:color w:val="000000" w:themeColor="text1"/>
                <w:sz w:val="22"/>
                <w:szCs w:val="22"/>
              </w:rPr>
            </w:pPr>
            <w:r w:rsidRPr="00E22154">
              <w:rPr>
                <w:color w:val="000000" w:themeColor="text1"/>
                <w:sz w:val="22"/>
                <w:szCs w:val="22"/>
              </w:rPr>
              <w:t>£9,573</w:t>
            </w:r>
          </w:p>
        </w:tc>
        <w:tc>
          <w:tcPr>
            <w:tcW w:w="2410" w:type="dxa"/>
          </w:tcPr>
          <w:p w:rsidR="002E3A2B" w:rsidRPr="00E22154" w:rsidRDefault="005F3362" w:rsidP="002E3A2B">
            <w:pPr>
              <w:jc w:val="right"/>
              <w:rPr>
                <w:color w:val="000000" w:themeColor="text1"/>
                <w:sz w:val="22"/>
                <w:szCs w:val="22"/>
              </w:rPr>
            </w:pPr>
            <w:r w:rsidRPr="00E22154">
              <w:rPr>
                <w:color w:val="000000" w:themeColor="text1"/>
                <w:sz w:val="22"/>
                <w:szCs w:val="22"/>
              </w:rPr>
              <w:t>£</w:t>
            </w:r>
            <w:r w:rsidR="00E22154" w:rsidRPr="00E22154">
              <w:rPr>
                <w:color w:val="000000" w:themeColor="text1"/>
                <w:sz w:val="22"/>
                <w:szCs w:val="22"/>
              </w:rPr>
              <w:t>7,514</w:t>
            </w:r>
          </w:p>
        </w:tc>
        <w:tc>
          <w:tcPr>
            <w:tcW w:w="2402" w:type="dxa"/>
          </w:tcPr>
          <w:p w:rsidR="002E3A2B" w:rsidRPr="00E22154" w:rsidRDefault="005F3362" w:rsidP="002E3A2B">
            <w:pPr>
              <w:jc w:val="right"/>
              <w:rPr>
                <w:color w:val="000000" w:themeColor="text1"/>
                <w:sz w:val="22"/>
                <w:szCs w:val="22"/>
              </w:rPr>
            </w:pPr>
            <w:r w:rsidRPr="00E22154">
              <w:rPr>
                <w:color w:val="000000" w:themeColor="text1"/>
                <w:sz w:val="22"/>
                <w:szCs w:val="22"/>
              </w:rPr>
              <w:t>£8,586</w:t>
            </w:r>
            <w:r w:rsidR="00805F14" w:rsidRPr="00E22154">
              <w:rPr>
                <w:color w:val="000000" w:themeColor="text1"/>
                <w:sz w:val="22"/>
                <w:szCs w:val="22"/>
              </w:rPr>
              <w:t xml:space="preserve"> </w:t>
            </w:r>
          </w:p>
        </w:tc>
      </w:tr>
      <w:tr w:rsidR="00E25B37" w:rsidTr="002E3A2B">
        <w:tc>
          <w:tcPr>
            <w:tcW w:w="3652" w:type="dxa"/>
          </w:tcPr>
          <w:p w:rsidR="00E25B37" w:rsidRDefault="00E25B37" w:rsidP="00221195">
            <w:pPr>
              <w:jc w:val="both"/>
              <w:rPr>
                <w:sz w:val="22"/>
                <w:szCs w:val="22"/>
              </w:rPr>
            </w:pPr>
            <w:r>
              <w:rPr>
                <w:sz w:val="22"/>
                <w:szCs w:val="22"/>
              </w:rPr>
              <w:t>Alternative Provisions Places –</w:t>
            </w:r>
            <w:r w:rsidR="00E22154">
              <w:rPr>
                <w:sz w:val="22"/>
                <w:szCs w:val="22"/>
              </w:rPr>
              <w:t xml:space="preserve"> our turn-a</w:t>
            </w:r>
            <w:r>
              <w:rPr>
                <w:sz w:val="22"/>
                <w:szCs w:val="22"/>
              </w:rPr>
              <w:t>round PRUs only</w:t>
            </w:r>
          </w:p>
        </w:tc>
        <w:tc>
          <w:tcPr>
            <w:tcW w:w="2410" w:type="dxa"/>
          </w:tcPr>
          <w:p w:rsidR="00E25B37" w:rsidRPr="00E22154" w:rsidRDefault="00E22154" w:rsidP="00E22154">
            <w:pPr>
              <w:jc w:val="right"/>
              <w:rPr>
                <w:color w:val="000000" w:themeColor="text1"/>
                <w:sz w:val="22"/>
                <w:szCs w:val="22"/>
              </w:rPr>
            </w:pPr>
            <w:r w:rsidRPr="00E22154">
              <w:rPr>
                <w:color w:val="000000" w:themeColor="text1"/>
                <w:sz w:val="22"/>
                <w:szCs w:val="22"/>
              </w:rPr>
              <w:t>x3 settings:</w:t>
            </w:r>
            <w:r w:rsidR="00E25B37" w:rsidRPr="00E22154">
              <w:rPr>
                <w:color w:val="000000" w:themeColor="text1"/>
                <w:sz w:val="22"/>
                <w:szCs w:val="22"/>
              </w:rPr>
              <w:t xml:space="preserve"> £</w:t>
            </w:r>
            <w:r w:rsidRPr="00E22154">
              <w:rPr>
                <w:color w:val="000000" w:themeColor="text1"/>
                <w:sz w:val="22"/>
                <w:szCs w:val="22"/>
              </w:rPr>
              <w:t>7,438, £7,875 and £9,795</w:t>
            </w:r>
          </w:p>
        </w:tc>
        <w:tc>
          <w:tcPr>
            <w:tcW w:w="2410" w:type="dxa"/>
          </w:tcPr>
          <w:p w:rsidR="00E25B37" w:rsidRPr="00E22154" w:rsidRDefault="00E22154" w:rsidP="002E3A2B">
            <w:pPr>
              <w:jc w:val="right"/>
              <w:rPr>
                <w:color w:val="000000" w:themeColor="text1"/>
                <w:sz w:val="22"/>
                <w:szCs w:val="22"/>
              </w:rPr>
            </w:pPr>
            <w:r w:rsidRPr="00E22154">
              <w:rPr>
                <w:color w:val="000000" w:themeColor="text1"/>
                <w:sz w:val="22"/>
                <w:szCs w:val="22"/>
              </w:rPr>
              <w:t>£7,514</w:t>
            </w:r>
          </w:p>
        </w:tc>
        <w:tc>
          <w:tcPr>
            <w:tcW w:w="2402" w:type="dxa"/>
          </w:tcPr>
          <w:p w:rsidR="00E25B37" w:rsidRPr="00E22154" w:rsidRDefault="00E22154" w:rsidP="002E3A2B">
            <w:pPr>
              <w:jc w:val="right"/>
              <w:rPr>
                <w:color w:val="000000" w:themeColor="text1"/>
                <w:sz w:val="22"/>
                <w:szCs w:val="22"/>
              </w:rPr>
            </w:pPr>
            <w:r w:rsidRPr="00E22154">
              <w:rPr>
                <w:color w:val="000000" w:themeColor="text1"/>
                <w:sz w:val="22"/>
                <w:szCs w:val="22"/>
              </w:rPr>
              <w:t>£6,416</w:t>
            </w:r>
          </w:p>
        </w:tc>
      </w:tr>
    </w:tbl>
    <w:p w:rsidR="00805F14" w:rsidRPr="0042696B" w:rsidRDefault="0042696B" w:rsidP="00221195">
      <w:pPr>
        <w:jc w:val="both"/>
        <w:rPr>
          <w:sz w:val="22"/>
          <w:szCs w:val="22"/>
        </w:rPr>
      </w:pPr>
      <w:r w:rsidRPr="0042696B">
        <w:rPr>
          <w:sz w:val="22"/>
          <w:szCs w:val="22"/>
        </w:rPr>
        <w:t>* we have PRUs that act more like special schools, so we would expect their funding rates to be higher, assuming that the PRUs in other authorities are only for turn-around provision.</w:t>
      </w:r>
    </w:p>
    <w:p w:rsidR="0042696B" w:rsidRDefault="0042696B" w:rsidP="00221195">
      <w:pPr>
        <w:jc w:val="both"/>
        <w:rPr>
          <w:color w:val="FF0000"/>
          <w:sz w:val="22"/>
          <w:szCs w:val="22"/>
        </w:rPr>
      </w:pPr>
    </w:p>
    <w:p w:rsidR="00C179F4" w:rsidRDefault="00295D12" w:rsidP="00221195">
      <w:pPr>
        <w:jc w:val="both"/>
        <w:rPr>
          <w:sz w:val="22"/>
          <w:szCs w:val="22"/>
        </w:rPr>
      </w:pPr>
      <w:r>
        <w:rPr>
          <w:sz w:val="22"/>
          <w:szCs w:val="22"/>
        </w:rPr>
        <w:t>2.</w:t>
      </w:r>
      <w:r w:rsidR="00805F14">
        <w:rPr>
          <w:sz w:val="22"/>
          <w:szCs w:val="22"/>
        </w:rPr>
        <w:t>3</w:t>
      </w:r>
      <w:r w:rsidR="00FB1948" w:rsidRPr="00185870">
        <w:rPr>
          <w:sz w:val="22"/>
          <w:szCs w:val="22"/>
        </w:rPr>
        <w:t xml:space="preserve"> The High Needs Block continues to be under significant financial pressure</w:t>
      </w:r>
      <w:r w:rsidR="00805F14">
        <w:rPr>
          <w:sz w:val="22"/>
          <w:szCs w:val="22"/>
        </w:rPr>
        <w:t>; overspending in 2015/16</w:t>
      </w:r>
      <w:r w:rsidR="005C736F" w:rsidRPr="00185870">
        <w:rPr>
          <w:sz w:val="22"/>
          <w:szCs w:val="22"/>
        </w:rPr>
        <w:t xml:space="preserve"> </w:t>
      </w:r>
      <w:r w:rsidR="00185870" w:rsidRPr="00185870">
        <w:rPr>
          <w:sz w:val="22"/>
          <w:szCs w:val="22"/>
        </w:rPr>
        <w:t xml:space="preserve">by </w:t>
      </w:r>
      <w:r w:rsidR="00EB11EB" w:rsidRPr="00EB11EB">
        <w:rPr>
          <w:sz w:val="22"/>
          <w:szCs w:val="22"/>
        </w:rPr>
        <w:t>£4.2</w:t>
      </w:r>
      <w:r w:rsidR="005C736F" w:rsidRPr="00EB11EB">
        <w:rPr>
          <w:sz w:val="22"/>
          <w:szCs w:val="22"/>
        </w:rPr>
        <w:t>m (</w:t>
      </w:r>
      <w:r w:rsidR="00EB11EB" w:rsidRPr="00EB11EB">
        <w:rPr>
          <w:sz w:val="22"/>
          <w:szCs w:val="22"/>
        </w:rPr>
        <w:t>9</w:t>
      </w:r>
      <w:r w:rsidR="005C736F" w:rsidRPr="00EB11EB">
        <w:rPr>
          <w:sz w:val="22"/>
          <w:szCs w:val="22"/>
        </w:rPr>
        <w:t xml:space="preserve">%) against </w:t>
      </w:r>
      <w:r w:rsidR="005C736F" w:rsidRPr="00185870">
        <w:rPr>
          <w:sz w:val="22"/>
          <w:szCs w:val="22"/>
        </w:rPr>
        <w:t xml:space="preserve">the notional DSG budget allocated </w:t>
      </w:r>
      <w:r w:rsidR="00805F14">
        <w:rPr>
          <w:sz w:val="22"/>
          <w:szCs w:val="22"/>
        </w:rPr>
        <w:t xml:space="preserve">by </w:t>
      </w:r>
      <w:r w:rsidR="005C736F" w:rsidRPr="00185870">
        <w:rPr>
          <w:sz w:val="22"/>
          <w:szCs w:val="22"/>
        </w:rPr>
        <w:t>the DfE</w:t>
      </w:r>
      <w:r w:rsidR="00FB1948" w:rsidRPr="00185870">
        <w:rPr>
          <w:sz w:val="22"/>
          <w:szCs w:val="22"/>
        </w:rPr>
        <w:t>.</w:t>
      </w:r>
      <w:r w:rsidR="00185870" w:rsidRPr="00185870">
        <w:rPr>
          <w:sz w:val="22"/>
          <w:szCs w:val="22"/>
        </w:rPr>
        <w:t xml:space="preserve"> </w:t>
      </w:r>
      <w:r w:rsidR="00FC3B36">
        <w:rPr>
          <w:sz w:val="22"/>
          <w:szCs w:val="22"/>
        </w:rPr>
        <w:t xml:space="preserve">This is </w:t>
      </w:r>
      <w:r w:rsidR="001478FB">
        <w:rPr>
          <w:sz w:val="22"/>
          <w:szCs w:val="22"/>
        </w:rPr>
        <w:t>largely the result</w:t>
      </w:r>
      <w:r w:rsidR="00FC3B36">
        <w:rPr>
          <w:sz w:val="22"/>
          <w:szCs w:val="22"/>
        </w:rPr>
        <w:t xml:space="preserve"> of demographic stresses</w:t>
      </w:r>
      <w:r w:rsidR="00C179F4">
        <w:rPr>
          <w:sz w:val="22"/>
          <w:szCs w:val="22"/>
        </w:rPr>
        <w:t>, which will continue for a number of years</w:t>
      </w:r>
      <w:r w:rsidR="00FC3B36">
        <w:rPr>
          <w:sz w:val="22"/>
          <w:szCs w:val="22"/>
        </w:rPr>
        <w:t xml:space="preserve">. </w:t>
      </w:r>
      <w:r w:rsidR="00185870" w:rsidRPr="00185870">
        <w:rPr>
          <w:sz w:val="22"/>
          <w:szCs w:val="22"/>
        </w:rPr>
        <w:t>This overspend</w:t>
      </w:r>
      <w:r w:rsidR="00F57570">
        <w:rPr>
          <w:sz w:val="22"/>
          <w:szCs w:val="22"/>
        </w:rPr>
        <w:t>ing</w:t>
      </w:r>
      <w:r w:rsidR="00185870" w:rsidRPr="00185870">
        <w:rPr>
          <w:sz w:val="22"/>
          <w:szCs w:val="22"/>
        </w:rPr>
        <w:t xml:space="preserve"> is met </w:t>
      </w:r>
      <w:r w:rsidR="003E4D3A">
        <w:rPr>
          <w:sz w:val="22"/>
          <w:szCs w:val="22"/>
        </w:rPr>
        <w:t xml:space="preserve">currently </w:t>
      </w:r>
      <w:r w:rsidR="00185870" w:rsidRPr="00185870">
        <w:rPr>
          <w:sz w:val="22"/>
          <w:szCs w:val="22"/>
        </w:rPr>
        <w:t>through contributions from the Schools and Early Years Blocks within the DSG.</w:t>
      </w:r>
      <w:r w:rsidR="00805F14">
        <w:rPr>
          <w:sz w:val="22"/>
          <w:szCs w:val="22"/>
        </w:rPr>
        <w:t xml:space="preserve"> T</w:t>
      </w:r>
      <w:r w:rsidR="00FB1948" w:rsidRPr="00185870">
        <w:rPr>
          <w:sz w:val="22"/>
          <w:szCs w:val="22"/>
        </w:rPr>
        <w:t>his i</w:t>
      </w:r>
      <w:r w:rsidR="00185870" w:rsidRPr="00185870">
        <w:rPr>
          <w:sz w:val="22"/>
          <w:szCs w:val="22"/>
        </w:rPr>
        <w:t>s a long term pressure</w:t>
      </w:r>
      <w:r w:rsidR="008C6D70">
        <w:rPr>
          <w:sz w:val="22"/>
          <w:szCs w:val="22"/>
        </w:rPr>
        <w:t>.</w:t>
      </w:r>
      <w:r w:rsidR="00805F14">
        <w:rPr>
          <w:sz w:val="22"/>
          <w:szCs w:val="22"/>
        </w:rPr>
        <w:t xml:space="preserve"> The Local Authority, with the SEN Reference Group and the Schools Forum is reviewing this position, from the perspectives of both financial pressure and the sufficiency of places. The longer-term pressure mu</w:t>
      </w:r>
      <w:r w:rsidR="00E4411B">
        <w:rPr>
          <w:sz w:val="22"/>
          <w:szCs w:val="22"/>
        </w:rPr>
        <w:t>st be viewed in the context of the impact of a</w:t>
      </w:r>
      <w:r w:rsidR="00805F14">
        <w:rPr>
          <w:sz w:val="22"/>
          <w:szCs w:val="22"/>
        </w:rPr>
        <w:t xml:space="preserve"> national fu</w:t>
      </w:r>
      <w:r w:rsidR="00E4411B">
        <w:rPr>
          <w:sz w:val="22"/>
          <w:szCs w:val="22"/>
        </w:rPr>
        <w:t>nding formula in the future. O</w:t>
      </w:r>
      <w:r w:rsidR="00805F14">
        <w:rPr>
          <w:sz w:val="22"/>
          <w:szCs w:val="22"/>
        </w:rPr>
        <w:t>ur view of this will be shaped as further details of the national formula are announced.</w:t>
      </w:r>
    </w:p>
    <w:p w:rsidR="00805F14" w:rsidRDefault="00805F14" w:rsidP="00221195">
      <w:pPr>
        <w:jc w:val="both"/>
        <w:rPr>
          <w:sz w:val="22"/>
          <w:szCs w:val="22"/>
        </w:rPr>
      </w:pPr>
    </w:p>
    <w:p w:rsidR="00805F14" w:rsidRPr="00E5725D" w:rsidRDefault="00C179F4" w:rsidP="00221195">
      <w:pPr>
        <w:jc w:val="both"/>
        <w:rPr>
          <w:color w:val="000000" w:themeColor="text1"/>
          <w:sz w:val="22"/>
          <w:szCs w:val="22"/>
        </w:rPr>
      </w:pPr>
      <w:r w:rsidRPr="00E5725D">
        <w:rPr>
          <w:color w:val="000000" w:themeColor="text1"/>
          <w:sz w:val="22"/>
          <w:szCs w:val="22"/>
        </w:rPr>
        <w:t>2.4 As outline</w:t>
      </w:r>
      <w:r w:rsidR="00E5725D" w:rsidRPr="00E5725D">
        <w:rPr>
          <w:color w:val="000000" w:themeColor="text1"/>
          <w:sz w:val="22"/>
          <w:szCs w:val="22"/>
        </w:rPr>
        <w:t>d in paragraph 5</w:t>
      </w:r>
      <w:r w:rsidRPr="00E5725D">
        <w:rPr>
          <w:color w:val="000000" w:themeColor="text1"/>
          <w:sz w:val="22"/>
          <w:szCs w:val="22"/>
        </w:rPr>
        <w:t xml:space="preserve">, the Authority’s </w:t>
      </w:r>
      <w:r w:rsidR="00E4411B">
        <w:rPr>
          <w:color w:val="000000" w:themeColor="text1"/>
          <w:sz w:val="22"/>
          <w:szCs w:val="22"/>
        </w:rPr>
        <w:t xml:space="preserve">indicative </w:t>
      </w:r>
      <w:r w:rsidRPr="00E5725D">
        <w:rPr>
          <w:color w:val="000000" w:themeColor="text1"/>
          <w:sz w:val="22"/>
          <w:szCs w:val="22"/>
        </w:rPr>
        <w:t>2016/17 DSG p</w:t>
      </w:r>
      <w:r w:rsidR="00E4411B">
        <w:rPr>
          <w:color w:val="000000" w:themeColor="text1"/>
          <w:sz w:val="22"/>
          <w:szCs w:val="22"/>
        </w:rPr>
        <w:t>lanned budget currently assumes the need</w:t>
      </w:r>
      <w:r w:rsidRPr="00E5725D">
        <w:rPr>
          <w:color w:val="000000" w:themeColor="text1"/>
          <w:sz w:val="22"/>
          <w:szCs w:val="22"/>
        </w:rPr>
        <w:t xml:space="preserve"> for the following:</w:t>
      </w:r>
    </w:p>
    <w:p w:rsidR="00C179F4" w:rsidRPr="00C179F4" w:rsidRDefault="00C179F4" w:rsidP="00221195">
      <w:pPr>
        <w:jc w:val="both"/>
        <w:rPr>
          <w:color w:val="FF0000"/>
          <w:sz w:val="22"/>
          <w:szCs w:val="22"/>
        </w:rPr>
      </w:pPr>
    </w:p>
    <w:p w:rsidR="00C179F4" w:rsidRDefault="00AB4E1C" w:rsidP="00C179F4">
      <w:pPr>
        <w:pStyle w:val="ListParagraph"/>
        <w:numPr>
          <w:ilvl w:val="0"/>
          <w:numId w:val="36"/>
        </w:numPr>
        <w:jc w:val="both"/>
        <w:rPr>
          <w:color w:val="000000" w:themeColor="text1"/>
          <w:sz w:val="22"/>
          <w:szCs w:val="22"/>
        </w:rPr>
      </w:pPr>
      <w:r w:rsidRPr="00AB4E1C">
        <w:rPr>
          <w:color w:val="000000" w:themeColor="text1"/>
          <w:sz w:val="22"/>
          <w:szCs w:val="22"/>
        </w:rPr>
        <w:t>For individual settings, the g</w:t>
      </w:r>
      <w:r w:rsidR="00C179F4" w:rsidRPr="00AB4E1C">
        <w:rPr>
          <w:color w:val="000000" w:themeColor="text1"/>
          <w:sz w:val="22"/>
          <w:szCs w:val="22"/>
        </w:rPr>
        <w:t>reater of</w:t>
      </w:r>
      <w:r w:rsidRPr="00AB4E1C">
        <w:rPr>
          <w:color w:val="000000" w:themeColor="text1"/>
          <w:sz w:val="22"/>
          <w:szCs w:val="22"/>
        </w:rPr>
        <w:t xml:space="preserve"> either</w:t>
      </w:r>
      <w:r w:rsidR="00C179F4" w:rsidRPr="00AB4E1C">
        <w:rPr>
          <w:color w:val="000000" w:themeColor="text1"/>
          <w:sz w:val="22"/>
          <w:szCs w:val="22"/>
        </w:rPr>
        <w:t xml:space="preserve"> </w:t>
      </w:r>
      <w:r w:rsidRPr="00AB4E1C">
        <w:rPr>
          <w:color w:val="000000" w:themeColor="text1"/>
          <w:sz w:val="22"/>
          <w:szCs w:val="22"/>
        </w:rPr>
        <w:t xml:space="preserve">actual occupancy at </w:t>
      </w:r>
      <w:r w:rsidR="00AD2EF1">
        <w:rPr>
          <w:color w:val="000000" w:themeColor="text1"/>
          <w:sz w:val="22"/>
          <w:szCs w:val="22"/>
        </w:rPr>
        <w:t>October</w:t>
      </w:r>
      <w:r w:rsidRPr="00AB4E1C">
        <w:rPr>
          <w:color w:val="000000" w:themeColor="text1"/>
          <w:sz w:val="22"/>
          <w:szCs w:val="22"/>
        </w:rPr>
        <w:t xml:space="preserve"> 2015</w:t>
      </w:r>
      <w:r w:rsidR="00C179F4" w:rsidRPr="00AB4E1C">
        <w:rPr>
          <w:color w:val="000000" w:themeColor="text1"/>
          <w:sz w:val="22"/>
          <w:szCs w:val="22"/>
        </w:rPr>
        <w:t xml:space="preserve"> or</w:t>
      </w:r>
      <w:r w:rsidRPr="00AB4E1C">
        <w:rPr>
          <w:color w:val="000000" w:themeColor="text1"/>
          <w:sz w:val="22"/>
          <w:szCs w:val="22"/>
        </w:rPr>
        <w:t xml:space="preserve"> the</w:t>
      </w:r>
      <w:r w:rsidR="00C179F4" w:rsidRPr="00AB4E1C">
        <w:rPr>
          <w:color w:val="000000" w:themeColor="text1"/>
          <w:sz w:val="22"/>
          <w:szCs w:val="22"/>
        </w:rPr>
        <w:t xml:space="preserve"> 2015/16 planned places</w:t>
      </w:r>
      <w:r w:rsidRPr="00AB4E1C">
        <w:rPr>
          <w:color w:val="000000" w:themeColor="text1"/>
          <w:sz w:val="22"/>
          <w:szCs w:val="22"/>
        </w:rPr>
        <w:t xml:space="preserve"> total, with some</w:t>
      </w:r>
      <w:r w:rsidR="00C179F4" w:rsidRPr="00AB4E1C">
        <w:rPr>
          <w:color w:val="000000" w:themeColor="text1"/>
          <w:sz w:val="22"/>
          <w:szCs w:val="22"/>
        </w:rPr>
        <w:t xml:space="preserve"> adjustments</w:t>
      </w:r>
      <w:r w:rsidRPr="00AB4E1C">
        <w:rPr>
          <w:color w:val="000000" w:themeColor="text1"/>
          <w:sz w:val="22"/>
          <w:szCs w:val="22"/>
        </w:rPr>
        <w:t xml:space="preserve"> to individual settings for known additional changes.</w:t>
      </w:r>
    </w:p>
    <w:p w:rsidR="007325B2" w:rsidRPr="00AB4E1C" w:rsidRDefault="007325B2" w:rsidP="007325B2">
      <w:pPr>
        <w:pStyle w:val="ListParagraph"/>
        <w:jc w:val="both"/>
        <w:rPr>
          <w:color w:val="000000" w:themeColor="text1"/>
          <w:sz w:val="22"/>
          <w:szCs w:val="22"/>
        </w:rPr>
      </w:pPr>
    </w:p>
    <w:p w:rsidR="00C179F4" w:rsidRDefault="00AB4E1C" w:rsidP="00C179F4">
      <w:pPr>
        <w:pStyle w:val="ListParagraph"/>
        <w:numPr>
          <w:ilvl w:val="0"/>
          <w:numId w:val="36"/>
        </w:numPr>
        <w:jc w:val="both"/>
        <w:rPr>
          <w:color w:val="000000" w:themeColor="text1"/>
          <w:sz w:val="22"/>
          <w:szCs w:val="22"/>
        </w:rPr>
      </w:pPr>
      <w:r w:rsidRPr="00AB4E1C">
        <w:rPr>
          <w:color w:val="000000" w:themeColor="text1"/>
          <w:sz w:val="22"/>
          <w:szCs w:val="22"/>
        </w:rPr>
        <w:t>Further provision, not yet allocated to individual settings, for a further 30 places for the full 2016/17 financial year and a further</w:t>
      </w:r>
      <w:r w:rsidR="00C179F4" w:rsidRPr="00AB4E1C">
        <w:rPr>
          <w:color w:val="000000" w:themeColor="text1"/>
          <w:sz w:val="22"/>
          <w:szCs w:val="22"/>
        </w:rPr>
        <w:t xml:space="preserve"> 20</w:t>
      </w:r>
      <w:r w:rsidRPr="00AB4E1C">
        <w:rPr>
          <w:color w:val="000000" w:themeColor="text1"/>
          <w:sz w:val="22"/>
          <w:szCs w:val="22"/>
        </w:rPr>
        <w:t xml:space="preserve"> more</w:t>
      </w:r>
      <w:r w:rsidR="00C179F4" w:rsidRPr="00AB4E1C">
        <w:rPr>
          <w:color w:val="000000" w:themeColor="text1"/>
          <w:sz w:val="22"/>
          <w:szCs w:val="22"/>
        </w:rPr>
        <w:t xml:space="preserve"> </w:t>
      </w:r>
      <w:r w:rsidRPr="00AB4E1C">
        <w:rPr>
          <w:color w:val="000000" w:themeColor="text1"/>
          <w:sz w:val="22"/>
          <w:szCs w:val="22"/>
        </w:rPr>
        <w:t xml:space="preserve">places at </w:t>
      </w:r>
      <w:r w:rsidR="00C179F4" w:rsidRPr="00AB4E1C">
        <w:rPr>
          <w:color w:val="000000" w:themeColor="text1"/>
          <w:sz w:val="22"/>
          <w:szCs w:val="22"/>
        </w:rPr>
        <w:t xml:space="preserve">September 2016. </w:t>
      </w:r>
      <w:r w:rsidRPr="00AB4E1C">
        <w:rPr>
          <w:color w:val="000000" w:themeColor="text1"/>
          <w:sz w:val="22"/>
          <w:szCs w:val="22"/>
        </w:rPr>
        <w:t>These places would be available to allocate across different provisions, though the Authority’s forecast suggests that these additional places will be needed in special school provision.</w:t>
      </w:r>
    </w:p>
    <w:p w:rsidR="007325B2" w:rsidRPr="00AB4E1C" w:rsidRDefault="007325B2" w:rsidP="007325B2">
      <w:pPr>
        <w:pStyle w:val="ListParagraph"/>
        <w:jc w:val="both"/>
        <w:rPr>
          <w:color w:val="000000" w:themeColor="text1"/>
          <w:sz w:val="22"/>
          <w:szCs w:val="22"/>
        </w:rPr>
      </w:pPr>
    </w:p>
    <w:p w:rsidR="00C179F4" w:rsidRPr="00AB4E1C" w:rsidRDefault="00AB4E1C" w:rsidP="00C179F4">
      <w:pPr>
        <w:pStyle w:val="ListParagraph"/>
        <w:numPr>
          <w:ilvl w:val="0"/>
          <w:numId w:val="36"/>
        </w:numPr>
        <w:jc w:val="both"/>
        <w:rPr>
          <w:color w:val="000000" w:themeColor="text1"/>
          <w:sz w:val="22"/>
          <w:szCs w:val="22"/>
        </w:rPr>
      </w:pPr>
      <w:r w:rsidRPr="00AB4E1C">
        <w:rPr>
          <w:color w:val="000000" w:themeColor="text1"/>
          <w:sz w:val="22"/>
          <w:szCs w:val="22"/>
        </w:rPr>
        <w:t>An adjustment (reduction) to the number of</w:t>
      </w:r>
      <w:r w:rsidR="00C179F4" w:rsidRPr="00AB4E1C">
        <w:rPr>
          <w:color w:val="000000" w:themeColor="text1"/>
          <w:sz w:val="22"/>
          <w:szCs w:val="22"/>
        </w:rPr>
        <w:t xml:space="preserve"> secondary</w:t>
      </w:r>
      <w:r w:rsidRPr="00AB4E1C">
        <w:rPr>
          <w:color w:val="000000" w:themeColor="text1"/>
          <w:sz w:val="22"/>
          <w:szCs w:val="22"/>
        </w:rPr>
        <w:t>-aged alternative provision places in Bradford-located settings, to take account of the increased number of placements in independent schools.</w:t>
      </w:r>
    </w:p>
    <w:p w:rsidR="00AB4E1C" w:rsidRPr="00AB4E1C" w:rsidRDefault="00AB4E1C" w:rsidP="00AB4E1C">
      <w:pPr>
        <w:pStyle w:val="ListParagraph"/>
        <w:jc w:val="both"/>
        <w:rPr>
          <w:color w:val="FF0000"/>
          <w:sz w:val="22"/>
          <w:szCs w:val="22"/>
        </w:rPr>
      </w:pPr>
    </w:p>
    <w:p w:rsidR="00D3071C" w:rsidRPr="0008132D" w:rsidRDefault="00D3071C" w:rsidP="00C179F4">
      <w:pPr>
        <w:jc w:val="both"/>
        <w:rPr>
          <w:color w:val="000000" w:themeColor="text1"/>
          <w:sz w:val="22"/>
          <w:szCs w:val="22"/>
        </w:rPr>
      </w:pPr>
      <w:r w:rsidRPr="00FE1546">
        <w:rPr>
          <w:color w:val="000000" w:themeColor="text1"/>
          <w:sz w:val="22"/>
          <w:szCs w:val="22"/>
        </w:rPr>
        <w:t xml:space="preserve">2.5 </w:t>
      </w:r>
      <w:r w:rsidR="00FE1546" w:rsidRPr="00FE1546">
        <w:rPr>
          <w:color w:val="000000" w:themeColor="text1"/>
          <w:sz w:val="22"/>
          <w:szCs w:val="22"/>
        </w:rPr>
        <w:t xml:space="preserve">Planning on this basis, indicatively, increases the cost </w:t>
      </w:r>
      <w:r w:rsidR="00F93B6E">
        <w:rPr>
          <w:color w:val="000000" w:themeColor="text1"/>
          <w:sz w:val="22"/>
          <w:szCs w:val="22"/>
        </w:rPr>
        <w:t>of high needs provision by £3.0</w:t>
      </w:r>
      <w:r w:rsidR="00FE1546" w:rsidRPr="00FE1546">
        <w:rPr>
          <w:color w:val="000000" w:themeColor="text1"/>
          <w:sz w:val="22"/>
          <w:szCs w:val="22"/>
        </w:rPr>
        <w:t>m on top of the position in this current financial year i.e. the overspend</w:t>
      </w:r>
      <w:r w:rsidR="0091741D">
        <w:rPr>
          <w:color w:val="000000" w:themeColor="text1"/>
          <w:sz w:val="22"/>
          <w:szCs w:val="22"/>
        </w:rPr>
        <w:t>ing</w:t>
      </w:r>
      <w:r w:rsidR="00FE1546" w:rsidRPr="00FE1546">
        <w:rPr>
          <w:color w:val="000000" w:themeColor="text1"/>
          <w:sz w:val="22"/>
          <w:szCs w:val="22"/>
        </w:rPr>
        <w:t xml:space="preserve"> in 2016</w:t>
      </w:r>
      <w:r w:rsidR="00AD2EF1">
        <w:rPr>
          <w:color w:val="000000" w:themeColor="text1"/>
          <w:sz w:val="22"/>
          <w:szCs w:val="22"/>
        </w:rPr>
        <w:t>/17 increase</w:t>
      </w:r>
      <w:r w:rsidR="00F93B6E">
        <w:rPr>
          <w:color w:val="000000" w:themeColor="text1"/>
          <w:sz w:val="22"/>
          <w:szCs w:val="22"/>
        </w:rPr>
        <w:t>s from £4.2m to £7.2</w:t>
      </w:r>
      <w:r w:rsidR="00FE1546" w:rsidRPr="00FE1546">
        <w:rPr>
          <w:color w:val="000000" w:themeColor="text1"/>
          <w:sz w:val="22"/>
          <w:szCs w:val="22"/>
        </w:rPr>
        <w:t>m</w:t>
      </w:r>
      <w:r w:rsidR="0091741D">
        <w:rPr>
          <w:color w:val="000000" w:themeColor="text1"/>
          <w:sz w:val="22"/>
          <w:szCs w:val="22"/>
        </w:rPr>
        <w:t>.</w:t>
      </w:r>
    </w:p>
    <w:p w:rsidR="00C179F4" w:rsidRPr="00FE1546" w:rsidRDefault="00FE1546" w:rsidP="00C179F4">
      <w:pPr>
        <w:jc w:val="both"/>
        <w:rPr>
          <w:color w:val="000000" w:themeColor="text1"/>
          <w:sz w:val="22"/>
          <w:szCs w:val="22"/>
        </w:rPr>
      </w:pPr>
      <w:r w:rsidRPr="00FE1546">
        <w:rPr>
          <w:color w:val="000000" w:themeColor="text1"/>
          <w:sz w:val="22"/>
          <w:szCs w:val="22"/>
        </w:rPr>
        <w:t>2.6 The Authority will continue to affirm places</w:t>
      </w:r>
      <w:r w:rsidR="00C179F4" w:rsidRPr="00FE1546">
        <w:rPr>
          <w:color w:val="000000" w:themeColor="text1"/>
          <w:sz w:val="22"/>
          <w:szCs w:val="22"/>
        </w:rPr>
        <w:t xml:space="preserve"> forecasts over the autumn term and </w:t>
      </w:r>
      <w:r w:rsidRPr="00FE1546">
        <w:rPr>
          <w:color w:val="000000" w:themeColor="text1"/>
          <w:sz w:val="22"/>
          <w:szCs w:val="22"/>
        </w:rPr>
        <w:t xml:space="preserve">will </w:t>
      </w:r>
      <w:r w:rsidR="00C179F4" w:rsidRPr="00FE1546">
        <w:rPr>
          <w:color w:val="000000" w:themeColor="text1"/>
          <w:sz w:val="22"/>
          <w:szCs w:val="22"/>
        </w:rPr>
        <w:t>talk to providers, prior to agreeing the</w:t>
      </w:r>
      <w:r w:rsidR="00005E46" w:rsidRPr="00FE1546">
        <w:rPr>
          <w:color w:val="000000" w:themeColor="text1"/>
          <w:sz w:val="22"/>
          <w:szCs w:val="22"/>
        </w:rPr>
        <w:t xml:space="preserve"> DSG’s provision for high needs </w:t>
      </w:r>
      <w:r w:rsidR="00C179F4" w:rsidRPr="00FE1546">
        <w:rPr>
          <w:color w:val="000000" w:themeColor="text1"/>
          <w:sz w:val="22"/>
          <w:szCs w:val="22"/>
        </w:rPr>
        <w:t>places with the Schools Forum for 2016/17</w:t>
      </w:r>
      <w:r w:rsidR="00005E46" w:rsidRPr="00FE1546">
        <w:rPr>
          <w:color w:val="000000" w:themeColor="text1"/>
          <w:sz w:val="22"/>
          <w:szCs w:val="22"/>
        </w:rPr>
        <w:t xml:space="preserve"> on 6 January 2016</w:t>
      </w:r>
      <w:r w:rsidR="00C179F4" w:rsidRPr="00FE1546">
        <w:rPr>
          <w:color w:val="000000" w:themeColor="text1"/>
          <w:sz w:val="22"/>
          <w:szCs w:val="22"/>
        </w:rPr>
        <w:t>.</w:t>
      </w:r>
      <w:r w:rsidR="0091741D">
        <w:rPr>
          <w:color w:val="000000" w:themeColor="text1"/>
          <w:sz w:val="22"/>
          <w:szCs w:val="22"/>
        </w:rPr>
        <w:t xml:space="preserve"> There is some work that still needs to be done here, including in confirming the forecasted need for places in the Further Education Sector.</w:t>
      </w:r>
    </w:p>
    <w:p w:rsidR="00BD487C" w:rsidRDefault="00BD487C" w:rsidP="00C179F4">
      <w:pPr>
        <w:jc w:val="both"/>
        <w:rPr>
          <w:color w:val="FF0000"/>
          <w:sz w:val="22"/>
          <w:szCs w:val="22"/>
        </w:rPr>
      </w:pPr>
    </w:p>
    <w:p w:rsidR="00BD487C" w:rsidRPr="00FE1546" w:rsidRDefault="00BD487C" w:rsidP="00C179F4">
      <w:pPr>
        <w:jc w:val="both"/>
        <w:rPr>
          <w:color w:val="000000" w:themeColor="text1"/>
          <w:sz w:val="22"/>
          <w:szCs w:val="22"/>
        </w:rPr>
      </w:pPr>
      <w:r w:rsidRPr="00FE1546">
        <w:rPr>
          <w:color w:val="000000" w:themeColor="text1"/>
          <w:sz w:val="22"/>
          <w:szCs w:val="22"/>
        </w:rPr>
        <w:t xml:space="preserve">2.7 </w:t>
      </w:r>
      <w:r w:rsidR="00FE1546" w:rsidRPr="00FE1546">
        <w:rPr>
          <w:color w:val="000000" w:themeColor="text1"/>
          <w:sz w:val="22"/>
          <w:szCs w:val="22"/>
        </w:rPr>
        <w:t xml:space="preserve">In the light of </w:t>
      </w:r>
      <w:r w:rsidR="00FE1546" w:rsidRPr="0091741D">
        <w:rPr>
          <w:i/>
          <w:color w:val="000000" w:themeColor="text1"/>
          <w:sz w:val="22"/>
          <w:szCs w:val="22"/>
        </w:rPr>
        <w:t>a</w:t>
      </w:r>
      <w:r w:rsidR="0091741D" w:rsidRPr="0091741D">
        <w:rPr>
          <w:i/>
          <w:color w:val="000000" w:themeColor="text1"/>
          <w:sz w:val="22"/>
          <w:szCs w:val="22"/>
        </w:rPr>
        <w:t>n indicative</w:t>
      </w:r>
      <w:r w:rsidR="00F93B6E">
        <w:rPr>
          <w:color w:val="000000" w:themeColor="text1"/>
          <w:sz w:val="22"/>
          <w:szCs w:val="22"/>
        </w:rPr>
        <w:t xml:space="preserve"> £7.2</w:t>
      </w:r>
      <w:r w:rsidR="00FE1546" w:rsidRPr="00FE1546">
        <w:rPr>
          <w:color w:val="000000" w:themeColor="text1"/>
          <w:sz w:val="22"/>
          <w:szCs w:val="22"/>
        </w:rPr>
        <w:t xml:space="preserve">m total pressure, the </w:t>
      </w:r>
      <w:r w:rsidRPr="00FE1546">
        <w:rPr>
          <w:color w:val="000000" w:themeColor="text1"/>
          <w:sz w:val="22"/>
          <w:szCs w:val="22"/>
        </w:rPr>
        <w:t>Authority</w:t>
      </w:r>
      <w:r w:rsidR="00FE1546" w:rsidRPr="00FE1546">
        <w:rPr>
          <w:color w:val="000000" w:themeColor="text1"/>
          <w:sz w:val="22"/>
          <w:szCs w:val="22"/>
        </w:rPr>
        <w:t xml:space="preserve"> is currently considering</w:t>
      </w:r>
      <w:r w:rsidR="0002315A">
        <w:rPr>
          <w:color w:val="000000" w:themeColor="text1"/>
          <w:sz w:val="22"/>
          <w:szCs w:val="22"/>
        </w:rPr>
        <w:t>,</w:t>
      </w:r>
      <w:r w:rsidR="00FE1546" w:rsidRPr="00FE1546">
        <w:rPr>
          <w:color w:val="000000" w:themeColor="text1"/>
          <w:sz w:val="22"/>
          <w:szCs w:val="22"/>
        </w:rPr>
        <w:t xml:space="preserve"> with the </w:t>
      </w:r>
      <w:r w:rsidRPr="00FE1546">
        <w:rPr>
          <w:color w:val="000000" w:themeColor="text1"/>
          <w:sz w:val="22"/>
          <w:szCs w:val="22"/>
        </w:rPr>
        <w:t>SEN Reference Group</w:t>
      </w:r>
      <w:r w:rsidR="00FE1546" w:rsidRPr="00FE1546">
        <w:rPr>
          <w:color w:val="000000" w:themeColor="text1"/>
          <w:sz w:val="22"/>
          <w:szCs w:val="22"/>
        </w:rPr>
        <w:t xml:space="preserve"> and the Schools Forum</w:t>
      </w:r>
      <w:r w:rsidR="0002315A">
        <w:rPr>
          <w:color w:val="000000" w:themeColor="text1"/>
          <w:sz w:val="22"/>
          <w:szCs w:val="22"/>
        </w:rPr>
        <w:t>,</w:t>
      </w:r>
      <w:r w:rsidR="0008132D">
        <w:rPr>
          <w:color w:val="000000" w:themeColor="text1"/>
          <w:sz w:val="22"/>
          <w:szCs w:val="22"/>
        </w:rPr>
        <w:t xml:space="preserve"> a range of</w:t>
      </w:r>
      <w:r w:rsidRPr="00FE1546">
        <w:rPr>
          <w:color w:val="000000" w:themeColor="text1"/>
          <w:sz w:val="22"/>
          <w:szCs w:val="22"/>
        </w:rPr>
        <w:t xml:space="preserve"> pos</w:t>
      </w:r>
      <w:r w:rsidR="00FE1546" w:rsidRPr="00FE1546">
        <w:rPr>
          <w:color w:val="000000" w:themeColor="text1"/>
          <w:sz w:val="22"/>
          <w:szCs w:val="22"/>
        </w:rPr>
        <w:t>sible cost saving measures</w:t>
      </w:r>
      <w:r w:rsidR="0008132D">
        <w:rPr>
          <w:color w:val="000000" w:themeColor="text1"/>
          <w:sz w:val="22"/>
          <w:szCs w:val="22"/>
        </w:rPr>
        <w:t xml:space="preserve"> within the High Needs Block</w:t>
      </w:r>
      <w:r w:rsidRPr="00FE1546">
        <w:rPr>
          <w:color w:val="000000" w:themeColor="text1"/>
          <w:sz w:val="22"/>
          <w:szCs w:val="22"/>
        </w:rPr>
        <w:t>.</w:t>
      </w:r>
    </w:p>
    <w:p w:rsidR="00EE0E31" w:rsidRDefault="00EE0E31" w:rsidP="0083779B">
      <w:pPr>
        <w:jc w:val="both"/>
        <w:rPr>
          <w:sz w:val="22"/>
          <w:szCs w:val="22"/>
        </w:rPr>
      </w:pPr>
    </w:p>
    <w:p w:rsidR="00A14BB7" w:rsidRPr="00FC52D9" w:rsidRDefault="00A14BB7" w:rsidP="0083779B">
      <w:pPr>
        <w:jc w:val="both"/>
        <w:rPr>
          <w:color w:val="FF0000"/>
          <w:sz w:val="22"/>
          <w:szCs w:val="22"/>
        </w:rPr>
      </w:pPr>
    </w:p>
    <w:p w:rsidR="00C177FF" w:rsidRPr="004130AE" w:rsidRDefault="00755625" w:rsidP="0094692E">
      <w:pPr>
        <w:jc w:val="both"/>
        <w:rPr>
          <w:b/>
          <w:sz w:val="22"/>
          <w:szCs w:val="22"/>
        </w:rPr>
      </w:pPr>
      <w:r>
        <w:rPr>
          <w:b/>
          <w:sz w:val="22"/>
          <w:szCs w:val="22"/>
        </w:rPr>
        <w:t>3</w:t>
      </w:r>
      <w:r w:rsidR="004130AE">
        <w:rPr>
          <w:b/>
          <w:sz w:val="22"/>
          <w:szCs w:val="22"/>
        </w:rPr>
        <w:t>.</w:t>
      </w:r>
      <w:r w:rsidR="004130AE">
        <w:rPr>
          <w:b/>
          <w:sz w:val="22"/>
          <w:szCs w:val="22"/>
        </w:rPr>
        <w:tab/>
        <w:t>R</w:t>
      </w:r>
      <w:r w:rsidR="004130AE" w:rsidRPr="004130AE">
        <w:rPr>
          <w:b/>
          <w:sz w:val="22"/>
          <w:szCs w:val="22"/>
        </w:rPr>
        <w:t>eminder</w:t>
      </w:r>
      <w:r w:rsidR="000C28D0">
        <w:rPr>
          <w:b/>
          <w:sz w:val="22"/>
          <w:szCs w:val="22"/>
        </w:rPr>
        <w:t xml:space="preserve"> of the </w:t>
      </w:r>
      <w:r w:rsidR="00B86A03">
        <w:rPr>
          <w:b/>
          <w:sz w:val="22"/>
          <w:szCs w:val="22"/>
        </w:rPr>
        <w:t>Key C</w:t>
      </w:r>
      <w:r w:rsidR="000C28D0">
        <w:rPr>
          <w:b/>
          <w:sz w:val="22"/>
          <w:szCs w:val="22"/>
        </w:rPr>
        <w:t>haracteristics of</w:t>
      </w:r>
      <w:r w:rsidR="004130AE" w:rsidRPr="004130AE">
        <w:rPr>
          <w:b/>
          <w:sz w:val="22"/>
          <w:szCs w:val="22"/>
        </w:rPr>
        <w:t xml:space="preserve"> the ‘Place-Plus’ Framework</w:t>
      </w:r>
      <w:r w:rsidR="00223E97">
        <w:rPr>
          <w:b/>
          <w:sz w:val="22"/>
          <w:szCs w:val="22"/>
        </w:rPr>
        <w:t xml:space="preserve">, </w:t>
      </w:r>
      <w:r w:rsidR="00C179F4">
        <w:rPr>
          <w:b/>
          <w:sz w:val="22"/>
          <w:szCs w:val="22"/>
          <w:u w:val="single"/>
        </w:rPr>
        <w:t>updated for 2016</w:t>
      </w:r>
      <w:r w:rsidR="00223E97" w:rsidRPr="00020420">
        <w:rPr>
          <w:b/>
          <w:sz w:val="22"/>
          <w:szCs w:val="22"/>
          <w:u w:val="single"/>
        </w:rPr>
        <w:t>/1</w:t>
      </w:r>
      <w:r w:rsidR="00C179F4">
        <w:rPr>
          <w:b/>
          <w:sz w:val="22"/>
          <w:szCs w:val="22"/>
          <w:u w:val="single"/>
        </w:rPr>
        <w:t>7</w:t>
      </w:r>
    </w:p>
    <w:p w:rsidR="00EE0E31" w:rsidRDefault="00EE0E31" w:rsidP="0094692E">
      <w:pPr>
        <w:jc w:val="both"/>
        <w:rPr>
          <w:sz w:val="22"/>
          <w:szCs w:val="22"/>
        </w:rPr>
      </w:pPr>
    </w:p>
    <w:p w:rsidR="00EE0E31" w:rsidRDefault="00755625" w:rsidP="00EE0E31">
      <w:pPr>
        <w:jc w:val="both"/>
        <w:rPr>
          <w:sz w:val="22"/>
          <w:szCs w:val="22"/>
        </w:rPr>
      </w:pPr>
      <w:r>
        <w:rPr>
          <w:sz w:val="22"/>
          <w:szCs w:val="22"/>
        </w:rPr>
        <w:t>3</w:t>
      </w:r>
      <w:r w:rsidR="00EE0E31">
        <w:rPr>
          <w:sz w:val="22"/>
          <w:szCs w:val="22"/>
        </w:rPr>
        <w:t xml:space="preserve">.1 </w:t>
      </w:r>
      <w:r w:rsidR="00684CBE">
        <w:rPr>
          <w:sz w:val="22"/>
          <w:szCs w:val="22"/>
        </w:rPr>
        <w:t>Under ‘Place-</w:t>
      </w:r>
      <w:r w:rsidR="00C172BC">
        <w:rPr>
          <w:sz w:val="22"/>
          <w:szCs w:val="22"/>
        </w:rPr>
        <w:t>Plus’</w:t>
      </w:r>
      <w:r w:rsidR="00B86A03">
        <w:rPr>
          <w:sz w:val="22"/>
          <w:szCs w:val="22"/>
        </w:rPr>
        <w:t xml:space="preserve">, </w:t>
      </w:r>
      <w:r w:rsidR="00684CBE">
        <w:rPr>
          <w:sz w:val="22"/>
          <w:szCs w:val="22"/>
        </w:rPr>
        <w:t>d</w:t>
      </w:r>
      <w:r w:rsidR="00EE0E31">
        <w:rPr>
          <w:sz w:val="22"/>
          <w:szCs w:val="22"/>
        </w:rPr>
        <w:t>elegated budgets</w:t>
      </w:r>
      <w:r w:rsidR="00C179F4">
        <w:rPr>
          <w:sz w:val="22"/>
          <w:szCs w:val="22"/>
        </w:rPr>
        <w:t xml:space="preserve"> in 2016/17</w:t>
      </w:r>
      <w:r w:rsidR="00FC7918">
        <w:rPr>
          <w:sz w:val="22"/>
          <w:szCs w:val="22"/>
        </w:rPr>
        <w:t xml:space="preserve"> will be</w:t>
      </w:r>
      <w:r w:rsidR="002B3601">
        <w:rPr>
          <w:sz w:val="22"/>
          <w:szCs w:val="22"/>
        </w:rPr>
        <w:t xml:space="preserve"> constructed in 2</w:t>
      </w:r>
      <w:r w:rsidR="00EE0E31">
        <w:rPr>
          <w:sz w:val="22"/>
          <w:szCs w:val="22"/>
        </w:rPr>
        <w:t xml:space="preserve"> parts:</w:t>
      </w:r>
    </w:p>
    <w:p w:rsidR="00EE0E31" w:rsidRDefault="00EE0E31" w:rsidP="00EE0E31">
      <w:pPr>
        <w:jc w:val="both"/>
        <w:rPr>
          <w:sz w:val="22"/>
          <w:szCs w:val="22"/>
        </w:rPr>
      </w:pPr>
    </w:p>
    <w:p w:rsidR="0021298E" w:rsidRDefault="00EE0E31" w:rsidP="006566CB">
      <w:pPr>
        <w:jc w:val="both"/>
        <w:rPr>
          <w:sz w:val="22"/>
          <w:szCs w:val="22"/>
        </w:rPr>
      </w:pPr>
      <w:r w:rsidRPr="006566CB">
        <w:rPr>
          <w:sz w:val="22"/>
          <w:szCs w:val="22"/>
          <w:u w:val="single"/>
        </w:rPr>
        <w:t>The Place Element</w:t>
      </w:r>
      <w:r>
        <w:rPr>
          <w:sz w:val="22"/>
          <w:szCs w:val="22"/>
        </w:rPr>
        <w:t xml:space="preserve"> - the value of the ‘Place’ element is set at </w:t>
      </w:r>
    </w:p>
    <w:p w:rsidR="0021298E" w:rsidRDefault="0021298E" w:rsidP="006566CB">
      <w:pPr>
        <w:jc w:val="both"/>
        <w:rPr>
          <w:sz w:val="22"/>
          <w:szCs w:val="22"/>
        </w:rPr>
      </w:pPr>
    </w:p>
    <w:p w:rsidR="004A7AD9" w:rsidRDefault="00EE0E31" w:rsidP="0021298E">
      <w:pPr>
        <w:pStyle w:val="ListParagraph"/>
        <w:numPr>
          <w:ilvl w:val="0"/>
          <w:numId w:val="21"/>
        </w:numPr>
        <w:jc w:val="both"/>
        <w:rPr>
          <w:sz w:val="22"/>
          <w:szCs w:val="22"/>
        </w:rPr>
      </w:pPr>
      <w:r w:rsidRPr="0021298E">
        <w:rPr>
          <w:sz w:val="22"/>
          <w:szCs w:val="22"/>
        </w:rPr>
        <w:t xml:space="preserve">£10,000 per place for specialist </w:t>
      </w:r>
      <w:smartTag w:uri="urn:schemas-microsoft-com:office:smarttags" w:element="stockticker">
        <w:r w:rsidRPr="0021298E">
          <w:rPr>
            <w:sz w:val="22"/>
            <w:szCs w:val="22"/>
          </w:rPr>
          <w:t>SEN</w:t>
        </w:r>
      </w:smartTag>
      <w:r w:rsidR="003327B5" w:rsidRPr="0021298E">
        <w:rPr>
          <w:sz w:val="22"/>
          <w:szCs w:val="22"/>
        </w:rPr>
        <w:t xml:space="preserve"> settings (pre</w:t>
      </w:r>
      <w:r w:rsidR="00733B8C" w:rsidRPr="0021298E">
        <w:rPr>
          <w:sz w:val="22"/>
          <w:szCs w:val="22"/>
        </w:rPr>
        <w:t xml:space="preserve"> and post</w:t>
      </w:r>
      <w:r w:rsidR="004A7AD9">
        <w:rPr>
          <w:sz w:val="22"/>
          <w:szCs w:val="22"/>
        </w:rPr>
        <w:t xml:space="preserve"> 16)</w:t>
      </w:r>
    </w:p>
    <w:p w:rsidR="004A7AD9" w:rsidRDefault="004A7AD9" w:rsidP="004A7AD9">
      <w:pPr>
        <w:pStyle w:val="ListParagraph"/>
        <w:jc w:val="both"/>
        <w:rPr>
          <w:sz w:val="22"/>
          <w:szCs w:val="22"/>
        </w:rPr>
      </w:pPr>
    </w:p>
    <w:p w:rsidR="004A7AD9" w:rsidRDefault="00733B8C" w:rsidP="0021298E">
      <w:pPr>
        <w:pStyle w:val="ListParagraph"/>
        <w:numPr>
          <w:ilvl w:val="0"/>
          <w:numId w:val="21"/>
        </w:numPr>
        <w:jc w:val="both"/>
        <w:rPr>
          <w:sz w:val="22"/>
          <w:szCs w:val="22"/>
        </w:rPr>
      </w:pPr>
      <w:r w:rsidRPr="0021298E">
        <w:rPr>
          <w:sz w:val="22"/>
          <w:szCs w:val="22"/>
        </w:rPr>
        <w:t>£10,000 per pre 16 place and £11,165 per post 16 place for resourced provisions attached to mainstream settings</w:t>
      </w:r>
    </w:p>
    <w:p w:rsidR="004A7AD9" w:rsidRPr="004A7AD9" w:rsidRDefault="004A7AD9" w:rsidP="004A7AD9">
      <w:pPr>
        <w:jc w:val="both"/>
        <w:rPr>
          <w:sz w:val="22"/>
          <w:szCs w:val="22"/>
        </w:rPr>
      </w:pPr>
    </w:p>
    <w:p w:rsidR="004A7AD9" w:rsidRDefault="00FC7918" w:rsidP="0021298E">
      <w:pPr>
        <w:pStyle w:val="ListParagraph"/>
        <w:numPr>
          <w:ilvl w:val="0"/>
          <w:numId w:val="21"/>
        </w:numPr>
        <w:jc w:val="both"/>
        <w:rPr>
          <w:sz w:val="22"/>
          <w:szCs w:val="22"/>
        </w:rPr>
      </w:pPr>
      <w:r w:rsidRPr="00CD3C4F">
        <w:rPr>
          <w:sz w:val="22"/>
          <w:szCs w:val="22"/>
        </w:rPr>
        <w:t>£10</w:t>
      </w:r>
      <w:r w:rsidR="00EE0E31" w:rsidRPr="00CD3C4F">
        <w:rPr>
          <w:sz w:val="22"/>
          <w:szCs w:val="22"/>
        </w:rPr>
        <w:t>,000 per place for</w:t>
      </w:r>
      <w:r w:rsidR="00EE0E31" w:rsidRPr="0021298E">
        <w:rPr>
          <w:sz w:val="22"/>
          <w:szCs w:val="22"/>
        </w:rPr>
        <w:t xml:space="preserve"> specialist Alternative Provision settings (including Pupil Referral Units).</w:t>
      </w:r>
    </w:p>
    <w:p w:rsidR="004A7AD9" w:rsidRPr="004A7AD9" w:rsidRDefault="00EE0E31" w:rsidP="004A7AD9">
      <w:pPr>
        <w:jc w:val="both"/>
        <w:rPr>
          <w:sz w:val="22"/>
          <w:szCs w:val="22"/>
        </w:rPr>
      </w:pPr>
      <w:r w:rsidRPr="004A7AD9">
        <w:rPr>
          <w:sz w:val="22"/>
          <w:szCs w:val="22"/>
        </w:rPr>
        <w:t xml:space="preserve"> </w:t>
      </w:r>
    </w:p>
    <w:p w:rsidR="003B5B79" w:rsidRPr="004A7AD9" w:rsidRDefault="006A166C" w:rsidP="004A7AD9">
      <w:pPr>
        <w:jc w:val="both"/>
        <w:rPr>
          <w:sz w:val="22"/>
          <w:szCs w:val="22"/>
        </w:rPr>
      </w:pPr>
      <w:r w:rsidRPr="004A7AD9">
        <w:rPr>
          <w:sz w:val="22"/>
          <w:szCs w:val="22"/>
        </w:rPr>
        <w:t xml:space="preserve">These values are set nationally by the DfE. </w:t>
      </w:r>
      <w:r w:rsidR="00EE0E31" w:rsidRPr="004A7AD9">
        <w:rPr>
          <w:sz w:val="22"/>
          <w:szCs w:val="22"/>
        </w:rPr>
        <w:t>T</w:t>
      </w:r>
      <w:r w:rsidR="00B86A03" w:rsidRPr="004A7AD9">
        <w:rPr>
          <w:sz w:val="22"/>
          <w:szCs w:val="22"/>
        </w:rPr>
        <w:t>he number of places</w:t>
      </w:r>
      <w:r w:rsidR="00E01BC9">
        <w:rPr>
          <w:sz w:val="22"/>
          <w:szCs w:val="22"/>
        </w:rPr>
        <w:t xml:space="preserve"> per setting will be</w:t>
      </w:r>
      <w:r w:rsidR="002044F1" w:rsidRPr="004A7AD9">
        <w:rPr>
          <w:sz w:val="22"/>
          <w:szCs w:val="22"/>
        </w:rPr>
        <w:t xml:space="preserve"> set with</w:t>
      </w:r>
      <w:r w:rsidR="00EE0E31" w:rsidRPr="004A7AD9">
        <w:rPr>
          <w:sz w:val="22"/>
          <w:szCs w:val="22"/>
        </w:rPr>
        <w:t xml:space="preserve"> the Local Authority before the star</w:t>
      </w:r>
      <w:r w:rsidR="003327B5" w:rsidRPr="004A7AD9">
        <w:rPr>
          <w:sz w:val="22"/>
          <w:szCs w:val="22"/>
        </w:rPr>
        <w:t>t of the</w:t>
      </w:r>
      <w:r w:rsidR="00CD3C4F">
        <w:rPr>
          <w:sz w:val="22"/>
          <w:szCs w:val="22"/>
        </w:rPr>
        <w:t xml:space="preserve"> 2016/17</w:t>
      </w:r>
      <w:r w:rsidR="003327B5" w:rsidRPr="004A7AD9">
        <w:rPr>
          <w:sz w:val="22"/>
          <w:szCs w:val="22"/>
        </w:rPr>
        <w:t xml:space="preserve"> financia</w:t>
      </w:r>
      <w:r w:rsidR="001B447B" w:rsidRPr="004A7AD9">
        <w:rPr>
          <w:sz w:val="22"/>
          <w:szCs w:val="22"/>
        </w:rPr>
        <w:t>l year</w:t>
      </w:r>
      <w:r w:rsidR="00EE0E31" w:rsidRPr="004A7AD9">
        <w:rPr>
          <w:sz w:val="22"/>
          <w:szCs w:val="22"/>
        </w:rPr>
        <w:t>.</w:t>
      </w:r>
      <w:r w:rsidR="00144BE9" w:rsidRPr="004A7AD9">
        <w:rPr>
          <w:sz w:val="22"/>
          <w:szCs w:val="22"/>
        </w:rPr>
        <w:t xml:space="preserve"> </w:t>
      </w:r>
    </w:p>
    <w:p w:rsidR="003B5B79" w:rsidRDefault="003B5B79" w:rsidP="006566CB">
      <w:pPr>
        <w:jc w:val="both"/>
        <w:rPr>
          <w:sz w:val="22"/>
          <w:szCs w:val="22"/>
        </w:rPr>
      </w:pPr>
    </w:p>
    <w:p w:rsidR="006566CB" w:rsidRDefault="00144BE9" w:rsidP="006566CB">
      <w:pPr>
        <w:jc w:val="both"/>
        <w:rPr>
          <w:sz w:val="22"/>
          <w:szCs w:val="22"/>
        </w:rPr>
      </w:pPr>
      <w:r>
        <w:rPr>
          <w:sz w:val="22"/>
          <w:szCs w:val="22"/>
        </w:rPr>
        <w:t>The</w:t>
      </w:r>
      <w:r w:rsidR="006566CB">
        <w:rPr>
          <w:sz w:val="22"/>
          <w:szCs w:val="22"/>
        </w:rPr>
        <w:t xml:space="preserve"> £10,000</w:t>
      </w:r>
      <w:r w:rsidR="00E01BC9">
        <w:rPr>
          <w:sz w:val="22"/>
          <w:szCs w:val="22"/>
        </w:rPr>
        <w:t xml:space="preserve"> / £11,165</w:t>
      </w:r>
      <w:r w:rsidR="006566CB">
        <w:rPr>
          <w:sz w:val="22"/>
          <w:szCs w:val="22"/>
        </w:rPr>
        <w:t xml:space="preserve"> value</w:t>
      </w:r>
      <w:r w:rsidR="004A7AD9">
        <w:rPr>
          <w:sz w:val="22"/>
          <w:szCs w:val="22"/>
        </w:rPr>
        <w:t>s are</w:t>
      </w:r>
      <w:r w:rsidR="006566CB">
        <w:rPr>
          <w:sz w:val="22"/>
          <w:szCs w:val="22"/>
        </w:rPr>
        <w:t xml:space="preserve"> made up of:</w:t>
      </w:r>
    </w:p>
    <w:p w:rsidR="006566CB" w:rsidRDefault="006566CB" w:rsidP="006566CB">
      <w:pPr>
        <w:ind w:left="360"/>
        <w:jc w:val="both"/>
        <w:rPr>
          <w:sz w:val="22"/>
          <w:szCs w:val="22"/>
        </w:rPr>
      </w:pPr>
    </w:p>
    <w:p w:rsidR="006566CB" w:rsidRDefault="001103E2" w:rsidP="00C1738E">
      <w:pPr>
        <w:numPr>
          <w:ilvl w:val="0"/>
          <w:numId w:val="3"/>
        </w:numPr>
        <w:jc w:val="both"/>
        <w:rPr>
          <w:sz w:val="22"/>
          <w:szCs w:val="22"/>
        </w:rPr>
      </w:pPr>
      <w:r>
        <w:rPr>
          <w:sz w:val="22"/>
          <w:szCs w:val="22"/>
        </w:rPr>
        <w:t>a basic £4,000</w:t>
      </w:r>
      <w:r w:rsidR="004A7AD9">
        <w:rPr>
          <w:sz w:val="22"/>
          <w:szCs w:val="22"/>
        </w:rPr>
        <w:t xml:space="preserve"> (</w:t>
      </w:r>
      <w:r w:rsidR="00FC7918">
        <w:rPr>
          <w:sz w:val="22"/>
          <w:szCs w:val="22"/>
        </w:rPr>
        <w:t xml:space="preserve">for </w:t>
      </w:r>
      <w:r w:rsidR="004A7AD9">
        <w:rPr>
          <w:sz w:val="22"/>
          <w:szCs w:val="22"/>
        </w:rPr>
        <w:t>£10,000),</w:t>
      </w:r>
      <w:r w:rsidR="002279E0">
        <w:rPr>
          <w:sz w:val="22"/>
          <w:szCs w:val="22"/>
        </w:rPr>
        <w:t xml:space="preserve"> £5,165</w:t>
      </w:r>
      <w:r w:rsidR="004A7AD9">
        <w:rPr>
          <w:sz w:val="22"/>
          <w:szCs w:val="22"/>
        </w:rPr>
        <w:t xml:space="preserve"> (</w:t>
      </w:r>
      <w:r w:rsidR="00FC7918">
        <w:rPr>
          <w:sz w:val="22"/>
          <w:szCs w:val="22"/>
        </w:rPr>
        <w:t xml:space="preserve">for </w:t>
      </w:r>
      <w:r w:rsidR="00E01BC9">
        <w:rPr>
          <w:sz w:val="22"/>
          <w:szCs w:val="22"/>
        </w:rPr>
        <w:t xml:space="preserve">£11,165), </w:t>
      </w:r>
      <w:r w:rsidR="00144BE9">
        <w:rPr>
          <w:sz w:val="22"/>
          <w:szCs w:val="22"/>
        </w:rPr>
        <w:t>which is the</w:t>
      </w:r>
      <w:r>
        <w:rPr>
          <w:sz w:val="22"/>
          <w:szCs w:val="22"/>
        </w:rPr>
        <w:t xml:space="preserve"> fundin</w:t>
      </w:r>
      <w:r w:rsidR="00B86A03">
        <w:rPr>
          <w:sz w:val="22"/>
          <w:szCs w:val="22"/>
        </w:rPr>
        <w:t>g that all pupils attract</w:t>
      </w:r>
      <w:r w:rsidR="00144BE9">
        <w:rPr>
          <w:sz w:val="22"/>
          <w:szCs w:val="22"/>
        </w:rPr>
        <w:t xml:space="preserve"> within </w:t>
      </w:r>
      <w:r w:rsidR="00B86A03">
        <w:rPr>
          <w:sz w:val="22"/>
          <w:szCs w:val="22"/>
        </w:rPr>
        <w:t>formula funding</w:t>
      </w:r>
      <w:r w:rsidR="006566CB">
        <w:rPr>
          <w:sz w:val="22"/>
          <w:szCs w:val="22"/>
        </w:rPr>
        <w:t>,</w:t>
      </w:r>
    </w:p>
    <w:p w:rsidR="006566CB" w:rsidRDefault="006566CB" w:rsidP="006566CB">
      <w:pPr>
        <w:ind w:left="360"/>
        <w:jc w:val="both"/>
        <w:rPr>
          <w:sz w:val="22"/>
          <w:szCs w:val="22"/>
        </w:rPr>
      </w:pPr>
    </w:p>
    <w:p w:rsidR="00EE0E31" w:rsidRDefault="002279E0" w:rsidP="00C1738E">
      <w:pPr>
        <w:numPr>
          <w:ilvl w:val="0"/>
          <w:numId w:val="3"/>
        </w:numPr>
        <w:tabs>
          <w:tab w:val="num" w:pos="360"/>
        </w:tabs>
        <w:jc w:val="both"/>
        <w:rPr>
          <w:sz w:val="22"/>
          <w:szCs w:val="22"/>
        </w:rPr>
      </w:pPr>
      <w:r>
        <w:rPr>
          <w:sz w:val="22"/>
          <w:szCs w:val="22"/>
        </w:rPr>
        <w:t>an additional £6,000</w:t>
      </w:r>
      <w:r w:rsidR="004A7AD9">
        <w:rPr>
          <w:sz w:val="22"/>
          <w:szCs w:val="22"/>
        </w:rPr>
        <w:t xml:space="preserve"> for additional needs,</w:t>
      </w:r>
      <w:r w:rsidR="00530AC9">
        <w:rPr>
          <w:sz w:val="22"/>
          <w:szCs w:val="22"/>
        </w:rPr>
        <w:t xml:space="preserve"> which</w:t>
      </w:r>
      <w:r w:rsidR="004A7AD9">
        <w:rPr>
          <w:sz w:val="22"/>
          <w:szCs w:val="22"/>
        </w:rPr>
        <w:t xml:space="preserve"> in the mainstream primary and secondary funding formula</w:t>
      </w:r>
      <w:r w:rsidR="00530AC9">
        <w:rPr>
          <w:sz w:val="22"/>
          <w:szCs w:val="22"/>
        </w:rPr>
        <w:t xml:space="preserve"> is allocated</w:t>
      </w:r>
      <w:r w:rsidR="00B86A03">
        <w:rPr>
          <w:sz w:val="22"/>
          <w:szCs w:val="22"/>
        </w:rPr>
        <w:t xml:space="preserve"> within already</w:t>
      </w:r>
      <w:r w:rsidR="001103E2">
        <w:rPr>
          <w:sz w:val="22"/>
          <w:szCs w:val="22"/>
        </w:rPr>
        <w:t xml:space="preserve"> de</w:t>
      </w:r>
      <w:r w:rsidR="00FF614C">
        <w:rPr>
          <w:sz w:val="22"/>
          <w:szCs w:val="22"/>
        </w:rPr>
        <w:t>legated budgets</w:t>
      </w:r>
      <w:r w:rsidR="00992CE9">
        <w:rPr>
          <w:sz w:val="22"/>
          <w:szCs w:val="22"/>
        </w:rPr>
        <w:t>,</w:t>
      </w:r>
      <w:r w:rsidR="00144BE9">
        <w:rPr>
          <w:sz w:val="22"/>
          <w:szCs w:val="22"/>
        </w:rPr>
        <w:t xml:space="preserve"> </w:t>
      </w:r>
      <w:r w:rsidR="001103E2">
        <w:rPr>
          <w:sz w:val="22"/>
          <w:szCs w:val="22"/>
        </w:rPr>
        <w:t>calculated on measures of</w:t>
      </w:r>
      <w:r w:rsidR="00144BE9">
        <w:rPr>
          <w:sz w:val="22"/>
          <w:szCs w:val="22"/>
        </w:rPr>
        <w:t xml:space="preserve"> additional need</w:t>
      </w:r>
      <w:r w:rsidR="003B5B79">
        <w:rPr>
          <w:sz w:val="22"/>
          <w:szCs w:val="22"/>
        </w:rPr>
        <w:t xml:space="preserve"> such as Free School Meals, IDACI and</w:t>
      </w:r>
      <w:r w:rsidR="001103E2">
        <w:rPr>
          <w:sz w:val="22"/>
          <w:szCs w:val="22"/>
        </w:rPr>
        <w:t xml:space="preserve"> low attainment.</w:t>
      </w:r>
    </w:p>
    <w:p w:rsidR="00EE0E31" w:rsidRDefault="00EE0E31" w:rsidP="00EE0E31">
      <w:pPr>
        <w:ind w:left="360"/>
        <w:jc w:val="both"/>
        <w:rPr>
          <w:sz w:val="22"/>
          <w:szCs w:val="22"/>
        </w:rPr>
      </w:pPr>
    </w:p>
    <w:p w:rsidR="00733B8C" w:rsidRPr="00E443B1" w:rsidRDefault="00EE0E31" w:rsidP="006566CB">
      <w:pPr>
        <w:jc w:val="both"/>
        <w:rPr>
          <w:sz w:val="22"/>
          <w:szCs w:val="22"/>
        </w:rPr>
      </w:pPr>
      <w:r w:rsidRPr="006566CB">
        <w:rPr>
          <w:sz w:val="22"/>
          <w:szCs w:val="22"/>
          <w:u w:val="single"/>
        </w:rPr>
        <w:t>The Plus Elemen</w:t>
      </w:r>
      <w:r w:rsidR="00684CBE" w:rsidRPr="006566CB">
        <w:rPr>
          <w:sz w:val="22"/>
          <w:szCs w:val="22"/>
          <w:u w:val="single"/>
        </w:rPr>
        <w:t>t</w:t>
      </w:r>
      <w:r w:rsidR="00684CBE">
        <w:rPr>
          <w:sz w:val="22"/>
          <w:szCs w:val="22"/>
        </w:rPr>
        <w:t xml:space="preserve"> –</w:t>
      </w:r>
      <w:r w:rsidR="00FF614C">
        <w:rPr>
          <w:sz w:val="22"/>
          <w:szCs w:val="22"/>
        </w:rPr>
        <w:t xml:space="preserve"> t</w:t>
      </w:r>
      <w:r w:rsidR="00684CBE">
        <w:rPr>
          <w:sz w:val="22"/>
          <w:szCs w:val="22"/>
        </w:rPr>
        <w:t xml:space="preserve">he </w:t>
      </w:r>
      <w:r w:rsidR="00992CE9">
        <w:rPr>
          <w:sz w:val="22"/>
          <w:szCs w:val="22"/>
        </w:rPr>
        <w:t>top up, above the value of the P</w:t>
      </w:r>
      <w:r w:rsidR="00733B8C">
        <w:rPr>
          <w:sz w:val="22"/>
          <w:szCs w:val="22"/>
        </w:rPr>
        <w:t>lace element,</w:t>
      </w:r>
      <w:r w:rsidR="00684CBE">
        <w:rPr>
          <w:sz w:val="22"/>
          <w:szCs w:val="22"/>
        </w:rPr>
        <w:t xml:space="preserve"> which is allocated on an individual pupil basis. </w:t>
      </w:r>
      <w:r w:rsidR="00E443B1">
        <w:rPr>
          <w:sz w:val="22"/>
          <w:szCs w:val="22"/>
        </w:rPr>
        <w:t>This</w:t>
      </w:r>
      <w:r w:rsidR="00E01BC9">
        <w:rPr>
          <w:sz w:val="22"/>
          <w:szCs w:val="22"/>
        </w:rPr>
        <w:t xml:space="preserve"> will be</w:t>
      </w:r>
      <w:r w:rsidR="00684CBE">
        <w:rPr>
          <w:sz w:val="22"/>
          <w:szCs w:val="22"/>
        </w:rPr>
        <w:t xml:space="preserve"> calculated on an assessment of the additional needs of individual pupils</w:t>
      </w:r>
      <w:r w:rsidR="001A483D">
        <w:rPr>
          <w:sz w:val="22"/>
          <w:szCs w:val="22"/>
        </w:rPr>
        <w:t xml:space="preserve"> (</w:t>
      </w:r>
      <w:r w:rsidR="001B447B">
        <w:rPr>
          <w:sz w:val="22"/>
          <w:szCs w:val="22"/>
        </w:rPr>
        <w:t>we use our</w:t>
      </w:r>
      <w:r w:rsidR="00530AC9">
        <w:rPr>
          <w:sz w:val="22"/>
          <w:szCs w:val="22"/>
        </w:rPr>
        <w:t xml:space="preserve"> 7 R</w:t>
      </w:r>
      <w:r w:rsidR="001A483D">
        <w:rPr>
          <w:sz w:val="22"/>
          <w:szCs w:val="22"/>
        </w:rPr>
        <w:t>anges Model</w:t>
      </w:r>
      <w:r w:rsidR="00235F05">
        <w:rPr>
          <w:sz w:val="22"/>
          <w:szCs w:val="22"/>
        </w:rPr>
        <w:t xml:space="preserve"> – see </w:t>
      </w:r>
      <w:r w:rsidR="00CD3C4F">
        <w:rPr>
          <w:sz w:val="22"/>
          <w:szCs w:val="22"/>
        </w:rPr>
        <w:t>Appendix 1</w:t>
      </w:r>
      <w:r w:rsidR="001A483D" w:rsidRPr="00E13360">
        <w:rPr>
          <w:sz w:val="22"/>
          <w:szCs w:val="22"/>
        </w:rPr>
        <w:t>)</w:t>
      </w:r>
      <w:r w:rsidR="00E01BC9" w:rsidRPr="00E13360">
        <w:rPr>
          <w:sz w:val="22"/>
          <w:szCs w:val="22"/>
        </w:rPr>
        <w:t xml:space="preserve"> and </w:t>
      </w:r>
      <w:r w:rsidR="00E01BC9">
        <w:rPr>
          <w:sz w:val="22"/>
          <w:szCs w:val="22"/>
        </w:rPr>
        <w:t>allocations will be</w:t>
      </w:r>
      <w:r w:rsidR="00684CBE">
        <w:rPr>
          <w:sz w:val="22"/>
          <w:szCs w:val="22"/>
        </w:rPr>
        <w:t xml:space="preserve"> re-calculated, on a monthly basis, to take account of the movement of</w:t>
      </w:r>
      <w:r w:rsidR="00530AC9">
        <w:rPr>
          <w:sz w:val="22"/>
          <w:szCs w:val="22"/>
        </w:rPr>
        <w:t xml:space="preserve"> children</w:t>
      </w:r>
      <w:r w:rsidR="00684CBE">
        <w:rPr>
          <w:sz w:val="22"/>
          <w:szCs w:val="22"/>
        </w:rPr>
        <w:t xml:space="preserve">. </w:t>
      </w:r>
      <w:r w:rsidR="002B3601">
        <w:rPr>
          <w:sz w:val="22"/>
          <w:szCs w:val="22"/>
        </w:rPr>
        <w:t>The Plus element is the only vehicle through which differences in costs associated with settings (rather than pupils) can</w:t>
      </w:r>
      <w:r w:rsidR="00992CE9">
        <w:rPr>
          <w:sz w:val="22"/>
          <w:szCs w:val="22"/>
        </w:rPr>
        <w:t xml:space="preserve"> also</w:t>
      </w:r>
      <w:r w:rsidR="002B3601">
        <w:rPr>
          <w:sz w:val="22"/>
          <w:szCs w:val="22"/>
        </w:rPr>
        <w:t xml:space="preserve"> be recognised e.g. split sites, smaller settings</w:t>
      </w:r>
      <w:r w:rsidR="006A166C">
        <w:rPr>
          <w:sz w:val="22"/>
          <w:szCs w:val="22"/>
        </w:rPr>
        <w:t xml:space="preserve">. It is for local authorities, in </w:t>
      </w:r>
      <w:r w:rsidR="00EC59E4">
        <w:rPr>
          <w:sz w:val="22"/>
          <w:szCs w:val="22"/>
        </w:rPr>
        <w:t>consultation with their providers</w:t>
      </w:r>
      <w:r w:rsidR="006A166C">
        <w:rPr>
          <w:sz w:val="22"/>
          <w:szCs w:val="22"/>
        </w:rPr>
        <w:t>, to set the values of the</w:t>
      </w:r>
      <w:r w:rsidR="00530AC9">
        <w:rPr>
          <w:sz w:val="22"/>
          <w:szCs w:val="22"/>
        </w:rPr>
        <w:t>ir</w:t>
      </w:r>
      <w:r w:rsidR="006A166C">
        <w:rPr>
          <w:sz w:val="22"/>
          <w:szCs w:val="22"/>
        </w:rPr>
        <w:t xml:space="preserve"> Plus element</w:t>
      </w:r>
      <w:r w:rsidR="00530AC9">
        <w:rPr>
          <w:sz w:val="22"/>
          <w:szCs w:val="22"/>
        </w:rPr>
        <w:t>s</w:t>
      </w:r>
      <w:r w:rsidR="006A166C">
        <w:rPr>
          <w:sz w:val="22"/>
          <w:szCs w:val="22"/>
        </w:rPr>
        <w:t>.</w:t>
      </w:r>
      <w:r w:rsidR="00530AC9">
        <w:rPr>
          <w:sz w:val="22"/>
          <w:szCs w:val="22"/>
        </w:rPr>
        <w:t xml:space="preserve"> </w:t>
      </w:r>
      <w:r w:rsidR="00EC59E4">
        <w:rPr>
          <w:sz w:val="22"/>
          <w:szCs w:val="22"/>
        </w:rPr>
        <w:t>Plus element</w:t>
      </w:r>
      <w:r w:rsidR="00E01BC9">
        <w:rPr>
          <w:sz w:val="22"/>
          <w:szCs w:val="22"/>
        </w:rPr>
        <w:t>s will be</w:t>
      </w:r>
      <w:r w:rsidR="00EC59E4">
        <w:rPr>
          <w:sz w:val="22"/>
          <w:szCs w:val="22"/>
        </w:rPr>
        <w:t xml:space="preserve"> paid to</w:t>
      </w:r>
      <w:r w:rsidR="00A371EE">
        <w:rPr>
          <w:sz w:val="22"/>
          <w:szCs w:val="22"/>
        </w:rPr>
        <w:t xml:space="preserve"> setting</w:t>
      </w:r>
      <w:r w:rsidR="00EC59E4">
        <w:rPr>
          <w:sz w:val="22"/>
          <w:szCs w:val="22"/>
        </w:rPr>
        <w:t>s</w:t>
      </w:r>
      <w:r w:rsidR="00A371EE">
        <w:rPr>
          <w:sz w:val="22"/>
          <w:szCs w:val="22"/>
        </w:rPr>
        <w:t xml:space="preserve"> by the commissioning authority, which in most instances is the Local Authority.</w:t>
      </w:r>
      <w:r w:rsidR="00E443B1">
        <w:rPr>
          <w:sz w:val="22"/>
          <w:szCs w:val="22"/>
        </w:rPr>
        <w:t xml:space="preserve"> For Further Education settings </w:t>
      </w:r>
      <w:r w:rsidR="00CD3C4F">
        <w:rPr>
          <w:sz w:val="22"/>
          <w:szCs w:val="22"/>
        </w:rPr>
        <w:t>for the 2015/16</w:t>
      </w:r>
      <w:r w:rsidR="005C10D4">
        <w:rPr>
          <w:sz w:val="22"/>
          <w:szCs w:val="22"/>
        </w:rPr>
        <w:t xml:space="preserve"> academic </w:t>
      </w:r>
      <w:r w:rsidR="00CD3C4F">
        <w:rPr>
          <w:sz w:val="22"/>
          <w:szCs w:val="22"/>
        </w:rPr>
        <w:t xml:space="preserve">year, Bradford </w:t>
      </w:r>
      <w:r w:rsidR="00C41511">
        <w:rPr>
          <w:sz w:val="22"/>
          <w:szCs w:val="22"/>
        </w:rPr>
        <w:t>has implemented</w:t>
      </w:r>
      <w:r w:rsidR="00CD3C4F">
        <w:rPr>
          <w:sz w:val="22"/>
          <w:szCs w:val="22"/>
        </w:rPr>
        <w:t xml:space="preserve"> the formula already agreed with providers, as outlined paragrap</w:t>
      </w:r>
      <w:r w:rsidR="00206E5D">
        <w:rPr>
          <w:sz w:val="22"/>
          <w:szCs w:val="22"/>
        </w:rPr>
        <w:t>h 6</w:t>
      </w:r>
      <w:r w:rsidR="00CD3C4F">
        <w:rPr>
          <w:sz w:val="22"/>
          <w:szCs w:val="22"/>
        </w:rPr>
        <w:t xml:space="preserve">, which represents a further step </w:t>
      </w:r>
      <w:r w:rsidR="00E443B1">
        <w:rPr>
          <w:sz w:val="22"/>
          <w:szCs w:val="22"/>
        </w:rPr>
        <w:t xml:space="preserve">towards a formula Ranges based approach to the calculation of Plus </w:t>
      </w:r>
      <w:r w:rsidR="005C10D4">
        <w:rPr>
          <w:sz w:val="22"/>
          <w:szCs w:val="22"/>
        </w:rPr>
        <w:t>funding</w:t>
      </w:r>
      <w:r w:rsidR="00E01BC9">
        <w:rPr>
          <w:sz w:val="22"/>
          <w:szCs w:val="22"/>
        </w:rPr>
        <w:t>.</w:t>
      </w:r>
    </w:p>
    <w:p w:rsidR="00D91E66" w:rsidRDefault="00D91E66" w:rsidP="00C172BC">
      <w:pPr>
        <w:jc w:val="both"/>
        <w:rPr>
          <w:sz w:val="22"/>
          <w:szCs w:val="22"/>
        </w:rPr>
      </w:pPr>
    </w:p>
    <w:p w:rsidR="00C172BC" w:rsidRDefault="0021298E" w:rsidP="00C172BC">
      <w:pPr>
        <w:jc w:val="both"/>
        <w:rPr>
          <w:sz w:val="22"/>
          <w:szCs w:val="22"/>
        </w:rPr>
      </w:pPr>
      <w:r>
        <w:rPr>
          <w:sz w:val="22"/>
          <w:szCs w:val="22"/>
        </w:rPr>
        <w:t>3</w:t>
      </w:r>
      <w:r w:rsidR="00EE0E31">
        <w:rPr>
          <w:sz w:val="22"/>
          <w:szCs w:val="22"/>
        </w:rPr>
        <w:t xml:space="preserve">.2 </w:t>
      </w:r>
      <w:r w:rsidR="002B3601">
        <w:rPr>
          <w:sz w:val="22"/>
          <w:szCs w:val="22"/>
        </w:rPr>
        <w:t>Other key characteristics of ‘Pl</w:t>
      </w:r>
      <w:r w:rsidR="00235BF6">
        <w:rPr>
          <w:sz w:val="22"/>
          <w:szCs w:val="22"/>
        </w:rPr>
        <w:t>ace-Plus’</w:t>
      </w:r>
      <w:r w:rsidR="002B3601">
        <w:rPr>
          <w:sz w:val="22"/>
          <w:szCs w:val="22"/>
        </w:rPr>
        <w:t xml:space="preserve"> are:</w:t>
      </w:r>
    </w:p>
    <w:p w:rsidR="00C172BC" w:rsidRDefault="00C172BC" w:rsidP="00C172BC">
      <w:pPr>
        <w:jc w:val="both"/>
        <w:rPr>
          <w:sz w:val="22"/>
          <w:szCs w:val="22"/>
        </w:rPr>
      </w:pPr>
    </w:p>
    <w:p w:rsidR="00766DD1" w:rsidRDefault="00766DD1" w:rsidP="00C1738E">
      <w:pPr>
        <w:numPr>
          <w:ilvl w:val="0"/>
          <w:numId w:val="4"/>
        </w:numPr>
        <w:jc w:val="both"/>
        <w:rPr>
          <w:sz w:val="22"/>
          <w:szCs w:val="22"/>
        </w:rPr>
      </w:pPr>
      <w:r>
        <w:rPr>
          <w:sz w:val="22"/>
          <w:szCs w:val="22"/>
        </w:rPr>
        <w:t xml:space="preserve">For academies and other </w:t>
      </w:r>
      <w:r w:rsidR="00CC1D5D">
        <w:rPr>
          <w:sz w:val="22"/>
          <w:szCs w:val="22"/>
        </w:rPr>
        <w:t>non-maintained</w:t>
      </w:r>
      <w:r w:rsidR="006C21B2">
        <w:rPr>
          <w:sz w:val="22"/>
          <w:szCs w:val="22"/>
        </w:rPr>
        <w:t xml:space="preserve"> providers, including </w:t>
      </w:r>
      <w:r>
        <w:rPr>
          <w:sz w:val="22"/>
          <w:szCs w:val="22"/>
        </w:rPr>
        <w:t>Further Educatio</w:t>
      </w:r>
      <w:r w:rsidR="00783B16">
        <w:rPr>
          <w:sz w:val="22"/>
          <w:szCs w:val="22"/>
        </w:rPr>
        <w:t>n settings, the Place element will be</w:t>
      </w:r>
      <w:r>
        <w:rPr>
          <w:sz w:val="22"/>
          <w:szCs w:val="22"/>
        </w:rPr>
        <w:t xml:space="preserve"> a</w:t>
      </w:r>
      <w:r w:rsidR="006C21B2">
        <w:rPr>
          <w:sz w:val="22"/>
          <w:szCs w:val="22"/>
        </w:rPr>
        <w:t>llocated directly</w:t>
      </w:r>
      <w:r>
        <w:rPr>
          <w:sz w:val="22"/>
          <w:szCs w:val="22"/>
        </w:rPr>
        <w:t xml:space="preserve"> by the Education Funding Agency, rat</w:t>
      </w:r>
      <w:r w:rsidR="000745CD">
        <w:rPr>
          <w:sz w:val="22"/>
          <w:szCs w:val="22"/>
        </w:rPr>
        <w:t>her than by the Local Authority</w:t>
      </w:r>
      <w:r w:rsidR="00E12D5F">
        <w:rPr>
          <w:sz w:val="22"/>
          <w:szCs w:val="22"/>
        </w:rPr>
        <w:t>.</w:t>
      </w:r>
    </w:p>
    <w:p w:rsidR="00766DD1" w:rsidRDefault="00766DD1" w:rsidP="00766DD1">
      <w:pPr>
        <w:ind w:left="360"/>
        <w:jc w:val="both"/>
        <w:rPr>
          <w:sz w:val="22"/>
          <w:szCs w:val="22"/>
        </w:rPr>
      </w:pPr>
    </w:p>
    <w:p w:rsidR="008F3CD1" w:rsidRDefault="00992CE9" w:rsidP="00C1738E">
      <w:pPr>
        <w:numPr>
          <w:ilvl w:val="0"/>
          <w:numId w:val="4"/>
        </w:numPr>
        <w:jc w:val="both"/>
        <w:rPr>
          <w:sz w:val="22"/>
          <w:szCs w:val="22"/>
        </w:rPr>
      </w:pPr>
      <w:r>
        <w:rPr>
          <w:sz w:val="22"/>
          <w:szCs w:val="22"/>
        </w:rPr>
        <w:t xml:space="preserve">Specific </w:t>
      </w:r>
      <w:r w:rsidR="005C10D4">
        <w:rPr>
          <w:sz w:val="22"/>
          <w:szCs w:val="22"/>
        </w:rPr>
        <w:t>stand-alone</w:t>
      </w:r>
      <w:r w:rsidR="007F3CA5">
        <w:rPr>
          <w:sz w:val="22"/>
          <w:szCs w:val="22"/>
        </w:rPr>
        <w:t xml:space="preserve"> </w:t>
      </w:r>
      <w:r w:rsidR="005C10D4">
        <w:rPr>
          <w:sz w:val="22"/>
          <w:szCs w:val="22"/>
        </w:rPr>
        <w:t xml:space="preserve">maintained </w:t>
      </w:r>
      <w:r w:rsidR="007F3CA5">
        <w:rPr>
          <w:sz w:val="22"/>
          <w:szCs w:val="22"/>
        </w:rPr>
        <w:t xml:space="preserve">high needs providers i.e. Special schools and PRUs, </w:t>
      </w:r>
      <w:r w:rsidR="0037594A">
        <w:rPr>
          <w:sz w:val="22"/>
          <w:szCs w:val="22"/>
        </w:rPr>
        <w:t xml:space="preserve">are </w:t>
      </w:r>
      <w:r w:rsidR="00783B16">
        <w:rPr>
          <w:sz w:val="22"/>
          <w:szCs w:val="22"/>
        </w:rPr>
        <w:t xml:space="preserve">still </w:t>
      </w:r>
      <w:r w:rsidR="0037594A">
        <w:rPr>
          <w:sz w:val="22"/>
          <w:szCs w:val="22"/>
        </w:rPr>
        <w:t xml:space="preserve">not able to access de-delegated or centrally managed funds within the DSG in the way that they did prior to </w:t>
      </w:r>
      <w:smartTag w:uri="urn:schemas-microsoft-com:office:smarttags" w:element="date">
        <w:smartTagPr>
          <w:attr w:name="Year" w:val="2013"/>
          <w:attr w:name="Day" w:val="1"/>
          <w:attr w:name="Month" w:val="4"/>
        </w:smartTagPr>
        <w:r w:rsidR="0037594A">
          <w:rPr>
            <w:sz w:val="22"/>
            <w:szCs w:val="22"/>
          </w:rPr>
          <w:t>1 April 2013</w:t>
        </w:r>
      </w:smartTag>
      <w:r w:rsidR="0037594A">
        <w:rPr>
          <w:sz w:val="22"/>
          <w:szCs w:val="22"/>
        </w:rPr>
        <w:t>. Thi</w:t>
      </w:r>
      <w:r>
        <w:rPr>
          <w:sz w:val="22"/>
          <w:szCs w:val="22"/>
        </w:rPr>
        <w:t>s means that, in areas such as</w:t>
      </w:r>
      <w:r w:rsidR="0037594A">
        <w:rPr>
          <w:sz w:val="22"/>
          <w:szCs w:val="22"/>
        </w:rPr>
        <w:t xml:space="preserve"> maternity cover</w:t>
      </w:r>
      <w:r>
        <w:rPr>
          <w:sz w:val="22"/>
          <w:szCs w:val="22"/>
        </w:rPr>
        <w:t xml:space="preserve"> for employees and</w:t>
      </w:r>
      <w:r w:rsidR="0037594A">
        <w:rPr>
          <w:sz w:val="22"/>
          <w:szCs w:val="22"/>
        </w:rPr>
        <w:t xml:space="preserve"> tra</w:t>
      </w:r>
      <w:r>
        <w:rPr>
          <w:sz w:val="22"/>
          <w:szCs w:val="22"/>
        </w:rPr>
        <w:t>de union facilities time, settings must</w:t>
      </w:r>
      <w:r w:rsidR="0037594A">
        <w:rPr>
          <w:sz w:val="22"/>
          <w:szCs w:val="22"/>
        </w:rPr>
        <w:t xml:space="preserve"> either purchase services, where possible, from the Local Authority</w:t>
      </w:r>
      <w:r w:rsidR="00CB739C">
        <w:rPr>
          <w:sz w:val="22"/>
          <w:szCs w:val="22"/>
        </w:rPr>
        <w:t>,</w:t>
      </w:r>
      <w:r w:rsidR="0037594A">
        <w:rPr>
          <w:sz w:val="22"/>
          <w:szCs w:val="22"/>
        </w:rPr>
        <w:t xml:space="preserve"> or make their own arrangements, </w:t>
      </w:r>
      <w:r w:rsidR="00DD11A3">
        <w:rPr>
          <w:sz w:val="22"/>
          <w:szCs w:val="22"/>
        </w:rPr>
        <w:t>with the cost falling to their delegated budgets</w:t>
      </w:r>
      <w:r w:rsidR="00E12D5F">
        <w:rPr>
          <w:sz w:val="22"/>
          <w:szCs w:val="22"/>
        </w:rPr>
        <w:t>.</w:t>
      </w:r>
    </w:p>
    <w:p w:rsidR="00D541DA" w:rsidRDefault="00D541DA" w:rsidP="00D541DA">
      <w:pPr>
        <w:ind w:left="360"/>
        <w:jc w:val="both"/>
        <w:rPr>
          <w:sz w:val="22"/>
          <w:szCs w:val="22"/>
        </w:rPr>
      </w:pPr>
    </w:p>
    <w:p w:rsidR="00042E9A" w:rsidRDefault="00783B16" w:rsidP="00042E9A">
      <w:pPr>
        <w:numPr>
          <w:ilvl w:val="0"/>
          <w:numId w:val="4"/>
        </w:numPr>
        <w:jc w:val="both"/>
        <w:rPr>
          <w:sz w:val="22"/>
          <w:szCs w:val="22"/>
        </w:rPr>
      </w:pPr>
      <w:r>
        <w:rPr>
          <w:sz w:val="22"/>
          <w:szCs w:val="22"/>
        </w:rPr>
        <w:t xml:space="preserve">A </w:t>
      </w:r>
      <w:r w:rsidR="0057697A">
        <w:rPr>
          <w:sz w:val="22"/>
          <w:szCs w:val="22"/>
        </w:rPr>
        <w:t xml:space="preserve">basic </w:t>
      </w:r>
      <w:r>
        <w:rPr>
          <w:sz w:val="22"/>
          <w:szCs w:val="22"/>
        </w:rPr>
        <w:t>Minimum Funding Gua</w:t>
      </w:r>
      <w:r w:rsidR="0057697A">
        <w:rPr>
          <w:sz w:val="22"/>
          <w:szCs w:val="22"/>
        </w:rPr>
        <w:t>rantee is still required in 2016/17</w:t>
      </w:r>
      <w:r w:rsidR="00247716">
        <w:rPr>
          <w:sz w:val="22"/>
          <w:szCs w:val="22"/>
        </w:rPr>
        <w:t xml:space="preserve"> for special schools</w:t>
      </w:r>
      <w:r w:rsidR="009568EB">
        <w:rPr>
          <w:sz w:val="22"/>
          <w:szCs w:val="22"/>
        </w:rPr>
        <w:t xml:space="preserve">, to protect an individual </w:t>
      </w:r>
      <w:r w:rsidR="00247716">
        <w:rPr>
          <w:sz w:val="22"/>
          <w:szCs w:val="22"/>
        </w:rPr>
        <w:t>school’s</w:t>
      </w:r>
      <w:r w:rsidR="009568EB">
        <w:rPr>
          <w:sz w:val="22"/>
          <w:szCs w:val="22"/>
        </w:rPr>
        <w:t xml:space="preserve"> </w:t>
      </w:r>
      <w:r w:rsidR="00633455">
        <w:rPr>
          <w:sz w:val="22"/>
          <w:szCs w:val="22"/>
        </w:rPr>
        <w:t xml:space="preserve">Plus </w:t>
      </w:r>
      <w:r w:rsidR="009568EB">
        <w:rPr>
          <w:sz w:val="22"/>
          <w:szCs w:val="22"/>
        </w:rPr>
        <w:t>allocation against reduct</w:t>
      </w:r>
      <w:r w:rsidR="00633455">
        <w:rPr>
          <w:sz w:val="22"/>
          <w:szCs w:val="22"/>
        </w:rPr>
        <w:t>ions of more than 1.5% per pupil</w:t>
      </w:r>
      <w:r w:rsidR="00E12D5F">
        <w:rPr>
          <w:sz w:val="22"/>
          <w:szCs w:val="22"/>
        </w:rPr>
        <w:t>.</w:t>
      </w:r>
      <w:r w:rsidR="00247716">
        <w:rPr>
          <w:sz w:val="22"/>
          <w:szCs w:val="22"/>
        </w:rPr>
        <w:t xml:space="preserve"> This MFG is not a requirement in other </w:t>
      </w:r>
      <w:proofErr w:type="gramStart"/>
      <w:r w:rsidR="00247716">
        <w:rPr>
          <w:sz w:val="22"/>
          <w:szCs w:val="22"/>
        </w:rPr>
        <w:t>phases</w:t>
      </w:r>
      <w:proofErr w:type="gramEnd"/>
      <w:r w:rsidR="00247716">
        <w:rPr>
          <w:sz w:val="22"/>
          <w:szCs w:val="22"/>
        </w:rPr>
        <w:t xml:space="preserve"> e.g. alternative provision or resourced units.</w:t>
      </w:r>
    </w:p>
    <w:p w:rsidR="00A60FDB" w:rsidRPr="00015B45" w:rsidRDefault="00A60FDB" w:rsidP="00A60FDB">
      <w:pPr>
        <w:ind w:left="720"/>
        <w:jc w:val="both"/>
        <w:rPr>
          <w:sz w:val="22"/>
          <w:szCs w:val="22"/>
        </w:rPr>
      </w:pPr>
    </w:p>
    <w:p w:rsidR="00042E9A" w:rsidRDefault="00817653" w:rsidP="00C1738E">
      <w:pPr>
        <w:numPr>
          <w:ilvl w:val="0"/>
          <w:numId w:val="4"/>
        </w:numPr>
        <w:jc w:val="both"/>
        <w:rPr>
          <w:sz w:val="22"/>
          <w:szCs w:val="22"/>
        </w:rPr>
      </w:pPr>
      <w:r>
        <w:rPr>
          <w:rFonts w:cs="Arial"/>
          <w:sz w:val="22"/>
          <w:szCs w:val="22"/>
        </w:rPr>
        <w:t>L</w:t>
      </w:r>
      <w:r w:rsidR="005B0630">
        <w:rPr>
          <w:rFonts w:cs="Arial"/>
          <w:sz w:val="22"/>
          <w:szCs w:val="22"/>
        </w:rPr>
        <w:t>ocal authorities are permitted to continue to</w:t>
      </w:r>
      <w:r>
        <w:rPr>
          <w:rFonts w:cs="Arial"/>
          <w:sz w:val="22"/>
          <w:szCs w:val="22"/>
        </w:rPr>
        <w:t xml:space="preserve"> separately fund</w:t>
      </w:r>
      <w:r w:rsidR="005B0630">
        <w:rPr>
          <w:rFonts w:cs="Arial"/>
          <w:sz w:val="22"/>
          <w:szCs w:val="22"/>
        </w:rPr>
        <w:t xml:space="preserve"> additional outreach and support services that may be managed centrally</w:t>
      </w:r>
      <w:r>
        <w:rPr>
          <w:rFonts w:cs="Arial"/>
          <w:sz w:val="22"/>
          <w:szCs w:val="22"/>
        </w:rPr>
        <w:t xml:space="preserve"> or may be devolved to</w:t>
      </w:r>
      <w:r w:rsidR="00A71A41">
        <w:rPr>
          <w:rFonts w:cs="Arial"/>
          <w:sz w:val="22"/>
          <w:szCs w:val="22"/>
        </w:rPr>
        <w:t xml:space="preserve"> providers under service level agreements</w:t>
      </w:r>
      <w:r w:rsidR="005B0630" w:rsidRPr="008B3318">
        <w:rPr>
          <w:rFonts w:cs="Arial"/>
          <w:sz w:val="22"/>
          <w:szCs w:val="22"/>
        </w:rPr>
        <w:t xml:space="preserve">. </w:t>
      </w:r>
      <w:r w:rsidR="005B0630">
        <w:rPr>
          <w:rFonts w:cs="Arial"/>
          <w:sz w:val="22"/>
          <w:szCs w:val="22"/>
        </w:rPr>
        <w:t>It has been specifically</w:t>
      </w:r>
      <w:r w:rsidR="005B0630" w:rsidRPr="008B3318">
        <w:rPr>
          <w:rFonts w:cs="Arial"/>
          <w:sz w:val="22"/>
          <w:szCs w:val="22"/>
        </w:rPr>
        <w:t xml:space="preserve"> recognised</w:t>
      </w:r>
      <w:r w:rsidR="005B0630">
        <w:rPr>
          <w:rFonts w:cs="Arial"/>
          <w:sz w:val="22"/>
          <w:szCs w:val="22"/>
        </w:rPr>
        <w:t xml:space="preserve"> by the D</w:t>
      </w:r>
      <w:r w:rsidR="00B307D1">
        <w:rPr>
          <w:rFonts w:cs="Arial"/>
          <w:sz w:val="22"/>
          <w:szCs w:val="22"/>
        </w:rPr>
        <w:t>fE</w:t>
      </w:r>
      <w:r w:rsidR="005B0630" w:rsidRPr="008B3318">
        <w:rPr>
          <w:rFonts w:cs="Arial"/>
          <w:sz w:val="22"/>
          <w:szCs w:val="22"/>
        </w:rPr>
        <w:t xml:space="preserve"> that</w:t>
      </w:r>
      <w:r w:rsidR="005B0630">
        <w:rPr>
          <w:rFonts w:cs="Arial"/>
          <w:sz w:val="22"/>
          <w:szCs w:val="22"/>
        </w:rPr>
        <w:t xml:space="preserve"> this sort of separate approach may be required to provide effective support services for children aged 0-19 with</w:t>
      </w:r>
      <w:r w:rsidR="005B0630" w:rsidRPr="008B3318">
        <w:rPr>
          <w:rFonts w:cs="Arial"/>
          <w:sz w:val="22"/>
          <w:szCs w:val="22"/>
        </w:rPr>
        <w:t xml:space="preserve"> low inc</w:t>
      </w:r>
      <w:r w:rsidR="005B0630">
        <w:rPr>
          <w:rFonts w:cs="Arial"/>
          <w:sz w:val="22"/>
          <w:szCs w:val="22"/>
        </w:rPr>
        <w:t xml:space="preserve">idence sensory impaired requiring </w:t>
      </w:r>
      <w:r w:rsidR="005B0630" w:rsidRPr="008B3318">
        <w:rPr>
          <w:rFonts w:cs="Arial"/>
          <w:sz w:val="22"/>
          <w:szCs w:val="22"/>
        </w:rPr>
        <w:t>high level</w:t>
      </w:r>
      <w:r w:rsidR="005B0630">
        <w:rPr>
          <w:rFonts w:cs="Arial"/>
          <w:sz w:val="22"/>
          <w:szCs w:val="22"/>
        </w:rPr>
        <w:t>s of</w:t>
      </w:r>
      <w:r w:rsidR="005B0630" w:rsidRPr="008B3318">
        <w:rPr>
          <w:rFonts w:cs="Arial"/>
          <w:sz w:val="22"/>
          <w:szCs w:val="22"/>
        </w:rPr>
        <w:t xml:space="preserve"> specialist support in mainstream</w:t>
      </w:r>
      <w:r w:rsidR="00B307D1">
        <w:rPr>
          <w:rFonts w:cs="Arial"/>
          <w:sz w:val="22"/>
          <w:szCs w:val="22"/>
        </w:rPr>
        <w:t xml:space="preserve"> settings</w:t>
      </w:r>
      <w:r w:rsidR="005B0630">
        <w:rPr>
          <w:rFonts w:cs="Arial"/>
          <w:sz w:val="22"/>
          <w:szCs w:val="22"/>
        </w:rPr>
        <w:t>.</w:t>
      </w:r>
    </w:p>
    <w:p w:rsidR="00042E9A" w:rsidRDefault="00042E9A" w:rsidP="00042E9A">
      <w:pPr>
        <w:jc w:val="both"/>
        <w:rPr>
          <w:rFonts w:cs="Arial"/>
          <w:sz w:val="22"/>
          <w:szCs w:val="22"/>
        </w:rPr>
      </w:pPr>
    </w:p>
    <w:p w:rsidR="005B3E48" w:rsidRDefault="005B3E48" w:rsidP="00C1738E">
      <w:pPr>
        <w:numPr>
          <w:ilvl w:val="0"/>
          <w:numId w:val="4"/>
        </w:numPr>
        <w:jc w:val="both"/>
        <w:rPr>
          <w:sz w:val="22"/>
          <w:szCs w:val="22"/>
        </w:rPr>
      </w:pPr>
      <w:r>
        <w:rPr>
          <w:rFonts w:cs="Arial"/>
          <w:sz w:val="22"/>
          <w:szCs w:val="22"/>
        </w:rPr>
        <w:t>Place-Plus contains sufficient flexibil</w:t>
      </w:r>
      <w:r w:rsidR="00E12D5F">
        <w:rPr>
          <w:rFonts w:cs="Arial"/>
          <w:sz w:val="22"/>
          <w:szCs w:val="22"/>
        </w:rPr>
        <w:t>ity for local authorities to</w:t>
      </w:r>
      <w:r>
        <w:rPr>
          <w:rFonts w:cs="Arial"/>
          <w:sz w:val="22"/>
          <w:szCs w:val="22"/>
        </w:rPr>
        <w:t xml:space="preserve"> continue current strategies and to ensure that individual settings do not face unmanageable budget pressures. The new system does not require</w:t>
      </w:r>
      <w:r w:rsidR="00B307D1">
        <w:rPr>
          <w:rFonts w:cs="Arial"/>
          <w:sz w:val="22"/>
          <w:szCs w:val="22"/>
        </w:rPr>
        <w:t xml:space="preserve"> per se</w:t>
      </w:r>
      <w:r>
        <w:rPr>
          <w:rFonts w:cs="Arial"/>
          <w:sz w:val="22"/>
          <w:szCs w:val="22"/>
        </w:rPr>
        <w:t xml:space="preserve"> an adjustment to overall levels of funding for specific type</w:t>
      </w:r>
      <w:r w:rsidR="00042E9A">
        <w:rPr>
          <w:rFonts w:cs="Arial"/>
          <w:sz w:val="22"/>
          <w:szCs w:val="22"/>
        </w:rPr>
        <w:t>s of provision. It is still</w:t>
      </w:r>
      <w:r>
        <w:rPr>
          <w:rFonts w:cs="Arial"/>
          <w:sz w:val="22"/>
          <w:szCs w:val="22"/>
        </w:rPr>
        <w:t xml:space="preserve"> for the Local Authority, with the Schools Forum, to determine this. </w:t>
      </w:r>
    </w:p>
    <w:p w:rsidR="00C177FF" w:rsidRDefault="00C177FF" w:rsidP="0094692E">
      <w:pPr>
        <w:jc w:val="both"/>
        <w:rPr>
          <w:sz w:val="22"/>
          <w:szCs w:val="22"/>
        </w:rPr>
      </w:pPr>
    </w:p>
    <w:p w:rsidR="00933A82" w:rsidRDefault="00933A82" w:rsidP="0094692E">
      <w:pPr>
        <w:jc w:val="both"/>
        <w:rPr>
          <w:sz w:val="22"/>
          <w:szCs w:val="22"/>
        </w:rPr>
      </w:pPr>
    </w:p>
    <w:p w:rsidR="00AF5BB5" w:rsidRPr="00C8557E" w:rsidRDefault="0021298E" w:rsidP="0094692E">
      <w:pPr>
        <w:jc w:val="both"/>
        <w:rPr>
          <w:b/>
          <w:sz w:val="22"/>
          <w:szCs w:val="22"/>
        </w:rPr>
      </w:pPr>
      <w:r w:rsidRPr="00C8557E">
        <w:rPr>
          <w:b/>
          <w:sz w:val="22"/>
          <w:szCs w:val="22"/>
        </w:rPr>
        <w:t>4</w:t>
      </w:r>
      <w:r w:rsidR="004130AE" w:rsidRPr="00C8557E">
        <w:rPr>
          <w:b/>
          <w:sz w:val="22"/>
          <w:szCs w:val="22"/>
        </w:rPr>
        <w:t>.</w:t>
      </w:r>
      <w:r w:rsidR="004130AE" w:rsidRPr="00C8557E">
        <w:rPr>
          <w:b/>
          <w:sz w:val="22"/>
          <w:szCs w:val="22"/>
        </w:rPr>
        <w:tab/>
      </w:r>
      <w:r w:rsidR="00933A82" w:rsidRPr="00C8557E">
        <w:rPr>
          <w:b/>
          <w:sz w:val="22"/>
          <w:szCs w:val="22"/>
        </w:rPr>
        <w:t xml:space="preserve">Reminder of </w:t>
      </w:r>
      <w:r w:rsidR="00066237" w:rsidRPr="00C8557E">
        <w:rPr>
          <w:b/>
          <w:sz w:val="22"/>
          <w:szCs w:val="22"/>
        </w:rPr>
        <w:t>o</w:t>
      </w:r>
      <w:r w:rsidR="004130AE" w:rsidRPr="00C8557E">
        <w:rPr>
          <w:b/>
          <w:sz w:val="22"/>
          <w:szCs w:val="22"/>
        </w:rPr>
        <w:t xml:space="preserve">ur </w:t>
      </w:r>
      <w:r w:rsidR="00066237" w:rsidRPr="00C8557E">
        <w:rPr>
          <w:b/>
          <w:sz w:val="22"/>
          <w:szCs w:val="22"/>
        </w:rPr>
        <w:t>funding a</w:t>
      </w:r>
      <w:r w:rsidR="00AF5BB5" w:rsidRPr="00C8557E">
        <w:rPr>
          <w:b/>
          <w:sz w:val="22"/>
          <w:szCs w:val="22"/>
        </w:rPr>
        <w:t>pproach</w:t>
      </w:r>
      <w:r w:rsidR="000E1EBA" w:rsidRPr="00C8557E">
        <w:rPr>
          <w:b/>
          <w:sz w:val="22"/>
          <w:szCs w:val="22"/>
        </w:rPr>
        <w:t xml:space="preserve"> in </w:t>
      </w:r>
      <w:r w:rsidR="00066237" w:rsidRPr="00C8557E">
        <w:rPr>
          <w:b/>
          <w:sz w:val="22"/>
          <w:szCs w:val="22"/>
        </w:rPr>
        <w:t>this current financial year</w:t>
      </w:r>
    </w:p>
    <w:p w:rsidR="00AF5BB5" w:rsidRDefault="00AF5BB5" w:rsidP="0094692E">
      <w:pPr>
        <w:jc w:val="both"/>
        <w:rPr>
          <w:sz w:val="22"/>
          <w:szCs w:val="22"/>
        </w:rPr>
      </w:pPr>
    </w:p>
    <w:p w:rsidR="006D2457" w:rsidRDefault="0021298E" w:rsidP="001402CD">
      <w:pPr>
        <w:jc w:val="both"/>
        <w:rPr>
          <w:sz w:val="22"/>
          <w:szCs w:val="22"/>
        </w:rPr>
      </w:pPr>
      <w:r>
        <w:rPr>
          <w:sz w:val="22"/>
          <w:szCs w:val="22"/>
        </w:rPr>
        <w:t>4</w:t>
      </w:r>
      <w:r w:rsidR="00140119">
        <w:rPr>
          <w:sz w:val="22"/>
          <w:szCs w:val="22"/>
        </w:rPr>
        <w:t>.1 A helpful way to outline the basics of our approach is to explain</w:t>
      </w:r>
      <w:r w:rsidR="006D2457">
        <w:rPr>
          <w:sz w:val="22"/>
          <w:szCs w:val="22"/>
        </w:rPr>
        <w:t xml:space="preserve"> the funding model for Special schools, as this has laid the foundations of </w:t>
      </w:r>
      <w:r w:rsidR="00DB60C0">
        <w:rPr>
          <w:sz w:val="22"/>
          <w:szCs w:val="22"/>
        </w:rPr>
        <w:t>the funding of all</w:t>
      </w:r>
      <w:r w:rsidR="006D2457">
        <w:rPr>
          <w:sz w:val="22"/>
          <w:szCs w:val="22"/>
        </w:rPr>
        <w:t xml:space="preserve"> high needs </w:t>
      </w:r>
      <w:r w:rsidR="001D3251">
        <w:rPr>
          <w:sz w:val="22"/>
          <w:szCs w:val="22"/>
        </w:rPr>
        <w:t>provision</w:t>
      </w:r>
      <w:r w:rsidR="006D2457">
        <w:rPr>
          <w:sz w:val="22"/>
          <w:szCs w:val="22"/>
        </w:rPr>
        <w:t>.</w:t>
      </w:r>
    </w:p>
    <w:p w:rsidR="007E7146" w:rsidRDefault="007E7146" w:rsidP="001402CD">
      <w:pPr>
        <w:jc w:val="both"/>
        <w:rPr>
          <w:sz w:val="22"/>
          <w:szCs w:val="22"/>
          <w:u w:val="single"/>
        </w:rPr>
      </w:pPr>
    </w:p>
    <w:p w:rsidR="001402CD" w:rsidRPr="004C2D8C" w:rsidRDefault="004C2D8C" w:rsidP="001402CD">
      <w:pPr>
        <w:jc w:val="both"/>
        <w:rPr>
          <w:sz w:val="22"/>
          <w:szCs w:val="22"/>
          <w:u w:val="single"/>
        </w:rPr>
      </w:pPr>
      <w:r w:rsidRPr="004C2D8C">
        <w:rPr>
          <w:sz w:val="22"/>
          <w:szCs w:val="22"/>
          <w:u w:val="single"/>
        </w:rPr>
        <w:t>Identification and Moderation of Pupil Need</w:t>
      </w:r>
    </w:p>
    <w:p w:rsidR="004C2D8C" w:rsidRDefault="004C2D8C" w:rsidP="001402CD">
      <w:pPr>
        <w:jc w:val="both"/>
        <w:rPr>
          <w:sz w:val="22"/>
          <w:szCs w:val="22"/>
        </w:rPr>
      </w:pPr>
    </w:p>
    <w:p w:rsidR="00037602" w:rsidRDefault="0015118D" w:rsidP="00037602">
      <w:pPr>
        <w:jc w:val="both"/>
        <w:rPr>
          <w:sz w:val="22"/>
          <w:szCs w:val="22"/>
        </w:rPr>
      </w:pPr>
      <w:r>
        <w:rPr>
          <w:sz w:val="22"/>
          <w:szCs w:val="22"/>
        </w:rPr>
        <w:t>4</w:t>
      </w:r>
      <w:r w:rsidR="0057697A">
        <w:rPr>
          <w:sz w:val="22"/>
          <w:szCs w:val="22"/>
        </w:rPr>
        <w:t>.2</w:t>
      </w:r>
      <w:r w:rsidR="00037602" w:rsidRPr="006E3614">
        <w:rPr>
          <w:sz w:val="22"/>
          <w:szCs w:val="22"/>
        </w:rPr>
        <w:t xml:space="preserve"> </w:t>
      </w:r>
      <w:r w:rsidR="00037602">
        <w:rPr>
          <w:sz w:val="22"/>
          <w:szCs w:val="22"/>
        </w:rPr>
        <w:t>As the majority of placements are commissioned by the Local Authority,</w:t>
      </w:r>
      <w:r w:rsidR="00037602" w:rsidRPr="006E3614">
        <w:rPr>
          <w:sz w:val="22"/>
          <w:szCs w:val="22"/>
        </w:rPr>
        <w:t xml:space="preserve"> the process for placing</w:t>
      </w:r>
      <w:r w:rsidR="00037602">
        <w:rPr>
          <w:sz w:val="22"/>
          <w:szCs w:val="22"/>
        </w:rPr>
        <w:t xml:space="preserve"> children into the 7 R</w:t>
      </w:r>
      <w:r w:rsidR="00037602" w:rsidRPr="006E3614">
        <w:rPr>
          <w:sz w:val="22"/>
          <w:szCs w:val="22"/>
        </w:rPr>
        <w:t>ang</w:t>
      </w:r>
      <w:r w:rsidR="00037602">
        <w:rPr>
          <w:sz w:val="22"/>
          <w:szCs w:val="22"/>
        </w:rPr>
        <w:t xml:space="preserve">es framework </w:t>
      </w:r>
      <w:r w:rsidR="00247716">
        <w:rPr>
          <w:sz w:val="22"/>
          <w:szCs w:val="22"/>
        </w:rPr>
        <w:t>is</w:t>
      </w:r>
      <w:r w:rsidR="00037602" w:rsidRPr="006E3614">
        <w:rPr>
          <w:sz w:val="22"/>
          <w:szCs w:val="22"/>
        </w:rPr>
        <w:t xml:space="preserve"> led </w:t>
      </w:r>
      <w:r w:rsidR="00247716">
        <w:rPr>
          <w:sz w:val="22"/>
          <w:szCs w:val="22"/>
        </w:rPr>
        <w:t xml:space="preserve">by the Local Authority, </w:t>
      </w:r>
      <w:r w:rsidR="000747DD">
        <w:rPr>
          <w:sz w:val="22"/>
          <w:szCs w:val="22"/>
        </w:rPr>
        <w:t xml:space="preserve">using </w:t>
      </w:r>
      <w:r w:rsidR="00037602" w:rsidRPr="006E3614">
        <w:rPr>
          <w:sz w:val="22"/>
          <w:szCs w:val="22"/>
        </w:rPr>
        <w:t xml:space="preserve">the primary need </w:t>
      </w:r>
      <w:r w:rsidR="00037602">
        <w:rPr>
          <w:sz w:val="22"/>
          <w:szCs w:val="22"/>
        </w:rPr>
        <w:t>data that is</w:t>
      </w:r>
      <w:r w:rsidR="00037602" w:rsidRPr="006E3614">
        <w:rPr>
          <w:sz w:val="22"/>
          <w:szCs w:val="22"/>
        </w:rPr>
        <w:t xml:space="preserve"> held by the Authority and the descriptors of need that have been agreed by school colleagues and applied for the funding of Special schools for a number of years. </w:t>
      </w:r>
    </w:p>
    <w:p w:rsidR="00D91E66" w:rsidRDefault="00D91E66" w:rsidP="00E222E4">
      <w:pPr>
        <w:jc w:val="both"/>
        <w:rPr>
          <w:sz w:val="22"/>
          <w:szCs w:val="22"/>
        </w:rPr>
      </w:pPr>
    </w:p>
    <w:p w:rsidR="00447A99" w:rsidRDefault="0015118D" w:rsidP="00447A99">
      <w:pPr>
        <w:jc w:val="both"/>
        <w:rPr>
          <w:sz w:val="22"/>
          <w:szCs w:val="22"/>
        </w:rPr>
      </w:pPr>
      <w:r>
        <w:rPr>
          <w:sz w:val="22"/>
          <w:szCs w:val="22"/>
        </w:rPr>
        <w:t>4</w:t>
      </w:r>
      <w:r w:rsidR="0057697A">
        <w:rPr>
          <w:sz w:val="22"/>
          <w:szCs w:val="22"/>
        </w:rPr>
        <w:t>.3</w:t>
      </w:r>
      <w:r w:rsidR="00811543">
        <w:rPr>
          <w:sz w:val="22"/>
          <w:szCs w:val="22"/>
        </w:rPr>
        <w:t xml:space="preserve"> </w:t>
      </w:r>
      <w:r w:rsidR="00247716">
        <w:rPr>
          <w:sz w:val="22"/>
          <w:szCs w:val="22"/>
        </w:rPr>
        <w:t>The Local Authority reviews</w:t>
      </w:r>
      <w:r w:rsidR="00447A99">
        <w:rPr>
          <w:sz w:val="22"/>
          <w:szCs w:val="22"/>
        </w:rPr>
        <w:t xml:space="preserve"> existing pupil populations </w:t>
      </w:r>
      <w:r w:rsidR="00247716">
        <w:rPr>
          <w:sz w:val="22"/>
          <w:szCs w:val="22"/>
        </w:rPr>
        <w:t>and discusses</w:t>
      </w:r>
      <w:r w:rsidR="00447A99">
        <w:rPr>
          <w:sz w:val="22"/>
          <w:szCs w:val="22"/>
        </w:rPr>
        <w:t xml:space="preserve"> the outcomes of this with each setting. </w:t>
      </w:r>
      <w:r w:rsidR="00B814EA">
        <w:rPr>
          <w:sz w:val="22"/>
          <w:szCs w:val="22"/>
        </w:rPr>
        <w:t xml:space="preserve">Assessment places </w:t>
      </w:r>
      <w:r w:rsidR="00D76A6C">
        <w:rPr>
          <w:sz w:val="22"/>
          <w:szCs w:val="22"/>
        </w:rPr>
        <w:t>are</w:t>
      </w:r>
      <w:r w:rsidR="00B814EA">
        <w:rPr>
          <w:sz w:val="22"/>
          <w:szCs w:val="22"/>
        </w:rPr>
        <w:t xml:space="preserve"> funded</w:t>
      </w:r>
      <w:r w:rsidR="00B814EA" w:rsidRPr="00B830AB">
        <w:rPr>
          <w:sz w:val="22"/>
          <w:szCs w:val="22"/>
        </w:rPr>
        <w:t xml:space="preserve"> at Range 4D</w:t>
      </w:r>
      <w:r w:rsidR="00B814EA">
        <w:rPr>
          <w:sz w:val="22"/>
          <w:szCs w:val="22"/>
        </w:rPr>
        <w:t>.</w:t>
      </w:r>
    </w:p>
    <w:p w:rsidR="00B814EA" w:rsidRDefault="00B814EA" w:rsidP="00B814EA">
      <w:pPr>
        <w:ind w:left="720"/>
        <w:jc w:val="both"/>
        <w:rPr>
          <w:sz w:val="22"/>
          <w:szCs w:val="22"/>
        </w:rPr>
      </w:pPr>
    </w:p>
    <w:p w:rsidR="00B814EA" w:rsidRDefault="0057697A" w:rsidP="00B814EA">
      <w:pPr>
        <w:jc w:val="both"/>
        <w:rPr>
          <w:sz w:val="22"/>
          <w:szCs w:val="22"/>
        </w:rPr>
      </w:pPr>
      <w:r>
        <w:rPr>
          <w:sz w:val="22"/>
          <w:szCs w:val="22"/>
        </w:rPr>
        <w:t>4.4</w:t>
      </w:r>
      <w:r w:rsidR="00B814EA">
        <w:rPr>
          <w:sz w:val="22"/>
          <w:szCs w:val="22"/>
        </w:rPr>
        <w:t xml:space="preserve"> The process</w:t>
      </w:r>
      <w:r w:rsidR="00D76A6C">
        <w:rPr>
          <w:sz w:val="22"/>
          <w:szCs w:val="22"/>
        </w:rPr>
        <w:t>es</w:t>
      </w:r>
      <w:r w:rsidR="00B814EA">
        <w:rPr>
          <w:sz w:val="22"/>
          <w:szCs w:val="22"/>
        </w:rPr>
        <w:t xml:space="preserve"> </w:t>
      </w:r>
      <w:r w:rsidR="00D76A6C">
        <w:rPr>
          <w:sz w:val="22"/>
          <w:szCs w:val="22"/>
        </w:rPr>
        <w:t>for managing in year changes, and</w:t>
      </w:r>
      <w:r w:rsidR="00B814EA">
        <w:rPr>
          <w:sz w:val="22"/>
          <w:szCs w:val="22"/>
        </w:rPr>
        <w:t xml:space="preserve"> for the placement </w:t>
      </w:r>
      <w:r w:rsidR="00247716">
        <w:rPr>
          <w:sz w:val="22"/>
          <w:szCs w:val="22"/>
        </w:rPr>
        <w:t>of pupils newly statemented,</w:t>
      </w:r>
      <w:r w:rsidR="00D76A6C">
        <w:rPr>
          <w:sz w:val="22"/>
          <w:szCs w:val="22"/>
        </w:rPr>
        <w:t xml:space="preserve"> are</w:t>
      </w:r>
      <w:r w:rsidR="00B814EA">
        <w:rPr>
          <w:sz w:val="22"/>
          <w:szCs w:val="22"/>
        </w:rPr>
        <w:t xml:space="preserve"> </w:t>
      </w:r>
      <w:r w:rsidR="00247716">
        <w:rPr>
          <w:sz w:val="22"/>
          <w:szCs w:val="22"/>
        </w:rPr>
        <w:t>also</w:t>
      </w:r>
      <w:r w:rsidR="00B814EA">
        <w:rPr>
          <w:sz w:val="22"/>
          <w:szCs w:val="22"/>
        </w:rPr>
        <w:t xml:space="preserve"> led by the Lo</w:t>
      </w:r>
      <w:r w:rsidR="00247716">
        <w:rPr>
          <w:sz w:val="22"/>
          <w:szCs w:val="22"/>
        </w:rPr>
        <w:t>cal Authority. The Authority tracks</w:t>
      </w:r>
      <w:r w:rsidR="00B814EA">
        <w:rPr>
          <w:sz w:val="22"/>
          <w:szCs w:val="22"/>
        </w:rPr>
        <w:t xml:space="preserve"> the movement of c</w:t>
      </w:r>
      <w:r w:rsidR="00247716">
        <w:rPr>
          <w:sz w:val="22"/>
          <w:szCs w:val="22"/>
        </w:rPr>
        <w:t>hildren between settings and re-calculates</w:t>
      </w:r>
      <w:r w:rsidR="00B814EA">
        <w:rPr>
          <w:sz w:val="22"/>
          <w:szCs w:val="22"/>
        </w:rPr>
        <w:t xml:space="preserve"> funding on a </w:t>
      </w:r>
      <w:r w:rsidR="00247716">
        <w:rPr>
          <w:sz w:val="22"/>
          <w:szCs w:val="22"/>
        </w:rPr>
        <w:t>monthly basis. SEN Services provides</w:t>
      </w:r>
      <w:r w:rsidR="00B814EA">
        <w:rPr>
          <w:sz w:val="22"/>
          <w:szCs w:val="22"/>
        </w:rPr>
        <w:t xml:space="preserve"> to each setting a list of pupils on roll and their funding range by the 5</w:t>
      </w:r>
      <w:r w:rsidR="00B814EA" w:rsidRPr="001764C8">
        <w:rPr>
          <w:sz w:val="22"/>
          <w:szCs w:val="22"/>
          <w:vertAlign w:val="superscript"/>
        </w:rPr>
        <w:t>th</w:t>
      </w:r>
      <w:r w:rsidR="00B814EA">
        <w:rPr>
          <w:sz w:val="22"/>
          <w:szCs w:val="22"/>
        </w:rPr>
        <w:t xml:space="preserve"> day of each month. Any discrepancies in that month’s data </w:t>
      </w:r>
      <w:r w:rsidR="000747DD">
        <w:rPr>
          <w:sz w:val="22"/>
          <w:szCs w:val="22"/>
        </w:rPr>
        <w:t>are</w:t>
      </w:r>
      <w:r w:rsidR="00B814EA">
        <w:rPr>
          <w:sz w:val="22"/>
          <w:szCs w:val="22"/>
        </w:rPr>
        <w:t xml:space="preserve"> resolved at this point, before the 10</w:t>
      </w:r>
      <w:r w:rsidR="00B814EA" w:rsidRPr="001764C8">
        <w:rPr>
          <w:sz w:val="22"/>
          <w:szCs w:val="22"/>
          <w:vertAlign w:val="superscript"/>
        </w:rPr>
        <w:t>th</w:t>
      </w:r>
      <w:r w:rsidR="00B814EA">
        <w:rPr>
          <w:sz w:val="22"/>
          <w:szCs w:val="22"/>
        </w:rPr>
        <w:t xml:space="preserve"> of the month deadline. Newly statemented children </w:t>
      </w:r>
      <w:r w:rsidR="000747DD">
        <w:rPr>
          <w:sz w:val="22"/>
          <w:szCs w:val="22"/>
        </w:rPr>
        <w:t>are</w:t>
      </w:r>
      <w:r w:rsidR="00B814EA">
        <w:rPr>
          <w:sz w:val="22"/>
          <w:szCs w:val="22"/>
        </w:rPr>
        <w:t xml:space="preserve"> placed into one of the 7 Ranges by the Authority using primary need data. Children initially placed at Range 4D </w:t>
      </w:r>
      <w:r w:rsidR="000747DD">
        <w:rPr>
          <w:sz w:val="22"/>
          <w:szCs w:val="22"/>
        </w:rPr>
        <w:t>are</w:t>
      </w:r>
      <w:r w:rsidR="00B814EA">
        <w:rPr>
          <w:sz w:val="22"/>
          <w:szCs w:val="22"/>
        </w:rPr>
        <w:t xml:space="preserve"> re-categorised following assessment and settings </w:t>
      </w:r>
      <w:r w:rsidR="000747DD">
        <w:rPr>
          <w:sz w:val="22"/>
          <w:szCs w:val="22"/>
        </w:rPr>
        <w:t>are</w:t>
      </w:r>
      <w:r w:rsidR="00B814EA">
        <w:rPr>
          <w:sz w:val="22"/>
          <w:szCs w:val="22"/>
        </w:rPr>
        <w:t xml:space="preserve"> notified of this. Settings </w:t>
      </w:r>
      <w:r w:rsidR="000747DD">
        <w:rPr>
          <w:sz w:val="22"/>
          <w:szCs w:val="22"/>
        </w:rPr>
        <w:t>are also</w:t>
      </w:r>
      <w:r w:rsidR="00B814EA">
        <w:rPr>
          <w:sz w:val="22"/>
          <w:szCs w:val="22"/>
        </w:rPr>
        <w:t xml:space="preserve"> notified of the proposed funding range of a child at the point of consultation on placement. Schools </w:t>
      </w:r>
      <w:r w:rsidR="000747DD">
        <w:rPr>
          <w:sz w:val="22"/>
          <w:szCs w:val="22"/>
        </w:rPr>
        <w:t>are</w:t>
      </w:r>
      <w:r w:rsidR="00B814EA">
        <w:rPr>
          <w:sz w:val="22"/>
          <w:szCs w:val="22"/>
        </w:rPr>
        <w:t xml:space="preserve"> able to refer to the monthly funding statements to check changes and the funding position of newly admitted pupils</w:t>
      </w:r>
    </w:p>
    <w:p w:rsidR="00B814EA" w:rsidRDefault="00B814EA" w:rsidP="00B814EA">
      <w:pPr>
        <w:jc w:val="both"/>
        <w:rPr>
          <w:sz w:val="22"/>
          <w:szCs w:val="22"/>
        </w:rPr>
      </w:pPr>
    </w:p>
    <w:p w:rsidR="00B814EA" w:rsidRDefault="0057697A" w:rsidP="001402CD">
      <w:pPr>
        <w:jc w:val="both"/>
        <w:rPr>
          <w:sz w:val="22"/>
          <w:szCs w:val="22"/>
        </w:rPr>
      </w:pPr>
      <w:r>
        <w:rPr>
          <w:sz w:val="22"/>
          <w:szCs w:val="22"/>
        </w:rPr>
        <w:t>4.5</w:t>
      </w:r>
      <w:r w:rsidR="00B814EA">
        <w:rPr>
          <w:sz w:val="22"/>
          <w:szCs w:val="22"/>
        </w:rPr>
        <w:t xml:space="preserve"> A</w:t>
      </w:r>
      <w:r w:rsidR="00447A99">
        <w:rPr>
          <w:sz w:val="22"/>
          <w:szCs w:val="22"/>
        </w:rPr>
        <w:t>djustments to reflect changes in the needs of individual children, where an issue</w:t>
      </w:r>
      <w:r w:rsidR="00B814EA">
        <w:rPr>
          <w:sz w:val="22"/>
          <w:szCs w:val="22"/>
        </w:rPr>
        <w:t xml:space="preserve"> has been raised by a setting, </w:t>
      </w:r>
      <w:r w:rsidR="000747DD">
        <w:rPr>
          <w:sz w:val="22"/>
          <w:szCs w:val="22"/>
        </w:rPr>
        <w:t>are</w:t>
      </w:r>
      <w:r w:rsidR="00B814EA">
        <w:rPr>
          <w:sz w:val="22"/>
          <w:szCs w:val="22"/>
        </w:rPr>
        <w:t xml:space="preserve"> referred to </w:t>
      </w:r>
      <w:r w:rsidR="00447A99">
        <w:rPr>
          <w:sz w:val="22"/>
          <w:szCs w:val="22"/>
        </w:rPr>
        <w:t xml:space="preserve">the </w:t>
      </w:r>
      <w:smartTag w:uri="urn:schemas-microsoft-com:office:smarttags" w:element="stockticker">
        <w:r w:rsidR="00447A99">
          <w:rPr>
            <w:sz w:val="22"/>
            <w:szCs w:val="22"/>
          </w:rPr>
          <w:t>SEN</w:t>
        </w:r>
      </w:smartTag>
      <w:r w:rsidR="00447A99">
        <w:rPr>
          <w:sz w:val="22"/>
          <w:szCs w:val="22"/>
        </w:rPr>
        <w:t xml:space="preserve"> Strategy Manager / Ass</w:t>
      </w:r>
      <w:r w:rsidR="00B814EA">
        <w:rPr>
          <w:sz w:val="22"/>
          <w:szCs w:val="22"/>
        </w:rPr>
        <w:t xml:space="preserve">essment Manager. If agreement </w:t>
      </w:r>
      <w:r w:rsidR="000747DD">
        <w:rPr>
          <w:sz w:val="22"/>
          <w:szCs w:val="22"/>
        </w:rPr>
        <w:t>is not</w:t>
      </w:r>
      <w:r w:rsidR="00B814EA">
        <w:rPr>
          <w:sz w:val="22"/>
          <w:szCs w:val="22"/>
        </w:rPr>
        <w:t xml:space="preserve"> </w:t>
      </w:r>
      <w:r w:rsidR="00447A99">
        <w:rPr>
          <w:sz w:val="22"/>
          <w:szCs w:val="22"/>
        </w:rPr>
        <w:t xml:space="preserve">reached, the </w:t>
      </w:r>
      <w:smartTag w:uri="urn:schemas-microsoft-com:office:smarttags" w:element="stockticker">
        <w:r w:rsidR="00447A99">
          <w:rPr>
            <w:sz w:val="22"/>
            <w:szCs w:val="22"/>
          </w:rPr>
          <w:t>SEN</w:t>
        </w:r>
      </w:smartTag>
      <w:r w:rsidR="00B814EA">
        <w:rPr>
          <w:sz w:val="22"/>
          <w:szCs w:val="22"/>
        </w:rPr>
        <w:t xml:space="preserve"> Panel </w:t>
      </w:r>
      <w:r w:rsidR="000747DD">
        <w:rPr>
          <w:sz w:val="22"/>
          <w:szCs w:val="22"/>
        </w:rPr>
        <w:t>is</w:t>
      </w:r>
      <w:r w:rsidR="00447A99">
        <w:rPr>
          <w:sz w:val="22"/>
          <w:szCs w:val="22"/>
        </w:rPr>
        <w:t xml:space="preserve"> a</w:t>
      </w:r>
      <w:r w:rsidR="00B814EA">
        <w:rPr>
          <w:sz w:val="22"/>
          <w:szCs w:val="22"/>
        </w:rPr>
        <w:t xml:space="preserve">sked to make a final decision. Where changes </w:t>
      </w:r>
      <w:r w:rsidR="000747DD">
        <w:rPr>
          <w:sz w:val="22"/>
          <w:szCs w:val="22"/>
        </w:rPr>
        <w:t>are</w:t>
      </w:r>
      <w:r w:rsidR="00B814EA">
        <w:rPr>
          <w:sz w:val="22"/>
          <w:szCs w:val="22"/>
        </w:rPr>
        <w:t xml:space="preserve"> agreed with the Authority, funding </w:t>
      </w:r>
      <w:r w:rsidR="000747DD">
        <w:rPr>
          <w:sz w:val="22"/>
          <w:szCs w:val="22"/>
        </w:rPr>
        <w:t>is</w:t>
      </w:r>
      <w:r w:rsidR="00B814EA">
        <w:rPr>
          <w:sz w:val="22"/>
          <w:szCs w:val="22"/>
        </w:rPr>
        <w:t xml:space="preserve"> updated from the next applicable month.</w:t>
      </w:r>
    </w:p>
    <w:p w:rsidR="00B84169" w:rsidRDefault="00B84169" w:rsidP="001402CD">
      <w:pPr>
        <w:jc w:val="both"/>
        <w:rPr>
          <w:sz w:val="22"/>
          <w:szCs w:val="22"/>
        </w:rPr>
      </w:pPr>
    </w:p>
    <w:p w:rsidR="004C2D8C" w:rsidRPr="004C2D8C" w:rsidRDefault="00BC6094" w:rsidP="001402CD">
      <w:pPr>
        <w:jc w:val="both"/>
        <w:rPr>
          <w:sz w:val="22"/>
          <w:szCs w:val="22"/>
          <w:u w:val="single"/>
        </w:rPr>
      </w:pPr>
      <w:r>
        <w:rPr>
          <w:sz w:val="22"/>
          <w:szCs w:val="22"/>
          <w:u w:val="single"/>
        </w:rPr>
        <w:t>Funding</w:t>
      </w:r>
      <w:r w:rsidR="004C2D8C" w:rsidRPr="004C2D8C">
        <w:rPr>
          <w:sz w:val="22"/>
          <w:szCs w:val="22"/>
          <w:u w:val="single"/>
        </w:rPr>
        <w:t xml:space="preserve"> Pupil</w:t>
      </w:r>
      <w:r w:rsidR="00566FBE">
        <w:rPr>
          <w:sz w:val="22"/>
          <w:szCs w:val="22"/>
          <w:u w:val="single"/>
        </w:rPr>
        <w:t>-</w:t>
      </w:r>
      <w:r>
        <w:rPr>
          <w:sz w:val="22"/>
          <w:szCs w:val="22"/>
          <w:u w:val="single"/>
        </w:rPr>
        <w:t>Based</w:t>
      </w:r>
      <w:r w:rsidR="004C2D8C" w:rsidRPr="004C2D8C">
        <w:rPr>
          <w:sz w:val="22"/>
          <w:szCs w:val="22"/>
          <w:u w:val="single"/>
        </w:rPr>
        <w:t xml:space="preserve"> Need – the 7 Ranges Model</w:t>
      </w:r>
    </w:p>
    <w:p w:rsidR="004C2D8C" w:rsidRDefault="004C2D8C" w:rsidP="001402CD">
      <w:pPr>
        <w:jc w:val="both"/>
        <w:rPr>
          <w:sz w:val="22"/>
          <w:szCs w:val="22"/>
        </w:rPr>
      </w:pPr>
    </w:p>
    <w:p w:rsidR="004045C4" w:rsidRDefault="0015118D" w:rsidP="00FB4F2D">
      <w:pPr>
        <w:jc w:val="both"/>
        <w:rPr>
          <w:sz w:val="22"/>
          <w:szCs w:val="22"/>
        </w:rPr>
      </w:pPr>
      <w:r>
        <w:rPr>
          <w:sz w:val="22"/>
          <w:szCs w:val="22"/>
        </w:rPr>
        <w:t>4</w:t>
      </w:r>
      <w:r w:rsidR="000747DD">
        <w:rPr>
          <w:sz w:val="22"/>
          <w:szCs w:val="22"/>
        </w:rPr>
        <w:t>.6</w:t>
      </w:r>
      <w:r w:rsidR="00EE7B4B">
        <w:rPr>
          <w:sz w:val="22"/>
          <w:szCs w:val="22"/>
        </w:rPr>
        <w:t xml:space="preserve"> The agreed 7 Ranges</w:t>
      </w:r>
      <w:r w:rsidR="00C8557E">
        <w:rPr>
          <w:sz w:val="22"/>
          <w:szCs w:val="22"/>
        </w:rPr>
        <w:t xml:space="preserve"> Model, </w:t>
      </w:r>
      <w:r w:rsidR="000747DD">
        <w:rPr>
          <w:sz w:val="22"/>
          <w:szCs w:val="22"/>
        </w:rPr>
        <w:t>shown at Appendix 1</w:t>
      </w:r>
      <w:r w:rsidR="00FB4F2D" w:rsidRPr="00E13360">
        <w:rPr>
          <w:sz w:val="22"/>
          <w:szCs w:val="22"/>
        </w:rPr>
        <w:t xml:space="preserve">, </w:t>
      </w:r>
      <w:r w:rsidR="000747DD">
        <w:rPr>
          <w:sz w:val="22"/>
          <w:szCs w:val="22"/>
        </w:rPr>
        <w:t>is</w:t>
      </w:r>
      <w:r w:rsidR="00FB4F2D">
        <w:rPr>
          <w:sz w:val="22"/>
          <w:szCs w:val="22"/>
        </w:rPr>
        <w:t xml:space="preserve"> used to assign pupils into categories of need for funding purposes.</w:t>
      </w:r>
      <w:r w:rsidR="00A02FAD">
        <w:rPr>
          <w:sz w:val="22"/>
          <w:szCs w:val="22"/>
        </w:rPr>
        <w:t xml:space="preserve"> </w:t>
      </w:r>
      <w:r w:rsidR="004045C4">
        <w:rPr>
          <w:sz w:val="22"/>
          <w:szCs w:val="22"/>
        </w:rPr>
        <w:t>Each range has an applicable level of funding, and every p</w:t>
      </w:r>
      <w:r w:rsidR="00D00597">
        <w:rPr>
          <w:sz w:val="22"/>
          <w:szCs w:val="22"/>
        </w:rPr>
        <w:t>upil assigned to a range is</w:t>
      </w:r>
      <w:r w:rsidR="004045C4">
        <w:rPr>
          <w:sz w:val="22"/>
          <w:szCs w:val="22"/>
        </w:rPr>
        <w:t xml:space="preserve"> allocated the set value of funding, regardless of setting.</w:t>
      </w:r>
      <w:r w:rsidR="00566FBE">
        <w:rPr>
          <w:sz w:val="22"/>
          <w:szCs w:val="22"/>
        </w:rPr>
        <w:t xml:space="preserve"> This m</w:t>
      </w:r>
      <w:r w:rsidR="005C5735">
        <w:rPr>
          <w:sz w:val="22"/>
          <w:szCs w:val="22"/>
        </w:rPr>
        <w:t>odel has been applied in the same way to both pre and post 16</w:t>
      </w:r>
      <w:r w:rsidR="00491C34">
        <w:rPr>
          <w:sz w:val="22"/>
          <w:szCs w:val="22"/>
        </w:rPr>
        <w:t xml:space="preserve"> students</w:t>
      </w:r>
      <w:r w:rsidR="005C5735">
        <w:rPr>
          <w:sz w:val="22"/>
          <w:szCs w:val="22"/>
        </w:rPr>
        <w:t>.</w:t>
      </w:r>
    </w:p>
    <w:p w:rsidR="004045C4" w:rsidRDefault="004045C4" w:rsidP="00FB4F2D">
      <w:pPr>
        <w:jc w:val="both"/>
        <w:rPr>
          <w:sz w:val="22"/>
          <w:szCs w:val="22"/>
        </w:rPr>
      </w:pPr>
    </w:p>
    <w:p w:rsidR="00FB4F2D" w:rsidRDefault="0015118D" w:rsidP="00FB4F2D">
      <w:pPr>
        <w:jc w:val="both"/>
        <w:rPr>
          <w:sz w:val="22"/>
          <w:szCs w:val="22"/>
        </w:rPr>
      </w:pPr>
      <w:r>
        <w:rPr>
          <w:sz w:val="22"/>
          <w:szCs w:val="22"/>
        </w:rPr>
        <w:t>4</w:t>
      </w:r>
      <w:r w:rsidR="000747DD">
        <w:rPr>
          <w:sz w:val="22"/>
          <w:szCs w:val="22"/>
        </w:rPr>
        <w:t>.7</w:t>
      </w:r>
      <w:r w:rsidR="004045C4">
        <w:rPr>
          <w:sz w:val="22"/>
          <w:szCs w:val="22"/>
        </w:rPr>
        <w:t xml:space="preserve"> </w:t>
      </w:r>
      <w:r w:rsidR="00A02FAD">
        <w:rPr>
          <w:sz w:val="22"/>
          <w:szCs w:val="22"/>
        </w:rPr>
        <w:t>The Local Authority’s intention ha</w:t>
      </w:r>
      <w:r w:rsidR="004045C4">
        <w:rPr>
          <w:sz w:val="22"/>
          <w:szCs w:val="22"/>
        </w:rPr>
        <w:t>s</w:t>
      </w:r>
      <w:r w:rsidR="00A02FAD">
        <w:rPr>
          <w:sz w:val="22"/>
          <w:szCs w:val="22"/>
        </w:rPr>
        <w:t xml:space="preserve"> been to establish a single uniform framework for calculating ‘Plu</w:t>
      </w:r>
      <w:r w:rsidR="00EE7B4B">
        <w:rPr>
          <w:sz w:val="22"/>
          <w:szCs w:val="22"/>
        </w:rPr>
        <w:t>s’ funding</w:t>
      </w:r>
      <w:r w:rsidR="00A02FAD">
        <w:rPr>
          <w:sz w:val="22"/>
          <w:szCs w:val="22"/>
        </w:rPr>
        <w:t>.</w:t>
      </w:r>
      <w:r w:rsidR="004045C4">
        <w:rPr>
          <w:sz w:val="22"/>
          <w:szCs w:val="22"/>
        </w:rPr>
        <w:t xml:space="preserve"> </w:t>
      </w:r>
      <w:r w:rsidR="00340477">
        <w:rPr>
          <w:sz w:val="22"/>
          <w:szCs w:val="22"/>
        </w:rPr>
        <w:t>The Authority’s expectation is that this framework will categorise the vast majority of pupils and will thus ensure consistency in the approach to the funding of high needs in mainstream and special</w:t>
      </w:r>
      <w:r w:rsidR="00991226">
        <w:rPr>
          <w:sz w:val="22"/>
          <w:szCs w:val="22"/>
        </w:rPr>
        <w:t>ist settings</w:t>
      </w:r>
      <w:r w:rsidR="00340477">
        <w:rPr>
          <w:sz w:val="22"/>
          <w:szCs w:val="22"/>
        </w:rPr>
        <w:t xml:space="preserve">. </w:t>
      </w:r>
      <w:r w:rsidR="00EE7B4B">
        <w:rPr>
          <w:sz w:val="22"/>
          <w:szCs w:val="22"/>
        </w:rPr>
        <w:t>It is accepted that t</w:t>
      </w:r>
      <w:r w:rsidR="00340477">
        <w:rPr>
          <w:sz w:val="22"/>
          <w:szCs w:val="22"/>
        </w:rPr>
        <w:t>here will be a small number of children or young people th</w:t>
      </w:r>
      <w:r w:rsidR="00EE7B4B">
        <w:rPr>
          <w:sz w:val="22"/>
          <w:szCs w:val="22"/>
        </w:rPr>
        <w:t>at will sit outside the Ranges framework; m</w:t>
      </w:r>
      <w:r w:rsidR="00340477">
        <w:rPr>
          <w:sz w:val="22"/>
          <w:szCs w:val="22"/>
        </w:rPr>
        <w:t>ost of</w:t>
      </w:r>
      <w:r w:rsidR="00EE7B4B">
        <w:rPr>
          <w:sz w:val="22"/>
          <w:szCs w:val="22"/>
        </w:rPr>
        <w:t xml:space="preserve"> whom</w:t>
      </w:r>
      <w:r w:rsidR="00340477">
        <w:rPr>
          <w:sz w:val="22"/>
          <w:szCs w:val="22"/>
        </w:rPr>
        <w:t xml:space="preserve"> will be placed in specialist independent provision</w:t>
      </w:r>
      <w:r w:rsidR="00EE7B4B">
        <w:rPr>
          <w:sz w:val="22"/>
          <w:szCs w:val="22"/>
        </w:rPr>
        <w:t>s</w:t>
      </w:r>
      <w:r w:rsidR="00340477">
        <w:rPr>
          <w:sz w:val="22"/>
          <w:szCs w:val="22"/>
        </w:rPr>
        <w:t>.</w:t>
      </w:r>
    </w:p>
    <w:p w:rsidR="00E03181" w:rsidRDefault="00E03181" w:rsidP="00FB4F2D">
      <w:pPr>
        <w:jc w:val="both"/>
        <w:rPr>
          <w:sz w:val="22"/>
          <w:szCs w:val="22"/>
        </w:rPr>
      </w:pPr>
    </w:p>
    <w:p w:rsidR="00A60FDB" w:rsidRDefault="00A60FDB" w:rsidP="00FB4F2D">
      <w:pPr>
        <w:jc w:val="both"/>
        <w:rPr>
          <w:sz w:val="22"/>
          <w:szCs w:val="22"/>
        </w:rPr>
      </w:pPr>
    </w:p>
    <w:p w:rsidR="000747DD" w:rsidRDefault="0015118D" w:rsidP="00FB4F2D">
      <w:pPr>
        <w:jc w:val="both"/>
        <w:rPr>
          <w:sz w:val="22"/>
          <w:szCs w:val="22"/>
        </w:rPr>
      </w:pPr>
      <w:r>
        <w:rPr>
          <w:sz w:val="22"/>
          <w:szCs w:val="22"/>
        </w:rPr>
        <w:t>4</w:t>
      </w:r>
      <w:r w:rsidR="000747DD">
        <w:rPr>
          <w:sz w:val="22"/>
          <w:szCs w:val="22"/>
        </w:rPr>
        <w:t>.8</w:t>
      </w:r>
      <w:r w:rsidR="00EE7B4B">
        <w:rPr>
          <w:sz w:val="22"/>
          <w:szCs w:val="22"/>
        </w:rPr>
        <w:t xml:space="preserve"> The values of funding</w:t>
      </w:r>
      <w:r w:rsidR="00E03181">
        <w:rPr>
          <w:sz w:val="22"/>
          <w:szCs w:val="22"/>
        </w:rPr>
        <w:t xml:space="preserve"> per p</w:t>
      </w:r>
      <w:r w:rsidR="003A35EE">
        <w:rPr>
          <w:sz w:val="22"/>
          <w:szCs w:val="22"/>
        </w:rPr>
        <w:t xml:space="preserve">upil set for each range </w:t>
      </w:r>
      <w:r w:rsidR="000747DD">
        <w:rPr>
          <w:sz w:val="22"/>
          <w:szCs w:val="22"/>
        </w:rPr>
        <w:t>in 2015/16</w:t>
      </w:r>
      <w:r w:rsidR="00D00597">
        <w:rPr>
          <w:sz w:val="22"/>
          <w:szCs w:val="22"/>
        </w:rPr>
        <w:t xml:space="preserve"> are:</w:t>
      </w:r>
    </w:p>
    <w:p w:rsidR="000747DD" w:rsidRDefault="000747DD" w:rsidP="00FB4F2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0"/>
      </w:tblGrid>
      <w:tr w:rsidR="00D00597" w:rsidRPr="00C1738E" w:rsidTr="00C1738E">
        <w:tc>
          <w:tcPr>
            <w:tcW w:w="2808" w:type="dxa"/>
            <w:shd w:val="clear" w:color="auto" w:fill="C0C0C0"/>
          </w:tcPr>
          <w:p w:rsidR="00D00597" w:rsidRPr="00C1738E" w:rsidRDefault="00D00597" w:rsidP="00D00597">
            <w:pPr>
              <w:rPr>
                <w:b/>
                <w:sz w:val="22"/>
                <w:szCs w:val="22"/>
              </w:rPr>
            </w:pPr>
          </w:p>
          <w:p w:rsidR="00D00597" w:rsidRPr="00C1738E" w:rsidRDefault="00D00597" w:rsidP="00D00597">
            <w:pPr>
              <w:rPr>
                <w:b/>
                <w:sz w:val="22"/>
                <w:szCs w:val="22"/>
              </w:rPr>
            </w:pPr>
            <w:r w:rsidRPr="00C1738E">
              <w:rPr>
                <w:b/>
                <w:sz w:val="22"/>
                <w:szCs w:val="22"/>
              </w:rPr>
              <w:t>Range</w:t>
            </w:r>
          </w:p>
        </w:tc>
        <w:tc>
          <w:tcPr>
            <w:tcW w:w="2800" w:type="dxa"/>
            <w:shd w:val="clear" w:color="auto" w:fill="C0C0C0"/>
          </w:tcPr>
          <w:p w:rsidR="00D00597" w:rsidRPr="00C1738E" w:rsidRDefault="00D00597" w:rsidP="00C1738E">
            <w:pPr>
              <w:jc w:val="right"/>
              <w:rPr>
                <w:b/>
                <w:sz w:val="22"/>
                <w:szCs w:val="22"/>
              </w:rPr>
            </w:pPr>
          </w:p>
          <w:p w:rsidR="00D00597" w:rsidRPr="00C1738E" w:rsidRDefault="00D00597" w:rsidP="00C1738E">
            <w:pPr>
              <w:jc w:val="right"/>
              <w:rPr>
                <w:b/>
                <w:sz w:val="22"/>
                <w:szCs w:val="22"/>
              </w:rPr>
            </w:pPr>
            <w:r w:rsidRPr="00C1738E">
              <w:rPr>
                <w:b/>
                <w:sz w:val="22"/>
                <w:szCs w:val="22"/>
              </w:rPr>
              <w:t>Plus Funding (annual value)</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1</w:t>
            </w:r>
          </w:p>
        </w:tc>
        <w:tc>
          <w:tcPr>
            <w:tcW w:w="2800" w:type="dxa"/>
            <w:shd w:val="clear" w:color="auto" w:fill="auto"/>
          </w:tcPr>
          <w:p w:rsidR="00D00597" w:rsidRPr="00C1738E" w:rsidRDefault="00D00597" w:rsidP="00C1738E">
            <w:pPr>
              <w:jc w:val="right"/>
              <w:rPr>
                <w:b/>
                <w:sz w:val="22"/>
                <w:szCs w:val="22"/>
              </w:rPr>
            </w:pPr>
            <w:r w:rsidRPr="00C1738E">
              <w:rPr>
                <w:b/>
                <w:sz w:val="22"/>
                <w:szCs w:val="22"/>
              </w:rPr>
              <w:t>£0</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2</w:t>
            </w:r>
          </w:p>
        </w:tc>
        <w:tc>
          <w:tcPr>
            <w:tcW w:w="2800" w:type="dxa"/>
            <w:shd w:val="clear" w:color="auto" w:fill="auto"/>
          </w:tcPr>
          <w:p w:rsidR="00D00597" w:rsidRPr="00C1738E" w:rsidRDefault="00D00597" w:rsidP="00C1738E">
            <w:pPr>
              <w:jc w:val="right"/>
              <w:rPr>
                <w:b/>
                <w:sz w:val="22"/>
                <w:szCs w:val="22"/>
              </w:rPr>
            </w:pPr>
            <w:r w:rsidRPr="00C1738E">
              <w:rPr>
                <w:b/>
                <w:sz w:val="22"/>
                <w:szCs w:val="22"/>
              </w:rPr>
              <w:t>£0</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3</w:t>
            </w:r>
          </w:p>
        </w:tc>
        <w:tc>
          <w:tcPr>
            <w:tcW w:w="2800" w:type="dxa"/>
            <w:shd w:val="clear" w:color="auto" w:fill="auto"/>
          </w:tcPr>
          <w:p w:rsidR="00D00597" w:rsidRPr="00C1738E" w:rsidRDefault="00D00597" w:rsidP="00C1738E">
            <w:pPr>
              <w:jc w:val="right"/>
              <w:rPr>
                <w:b/>
                <w:sz w:val="22"/>
                <w:szCs w:val="22"/>
              </w:rPr>
            </w:pPr>
            <w:r w:rsidRPr="00C1738E">
              <w:rPr>
                <w:b/>
                <w:sz w:val="22"/>
                <w:szCs w:val="22"/>
              </w:rPr>
              <w:t>£0</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4A</w:t>
            </w:r>
          </w:p>
        </w:tc>
        <w:tc>
          <w:tcPr>
            <w:tcW w:w="2800" w:type="dxa"/>
            <w:shd w:val="clear" w:color="auto" w:fill="auto"/>
          </w:tcPr>
          <w:p w:rsidR="00D00597" w:rsidRPr="00C1738E" w:rsidRDefault="00FB121E" w:rsidP="00C1738E">
            <w:pPr>
              <w:jc w:val="right"/>
              <w:rPr>
                <w:b/>
                <w:sz w:val="22"/>
                <w:szCs w:val="22"/>
              </w:rPr>
            </w:pPr>
            <w:r>
              <w:rPr>
                <w:b/>
                <w:sz w:val="22"/>
                <w:szCs w:val="22"/>
              </w:rPr>
              <w:t>£985</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4B</w:t>
            </w:r>
          </w:p>
        </w:tc>
        <w:tc>
          <w:tcPr>
            <w:tcW w:w="2800" w:type="dxa"/>
            <w:shd w:val="clear" w:color="auto" w:fill="auto"/>
          </w:tcPr>
          <w:p w:rsidR="00D00597" w:rsidRPr="00C1738E" w:rsidRDefault="00FB121E" w:rsidP="00C1738E">
            <w:pPr>
              <w:jc w:val="right"/>
              <w:rPr>
                <w:b/>
                <w:sz w:val="22"/>
                <w:szCs w:val="22"/>
              </w:rPr>
            </w:pPr>
            <w:r>
              <w:rPr>
                <w:b/>
                <w:sz w:val="22"/>
                <w:szCs w:val="22"/>
              </w:rPr>
              <w:t>£3,105</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4C</w:t>
            </w:r>
          </w:p>
        </w:tc>
        <w:tc>
          <w:tcPr>
            <w:tcW w:w="2800" w:type="dxa"/>
            <w:shd w:val="clear" w:color="auto" w:fill="auto"/>
          </w:tcPr>
          <w:p w:rsidR="00D00597" w:rsidRPr="00C1738E" w:rsidRDefault="00D00597" w:rsidP="00C1738E">
            <w:pPr>
              <w:jc w:val="right"/>
              <w:rPr>
                <w:b/>
                <w:sz w:val="22"/>
                <w:szCs w:val="22"/>
              </w:rPr>
            </w:pPr>
            <w:r w:rsidRPr="00C1738E">
              <w:rPr>
                <w:b/>
                <w:sz w:val="22"/>
                <w:szCs w:val="22"/>
              </w:rPr>
              <w:t>£4,</w:t>
            </w:r>
            <w:r w:rsidR="00FB121E">
              <w:rPr>
                <w:b/>
                <w:sz w:val="22"/>
                <w:szCs w:val="22"/>
              </w:rPr>
              <w:t>758</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4D</w:t>
            </w:r>
          </w:p>
        </w:tc>
        <w:tc>
          <w:tcPr>
            <w:tcW w:w="2800" w:type="dxa"/>
            <w:shd w:val="clear" w:color="auto" w:fill="auto"/>
          </w:tcPr>
          <w:p w:rsidR="00D00597" w:rsidRPr="00C1738E" w:rsidRDefault="00FB121E" w:rsidP="00C1738E">
            <w:pPr>
              <w:jc w:val="right"/>
              <w:rPr>
                <w:b/>
                <w:sz w:val="22"/>
                <w:szCs w:val="22"/>
              </w:rPr>
            </w:pPr>
            <w:r>
              <w:rPr>
                <w:b/>
                <w:sz w:val="22"/>
                <w:szCs w:val="22"/>
              </w:rPr>
              <w:t>£7,411</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5</w:t>
            </w:r>
          </w:p>
        </w:tc>
        <w:tc>
          <w:tcPr>
            <w:tcW w:w="2800" w:type="dxa"/>
            <w:shd w:val="clear" w:color="auto" w:fill="auto"/>
          </w:tcPr>
          <w:p w:rsidR="00D00597" w:rsidRPr="00C1738E" w:rsidRDefault="00FB121E" w:rsidP="00C1738E">
            <w:pPr>
              <w:jc w:val="right"/>
              <w:rPr>
                <w:b/>
                <w:sz w:val="22"/>
                <w:szCs w:val="22"/>
              </w:rPr>
            </w:pPr>
            <w:r>
              <w:rPr>
                <w:b/>
                <w:sz w:val="22"/>
                <w:szCs w:val="22"/>
              </w:rPr>
              <w:t>£10,806</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6</w:t>
            </w:r>
          </w:p>
        </w:tc>
        <w:tc>
          <w:tcPr>
            <w:tcW w:w="2800" w:type="dxa"/>
            <w:shd w:val="clear" w:color="auto" w:fill="auto"/>
          </w:tcPr>
          <w:p w:rsidR="00D00597" w:rsidRPr="00C1738E" w:rsidRDefault="00FB121E" w:rsidP="00C1738E">
            <w:pPr>
              <w:jc w:val="right"/>
              <w:rPr>
                <w:b/>
                <w:sz w:val="22"/>
                <w:szCs w:val="22"/>
              </w:rPr>
            </w:pPr>
            <w:r>
              <w:rPr>
                <w:b/>
                <w:sz w:val="22"/>
                <w:szCs w:val="22"/>
              </w:rPr>
              <w:t>£14,398</w:t>
            </w:r>
          </w:p>
        </w:tc>
      </w:tr>
      <w:tr w:rsidR="00D00597" w:rsidRPr="00C1738E" w:rsidTr="00C1738E">
        <w:tc>
          <w:tcPr>
            <w:tcW w:w="2808" w:type="dxa"/>
            <w:shd w:val="clear" w:color="auto" w:fill="auto"/>
          </w:tcPr>
          <w:p w:rsidR="00D00597" w:rsidRPr="00C1738E" w:rsidRDefault="00D00597" w:rsidP="00D00597">
            <w:pPr>
              <w:rPr>
                <w:sz w:val="22"/>
                <w:szCs w:val="22"/>
              </w:rPr>
            </w:pPr>
            <w:r w:rsidRPr="00C1738E">
              <w:rPr>
                <w:sz w:val="22"/>
                <w:szCs w:val="22"/>
              </w:rPr>
              <w:t>Range 7</w:t>
            </w:r>
          </w:p>
        </w:tc>
        <w:tc>
          <w:tcPr>
            <w:tcW w:w="2800" w:type="dxa"/>
            <w:shd w:val="clear" w:color="auto" w:fill="auto"/>
          </w:tcPr>
          <w:p w:rsidR="00D00597" w:rsidRPr="00C1738E" w:rsidRDefault="00FB121E" w:rsidP="00C1738E">
            <w:pPr>
              <w:jc w:val="right"/>
              <w:rPr>
                <w:b/>
                <w:sz w:val="22"/>
                <w:szCs w:val="22"/>
              </w:rPr>
            </w:pPr>
            <w:r>
              <w:rPr>
                <w:b/>
                <w:sz w:val="22"/>
                <w:szCs w:val="22"/>
              </w:rPr>
              <w:t>£23,658</w:t>
            </w:r>
          </w:p>
        </w:tc>
      </w:tr>
    </w:tbl>
    <w:p w:rsidR="009F2D68" w:rsidRDefault="009F2D68" w:rsidP="001402CD">
      <w:pPr>
        <w:jc w:val="both"/>
        <w:rPr>
          <w:sz w:val="22"/>
          <w:szCs w:val="22"/>
        </w:rPr>
      </w:pPr>
    </w:p>
    <w:p w:rsidR="004C2D8C" w:rsidRDefault="0015118D" w:rsidP="001402CD">
      <w:pPr>
        <w:jc w:val="both"/>
        <w:rPr>
          <w:sz w:val="22"/>
          <w:szCs w:val="22"/>
        </w:rPr>
      </w:pPr>
      <w:r>
        <w:rPr>
          <w:sz w:val="22"/>
          <w:szCs w:val="22"/>
        </w:rPr>
        <w:t>4</w:t>
      </w:r>
      <w:r w:rsidR="000747DD">
        <w:rPr>
          <w:sz w:val="22"/>
          <w:szCs w:val="22"/>
        </w:rPr>
        <w:t>.9</w:t>
      </w:r>
      <w:r w:rsidR="0086313C">
        <w:rPr>
          <w:sz w:val="22"/>
          <w:szCs w:val="22"/>
        </w:rPr>
        <w:t xml:space="preserve"> For example then, for a child assessed at Range 7 in a Special school</w:t>
      </w:r>
      <w:r w:rsidR="00400F72">
        <w:rPr>
          <w:sz w:val="22"/>
          <w:szCs w:val="22"/>
        </w:rPr>
        <w:t xml:space="preserve"> or academy</w:t>
      </w:r>
      <w:r w:rsidR="0086313C">
        <w:rPr>
          <w:sz w:val="22"/>
          <w:szCs w:val="22"/>
        </w:rPr>
        <w:t xml:space="preserve"> receive</w:t>
      </w:r>
      <w:r w:rsidR="000747DD">
        <w:rPr>
          <w:sz w:val="22"/>
          <w:szCs w:val="22"/>
        </w:rPr>
        <w:t>s</w:t>
      </w:r>
      <w:r w:rsidR="0086313C">
        <w:rPr>
          <w:sz w:val="22"/>
          <w:szCs w:val="22"/>
        </w:rPr>
        <w:t xml:space="preserve"> £10,000 Pla</w:t>
      </w:r>
      <w:r w:rsidR="00FB121E">
        <w:rPr>
          <w:sz w:val="22"/>
          <w:szCs w:val="22"/>
        </w:rPr>
        <w:t>ce funding and an additional £23,658</w:t>
      </w:r>
      <w:r w:rsidR="0086313C">
        <w:rPr>
          <w:sz w:val="22"/>
          <w:szCs w:val="22"/>
        </w:rPr>
        <w:t xml:space="preserve"> </w:t>
      </w:r>
      <w:r w:rsidR="00FB121E">
        <w:rPr>
          <w:sz w:val="22"/>
          <w:szCs w:val="22"/>
        </w:rPr>
        <w:t>Plus funding; a total of £33,658</w:t>
      </w:r>
      <w:r w:rsidR="0086313C">
        <w:rPr>
          <w:sz w:val="22"/>
          <w:szCs w:val="22"/>
        </w:rPr>
        <w:t xml:space="preserve"> for a full year.</w:t>
      </w:r>
      <w:r w:rsidR="00CE2DEB">
        <w:rPr>
          <w:sz w:val="22"/>
          <w:szCs w:val="22"/>
        </w:rPr>
        <w:t xml:space="preserve"> Where a child</w:t>
      </w:r>
      <w:r w:rsidR="00400F72">
        <w:rPr>
          <w:sz w:val="22"/>
          <w:szCs w:val="22"/>
        </w:rPr>
        <w:t xml:space="preserve"> is placed at a setting during the ye</w:t>
      </w:r>
      <w:r w:rsidR="000747DD">
        <w:rPr>
          <w:sz w:val="22"/>
          <w:szCs w:val="22"/>
        </w:rPr>
        <w:t>ar, the setting</w:t>
      </w:r>
      <w:r w:rsidR="003A35EE">
        <w:rPr>
          <w:sz w:val="22"/>
          <w:szCs w:val="22"/>
        </w:rPr>
        <w:t xml:space="preserve"> receive</w:t>
      </w:r>
      <w:r w:rsidR="000747DD">
        <w:rPr>
          <w:sz w:val="22"/>
          <w:szCs w:val="22"/>
        </w:rPr>
        <w:t>s</w:t>
      </w:r>
      <w:r w:rsidR="003A35EE">
        <w:rPr>
          <w:sz w:val="22"/>
          <w:szCs w:val="22"/>
        </w:rPr>
        <w:t xml:space="preserve"> the</w:t>
      </w:r>
      <w:r w:rsidR="00400F72">
        <w:rPr>
          <w:sz w:val="22"/>
          <w:szCs w:val="22"/>
        </w:rPr>
        <w:t xml:space="preserve"> Plus value for the pr</w:t>
      </w:r>
      <w:r w:rsidR="000A01CC">
        <w:rPr>
          <w:sz w:val="22"/>
          <w:szCs w:val="22"/>
        </w:rPr>
        <w:t>oportion of the year th</w:t>
      </w:r>
      <w:r w:rsidR="00CE2DEB">
        <w:rPr>
          <w:sz w:val="22"/>
          <w:szCs w:val="22"/>
        </w:rPr>
        <w:t>e pupil is on roll</w:t>
      </w:r>
      <w:r w:rsidR="000A01CC">
        <w:rPr>
          <w:sz w:val="22"/>
          <w:szCs w:val="22"/>
        </w:rPr>
        <w:t>.</w:t>
      </w:r>
      <w:r w:rsidR="00400F72">
        <w:rPr>
          <w:sz w:val="22"/>
          <w:szCs w:val="22"/>
        </w:rPr>
        <w:t xml:space="preserve"> </w:t>
      </w:r>
    </w:p>
    <w:p w:rsidR="00B84169" w:rsidRDefault="00B84169" w:rsidP="001402CD">
      <w:pPr>
        <w:jc w:val="both"/>
        <w:rPr>
          <w:sz w:val="22"/>
          <w:szCs w:val="22"/>
          <w:u w:val="single"/>
        </w:rPr>
      </w:pPr>
    </w:p>
    <w:p w:rsidR="004C2D8C" w:rsidRPr="0066087E" w:rsidRDefault="00566FBE" w:rsidP="001402CD">
      <w:pPr>
        <w:jc w:val="both"/>
        <w:rPr>
          <w:sz w:val="22"/>
          <w:szCs w:val="22"/>
          <w:u w:val="single"/>
        </w:rPr>
      </w:pPr>
      <w:r>
        <w:rPr>
          <w:sz w:val="22"/>
          <w:szCs w:val="22"/>
          <w:u w:val="single"/>
        </w:rPr>
        <w:t>Funding Setting-</w:t>
      </w:r>
      <w:r w:rsidR="00BC6094" w:rsidRPr="0066087E">
        <w:rPr>
          <w:sz w:val="22"/>
          <w:szCs w:val="22"/>
          <w:u w:val="single"/>
        </w:rPr>
        <w:t>Based Need</w:t>
      </w:r>
    </w:p>
    <w:p w:rsidR="004C2D8C" w:rsidRPr="0066087E" w:rsidRDefault="004C2D8C" w:rsidP="001402CD">
      <w:pPr>
        <w:jc w:val="both"/>
        <w:rPr>
          <w:sz w:val="22"/>
          <w:szCs w:val="22"/>
        </w:rPr>
      </w:pPr>
    </w:p>
    <w:p w:rsidR="004C2D8C" w:rsidRPr="0066087E" w:rsidRDefault="0015118D" w:rsidP="001402CD">
      <w:pPr>
        <w:jc w:val="both"/>
        <w:rPr>
          <w:sz w:val="22"/>
          <w:szCs w:val="22"/>
        </w:rPr>
      </w:pPr>
      <w:r>
        <w:rPr>
          <w:sz w:val="22"/>
          <w:szCs w:val="22"/>
        </w:rPr>
        <w:t>4</w:t>
      </w:r>
      <w:r w:rsidR="000747DD">
        <w:rPr>
          <w:sz w:val="22"/>
          <w:szCs w:val="22"/>
        </w:rPr>
        <w:t>.10</w:t>
      </w:r>
      <w:r w:rsidR="00CF59AC" w:rsidRPr="0066087E">
        <w:rPr>
          <w:sz w:val="22"/>
          <w:szCs w:val="22"/>
        </w:rPr>
        <w:t xml:space="preserve"> </w:t>
      </w:r>
      <w:r w:rsidR="009403C9" w:rsidRPr="0066087E">
        <w:rPr>
          <w:sz w:val="22"/>
          <w:szCs w:val="22"/>
        </w:rPr>
        <w:t>The following setting based needs factor</w:t>
      </w:r>
      <w:r w:rsidR="00474ADA" w:rsidRPr="0066087E">
        <w:rPr>
          <w:sz w:val="22"/>
          <w:szCs w:val="22"/>
        </w:rPr>
        <w:t xml:space="preserve">s </w:t>
      </w:r>
      <w:r w:rsidR="00A2687F">
        <w:rPr>
          <w:sz w:val="22"/>
          <w:szCs w:val="22"/>
        </w:rPr>
        <w:t>are</w:t>
      </w:r>
      <w:r w:rsidR="00474ADA" w:rsidRPr="0066087E">
        <w:rPr>
          <w:sz w:val="22"/>
          <w:szCs w:val="22"/>
        </w:rPr>
        <w:t xml:space="preserve"> included in the cal</w:t>
      </w:r>
      <w:r w:rsidR="00A2687F">
        <w:rPr>
          <w:sz w:val="22"/>
          <w:szCs w:val="22"/>
        </w:rPr>
        <w:t>culation of Plus funding in 2015/16</w:t>
      </w:r>
      <w:r w:rsidR="002E70F8">
        <w:rPr>
          <w:sz w:val="22"/>
          <w:szCs w:val="22"/>
        </w:rPr>
        <w:t xml:space="preserve">. These </w:t>
      </w:r>
      <w:r w:rsidR="00A2687F">
        <w:rPr>
          <w:sz w:val="22"/>
          <w:szCs w:val="22"/>
        </w:rPr>
        <w:t>are</w:t>
      </w:r>
      <w:r w:rsidR="002E70F8">
        <w:rPr>
          <w:sz w:val="22"/>
          <w:szCs w:val="22"/>
        </w:rPr>
        <w:t xml:space="preserve"> allocated in addit</w:t>
      </w:r>
      <w:r w:rsidR="00CE2DEB">
        <w:rPr>
          <w:sz w:val="22"/>
          <w:szCs w:val="22"/>
        </w:rPr>
        <w:t>ion</w:t>
      </w:r>
      <w:r w:rsidR="00566FBE">
        <w:rPr>
          <w:sz w:val="22"/>
          <w:szCs w:val="22"/>
        </w:rPr>
        <w:t xml:space="preserve"> to the values of pupil-</w:t>
      </w:r>
      <w:r w:rsidR="002E70F8">
        <w:rPr>
          <w:sz w:val="22"/>
          <w:szCs w:val="22"/>
        </w:rPr>
        <w:t>based need funding shown in the table above.</w:t>
      </w:r>
    </w:p>
    <w:p w:rsidR="0066087E" w:rsidRDefault="0066087E" w:rsidP="0066087E">
      <w:pPr>
        <w:ind w:left="360"/>
        <w:jc w:val="both"/>
        <w:rPr>
          <w:sz w:val="22"/>
          <w:szCs w:val="22"/>
        </w:rPr>
      </w:pPr>
    </w:p>
    <w:p w:rsidR="0066087E" w:rsidRPr="0006685B" w:rsidRDefault="007C5DE4" w:rsidP="00C1738E">
      <w:pPr>
        <w:numPr>
          <w:ilvl w:val="0"/>
          <w:numId w:val="2"/>
        </w:numPr>
        <w:jc w:val="both"/>
        <w:rPr>
          <w:sz w:val="22"/>
          <w:szCs w:val="22"/>
          <w:u w:val="single"/>
        </w:rPr>
      </w:pPr>
      <w:r>
        <w:rPr>
          <w:sz w:val="22"/>
          <w:szCs w:val="22"/>
          <w:u w:val="single"/>
        </w:rPr>
        <w:t>New Delegation C</w:t>
      </w:r>
      <w:r w:rsidR="0066087E" w:rsidRPr="0006685B">
        <w:rPr>
          <w:sz w:val="22"/>
          <w:szCs w:val="22"/>
          <w:u w:val="single"/>
        </w:rPr>
        <w:t>osts</w:t>
      </w:r>
      <w:r w:rsidR="0066087E">
        <w:rPr>
          <w:sz w:val="22"/>
          <w:szCs w:val="22"/>
        </w:rPr>
        <w:t xml:space="preserve"> – an additional amount </w:t>
      </w:r>
      <w:r w:rsidR="00CE04A7">
        <w:rPr>
          <w:sz w:val="22"/>
          <w:szCs w:val="22"/>
        </w:rPr>
        <w:t xml:space="preserve">per pupil </w:t>
      </w:r>
      <w:r w:rsidR="0066087E">
        <w:rPr>
          <w:sz w:val="22"/>
          <w:szCs w:val="22"/>
        </w:rPr>
        <w:t xml:space="preserve">to reflect that </w:t>
      </w:r>
      <w:r w:rsidR="00CE2DEB">
        <w:rPr>
          <w:sz w:val="22"/>
          <w:szCs w:val="22"/>
        </w:rPr>
        <w:t xml:space="preserve">stand alone </w:t>
      </w:r>
      <w:r w:rsidR="0066087E">
        <w:rPr>
          <w:sz w:val="22"/>
          <w:szCs w:val="22"/>
        </w:rPr>
        <w:t>specialist settings under Place Plus cannot access de-delegated and centrally manag</w:t>
      </w:r>
      <w:r w:rsidR="00527F12">
        <w:rPr>
          <w:sz w:val="22"/>
          <w:szCs w:val="22"/>
        </w:rPr>
        <w:t>ed services</w:t>
      </w:r>
      <w:r w:rsidR="0066087E">
        <w:rPr>
          <w:sz w:val="22"/>
          <w:szCs w:val="22"/>
        </w:rPr>
        <w:t xml:space="preserve"> and this may create additional budget pressure - set at a flat £364 per pupil. So a setting with 100 pupils receive</w:t>
      </w:r>
      <w:r w:rsidR="00C41511">
        <w:rPr>
          <w:sz w:val="22"/>
          <w:szCs w:val="22"/>
        </w:rPr>
        <w:t>s</w:t>
      </w:r>
      <w:r w:rsidR="0066087E">
        <w:rPr>
          <w:sz w:val="22"/>
          <w:szCs w:val="22"/>
        </w:rPr>
        <w:t xml:space="preserve"> 100 x £364 = £36,400 additional funding.</w:t>
      </w:r>
    </w:p>
    <w:p w:rsidR="0066087E" w:rsidRDefault="0066087E" w:rsidP="0066087E">
      <w:pPr>
        <w:jc w:val="both"/>
        <w:rPr>
          <w:sz w:val="22"/>
          <w:szCs w:val="22"/>
        </w:rPr>
      </w:pPr>
    </w:p>
    <w:p w:rsidR="0066087E" w:rsidRDefault="0066087E" w:rsidP="00C1738E">
      <w:pPr>
        <w:numPr>
          <w:ilvl w:val="0"/>
          <w:numId w:val="2"/>
        </w:numPr>
        <w:jc w:val="both"/>
        <w:rPr>
          <w:sz w:val="22"/>
          <w:szCs w:val="22"/>
        </w:rPr>
      </w:pPr>
      <w:r w:rsidRPr="0006685B">
        <w:rPr>
          <w:sz w:val="22"/>
          <w:szCs w:val="22"/>
          <w:u w:val="single"/>
        </w:rPr>
        <w:t>Small</w:t>
      </w:r>
      <w:r w:rsidR="000611D8">
        <w:rPr>
          <w:sz w:val="22"/>
          <w:szCs w:val="22"/>
          <w:u w:val="single"/>
        </w:rPr>
        <w:t xml:space="preserve"> Setting</w:t>
      </w:r>
      <w:r w:rsidRPr="0006685B">
        <w:rPr>
          <w:sz w:val="22"/>
          <w:szCs w:val="22"/>
          <w:u w:val="single"/>
        </w:rPr>
        <w:t xml:space="preserve"> Protection</w:t>
      </w:r>
      <w:r>
        <w:rPr>
          <w:sz w:val="22"/>
          <w:szCs w:val="22"/>
        </w:rPr>
        <w:t xml:space="preserve"> – an additional sum, for </w:t>
      </w:r>
      <w:r w:rsidR="00FF7C75">
        <w:rPr>
          <w:sz w:val="22"/>
          <w:szCs w:val="22"/>
        </w:rPr>
        <w:t>stand-alone</w:t>
      </w:r>
      <w:r>
        <w:rPr>
          <w:sz w:val="22"/>
          <w:szCs w:val="22"/>
        </w:rPr>
        <w:t xml:space="preserve"> settings with fewer than 75 places, to ensure a minimum level </w:t>
      </w:r>
      <w:r w:rsidR="00CE2DEB">
        <w:rPr>
          <w:sz w:val="22"/>
          <w:szCs w:val="22"/>
        </w:rPr>
        <w:t>of funding for fixed</w:t>
      </w:r>
      <w:r w:rsidR="00885551">
        <w:rPr>
          <w:sz w:val="22"/>
          <w:szCs w:val="22"/>
        </w:rPr>
        <w:t xml:space="preserve"> costs. The</w:t>
      </w:r>
      <w:r w:rsidR="00C41511">
        <w:rPr>
          <w:sz w:val="22"/>
          <w:szCs w:val="22"/>
        </w:rPr>
        <w:t xml:space="preserve"> formula in 2015/16</w:t>
      </w:r>
      <w:r>
        <w:rPr>
          <w:sz w:val="22"/>
          <w:szCs w:val="22"/>
        </w:rPr>
        <w:t xml:space="preserve"> is:</w:t>
      </w:r>
    </w:p>
    <w:p w:rsidR="0066087E" w:rsidRDefault="00885551" w:rsidP="0066087E">
      <w:pPr>
        <w:jc w:val="both"/>
        <w:rPr>
          <w:sz w:val="22"/>
          <w:szCs w:val="22"/>
        </w:rPr>
      </w:pPr>
      <w:r>
        <w:rPr>
          <w:sz w:val="22"/>
          <w:szCs w:val="22"/>
        </w:rPr>
        <w:tab/>
        <w:t xml:space="preserve">A </w:t>
      </w:r>
      <w:r>
        <w:rPr>
          <w:sz w:val="22"/>
          <w:szCs w:val="22"/>
        </w:rPr>
        <w:tab/>
        <w:t>(75 x £10,000</w:t>
      </w:r>
      <w:r w:rsidR="0066087E">
        <w:rPr>
          <w:sz w:val="22"/>
          <w:szCs w:val="22"/>
        </w:rPr>
        <w:t xml:space="preserve"> x 20%) </w:t>
      </w:r>
    </w:p>
    <w:p w:rsidR="0066087E" w:rsidRDefault="00D91BE4" w:rsidP="0066087E">
      <w:pPr>
        <w:jc w:val="both"/>
        <w:rPr>
          <w:sz w:val="22"/>
          <w:szCs w:val="22"/>
        </w:rPr>
      </w:pPr>
      <w:r>
        <w:rPr>
          <w:sz w:val="22"/>
          <w:szCs w:val="22"/>
        </w:rPr>
        <w:tab/>
        <w:t xml:space="preserve">B  </w:t>
      </w:r>
      <w:r>
        <w:rPr>
          <w:sz w:val="22"/>
          <w:szCs w:val="22"/>
        </w:rPr>
        <w:tab/>
        <w:t>(setting’s place funding x</w:t>
      </w:r>
      <w:r w:rsidR="0066087E">
        <w:rPr>
          <w:sz w:val="22"/>
          <w:szCs w:val="22"/>
        </w:rPr>
        <w:t xml:space="preserve"> 20%) </w:t>
      </w:r>
    </w:p>
    <w:p w:rsidR="0066087E" w:rsidRDefault="0066087E" w:rsidP="0066087E">
      <w:pPr>
        <w:jc w:val="both"/>
        <w:rPr>
          <w:sz w:val="22"/>
          <w:szCs w:val="22"/>
        </w:rPr>
      </w:pPr>
      <w:r>
        <w:rPr>
          <w:sz w:val="22"/>
          <w:szCs w:val="22"/>
        </w:rPr>
        <w:tab/>
        <w:t>= top up to the value of A where B is less than A</w:t>
      </w:r>
    </w:p>
    <w:p w:rsidR="0066087E" w:rsidRDefault="0066087E" w:rsidP="0066087E">
      <w:pPr>
        <w:jc w:val="both"/>
        <w:rPr>
          <w:sz w:val="22"/>
          <w:szCs w:val="22"/>
        </w:rPr>
      </w:pPr>
    </w:p>
    <w:p w:rsidR="0066087E" w:rsidRPr="001221A2" w:rsidRDefault="0066087E" w:rsidP="00C1738E">
      <w:pPr>
        <w:numPr>
          <w:ilvl w:val="0"/>
          <w:numId w:val="2"/>
        </w:numPr>
        <w:jc w:val="both"/>
        <w:rPr>
          <w:sz w:val="22"/>
          <w:szCs w:val="22"/>
          <w:u w:val="single"/>
        </w:rPr>
      </w:pPr>
      <w:r w:rsidRPr="0006685B">
        <w:rPr>
          <w:sz w:val="22"/>
          <w:szCs w:val="22"/>
          <w:u w:val="single"/>
        </w:rPr>
        <w:t>Split Sites</w:t>
      </w:r>
      <w:r w:rsidR="00885551">
        <w:rPr>
          <w:sz w:val="22"/>
          <w:szCs w:val="22"/>
        </w:rPr>
        <w:t xml:space="preserve"> – an additional agreed sum</w:t>
      </w:r>
      <w:r>
        <w:rPr>
          <w:sz w:val="22"/>
          <w:szCs w:val="22"/>
        </w:rPr>
        <w:t xml:space="preserve"> to replicate 2</w:t>
      </w:r>
      <w:r w:rsidR="00C41511">
        <w:rPr>
          <w:sz w:val="22"/>
          <w:szCs w:val="22"/>
        </w:rPr>
        <w:t>014/15</w:t>
      </w:r>
      <w:r w:rsidR="00CE2DEB">
        <w:rPr>
          <w:sz w:val="22"/>
          <w:szCs w:val="22"/>
        </w:rPr>
        <w:t xml:space="preserve"> values for</w:t>
      </w:r>
      <w:r>
        <w:rPr>
          <w:sz w:val="22"/>
          <w:szCs w:val="22"/>
        </w:rPr>
        <w:t xml:space="preserve"> maintained schools that </w:t>
      </w:r>
      <w:r w:rsidR="00C41511">
        <w:rPr>
          <w:sz w:val="22"/>
          <w:szCs w:val="22"/>
        </w:rPr>
        <w:t xml:space="preserve">continue to </w:t>
      </w:r>
      <w:r>
        <w:rPr>
          <w:sz w:val="22"/>
          <w:szCs w:val="22"/>
        </w:rPr>
        <w:t>operate across split sites</w:t>
      </w:r>
      <w:r w:rsidR="009A47FF">
        <w:rPr>
          <w:sz w:val="22"/>
          <w:szCs w:val="22"/>
        </w:rPr>
        <w:t xml:space="preserve"> (</w:t>
      </w:r>
      <w:r w:rsidR="00283E5D">
        <w:rPr>
          <w:sz w:val="22"/>
          <w:szCs w:val="22"/>
        </w:rPr>
        <w:t>£162,850</w:t>
      </w:r>
      <w:r w:rsidR="008F4E8F">
        <w:rPr>
          <w:sz w:val="22"/>
          <w:szCs w:val="22"/>
        </w:rPr>
        <w:t xml:space="preserve"> for a full year allocation)</w:t>
      </w:r>
      <w:r w:rsidR="00885551">
        <w:rPr>
          <w:sz w:val="22"/>
          <w:szCs w:val="22"/>
        </w:rPr>
        <w:t>.</w:t>
      </w:r>
    </w:p>
    <w:p w:rsidR="001221A2" w:rsidRDefault="001221A2" w:rsidP="001221A2">
      <w:pPr>
        <w:jc w:val="both"/>
        <w:rPr>
          <w:sz w:val="22"/>
          <w:szCs w:val="22"/>
          <w:u w:val="single"/>
        </w:rPr>
      </w:pPr>
    </w:p>
    <w:p w:rsidR="001221A2" w:rsidRPr="00922622" w:rsidRDefault="001221A2" w:rsidP="001221A2">
      <w:pPr>
        <w:numPr>
          <w:ilvl w:val="0"/>
          <w:numId w:val="2"/>
        </w:numPr>
        <w:jc w:val="both"/>
        <w:rPr>
          <w:sz w:val="22"/>
          <w:szCs w:val="22"/>
          <w:u w:val="single"/>
        </w:rPr>
      </w:pPr>
      <w:r w:rsidRPr="00922622">
        <w:rPr>
          <w:color w:val="000000"/>
          <w:sz w:val="22"/>
          <w:szCs w:val="22"/>
          <w:u w:val="single"/>
        </w:rPr>
        <w:t>Post 16 Places</w:t>
      </w:r>
      <w:r w:rsidRPr="00922622">
        <w:rPr>
          <w:color w:val="000000"/>
          <w:sz w:val="22"/>
          <w:szCs w:val="22"/>
        </w:rPr>
        <w:t xml:space="preserve"> – an additional sum per Post 16 place, to continue the additional £1,165 per Post 16 place following the </w:t>
      </w:r>
      <w:r>
        <w:rPr>
          <w:color w:val="000000"/>
          <w:sz w:val="22"/>
          <w:szCs w:val="22"/>
        </w:rPr>
        <w:t xml:space="preserve">directed </w:t>
      </w:r>
      <w:r w:rsidRPr="00922622">
        <w:rPr>
          <w:color w:val="000000"/>
          <w:sz w:val="22"/>
          <w:szCs w:val="22"/>
        </w:rPr>
        <w:t>reduction</w:t>
      </w:r>
      <w:r>
        <w:rPr>
          <w:color w:val="000000"/>
          <w:sz w:val="22"/>
          <w:szCs w:val="22"/>
        </w:rPr>
        <w:t xml:space="preserve"> from £11,165</w:t>
      </w:r>
      <w:r w:rsidRPr="00922622">
        <w:rPr>
          <w:color w:val="000000"/>
          <w:sz w:val="22"/>
          <w:szCs w:val="22"/>
        </w:rPr>
        <w:t xml:space="preserve"> to £10,000</w:t>
      </w:r>
      <w:r>
        <w:rPr>
          <w:color w:val="000000"/>
          <w:sz w:val="22"/>
          <w:szCs w:val="22"/>
        </w:rPr>
        <w:t xml:space="preserve"> place value</w:t>
      </w:r>
      <w:r w:rsidRPr="00922622">
        <w:rPr>
          <w:color w:val="000000"/>
          <w:sz w:val="22"/>
          <w:szCs w:val="22"/>
        </w:rPr>
        <w:t xml:space="preserve"> within the national funding model</w:t>
      </w:r>
      <w:r>
        <w:rPr>
          <w:color w:val="000000"/>
          <w:sz w:val="22"/>
          <w:szCs w:val="22"/>
        </w:rPr>
        <w:t xml:space="preserve"> from August 2014. </w:t>
      </w:r>
      <w:r>
        <w:rPr>
          <w:sz w:val="22"/>
          <w:szCs w:val="22"/>
        </w:rPr>
        <w:t>This</w:t>
      </w:r>
      <w:r w:rsidRPr="00522700">
        <w:rPr>
          <w:sz w:val="22"/>
          <w:szCs w:val="22"/>
        </w:rPr>
        <w:t xml:space="preserve"> ensure</w:t>
      </w:r>
      <w:r>
        <w:rPr>
          <w:sz w:val="22"/>
          <w:szCs w:val="22"/>
        </w:rPr>
        <w:t>s</w:t>
      </w:r>
      <w:r w:rsidRPr="00522700">
        <w:rPr>
          <w:sz w:val="22"/>
          <w:szCs w:val="22"/>
        </w:rPr>
        <w:t xml:space="preserve"> that special schools with post 16 places</w:t>
      </w:r>
      <w:r>
        <w:rPr>
          <w:sz w:val="22"/>
          <w:szCs w:val="22"/>
        </w:rPr>
        <w:t xml:space="preserve"> do not lose out from the</w:t>
      </w:r>
      <w:r w:rsidRPr="00522700">
        <w:rPr>
          <w:sz w:val="22"/>
          <w:szCs w:val="22"/>
        </w:rPr>
        <w:t xml:space="preserve"> technical simplification</w:t>
      </w:r>
      <w:r>
        <w:rPr>
          <w:sz w:val="22"/>
          <w:szCs w:val="22"/>
        </w:rPr>
        <w:t>. This is a factor specific only to special schools.</w:t>
      </w:r>
    </w:p>
    <w:p w:rsidR="0066087E" w:rsidRDefault="0066087E" w:rsidP="0066087E">
      <w:pPr>
        <w:jc w:val="both"/>
        <w:rPr>
          <w:sz w:val="22"/>
          <w:szCs w:val="22"/>
          <w:u w:val="single"/>
        </w:rPr>
      </w:pPr>
    </w:p>
    <w:p w:rsidR="0066087E" w:rsidRPr="00BC6385" w:rsidRDefault="0066087E" w:rsidP="00C1738E">
      <w:pPr>
        <w:numPr>
          <w:ilvl w:val="0"/>
          <w:numId w:val="2"/>
        </w:numPr>
        <w:jc w:val="both"/>
        <w:rPr>
          <w:color w:val="000000"/>
          <w:sz w:val="22"/>
          <w:szCs w:val="22"/>
          <w:u w:val="single"/>
        </w:rPr>
      </w:pPr>
      <w:r w:rsidRPr="00BC6385">
        <w:rPr>
          <w:color w:val="000000"/>
          <w:sz w:val="22"/>
          <w:szCs w:val="22"/>
          <w:u w:val="single"/>
        </w:rPr>
        <w:t xml:space="preserve">Minimum </w:t>
      </w:r>
      <w:r w:rsidRPr="00DE31D2">
        <w:rPr>
          <w:color w:val="000000"/>
          <w:sz w:val="22"/>
          <w:szCs w:val="22"/>
          <w:u w:val="single"/>
        </w:rPr>
        <w:t>Funding Guarantee</w:t>
      </w:r>
      <w:r w:rsidR="00BC6385">
        <w:rPr>
          <w:color w:val="000000"/>
          <w:sz w:val="22"/>
          <w:szCs w:val="22"/>
        </w:rPr>
        <w:t xml:space="preserve"> - t</w:t>
      </w:r>
      <w:r w:rsidR="00BC6385" w:rsidRPr="00BC6385">
        <w:rPr>
          <w:color w:val="000000"/>
          <w:sz w:val="22"/>
          <w:szCs w:val="22"/>
        </w:rPr>
        <w:t>he D</w:t>
      </w:r>
      <w:r w:rsidR="00D6448F">
        <w:rPr>
          <w:color w:val="000000"/>
          <w:sz w:val="22"/>
          <w:szCs w:val="22"/>
        </w:rPr>
        <w:t xml:space="preserve">fE set a condition that, in </w:t>
      </w:r>
      <w:r w:rsidR="00C41511">
        <w:rPr>
          <w:color w:val="000000"/>
          <w:sz w:val="22"/>
          <w:szCs w:val="22"/>
        </w:rPr>
        <w:t>2015/16</w:t>
      </w:r>
      <w:r w:rsidR="00BC6385" w:rsidRPr="00BC6385">
        <w:rPr>
          <w:color w:val="000000"/>
          <w:sz w:val="22"/>
          <w:szCs w:val="22"/>
        </w:rPr>
        <w:t xml:space="preserve">, the level of ‘Plus’ funding should be such that, if all the high needs pupils in a setting are placed by the Local Authority, the </w:t>
      </w:r>
      <w:r w:rsidR="00C41511">
        <w:rPr>
          <w:color w:val="000000"/>
          <w:sz w:val="22"/>
          <w:szCs w:val="22"/>
        </w:rPr>
        <w:t>setting’s total funding for 2015/16</w:t>
      </w:r>
      <w:r w:rsidR="00BC6385" w:rsidRPr="00BC6385">
        <w:rPr>
          <w:color w:val="000000"/>
          <w:sz w:val="22"/>
          <w:szCs w:val="22"/>
        </w:rPr>
        <w:t xml:space="preserve"> will not re</w:t>
      </w:r>
      <w:r w:rsidR="00CE2DEB">
        <w:rPr>
          <w:color w:val="000000"/>
          <w:sz w:val="22"/>
          <w:szCs w:val="22"/>
        </w:rPr>
        <w:t>duce by more than 1.5% on</w:t>
      </w:r>
      <w:r w:rsidR="00C41511">
        <w:rPr>
          <w:color w:val="000000"/>
          <w:sz w:val="22"/>
          <w:szCs w:val="22"/>
        </w:rPr>
        <w:t xml:space="preserve"> 2014/15</w:t>
      </w:r>
      <w:r w:rsidR="00BC6385" w:rsidRPr="00BC6385">
        <w:rPr>
          <w:color w:val="000000"/>
          <w:sz w:val="22"/>
          <w:szCs w:val="22"/>
        </w:rPr>
        <w:t>. This is a pupil-driven protection</w:t>
      </w:r>
      <w:r w:rsidR="000A1518">
        <w:rPr>
          <w:color w:val="000000"/>
          <w:sz w:val="22"/>
          <w:szCs w:val="22"/>
        </w:rPr>
        <w:t xml:space="preserve"> and takes account of the income received by the setting from other local authorities for pupils placed by them.</w:t>
      </w:r>
    </w:p>
    <w:p w:rsidR="00885551" w:rsidRDefault="00885551" w:rsidP="00885551">
      <w:pPr>
        <w:jc w:val="both"/>
        <w:rPr>
          <w:color w:val="FF0000"/>
          <w:sz w:val="22"/>
          <w:szCs w:val="22"/>
          <w:u w:val="single"/>
        </w:rPr>
      </w:pPr>
    </w:p>
    <w:p w:rsidR="00885551" w:rsidRPr="00BC6385" w:rsidRDefault="00C41511" w:rsidP="004E0CD1">
      <w:pPr>
        <w:numPr>
          <w:ilvl w:val="0"/>
          <w:numId w:val="2"/>
        </w:numPr>
        <w:tabs>
          <w:tab w:val="clear" w:pos="720"/>
          <w:tab w:val="num" w:pos="1080"/>
        </w:tabs>
        <w:jc w:val="both"/>
        <w:rPr>
          <w:color w:val="000000"/>
          <w:sz w:val="22"/>
          <w:szCs w:val="22"/>
          <w:u w:val="single"/>
        </w:rPr>
      </w:pPr>
      <w:r>
        <w:rPr>
          <w:color w:val="000000"/>
          <w:sz w:val="22"/>
          <w:szCs w:val="22"/>
          <w:u w:val="single"/>
        </w:rPr>
        <w:t>2014/15</w:t>
      </w:r>
      <w:r w:rsidR="005E70DE">
        <w:rPr>
          <w:color w:val="000000"/>
          <w:sz w:val="22"/>
          <w:szCs w:val="22"/>
          <w:u w:val="single"/>
        </w:rPr>
        <w:t xml:space="preserve"> Budget P</w:t>
      </w:r>
      <w:r w:rsidR="00885551" w:rsidRPr="00BC6385">
        <w:rPr>
          <w:color w:val="000000"/>
          <w:sz w:val="22"/>
          <w:szCs w:val="22"/>
          <w:u w:val="single"/>
        </w:rPr>
        <w:t>rotection</w:t>
      </w:r>
      <w:r w:rsidR="00885551" w:rsidRPr="00BC6385">
        <w:rPr>
          <w:color w:val="000000"/>
          <w:sz w:val="22"/>
          <w:szCs w:val="22"/>
        </w:rPr>
        <w:t xml:space="preserve"> – </w:t>
      </w:r>
      <w:r w:rsidR="00BC6385" w:rsidRPr="00BC6385">
        <w:rPr>
          <w:color w:val="000000"/>
          <w:sz w:val="22"/>
          <w:szCs w:val="22"/>
        </w:rPr>
        <w:t>an additional total cash budget protection</w:t>
      </w:r>
      <w:r w:rsidR="005E26C3">
        <w:rPr>
          <w:color w:val="000000"/>
          <w:sz w:val="22"/>
          <w:szCs w:val="22"/>
        </w:rPr>
        <w:t>,</w:t>
      </w:r>
      <w:r>
        <w:rPr>
          <w:color w:val="000000"/>
          <w:sz w:val="22"/>
          <w:szCs w:val="22"/>
        </w:rPr>
        <w:t xml:space="preserve"> for eligible settings</w:t>
      </w:r>
      <w:r w:rsidR="00566FBE">
        <w:rPr>
          <w:color w:val="000000"/>
          <w:sz w:val="22"/>
          <w:szCs w:val="22"/>
        </w:rPr>
        <w:t xml:space="preserve"> only</w:t>
      </w:r>
      <w:r>
        <w:rPr>
          <w:color w:val="000000"/>
          <w:sz w:val="22"/>
          <w:szCs w:val="22"/>
        </w:rPr>
        <w:t>,</w:t>
      </w:r>
      <w:r w:rsidR="00BC6385" w:rsidRPr="00BC6385">
        <w:rPr>
          <w:color w:val="000000"/>
          <w:sz w:val="22"/>
          <w:szCs w:val="22"/>
        </w:rPr>
        <w:t xml:space="preserve"> which ensu</w:t>
      </w:r>
      <w:r>
        <w:rPr>
          <w:color w:val="000000"/>
          <w:sz w:val="22"/>
          <w:szCs w:val="22"/>
        </w:rPr>
        <w:t>res that at no point during 2015/16</w:t>
      </w:r>
      <w:r w:rsidR="00BC6385" w:rsidRPr="00BC6385">
        <w:rPr>
          <w:color w:val="000000"/>
          <w:sz w:val="22"/>
          <w:szCs w:val="22"/>
        </w:rPr>
        <w:t xml:space="preserve"> will the total ‘Place Plus’ calculated budget for an individual setting be more tha</w:t>
      </w:r>
      <w:r>
        <w:rPr>
          <w:color w:val="000000"/>
          <w:sz w:val="22"/>
          <w:szCs w:val="22"/>
        </w:rPr>
        <w:t>n 1.5% lower than the 2014/15</w:t>
      </w:r>
      <w:r w:rsidR="00BC6385" w:rsidRPr="00BC6385">
        <w:rPr>
          <w:color w:val="000000"/>
          <w:sz w:val="22"/>
          <w:szCs w:val="22"/>
        </w:rPr>
        <w:t xml:space="preserve"> total level of funding</w:t>
      </w:r>
      <w:r w:rsidR="005E26C3">
        <w:rPr>
          <w:color w:val="000000"/>
          <w:sz w:val="22"/>
          <w:szCs w:val="22"/>
        </w:rPr>
        <w:t xml:space="preserve"> (</w:t>
      </w:r>
      <w:r w:rsidR="00EC7037">
        <w:rPr>
          <w:color w:val="000000"/>
          <w:sz w:val="22"/>
          <w:szCs w:val="22"/>
        </w:rPr>
        <w:t>taking account of the income received for placements by other local authorities).</w:t>
      </w:r>
    </w:p>
    <w:p w:rsidR="007325B2" w:rsidRDefault="007325B2" w:rsidP="00922622">
      <w:pPr>
        <w:jc w:val="both"/>
        <w:rPr>
          <w:sz w:val="22"/>
          <w:szCs w:val="22"/>
          <w:u w:val="single"/>
        </w:rPr>
      </w:pPr>
    </w:p>
    <w:p w:rsidR="00015B45" w:rsidRDefault="00015B45" w:rsidP="00922622">
      <w:pPr>
        <w:jc w:val="both"/>
        <w:rPr>
          <w:sz w:val="22"/>
          <w:szCs w:val="22"/>
          <w:u w:val="single"/>
        </w:rPr>
      </w:pPr>
    </w:p>
    <w:p w:rsidR="00015B45" w:rsidRDefault="00015B45" w:rsidP="00922622">
      <w:pPr>
        <w:jc w:val="both"/>
        <w:rPr>
          <w:sz w:val="22"/>
          <w:szCs w:val="22"/>
          <w:u w:val="single"/>
        </w:rPr>
      </w:pPr>
    </w:p>
    <w:p w:rsidR="00015B45" w:rsidRPr="00922622" w:rsidRDefault="00015B45" w:rsidP="00922622">
      <w:pPr>
        <w:jc w:val="both"/>
        <w:rPr>
          <w:sz w:val="22"/>
          <w:szCs w:val="22"/>
          <w:u w:val="single"/>
        </w:rPr>
      </w:pPr>
    </w:p>
    <w:p w:rsidR="004C2D8C" w:rsidRPr="004C2D8C" w:rsidRDefault="00E13360" w:rsidP="001402CD">
      <w:pPr>
        <w:jc w:val="both"/>
        <w:rPr>
          <w:sz w:val="22"/>
          <w:szCs w:val="22"/>
          <w:u w:val="single"/>
        </w:rPr>
      </w:pPr>
      <w:r>
        <w:rPr>
          <w:sz w:val="22"/>
          <w:szCs w:val="22"/>
          <w:u w:val="single"/>
        </w:rPr>
        <w:t>In Year Re-C</w:t>
      </w:r>
      <w:r w:rsidR="004C2D8C" w:rsidRPr="004C2D8C">
        <w:rPr>
          <w:sz w:val="22"/>
          <w:szCs w:val="22"/>
          <w:u w:val="single"/>
        </w:rPr>
        <w:t>alculation</w:t>
      </w:r>
    </w:p>
    <w:p w:rsidR="004C2D8C" w:rsidRDefault="004C2D8C" w:rsidP="001402CD">
      <w:pPr>
        <w:jc w:val="both"/>
        <w:rPr>
          <w:sz w:val="22"/>
          <w:szCs w:val="22"/>
        </w:rPr>
      </w:pPr>
    </w:p>
    <w:p w:rsidR="008B0A79" w:rsidRDefault="0015118D" w:rsidP="008B0A79">
      <w:pPr>
        <w:jc w:val="both"/>
        <w:rPr>
          <w:sz w:val="22"/>
          <w:szCs w:val="22"/>
        </w:rPr>
      </w:pPr>
      <w:r>
        <w:rPr>
          <w:sz w:val="22"/>
          <w:szCs w:val="22"/>
        </w:rPr>
        <w:t>4</w:t>
      </w:r>
      <w:r w:rsidR="00A57574">
        <w:rPr>
          <w:sz w:val="22"/>
          <w:szCs w:val="22"/>
        </w:rPr>
        <w:t>.11</w:t>
      </w:r>
      <w:r w:rsidR="008B0A79">
        <w:rPr>
          <w:sz w:val="22"/>
          <w:szCs w:val="22"/>
        </w:rPr>
        <w:t xml:space="preserve"> The value of Plus funding </w:t>
      </w:r>
      <w:r w:rsidR="00A57574">
        <w:rPr>
          <w:sz w:val="22"/>
          <w:szCs w:val="22"/>
        </w:rPr>
        <w:t>is</w:t>
      </w:r>
      <w:r w:rsidR="008B0A79">
        <w:rPr>
          <w:sz w:val="22"/>
          <w:szCs w:val="22"/>
        </w:rPr>
        <w:t xml:space="preserve"> re-determined on a monthly basis for the move</w:t>
      </w:r>
      <w:r w:rsidR="000809E6">
        <w:rPr>
          <w:sz w:val="22"/>
          <w:szCs w:val="22"/>
        </w:rPr>
        <w:t>ment of ch</w:t>
      </w:r>
      <w:r w:rsidR="00D35A42">
        <w:rPr>
          <w:sz w:val="22"/>
          <w:szCs w:val="22"/>
        </w:rPr>
        <w:t>ildren</w:t>
      </w:r>
      <w:r w:rsidR="00527F12">
        <w:rPr>
          <w:sz w:val="22"/>
          <w:szCs w:val="22"/>
        </w:rPr>
        <w:t>. This</w:t>
      </w:r>
      <w:r w:rsidR="008B0A79">
        <w:rPr>
          <w:sz w:val="22"/>
          <w:szCs w:val="22"/>
        </w:rPr>
        <w:t xml:space="preserve"> re-calculation </w:t>
      </w:r>
      <w:r w:rsidR="00A57574">
        <w:rPr>
          <w:sz w:val="22"/>
          <w:szCs w:val="22"/>
        </w:rPr>
        <w:t>is</w:t>
      </w:r>
      <w:r w:rsidR="008B0A79">
        <w:rPr>
          <w:sz w:val="22"/>
          <w:szCs w:val="22"/>
        </w:rPr>
        <w:t xml:space="preserve"> based on the position</w:t>
      </w:r>
      <w:r w:rsidR="000809E6">
        <w:rPr>
          <w:sz w:val="22"/>
          <w:szCs w:val="22"/>
        </w:rPr>
        <w:t xml:space="preserve"> recorded at</w:t>
      </w:r>
      <w:r w:rsidR="008B0A79">
        <w:rPr>
          <w:sz w:val="22"/>
          <w:szCs w:val="22"/>
        </w:rPr>
        <w:t xml:space="preserve"> the 10</w:t>
      </w:r>
      <w:r w:rsidR="008B0A79" w:rsidRPr="006F3C92">
        <w:rPr>
          <w:sz w:val="22"/>
          <w:szCs w:val="22"/>
          <w:vertAlign w:val="superscript"/>
        </w:rPr>
        <w:t>th</w:t>
      </w:r>
      <w:r w:rsidR="00D35A42">
        <w:rPr>
          <w:sz w:val="22"/>
          <w:szCs w:val="22"/>
        </w:rPr>
        <w:t xml:space="preserve"> of each month. </w:t>
      </w:r>
      <w:r w:rsidR="008B0A79">
        <w:rPr>
          <w:sz w:val="22"/>
          <w:szCs w:val="22"/>
        </w:rPr>
        <w:t>Where a child is admitted after the 10</w:t>
      </w:r>
      <w:r w:rsidR="008B0A79" w:rsidRPr="000501E1">
        <w:rPr>
          <w:sz w:val="22"/>
          <w:szCs w:val="22"/>
          <w:vertAlign w:val="superscript"/>
        </w:rPr>
        <w:t>th</w:t>
      </w:r>
      <w:r w:rsidR="008B0A79">
        <w:rPr>
          <w:sz w:val="22"/>
          <w:szCs w:val="22"/>
        </w:rPr>
        <w:t xml:space="preserve">, funding </w:t>
      </w:r>
      <w:r w:rsidR="00A57574">
        <w:rPr>
          <w:sz w:val="22"/>
          <w:szCs w:val="22"/>
        </w:rPr>
        <w:t>begins</w:t>
      </w:r>
      <w:r w:rsidR="008B0A79">
        <w:rPr>
          <w:sz w:val="22"/>
          <w:szCs w:val="22"/>
        </w:rPr>
        <w:t xml:space="preserve"> from the next month. </w:t>
      </w:r>
    </w:p>
    <w:p w:rsidR="00A57574" w:rsidRDefault="00A57574" w:rsidP="008B0A79">
      <w:pPr>
        <w:jc w:val="both"/>
        <w:rPr>
          <w:sz w:val="22"/>
          <w:szCs w:val="22"/>
        </w:rPr>
      </w:pPr>
    </w:p>
    <w:p w:rsidR="000809E6" w:rsidRDefault="0015118D" w:rsidP="008B0A79">
      <w:pPr>
        <w:jc w:val="both"/>
        <w:rPr>
          <w:sz w:val="22"/>
          <w:szCs w:val="22"/>
        </w:rPr>
      </w:pPr>
      <w:r>
        <w:rPr>
          <w:sz w:val="22"/>
          <w:szCs w:val="22"/>
        </w:rPr>
        <w:t>4</w:t>
      </w:r>
      <w:r w:rsidR="00A57574">
        <w:rPr>
          <w:sz w:val="22"/>
          <w:szCs w:val="22"/>
        </w:rPr>
        <w:t>.12</w:t>
      </w:r>
      <w:r w:rsidR="000809E6">
        <w:rPr>
          <w:sz w:val="22"/>
          <w:szCs w:val="22"/>
        </w:rPr>
        <w:t xml:space="preserve"> </w:t>
      </w:r>
      <w:r w:rsidR="00A57574">
        <w:rPr>
          <w:sz w:val="22"/>
          <w:szCs w:val="22"/>
        </w:rPr>
        <w:t>For a</w:t>
      </w:r>
      <w:r w:rsidR="000809E6">
        <w:rPr>
          <w:sz w:val="22"/>
          <w:szCs w:val="22"/>
        </w:rPr>
        <w:t xml:space="preserve">ny errors in the data for a single month, or where the position has been estimated due to the most up to date data not being available (at September, picking up all changes for the new academic year), retrospective adjustments </w:t>
      </w:r>
      <w:r w:rsidR="00A57574">
        <w:rPr>
          <w:sz w:val="22"/>
          <w:szCs w:val="22"/>
        </w:rPr>
        <w:t>are</w:t>
      </w:r>
      <w:r w:rsidR="000809E6">
        <w:rPr>
          <w:sz w:val="22"/>
          <w:szCs w:val="22"/>
        </w:rPr>
        <w:t xml:space="preserve"> made in the subsequent month’s calculation. </w:t>
      </w:r>
    </w:p>
    <w:p w:rsidR="000809E6" w:rsidRDefault="000809E6" w:rsidP="008B0A79">
      <w:pPr>
        <w:jc w:val="both"/>
        <w:rPr>
          <w:sz w:val="22"/>
          <w:szCs w:val="22"/>
        </w:rPr>
      </w:pPr>
    </w:p>
    <w:p w:rsidR="000809E6" w:rsidRDefault="0015118D" w:rsidP="008B0A79">
      <w:pPr>
        <w:jc w:val="both"/>
        <w:rPr>
          <w:sz w:val="22"/>
          <w:szCs w:val="22"/>
        </w:rPr>
      </w:pPr>
      <w:r>
        <w:rPr>
          <w:sz w:val="22"/>
          <w:szCs w:val="22"/>
        </w:rPr>
        <w:t>4</w:t>
      </w:r>
      <w:r w:rsidR="00A57574">
        <w:rPr>
          <w:sz w:val="22"/>
          <w:szCs w:val="22"/>
        </w:rPr>
        <w:t>.13</w:t>
      </w:r>
      <w:r w:rsidR="008B0A79">
        <w:rPr>
          <w:sz w:val="22"/>
          <w:szCs w:val="22"/>
        </w:rPr>
        <w:t xml:space="preserve"> </w:t>
      </w:r>
      <w:r w:rsidR="000809E6">
        <w:rPr>
          <w:sz w:val="22"/>
          <w:szCs w:val="22"/>
        </w:rPr>
        <w:t>F</w:t>
      </w:r>
      <w:r w:rsidR="00513869">
        <w:rPr>
          <w:sz w:val="22"/>
          <w:szCs w:val="22"/>
        </w:rPr>
        <w:t>undin</w:t>
      </w:r>
      <w:r w:rsidR="00D0747C">
        <w:rPr>
          <w:sz w:val="22"/>
          <w:szCs w:val="22"/>
        </w:rPr>
        <w:t>g for August</w:t>
      </w:r>
      <w:r w:rsidR="00A57574">
        <w:rPr>
          <w:sz w:val="22"/>
          <w:szCs w:val="22"/>
        </w:rPr>
        <w:t xml:space="preserve"> repeats</w:t>
      </w:r>
      <w:r w:rsidR="000809E6">
        <w:rPr>
          <w:sz w:val="22"/>
          <w:szCs w:val="22"/>
        </w:rPr>
        <w:t xml:space="preserve"> the position recorded for July.</w:t>
      </w:r>
    </w:p>
    <w:p w:rsidR="00A5227F" w:rsidRDefault="00A5227F" w:rsidP="008B0A79">
      <w:pPr>
        <w:jc w:val="both"/>
        <w:rPr>
          <w:sz w:val="22"/>
          <w:szCs w:val="22"/>
        </w:rPr>
      </w:pPr>
    </w:p>
    <w:p w:rsidR="007D2E20" w:rsidRPr="007D2E20" w:rsidRDefault="00A57574" w:rsidP="001402CD">
      <w:pPr>
        <w:jc w:val="both"/>
        <w:rPr>
          <w:sz w:val="22"/>
          <w:szCs w:val="22"/>
        </w:rPr>
      </w:pPr>
      <w:r>
        <w:rPr>
          <w:sz w:val="22"/>
          <w:szCs w:val="22"/>
        </w:rPr>
        <w:t>4.14</w:t>
      </w:r>
      <w:r w:rsidR="00A5227F">
        <w:rPr>
          <w:sz w:val="22"/>
          <w:szCs w:val="22"/>
        </w:rPr>
        <w:t xml:space="preserve"> A ready reckoner</w:t>
      </w:r>
      <w:r>
        <w:rPr>
          <w:sz w:val="22"/>
          <w:szCs w:val="22"/>
        </w:rPr>
        <w:t xml:space="preserve"> is available</w:t>
      </w:r>
      <w:r w:rsidR="00A5227F">
        <w:rPr>
          <w:sz w:val="22"/>
          <w:szCs w:val="22"/>
        </w:rPr>
        <w:t>, which helps settings predict the impact on funding of movements in pupil numbers / ranges on a monthly basis.</w:t>
      </w:r>
    </w:p>
    <w:p w:rsidR="00B84169" w:rsidRDefault="00B84169" w:rsidP="001402CD">
      <w:pPr>
        <w:jc w:val="both"/>
        <w:rPr>
          <w:sz w:val="22"/>
          <w:szCs w:val="22"/>
          <w:u w:val="single"/>
        </w:rPr>
      </w:pPr>
    </w:p>
    <w:p w:rsidR="000C28C3" w:rsidRPr="00A13CA3" w:rsidRDefault="000C28C3" w:rsidP="001402CD">
      <w:pPr>
        <w:jc w:val="both"/>
        <w:rPr>
          <w:sz w:val="22"/>
          <w:szCs w:val="22"/>
          <w:u w:val="single"/>
        </w:rPr>
      </w:pPr>
      <w:r w:rsidRPr="00A13CA3">
        <w:rPr>
          <w:sz w:val="22"/>
          <w:szCs w:val="22"/>
          <w:u w:val="single"/>
        </w:rPr>
        <w:t>The Applicatio</w:t>
      </w:r>
      <w:r w:rsidR="00B145C7" w:rsidRPr="00A13CA3">
        <w:rPr>
          <w:sz w:val="22"/>
          <w:szCs w:val="22"/>
          <w:u w:val="single"/>
        </w:rPr>
        <w:t>n of this Approach for the funding of</w:t>
      </w:r>
      <w:r w:rsidRPr="00A13CA3">
        <w:rPr>
          <w:sz w:val="22"/>
          <w:szCs w:val="22"/>
          <w:u w:val="single"/>
        </w:rPr>
        <w:t xml:space="preserve"> other High Needs Providers</w:t>
      </w:r>
    </w:p>
    <w:p w:rsidR="008B0A79" w:rsidRDefault="008B0A79" w:rsidP="001402CD">
      <w:pPr>
        <w:jc w:val="both"/>
        <w:rPr>
          <w:sz w:val="22"/>
          <w:szCs w:val="22"/>
        </w:rPr>
      </w:pPr>
    </w:p>
    <w:p w:rsidR="00933A82" w:rsidRDefault="0015118D" w:rsidP="00B90B15">
      <w:pPr>
        <w:jc w:val="both"/>
        <w:rPr>
          <w:sz w:val="22"/>
          <w:szCs w:val="22"/>
        </w:rPr>
      </w:pPr>
      <w:r>
        <w:rPr>
          <w:sz w:val="22"/>
          <w:szCs w:val="22"/>
        </w:rPr>
        <w:t>4</w:t>
      </w:r>
      <w:r w:rsidR="00BD78C2">
        <w:rPr>
          <w:sz w:val="22"/>
          <w:szCs w:val="22"/>
        </w:rPr>
        <w:t>.15</w:t>
      </w:r>
      <w:r w:rsidR="00933A82">
        <w:rPr>
          <w:sz w:val="22"/>
          <w:szCs w:val="22"/>
        </w:rPr>
        <w:t xml:space="preserve"> </w:t>
      </w:r>
      <w:r w:rsidR="00D541DA">
        <w:rPr>
          <w:sz w:val="22"/>
          <w:szCs w:val="22"/>
        </w:rPr>
        <w:t>The approach outlined</w:t>
      </w:r>
      <w:r w:rsidR="00E13360">
        <w:rPr>
          <w:sz w:val="22"/>
          <w:szCs w:val="22"/>
        </w:rPr>
        <w:t xml:space="preserve"> in paragraphs 4.2 to 4.1</w:t>
      </w:r>
      <w:r w:rsidR="00BD78C2">
        <w:rPr>
          <w:sz w:val="22"/>
          <w:szCs w:val="22"/>
        </w:rPr>
        <w:t>4</w:t>
      </w:r>
      <w:r w:rsidR="00C70739">
        <w:rPr>
          <w:sz w:val="22"/>
          <w:szCs w:val="22"/>
        </w:rPr>
        <w:t xml:space="preserve"> </w:t>
      </w:r>
      <w:r w:rsidR="00BD78C2">
        <w:rPr>
          <w:sz w:val="22"/>
          <w:szCs w:val="22"/>
        </w:rPr>
        <w:t>is</w:t>
      </w:r>
      <w:r w:rsidR="00D541DA">
        <w:rPr>
          <w:sz w:val="22"/>
          <w:szCs w:val="22"/>
        </w:rPr>
        <w:t xml:space="preserve"> used to calculate allocations for </w:t>
      </w:r>
      <w:smartTag w:uri="urn:schemas-microsoft-com:office:smarttags" w:element="stockticker">
        <w:r w:rsidR="00933A82">
          <w:rPr>
            <w:sz w:val="22"/>
            <w:szCs w:val="22"/>
          </w:rPr>
          <w:t>SEN</w:t>
        </w:r>
      </w:smartTag>
      <w:r w:rsidR="00933A82">
        <w:rPr>
          <w:sz w:val="22"/>
          <w:szCs w:val="22"/>
        </w:rPr>
        <w:t xml:space="preserve"> Resourced Provision</w:t>
      </w:r>
      <w:r w:rsidR="001A6939">
        <w:rPr>
          <w:sz w:val="22"/>
          <w:szCs w:val="22"/>
        </w:rPr>
        <w:t>s</w:t>
      </w:r>
      <w:r w:rsidR="00933A82">
        <w:rPr>
          <w:sz w:val="22"/>
          <w:szCs w:val="22"/>
        </w:rPr>
        <w:t xml:space="preserve"> attached to mainstream </w:t>
      </w:r>
      <w:r w:rsidR="005554D8">
        <w:rPr>
          <w:sz w:val="22"/>
          <w:szCs w:val="22"/>
        </w:rPr>
        <w:t xml:space="preserve">primary and secondary </w:t>
      </w:r>
      <w:r w:rsidR="00933A82">
        <w:rPr>
          <w:sz w:val="22"/>
          <w:szCs w:val="22"/>
        </w:rPr>
        <w:t>settings</w:t>
      </w:r>
      <w:r w:rsidR="00D541DA">
        <w:rPr>
          <w:sz w:val="22"/>
          <w:szCs w:val="22"/>
        </w:rPr>
        <w:t>, with the following differences</w:t>
      </w:r>
      <w:r w:rsidR="000C28C3">
        <w:rPr>
          <w:sz w:val="22"/>
          <w:szCs w:val="22"/>
        </w:rPr>
        <w:t>:</w:t>
      </w:r>
    </w:p>
    <w:p w:rsidR="00A6367C" w:rsidRDefault="00A6367C" w:rsidP="005554D8">
      <w:pPr>
        <w:jc w:val="both"/>
        <w:rPr>
          <w:sz w:val="22"/>
          <w:szCs w:val="22"/>
        </w:rPr>
      </w:pPr>
    </w:p>
    <w:p w:rsidR="00D541DA" w:rsidRDefault="00DE31D2" w:rsidP="00C1738E">
      <w:pPr>
        <w:numPr>
          <w:ilvl w:val="0"/>
          <w:numId w:val="4"/>
        </w:numPr>
        <w:jc w:val="both"/>
        <w:rPr>
          <w:sz w:val="22"/>
          <w:szCs w:val="22"/>
        </w:rPr>
      </w:pPr>
      <w:r>
        <w:rPr>
          <w:sz w:val="22"/>
          <w:szCs w:val="22"/>
        </w:rPr>
        <w:t>Designated Specialist Provision (DSPs):</w:t>
      </w:r>
    </w:p>
    <w:p w:rsidR="00DE31D2" w:rsidRDefault="00DE31D2" w:rsidP="00C1738E">
      <w:pPr>
        <w:numPr>
          <w:ilvl w:val="1"/>
          <w:numId w:val="4"/>
        </w:numPr>
        <w:jc w:val="both"/>
        <w:rPr>
          <w:sz w:val="22"/>
          <w:szCs w:val="22"/>
        </w:rPr>
      </w:pPr>
      <w:r>
        <w:rPr>
          <w:sz w:val="22"/>
          <w:szCs w:val="22"/>
        </w:rPr>
        <w:t>Of the setting based need factors</w:t>
      </w:r>
      <w:r w:rsidR="00BD78C2">
        <w:rPr>
          <w:sz w:val="22"/>
          <w:szCs w:val="22"/>
        </w:rPr>
        <w:t xml:space="preserve"> listed in paragraph 4.10</w:t>
      </w:r>
      <w:r>
        <w:rPr>
          <w:sz w:val="22"/>
          <w:szCs w:val="22"/>
        </w:rPr>
        <w:t>, only</w:t>
      </w:r>
      <w:r w:rsidR="00BD78C2">
        <w:rPr>
          <w:sz w:val="22"/>
          <w:szCs w:val="22"/>
        </w:rPr>
        <w:t xml:space="preserve"> the</w:t>
      </w:r>
      <w:r w:rsidR="00A13CA3">
        <w:rPr>
          <w:sz w:val="22"/>
          <w:szCs w:val="22"/>
        </w:rPr>
        <w:t xml:space="preserve"> </w:t>
      </w:r>
      <w:r>
        <w:rPr>
          <w:sz w:val="22"/>
          <w:szCs w:val="22"/>
        </w:rPr>
        <w:t>Minimu</w:t>
      </w:r>
      <w:r w:rsidR="00A13CA3">
        <w:rPr>
          <w:sz w:val="22"/>
          <w:szCs w:val="22"/>
        </w:rPr>
        <w:t>m Funding Guarantee and t</w:t>
      </w:r>
      <w:r w:rsidR="00BD78C2">
        <w:rPr>
          <w:sz w:val="22"/>
          <w:szCs w:val="22"/>
        </w:rPr>
        <w:t>he 2014/15</w:t>
      </w:r>
      <w:r>
        <w:rPr>
          <w:sz w:val="22"/>
          <w:szCs w:val="22"/>
        </w:rPr>
        <w:t xml:space="preserve"> budget pr</w:t>
      </w:r>
      <w:r w:rsidR="00631D09">
        <w:rPr>
          <w:sz w:val="22"/>
          <w:szCs w:val="22"/>
        </w:rPr>
        <w:t>otection</w:t>
      </w:r>
      <w:r w:rsidR="007C409E">
        <w:rPr>
          <w:sz w:val="22"/>
          <w:szCs w:val="22"/>
        </w:rPr>
        <w:t xml:space="preserve"> factors</w:t>
      </w:r>
      <w:r w:rsidR="00631D09">
        <w:rPr>
          <w:sz w:val="22"/>
          <w:szCs w:val="22"/>
        </w:rPr>
        <w:t xml:space="preserve"> </w:t>
      </w:r>
      <w:r w:rsidR="00BD78C2">
        <w:rPr>
          <w:sz w:val="22"/>
          <w:szCs w:val="22"/>
        </w:rPr>
        <w:t>are</w:t>
      </w:r>
      <w:r w:rsidR="00631D09">
        <w:rPr>
          <w:sz w:val="22"/>
          <w:szCs w:val="22"/>
        </w:rPr>
        <w:t xml:space="preserve"> applied. The other factors </w:t>
      </w:r>
      <w:r w:rsidR="00BD78C2">
        <w:rPr>
          <w:sz w:val="22"/>
          <w:szCs w:val="22"/>
        </w:rPr>
        <w:t>are not</w:t>
      </w:r>
      <w:r w:rsidR="00631D09">
        <w:rPr>
          <w:sz w:val="22"/>
          <w:szCs w:val="22"/>
        </w:rPr>
        <w:t xml:space="preserve"> applied</w:t>
      </w:r>
      <w:r w:rsidR="00A13CA3">
        <w:rPr>
          <w:sz w:val="22"/>
          <w:szCs w:val="22"/>
        </w:rPr>
        <w:t>,</w:t>
      </w:r>
      <w:r>
        <w:rPr>
          <w:sz w:val="22"/>
          <w:szCs w:val="22"/>
        </w:rPr>
        <w:t xml:space="preserve"> because</w:t>
      </w:r>
      <w:r w:rsidR="001A6939">
        <w:rPr>
          <w:sz w:val="22"/>
          <w:szCs w:val="22"/>
        </w:rPr>
        <w:t xml:space="preserve"> DSPs are not stand alone units</w:t>
      </w:r>
      <w:r w:rsidR="00A13CA3">
        <w:rPr>
          <w:sz w:val="22"/>
          <w:szCs w:val="22"/>
        </w:rPr>
        <w:t xml:space="preserve"> and because Post 16 places continue to be funded at the original value of £11,165 within the national model.</w:t>
      </w:r>
    </w:p>
    <w:p w:rsidR="003B0B26" w:rsidRDefault="003B0B26" w:rsidP="005554D8">
      <w:pPr>
        <w:jc w:val="both"/>
        <w:rPr>
          <w:sz w:val="22"/>
          <w:szCs w:val="22"/>
        </w:rPr>
      </w:pPr>
    </w:p>
    <w:p w:rsidR="00D541DA" w:rsidRDefault="009D335B" w:rsidP="00C1738E">
      <w:pPr>
        <w:numPr>
          <w:ilvl w:val="0"/>
          <w:numId w:val="4"/>
        </w:numPr>
        <w:jc w:val="both"/>
        <w:rPr>
          <w:sz w:val="22"/>
          <w:szCs w:val="22"/>
        </w:rPr>
      </w:pPr>
      <w:r>
        <w:rPr>
          <w:sz w:val="22"/>
          <w:szCs w:val="22"/>
        </w:rPr>
        <w:t>Additional Resourced Centres (ARCs</w:t>
      </w:r>
      <w:r w:rsidR="00DE1FA4">
        <w:rPr>
          <w:sz w:val="22"/>
          <w:szCs w:val="22"/>
        </w:rPr>
        <w:t xml:space="preserve"> – </w:t>
      </w:r>
      <w:r w:rsidR="004571D0">
        <w:rPr>
          <w:sz w:val="22"/>
          <w:szCs w:val="22"/>
        </w:rPr>
        <w:t xml:space="preserve">support for </w:t>
      </w:r>
      <w:r w:rsidR="00DE1FA4">
        <w:rPr>
          <w:sz w:val="22"/>
          <w:szCs w:val="22"/>
        </w:rPr>
        <w:t>hearing and visually impaired pupils</w:t>
      </w:r>
      <w:r>
        <w:rPr>
          <w:sz w:val="22"/>
          <w:szCs w:val="22"/>
        </w:rPr>
        <w:t>):</w:t>
      </w:r>
    </w:p>
    <w:p w:rsidR="00933A82" w:rsidRPr="00BD78C2" w:rsidRDefault="00DE1FA4" w:rsidP="00B90B15">
      <w:pPr>
        <w:numPr>
          <w:ilvl w:val="1"/>
          <w:numId w:val="4"/>
        </w:numPr>
        <w:jc w:val="both"/>
        <w:rPr>
          <w:sz w:val="22"/>
          <w:szCs w:val="22"/>
        </w:rPr>
      </w:pPr>
      <w:r>
        <w:rPr>
          <w:sz w:val="22"/>
          <w:szCs w:val="22"/>
        </w:rPr>
        <w:t xml:space="preserve">The funding model </w:t>
      </w:r>
      <w:r w:rsidR="00BD78C2">
        <w:rPr>
          <w:sz w:val="22"/>
          <w:szCs w:val="22"/>
        </w:rPr>
        <w:t>is</w:t>
      </w:r>
      <w:r>
        <w:rPr>
          <w:sz w:val="22"/>
          <w:szCs w:val="22"/>
        </w:rPr>
        <w:t xml:space="preserve"> applied to ARCs </w:t>
      </w:r>
      <w:r w:rsidR="004571D0">
        <w:rPr>
          <w:sz w:val="22"/>
          <w:szCs w:val="22"/>
        </w:rPr>
        <w:t>in the same way as for</w:t>
      </w:r>
      <w:r>
        <w:rPr>
          <w:sz w:val="22"/>
          <w:szCs w:val="22"/>
        </w:rPr>
        <w:t xml:space="preserve"> the DSPs above</w:t>
      </w:r>
      <w:r w:rsidR="004B657B">
        <w:rPr>
          <w:sz w:val="22"/>
          <w:szCs w:val="22"/>
        </w:rPr>
        <w:t>, with four</w:t>
      </w:r>
      <w:r w:rsidR="007C5DE4">
        <w:rPr>
          <w:sz w:val="22"/>
          <w:szCs w:val="22"/>
        </w:rPr>
        <w:t xml:space="preserve"> differences. Firstly</w:t>
      </w:r>
      <w:r>
        <w:rPr>
          <w:sz w:val="22"/>
          <w:szCs w:val="22"/>
        </w:rPr>
        <w:t xml:space="preserve">, </w:t>
      </w:r>
      <w:r w:rsidR="005554D8">
        <w:rPr>
          <w:sz w:val="22"/>
          <w:szCs w:val="22"/>
        </w:rPr>
        <w:t xml:space="preserve">all children placed in the ARCs </w:t>
      </w:r>
      <w:r w:rsidR="00BD78C2">
        <w:rPr>
          <w:sz w:val="22"/>
          <w:szCs w:val="22"/>
        </w:rPr>
        <w:t>are</w:t>
      </w:r>
      <w:r w:rsidR="005554D8">
        <w:rPr>
          <w:sz w:val="22"/>
          <w:szCs w:val="22"/>
        </w:rPr>
        <w:t xml:space="preserve"> funded at Range 5. Secondly, </w:t>
      </w:r>
      <w:r>
        <w:rPr>
          <w:sz w:val="22"/>
          <w:szCs w:val="22"/>
        </w:rPr>
        <w:t>as</w:t>
      </w:r>
      <w:r w:rsidRPr="00DE1FA4">
        <w:rPr>
          <w:sz w:val="22"/>
          <w:szCs w:val="22"/>
        </w:rPr>
        <w:t xml:space="preserve"> </w:t>
      </w:r>
      <w:r>
        <w:rPr>
          <w:sz w:val="22"/>
          <w:szCs w:val="22"/>
        </w:rPr>
        <w:t>ARC provision is managed by the Local Authority, the</w:t>
      </w:r>
      <w:r w:rsidR="007C409E">
        <w:rPr>
          <w:sz w:val="22"/>
          <w:szCs w:val="22"/>
        </w:rPr>
        <w:t xml:space="preserve"> monthly calculated</w:t>
      </w:r>
      <w:r>
        <w:rPr>
          <w:sz w:val="22"/>
          <w:szCs w:val="22"/>
        </w:rPr>
        <w:t xml:space="preserve"> ‘Plus’ element </w:t>
      </w:r>
      <w:r w:rsidR="00BD78C2">
        <w:rPr>
          <w:sz w:val="22"/>
          <w:szCs w:val="22"/>
        </w:rPr>
        <w:t xml:space="preserve">is </w:t>
      </w:r>
      <w:r>
        <w:rPr>
          <w:sz w:val="22"/>
          <w:szCs w:val="22"/>
        </w:rPr>
        <w:t xml:space="preserve">retained </w:t>
      </w:r>
      <w:r w:rsidR="007C409E">
        <w:rPr>
          <w:sz w:val="22"/>
          <w:szCs w:val="22"/>
        </w:rPr>
        <w:t>by the Authority</w:t>
      </w:r>
      <w:r w:rsidR="00BD78C2">
        <w:rPr>
          <w:sz w:val="22"/>
          <w:szCs w:val="22"/>
        </w:rPr>
        <w:t>,</w:t>
      </w:r>
      <w:r w:rsidR="007C409E">
        <w:rPr>
          <w:sz w:val="22"/>
          <w:szCs w:val="22"/>
        </w:rPr>
        <w:t xml:space="preserve"> plus</w:t>
      </w:r>
      <w:r w:rsidR="00BD78C2">
        <w:rPr>
          <w:sz w:val="22"/>
          <w:szCs w:val="22"/>
        </w:rPr>
        <w:t xml:space="preserve"> the settings pay</w:t>
      </w:r>
      <w:r>
        <w:rPr>
          <w:sz w:val="22"/>
          <w:szCs w:val="22"/>
        </w:rPr>
        <w:t xml:space="preserve"> back to the Authority £6,000 of the £10,000 for each funded place on a full year basis.</w:t>
      </w:r>
      <w:r w:rsidR="005554D8">
        <w:rPr>
          <w:sz w:val="22"/>
          <w:szCs w:val="22"/>
        </w:rPr>
        <w:t xml:space="preserve"> Thirdly</w:t>
      </w:r>
      <w:r w:rsidR="007C5DE4">
        <w:rPr>
          <w:sz w:val="22"/>
          <w:szCs w:val="22"/>
        </w:rPr>
        <w:t>, the New Delegated</w:t>
      </w:r>
      <w:r w:rsidR="007C409E">
        <w:rPr>
          <w:sz w:val="22"/>
          <w:szCs w:val="22"/>
        </w:rPr>
        <w:t xml:space="preserve"> Costs f</w:t>
      </w:r>
      <w:r w:rsidR="007C5DE4">
        <w:rPr>
          <w:sz w:val="22"/>
          <w:szCs w:val="22"/>
        </w:rPr>
        <w:t xml:space="preserve">actor </w:t>
      </w:r>
      <w:r w:rsidR="00BD78C2">
        <w:rPr>
          <w:sz w:val="22"/>
          <w:szCs w:val="22"/>
        </w:rPr>
        <w:t>is</w:t>
      </w:r>
      <w:r w:rsidR="007C5DE4">
        <w:rPr>
          <w:sz w:val="22"/>
          <w:szCs w:val="22"/>
        </w:rPr>
        <w:t xml:space="preserve"> applied, as the Authority cannot access the de-delegated arrangements that resources provisions attached to maintained schools can.</w:t>
      </w:r>
      <w:r w:rsidR="00BD78C2">
        <w:rPr>
          <w:sz w:val="22"/>
          <w:szCs w:val="22"/>
        </w:rPr>
        <w:t xml:space="preserve"> Fourthly, the 2014/15</w:t>
      </w:r>
      <w:r w:rsidR="004B657B">
        <w:rPr>
          <w:sz w:val="22"/>
          <w:szCs w:val="22"/>
        </w:rPr>
        <w:t xml:space="preserve"> Budget Protection Factor </w:t>
      </w:r>
      <w:r w:rsidR="00BD78C2">
        <w:rPr>
          <w:sz w:val="22"/>
          <w:szCs w:val="22"/>
        </w:rPr>
        <w:t>is not</w:t>
      </w:r>
      <w:r w:rsidR="004B657B">
        <w:rPr>
          <w:sz w:val="22"/>
          <w:szCs w:val="22"/>
        </w:rPr>
        <w:t xml:space="preserve"> applied, to enable the</w:t>
      </w:r>
      <w:r w:rsidR="00643FF4">
        <w:rPr>
          <w:sz w:val="22"/>
          <w:szCs w:val="22"/>
        </w:rPr>
        <w:t xml:space="preserve"> repayment of place-led funding</w:t>
      </w:r>
      <w:r w:rsidR="00BD78C2">
        <w:rPr>
          <w:sz w:val="22"/>
          <w:szCs w:val="22"/>
        </w:rPr>
        <w:t>.</w:t>
      </w:r>
    </w:p>
    <w:p w:rsidR="00F669A4" w:rsidRDefault="00F669A4" w:rsidP="00B90B15">
      <w:pPr>
        <w:jc w:val="both"/>
        <w:rPr>
          <w:sz w:val="22"/>
          <w:szCs w:val="22"/>
        </w:rPr>
      </w:pPr>
    </w:p>
    <w:p w:rsidR="001E010D" w:rsidRPr="00070057" w:rsidRDefault="00BD78C2" w:rsidP="00B90B15">
      <w:pPr>
        <w:jc w:val="both"/>
        <w:rPr>
          <w:sz w:val="22"/>
          <w:szCs w:val="22"/>
        </w:rPr>
      </w:pPr>
      <w:r>
        <w:rPr>
          <w:sz w:val="22"/>
          <w:szCs w:val="22"/>
        </w:rPr>
        <w:t>4.16</w:t>
      </w:r>
      <w:r w:rsidR="000B67E3">
        <w:rPr>
          <w:sz w:val="22"/>
          <w:szCs w:val="22"/>
        </w:rPr>
        <w:t xml:space="preserve"> </w:t>
      </w:r>
      <w:r w:rsidR="0067061B" w:rsidRPr="00070057">
        <w:rPr>
          <w:sz w:val="22"/>
          <w:szCs w:val="22"/>
        </w:rPr>
        <w:t>The a</w:t>
      </w:r>
      <w:r w:rsidR="00D81A5D" w:rsidRPr="00070057">
        <w:rPr>
          <w:sz w:val="22"/>
          <w:szCs w:val="22"/>
        </w:rPr>
        <w:t>pproach o</w:t>
      </w:r>
      <w:r>
        <w:rPr>
          <w:sz w:val="22"/>
          <w:szCs w:val="22"/>
        </w:rPr>
        <w:t>utlined in paragraphs 4.2 to 4.14</w:t>
      </w:r>
      <w:r w:rsidR="0067061B" w:rsidRPr="00070057">
        <w:rPr>
          <w:sz w:val="22"/>
          <w:szCs w:val="22"/>
        </w:rPr>
        <w:t xml:space="preserve"> </w:t>
      </w:r>
      <w:r>
        <w:rPr>
          <w:sz w:val="22"/>
          <w:szCs w:val="22"/>
        </w:rPr>
        <w:t>is</w:t>
      </w:r>
      <w:r w:rsidR="0067061B" w:rsidRPr="00070057">
        <w:rPr>
          <w:sz w:val="22"/>
          <w:szCs w:val="22"/>
        </w:rPr>
        <w:t xml:space="preserve"> used to calculate allocations for placements in Pupil Referral Units, with the following differences:</w:t>
      </w:r>
    </w:p>
    <w:p w:rsidR="0067061B" w:rsidRPr="00FE0C3A" w:rsidRDefault="0067061B" w:rsidP="00B90B15">
      <w:pPr>
        <w:jc w:val="both"/>
        <w:rPr>
          <w:sz w:val="22"/>
          <w:szCs w:val="22"/>
        </w:rPr>
      </w:pPr>
    </w:p>
    <w:p w:rsidR="00617BC0" w:rsidRPr="00FD3147" w:rsidRDefault="00970C68" w:rsidP="00FD3147">
      <w:pPr>
        <w:numPr>
          <w:ilvl w:val="0"/>
          <w:numId w:val="7"/>
        </w:numPr>
        <w:jc w:val="both"/>
        <w:rPr>
          <w:sz w:val="22"/>
          <w:szCs w:val="22"/>
        </w:rPr>
      </w:pPr>
      <w:r w:rsidRPr="00FD3147">
        <w:rPr>
          <w:sz w:val="22"/>
          <w:szCs w:val="22"/>
        </w:rPr>
        <w:t xml:space="preserve">The value of the Place element has </w:t>
      </w:r>
      <w:r w:rsidR="00BD78C2">
        <w:rPr>
          <w:sz w:val="22"/>
          <w:szCs w:val="22"/>
        </w:rPr>
        <w:t xml:space="preserve">now </w:t>
      </w:r>
      <w:r w:rsidRPr="00FD3147">
        <w:rPr>
          <w:sz w:val="22"/>
          <w:szCs w:val="22"/>
        </w:rPr>
        <w:t>been set, by the DfE,</w:t>
      </w:r>
      <w:r w:rsidR="00305744" w:rsidRPr="00FD3147">
        <w:rPr>
          <w:sz w:val="22"/>
          <w:szCs w:val="22"/>
        </w:rPr>
        <w:t xml:space="preserve"> </w:t>
      </w:r>
      <w:r w:rsidR="00BD78C2">
        <w:rPr>
          <w:sz w:val="22"/>
          <w:szCs w:val="22"/>
        </w:rPr>
        <w:t xml:space="preserve">at </w:t>
      </w:r>
      <w:r w:rsidR="00305744" w:rsidRPr="00FD3147">
        <w:rPr>
          <w:sz w:val="22"/>
          <w:szCs w:val="22"/>
        </w:rPr>
        <w:t>£10,000</w:t>
      </w:r>
      <w:r w:rsidR="00BD78C2">
        <w:rPr>
          <w:sz w:val="22"/>
          <w:szCs w:val="22"/>
        </w:rPr>
        <w:t>, but previously was set at £8,000</w:t>
      </w:r>
      <w:r w:rsidR="000611D8" w:rsidRPr="00FD3147">
        <w:rPr>
          <w:sz w:val="22"/>
          <w:szCs w:val="22"/>
        </w:rPr>
        <w:t>. As a consequence, the Small S</w:t>
      </w:r>
      <w:r w:rsidR="00617BC0" w:rsidRPr="00FD3147">
        <w:rPr>
          <w:sz w:val="22"/>
          <w:szCs w:val="22"/>
        </w:rPr>
        <w:t>etting</w:t>
      </w:r>
      <w:r w:rsidR="000611D8" w:rsidRPr="00FD3147">
        <w:rPr>
          <w:sz w:val="22"/>
          <w:szCs w:val="22"/>
        </w:rPr>
        <w:t xml:space="preserve"> Protection</w:t>
      </w:r>
      <w:r w:rsidR="00617BC0" w:rsidRPr="00FD3147">
        <w:rPr>
          <w:sz w:val="22"/>
          <w:szCs w:val="22"/>
        </w:rPr>
        <w:t xml:space="preserve"> factor </w:t>
      </w:r>
      <w:r w:rsidR="00BD78C2">
        <w:rPr>
          <w:sz w:val="22"/>
          <w:szCs w:val="22"/>
        </w:rPr>
        <w:t>is</w:t>
      </w:r>
      <w:r w:rsidR="00617BC0" w:rsidRPr="00FD3147">
        <w:rPr>
          <w:sz w:val="22"/>
          <w:szCs w:val="22"/>
        </w:rPr>
        <w:t xml:space="preserve"> calculated on the £8,000 per place value</w:t>
      </w:r>
      <w:r w:rsidR="00BD78C2">
        <w:rPr>
          <w:sz w:val="22"/>
          <w:szCs w:val="22"/>
        </w:rPr>
        <w:t xml:space="preserve"> and a</w:t>
      </w:r>
      <w:r w:rsidR="00FD3147" w:rsidRPr="00FD3147">
        <w:rPr>
          <w:sz w:val="22"/>
          <w:szCs w:val="22"/>
        </w:rPr>
        <w:t xml:space="preserve">n additional setting factor </w:t>
      </w:r>
      <w:r w:rsidR="00BD78C2">
        <w:rPr>
          <w:sz w:val="22"/>
          <w:szCs w:val="22"/>
        </w:rPr>
        <w:t xml:space="preserve">is </w:t>
      </w:r>
      <w:r w:rsidR="00FD3147" w:rsidRPr="00FD3147">
        <w:rPr>
          <w:sz w:val="22"/>
          <w:szCs w:val="22"/>
        </w:rPr>
        <w:t xml:space="preserve">included, </w:t>
      </w:r>
      <w:r w:rsidR="00BD78C2">
        <w:rPr>
          <w:sz w:val="22"/>
          <w:szCs w:val="22"/>
        </w:rPr>
        <w:t>which removes the £2,000 additional funding per place, so that the impact of the</w:t>
      </w:r>
      <w:r w:rsidR="008A37DE">
        <w:rPr>
          <w:sz w:val="22"/>
          <w:szCs w:val="22"/>
        </w:rPr>
        <w:t xml:space="preserve"> DfE’s directed</w:t>
      </w:r>
      <w:r w:rsidR="00BD78C2">
        <w:rPr>
          <w:sz w:val="22"/>
          <w:szCs w:val="22"/>
        </w:rPr>
        <w:t xml:space="preserve"> change to £10,000 is neutral. However, this adjustment is not applied to</w:t>
      </w:r>
      <w:r w:rsidR="00FD3147" w:rsidRPr="00FD3147">
        <w:rPr>
          <w:sz w:val="22"/>
          <w:szCs w:val="22"/>
        </w:rPr>
        <w:t xml:space="preserve"> Primary </w:t>
      </w:r>
      <w:smartTag w:uri="urn:schemas-microsoft-com:office:smarttags" w:element="stockticker">
        <w:r w:rsidR="00FD3147" w:rsidRPr="00FD3147">
          <w:rPr>
            <w:sz w:val="22"/>
            <w:szCs w:val="22"/>
          </w:rPr>
          <w:t>PRU</w:t>
        </w:r>
      </w:smartTag>
      <w:r w:rsidR="00FD3147" w:rsidRPr="00FD3147">
        <w:rPr>
          <w:sz w:val="22"/>
          <w:szCs w:val="22"/>
        </w:rPr>
        <w:t xml:space="preserve">, to recognise that, although a </w:t>
      </w:r>
      <w:smartTag w:uri="urn:schemas-microsoft-com:office:smarttags" w:element="stockticker">
        <w:r w:rsidR="00FD3147" w:rsidRPr="00FD3147">
          <w:rPr>
            <w:sz w:val="22"/>
            <w:szCs w:val="22"/>
          </w:rPr>
          <w:t>PRU</w:t>
        </w:r>
      </w:smartTag>
      <w:r w:rsidR="00FD3147" w:rsidRPr="00FD3147">
        <w:rPr>
          <w:sz w:val="22"/>
          <w:szCs w:val="22"/>
        </w:rPr>
        <w:t xml:space="preserve"> in name, </w:t>
      </w:r>
      <w:r w:rsidR="00BD78C2">
        <w:rPr>
          <w:sz w:val="22"/>
          <w:szCs w:val="22"/>
        </w:rPr>
        <w:t>this</w:t>
      </w:r>
      <w:r w:rsidR="00BD78C2" w:rsidRPr="00FD3147">
        <w:rPr>
          <w:sz w:val="22"/>
          <w:szCs w:val="22"/>
        </w:rPr>
        <w:t xml:space="preserve"> setting acts</w:t>
      </w:r>
      <w:r w:rsidR="00FD3147" w:rsidRPr="00FD3147">
        <w:rPr>
          <w:sz w:val="22"/>
          <w:szCs w:val="22"/>
        </w:rPr>
        <w:t xml:space="preserve"> as a special school and has a similar cost structure</w:t>
      </w:r>
      <w:r w:rsidR="00FD3147">
        <w:rPr>
          <w:sz w:val="22"/>
          <w:szCs w:val="22"/>
        </w:rPr>
        <w:t>.</w:t>
      </w:r>
    </w:p>
    <w:p w:rsidR="000611D8" w:rsidRPr="00FE0C3A" w:rsidRDefault="000611D8" w:rsidP="000611D8">
      <w:pPr>
        <w:ind w:left="720"/>
        <w:jc w:val="both"/>
        <w:rPr>
          <w:sz w:val="22"/>
          <w:szCs w:val="22"/>
        </w:rPr>
      </w:pPr>
    </w:p>
    <w:p w:rsidR="00BD78C2" w:rsidRDefault="000611D8" w:rsidP="000611D8">
      <w:pPr>
        <w:numPr>
          <w:ilvl w:val="0"/>
          <w:numId w:val="7"/>
        </w:numPr>
        <w:jc w:val="both"/>
        <w:rPr>
          <w:sz w:val="22"/>
          <w:szCs w:val="22"/>
        </w:rPr>
      </w:pPr>
      <w:r w:rsidRPr="00BD78C2">
        <w:rPr>
          <w:sz w:val="22"/>
          <w:szCs w:val="22"/>
        </w:rPr>
        <w:t xml:space="preserve">The Place element for the District </w:t>
      </w:r>
      <w:smartTag w:uri="urn:schemas-microsoft-com:office:smarttags" w:element="stockticker">
        <w:r w:rsidRPr="00BD78C2">
          <w:rPr>
            <w:sz w:val="22"/>
            <w:szCs w:val="22"/>
          </w:rPr>
          <w:t>PRU</w:t>
        </w:r>
      </w:smartTag>
      <w:r w:rsidRPr="00BD78C2">
        <w:rPr>
          <w:sz w:val="22"/>
          <w:szCs w:val="22"/>
        </w:rPr>
        <w:t xml:space="preserve"> has been added to the Plus element and allocated flexibly on a monthly basis following </w:t>
      </w:r>
      <w:r w:rsidR="00BD78C2" w:rsidRPr="00BD78C2">
        <w:rPr>
          <w:sz w:val="22"/>
          <w:szCs w:val="22"/>
        </w:rPr>
        <w:t>the actual placement of pupils.</w:t>
      </w:r>
    </w:p>
    <w:p w:rsidR="00BD78C2" w:rsidRDefault="00BD78C2" w:rsidP="00BD78C2">
      <w:pPr>
        <w:ind w:left="720"/>
        <w:jc w:val="both"/>
        <w:rPr>
          <w:sz w:val="22"/>
          <w:szCs w:val="22"/>
        </w:rPr>
      </w:pPr>
    </w:p>
    <w:p w:rsidR="00BD78C2" w:rsidRPr="00FE0C3A" w:rsidRDefault="00BD78C2" w:rsidP="00BD78C2">
      <w:pPr>
        <w:numPr>
          <w:ilvl w:val="0"/>
          <w:numId w:val="7"/>
        </w:numPr>
        <w:jc w:val="both"/>
        <w:rPr>
          <w:sz w:val="22"/>
          <w:szCs w:val="22"/>
        </w:rPr>
      </w:pPr>
      <w:r w:rsidRPr="00FE0C3A">
        <w:rPr>
          <w:sz w:val="22"/>
          <w:szCs w:val="22"/>
        </w:rPr>
        <w:t xml:space="preserve">For Central </w:t>
      </w:r>
      <w:smartTag w:uri="urn:schemas-microsoft-com:office:smarttags" w:element="stockticker">
        <w:r w:rsidRPr="00FE0C3A">
          <w:rPr>
            <w:sz w:val="22"/>
            <w:szCs w:val="22"/>
          </w:rPr>
          <w:t>PRU</w:t>
        </w:r>
      </w:smartTag>
      <w:r w:rsidRPr="00FE0C3A">
        <w:rPr>
          <w:sz w:val="22"/>
          <w:szCs w:val="22"/>
        </w:rPr>
        <w:t>, recognising the short term intensive nature of placements, rather than following the moderation processes, which are more suited to determining needs over the longer term, we have used a ‘formulaic’ basis to placing pupils into the Ranges model; placing 50% of pupils on roll in Range 4D and 50% in Range 5 on a monthly basis.</w:t>
      </w:r>
    </w:p>
    <w:p w:rsidR="00BD78C2" w:rsidRDefault="00BD78C2" w:rsidP="00BD78C2">
      <w:pPr>
        <w:jc w:val="both"/>
        <w:rPr>
          <w:sz w:val="22"/>
          <w:szCs w:val="22"/>
        </w:rPr>
      </w:pPr>
    </w:p>
    <w:p w:rsidR="00070057" w:rsidRDefault="00121AAE" w:rsidP="00121AAE">
      <w:pPr>
        <w:numPr>
          <w:ilvl w:val="0"/>
          <w:numId w:val="7"/>
        </w:numPr>
        <w:jc w:val="both"/>
        <w:rPr>
          <w:sz w:val="22"/>
          <w:szCs w:val="22"/>
        </w:rPr>
      </w:pPr>
      <w:r>
        <w:rPr>
          <w:sz w:val="22"/>
          <w:szCs w:val="22"/>
        </w:rPr>
        <w:t>This method is extended to calculate th</w:t>
      </w:r>
      <w:r w:rsidR="00BD78C2">
        <w:rPr>
          <w:sz w:val="22"/>
          <w:szCs w:val="22"/>
        </w:rPr>
        <w:t>e Plus element for all non-statemented students</w:t>
      </w:r>
      <w:r>
        <w:rPr>
          <w:sz w:val="22"/>
          <w:szCs w:val="22"/>
        </w:rPr>
        <w:t xml:space="preserve"> in other PRUs settings. These students are funded on</w:t>
      </w:r>
      <w:r w:rsidR="00BD78C2">
        <w:rPr>
          <w:sz w:val="22"/>
          <w:szCs w:val="22"/>
        </w:rPr>
        <w:t xml:space="preserve"> a formula of 50% Range 4D and 50% Range 5.</w:t>
      </w:r>
    </w:p>
    <w:p w:rsidR="00015B45" w:rsidRPr="00015B45" w:rsidRDefault="00015B45" w:rsidP="00015B45">
      <w:pPr>
        <w:ind w:left="720"/>
        <w:jc w:val="both"/>
        <w:rPr>
          <w:sz w:val="22"/>
          <w:szCs w:val="22"/>
        </w:rPr>
      </w:pPr>
    </w:p>
    <w:p w:rsidR="005E70DE" w:rsidRDefault="004837A0" w:rsidP="003B0B26">
      <w:pPr>
        <w:numPr>
          <w:ilvl w:val="0"/>
          <w:numId w:val="7"/>
        </w:numPr>
        <w:jc w:val="both"/>
        <w:rPr>
          <w:sz w:val="22"/>
          <w:szCs w:val="22"/>
        </w:rPr>
      </w:pPr>
      <w:r w:rsidRPr="00FE0C3A">
        <w:rPr>
          <w:sz w:val="22"/>
          <w:szCs w:val="22"/>
        </w:rPr>
        <w:t xml:space="preserve">Of the setting based need </w:t>
      </w:r>
      <w:r w:rsidR="00121AAE">
        <w:rPr>
          <w:sz w:val="22"/>
          <w:szCs w:val="22"/>
        </w:rPr>
        <w:t>factors listed in paragraph 4.10, only the New Delegation Costs and Small Setting Protection</w:t>
      </w:r>
      <w:r w:rsidR="00FE0C3A">
        <w:rPr>
          <w:sz w:val="22"/>
          <w:szCs w:val="22"/>
        </w:rPr>
        <w:t xml:space="preserve"> </w:t>
      </w:r>
      <w:r w:rsidR="00121AAE">
        <w:rPr>
          <w:sz w:val="22"/>
          <w:szCs w:val="22"/>
        </w:rPr>
        <w:t>are</w:t>
      </w:r>
      <w:r w:rsidR="00FE0C3A">
        <w:rPr>
          <w:sz w:val="22"/>
          <w:szCs w:val="22"/>
        </w:rPr>
        <w:t xml:space="preserve"> employed.</w:t>
      </w:r>
      <w:r w:rsidR="005E70DE">
        <w:rPr>
          <w:sz w:val="22"/>
          <w:szCs w:val="22"/>
        </w:rPr>
        <w:t xml:space="preserve"> A separate (different) split site factor has been used. Please see below.</w:t>
      </w:r>
    </w:p>
    <w:p w:rsidR="00BC1B28" w:rsidRPr="003B0B26" w:rsidRDefault="00BC1B28" w:rsidP="00BC1B28">
      <w:pPr>
        <w:jc w:val="both"/>
        <w:rPr>
          <w:sz w:val="22"/>
          <w:szCs w:val="22"/>
        </w:rPr>
      </w:pPr>
    </w:p>
    <w:p w:rsidR="005E70DE" w:rsidRDefault="005E70DE" w:rsidP="000611D8">
      <w:pPr>
        <w:numPr>
          <w:ilvl w:val="0"/>
          <w:numId w:val="7"/>
        </w:numPr>
        <w:jc w:val="both"/>
        <w:rPr>
          <w:sz w:val="22"/>
          <w:szCs w:val="22"/>
        </w:rPr>
      </w:pPr>
      <w:r>
        <w:rPr>
          <w:sz w:val="22"/>
          <w:szCs w:val="22"/>
        </w:rPr>
        <w:t xml:space="preserve">The following additional setting based need factors </w:t>
      </w:r>
      <w:r w:rsidR="00BB5029">
        <w:rPr>
          <w:sz w:val="22"/>
          <w:szCs w:val="22"/>
        </w:rPr>
        <w:t xml:space="preserve">are included in the </w:t>
      </w:r>
      <w:r>
        <w:rPr>
          <w:sz w:val="22"/>
          <w:szCs w:val="22"/>
        </w:rPr>
        <w:t>funding model for the PRUs:</w:t>
      </w:r>
    </w:p>
    <w:p w:rsidR="005E70DE" w:rsidRDefault="005E70DE" w:rsidP="005E70DE">
      <w:pPr>
        <w:pStyle w:val="ListParagraph"/>
        <w:rPr>
          <w:sz w:val="22"/>
          <w:szCs w:val="22"/>
        </w:rPr>
      </w:pPr>
    </w:p>
    <w:p w:rsidR="00FD3147" w:rsidRPr="00981CF1" w:rsidRDefault="00FD3147" w:rsidP="00FD3147">
      <w:pPr>
        <w:numPr>
          <w:ilvl w:val="1"/>
          <w:numId w:val="7"/>
        </w:numPr>
        <w:jc w:val="both"/>
        <w:rPr>
          <w:sz w:val="22"/>
          <w:szCs w:val="22"/>
        </w:rPr>
      </w:pPr>
      <w:r w:rsidRPr="00981CF1">
        <w:rPr>
          <w:sz w:val="22"/>
          <w:szCs w:val="22"/>
        </w:rPr>
        <w:t>A split sites factor, which recognises where provision is delivered</w:t>
      </w:r>
      <w:r>
        <w:rPr>
          <w:sz w:val="22"/>
          <w:szCs w:val="22"/>
        </w:rPr>
        <w:t xml:space="preserve"> across</w:t>
      </w:r>
      <w:r w:rsidRPr="00981CF1">
        <w:rPr>
          <w:sz w:val="22"/>
          <w:szCs w:val="22"/>
        </w:rPr>
        <w:t xml:space="preserve"> sites that are geographically separated. For</w:t>
      </w:r>
      <w:r>
        <w:rPr>
          <w:sz w:val="22"/>
          <w:szCs w:val="22"/>
        </w:rPr>
        <w:t xml:space="preserve"> qualifying settings, we have</w:t>
      </w:r>
      <w:r w:rsidRPr="00981CF1">
        <w:rPr>
          <w:sz w:val="22"/>
          <w:szCs w:val="22"/>
        </w:rPr>
        <w:t xml:space="preserve"> double</w:t>
      </w:r>
      <w:r>
        <w:rPr>
          <w:sz w:val="22"/>
          <w:szCs w:val="22"/>
        </w:rPr>
        <w:t>d</w:t>
      </w:r>
      <w:r w:rsidRPr="00981CF1">
        <w:rPr>
          <w:sz w:val="22"/>
          <w:szCs w:val="22"/>
        </w:rPr>
        <w:t xml:space="preserve"> the value of the small setting protection, to recognise the duplication in running</w:t>
      </w:r>
      <w:r>
        <w:rPr>
          <w:sz w:val="22"/>
          <w:szCs w:val="22"/>
        </w:rPr>
        <w:t xml:space="preserve"> costs of</w:t>
      </w:r>
      <w:r w:rsidRPr="00981CF1">
        <w:rPr>
          <w:sz w:val="22"/>
          <w:szCs w:val="22"/>
        </w:rPr>
        <w:t xml:space="preserve"> a separate site</w:t>
      </w:r>
      <w:r>
        <w:rPr>
          <w:sz w:val="22"/>
          <w:szCs w:val="22"/>
        </w:rPr>
        <w:t xml:space="preserve"> (s).</w:t>
      </w:r>
    </w:p>
    <w:p w:rsidR="00FD3147" w:rsidRPr="00981CF1" w:rsidRDefault="00FD3147" w:rsidP="00FD3147">
      <w:pPr>
        <w:ind w:left="1080"/>
        <w:jc w:val="both"/>
        <w:rPr>
          <w:sz w:val="22"/>
          <w:szCs w:val="22"/>
        </w:rPr>
      </w:pPr>
    </w:p>
    <w:p w:rsidR="00FD3147" w:rsidRPr="00981CF1" w:rsidRDefault="00FD3147" w:rsidP="00FD3147">
      <w:pPr>
        <w:numPr>
          <w:ilvl w:val="1"/>
          <w:numId w:val="7"/>
        </w:numPr>
        <w:jc w:val="both"/>
        <w:rPr>
          <w:sz w:val="22"/>
          <w:szCs w:val="22"/>
        </w:rPr>
      </w:pPr>
      <w:r w:rsidRPr="00981CF1">
        <w:rPr>
          <w:sz w:val="22"/>
          <w:szCs w:val="22"/>
        </w:rPr>
        <w:t>A ‘Churn’ factor, for settings that delivery short term provision, to recognise additional pressures that relate to the continuous movement of children. For q</w:t>
      </w:r>
      <w:r>
        <w:rPr>
          <w:sz w:val="22"/>
          <w:szCs w:val="22"/>
        </w:rPr>
        <w:t>ualifying settings, we</w:t>
      </w:r>
      <w:r w:rsidRPr="00981CF1">
        <w:rPr>
          <w:sz w:val="22"/>
          <w:szCs w:val="22"/>
        </w:rPr>
        <w:t xml:space="preserve"> calculate funding on a monthly basis as follows: the mobility variable (taken from the secondary </w:t>
      </w:r>
      <w:r>
        <w:rPr>
          <w:sz w:val="22"/>
          <w:szCs w:val="22"/>
        </w:rPr>
        <w:t xml:space="preserve">mainstream </w:t>
      </w:r>
      <w:r w:rsidRPr="00981CF1">
        <w:rPr>
          <w:sz w:val="22"/>
          <w:szCs w:val="22"/>
        </w:rPr>
        <w:t>formula) x5 (this is a standard weighting for high needs provision) x number of pupils on roll</w:t>
      </w:r>
      <w:r>
        <w:rPr>
          <w:sz w:val="22"/>
          <w:szCs w:val="22"/>
        </w:rPr>
        <w:t>.</w:t>
      </w:r>
    </w:p>
    <w:p w:rsidR="00FD3147" w:rsidRPr="00981CF1" w:rsidRDefault="00FD3147" w:rsidP="00FD3147">
      <w:pPr>
        <w:ind w:left="1080"/>
        <w:jc w:val="both"/>
        <w:rPr>
          <w:sz w:val="22"/>
          <w:szCs w:val="22"/>
        </w:rPr>
      </w:pPr>
    </w:p>
    <w:p w:rsidR="00FD3147" w:rsidRPr="00981CF1" w:rsidRDefault="00FD3147" w:rsidP="00FD3147">
      <w:pPr>
        <w:numPr>
          <w:ilvl w:val="1"/>
          <w:numId w:val="7"/>
        </w:numPr>
        <w:jc w:val="both"/>
        <w:rPr>
          <w:sz w:val="22"/>
          <w:szCs w:val="22"/>
        </w:rPr>
      </w:pPr>
      <w:r w:rsidRPr="00981CF1">
        <w:rPr>
          <w:sz w:val="22"/>
          <w:szCs w:val="22"/>
        </w:rPr>
        <w:t>A ‘Rates</w:t>
      </w:r>
      <w:r>
        <w:rPr>
          <w:sz w:val="22"/>
          <w:szCs w:val="22"/>
        </w:rPr>
        <w:t>’ factor, for all settings. As s</w:t>
      </w:r>
      <w:r w:rsidRPr="00981CF1">
        <w:rPr>
          <w:sz w:val="22"/>
          <w:szCs w:val="22"/>
        </w:rPr>
        <w:t>peci</w:t>
      </w:r>
      <w:r>
        <w:rPr>
          <w:sz w:val="22"/>
          <w:szCs w:val="22"/>
        </w:rPr>
        <w:t xml:space="preserve">al schools do not pay rates, </w:t>
      </w:r>
      <w:r w:rsidRPr="00981CF1">
        <w:rPr>
          <w:sz w:val="22"/>
          <w:szCs w:val="22"/>
        </w:rPr>
        <w:t>o</w:t>
      </w:r>
      <w:r>
        <w:rPr>
          <w:sz w:val="22"/>
          <w:szCs w:val="22"/>
        </w:rPr>
        <w:t xml:space="preserve">ur basic funding model </w:t>
      </w:r>
      <w:r w:rsidRPr="00981CF1">
        <w:rPr>
          <w:sz w:val="22"/>
          <w:szCs w:val="22"/>
        </w:rPr>
        <w:t xml:space="preserve">does not include any provision for the cost of rates. </w:t>
      </w:r>
      <w:r>
        <w:rPr>
          <w:sz w:val="22"/>
          <w:szCs w:val="22"/>
        </w:rPr>
        <w:t xml:space="preserve">However, </w:t>
      </w:r>
      <w:r w:rsidRPr="00981CF1">
        <w:rPr>
          <w:sz w:val="22"/>
          <w:szCs w:val="22"/>
        </w:rPr>
        <w:t>PRUs are liable for rates charge</w:t>
      </w:r>
      <w:r w:rsidR="00BB5029">
        <w:rPr>
          <w:sz w:val="22"/>
          <w:szCs w:val="22"/>
        </w:rPr>
        <w:t>s.</w:t>
      </w:r>
    </w:p>
    <w:p w:rsidR="000611D8" w:rsidRPr="00EC4C05" w:rsidRDefault="000611D8" w:rsidP="00D00C2F">
      <w:pPr>
        <w:jc w:val="both"/>
        <w:rPr>
          <w:color w:val="FF0000"/>
          <w:sz w:val="22"/>
          <w:szCs w:val="22"/>
        </w:rPr>
      </w:pPr>
    </w:p>
    <w:p w:rsidR="00D00C2F" w:rsidRDefault="007D2E20" w:rsidP="00D00C2F">
      <w:pPr>
        <w:jc w:val="both"/>
        <w:rPr>
          <w:sz w:val="22"/>
          <w:szCs w:val="22"/>
        </w:rPr>
      </w:pPr>
      <w:r>
        <w:rPr>
          <w:sz w:val="22"/>
          <w:szCs w:val="22"/>
        </w:rPr>
        <w:t>4.17</w:t>
      </w:r>
      <w:r w:rsidR="00D00C2F" w:rsidRPr="00070057">
        <w:rPr>
          <w:sz w:val="22"/>
          <w:szCs w:val="22"/>
        </w:rPr>
        <w:t xml:space="preserve"> The approach outlined in paragraphs 4.2 to 4.1</w:t>
      </w:r>
      <w:r>
        <w:rPr>
          <w:sz w:val="22"/>
          <w:szCs w:val="22"/>
        </w:rPr>
        <w:t>4</w:t>
      </w:r>
      <w:r w:rsidR="00D00C2F" w:rsidRPr="00070057">
        <w:rPr>
          <w:sz w:val="22"/>
          <w:szCs w:val="22"/>
        </w:rPr>
        <w:t xml:space="preserve"> has been used to calculate allocations for placements in </w:t>
      </w:r>
      <w:r w:rsidR="008D61CF">
        <w:rPr>
          <w:sz w:val="22"/>
          <w:szCs w:val="22"/>
        </w:rPr>
        <w:t xml:space="preserve">the </w:t>
      </w:r>
      <w:r w:rsidR="00D00C2F">
        <w:rPr>
          <w:sz w:val="22"/>
          <w:szCs w:val="22"/>
        </w:rPr>
        <w:t>Primary Behaviour Centres</w:t>
      </w:r>
      <w:r w:rsidR="00D00C2F" w:rsidRPr="00070057">
        <w:rPr>
          <w:sz w:val="22"/>
          <w:szCs w:val="22"/>
        </w:rPr>
        <w:t>, with the following differences:</w:t>
      </w:r>
    </w:p>
    <w:p w:rsidR="00D00C2F" w:rsidRDefault="00D00C2F" w:rsidP="00D00C2F">
      <w:pPr>
        <w:jc w:val="both"/>
        <w:rPr>
          <w:sz w:val="22"/>
          <w:szCs w:val="22"/>
        </w:rPr>
      </w:pPr>
    </w:p>
    <w:p w:rsidR="007D2E20" w:rsidRPr="00FD3147" w:rsidRDefault="007D2E20" w:rsidP="007D2E20">
      <w:pPr>
        <w:numPr>
          <w:ilvl w:val="0"/>
          <w:numId w:val="7"/>
        </w:numPr>
        <w:jc w:val="both"/>
        <w:rPr>
          <w:sz w:val="22"/>
          <w:szCs w:val="22"/>
        </w:rPr>
      </w:pPr>
      <w:r w:rsidRPr="00FD3147">
        <w:rPr>
          <w:sz w:val="22"/>
          <w:szCs w:val="22"/>
        </w:rPr>
        <w:t xml:space="preserve">The value of the Place element has </w:t>
      </w:r>
      <w:r>
        <w:rPr>
          <w:sz w:val="22"/>
          <w:szCs w:val="22"/>
        </w:rPr>
        <w:t xml:space="preserve">now </w:t>
      </w:r>
      <w:r w:rsidRPr="00FD3147">
        <w:rPr>
          <w:sz w:val="22"/>
          <w:szCs w:val="22"/>
        </w:rPr>
        <w:t xml:space="preserve">been set, by the DfE, </w:t>
      </w:r>
      <w:r>
        <w:rPr>
          <w:sz w:val="22"/>
          <w:szCs w:val="22"/>
        </w:rPr>
        <w:t xml:space="preserve">at </w:t>
      </w:r>
      <w:r w:rsidRPr="00FD3147">
        <w:rPr>
          <w:sz w:val="22"/>
          <w:szCs w:val="22"/>
        </w:rPr>
        <w:t>£10,000</w:t>
      </w:r>
      <w:r>
        <w:rPr>
          <w:sz w:val="22"/>
          <w:szCs w:val="22"/>
        </w:rPr>
        <w:t>, but previously was set at £8,000</w:t>
      </w:r>
      <w:r w:rsidRPr="00FD3147">
        <w:rPr>
          <w:sz w:val="22"/>
          <w:szCs w:val="22"/>
        </w:rPr>
        <w:t xml:space="preserve">. As a consequence, </w:t>
      </w:r>
      <w:r>
        <w:rPr>
          <w:sz w:val="22"/>
          <w:szCs w:val="22"/>
        </w:rPr>
        <w:t xml:space="preserve">an </w:t>
      </w:r>
      <w:r w:rsidRPr="00FD3147">
        <w:rPr>
          <w:sz w:val="22"/>
          <w:szCs w:val="22"/>
        </w:rPr>
        <w:t xml:space="preserve">additional setting factor </w:t>
      </w:r>
      <w:r>
        <w:rPr>
          <w:sz w:val="22"/>
          <w:szCs w:val="22"/>
        </w:rPr>
        <w:t xml:space="preserve">is </w:t>
      </w:r>
      <w:r w:rsidRPr="00FD3147">
        <w:rPr>
          <w:sz w:val="22"/>
          <w:szCs w:val="22"/>
        </w:rPr>
        <w:t xml:space="preserve">included, </w:t>
      </w:r>
      <w:r>
        <w:rPr>
          <w:sz w:val="22"/>
          <w:szCs w:val="22"/>
        </w:rPr>
        <w:t>which removes the £2,000 additional funding per place, so that the impact of the</w:t>
      </w:r>
      <w:r w:rsidR="008A37DE">
        <w:rPr>
          <w:sz w:val="22"/>
          <w:szCs w:val="22"/>
        </w:rPr>
        <w:t xml:space="preserve"> DfE’s directed</w:t>
      </w:r>
      <w:r>
        <w:rPr>
          <w:sz w:val="22"/>
          <w:szCs w:val="22"/>
        </w:rPr>
        <w:t xml:space="preserve"> change t</w:t>
      </w:r>
      <w:r w:rsidR="008A37DE">
        <w:rPr>
          <w:sz w:val="22"/>
          <w:szCs w:val="22"/>
        </w:rPr>
        <w:t>o £10,000 is neutral. T</w:t>
      </w:r>
      <w:r>
        <w:rPr>
          <w:sz w:val="22"/>
          <w:szCs w:val="22"/>
        </w:rPr>
        <w:t>his adjustment is not applied to</w:t>
      </w:r>
      <w:r w:rsidRPr="00FD3147">
        <w:rPr>
          <w:sz w:val="22"/>
          <w:szCs w:val="22"/>
        </w:rPr>
        <w:t xml:space="preserve"> </w:t>
      </w:r>
      <w:r>
        <w:rPr>
          <w:sz w:val="22"/>
          <w:szCs w:val="22"/>
        </w:rPr>
        <w:t>the 5 SEN places at the Phoenix Centre.</w:t>
      </w:r>
    </w:p>
    <w:p w:rsidR="00974B7A" w:rsidRPr="00974B7A" w:rsidRDefault="00974B7A" w:rsidP="00974B7A">
      <w:pPr>
        <w:jc w:val="both"/>
        <w:rPr>
          <w:sz w:val="22"/>
          <w:szCs w:val="22"/>
        </w:rPr>
      </w:pPr>
    </w:p>
    <w:p w:rsidR="00D00C2F" w:rsidRDefault="00D00C2F" w:rsidP="00D00C2F">
      <w:pPr>
        <w:pStyle w:val="ListParagraph"/>
        <w:numPr>
          <w:ilvl w:val="0"/>
          <w:numId w:val="23"/>
        </w:numPr>
        <w:jc w:val="both"/>
        <w:rPr>
          <w:sz w:val="22"/>
          <w:szCs w:val="22"/>
        </w:rPr>
      </w:pPr>
      <w:r w:rsidRPr="00D00C2F">
        <w:rPr>
          <w:sz w:val="22"/>
          <w:szCs w:val="22"/>
        </w:rPr>
        <w:t xml:space="preserve">For </w:t>
      </w:r>
      <w:smartTag w:uri="urn:schemas-microsoft-com:office:smarttags" w:element="stockticker">
        <w:r w:rsidRPr="00D00C2F">
          <w:rPr>
            <w:sz w:val="22"/>
            <w:szCs w:val="22"/>
          </w:rPr>
          <w:t>SEN</w:t>
        </w:r>
      </w:smartTag>
      <w:r w:rsidRPr="00D00C2F">
        <w:rPr>
          <w:sz w:val="22"/>
          <w:szCs w:val="22"/>
        </w:rPr>
        <w:t xml:space="preserve"> placements (at Phoenix Centre), p</w:t>
      </w:r>
      <w:r>
        <w:rPr>
          <w:sz w:val="22"/>
          <w:szCs w:val="22"/>
        </w:rPr>
        <w:t xml:space="preserve">upil need </w:t>
      </w:r>
      <w:r w:rsidR="007D2E20">
        <w:rPr>
          <w:sz w:val="22"/>
          <w:szCs w:val="22"/>
        </w:rPr>
        <w:t>is</w:t>
      </w:r>
      <w:r w:rsidRPr="00D00C2F">
        <w:rPr>
          <w:sz w:val="22"/>
          <w:szCs w:val="22"/>
        </w:rPr>
        <w:t xml:space="preserve"> identified and mode</w:t>
      </w:r>
      <w:r>
        <w:rPr>
          <w:sz w:val="22"/>
          <w:szCs w:val="22"/>
        </w:rPr>
        <w:t>rated as outlined in paragraph 4</w:t>
      </w:r>
      <w:r w:rsidR="007D2E20">
        <w:rPr>
          <w:sz w:val="22"/>
          <w:szCs w:val="22"/>
        </w:rPr>
        <w:t>.2</w:t>
      </w:r>
      <w:r w:rsidRPr="00D00C2F">
        <w:rPr>
          <w:sz w:val="22"/>
          <w:szCs w:val="22"/>
        </w:rPr>
        <w:t>. For all other behaviour placements, recognising the short term intensive nature of provision for children that do not necessarily have Statements, the sam</w:t>
      </w:r>
      <w:r>
        <w:rPr>
          <w:sz w:val="22"/>
          <w:szCs w:val="22"/>
        </w:rPr>
        <w:t>e formulaic approach as used</w:t>
      </w:r>
      <w:r w:rsidRPr="00D00C2F">
        <w:rPr>
          <w:sz w:val="22"/>
          <w:szCs w:val="22"/>
        </w:rPr>
        <w:t xml:space="preserve"> for the Central PRU</w:t>
      </w:r>
      <w:r>
        <w:rPr>
          <w:sz w:val="22"/>
          <w:szCs w:val="22"/>
        </w:rPr>
        <w:t xml:space="preserve"> </w:t>
      </w:r>
      <w:r w:rsidR="007D2E20">
        <w:rPr>
          <w:sz w:val="22"/>
          <w:szCs w:val="22"/>
        </w:rPr>
        <w:t>is</w:t>
      </w:r>
      <w:r>
        <w:rPr>
          <w:sz w:val="22"/>
          <w:szCs w:val="22"/>
        </w:rPr>
        <w:t xml:space="preserve"> employed</w:t>
      </w:r>
      <w:r w:rsidRPr="00D00C2F">
        <w:rPr>
          <w:sz w:val="22"/>
          <w:szCs w:val="22"/>
        </w:rPr>
        <w:t>; 50% of pupils funded at Range 4D and 50% of pupils funded at Range 5</w:t>
      </w:r>
      <w:r>
        <w:rPr>
          <w:sz w:val="22"/>
          <w:szCs w:val="22"/>
        </w:rPr>
        <w:t xml:space="preserve"> on a monthly basis.</w:t>
      </w:r>
    </w:p>
    <w:p w:rsidR="00D00C2F" w:rsidRDefault="00D00C2F" w:rsidP="00D00C2F">
      <w:pPr>
        <w:pStyle w:val="ListParagraph"/>
        <w:jc w:val="both"/>
        <w:rPr>
          <w:sz w:val="22"/>
          <w:szCs w:val="22"/>
        </w:rPr>
      </w:pPr>
    </w:p>
    <w:p w:rsidR="009D7B79" w:rsidRPr="009D7B79" w:rsidRDefault="00580058" w:rsidP="009D7B79">
      <w:pPr>
        <w:numPr>
          <w:ilvl w:val="0"/>
          <w:numId w:val="23"/>
        </w:numPr>
        <w:jc w:val="both"/>
        <w:rPr>
          <w:sz w:val="22"/>
          <w:szCs w:val="22"/>
        </w:rPr>
      </w:pPr>
      <w:r>
        <w:rPr>
          <w:sz w:val="22"/>
          <w:szCs w:val="22"/>
        </w:rPr>
        <w:t>Like other resourced provision</w:t>
      </w:r>
      <w:r w:rsidR="008A37DE">
        <w:rPr>
          <w:sz w:val="22"/>
          <w:szCs w:val="22"/>
        </w:rPr>
        <w:t>s</w:t>
      </w:r>
      <w:r>
        <w:rPr>
          <w:sz w:val="22"/>
          <w:szCs w:val="22"/>
        </w:rPr>
        <w:t xml:space="preserve">, the Behaviour Centres </w:t>
      </w:r>
      <w:r w:rsidRPr="006F1DF0">
        <w:rPr>
          <w:sz w:val="22"/>
          <w:szCs w:val="22"/>
        </w:rPr>
        <w:t xml:space="preserve">are </w:t>
      </w:r>
      <w:r>
        <w:rPr>
          <w:sz w:val="22"/>
          <w:szCs w:val="22"/>
        </w:rPr>
        <w:t xml:space="preserve">not </w:t>
      </w:r>
      <w:r w:rsidRPr="006F1DF0">
        <w:rPr>
          <w:sz w:val="22"/>
          <w:szCs w:val="22"/>
        </w:rPr>
        <w:t xml:space="preserve">stand alone units. As such, it is not applicable to apply all the setting-need based factors that are included within the special school and the </w:t>
      </w:r>
      <w:smartTag w:uri="urn:schemas-microsoft-com:office:smarttags" w:element="stockticker">
        <w:r w:rsidRPr="006F1DF0">
          <w:rPr>
            <w:sz w:val="22"/>
            <w:szCs w:val="22"/>
          </w:rPr>
          <w:t>PRU</w:t>
        </w:r>
      </w:smartTag>
      <w:r w:rsidRPr="006F1DF0">
        <w:rPr>
          <w:sz w:val="22"/>
          <w:szCs w:val="22"/>
        </w:rPr>
        <w:t xml:space="preserve"> funding models. The </w:t>
      </w:r>
      <w:r w:rsidR="007D2E20">
        <w:rPr>
          <w:sz w:val="22"/>
          <w:szCs w:val="22"/>
        </w:rPr>
        <w:t>only setting need based factors</w:t>
      </w:r>
      <w:r w:rsidRPr="006F1DF0">
        <w:rPr>
          <w:sz w:val="22"/>
          <w:szCs w:val="22"/>
        </w:rPr>
        <w:t xml:space="preserve"> that </w:t>
      </w:r>
      <w:r>
        <w:rPr>
          <w:sz w:val="22"/>
          <w:szCs w:val="22"/>
        </w:rPr>
        <w:t>have been</w:t>
      </w:r>
      <w:r w:rsidRPr="006F1DF0">
        <w:rPr>
          <w:sz w:val="22"/>
          <w:szCs w:val="22"/>
        </w:rPr>
        <w:t xml:space="preserve"> included within the calculation of Plus</w:t>
      </w:r>
      <w:r w:rsidR="007D2E20">
        <w:rPr>
          <w:sz w:val="22"/>
          <w:szCs w:val="22"/>
        </w:rPr>
        <w:t xml:space="preserve"> funding for the Centres in 2015/16</w:t>
      </w:r>
      <w:r w:rsidRPr="006F1DF0">
        <w:rPr>
          <w:sz w:val="22"/>
          <w:szCs w:val="22"/>
        </w:rPr>
        <w:t xml:space="preserve"> </w:t>
      </w:r>
      <w:r w:rsidR="009D7B79">
        <w:rPr>
          <w:sz w:val="22"/>
          <w:szCs w:val="22"/>
        </w:rPr>
        <w:t>are t</w:t>
      </w:r>
      <w:r w:rsidR="008D61CF">
        <w:rPr>
          <w:sz w:val="22"/>
          <w:szCs w:val="22"/>
        </w:rPr>
        <w:t>he C</w:t>
      </w:r>
      <w:r w:rsidR="009D7B79" w:rsidRPr="009D7B79">
        <w:rPr>
          <w:sz w:val="22"/>
          <w:szCs w:val="22"/>
        </w:rPr>
        <w:t>hurn factor (as per</w:t>
      </w:r>
      <w:r w:rsidRPr="009D7B79">
        <w:rPr>
          <w:sz w:val="22"/>
          <w:szCs w:val="22"/>
        </w:rPr>
        <w:t xml:space="preserve"> Central PRU</w:t>
      </w:r>
      <w:r w:rsidR="009D7B79" w:rsidRPr="009D7B79">
        <w:rPr>
          <w:sz w:val="22"/>
          <w:szCs w:val="22"/>
        </w:rPr>
        <w:t xml:space="preserve"> above</w:t>
      </w:r>
      <w:r w:rsidR="009D7B79">
        <w:rPr>
          <w:sz w:val="22"/>
          <w:szCs w:val="22"/>
        </w:rPr>
        <w:t xml:space="preserve"> and</w:t>
      </w:r>
      <w:r w:rsidRPr="009D7B79">
        <w:rPr>
          <w:sz w:val="22"/>
          <w:szCs w:val="22"/>
        </w:rPr>
        <w:t xml:space="preserve"> calculated on the same basis</w:t>
      </w:r>
      <w:r w:rsidR="009D7B79">
        <w:rPr>
          <w:sz w:val="22"/>
          <w:szCs w:val="22"/>
        </w:rPr>
        <w:t>),</w:t>
      </w:r>
      <w:r w:rsidR="007D2E20">
        <w:rPr>
          <w:sz w:val="22"/>
          <w:szCs w:val="22"/>
        </w:rPr>
        <w:t xml:space="preserve"> and</w:t>
      </w:r>
      <w:r w:rsidR="009D7B79">
        <w:rPr>
          <w:sz w:val="22"/>
          <w:szCs w:val="22"/>
        </w:rPr>
        <w:t xml:space="preserve"> t</w:t>
      </w:r>
      <w:r w:rsidR="007D2E20">
        <w:rPr>
          <w:sz w:val="22"/>
          <w:szCs w:val="22"/>
        </w:rPr>
        <w:t>he 2014/15</w:t>
      </w:r>
      <w:r w:rsidR="009D7B79" w:rsidRPr="009D7B79">
        <w:rPr>
          <w:sz w:val="22"/>
          <w:szCs w:val="22"/>
        </w:rPr>
        <w:t xml:space="preserve"> Budget P</w:t>
      </w:r>
      <w:r w:rsidR="007D2E20">
        <w:rPr>
          <w:sz w:val="22"/>
          <w:szCs w:val="22"/>
        </w:rPr>
        <w:t>rotection factor (which is only in place for the period of primary behaviour support review)</w:t>
      </w:r>
      <w:r w:rsidR="009D7B79">
        <w:rPr>
          <w:sz w:val="22"/>
          <w:szCs w:val="22"/>
        </w:rPr>
        <w:t>.</w:t>
      </w:r>
    </w:p>
    <w:p w:rsidR="00D00C2F" w:rsidRPr="00D00C2F" w:rsidRDefault="00D00C2F" w:rsidP="00580058">
      <w:pPr>
        <w:pStyle w:val="ListParagraph"/>
        <w:jc w:val="both"/>
        <w:rPr>
          <w:sz w:val="22"/>
          <w:szCs w:val="22"/>
        </w:rPr>
      </w:pPr>
    </w:p>
    <w:p w:rsidR="00BD78C2" w:rsidRPr="008B4054" w:rsidRDefault="008A37DE" w:rsidP="00C15FE5">
      <w:pPr>
        <w:jc w:val="both"/>
        <w:rPr>
          <w:color w:val="000000" w:themeColor="text1"/>
          <w:sz w:val="22"/>
          <w:szCs w:val="22"/>
        </w:rPr>
      </w:pPr>
      <w:r w:rsidRPr="008B4054">
        <w:rPr>
          <w:color w:val="000000" w:themeColor="text1"/>
          <w:sz w:val="22"/>
          <w:szCs w:val="22"/>
        </w:rPr>
        <w:t>4.18</w:t>
      </w:r>
      <w:r w:rsidR="00BD78C2" w:rsidRPr="008B4054">
        <w:rPr>
          <w:color w:val="000000" w:themeColor="text1"/>
          <w:sz w:val="22"/>
          <w:szCs w:val="22"/>
        </w:rPr>
        <w:t xml:space="preserve"> </w:t>
      </w:r>
      <w:r w:rsidRPr="008B4054">
        <w:rPr>
          <w:color w:val="000000" w:themeColor="text1"/>
          <w:sz w:val="22"/>
          <w:szCs w:val="22"/>
        </w:rPr>
        <w:t>An interim funding model is being used in 2015/16 for the funding of Early Years Children’s Centre Plus provision, as a review of this provision takes shape. This interim model applies the established principles of Place-Plus, setting the number of places on expected occupancy, funding all places at Range 4D, and including an additional allocation in response to estimated setting-based costs. The model will continue to be developed as the review of this provision takes shape.</w:t>
      </w:r>
    </w:p>
    <w:p w:rsidR="00BD78C2" w:rsidRDefault="00BD78C2" w:rsidP="00C15FE5">
      <w:pPr>
        <w:jc w:val="both"/>
        <w:rPr>
          <w:sz w:val="22"/>
          <w:szCs w:val="22"/>
        </w:rPr>
      </w:pPr>
    </w:p>
    <w:p w:rsidR="00C15FE5" w:rsidRDefault="008A37DE" w:rsidP="00C15FE5">
      <w:pPr>
        <w:jc w:val="both"/>
        <w:rPr>
          <w:sz w:val="22"/>
          <w:szCs w:val="22"/>
        </w:rPr>
      </w:pPr>
      <w:r>
        <w:rPr>
          <w:sz w:val="22"/>
          <w:szCs w:val="22"/>
        </w:rPr>
        <w:t>4.19</w:t>
      </w:r>
      <w:r w:rsidR="003F7CD2" w:rsidRPr="00BD112A">
        <w:rPr>
          <w:sz w:val="22"/>
          <w:szCs w:val="22"/>
        </w:rPr>
        <w:t xml:space="preserve"> A separate process has been followed to calculate allocations for placements in Post </w:t>
      </w:r>
      <w:r w:rsidR="00253ABC" w:rsidRPr="00BD112A">
        <w:rPr>
          <w:sz w:val="22"/>
          <w:szCs w:val="22"/>
        </w:rPr>
        <w:t xml:space="preserve">16 Further Education Settings. </w:t>
      </w:r>
      <w:r>
        <w:rPr>
          <w:sz w:val="22"/>
          <w:szCs w:val="22"/>
        </w:rPr>
        <w:t>A new approach is being implemented for the 2015/16 academic year, based on Place-Plus principles and the 7 Ranges model. This is further explained in paragrap</w:t>
      </w:r>
      <w:r w:rsidR="00E119DE">
        <w:rPr>
          <w:sz w:val="22"/>
          <w:szCs w:val="22"/>
        </w:rPr>
        <w:t>h 6</w:t>
      </w:r>
      <w:r>
        <w:rPr>
          <w:color w:val="FF0000"/>
          <w:sz w:val="22"/>
          <w:szCs w:val="22"/>
        </w:rPr>
        <w:t>.</w:t>
      </w:r>
    </w:p>
    <w:p w:rsidR="00BD112A" w:rsidRDefault="00BD112A" w:rsidP="00C15FE5">
      <w:pPr>
        <w:jc w:val="both"/>
        <w:rPr>
          <w:sz w:val="22"/>
          <w:szCs w:val="22"/>
        </w:rPr>
      </w:pPr>
    </w:p>
    <w:p w:rsidR="00DD2927" w:rsidRDefault="009F2D68" w:rsidP="00B90B15">
      <w:pPr>
        <w:jc w:val="both"/>
        <w:rPr>
          <w:sz w:val="22"/>
          <w:szCs w:val="22"/>
        </w:rPr>
      </w:pPr>
      <w:r>
        <w:rPr>
          <w:sz w:val="22"/>
          <w:szCs w:val="22"/>
        </w:rPr>
        <w:t>4.2</w:t>
      </w:r>
      <w:r w:rsidR="00AC39CD">
        <w:rPr>
          <w:sz w:val="22"/>
          <w:szCs w:val="22"/>
        </w:rPr>
        <w:t>0</w:t>
      </w:r>
      <w:r w:rsidR="005D5C11">
        <w:rPr>
          <w:sz w:val="22"/>
          <w:szCs w:val="22"/>
        </w:rPr>
        <w:t xml:space="preserve"> </w:t>
      </w:r>
      <w:r w:rsidR="00FE0A9C">
        <w:rPr>
          <w:sz w:val="22"/>
          <w:szCs w:val="22"/>
        </w:rPr>
        <w:t xml:space="preserve">The funding for </w:t>
      </w:r>
      <w:r w:rsidR="00DD2927">
        <w:rPr>
          <w:sz w:val="22"/>
          <w:szCs w:val="22"/>
        </w:rPr>
        <w:t>Education in Hospital</w:t>
      </w:r>
      <w:r w:rsidR="00AC39CD">
        <w:rPr>
          <w:sz w:val="22"/>
          <w:szCs w:val="22"/>
        </w:rPr>
        <w:t xml:space="preserve"> in 2015/16</w:t>
      </w:r>
      <w:r w:rsidR="00FE0A9C">
        <w:rPr>
          <w:sz w:val="22"/>
          <w:szCs w:val="22"/>
        </w:rPr>
        <w:t xml:space="preserve"> is allocated to local authorities outside of the DSG, based on a national formula, with the requirement that local authorities continue the same amo</w:t>
      </w:r>
      <w:r w:rsidR="00AC39CD">
        <w:rPr>
          <w:sz w:val="22"/>
          <w:szCs w:val="22"/>
        </w:rPr>
        <w:t>unt per place funding as in 2014/15</w:t>
      </w:r>
      <w:r w:rsidR="00FE0A9C">
        <w:rPr>
          <w:sz w:val="22"/>
          <w:szCs w:val="22"/>
        </w:rPr>
        <w:t xml:space="preserve"> (which for Bradford is £18,000 per place). </w:t>
      </w:r>
      <w:r w:rsidR="00680B3A">
        <w:rPr>
          <w:sz w:val="22"/>
          <w:szCs w:val="22"/>
        </w:rPr>
        <w:t>As such, the Place-Plus framework is not fully applicable. This is a pragmatic</w:t>
      </w:r>
      <w:r w:rsidR="00EC4C05">
        <w:rPr>
          <w:sz w:val="22"/>
          <w:szCs w:val="22"/>
        </w:rPr>
        <w:t>,</w:t>
      </w:r>
      <w:r w:rsidR="00680B3A">
        <w:rPr>
          <w:sz w:val="22"/>
          <w:szCs w:val="22"/>
        </w:rPr>
        <w:t xml:space="preserve"> short term funding approach, in place until a longer term solution can be developed.</w:t>
      </w:r>
    </w:p>
    <w:p w:rsidR="00307E43" w:rsidRDefault="00307E43" w:rsidP="00307E43">
      <w:pPr>
        <w:jc w:val="both"/>
        <w:rPr>
          <w:sz w:val="22"/>
          <w:szCs w:val="22"/>
        </w:rPr>
      </w:pPr>
    </w:p>
    <w:p w:rsidR="007D1694" w:rsidRDefault="009F2D68" w:rsidP="007D1694">
      <w:pPr>
        <w:jc w:val="both"/>
        <w:rPr>
          <w:sz w:val="22"/>
          <w:szCs w:val="22"/>
        </w:rPr>
      </w:pPr>
      <w:r>
        <w:rPr>
          <w:sz w:val="22"/>
          <w:szCs w:val="22"/>
        </w:rPr>
        <w:t>4.2</w:t>
      </w:r>
      <w:r w:rsidR="00AC39CD">
        <w:rPr>
          <w:sz w:val="22"/>
          <w:szCs w:val="22"/>
        </w:rPr>
        <w:t xml:space="preserve">1 </w:t>
      </w:r>
      <w:r w:rsidR="007D1694">
        <w:rPr>
          <w:sz w:val="22"/>
          <w:szCs w:val="22"/>
        </w:rPr>
        <w:t xml:space="preserve">The new Place-Plus framework for the funding of children with </w:t>
      </w:r>
      <w:smartTag w:uri="urn:schemas-microsoft-com:office:smarttags" w:element="stockticker">
        <w:r w:rsidR="007D1694">
          <w:rPr>
            <w:sz w:val="22"/>
            <w:szCs w:val="22"/>
          </w:rPr>
          <w:t>SEN</w:t>
        </w:r>
      </w:smartTag>
      <w:r w:rsidR="007D1694">
        <w:rPr>
          <w:sz w:val="22"/>
          <w:szCs w:val="22"/>
        </w:rPr>
        <w:t xml:space="preserve"> in mainstream Primary and Secondary schools / academies </w:t>
      </w:r>
      <w:r w:rsidR="007279F4">
        <w:rPr>
          <w:sz w:val="22"/>
          <w:szCs w:val="22"/>
        </w:rPr>
        <w:t>mainstream</w:t>
      </w:r>
      <w:r w:rsidR="00AC39CD">
        <w:rPr>
          <w:sz w:val="22"/>
          <w:szCs w:val="22"/>
        </w:rPr>
        <w:t xml:space="preserve"> has been applied in 2015/16</w:t>
      </w:r>
      <w:r w:rsidR="007D1694">
        <w:rPr>
          <w:sz w:val="22"/>
          <w:szCs w:val="22"/>
        </w:rPr>
        <w:t xml:space="preserve"> as follows. This approach has not been significantly differ</w:t>
      </w:r>
      <w:r w:rsidR="00FE774E">
        <w:rPr>
          <w:sz w:val="22"/>
          <w:szCs w:val="22"/>
        </w:rPr>
        <w:t>ent from our approach</w:t>
      </w:r>
      <w:r w:rsidR="007D1694">
        <w:rPr>
          <w:sz w:val="22"/>
          <w:szCs w:val="22"/>
        </w:rPr>
        <w:t xml:space="preserve"> prior to </w:t>
      </w:r>
      <w:r w:rsidR="00AC39CD">
        <w:rPr>
          <w:sz w:val="22"/>
          <w:szCs w:val="22"/>
        </w:rPr>
        <w:t>1 April 2013</w:t>
      </w:r>
      <w:r w:rsidR="007D1694">
        <w:rPr>
          <w:sz w:val="22"/>
          <w:szCs w:val="22"/>
        </w:rPr>
        <w:t xml:space="preserve">. </w:t>
      </w:r>
    </w:p>
    <w:p w:rsidR="00337617" w:rsidRDefault="00CE576C" w:rsidP="00C1738E">
      <w:pPr>
        <w:numPr>
          <w:ilvl w:val="0"/>
          <w:numId w:val="8"/>
        </w:numPr>
        <w:jc w:val="both"/>
        <w:rPr>
          <w:sz w:val="22"/>
          <w:szCs w:val="22"/>
        </w:rPr>
      </w:pPr>
      <w:r w:rsidRPr="00337617">
        <w:rPr>
          <w:sz w:val="22"/>
          <w:szCs w:val="22"/>
        </w:rPr>
        <w:t>The vast majority of funding</w:t>
      </w:r>
      <w:r w:rsidR="00FE774E" w:rsidRPr="00337617">
        <w:rPr>
          <w:sz w:val="22"/>
          <w:szCs w:val="22"/>
        </w:rPr>
        <w:t>, which supports</w:t>
      </w:r>
      <w:r w:rsidRPr="00337617">
        <w:rPr>
          <w:sz w:val="22"/>
          <w:szCs w:val="22"/>
        </w:rPr>
        <w:t xml:space="preserve"> the costs of children at School Action, School Action Plus and with Statements</w:t>
      </w:r>
      <w:r w:rsidR="00FE774E" w:rsidRPr="00337617">
        <w:rPr>
          <w:sz w:val="22"/>
          <w:szCs w:val="22"/>
        </w:rPr>
        <w:t>,</w:t>
      </w:r>
      <w:r w:rsidRPr="00337617">
        <w:rPr>
          <w:sz w:val="22"/>
          <w:szCs w:val="22"/>
        </w:rPr>
        <w:t xml:space="preserve"> is allocated to schools / academies through the </w:t>
      </w:r>
      <w:smartTag w:uri="urn:schemas-microsoft-com:office:smarttags" w:element="stockticker">
        <w:r w:rsidRPr="00337617">
          <w:rPr>
            <w:sz w:val="22"/>
            <w:szCs w:val="22"/>
          </w:rPr>
          <w:t>SEN</w:t>
        </w:r>
      </w:smartTag>
      <w:r w:rsidRPr="00337617">
        <w:rPr>
          <w:sz w:val="22"/>
          <w:szCs w:val="22"/>
        </w:rPr>
        <w:t xml:space="preserve"> funding formulae – calculated on low prior attainment, </w:t>
      </w:r>
      <w:smartTag w:uri="urn:schemas-microsoft-com:office:smarttags" w:element="stockticker">
        <w:r w:rsidRPr="00337617">
          <w:rPr>
            <w:sz w:val="22"/>
            <w:szCs w:val="22"/>
          </w:rPr>
          <w:t>FSM</w:t>
        </w:r>
      </w:smartTag>
      <w:r w:rsidRPr="00337617">
        <w:rPr>
          <w:sz w:val="22"/>
          <w:szCs w:val="22"/>
        </w:rPr>
        <w:t xml:space="preserve"> and IDACI. This funding is allocated to schools / academies within their ov</w:t>
      </w:r>
      <w:r w:rsidR="00FE774E" w:rsidRPr="00337617">
        <w:rPr>
          <w:sz w:val="22"/>
          <w:szCs w:val="22"/>
        </w:rPr>
        <w:t>erall funding allocations at</w:t>
      </w:r>
      <w:r w:rsidRPr="00337617">
        <w:rPr>
          <w:sz w:val="22"/>
          <w:szCs w:val="22"/>
        </w:rPr>
        <w:t xml:space="preserve"> the start of the financial year. This is a separately identified amount on budget statements. The expectation then is that schools / academies will meet the vast maj</w:t>
      </w:r>
      <w:r w:rsidR="00FE774E" w:rsidRPr="00337617">
        <w:rPr>
          <w:sz w:val="22"/>
          <w:szCs w:val="22"/>
        </w:rPr>
        <w:t>ority of the costs of support for</w:t>
      </w:r>
      <w:r w:rsidRPr="00337617">
        <w:rPr>
          <w:sz w:val="22"/>
          <w:szCs w:val="22"/>
        </w:rPr>
        <w:t xml:space="preserve"> children with additional needs from </w:t>
      </w:r>
      <w:r w:rsidR="00FE774E" w:rsidRPr="00337617">
        <w:rPr>
          <w:sz w:val="22"/>
          <w:szCs w:val="22"/>
        </w:rPr>
        <w:t>these resources</w:t>
      </w:r>
      <w:r w:rsidR="00337617">
        <w:rPr>
          <w:sz w:val="22"/>
          <w:szCs w:val="22"/>
        </w:rPr>
        <w:t>.</w:t>
      </w:r>
    </w:p>
    <w:p w:rsidR="00AC39CD" w:rsidRDefault="00AC39CD" w:rsidP="00AC39CD">
      <w:pPr>
        <w:ind w:left="720"/>
        <w:jc w:val="both"/>
        <w:rPr>
          <w:sz w:val="22"/>
          <w:szCs w:val="22"/>
        </w:rPr>
      </w:pPr>
    </w:p>
    <w:p w:rsidR="00337617" w:rsidRDefault="00CE576C" w:rsidP="00C1738E">
      <w:pPr>
        <w:numPr>
          <w:ilvl w:val="0"/>
          <w:numId w:val="8"/>
        </w:numPr>
        <w:jc w:val="both"/>
        <w:rPr>
          <w:sz w:val="22"/>
          <w:szCs w:val="22"/>
        </w:rPr>
      </w:pPr>
      <w:r w:rsidRPr="00337617">
        <w:rPr>
          <w:sz w:val="22"/>
          <w:szCs w:val="22"/>
        </w:rPr>
        <w:t>For children with Statements, a threshold has been established, at a value</w:t>
      </w:r>
      <w:r w:rsidR="001B2920" w:rsidRPr="00337617">
        <w:rPr>
          <w:sz w:val="22"/>
          <w:szCs w:val="22"/>
        </w:rPr>
        <w:t xml:space="preserve"> of</w:t>
      </w:r>
      <w:r w:rsidRPr="00337617">
        <w:rPr>
          <w:sz w:val="22"/>
          <w:szCs w:val="22"/>
        </w:rPr>
        <w:t xml:space="preserve"> £6,000. For all children with Statements, the first £6,000 is allocated within the </w:t>
      </w:r>
      <w:smartTag w:uri="urn:schemas-microsoft-com:office:smarttags" w:element="stockticker">
        <w:r w:rsidRPr="00337617">
          <w:rPr>
            <w:sz w:val="22"/>
            <w:szCs w:val="22"/>
          </w:rPr>
          <w:t>SEN</w:t>
        </w:r>
      </w:smartTag>
      <w:r w:rsidRPr="00337617">
        <w:rPr>
          <w:sz w:val="22"/>
          <w:szCs w:val="22"/>
        </w:rPr>
        <w:t xml:space="preserve"> formulae and the school / academy meets this proportion from thei</w:t>
      </w:r>
      <w:r w:rsidR="001B2920" w:rsidRPr="00337617">
        <w:rPr>
          <w:sz w:val="22"/>
          <w:szCs w:val="22"/>
        </w:rPr>
        <w:t>r identified funding allocation</w:t>
      </w:r>
      <w:r w:rsidR="00337617">
        <w:rPr>
          <w:sz w:val="22"/>
          <w:szCs w:val="22"/>
        </w:rPr>
        <w:t>.</w:t>
      </w:r>
    </w:p>
    <w:p w:rsidR="00CE576C" w:rsidRPr="00337617" w:rsidRDefault="00CE576C" w:rsidP="00337617">
      <w:pPr>
        <w:ind w:left="720"/>
        <w:jc w:val="both"/>
        <w:rPr>
          <w:sz w:val="22"/>
          <w:szCs w:val="22"/>
        </w:rPr>
      </w:pPr>
      <w:r w:rsidRPr="00337617">
        <w:rPr>
          <w:sz w:val="22"/>
          <w:szCs w:val="22"/>
        </w:rPr>
        <w:t xml:space="preserve"> </w:t>
      </w:r>
    </w:p>
    <w:p w:rsidR="00CE576C" w:rsidRDefault="00CE576C" w:rsidP="00C1738E">
      <w:pPr>
        <w:numPr>
          <w:ilvl w:val="0"/>
          <w:numId w:val="8"/>
        </w:numPr>
        <w:jc w:val="both"/>
        <w:rPr>
          <w:sz w:val="22"/>
          <w:szCs w:val="22"/>
        </w:rPr>
      </w:pPr>
      <w:r>
        <w:rPr>
          <w:sz w:val="22"/>
          <w:szCs w:val="22"/>
        </w:rPr>
        <w:t>For Statements with a value greater than £6,000, the balance between the full cost of the Statement</w:t>
      </w:r>
      <w:r w:rsidR="00FE774E">
        <w:rPr>
          <w:sz w:val="22"/>
          <w:szCs w:val="22"/>
        </w:rPr>
        <w:t xml:space="preserve"> (calculated using the established 7 Ranges Model) and the £6,000 threshold </w:t>
      </w:r>
      <w:r>
        <w:rPr>
          <w:sz w:val="22"/>
          <w:szCs w:val="22"/>
        </w:rPr>
        <w:t>is allocated by the Local Authority as a separate individual amount, re-calculated on a monthly basis for the movement of pupils</w:t>
      </w:r>
      <w:r w:rsidR="00337617">
        <w:rPr>
          <w:sz w:val="22"/>
          <w:szCs w:val="22"/>
        </w:rPr>
        <w:t>.</w:t>
      </w:r>
    </w:p>
    <w:p w:rsidR="00337617" w:rsidRDefault="00337617" w:rsidP="00337617">
      <w:pPr>
        <w:jc w:val="both"/>
        <w:rPr>
          <w:sz w:val="22"/>
          <w:szCs w:val="22"/>
        </w:rPr>
      </w:pPr>
    </w:p>
    <w:p w:rsidR="00CE576C" w:rsidRDefault="00CE576C" w:rsidP="00C1738E">
      <w:pPr>
        <w:numPr>
          <w:ilvl w:val="0"/>
          <w:numId w:val="8"/>
        </w:numPr>
        <w:jc w:val="both"/>
        <w:rPr>
          <w:sz w:val="22"/>
          <w:szCs w:val="22"/>
        </w:rPr>
      </w:pPr>
      <w:r>
        <w:rPr>
          <w:sz w:val="22"/>
          <w:szCs w:val="22"/>
        </w:rPr>
        <w:t xml:space="preserve">A separate </w:t>
      </w:r>
      <w:smartTag w:uri="urn:schemas-microsoft-com:office:smarttags" w:element="stockticker">
        <w:r>
          <w:rPr>
            <w:sz w:val="22"/>
            <w:szCs w:val="22"/>
          </w:rPr>
          <w:t>SEN</w:t>
        </w:r>
      </w:smartTag>
      <w:r>
        <w:rPr>
          <w:sz w:val="22"/>
          <w:szCs w:val="22"/>
        </w:rPr>
        <w:t xml:space="preserve"> Floor ensures that all </w:t>
      </w:r>
      <w:r w:rsidR="001B2920">
        <w:rPr>
          <w:sz w:val="22"/>
          <w:szCs w:val="22"/>
        </w:rPr>
        <w:t>mainstream settings</w:t>
      </w:r>
      <w:r>
        <w:rPr>
          <w:sz w:val="22"/>
          <w:szCs w:val="22"/>
        </w:rPr>
        <w:t xml:space="preserve"> receive a minimum amount of </w:t>
      </w:r>
      <w:smartTag w:uri="urn:schemas-microsoft-com:office:smarttags" w:element="stockticker">
        <w:r>
          <w:rPr>
            <w:sz w:val="22"/>
            <w:szCs w:val="22"/>
          </w:rPr>
          <w:t>SEN</w:t>
        </w:r>
      </w:smartTag>
      <w:r>
        <w:rPr>
          <w:sz w:val="22"/>
          <w:szCs w:val="22"/>
        </w:rPr>
        <w:t xml:space="preserve"> formula funding, compared against the value of Statements of children at the school / academy. In effect, the Floor provides a top up for schools / academies with higher numbers of individual Statements at a valu</w:t>
      </w:r>
      <w:r w:rsidR="00493D04">
        <w:rPr>
          <w:sz w:val="22"/>
          <w:szCs w:val="22"/>
        </w:rPr>
        <w:t>e of greater than £6,000 that have</w:t>
      </w:r>
      <w:r>
        <w:rPr>
          <w:sz w:val="22"/>
          <w:szCs w:val="22"/>
        </w:rPr>
        <w:t xml:space="preserve"> lower levels of </w:t>
      </w:r>
      <w:smartTag w:uri="urn:schemas-microsoft-com:office:smarttags" w:element="stockticker">
        <w:r>
          <w:rPr>
            <w:sz w:val="22"/>
            <w:szCs w:val="22"/>
          </w:rPr>
          <w:t>FSM</w:t>
        </w:r>
      </w:smartTag>
      <w:r>
        <w:rPr>
          <w:sz w:val="22"/>
          <w:szCs w:val="22"/>
        </w:rPr>
        <w:t xml:space="preserve"> and IDACI</w:t>
      </w:r>
      <w:r w:rsidR="00455858">
        <w:rPr>
          <w:sz w:val="22"/>
          <w:szCs w:val="22"/>
        </w:rPr>
        <w:t xml:space="preserve">. The </w:t>
      </w:r>
      <w:smartTag w:uri="urn:schemas-microsoft-com:office:smarttags" w:element="stockticker">
        <w:r w:rsidR="00455858">
          <w:rPr>
            <w:sz w:val="22"/>
            <w:szCs w:val="22"/>
          </w:rPr>
          <w:t>SEN</w:t>
        </w:r>
      </w:smartTag>
      <w:r w:rsidR="00455858">
        <w:rPr>
          <w:sz w:val="22"/>
          <w:szCs w:val="22"/>
        </w:rPr>
        <w:t xml:space="preserve"> Floor is re-calculated on a monthly basis as the position of Plus funding changes for the movement of children.</w:t>
      </w:r>
    </w:p>
    <w:p w:rsidR="00337617" w:rsidRDefault="00337617" w:rsidP="00337617">
      <w:pPr>
        <w:jc w:val="both"/>
        <w:rPr>
          <w:sz w:val="22"/>
          <w:szCs w:val="22"/>
        </w:rPr>
      </w:pPr>
    </w:p>
    <w:p w:rsidR="00CE576C" w:rsidRDefault="00CE576C" w:rsidP="00C1738E">
      <w:pPr>
        <w:numPr>
          <w:ilvl w:val="0"/>
          <w:numId w:val="8"/>
        </w:numPr>
        <w:jc w:val="both"/>
        <w:rPr>
          <w:sz w:val="22"/>
          <w:szCs w:val="22"/>
        </w:rPr>
      </w:pPr>
      <w:r>
        <w:rPr>
          <w:sz w:val="22"/>
          <w:szCs w:val="22"/>
        </w:rPr>
        <w:t xml:space="preserve">On top of </w:t>
      </w:r>
      <w:smartTag w:uri="urn:schemas-microsoft-com:office:smarttags" w:element="stockticker">
        <w:r>
          <w:rPr>
            <w:sz w:val="22"/>
            <w:szCs w:val="22"/>
          </w:rPr>
          <w:t>SEN</w:t>
        </w:r>
      </w:smartTag>
      <w:r>
        <w:rPr>
          <w:sz w:val="22"/>
          <w:szCs w:val="22"/>
        </w:rPr>
        <w:t xml:space="preserve"> formula funding, the Local Authority publishes a ‘notional </w:t>
      </w:r>
      <w:smartTag w:uri="urn:schemas-microsoft-com:office:smarttags" w:element="stockticker">
        <w:r>
          <w:rPr>
            <w:sz w:val="22"/>
            <w:szCs w:val="22"/>
          </w:rPr>
          <w:t>SEN</w:t>
        </w:r>
      </w:smartTag>
      <w:r>
        <w:rPr>
          <w:sz w:val="22"/>
          <w:szCs w:val="22"/>
        </w:rPr>
        <w:t>’ figure for each school, which i</w:t>
      </w:r>
      <w:r w:rsidR="00493D04">
        <w:rPr>
          <w:sz w:val="22"/>
          <w:szCs w:val="22"/>
        </w:rPr>
        <w:t xml:space="preserve">dentifies the proportion of delegated resources </w:t>
      </w:r>
      <w:r>
        <w:rPr>
          <w:sz w:val="22"/>
          <w:szCs w:val="22"/>
        </w:rPr>
        <w:t xml:space="preserve">that should be made available to contribute to supporting children with </w:t>
      </w:r>
      <w:smartTag w:uri="urn:schemas-microsoft-com:office:smarttags" w:element="stockticker">
        <w:r>
          <w:rPr>
            <w:sz w:val="22"/>
            <w:szCs w:val="22"/>
          </w:rPr>
          <w:t>SEN</w:t>
        </w:r>
      </w:smartTag>
      <w:r>
        <w:rPr>
          <w:sz w:val="22"/>
          <w:szCs w:val="22"/>
        </w:rPr>
        <w:t>.</w:t>
      </w:r>
    </w:p>
    <w:p w:rsidR="00CE576C" w:rsidRDefault="00CE576C" w:rsidP="0094692E">
      <w:pPr>
        <w:jc w:val="both"/>
        <w:rPr>
          <w:sz w:val="22"/>
          <w:szCs w:val="22"/>
        </w:rPr>
      </w:pPr>
    </w:p>
    <w:p w:rsidR="00414339" w:rsidRDefault="009F2D68" w:rsidP="00414339">
      <w:pPr>
        <w:jc w:val="both"/>
        <w:rPr>
          <w:sz w:val="22"/>
          <w:szCs w:val="22"/>
        </w:rPr>
      </w:pPr>
      <w:r>
        <w:rPr>
          <w:sz w:val="22"/>
          <w:szCs w:val="22"/>
        </w:rPr>
        <w:t>4.2</w:t>
      </w:r>
      <w:r w:rsidR="008B4054">
        <w:rPr>
          <w:sz w:val="22"/>
          <w:szCs w:val="22"/>
        </w:rPr>
        <w:t>2</w:t>
      </w:r>
      <w:r w:rsidR="00A1641A">
        <w:rPr>
          <w:sz w:val="22"/>
          <w:szCs w:val="22"/>
        </w:rPr>
        <w:t xml:space="preserve"> Within th</w:t>
      </w:r>
      <w:r w:rsidR="008B4054">
        <w:rPr>
          <w:sz w:val="22"/>
          <w:szCs w:val="22"/>
        </w:rPr>
        <w:t>e 2015/16</w:t>
      </w:r>
      <w:r w:rsidR="00414339">
        <w:rPr>
          <w:sz w:val="22"/>
          <w:szCs w:val="22"/>
        </w:rPr>
        <w:t xml:space="preserve"> DSG, a number of centrally managed services and strategies have been continued at </w:t>
      </w:r>
      <w:r w:rsidR="00414339" w:rsidRPr="002F6407">
        <w:rPr>
          <w:sz w:val="22"/>
          <w:szCs w:val="22"/>
        </w:rPr>
        <w:t>existing levels. These have not operated according to the Place-Plus framework described</w:t>
      </w:r>
      <w:r w:rsidR="00A1641A">
        <w:rPr>
          <w:sz w:val="22"/>
          <w:szCs w:val="22"/>
        </w:rPr>
        <w:t xml:space="preserve"> above. As stated in paragraph 3</w:t>
      </w:r>
      <w:r w:rsidR="00414339" w:rsidRPr="002F6407">
        <w:rPr>
          <w:sz w:val="22"/>
          <w:szCs w:val="22"/>
        </w:rPr>
        <w:t xml:space="preserve">.2, </w:t>
      </w:r>
      <w:r w:rsidR="00414339" w:rsidRPr="002F6407">
        <w:rPr>
          <w:rFonts w:cs="Arial"/>
          <w:sz w:val="22"/>
          <w:szCs w:val="22"/>
        </w:rPr>
        <w:t>local</w:t>
      </w:r>
      <w:r w:rsidR="00414339">
        <w:rPr>
          <w:rFonts w:cs="Arial"/>
          <w:sz w:val="22"/>
          <w:szCs w:val="22"/>
        </w:rPr>
        <w:t xml:space="preserve"> authorities are permitted to continue to fund separately additional outreach and support services that may be managed centrally or may be devolved to other providers under service level agreements. In Bradford</w:t>
      </w:r>
      <w:r w:rsidR="008B4054">
        <w:rPr>
          <w:rFonts w:cs="Arial"/>
          <w:sz w:val="22"/>
          <w:szCs w:val="22"/>
        </w:rPr>
        <w:t xml:space="preserve"> in 2015/16</w:t>
      </w:r>
      <w:r w:rsidR="00414339">
        <w:rPr>
          <w:rFonts w:cs="Arial"/>
          <w:sz w:val="22"/>
          <w:szCs w:val="22"/>
        </w:rPr>
        <w:t xml:space="preserve">, these include: </w:t>
      </w:r>
      <w:r w:rsidR="00414339">
        <w:rPr>
          <w:sz w:val="22"/>
          <w:szCs w:val="22"/>
        </w:rPr>
        <w:t xml:space="preserve">the Junction Project, </w:t>
      </w:r>
      <w:smartTag w:uri="urn:schemas-microsoft-com:office:smarttags" w:element="stockticker">
        <w:r w:rsidR="00414339">
          <w:rPr>
            <w:sz w:val="22"/>
            <w:szCs w:val="22"/>
          </w:rPr>
          <w:t>SEN</w:t>
        </w:r>
      </w:smartTag>
      <w:r w:rsidR="00414339">
        <w:rPr>
          <w:sz w:val="22"/>
          <w:szCs w:val="22"/>
        </w:rPr>
        <w:t xml:space="preserve"> Teaching Support Services (formerly known as ‘Learning Support Services or </w:t>
      </w:r>
      <w:smartTag w:uri="urn:schemas-microsoft-com:office:smarttags" w:element="stockticker">
        <w:r w:rsidR="00414339">
          <w:rPr>
            <w:sz w:val="22"/>
            <w:szCs w:val="22"/>
          </w:rPr>
          <w:t>LSS</w:t>
        </w:r>
      </w:smartTag>
      <w:r w:rsidR="00414339">
        <w:rPr>
          <w:sz w:val="22"/>
          <w:szCs w:val="22"/>
        </w:rPr>
        <w:t>’), the Youth Offending Team and support for Traveller Children. The DSG has also continued to meet the cost of out of authority of non-maintained placements for high needs children.</w:t>
      </w:r>
    </w:p>
    <w:p w:rsidR="00230C5B" w:rsidRDefault="00230C5B" w:rsidP="00414339">
      <w:pPr>
        <w:jc w:val="both"/>
        <w:rPr>
          <w:sz w:val="22"/>
          <w:szCs w:val="22"/>
        </w:rPr>
      </w:pPr>
    </w:p>
    <w:p w:rsidR="00DC072D" w:rsidRPr="00DC072D" w:rsidRDefault="008B4054" w:rsidP="00414339">
      <w:pPr>
        <w:jc w:val="both"/>
        <w:rPr>
          <w:sz w:val="22"/>
          <w:szCs w:val="22"/>
        </w:rPr>
      </w:pPr>
      <w:r>
        <w:rPr>
          <w:sz w:val="22"/>
          <w:szCs w:val="22"/>
        </w:rPr>
        <w:t>4.23</w:t>
      </w:r>
      <w:r w:rsidR="00230C5B" w:rsidRPr="00DC072D">
        <w:rPr>
          <w:sz w:val="22"/>
          <w:szCs w:val="22"/>
        </w:rPr>
        <w:t xml:space="preserve"> </w:t>
      </w:r>
      <w:r w:rsidR="00A50DC2">
        <w:rPr>
          <w:sz w:val="22"/>
          <w:szCs w:val="22"/>
        </w:rPr>
        <w:t>The DSG</w:t>
      </w:r>
      <w:r w:rsidR="00DC072D" w:rsidRPr="00DC072D">
        <w:rPr>
          <w:sz w:val="22"/>
          <w:szCs w:val="22"/>
        </w:rPr>
        <w:t xml:space="preserve"> continues to provide a small budget (£115,000) in support of Speech and Language Therapy Services. This is a very small contribution in the context of the total budget managed by Health Services. We are still awaiting further information from the Clinical Commissioning Groups about the detail and timetable for the expected holistic review of SLT support services for children and schools.</w:t>
      </w:r>
      <w:r w:rsidR="00E1374E">
        <w:rPr>
          <w:sz w:val="22"/>
          <w:szCs w:val="22"/>
        </w:rPr>
        <w:t xml:space="preserve"> The Authority is aware that schools have begun to commission their own SLT services.</w:t>
      </w:r>
    </w:p>
    <w:p w:rsidR="00DC072D" w:rsidRDefault="00DC072D" w:rsidP="00414339">
      <w:pPr>
        <w:jc w:val="both"/>
        <w:rPr>
          <w:color w:val="FF0000"/>
          <w:sz w:val="22"/>
          <w:szCs w:val="22"/>
        </w:rPr>
      </w:pPr>
    </w:p>
    <w:p w:rsidR="00230C5B" w:rsidRPr="00A50DC2" w:rsidRDefault="008B4054" w:rsidP="00414339">
      <w:pPr>
        <w:jc w:val="both"/>
        <w:rPr>
          <w:sz w:val="22"/>
          <w:szCs w:val="22"/>
        </w:rPr>
      </w:pPr>
      <w:r>
        <w:rPr>
          <w:sz w:val="22"/>
          <w:szCs w:val="22"/>
        </w:rPr>
        <w:t>4.24</w:t>
      </w:r>
      <w:r w:rsidR="00DC072D" w:rsidRPr="00A50DC2">
        <w:rPr>
          <w:sz w:val="22"/>
          <w:szCs w:val="22"/>
        </w:rPr>
        <w:t xml:space="preserve"> The DSG also continues to fund mainstream </w:t>
      </w:r>
      <w:r>
        <w:rPr>
          <w:sz w:val="22"/>
          <w:szCs w:val="22"/>
        </w:rPr>
        <w:t xml:space="preserve">and special school </w:t>
      </w:r>
      <w:r w:rsidR="00DC072D" w:rsidRPr="00A50DC2">
        <w:rPr>
          <w:sz w:val="22"/>
          <w:szCs w:val="22"/>
        </w:rPr>
        <w:t xml:space="preserve">settings for the cost of </w:t>
      </w:r>
      <w:r w:rsidR="00A50DC2" w:rsidRPr="00A50DC2">
        <w:rPr>
          <w:sz w:val="22"/>
          <w:szCs w:val="22"/>
        </w:rPr>
        <w:t xml:space="preserve">non-transferrable education-focused </w:t>
      </w:r>
      <w:r w:rsidR="00DC072D" w:rsidRPr="00A50DC2">
        <w:rPr>
          <w:sz w:val="22"/>
          <w:szCs w:val="22"/>
        </w:rPr>
        <w:t xml:space="preserve">specialist equipment </w:t>
      </w:r>
      <w:r>
        <w:rPr>
          <w:sz w:val="22"/>
          <w:szCs w:val="22"/>
        </w:rPr>
        <w:t>for individual children. In 2015/16</w:t>
      </w:r>
      <w:r w:rsidR="00DC072D" w:rsidRPr="00A50DC2">
        <w:rPr>
          <w:sz w:val="22"/>
          <w:szCs w:val="22"/>
        </w:rPr>
        <w:t xml:space="preserve"> this arrangement was extended to</w:t>
      </w:r>
      <w:r>
        <w:rPr>
          <w:sz w:val="22"/>
          <w:szCs w:val="22"/>
        </w:rPr>
        <w:t xml:space="preserve"> Early Years</w:t>
      </w:r>
      <w:r w:rsidR="00DC072D" w:rsidRPr="00A50DC2">
        <w:rPr>
          <w:sz w:val="22"/>
          <w:szCs w:val="22"/>
        </w:rPr>
        <w:t xml:space="preserve"> provision and </w:t>
      </w:r>
      <w:r>
        <w:rPr>
          <w:sz w:val="22"/>
          <w:szCs w:val="22"/>
        </w:rPr>
        <w:t>the total DSG budget is now £175</w:t>
      </w:r>
      <w:r w:rsidR="00DC072D" w:rsidRPr="00A50DC2">
        <w:rPr>
          <w:sz w:val="22"/>
          <w:szCs w:val="22"/>
        </w:rPr>
        <w:t>,000.</w:t>
      </w:r>
    </w:p>
    <w:p w:rsidR="004822CA" w:rsidRDefault="004822CA" w:rsidP="0094692E">
      <w:pPr>
        <w:jc w:val="both"/>
        <w:rPr>
          <w:sz w:val="22"/>
          <w:szCs w:val="22"/>
        </w:rPr>
      </w:pPr>
    </w:p>
    <w:p w:rsidR="00F77861" w:rsidRDefault="00F77861" w:rsidP="0094692E">
      <w:pPr>
        <w:jc w:val="both"/>
        <w:rPr>
          <w:sz w:val="22"/>
          <w:szCs w:val="22"/>
        </w:rPr>
      </w:pPr>
    </w:p>
    <w:p w:rsidR="006741B3" w:rsidRPr="00571206" w:rsidRDefault="008B4054" w:rsidP="0094692E">
      <w:pPr>
        <w:jc w:val="both"/>
        <w:rPr>
          <w:b/>
          <w:sz w:val="22"/>
          <w:szCs w:val="22"/>
        </w:rPr>
      </w:pPr>
      <w:r>
        <w:rPr>
          <w:b/>
          <w:sz w:val="22"/>
          <w:szCs w:val="22"/>
        </w:rPr>
        <w:t>5.</w:t>
      </w:r>
      <w:r>
        <w:rPr>
          <w:b/>
          <w:sz w:val="22"/>
          <w:szCs w:val="22"/>
        </w:rPr>
        <w:tab/>
        <w:t>Places Setting for 2016/17</w:t>
      </w:r>
    </w:p>
    <w:p w:rsidR="006741B3" w:rsidRPr="00845D33" w:rsidRDefault="006741B3" w:rsidP="0094692E">
      <w:pPr>
        <w:jc w:val="both"/>
        <w:rPr>
          <w:sz w:val="22"/>
          <w:szCs w:val="22"/>
        </w:rPr>
      </w:pPr>
    </w:p>
    <w:p w:rsidR="007325B2" w:rsidRDefault="003E211E" w:rsidP="0094692E">
      <w:pPr>
        <w:jc w:val="both"/>
        <w:rPr>
          <w:sz w:val="22"/>
          <w:szCs w:val="22"/>
        </w:rPr>
      </w:pPr>
      <w:r>
        <w:rPr>
          <w:sz w:val="22"/>
          <w:szCs w:val="22"/>
        </w:rPr>
        <w:t>5</w:t>
      </w:r>
      <w:r w:rsidR="003E33CE" w:rsidRPr="00845D33">
        <w:rPr>
          <w:sz w:val="22"/>
          <w:szCs w:val="22"/>
        </w:rPr>
        <w:t xml:space="preserve">.1 As summarised in </w:t>
      </w:r>
      <w:r w:rsidR="007325B2">
        <w:rPr>
          <w:sz w:val="22"/>
          <w:szCs w:val="22"/>
        </w:rPr>
        <w:t>paragraph 2.4</w:t>
      </w:r>
      <w:r w:rsidR="003E33CE" w:rsidRPr="00845D33">
        <w:rPr>
          <w:sz w:val="22"/>
          <w:szCs w:val="22"/>
        </w:rPr>
        <w:t>,</w:t>
      </w:r>
      <w:r w:rsidR="007325B2">
        <w:rPr>
          <w:sz w:val="22"/>
          <w:szCs w:val="22"/>
        </w:rPr>
        <w:t xml:space="preserve"> the 2016/17 planned DSG currently has provision for:</w:t>
      </w:r>
    </w:p>
    <w:p w:rsidR="007325B2" w:rsidRDefault="007325B2" w:rsidP="0094692E">
      <w:pPr>
        <w:jc w:val="both"/>
        <w:rPr>
          <w:sz w:val="22"/>
          <w:szCs w:val="22"/>
        </w:rPr>
      </w:pPr>
    </w:p>
    <w:p w:rsidR="007325B2" w:rsidRDefault="007325B2" w:rsidP="007325B2">
      <w:pPr>
        <w:pStyle w:val="ListParagraph"/>
        <w:numPr>
          <w:ilvl w:val="0"/>
          <w:numId w:val="36"/>
        </w:numPr>
        <w:jc w:val="both"/>
        <w:rPr>
          <w:color w:val="000000" w:themeColor="text1"/>
          <w:sz w:val="22"/>
          <w:szCs w:val="22"/>
        </w:rPr>
      </w:pPr>
      <w:r w:rsidRPr="00AB4E1C">
        <w:rPr>
          <w:color w:val="000000" w:themeColor="text1"/>
          <w:sz w:val="22"/>
          <w:szCs w:val="22"/>
        </w:rPr>
        <w:t xml:space="preserve">For individual settings, the greater of either actual occupancy at </w:t>
      </w:r>
      <w:r w:rsidR="00E15C5D">
        <w:rPr>
          <w:color w:val="000000" w:themeColor="text1"/>
          <w:sz w:val="22"/>
          <w:szCs w:val="22"/>
        </w:rPr>
        <w:t>October</w:t>
      </w:r>
      <w:r w:rsidRPr="00AB4E1C">
        <w:rPr>
          <w:color w:val="000000" w:themeColor="text1"/>
          <w:sz w:val="22"/>
          <w:szCs w:val="22"/>
        </w:rPr>
        <w:t xml:space="preserve"> 2015 or the 2015/16 planned places total, with some adjustments to individual settings for known additional changes.</w:t>
      </w:r>
    </w:p>
    <w:p w:rsidR="007325B2" w:rsidRPr="00AB4E1C" w:rsidRDefault="007325B2" w:rsidP="007325B2">
      <w:pPr>
        <w:pStyle w:val="ListParagraph"/>
        <w:jc w:val="both"/>
        <w:rPr>
          <w:color w:val="000000" w:themeColor="text1"/>
          <w:sz w:val="22"/>
          <w:szCs w:val="22"/>
        </w:rPr>
      </w:pPr>
    </w:p>
    <w:p w:rsidR="007325B2" w:rsidRDefault="007325B2" w:rsidP="007325B2">
      <w:pPr>
        <w:pStyle w:val="ListParagraph"/>
        <w:numPr>
          <w:ilvl w:val="0"/>
          <w:numId w:val="36"/>
        </w:numPr>
        <w:jc w:val="both"/>
        <w:rPr>
          <w:color w:val="000000" w:themeColor="text1"/>
          <w:sz w:val="22"/>
          <w:szCs w:val="22"/>
        </w:rPr>
      </w:pPr>
      <w:r w:rsidRPr="00AB4E1C">
        <w:rPr>
          <w:color w:val="000000" w:themeColor="text1"/>
          <w:sz w:val="22"/>
          <w:szCs w:val="22"/>
        </w:rPr>
        <w:t>Further provision, not yet allocated to individual settings, for a further 30 places for the full 2016/17 financial year and a further 20 more places at September 2016. These places would be available to allocate across different provisions, though the Authority’s forecast suggests that these additional places will be needed in special school provision.</w:t>
      </w:r>
    </w:p>
    <w:p w:rsidR="007325B2" w:rsidRPr="00AB4E1C" w:rsidRDefault="007325B2" w:rsidP="007325B2">
      <w:pPr>
        <w:pStyle w:val="ListParagraph"/>
        <w:jc w:val="both"/>
        <w:rPr>
          <w:color w:val="000000" w:themeColor="text1"/>
          <w:sz w:val="22"/>
          <w:szCs w:val="22"/>
        </w:rPr>
      </w:pPr>
    </w:p>
    <w:p w:rsidR="007325B2" w:rsidRPr="00AB4E1C" w:rsidRDefault="007325B2" w:rsidP="007325B2">
      <w:pPr>
        <w:pStyle w:val="ListParagraph"/>
        <w:numPr>
          <w:ilvl w:val="0"/>
          <w:numId w:val="36"/>
        </w:numPr>
        <w:jc w:val="both"/>
        <w:rPr>
          <w:color w:val="000000" w:themeColor="text1"/>
          <w:sz w:val="22"/>
          <w:szCs w:val="22"/>
        </w:rPr>
      </w:pPr>
      <w:r w:rsidRPr="00AB4E1C">
        <w:rPr>
          <w:color w:val="000000" w:themeColor="text1"/>
          <w:sz w:val="22"/>
          <w:szCs w:val="22"/>
        </w:rPr>
        <w:t>An adjustment (reduction) to the number of secondary-aged alternative provision places in Bradford-located settings, to take account of the increased number of placements in independent schools.</w:t>
      </w:r>
    </w:p>
    <w:p w:rsidR="007325B2" w:rsidRDefault="007325B2" w:rsidP="0094692E">
      <w:pPr>
        <w:jc w:val="both"/>
        <w:rPr>
          <w:sz w:val="22"/>
          <w:szCs w:val="22"/>
        </w:rPr>
      </w:pPr>
    </w:p>
    <w:p w:rsidR="007325B2" w:rsidRPr="007325B2" w:rsidRDefault="007325B2" w:rsidP="0094692E">
      <w:pPr>
        <w:jc w:val="both"/>
        <w:rPr>
          <w:color w:val="000000" w:themeColor="text1"/>
          <w:sz w:val="22"/>
          <w:szCs w:val="22"/>
        </w:rPr>
      </w:pPr>
      <w:r>
        <w:rPr>
          <w:color w:val="000000" w:themeColor="text1"/>
          <w:sz w:val="22"/>
          <w:szCs w:val="22"/>
        </w:rPr>
        <w:t>5.2</w:t>
      </w:r>
      <w:r w:rsidRPr="00FE1546">
        <w:rPr>
          <w:color w:val="000000" w:themeColor="text1"/>
          <w:sz w:val="22"/>
          <w:szCs w:val="22"/>
        </w:rPr>
        <w:t xml:space="preserve"> The Authority will continue to affirm places forecasts over the autumn term and will talk to providers, prior to agreeing the DSG’s provision for high needs places with the Schools Forum for 2016/17 on 6 January 2016.</w:t>
      </w:r>
      <w:r>
        <w:rPr>
          <w:color w:val="000000" w:themeColor="text1"/>
          <w:sz w:val="22"/>
          <w:szCs w:val="22"/>
        </w:rPr>
        <w:t xml:space="preserve"> There is some work that still needs to be done here</w:t>
      </w:r>
      <w:r w:rsidR="00260127">
        <w:rPr>
          <w:color w:val="000000" w:themeColor="text1"/>
          <w:sz w:val="22"/>
          <w:szCs w:val="22"/>
        </w:rPr>
        <w:t xml:space="preserve"> for specific settings</w:t>
      </w:r>
      <w:r>
        <w:rPr>
          <w:color w:val="000000" w:themeColor="text1"/>
          <w:sz w:val="22"/>
          <w:szCs w:val="22"/>
        </w:rPr>
        <w:t>, including in confirming the forecasted need for places in the Further Education Sector.</w:t>
      </w:r>
    </w:p>
    <w:p w:rsidR="00F2674A" w:rsidRPr="00167917" w:rsidRDefault="00F2674A" w:rsidP="00167917">
      <w:pPr>
        <w:jc w:val="both"/>
        <w:rPr>
          <w:sz w:val="22"/>
          <w:szCs w:val="22"/>
        </w:rPr>
      </w:pPr>
    </w:p>
    <w:p w:rsidR="009F0D1B" w:rsidRPr="00AE3F83" w:rsidRDefault="00391005" w:rsidP="0094692E">
      <w:pPr>
        <w:jc w:val="both"/>
        <w:rPr>
          <w:sz w:val="22"/>
          <w:szCs w:val="22"/>
        </w:rPr>
      </w:pPr>
      <w:r w:rsidRPr="00AE3F83">
        <w:rPr>
          <w:sz w:val="22"/>
          <w:szCs w:val="22"/>
        </w:rPr>
        <w:t>5.</w:t>
      </w:r>
      <w:r w:rsidR="007325B2">
        <w:rPr>
          <w:sz w:val="22"/>
          <w:szCs w:val="22"/>
        </w:rPr>
        <w:t>3</w:t>
      </w:r>
      <w:r w:rsidR="003C263E" w:rsidRPr="00AE3F83">
        <w:rPr>
          <w:sz w:val="22"/>
          <w:szCs w:val="22"/>
        </w:rPr>
        <w:t xml:space="preserve"> The t</w:t>
      </w:r>
      <w:r w:rsidR="00F53353" w:rsidRPr="00AE3F83">
        <w:rPr>
          <w:sz w:val="22"/>
          <w:szCs w:val="22"/>
        </w:rPr>
        <w:t xml:space="preserve">able below lists the </w:t>
      </w:r>
      <w:r w:rsidR="007325B2">
        <w:rPr>
          <w:sz w:val="22"/>
          <w:szCs w:val="22"/>
        </w:rPr>
        <w:t xml:space="preserve">currently planned 2016/17 </w:t>
      </w:r>
      <w:r w:rsidR="00F53353" w:rsidRPr="00AE3F83">
        <w:rPr>
          <w:sz w:val="22"/>
          <w:szCs w:val="22"/>
        </w:rPr>
        <w:t>places</w:t>
      </w:r>
      <w:r w:rsidR="003C263E" w:rsidRPr="00AE3F83">
        <w:rPr>
          <w:sz w:val="22"/>
          <w:szCs w:val="22"/>
        </w:rPr>
        <w:t xml:space="preserve"> by </w:t>
      </w:r>
      <w:r w:rsidR="006F6A01">
        <w:rPr>
          <w:sz w:val="22"/>
          <w:szCs w:val="22"/>
        </w:rPr>
        <w:t xml:space="preserve">existing </w:t>
      </w:r>
      <w:r w:rsidR="007325B2">
        <w:rPr>
          <w:sz w:val="22"/>
          <w:szCs w:val="22"/>
        </w:rPr>
        <w:t>Bradford-located individual high needs setting</w:t>
      </w:r>
      <w:r w:rsidR="003C263E" w:rsidRPr="00AE3F83">
        <w:rPr>
          <w:sz w:val="22"/>
          <w:szCs w:val="22"/>
        </w:rPr>
        <w:t>. These numbers include all places (early years, pre and post 16)</w:t>
      </w:r>
      <w:r w:rsidR="00666E2C">
        <w:rPr>
          <w:sz w:val="22"/>
          <w:szCs w:val="22"/>
        </w:rPr>
        <w:t>, including placements from other local authorities</w:t>
      </w:r>
      <w:r w:rsidR="003C263E" w:rsidRPr="00AE3F83">
        <w:rPr>
          <w:sz w:val="22"/>
          <w:szCs w:val="22"/>
        </w:rPr>
        <w:t>.</w:t>
      </w:r>
    </w:p>
    <w:p w:rsidR="00F2674A" w:rsidRPr="00117DF4" w:rsidRDefault="00F2674A" w:rsidP="0094692E">
      <w:pPr>
        <w:jc w:val="both"/>
        <w:rPr>
          <w:color w:val="FF0000"/>
          <w:sz w:val="22"/>
          <w:szCs w:val="22"/>
        </w:rPr>
      </w:pPr>
    </w:p>
    <w:tbl>
      <w:tblPr>
        <w:tblStyle w:val="TableGrid"/>
        <w:tblW w:w="10314" w:type="dxa"/>
        <w:tblLook w:val="04A0" w:firstRow="1" w:lastRow="0" w:firstColumn="1" w:lastColumn="0" w:noHBand="0" w:noVBand="1"/>
      </w:tblPr>
      <w:tblGrid>
        <w:gridCol w:w="4635"/>
        <w:gridCol w:w="1250"/>
        <w:gridCol w:w="1453"/>
        <w:gridCol w:w="1417"/>
        <w:gridCol w:w="1559"/>
      </w:tblGrid>
      <w:tr w:rsidR="00BF7041" w:rsidTr="00BF7041">
        <w:trPr>
          <w:trHeight w:val="1025"/>
        </w:trPr>
        <w:tc>
          <w:tcPr>
            <w:tcW w:w="4635" w:type="dxa"/>
          </w:tcPr>
          <w:p w:rsidR="00BF7041" w:rsidRPr="007A539A" w:rsidRDefault="00BF7041" w:rsidP="00167917">
            <w:pPr>
              <w:jc w:val="both"/>
              <w:rPr>
                <w:sz w:val="22"/>
                <w:szCs w:val="22"/>
              </w:rPr>
            </w:pPr>
            <w:r w:rsidRPr="007A539A">
              <w:rPr>
                <w:sz w:val="22"/>
                <w:szCs w:val="22"/>
              </w:rPr>
              <w:t>Setting</w:t>
            </w:r>
          </w:p>
        </w:tc>
        <w:tc>
          <w:tcPr>
            <w:tcW w:w="1250" w:type="dxa"/>
          </w:tcPr>
          <w:p w:rsidR="00BF7041" w:rsidRPr="007A539A" w:rsidRDefault="00BF7041" w:rsidP="00EE248A">
            <w:pPr>
              <w:jc w:val="center"/>
              <w:rPr>
                <w:sz w:val="22"/>
                <w:szCs w:val="22"/>
              </w:rPr>
            </w:pPr>
            <w:r w:rsidRPr="007A539A">
              <w:rPr>
                <w:sz w:val="22"/>
                <w:szCs w:val="22"/>
              </w:rPr>
              <w:t>Type (AP or SEN)</w:t>
            </w:r>
          </w:p>
        </w:tc>
        <w:tc>
          <w:tcPr>
            <w:tcW w:w="1453" w:type="dxa"/>
          </w:tcPr>
          <w:p w:rsidR="00BF7041" w:rsidRPr="006A0E07" w:rsidRDefault="00BF7041" w:rsidP="00653593">
            <w:pPr>
              <w:jc w:val="right"/>
              <w:rPr>
                <w:sz w:val="22"/>
                <w:szCs w:val="22"/>
              </w:rPr>
            </w:pPr>
            <w:r w:rsidRPr="006A0E07">
              <w:rPr>
                <w:sz w:val="22"/>
                <w:szCs w:val="22"/>
              </w:rPr>
              <w:t>October 2015 Occupancy</w:t>
            </w:r>
          </w:p>
          <w:p w:rsidR="0003079A" w:rsidRPr="006A0E07" w:rsidRDefault="0003079A" w:rsidP="00653593">
            <w:pPr>
              <w:jc w:val="right"/>
              <w:rPr>
                <w:sz w:val="22"/>
                <w:szCs w:val="22"/>
              </w:rPr>
            </w:pPr>
            <w:r w:rsidRPr="006A0E07">
              <w:rPr>
                <w:sz w:val="22"/>
                <w:szCs w:val="22"/>
              </w:rPr>
              <w:t>(FTE)</w:t>
            </w:r>
          </w:p>
        </w:tc>
        <w:tc>
          <w:tcPr>
            <w:tcW w:w="1417" w:type="dxa"/>
          </w:tcPr>
          <w:p w:rsidR="00BF7041" w:rsidRPr="006A0E07" w:rsidRDefault="00BF7041" w:rsidP="00653593">
            <w:pPr>
              <w:jc w:val="right"/>
              <w:rPr>
                <w:sz w:val="22"/>
                <w:szCs w:val="22"/>
              </w:rPr>
            </w:pPr>
            <w:r w:rsidRPr="006A0E07">
              <w:rPr>
                <w:sz w:val="22"/>
                <w:szCs w:val="22"/>
              </w:rPr>
              <w:t>15/16 Funded Places</w:t>
            </w:r>
            <w:r w:rsidR="0003079A" w:rsidRPr="006A0E07">
              <w:rPr>
                <w:sz w:val="22"/>
                <w:szCs w:val="22"/>
              </w:rPr>
              <w:t xml:space="preserve"> (FTE)</w:t>
            </w:r>
          </w:p>
        </w:tc>
        <w:tc>
          <w:tcPr>
            <w:tcW w:w="1559" w:type="dxa"/>
          </w:tcPr>
          <w:p w:rsidR="0003079A" w:rsidRPr="006A0E07" w:rsidRDefault="00BF7041" w:rsidP="0003079A">
            <w:pPr>
              <w:jc w:val="right"/>
              <w:rPr>
                <w:sz w:val="22"/>
                <w:szCs w:val="22"/>
              </w:rPr>
            </w:pPr>
            <w:r w:rsidRPr="006A0E07">
              <w:rPr>
                <w:sz w:val="22"/>
                <w:szCs w:val="22"/>
              </w:rPr>
              <w:t>16/17 Initial Planned  Places</w:t>
            </w:r>
            <w:r w:rsidR="0003079A" w:rsidRPr="006A0E07">
              <w:rPr>
                <w:sz w:val="22"/>
                <w:szCs w:val="22"/>
              </w:rPr>
              <w:t xml:space="preserve"> </w:t>
            </w:r>
          </w:p>
          <w:p w:rsidR="0003079A" w:rsidRPr="006A0E07" w:rsidRDefault="0003079A" w:rsidP="0003079A">
            <w:pPr>
              <w:jc w:val="right"/>
              <w:rPr>
                <w:sz w:val="22"/>
                <w:szCs w:val="22"/>
              </w:rPr>
            </w:pPr>
            <w:r w:rsidRPr="006A0E07">
              <w:rPr>
                <w:sz w:val="22"/>
                <w:szCs w:val="22"/>
              </w:rPr>
              <w:t>(FTE)</w:t>
            </w:r>
          </w:p>
        </w:tc>
      </w:tr>
      <w:tr w:rsidR="00BF7041" w:rsidTr="00BF7041">
        <w:trPr>
          <w:trHeight w:val="241"/>
        </w:trPr>
        <w:tc>
          <w:tcPr>
            <w:tcW w:w="4635" w:type="dxa"/>
          </w:tcPr>
          <w:p w:rsidR="00BF7041" w:rsidRPr="00C702C0" w:rsidRDefault="00BF7041" w:rsidP="00167917">
            <w:pPr>
              <w:jc w:val="both"/>
              <w:rPr>
                <w:sz w:val="22"/>
                <w:szCs w:val="22"/>
              </w:rPr>
            </w:pPr>
            <w:r w:rsidRPr="00C702C0">
              <w:rPr>
                <w:sz w:val="22"/>
                <w:szCs w:val="22"/>
              </w:rPr>
              <w:t>Primary PRU</w:t>
            </w:r>
          </w:p>
        </w:tc>
        <w:tc>
          <w:tcPr>
            <w:tcW w:w="1250" w:type="dxa"/>
          </w:tcPr>
          <w:p w:rsidR="00BF7041" w:rsidRPr="00C702C0" w:rsidRDefault="00BF7041" w:rsidP="00EE248A">
            <w:pPr>
              <w:jc w:val="center"/>
              <w:rPr>
                <w:sz w:val="22"/>
                <w:szCs w:val="22"/>
              </w:rPr>
            </w:pPr>
            <w:r w:rsidRPr="00C702C0">
              <w:rPr>
                <w:sz w:val="22"/>
                <w:szCs w:val="22"/>
              </w:rPr>
              <w:t>AP</w:t>
            </w:r>
          </w:p>
        </w:tc>
        <w:tc>
          <w:tcPr>
            <w:tcW w:w="1453" w:type="dxa"/>
          </w:tcPr>
          <w:p w:rsidR="00BF7041" w:rsidRPr="0098541B" w:rsidRDefault="00BF7041" w:rsidP="008D7C10">
            <w:pPr>
              <w:jc w:val="right"/>
              <w:rPr>
                <w:sz w:val="22"/>
                <w:szCs w:val="22"/>
              </w:rPr>
            </w:pPr>
            <w:r>
              <w:rPr>
                <w:sz w:val="22"/>
                <w:szCs w:val="22"/>
              </w:rPr>
              <w:t>33</w:t>
            </w:r>
          </w:p>
        </w:tc>
        <w:tc>
          <w:tcPr>
            <w:tcW w:w="1417" w:type="dxa"/>
          </w:tcPr>
          <w:p w:rsidR="00BF7041" w:rsidRPr="00C702C0" w:rsidRDefault="00E545F2" w:rsidP="000C3C21">
            <w:pPr>
              <w:jc w:val="right"/>
              <w:rPr>
                <w:sz w:val="22"/>
                <w:szCs w:val="22"/>
              </w:rPr>
            </w:pPr>
            <w:r>
              <w:rPr>
                <w:sz w:val="22"/>
                <w:szCs w:val="22"/>
              </w:rPr>
              <w:t>42</w:t>
            </w:r>
          </w:p>
        </w:tc>
        <w:tc>
          <w:tcPr>
            <w:tcW w:w="1559" w:type="dxa"/>
          </w:tcPr>
          <w:p w:rsidR="00BF7041" w:rsidRPr="003A5794" w:rsidRDefault="00E545F2" w:rsidP="000C3C21">
            <w:pPr>
              <w:jc w:val="right"/>
              <w:rPr>
                <w:sz w:val="22"/>
                <w:szCs w:val="22"/>
              </w:rPr>
            </w:pPr>
            <w:r>
              <w:rPr>
                <w:sz w:val="22"/>
                <w:szCs w:val="22"/>
              </w:rPr>
              <w:t>42</w:t>
            </w:r>
          </w:p>
        </w:tc>
      </w:tr>
      <w:tr w:rsidR="00BF7041" w:rsidTr="00BF7041">
        <w:trPr>
          <w:trHeight w:val="256"/>
        </w:trPr>
        <w:tc>
          <w:tcPr>
            <w:tcW w:w="4635" w:type="dxa"/>
          </w:tcPr>
          <w:p w:rsidR="00BF7041" w:rsidRPr="00C702C0" w:rsidRDefault="00BF7041" w:rsidP="00167917">
            <w:pPr>
              <w:jc w:val="both"/>
              <w:rPr>
                <w:sz w:val="22"/>
                <w:szCs w:val="22"/>
              </w:rPr>
            </w:pPr>
            <w:r w:rsidRPr="00C702C0">
              <w:rPr>
                <w:sz w:val="22"/>
                <w:szCs w:val="22"/>
              </w:rPr>
              <w:t>Central PRU</w:t>
            </w:r>
          </w:p>
        </w:tc>
        <w:tc>
          <w:tcPr>
            <w:tcW w:w="1250" w:type="dxa"/>
          </w:tcPr>
          <w:p w:rsidR="00BF7041" w:rsidRPr="00C702C0" w:rsidRDefault="00BF7041" w:rsidP="00EE248A">
            <w:pPr>
              <w:jc w:val="center"/>
            </w:pPr>
            <w:r w:rsidRPr="00C702C0">
              <w:rPr>
                <w:sz w:val="22"/>
                <w:szCs w:val="22"/>
              </w:rPr>
              <w:t>AP</w:t>
            </w:r>
          </w:p>
        </w:tc>
        <w:tc>
          <w:tcPr>
            <w:tcW w:w="1453" w:type="dxa"/>
          </w:tcPr>
          <w:p w:rsidR="00BF7041" w:rsidRPr="0098541B" w:rsidRDefault="00BF7041" w:rsidP="008D7C10">
            <w:pPr>
              <w:jc w:val="right"/>
              <w:rPr>
                <w:sz w:val="22"/>
                <w:szCs w:val="22"/>
              </w:rPr>
            </w:pPr>
            <w:r>
              <w:rPr>
                <w:sz w:val="22"/>
                <w:szCs w:val="22"/>
              </w:rPr>
              <w:t>47</w:t>
            </w:r>
          </w:p>
        </w:tc>
        <w:tc>
          <w:tcPr>
            <w:tcW w:w="1417" w:type="dxa"/>
          </w:tcPr>
          <w:p w:rsidR="00BF7041" w:rsidRPr="00C702C0" w:rsidRDefault="00E545F2" w:rsidP="000C3C21">
            <w:pPr>
              <w:jc w:val="right"/>
              <w:rPr>
                <w:sz w:val="22"/>
                <w:szCs w:val="22"/>
              </w:rPr>
            </w:pPr>
            <w:r>
              <w:rPr>
                <w:sz w:val="22"/>
                <w:szCs w:val="22"/>
              </w:rPr>
              <w:t>50</w:t>
            </w:r>
          </w:p>
        </w:tc>
        <w:tc>
          <w:tcPr>
            <w:tcW w:w="1559" w:type="dxa"/>
          </w:tcPr>
          <w:p w:rsidR="00BF7041" w:rsidRPr="003A5794" w:rsidRDefault="00E545F2" w:rsidP="003A5794">
            <w:pPr>
              <w:jc w:val="right"/>
              <w:rPr>
                <w:sz w:val="22"/>
                <w:szCs w:val="22"/>
              </w:rPr>
            </w:pPr>
            <w:r>
              <w:rPr>
                <w:sz w:val="22"/>
                <w:szCs w:val="22"/>
              </w:rPr>
              <w:t>50</w:t>
            </w:r>
          </w:p>
        </w:tc>
      </w:tr>
      <w:tr w:rsidR="00BF7041" w:rsidTr="00BF7041">
        <w:trPr>
          <w:trHeight w:val="241"/>
        </w:trPr>
        <w:tc>
          <w:tcPr>
            <w:tcW w:w="4635" w:type="dxa"/>
          </w:tcPr>
          <w:p w:rsidR="00BF7041" w:rsidRPr="00C702C0" w:rsidRDefault="00BF7041" w:rsidP="00167917">
            <w:pPr>
              <w:jc w:val="both"/>
              <w:rPr>
                <w:sz w:val="22"/>
                <w:szCs w:val="22"/>
              </w:rPr>
            </w:pPr>
            <w:proofErr w:type="spellStart"/>
            <w:r w:rsidRPr="00C702C0">
              <w:rPr>
                <w:sz w:val="22"/>
                <w:szCs w:val="22"/>
              </w:rPr>
              <w:t>Ellar</w:t>
            </w:r>
            <w:proofErr w:type="spellEnd"/>
            <w:r w:rsidRPr="00C702C0">
              <w:rPr>
                <w:sz w:val="22"/>
                <w:szCs w:val="22"/>
              </w:rPr>
              <w:t xml:space="preserve"> Carr</w:t>
            </w:r>
          </w:p>
        </w:tc>
        <w:tc>
          <w:tcPr>
            <w:tcW w:w="1250" w:type="dxa"/>
          </w:tcPr>
          <w:p w:rsidR="00BF7041" w:rsidRPr="00C702C0" w:rsidRDefault="00BF7041" w:rsidP="00EE248A">
            <w:pPr>
              <w:jc w:val="center"/>
            </w:pPr>
            <w:r w:rsidRPr="00C702C0">
              <w:rPr>
                <w:sz w:val="22"/>
                <w:szCs w:val="22"/>
              </w:rPr>
              <w:t>AP</w:t>
            </w:r>
          </w:p>
        </w:tc>
        <w:tc>
          <w:tcPr>
            <w:tcW w:w="1453" w:type="dxa"/>
          </w:tcPr>
          <w:p w:rsidR="00BF7041" w:rsidRPr="0098541B" w:rsidRDefault="00BF7041" w:rsidP="008D7C10">
            <w:pPr>
              <w:jc w:val="right"/>
              <w:rPr>
                <w:sz w:val="22"/>
                <w:szCs w:val="22"/>
              </w:rPr>
            </w:pPr>
            <w:r>
              <w:rPr>
                <w:sz w:val="22"/>
                <w:szCs w:val="22"/>
              </w:rPr>
              <w:t>49</w:t>
            </w:r>
          </w:p>
        </w:tc>
        <w:tc>
          <w:tcPr>
            <w:tcW w:w="1417" w:type="dxa"/>
          </w:tcPr>
          <w:p w:rsidR="00BF7041" w:rsidRPr="00C702C0" w:rsidRDefault="00E545F2" w:rsidP="000C3C21">
            <w:pPr>
              <w:jc w:val="right"/>
              <w:rPr>
                <w:sz w:val="22"/>
                <w:szCs w:val="22"/>
              </w:rPr>
            </w:pPr>
            <w:r>
              <w:rPr>
                <w:sz w:val="22"/>
                <w:szCs w:val="22"/>
              </w:rPr>
              <w:t>45</w:t>
            </w:r>
          </w:p>
        </w:tc>
        <w:tc>
          <w:tcPr>
            <w:tcW w:w="1559" w:type="dxa"/>
          </w:tcPr>
          <w:p w:rsidR="00BF7041" w:rsidRPr="003A5794" w:rsidRDefault="00E545F2" w:rsidP="006F6A01">
            <w:pPr>
              <w:jc w:val="right"/>
              <w:rPr>
                <w:sz w:val="22"/>
                <w:szCs w:val="22"/>
              </w:rPr>
            </w:pPr>
            <w:r>
              <w:rPr>
                <w:sz w:val="22"/>
                <w:szCs w:val="22"/>
              </w:rPr>
              <w:t>45</w:t>
            </w:r>
          </w:p>
        </w:tc>
      </w:tr>
      <w:tr w:rsidR="00BF7041" w:rsidTr="00BF7041">
        <w:trPr>
          <w:trHeight w:val="256"/>
        </w:trPr>
        <w:tc>
          <w:tcPr>
            <w:tcW w:w="4635" w:type="dxa"/>
          </w:tcPr>
          <w:p w:rsidR="00BF7041" w:rsidRPr="00C702C0" w:rsidRDefault="00BF7041" w:rsidP="00167917">
            <w:pPr>
              <w:jc w:val="both"/>
              <w:rPr>
                <w:sz w:val="22"/>
                <w:szCs w:val="22"/>
              </w:rPr>
            </w:pPr>
            <w:r w:rsidRPr="00C702C0">
              <w:rPr>
                <w:sz w:val="22"/>
                <w:szCs w:val="22"/>
              </w:rPr>
              <w:t>District PRU</w:t>
            </w:r>
            <w:r w:rsidR="00EB5668">
              <w:rPr>
                <w:sz w:val="22"/>
                <w:szCs w:val="22"/>
              </w:rPr>
              <w:t xml:space="preserve"> *</w:t>
            </w:r>
          </w:p>
        </w:tc>
        <w:tc>
          <w:tcPr>
            <w:tcW w:w="1250" w:type="dxa"/>
          </w:tcPr>
          <w:p w:rsidR="00BF7041" w:rsidRPr="00C702C0" w:rsidRDefault="00BF7041" w:rsidP="00EE248A">
            <w:pPr>
              <w:jc w:val="center"/>
            </w:pPr>
            <w:r w:rsidRPr="00C702C0">
              <w:rPr>
                <w:sz w:val="22"/>
                <w:szCs w:val="22"/>
              </w:rPr>
              <w:t>AP</w:t>
            </w:r>
          </w:p>
        </w:tc>
        <w:tc>
          <w:tcPr>
            <w:tcW w:w="1453" w:type="dxa"/>
          </w:tcPr>
          <w:p w:rsidR="00BF7041" w:rsidRPr="0098541B" w:rsidRDefault="00BF7041" w:rsidP="008D7C10">
            <w:pPr>
              <w:jc w:val="right"/>
              <w:rPr>
                <w:sz w:val="22"/>
                <w:szCs w:val="22"/>
              </w:rPr>
            </w:pPr>
            <w:r>
              <w:rPr>
                <w:sz w:val="22"/>
                <w:szCs w:val="22"/>
              </w:rPr>
              <w:t>120</w:t>
            </w:r>
          </w:p>
        </w:tc>
        <w:tc>
          <w:tcPr>
            <w:tcW w:w="1417" w:type="dxa"/>
          </w:tcPr>
          <w:p w:rsidR="00BF7041" w:rsidRPr="00C702C0" w:rsidRDefault="00E545F2" w:rsidP="000C3C21">
            <w:pPr>
              <w:jc w:val="right"/>
              <w:rPr>
                <w:sz w:val="22"/>
                <w:szCs w:val="22"/>
              </w:rPr>
            </w:pPr>
            <w:r>
              <w:rPr>
                <w:sz w:val="22"/>
                <w:szCs w:val="22"/>
              </w:rPr>
              <w:t>160</w:t>
            </w:r>
          </w:p>
        </w:tc>
        <w:tc>
          <w:tcPr>
            <w:tcW w:w="1559" w:type="dxa"/>
          </w:tcPr>
          <w:p w:rsidR="00BF7041" w:rsidRPr="003A5794" w:rsidRDefault="00E545F2" w:rsidP="003A5794">
            <w:pPr>
              <w:jc w:val="right"/>
              <w:rPr>
                <w:sz w:val="22"/>
                <w:szCs w:val="22"/>
              </w:rPr>
            </w:pPr>
            <w:r>
              <w:rPr>
                <w:sz w:val="22"/>
                <w:szCs w:val="22"/>
              </w:rPr>
              <w:t>146</w:t>
            </w:r>
          </w:p>
        </w:tc>
      </w:tr>
      <w:tr w:rsidR="00BF7041" w:rsidTr="00BF7041">
        <w:trPr>
          <w:trHeight w:val="241"/>
        </w:trPr>
        <w:tc>
          <w:tcPr>
            <w:tcW w:w="4635" w:type="dxa"/>
          </w:tcPr>
          <w:p w:rsidR="00BF7041" w:rsidRPr="004E617D" w:rsidRDefault="00BF7041" w:rsidP="00167917">
            <w:pPr>
              <w:jc w:val="both"/>
              <w:rPr>
                <w:sz w:val="22"/>
                <w:szCs w:val="22"/>
              </w:rPr>
            </w:pPr>
            <w:r w:rsidRPr="004E617D">
              <w:rPr>
                <w:sz w:val="22"/>
                <w:szCs w:val="22"/>
              </w:rPr>
              <w:t>Acorn Centre</w:t>
            </w:r>
          </w:p>
        </w:tc>
        <w:tc>
          <w:tcPr>
            <w:tcW w:w="1250" w:type="dxa"/>
          </w:tcPr>
          <w:p w:rsidR="00BF7041" w:rsidRPr="00C702C0" w:rsidRDefault="00BF7041" w:rsidP="00EE248A">
            <w:pPr>
              <w:jc w:val="center"/>
            </w:pPr>
            <w:r w:rsidRPr="00C702C0">
              <w:rPr>
                <w:sz w:val="22"/>
                <w:szCs w:val="22"/>
              </w:rPr>
              <w:t>AP</w:t>
            </w:r>
          </w:p>
        </w:tc>
        <w:tc>
          <w:tcPr>
            <w:tcW w:w="1453" w:type="dxa"/>
          </w:tcPr>
          <w:p w:rsidR="00BF7041" w:rsidRPr="0098541B" w:rsidRDefault="00BF7041" w:rsidP="008D7C10">
            <w:pPr>
              <w:jc w:val="right"/>
              <w:rPr>
                <w:sz w:val="22"/>
                <w:szCs w:val="22"/>
              </w:rPr>
            </w:pPr>
            <w:r>
              <w:rPr>
                <w:sz w:val="22"/>
                <w:szCs w:val="22"/>
              </w:rPr>
              <w:t>6</w:t>
            </w:r>
          </w:p>
        </w:tc>
        <w:tc>
          <w:tcPr>
            <w:tcW w:w="1417" w:type="dxa"/>
          </w:tcPr>
          <w:p w:rsidR="00BF7041" w:rsidRPr="00C702C0" w:rsidRDefault="00E545F2" w:rsidP="000C3C21">
            <w:pPr>
              <w:jc w:val="right"/>
              <w:rPr>
                <w:sz w:val="22"/>
                <w:szCs w:val="22"/>
              </w:rPr>
            </w:pPr>
            <w:r>
              <w:rPr>
                <w:sz w:val="22"/>
                <w:szCs w:val="22"/>
              </w:rPr>
              <w:t>10</w:t>
            </w:r>
          </w:p>
        </w:tc>
        <w:tc>
          <w:tcPr>
            <w:tcW w:w="1559" w:type="dxa"/>
          </w:tcPr>
          <w:p w:rsidR="00BF7041" w:rsidRPr="00E545F2" w:rsidRDefault="00E545F2" w:rsidP="006F6A01">
            <w:pPr>
              <w:jc w:val="right"/>
              <w:rPr>
                <w:sz w:val="22"/>
                <w:szCs w:val="22"/>
              </w:rPr>
            </w:pPr>
            <w:r w:rsidRPr="00E545F2">
              <w:rPr>
                <w:sz w:val="22"/>
                <w:szCs w:val="22"/>
              </w:rPr>
              <w:t>10</w:t>
            </w:r>
          </w:p>
        </w:tc>
      </w:tr>
      <w:tr w:rsidR="00BF7041" w:rsidTr="00BF7041">
        <w:trPr>
          <w:trHeight w:val="256"/>
        </w:trPr>
        <w:tc>
          <w:tcPr>
            <w:tcW w:w="4635" w:type="dxa"/>
          </w:tcPr>
          <w:p w:rsidR="00BF7041" w:rsidRPr="004E617D" w:rsidRDefault="00BF7041" w:rsidP="00167917">
            <w:pPr>
              <w:jc w:val="both"/>
              <w:rPr>
                <w:sz w:val="22"/>
                <w:szCs w:val="22"/>
              </w:rPr>
            </w:pPr>
            <w:r w:rsidRPr="004E617D">
              <w:rPr>
                <w:sz w:val="22"/>
                <w:szCs w:val="22"/>
              </w:rPr>
              <w:t>Horizons Centre</w:t>
            </w:r>
          </w:p>
        </w:tc>
        <w:tc>
          <w:tcPr>
            <w:tcW w:w="1250" w:type="dxa"/>
          </w:tcPr>
          <w:p w:rsidR="00BF7041" w:rsidRPr="00C702C0" w:rsidRDefault="00BF7041" w:rsidP="00EE248A">
            <w:pPr>
              <w:jc w:val="center"/>
            </w:pPr>
            <w:r w:rsidRPr="00C702C0">
              <w:rPr>
                <w:sz w:val="22"/>
                <w:szCs w:val="22"/>
              </w:rPr>
              <w:t>AP</w:t>
            </w:r>
          </w:p>
        </w:tc>
        <w:tc>
          <w:tcPr>
            <w:tcW w:w="1453" w:type="dxa"/>
          </w:tcPr>
          <w:p w:rsidR="00BF7041" w:rsidRPr="0098541B" w:rsidRDefault="00BF7041" w:rsidP="008D7C10">
            <w:pPr>
              <w:jc w:val="right"/>
              <w:rPr>
                <w:sz w:val="22"/>
                <w:szCs w:val="22"/>
              </w:rPr>
            </w:pPr>
            <w:r>
              <w:rPr>
                <w:sz w:val="22"/>
                <w:szCs w:val="22"/>
              </w:rPr>
              <w:t>8</w:t>
            </w:r>
          </w:p>
        </w:tc>
        <w:tc>
          <w:tcPr>
            <w:tcW w:w="1417" w:type="dxa"/>
          </w:tcPr>
          <w:p w:rsidR="00BF7041" w:rsidRPr="00C702C0" w:rsidRDefault="00E545F2" w:rsidP="000C3C21">
            <w:pPr>
              <w:jc w:val="right"/>
              <w:rPr>
                <w:sz w:val="22"/>
                <w:szCs w:val="22"/>
              </w:rPr>
            </w:pPr>
            <w:r>
              <w:rPr>
                <w:sz w:val="22"/>
                <w:szCs w:val="22"/>
              </w:rPr>
              <w:t>10</w:t>
            </w:r>
          </w:p>
        </w:tc>
        <w:tc>
          <w:tcPr>
            <w:tcW w:w="1559" w:type="dxa"/>
          </w:tcPr>
          <w:p w:rsidR="00BF7041" w:rsidRPr="00E545F2" w:rsidRDefault="00E545F2" w:rsidP="006F6A01">
            <w:pPr>
              <w:jc w:val="right"/>
              <w:rPr>
                <w:sz w:val="22"/>
                <w:szCs w:val="22"/>
              </w:rPr>
            </w:pPr>
            <w:r w:rsidRPr="00E545F2">
              <w:rPr>
                <w:sz w:val="22"/>
                <w:szCs w:val="22"/>
              </w:rPr>
              <w:t>10</w:t>
            </w:r>
          </w:p>
        </w:tc>
      </w:tr>
      <w:tr w:rsidR="00BF7041" w:rsidTr="00BF7041">
        <w:trPr>
          <w:trHeight w:val="241"/>
        </w:trPr>
        <w:tc>
          <w:tcPr>
            <w:tcW w:w="4635" w:type="dxa"/>
          </w:tcPr>
          <w:p w:rsidR="00BF7041" w:rsidRPr="004E617D" w:rsidRDefault="00BF7041" w:rsidP="00167917">
            <w:pPr>
              <w:jc w:val="both"/>
              <w:rPr>
                <w:sz w:val="22"/>
                <w:szCs w:val="22"/>
              </w:rPr>
            </w:pPr>
            <w:r w:rsidRPr="004E617D">
              <w:rPr>
                <w:sz w:val="22"/>
                <w:szCs w:val="22"/>
              </w:rPr>
              <w:t>Long View Centre</w:t>
            </w:r>
          </w:p>
        </w:tc>
        <w:tc>
          <w:tcPr>
            <w:tcW w:w="1250" w:type="dxa"/>
          </w:tcPr>
          <w:p w:rsidR="00BF7041" w:rsidRPr="00C702C0" w:rsidRDefault="00BF7041" w:rsidP="00EE248A">
            <w:pPr>
              <w:jc w:val="center"/>
            </w:pPr>
            <w:r w:rsidRPr="00C702C0">
              <w:rPr>
                <w:sz w:val="22"/>
                <w:szCs w:val="22"/>
              </w:rPr>
              <w:t>AP</w:t>
            </w:r>
          </w:p>
        </w:tc>
        <w:tc>
          <w:tcPr>
            <w:tcW w:w="1453" w:type="dxa"/>
          </w:tcPr>
          <w:p w:rsidR="00BF7041" w:rsidRPr="0098541B" w:rsidRDefault="00BF7041" w:rsidP="008D7C10">
            <w:pPr>
              <w:jc w:val="right"/>
              <w:rPr>
                <w:sz w:val="22"/>
                <w:szCs w:val="22"/>
              </w:rPr>
            </w:pPr>
            <w:r>
              <w:rPr>
                <w:sz w:val="22"/>
                <w:szCs w:val="22"/>
              </w:rPr>
              <w:t>7</w:t>
            </w:r>
          </w:p>
        </w:tc>
        <w:tc>
          <w:tcPr>
            <w:tcW w:w="1417" w:type="dxa"/>
          </w:tcPr>
          <w:p w:rsidR="00BF7041" w:rsidRPr="00C702C0" w:rsidRDefault="00E545F2" w:rsidP="000C3C21">
            <w:pPr>
              <w:jc w:val="right"/>
              <w:rPr>
                <w:sz w:val="22"/>
                <w:szCs w:val="22"/>
              </w:rPr>
            </w:pPr>
            <w:r>
              <w:rPr>
                <w:sz w:val="22"/>
                <w:szCs w:val="22"/>
              </w:rPr>
              <w:t>10</w:t>
            </w:r>
          </w:p>
        </w:tc>
        <w:tc>
          <w:tcPr>
            <w:tcW w:w="1559" w:type="dxa"/>
          </w:tcPr>
          <w:p w:rsidR="00BF7041" w:rsidRPr="00E545F2" w:rsidRDefault="00E545F2" w:rsidP="006F6A01">
            <w:pPr>
              <w:jc w:val="right"/>
              <w:rPr>
                <w:sz w:val="22"/>
                <w:szCs w:val="22"/>
              </w:rPr>
            </w:pPr>
            <w:r w:rsidRPr="00E545F2">
              <w:rPr>
                <w:sz w:val="22"/>
                <w:szCs w:val="22"/>
              </w:rPr>
              <w:t>10</w:t>
            </w:r>
          </w:p>
        </w:tc>
      </w:tr>
      <w:tr w:rsidR="00BF7041" w:rsidTr="00BF7041">
        <w:trPr>
          <w:trHeight w:val="256"/>
        </w:trPr>
        <w:tc>
          <w:tcPr>
            <w:tcW w:w="4635" w:type="dxa"/>
          </w:tcPr>
          <w:p w:rsidR="00BF7041" w:rsidRPr="004E617D" w:rsidRDefault="00BF7041" w:rsidP="00167917">
            <w:pPr>
              <w:jc w:val="both"/>
              <w:rPr>
                <w:sz w:val="22"/>
                <w:szCs w:val="22"/>
              </w:rPr>
            </w:pPr>
            <w:r w:rsidRPr="004E617D">
              <w:rPr>
                <w:sz w:val="22"/>
                <w:szCs w:val="22"/>
              </w:rPr>
              <w:t>Phoenix Centre</w:t>
            </w:r>
          </w:p>
        </w:tc>
        <w:tc>
          <w:tcPr>
            <w:tcW w:w="1250" w:type="dxa"/>
          </w:tcPr>
          <w:p w:rsidR="00BF7041" w:rsidRPr="00C702C0" w:rsidRDefault="00BF7041" w:rsidP="00EE248A">
            <w:pPr>
              <w:jc w:val="center"/>
            </w:pPr>
            <w:r w:rsidRPr="00C702C0">
              <w:rPr>
                <w:sz w:val="22"/>
                <w:szCs w:val="22"/>
              </w:rPr>
              <w:t>AP &amp; SEN</w:t>
            </w:r>
          </w:p>
        </w:tc>
        <w:tc>
          <w:tcPr>
            <w:tcW w:w="1453" w:type="dxa"/>
          </w:tcPr>
          <w:p w:rsidR="00BF7041" w:rsidRPr="0098541B" w:rsidRDefault="00BF7041" w:rsidP="008D7C10">
            <w:pPr>
              <w:jc w:val="right"/>
              <w:rPr>
                <w:sz w:val="22"/>
                <w:szCs w:val="22"/>
              </w:rPr>
            </w:pPr>
            <w:r>
              <w:rPr>
                <w:sz w:val="22"/>
                <w:szCs w:val="22"/>
              </w:rPr>
              <w:t>12</w:t>
            </w:r>
          </w:p>
        </w:tc>
        <w:tc>
          <w:tcPr>
            <w:tcW w:w="1417" w:type="dxa"/>
          </w:tcPr>
          <w:p w:rsidR="00BF7041" w:rsidRPr="00C702C0" w:rsidRDefault="00E545F2" w:rsidP="000C3C21">
            <w:pPr>
              <w:jc w:val="right"/>
              <w:rPr>
                <w:sz w:val="22"/>
                <w:szCs w:val="22"/>
              </w:rPr>
            </w:pPr>
            <w:r>
              <w:rPr>
                <w:sz w:val="22"/>
                <w:szCs w:val="22"/>
              </w:rPr>
              <w:t>20</w:t>
            </w:r>
          </w:p>
        </w:tc>
        <w:tc>
          <w:tcPr>
            <w:tcW w:w="1559" w:type="dxa"/>
          </w:tcPr>
          <w:p w:rsidR="00BF7041" w:rsidRPr="00E545F2" w:rsidRDefault="00EB5668" w:rsidP="006F6A01">
            <w:pPr>
              <w:jc w:val="right"/>
              <w:rPr>
                <w:sz w:val="22"/>
                <w:szCs w:val="22"/>
              </w:rPr>
            </w:pPr>
            <w:r>
              <w:rPr>
                <w:sz w:val="22"/>
                <w:szCs w:val="22"/>
              </w:rPr>
              <w:t>20</w:t>
            </w:r>
          </w:p>
        </w:tc>
      </w:tr>
      <w:tr w:rsidR="00BF7041" w:rsidTr="00BF7041">
        <w:trPr>
          <w:trHeight w:val="256"/>
        </w:trPr>
        <w:tc>
          <w:tcPr>
            <w:tcW w:w="4635" w:type="dxa"/>
          </w:tcPr>
          <w:p w:rsidR="00BF7041" w:rsidRPr="0001529A" w:rsidRDefault="00BF7041" w:rsidP="00A37F75">
            <w:pPr>
              <w:jc w:val="both"/>
              <w:rPr>
                <w:sz w:val="22"/>
                <w:szCs w:val="22"/>
              </w:rPr>
            </w:pPr>
            <w:r w:rsidRPr="0001529A">
              <w:rPr>
                <w:sz w:val="22"/>
                <w:szCs w:val="22"/>
              </w:rPr>
              <w:t>EY Canterbury Nursery School &amp; CC</w:t>
            </w:r>
            <w:r w:rsidR="004B6E18">
              <w:rPr>
                <w:sz w:val="22"/>
                <w:szCs w:val="22"/>
              </w:rPr>
              <w:t xml:space="preserve"> *</w:t>
            </w:r>
          </w:p>
        </w:tc>
        <w:tc>
          <w:tcPr>
            <w:tcW w:w="1250" w:type="dxa"/>
          </w:tcPr>
          <w:p w:rsidR="00BF7041" w:rsidRPr="0001529A" w:rsidRDefault="00BF7041" w:rsidP="00EE248A">
            <w:pPr>
              <w:jc w:val="center"/>
              <w:rPr>
                <w:sz w:val="22"/>
                <w:szCs w:val="22"/>
              </w:rPr>
            </w:pPr>
            <w:r w:rsidRPr="0001529A">
              <w:rPr>
                <w:sz w:val="22"/>
                <w:szCs w:val="22"/>
              </w:rPr>
              <w:t>SEN</w:t>
            </w:r>
          </w:p>
        </w:tc>
        <w:tc>
          <w:tcPr>
            <w:tcW w:w="1453" w:type="dxa"/>
          </w:tcPr>
          <w:p w:rsidR="00BF7041" w:rsidRPr="0001529A" w:rsidRDefault="0003079A" w:rsidP="008D7C10">
            <w:pPr>
              <w:jc w:val="right"/>
              <w:rPr>
                <w:sz w:val="22"/>
                <w:szCs w:val="22"/>
              </w:rPr>
            </w:pPr>
            <w:r>
              <w:rPr>
                <w:sz w:val="22"/>
                <w:szCs w:val="22"/>
              </w:rPr>
              <w:t>1</w:t>
            </w:r>
          </w:p>
        </w:tc>
        <w:tc>
          <w:tcPr>
            <w:tcW w:w="1417" w:type="dxa"/>
          </w:tcPr>
          <w:p w:rsidR="00BF7041" w:rsidRPr="0001529A" w:rsidRDefault="0003079A" w:rsidP="000C3C21">
            <w:pPr>
              <w:jc w:val="right"/>
              <w:rPr>
                <w:sz w:val="22"/>
                <w:szCs w:val="22"/>
              </w:rPr>
            </w:pPr>
            <w:r>
              <w:rPr>
                <w:sz w:val="22"/>
                <w:szCs w:val="22"/>
              </w:rPr>
              <w:t>12</w:t>
            </w:r>
          </w:p>
        </w:tc>
        <w:tc>
          <w:tcPr>
            <w:tcW w:w="1559" w:type="dxa"/>
          </w:tcPr>
          <w:p w:rsidR="00BF7041" w:rsidRPr="00E545F2" w:rsidRDefault="0003079A" w:rsidP="006F6A01">
            <w:pPr>
              <w:jc w:val="right"/>
              <w:rPr>
                <w:sz w:val="22"/>
                <w:szCs w:val="22"/>
              </w:rPr>
            </w:pPr>
            <w:r>
              <w:rPr>
                <w:sz w:val="22"/>
                <w:szCs w:val="22"/>
              </w:rPr>
              <w:t>12</w:t>
            </w:r>
          </w:p>
        </w:tc>
      </w:tr>
      <w:tr w:rsidR="00BF7041" w:rsidTr="00BF7041">
        <w:trPr>
          <w:trHeight w:val="241"/>
        </w:trPr>
        <w:tc>
          <w:tcPr>
            <w:tcW w:w="4635" w:type="dxa"/>
          </w:tcPr>
          <w:p w:rsidR="00BF7041" w:rsidRPr="0001529A" w:rsidRDefault="00BF7041" w:rsidP="00A37F75">
            <w:pPr>
              <w:jc w:val="both"/>
              <w:rPr>
                <w:sz w:val="22"/>
                <w:szCs w:val="22"/>
              </w:rPr>
            </w:pPr>
            <w:r w:rsidRPr="0001529A">
              <w:rPr>
                <w:sz w:val="22"/>
                <w:szCs w:val="22"/>
              </w:rPr>
              <w:t xml:space="preserve">EY </w:t>
            </w:r>
            <w:proofErr w:type="spellStart"/>
            <w:r w:rsidRPr="0001529A">
              <w:rPr>
                <w:sz w:val="22"/>
                <w:szCs w:val="22"/>
              </w:rPr>
              <w:t>Hirst</w:t>
            </w:r>
            <w:proofErr w:type="spellEnd"/>
            <w:r w:rsidRPr="0001529A">
              <w:rPr>
                <w:sz w:val="22"/>
                <w:szCs w:val="22"/>
              </w:rPr>
              <w:t xml:space="preserve"> Wood Nursery School &amp; CC</w:t>
            </w:r>
            <w:r w:rsidR="004B6E18">
              <w:rPr>
                <w:sz w:val="22"/>
                <w:szCs w:val="22"/>
              </w:rPr>
              <w:t xml:space="preserve"> *</w:t>
            </w:r>
          </w:p>
        </w:tc>
        <w:tc>
          <w:tcPr>
            <w:tcW w:w="1250" w:type="dxa"/>
          </w:tcPr>
          <w:p w:rsidR="00BF7041" w:rsidRPr="0001529A" w:rsidRDefault="00BF7041" w:rsidP="00EE248A">
            <w:pPr>
              <w:jc w:val="center"/>
              <w:rPr>
                <w:sz w:val="22"/>
                <w:szCs w:val="22"/>
              </w:rPr>
            </w:pPr>
            <w:r w:rsidRPr="0001529A">
              <w:rPr>
                <w:sz w:val="22"/>
                <w:szCs w:val="22"/>
              </w:rPr>
              <w:t>SEN</w:t>
            </w:r>
          </w:p>
        </w:tc>
        <w:tc>
          <w:tcPr>
            <w:tcW w:w="1453" w:type="dxa"/>
          </w:tcPr>
          <w:p w:rsidR="00BF7041" w:rsidRPr="0001529A" w:rsidRDefault="0003079A" w:rsidP="008D7C10">
            <w:pPr>
              <w:jc w:val="right"/>
              <w:rPr>
                <w:sz w:val="22"/>
                <w:szCs w:val="22"/>
              </w:rPr>
            </w:pPr>
            <w:r>
              <w:rPr>
                <w:sz w:val="22"/>
                <w:szCs w:val="22"/>
              </w:rPr>
              <w:t>1</w:t>
            </w:r>
          </w:p>
        </w:tc>
        <w:tc>
          <w:tcPr>
            <w:tcW w:w="1417" w:type="dxa"/>
          </w:tcPr>
          <w:p w:rsidR="00BF7041" w:rsidRPr="0001529A" w:rsidRDefault="0003079A" w:rsidP="000C3C21">
            <w:pPr>
              <w:jc w:val="right"/>
              <w:rPr>
                <w:sz w:val="22"/>
                <w:szCs w:val="22"/>
              </w:rPr>
            </w:pPr>
            <w:r>
              <w:rPr>
                <w:sz w:val="22"/>
                <w:szCs w:val="22"/>
              </w:rPr>
              <w:t>12</w:t>
            </w:r>
          </w:p>
        </w:tc>
        <w:tc>
          <w:tcPr>
            <w:tcW w:w="1559" w:type="dxa"/>
          </w:tcPr>
          <w:p w:rsidR="00BF7041" w:rsidRPr="00E545F2" w:rsidRDefault="0003079A" w:rsidP="006F6A01">
            <w:pPr>
              <w:jc w:val="right"/>
              <w:rPr>
                <w:sz w:val="22"/>
                <w:szCs w:val="22"/>
              </w:rPr>
            </w:pPr>
            <w:r>
              <w:rPr>
                <w:sz w:val="22"/>
                <w:szCs w:val="22"/>
              </w:rPr>
              <w:t>12</w:t>
            </w:r>
          </w:p>
        </w:tc>
      </w:tr>
      <w:tr w:rsidR="00BF7041" w:rsidTr="00BF7041">
        <w:trPr>
          <w:trHeight w:val="256"/>
        </w:trPr>
        <w:tc>
          <w:tcPr>
            <w:tcW w:w="4635" w:type="dxa"/>
          </w:tcPr>
          <w:p w:rsidR="00BF7041" w:rsidRPr="0001529A" w:rsidRDefault="00BF7041" w:rsidP="00A37F75">
            <w:pPr>
              <w:jc w:val="both"/>
              <w:rPr>
                <w:sz w:val="22"/>
                <w:szCs w:val="22"/>
              </w:rPr>
            </w:pPr>
            <w:r w:rsidRPr="0001529A">
              <w:rPr>
                <w:sz w:val="22"/>
                <w:szCs w:val="22"/>
              </w:rPr>
              <w:t>EY St Edmunds Nursery School &amp; CC</w:t>
            </w:r>
            <w:r w:rsidR="004B6E18">
              <w:rPr>
                <w:sz w:val="22"/>
                <w:szCs w:val="22"/>
              </w:rPr>
              <w:t xml:space="preserve"> *</w:t>
            </w:r>
          </w:p>
        </w:tc>
        <w:tc>
          <w:tcPr>
            <w:tcW w:w="1250" w:type="dxa"/>
          </w:tcPr>
          <w:p w:rsidR="00BF7041" w:rsidRPr="0001529A" w:rsidRDefault="00BF7041" w:rsidP="00EE248A">
            <w:pPr>
              <w:jc w:val="center"/>
              <w:rPr>
                <w:sz w:val="22"/>
                <w:szCs w:val="22"/>
              </w:rPr>
            </w:pPr>
            <w:r w:rsidRPr="0001529A">
              <w:rPr>
                <w:sz w:val="22"/>
                <w:szCs w:val="22"/>
              </w:rPr>
              <w:t>SEN</w:t>
            </w:r>
          </w:p>
        </w:tc>
        <w:tc>
          <w:tcPr>
            <w:tcW w:w="1453" w:type="dxa"/>
          </w:tcPr>
          <w:p w:rsidR="00BF7041" w:rsidRPr="0001529A" w:rsidRDefault="0003079A" w:rsidP="008D7C10">
            <w:pPr>
              <w:jc w:val="right"/>
              <w:rPr>
                <w:sz w:val="22"/>
                <w:szCs w:val="22"/>
              </w:rPr>
            </w:pPr>
            <w:r>
              <w:rPr>
                <w:sz w:val="22"/>
                <w:szCs w:val="22"/>
              </w:rPr>
              <w:t>10</w:t>
            </w:r>
          </w:p>
        </w:tc>
        <w:tc>
          <w:tcPr>
            <w:tcW w:w="1417" w:type="dxa"/>
          </w:tcPr>
          <w:p w:rsidR="00BF7041" w:rsidRPr="0001529A" w:rsidRDefault="0003079A" w:rsidP="000C3C21">
            <w:pPr>
              <w:jc w:val="right"/>
              <w:rPr>
                <w:sz w:val="22"/>
                <w:szCs w:val="22"/>
              </w:rPr>
            </w:pPr>
            <w:r>
              <w:rPr>
                <w:sz w:val="22"/>
                <w:szCs w:val="22"/>
              </w:rPr>
              <w:t>12</w:t>
            </w:r>
          </w:p>
        </w:tc>
        <w:tc>
          <w:tcPr>
            <w:tcW w:w="1559" w:type="dxa"/>
          </w:tcPr>
          <w:p w:rsidR="00BF7041" w:rsidRPr="00E545F2" w:rsidRDefault="0003079A" w:rsidP="006F6A01">
            <w:pPr>
              <w:jc w:val="right"/>
              <w:rPr>
                <w:sz w:val="22"/>
                <w:szCs w:val="22"/>
              </w:rPr>
            </w:pPr>
            <w:r>
              <w:rPr>
                <w:sz w:val="22"/>
                <w:szCs w:val="22"/>
              </w:rPr>
              <w:t>12</w:t>
            </w:r>
          </w:p>
        </w:tc>
      </w:tr>
      <w:tr w:rsidR="00BF7041" w:rsidTr="00BF7041">
        <w:trPr>
          <w:trHeight w:val="241"/>
        </w:trPr>
        <w:tc>
          <w:tcPr>
            <w:tcW w:w="4635" w:type="dxa"/>
          </w:tcPr>
          <w:p w:rsidR="00BF7041" w:rsidRPr="0001529A" w:rsidRDefault="00BF7041" w:rsidP="00A37F75">
            <w:pPr>
              <w:jc w:val="both"/>
              <w:rPr>
                <w:sz w:val="22"/>
                <w:szCs w:val="22"/>
              </w:rPr>
            </w:pPr>
            <w:r w:rsidRPr="0001529A">
              <w:rPr>
                <w:sz w:val="22"/>
                <w:szCs w:val="22"/>
              </w:rPr>
              <w:t>EY Strong Close Nursery School &amp; CC</w:t>
            </w:r>
            <w:r w:rsidR="004B6E18">
              <w:rPr>
                <w:sz w:val="22"/>
                <w:szCs w:val="22"/>
              </w:rPr>
              <w:t xml:space="preserve"> *</w:t>
            </w:r>
          </w:p>
        </w:tc>
        <w:tc>
          <w:tcPr>
            <w:tcW w:w="1250" w:type="dxa"/>
          </w:tcPr>
          <w:p w:rsidR="00BF7041" w:rsidRPr="0001529A" w:rsidRDefault="00BF7041" w:rsidP="00EE248A">
            <w:pPr>
              <w:jc w:val="center"/>
              <w:rPr>
                <w:sz w:val="22"/>
                <w:szCs w:val="22"/>
              </w:rPr>
            </w:pPr>
            <w:r w:rsidRPr="0001529A">
              <w:rPr>
                <w:sz w:val="22"/>
                <w:szCs w:val="22"/>
              </w:rPr>
              <w:t>SEN</w:t>
            </w:r>
          </w:p>
        </w:tc>
        <w:tc>
          <w:tcPr>
            <w:tcW w:w="1453" w:type="dxa"/>
          </w:tcPr>
          <w:p w:rsidR="00BF7041" w:rsidRPr="0001529A" w:rsidRDefault="0003079A" w:rsidP="008D7C10">
            <w:pPr>
              <w:jc w:val="right"/>
              <w:rPr>
                <w:sz w:val="22"/>
                <w:szCs w:val="22"/>
              </w:rPr>
            </w:pPr>
            <w:r>
              <w:rPr>
                <w:sz w:val="22"/>
                <w:szCs w:val="22"/>
              </w:rPr>
              <w:t>6</w:t>
            </w:r>
          </w:p>
        </w:tc>
        <w:tc>
          <w:tcPr>
            <w:tcW w:w="1417" w:type="dxa"/>
          </w:tcPr>
          <w:p w:rsidR="00BF7041" w:rsidRPr="0001529A" w:rsidRDefault="0003079A" w:rsidP="000C3C21">
            <w:pPr>
              <w:jc w:val="right"/>
              <w:rPr>
                <w:sz w:val="22"/>
                <w:szCs w:val="22"/>
              </w:rPr>
            </w:pPr>
            <w:r>
              <w:rPr>
                <w:sz w:val="22"/>
                <w:szCs w:val="22"/>
              </w:rPr>
              <w:t>12</w:t>
            </w:r>
          </w:p>
        </w:tc>
        <w:tc>
          <w:tcPr>
            <w:tcW w:w="1559" w:type="dxa"/>
          </w:tcPr>
          <w:p w:rsidR="00BF7041" w:rsidRPr="00E545F2" w:rsidRDefault="0003079A" w:rsidP="006F6A01">
            <w:pPr>
              <w:jc w:val="right"/>
              <w:rPr>
                <w:sz w:val="22"/>
                <w:szCs w:val="22"/>
              </w:rPr>
            </w:pPr>
            <w:r>
              <w:rPr>
                <w:sz w:val="22"/>
                <w:szCs w:val="22"/>
              </w:rPr>
              <w:t>12</w:t>
            </w:r>
          </w:p>
        </w:tc>
      </w:tr>
      <w:tr w:rsidR="00BF7041" w:rsidTr="00BF7041">
        <w:trPr>
          <w:trHeight w:val="256"/>
        </w:trPr>
        <w:tc>
          <w:tcPr>
            <w:tcW w:w="4635" w:type="dxa"/>
          </w:tcPr>
          <w:p w:rsidR="00BF7041" w:rsidRPr="0001529A" w:rsidRDefault="00BF7041" w:rsidP="00167917">
            <w:pPr>
              <w:jc w:val="both"/>
              <w:rPr>
                <w:sz w:val="22"/>
                <w:szCs w:val="22"/>
              </w:rPr>
            </w:pPr>
            <w:r w:rsidRPr="0001529A">
              <w:rPr>
                <w:sz w:val="22"/>
                <w:szCs w:val="22"/>
              </w:rPr>
              <w:t xml:space="preserve">EY </w:t>
            </w:r>
            <w:proofErr w:type="spellStart"/>
            <w:r w:rsidRPr="0001529A">
              <w:rPr>
                <w:sz w:val="22"/>
                <w:szCs w:val="22"/>
              </w:rPr>
              <w:t>Barkerend</w:t>
            </w:r>
            <w:proofErr w:type="spellEnd"/>
            <w:r w:rsidRPr="0001529A">
              <w:rPr>
                <w:sz w:val="22"/>
                <w:szCs w:val="22"/>
              </w:rPr>
              <w:t xml:space="preserve"> (Children’s Place)</w:t>
            </w:r>
          </w:p>
        </w:tc>
        <w:tc>
          <w:tcPr>
            <w:tcW w:w="1250" w:type="dxa"/>
          </w:tcPr>
          <w:p w:rsidR="00BF7041" w:rsidRPr="0001529A" w:rsidRDefault="00BF7041" w:rsidP="00EE248A">
            <w:pPr>
              <w:jc w:val="center"/>
              <w:rPr>
                <w:sz w:val="22"/>
                <w:szCs w:val="22"/>
              </w:rPr>
            </w:pPr>
            <w:r w:rsidRPr="0001529A">
              <w:rPr>
                <w:sz w:val="22"/>
                <w:szCs w:val="22"/>
              </w:rPr>
              <w:t>SEN</w:t>
            </w:r>
          </w:p>
        </w:tc>
        <w:tc>
          <w:tcPr>
            <w:tcW w:w="1453" w:type="dxa"/>
          </w:tcPr>
          <w:p w:rsidR="00BF7041" w:rsidRPr="0001529A" w:rsidRDefault="0003079A" w:rsidP="008D7C10">
            <w:pPr>
              <w:jc w:val="right"/>
              <w:rPr>
                <w:sz w:val="22"/>
                <w:szCs w:val="22"/>
              </w:rPr>
            </w:pPr>
            <w:r>
              <w:rPr>
                <w:sz w:val="22"/>
                <w:szCs w:val="22"/>
              </w:rPr>
              <w:t>7</w:t>
            </w:r>
          </w:p>
        </w:tc>
        <w:tc>
          <w:tcPr>
            <w:tcW w:w="1417" w:type="dxa"/>
          </w:tcPr>
          <w:p w:rsidR="00BF7041" w:rsidRPr="0001529A" w:rsidRDefault="0003079A" w:rsidP="000C3C21">
            <w:pPr>
              <w:jc w:val="right"/>
              <w:rPr>
                <w:sz w:val="22"/>
                <w:szCs w:val="22"/>
              </w:rPr>
            </w:pPr>
            <w:r>
              <w:rPr>
                <w:sz w:val="22"/>
                <w:szCs w:val="22"/>
              </w:rPr>
              <w:t>10</w:t>
            </w:r>
          </w:p>
        </w:tc>
        <w:tc>
          <w:tcPr>
            <w:tcW w:w="1559" w:type="dxa"/>
          </w:tcPr>
          <w:p w:rsidR="00BF7041" w:rsidRPr="00E545F2" w:rsidRDefault="0003079A" w:rsidP="006F6A01">
            <w:pPr>
              <w:jc w:val="right"/>
              <w:rPr>
                <w:sz w:val="22"/>
                <w:szCs w:val="22"/>
              </w:rPr>
            </w:pPr>
            <w:r>
              <w:rPr>
                <w:sz w:val="22"/>
                <w:szCs w:val="22"/>
              </w:rPr>
              <w:t>10</w:t>
            </w:r>
          </w:p>
        </w:tc>
      </w:tr>
      <w:tr w:rsidR="00BF7041" w:rsidTr="00BF7041">
        <w:trPr>
          <w:trHeight w:val="241"/>
        </w:trPr>
        <w:tc>
          <w:tcPr>
            <w:tcW w:w="4635" w:type="dxa"/>
          </w:tcPr>
          <w:p w:rsidR="00BF7041" w:rsidRPr="0001529A" w:rsidRDefault="00BF7041" w:rsidP="00167917">
            <w:pPr>
              <w:jc w:val="both"/>
              <w:rPr>
                <w:sz w:val="22"/>
                <w:szCs w:val="22"/>
              </w:rPr>
            </w:pPr>
            <w:r w:rsidRPr="0001529A">
              <w:rPr>
                <w:sz w:val="22"/>
                <w:szCs w:val="22"/>
              </w:rPr>
              <w:t xml:space="preserve">EY </w:t>
            </w:r>
            <w:proofErr w:type="spellStart"/>
            <w:r w:rsidRPr="0001529A">
              <w:rPr>
                <w:sz w:val="22"/>
                <w:szCs w:val="22"/>
              </w:rPr>
              <w:t>Woodroyd</w:t>
            </w:r>
            <w:proofErr w:type="spellEnd"/>
            <w:r w:rsidRPr="0001529A">
              <w:rPr>
                <w:sz w:val="22"/>
                <w:szCs w:val="22"/>
              </w:rPr>
              <w:t xml:space="preserve"> Children’s Centre</w:t>
            </w:r>
          </w:p>
        </w:tc>
        <w:tc>
          <w:tcPr>
            <w:tcW w:w="1250" w:type="dxa"/>
          </w:tcPr>
          <w:p w:rsidR="00BF7041" w:rsidRPr="0001529A" w:rsidRDefault="00BF7041" w:rsidP="00EE248A">
            <w:pPr>
              <w:jc w:val="center"/>
              <w:rPr>
                <w:sz w:val="22"/>
                <w:szCs w:val="22"/>
              </w:rPr>
            </w:pPr>
            <w:r w:rsidRPr="0001529A">
              <w:rPr>
                <w:sz w:val="22"/>
                <w:szCs w:val="22"/>
              </w:rPr>
              <w:t>SEN</w:t>
            </w:r>
          </w:p>
        </w:tc>
        <w:tc>
          <w:tcPr>
            <w:tcW w:w="1453" w:type="dxa"/>
          </w:tcPr>
          <w:p w:rsidR="00BF7041" w:rsidRPr="0001529A" w:rsidRDefault="0003079A" w:rsidP="008D7C10">
            <w:pPr>
              <w:jc w:val="right"/>
              <w:rPr>
                <w:sz w:val="22"/>
                <w:szCs w:val="22"/>
              </w:rPr>
            </w:pPr>
            <w:r>
              <w:rPr>
                <w:sz w:val="22"/>
                <w:szCs w:val="22"/>
              </w:rPr>
              <w:t>3</w:t>
            </w:r>
          </w:p>
        </w:tc>
        <w:tc>
          <w:tcPr>
            <w:tcW w:w="1417" w:type="dxa"/>
          </w:tcPr>
          <w:p w:rsidR="00BF7041" w:rsidRPr="0001529A" w:rsidRDefault="0003079A" w:rsidP="000C3C21">
            <w:pPr>
              <w:jc w:val="right"/>
              <w:rPr>
                <w:sz w:val="22"/>
                <w:szCs w:val="22"/>
              </w:rPr>
            </w:pPr>
            <w:r>
              <w:rPr>
                <w:sz w:val="22"/>
                <w:szCs w:val="22"/>
              </w:rPr>
              <w:t>10</w:t>
            </w:r>
          </w:p>
        </w:tc>
        <w:tc>
          <w:tcPr>
            <w:tcW w:w="1559" w:type="dxa"/>
          </w:tcPr>
          <w:p w:rsidR="00BF7041" w:rsidRPr="00E545F2" w:rsidRDefault="0003079A" w:rsidP="006F6A01">
            <w:pPr>
              <w:jc w:val="right"/>
              <w:rPr>
                <w:sz w:val="22"/>
                <w:szCs w:val="22"/>
              </w:rPr>
            </w:pPr>
            <w:r>
              <w:rPr>
                <w:sz w:val="22"/>
                <w:szCs w:val="22"/>
              </w:rPr>
              <w:t>10</w:t>
            </w:r>
          </w:p>
        </w:tc>
      </w:tr>
      <w:tr w:rsidR="00BF7041" w:rsidTr="00BF7041">
        <w:trPr>
          <w:trHeight w:val="256"/>
        </w:trPr>
        <w:tc>
          <w:tcPr>
            <w:tcW w:w="4635" w:type="dxa"/>
          </w:tcPr>
          <w:p w:rsidR="00BF7041" w:rsidRPr="00E439E1" w:rsidRDefault="00BF7041" w:rsidP="00167917">
            <w:pPr>
              <w:jc w:val="both"/>
              <w:rPr>
                <w:sz w:val="22"/>
                <w:szCs w:val="22"/>
              </w:rPr>
            </w:pPr>
            <w:r w:rsidRPr="00E439E1">
              <w:rPr>
                <w:sz w:val="22"/>
                <w:szCs w:val="22"/>
              </w:rPr>
              <w:t xml:space="preserve">ARC - </w:t>
            </w:r>
            <w:proofErr w:type="spellStart"/>
            <w:r w:rsidRPr="00E439E1">
              <w:rPr>
                <w:sz w:val="22"/>
                <w:szCs w:val="22"/>
              </w:rPr>
              <w:t>Girlington</w:t>
            </w:r>
            <w:proofErr w:type="spellEnd"/>
            <w:r w:rsidRPr="00E439E1">
              <w:rPr>
                <w:sz w:val="22"/>
                <w:szCs w:val="22"/>
              </w:rPr>
              <w:t xml:space="preserve"> Primary School</w:t>
            </w:r>
          </w:p>
        </w:tc>
        <w:tc>
          <w:tcPr>
            <w:tcW w:w="1250" w:type="dxa"/>
          </w:tcPr>
          <w:p w:rsidR="00BF7041" w:rsidRPr="00E439E1" w:rsidRDefault="00BF7041" w:rsidP="00EE248A">
            <w:pPr>
              <w:jc w:val="center"/>
              <w:rPr>
                <w:sz w:val="22"/>
                <w:szCs w:val="22"/>
              </w:rP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15</w:t>
            </w:r>
          </w:p>
        </w:tc>
        <w:tc>
          <w:tcPr>
            <w:tcW w:w="1417" w:type="dxa"/>
          </w:tcPr>
          <w:p w:rsidR="00BF7041" w:rsidRPr="00E439E1" w:rsidRDefault="00184E27" w:rsidP="000C3C21">
            <w:pPr>
              <w:jc w:val="right"/>
              <w:rPr>
                <w:sz w:val="22"/>
                <w:szCs w:val="22"/>
              </w:rPr>
            </w:pPr>
            <w:r>
              <w:rPr>
                <w:sz w:val="22"/>
                <w:szCs w:val="22"/>
              </w:rPr>
              <w:t>20</w:t>
            </w:r>
          </w:p>
        </w:tc>
        <w:tc>
          <w:tcPr>
            <w:tcW w:w="1559" w:type="dxa"/>
          </w:tcPr>
          <w:p w:rsidR="00BF7041" w:rsidRPr="00E545F2" w:rsidRDefault="002A5B9D" w:rsidP="006F6A01">
            <w:pPr>
              <w:jc w:val="right"/>
              <w:rPr>
                <w:sz w:val="22"/>
                <w:szCs w:val="22"/>
              </w:rPr>
            </w:pPr>
            <w:r>
              <w:rPr>
                <w:sz w:val="22"/>
                <w:szCs w:val="22"/>
              </w:rPr>
              <w:t>20</w:t>
            </w:r>
          </w:p>
        </w:tc>
      </w:tr>
      <w:tr w:rsidR="00BF7041" w:rsidTr="00BF7041">
        <w:trPr>
          <w:trHeight w:val="256"/>
        </w:trPr>
        <w:tc>
          <w:tcPr>
            <w:tcW w:w="4635" w:type="dxa"/>
          </w:tcPr>
          <w:p w:rsidR="00BF7041" w:rsidRPr="00E439E1" w:rsidRDefault="00BF7041" w:rsidP="00167917">
            <w:pPr>
              <w:jc w:val="both"/>
              <w:rPr>
                <w:sz w:val="22"/>
                <w:szCs w:val="22"/>
              </w:rPr>
            </w:pPr>
            <w:r w:rsidRPr="00E439E1">
              <w:rPr>
                <w:sz w:val="22"/>
                <w:szCs w:val="22"/>
              </w:rPr>
              <w:t>ARC - Swain House Primary School</w:t>
            </w:r>
          </w:p>
        </w:tc>
        <w:tc>
          <w:tcPr>
            <w:tcW w:w="1250" w:type="dxa"/>
          </w:tcPr>
          <w:p w:rsidR="00BF7041" w:rsidRPr="00E439E1" w:rsidRDefault="00BF7041" w:rsidP="00EE248A">
            <w:pPr>
              <w:jc w:val="center"/>
              <w:rPr>
                <w:sz w:val="22"/>
                <w:szCs w:val="22"/>
              </w:rP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16</w:t>
            </w:r>
          </w:p>
        </w:tc>
        <w:tc>
          <w:tcPr>
            <w:tcW w:w="1417" w:type="dxa"/>
          </w:tcPr>
          <w:p w:rsidR="00BF7041" w:rsidRPr="00E439E1" w:rsidRDefault="00184E27" w:rsidP="000C3C21">
            <w:pPr>
              <w:jc w:val="right"/>
              <w:rPr>
                <w:sz w:val="22"/>
                <w:szCs w:val="22"/>
              </w:rPr>
            </w:pPr>
            <w:r>
              <w:rPr>
                <w:sz w:val="22"/>
                <w:szCs w:val="22"/>
              </w:rPr>
              <w:t>25</w:t>
            </w:r>
          </w:p>
        </w:tc>
        <w:tc>
          <w:tcPr>
            <w:tcW w:w="1559" w:type="dxa"/>
          </w:tcPr>
          <w:p w:rsidR="00BF7041" w:rsidRPr="00E545F2" w:rsidRDefault="002A5B9D" w:rsidP="006F6A01">
            <w:pPr>
              <w:jc w:val="right"/>
              <w:rPr>
                <w:sz w:val="22"/>
                <w:szCs w:val="22"/>
              </w:rPr>
            </w:pPr>
            <w:r>
              <w:rPr>
                <w:sz w:val="22"/>
                <w:szCs w:val="22"/>
              </w:rPr>
              <w:t>25</w:t>
            </w:r>
          </w:p>
        </w:tc>
      </w:tr>
      <w:tr w:rsidR="00BF7041" w:rsidTr="00BF7041">
        <w:trPr>
          <w:trHeight w:val="241"/>
        </w:trPr>
        <w:tc>
          <w:tcPr>
            <w:tcW w:w="4635" w:type="dxa"/>
          </w:tcPr>
          <w:p w:rsidR="00BF7041" w:rsidRPr="00E439E1" w:rsidRDefault="00BF7041" w:rsidP="00167917">
            <w:pPr>
              <w:jc w:val="both"/>
              <w:rPr>
                <w:sz w:val="22"/>
                <w:szCs w:val="22"/>
              </w:rPr>
            </w:pPr>
            <w:r w:rsidRPr="00E439E1">
              <w:rPr>
                <w:sz w:val="22"/>
                <w:szCs w:val="22"/>
              </w:rPr>
              <w:t>ARC - Grove House Primary School</w:t>
            </w:r>
          </w:p>
        </w:tc>
        <w:tc>
          <w:tcPr>
            <w:tcW w:w="1250" w:type="dxa"/>
          </w:tcPr>
          <w:p w:rsidR="00BF7041" w:rsidRPr="00E439E1" w:rsidRDefault="00BF7041" w:rsidP="00EE248A">
            <w:pPr>
              <w:jc w:val="center"/>
              <w:rPr>
                <w:sz w:val="22"/>
                <w:szCs w:val="22"/>
              </w:rP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10</w:t>
            </w:r>
          </w:p>
        </w:tc>
        <w:tc>
          <w:tcPr>
            <w:tcW w:w="1417" w:type="dxa"/>
          </w:tcPr>
          <w:p w:rsidR="00BF7041" w:rsidRPr="00E439E1" w:rsidRDefault="00184E27" w:rsidP="000C3C21">
            <w:pPr>
              <w:jc w:val="right"/>
              <w:rPr>
                <w:sz w:val="22"/>
                <w:szCs w:val="22"/>
              </w:rPr>
            </w:pPr>
            <w:r>
              <w:rPr>
                <w:sz w:val="22"/>
                <w:szCs w:val="22"/>
              </w:rPr>
              <w:t>12</w:t>
            </w:r>
          </w:p>
        </w:tc>
        <w:tc>
          <w:tcPr>
            <w:tcW w:w="1559" w:type="dxa"/>
          </w:tcPr>
          <w:p w:rsidR="00BF7041" w:rsidRPr="00E545F2" w:rsidRDefault="002A5B9D" w:rsidP="006F6A01">
            <w:pPr>
              <w:jc w:val="right"/>
              <w:rPr>
                <w:sz w:val="22"/>
                <w:szCs w:val="22"/>
              </w:rPr>
            </w:pPr>
            <w:r>
              <w:rPr>
                <w:sz w:val="22"/>
                <w:szCs w:val="22"/>
              </w:rPr>
              <w:t>12</w:t>
            </w:r>
          </w:p>
        </w:tc>
      </w:tr>
      <w:tr w:rsidR="00BF7041" w:rsidTr="00BF7041">
        <w:trPr>
          <w:trHeight w:val="241"/>
        </w:trPr>
        <w:tc>
          <w:tcPr>
            <w:tcW w:w="4635" w:type="dxa"/>
          </w:tcPr>
          <w:p w:rsidR="00BF7041" w:rsidRPr="00E439E1" w:rsidRDefault="00BF7041" w:rsidP="00167917">
            <w:pPr>
              <w:jc w:val="both"/>
              <w:rPr>
                <w:sz w:val="22"/>
                <w:szCs w:val="22"/>
              </w:rPr>
            </w:pPr>
            <w:r w:rsidRPr="00E439E1">
              <w:rPr>
                <w:sz w:val="22"/>
                <w:szCs w:val="22"/>
              </w:rPr>
              <w:t>ARC – Hanson School</w:t>
            </w:r>
            <w:r w:rsidR="004B6E18">
              <w:rPr>
                <w:sz w:val="22"/>
                <w:szCs w:val="22"/>
              </w:rPr>
              <w:t xml:space="preserve"> *</w:t>
            </w:r>
          </w:p>
        </w:tc>
        <w:tc>
          <w:tcPr>
            <w:tcW w:w="1250" w:type="dxa"/>
          </w:tcPr>
          <w:p w:rsidR="00BF7041" w:rsidRPr="00E439E1" w:rsidRDefault="00BF7041" w:rsidP="00EE248A">
            <w:pPr>
              <w:jc w:val="center"/>
              <w:rPr>
                <w:sz w:val="22"/>
                <w:szCs w:val="22"/>
              </w:rP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53</w:t>
            </w:r>
          </w:p>
        </w:tc>
        <w:tc>
          <w:tcPr>
            <w:tcW w:w="1417" w:type="dxa"/>
          </w:tcPr>
          <w:p w:rsidR="00BF7041" w:rsidRPr="00E439E1" w:rsidRDefault="00184E27" w:rsidP="000C3C21">
            <w:pPr>
              <w:jc w:val="right"/>
              <w:rPr>
                <w:sz w:val="22"/>
                <w:szCs w:val="22"/>
              </w:rPr>
            </w:pPr>
            <w:r>
              <w:rPr>
                <w:sz w:val="22"/>
                <w:szCs w:val="22"/>
              </w:rPr>
              <w:t>65</w:t>
            </w:r>
          </w:p>
        </w:tc>
        <w:tc>
          <w:tcPr>
            <w:tcW w:w="1559" w:type="dxa"/>
          </w:tcPr>
          <w:p w:rsidR="00BF7041" w:rsidRPr="00E545F2" w:rsidRDefault="002A5B9D" w:rsidP="00E439E1">
            <w:pPr>
              <w:jc w:val="right"/>
              <w:rPr>
                <w:sz w:val="22"/>
                <w:szCs w:val="22"/>
              </w:rPr>
            </w:pPr>
            <w:r>
              <w:rPr>
                <w:sz w:val="22"/>
                <w:szCs w:val="22"/>
              </w:rPr>
              <w:t>65</w:t>
            </w:r>
          </w:p>
        </w:tc>
      </w:tr>
      <w:tr w:rsidR="00BF7041" w:rsidTr="00BF7041">
        <w:trPr>
          <w:trHeight w:val="256"/>
        </w:trPr>
        <w:tc>
          <w:tcPr>
            <w:tcW w:w="4635" w:type="dxa"/>
          </w:tcPr>
          <w:p w:rsidR="00BF7041" w:rsidRPr="00E439E1" w:rsidRDefault="00BF7041" w:rsidP="00167917">
            <w:pPr>
              <w:jc w:val="both"/>
              <w:rPr>
                <w:sz w:val="22"/>
                <w:szCs w:val="22"/>
              </w:rPr>
            </w:pPr>
            <w:r w:rsidRPr="00E439E1">
              <w:rPr>
                <w:sz w:val="22"/>
                <w:szCs w:val="22"/>
              </w:rPr>
              <w:t>Special – Beechcliffe School</w:t>
            </w:r>
          </w:p>
        </w:tc>
        <w:tc>
          <w:tcPr>
            <w:tcW w:w="1250" w:type="dxa"/>
          </w:tcPr>
          <w:p w:rsidR="00BF7041" w:rsidRPr="00E439E1" w:rsidRDefault="00BF7041" w:rsidP="001B539D">
            <w:pPr>
              <w:jc w:val="cente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107</w:t>
            </w:r>
          </w:p>
        </w:tc>
        <w:tc>
          <w:tcPr>
            <w:tcW w:w="1417" w:type="dxa"/>
          </w:tcPr>
          <w:p w:rsidR="00BF7041" w:rsidRPr="00E439E1" w:rsidRDefault="00935F21" w:rsidP="000C3C21">
            <w:pPr>
              <w:jc w:val="right"/>
              <w:rPr>
                <w:sz w:val="22"/>
                <w:szCs w:val="22"/>
              </w:rPr>
            </w:pPr>
            <w:r>
              <w:rPr>
                <w:sz w:val="22"/>
                <w:szCs w:val="22"/>
              </w:rPr>
              <w:t>99</w:t>
            </w:r>
          </w:p>
        </w:tc>
        <w:tc>
          <w:tcPr>
            <w:tcW w:w="1559" w:type="dxa"/>
          </w:tcPr>
          <w:p w:rsidR="00BF7041" w:rsidRPr="00E545F2" w:rsidRDefault="00935F21" w:rsidP="006F6A01">
            <w:pPr>
              <w:jc w:val="right"/>
              <w:rPr>
                <w:sz w:val="22"/>
                <w:szCs w:val="22"/>
              </w:rPr>
            </w:pPr>
            <w:r>
              <w:rPr>
                <w:sz w:val="22"/>
                <w:szCs w:val="22"/>
              </w:rPr>
              <w:t>107</w:t>
            </w:r>
          </w:p>
        </w:tc>
      </w:tr>
      <w:tr w:rsidR="00BF7041" w:rsidTr="00BF7041">
        <w:trPr>
          <w:trHeight w:val="241"/>
        </w:trPr>
        <w:tc>
          <w:tcPr>
            <w:tcW w:w="4635" w:type="dxa"/>
          </w:tcPr>
          <w:p w:rsidR="00BF7041" w:rsidRPr="00E439E1" w:rsidRDefault="00BF7041" w:rsidP="00167917">
            <w:pPr>
              <w:jc w:val="both"/>
              <w:rPr>
                <w:sz w:val="22"/>
                <w:szCs w:val="22"/>
              </w:rPr>
            </w:pPr>
            <w:r w:rsidRPr="00E439E1">
              <w:rPr>
                <w:sz w:val="22"/>
                <w:szCs w:val="22"/>
              </w:rPr>
              <w:t xml:space="preserve">Special – </w:t>
            </w:r>
            <w:proofErr w:type="spellStart"/>
            <w:r w:rsidRPr="00E439E1">
              <w:rPr>
                <w:sz w:val="22"/>
                <w:szCs w:val="22"/>
              </w:rPr>
              <w:t>Chellow</w:t>
            </w:r>
            <w:proofErr w:type="spellEnd"/>
            <w:r w:rsidRPr="00E439E1">
              <w:rPr>
                <w:sz w:val="22"/>
                <w:szCs w:val="22"/>
              </w:rPr>
              <w:t xml:space="preserve"> Heights School</w:t>
            </w:r>
          </w:p>
        </w:tc>
        <w:tc>
          <w:tcPr>
            <w:tcW w:w="1250" w:type="dxa"/>
          </w:tcPr>
          <w:p w:rsidR="00BF7041" w:rsidRPr="00E439E1" w:rsidRDefault="00BF7041" w:rsidP="001B539D">
            <w:pPr>
              <w:jc w:val="cente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183</w:t>
            </w:r>
          </w:p>
        </w:tc>
        <w:tc>
          <w:tcPr>
            <w:tcW w:w="1417" w:type="dxa"/>
          </w:tcPr>
          <w:p w:rsidR="00BF7041" w:rsidRPr="00E439E1" w:rsidRDefault="00935F21" w:rsidP="000C3C21">
            <w:pPr>
              <w:jc w:val="right"/>
              <w:rPr>
                <w:sz w:val="22"/>
                <w:szCs w:val="22"/>
              </w:rPr>
            </w:pPr>
            <w:r>
              <w:rPr>
                <w:sz w:val="22"/>
                <w:szCs w:val="22"/>
              </w:rPr>
              <w:t>165</w:t>
            </w:r>
          </w:p>
        </w:tc>
        <w:tc>
          <w:tcPr>
            <w:tcW w:w="1559" w:type="dxa"/>
          </w:tcPr>
          <w:p w:rsidR="00BF7041" w:rsidRPr="00E545F2" w:rsidRDefault="00935F21" w:rsidP="006F6A01">
            <w:pPr>
              <w:jc w:val="right"/>
              <w:rPr>
                <w:sz w:val="22"/>
                <w:szCs w:val="22"/>
              </w:rPr>
            </w:pPr>
            <w:r>
              <w:rPr>
                <w:sz w:val="22"/>
                <w:szCs w:val="22"/>
              </w:rPr>
              <w:t>183</w:t>
            </w:r>
          </w:p>
        </w:tc>
      </w:tr>
      <w:tr w:rsidR="00BF7041" w:rsidTr="00BF7041">
        <w:trPr>
          <w:trHeight w:val="256"/>
        </w:trPr>
        <w:tc>
          <w:tcPr>
            <w:tcW w:w="4635" w:type="dxa"/>
          </w:tcPr>
          <w:p w:rsidR="00BF7041" w:rsidRPr="00E439E1" w:rsidRDefault="00BF7041" w:rsidP="00167917">
            <w:pPr>
              <w:jc w:val="both"/>
              <w:rPr>
                <w:sz w:val="22"/>
                <w:szCs w:val="22"/>
              </w:rPr>
            </w:pPr>
            <w:r w:rsidRPr="00E439E1">
              <w:rPr>
                <w:sz w:val="22"/>
                <w:szCs w:val="22"/>
              </w:rPr>
              <w:t>Special – Delius School</w:t>
            </w:r>
          </w:p>
        </w:tc>
        <w:tc>
          <w:tcPr>
            <w:tcW w:w="1250" w:type="dxa"/>
          </w:tcPr>
          <w:p w:rsidR="00BF7041" w:rsidRPr="00E439E1" w:rsidRDefault="00BF7041" w:rsidP="001B539D">
            <w:pPr>
              <w:jc w:val="cente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100</w:t>
            </w:r>
          </w:p>
        </w:tc>
        <w:tc>
          <w:tcPr>
            <w:tcW w:w="1417" w:type="dxa"/>
          </w:tcPr>
          <w:p w:rsidR="00BF7041" w:rsidRPr="00E439E1" w:rsidRDefault="00935F21" w:rsidP="000C3C21">
            <w:pPr>
              <w:jc w:val="right"/>
              <w:rPr>
                <w:sz w:val="22"/>
                <w:szCs w:val="22"/>
              </w:rPr>
            </w:pPr>
            <w:r>
              <w:rPr>
                <w:sz w:val="22"/>
                <w:szCs w:val="22"/>
              </w:rPr>
              <w:t>110</w:t>
            </w:r>
          </w:p>
        </w:tc>
        <w:tc>
          <w:tcPr>
            <w:tcW w:w="1559" w:type="dxa"/>
          </w:tcPr>
          <w:p w:rsidR="00BF7041" w:rsidRPr="00E545F2" w:rsidRDefault="00935F21" w:rsidP="006F6A01">
            <w:pPr>
              <w:jc w:val="right"/>
              <w:rPr>
                <w:sz w:val="22"/>
                <w:szCs w:val="22"/>
              </w:rPr>
            </w:pPr>
            <w:r>
              <w:rPr>
                <w:sz w:val="22"/>
                <w:szCs w:val="22"/>
              </w:rPr>
              <w:t>110</w:t>
            </w:r>
          </w:p>
        </w:tc>
      </w:tr>
      <w:tr w:rsidR="00BF7041" w:rsidTr="00BF7041">
        <w:trPr>
          <w:trHeight w:val="241"/>
        </w:trPr>
        <w:tc>
          <w:tcPr>
            <w:tcW w:w="4635" w:type="dxa"/>
          </w:tcPr>
          <w:p w:rsidR="00BF7041" w:rsidRPr="00E439E1" w:rsidRDefault="00BF7041" w:rsidP="001B539D">
            <w:pPr>
              <w:jc w:val="both"/>
              <w:rPr>
                <w:sz w:val="22"/>
                <w:szCs w:val="22"/>
              </w:rPr>
            </w:pPr>
            <w:r w:rsidRPr="00E439E1">
              <w:rPr>
                <w:sz w:val="22"/>
                <w:szCs w:val="22"/>
              </w:rPr>
              <w:t xml:space="preserve">Special – </w:t>
            </w:r>
            <w:proofErr w:type="spellStart"/>
            <w:r w:rsidRPr="00E439E1">
              <w:rPr>
                <w:sz w:val="22"/>
                <w:szCs w:val="22"/>
              </w:rPr>
              <w:t>Hazelbeck</w:t>
            </w:r>
            <w:proofErr w:type="spellEnd"/>
            <w:r w:rsidRPr="00E439E1">
              <w:rPr>
                <w:sz w:val="22"/>
                <w:szCs w:val="22"/>
              </w:rPr>
              <w:t xml:space="preserve"> Academy</w:t>
            </w:r>
          </w:p>
        </w:tc>
        <w:tc>
          <w:tcPr>
            <w:tcW w:w="1250" w:type="dxa"/>
          </w:tcPr>
          <w:p w:rsidR="00BF7041" w:rsidRPr="00E439E1" w:rsidRDefault="00BF7041" w:rsidP="001B539D">
            <w:pPr>
              <w:jc w:val="cente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125</w:t>
            </w:r>
          </w:p>
        </w:tc>
        <w:tc>
          <w:tcPr>
            <w:tcW w:w="1417" w:type="dxa"/>
          </w:tcPr>
          <w:p w:rsidR="00BF7041" w:rsidRPr="00E439E1" w:rsidRDefault="00935F21" w:rsidP="000C3C21">
            <w:pPr>
              <w:jc w:val="right"/>
              <w:rPr>
                <w:sz w:val="22"/>
                <w:szCs w:val="22"/>
              </w:rPr>
            </w:pPr>
            <w:r>
              <w:rPr>
                <w:sz w:val="22"/>
                <w:szCs w:val="22"/>
              </w:rPr>
              <w:t>116</w:t>
            </w:r>
          </w:p>
        </w:tc>
        <w:tc>
          <w:tcPr>
            <w:tcW w:w="1559" w:type="dxa"/>
          </w:tcPr>
          <w:p w:rsidR="00BF7041" w:rsidRPr="00E545F2" w:rsidRDefault="00935F21" w:rsidP="006F6A01">
            <w:pPr>
              <w:jc w:val="right"/>
              <w:rPr>
                <w:sz w:val="22"/>
                <w:szCs w:val="22"/>
              </w:rPr>
            </w:pPr>
            <w:r>
              <w:rPr>
                <w:sz w:val="22"/>
                <w:szCs w:val="22"/>
              </w:rPr>
              <w:t>125</w:t>
            </w:r>
          </w:p>
        </w:tc>
      </w:tr>
      <w:tr w:rsidR="00BF7041" w:rsidTr="00BF7041">
        <w:trPr>
          <w:trHeight w:val="256"/>
        </w:trPr>
        <w:tc>
          <w:tcPr>
            <w:tcW w:w="4635" w:type="dxa"/>
          </w:tcPr>
          <w:p w:rsidR="00BF7041" w:rsidRPr="00E439E1" w:rsidRDefault="00BF7041" w:rsidP="001B539D">
            <w:pPr>
              <w:jc w:val="both"/>
              <w:rPr>
                <w:sz w:val="22"/>
                <w:szCs w:val="22"/>
              </w:rPr>
            </w:pPr>
            <w:r w:rsidRPr="00E439E1">
              <w:rPr>
                <w:sz w:val="22"/>
                <w:szCs w:val="22"/>
              </w:rPr>
              <w:t>Special – High Park School</w:t>
            </w:r>
          </w:p>
        </w:tc>
        <w:tc>
          <w:tcPr>
            <w:tcW w:w="1250" w:type="dxa"/>
          </w:tcPr>
          <w:p w:rsidR="00BF7041" w:rsidRPr="00E439E1" w:rsidRDefault="00BF7041" w:rsidP="001B539D">
            <w:pPr>
              <w:jc w:val="cente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93</w:t>
            </w:r>
          </w:p>
        </w:tc>
        <w:tc>
          <w:tcPr>
            <w:tcW w:w="1417" w:type="dxa"/>
          </w:tcPr>
          <w:p w:rsidR="00BF7041" w:rsidRPr="00E439E1" w:rsidRDefault="00935F21" w:rsidP="000C3C21">
            <w:pPr>
              <w:jc w:val="right"/>
              <w:rPr>
                <w:sz w:val="22"/>
                <w:szCs w:val="22"/>
              </w:rPr>
            </w:pPr>
            <w:r>
              <w:rPr>
                <w:sz w:val="22"/>
                <w:szCs w:val="22"/>
              </w:rPr>
              <w:t>96</w:t>
            </w:r>
          </w:p>
        </w:tc>
        <w:tc>
          <w:tcPr>
            <w:tcW w:w="1559" w:type="dxa"/>
          </w:tcPr>
          <w:p w:rsidR="00BF7041" w:rsidRPr="00E545F2" w:rsidRDefault="00935F21" w:rsidP="006F6A01">
            <w:pPr>
              <w:jc w:val="right"/>
              <w:rPr>
                <w:sz w:val="22"/>
                <w:szCs w:val="22"/>
              </w:rPr>
            </w:pPr>
            <w:r>
              <w:rPr>
                <w:sz w:val="22"/>
                <w:szCs w:val="22"/>
              </w:rPr>
              <w:t>96</w:t>
            </w:r>
          </w:p>
        </w:tc>
      </w:tr>
      <w:tr w:rsidR="00BF7041" w:rsidTr="00BF7041">
        <w:trPr>
          <w:trHeight w:val="241"/>
        </w:trPr>
        <w:tc>
          <w:tcPr>
            <w:tcW w:w="4635" w:type="dxa"/>
          </w:tcPr>
          <w:p w:rsidR="00BF7041" w:rsidRPr="00E439E1" w:rsidRDefault="00BF7041" w:rsidP="001B539D">
            <w:pPr>
              <w:jc w:val="both"/>
              <w:rPr>
                <w:sz w:val="22"/>
                <w:szCs w:val="22"/>
              </w:rPr>
            </w:pPr>
            <w:r w:rsidRPr="00E439E1">
              <w:rPr>
                <w:sz w:val="22"/>
                <w:szCs w:val="22"/>
              </w:rPr>
              <w:t>Special – Phoenix School</w:t>
            </w:r>
          </w:p>
        </w:tc>
        <w:tc>
          <w:tcPr>
            <w:tcW w:w="1250" w:type="dxa"/>
          </w:tcPr>
          <w:p w:rsidR="00BF7041" w:rsidRPr="00E439E1" w:rsidRDefault="00BF7041" w:rsidP="001B539D">
            <w:pPr>
              <w:jc w:val="center"/>
              <w:rPr>
                <w:sz w:val="22"/>
                <w:szCs w:val="22"/>
              </w:rP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77</w:t>
            </w:r>
          </w:p>
        </w:tc>
        <w:tc>
          <w:tcPr>
            <w:tcW w:w="1417" w:type="dxa"/>
          </w:tcPr>
          <w:p w:rsidR="00BF7041" w:rsidRPr="00E439E1" w:rsidRDefault="00935F21" w:rsidP="000C3C21">
            <w:pPr>
              <w:jc w:val="right"/>
              <w:rPr>
                <w:sz w:val="22"/>
                <w:szCs w:val="22"/>
              </w:rPr>
            </w:pPr>
            <w:r>
              <w:rPr>
                <w:sz w:val="22"/>
                <w:szCs w:val="22"/>
              </w:rPr>
              <w:t>80</w:t>
            </w:r>
          </w:p>
        </w:tc>
        <w:tc>
          <w:tcPr>
            <w:tcW w:w="1559" w:type="dxa"/>
          </w:tcPr>
          <w:p w:rsidR="00BF7041" w:rsidRPr="00E545F2" w:rsidRDefault="00935F21" w:rsidP="006F6A01">
            <w:pPr>
              <w:jc w:val="right"/>
              <w:rPr>
                <w:sz w:val="22"/>
                <w:szCs w:val="22"/>
              </w:rPr>
            </w:pPr>
            <w:r>
              <w:rPr>
                <w:sz w:val="22"/>
                <w:szCs w:val="22"/>
              </w:rPr>
              <w:t>80</w:t>
            </w:r>
          </w:p>
        </w:tc>
      </w:tr>
      <w:tr w:rsidR="00BF7041" w:rsidTr="00BF7041">
        <w:trPr>
          <w:trHeight w:val="256"/>
        </w:trPr>
        <w:tc>
          <w:tcPr>
            <w:tcW w:w="4635" w:type="dxa"/>
          </w:tcPr>
          <w:p w:rsidR="00BF7041" w:rsidRPr="00E439E1" w:rsidRDefault="00BF7041" w:rsidP="001B539D">
            <w:pPr>
              <w:jc w:val="both"/>
              <w:rPr>
                <w:sz w:val="22"/>
                <w:szCs w:val="22"/>
              </w:rPr>
            </w:pPr>
            <w:r w:rsidRPr="00E439E1">
              <w:rPr>
                <w:sz w:val="22"/>
                <w:szCs w:val="22"/>
              </w:rPr>
              <w:t xml:space="preserve">Special – Southfield Academy </w:t>
            </w:r>
          </w:p>
        </w:tc>
        <w:tc>
          <w:tcPr>
            <w:tcW w:w="1250" w:type="dxa"/>
          </w:tcPr>
          <w:p w:rsidR="00BF7041" w:rsidRPr="00E439E1" w:rsidRDefault="00BF7041" w:rsidP="001B539D">
            <w:pPr>
              <w:jc w:val="center"/>
            </w:pPr>
            <w:r w:rsidRPr="00E439E1">
              <w:rPr>
                <w:sz w:val="22"/>
                <w:szCs w:val="22"/>
              </w:rPr>
              <w:t>SEN</w:t>
            </w:r>
          </w:p>
        </w:tc>
        <w:tc>
          <w:tcPr>
            <w:tcW w:w="1453" w:type="dxa"/>
          </w:tcPr>
          <w:p w:rsidR="00BF7041" w:rsidRPr="00E439E1" w:rsidRDefault="00BF7041" w:rsidP="000C3C21">
            <w:pPr>
              <w:jc w:val="right"/>
              <w:rPr>
                <w:sz w:val="22"/>
                <w:szCs w:val="22"/>
              </w:rPr>
            </w:pPr>
            <w:r>
              <w:rPr>
                <w:sz w:val="22"/>
                <w:szCs w:val="22"/>
              </w:rPr>
              <w:t>226</w:t>
            </w:r>
          </w:p>
        </w:tc>
        <w:tc>
          <w:tcPr>
            <w:tcW w:w="1417" w:type="dxa"/>
          </w:tcPr>
          <w:p w:rsidR="00BF7041" w:rsidRPr="00E439E1" w:rsidRDefault="00935F21" w:rsidP="00FD0897">
            <w:pPr>
              <w:jc w:val="right"/>
              <w:rPr>
                <w:sz w:val="22"/>
                <w:szCs w:val="22"/>
              </w:rPr>
            </w:pPr>
            <w:r>
              <w:rPr>
                <w:sz w:val="22"/>
                <w:szCs w:val="22"/>
              </w:rPr>
              <w:t>217</w:t>
            </w:r>
          </w:p>
        </w:tc>
        <w:tc>
          <w:tcPr>
            <w:tcW w:w="1559" w:type="dxa"/>
          </w:tcPr>
          <w:p w:rsidR="00BF7041" w:rsidRPr="00E545F2" w:rsidRDefault="00935F21" w:rsidP="006F6A01">
            <w:pPr>
              <w:jc w:val="right"/>
              <w:rPr>
                <w:sz w:val="22"/>
                <w:szCs w:val="22"/>
              </w:rPr>
            </w:pPr>
            <w:r>
              <w:rPr>
                <w:sz w:val="22"/>
                <w:szCs w:val="22"/>
              </w:rPr>
              <w:t>226</w:t>
            </w:r>
          </w:p>
        </w:tc>
      </w:tr>
      <w:tr w:rsidR="00BF7041" w:rsidTr="00BF7041">
        <w:trPr>
          <w:trHeight w:val="241"/>
        </w:trPr>
        <w:tc>
          <w:tcPr>
            <w:tcW w:w="4635" w:type="dxa"/>
          </w:tcPr>
          <w:p w:rsidR="00BF7041" w:rsidRPr="0094226F" w:rsidRDefault="00BF7041" w:rsidP="001B539D">
            <w:pPr>
              <w:jc w:val="both"/>
              <w:rPr>
                <w:sz w:val="22"/>
                <w:szCs w:val="22"/>
              </w:rPr>
            </w:pPr>
            <w:r>
              <w:rPr>
                <w:sz w:val="22"/>
                <w:szCs w:val="22"/>
              </w:rPr>
              <w:t xml:space="preserve">Special – </w:t>
            </w:r>
            <w:proofErr w:type="spellStart"/>
            <w:r>
              <w:rPr>
                <w:sz w:val="22"/>
                <w:szCs w:val="22"/>
              </w:rPr>
              <w:t>Oastler</w:t>
            </w:r>
            <w:proofErr w:type="spellEnd"/>
            <w:r>
              <w:rPr>
                <w:sz w:val="22"/>
                <w:szCs w:val="22"/>
              </w:rPr>
              <w:t xml:space="preserve"> School</w:t>
            </w:r>
          </w:p>
        </w:tc>
        <w:tc>
          <w:tcPr>
            <w:tcW w:w="1250" w:type="dxa"/>
          </w:tcPr>
          <w:p w:rsidR="00BF7041" w:rsidRDefault="00BF7041" w:rsidP="001B539D">
            <w:pPr>
              <w:jc w:val="center"/>
            </w:pPr>
            <w:r w:rsidRPr="00524DC7">
              <w:rPr>
                <w:sz w:val="22"/>
                <w:szCs w:val="22"/>
              </w:rPr>
              <w:t>SEN</w:t>
            </w:r>
          </w:p>
        </w:tc>
        <w:tc>
          <w:tcPr>
            <w:tcW w:w="1453" w:type="dxa"/>
          </w:tcPr>
          <w:p w:rsidR="00BF7041" w:rsidRPr="0094226F" w:rsidRDefault="00BF7041" w:rsidP="000C3C21">
            <w:pPr>
              <w:jc w:val="right"/>
              <w:rPr>
                <w:sz w:val="22"/>
                <w:szCs w:val="22"/>
              </w:rPr>
            </w:pPr>
            <w:r>
              <w:rPr>
                <w:sz w:val="22"/>
                <w:szCs w:val="22"/>
              </w:rPr>
              <w:t>76</w:t>
            </w:r>
          </w:p>
        </w:tc>
        <w:tc>
          <w:tcPr>
            <w:tcW w:w="1417" w:type="dxa"/>
          </w:tcPr>
          <w:p w:rsidR="00BF7041" w:rsidRPr="0094226F" w:rsidRDefault="00935F21" w:rsidP="000C3C21">
            <w:pPr>
              <w:jc w:val="right"/>
              <w:rPr>
                <w:sz w:val="22"/>
                <w:szCs w:val="22"/>
              </w:rPr>
            </w:pPr>
            <w:r>
              <w:rPr>
                <w:sz w:val="22"/>
                <w:szCs w:val="22"/>
              </w:rPr>
              <w:t>80</w:t>
            </w:r>
          </w:p>
        </w:tc>
        <w:tc>
          <w:tcPr>
            <w:tcW w:w="1559" w:type="dxa"/>
          </w:tcPr>
          <w:p w:rsidR="00BF7041" w:rsidRPr="00E545F2" w:rsidRDefault="00935F21" w:rsidP="006F6A01">
            <w:pPr>
              <w:jc w:val="right"/>
              <w:rPr>
                <w:sz w:val="22"/>
                <w:szCs w:val="22"/>
              </w:rPr>
            </w:pPr>
            <w:r>
              <w:rPr>
                <w:sz w:val="22"/>
                <w:szCs w:val="22"/>
              </w:rPr>
              <w:t>90</w:t>
            </w:r>
          </w:p>
        </w:tc>
      </w:tr>
      <w:tr w:rsidR="00BF7041" w:rsidTr="00BF7041">
        <w:trPr>
          <w:trHeight w:val="256"/>
        </w:trPr>
        <w:tc>
          <w:tcPr>
            <w:tcW w:w="4635" w:type="dxa"/>
          </w:tcPr>
          <w:p w:rsidR="00BF7041" w:rsidRPr="00097D67" w:rsidRDefault="00BF7041" w:rsidP="00167917">
            <w:pPr>
              <w:jc w:val="both"/>
              <w:rPr>
                <w:sz w:val="22"/>
                <w:szCs w:val="22"/>
              </w:rPr>
            </w:pPr>
            <w:r w:rsidRPr="00097D67">
              <w:rPr>
                <w:sz w:val="22"/>
                <w:szCs w:val="22"/>
              </w:rPr>
              <w:t xml:space="preserve">DSP – </w:t>
            </w:r>
            <w:proofErr w:type="spellStart"/>
            <w:r w:rsidRPr="00097D67">
              <w:rPr>
                <w:sz w:val="22"/>
                <w:szCs w:val="22"/>
              </w:rPr>
              <w:t>Carrwood</w:t>
            </w:r>
            <w:proofErr w:type="spellEnd"/>
            <w:r w:rsidRPr="00097D67">
              <w:rPr>
                <w:sz w:val="22"/>
                <w:szCs w:val="22"/>
              </w:rPr>
              <w:t xml:space="preserve"> Primary School</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4</w:t>
            </w:r>
          </w:p>
        </w:tc>
        <w:tc>
          <w:tcPr>
            <w:tcW w:w="1417" w:type="dxa"/>
          </w:tcPr>
          <w:p w:rsidR="00BF7041" w:rsidRPr="00097D67" w:rsidRDefault="00A45FE6" w:rsidP="000C3C21">
            <w:pPr>
              <w:jc w:val="right"/>
              <w:rPr>
                <w:sz w:val="22"/>
                <w:szCs w:val="22"/>
              </w:rPr>
            </w:pPr>
            <w:r>
              <w:rPr>
                <w:sz w:val="22"/>
                <w:szCs w:val="22"/>
              </w:rPr>
              <w:t>8</w:t>
            </w:r>
          </w:p>
        </w:tc>
        <w:tc>
          <w:tcPr>
            <w:tcW w:w="1559" w:type="dxa"/>
          </w:tcPr>
          <w:p w:rsidR="00BF7041" w:rsidRPr="00E545F2" w:rsidRDefault="00847909" w:rsidP="006F6A01">
            <w:pPr>
              <w:jc w:val="right"/>
              <w:rPr>
                <w:sz w:val="22"/>
                <w:szCs w:val="22"/>
              </w:rPr>
            </w:pPr>
            <w:r>
              <w:rPr>
                <w:sz w:val="22"/>
                <w:szCs w:val="22"/>
              </w:rPr>
              <w:t>8</w:t>
            </w:r>
          </w:p>
        </w:tc>
      </w:tr>
      <w:tr w:rsidR="00BF7041" w:rsidTr="00BF7041">
        <w:trPr>
          <w:trHeight w:val="241"/>
        </w:trPr>
        <w:tc>
          <w:tcPr>
            <w:tcW w:w="4635" w:type="dxa"/>
          </w:tcPr>
          <w:p w:rsidR="00BF7041" w:rsidRPr="00097D67" w:rsidRDefault="00BF7041">
            <w:r w:rsidRPr="00097D67">
              <w:rPr>
                <w:sz w:val="22"/>
                <w:szCs w:val="22"/>
              </w:rPr>
              <w:t xml:space="preserve">DSP – </w:t>
            </w:r>
            <w:proofErr w:type="spellStart"/>
            <w:r w:rsidRPr="00097D67">
              <w:rPr>
                <w:sz w:val="22"/>
                <w:szCs w:val="22"/>
              </w:rPr>
              <w:t>Denholme</w:t>
            </w:r>
            <w:proofErr w:type="spellEnd"/>
            <w:r w:rsidRPr="00097D67">
              <w:rPr>
                <w:sz w:val="22"/>
                <w:szCs w:val="22"/>
              </w:rPr>
              <w:t xml:space="preserve"> Primary School</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6</w:t>
            </w:r>
          </w:p>
        </w:tc>
        <w:tc>
          <w:tcPr>
            <w:tcW w:w="1417" w:type="dxa"/>
          </w:tcPr>
          <w:p w:rsidR="00BF7041" w:rsidRPr="00097D67" w:rsidRDefault="00A45FE6" w:rsidP="000C3C21">
            <w:pPr>
              <w:jc w:val="right"/>
              <w:rPr>
                <w:sz w:val="22"/>
                <w:szCs w:val="22"/>
              </w:rPr>
            </w:pPr>
            <w:r>
              <w:rPr>
                <w:sz w:val="22"/>
                <w:szCs w:val="22"/>
              </w:rPr>
              <w:t>8</w:t>
            </w:r>
          </w:p>
        </w:tc>
        <w:tc>
          <w:tcPr>
            <w:tcW w:w="1559" w:type="dxa"/>
          </w:tcPr>
          <w:p w:rsidR="00BF7041" w:rsidRPr="00E545F2" w:rsidRDefault="00847909" w:rsidP="006F6A01">
            <w:pPr>
              <w:jc w:val="right"/>
              <w:rPr>
                <w:sz w:val="22"/>
                <w:szCs w:val="22"/>
              </w:rPr>
            </w:pPr>
            <w:r>
              <w:rPr>
                <w:sz w:val="22"/>
                <w:szCs w:val="22"/>
              </w:rPr>
              <w:t>8</w:t>
            </w:r>
          </w:p>
        </w:tc>
      </w:tr>
      <w:tr w:rsidR="00BF7041" w:rsidTr="00BF7041">
        <w:trPr>
          <w:trHeight w:val="256"/>
        </w:trPr>
        <w:tc>
          <w:tcPr>
            <w:tcW w:w="4635" w:type="dxa"/>
          </w:tcPr>
          <w:p w:rsidR="00BF7041" w:rsidRPr="00097D67" w:rsidRDefault="00BF7041">
            <w:r w:rsidRPr="00097D67">
              <w:rPr>
                <w:sz w:val="22"/>
                <w:szCs w:val="22"/>
              </w:rPr>
              <w:t>DSP – Green Lane Primary School</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13</w:t>
            </w:r>
          </w:p>
        </w:tc>
        <w:tc>
          <w:tcPr>
            <w:tcW w:w="1417" w:type="dxa"/>
          </w:tcPr>
          <w:p w:rsidR="00BF7041" w:rsidRPr="00097D67" w:rsidRDefault="00A45FE6" w:rsidP="000C3C21">
            <w:pPr>
              <w:jc w:val="right"/>
              <w:rPr>
                <w:sz w:val="22"/>
                <w:szCs w:val="22"/>
              </w:rPr>
            </w:pPr>
            <w:r>
              <w:rPr>
                <w:sz w:val="22"/>
                <w:szCs w:val="22"/>
              </w:rPr>
              <w:t>10</w:t>
            </w:r>
          </w:p>
        </w:tc>
        <w:tc>
          <w:tcPr>
            <w:tcW w:w="1559" w:type="dxa"/>
          </w:tcPr>
          <w:p w:rsidR="00BF7041" w:rsidRPr="00E545F2" w:rsidRDefault="00847909" w:rsidP="006F6A01">
            <w:pPr>
              <w:jc w:val="right"/>
              <w:rPr>
                <w:sz w:val="22"/>
                <w:szCs w:val="22"/>
              </w:rPr>
            </w:pPr>
            <w:r>
              <w:rPr>
                <w:sz w:val="22"/>
                <w:szCs w:val="22"/>
              </w:rPr>
              <w:t>1</w:t>
            </w:r>
            <w:r w:rsidR="00E728D4">
              <w:rPr>
                <w:sz w:val="22"/>
                <w:szCs w:val="22"/>
              </w:rPr>
              <w:t>3</w:t>
            </w:r>
          </w:p>
        </w:tc>
      </w:tr>
      <w:tr w:rsidR="00BF7041" w:rsidTr="00BF7041">
        <w:trPr>
          <w:trHeight w:val="256"/>
        </w:trPr>
        <w:tc>
          <w:tcPr>
            <w:tcW w:w="4635" w:type="dxa"/>
          </w:tcPr>
          <w:p w:rsidR="00BF7041" w:rsidRPr="00097D67" w:rsidRDefault="00BF7041">
            <w:r w:rsidRPr="00097D67">
              <w:rPr>
                <w:sz w:val="22"/>
                <w:szCs w:val="22"/>
              </w:rPr>
              <w:t>DSP – High Crags Primary School</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2</w:t>
            </w:r>
          </w:p>
        </w:tc>
        <w:tc>
          <w:tcPr>
            <w:tcW w:w="1417" w:type="dxa"/>
          </w:tcPr>
          <w:p w:rsidR="00BF7041" w:rsidRPr="00097D67" w:rsidRDefault="00A45FE6" w:rsidP="000C3C21">
            <w:pPr>
              <w:jc w:val="right"/>
              <w:rPr>
                <w:sz w:val="22"/>
                <w:szCs w:val="22"/>
              </w:rPr>
            </w:pPr>
            <w:r>
              <w:rPr>
                <w:sz w:val="22"/>
                <w:szCs w:val="22"/>
              </w:rPr>
              <w:t>6</w:t>
            </w:r>
          </w:p>
        </w:tc>
        <w:tc>
          <w:tcPr>
            <w:tcW w:w="1559" w:type="dxa"/>
          </w:tcPr>
          <w:p w:rsidR="00BF7041" w:rsidRPr="00E545F2" w:rsidRDefault="00847909" w:rsidP="006F6A01">
            <w:pPr>
              <w:jc w:val="right"/>
              <w:rPr>
                <w:sz w:val="22"/>
                <w:szCs w:val="22"/>
              </w:rPr>
            </w:pPr>
            <w:r>
              <w:rPr>
                <w:sz w:val="22"/>
                <w:szCs w:val="22"/>
              </w:rPr>
              <w:t>6</w:t>
            </w:r>
          </w:p>
        </w:tc>
      </w:tr>
      <w:tr w:rsidR="00BF7041" w:rsidTr="00BF7041">
        <w:trPr>
          <w:trHeight w:val="241"/>
        </w:trPr>
        <w:tc>
          <w:tcPr>
            <w:tcW w:w="4635" w:type="dxa"/>
          </w:tcPr>
          <w:p w:rsidR="00BF7041" w:rsidRPr="00097D67" w:rsidRDefault="00BF7041">
            <w:r w:rsidRPr="00097D67">
              <w:rPr>
                <w:sz w:val="22"/>
                <w:szCs w:val="22"/>
              </w:rPr>
              <w:t xml:space="preserve">DSP – </w:t>
            </w:r>
            <w:proofErr w:type="spellStart"/>
            <w:r w:rsidRPr="00097D67">
              <w:rPr>
                <w:sz w:val="22"/>
                <w:szCs w:val="22"/>
              </w:rPr>
              <w:t>Crossflatts</w:t>
            </w:r>
            <w:proofErr w:type="spellEnd"/>
            <w:r w:rsidRPr="00097D67">
              <w:rPr>
                <w:sz w:val="22"/>
                <w:szCs w:val="22"/>
              </w:rPr>
              <w:t xml:space="preserve"> Primary School</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7</w:t>
            </w:r>
          </w:p>
        </w:tc>
        <w:tc>
          <w:tcPr>
            <w:tcW w:w="1417" w:type="dxa"/>
          </w:tcPr>
          <w:p w:rsidR="00BF7041" w:rsidRPr="00097D67" w:rsidRDefault="00A45FE6" w:rsidP="000C3C21">
            <w:pPr>
              <w:jc w:val="right"/>
              <w:rPr>
                <w:sz w:val="22"/>
                <w:szCs w:val="22"/>
              </w:rPr>
            </w:pPr>
            <w:r>
              <w:rPr>
                <w:sz w:val="22"/>
                <w:szCs w:val="22"/>
              </w:rPr>
              <w:t>6</w:t>
            </w:r>
          </w:p>
        </w:tc>
        <w:tc>
          <w:tcPr>
            <w:tcW w:w="1559" w:type="dxa"/>
          </w:tcPr>
          <w:p w:rsidR="00BF7041" w:rsidRPr="00E545F2" w:rsidRDefault="00847909" w:rsidP="006F6A01">
            <w:pPr>
              <w:jc w:val="right"/>
              <w:rPr>
                <w:sz w:val="22"/>
                <w:szCs w:val="22"/>
              </w:rPr>
            </w:pPr>
            <w:r>
              <w:rPr>
                <w:sz w:val="22"/>
                <w:szCs w:val="22"/>
              </w:rPr>
              <w:t>8</w:t>
            </w:r>
          </w:p>
        </w:tc>
      </w:tr>
      <w:tr w:rsidR="00BF7041" w:rsidTr="00BF7041">
        <w:trPr>
          <w:trHeight w:val="256"/>
        </w:trPr>
        <w:tc>
          <w:tcPr>
            <w:tcW w:w="4635" w:type="dxa"/>
          </w:tcPr>
          <w:p w:rsidR="00BF7041" w:rsidRPr="00097D67" w:rsidRDefault="00BF7041" w:rsidP="00AD4C84">
            <w:r w:rsidRPr="00097D67">
              <w:rPr>
                <w:sz w:val="22"/>
                <w:szCs w:val="22"/>
              </w:rPr>
              <w:t xml:space="preserve">DSP –  </w:t>
            </w:r>
            <w:proofErr w:type="spellStart"/>
            <w:r w:rsidRPr="00097D67">
              <w:rPr>
                <w:sz w:val="22"/>
                <w:szCs w:val="22"/>
              </w:rPr>
              <w:t>Beckfoot</w:t>
            </w:r>
            <w:proofErr w:type="spellEnd"/>
            <w:r w:rsidRPr="00097D67">
              <w:rPr>
                <w:sz w:val="22"/>
                <w:szCs w:val="22"/>
              </w:rPr>
              <w:t xml:space="preserve"> Academy</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8</w:t>
            </w:r>
          </w:p>
        </w:tc>
        <w:tc>
          <w:tcPr>
            <w:tcW w:w="1417" w:type="dxa"/>
          </w:tcPr>
          <w:p w:rsidR="00BF7041" w:rsidRPr="00097D67" w:rsidRDefault="00A45FE6" w:rsidP="000C3C21">
            <w:pPr>
              <w:jc w:val="right"/>
              <w:rPr>
                <w:sz w:val="22"/>
                <w:szCs w:val="22"/>
              </w:rPr>
            </w:pPr>
            <w:r>
              <w:rPr>
                <w:sz w:val="22"/>
                <w:szCs w:val="22"/>
              </w:rPr>
              <w:t>12</w:t>
            </w:r>
          </w:p>
        </w:tc>
        <w:tc>
          <w:tcPr>
            <w:tcW w:w="1559" w:type="dxa"/>
          </w:tcPr>
          <w:p w:rsidR="00BF7041" w:rsidRPr="00E545F2" w:rsidRDefault="00847909" w:rsidP="006F6A01">
            <w:pPr>
              <w:jc w:val="right"/>
              <w:rPr>
                <w:sz w:val="22"/>
                <w:szCs w:val="22"/>
              </w:rPr>
            </w:pPr>
            <w:r>
              <w:rPr>
                <w:sz w:val="22"/>
                <w:szCs w:val="22"/>
              </w:rPr>
              <w:t>12</w:t>
            </w:r>
          </w:p>
        </w:tc>
      </w:tr>
      <w:tr w:rsidR="00BF7041" w:rsidTr="00BF7041">
        <w:trPr>
          <w:trHeight w:val="241"/>
        </w:trPr>
        <w:tc>
          <w:tcPr>
            <w:tcW w:w="4635" w:type="dxa"/>
          </w:tcPr>
          <w:p w:rsidR="00BF7041" w:rsidRPr="00097D67" w:rsidRDefault="00BF7041" w:rsidP="00AD4C84">
            <w:r w:rsidRPr="00097D67">
              <w:rPr>
                <w:sz w:val="22"/>
                <w:szCs w:val="22"/>
              </w:rPr>
              <w:t>DSP – Oasis Academy (Lister Park)</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2</w:t>
            </w:r>
          </w:p>
        </w:tc>
        <w:tc>
          <w:tcPr>
            <w:tcW w:w="1417" w:type="dxa"/>
          </w:tcPr>
          <w:p w:rsidR="00BF7041" w:rsidRPr="00097D67" w:rsidRDefault="00A45FE6" w:rsidP="000C3C21">
            <w:pPr>
              <w:jc w:val="right"/>
              <w:rPr>
                <w:sz w:val="22"/>
                <w:szCs w:val="22"/>
              </w:rPr>
            </w:pPr>
            <w:r>
              <w:rPr>
                <w:sz w:val="22"/>
                <w:szCs w:val="22"/>
              </w:rPr>
              <w:t>9</w:t>
            </w:r>
          </w:p>
        </w:tc>
        <w:tc>
          <w:tcPr>
            <w:tcW w:w="1559" w:type="dxa"/>
          </w:tcPr>
          <w:p w:rsidR="00BF7041" w:rsidRPr="00A45FE6" w:rsidRDefault="00847909" w:rsidP="006F6A01">
            <w:pPr>
              <w:jc w:val="right"/>
              <w:rPr>
                <w:sz w:val="22"/>
                <w:szCs w:val="22"/>
              </w:rPr>
            </w:pPr>
            <w:r>
              <w:rPr>
                <w:sz w:val="22"/>
                <w:szCs w:val="22"/>
              </w:rPr>
              <w:t>6</w:t>
            </w:r>
          </w:p>
        </w:tc>
      </w:tr>
      <w:tr w:rsidR="00BF7041" w:rsidTr="00BF7041">
        <w:trPr>
          <w:trHeight w:val="256"/>
        </w:trPr>
        <w:tc>
          <w:tcPr>
            <w:tcW w:w="4635" w:type="dxa"/>
          </w:tcPr>
          <w:p w:rsidR="00BF7041" w:rsidRPr="00097D67" w:rsidRDefault="00BF7041">
            <w:r w:rsidRPr="00097D67">
              <w:rPr>
                <w:sz w:val="22"/>
                <w:szCs w:val="22"/>
              </w:rPr>
              <w:t>DSP – Grange Technology College</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22</w:t>
            </w:r>
          </w:p>
        </w:tc>
        <w:tc>
          <w:tcPr>
            <w:tcW w:w="1417" w:type="dxa"/>
          </w:tcPr>
          <w:p w:rsidR="00BF7041" w:rsidRPr="00097D67" w:rsidRDefault="00A45FE6" w:rsidP="000C3C21">
            <w:pPr>
              <w:jc w:val="right"/>
              <w:rPr>
                <w:sz w:val="22"/>
                <w:szCs w:val="22"/>
              </w:rPr>
            </w:pPr>
            <w:r>
              <w:rPr>
                <w:sz w:val="22"/>
                <w:szCs w:val="22"/>
              </w:rPr>
              <w:t>21</w:t>
            </w:r>
          </w:p>
        </w:tc>
        <w:tc>
          <w:tcPr>
            <w:tcW w:w="1559" w:type="dxa"/>
          </w:tcPr>
          <w:p w:rsidR="00BF7041" w:rsidRPr="00A45FE6" w:rsidRDefault="00847909" w:rsidP="006F6A01">
            <w:pPr>
              <w:jc w:val="right"/>
              <w:rPr>
                <w:sz w:val="22"/>
                <w:szCs w:val="22"/>
              </w:rPr>
            </w:pPr>
            <w:r>
              <w:rPr>
                <w:sz w:val="22"/>
                <w:szCs w:val="22"/>
              </w:rPr>
              <w:t>2</w:t>
            </w:r>
            <w:r w:rsidR="000232CB">
              <w:rPr>
                <w:sz w:val="22"/>
                <w:szCs w:val="22"/>
              </w:rPr>
              <w:t>2</w:t>
            </w:r>
          </w:p>
        </w:tc>
      </w:tr>
      <w:tr w:rsidR="00BF7041" w:rsidTr="00BF7041">
        <w:trPr>
          <w:trHeight w:val="241"/>
        </w:trPr>
        <w:tc>
          <w:tcPr>
            <w:tcW w:w="4635" w:type="dxa"/>
          </w:tcPr>
          <w:p w:rsidR="00BF7041" w:rsidRPr="00097D67" w:rsidRDefault="00BF7041" w:rsidP="00AD4C84">
            <w:r w:rsidRPr="00097D67">
              <w:rPr>
                <w:sz w:val="22"/>
                <w:szCs w:val="22"/>
              </w:rPr>
              <w:t>DSP – Parkside School</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14</w:t>
            </w:r>
          </w:p>
        </w:tc>
        <w:tc>
          <w:tcPr>
            <w:tcW w:w="1417" w:type="dxa"/>
          </w:tcPr>
          <w:p w:rsidR="00BF7041" w:rsidRPr="00097D67" w:rsidRDefault="00A45FE6" w:rsidP="000C3C21">
            <w:pPr>
              <w:jc w:val="right"/>
              <w:rPr>
                <w:sz w:val="22"/>
                <w:szCs w:val="22"/>
              </w:rPr>
            </w:pPr>
            <w:r>
              <w:rPr>
                <w:sz w:val="22"/>
                <w:szCs w:val="22"/>
              </w:rPr>
              <w:t>16</w:t>
            </w:r>
          </w:p>
        </w:tc>
        <w:tc>
          <w:tcPr>
            <w:tcW w:w="1559" w:type="dxa"/>
          </w:tcPr>
          <w:p w:rsidR="00BF7041" w:rsidRPr="00A45FE6" w:rsidRDefault="00847909" w:rsidP="006F6A01">
            <w:pPr>
              <w:jc w:val="right"/>
              <w:rPr>
                <w:sz w:val="22"/>
                <w:szCs w:val="22"/>
              </w:rPr>
            </w:pPr>
            <w:r>
              <w:rPr>
                <w:sz w:val="22"/>
                <w:szCs w:val="22"/>
              </w:rPr>
              <w:t>16</w:t>
            </w:r>
          </w:p>
        </w:tc>
      </w:tr>
      <w:tr w:rsidR="00BF7041" w:rsidTr="00BF7041">
        <w:trPr>
          <w:trHeight w:val="256"/>
        </w:trPr>
        <w:tc>
          <w:tcPr>
            <w:tcW w:w="4635" w:type="dxa"/>
          </w:tcPr>
          <w:p w:rsidR="00BF7041" w:rsidRPr="00097D67" w:rsidRDefault="00BF7041" w:rsidP="00AD4C84">
            <w:r w:rsidRPr="00097D67">
              <w:rPr>
                <w:sz w:val="22"/>
                <w:szCs w:val="22"/>
              </w:rPr>
              <w:t>DSP – The Holy Family Catholic School</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14</w:t>
            </w:r>
          </w:p>
        </w:tc>
        <w:tc>
          <w:tcPr>
            <w:tcW w:w="1417" w:type="dxa"/>
          </w:tcPr>
          <w:p w:rsidR="00BF7041" w:rsidRPr="00097D67" w:rsidRDefault="00A45FE6" w:rsidP="000C3C21">
            <w:pPr>
              <w:jc w:val="right"/>
              <w:rPr>
                <w:sz w:val="22"/>
                <w:szCs w:val="22"/>
              </w:rPr>
            </w:pPr>
            <w:r>
              <w:rPr>
                <w:sz w:val="22"/>
                <w:szCs w:val="22"/>
              </w:rPr>
              <w:t>14</w:t>
            </w:r>
          </w:p>
        </w:tc>
        <w:tc>
          <w:tcPr>
            <w:tcW w:w="1559" w:type="dxa"/>
          </w:tcPr>
          <w:p w:rsidR="00BF7041" w:rsidRPr="00A45FE6" w:rsidRDefault="00847909" w:rsidP="006F6A01">
            <w:pPr>
              <w:jc w:val="right"/>
              <w:rPr>
                <w:sz w:val="22"/>
                <w:szCs w:val="22"/>
              </w:rPr>
            </w:pPr>
            <w:r>
              <w:rPr>
                <w:sz w:val="22"/>
                <w:szCs w:val="22"/>
              </w:rPr>
              <w:t>14</w:t>
            </w:r>
          </w:p>
        </w:tc>
      </w:tr>
      <w:tr w:rsidR="00BF7041" w:rsidTr="00BF7041">
        <w:trPr>
          <w:trHeight w:val="241"/>
        </w:trPr>
        <w:tc>
          <w:tcPr>
            <w:tcW w:w="4635" w:type="dxa"/>
          </w:tcPr>
          <w:p w:rsidR="00BF7041" w:rsidRPr="00097D67" w:rsidRDefault="00BF7041" w:rsidP="00AD4C84">
            <w:r w:rsidRPr="00097D67">
              <w:rPr>
                <w:sz w:val="22"/>
                <w:szCs w:val="22"/>
              </w:rPr>
              <w:t>DSP – Thornton Grammar School</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11</w:t>
            </w:r>
          </w:p>
        </w:tc>
        <w:tc>
          <w:tcPr>
            <w:tcW w:w="1417" w:type="dxa"/>
          </w:tcPr>
          <w:p w:rsidR="00BF7041" w:rsidRPr="00097D67" w:rsidRDefault="00A45FE6" w:rsidP="000C3C21">
            <w:pPr>
              <w:jc w:val="right"/>
              <w:rPr>
                <w:sz w:val="22"/>
                <w:szCs w:val="22"/>
              </w:rPr>
            </w:pPr>
            <w:r>
              <w:rPr>
                <w:sz w:val="22"/>
                <w:szCs w:val="22"/>
              </w:rPr>
              <w:t>17</w:t>
            </w:r>
          </w:p>
        </w:tc>
        <w:tc>
          <w:tcPr>
            <w:tcW w:w="1559" w:type="dxa"/>
          </w:tcPr>
          <w:p w:rsidR="00BF7041" w:rsidRPr="00A45FE6" w:rsidRDefault="00847909" w:rsidP="006F6A01">
            <w:pPr>
              <w:jc w:val="right"/>
              <w:rPr>
                <w:sz w:val="22"/>
                <w:szCs w:val="22"/>
              </w:rPr>
            </w:pPr>
            <w:r>
              <w:rPr>
                <w:sz w:val="22"/>
                <w:szCs w:val="22"/>
              </w:rPr>
              <w:t>17</w:t>
            </w:r>
          </w:p>
        </w:tc>
      </w:tr>
      <w:tr w:rsidR="00BF7041" w:rsidTr="00BF7041">
        <w:trPr>
          <w:trHeight w:val="256"/>
        </w:trPr>
        <w:tc>
          <w:tcPr>
            <w:tcW w:w="4635" w:type="dxa"/>
          </w:tcPr>
          <w:p w:rsidR="00BF7041" w:rsidRPr="00097D67" w:rsidRDefault="00BF7041" w:rsidP="00AD4C84">
            <w:r w:rsidRPr="00097D67">
              <w:rPr>
                <w:sz w:val="22"/>
                <w:szCs w:val="22"/>
              </w:rPr>
              <w:t>DSP – Titus Salt School</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16</w:t>
            </w:r>
          </w:p>
        </w:tc>
        <w:tc>
          <w:tcPr>
            <w:tcW w:w="1417" w:type="dxa"/>
          </w:tcPr>
          <w:p w:rsidR="00BF7041" w:rsidRPr="00097D67" w:rsidRDefault="00A45FE6" w:rsidP="000C3C21">
            <w:pPr>
              <w:jc w:val="right"/>
              <w:rPr>
                <w:sz w:val="22"/>
                <w:szCs w:val="22"/>
              </w:rPr>
            </w:pPr>
            <w:r>
              <w:rPr>
                <w:sz w:val="22"/>
                <w:szCs w:val="22"/>
              </w:rPr>
              <w:t>17</w:t>
            </w:r>
          </w:p>
        </w:tc>
        <w:tc>
          <w:tcPr>
            <w:tcW w:w="1559" w:type="dxa"/>
          </w:tcPr>
          <w:p w:rsidR="00BF7041" w:rsidRPr="00A45FE6" w:rsidRDefault="00847909" w:rsidP="006F6A01">
            <w:pPr>
              <w:jc w:val="right"/>
              <w:rPr>
                <w:sz w:val="22"/>
                <w:szCs w:val="22"/>
              </w:rPr>
            </w:pPr>
            <w:r>
              <w:rPr>
                <w:sz w:val="22"/>
                <w:szCs w:val="22"/>
              </w:rPr>
              <w:t>17</w:t>
            </w:r>
          </w:p>
        </w:tc>
      </w:tr>
      <w:tr w:rsidR="00BF7041" w:rsidTr="00BF7041">
        <w:trPr>
          <w:trHeight w:val="241"/>
        </w:trPr>
        <w:tc>
          <w:tcPr>
            <w:tcW w:w="4635" w:type="dxa"/>
          </w:tcPr>
          <w:p w:rsidR="00BF7041" w:rsidRPr="00097D67" w:rsidRDefault="00BF7041" w:rsidP="00AD4C84">
            <w:r w:rsidRPr="00097D67">
              <w:rPr>
                <w:sz w:val="22"/>
                <w:szCs w:val="22"/>
              </w:rPr>
              <w:t>DSP – Bradford Academy</w:t>
            </w:r>
          </w:p>
        </w:tc>
        <w:tc>
          <w:tcPr>
            <w:tcW w:w="1250" w:type="dxa"/>
          </w:tcPr>
          <w:p w:rsidR="00BF7041" w:rsidRPr="00097D67" w:rsidRDefault="00BF7041" w:rsidP="00EE248A">
            <w:pPr>
              <w:jc w:val="center"/>
              <w:rPr>
                <w:sz w:val="22"/>
                <w:szCs w:val="22"/>
              </w:rPr>
            </w:pPr>
            <w:r w:rsidRPr="00097D67">
              <w:rPr>
                <w:sz w:val="22"/>
                <w:szCs w:val="22"/>
              </w:rPr>
              <w:t>SEN</w:t>
            </w:r>
          </w:p>
        </w:tc>
        <w:tc>
          <w:tcPr>
            <w:tcW w:w="1453" w:type="dxa"/>
          </w:tcPr>
          <w:p w:rsidR="00BF7041" w:rsidRPr="00097D67" w:rsidRDefault="00BF7041" w:rsidP="000C3C21">
            <w:pPr>
              <w:jc w:val="right"/>
              <w:rPr>
                <w:sz w:val="22"/>
                <w:szCs w:val="22"/>
              </w:rPr>
            </w:pPr>
            <w:r>
              <w:rPr>
                <w:sz w:val="22"/>
                <w:szCs w:val="22"/>
              </w:rPr>
              <w:t>23</w:t>
            </w:r>
          </w:p>
        </w:tc>
        <w:tc>
          <w:tcPr>
            <w:tcW w:w="1417" w:type="dxa"/>
          </w:tcPr>
          <w:p w:rsidR="00BF7041" w:rsidRPr="00097D67" w:rsidRDefault="00A45FE6" w:rsidP="000C3C21">
            <w:pPr>
              <w:jc w:val="right"/>
              <w:rPr>
                <w:sz w:val="22"/>
                <w:szCs w:val="22"/>
              </w:rPr>
            </w:pPr>
            <w:r>
              <w:rPr>
                <w:sz w:val="22"/>
                <w:szCs w:val="22"/>
              </w:rPr>
              <w:t>22</w:t>
            </w:r>
          </w:p>
        </w:tc>
        <w:tc>
          <w:tcPr>
            <w:tcW w:w="1559" w:type="dxa"/>
          </w:tcPr>
          <w:p w:rsidR="00BF7041" w:rsidRPr="00A45FE6" w:rsidRDefault="00847909" w:rsidP="006F6A01">
            <w:pPr>
              <w:jc w:val="right"/>
              <w:rPr>
                <w:sz w:val="22"/>
                <w:szCs w:val="22"/>
              </w:rPr>
            </w:pPr>
            <w:r>
              <w:rPr>
                <w:sz w:val="22"/>
                <w:szCs w:val="22"/>
              </w:rPr>
              <w:t>2</w:t>
            </w:r>
            <w:r w:rsidR="000232CB">
              <w:rPr>
                <w:sz w:val="22"/>
                <w:szCs w:val="22"/>
              </w:rPr>
              <w:t>3</w:t>
            </w:r>
          </w:p>
        </w:tc>
      </w:tr>
      <w:tr w:rsidR="00BF7041" w:rsidTr="00BF7041">
        <w:trPr>
          <w:trHeight w:val="256"/>
        </w:trPr>
        <w:tc>
          <w:tcPr>
            <w:tcW w:w="4635" w:type="dxa"/>
          </w:tcPr>
          <w:p w:rsidR="00BF7041" w:rsidRPr="007C10C0" w:rsidRDefault="00BF7041" w:rsidP="007325B2">
            <w:pPr>
              <w:jc w:val="both"/>
              <w:rPr>
                <w:sz w:val="22"/>
                <w:szCs w:val="22"/>
              </w:rPr>
            </w:pPr>
            <w:r w:rsidRPr="007C10C0">
              <w:rPr>
                <w:sz w:val="22"/>
                <w:szCs w:val="22"/>
              </w:rPr>
              <w:t>DSP – Haworth Primary School</w:t>
            </w:r>
          </w:p>
        </w:tc>
        <w:tc>
          <w:tcPr>
            <w:tcW w:w="1250" w:type="dxa"/>
          </w:tcPr>
          <w:p w:rsidR="00BF7041" w:rsidRPr="007C10C0" w:rsidRDefault="00BF7041" w:rsidP="007325B2">
            <w:pPr>
              <w:jc w:val="center"/>
              <w:rPr>
                <w:sz w:val="22"/>
                <w:szCs w:val="22"/>
              </w:rPr>
            </w:pPr>
            <w:r w:rsidRPr="007C10C0">
              <w:rPr>
                <w:sz w:val="22"/>
                <w:szCs w:val="22"/>
              </w:rPr>
              <w:t>SEN</w:t>
            </w:r>
          </w:p>
        </w:tc>
        <w:tc>
          <w:tcPr>
            <w:tcW w:w="1453" w:type="dxa"/>
          </w:tcPr>
          <w:p w:rsidR="00BF7041" w:rsidRPr="0094226F" w:rsidRDefault="00BF7041" w:rsidP="000C3C21">
            <w:pPr>
              <w:jc w:val="right"/>
              <w:rPr>
                <w:sz w:val="22"/>
                <w:szCs w:val="22"/>
              </w:rPr>
            </w:pPr>
            <w:r>
              <w:rPr>
                <w:sz w:val="22"/>
                <w:szCs w:val="22"/>
              </w:rPr>
              <w:t>3</w:t>
            </w:r>
          </w:p>
        </w:tc>
        <w:tc>
          <w:tcPr>
            <w:tcW w:w="1417" w:type="dxa"/>
          </w:tcPr>
          <w:p w:rsidR="00BF7041" w:rsidRPr="0094226F" w:rsidRDefault="00A45FE6" w:rsidP="000C3C21">
            <w:pPr>
              <w:jc w:val="right"/>
              <w:rPr>
                <w:sz w:val="22"/>
                <w:szCs w:val="22"/>
              </w:rPr>
            </w:pPr>
            <w:r>
              <w:rPr>
                <w:sz w:val="22"/>
                <w:szCs w:val="22"/>
              </w:rPr>
              <w:t>6</w:t>
            </w:r>
          </w:p>
        </w:tc>
        <w:tc>
          <w:tcPr>
            <w:tcW w:w="1559" w:type="dxa"/>
          </w:tcPr>
          <w:p w:rsidR="00BF7041" w:rsidRPr="00A45FE6" w:rsidRDefault="00847909" w:rsidP="003A5794">
            <w:pPr>
              <w:jc w:val="right"/>
              <w:rPr>
                <w:sz w:val="22"/>
                <w:szCs w:val="22"/>
              </w:rPr>
            </w:pPr>
            <w:r>
              <w:rPr>
                <w:sz w:val="22"/>
                <w:szCs w:val="22"/>
              </w:rPr>
              <w:t>6</w:t>
            </w:r>
          </w:p>
        </w:tc>
      </w:tr>
      <w:tr w:rsidR="00BF7041" w:rsidTr="00BF7041">
        <w:trPr>
          <w:trHeight w:val="256"/>
        </w:trPr>
        <w:tc>
          <w:tcPr>
            <w:tcW w:w="4635" w:type="dxa"/>
          </w:tcPr>
          <w:p w:rsidR="00BF7041" w:rsidRPr="007C10C0" w:rsidRDefault="00BF7041" w:rsidP="007325B2">
            <w:pPr>
              <w:jc w:val="both"/>
              <w:rPr>
                <w:sz w:val="22"/>
                <w:szCs w:val="22"/>
              </w:rPr>
            </w:pPr>
            <w:r w:rsidRPr="007C10C0">
              <w:rPr>
                <w:sz w:val="22"/>
                <w:szCs w:val="22"/>
              </w:rPr>
              <w:t>DSP – Bradford Forster Academy</w:t>
            </w:r>
          </w:p>
        </w:tc>
        <w:tc>
          <w:tcPr>
            <w:tcW w:w="1250" w:type="dxa"/>
          </w:tcPr>
          <w:p w:rsidR="00BF7041" w:rsidRPr="007C10C0" w:rsidRDefault="00BF7041" w:rsidP="007325B2">
            <w:pPr>
              <w:jc w:val="center"/>
              <w:rPr>
                <w:sz w:val="22"/>
                <w:szCs w:val="22"/>
              </w:rPr>
            </w:pPr>
            <w:r w:rsidRPr="007C10C0">
              <w:rPr>
                <w:sz w:val="22"/>
                <w:szCs w:val="22"/>
              </w:rPr>
              <w:t>SEN</w:t>
            </w:r>
          </w:p>
        </w:tc>
        <w:tc>
          <w:tcPr>
            <w:tcW w:w="1453" w:type="dxa"/>
          </w:tcPr>
          <w:p w:rsidR="00BF7041" w:rsidRPr="0094226F" w:rsidRDefault="00BF7041" w:rsidP="000C3C21">
            <w:pPr>
              <w:jc w:val="right"/>
              <w:rPr>
                <w:sz w:val="22"/>
                <w:szCs w:val="22"/>
              </w:rPr>
            </w:pPr>
            <w:r>
              <w:rPr>
                <w:sz w:val="22"/>
                <w:szCs w:val="22"/>
              </w:rPr>
              <w:t>2</w:t>
            </w:r>
          </w:p>
        </w:tc>
        <w:tc>
          <w:tcPr>
            <w:tcW w:w="1417" w:type="dxa"/>
          </w:tcPr>
          <w:p w:rsidR="00BF7041" w:rsidRPr="0094226F" w:rsidRDefault="00A45FE6" w:rsidP="000C3C21">
            <w:pPr>
              <w:jc w:val="right"/>
              <w:rPr>
                <w:sz w:val="22"/>
                <w:szCs w:val="22"/>
              </w:rPr>
            </w:pPr>
            <w:r>
              <w:rPr>
                <w:sz w:val="22"/>
                <w:szCs w:val="22"/>
              </w:rPr>
              <w:t>6</w:t>
            </w:r>
          </w:p>
        </w:tc>
        <w:tc>
          <w:tcPr>
            <w:tcW w:w="1559" w:type="dxa"/>
          </w:tcPr>
          <w:p w:rsidR="00BF7041" w:rsidRPr="00A45FE6" w:rsidRDefault="00847909" w:rsidP="003A5794">
            <w:pPr>
              <w:jc w:val="right"/>
              <w:rPr>
                <w:sz w:val="22"/>
                <w:szCs w:val="22"/>
              </w:rPr>
            </w:pPr>
            <w:r>
              <w:rPr>
                <w:sz w:val="22"/>
                <w:szCs w:val="22"/>
              </w:rPr>
              <w:t>6</w:t>
            </w:r>
          </w:p>
        </w:tc>
      </w:tr>
      <w:tr w:rsidR="00A45FE6" w:rsidTr="00BF7041">
        <w:trPr>
          <w:trHeight w:val="256"/>
        </w:trPr>
        <w:tc>
          <w:tcPr>
            <w:tcW w:w="4635" w:type="dxa"/>
          </w:tcPr>
          <w:p w:rsidR="00A45FE6" w:rsidRPr="007C10C0" w:rsidRDefault="00A45FE6" w:rsidP="007325B2">
            <w:pPr>
              <w:jc w:val="both"/>
              <w:rPr>
                <w:sz w:val="22"/>
                <w:szCs w:val="22"/>
              </w:rPr>
            </w:pPr>
            <w:r>
              <w:rPr>
                <w:sz w:val="22"/>
                <w:szCs w:val="22"/>
              </w:rPr>
              <w:t>DSP – High Park Learn and Play</w:t>
            </w:r>
          </w:p>
        </w:tc>
        <w:tc>
          <w:tcPr>
            <w:tcW w:w="1250" w:type="dxa"/>
          </w:tcPr>
          <w:p w:rsidR="00A45FE6" w:rsidRPr="007C10C0" w:rsidRDefault="00A45FE6" w:rsidP="007325B2">
            <w:pPr>
              <w:jc w:val="center"/>
              <w:rPr>
                <w:sz w:val="22"/>
                <w:szCs w:val="22"/>
              </w:rPr>
            </w:pPr>
            <w:r>
              <w:rPr>
                <w:sz w:val="22"/>
                <w:szCs w:val="22"/>
              </w:rPr>
              <w:t>SEN</w:t>
            </w:r>
          </w:p>
        </w:tc>
        <w:tc>
          <w:tcPr>
            <w:tcW w:w="1453" w:type="dxa"/>
          </w:tcPr>
          <w:p w:rsidR="00A45FE6" w:rsidRDefault="00072519" w:rsidP="000C3C21">
            <w:pPr>
              <w:jc w:val="right"/>
              <w:rPr>
                <w:sz w:val="22"/>
                <w:szCs w:val="22"/>
              </w:rPr>
            </w:pPr>
            <w:r>
              <w:rPr>
                <w:sz w:val="22"/>
                <w:szCs w:val="22"/>
              </w:rPr>
              <w:t>16</w:t>
            </w:r>
          </w:p>
        </w:tc>
        <w:tc>
          <w:tcPr>
            <w:tcW w:w="1417" w:type="dxa"/>
          </w:tcPr>
          <w:p w:rsidR="00A45FE6" w:rsidRDefault="00A45FE6" w:rsidP="000C3C21">
            <w:pPr>
              <w:jc w:val="right"/>
              <w:rPr>
                <w:sz w:val="22"/>
                <w:szCs w:val="22"/>
              </w:rPr>
            </w:pPr>
            <w:r>
              <w:rPr>
                <w:sz w:val="22"/>
                <w:szCs w:val="22"/>
              </w:rPr>
              <w:t>16</w:t>
            </w:r>
          </w:p>
        </w:tc>
        <w:tc>
          <w:tcPr>
            <w:tcW w:w="1559" w:type="dxa"/>
          </w:tcPr>
          <w:p w:rsidR="00A45FE6" w:rsidRPr="00A45FE6" w:rsidRDefault="00A45FE6" w:rsidP="003A5794">
            <w:pPr>
              <w:jc w:val="right"/>
              <w:rPr>
                <w:sz w:val="22"/>
                <w:szCs w:val="22"/>
              </w:rPr>
            </w:pPr>
            <w:r w:rsidRPr="00A45FE6">
              <w:rPr>
                <w:sz w:val="22"/>
                <w:szCs w:val="22"/>
              </w:rPr>
              <w:t>16</w:t>
            </w:r>
          </w:p>
        </w:tc>
      </w:tr>
      <w:tr w:rsidR="00BF7041" w:rsidTr="00BF7041">
        <w:trPr>
          <w:trHeight w:val="256"/>
        </w:trPr>
        <w:tc>
          <w:tcPr>
            <w:tcW w:w="4635" w:type="dxa"/>
          </w:tcPr>
          <w:p w:rsidR="00BF7041" w:rsidRPr="0094226F" w:rsidRDefault="00BF7041" w:rsidP="007325B2">
            <w:pPr>
              <w:jc w:val="both"/>
              <w:rPr>
                <w:sz w:val="22"/>
                <w:szCs w:val="22"/>
              </w:rPr>
            </w:pPr>
            <w:r>
              <w:rPr>
                <w:sz w:val="22"/>
                <w:szCs w:val="22"/>
              </w:rPr>
              <w:t>Education in Hospital – Airedale</w:t>
            </w:r>
          </w:p>
        </w:tc>
        <w:tc>
          <w:tcPr>
            <w:tcW w:w="1250" w:type="dxa"/>
          </w:tcPr>
          <w:p w:rsidR="00BF7041" w:rsidRPr="0094226F" w:rsidRDefault="00BF7041" w:rsidP="007325B2">
            <w:pPr>
              <w:jc w:val="center"/>
              <w:rPr>
                <w:sz w:val="22"/>
                <w:szCs w:val="22"/>
              </w:rPr>
            </w:pPr>
            <w:r>
              <w:rPr>
                <w:sz w:val="22"/>
                <w:szCs w:val="22"/>
              </w:rPr>
              <w:t>SEN</w:t>
            </w:r>
          </w:p>
        </w:tc>
        <w:tc>
          <w:tcPr>
            <w:tcW w:w="1453" w:type="dxa"/>
          </w:tcPr>
          <w:p w:rsidR="00BF7041" w:rsidRPr="0094226F" w:rsidRDefault="0055481D" w:rsidP="000C3C21">
            <w:pPr>
              <w:jc w:val="right"/>
              <w:rPr>
                <w:sz w:val="22"/>
                <w:szCs w:val="22"/>
              </w:rPr>
            </w:pPr>
            <w:r>
              <w:rPr>
                <w:sz w:val="22"/>
                <w:szCs w:val="22"/>
              </w:rPr>
              <w:t>6</w:t>
            </w:r>
          </w:p>
        </w:tc>
        <w:tc>
          <w:tcPr>
            <w:tcW w:w="1417" w:type="dxa"/>
          </w:tcPr>
          <w:p w:rsidR="00BF7041" w:rsidRPr="0094226F" w:rsidRDefault="00092024" w:rsidP="000C3C21">
            <w:pPr>
              <w:jc w:val="right"/>
              <w:rPr>
                <w:sz w:val="22"/>
                <w:szCs w:val="22"/>
              </w:rPr>
            </w:pPr>
            <w:r>
              <w:rPr>
                <w:sz w:val="22"/>
                <w:szCs w:val="22"/>
              </w:rPr>
              <w:t>22</w:t>
            </w:r>
          </w:p>
        </w:tc>
        <w:tc>
          <w:tcPr>
            <w:tcW w:w="1559" w:type="dxa"/>
          </w:tcPr>
          <w:p w:rsidR="00BF7041" w:rsidRPr="00A45FE6" w:rsidRDefault="00092024" w:rsidP="003A5794">
            <w:pPr>
              <w:jc w:val="right"/>
              <w:rPr>
                <w:sz w:val="22"/>
                <w:szCs w:val="22"/>
              </w:rPr>
            </w:pPr>
            <w:r>
              <w:rPr>
                <w:sz w:val="22"/>
                <w:szCs w:val="22"/>
              </w:rPr>
              <w:t>22</w:t>
            </w:r>
          </w:p>
        </w:tc>
      </w:tr>
      <w:tr w:rsidR="00BF7041" w:rsidTr="00BF7041">
        <w:trPr>
          <w:trHeight w:val="241"/>
        </w:trPr>
        <w:tc>
          <w:tcPr>
            <w:tcW w:w="4635" w:type="dxa"/>
          </w:tcPr>
          <w:p w:rsidR="00BF7041" w:rsidRPr="0094226F" w:rsidRDefault="00BF7041" w:rsidP="00167917">
            <w:pPr>
              <w:jc w:val="both"/>
              <w:rPr>
                <w:sz w:val="22"/>
                <w:szCs w:val="22"/>
              </w:rPr>
            </w:pPr>
            <w:r>
              <w:rPr>
                <w:sz w:val="22"/>
                <w:szCs w:val="22"/>
              </w:rPr>
              <w:t>Education in Hospital – BRI</w:t>
            </w:r>
          </w:p>
        </w:tc>
        <w:tc>
          <w:tcPr>
            <w:tcW w:w="1250" w:type="dxa"/>
          </w:tcPr>
          <w:p w:rsidR="00BF7041" w:rsidRPr="0094226F" w:rsidRDefault="00BF7041" w:rsidP="00EE248A">
            <w:pPr>
              <w:jc w:val="center"/>
              <w:rPr>
                <w:sz w:val="22"/>
                <w:szCs w:val="22"/>
              </w:rPr>
            </w:pPr>
            <w:r>
              <w:rPr>
                <w:sz w:val="22"/>
                <w:szCs w:val="22"/>
              </w:rPr>
              <w:t>SEN</w:t>
            </w:r>
          </w:p>
        </w:tc>
        <w:tc>
          <w:tcPr>
            <w:tcW w:w="1453" w:type="dxa"/>
          </w:tcPr>
          <w:p w:rsidR="00BF7041" w:rsidRPr="0094226F" w:rsidRDefault="0055481D" w:rsidP="000C3C21">
            <w:pPr>
              <w:jc w:val="right"/>
              <w:rPr>
                <w:sz w:val="22"/>
                <w:szCs w:val="22"/>
              </w:rPr>
            </w:pPr>
            <w:r>
              <w:rPr>
                <w:sz w:val="22"/>
                <w:szCs w:val="22"/>
              </w:rPr>
              <w:t>15</w:t>
            </w:r>
          </w:p>
        </w:tc>
        <w:tc>
          <w:tcPr>
            <w:tcW w:w="1417" w:type="dxa"/>
          </w:tcPr>
          <w:p w:rsidR="00BF7041" w:rsidRPr="0094226F" w:rsidRDefault="00092024" w:rsidP="000C3C21">
            <w:pPr>
              <w:jc w:val="right"/>
              <w:rPr>
                <w:sz w:val="22"/>
                <w:szCs w:val="22"/>
              </w:rPr>
            </w:pPr>
            <w:r>
              <w:rPr>
                <w:sz w:val="22"/>
                <w:szCs w:val="22"/>
              </w:rPr>
              <w:t>11</w:t>
            </w:r>
          </w:p>
        </w:tc>
        <w:tc>
          <w:tcPr>
            <w:tcW w:w="1559" w:type="dxa"/>
          </w:tcPr>
          <w:p w:rsidR="00BF7041" w:rsidRPr="00A45FE6" w:rsidRDefault="00092024" w:rsidP="003A5794">
            <w:pPr>
              <w:jc w:val="right"/>
              <w:rPr>
                <w:sz w:val="22"/>
                <w:szCs w:val="22"/>
              </w:rPr>
            </w:pPr>
            <w:r>
              <w:rPr>
                <w:sz w:val="22"/>
                <w:szCs w:val="22"/>
              </w:rPr>
              <w:t>11</w:t>
            </w:r>
          </w:p>
        </w:tc>
      </w:tr>
      <w:tr w:rsidR="00BF7041" w:rsidTr="00BF7041">
        <w:trPr>
          <w:trHeight w:val="256"/>
        </w:trPr>
        <w:tc>
          <w:tcPr>
            <w:tcW w:w="4635" w:type="dxa"/>
          </w:tcPr>
          <w:p w:rsidR="00BF7041" w:rsidRPr="0094226F" w:rsidRDefault="00BF7041" w:rsidP="00167917">
            <w:pPr>
              <w:jc w:val="both"/>
              <w:rPr>
                <w:sz w:val="22"/>
                <w:szCs w:val="22"/>
              </w:rPr>
            </w:pPr>
            <w:r>
              <w:rPr>
                <w:sz w:val="22"/>
                <w:szCs w:val="22"/>
              </w:rPr>
              <w:t>Tracks</w:t>
            </w:r>
          </w:p>
        </w:tc>
        <w:tc>
          <w:tcPr>
            <w:tcW w:w="1250" w:type="dxa"/>
          </w:tcPr>
          <w:p w:rsidR="00BF7041" w:rsidRPr="0094226F" w:rsidRDefault="00BF7041" w:rsidP="00EE248A">
            <w:pPr>
              <w:jc w:val="center"/>
              <w:rPr>
                <w:sz w:val="22"/>
                <w:szCs w:val="22"/>
              </w:rPr>
            </w:pPr>
            <w:r>
              <w:rPr>
                <w:sz w:val="22"/>
                <w:szCs w:val="22"/>
              </w:rPr>
              <w:t>SEN</w:t>
            </w:r>
          </w:p>
        </w:tc>
        <w:tc>
          <w:tcPr>
            <w:tcW w:w="1453" w:type="dxa"/>
          </w:tcPr>
          <w:p w:rsidR="00BF7041" w:rsidRPr="0094226F" w:rsidRDefault="0055481D" w:rsidP="000C3C21">
            <w:pPr>
              <w:jc w:val="right"/>
              <w:rPr>
                <w:sz w:val="22"/>
                <w:szCs w:val="22"/>
              </w:rPr>
            </w:pPr>
            <w:r>
              <w:rPr>
                <w:sz w:val="22"/>
                <w:szCs w:val="22"/>
              </w:rPr>
              <w:t>8</w:t>
            </w:r>
          </w:p>
        </w:tc>
        <w:tc>
          <w:tcPr>
            <w:tcW w:w="1417" w:type="dxa"/>
          </w:tcPr>
          <w:p w:rsidR="00BF7041" w:rsidRPr="0094226F" w:rsidRDefault="00092024" w:rsidP="000C3C21">
            <w:pPr>
              <w:jc w:val="right"/>
              <w:rPr>
                <w:sz w:val="22"/>
                <w:szCs w:val="22"/>
              </w:rPr>
            </w:pPr>
            <w:r>
              <w:rPr>
                <w:sz w:val="22"/>
                <w:szCs w:val="22"/>
              </w:rPr>
              <w:t>16</w:t>
            </w:r>
          </w:p>
        </w:tc>
        <w:tc>
          <w:tcPr>
            <w:tcW w:w="1559" w:type="dxa"/>
          </w:tcPr>
          <w:p w:rsidR="00BF7041" w:rsidRPr="00A45FE6" w:rsidRDefault="00092024" w:rsidP="003A5794">
            <w:pPr>
              <w:jc w:val="right"/>
              <w:rPr>
                <w:sz w:val="22"/>
                <w:szCs w:val="22"/>
              </w:rPr>
            </w:pPr>
            <w:r>
              <w:rPr>
                <w:sz w:val="22"/>
                <w:szCs w:val="22"/>
              </w:rPr>
              <w:t>16</w:t>
            </w:r>
          </w:p>
        </w:tc>
      </w:tr>
      <w:tr w:rsidR="00BF7041" w:rsidTr="00BF7041">
        <w:trPr>
          <w:trHeight w:val="256"/>
        </w:trPr>
        <w:tc>
          <w:tcPr>
            <w:tcW w:w="4635" w:type="dxa"/>
          </w:tcPr>
          <w:p w:rsidR="00BF7041" w:rsidRPr="00253889" w:rsidRDefault="00BF7041" w:rsidP="00167917">
            <w:pPr>
              <w:jc w:val="both"/>
              <w:rPr>
                <w:sz w:val="22"/>
                <w:szCs w:val="22"/>
              </w:rPr>
            </w:pPr>
            <w:r w:rsidRPr="00253889">
              <w:rPr>
                <w:sz w:val="22"/>
                <w:szCs w:val="22"/>
              </w:rPr>
              <w:t>Post 16 Places in mainstream Bradford</w:t>
            </w:r>
          </w:p>
        </w:tc>
        <w:tc>
          <w:tcPr>
            <w:tcW w:w="1250" w:type="dxa"/>
          </w:tcPr>
          <w:p w:rsidR="00BF7041" w:rsidRPr="0094226F" w:rsidRDefault="00BF7041" w:rsidP="008746F9">
            <w:pPr>
              <w:jc w:val="center"/>
              <w:rPr>
                <w:sz w:val="22"/>
                <w:szCs w:val="22"/>
              </w:rPr>
            </w:pPr>
            <w:r>
              <w:rPr>
                <w:sz w:val="22"/>
                <w:szCs w:val="22"/>
              </w:rPr>
              <w:t>SEN</w:t>
            </w:r>
          </w:p>
        </w:tc>
        <w:tc>
          <w:tcPr>
            <w:tcW w:w="1453" w:type="dxa"/>
          </w:tcPr>
          <w:p w:rsidR="00BF7041" w:rsidRPr="00E417C0" w:rsidRDefault="00260127" w:rsidP="000B5168">
            <w:pPr>
              <w:jc w:val="right"/>
              <w:rPr>
                <w:sz w:val="22"/>
                <w:szCs w:val="22"/>
              </w:rPr>
            </w:pPr>
            <w:r>
              <w:rPr>
                <w:sz w:val="22"/>
                <w:szCs w:val="22"/>
              </w:rPr>
              <w:t>38</w:t>
            </w:r>
          </w:p>
        </w:tc>
        <w:tc>
          <w:tcPr>
            <w:tcW w:w="1417" w:type="dxa"/>
          </w:tcPr>
          <w:p w:rsidR="00BF7041" w:rsidRPr="00E417C0" w:rsidRDefault="00260127" w:rsidP="000C3C21">
            <w:pPr>
              <w:jc w:val="right"/>
              <w:rPr>
                <w:sz w:val="22"/>
                <w:szCs w:val="22"/>
              </w:rPr>
            </w:pPr>
            <w:r>
              <w:rPr>
                <w:sz w:val="22"/>
                <w:szCs w:val="22"/>
              </w:rPr>
              <w:t>38</w:t>
            </w:r>
          </w:p>
        </w:tc>
        <w:tc>
          <w:tcPr>
            <w:tcW w:w="1559" w:type="dxa"/>
          </w:tcPr>
          <w:p w:rsidR="00BF7041" w:rsidRPr="00A45FE6" w:rsidRDefault="00260127" w:rsidP="006F6A01">
            <w:pPr>
              <w:jc w:val="right"/>
              <w:rPr>
                <w:sz w:val="22"/>
                <w:szCs w:val="22"/>
              </w:rPr>
            </w:pPr>
            <w:r>
              <w:rPr>
                <w:sz w:val="22"/>
                <w:szCs w:val="22"/>
              </w:rPr>
              <w:t>38</w:t>
            </w:r>
          </w:p>
        </w:tc>
      </w:tr>
      <w:tr w:rsidR="00BF7041" w:rsidTr="00BF7041">
        <w:trPr>
          <w:trHeight w:val="241"/>
        </w:trPr>
        <w:tc>
          <w:tcPr>
            <w:tcW w:w="4635" w:type="dxa"/>
          </w:tcPr>
          <w:p w:rsidR="00BF7041" w:rsidRPr="006B2F4B" w:rsidRDefault="00BF7041" w:rsidP="00167917">
            <w:pPr>
              <w:jc w:val="both"/>
              <w:rPr>
                <w:sz w:val="22"/>
                <w:szCs w:val="22"/>
              </w:rPr>
            </w:pPr>
            <w:r w:rsidRPr="006B2F4B">
              <w:rPr>
                <w:sz w:val="22"/>
                <w:szCs w:val="22"/>
              </w:rPr>
              <w:t>FE – Bradford College</w:t>
            </w:r>
            <w:r w:rsidR="004B6E18">
              <w:rPr>
                <w:sz w:val="22"/>
                <w:szCs w:val="22"/>
              </w:rPr>
              <w:t xml:space="preserve"> *</w:t>
            </w:r>
          </w:p>
        </w:tc>
        <w:tc>
          <w:tcPr>
            <w:tcW w:w="1250" w:type="dxa"/>
          </w:tcPr>
          <w:p w:rsidR="00BF7041" w:rsidRPr="0094226F" w:rsidRDefault="00BF7041" w:rsidP="008746F9">
            <w:pPr>
              <w:jc w:val="center"/>
              <w:rPr>
                <w:sz w:val="22"/>
                <w:szCs w:val="22"/>
              </w:rPr>
            </w:pPr>
            <w:r>
              <w:rPr>
                <w:sz w:val="22"/>
                <w:szCs w:val="22"/>
              </w:rPr>
              <w:t>SEN</w:t>
            </w:r>
          </w:p>
        </w:tc>
        <w:tc>
          <w:tcPr>
            <w:tcW w:w="1453" w:type="dxa"/>
          </w:tcPr>
          <w:p w:rsidR="00BF7041" w:rsidRPr="006B2F4B" w:rsidRDefault="00312BFB" w:rsidP="0082311B">
            <w:pPr>
              <w:jc w:val="right"/>
              <w:rPr>
                <w:sz w:val="22"/>
                <w:szCs w:val="22"/>
              </w:rPr>
            </w:pPr>
            <w:r>
              <w:rPr>
                <w:sz w:val="22"/>
                <w:szCs w:val="22"/>
              </w:rPr>
              <w:t>85</w:t>
            </w:r>
          </w:p>
        </w:tc>
        <w:tc>
          <w:tcPr>
            <w:tcW w:w="1417" w:type="dxa"/>
          </w:tcPr>
          <w:p w:rsidR="00BF7041" w:rsidRPr="0094226F" w:rsidRDefault="00092024" w:rsidP="000C3C21">
            <w:pPr>
              <w:jc w:val="right"/>
              <w:rPr>
                <w:sz w:val="22"/>
                <w:szCs w:val="22"/>
              </w:rPr>
            </w:pPr>
            <w:r>
              <w:rPr>
                <w:sz w:val="22"/>
                <w:szCs w:val="22"/>
              </w:rPr>
              <w:t>78</w:t>
            </w:r>
          </w:p>
        </w:tc>
        <w:tc>
          <w:tcPr>
            <w:tcW w:w="1559" w:type="dxa"/>
          </w:tcPr>
          <w:p w:rsidR="00BF7041" w:rsidRPr="006B2F4B" w:rsidRDefault="00312BFB" w:rsidP="006F6A01">
            <w:pPr>
              <w:jc w:val="right"/>
              <w:rPr>
                <w:sz w:val="22"/>
                <w:szCs w:val="22"/>
              </w:rPr>
            </w:pPr>
            <w:r>
              <w:rPr>
                <w:sz w:val="22"/>
                <w:szCs w:val="22"/>
              </w:rPr>
              <w:t>85</w:t>
            </w:r>
          </w:p>
        </w:tc>
      </w:tr>
      <w:tr w:rsidR="00BF7041" w:rsidTr="00BF7041">
        <w:trPr>
          <w:trHeight w:val="256"/>
        </w:trPr>
        <w:tc>
          <w:tcPr>
            <w:tcW w:w="4635" w:type="dxa"/>
          </w:tcPr>
          <w:p w:rsidR="00BF7041" w:rsidRPr="006B2F4B" w:rsidRDefault="00BF7041" w:rsidP="004C5CD2">
            <w:r w:rsidRPr="006B2F4B">
              <w:rPr>
                <w:sz w:val="22"/>
                <w:szCs w:val="22"/>
              </w:rPr>
              <w:t>FE – Shipley College</w:t>
            </w:r>
            <w:r w:rsidR="004B6E18">
              <w:rPr>
                <w:sz w:val="22"/>
                <w:szCs w:val="22"/>
              </w:rPr>
              <w:t xml:space="preserve"> *</w:t>
            </w:r>
          </w:p>
        </w:tc>
        <w:tc>
          <w:tcPr>
            <w:tcW w:w="1250" w:type="dxa"/>
          </w:tcPr>
          <w:p w:rsidR="00BF7041" w:rsidRPr="0094226F" w:rsidRDefault="00BF7041" w:rsidP="008746F9">
            <w:pPr>
              <w:jc w:val="center"/>
              <w:rPr>
                <w:sz w:val="22"/>
                <w:szCs w:val="22"/>
              </w:rPr>
            </w:pPr>
            <w:r>
              <w:rPr>
                <w:sz w:val="22"/>
                <w:szCs w:val="22"/>
              </w:rPr>
              <w:t>SEN</w:t>
            </w:r>
          </w:p>
        </w:tc>
        <w:tc>
          <w:tcPr>
            <w:tcW w:w="1453" w:type="dxa"/>
          </w:tcPr>
          <w:p w:rsidR="00BF7041" w:rsidRPr="006B2F4B" w:rsidRDefault="00312BFB" w:rsidP="0082311B">
            <w:pPr>
              <w:jc w:val="right"/>
              <w:rPr>
                <w:sz w:val="22"/>
                <w:szCs w:val="22"/>
              </w:rPr>
            </w:pPr>
            <w:r>
              <w:rPr>
                <w:sz w:val="22"/>
                <w:szCs w:val="22"/>
              </w:rPr>
              <w:t>86</w:t>
            </w:r>
          </w:p>
        </w:tc>
        <w:tc>
          <w:tcPr>
            <w:tcW w:w="1417" w:type="dxa"/>
          </w:tcPr>
          <w:p w:rsidR="00BF7041" w:rsidRPr="0094226F" w:rsidRDefault="00092024" w:rsidP="000C3C21">
            <w:pPr>
              <w:jc w:val="right"/>
              <w:rPr>
                <w:sz w:val="22"/>
                <w:szCs w:val="22"/>
              </w:rPr>
            </w:pPr>
            <w:r>
              <w:rPr>
                <w:sz w:val="22"/>
                <w:szCs w:val="22"/>
              </w:rPr>
              <w:t>44</w:t>
            </w:r>
          </w:p>
        </w:tc>
        <w:tc>
          <w:tcPr>
            <w:tcW w:w="1559" w:type="dxa"/>
          </w:tcPr>
          <w:p w:rsidR="00BF7041" w:rsidRPr="006B2F4B" w:rsidRDefault="00312BFB" w:rsidP="006F6A01">
            <w:pPr>
              <w:jc w:val="right"/>
              <w:rPr>
                <w:sz w:val="22"/>
                <w:szCs w:val="22"/>
              </w:rPr>
            </w:pPr>
            <w:r>
              <w:rPr>
                <w:sz w:val="22"/>
                <w:szCs w:val="22"/>
              </w:rPr>
              <w:t>86</w:t>
            </w:r>
          </w:p>
        </w:tc>
      </w:tr>
      <w:tr w:rsidR="00BF7041" w:rsidTr="00BF7041">
        <w:trPr>
          <w:trHeight w:val="256"/>
        </w:trPr>
        <w:tc>
          <w:tcPr>
            <w:tcW w:w="4635" w:type="dxa"/>
          </w:tcPr>
          <w:p w:rsidR="00BF7041" w:rsidRPr="006B2F4B" w:rsidRDefault="00BF7041">
            <w:r w:rsidRPr="0094226F">
              <w:rPr>
                <w:b/>
                <w:sz w:val="22"/>
                <w:szCs w:val="22"/>
              </w:rPr>
              <w:t>Totals</w:t>
            </w:r>
          </w:p>
        </w:tc>
        <w:tc>
          <w:tcPr>
            <w:tcW w:w="1250" w:type="dxa"/>
          </w:tcPr>
          <w:p w:rsidR="00BF7041" w:rsidRPr="0094226F" w:rsidRDefault="00BF7041" w:rsidP="008746F9">
            <w:pPr>
              <w:jc w:val="center"/>
              <w:rPr>
                <w:sz w:val="22"/>
                <w:szCs w:val="22"/>
              </w:rPr>
            </w:pPr>
          </w:p>
        </w:tc>
        <w:tc>
          <w:tcPr>
            <w:tcW w:w="1453" w:type="dxa"/>
          </w:tcPr>
          <w:p w:rsidR="00BF7041" w:rsidRPr="00072519" w:rsidRDefault="00072519" w:rsidP="0082311B">
            <w:pPr>
              <w:jc w:val="right"/>
              <w:rPr>
                <w:b/>
                <w:sz w:val="22"/>
                <w:szCs w:val="22"/>
              </w:rPr>
            </w:pPr>
            <w:r w:rsidRPr="00072519">
              <w:rPr>
                <w:b/>
                <w:sz w:val="22"/>
                <w:szCs w:val="22"/>
              </w:rPr>
              <w:t>1,7</w:t>
            </w:r>
            <w:r w:rsidR="00312BFB">
              <w:rPr>
                <w:b/>
                <w:sz w:val="22"/>
                <w:szCs w:val="22"/>
              </w:rPr>
              <w:t>92</w:t>
            </w:r>
          </w:p>
        </w:tc>
        <w:tc>
          <w:tcPr>
            <w:tcW w:w="1417" w:type="dxa"/>
          </w:tcPr>
          <w:p w:rsidR="00BF7041" w:rsidRPr="006A0E07" w:rsidRDefault="006A0E07" w:rsidP="000C3C21">
            <w:pPr>
              <w:jc w:val="right"/>
              <w:rPr>
                <w:b/>
                <w:sz w:val="22"/>
                <w:szCs w:val="22"/>
              </w:rPr>
            </w:pPr>
            <w:r w:rsidRPr="006A0E07">
              <w:rPr>
                <w:b/>
                <w:sz w:val="22"/>
                <w:szCs w:val="22"/>
              </w:rPr>
              <w:t>1,903</w:t>
            </w:r>
          </w:p>
        </w:tc>
        <w:tc>
          <w:tcPr>
            <w:tcW w:w="1559" w:type="dxa"/>
          </w:tcPr>
          <w:p w:rsidR="00BF7041" w:rsidRPr="006A0E07" w:rsidRDefault="00EB5668" w:rsidP="006F6A01">
            <w:pPr>
              <w:jc w:val="right"/>
              <w:rPr>
                <w:b/>
                <w:sz w:val="22"/>
                <w:szCs w:val="22"/>
              </w:rPr>
            </w:pPr>
            <w:r>
              <w:rPr>
                <w:b/>
                <w:sz w:val="22"/>
                <w:szCs w:val="22"/>
              </w:rPr>
              <w:t>1,9</w:t>
            </w:r>
            <w:r w:rsidR="00312BFB">
              <w:rPr>
                <w:b/>
                <w:sz w:val="22"/>
                <w:szCs w:val="22"/>
              </w:rPr>
              <w:t>96</w:t>
            </w:r>
          </w:p>
        </w:tc>
      </w:tr>
    </w:tbl>
    <w:p w:rsidR="00E42E4B" w:rsidRDefault="004B6E18" w:rsidP="00167917">
      <w:pPr>
        <w:jc w:val="both"/>
        <w:rPr>
          <w:sz w:val="22"/>
          <w:szCs w:val="22"/>
        </w:rPr>
      </w:pPr>
      <w:r>
        <w:rPr>
          <w:sz w:val="22"/>
          <w:szCs w:val="22"/>
        </w:rPr>
        <w:t>* further work is currently taking place on the forecast of 2016/17 planned places numbers</w:t>
      </w:r>
    </w:p>
    <w:p w:rsidR="004B6E18" w:rsidRDefault="004B6E18" w:rsidP="00167917">
      <w:pPr>
        <w:jc w:val="both"/>
        <w:rPr>
          <w:sz w:val="22"/>
          <w:szCs w:val="22"/>
        </w:rPr>
      </w:pPr>
    </w:p>
    <w:p w:rsidR="00CD1441" w:rsidRDefault="006A0E07" w:rsidP="00167917">
      <w:pPr>
        <w:jc w:val="both"/>
        <w:rPr>
          <w:sz w:val="22"/>
          <w:szCs w:val="22"/>
        </w:rPr>
      </w:pPr>
      <w:r>
        <w:rPr>
          <w:color w:val="000000" w:themeColor="text1"/>
          <w:sz w:val="22"/>
          <w:szCs w:val="22"/>
        </w:rPr>
        <w:t xml:space="preserve">5.4 </w:t>
      </w:r>
      <w:r w:rsidRPr="00AB4E1C">
        <w:rPr>
          <w:color w:val="000000" w:themeColor="text1"/>
          <w:sz w:val="22"/>
          <w:szCs w:val="22"/>
        </w:rPr>
        <w:t>Further provision</w:t>
      </w:r>
      <w:r>
        <w:rPr>
          <w:color w:val="000000" w:themeColor="text1"/>
          <w:sz w:val="22"/>
          <w:szCs w:val="22"/>
        </w:rPr>
        <w:t xml:space="preserve"> has indicatively been made</w:t>
      </w:r>
      <w:r w:rsidRPr="00AB4E1C">
        <w:rPr>
          <w:color w:val="000000" w:themeColor="text1"/>
          <w:sz w:val="22"/>
          <w:szCs w:val="22"/>
        </w:rPr>
        <w:t>, not yet allocated to individual settings, for a further 30 places for the full 2016/17 financial year and a further 20 more places at September 2016. These places would be available to allocate across different provisions, though the Authority’s forecast suggests that these additional places will be needed in special school provision</w:t>
      </w:r>
      <w:r>
        <w:rPr>
          <w:color w:val="000000" w:themeColor="text1"/>
          <w:sz w:val="22"/>
          <w:szCs w:val="22"/>
        </w:rPr>
        <w:t>.</w:t>
      </w:r>
    </w:p>
    <w:p w:rsidR="006A0E07" w:rsidRDefault="006A0E07" w:rsidP="00167917">
      <w:pPr>
        <w:jc w:val="both"/>
        <w:rPr>
          <w:sz w:val="22"/>
          <w:szCs w:val="22"/>
        </w:rPr>
      </w:pPr>
    </w:p>
    <w:p w:rsidR="00C67127" w:rsidRPr="00EB5668" w:rsidRDefault="00E42E4B" w:rsidP="00167917">
      <w:pPr>
        <w:jc w:val="both"/>
        <w:rPr>
          <w:sz w:val="22"/>
          <w:szCs w:val="22"/>
        </w:rPr>
      </w:pPr>
      <w:r>
        <w:rPr>
          <w:sz w:val="22"/>
          <w:szCs w:val="22"/>
        </w:rPr>
        <w:t>5.</w:t>
      </w:r>
      <w:r w:rsidR="00CD1441">
        <w:rPr>
          <w:sz w:val="22"/>
          <w:szCs w:val="22"/>
        </w:rPr>
        <w:t>5</w:t>
      </w:r>
      <w:r w:rsidR="0001776B">
        <w:rPr>
          <w:sz w:val="22"/>
          <w:szCs w:val="22"/>
        </w:rPr>
        <w:t xml:space="preserve"> </w:t>
      </w:r>
      <w:r w:rsidR="0001776B" w:rsidRPr="001069A7">
        <w:rPr>
          <w:sz w:val="22"/>
          <w:szCs w:val="22"/>
        </w:rPr>
        <w:t>In total therefore, the Authority plans to fund, through the High Needs Block, a total of</w:t>
      </w:r>
      <w:r w:rsidR="00312BFB">
        <w:rPr>
          <w:sz w:val="22"/>
          <w:szCs w:val="22"/>
        </w:rPr>
        <w:t xml:space="preserve"> 2,038</w:t>
      </w:r>
      <w:r w:rsidR="0001776B" w:rsidRPr="001069A7">
        <w:rPr>
          <w:sz w:val="22"/>
          <w:szCs w:val="22"/>
        </w:rPr>
        <w:t xml:space="preserve"> </w:t>
      </w:r>
      <w:r w:rsidR="00AF44CF">
        <w:rPr>
          <w:sz w:val="22"/>
          <w:szCs w:val="22"/>
        </w:rPr>
        <w:t xml:space="preserve">places in the </w:t>
      </w:r>
      <w:r w:rsidR="00AF44CF" w:rsidRPr="00EB5668">
        <w:rPr>
          <w:sz w:val="22"/>
          <w:szCs w:val="22"/>
        </w:rPr>
        <w:t>2016/17 financial</w:t>
      </w:r>
      <w:r w:rsidR="0001776B" w:rsidRPr="00EB5668">
        <w:rPr>
          <w:sz w:val="22"/>
          <w:szCs w:val="22"/>
        </w:rPr>
        <w:t xml:space="preserve"> year</w:t>
      </w:r>
      <w:r w:rsidR="00666E2C" w:rsidRPr="00EB5668">
        <w:rPr>
          <w:sz w:val="22"/>
          <w:szCs w:val="22"/>
        </w:rPr>
        <w:t xml:space="preserve"> in Bradford-located settings</w:t>
      </w:r>
      <w:r w:rsidR="0001776B" w:rsidRPr="00EB5668">
        <w:rPr>
          <w:sz w:val="22"/>
          <w:szCs w:val="22"/>
        </w:rPr>
        <w:t xml:space="preserve">; </w:t>
      </w:r>
      <w:r w:rsidR="00312BFB">
        <w:rPr>
          <w:sz w:val="22"/>
          <w:szCs w:val="22"/>
        </w:rPr>
        <w:t>1,710</w:t>
      </w:r>
      <w:r w:rsidR="0001776B" w:rsidRPr="00EB5668">
        <w:rPr>
          <w:sz w:val="22"/>
          <w:szCs w:val="22"/>
        </w:rPr>
        <w:t xml:space="preserve"> SEN places and </w:t>
      </w:r>
      <w:r w:rsidR="00EB5668" w:rsidRPr="00EB5668">
        <w:rPr>
          <w:sz w:val="22"/>
          <w:szCs w:val="22"/>
        </w:rPr>
        <w:t>328</w:t>
      </w:r>
      <w:r w:rsidR="0001776B" w:rsidRPr="00EB5668">
        <w:rPr>
          <w:sz w:val="22"/>
          <w:szCs w:val="22"/>
        </w:rPr>
        <w:t xml:space="preserve"> Alternative Provision places.</w:t>
      </w:r>
      <w:r w:rsidR="00015B45" w:rsidRPr="00EB5668">
        <w:rPr>
          <w:sz w:val="22"/>
          <w:szCs w:val="22"/>
        </w:rPr>
        <w:t xml:space="preserve"> In addition, the DSG is currently funding </w:t>
      </w:r>
      <w:r w:rsidR="00847947" w:rsidRPr="00EB5668">
        <w:rPr>
          <w:sz w:val="22"/>
          <w:szCs w:val="22"/>
        </w:rPr>
        <w:t>70</w:t>
      </w:r>
      <w:r w:rsidR="00015B45" w:rsidRPr="00EB5668">
        <w:rPr>
          <w:sz w:val="22"/>
          <w:szCs w:val="22"/>
        </w:rPr>
        <w:t xml:space="preserve"> additional places in non-maintained special schools and independent schools. </w:t>
      </w:r>
    </w:p>
    <w:p w:rsidR="00AF44CF" w:rsidRPr="00EB5668" w:rsidRDefault="00AF44CF" w:rsidP="00167917">
      <w:pPr>
        <w:jc w:val="both"/>
        <w:rPr>
          <w:sz w:val="22"/>
          <w:szCs w:val="22"/>
        </w:rPr>
      </w:pPr>
      <w:bookmarkStart w:id="0" w:name="_GoBack"/>
      <w:bookmarkEnd w:id="0"/>
    </w:p>
    <w:p w:rsidR="00AF44CF" w:rsidRPr="00EB5668" w:rsidRDefault="00CD1441" w:rsidP="00167917">
      <w:pPr>
        <w:jc w:val="both"/>
        <w:rPr>
          <w:sz w:val="22"/>
          <w:szCs w:val="22"/>
        </w:rPr>
      </w:pPr>
      <w:r w:rsidRPr="00EB5668">
        <w:rPr>
          <w:sz w:val="22"/>
          <w:szCs w:val="22"/>
        </w:rPr>
        <w:t>5.6</w:t>
      </w:r>
      <w:r w:rsidR="00AF44CF" w:rsidRPr="00EB5668">
        <w:rPr>
          <w:sz w:val="22"/>
          <w:szCs w:val="22"/>
        </w:rPr>
        <w:t xml:space="preserve"> </w:t>
      </w:r>
      <w:r w:rsidR="00EB5668" w:rsidRPr="00EB5668">
        <w:rPr>
          <w:sz w:val="22"/>
          <w:szCs w:val="22"/>
        </w:rPr>
        <w:t>This r</w:t>
      </w:r>
      <w:r w:rsidR="00312BFB">
        <w:rPr>
          <w:sz w:val="22"/>
          <w:szCs w:val="22"/>
        </w:rPr>
        <w:t>epresents a total increase of 135</w:t>
      </w:r>
      <w:r w:rsidR="00EB5668" w:rsidRPr="00EB5668">
        <w:rPr>
          <w:sz w:val="22"/>
          <w:szCs w:val="22"/>
        </w:rPr>
        <w:t xml:space="preserve"> </w:t>
      </w:r>
      <w:r w:rsidR="00EB5668">
        <w:rPr>
          <w:sz w:val="22"/>
          <w:szCs w:val="22"/>
        </w:rPr>
        <w:t>places on the 2015/16 planned budget</w:t>
      </w:r>
      <w:r w:rsidR="00EB5668" w:rsidRPr="00EB5668">
        <w:rPr>
          <w:sz w:val="22"/>
          <w:szCs w:val="22"/>
        </w:rPr>
        <w:t xml:space="preserve"> </w:t>
      </w:r>
      <w:r w:rsidR="00312BFB">
        <w:rPr>
          <w:sz w:val="22"/>
          <w:szCs w:val="22"/>
        </w:rPr>
        <w:t>position, but an increase of 149</w:t>
      </w:r>
      <w:r w:rsidR="00EB5668" w:rsidRPr="00EB5668">
        <w:rPr>
          <w:sz w:val="22"/>
          <w:szCs w:val="22"/>
        </w:rPr>
        <w:t xml:space="preserve"> SEN places. A reduction of 14 alternative provision places relates to the corresponding increase in the number of placements at independent settings</w:t>
      </w:r>
      <w:r w:rsidR="00EB5668">
        <w:rPr>
          <w:sz w:val="22"/>
          <w:szCs w:val="22"/>
        </w:rPr>
        <w:t xml:space="preserve"> (from 56 to 70)</w:t>
      </w:r>
      <w:r w:rsidR="00EB5668" w:rsidRPr="00EB5668">
        <w:rPr>
          <w:sz w:val="22"/>
          <w:szCs w:val="22"/>
        </w:rPr>
        <w:t xml:space="preserve">. </w:t>
      </w:r>
      <w:r w:rsidR="007E6DF0">
        <w:rPr>
          <w:sz w:val="22"/>
          <w:szCs w:val="22"/>
        </w:rPr>
        <w:t>This is to be further considered by the Schools Forum.</w:t>
      </w:r>
    </w:p>
    <w:p w:rsidR="00E34C27" w:rsidRDefault="00E34C27" w:rsidP="0094692E">
      <w:pPr>
        <w:jc w:val="both"/>
        <w:rPr>
          <w:sz w:val="22"/>
          <w:szCs w:val="22"/>
        </w:rPr>
      </w:pPr>
    </w:p>
    <w:p w:rsidR="008074E0" w:rsidRDefault="003E2B7C" w:rsidP="0094692E">
      <w:pPr>
        <w:jc w:val="both"/>
        <w:rPr>
          <w:b/>
          <w:color w:val="0000FF"/>
          <w:sz w:val="22"/>
          <w:szCs w:val="22"/>
        </w:rPr>
      </w:pPr>
      <w:r w:rsidRPr="00040651">
        <w:rPr>
          <w:b/>
          <w:color w:val="0000FF"/>
          <w:sz w:val="22"/>
          <w:szCs w:val="22"/>
        </w:rPr>
        <w:t xml:space="preserve">Question 1: Do you have any comments on the </w:t>
      </w:r>
      <w:r w:rsidR="00040651" w:rsidRPr="00040651">
        <w:rPr>
          <w:b/>
          <w:color w:val="0000FF"/>
          <w:sz w:val="22"/>
          <w:szCs w:val="22"/>
        </w:rPr>
        <w:t>place</w:t>
      </w:r>
      <w:r w:rsidR="003C263E">
        <w:rPr>
          <w:b/>
          <w:color w:val="0000FF"/>
          <w:sz w:val="22"/>
          <w:szCs w:val="22"/>
        </w:rPr>
        <w:t>s (or the distribut</w:t>
      </w:r>
      <w:r w:rsidR="00850624">
        <w:rPr>
          <w:b/>
          <w:color w:val="0000FF"/>
          <w:sz w:val="22"/>
          <w:szCs w:val="22"/>
        </w:rPr>
        <w:t xml:space="preserve">ion of places) that are planned to be funded from the High Needs Block </w:t>
      </w:r>
      <w:r w:rsidR="0041552C">
        <w:rPr>
          <w:b/>
          <w:color w:val="0000FF"/>
          <w:sz w:val="22"/>
          <w:szCs w:val="22"/>
        </w:rPr>
        <w:t>in</w:t>
      </w:r>
      <w:r w:rsidR="00AF44CF">
        <w:rPr>
          <w:b/>
          <w:color w:val="0000FF"/>
          <w:sz w:val="22"/>
          <w:szCs w:val="22"/>
        </w:rPr>
        <w:t xml:space="preserve"> 2016/17</w:t>
      </w:r>
      <w:r w:rsidRPr="00040651">
        <w:rPr>
          <w:b/>
          <w:color w:val="0000FF"/>
          <w:sz w:val="22"/>
          <w:szCs w:val="22"/>
        </w:rPr>
        <w:t>?</w:t>
      </w:r>
    </w:p>
    <w:p w:rsidR="00FF452A" w:rsidRDefault="00FF452A" w:rsidP="0094692E">
      <w:pPr>
        <w:jc w:val="both"/>
        <w:rPr>
          <w:b/>
          <w:color w:val="0000FF"/>
          <w:sz w:val="22"/>
          <w:szCs w:val="22"/>
        </w:rPr>
      </w:pPr>
    </w:p>
    <w:p w:rsidR="0096706D" w:rsidRDefault="0096706D" w:rsidP="00995C1E">
      <w:pPr>
        <w:jc w:val="both"/>
        <w:rPr>
          <w:sz w:val="22"/>
          <w:szCs w:val="22"/>
        </w:rPr>
      </w:pPr>
    </w:p>
    <w:p w:rsidR="0096706D" w:rsidRPr="001E2903" w:rsidRDefault="00AF44CF" w:rsidP="0096706D">
      <w:pPr>
        <w:jc w:val="both"/>
        <w:rPr>
          <w:b/>
          <w:sz w:val="22"/>
          <w:szCs w:val="22"/>
        </w:rPr>
      </w:pPr>
      <w:r>
        <w:rPr>
          <w:b/>
          <w:sz w:val="22"/>
          <w:szCs w:val="22"/>
        </w:rPr>
        <w:t>6</w:t>
      </w:r>
      <w:r w:rsidR="0096706D" w:rsidRPr="001E2903">
        <w:rPr>
          <w:b/>
          <w:sz w:val="22"/>
          <w:szCs w:val="22"/>
        </w:rPr>
        <w:t>.</w:t>
      </w:r>
      <w:r w:rsidR="0096706D" w:rsidRPr="001E2903">
        <w:rPr>
          <w:b/>
          <w:sz w:val="22"/>
          <w:szCs w:val="22"/>
        </w:rPr>
        <w:tab/>
      </w:r>
      <w:r>
        <w:rPr>
          <w:b/>
          <w:sz w:val="22"/>
          <w:szCs w:val="22"/>
        </w:rPr>
        <w:t xml:space="preserve">Proposed Changes to the </w:t>
      </w:r>
      <w:r w:rsidR="0096706D" w:rsidRPr="001E2903">
        <w:rPr>
          <w:b/>
          <w:sz w:val="22"/>
          <w:szCs w:val="22"/>
        </w:rPr>
        <w:t>Fun</w:t>
      </w:r>
      <w:r w:rsidR="00B649D6">
        <w:rPr>
          <w:b/>
          <w:sz w:val="22"/>
          <w:szCs w:val="22"/>
        </w:rPr>
        <w:t>ding Model for the 2016/17</w:t>
      </w:r>
      <w:r w:rsidR="0096706D" w:rsidRPr="001E2903">
        <w:rPr>
          <w:b/>
          <w:sz w:val="22"/>
          <w:szCs w:val="22"/>
        </w:rPr>
        <w:t xml:space="preserve"> Financial Year</w:t>
      </w:r>
    </w:p>
    <w:p w:rsidR="0096706D" w:rsidRDefault="0096706D" w:rsidP="00995C1E">
      <w:pPr>
        <w:jc w:val="both"/>
        <w:rPr>
          <w:sz w:val="22"/>
          <w:szCs w:val="22"/>
        </w:rPr>
      </w:pPr>
    </w:p>
    <w:p w:rsidR="00665F36" w:rsidRDefault="00665F36" w:rsidP="00BB5EF0">
      <w:pPr>
        <w:jc w:val="both"/>
        <w:rPr>
          <w:sz w:val="22"/>
          <w:szCs w:val="22"/>
        </w:rPr>
      </w:pPr>
      <w:r>
        <w:rPr>
          <w:sz w:val="22"/>
          <w:szCs w:val="22"/>
        </w:rPr>
        <w:t xml:space="preserve">6.1 It is the Authority’s view that our current Place-Plus funding system is still robust and fit for purpose. As a result, we propose to make only minor adjustments in 2016/17. The </w:t>
      </w:r>
      <w:r w:rsidR="00D52642">
        <w:rPr>
          <w:sz w:val="22"/>
          <w:szCs w:val="22"/>
        </w:rPr>
        <w:t>proposed adjustments</w:t>
      </w:r>
      <w:r>
        <w:rPr>
          <w:sz w:val="22"/>
          <w:szCs w:val="22"/>
        </w:rPr>
        <w:t xml:space="preserve"> to the pre-16 funding approach are primarily aimed at controlling costs within the High Needs Block and </w:t>
      </w:r>
      <w:r w:rsidR="00D52642">
        <w:rPr>
          <w:sz w:val="22"/>
          <w:szCs w:val="22"/>
        </w:rPr>
        <w:t>are proposed in recognition that ‘</w:t>
      </w:r>
      <w:r>
        <w:rPr>
          <w:sz w:val="22"/>
          <w:szCs w:val="22"/>
        </w:rPr>
        <w:t>Place-Plus</w:t>
      </w:r>
      <w:r w:rsidR="00D52642">
        <w:rPr>
          <w:sz w:val="22"/>
          <w:szCs w:val="22"/>
        </w:rPr>
        <w:t>’</w:t>
      </w:r>
      <w:r>
        <w:rPr>
          <w:sz w:val="22"/>
          <w:szCs w:val="22"/>
        </w:rPr>
        <w:t xml:space="preserve"> has now been </w:t>
      </w:r>
      <w:r w:rsidR="00D52642">
        <w:rPr>
          <w:sz w:val="22"/>
          <w:szCs w:val="22"/>
        </w:rPr>
        <w:t>established</w:t>
      </w:r>
      <w:r>
        <w:rPr>
          <w:sz w:val="22"/>
          <w:szCs w:val="22"/>
        </w:rPr>
        <w:t xml:space="preserve"> for 3 financial years.</w:t>
      </w:r>
    </w:p>
    <w:p w:rsidR="00665F36" w:rsidRDefault="00665F36" w:rsidP="00BB5EF0">
      <w:pPr>
        <w:jc w:val="both"/>
        <w:rPr>
          <w:sz w:val="22"/>
          <w:szCs w:val="22"/>
        </w:rPr>
      </w:pPr>
    </w:p>
    <w:p w:rsidR="00665F36" w:rsidRDefault="00665F36" w:rsidP="00BB5EF0">
      <w:pPr>
        <w:jc w:val="both"/>
        <w:rPr>
          <w:color w:val="FF0000"/>
          <w:sz w:val="22"/>
          <w:szCs w:val="22"/>
        </w:rPr>
      </w:pPr>
      <w:r>
        <w:rPr>
          <w:sz w:val="22"/>
          <w:szCs w:val="22"/>
        </w:rPr>
        <w:t>6.2 We propose to continue to use the existing Ranges Model to categorise children for funding purposes. This Range</w:t>
      </w:r>
      <w:r w:rsidR="00EC3D94">
        <w:rPr>
          <w:sz w:val="22"/>
          <w:szCs w:val="22"/>
        </w:rPr>
        <w:t>s</w:t>
      </w:r>
      <w:r>
        <w:rPr>
          <w:sz w:val="22"/>
          <w:szCs w:val="22"/>
        </w:rPr>
        <w:t xml:space="preserve"> Model is shown in Appendix 1.</w:t>
      </w:r>
    </w:p>
    <w:p w:rsidR="00665F36" w:rsidRDefault="00665F36" w:rsidP="00BB5EF0">
      <w:pPr>
        <w:jc w:val="both"/>
        <w:rPr>
          <w:color w:val="FF0000"/>
          <w:sz w:val="22"/>
          <w:szCs w:val="22"/>
        </w:rPr>
      </w:pPr>
    </w:p>
    <w:p w:rsidR="00665F36" w:rsidRPr="00642CD9" w:rsidRDefault="002A1AA3" w:rsidP="00BB5EF0">
      <w:pPr>
        <w:jc w:val="both"/>
        <w:rPr>
          <w:sz w:val="22"/>
          <w:szCs w:val="22"/>
        </w:rPr>
      </w:pPr>
      <w:r w:rsidRPr="00642CD9">
        <w:rPr>
          <w:sz w:val="22"/>
          <w:szCs w:val="22"/>
        </w:rPr>
        <w:t xml:space="preserve">6.3 In terms of the </w:t>
      </w:r>
      <w:r w:rsidR="00642CD9" w:rsidRPr="00642CD9">
        <w:rPr>
          <w:sz w:val="22"/>
          <w:szCs w:val="22"/>
        </w:rPr>
        <w:t xml:space="preserve">further </w:t>
      </w:r>
      <w:r w:rsidRPr="00642CD9">
        <w:rPr>
          <w:sz w:val="22"/>
          <w:szCs w:val="22"/>
        </w:rPr>
        <w:t>development of the formula for the calculation of funding for post 16 high needs students in the Further Education sector</w:t>
      </w:r>
      <w:r w:rsidR="00642CD9" w:rsidRPr="00642CD9">
        <w:rPr>
          <w:sz w:val="22"/>
          <w:szCs w:val="22"/>
        </w:rPr>
        <w:t xml:space="preserve">, it has been agreed with the relevant providers that, as, on average, colleges deliver around 60% of the hours delivered by schools, colleges will be funded for the vast majority of students at 60% of the Ranges Model value for the primary need of the student. The exception will be students with the primary need of sensory impairment (Hearing / Visual), where funding </w:t>
      </w:r>
      <w:r w:rsidR="00EC3D94">
        <w:rPr>
          <w:sz w:val="22"/>
          <w:szCs w:val="22"/>
        </w:rPr>
        <w:t>will</w:t>
      </w:r>
      <w:r w:rsidR="00642CD9" w:rsidRPr="00642CD9">
        <w:rPr>
          <w:sz w:val="22"/>
          <w:szCs w:val="22"/>
        </w:rPr>
        <w:t xml:space="preserve"> continue to be allocated on an actual cost basis. Due to the specific support needs of these students in Further Education, and the diverse nature of their curr</w:t>
      </w:r>
      <w:r w:rsidR="00EC3D94">
        <w:rPr>
          <w:sz w:val="22"/>
          <w:szCs w:val="22"/>
        </w:rPr>
        <w:t>iculum choices</w:t>
      </w:r>
      <w:r w:rsidR="00642CD9" w:rsidRPr="00642CD9">
        <w:rPr>
          <w:sz w:val="22"/>
          <w:szCs w:val="22"/>
        </w:rPr>
        <w:t>, it is not possible to formularise this funding element.</w:t>
      </w:r>
      <w:r w:rsidR="00EC3D94">
        <w:rPr>
          <w:sz w:val="22"/>
          <w:szCs w:val="22"/>
        </w:rPr>
        <w:t xml:space="preserve"> This approach</w:t>
      </w:r>
      <w:r w:rsidR="00642CD9" w:rsidRPr="00642CD9">
        <w:rPr>
          <w:sz w:val="22"/>
          <w:szCs w:val="22"/>
        </w:rPr>
        <w:t xml:space="preserve"> brings</w:t>
      </w:r>
      <w:r w:rsidR="00EC3D94">
        <w:rPr>
          <w:sz w:val="22"/>
          <w:szCs w:val="22"/>
        </w:rPr>
        <w:t xml:space="preserve"> the basis of funding of</w:t>
      </w:r>
      <w:r w:rsidR="00642CD9" w:rsidRPr="00642CD9">
        <w:rPr>
          <w:sz w:val="22"/>
          <w:szCs w:val="22"/>
        </w:rPr>
        <w:t xml:space="preserve"> the Further Education and Maintained sectors closer together and provides greater transparency. It also allows for more accurate budget planning, both for colleges a</w:t>
      </w:r>
      <w:r w:rsidR="00EC3D94">
        <w:rPr>
          <w:sz w:val="22"/>
          <w:szCs w:val="22"/>
        </w:rPr>
        <w:t>nd for the Authority. This approach</w:t>
      </w:r>
      <w:r w:rsidR="00642CD9" w:rsidRPr="00642CD9">
        <w:rPr>
          <w:sz w:val="22"/>
          <w:szCs w:val="22"/>
        </w:rPr>
        <w:t xml:space="preserve"> has been implemented for the 2015/16 academic year. </w:t>
      </w:r>
    </w:p>
    <w:p w:rsidR="00665F36" w:rsidRPr="00A14E57" w:rsidRDefault="00665F36" w:rsidP="00BB5EF0">
      <w:pPr>
        <w:jc w:val="both"/>
        <w:rPr>
          <w:sz w:val="22"/>
          <w:szCs w:val="22"/>
        </w:rPr>
      </w:pPr>
    </w:p>
    <w:p w:rsidR="00665F36" w:rsidRPr="00A14E57" w:rsidRDefault="00665F36" w:rsidP="00BB5EF0">
      <w:pPr>
        <w:jc w:val="both"/>
        <w:rPr>
          <w:sz w:val="22"/>
          <w:szCs w:val="22"/>
        </w:rPr>
      </w:pPr>
      <w:r w:rsidRPr="00A14E57">
        <w:rPr>
          <w:sz w:val="22"/>
          <w:szCs w:val="22"/>
        </w:rPr>
        <w:t xml:space="preserve">6.4 </w:t>
      </w:r>
      <w:r w:rsidR="00F41A2D" w:rsidRPr="00A14E57">
        <w:rPr>
          <w:sz w:val="22"/>
          <w:szCs w:val="22"/>
        </w:rPr>
        <w:t>In terms of the pre 16 funding model, the only structural change that is proposed is to remove the Bradford-specific Minimum Funding Guarantee protection</w:t>
      </w:r>
      <w:r w:rsidR="00A43DB9" w:rsidRPr="00A14E57">
        <w:rPr>
          <w:sz w:val="22"/>
          <w:szCs w:val="22"/>
        </w:rPr>
        <w:t xml:space="preserve"> factor</w:t>
      </w:r>
      <w:r w:rsidR="00F41A2D" w:rsidRPr="00A14E57">
        <w:rPr>
          <w:sz w:val="22"/>
          <w:szCs w:val="22"/>
        </w:rPr>
        <w:t xml:space="preserve"> for special schools / academies and DSPs</w:t>
      </w:r>
      <w:r w:rsidR="00983B7E" w:rsidRPr="00A14E57">
        <w:rPr>
          <w:sz w:val="22"/>
          <w:szCs w:val="22"/>
        </w:rPr>
        <w:t xml:space="preserve"> from the calculation of allocations from 1 April 2016. </w:t>
      </w:r>
      <w:r w:rsidR="0038778B" w:rsidRPr="00A14E57">
        <w:rPr>
          <w:sz w:val="22"/>
          <w:szCs w:val="22"/>
        </w:rPr>
        <w:t>This Bradford-specific factor has been in place to provide an additional level of protection to ensure that the new Place-Plus funding system does not negatively affect</w:t>
      </w:r>
      <w:r w:rsidR="00EC3D94" w:rsidRPr="00A14E57">
        <w:rPr>
          <w:sz w:val="22"/>
          <w:szCs w:val="22"/>
        </w:rPr>
        <w:t xml:space="preserve"> the stability of</w:t>
      </w:r>
      <w:r w:rsidR="0038778B" w:rsidRPr="00A14E57">
        <w:rPr>
          <w:sz w:val="22"/>
          <w:szCs w:val="22"/>
        </w:rPr>
        <w:t xml:space="preserve"> provision as this is embedded and </w:t>
      </w:r>
      <w:r w:rsidR="00EC3D94" w:rsidRPr="00A14E57">
        <w:rPr>
          <w:sz w:val="22"/>
          <w:szCs w:val="22"/>
        </w:rPr>
        <w:t xml:space="preserve">as </w:t>
      </w:r>
      <w:r w:rsidR="0038778B" w:rsidRPr="00A14E57">
        <w:rPr>
          <w:sz w:val="22"/>
          <w:szCs w:val="22"/>
        </w:rPr>
        <w:t xml:space="preserve">settings become familiar with how </w:t>
      </w:r>
      <w:r w:rsidR="00EC3D94" w:rsidRPr="00A14E57">
        <w:rPr>
          <w:sz w:val="22"/>
          <w:szCs w:val="22"/>
        </w:rPr>
        <w:t>allocations are calculated. This factor</w:t>
      </w:r>
      <w:r w:rsidR="0038778B" w:rsidRPr="00A14E57">
        <w:rPr>
          <w:sz w:val="22"/>
          <w:szCs w:val="22"/>
        </w:rPr>
        <w:t xml:space="preserve"> has </w:t>
      </w:r>
      <w:r w:rsidR="00EC3D94" w:rsidRPr="00A14E57">
        <w:rPr>
          <w:sz w:val="22"/>
          <w:szCs w:val="22"/>
        </w:rPr>
        <w:t xml:space="preserve">protected the overall level </w:t>
      </w:r>
      <w:r w:rsidR="0038778B" w:rsidRPr="00A14E57">
        <w:rPr>
          <w:sz w:val="22"/>
          <w:szCs w:val="22"/>
        </w:rPr>
        <w:t>of per pupil funding</w:t>
      </w:r>
      <w:r w:rsidR="00EC3D94" w:rsidRPr="00A14E57">
        <w:rPr>
          <w:sz w:val="22"/>
          <w:szCs w:val="22"/>
        </w:rPr>
        <w:t xml:space="preserve"> received by a setting</w:t>
      </w:r>
      <w:r w:rsidR="0038778B" w:rsidRPr="00A14E57">
        <w:rPr>
          <w:sz w:val="22"/>
          <w:szCs w:val="22"/>
        </w:rPr>
        <w:t>, based on the distribution of children in the Ranges Model in the previous year.</w:t>
      </w:r>
      <w:r w:rsidR="00EC3D94" w:rsidRPr="00A14E57">
        <w:rPr>
          <w:sz w:val="22"/>
          <w:szCs w:val="22"/>
        </w:rPr>
        <w:t xml:space="preserve"> Although </w:t>
      </w:r>
      <w:r w:rsidR="00A43DB9" w:rsidRPr="00A14E57">
        <w:rPr>
          <w:sz w:val="22"/>
          <w:szCs w:val="22"/>
        </w:rPr>
        <w:t>providing</w:t>
      </w:r>
      <w:r w:rsidR="00EC3D94" w:rsidRPr="00A14E57">
        <w:rPr>
          <w:sz w:val="22"/>
          <w:szCs w:val="22"/>
        </w:rPr>
        <w:t xml:space="preserve"> additional stability, this factor does not allow changes in the</w:t>
      </w:r>
      <w:r w:rsidR="00A43DB9" w:rsidRPr="00A14E57">
        <w:rPr>
          <w:sz w:val="22"/>
          <w:szCs w:val="22"/>
        </w:rPr>
        <w:t xml:space="preserve"> distribution of children within</w:t>
      </w:r>
      <w:r w:rsidR="00EC3D94" w:rsidRPr="00A14E57">
        <w:rPr>
          <w:sz w:val="22"/>
          <w:szCs w:val="22"/>
        </w:rPr>
        <w:t xml:space="preserve"> the Ranges Model to feed through into funding allocations for individual schools; it limits the extent to which funding ‘follows the child’. As Place-Plus will have</w:t>
      </w:r>
      <w:r w:rsidR="0038778B" w:rsidRPr="00A14E57">
        <w:rPr>
          <w:sz w:val="22"/>
          <w:szCs w:val="22"/>
        </w:rPr>
        <w:t xml:space="preserve"> been established</w:t>
      </w:r>
      <w:r w:rsidR="00EC3D94" w:rsidRPr="00A14E57">
        <w:rPr>
          <w:sz w:val="22"/>
          <w:szCs w:val="22"/>
        </w:rPr>
        <w:t xml:space="preserve"> at April 2016</w:t>
      </w:r>
      <w:r w:rsidR="0038778B" w:rsidRPr="00A14E57">
        <w:rPr>
          <w:sz w:val="22"/>
          <w:szCs w:val="22"/>
        </w:rPr>
        <w:t xml:space="preserve"> for 3 full financial years,</w:t>
      </w:r>
      <w:r w:rsidR="005C07FD" w:rsidRPr="00A14E57">
        <w:rPr>
          <w:sz w:val="22"/>
          <w:szCs w:val="22"/>
        </w:rPr>
        <w:t xml:space="preserve"> and as the vast majority of our special school provisions are growing in numbers,</w:t>
      </w:r>
      <w:r w:rsidR="0038778B" w:rsidRPr="00A14E57">
        <w:rPr>
          <w:sz w:val="22"/>
          <w:szCs w:val="22"/>
        </w:rPr>
        <w:t xml:space="preserve"> it is the Authority’s view that this specific additional protection should be removed</w:t>
      </w:r>
      <w:r w:rsidR="00EC3D94" w:rsidRPr="00A14E57">
        <w:rPr>
          <w:sz w:val="22"/>
          <w:szCs w:val="22"/>
        </w:rPr>
        <w:t xml:space="preserve"> from the funding model</w:t>
      </w:r>
      <w:r w:rsidR="0038778B" w:rsidRPr="00A14E57">
        <w:rPr>
          <w:sz w:val="22"/>
          <w:szCs w:val="22"/>
        </w:rPr>
        <w:t>. Please note that this doesn’t affect the continuation of the DfE’s Minimum Funding Guarantee or the overall cash budget protection factor</w:t>
      </w:r>
      <w:r w:rsidR="00EC3D94" w:rsidRPr="00A14E57">
        <w:rPr>
          <w:sz w:val="22"/>
          <w:szCs w:val="22"/>
        </w:rPr>
        <w:t xml:space="preserve"> (set at minus 1.5%)</w:t>
      </w:r>
      <w:r w:rsidR="0038778B" w:rsidRPr="00A14E57">
        <w:rPr>
          <w:sz w:val="22"/>
          <w:szCs w:val="22"/>
        </w:rPr>
        <w:t xml:space="preserve">, which will remain </w:t>
      </w:r>
      <w:r w:rsidR="00A43DB9" w:rsidRPr="00A14E57">
        <w:rPr>
          <w:sz w:val="22"/>
          <w:szCs w:val="22"/>
        </w:rPr>
        <w:t>in</w:t>
      </w:r>
      <w:r w:rsidR="0038778B" w:rsidRPr="00A14E57">
        <w:rPr>
          <w:sz w:val="22"/>
          <w:szCs w:val="22"/>
        </w:rPr>
        <w:t xml:space="preserve"> the funding model in 2016/17.</w:t>
      </w:r>
      <w:r w:rsidR="00EC3D94" w:rsidRPr="00A14E57">
        <w:rPr>
          <w:sz w:val="22"/>
          <w:szCs w:val="22"/>
        </w:rPr>
        <w:t xml:space="preserve"> The</w:t>
      </w:r>
      <w:r w:rsidR="00A43DB9" w:rsidRPr="00A14E57">
        <w:rPr>
          <w:sz w:val="22"/>
          <w:szCs w:val="22"/>
        </w:rPr>
        <w:t xml:space="preserve"> 2015/16 allocations from the Bradford-specific</w:t>
      </w:r>
      <w:r w:rsidR="00EC3D94" w:rsidRPr="00A14E57">
        <w:rPr>
          <w:sz w:val="22"/>
          <w:szCs w:val="22"/>
        </w:rPr>
        <w:t xml:space="preserve"> factor will be included in the calculation of the cash budget protection in 2016/17, so that the impact of its removal can be incrementally managed.</w:t>
      </w:r>
      <w:r w:rsidR="00003966" w:rsidRPr="00A14E57">
        <w:rPr>
          <w:sz w:val="22"/>
          <w:szCs w:val="22"/>
        </w:rPr>
        <w:t xml:space="preserve"> No individual school’</w:t>
      </w:r>
      <w:r w:rsidR="00A43DB9" w:rsidRPr="00A14E57">
        <w:rPr>
          <w:sz w:val="22"/>
          <w:szCs w:val="22"/>
        </w:rPr>
        <w:t>s Place-Plus allocation</w:t>
      </w:r>
      <w:r w:rsidR="00003966" w:rsidRPr="00A14E57">
        <w:rPr>
          <w:sz w:val="22"/>
          <w:szCs w:val="22"/>
        </w:rPr>
        <w:t xml:space="preserve"> in 2016/17 will reduce by more than 1.5% in </w:t>
      </w:r>
      <w:r w:rsidR="00A43DB9" w:rsidRPr="00A14E57">
        <w:rPr>
          <w:sz w:val="22"/>
          <w:szCs w:val="22"/>
        </w:rPr>
        <w:t xml:space="preserve">total </w:t>
      </w:r>
      <w:r w:rsidR="00003966" w:rsidRPr="00A14E57">
        <w:rPr>
          <w:sz w:val="22"/>
          <w:szCs w:val="22"/>
        </w:rPr>
        <w:t>cash terms on 2015/16.</w:t>
      </w:r>
    </w:p>
    <w:p w:rsidR="00EC3D94" w:rsidRPr="00A14E57" w:rsidRDefault="00EC3D94" w:rsidP="00BB5EF0">
      <w:pPr>
        <w:jc w:val="both"/>
        <w:rPr>
          <w:sz w:val="22"/>
          <w:szCs w:val="22"/>
        </w:rPr>
      </w:pPr>
    </w:p>
    <w:p w:rsidR="00EC3D94" w:rsidRPr="00A14E57" w:rsidRDefault="00EC3D94" w:rsidP="00BB5EF0">
      <w:pPr>
        <w:jc w:val="both"/>
        <w:rPr>
          <w:sz w:val="22"/>
          <w:szCs w:val="22"/>
        </w:rPr>
      </w:pPr>
      <w:r w:rsidRPr="00A14E57">
        <w:rPr>
          <w:sz w:val="22"/>
          <w:szCs w:val="22"/>
        </w:rPr>
        <w:t xml:space="preserve">6.5 It is estimated that the removal of this Bradford-specific MFG factor </w:t>
      </w:r>
      <w:r w:rsidR="00003966" w:rsidRPr="00A14E57">
        <w:rPr>
          <w:sz w:val="22"/>
          <w:szCs w:val="22"/>
        </w:rPr>
        <w:t>will reduce</w:t>
      </w:r>
      <w:r w:rsidRPr="00A14E57">
        <w:rPr>
          <w:sz w:val="22"/>
          <w:szCs w:val="22"/>
        </w:rPr>
        <w:t xml:space="preserve"> the cost of special school / academy and DSP budgets </w:t>
      </w:r>
      <w:r w:rsidR="00003966" w:rsidRPr="00A14E57">
        <w:rPr>
          <w:sz w:val="22"/>
          <w:szCs w:val="22"/>
        </w:rPr>
        <w:t>by £320,000 in 2016/17. This represents a reduction of approximately £263 per special school / academy / DSP place (referring to the benchmarking information shown in paragraph 2.2, which shows our rates of Plus funding in special schools to be £936 greater than the national median and £683 greater than the median of our statistical neighbours).</w:t>
      </w:r>
    </w:p>
    <w:p w:rsidR="00665F36" w:rsidRPr="00A14E57" w:rsidRDefault="00665F36" w:rsidP="00BB5EF0">
      <w:pPr>
        <w:jc w:val="both"/>
        <w:rPr>
          <w:sz w:val="22"/>
          <w:szCs w:val="22"/>
        </w:rPr>
      </w:pPr>
    </w:p>
    <w:p w:rsidR="00A14E57" w:rsidRPr="00A14E57" w:rsidRDefault="00EC3D94" w:rsidP="00BB5EF0">
      <w:pPr>
        <w:jc w:val="both"/>
        <w:rPr>
          <w:sz w:val="22"/>
          <w:szCs w:val="22"/>
        </w:rPr>
      </w:pPr>
      <w:r w:rsidRPr="00A14E57">
        <w:rPr>
          <w:sz w:val="22"/>
          <w:szCs w:val="22"/>
        </w:rPr>
        <w:t>6.6</w:t>
      </w:r>
      <w:r w:rsidR="00AC00EE" w:rsidRPr="00A14E57">
        <w:rPr>
          <w:sz w:val="22"/>
          <w:szCs w:val="22"/>
        </w:rPr>
        <w:t xml:space="preserve"> Given the size of the cost pressure within the High Needs Block, the Authority is considering, with the SEN Reference Group and the Schools Forum, a range of cost-saving measures. This includes consideration of whether changes should be made to the way additional place-led funding is allocated in year, where settings grow above their planned number</w:t>
      </w:r>
      <w:r w:rsidR="00DC3B65">
        <w:rPr>
          <w:sz w:val="22"/>
          <w:szCs w:val="22"/>
        </w:rPr>
        <w:t>s</w:t>
      </w:r>
      <w:r w:rsidR="00AC00EE" w:rsidRPr="00A14E57">
        <w:rPr>
          <w:sz w:val="22"/>
          <w:szCs w:val="22"/>
        </w:rPr>
        <w:t xml:space="preserve">. Currently the Authority allocates an additional £10,000 (pro-rata’d on a monthly basis) </w:t>
      </w:r>
      <w:r w:rsidR="00DC3B65">
        <w:rPr>
          <w:sz w:val="22"/>
          <w:szCs w:val="22"/>
        </w:rPr>
        <w:t xml:space="preserve">in real time </w:t>
      </w:r>
      <w:r w:rsidR="00AC00EE" w:rsidRPr="00A14E57">
        <w:rPr>
          <w:sz w:val="22"/>
          <w:szCs w:val="22"/>
        </w:rPr>
        <w:t>at the point a setting’s occupancy exceeds its planned number of places</w:t>
      </w:r>
      <w:r w:rsidR="00DC3B65">
        <w:rPr>
          <w:sz w:val="22"/>
          <w:szCs w:val="22"/>
        </w:rPr>
        <w:t xml:space="preserve"> in that month</w:t>
      </w:r>
      <w:r w:rsidR="00AC00EE" w:rsidRPr="00A14E57">
        <w:rPr>
          <w:sz w:val="22"/>
          <w:szCs w:val="22"/>
        </w:rPr>
        <w:t xml:space="preserve">. Certainly, the Authority plans to move to a position where additional funding for the place-element in 2016/17 will not be finally determined until the end of the financial year; at March 2017. This is so that a balance of additional place-led funding owed can be calculated to take account of the months where the setting’s number of roll could have been below the planned number of places. The Authority has identified that currently allocating additional place-led funding on a monthly real time basis has led to some </w:t>
      </w:r>
      <w:r w:rsidR="00DC3B65">
        <w:rPr>
          <w:sz w:val="22"/>
          <w:szCs w:val="22"/>
        </w:rPr>
        <w:t>overpayment</w:t>
      </w:r>
      <w:r w:rsidR="00AC00EE" w:rsidRPr="00A14E57">
        <w:rPr>
          <w:sz w:val="22"/>
          <w:szCs w:val="22"/>
        </w:rPr>
        <w:t>.</w:t>
      </w:r>
    </w:p>
    <w:p w:rsidR="00A14E57" w:rsidRDefault="00A14E57" w:rsidP="00BB5EF0">
      <w:pPr>
        <w:jc w:val="both"/>
        <w:rPr>
          <w:color w:val="FF0000"/>
          <w:sz w:val="22"/>
          <w:szCs w:val="22"/>
        </w:rPr>
      </w:pPr>
    </w:p>
    <w:p w:rsidR="00597DA6" w:rsidRPr="00B20A72" w:rsidRDefault="00A14E57" w:rsidP="00B23DC4">
      <w:pPr>
        <w:jc w:val="both"/>
        <w:rPr>
          <w:sz w:val="22"/>
          <w:szCs w:val="22"/>
        </w:rPr>
      </w:pPr>
      <w:r w:rsidRPr="00D51851">
        <w:rPr>
          <w:sz w:val="22"/>
          <w:szCs w:val="22"/>
        </w:rPr>
        <w:t xml:space="preserve">6.7 The Authority is also </w:t>
      </w:r>
      <w:r w:rsidR="002C6C9F">
        <w:rPr>
          <w:sz w:val="22"/>
          <w:szCs w:val="22"/>
        </w:rPr>
        <w:t xml:space="preserve">currently </w:t>
      </w:r>
      <w:r w:rsidRPr="00D51851">
        <w:rPr>
          <w:sz w:val="22"/>
          <w:szCs w:val="22"/>
        </w:rPr>
        <w:t xml:space="preserve">considering whether it is reasonable to apply </w:t>
      </w:r>
      <w:r w:rsidR="00705BF0" w:rsidRPr="00D51851">
        <w:rPr>
          <w:sz w:val="22"/>
          <w:szCs w:val="22"/>
        </w:rPr>
        <w:t>2 other</w:t>
      </w:r>
      <w:r w:rsidR="00DC3B65" w:rsidRPr="00D51851">
        <w:rPr>
          <w:sz w:val="22"/>
          <w:szCs w:val="22"/>
        </w:rPr>
        <w:t xml:space="preserve"> restrictions </w:t>
      </w:r>
      <w:r w:rsidR="004A2F62" w:rsidRPr="00D51851">
        <w:rPr>
          <w:sz w:val="22"/>
          <w:szCs w:val="22"/>
        </w:rPr>
        <w:t>to the allocation of additional place-led funding</w:t>
      </w:r>
      <w:r w:rsidR="00705BF0" w:rsidRPr="00D51851">
        <w:rPr>
          <w:sz w:val="22"/>
          <w:szCs w:val="22"/>
        </w:rPr>
        <w:t xml:space="preserve"> in year;</w:t>
      </w:r>
      <w:r w:rsidR="004A2F62" w:rsidRPr="00D51851">
        <w:rPr>
          <w:sz w:val="22"/>
          <w:szCs w:val="22"/>
        </w:rPr>
        <w:t xml:space="preserve"> the application of a ‘threshold’ where growth will only be funded over a set number</w:t>
      </w:r>
      <w:r w:rsidR="00705BF0" w:rsidRPr="00D51851">
        <w:rPr>
          <w:sz w:val="22"/>
          <w:szCs w:val="22"/>
        </w:rPr>
        <w:t xml:space="preserve"> of additional admissions e.g. 2 places, and allocating additional place-funding</w:t>
      </w:r>
      <w:r w:rsidR="004A2F62" w:rsidRPr="00D51851">
        <w:rPr>
          <w:sz w:val="22"/>
          <w:szCs w:val="22"/>
        </w:rPr>
        <w:t xml:space="preserve"> at £6,000 rather than £10,000. The Authority</w:t>
      </w:r>
      <w:r w:rsidR="00D51851" w:rsidRPr="00D51851">
        <w:rPr>
          <w:sz w:val="22"/>
          <w:szCs w:val="22"/>
        </w:rPr>
        <w:t xml:space="preserve"> is considering these</w:t>
      </w:r>
      <w:r w:rsidR="004E76F6">
        <w:rPr>
          <w:sz w:val="22"/>
          <w:szCs w:val="22"/>
        </w:rPr>
        <w:t xml:space="preserve"> adjustments</w:t>
      </w:r>
      <w:r w:rsidR="004A2F62" w:rsidRPr="00D51851">
        <w:rPr>
          <w:sz w:val="22"/>
          <w:szCs w:val="22"/>
        </w:rPr>
        <w:t xml:space="preserve">, understanding that mainstream settings do not receive additional formula funding for growth in </w:t>
      </w:r>
      <w:r w:rsidR="00D51851" w:rsidRPr="00D51851">
        <w:rPr>
          <w:sz w:val="22"/>
          <w:szCs w:val="22"/>
        </w:rPr>
        <w:t xml:space="preserve">their </w:t>
      </w:r>
      <w:r w:rsidR="004A2F62" w:rsidRPr="00D51851">
        <w:rPr>
          <w:sz w:val="22"/>
          <w:szCs w:val="22"/>
        </w:rPr>
        <w:t>pupil numbers after the October Census is taken and £4,000 of the £10,000 is determined to cover fixed type costs, which will not necessarily increase with the addition of a s</w:t>
      </w:r>
      <w:r w:rsidR="00D51851" w:rsidRPr="00D51851">
        <w:rPr>
          <w:sz w:val="22"/>
          <w:szCs w:val="22"/>
        </w:rPr>
        <w:t>mall number of pupils. W</w:t>
      </w:r>
      <w:r w:rsidR="004A2F62" w:rsidRPr="00D51851">
        <w:rPr>
          <w:sz w:val="22"/>
          <w:szCs w:val="22"/>
        </w:rPr>
        <w:t xml:space="preserve">e would </w:t>
      </w:r>
      <w:r w:rsidR="00D51851" w:rsidRPr="00D51851">
        <w:rPr>
          <w:sz w:val="22"/>
          <w:szCs w:val="22"/>
        </w:rPr>
        <w:t>welcome views on these measures</w:t>
      </w:r>
      <w:r w:rsidR="004A2F62" w:rsidRPr="00D51851">
        <w:rPr>
          <w:sz w:val="22"/>
          <w:szCs w:val="22"/>
        </w:rPr>
        <w:t>.</w:t>
      </w:r>
      <w:r w:rsidR="00D51851" w:rsidRPr="00D51851">
        <w:rPr>
          <w:sz w:val="22"/>
          <w:szCs w:val="22"/>
        </w:rPr>
        <w:t xml:space="preserve"> These measures would not reduce the cost of the planned DSG budget in 2016/17, but they will help to control the value of additional ‘unplanned’ cost to the DSG during 2016/17. </w:t>
      </w:r>
      <w:r w:rsidR="004A2F62" w:rsidRPr="00D51851">
        <w:rPr>
          <w:sz w:val="22"/>
          <w:szCs w:val="22"/>
        </w:rPr>
        <w:t xml:space="preserve">  </w:t>
      </w:r>
    </w:p>
    <w:p w:rsidR="00597DA6" w:rsidRPr="00B23DC4" w:rsidRDefault="00597DA6" w:rsidP="00B23DC4">
      <w:pPr>
        <w:jc w:val="both"/>
        <w:rPr>
          <w:color w:val="FF0000"/>
          <w:sz w:val="22"/>
          <w:szCs w:val="22"/>
        </w:rPr>
      </w:pPr>
    </w:p>
    <w:p w:rsidR="00B23DC4" w:rsidRPr="00B23DC4" w:rsidRDefault="00AF44CF" w:rsidP="00B23DC4">
      <w:pPr>
        <w:pStyle w:val="ListParagraph"/>
        <w:ind w:left="0"/>
        <w:jc w:val="both"/>
        <w:rPr>
          <w:b/>
          <w:color w:val="0000FF"/>
          <w:sz w:val="22"/>
          <w:szCs w:val="22"/>
        </w:rPr>
      </w:pPr>
      <w:r>
        <w:rPr>
          <w:b/>
          <w:color w:val="0000FF"/>
          <w:sz w:val="22"/>
          <w:szCs w:val="22"/>
        </w:rPr>
        <w:t>Question 2</w:t>
      </w:r>
      <w:r w:rsidR="00B23DC4" w:rsidRPr="00B23DC4">
        <w:rPr>
          <w:b/>
          <w:color w:val="0000FF"/>
          <w:sz w:val="22"/>
          <w:szCs w:val="22"/>
        </w:rPr>
        <w:t>: Do you agree with the proposal to continue to use the existing Ranges Model (</w:t>
      </w:r>
      <w:r w:rsidR="00956A85">
        <w:rPr>
          <w:b/>
          <w:color w:val="0000FF"/>
          <w:sz w:val="22"/>
          <w:szCs w:val="22"/>
        </w:rPr>
        <w:t xml:space="preserve">as shown in </w:t>
      </w:r>
      <w:r w:rsidR="00665F36">
        <w:rPr>
          <w:b/>
          <w:color w:val="0000FF"/>
          <w:sz w:val="22"/>
          <w:szCs w:val="22"/>
        </w:rPr>
        <w:t>Appendix 1</w:t>
      </w:r>
      <w:r w:rsidR="00B23DC4" w:rsidRPr="00B23DC4">
        <w:rPr>
          <w:b/>
          <w:color w:val="0000FF"/>
          <w:sz w:val="22"/>
          <w:szCs w:val="22"/>
        </w:rPr>
        <w:t>) to calculate the ‘Plus’ funding element</w:t>
      </w:r>
      <w:r w:rsidR="001E20E8">
        <w:rPr>
          <w:b/>
          <w:color w:val="0000FF"/>
          <w:sz w:val="22"/>
          <w:szCs w:val="22"/>
        </w:rPr>
        <w:t xml:space="preserve"> for the 2016/17 financial year</w:t>
      </w:r>
      <w:r w:rsidR="00B23DC4" w:rsidRPr="00B23DC4">
        <w:rPr>
          <w:b/>
          <w:color w:val="0000FF"/>
          <w:sz w:val="22"/>
          <w:szCs w:val="22"/>
        </w:rPr>
        <w:t xml:space="preserve">? If not, please </w:t>
      </w:r>
      <w:r w:rsidR="00B23DC4">
        <w:rPr>
          <w:b/>
          <w:color w:val="0000FF"/>
          <w:sz w:val="22"/>
          <w:szCs w:val="22"/>
        </w:rPr>
        <w:t>explain why not</w:t>
      </w:r>
      <w:r w:rsidR="00B23DC4" w:rsidRPr="00B23DC4">
        <w:rPr>
          <w:b/>
          <w:color w:val="0000FF"/>
          <w:sz w:val="22"/>
          <w:szCs w:val="22"/>
        </w:rPr>
        <w:t>.</w:t>
      </w:r>
    </w:p>
    <w:p w:rsidR="008A0C9E" w:rsidRPr="00653F61" w:rsidRDefault="008A0C9E" w:rsidP="00653F61">
      <w:pPr>
        <w:ind w:left="360"/>
        <w:jc w:val="both"/>
        <w:rPr>
          <w:color w:val="FF0000"/>
          <w:sz w:val="22"/>
          <w:szCs w:val="22"/>
        </w:rPr>
      </w:pPr>
    </w:p>
    <w:p w:rsidR="0003085F" w:rsidRDefault="00AF44CF" w:rsidP="00995C1E">
      <w:pPr>
        <w:jc w:val="both"/>
        <w:rPr>
          <w:b/>
          <w:color w:val="0000FF"/>
          <w:sz w:val="22"/>
          <w:szCs w:val="22"/>
        </w:rPr>
      </w:pPr>
      <w:r>
        <w:rPr>
          <w:b/>
          <w:color w:val="0000FF"/>
          <w:sz w:val="22"/>
          <w:szCs w:val="22"/>
        </w:rPr>
        <w:t>Question 3</w:t>
      </w:r>
      <w:r w:rsidR="00B23DC4" w:rsidRPr="00B23DC4">
        <w:rPr>
          <w:b/>
          <w:color w:val="0000FF"/>
          <w:sz w:val="22"/>
          <w:szCs w:val="22"/>
        </w:rPr>
        <w:t xml:space="preserve">: </w:t>
      </w:r>
      <w:r w:rsidR="00956A85">
        <w:rPr>
          <w:b/>
          <w:color w:val="0000FF"/>
          <w:sz w:val="22"/>
          <w:szCs w:val="22"/>
        </w:rPr>
        <w:t>Do you agree with the incremental changes to the</w:t>
      </w:r>
      <w:r w:rsidR="001E20E8">
        <w:rPr>
          <w:b/>
          <w:color w:val="0000FF"/>
          <w:sz w:val="22"/>
          <w:szCs w:val="22"/>
        </w:rPr>
        <w:t xml:space="preserve"> existing funding model for 2016/17</w:t>
      </w:r>
      <w:r w:rsidR="00956A85">
        <w:rPr>
          <w:b/>
          <w:color w:val="0000FF"/>
          <w:sz w:val="22"/>
          <w:szCs w:val="22"/>
        </w:rPr>
        <w:t>, as outlined in paragraph</w:t>
      </w:r>
      <w:r w:rsidR="00423A2A">
        <w:rPr>
          <w:b/>
          <w:color w:val="0000FF"/>
          <w:sz w:val="22"/>
          <w:szCs w:val="22"/>
        </w:rPr>
        <w:t>s</w:t>
      </w:r>
      <w:r>
        <w:rPr>
          <w:b/>
          <w:color w:val="0000FF"/>
          <w:sz w:val="22"/>
          <w:szCs w:val="22"/>
        </w:rPr>
        <w:t xml:space="preserve"> 6</w:t>
      </w:r>
      <w:r w:rsidR="00112A82">
        <w:rPr>
          <w:b/>
          <w:color w:val="0000FF"/>
          <w:sz w:val="22"/>
          <w:szCs w:val="22"/>
        </w:rPr>
        <w:t>.</w:t>
      </w:r>
      <w:r w:rsidR="00665F36">
        <w:rPr>
          <w:b/>
          <w:color w:val="0000FF"/>
          <w:sz w:val="22"/>
          <w:szCs w:val="22"/>
        </w:rPr>
        <w:t>4</w:t>
      </w:r>
      <w:r w:rsidR="00EC3D94">
        <w:rPr>
          <w:b/>
          <w:color w:val="0000FF"/>
          <w:sz w:val="22"/>
          <w:szCs w:val="22"/>
        </w:rPr>
        <w:t xml:space="preserve"> to</w:t>
      </w:r>
      <w:r w:rsidR="00665F36">
        <w:rPr>
          <w:b/>
          <w:color w:val="0000FF"/>
          <w:sz w:val="22"/>
          <w:szCs w:val="22"/>
        </w:rPr>
        <w:t xml:space="preserve"> 6.</w:t>
      </w:r>
      <w:r w:rsidR="00A14E57">
        <w:rPr>
          <w:b/>
          <w:color w:val="0000FF"/>
          <w:sz w:val="22"/>
          <w:szCs w:val="22"/>
        </w:rPr>
        <w:t>7</w:t>
      </w:r>
      <w:r w:rsidR="00956A85">
        <w:rPr>
          <w:b/>
          <w:color w:val="0000FF"/>
          <w:sz w:val="22"/>
          <w:szCs w:val="22"/>
        </w:rPr>
        <w:t>? If not, please outline which changes you do not agree with and the reasons why you do not agree.</w:t>
      </w:r>
    </w:p>
    <w:p w:rsidR="001E20E8" w:rsidRDefault="001E20E8" w:rsidP="00995C1E">
      <w:pPr>
        <w:jc w:val="both"/>
        <w:rPr>
          <w:b/>
          <w:color w:val="0000FF"/>
          <w:sz w:val="22"/>
          <w:szCs w:val="22"/>
        </w:rPr>
      </w:pPr>
    </w:p>
    <w:p w:rsidR="001E20E8" w:rsidRPr="00015B45" w:rsidRDefault="00AF44CF" w:rsidP="00995C1E">
      <w:pPr>
        <w:jc w:val="both"/>
        <w:rPr>
          <w:b/>
          <w:color w:val="0000FF"/>
          <w:sz w:val="22"/>
          <w:szCs w:val="22"/>
        </w:rPr>
      </w:pPr>
      <w:r w:rsidRPr="00015B45">
        <w:rPr>
          <w:b/>
          <w:color w:val="0000FF"/>
          <w:sz w:val="22"/>
          <w:szCs w:val="22"/>
        </w:rPr>
        <w:t xml:space="preserve">Question 4: </w:t>
      </w:r>
      <w:r w:rsidR="00015B45" w:rsidRPr="00015B45">
        <w:rPr>
          <w:b/>
          <w:color w:val="0000FF"/>
          <w:sz w:val="22"/>
          <w:szCs w:val="22"/>
        </w:rPr>
        <w:t>Do you have any comments on the model that has been implemented for the calculation of the Plus element for students with high needs in Further Education settings?</w:t>
      </w:r>
    </w:p>
    <w:p w:rsidR="00956A85" w:rsidRDefault="00956A85" w:rsidP="00995C1E">
      <w:pPr>
        <w:jc w:val="both"/>
        <w:rPr>
          <w:b/>
          <w:color w:val="0000FF"/>
          <w:sz w:val="22"/>
          <w:szCs w:val="22"/>
        </w:rPr>
      </w:pPr>
    </w:p>
    <w:p w:rsidR="00956A85" w:rsidRDefault="00AF44CF" w:rsidP="00995C1E">
      <w:pPr>
        <w:jc w:val="both"/>
        <w:rPr>
          <w:b/>
          <w:color w:val="0000FF"/>
          <w:sz w:val="22"/>
          <w:szCs w:val="22"/>
        </w:rPr>
      </w:pPr>
      <w:r>
        <w:rPr>
          <w:b/>
          <w:color w:val="0000FF"/>
          <w:sz w:val="22"/>
          <w:szCs w:val="22"/>
        </w:rPr>
        <w:t>Question 5</w:t>
      </w:r>
      <w:r w:rsidR="00956A85">
        <w:rPr>
          <w:b/>
          <w:color w:val="0000FF"/>
          <w:sz w:val="22"/>
          <w:szCs w:val="22"/>
        </w:rPr>
        <w:t>: Are there any further changes that you would wish to see m</w:t>
      </w:r>
      <w:r>
        <w:rPr>
          <w:b/>
          <w:color w:val="0000FF"/>
          <w:sz w:val="22"/>
          <w:szCs w:val="22"/>
        </w:rPr>
        <w:t>ade to the funding model in 2016/17</w:t>
      </w:r>
      <w:r w:rsidR="00956A85">
        <w:rPr>
          <w:b/>
          <w:color w:val="0000FF"/>
          <w:sz w:val="22"/>
          <w:szCs w:val="22"/>
        </w:rPr>
        <w:t>? Please give details.</w:t>
      </w:r>
    </w:p>
    <w:p w:rsidR="006F6CB6" w:rsidRDefault="006F6CB6" w:rsidP="0095349F">
      <w:pPr>
        <w:jc w:val="both"/>
        <w:rPr>
          <w:b/>
          <w:color w:val="FF0000"/>
          <w:sz w:val="22"/>
          <w:szCs w:val="22"/>
        </w:rPr>
      </w:pPr>
    </w:p>
    <w:p w:rsidR="006F6CB6" w:rsidRPr="007D4220" w:rsidRDefault="00956A85" w:rsidP="006F6CB6">
      <w:pPr>
        <w:jc w:val="both"/>
        <w:rPr>
          <w:b/>
          <w:color w:val="0000FF"/>
          <w:sz w:val="22"/>
          <w:szCs w:val="22"/>
        </w:rPr>
      </w:pPr>
      <w:r>
        <w:rPr>
          <w:b/>
          <w:color w:val="0000FF"/>
          <w:sz w:val="22"/>
          <w:szCs w:val="22"/>
        </w:rPr>
        <w:t xml:space="preserve">Question </w:t>
      </w:r>
      <w:r w:rsidR="00AF44CF">
        <w:rPr>
          <w:b/>
          <w:color w:val="0000FF"/>
          <w:sz w:val="22"/>
          <w:szCs w:val="22"/>
        </w:rPr>
        <w:t>6</w:t>
      </w:r>
      <w:r w:rsidR="006F6CB6">
        <w:rPr>
          <w:b/>
          <w:color w:val="0000FF"/>
          <w:sz w:val="22"/>
          <w:szCs w:val="22"/>
        </w:rPr>
        <w:t xml:space="preserve"> – Do you have any other </w:t>
      </w:r>
      <w:r>
        <w:rPr>
          <w:b/>
          <w:color w:val="0000FF"/>
          <w:sz w:val="22"/>
          <w:szCs w:val="22"/>
        </w:rPr>
        <w:t xml:space="preserve">comments on the funding model </w:t>
      </w:r>
      <w:r w:rsidR="006F6CB6">
        <w:rPr>
          <w:b/>
          <w:color w:val="0000FF"/>
          <w:sz w:val="22"/>
          <w:szCs w:val="22"/>
        </w:rPr>
        <w:t>that you have not recorded elsewhere?</w:t>
      </w:r>
    </w:p>
    <w:p w:rsidR="00A14E96" w:rsidRDefault="00A14E96" w:rsidP="005B4991">
      <w:pPr>
        <w:jc w:val="both"/>
        <w:rPr>
          <w:sz w:val="22"/>
          <w:szCs w:val="22"/>
        </w:rPr>
      </w:pPr>
    </w:p>
    <w:p w:rsidR="001E2928" w:rsidRDefault="001E2928" w:rsidP="005B4991">
      <w:pPr>
        <w:jc w:val="both"/>
        <w:rPr>
          <w:sz w:val="22"/>
          <w:szCs w:val="22"/>
        </w:rPr>
      </w:pPr>
    </w:p>
    <w:p w:rsidR="00DF156D" w:rsidRDefault="00A661F2" w:rsidP="00DF156D">
      <w:pPr>
        <w:jc w:val="both"/>
        <w:rPr>
          <w:b/>
          <w:sz w:val="22"/>
          <w:szCs w:val="22"/>
        </w:rPr>
      </w:pPr>
      <w:r>
        <w:rPr>
          <w:b/>
          <w:sz w:val="22"/>
          <w:szCs w:val="22"/>
        </w:rPr>
        <w:t>7</w:t>
      </w:r>
      <w:r w:rsidR="00DF156D">
        <w:rPr>
          <w:b/>
          <w:sz w:val="22"/>
          <w:szCs w:val="22"/>
        </w:rPr>
        <w:t>.</w:t>
      </w:r>
      <w:r w:rsidR="00DF156D">
        <w:rPr>
          <w:b/>
          <w:sz w:val="22"/>
          <w:szCs w:val="22"/>
        </w:rPr>
        <w:tab/>
        <w:t>Consultation Responses</w:t>
      </w:r>
    </w:p>
    <w:p w:rsidR="00DF156D" w:rsidRDefault="00DF156D" w:rsidP="00DF156D">
      <w:pPr>
        <w:jc w:val="both"/>
        <w:rPr>
          <w:b/>
          <w:sz w:val="22"/>
          <w:szCs w:val="22"/>
        </w:rPr>
      </w:pPr>
    </w:p>
    <w:p w:rsidR="001E2928" w:rsidRPr="001E2928" w:rsidRDefault="00A661F2" w:rsidP="00DF156D">
      <w:pPr>
        <w:jc w:val="both"/>
        <w:rPr>
          <w:sz w:val="22"/>
          <w:szCs w:val="22"/>
        </w:rPr>
      </w:pPr>
      <w:r>
        <w:rPr>
          <w:sz w:val="22"/>
          <w:szCs w:val="22"/>
        </w:rPr>
        <w:t>7</w:t>
      </w:r>
      <w:r w:rsidR="00DF156D" w:rsidRPr="00B5305F">
        <w:rPr>
          <w:sz w:val="22"/>
          <w:szCs w:val="22"/>
        </w:rPr>
        <w:t>.1</w:t>
      </w:r>
      <w:r w:rsidR="00DF156D">
        <w:rPr>
          <w:sz w:val="22"/>
          <w:szCs w:val="22"/>
        </w:rPr>
        <w:t xml:space="preserve"> Please use the </w:t>
      </w:r>
      <w:r w:rsidR="00DF156D" w:rsidRPr="00C9420D">
        <w:rPr>
          <w:sz w:val="22"/>
          <w:szCs w:val="22"/>
        </w:rPr>
        <w:t>responses form</w:t>
      </w:r>
      <w:r w:rsidR="001E2928">
        <w:rPr>
          <w:sz w:val="22"/>
          <w:szCs w:val="22"/>
        </w:rPr>
        <w:t xml:space="preserve"> at</w:t>
      </w:r>
      <w:r w:rsidR="00DF156D" w:rsidRPr="00C9420D">
        <w:rPr>
          <w:sz w:val="22"/>
          <w:szCs w:val="22"/>
        </w:rPr>
        <w:t xml:space="preserve"> Appendix </w:t>
      </w:r>
      <w:r>
        <w:rPr>
          <w:sz w:val="22"/>
          <w:szCs w:val="22"/>
        </w:rPr>
        <w:t>2</w:t>
      </w:r>
      <w:r w:rsidR="00DF156D" w:rsidRPr="00C9420D">
        <w:rPr>
          <w:sz w:val="22"/>
          <w:szCs w:val="22"/>
        </w:rPr>
        <w:t xml:space="preserve"> </w:t>
      </w:r>
      <w:r w:rsidR="00DF156D" w:rsidRPr="00D10526">
        <w:rPr>
          <w:color w:val="000000"/>
          <w:sz w:val="22"/>
          <w:szCs w:val="22"/>
        </w:rPr>
        <w:t>to submit</w:t>
      </w:r>
      <w:r w:rsidR="00DF156D">
        <w:rPr>
          <w:sz w:val="22"/>
          <w:szCs w:val="22"/>
        </w:rPr>
        <w:t xml:space="preserve"> your views on </w:t>
      </w:r>
      <w:r w:rsidR="003373DF">
        <w:rPr>
          <w:sz w:val="22"/>
          <w:szCs w:val="22"/>
        </w:rPr>
        <w:t>the proposals outlined in the co</w:t>
      </w:r>
      <w:r w:rsidR="00DF156D">
        <w:rPr>
          <w:sz w:val="22"/>
          <w:szCs w:val="22"/>
        </w:rPr>
        <w:t xml:space="preserve">nsultation. There is space in this form for you to comment on any aspect of the proposals. If you wish to discuss these proposals in more detail, or have any specific </w:t>
      </w:r>
      <w:r w:rsidR="00341F5F">
        <w:rPr>
          <w:sz w:val="22"/>
          <w:szCs w:val="22"/>
        </w:rPr>
        <w:t xml:space="preserve">questions, please contact Andrew Redding </w:t>
      </w:r>
      <w:r w:rsidR="00DF156D">
        <w:rPr>
          <w:sz w:val="22"/>
          <w:szCs w:val="22"/>
        </w:rPr>
        <w:t>using the contact details shown in paragraph 1.</w:t>
      </w:r>
      <w:r w:rsidR="00AA0283">
        <w:rPr>
          <w:sz w:val="22"/>
          <w:szCs w:val="22"/>
        </w:rPr>
        <w:t xml:space="preserve"> </w:t>
      </w:r>
      <w:r w:rsidR="00DF156D">
        <w:rPr>
          <w:sz w:val="22"/>
          <w:szCs w:val="22"/>
        </w:rPr>
        <w:t xml:space="preserve">Please ensure that your response is submitted by the deadline </w:t>
      </w:r>
      <w:r w:rsidR="00DF156D" w:rsidRPr="00100D16">
        <w:rPr>
          <w:sz w:val="22"/>
          <w:szCs w:val="22"/>
        </w:rPr>
        <w:t xml:space="preserve">of </w:t>
      </w:r>
      <w:r>
        <w:rPr>
          <w:b/>
          <w:sz w:val="22"/>
          <w:szCs w:val="22"/>
        </w:rPr>
        <w:t>Monday 30 November</w:t>
      </w:r>
      <w:r w:rsidR="00100D16" w:rsidRPr="00AA0283">
        <w:rPr>
          <w:b/>
          <w:sz w:val="22"/>
          <w:szCs w:val="22"/>
        </w:rPr>
        <w:t xml:space="preserve"> 201</w:t>
      </w:r>
      <w:r>
        <w:rPr>
          <w:b/>
          <w:sz w:val="22"/>
          <w:szCs w:val="22"/>
        </w:rPr>
        <w:t>5</w:t>
      </w:r>
      <w:r w:rsidR="00100D16">
        <w:rPr>
          <w:sz w:val="22"/>
          <w:szCs w:val="22"/>
        </w:rPr>
        <w:t>.</w:t>
      </w:r>
    </w:p>
    <w:p w:rsidR="00DF156D" w:rsidRDefault="00A661F2" w:rsidP="00DF156D">
      <w:pPr>
        <w:jc w:val="both"/>
        <w:rPr>
          <w:b/>
          <w:sz w:val="22"/>
          <w:szCs w:val="22"/>
        </w:rPr>
      </w:pPr>
      <w:r>
        <w:rPr>
          <w:b/>
          <w:sz w:val="22"/>
          <w:szCs w:val="22"/>
        </w:rPr>
        <w:t>8</w:t>
      </w:r>
      <w:r w:rsidR="00DF156D">
        <w:rPr>
          <w:b/>
          <w:sz w:val="22"/>
          <w:szCs w:val="22"/>
        </w:rPr>
        <w:t>.</w:t>
      </w:r>
      <w:r w:rsidR="00DF156D">
        <w:rPr>
          <w:b/>
          <w:sz w:val="22"/>
          <w:szCs w:val="22"/>
        </w:rPr>
        <w:tab/>
        <w:t>Next Steps</w:t>
      </w:r>
    </w:p>
    <w:p w:rsidR="00CE2A53" w:rsidRDefault="00CE2A53" w:rsidP="005B4991">
      <w:pPr>
        <w:jc w:val="both"/>
        <w:rPr>
          <w:b/>
          <w:sz w:val="22"/>
          <w:szCs w:val="22"/>
        </w:rPr>
      </w:pPr>
    </w:p>
    <w:p w:rsidR="00831DC5" w:rsidRDefault="00A661F2" w:rsidP="005B4991">
      <w:pPr>
        <w:jc w:val="both"/>
        <w:rPr>
          <w:sz w:val="22"/>
          <w:szCs w:val="22"/>
        </w:rPr>
      </w:pPr>
      <w:r>
        <w:rPr>
          <w:sz w:val="22"/>
          <w:szCs w:val="22"/>
        </w:rPr>
        <w:t>8</w:t>
      </w:r>
      <w:r w:rsidR="00831DC5">
        <w:rPr>
          <w:sz w:val="22"/>
          <w:szCs w:val="22"/>
        </w:rPr>
        <w:t>.1 The Schools Forum will make final recommendations on the approach to the funding of h</w:t>
      </w:r>
      <w:r w:rsidR="0015118D">
        <w:rPr>
          <w:sz w:val="22"/>
          <w:szCs w:val="22"/>
        </w:rPr>
        <w:t xml:space="preserve">igh needs </w:t>
      </w:r>
      <w:r>
        <w:rPr>
          <w:sz w:val="22"/>
          <w:szCs w:val="22"/>
        </w:rPr>
        <w:t>provision for the 2016/17</w:t>
      </w:r>
      <w:r w:rsidR="00831DC5">
        <w:rPr>
          <w:sz w:val="22"/>
          <w:szCs w:val="22"/>
        </w:rPr>
        <w:t xml:space="preserve"> financial year</w:t>
      </w:r>
      <w:r>
        <w:rPr>
          <w:sz w:val="22"/>
          <w:szCs w:val="22"/>
        </w:rPr>
        <w:t xml:space="preserve"> on 6 January 2016</w:t>
      </w:r>
      <w:r w:rsidR="00831DC5">
        <w:rPr>
          <w:sz w:val="22"/>
          <w:szCs w:val="22"/>
        </w:rPr>
        <w:t>. Thes</w:t>
      </w:r>
      <w:r w:rsidR="00AA0283">
        <w:rPr>
          <w:sz w:val="22"/>
          <w:szCs w:val="22"/>
        </w:rPr>
        <w:t>e recommendations will be made</w:t>
      </w:r>
      <w:r w:rsidR="00831DC5">
        <w:rPr>
          <w:sz w:val="22"/>
          <w:szCs w:val="22"/>
        </w:rPr>
        <w:t xml:space="preserve"> following consideration of the responses receive to this consultation and once the value of DSG funding all</w:t>
      </w:r>
      <w:r>
        <w:rPr>
          <w:sz w:val="22"/>
          <w:szCs w:val="22"/>
        </w:rPr>
        <w:t>ocated to the Authority for 2016/17</w:t>
      </w:r>
      <w:r w:rsidR="0015118D">
        <w:rPr>
          <w:sz w:val="22"/>
          <w:szCs w:val="22"/>
        </w:rPr>
        <w:t xml:space="preserve"> </w:t>
      </w:r>
      <w:r w:rsidR="00831DC5">
        <w:rPr>
          <w:sz w:val="22"/>
          <w:szCs w:val="22"/>
        </w:rPr>
        <w:t>has been confirmed.</w:t>
      </w:r>
    </w:p>
    <w:p w:rsidR="00831DC5" w:rsidRDefault="00831DC5" w:rsidP="005B4991">
      <w:pPr>
        <w:jc w:val="both"/>
        <w:rPr>
          <w:sz w:val="22"/>
          <w:szCs w:val="22"/>
        </w:rPr>
      </w:pPr>
    </w:p>
    <w:p w:rsidR="00831DC5" w:rsidRDefault="00A661F2" w:rsidP="005B4991">
      <w:pPr>
        <w:jc w:val="both"/>
        <w:rPr>
          <w:sz w:val="22"/>
          <w:szCs w:val="22"/>
        </w:rPr>
      </w:pPr>
      <w:r>
        <w:rPr>
          <w:sz w:val="22"/>
          <w:szCs w:val="22"/>
        </w:rPr>
        <w:t>8</w:t>
      </w:r>
      <w:r w:rsidR="00831DC5">
        <w:rPr>
          <w:sz w:val="22"/>
          <w:szCs w:val="22"/>
        </w:rPr>
        <w:t>.2 Subject to the agreement of the Council’s Executive Committee, the recommended a</w:t>
      </w:r>
      <w:r w:rsidR="00AA0283">
        <w:rPr>
          <w:sz w:val="22"/>
          <w:szCs w:val="22"/>
        </w:rPr>
        <w:t>pproach will be used to</w:t>
      </w:r>
      <w:r w:rsidR="00831DC5">
        <w:rPr>
          <w:sz w:val="22"/>
          <w:szCs w:val="22"/>
        </w:rPr>
        <w:t xml:space="preserve"> al</w:t>
      </w:r>
      <w:r w:rsidR="00AA0283">
        <w:rPr>
          <w:sz w:val="22"/>
          <w:szCs w:val="22"/>
        </w:rPr>
        <w:t xml:space="preserve">locate DSG funding from 1 </w:t>
      </w:r>
      <w:r>
        <w:rPr>
          <w:sz w:val="22"/>
          <w:szCs w:val="22"/>
        </w:rPr>
        <w:t>April 2016</w:t>
      </w:r>
      <w:r w:rsidR="00831DC5">
        <w:rPr>
          <w:sz w:val="22"/>
          <w:szCs w:val="22"/>
        </w:rPr>
        <w:t>.</w:t>
      </w:r>
    </w:p>
    <w:p w:rsidR="00AA0283" w:rsidRDefault="00AA0283" w:rsidP="005B4991">
      <w:pPr>
        <w:jc w:val="both"/>
        <w:rPr>
          <w:sz w:val="22"/>
          <w:szCs w:val="22"/>
        </w:rPr>
      </w:pPr>
    </w:p>
    <w:p w:rsidR="00AA0283" w:rsidRPr="00831DC5" w:rsidRDefault="00A661F2" w:rsidP="005B4991">
      <w:pPr>
        <w:jc w:val="both"/>
        <w:rPr>
          <w:sz w:val="22"/>
          <w:szCs w:val="22"/>
        </w:rPr>
      </w:pPr>
      <w:r>
        <w:rPr>
          <w:sz w:val="22"/>
          <w:szCs w:val="22"/>
        </w:rPr>
        <w:t>8</w:t>
      </w:r>
      <w:r w:rsidR="0015118D">
        <w:rPr>
          <w:sz w:val="22"/>
          <w:szCs w:val="22"/>
        </w:rPr>
        <w:t>.3 We are</w:t>
      </w:r>
      <w:r w:rsidR="00AA0283">
        <w:rPr>
          <w:sz w:val="22"/>
          <w:szCs w:val="22"/>
        </w:rPr>
        <w:t xml:space="preserve"> awaiting further information from the DfE on </w:t>
      </w:r>
      <w:r w:rsidR="0015118D">
        <w:rPr>
          <w:sz w:val="22"/>
          <w:szCs w:val="22"/>
        </w:rPr>
        <w:t>the further development / timetable for implementat</w:t>
      </w:r>
      <w:r>
        <w:rPr>
          <w:sz w:val="22"/>
          <w:szCs w:val="22"/>
        </w:rPr>
        <w:t>ion of national funding formula</w:t>
      </w:r>
      <w:r w:rsidR="00913FCB">
        <w:rPr>
          <w:sz w:val="22"/>
          <w:szCs w:val="22"/>
        </w:rPr>
        <w:t>. These changes are very likely to</w:t>
      </w:r>
      <w:r w:rsidR="0015118D">
        <w:rPr>
          <w:sz w:val="22"/>
          <w:szCs w:val="22"/>
        </w:rPr>
        <w:t xml:space="preserve"> directly affect</w:t>
      </w:r>
      <w:r w:rsidR="00AA0283">
        <w:rPr>
          <w:sz w:val="22"/>
          <w:szCs w:val="22"/>
        </w:rPr>
        <w:t xml:space="preserve"> the funding of</w:t>
      </w:r>
      <w:r w:rsidR="00BD2E00">
        <w:rPr>
          <w:sz w:val="22"/>
          <w:szCs w:val="22"/>
        </w:rPr>
        <w:t xml:space="preserve"> high needs provision and</w:t>
      </w:r>
      <w:r w:rsidR="00AA0283">
        <w:rPr>
          <w:sz w:val="22"/>
          <w:szCs w:val="22"/>
        </w:rPr>
        <w:t xml:space="preserve"> the quantum of the High Needs Block within the DSG</w:t>
      </w:r>
      <w:r w:rsidR="0015118D">
        <w:rPr>
          <w:sz w:val="22"/>
          <w:szCs w:val="22"/>
        </w:rPr>
        <w:t xml:space="preserve"> in future years</w:t>
      </w:r>
      <w:r w:rsidR="00AA0283">
        <w:rPr>
          <w:sz w:val="22"/>
          <w:szCs w:val="22"/>
        </w:rPr>
        <w:t xml:space="preserve">. </w:t>
      </w:r>
      <w:r w:rsidR="00913FCB">
        <w:rPr>
          <w:sz w:val="22"/>
          <w:szCs w:val="22"/>
        </w:rPr>
        <w:t xml:space="preserve">A clear next </w:t>
      </w:r>
      <w:r w:rsidR="00190528">
        <w:rPr>
          <w:sz w:val="22"/>
          <w:szCs w:val="22"/>
        </w:rPr>
        <w:t xml:space="preserve">step therefore, </w:t>
      </w:r>
      <w:r w:rsidR="00913FCB">
        <w:rPr>
          <w:sz w:val="22"/>
          <w:szCs w:val="22"/>
        </w:rPr>
        <w:t>is to work t</w:t>
      </w:r>
      <w:r w:rsidR="00374FD5">
        <w:rPr>
          <w:sz w:val="22"/>
          <w:szCs w:val="22"/>
        </w:rPr>
        <w:t>hrough the implications</w:t>
      </w:r>
      <w:r w:rsidR="0015118D">
        <w:rPr>
          <w:sz w:val="22"/>
          <w:szCs w:val="22"/>
        </w:rPr>
        <w:t xml:space="preserve"> </w:t>
      </w:r>
      <w:r w:rsidR="00913FCB">
        <w:rPr>
          <w:sz w:val="22"/>
          <w:szCs w:val="22"/>
        </w:rPr>
        <w:t>and to develop</w:t>
      </w:r>
      <w:r w:rsidR="00374FD5">
        <w:rPr>
          <w:sz w:val="22"/>
          <w:szCs w:val="22"/>
        </w:rPr>
        <w:t xml:space="preserve"> our</w:t>
      </w:r>
      <w:r w:rsidR="00913FCB">
        <w:rPr>
          <w:sz w:val="22"/>
          <w:szCs w:val="22"/>
        </w:rPr>
        <w:t xml:space="preserve"> responses</w:t>
      </w:r>
      <w:r>
        <w:rPr>
          <w:sz w:val="22"/>
          <w:szCs w:val="22"/>
        </w:rPr>
        <w:t xml:space="preserve"> during 2016</w:t>
      </w:r>
      <w:r w:rsidR="0015118D">
        <w:rPr>
          <w:sz w:val="22"/>
          <w:szCs w:val="22"/>
        </w:rPr>
        <w:t xml:space="preserve"> as an</w:t>
      </w:r>
      <w:r w:rsidR="00190528">
        <w:rPr>
          <w:sz w:val="22"/>
          <w:szCs w:val="22"/>
        </w:rPr>
        <w:t>nouncements are made</w:t>
      </w:r>
      <w:r w:rsidR="00913FCB">
        <w:rPr>
          <w:sz w:val="22"/>
          <w:szCs w:val="22"/>
        </w:rPr>
        <w:t>.</w:t>
      </w:r>
    </w:p>
    <w:p w:rsidR="003F6609" w:rsidRDefault="003F6609" w:rsidP="005B4991">
      <w:pPr>
        <w:jc w:val="both"/>
        <w:rPr>
          <w:b/>
          <w:sz w:val="22"/>
          <w:szCs w:val="22"/>
        </w:rPr>
      </w:pPr>
    </w:p>
    <w:p w:rsidR="00A661F2" w:rsidRDefault="00A661F2" w:rsidP="005B4991">
      <w:pPr>
        <w:jc w:val="both"/>
        <w:rPr>
          <w:b/>
          <w:sz w:val="22"/>
          <w:szCs w:val="22"/>
        </w:rPr>
      </w:pPr>
    </w:p>
    <w:p w:rsidR="005B4991" w:rsidRDefault="00A661F2" w:rsidP="005B4991">
      <w:pPr>
        <w:jc w:val="both"/>
        <w:rPr>
          <w:b/>
          <w:sz w:val="22"/>
          <w:szCs w:val="22"/>
        </w:rPr>
      </w:pPr>
      <w:r>
        <w:rPr>
          <w:b/>
          <w:sz w:val="22"/>
          <w:szCs w:val="22"/>
        </w:rPr>
        <w:t>9</w:t>
      </w:r>
      <w:r w:rsidR="005B4991">
        <w:rPr>
          <w:b/>
          <w:sz w:val="22"/>
          <w:szCs w:val="22"/>
        </w:rPr>
        <w:t>.</w:t>
      </w:r>
      <w:r w:rsidR="005B4991">
        <w:rPr>
          <w:b/>
          <w:sz w:val="22"/>
          <w:szCs w:val="22"/>
        </w:rPr>
        <w:tab/>
        <w:t>Appendices</w:t>
      </w:r>
    </w:p>
    <w:p w:rsidR="00CE2A53" w:rsidRDefault="00CE2A53" w:rsidP="007545BE">
      <w:pPr>
        <w:jc w:val="both"/>
        <w:rPr>
          <w:sz w:val="22"/>
          <w:szCs w:val="22"/>
        </w:rPr>
      </w:pPr>
    </w:p>
    <w:p w:rsidR="0028208E" w:rsidRDefault="00E85379" w:rsidP="007545BE">
      <w:pPr>
        <w:jc w:val="both"/>
        <w:rPr>
          <w:sz w:val="22"/>
          <w:szCs w:val="22"/>
        </w:rPr>
      </w:pPr>
      <w:r>
        <w:rPr>
          <w:sz w:val="22"/>
          <w:szCs w:val="22"/>
        </w:rPr>
        <w:t>Appen</w:t>
      </w:r>
      <w:r w:rsidR="00A661F2">
        <w:rPr>
          <w:sz w:val="22"/>
          <w:szCs w:val="22"/>
        </w:rPr>
        <w:t>dix 1</w:t>
      </w:r>
      <w:r w:rsidR="0028208E">
        <w:rPr>
          <w:sz w:val="22"/>
          <w:szCs w:val="22"/>
        </w:rPr>
        <w:tab/>
        <w:t xml:space="preserve">The </w:t>
      </w:r>
      <w:r w:rsidR="0024639E">
        <w:rPr>
          <w:sz w:val="22"/>
          <w:szCs w:val="22"/>
        </w:rPr>
        <w:t>7 Ranges Model</w:t>
      </w:r>
    </w:p>
    <w:p w:rsidR="0014609D" w:rsidRDefault="00D241B1" w:rsidP="0014609D">
      <w:pPr>
        <w:jc w:val="both"/>
        <w:rPr>
          <w:sz w:val="22"/>
          <w:szCs w:val="22"/>
        </w:rPr>
      </w:pPr>
      <w:r>
        <w:rPr>
          <w:sz w:val="22"/>
          <w:szCs w:val="22"/>
        </w:rPr>
        <w:t>Append</w:t>
      </w:r>
      <w:r w:rsidR="00A661F2">
        <w:rPr>
          <w:sz w:val="22"/>
          <w:szCs w:val="22"/>
        </w:rPr>
        <w:t>ix 2</w:t>
      </w:r>
      <w:r w:rsidR="005900E7">
        <w:rPr>
          <w:sz w:val="22"/>
          <w:szCs w:val="22"/>
        </w:rPr>
        <w:tab/>
        <w:t>Consultation Responses Form</w:t>
      </w: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sectPr w:rsidR="006348B4" w:rsidSect="00ED7708">
          <w:footerReference w:type="even" r:id="rId10"/>
          <w:footerReference w:type="default" r:id="rId11"/>
          <w:pgSz w:w="11906" w:h="16838"/>
          <w:pgMar w:top="624" w:right="624" w:bottom="624" w:left="624" w:header="709" w:footer="709" w:gutter="0"/>
          <w:cols w:space="708"/>
          <w:docGrid w:linePitch="360"/>
        </w:sectPr>
      </w:pPr>
    </w:p>
    <w:tbl>
      <w:tblPr>
        <w:tblW w:w="14584" w:type="dxa"/>
        <w:tblInd w:w="93" w:type="dxa"/>
        <w:tblLook w:val="0000" w:firstRow="0" w:lastRow="0" w:firstColumn="0" w:lastColumn="0" w:noHBand="0" w:noVBand="0"/>
      </w:tblPr>
      <w:tblGrid>
        <w:gridCol w:w="2620"/>
        <w:gridCol w:w="960"/>
        <w:gridCol w:w="960"/>
        <w:gridCol w:w="960"/>
        <w:gridCol w:w="1660"/>
        <w:gridCol w:w="1380"/>
        <w:gridCol w:w="1700"/>
        <w:gridCol w:w="1240"/>
        <w:gridCol w:w="1020"/>
        <w:gridCol w:w="960"/>
        <w:gridCol w:w="1310"/>
      </w:tblGrid>
      <w:tr w:rsidR="006348B4" w:rsidRPr="006348B4">
        <w:trPr>
          <w:trHeight w:val="31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136DA7">
            <w:pPr>
              <w:rPr>
                <w:rFonts w:cs="Arial"/>
                <w:b/>
                <w:bCs/>
                <w:sz w:val="24"/>
                <w:szCs w:val="24"/>
              </w:rPr>
            </w:pPr>
            <w:r w:rsidRPr="006348B4">
              <w:rPr>
                <w:rFonts w:cs="Arial"/>
                <w:b/>
                <w:bCs/>
                <w:sz w:val="24"/>
                <w:szCs w:val="24"/>
              </w:rPr>
              <w:t xml:space="preserve">Appendix </w:t>
            </w:r>
            <w:r w:rsidR="008A2C3A">
              <w:rPr>
                <w:rFonts w:cs="Arial"/>
                <w:b/>
                <w:bCs/>
                <w:sz w:val="24"/>
                <w:szCs w:val="24"/>
              </w:rPr>
              <w:t>1</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300"/>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p>
        </w:tc>
        <w:tc>
          <w:tcPr>
            <w:tcW w:w="11964" w:type="dxa"/>
            <w:gridSpan w:val="10"/>
            <w:tcBorders>
              <w:top w:val="nil"/>
              <w:left w:val="nil"/>
              <w:bottom w:val="nil"/>
              <w:right w:val="nil"/>
            </w:tcBorders>
            <w:shd w:val="clear" w:color="auto" w:fill="auto"/>
            <w:noWrap/>
            <w:vAlign w:val="bottom"/>
          </w:tcPr>
          <w:p w:rsidR="006348B4" w:rsidRPr="006348B4" w:rsidRDefault="001D6F80" w:rsidP="006348B4">
            <w:pPr>
              <w:jc w:val="center"/>
              <w:rPr>
                <w:rFonts w:cs="Arial"/>
                <w:b/>
                <w:bCs/>
                <w:sz w:val="22"/>
                <w:szCs w:val="22"/>
              </w:rPr>
            </w:pPr>
            <w:r>
              <w:rPr>
                <w:rFonts w:cs="Arial"/>
                <w:b/>
                <w:bCs/>
                <w:sz w:val="22"/>
                <w:szCs w:val="22"/>
              </w:rPr>
              <w:t xml:space="preserve">HIGH NEEDS PROVISION: </w:t>
            </w:r>
            <w:r w:rsidR="006348B4" w:rsidRPr="006348B4">
              <w:rPr>
                <w:rFonts w:cs="Arial"/>
                <w:b/>
                <w:bCs/>
                <w:sz w:val="22"/>
                <w:szCs w:val="22"/>
              </w:rPr>
              <w:t xml:space="preserve">FUNDING </w:t>
            </w:r>
            <w:r w:rsidR="00136DA7">
              <w:rPr>
                <w:rFonts w:cs="Arial"/>
                <w:b/>
                <w:bCs/>
                <w:sz w:val="22"/>
                <w:szCs w:val="22"/>
              </w:rPr>
              <w:t>CATEGORIES, BANDS &amp; AMOUNTS 2015</w:t>
            </w:r>
            <w:r w:rsidR="006348B4" w:rsidRPr="006348B4">
              <w:rPr>
                <w:rFonts w:cs="Arial"/>
                <w:b/>
                <w:bCs/>
                <w:sz w:val="22"/>
                <w:szCs w:val="22"/>
              </w:rPr>
              <w:t>/1</w:t>
            </w:r>
            <w:r w:rsidR="00136DA7">
              <w:rPr>
                <w:rFonts w:cs="Arial"/>
                <w:b/>
                <w:bCs/>
                <w:sz w:val="22"/>
                <w:szCs w:val="22"/>
              </w:rPr>
              <w:t>6</w:t>
            </w:r>
            <w:r w:rsidR="00141F78">
              <w:rPr>
                <w:rFonts w:cs="Arial"/>
                <w:b/>
                <w:bCs/>
                <w:sz w:val="22"/>
                <w:szCs w:val="22"/>
              </w:rPr>
              <w:t xml:space="preserve"> </w:t>
            </w:r>
          </w:p>
        </w:tc>
      </w:tr>
      <w:tr w:rsidR="006348B4" w:rsidRPr="006348B4">
        <w:trPr>
          <w:trHeight w:val="31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1</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2</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3</w:t>
            </w:r>
          </w:p>
        </w:tc>
        <w:tc>
          <w:tcPr>
            <w:tcW w:w="5980" w:type="dxa"/>
            <w:gridSpan w:val="4"/>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4</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5</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6</w:t>
            </w:r>
          </w:p>
        </w:tc>
        <w:tc>
          <w:tcPr>
            <w:tcW w:w="1124" w:type="dxa"/>
            <w:tcBorders>
              <w:top w:val="single" w:sz="8" w:space="0" w:color="auto"/>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7</w:t>
            </w:r>
          </w:p>
        </w:tc>
      </w:tr>
      <w:tr w:rsidR="006348B4" w:rsidRPr="006348B4">
        <w:trPr>
          <w:trHeight w:val="58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r w:rsidRPr="006348B4">
              <w:rPr>
                <w:rFonts w:cs="Arial"/>
              </w:rPr>
              <w:t>PRIMARY NEED</w:t>
            </w:r>
          </w:p>
        </w:tc>
        <w:tc>
          <w:tcPr>
            <w:tcW w:w="2880" w:type="dxa"/>
            <w:gridSpan w:val="3"/>
            <w:tcBorders>
              <w:top w:val="single" w:sz="4" w:space="0" w:color="auto"/>
              <w:left w:val="single" w:sz="8" w:space="0" w:color="auto"/>
              <w:bottom w:val="single" w:sz="4" w:space="0" w:color="auto"/>
              <w:right w:val="single" w:sz="4" w:space="0" w:color="000000"/>
            </w:tcBorders>
            <w:shd w:val="clear" w:color="auto" w:fill="C0C0C0"/>
            <w:noWrap/>
            <w:vAlign w:val="bottom"/>
          </w:tcPr>
          <w:p w:rsidR="006348B4" w:rsidRPr="006348B4" w:rsidRDefault="006348B4" w:rsidP="006348B4">
            <w:pPr>
              <w:jc w:val="center"/>
              <w:rPr>
                <w:rFonts w:cs="Arial"/>
              </w:rPr>
            </w:pPr>
            <w:r w:rsidRPr="006348B4">
              <w:rPr>
                <w:rFonts w:cs="Arial"/>
              </w:rPr>
              <w:t>Delegated Place Funding</w:t>
            </w:r>
          </w:p>
        </w:tc>
        <w:tc>
          <w:tcPr>
            <w:tcW w:w="166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A              (16.5-21.5 hours)</w:t>
            </w:r>
          </w:p>
        </w:tc>
        <w:tc>
          <w:tcPr>
            <w:tcW w:w="138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B                      (22-27 hours)</w:t>
            </w:r>
          </w:p>
        </w:tc>
        <w:tc>
          <w:tcPr>
            <w:tcW w:w="170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C                   (27.5-34.5 hours)</w:t>
            </w:r>
          </w:p>
        </w:tc>
        <w:tc>
          <w:tcPr>
            <w:tcW w:w="124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D        (35+ hours)</w:t>
            </w:r>
          </w:p>
        </w:tc>
        <w:tc>
          <w:tcPr>
            <w:tcW w:w="102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Additional "Plus" Funding</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£0</w:t>
            </w:r>
          </w:p>
        </w:tc>
        <w:tc>
          <w:tcPr>
            <w:tcW w:w="16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w:t>
            </w:r>
            <w:r w:rsidR="00FE6BD4">
              <w:rPr>
                <w:rFonts w:cs="Arial"/>
                <w:b/>
                <w:bCs/>
              </w:rPr>
              <w:t>985</w:t>
            </w:r>
          </w:p>
        </w:tc>
        <w:tc>
          <w:tcPr>
            <w:tcW w:w="138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£3,1</w:t>
            </w:r>
            <w:r w:rsidR="00FE6BD4">
              <w:rPr>
                <w:rFonts w:cs="Arial"/>
                <w:b/>
                <w:bCs/>
              </w:rPr>
              <w:t>05</w:t>
            </w:r>
          </w:p>
        </w:tc>
        <w:tc>
          <w:tcPr>
            <w:tcW w:w="170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£4,</w:t>
            </w:r>
            <w:r w:rsidR="00FE6BD4">
              <w:rPr>
                <w:rFonts w:cs="Arial"/>
                <w:b/>
                <w:bCs/>
              </w:rPr>
              <w:t>758</w:t>
            </w:r>
          </w:p>
        </w:tc>
        <w:tc>
          <w:tcPr>
            <w:tcW w:w="124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£7,</w:t>
            </w:r>
            <w:r w:rsidR="00FE6BD4">
              <w:rPr>
                <w:rFonts w:cs="Arial"/>
                <w:b/>
                <w:bCs/>
              </w:rPr>
              <w:t>411</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£10</w:t>
            </w:r>
            <w:r w:rsidR="00FE6BD4">
              <w:rPr>
                <w:rFonts w:cs="Arial"/>
                <w:b/>
                <w:bCs/>
              </w:rPr>
              <w:t>,806</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£14,</w:t>
            </w:r>
            <w:r w:rsidR="00FE6BD4">
              <w:rPr>
                <w:rFonts w:cs="Arial"/>
                <w:b/>
                <w:bCs/>
              </w:rPr>
              <w:t>398</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£2</w:t>
            </w:r>
            <w:r w:rsidR="00FE6BD4">
              <w:rPr>
                <w:rFonts w:cs="Arial"/>
                <w:b/>
                <w:bCs/>
              </w:rPr>
              <w:t>3,658</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55"/>
        </w:trPr>
        <w:tc>
          <w:tcPr>
            <w:tcW w:w="2620" w:type="dxa"/>
            <w:tcBorders>
              <w:top w:val="nil"/>
              <w:left w:val="nil"/>
              <w:bottom w:val="nil"/>
              <w:right w:val="nil"/>
            </w:tcBorders>
            <w:shd w:val="clear" w:color="auto" w:fill="FFCC99"/>
            <w:noWrap/>
            <w:vAlign w:val="bottom"/>
          </w:tcPr>
          <w:p w:rsidR="006348B4" w:rsidRPr="006348B4" w:rsidRDefault="006348B4" w:rsidP="006348B4">
            <w:pPr>
              <w:rPr>
                <w:rFonts w:cs="Arial"/>
              </w:rPr>
            </w:pPr>
            <w:r w:rsidRPr="006348B4">
              <w:rPr>
                <w:rFonts w:cs="Arial"/>
              </w:rPr>
              <w:t>Mainstream Autism &amp; SLCN</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SLCN</w:t>
            </w:r>
          </w:p>
        </w:tc>
        <w:tc>
          <w:tcPr>
            <w:tcW w:w="124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r w:rsidRPr="006348B4">
              <w:rPr>
                <w:rFonts w:cs="Arial"/>
              </w:rPr>
              <w:t>+</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r w:rsidRPr="006348B4">
              <w:rPr>
                <w:rFonts w:cs="Arial"/>
              </w:rPr>
              <w:t>++</w:t>
            </w:r>
          </w:p>
        </w:tc>
      </w:tr>
      <w:tr w:rsidR="006348B4" w:rsidRPr="006348B4">
        <w:trPr>
          <w:trHeight w:val="255"/>
        </w:trPr>
        <w:tc>
          <w:tcPr>
            <w:tcW w:w="2620" w:type="dxa"/>
            <w:tcBorders>
              <w:top w:val="nil"/>
              <w:left w:val="nil"/>
              <w:bottom w:val="nil"/>
              <w:right w:val="nil"/>
            </w:tcBorders>
            <w:shd w:val="clear" w:color="auto" w:fill="FFFF99"/>
            <w:noWrap/>
            <w:vAlign w:val="bottom"/>
          </w:tcPr>
          <w:p w:rsidR="006348B4" w:rsidRPr="006348B4" w:rsidRDefault="006348B4" w:rsidP="006348B4">
            <w:pPr>
              <w:rPr>
                <w:rFonts w:cs="Arial"/>
              </w:rPr>
            </w:pPr>
            <w:r w:rsidRPr="006348B4">
              <w:rPr>
                <w:rFonts w:cs="Arial"/>
              </w:rPr>
              <w:t>Mainstream MLD/SLD/PMLD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MLD</w:t>
            </w:r>
          </w:p>
        </w:tc>
        <w:tc>
          <w:tcPr>
            <w:tcW w:w="166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MLD+</w:t>
            </w:r>
          </w:p>
        </w:tc>
        <w:tc>
          <w:tcPr>
            <w:tcW w:w="170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SLD</w:t>
            </w:r>
          </w:p>
        </w:tc>
        <w:tc>
          <w:tcPr>
            <w:tcW w:w="124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PMLD</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SLD+</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PMLD+</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PMLD++</w:t>
            </w:r>
          </w:p>
        </w:tc>
      </w:tr>
      <w:tr w:rsidR="006348B4" w:rsidRPr="006348B4">
        <w:trPr>
          <w:trHeight w:val="255"/>
        </w:trPr>
        <w:tc>
          <w:tcPr>
            <w:tcW w:w="2620" w:type="dxa"/>
            <w:tcBorders>
              <w:top w:val="nil"/>
              <w:left w:val="nil"/>
              <w:bottom w:val="nil"/>
              <w:right w:val="nil"/>
            </w:tcBorders>
            <w:shd w:val="clear" w:color="auto" w:fill="CCFFCC"/>
            <w:noWrap/>
            <w:vAlign w:val="bottom"/>
          </w:tcPr>
          <w:p w:rsidR="006348B4" w:rsidRPr="006348B4" w:rsidRDefault="006348B4" w:rsidP="006348B4">
            <w:pPr>
              <w:rPr>
                <w:rFonts w:cs="Arial"/>
              </w:rPr>
            </w:pPr>
            <w:r w:rsidRPr="006348B4">
              <w:rPr>
                <w:rFonts w:cs="Arial"/>
              </w:rPr>
              <w:t>Mainstream PD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PD</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PD+</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PD++</w:t>
            </w:r>
          </w:p>
        </w:tc>
      </w:tr>
      <w:tr w:rsidR="006348B4" w:rsidRPr="006348B4">
        <w:trPr>
          <w:trHeight w:val="255"/>
        </w:trPr>
        <w:tc>
          <w:tcPr>
            <w:tcW w:w="2620" w:type="dxa"/>
            <w:tcBorders>
              <w:top w:val="nil"/>
              <w:left w:val="nil"/>
              <w:bottom w:val="nil"/>
              <w:right w:val="nil"/>
            </w:tcBorders>
            <w:shd w:val="clear" w:color="auto" w:fill="CCFFFF"/>
            <w:noWrap/>
            <w:vAlign w:val="bottom"/>
          </w:tcPr>
          <w:p w:rsidR="006348B4" w:rsidRPr="006348B4" w:rsidRDefault="006348B4" w:rsidP="006348B4">
            <w:pPr>
              <w:rPr>
                <w:rFonts w:cs="Arial"/>
              </w:rPr>
            </w:pPr>
            <w:r w:rsidRPr="006348B4">
              <w:rPr>
                <w:rFonts w:cs="Arial"/>
              </w:rPr>
              <w:t>Mainstream HI/VI</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HI/VI</w:t>
            </w:r>
          </w:p>
        </w:tc>
        <w:tc>
          <w:tcPr>
            <w:tcW w:w="124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ate">
              <w:smartTag w:uri="urn:schemas-microsoft-com:office:smarttags" w:element="place">
                <w:r w:rsidRPr="006348B4">
                  <w:rPr>
                    <w:rFonts w:cs="Arial"/>
                  </w:rPr>
                  <w:t>HI+</w:t>
                </w:r>
              </w:smartTag>
            </w:smartTag>
            <w:r w:rsidRPr="006348B4">
              <w:rPr>
                <w:rFonts w:cs="Arial"/>
              </w:rPr>
              <w:t>/VI+</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70"/>
        </w:trPr>
        <w:tc>
          <w:tcPr>
            <w:tcW w:w="2620" w:type="dxa"/>
            <w:tcBorders>
              <w:top w:val="nil"/>
              <w:left w:val="nil"/>
              <w:bottom w:val="nil"/>
              <w:right w:val="nil"/>
            </w:tcBorders>
            <w:shd w:val="clear" w:color="auto" w:fill="99CCFF"/>
            <w:noWrap/>
            <w:vAlign w:val="bottom"/>
          </w:tcPr>
          <w:p w:rsidR="006348B4" w:rsidRPr="006348B4" w:rsidRDefault="006348B4" w:rsidP="006348B4">
            <w:pPr>
              <w:rPr>
                <w:rFonts w:cs="Arial"/>
              </w:rPr>
            </w:pPr>
            <w:r w:rsidRPr="006348B4">
              <w:rPr>
                <w:rFonts w:cs="Arial"/>
              </w:rPr>
              <w:t>Mainstream BESD</w:t>
            </w:r>
          </w:p>
        </w:tc>
        <w:tc>
          <w:tcPr>
            <w:tcW w:w="960" w:type="dxa"/>
            <w:tcBorders>
              <w:top w:val="nil"/>
              <w:left w:val="single" w:sz="8" w:space="0" w:color="auto"/>
              <w:bottom w:val="single" w:sz="8"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BESD</w:t>
            </w:r>
          </w:p>
        </w:tc>
        <w:tc>
          <w:tcPr>
            <w:tcW w:w="102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BESD+</w:t>
            </w:r>
          </w:p>
        </w:tc>
        <w:tc>
          <w:tcPr>
            <w:tcW w:w="1124" w:type="dxa"/>
            <w:tcBorders>
              <w:top w:val="nil"/>
              <w:left w:val="nil"/>
              <w:bottom w:val="single" w:sz="8"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BESD++</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10240" w:type="dxa"/>
            <w:gridSpan w:val="7"/>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Mainstream funding is within colour coded Bands (mainly range 4)</w:t>
            </w: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10240" w:type="dxa"/>
            <w:gridSpan w:val="7"/>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Funding is determined by actual Primary Need and is shown as text</w:t>
            </w: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bl>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sectPr w:rsidR="006348B4" w:rsidSect="00ED7708">
          <w:pgSz w:w="16838" w:h="11906" w:orient="landscape"/>
          <w:pgMar w:top="624" w:right="624" w:bottom="624" w:left="624" w:header="709" w:footer="709" w:gutter="0"/>
          <w:cols w:space="708"/>
          <w:docGrid w:linePitch="360"/>
        </w:sectPr>
      </w:pPr>
    </w:p>
    <w:p w:rsidR="006348B4" w:rsidRDefault="006348B4" w:rsidP="006348B4">
      <w:pPr>
        <w:jc w:val="center"/>
        <w:rPr>
          <w:b/>
          <w:sz w:val="28"/>
          <w:szCs w:val="28"/>
          <w:u w:val="single"/>
        </w:rPr>
      </w:pPr>
      <w:r>
        <w:rPr>
          <w:b/>
          <w:sz w:val="28"/>
          <w:szCs w:val="28"/>
          <w:u w:val="single"/>
        </w:rPr>
        <w:t xml:space="preserve">RESPONSES </w:t>
      </w:r>
      <w:smartTag w:uri="urn:schemas-microsoft-com:office:smarttags" w:element="stockticker">
        <w:r>
          <w:rPr>
            <w:b/>
            <w:sz w:val="28"/>
            <w:szCs w:val="28"/>
            <w:u w:val="single"/>
          </w:rPr>
          <w:t>FORM</w:t>
        </w:r>
      </w:smartTag>
    </w:p>
    <w:p w:rsidR="006348B4" w:rsidRDefault="006348B4" w:rsidP="006348B4">
      <w:pPr>
        <w:jc w:val="center"/>
        <w:rPr>
          <w:b/>
          <w:sz w:val="28"/>
          <w:szCs w:val="28"/>
          <w:u w:val="single"/>
        </w:rPr>
      </w:pPr>
    </w:p>
    <w:p w:rsidR="006348B4" w:rsidRPr="00B74359" w:rsidRDefault="006348B4" w:rsidP="006348B4">
      <w:pPr>
        <w:jc w:val="center"/>
        <w:rPr>
          <w:b/>
          <w:sz w:val="28"/>
          <w:szCs w:val="28"/>
          <w:u w:val="single"/>
        </w:rPr>
      </w:pPr>
      <w:r w:rsidRPr="00B74359">
        <w:rPr>
          <w:b/>
          <w:sz w:val="28"/>
          <w:szCs w:val="28"/>
          <w:u w:val="single"/>
        </w:rPr>
        <w:t xml:space="preserve">Consultation on </w:t>
      </w:r>
      <w:r>
        <w:rPr>
          <w:b/>
          <w:sz w:val="28"/>
          <w:szCs w:val="28"/>
          <w:u w:val="single"/>
        </w:rPr>
        <w:t>F</w:t>
      </w:r>
      <w:r w:rsidR="001E2928">
        <w:rPr>
          <w:b/>
          <w:sz w:val="28"/>
          <w:szCs w:val="28"/>
          <w:u w:val="single"/>
        </w:rPr>
        <w:t>unding High Needs Provision 2016/17</w:t>
      </w:r>
    </w:p>
    <w:p w:rsidR="006348B4" w:rsidRPr="00406CDD" w:rsidRDefault="006348B4" w:rsidP="006348B4">
      <w:pPr>
        <w:jc w:val="center"/>
        <w:rPr>
          <w:rFonts w:cs="Arial"/>
          <w:b/>
          <w:sz w:val="32"/>
          <w:szCs w:val="32"/>
          <w:u w:val="single"/>
        </w:rPr>
      </w:pPr>
    </w:p>
    <w:p w:rsidR="006348B4" w:rsidRDefault="006348B4" w:rsidP="006348B4">
      <w:pPr>
        <w:jc w:val="both"/>
        <w:rPr>
          <w:rFonts w:cs="Arial"/>
          <w:b/>
          <w:u w:val="single"/>
        </w:rPr>
      </w:pPr>
    </w:p>
    <w:p w:rsidR="006348B4" w:rsidRPr="00B74359" w:rsidRDefault="006348B4" w:rsidP="006348B4">
      <w:pPr>
        <w:jc w:val="both"/>
        <w:rPr>
          <w:rFonts w:cs="Arial"/>
          <w:sz w:val="22"/>
          <w:szCs w:val="22"/>
        </w:rPr>
      </w:pPr>
      <w:r w:rsidRPr="00B74359">
        <w:rPr>
          <w:rFonts w:cs="Arial"/>
          <w:sz w:val="22"/>
          <w:szCs w:val="22"/>
        </w:rPr>
        <w:t xml:space="preserve">Name </w:t>
      </w:r>
      <w:r>
        <w:rPr>
          <w:rFonts w:cs="Arial"/>
          <w:sz w:val="22"/>
          <w:szCs w:val="22"/>
        </w:rPr>
        <w:t>_____________________________</w:t>
      </w:r>
      <w:r>
        <w:rPr>
          <w:rFonts w:cs="Arial"/>
          <w:sz w:val="22"/>
          <w:szCs w:val="22"/>
        </w:rPr>
        <w:tab/>
        <w:t xml:space="preserve">Setting Name </w:t>
      </w:r>
      <w:r w:rsidRPr="00B74359">
        <w:rPr>
          <w:rFonts w:cs="Arial"/>
          <w:sz w:val="22"/>
          <w:szCs w:val="22"/>
        </w:rPr>
        <w:t>__</w:t>
      </w:r>
      <w:r>
        <w:rPr>
          <w:rFonts w:cs="Arial"/>
          <w:sz w:val="22"/>
          <w:szCs w:val="22"/>
        </w:rPr>
        <w:t>_______________________________</w:t>
      </w:r>
    </w:p>
    <w:p w:rsidR="006348B4" w:rsidRPr="00A70F31" w:rsidRDefault="006348B4" w:rsidP="006348B4">
      <w:pPr>
        <w:jc w:val="both"/>
        <w:rPr>
          <w:rFonts w:cs="Arial"/>
          <w:b/>
          <w:sz w:val="16"/>
          <w:szCs w:val="16"/>
          <w:u w:val="single"/>
        </w:rPr>
      </w:pPr>
    </w:p>
    <w:p w:rsidR="006348B4" w:rsidRPr="00A70F31" w:rsidRDefault="006348B4" w:rsidP="006348B4">
      <w:pPr>
        <w:jc w:val="center"/>
        <w:rPr>
          <w:rFonts w:cs="Arial"/>
          <w:b/>
          <w:color w:val="FF0000"/>
          <w:sz w:val="16"/>
          <w:szCs w:val="16"/>
        </w:rPr>
      </w:pPr>
    </w:p>
    <w:p w:rsidR="006348B4" w:rsidRPr="00B74359" w:rsidRDefault="006348B4" w:rsidP="006348B4">
      <w:pPr>
        <w:jc w:val="center"/>
        <w:rPr>
          <w:rFonts w:cs="Arial"/>
          <w:b/>
          <w:color w:val="FF0000"/>
          <w:sz w:val="22"/>
          <w:szCs w:val="22"/>
        </w:rPr>
      </w:pPr>
      <w:r>
        <w:rPr>
          <w:rFonts w:cs="Arial"/>
          <w:b/>
          <w:color w:val="FF0000"/>
          <w:sz w:val="22"/>
          <w:szCs w:val="22"/>
        </w:rPr>
        <w:t xml:space="preserve">THE </w:t>
      </w:r>
      <w:r w:rsidRPr="00B74359">
        <w:rPr>
          <w:rFonts w:cs="Arial"/>
          <w:b/>
          <w:color w:val="FF0000"/>
          <w:sz w:val="22"/>
          <w:szCs w:val="22"/>
        </w:rPr>
        <w:t xml:space="preserve">DEADLINE FOR RESPONSES TO THIS CONSULTATION IS </w:t>
      </w:r>
      <w:r w:rsidR="001E2928">
        <w:rPr>
          <w:rFonts w:cs="Arial"/>
          <w:b/>
          <w:color w:val="FF0000"/>
          <w:sz w:val="22"/>
          <w:szCs w:val="22"/>
        </w:rPr>
        <w:t>MONDAY 30 NOVEMBER 2015</w:t>
      </w:r>
    </w:p>
    <w:p w:rsidR="006348B4" w:rsidRPr="00A70F31" w:rsidRDefault="006348B4" w:rsidP="006348B4">
      <w:pPr>
        <w:jc w:val="both"/>
        <w:rPr>
          <w:rFonts w:cs="Arial"/>
          <w:sz w:val="16"/>
          <w:szCs w:val="16"/>
        </w:rPr>
      </w:pPr>
    </w:p>
    <w:p w:rsidR="006348B4" w:rsidRPr="00A70F31" w:rsidRDefault="006348B4" w:rsidP="006348B4">
      <w:pPr>
        <w:jc w:val="both"/>
        <w:rPr>
          <w:rFonts w:cs="Arial"/>
          <w:sz w:val="16"/>
          <w:szCs w:val="16"/>
        </w:rPr>
      </w:pPr>
    </w:p>
    <w:p w:rsidR="006348B4" w:rsidRDefault="006348B4" w:rsidP="006348B4">
      <w:pPr>
        <w:jc w:val="both"/>
        <w:rPr>
          <w:rFonts w:cs="Arial"/>
        </w:rPr>
      </w:pPr>
      <w:r>
        <w:rPr>
          <w:rFonts w:cs="Arial"/>
        </w:rPr>
        <w:t>Please send completed questionnaire responses to:</w:t>
      </w:r>
    </w:p>
    <w:p w:rsidR="006348B4" w:rsidRDefault="006348B4" w:rsidP="006348B4">
      <w:pPr>
        <w:jc w:val="both"/>
        <w:rPr>
          <w:rFonts w:cs="Arial"/>
        </w:rPr>
      </w:pPr>
    </w:p>
    <w:p w:rsidR="006348B4" w:rsidRDefault="006348B4" w:rsidP="006348B4">
      <w:pPr>
        <w:jc w:val="both"/>
        <w:rPr>
          <w:rFonts w:cs="Arial"/>
        </w:rPr>
      </w:pPr>
      <w:smartTag w:uri="urn:schemas-microsoft-com:office:smarttags" w:element="PersonName">
        <w:smartTag w:uri="urn:schemas-microsoft-com:office:smarttags" w:element="PersonName">
          <w:r>
            <w:rPr>
              <w:rFonts w:cs="Arial"/>
            </w:rPr>
            <w:t>School Funding</w:t>
          </w:r>
        </w:smartTag>
        <w:r>
          <w:rPr>
            <w:rFonts w:cs="Arial"/>
          </w:rPr>
          <w:t xml:space="preserve"> Team</w:t>
        </w:r>
      </w:smartTag>
    </w:p>
    <w:p w:rsidR="006348B4" w:rsidRDefault="006348B4" w:rsidP="006348B4">
      <w:pPr>
        <w:jc w:val="both"/>
        <w:rPr>
          <w:rFonts w:cs="Arial"/>
        </w:rPr>
      </w:pPr>
      <w:r>
        <w:rPr>
          <w:rFonts w:cs="Arial"/>
        </w:rPr>
        <w:t>City of Bradford Metropolitan District Council</w:t>
      </w:r>
    </w:p>
    <w:p w:rsidR="006348B4" w:rsidRDefault="001E2928" w:rsidP="006348B4">
      <w:pPr>
        <w:jc w:val="both"/>
        <w:rPr>
          <w:rFonts w:cs="Arial"/>
        </w:rPr>
      </w:pPr>
      <w:r>
        <w:rPr>
          <w:rFonts w:cs="Arial"/>
        </w:rPr>
        <w:t>5</w:t>
      </w:r>
      <w:r w:rsidRPr="001E2928">
        <w:rPr>
          <w:rFonts w:cs="Arial"/>
          <w:vertAlign w:val="superscript"/>
        </w:rPr>
        <w:t>th</w:t>
      </w:r>
      <w:r>
        <w:rPr>
          <w:rFonts w:cs="Arial"/>
        </w:rPr>
        <w:t xml:space="preserve"> Floor, Britannia House,</w:t>
      </w:r>
    </w:p>
    <w:p w:rsidR="006348B4" w:rsidRDefault="001E2928" w:rsidP="006348B4">
      <w:pPr>
        <w:jc w:val="both"/>
        <w:rPr>
          <w:rFonts w:cs="Arial"/>
        </w:rPr>
      </w:pPr>
      <w:r>
        <w:rPr>
          <w:rFonts w:cs="Arial"/>
        </w:rPr>
        <w:t xml:space="preserve">Hall </w:t>
      </w:r>
      <w:proofErr w:type="spellStart"/>
      <w:r>
        <w:rPr>
          <w:rFonts w:cs="Arial"/>
        </w:rPr>
        <w:t>Ings</w:t>
      </w:r>
      <w:proofErr w:type="spellEnd"/>
    </w:p>
    <w:p w:rsidR="006348B4" w:rsidRDefault="006348B4" w:rsidP="006348B4">
      <w:pPr>
        <w:jc w:val="both"/>
        <w:rPr>
          <w:rFonts w:cs="Arial"/>
        </w:rPr>
      </w:pPr>
      <w:smartTag w:uri="urn:schemas-microsoft-com:office:smarttags" w:element="place">
        <w:r>
          <w:rPr>
            <w:rFonts w:cs="Arial"/>
          </w:rPr>
          <w:t>Bradford</w:t>
        </w:r>
      </w:smartTag>
    </w:p>
    <w:p w:rsidR="006348B4" w:rsidRDefault="001E2928" w:rsidP="006348B4">
      <w:pPr>
        <w:jc w:val="both"/>
        <w:rPr>
          <w:rFonts w:cs="Arial"/>
        </w:rPr>
      </w:pPr>
      <w:r>
        <w:rPr>
          <w:rFonts w:cs="Arial"/>
        </w:rPr>
        <w:t>BD1 1HX</w:t>
      </w:r>
    </w:p>
    <w:p w:rsidR="006348B4" w:rsidRDefault="006348B4" w:rsidP="006348B4">
      <w:pPr>
        <w:jc w:val="both"/>
        <w:rPr>
          <w:rFonts w:cs="Arial"/>
        </w:rPr>
      </w:pPr>
    </w:p>
    <w:p w:rsidR="006348B4" w:rsidRDefault="001E2928" w:rsidP="006348B4">
      <w:pPr>
        <w:jc w:val="both"/>
        <w:rPr>
          <w:rFonts w:cs="Arial"/>
        </w:rPr>
      </w:pPr>
      <w:r>
        <w:rPr>
          <w:rFonts w:cs="Arial"/>
        </w:rPr>
        <w:t xml:space="preserve">Tel: </w:t>
      </w:r>
      <w:r>
        <w:rPr>
          <w:rFonts w:cs="Arial"/>
        </w:rPr>
        <w:tab/>
        <w:t>01274 432678</w:t>
      </w:r>
    </w:p>
    <w:p w:rsidR="006348B4" w:rsidRDefault="001E2928" w:rsidP="006348B4">
      <w:pPr>
        <w:jc w:val="both"/>
        <w:rPr>
          <w:rFonts w:cs="Arial"/>
        </w:rPr>
      </w:pPr>
      <w:r>
        <w:rPr>
          <w:rFonts w:cs="Arial"/>
        </w:rPr>
        <w:t xml:space="preserve">Fax: </w:t>
      </w:r>
      <w:r>
        <w:rPr>
          <w:rFonts w:cs="Arial"/>
        </w:rPr>
        <w:tab/>
        <w:t>01274 435054</w:t>
      </w:r>
    </w:p>
    <w:p w:rsidR="006348B4" w:rsidRDefault="006348B4" w:rsidP="006348B4">
      <w:pPr>
        <w:jc w:val="both"/>
        <w:rPr>
          <w:rFonts w:cs="Arial"/>
        </w:rPr>
      </w:pPr>
      <w:r>
        <w:rPr>
          <w:rFonts w:cs="Arial"/>
        </w:rPr>
        <w:t xml:space="preserve">Email: </w:t>
      </w:r>
      <w:r>
        <w:rPr>
          <w:rFonts w:cs="Arial"/>
        </w:rPr>
        <w:tab/>
      </w:r>
      <w:hyperlink r:id="rId12" w:history="1">
        <w:r w:rsidR="00BD51AF" w:rsidRPr="00B04F76">
          <w:rPr>
            <w:rStyle w:val="Hyperlink"/>
            <w:rFonts w:cs="Arial"/>
          </w:rPr>
          <w:t>andrew.redding@bradford.gov.uk</w:t>
        </w:r>
      </w:hyperlink>
    </w:p>
    <w:p w:rsidR="006348B4" w:rsidRPr="00A70F31" w:rsidRDefault="006348B4" w:rsidP="006348B4">
      <w:pPr>
        <w:jc w:val="both"/>
        <w:rPr>
          <w:rFonts w:cs="Arial"/>
          <w:sz w:val="16"/>
          <w:szCs w:val="16"/>
        </w:rPr>
      </w:pPr>
    </w:p>
    <w:p w:rsidR="006348B4" w:rsidRPr="00A70F31" w:rsidRDefault="006348B4" w:rsidP="006348B4">
      <w:pPr>
        <w:jc w:val="both"/>
        <w:rPr>
          <w:rFonts w:cs="Arial"/>
          <w:sz w:val="16"/>
          <w:szCs w:val="16"/>
        </w:rPr>
      </w:pPr>
    </w:p>
    <w:p w:rsidR="006348B4" w:rsidRDefault="006348B4" w:rsidP="006348B4">
      <w:pPr>
        <w:jc w:val="both"/>
        <w:rPr>
          <w:rFonts w:cs="Arial"/>
        </w:rPr>
      </w:pPr>
      <w:r>
        <w:rPr>
          <w:rFonts w:cs="Arial"/>
        </w:rPr>
        <w:t>Please complete the questionnaire by marking the appropriate boxes. There is a space below each question for you to record comments.</w:t>
      </w:r>
    </w:p>
    <w:p w:rsidR="006348B4" w:rsidRPr="00246EEE" w:rsidRDefault="006348B4" w:rsidP="006348B4">
      <w:pPr>
        <w:jc w:val="both"/>
        <w:rPr>
          <w:rFonts w:cs="Arial"/>
        </w:rPr>
      </w:pPr>
    </w:p>
    <w:p w:rsidR="006348B4" w:rsidRPr="009E4371" w:rsidRDefault="00ED4A3E" w:rsidP="006348B4">
      <w:pPr>
        <w:jc w:val="both"/>
        <w:rPr>
          <w:rFonts w:cs="Arial"/>
        </w:rPr>
      </w:pPr>
      <w:r>
        <w:rPr>
          <w:rFonts w:cs="Arial"/>
          <w:noProof/>
        </w:rPr>
        <mc:AlternateContent>
          <mc:Choice Requires="wps">
            <w:drawing>
              <wp:anchor distT="0" distB="0" distL="114300" distR="114300" simplePos="0" relativeHeight="251651072" behindDoc="0" locked="0" layoutInCell="1" allowOverlap="1" wp14:anchorId="14B2AC4E" wp14:editId="2588E79B">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6348B4" w:rsidRDefault="006348B4" w:rsidP="006348B4">
      <w:pPr>
        <w:jc w:val="both"/>
        <w:rPr>
          <w:b/>
          <w:color w:val="0000FF"/>
          <w:sz w:val="22"/>
          <w:szCs w:val="22"/>
        </w:rPr>
      </w:pPr>
    </w:p>
    <w:p w:rsidR="00F506C4" w:rsidRDefault="00F506C4" w:rsidP="00F506C4">
      <w:pPr>
        <w:jc w:val="both"/>
        <w:rPr>
          <w:b/>
          <w:color w:val="0000FF"/>
          <w:sz w:val="22"/>
          <w:szCs w:val="22"/>
        </w:rPr>
      </w:pPr>
      <w:r w:rsidRPr="00040651">
        <w:rPr>
          <w:b/>
          <w:color w:val="0000FF"/>
          <w:sz w:val="22"/>
          <w:szCs w:val="22"/>
        </w:rPr>
        <w:t>Question 1: Do you have any comments on the place</w:t>
      </w:r>
      <w:r>
        <w:rPr>
          <w:b/>
          <w:color w:val="0000FF"/>
          <w:sz w:val="22"/>
          <w:szCs w:val="22"/>
        </w:rPr>
        <w:t>s (or the distribution of places) that are planned to be funded from the High Needs Block in 2016/17</w:t>
      </w:r>
      <w:r w:rsidRPr="00040651">
        <w:rPr>
          <w:b/>
          <w:color w:val="0000FF"/>
          <w:sz w:val="22"/>
          <w:szCs w:val="22"/>
        </w:rPr>
        <w:t>?</w:t>
      </w:r>
    </w:p>
    <w:p w:rsidR="006348B4" w:rsidRDefault="006348B4" w:rsidP="006348B4">
      <w:pPr>
        <w:jc w:val="both"/>
        <w:rPr>
          <w:b/>
          <w:color w:val="0000FF"/>
          <w:sz w:val="22"/>
          <w:szCs w:val="22"/>
        </w:rPr>
      </w:pP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9264" behindDoc="0" locked="0" layoutInCell="1" allowOverlap="1" wp14:anchorId="1029F2CA" wp14:editId="3453DBD1">
                <wp:simplePos x="0" y="0"/>
                <wp:positionH relativeFrom="column">
                  <wp:posOffset>0</wp:posOffset>
                </wp:positionH>
                <wp:positionV relativeFrom="paragraph">
                  <wp:posOffset>107315</wp:posOffset>
                </wp:positionV>
                <wp:extent cx="6400800" cy="1493520"/>
                <wp:effectExtent l="9525" t="12065" r="9525"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A43DB9" w:rsidRDefault="00A43DB9"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8.45pt;width:7in;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" strokecolor="blue">
                <v:textbox>
                  <w:txbxContent>
                    <w:p w:rsidR="00206E5D" w:rsidRDefault="00206E5D" w:rsidP="006348B4"/>
                  </w:txbxContent>
                </v:textbox>
              </v:shape>
            </w:pict>
          </mc:Fallback>
        </mc:AlternateContent>
      </w:r>
    </w:p>
    <w:p w:rsidR="006348B4" w:rsidRPr="00DE1A1C"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Pr="00597C8C" w:rsidRDefault="006348B4" w:rsidP="006348B4">
      <w:pPr>
        <w:jc w:val="both"/>
        <w:rPr>
          <w:b/>
          <w:color w:val="0000FF"/>
          <w:sz w:val="16"/>
          <w:szCs w:val="16"/>
        </w:rPr>
      </w:pPr>
    </w:p>
    <w:p w:rsidR="00D83482" w:rsidRDefault="00D83482" w:rsidP="00D83482">
      <w:pPr>
        <w:pStyle w:val="ListParagraph"/>
        <w:ind w:left="0"/>
        <w:jc w:val="both"/>
        <w:rPr>
          <w:b/>
          <w:color w:val="0000FF"/>
          <w:sz w:val="22"/>
          <w:szCs w:val="22"/>
        </w:rPr>
      </w:pPr>
      <w:r>
        <w:rPr>
          <w:b/>
          <w:color w:val="0000FF"/>
          <w:sz w:val="22"/>
          <w:szCs w:val="22"/>
        </w:rPr>
        <w:t>Question 2</w:t>
      </w:r>
      <w:r w:rsidRPr="00B23DC4">
        <w:rPr>
          <w:b/>
          <w:color w:val="0000FF"/>
          <w:sz w:val="22"/>
          <w:szCs w:val="22"/>
        </w:rPr>
        <w:t>: Do you agree with the proposal to continue to use the existing Ranges Model (</w:t>
      </w:r>
      <w:r w:rsidR="00665F36">
        <w:rPr>
          <w:b/>
          <w:color w:val="0000FF"/>
          <w:sz w:val="22"/>
          <w:szCs w:val="22"/>
        </w:rPr>
        <w:t>as shown in Appendix 1</w:t>
      </w:r>
      <w:r w:rsidRPr="00B23DC4">
        <w:rPr>
          <w:b/>
          <w:color w:val="0000FF"/>
          <w:sz w:val="22"/>
          <w:szCs w:val="22"/>
        </w:rPr>
        <w:t>) to calculate the ‘Plus’ funding element</w:t>
      </w:r>
      <w:r>
        <w:rPr>
          <w:b/>
          <w:color w:val="0000FF"/>
          <w:sz w:val="22"/>
          <w:szCs w:val="22"/>
        </w:rPr>
        <w:t xml:space="preserve"> for the 2016/17 financial year</w:t>
      </w:r>
      <w:r w:rsidRPr="00B23DC4">
        <w:rPr>
          <w:b/>
          <w:color w:val="0000FF"/>
          <w:sz w:val="22"/>
          <w:szCs w:val="22"/>
        </w:rPr>
        <w:t xml:space="preserve">? If not, please </w:t>
      </w:r>
      <w:r>
        <w:rPr>
          <w:b/>
          <w:color w:val="0000FF"/>
          <w:sz w:val="22"/>
          <w:szCs w:val="22"/>
        </w:rPr>
        <w:t>explain why not</w:t>
      </w:r>
      <w:r w:rsidRPr="00B23DC4">
        <w:rPr>
          <w:b/>
          <w:color w:val="0000FF"/>
          <w:sz w:val="22"/>
          <w:szCs w:val="22"/>
        </w:rPr>
        <w:t>.</w:t>
      </w:r>
    </w:p>
    <w:p w:rsidR="00D83482" w:rsidRDefault="00D83482" w:rsidP="00D83482">
      <w:pPr>
        <w:pStyle w:val="ListParagraph"/>
        <w:ind w:left="0"/>
        <w:jc w:val="both"/>
        <w:rPr>
          <w:b/>
          <w:color w:val="0000FF"/>
          <w:sz w:val="22"/>
          <w:szCs w:val="22"/>
        </w:rPr>
      </w:pPr>
    </w:p>
    <w:p w:rsidR="00D83482" w:rsidRPr="00B23DC4" w:rsidRDefault="00D83482" w:rsidP="00D83482">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r>
    </w:p>
    <w:p w:rsidR="00D83482" w:rsidRPr="00B23DC4" w:rsidRDefault="00D83482" w:rsidP="00D83482">
      <w:pPr>
        <w:pStyle w:val="ListParagraph"/>
        <w:ind w:left="0"/>
        <w:jc w:val="both"/>
        <w:rPr>
          <w:b/>
          <w:color w:val="0000FF"/>
          <w:sz w:val="22"/>
          <w:szCs w:val="22"/>
        </w:rPr>
      </w:pP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2096" behindDoc="0" locked="0" layoutInCell="1" allowOverlap="1" wp14:anchorId="1024AFC1" wp14:editId="6A7735E2">
                <wp:simplePos x="0" y="0"/>
                <wp:positionH relativeFrom="column">
                  <wp:posOffset>0</wp:posOffset>
                </wp:positionH>
                <wp:positionV relativeFrom="paragraph">
                  <wp:posOffset>107315</wp:posOffset>
                </wp:positionV>
                <wp:extent cx="6400800" cy="1493520"/>
                <wp:effectExtent l="9525" t="12065" r="952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A43DB9" w:rsidRPr="00B102E7" w:rsidRDefault="00A43DB9" w:rsidP="00D83482">
                            <w:pPr>
                              <w:rPr>
                                <w:color w:val="0000FF"/>
                              </w:rPr>
                            </w:pPr>
                            <w:r w:rsidRPr="00B102E7">
                              <w:rPr>
                                <w:color w:val="0000FF"/>
                              </w:rPr>
                              <w:t>If not, please provide further explanation here:</w:t>
                            </w:r>
                          </w:p>
                          <w:p w:rsidR="00A43DB9" w:rsidRDefault="00A43DB9"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8.45pt;width:7in;height:1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" strokecolor="blue">
                <v:textbox>
                  <w:txbxContent>
                    <w:p w:rsidR="00206E5D" w:rsidRPr="00B102E7" w:rsidRDefault="00206E5D" w:rsidP="00D83482">
                      <w:pPr>
                        <w:rPr>
                          <w:color w:val="0000FF"/>
                        </w:rPr>
                      </w:pPr>
                      <w:r w:rsidRPr="00B102E7">
                        <w:rPr>
                          <w:color w:val="0000FF"/>
                        </w:rPr>
                        <w:t>If not, please provide further explanation here:</w:t>
                      </w:r>
                    </w:p>
                    <w:p w:rsidR="00206E5D" w:rsidRDefault="00206E5D"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i/>
          <w:color w:val="0000FF"/>
          <w:sz w:val="22"/>
          <w:szCs w:val="22"/>
        </w:rPr>
      </w:pPr>
    </w:p>
    <w:p w:rsidR="006348B4" w:rsidRDefault="006348B4" w:rsidP="006348B4">
      <w:pPr>
        <w:jc w:val="both"/>
        <w:rPr>
          <w:b/>
          <w:i/>
          <w:color w:val="0000FF"/>
          <w:sz w:val="22"/>
          <w:szCs w:val="22"/>
        </w:rPr>
      </w:pPr>
    </w:p>
    <w:p w:rsidR="00C52BDD" w:rsidRDefault="00C52BDD" w:rsidP="00C52BDD">
      <w:pPr>
        <w:jc w:val="both"/>
        <w:rPr>
          <w:b/>
          <w:color w:val="0000FF"/>
          <w:sz w:val="22"/>
          <w:szCs w:val="22"/>
        </w:rPr>
      </w:pPr>
      <w:r>
        <w:rPr>
          <w:b/>
          <w:color w:val="0000FF"/>
          <w:sz w:val="22"/>
          <w:szCs w:val="22"/>
        </w:rPr>
        <w:t>Question 3</w:t>
      </w:r>
      <w:r w:rsidRPr="00B23DC4">
        <w:rPr>
          <w:b/>
          <w:color w:val="0000FF"/>
          <w:sz w:val="22"/>
          <w:szCs w:val="22"/>
        </w:rPr>
        <w:t xml:space="preserve">: </w:t>
      </w:r>
      <w:r>
        <w:rPr>
          <w:b/>
          <w:color w:val="0000FF"/>
          <w:sz w:val="22"/>
          <w:szCs w:val="22"/>
        </w:rPr>
        <w:t>Do you agree with the incremental changes to the existing funding model for 2016/17, as outlined in paragraph</w:t>
      </w:r>
      <w:r w:rsidR="00215269">
        <w:rPr>
          <w:b/>
          <w:color w:val="0000FF"/>
          <w:sz w:val="22"/>
          <w:szCs w:val="22"/>
        </w:rPr>
        <w:t>s</w:t>
      </w:r>
      <w:r w:rsidR="00665F36">
        <w:rPr>
          <w:b/>
          <w:color w:val="0000FF"/>
          <w:sz w:val="22"/>
          <w:szCs w:val="22"/>
        </w:rPr>
        <w:t xml:space="preserve"> 6.4</w:t>
      </w:r>
      <w:r w:rsidR="00EC3D94">
        <w:rPr>
          <w:b/>
          <w:color w:val="0000FF"/>
          <w:sz w:val="22"/>
          <w:szCs w:val="22"/>
        </w:rPr>
        <w:t xml:space="preserve"> to </w:t>
      </w:r>
      <w:r w:rsidR="00665F36">
        <w:rPr>
          <w:b/>
          <w:color w:val="0000FF"/>
          <w:sz w:val="22"/>
          <w:szCs w:val="22"/>
        </w:rPr>
        <w:t>6.</w:t>
      </w:r>
      <w:r w:rsidR="00A14E57">
        <w:rPr>
          <w:b/>
          <w:color w:val="0000FF"/>
          <w:sz w:val="22"/>
          <w:szCs w:val="22"/>
        </w:rPr>
        <w:t>7</w:t>
      </w:r>
      <w:r>
        <w:rPr>
          <w:b/>
          <w:color w:val="0000FF"/>
          <w:sz w:val="22"/>
          <w:szCs w:val="22"/>
        </w:rPr>
        <w:t>? If not, please outline which changes you do not agree with and the reasons why you do not agree.</w:t>
      </w:r>
    </w:p>
    <w:p w:rsidR="006348B4" w:rsidRDefault="006348B4" w:rsidP="006348B4">
      <w:pPr>
        <w:jc w:val="both"/>
        <w:rPr>
          <w:b/>
          <w:i/>
          <w:color w:val="0000FF"/>
          <w:sz w:val="22"/>
          <w:szCs w:val="22"/>
        </w:rPr>
      </w:pPr>
    </w:p>
    <w:p w:rsidR="006348B4" w:rsidRDefault="006348B4" w:rsidP="006348B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4144" behindDoc="0" locked="0" layoutInCell="1" allowOverlap="1" wp14:anchorId="6199F98B" wp14:editId="6B074114">
                <wp:simplePos x="0" y="0"/>
                <wp:positionH relativeFrom="column">
                  <wp:posOffset>0</wp:posOffset>
                </wp:positionH>
                <wp:positionV relativeFrom="paragraph">
                  <wp:posOffset>3810</wp:posOffset>
                </wp:positionV>
                <wp:extent cx="6400800" cy="2094230"/>
                <wp:effectExtent l="9525" t="13335" r="9525"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A43DB9" w:rsidRPr="00B102E7" w:rsidRDefault="00A43DB9" w:rsidP="006348B4">
                            <w:pPr>
                              <w:rPr>
                                <w:color w:val="0000FF"/>
                              </w:rPr>
                            </w:pPr>
                            <w:r w:rsidRPr="00B102E7">
                              <w:rPr>
                                <w:color w:val="0000FF"/>
                              </w:rPr>
                              <w:t>If not, please provide further explanation here:</w:t>
                            </w:r>
                          </w:p>
                          <w:p w:rsidR="00A43DB9" w:rsidRDefault="00A43DB9"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3pt;width:7in;height:16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" strokecolor="blue">
                <v:textbox>
                  <w:txbxContent>
                    <w:p w:rsidR="00206E5D" w:rsidRPr="00B102E7" w:rsidRDefault="00206E5D" w:rsidP="006348B4">
                      <w:pPr>
                        <w:rPr>
                          <w:color w:val="0000FF"/>
                        </w:rPr>
                      </w:pPr>
                      <w:r w:rsidRPr="00B102E7">
                        <w:rPr>
                          <w:color w:val="0000FF"/>
                        </w:rPr>
                        <w:t>If not, please provide further explanation here:</w:t>
                      </w:r>
                    </w:p>
                    <w:p w:rsidR="00206E5D" w:rsidRDefault="00206E5D"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Pr="00A70F31"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color w:val="0000FF"/>
          <w:sz w:val="22"/>
          <w:szCs w:val="22"/>
        </w:rPr>
      </w:pPr>
    </w:p>
    <w:p w:rsidR="00C52BDD" w:rsidRPr="00015B45" w:rsidRDefault="00C52BDD" w:rsidP="00C52BDD">
      <w:pPr>
        <w:jc w:val="both"/>
        <w:rPr>
          <w:b/>
          <w:color w:val="0000FF"/>
          <w:sz w:val="22"/>
          <w:szCs w:val="22"/>
        </w:rPr>
      </w:pPr>
      <w:r w:rsidRPr="00015B45">
        <w:rPr>
          <w:b/>
          <w:color w:val="0000FF"/>
          <w:sz w:val="22"/>
          <w:szCs w:val="22"/>
        </w:rPr>
        <w:t>Question 4: Do you have any comments on the model that has been implemented for the calculation of the Plus element for students with high needs in Further Education settings?</w:t>
      </w:r>
    </w:p>
    <w:p w:rsidR="006348B4" w:rsidRPr="00C52BDD" w:rsidRDefault="0040300F" w:rsidP="006348B4">
      <w:pPr>
        <w:jc w:val="both"/>
        <w:rPr>
          <w:b/>
          <w:color w:val="0000FF"/>
          <w:sz w:val="22"/>
          <w:szCs w:val="22"/>
        </w:rPr>
      </w:pPr>
      <w:r>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5168" behindDoc="0" locked="0" layoutInCell="1" allowOverlap="1" wp14:anchorId="10589893" wp14:editId="31E20011">
                <wp:simplePos x="0" y="0"/>
                <wp:positionH relativeFrom="column">
                  <wp:posOffset>0</wp:posOffset>
                </wp:positionH>
                <wp:positionV relativeFrom="paragraph">
                  <wp:posOffset>3810</wp:posOffset>
                </wp:positionV>
                <wp:extent cx="6400800" cy="2084070"/>
                <wp:effectExtent l="9525" t="13335" r="952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4070"/>
                        </a:xfrm>
                        <a:prstGeom prst="rect">
                          <a:avLst/>
                        </a:prstGeom>
                        <a:solidFill>
                          <a:srgbClr val="FFFFFF"/>
                        </a:solidFill>
                        <a:ln w="9525">
                          <a:solidFill>
                            <a:srgbClr val="0000FF"/>
                          </a:solidFill>
                          <a:miter lim="800000"/>
                          <a:headEnd/>
                          <a:tailEnd/>
                        </a:ln>
                      </wps:spPr>
                      <wps:txbx>
                        <w:txbxContent>
                          <w:p w:rsidR="00A43DB9" w:rsidRDefault="00A43DB9"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3pt;width:7in;height:16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FLwIAAFg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" strokecolor="blue">
                <v:textbox>
                  <w:txbxContent>
                    <w:p w:rsidR="00206E5D" w:rsidRDefault="00206E5D"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b/>
          <w:i/>
          <w:color w:val="0000FF"/>
          <w:sz w:val="22"/>
          <w:szCs w:val="22"/>
        </w:rPr>
      </w:pPr>
    </w:p>
    <w:p w:rsidR="00C52BDD" w:rsidRDefault="00C52BDD" w:rsidP="006348B4">
      <w:pPr>
        <w:jc w:val="both"/>
        <w:rPr>
          <w:b/>
          <w:i/>
          <w:color w:val="0000FF"/>
          <w:sz w:val="22"/>
          <w:szCs w:val="22"/>
        </w:rPr>
      </w:pPr>
    </w:p>
    <w:p w:rsidR="00C52BDD" w:rsidRDefault="00C52BDD" w:rsidP="006348B4">
      <w:pPr>
        <w:jc w:val="both"/>
        <w:rPr>
          <w:b/>
          <w:i/>
          <w:color w:val="0000FF"/>
          <w:sz w:val="22"/>
          <w:szCs w:val="22"/>
        </w:rPr>
      </w:pPr>
    </w:p>
    <w:p w:rsidR="00C52BDD" w:rsidRDefault="00C52BDD" w:rsidP="006348B4">
      <w:pPr>
        <w:jc w:val="both"/>
        <w:rPr>
          <w:b/>
          <w:i/>
          <w:color w:val="0000FF"/>
          <w:sz w:val="22"/>
          <w:szCs w:val="22"/>
        </w:rPr>
      </w:pPr>
    </w:p>
    <w:p w:rsidR="00C52BDD" w:rsidRPr="00A70F31" w:rsidRDefault="00C52BDD" w:rsidP="006348B4">
      <w:pPr>
        <w:jc w:val="both"/>
        <w:rPr>
          <w:b/>
          <w:i/>
          <w:color w:val="0000FF"/>
          <w:sz w:val="22"/>
          <w:szCs w:val="22"/>
        </w:rPr>
      </w:pPr>
    </w:p>
    <w:p w:rsidR="006348B4" w:rsidRDefault="006348B4" w:rsidP="006348B4">
      <w:pPr>
        <w:rPr>
          <w:b/>
          <w:sz w:val="22"/>
          <w:szCs w:val="22"/>
          <w:u w:val="single"/>
        </w:rPr>
      </w:pPr>
    </w:p>
    <w:p w:rsidR="006348B4" w:rsidRDefault="006348B4" w:rsidP="006348B4">
      <w:pPr>
        <w:rPr>
          <w:sz w:val="22"/>
          <w:szCs w:val="22"/>
        </w:rPr>
      </w:pPr>
    </w:p>
    <w:p w:rsidR="00C52BDD" w:rsidRDefault="00C52BDD" w:rsidP="00C52BDD">
      <w:pPr>
        <w:jc w:val="both"/>
        <w:rPr>
          <w:b/>
          <w:color w:val="0000FF"/>
          <w:sz w:val="22"/>
          <w:szCs w:val="22"/>
        </w:rPr>
      </w:pPr>
      <w:r>
        <w:rPr>
          <w:b/>
          <w:color w:val="0000FF"/>
          <w:sz w:val="22"/>
          <w:szCs w:val="22"/>
        </w:rPr>
        <w:t>Question 5: Are there any further changes that you would wish to see made to the funding model in 2016/17? Please give details.</w:t>
      </w:r>
    </w:p>
    <w:p w:rsidR="00C52BDD" w:rsidRDefault="006348B4" w:rsidP="006348B4">
      <w:pPr>
        <w:jc w:val="both"/>
        <w:rPr>
          <w:rFonts w:cs="Arial"/>
          <w:b/>
          <w:color w:val="0000FF"/>
        </w:rPr>
      </w:pPr>
      <w:r>
        <w:rPr>
          <w:rFonts w:cs="Arial"/>
          <w:b/>
          <w:color w:val="0000FF"/>
        </w:rPr>
        <w:tab/>
      </w:r>
      <w:r>
        <w:rPr>
          <w:rFonts w:cs="Arial"/>
          <w:b/>
          <w:color w:val="0000FF"/>
        </w:rPr>
        <w:tab/>
      </w:r>
    </w:p>
    <w:p w:rsidR="006348B4" w:rsidRDefault="00C52BDD" w:rsidP="006348B4">
      <w:pPr>
        <w:jc w:val="both"/>
        <w:rPr>
          <w:rFonts w:cs="Arial"/>
          <w:b/>
          <w:color w:val="0000FF"/>
        </w:rPr>
      </w:pPr>
      <w:r>
        <w:rPr>
          <w:rFonts w:cs="Arial"/>
          <w:b/>
          <w:noProof/>
          <w:color w:val="0000FF"/>
        </w:rPr>
        <mc:AlternateContent>
          <mc:Choice Requires="wps">
            <w:drawing>
              <wp:anchor distT="0" distB="0" distL="114300" distR="114300" simplePos="0" relativeHeight="251656192" behindDoc="0" locked="0" layoutInCell="1" allowOverlap="1" wp14:anchorId="2AC19FAC" wp14:editId="61174A4C">
                <wp:simplePos x="0" y="0"/>
                <wp:positionH relativeFrom="column">
                  <wp:posOffset>2540</wp:posOffset>
                </wp:positionH>
                <wp:positionV relativeFrom="paragraph">
                  <wp:posOffset>125729</wp:posOffset>
                </wp:positionV>
                <wp:extent cx="6400800" cy="2600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A43DB9" w:rsidRDefault="00A43DB9" w:rsidP="006348B4">
                            <w:pPr>
                              <w:rPr>
                                <w:color w:val="0000FF"/>
                              </w:rPr>
                            </w:pPr>
                          </w:p>
                          <w:p w:rsidR="00A43DB9" w:rsidRDefault="00A43DB9" w:rsidP="006348B4">
                            <w:pPr>
                              <w:rPr>
                                <w:color w:val="0000FF"/>
                              </w:rPr>
                            </w:pPr>
                          </w:p>
                          <w:p w:rsidR="00A43DB9" w:rsidRDefault="00A43DB9" w:rsidP="006348B4">
                            <w:pPr>
                              <w:rPr>
                                <w:color w:val="0000FF"/>
                              </w:rPr>
                            </w:pPr>
                          </w:p>
                          <w:p w:rsidR="00A43DB9" w:rsidRDefault="00A43DB9" w:rsidP="006348B4">
                            <w:pPr>
                              <w:rPr>
                                <w:color w:val="0000FF"/>
                              </w:rPr>
                            </w:pPr>
                          </w:p>
                          <w:p w:rsidR="00A43DB9" w:rsidRDefault="00A43DB9" w:rsidP="006348B4">
                            <w:pPr>
                              <w:rPr>
                                <w:color w:val="0000FF"/>
                              </w:rPr>
                            </w:pPr>
                          </w:p>
                          <w:p w:rsidR="00A43DB9" w:rsidRDefault="00A43DB9" w:rsidP="006348B4">
                            <w:pPr>
                              <w:rPr>
                                <w:color w:val="0000FF"/>
                              </w:rPr>
                            </w:pPr>
                          </w:p>
                          <w:p w:rsidR="00A43DB9" w:rsidRDefault="00A43DB9" w:rsidP="006348B4">
                            <w:pPr>
                              <w:rPr>
                                <w:color w:val="0000FF"/>
                              </w:rPr>
                            </w:pPr>
                          </w:p>
                          <w:p w:rsidR="00A43DB9" w:rsidRDefault="00A43DB9" w:rsidP="006348B4">
                            <w:pPr>
                              <w:rPr>
                                <w:color w:val="0000FF"/>
                              </w:rPr>
                            </w:pPr>
                          </w:p>
                          <w:p w:rsidR="00A43DB9" w:rsidRPr="00B102E7" w:rsidRDefault="00A43DB9" w:rsidP="006348B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pt;margin-top:9.9pt;width:7in;height:20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" strokecolor="blue">
                <v:textbox>
                  <w:txbxContent>
                    <w:p w:rsidR="00206E5D" w:rsidRDefault="00206E5D" w:rsidP="006348B4">
                      <w:pPr>
                        <w:rPr>
                          <w:color w:val="0000FF"/>
                        </w:rPr>
                      </w:pPr>
                    </w:p>
                    <w:p w:rsidR="00206E5D" w:rsidRDefault="00206E5D" w:rsidP="006348B4">
                      <w:pPr>
                        <w:rPr>
                          <w:color w:val="0000FF"/>
                        </w:rPr>
                      </w:pPr>
                    </w:p>
                    <w:p w:rsidR="00206E5D" w:rsidRDefault="00206E5D" w:rsidP="006348B4">
                      <w:pPr>
                        <w:rPr>
                          <w:color w:val="0000FF"/>
                        </w:rPr>
                      </w:pPr>
                    </w:p>
                    <w:p w:rsidR="00206E5D" w:rsidRDefault="00206E5D" w:rsidP="006348B4">
                      <w:pPr>
                        <w:rPr>
                          <w:color w:val="0000FF"/>
                        </w:rPr>
                      </w:pPr>
                    </w:p>
                    <w:p w:rsidR="00206E5D" w:rsidRDefault="00206E5D" w:rsidP="006348B4">
                      <w:pPr>
                        <w:rPr>
                          <w:color w:val="0000FF"/>
                        </w:rPr>
                      </w:pPr>
                    </w:p>
                    <w:p w:rsidR="00206E5D" w:rsidRDefault="00206E5D" w:rsidP="006348B4">
                      <w:pPr>
                        <w:rPr>
                          <w:color w:val="0000FF"/>
                        </w:rPr>
                      </w:pPr>
                    </w:p>
                    <w:p w:rsidR="00206E5D" w:rsidRDefault="00206E5D" w:rsidP="006348B4">
                      <w:pPr>
                        <w:rPr>
                          <w:color w:val="0000FF"/>
                        </w:rPr>
                      </w:pPr>
                    </w:p>
                    <w:p w:rsidR="00206E5D" w:rsidRDefault="00206E5D" w:rsidP="006348B4">
                      <w:pPr>
                        <w:rPr>
                          <w:color w:val="0000FF"/>
                        </w:rPr>
                      </w:pPr>
                    </w:p>
                    <w:p w:rsidR="00206E5D" w:rsidRPr="00B102E7" w:rsidRDefault="00206E5D" w:rsidP="006348B4">
                      <w:pPr>
                        <w:rPr>
                          <w:color w:val="0000FF"/>
                        </w:rPr>
                      </w:pPr>
                    </w:p>
                  </w:txbxContent>
                </v:textbox>
              </v:shape>
            </w:pict>
          </mc:Fallback>
        </mc:AlternateContent>
      </w:r>
      <w:r w:rsidR="006348B4">
        <w:rPr>
          <w:rFonts w:cs="Arial"/>
          <w:b/>
          <w:color w:val="0000FF"/>
        </w:rPr>
        <w:tab/>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b/>
          <w:i/>
          <w:color w:val="0000FF"/>
          <w:sz w:val="22"/>
          <w:szCs w:val="22"/>
        </w:rPr>
      </w:pPr>
    </w:p>
    <w:p w:rsidR="00C52BDD" w:rsidRDefault="00C52BDD" w:rsidP="006348B4">
      <w:pPr>
        <w:jc w:val="both"/>
        <w:rPr>
          <w:b/>
          <w:i/>
          <w:color w:val="0000FF"/>
          <w:sz w:val="22"/>
          <w:szCs w:val="22"/>
        </w:rPr>
      </w:pPr>
    </w:p>
    <w:p w:rsidR="00C52BDD" w:rsidRDefault="00C52BDD" w:rsidP="006348B4">
      <w:pPr>
        <w:jc w:val="both"/>
        <w:rPr>
          <w:b/>
          <w:i/>
          <w:color w:val="0000FF"/>
          <w:sz w:val="22"/>
          <w:szCs w:val="22"/>
        </w:rPr>
      </w:pPr>
    </w:p>
    <w:p w:rsidR="00C52BDD" w:rsidRDefault="00C52BDD" w:rsidP="006348B4">
      <w:pPr>
        <w:jc w:val="both"/>
        <w:rPr>
          <w:b/>
          <w:i/>
          <w:color w:val="0000FF"/>
          <w:sz w:val="22"/>
          <w:szCs w:val="22"/>
        </w:rPr>
      </w:pPr>
    </w:p>
    <w:p w:rsidR="00C52BDD" w:rsidRPr="00A70F31" w:rsidRDefault="00C52BDD" w:rsidP="006348B4">
      <w:pPr>
        <w:jc w:val="both"/>
        <w:rPr>
          <w:b/>
          <w:i/>
          <w:color w:val="0000FF"/>
          <w:sz w:val="22"/>
          <w:szCs w:val="22"/>
        </w:rPr>
      </w:pPr>
    </w:p>
    <w:p w:rsidR="006348B4" w:rsidRDefault="006348B4" w:rsidP="006348B4">
      <w:pPr>
        <w:rPr>
          <w:sz w:val="22"/>
          <w:szCs w:val="22"/>
        </w:rPr>
      </w:pPr>
    </w:p>
    <w:p w:rsidR="003D4711" w:rsidRDefault="003D4711" w:rsidP="006348B4">
      <w:pPr>
        <w:jc w:val="both"/>
        <w:rPr>
          <w:b/>
          <w:color w:val="0000FF"/>
          <w:sz w:val="22"/>
          <w:szCs w:val="22"/>
        </w:rPr>
      </w:pPr>
    </w:p>
    <w:p w:rsidR="00C52BDD" w:rsidRPr="007D4220" w:rsidRDefault="00C52BDD" w:rsidP="00C52BDD">
      <w:pPr>
        <w:jc w:val="both"/>
        <w:rPr>
          <w:b/>
          <w:color w:val="0000FF"/>
          <w:sz w:val="22"/>
          <w:szCs w:val="22"/>
        </w:rPr>
      </w:pPr>
      <w:r>
        <w:rPr>
          <w:b/>
          <w:color w:val="0000FF"/>
          <w:sz w:val="22"/>
          <w:szCs w:val="22"/>
        </w:rPr>
        <w:t>Question 6 – Do you have any other comments on the funding model that you have not recorded elsewhere?</w:t>
      </w:r>
    </w:p>
    <w:p w:rsidR="006348B4" w:rsidRPr="00A70F31" w:rsidRDefault="006348B4" w:rsidP="006348B4">
      <w:pPr>
        <w:jc w:val="both"/>
        <w:rPr>
          <w:b/>
          <w:i/>
          <w:color w:val="0000FF"/>
          <w:sz w:val="22"/>
          <w:szCs w:val="22"/>
        </w:rPr>
      </w:pPr>
    </w:p>
    <w:p w:rsidR="006348B4" w:rsidRDefault="006348B4" w:rsidP="006348B4">
      <w:pPr>
        <w:jc w:val="both"/>
        <w:rPr>
          <w:rFonts w:cs="Arial"/>
          <w:b/>
          <w:color w:val="0000FF"/>
        </w:rPr>
      </w:pP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7216" behindDoc="0" locked="0" layoutInCell="1" allowOverlap="1" wp14:anchorId="5540E5AE" wp14:editId="35B83055">
                <wp:simplePos x="0" y="0"/>
                <wp:positionH relativeFrom="column">
                  <wp:posOffset>2540</wp:posOffset>
                </wp:positionH>
                <wp:positionV relativeFrom="paragraph">
                  <wp:posOffset>-2540</wp:posOffset>
                </wp:positionV>
                <wp:extent cx="6400800" cy="3905250"/>
                <wp:effectExtent l="0" t="0" r="1905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05250"/>
                        </a:xfrm>
                        <a:prstGeom prst="rect">
                          <a:avLst/>
                        </a:prstGeom>
                        <a:solidFill>
                          <a:srgbClr val="FFFFFF"/>
                        </a:solidFill>
                        <a:ln w="9525">
                          <a:solidFill>
                            <a:srgbClr val="0000FF"/>
                          </a:solidFill>
                          <a:miter lim="800000"/>
                          <a:headEnd/>
                          <a:tailEnd/>
                        </a:ln>
                      </wps:spPr>
                      <wps:txbx>
                        <w:txbxContent>
                          <w:p w:rsidR="00A43DB9" w:rsidRPr="00B102E7" w:rsidRDefault="00A43DB9" w:rsidP="006348B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pt;margin-top:-.2pt;width:7in;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" strokecolor="blue">
                <v:textbox>
                  <w:txbxContent>
                    <w:p w:rsidR="00206E5D" w:rsidRPr="00B102E7" w:rsidRDefault="00206E5D" w:rsidP="006348B4">
                      <w:pPr>
                        <w:rPr>
                          <w:color w:val="0000FF"/>
                        </w:rPr>
                      </w:pPr>
                    </w:p>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Pr="00A70F31"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p w:rsidR="00CC407F" w:rsidRDefault="00CC407F" w:rsidP="006348B4">
      <w:pPr>
        <w:rPr>
          <w:sz w:val="22"/>
          <w:szCs w:val="22"/>
        </w:rPr>
      </w:pPr>
    </w:p>
    <w:sectPr w:rsidR="00CC407F" w:rsidSect="00ED7708">
      <w:headerReference w:type="default" r:id="rId13"/>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B9" w:rsidRDefault="00A43DB9">
      <w:r>
        <w:separator/>
      </w:r>
    </w:p>
  </w:endnote>
  <w:endnote w:type="continuationSeparator" w:id="0">
    <w:p w:rsidR="00A43DB9" w:rsidRDefault="00A4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B9" w:rsidRDefault="00A43DB9"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DB9" w:rsidRDefault="00A43DB9" w:rsidP="005A33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B9" w:rsidRDefault="00A43DB9"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BFB">
      <w:rPr>
        <w:rStyle w:val="PageNumber"/>
        <w:noProof/>
      </w:rPr>
      <w:t>11</w:t>
    </w:r>
    <w:r>
      <w:rPr>
        <w:rStyle w:val="PageNumber"/>
      </w:rPr>
      <w:fldChar w:fldCharType="end"/>
    </w:r>
  </w:p>
  <w:p w:rsidR="00A43DB9" w:rsidRDefault="00A43DB9" w:rsidP="005A33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B9" w:rsidRDefault="00A43DB9">
      <w:r>
        <w:separator/>
      </w:r>
    </w:p>
  </w:footnote>
  <w:footnote w:type="continuationSeparator" w:id="0">
    <w:p w:rsidR="00A43DB9" w:rsidRDefault="00A4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B9" w:rsidRPr="00AC4BE2" w:rsidRDefault="00A43DB9" w:rsidP="005F7689">
    <w:pPr>
      <w:pStyle w:val="Header"/>
      <w:jc w:val="right"/>
      <w:rPr>
        <w:sz w:val="18"/>
        <w:szCs w:val="18"/>
      </w:rPr>
    </w:pPr>
    <w:r>
      <w:rPr>
        <w:sz w:val="18"/>
        <w:szCs w:val="18"/>
      </w:rPr>
      <w:t>Appendix 2 – Responses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9F6"/>
    <w:multiLevelType w:val="hybridMultilevel"/>
    <w:tmpl w:val="F478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40F6"/>
    <w:multiLevelType w:val="hybridMultilevel"/>
    <w:tmpl w:val="A510DF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06A04A70"/>
    <w:multiLevelType w:val="hybridMultilevel"/>
    <w:tmpl w:val="C1EAD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07A73"/>
    <w:multiLevelType w:val="hybridMultilevel"/>
    <w:tmpl w:val="B532F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1C4586"/>
    <w:multiLevelType w:val="hybridMultilevel"/>
    <w:tmpl w:val="EE1E9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A36B57"/>
    <w:multiLevelType w:val="hybridMultilevel"/>
    <w:tmpl w:val="9046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4A7EBB"/>
    <w:multiLevelType w:val="hybridMultilevel"/>
    <w:tmpl w:val="ECBEF4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15F22A4D"/>
    <w:multiLevelType w:val="hybridMultilevel"/>
    <w:tmpl w:val="008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A70A5"/>
    <w:multiLevelType w:val="hybridMultilevel"/>
    <w:tmpl w:val="677C8E2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BA9540C"/>
    <w:multiLevelType w:val="hybridMultilevel"/>
    <w:tmpl w:val="BEF8E0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B8054C"/>
    <w:multiLevelType w:val="hybridMultilevel"/>
    <w:tmpl w:val="A68C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B913C6"/>
    <w:multiLevelType w:val="hybridMultilevel"/>
    <w:tmpl w:val="6644A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CA4413"/>
    <w:multiLevelType w:val="hybridMultilevel"/>
    <w:tmpl w:val="B7FA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E02D7"/>
    <w:multiLevelType w:val="hybridMultilevel"/>
    <w:tmpl w:val="67FA58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B30F13"/>
    <w:multiLevelType w:val="multilevel"/>
    <w:tmpl w:val="E44254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DF38A4"/>
    <w:multiLevelType w:val="hybridMultilevel"/>
    <w:tmpl w:val="67989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D048BD"/>
    <w:multiLevelType w:val="hybridMultilevel"/>
    <w:tmpl w:val="8E84F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571836"/>
    <w:multiLevelType w:val="hybridMultilevel"/>
    <w:tmpl w:val="D75A3F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20208BD"/>
    <w:multiLevelType w:val="hybridMultilevel"/>
    <w:tmpl w:val="54F00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265DE2"/>
    <w:multiLevelType w:val="hybridMultilevel"/>
    <w:tmpl w:val="557E22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7375006"/>
    <w:multiLevelType w:val="hybridMultilevel"/>
    <w:tmpl w:val="5D98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1173D4"/>
    <w:multiLevelType w:val="hybridMultilevel"/>
    <w:tmpl w:val="D05CF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0243838"/>
    <w:multiLevelType w:val="hybridMultilevel"/>
    <w:tmpl w:val="EF4E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CF7851"/>
    <w:multiLevelType w:val="hybridMultilevel"/>
    <w:tmpl w:val="049E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722D2"/>
    <w:multiLevelType w:val="hybridMultilevel"/>
    <w:tmpl w:val="2074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9B64D5"/>
    <w:multiLevelType w:val="hybridMultilevel"/>
    <w:tmpl w:val="69E63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EBD3B3D"/>
    <w:multiLevelType w:val="multilevel"/>
    <w:tmpl w:val="020C03F4"/>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62FD43DC"/>
    <w:multiLevelType w:val="hybridMultilevel"/>
    <w:tmpl w:val="0790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A7D1123"/>
    <w:multiLevelType w:val="hybridMultilevel"/>
    <w:tmpl w:val="4BA6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2A656F"/>
    <w:multiLevelType w:val="hybridMultilevel"/>
    <w:tmpl w:val="9B0CC0A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332B62"/>
    <w:multiLevelType w:val="hybridMultilevel"/>
    <w:tmpl w:val="0332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925BF9"/>
    <w:multiLevelType w:val="hybridMultilevel"/>
    <w:tmpl w:val="3D960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F31777F"/>
    <w:multiLevelType w:val="hybridMultilevel"/>
    <w:tmpl w:val="180A81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17A1865"/>
    <w:multiLevelType w:val="hybridMultilevel"/>
    <w:tmpl w:val="2F7E4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2421914"/>
    <w:multiLevelType w:val="hybridMultilevel"/>
    <w:tmpl w:val="D2F6E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15232A"/>
    <w:multiLevelType w:val="hybridMultilevel"/>
    <w:tmpl w:val="051EC0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E56945"/>
    <w:multiLevelType w:val="hybridMultilevel"/>
    <w:tmpl w:val="5378A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9"/>
  </w:num>
  <w:num w:numId="4">
    <w:abstractNumId w:val="9"/>
  </w:num>
  <w:num w:numId="5">
    <w:abstractNumId w:val="21"/>
  </w:num>
  <w:num w:numId="6">
    <w:abstractNumId w:val="1"/>
  </w:num>
  <w:num w:numId="7">
    <w:abstractNumId w:val="32"/>
  </w:num>
  <w:num w:numId="8">
    <w:abstractNumId w:val="31"/>
  </w:num>
  <w:num w:numId="9">
    <w:abstractNumId w:val="13"/>
  </w:num>
  <w:num w:numId="10">
    <w:abstractNumId w:val="33"/>
  </w:num>
  <w:num w:numId="11">
    <w:abstractNumId w:val="25"/>
  </w:num>
  <w:num w:numId="12">
    <w:abstractNumId w:val="11"/>
  </w:num>
  <w:num w:numId="13">
    <w:abstractNumId w:val="17"/>
  </w:num>
  <w:num w:numId="14">
    <w:abstractNumId w:val="3"/>
  </w:num>
  <w:num w:numId="15">
    <w:abstractNumId w:val="35"/>
  </w:num>
  <w:num w:numId="16">
    <w:abstractNumId w:val="15"/>
  </w:num>
  <w:num w:numId="17">
    <w:abstractNumId w:val="18"/>
  </w:num>
  <w:num w:numId="18">
    <w:abstractNumId w:val="27"/>
  </w:num>
  <w:num w:numId="19">
    <w:abstractNumId w:val="36"/>
  </w:num>
  <w:num w:numId="20">
    <w:abstractNumId w:val="30"/>
  </w:num>
  <w:num w:numId="21">
    <w:abstractNumId w:val="10"/>
  </w:num>
  <w:num w:numId="22">
    <w:abstractNumId w:val="7"/>
  </w:num>
  <w:num w:numId="23">
    <w:abstractNumId w:val="2"/>
  </w:num>
  <w:num w:numId="24">
    <w:abstractNumId w:val="23"/>
  </w:num>
  <w:num w:numId="25">
    <w:abstractNumId w:val="6"/>
  </w:num>
  <w:num w:numId="26">
    <w:abstractNumId w:val="5"/>
  </w:num>
  <w:num w:numId="27">
    <w:abstractNumId w:val="28"/>
  </w:num>
  <w:num w:numId="28">
    <w:abstractNumId w:val="14"/>
  </w:num>
  <w:num w:numId="29">
    <w:abstractNumId w:val="12"/>
  </w:num>
  <w:num w:numId="30">
    <w:abstractNumId w:val="19"/>
  </w:num>
  <w:num w:numId="31">
    <w:abstractNumId w:val="4"/>
  </w:num>
  <w:num w:numId="32">
    <w:abstractNumId w:val="22"/>
  </w:num>
  <w:num w:numId="33">
    <w:abstractNumId w:val="8"/>
  </w:num>
  <w:num w:numId="34">
    <w:abstractNumId w:val="26"/>
  </w:num>
  <w:num w:numId="35">
    <w:abstractNumId w:val="24"/>
  </w:num>
  <w:num w:numId="36">
    <w:abstractNumId w:val="20"/>
  </w:num>
  <w:num w:numId="3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51E"/>
    <w:rsid w:val="00000F99"/>
    <w:rsid w:val="0000177A"/>
    <w:rsid w:val="00001C2A"/>
    <w:rsid w:val="00003041"/>
    <w:rsid w:val="000034E3"/>
    <w:rsid w:val="00003966"/>
    <w:rsid w:val="00003B29"/>
    <w:rsid w:val="00003FDF"/>
    <w:rsid w:val="00004734"/>
    <w:rsid w:val="00004A12"/>
    <w:rsid w:val="00005E46"/>
    <w:rsid w:val="00006697"/>
    <w:rsid w:val="000075C2"/>
    <w:rsid w:val="00007F33"/>
    <w:rsid w:val="00007F6E"/>
    <w:rsid w:val="00010E0E"/>
    <w:rsid w:val="000122AD"/>
    <w:rsid w:val="000124CD"/>
    <w:rsid w:val="0001320E"/>
    <w:rsid w:val="00013467"/>
    <w:rsid w:val="0001529A"/>
    <w:rsid w:val="00015B45"/>
    <w:rsid w:val="00015E47"/>
    <w:rsid w:val="00016341"/>
    <w:rsid w:val="00016829"/>
    <w:rsid w:val="000169B3"/>
    <w:rsid w:val="00016B43"/>
    <w:rsid w:val="00016D5C"/>
    <w:rsid w:val="00017073"/>
    <w:rsid w:val="0001776B"/>
    <w:rsid w:val="000201D9"/>
    <w:rsid w:val="00020420"/>
    <w:rsid w:val="0002315A"/>
    <w:rsid w:val="000231A3"/>
    <w:rsid w:val="000232CB"/>
    <w:rsid w:val="000233D9"/>
    <w:rsid w:val="00023740"/>
    <w:rsid w:val="00023FB6"/>
    <w:rsid w:val="00024581"/>
    <w:rsid w:val="00024596"/>
    <w:rsid w:val="000248F0"/>
    <w:rsid w:val="000303CF"/>
    <w:rsid w:val="00030497"/>
    <w:rsid w:val="0003079A"/>
    <w:rsid w:val="0003085F"/>
    <w:rsid w:val="00030FF0"/>
    <w:rsid w:val="00031825"/>
    <w:rsid w:val="000328A4"/>
    <w:rsid w:val="000349E8"/>
    <w:rsid w:val="00034A13"/>
    <w:rsid w:val="000370CF"/>
    <w:rsid w:val="00037602"/>
    <w:rsid w:val="00040651"/>
    <w:rsid w:val="0004094D"/>
    <w:rsid w:val="00042E9A"/>
    <w:rsid w:val="00044A9D"/>
    <w:rsid w:val="0004562B"/>
    <w:rsid w:val="000501E1"/>
    <w:rsid w:val="00050CF8"/>
    <w:rsid w:val="00050D4D"/>
    <w:rsid w:val="00052A4A"/>
    <w:rsid w:val="000548E4"/>
    <w:rsid w:val="00055DD7"/>
    <w:rsid w:val="00056363"/>
    <w:rsid w:val="00056580"/>
    <w:rsid w:val="0005672B"/>
    <w:rsid w:val="000611D8"/>
    <w:rsid w:val="00061587"/>
    <w:rsid w:val="00061EA5"/>
    <w:rsid w:val="00062611"/>
    <w:rsid w:val="00062671"/>
    <w:rsid w:val="00062D4D"/>
    <w:rsid w:val="000631E1"/>
    <w:rsid w:val="000653AD"/>
    <w:rsid w:val="00066237"/>
    <w:rsid w:val="0006685B"/>
    <w:rsid w:val="00066CCC"/>
    <w:rsid w:val="00070057"/>
    <w:rsid w:val="00070DB3"/>
    <w:rsid w:val="00071924"/>
    <w:rsid w:val="00072519"/>
    <w:rsid w:val="00072EE1"/>
    <w:rsid w:val="00073CDD"/>
    <w:rsid w:val="00073DE8"/>
    <w:rsid w:val="000745CD"/>
    <w:rsid w:val="000747DD"/>
    <w:rsid w:val="00074F08"/>
    <w:rsid w:val="00076098"/>
    <w:rsid w:val="000771A4"/>
    <w:rsid w:val="0007745B"/>
    <w:rsid w:val="00080345"/>
    <w:rsid w:val="000809E6"/>
    <w:rsid w:val="0008132D"/>
    <w:rsid w:val="00081A86"/>
    <w:rsid w:val="000832D5"/>
    <w:rsid w:val="00083560"/>
    <w:rsid w:val="00083DD1"/>
    <w:rsid w:val="00086BBD"/>
    <w:rsid w:val="00091B7E"/>
    <w:rsid w:val="00092024"/>
    <w:rsid w:val="000930A6"/>
    <w:rsid w:val="00093C4F"/>
    <w:rsid w:val="00095F54"/>
    <w:rsid w:val="00096314"/>
    <w:rsid w:val="000968E3"/>
    <w:rsid w:val="00097D67"/>
    <w:rsid w:val="000A01CC"/>
    <w:rsid w:val="000A14A6"/>
    <w:rsid w:val="000A1518"/>
    <w:rsid w:val="000A21B7"/>
    <w:rsid w:val="000A2294"/>
    <w:rsid w:val="000A2957"/>
    <w:rsid w:val="000A3C3F"/>
    <w:rsid w:val="000A44F8"/>
    <w:rsid w:val="000A492F"/>
    <w:rsid w:val="000A5E22"/>
    <w:rsid w:val="000A662B"/>
    <w:rsid w:val="000A6D86"/>
    <w:rsid w:val="000B1608"/>
    <w:rsid w:val="000B1F80"/>
    <w:rsid w:val="000B3927"/>
    <w:rsid w:val="000B4425"/>
    <w:rsid w:val="000B45EB"/>
    <w:rsid w:val="000B4B16"/>
    <w:rsid w:val="000B5168"/>
    <w:rsid w:val="000B53A9"/>
    <w:rsid w:val="000B584C"/>
    <w:rsid w:val="000B675F"/>
    <w:rsid w:val="000B67E3"/>
    <w:rsid w:val="000B7311"/>
    <w:rsid w:val="000C1D3C"/>
    <w:rsid w:val="000C28C3"/>
    <w:rsid w:val="000C28D0"/>
    <w:rsid w:val="000C2E1C"/>
    <w:rsid w:val="000C35B6"/>
    <w:rsid w:val="000C3C21"/>
    <w:rsid w:val="000C3F03"/>
    <w:rsid w:val="000C4395"/>
    <w:rsid w:val="000C55E9"/>
    <w:rsid w:val="000C5E85"/>
    <w:rsid w:val="000C6B12"/>
    <w:rsid w:val="000C7C70"/>
    <w:rsid w:val="000C7D31"/>
    <w:rsid w:val="000D02D4"/>
    <w:rsid w:val="000D1A5F"/>
    <w:rsid w:val="000D1AEE"/>
    <w:rsid w:val="000D2917"/>
    <w:rsid w:val="000D48C3"/>
    <w:rsid w:val="000D61CA"/>
    <w:rsid w:val="000D7E51"/>
    <w:rsid w:val="000D7E8B"/>
    <w:rsid w:val="000E1EBA"/>
    <w:rsid w:val="000E42EC"/>
    <w:rsid w:val="000E55AF"/>
    <w:rsid w:val="000E58D6"/>
    <w:rsid w:val="000E6AD4"/>
    <w:rsid w:val="000E6F68"/>
    <w:rsid w:val="000F13C5"/>
    <w:rsid w:val="000F54D3"/>
    <w:rsid w:val="000F5E84"/>
    <w:rsid w:val="000F6FB5"/>
    <w:rsid w:val="000F76DD"/>
    <w:rsid w:val="000F7A08"/>
    <w:rsid w:val="001000A3"/>
    <w:rsid w:val="00100D16"/>
    <w:rsid w:val="00101046"/>
    <w:rsid w:val="00102A50"/>
    <w:rsid w:val="00104188"/>
    <w:rsid w:val="001050B4"/>
    <w:rsid w:val="00105DEF"/>
    <w:rsid w:val="001069A7"/>
    <w:rsid w:val="00106E16"/>
    <w:rsid w:val="00107E49"/>
    <w:rsid w:val="001103E2"/>
    <w:rsid w:val="00110D6B"/>
    <w:rsid w:val="00111AF7"/>
    <w:rsid w:val="00112A82"/>
    <w:rsid w:val="00113E4F"/>
    <w:rsid w:val="001145C5"/>
    <w:rsid w:val="00114DF5"/>
    <w:rsid w:val="00115154"/>
    <w:rsid w:val="00117A1F"/>
    <w:rsid w:val="00117DF4"/>
    <w:rsid w:val="00120761"/>
    <w:rsid w:val="00121AAE"/>
    <w:rsid w:val="001221A2"/>
    <w:rsid w:val="00122868"/>
    <w:rsid w:val="00122E39"/>
    <w:rsid w:val="00123315"/>
    <w:rsid w:val="00123E23"/>
    <w:rsid w:val="00124CE0"/>
    <w:rsid w:val="001261CB"/>
    <w:rsid w:val="001310DA"/>
    <w:rsid w:val="00132464"/>
    <w:rsid w:val="001328C5"/>
    <w:rsid w:val="00133F2D"/>
    <w:rsid w:val="00134075"/>
    <w:rsid w:val="00134169"/>
    <w:rsid w:val="0013458E"/>
    <w:rsid w:val="001345BF"/>
    <w:rsid w:val="00135336"/>
    <w:rsid w:val="00135E3D"/>
    <w:rsid w:val="00136DA7"/>
    <w:rsid w:val="00140119"/>
    <w:rsid w:val="001402CD"/>
    <w:rsid w:val="00141EFB"/>
    <w:rsid w:val="00141F78"/>
    <w:rsid w:val="001431F8"/>
    <w:rsid w:val="00143BA6"/>
    <w:rsid w:val="00144BE9"/>
    <w:rsid w:val="001458FC"/>
    <w:rsid w:val="0014609D"/>
    <w:rsid w:val="00147266"/>
    <w:rsid w:val="00147860"/>
    <w:rsid w:val="001478FB"/>
    <w:rsid w:val="0015069B"/>
    <w:rsid w:val="00150C94"/>
    <w:rsid w:val="00150DDF"/>
    <w:rsid w:val="0015118D"/>
    <w:rsid w:val="001511F2"/>
    <w:rsid w:val="0015213D"/>
    <w:rsid w:val="00152993"/>
    <w:rsid w:val="00152D2C"/>
    <w:rsid w:val="001535F5"/>
    <w:rsid w:val="0015569A"/>
    <w:rsid w:val="00155E38"/>
    <w:rsid w:val="00155E64"/>
    <w:rsid w:val="00157236"/>
    <w:rsid w:val="00162108"/>
    <w:rsid w:val="001627A9"/>
    <w:rsid w:val="00162B9D"/>
    <w:rsid w:val="00163F30"/>
    <w:rsid w:val="0016494C"/>
    <w:rsid w:val="0016497B"/>
    <w:rsid w:val="00165641"/>
    <w:rsid w:val="00167232"/>
    <w:rsid w:val="00167917"/>
    <w:rsid w:val="001706F9"/>
    <w:rsid w:val="00170ABF"/>
    <w:rsid w:val="00170C8A"/>
    <w:rsid w:val="00171423"/>
    <w:rsid w:val="00172906"/>
    <w:rsid w:val="00175B7F"/>
    <w:rsid w:val="001764C8"/>
    <w:rsid w:val="0017684B"/>
    <w:rsid w:val="00176D9E"/>
    <w:rsid w:val="0017782E"/>
    <w:rsid w:val="00180740"/>
    <w:rsid w:val="00181D68"/>
    <w:rsid w:val="00182380"/>
    <w:rsid w:val="001826CA"/>
    <w:rsid w:val="00183BFA"/>
    <w:rsid w:val="00184849"/>
    <w:rsid w:val="00184E27"/>
    <w:rsid w:val="0018529F"/>
    <w:rsid w:val="00185870"/>
    <w:rsid w:val="00190528"/>
    <w:rsid w:val="00194006"/>
    <w:rsid w:val="00194ABA"/>
    <w:rsid w:val="00195EF4"/>
    <w:rsid w:val="0019612D"/>
    <w:rsid w:val="00196362"/>
    <w:rsid w:val="00196A2C"/>
    <w:rsid w:val="00196B75"/>
    <w:rsid w:val="0019745E"/>
    <w:rsid w:val="00197D3D"/>
    <w:rsid w:val="00197E00"/>
    <w:rsid w:val="001A035F"/>
    <w:rsid w:val="001A1127"/>
    <w:rsid w:val="001A1358"/>
    <w:rsid w:val="001A16E3"/>
    <w:rsid w:val="001A1C44"/>
    <w:rsid w:val="001A209B"/>
    <w:rsid w:val="001A483D"/>
    <w:rsid w:val="001A5684"/>
    <w:rsid w:val="001A6939"/>
    <w:rsid w:val="001B025A"/>
    <w:rsid w:val="001B0530"/>
    <w:rsid w:val="001B113E"/>
    <w:rsid w:val="001B2920"/>
    <w:rsid w:val="001B3093"/>
    <w:rsid w:val="001B447B"/>
    <w:rsid w:val="001B502E"/>
    <w:rsid w:val="001B5262"/>
    <w:rsid w:val="001B539D"/>
    <w:rsid w:val="001B55EA"/>
    <w:rsid w:val="001B7E0D"/>
    <w:rsid w:val="001C0A4A"/>
    <w:rsid w:val="001C0E8C"/>
    <w:rsid w:val="001C16EB"/>
    <w:rsid w:val="001C2268"/>
    <w:rsid w:val="001C4477"/>
    <w:rsid w:val="001C47DB"/>
    <w:rsid w:val="001C60D1"/>
    <w:rsid w:val="001C705F"/>
    <w:rsid w:val="001D0048"/>
    <w:rsid w:val="001D158F"/>
    <w:rsid w:val="001D29AE"/>
    <w:rsid w:val="001D2D87"/>
    <w:rsid w:val="001D3251"/>
    <w:rsid w:val="001D392E"/>
    <w:rsid w:val="001D4BC8"/>
    <w:rsid w:val="001D53F5"/>
    <w:rsid w:val="001D6C54"/>
    <w:rsid w:val="001D6F80"/>
    <w:rsid w:val="001D6F8E"/>
    <w:rsid w:val="001D758A"/>
    <w:rsid w:val="001E010D"/>
    <w:rsid w:val="001E0130"/>
    <w:rsid w:val="001E0E81"/>
    <w:rsid w:val="001E1DAB"/>
    <w:rsid w:val="001E20E8"/>
    <w:rsid w:val="001E241F"/>
    <w:rsid w:val="001E2903"/>
    <w:rsid w:val="001E2928"/>
    <w:rsid w:val="001E550A"/>
    <w:rsid w:val="001E6175"/>
    <w:rsid w:val="001E65B6"/>
    <w:rsid w:val="001E70DA"/>
    <w:rsid w:val="001E74E8"/>
    <w:rsid w:val="001F235E"/>
    <w:rsid w:val="001F3430"/>
    <w:rsid w:val="001F4895"/>
    <w:rsid w:val="001F6F4E"/>
    <w:rsid w:val="001F727D"/>
    <w:rsid w:val="001F774C"/>
    <w:rsid w:val="00202CAB"/>
    <w:rsid w:val="00202E7F"/>
    <w:rsid w:val="00203143"/>
    <w:rsid w:val="00203806"/>
    <w:rsid w:val="002044F1"/>
    <w:rsid w:val="00206E5D"/>
    <w:rsid w:val="002079FD"/>
    <w:rsid w:val="00210ADC"/>
    <w:rsid w:val="0021126C"/>
    <w:rsid w:val="00211F35"/>
    <w:rsid w:val="0021298E"/>
    <w:rsid w:val="00213900"/>
    <w:rsid w:val="002149B9"/>
    <w:rsid w:val="00214CB1"/>
    <w:rsid w:val="00215269"/>
    <w:rsid w:val="00220DCE"/>
    <w:rsid w:val="00221195"/>
    <w:rsid w:val="00222738"/>
    <w:rsid w:val="00223E97"/>
    <w:rsid w:val="00225A33"/>
    <w:rsid w:val="002279E0"/>
    <w:rsid w:val="00230C5B"/>
    <w:rsid w:val="002324B2"/>
    <w:rsid w:val="0023255D"/>
    <w:rsid w:val="00232D5F"/>
    <w:rsid w:val="00233188"/>
    <w:rsid w:val="00233685"/>
    <w:rsid w:val="002336ED"/>
    <w:rsid w:val="00233DD7"/>
    <w:rsid w:val="00233EDD"/>
    <w:rsid w:val="00235349"/>
    <w:rsid w:val="0023551A"/>
    <w:rsid w:val="002357B6"/>
    <w:rsid w:val="00235BF6"/>
    <w:rsid w:val="00235F05"/>
    <w:rsid w:val="00236A7C"/>
    <w:rsid w:val="0023702E"/>
    <w:rsid w:val="00237C97"/>
    <w:rsid w:val="0024006E"/>
    <w:rsid w:val="002413C0"/>
    <w:rsid w:val="00241509"/>
    <w:rsid w:val="00241900"/>
    <w:rsid w:val="002435C3"/>
    <w:rsid w:val="00243696"/>
    <w:rsid w:val="0024377D"/>
    <w:rsid w:val="00244014"/>
    <w:rsid w:val="0024409C"/>
    <w:rsid w:val="00245109"/>
    <w:rsid w:val="00246308"/>
    <w:rsid w:val="0024639E"/>
    <w:rsid w:val="002463BD"/>
    <w:rsid w:val="002473FF"/>
    <w:rsid w:val="00247716"/>
    <w:rsid w:val="00251903"/>
    <w:rsid w:val="00252B08"/>
    <w:rsid w:val="00253889"/>
    <w:rsid w:val="00253ABC"/>
    <w:rsid w:val="0025415A"/>
    <w:rsid w:val="002542A9"/>
    <w:rsid w:val="00254EB2"/>
    <w:rsid w:val="00255248"/>
    <w:rsid w:val="002560BE"/>
    <w:rsid w:val="00256410"/>
    <w:rsid w:val="002575E6"/>
    <w:rsid w:val="00260127"/>
    <w:rsid w:val="0026103F"/>
    <w:rsid w:val="0026279B"/>
    <w:rsid w:val="002644BF"/>
    <w:rsid w:val="002647EF"/>
    <w:rsid w:val="00264A08"/>
    <w:rsid w:val="00264AB1"/>
    <w:rsid w:val="00266101"/>
    <w:rsid w:val="002662E0"/>
    <w:rsid w:val="002667A9"/>
    <w:rsid w:val="00266B28"/>
    <w:rsid w:val="002679DA"/>
    <w:rsid w:val="00270006"/>
    <w:rsid w:val="0027118D"/>
    <w:rsid w:val="002712BE"/>
    <w:rsid w:val="002716AA"/>
    <w:rsid w:val="00271C38"/>
    <w:rsid w:val="0027290C"/>
    <w:rsid w:val="00273508"/>
    <w:rsid w:val="0027400C"/>
    <w:rsid w:val="0027470F"/>
    <w:rsid w:val="002761CE"/>
    <w:rsid w:val="00276DAE"/>
    <w:rsid w:val="002778D7"/>
    <w:rsid w:val="0028034D"/>
    <w:rsid w:val="00281114"/>
    <w:rsid w:val="00281CAA"/>
    <w:rsid w:val="0028208E"/>
    <w:rsid w:val="00283E5D"/>
    <w:rsid w:val="002845CB"/>
    <w:rsid w:val="00284D06"/>
    <w:rsid w:val="00285F9B"/>
    <w:rsid w:val="0028648F"/>
    <w:rsid w:val="002875F3"/>
    <w:rsid w:val="002907FD"/>
    <w:rsid w:val="0029203F"/>
    <w:rsid w:val="00293710"/>
    <w:rsid w:val="0029385C"/>
    <w:rsid w:val="00293B55"/>
    <w:rsid w:val="00294705"/>
    <w:rsid w:val="00295095"/>
    <w:rsid w:val="002957DE"/>
    <w:rsid w:val="00295D12"/>
    <w:rsid w:val="0029715B"/>
    <w:rsid w:val="0029771B"/>
    <w:rsid w:val="00297835"/>
    <w:rsid w:val="00297B0F"/>
    <w:rsid w:val="00297E32"/>
    <w:rsid w:val="002A090B"/>
    <w:rsid w:val="002A0D81"/>
    <w:rsid w:val="002A116A"/>
    <w:rsid w:val="002A1AA3"/>
    <w:rsid w:val="002A2019"/>
    <w:rsid w:val="002A2B5C"/>
    <w:rsid w:val="002A3591"/>
    <w:rsid w:val="002A38B8"/>
    <w:rsid w:val="002A4D4F"/>
    <w:rsid w:val="002A5334"/>
    <w:rsid w:val="002A5B9D"/>
    <w:rsid w:val="002A630F"/>
    <w:rsid w:val="002A6DCB"/>
    <w:rsid w:val="002B0462"/>
    <w:rsid w:val="002B05BC"/>
    <w:rsid w:val="002B0681"/>
    <w:rsid w:val="002B07AC"/>
    <w:rsid w:val="002B1C96"/>
    <w:rsid w:val="002B1F3A"/>
    <w:rsid w:val="002B3601"/>
    <w:rsid w:val="002B37B8"/>
    <w:rsid w:val="002B3FE5"/>
    <w:rsid w:val="002B591E"/>
    <w:rsid w:val="002B61E0"/>
    <w:rsid w:val="002B7C66"/>
    <w:rsid w:val="002B7F7A"/>
    <w:rsid w:val="002C0798"/>
    <w:rsid w:val="002C1010"/>
    <w:rsid w:val="002C1891"/>
    <w:rsid w:val="002C253D"/>
    <w:rsid w:val="002C25B8"/>
    <w:rsid w:val="002C62AF"/>
    <w:rsid w:val="002C6C9F"/>
    <w:rsid w:val="002D004D"/>
    <w:rsid w:val="002D1A98"/>
    <w:rsid w:val="002D2580"/>
    <w:rsid w:val="002D3FD9"/>
    <w:rsid w:val="002D4B9A"/>
    <w:rsid w:val="002D575A"/>
    <w:rsid w:val="002D5CFB"/>
    <w:rsid w:val="002D6378"/>
    <w:rsid w:val="002D667F"/>
    <w:rsid w:val="002D67AA"/>
    <w:rsid w:val="002D69A1"/>
    <w:rsid w:val="002E0638"/>
    <w:rsid w:val="002E1D84"/>
    <w:rsid w:val="002E20D1"/>
    <w:rsid w:val="002E3A2B"/>
    <w:rsid w:val="002E3C40"/>
    <w:rsid w:val="002E3DEB"/>
    <w:rsid w:val="002E43E1"/>
    <w:rsid w:val="002E46EB"/>
    <w:rsid w:val="002E494B"/>
    <w:rsid w:val="002E5BC6"/>
    <w:rsid w:val="002E5EC9"/>
    <w:rsid w:val="002E6408"/>
    <w:rsid w:val="002E70F8"/>
    <w:rsid w:val="002F04CC"/>
    <w:rsid w:val="002F0C2C"/>
    <w:rsid w:val="002F161E"/>
    <w:rsid w:val="002F1DA6"/>
    <w:rsid w:val="002F229E"/>
    <w:rsid w:val="002F24B8"/>
    <w:rsid w:val="002F2BC2"/>
    <w:rsid w:val="002F3460"/>
    <w:rsid w:val="002F37D9"/>
    <w:rsid w:val="002F41D0"/>
    <w:rsid w:val="002F46DD"/>
    <w:rsid w:val="002F47F2"/>
    <w:rsid w:val="002F4AD1"/>
    <w:rsid w:val="002F618F"/>
    <w:rsid w:val="002F6407"/>
    <w:rsid w:val="002F6593"/>
    <w:rsid w:val="002F6C99"/>
    <w:rsid w:val="002F7559"/>
    <w:rsid w:val="002F79E5"/>
    <w:rsid w:val="003028F1"/>
    <w:rsid w:val="0030362F"/>
    <w:rsid w:val="003050A7"/>
    <w:rsid w:val="00305690"/>
    <w:rsid w:val="00305744"/>
    <w:rsid w:val="00305EE8"/>
    <w:rsid w:val="00305FD4"/>
    <w:rsid w:val="003063CF"/>
    <w:rsid w:val="00306D2B"/>
    <w:rsid w:val="00306D85"/>
    <w:rsid w:val="00307E43"/>
    <w:rsid w:val="00307FFD"/>
    <w:rsid w:val="00312003"/>
    <w:rsid w:val="00312B2A"/>
    <w:rsid w:val="00312BFB"/>
    <w:rsid w:val="00313E0E"/>
    <w:rsid w:val="003155A4"/>
    <w:rsid w:val="003160AA"/>
    <w:rsid w:val="003171F9"/>
    <w:rsid w:val="00317A53"/>
    <w:rsid w:val="00320CFD"/>
    <w:rsid w:val="003213DA"/>
    <w:rsid w:val="0032140C"/>
    <w:rsid w:val="00321DDF"/>
    <w:rsid w:val="0032260D"/>
    <w:rsid w:val="003227EC"/>
    <w:rsid w:val="00322A23"/>
    <w:rsid w:val="00322B49"/>
    <w:rsid w:val="0032317E"/>
    <w:rsid w:val="00323F56"/>
    <w:rsid w:val="003248B1"/>
    <w:rsid w:val="00325CE0"/>
    <w:rsid w:val="00326EBC"/>
    <w:rsid w:val="00327115"/>
    <w:rsid w:val="003327B5"/>
    <w:rsid w:val="00332BC8"/>
    <w:rsid w:val="00333AD8"/>
    <w:rsid w:val="00334435"/>
    <w:rsid w:val="00334B35"/>
    <w:rsid w:val="00334C07"/>
    <w:rsid w:val="0033546D"/>
    <w:rsid w:val="0033569C"/>
    <w:rsid w:val="003362B9"/>
    <w:rsid w:val="003365F9"/>
    <w:rsid w:val="00336BCA"/>
    <w:rsid w:val="00336C8C"/>
    <w:rsid w:val="003373DF"/>
    <w:rsid w:val="00337617"/>
    <w:rsid w:val="00340477"/>
    <w:rsid w:val="00341D9E"/>
    <w:rsid w:val="00341F5F"/>
    <w:rsid w:val="003422D5"/>
    <w:rsid w:val="0034581F"/>
    <w:rsid w:val="00345CBC"/>
    <w:rsid w:val="00347FBE"/>
    <w:rsid w:val="003510E4"/>
    <w:rsid w:val="00352835"/>
    <w:rsid w:val="00352984"/>
    <w:rsid w:val="003530D9"/>
    <w:rsid w:val="00353BCD"/>
    <w:rsid w:val="003540C8"/>
    <w:rsid w:val="00354E41"/>
    <w:rsid w:val="0035596C"/>
    <w:rsid w:val="00355C57"/>
    <w:rsid w:val="003569B5"/>
    <w:rsid w:val="00356E35"/>
    <w:rsid w:val="003571FC"/>
    <w:rsid w:val="0036058F"/>
    <w:rsid w:val="00360CFB"/>
    <w:rsid w:val="00362A61"/>
    <w:rsid w:val="003640C4"/>
    <w:rsid w:val="003642BD"/>
    <w:rsid w:val="00364AD3"/>
    <w:rsid w:val="003654D6"/>
    <w:rsid w:val="00365810"/>
    <w:rsid w:val="003661EF"/>
    <w:rsid w:val="00366A60"/>
    <w:rsid w:val="003677AC"/>
    <w:rsid w:val="00367841"/>
    <w:rsid w:val="00371214"/>
    <w:rsid w:val="003732F1"/>
    <w:rsid w:val="00373C1D"/>
    <w:rsid w:val="00373FCD"/>
    <w:rsid w:val="00374FD5"/>
    <w:rsid w:val="0037594A"/>
    <w:rsid w:val="00375EEB"/>
    <w:rsid w:val="00376A88"/>
    <w:rsid w:val="0037792D"/>
    <w:rsid w:val="00377E32"/>
    <w:rsid w:val="003811E4"/>
    <w:rsid w:val="00381735"/>
    <w:rsid w:val="003817FF"/>
    <w:rsid w:val="00382105"/>
    <w:rsid w:val="003822A6"/>
    <w:rsid w:val="00386068"/>
    <w:rsid w:val="00386C74"/>
    <w:rsid w:val="00387008"/>
    <w:rsid w:val="0038778B"/>
    <w:rsid w:val="00390242"/>
    <w:rsid w:val="00390555"/>
    <w:rsid w:val="00391005"/>
    <w:rsid w:val="00391DED"/>
    <w:rsid w:val="00392DC3"/>
    <w:rsid w:val="0039416E"/>
    <w:rsid w:val="00394595"/>
    <w:rsid w:val="003945C6"/>
    <w:rsid w:val="00394726"/>
    <w:rsid w:val="00394A1B"/>
    <w:rsid w:val="00395AE4"/>
    <w:rsid w:val="00396D3A"/>
    <w:rsid w:val="003A0328"/>
    <w:rsid w:val="003A0B34"/>
    <w:rsid w:val="003A3261"/>
    <w:rsid w:val="003A35EE"/>
    <w:rsid w:val="003A3905"/>
    <w:rsid w:val="003A48DB"/>
    <w:rsid w:val="003A5794"/>
    <w:rsid w:val="003A5BB3"/>
    <w:rsid w:val="003A6060"/>
    <w:rsid w:val="003B0B26"/>
    <w:rsid w:val="003B1983"/>
    <w:rsid w:val="003B19BE"/>
    <w:rsid w:val="003B262C"/>
    <w:rsid w:val="003B3874"/>
    <w:rsid w:val="003B38E1"/>
    <w:rsid w:val="003B4E51"/>
    <w:rsid w:val="003B5B79"/>
    <w:rsid w:val="003B5C98"/>
    <w:rsid w:val="003B6CCF"/>
    <w:rsid w:val="003C0948"/>
    <w:rsid w:val="003C2473"/>
    <w:rsid w:val="003C263E"/>
    <w:rsid w:val="003C2A3F"/>
    <w:rsid w:val="003C3778"/>
    <w:rsid w:val="003C3CD7"/>
    <w:rsid w:val="003C52A9"/>
    <w:rsid w:val="003C5F16"/>
    <w:rsid w:val="003C6106"/>
    <w:rsid w:val="003C6B60"/>
    <w:rsid w:val="003C7453"/>
    <w:rsid w:val="003C7EC7"/>
    <w:rsid w:val="003D035D"/>
    <w:rsid w:val="003D05B5"/>
    <w:rsid w:val="003D0CF8"/>
    <w:rsid w:val="003D133D"/>
    <w:rsid w:val="003D14C5"/>
    <w:rsid w:val="003D250E"/>
    <w:rsid w:val="003D2EE0"/>
    <w:rsid w:val="003D4711"/>
    <w:rsid w:val="003D6647"/>
    <w:rsid w:val="003E211E"/>
    <w:rsid w:val="003E2B7C"/>
    <w:rsid w:val="003E2BF1"/>
    <w:rsid w:val="003E33CE"/>
    <w:rsid w:val="003E34D1"/>
    <w:rsid w:val="003E4B89"/>
    <w:rsid w:val="003E4C16"/>
    <w:rsid w:val="003E4D3A"/>
    <w:rsid w:val="003E6B81"/>
    <w:rsid w:val="003E752D"/>
    <w:rsid w:val="003F319F"/>
    <w:rsid w:val="003F33B1"/>
    <w:rsid w:val="003F3E08"/>
    <w:rsid w:val="003F50C4"/>
    <w:rsid w:val="003F65F1"/>
    <w:rsid w:val="003F6609"/>
    <w:rsid w:val="003F7CD2"/>
    <w:rsid w:val="0040028A"/>
    <w:rsid w:val="00400720"/>
    <w:rsid w:val="00400F72"/>
    <w:rsid w:val="00401175"/>
    <w:rsid w:val="0040300F"/>
    <w:rsid w:val="004038F8"/>
    <w:rsid w:val="004045C4"/>
    <w:rsid w:val="0040643D"/>
    <w:rsid w:val="0040686D"/>
    <w:rsid w:val="00407644"/>
    <w:rsid w:val="004077D7"/>
    <w:rsid w:val="00407A09"/>
    <w:rsid w:val="004101ED"/>
    <w:rsid w:val="00412AE7"/>
    <w:rsid w:val="004130AE"/>
    <w:rsid w:val="00413263"/>
    <w:rsid w:val="00414339"/>
    <w:rsid w:val="00414520"/>
    <w:rsid w:val="004145E3"/>
    <w:rsid w:val="00414A69"/>
    <w:rsid w:val="0041552C"/>
    <w:rsid w:val="0041571D"/>
    <w:rsid w:val="00416111"/>
    <w:rsid w:val="00417F20"/>
    <w:rsid w:val="00420EF0"/>
    <w:rsid w:val="00421206"/>
    <w:rsid w:val="004213A7"/>
    <w:rsid w:val="00421A20"/>
    <w:rsid w:val="00422560"/>
    <w:rsid w:val="00422A9B"/>
    <w:rsid w:val="00423A2A"/>
    <w:rsid w:val="00423C14"/>
    <w:rsid w:val="00423EEC"/>
    <w:rsid w:val="0042513F"/>
    <w:rsid w:val="0042696B"/>
    <w:rsid w:val="00426D6E"/>
    <w:rsid w:val="00427E9E"/>
    <w:rsid w:val="00432801"/>
    <w:rsid w:val="004336E5"/>
    <w:rsid w:val="0043667F"/>
    <w:rsid w:val="00436826"/>
    <w:rsid w:val="00436B34"/>
    <w:rsid w:val="00436D4E"/>
    <w:rsid w:val="0043764E"/>
    <w:rsid w:val="0044174F"/>
    <w:rsid w:val="00443B8B"/>
    <w:rsid w:val="00443D04"/>
    <w:rsid w:val="004441B4"/>
    <w:rsid w:val="00444A8E"/>
    <w:rsid w:val="0044503E"/>
    <w:rsid w:val="00445182"/>
    <w:rsid w:val="00445B03"/>
    <w:rsid w:val="00445D5E"/>
    <w:rsid w:val="00446160"/>
    <w:rsid w:val="00446F5D"/>
    <w:rsid w:val="0044725F"/>
    <w:rsid w:val="00447605"/>
    <w:rsid w:val="00447A99"/>
    <w:rsid w:val="00447C23"/>
    <w:rsid w:val="0045075E"/>
    <w:rsid w:val="00450C94"/>
    <w:rsid w:val="004512D4"/>
    <w:rsid w:val="00452D41"/>
    <w:rsid w:val="0045362B"/>
    <w:rsid w:val="00453D88"/>
    <w:rsid w:val="00454454"/>
    <w:rsid w:val="004554E1"/>
    <w:rsid w:val="00455858"/>
    <w:rsid w:val="00455EED"/>
    <w:rsid w:val="004567D2"/>
    <w:rsid w:val="004571D0"/>
    <w:rsid w:val="0045738A"/>
    <w:rsid w:val="0046147E"/>
    <w:rsid w:val="00461491"/>
    <w:rsid w:val="004614D6"/>
    <w:rsid w:val="004623E9"/>
    <w:rsid w:val="00466E58"/>
    <w:rsid w:val="00467764"/>
    <w:rsid w:val="00467F8C"/>
    <w:rsid w:val="00470823"/>
    <w:rsid w:val="00470D3E"/>
    <w:rsid w:val="00470D86"/>
    <w:rsid w:val="00471ACE"/>
    <w:rsid w:val="004721BC"/>
    <w:rsid w:val="00473ED1"/>
    <w:rsid w:val="004747E8"/>
    <w:rsid w:val="00474ADA"/>
    <w:rsid w:val="004755BE"/>
    <w:rsid w:val="00475BB1"/>
    <w:rsid w:val="00475F21"/>
    <w:rsid w:val="0047781D"/>
    <w:rsid w:val="00481AC2"/>
    <w:rsid w:val="004822CA"/>
    <w:rsid w:val="00482894"/>
    <w:rsid w:val="00482D0A"/>
    <w:rsid w:val="004837A0"/>
    <w:rsid w:val="00483C8D"/>
    <w:rsid w:val="00483F7F"/>
    <w:rsid w:val="00484D77"/>
    <w:rsid w:val="00491C34"/>
    <w:rsid w:val="00493D04"/>
    <w:rsid w:val="00493F7B"/>
    <w:rsid w:val="0049763D"/>
    <w:rsid w:val="004A17B6"/>
    <w:rsid w:val="004A23A5"/>
    <w:rsid w:val="004A24A3"/>
    <w:rsid w:val="004A25BF"/>
    <w:rsid w:val="004A2A94"/>
    <w:rsid w:val="004A2BBB"/>
    <w:rsid w:val="004A2F62"/>
    <w:rsid w:val="004A461F"/>
    <w:rsid w:val="004A4D3C"/>
    <w:rsid w:val="004A62C7"/>
    <w:rsid w:val="004A7A28"/>
    <w:rsid w:val="004A7AD9"/>
    <w:rsid w:val="004B09D5"/>
    <w:rsid w:val="004B1947"/>
    <w:rsid w:val="004B3180"/>
    <w:rsid w:val="004B3867"/>
    <w:rsid w:val="004B59AA"/>
    <w:rsid w:val="004B5FA9"/>
    <w:rsid w:val="004B657B"/>
    <w:rsid w:val="004B65FD"/>
    <w:rsid w:val="004B6E18"/>
    <w:rsid w:val="004B72F2"/>
    <w:rsid w:val="004C0B0E"/>
    <w:rsid w:val="004C191F"/>
    <w:rsid w:val="004C26EC"/>
    <w:rsid w:val="004C2812"/>
    <w:rsid w:val="004C2D8C"/>
    <w:rsid w:val="004C3C55"/>
    <w:rsid w:val="004C49D7"/>
    <w:rsid w:val="004C5CD2"/>
    <w:rsid w:val="004C6EA3"/>
    <w:rsid w:val="004D008C"/>
    <w:rsid w:val="004D29B2"/>
    <w:rsid w:val="004D2C53"/>
    <w:rsid w:val="004D36DC"/>
    <w:rsid w:val="004D40B5"/>
    <w:rsid w:val="004D41B3"/>
    <w:rsid w:val="004D4410"/>
    <w:rsid w:val="004D4843"/>
    <w:rsid w:val="004D5F34"/>
    <w:rsid w:val="004D6F36"/>
    <w:rsid w:val="004D721D"/>
    <w:rsid w:val="004E0417"/>
    <w:rsid w:val="004E06F9"/>
    <w:rsid w:val="004E08C0"/>
    <w:rsid w:val="004E0CD1"/>
    <w:rsid w:val="004E5450"/>
    <w:rsid w:val="004E556D"/>
    <w:rsid w:val="004E617D"/>
    <w:rsid w:val="004E76F6"/>
    <w:rsid w:val="004E78EF"/>
    <w:rsid w:val="004F2888"/>
    <w:rsid w:val="004F30A0"/>
    <w:rsid w:val="004F39A6"/>
    <w:rsid w:val="004F39E0"/>
    <w:rsid w:val="004F50ED"/>
    <w:rsid w:val="004F52B9"/>
    <w:rsid w:val="004F60BA"/>
    <w:rsid w:val="004F63F2"/>
    <w:rsid w:val="005006CF"/>
    <w:rsid w:val="00501B70"/>
    <w:rsid w:val="00502557"/>
    <w:rsid w:val="0050368D"/>
    <w:rsid w:val="00505DFC"/>
    <w:rsid w:val="0050612D"/>
    <w:rsid w:val="00507E3A"/>
    <w:rsid w:val="005109B9"/>
    <w:rsid w:val="00510F82"/>
    <w:rsid w:val="00512946"/>
    <w:rsid w:val="00512FB1"/>
    <w:rsid w:val="00512FD9"/>
    <w:rsid w:val="00513869"/>
    <w:rsid w:val="00513D1B"/>
    <w:rsid w:val="00514569"/>
    <w:rsid w:val="00514A56"/>
    <w:rsid w:val="00515162"/>
    <w:rsid w:val="00517476"/>
    <w:rsid w:val="00520821"/>
    <w:rsid w:val="005211BE"/>
    <w:rsid w:val="00521649"/>
    <w:rsid w:val="00521A76"/>
    <w:rsid w:val="00522069"/>
    <w:rsid w:val="00522399"/>
    <w:rsid w:val="005224E7"/>
    <w:rsid w:val="00522700"/>
    <w:rsid w:val="0052400E"/>
    <w:rsid w:val="005250ED"/>
    <w:rsid w:val="00525234"/>
    <w:rsid w:val="00525C1C"/>
    <w:rsid w:val="00526B01"/>
    <w:rsid w:val="00527F12"/>
    <w:rsid w:val="00527FF5"/>
    <w:rsid w:val="00530AC9"/>
    <w:rsid w:val="00533A03"/>
    <w:rsid w:val="00533B0A"/>
    <w:rsid w:val="005348FE"/>
    <w:rsid w:val="00535039"/>
    <w:rsid w:val="005353D2"/>
    <w:rsid w:val="00535F45"/>
    <w:rsid w:val="0053613B"/>
    <w:rsid w:val="005364E8"/>
    <w:rsid w:val="005366A0"/>
    <w:rsid w:val="00536958"/>
    <w:rsid w:val="005370BC"/>
    <w:rsid w:val="0054041F"/>
    <w:rsid w:val="0054203B"/>
    <w:rsid w:val="00542663"/>
    <w:rsid w:val="00542E23"/>
    <w:rsid w:val="0054491D"/>
    <w:rsid w:val="00547C16"/>
    <w:rsid w:val="00551BE2"/>
    <w:rsid w:val="005534DF"/>
    <w:rsid w:val="0055467B"/>
    <w:rsid w:val="0055481D"/>
    <w:rsid w:val="005554D8"/>
    <w:rsid w:val="00556C00"/>
    <w:rsid w:val="00557CA6"/>
    <w:rsid w:val="00560CCC"/>
    <w:rsid w:val="0056216E"/>
    <w:rsid w:val="0056217F"/>
    <w:rsid w:val="00562256"/>
    <w:rsid w:val="00562AF3"/>
    <w:rsid w:val="00562C60"/>
    <w:rsid w:val="0056336C"/>
    <w:rsid w:val="00563A6A"/>
    <w:rsid w:val="00564AE1"/>
    <w:rsid w:val="0056500E"/>
    <w:rsid w:val="00565ED5"/>
    <w:rsid w:val="00566FBE"/>
    <w:rsid w:val="005674C6"/>
    <w:rsid w:val="00567699"/>
    <w:rsid w:val="00567C89"/>
    <w:rsid w:val="00570A90"/>
    <w:rsid w:val="00570AC6"/>
    <w:rsid w:val="00571206"/>
    <w:rsid w:val="005724F2"/>
    <w:rsid w:val="00572779"/>
    <w:rsid w:val="00573BD7"/>
    <w:rsid w:val="00573C96"/>
    <w:rsid w:val="005768F9"/>
    <w:rsid w:val="0057697A"/>
    <w:rsid w:val="00576DA7"/>
    <w:rsid w:val="00580058"/>
    <w:rsid w:val="00580A52"/>
    <w:rsid w:val="00581848"/>
    <w:rsid w:val="00581BE8"/>
    <w:rsid w:val="00582577"/>
    <w:rsid w:val="0058281A"/>
    <w:rsid w:val="00583201"/>
    <w:rsid w:val="0058404A"/>
    <w:rsid w:val="00585A45"/>
    <w:rsid w:val="00586622"/>
    <w:rsid w:val="00587EE2"/>
    <w:rsid w:val="005900E7"/>
    <w:rsid w:val="005906AF"/>
    <w:rsid w:val="00591FF7"/>
    <w:rsid w:val="00592093"/>
    <w:rsid w:val="0059221C"/>
    <w:rsid w:val="0059246F"/>
    <w:rsid w:val="00594C60"/>
    <w:rsid w:val="00596526"/>
    <w:rsid w:val="00596789"/>
    <w:rsid w:val="00597084"/>
    <w:rsid w:val="00597DA6"/>
    <w:rsid w:val="005A1654"/>
    <w:rsid w:val="005A1B7C"/>
    <w:rsid w:val="005A1E11"/>
    <w:rsid w:val="005A20CE"/>
    <w:rsid w:val="005A20DC"/>
    <w:rsid w:val="005A2E3C"/>
    <w:rsid w:val="005A2F08"/>
    <w:rsid w:val="005A33B4"/>
    <w:rsid w:val="005A33F2"/>
    <w:rsid w:val="005A4399"/>
    <w:rsid w:val="005A5727"/>
    <w:rsid w:val="005A60EA"/>
    <w:rsid w:val="005A622C"/>
    <w:rsid w:val="005A65EE"/>
    <w:rsid w:val="005A7F86"/>
    <w:rsid w:val="005B0630"/>
    <w:rsid w:val="005B2092"/>
    <w:rsid w:val="005B22D3"/>
    <w:rsid w:val="005B32F7"/>
    <w:rsid w:val="005B3E48"/>
    <w:rsid w:val="005B41C9"/>
    <w:rsid w:val="005B4991"/>
    <w:rsid w:val="005B4A40"/>
    <w:rsid w:val="005C04B5"/>
    <w:rsid w:val="005C07FD"/>
    <w:rsid w:val="005C10D4"/>
    <w:rsid w:val="005C37C8"/>
    <w:rsid w:val="005C3F07"/>
    <w:rsid w:val="005C53F3"/>
    <w:rsid w:val="005C5735"/>
    <w:rsid w:val="005C736F"/>
    <w:rsid w:val="005C7C2B"/>
    <w:rsid w:val="005C7ECE"/>
    <w:rsid w:val="005D0648"/>
    <w:rsid w:val="005D15C8"/>
    <w:rsid w:val="005D2C7A"/>
    <w:rsid w:val="005D2C81"/>
    <w:rsid w:val="005D2E74"/>
    <w:rsid w:val="005D4D03"/>
    <w:rsid w:val="005D5C11"/>
    <w:rsid w:val="005D6828"/>
    <w:rsid w:val="005D77DF"/>
    <w:rsid w:val="005D780F"/>
    <w:rsid w:val="005E0894"/>
    <w:rsid w:val="005E26C3"/>
    <w:rsid w:val="005E29D5"/>
    <w:rsid w:val="005E2AF3"/>
    <w:rsid w:val="005E3458"/>
    <w:rsid w:val="005E4B4E"/>
    <w:rsid w:val="005E6E41"/>
    <w:rsid w:val="005E70DE"/>
    <w:rsid w:val="005E7F8C"/>
    <w:rsid w:val="005F04E0"/>
    <w:rsid w:val="005F0BD6"/>
    <w:rsid w:val="005F154C"/>
    <w:rsid w:val="005F1CE8"/>
    <w:rsid w:val="005F2241"/>
    <w:rsid w:val="005F3362"/>
    <w:rsid w:val="005F36B4"/>
    <w:rsid w:val="005F39C9"/>
    <w:rsid w:val="005F45C7"/>
    <w:rsid w:val="005F5FA8"/>
    <w:rsid w:val="005F72A2"/>
    <w:rsid w:val="005F7689"/>
    <w:rsid w:val="00601F51"/>
    <w:rsid w:val="00604C85"/>
    <w:rsid w:val="00604E91"/>
    <w:rsid w:val="006053FA"/>
    <w:rsid w:val="0060593A"/>
    <w:rsid w:val="00605D04"/>
    <w:rsid w:val="00605E3A"/>
    <w:rsid w:val="00606697"/>
    <w:rsid w:val="0061039D"/>
    <w:rsid w:val="00611CCA"/>
    <w:rsid w:val="00611D98"/>
    <w:rsid w:val="00614599"/>
    <w:rsid w:val="006155E7"/>
    <w:rsid w:val="0061571F"/>
    <w:rsid w:val="00615A6A"/>
    <w:rsid w:val="00616D0A"/>
    <w:rsid w:val="00616F52"/>
    <w:rsid w:val="00617BC0"/>
    <w:rsid w:val="00620EB0"/>
    <w:rsid w:val="00621766"/>
    <w:rsid w:val="006220CB"/>
    <w:rsid w:val="006227B6"/>
    <w:rsid w:val="00622C8B"/>
    <w:rsid w:val="00622CD1"/>
    <w:rsid w:val="0062642B"/>
    <w:rsid w:val="006266DF"/>
    <w:rsid w:val="00626D2D"/>
    <w:rsid w:val="00630787"/>
    <w:rsid w:val="00631D09"/>
    <w:rsid w:val="0063248F"/>
    <w:rsid w:val="006327B3"/>
    <w:rsid w:val="00633402"/>
    <w:rsid w:val="00633455"/>
    <w:rsid w:val="00633901"/>
    <w:rsid w:val="006348B4"/>
    <w:rsid w:val="0063543A"/>
    <w:rsid w:val="00635779"/>
    <w:rsid w:val="00636014"/>
    <w:rsid w:val="00636224"/>
    <w:rsid w:val="006372E3"/>
    <w:rsid w:val="00640E8F"/>
    <w:rsid w:val="00640F50"/>
    <w:rsid w:val="00642515"/>
    <w:rsid w:val="006429EA"/>
    <w:rsid w:val="00642B61"/>
    <w:rsid w:val="00642CD9"/>
    <w:rsid w:val="00642F2C"/>
    <w:rsid w:val="0064331B"/>
    <w:rsid w:val="006438B1"/>
    <w:rsid w:val="00643BCA"/>
    <w:rsid w:val="00643E50"/>
    <w:rsid w:val="00643FF4"/>
    <w:rsid w:val="00647A6F"/>
    <w:rsid w:val="00650CEB"/>
    <w:rsid w:val="00650E4E"/>
    <w:rsid w:val="00650FA3"/>
    <w:rsid w:val="00651370"/>
    <w:rsid w:val="00651974"/>
    <w:rsid w:val="00652DD7"/>
    <w:rsid w:val="00653593"/>
    <w:rsid w:val="006539E4"/>
    <w:rsid w:val="00653F61"/>
    <w:rsid w:val="00655839"/>
    <w:rsid w:val="006566CB"/>
    <w:rsid w:val="0066087E"/>
    <w:rsid w:val="006617FD"/>
    <w:rsid w:val="006619C7"/>
    <w:rsid w:val="00662CB9"/>
    <w:rsid w:val="00664157"/>
    <w:rsid w:val="006658F9"/>
    <w:rsid w:val="00665F36"/>
    <w:rsid w:val="00666E2C"/>
    <w:rsid w:val="0067061B"/>
    <w:rsid w:val="006706DE"/>
    <w:rsid w:val="00670743"/>
    <w:rsid w:val="0067126A"/>
    <w:rsid w:val="0067136B"/>
    <w:rsid w:val="006741B3"/>
    <w:rsid w:val="006741E6"/>
    <w:rsid w:val="00676FAA"/>
    <w:rsid w:val="00677C41"/>
    <w:rsid w:val="00680B3A"/>
    <w:rsid w:val="00682CA9"/>
    <w:rsid w:val="00683211"/>
    <w:rsid w:val="00683669"/>
    <w:rsid w:val="00684089"/>
    <w:rsid w:val="00684CBE"/>
    <w:rsid w:val="00684E9D"/>
    <w:rsid w:val="006854DC"/>
    <w:rsid w:val="0068590C"/>
    <w:rsid w:val="00685A43"/>
    <w:rsid w:val="00685D21"/>
    <w:rsid w:val="00686A8F"/>
    <w:rsid w:val="006878C5"/>
    <w:rsid w:val="00687B8D"/>
    <w:rsid w:val="00692F98"/>
    <w:rsid w:val="00693AEC"/>
    <w:rsid w:val="0069512E"/>
    <w:rsid w:val="00696411"/>
    <w:rsid w:val="006A0415"/>
    <w:rsid w:val="006A0CBF"/>
    <w:rsid w:val="006A0E07"/>
    <w:rsid w:val="006A136B"/>
    <w:rsid w:val="006A166C"/>
    <w:rsid w:val="006A1CA7"/>
    <w:rsid w:val="006A1CE3"/>
    <w:rsid w:val="006A40B3"/>
    <w:rsid w:val="006A4AA0"/>
    <w:rsid w:val="006A4CFA"/>
    <w:rsid w:val="006A6169"/>
    <w:rsid w:val="006A72FC"/>
    <w:rsid w:val="006A72FF"/>
    <w:rsid w:val="006A77E0"/>
    <w:rsid w:val="006A7DFB"/>
    <w:rsid w:val="006B1CA8"/>
    <w:rsid w:val="006B2D75"/>
    <w:rsid w:val="006B2F3A"/>
    <w:rsid w:val="006B2F4B"/>
    <w:rsid w:val="006B3D51"/>
    <w:rsid w:val="006B5608"/>
    <w:rsid w:val="006B6E8D"/>
    <w:rsid w:val="006C0567"/>
    <w:rsid w:val="006C13EB"/>
    <w:rsid w:val="006C21B2"/>
    <w:rsid w:val="006C21B7"/>
    <w:rsid w:val="006C2372"/>
    <w:rsid w:val="006C29D3"/>
    <w:rsid w:val="006C3997"/>
    <w:rsid w:val="006C722E"/>
    <w:rsid w:val="006C7CF6"/>
    <w:rsid w:val="006D10F1"/>
    <w:rsid w:val="006D11C7"/>
    <w:rsid w:val="006D11FA"/>
    <w:rsid w:val="006D21D3"/>
    <w:rsid w:val="006D23D2"/>
    <w:rsid w:val="006D2457"/>
    <w:rsid w:val="006D2CBD"/>
    <w:rsid w:val="006D3B88"/>
    <w:rsid w:val="006D499B"/>
    <w:rsid w:val="006D51E4"/>
    <w:rsid w:val="006D55CD"/>
    <w:rsid w:val="006D6055"/>
    <w:rsid w:val="006D60F6"/>
    <w:rsid w:val="006D6D63"/>
    <w:rsid w:val="006D7062"/>
    <w:rsid w:val="006E03C4"/>
    <w:rsid w:val="006E0987"/>
    <w:rsid w:val="006E31D1"/>
    <w:rsid w:val="006E3614"/>
    <w:rsid w:val="006E4013"/>
    <w:rsid w:val="006E4CBC"/>
    <w:rsid w:val="006E4CBF"/>
    <w:rsid w:val="006E5A69"/>
    <w:rsid w:val="006E7372"/>
    <w:rsid w:val="006E7D8B"/>
    <w:rsid w:val="006F0F19"/>
    <w:rsid w:val="006F1A01"/>
    <w:rsid w:val="006F1DF0"/>
    <w:rsid w:val="006F2CAC"/>
    <w:rsid w:val="006F3C92"/>
    <w:rsid w:val="006F52F4"/>
    <w:rsid w:val="006F5859"/>
    <w:rsid w:val="006F5F52"/>
    <w:rsid w:val="006F6A01"/>
    <w:rsid w:val="006F6CB6"/>
    <w:rsid w:val="0070092D"/>
    <w:rsid w:val="0070118A"/>
    <w:rsid w:val="00703FA8"/>
    <w:rsid w:val="007049CC"/>
    <w:rsid w:val="00705BF0"/>
    <w:rsid w:val="00711F1F"/>
    <w:rsid w:val="00712158"/>
    <w:rsid w:val="007134A5"/>
    <w:rsid w:val="00713D09"/>
    <w:rsid w:val="00714B53"/>
    <w:rsid w:val="0071506B"/>
    <w:rsid w:val="00717009"/>
    <w:rsid w:val="00720192"/>
    <w:rsid w:val="00720FD5"/>
    <w:rsid w:val="00721B28"/>
    <w:rsid w:val="007220CD"/>
    <w:rsid w:val="00722192"/>
    <w:rsid w:val="007229A6"/>
    <w:rsid w:val="00722BCE"/>
    <w:rsid w:val="00723AA0"/>
    <w:rsid w:val="00725574"/>
    <w:rsid w:val="00725A90"/>
    <w:rsid w:val="00725CD2"/>
    <w:rsid w:val="007260DE"/>
    <w:rsid w:val="007279F4"/>
    <w:rsid w:val="00730190"/>
    <w:rsid w:val="00730940"/>
    <w:rsid w:val="00731372"/>
    <w:rsid w:val="007314DF"/>
    <w:rsid w:val="00731700"/>
    <w:rsid w:val="00732116"/>
    <w:rsid w:val="007325B2"/>
    <w:rsid w:val="00733B8C"/>
    <w:rsid w:val="00734364"/>
    <w:rsid w:val="00734829"/>
    <w:rsid w:val="00734CF0"/>
    <w:rsid w:val="00736165"/>
    <w:rsid w:val="0073663C"/>
    <w:rsid w:val="007367AF"/>
    <w:rsid w:val="00737829"/>
    <w:rsid w:val="0074138F"/>
    <w:rsid w:val="00742240"/>
    <w:rsid w:val="0074317A"/>
    <w:rsid w:val="00743283"/>
    <w:rsid w:val="007458C4"/>
    <w:rsid w:val="0075006E"/>
    <w:rsid w:val="0075070B"/>
    <w:rsid w:val="00750975"/>
    <w:rsid w:val="00750A01"/>
    <w:rsid w:val="00751E61"/>
    <w:rsid w:val="007523DB"/>
    <w:rsid w:val="007526D1"/>
    <w:rsid w:val="00752747"/>
    <w:rsid w:val="00753A32"/>
    <w:rsid w:val="007545BE"/>
    <w:rsid w:val="00754B39"/>
    <w:rsid w:val="00755625"/>
    <w:rsid w:val="007617A5"/>
    <w:rsid w:val="00762658"/>
    <w:rsid w:val="0076399D"/>
    <w:rsid w:val="00764D4E"/>
    <w:rsid w:val="0076520C"/>
    <w:rsid w:val="007655EA"/>
    <w:rsid w:val="00765AD9"/>
    <w:rsid w:val="00765E8C"/>
    <w:rsid w:val="00766DD1"/>
    <w:rsid w:val="007670AF"/>
    <w:rsid w:val="00767B83"/>
    <w:rsid w:val="0077002E"/>
    <w:rsid w:val="00770616"/>
    <w:rsid w:val="00771840"/>
    <w:rsid w:val="00773799"/>
    <w:rsid w:val="00776312"/>
    <w:rsid w:val="00783B16"/>
    <w:rsid w:val="00784633"/>
    <w:rsid w:val="007848E3"/>
    <w:rsid w:val="00785E2C"/>
    <w:rsid w:val="00786F18"/>
    <w:rsid w:val="00787013"/>
    <w:rsid w:val="0078730C"/>
    <w:rsid w:val="00787D88"/>
    <w:rsid w:val="00787F2F"/>
    <w:rsid w:val="00790DF5"/>
    <w:rsid w:val="0079156F"/>
    <w:rsid w:val="00792422"/>
    <w:rsid w:val="0079346A"/>
    <w:rsid w:val="007940E6"/>
    <w:rsid w:val="00795D4F"/>
    <w:rsid w:val="00796A22"/>
    <w:rsid w:val="00797706"/>
    <w:rsid w:val="0079788A"/>
    <w:rsid w:val="007A14FF"/>
    <w:rsid w:val="007A4467"/>
    <w:rsid w:val="007A4919"/>
    <w:rsid w:val="007A50A3"/>
    <w:rsid w:val="007A539A"/>
    <w:rsid w:val="007A607B"/>
    <w:rsid w:val="007A6452"/>
    <w:rsid w:val="007A6B8D"/>
    <w:rsid w:val="007A72AC"/>
    <w:rsid w:val="007B062A"/>
    <w:rsid w:val="007B08B0"/>
    <w:rsid w:val="007B0C6A"/>
    <w:rsid w:val="007B0D66"/>
    <w:rsid w:val="007B1982"/>
    <w:rsid w:val="007B4706"/>
    <w:rsid w:val="007B4803"/>
    <w:rsid w:val="007B55F4"/>
    <w:rsid w:val="007B5E90"/>
    <w:rsid w:val="007B698C"/>
    <w:rsid w:val="007B6ECD"/>
    <w:rsid w:val="007B764D"/>
    <w:rsid w:val="007C0B61"/>
    <w:rsid w:val="007C0B8E"/>
    <w:rsid w:val="007C0F7A"/>
    <w:rsid w:val="007C10C0"/>
    <w:rsid w:val="007C173C"/>
    <w:rsid w:val="007C1E16"/>
    <w:rsid w:val="007C3B14"/>
    <w:rsid w:val="007C3BB2"/>
    <w:rsid w:val="007C409E"/>
    <w:rsid w:val="007C4568"/>
    <w:rsid w:val="007C5DE4"/>
    <w:rsid w:val="007C61BF"/>
    <w:rsid w:val="007C637E"/>
    <w:rsid w:val="007C638C"/>
    <w:rsid w:val="007C6553"/>
    <w:rsid w:val="007C6E7F"/>
    <w:rsid w:val="007D07B5"/>
    <w:rsid w:val="007D1694"/>
    <w:rsid w:val="007D1963"/>
    <w:rsid w:val="007D2E20"/>
    <w:rsid w:val="007D4220"/>
    <w:rsid w:val="007D560E"/>
    <w:rsid w:val="007D5A12"/>
    <w:rsid w:val="007E132E"/>
    <w:rsid w:val="007E2D53"/>
    <w:rsid w:val="007E2E7D"/>
    <w:rsid w:val="007E2EBA"/>
    <w:rsid w:val="007E4686"/>
    <w:rsid w:val="007E476C"/>
    <w:rsid w:val="007E54BC"/>
    <w:rsid w:val="007E5F58"/>
    <w:rsid w:val="007E6AB2"/>
    <w:rsid w:val="007E6DF0"/>
    <w:rsid w:val="007E7146"/>
    <w:rsid w:val="007E786F"/>
    <w:rsid w:val="007F039D"/>
    <w:rsid w:val="007F0722"/>
    <w:rsid w:val="007F1AB6"/>
    <w:rsid w:val="007F3CA5"/>
    <w:rsid w:val="007F3CFB"/>
    <w:rsid w:val="007F44F1"/>
    <w:rsid w:val="007F56BA"/>
    <w:rsid w:val="007F5947"/>
    <w:rsid w:val="007F5B40"/>
    <w:rsid w:val="007F688A"/>
    <w:rsid w:val="007F7353"/>
    <w:rsid w:val="007F73F6"/>
    <w:rsid w:val="00800203"/>
    <w:rsid w:val="0080044D"/>
    <w:rsid w:val="008009E9"/>
    <w:rsid w:val="0080167F"/>
    <w:rsid w:val="00801D46"/>
    <w:rsid w:val="00802137"/>
    <w:rsid w:val="00802859"/>
    <w:rsid w:val="00804235"/>
    <w:rsid w:val="00805663"/>
    <w:rsid w:val="00805F14"/>
    <w:rsid w:val="008063D1"/>
    <w:rsid w:val="00806CAD"/>
    <w:rsid w:val="008074E0"/>
    <w:rsid w:val="00807B13"/>
    <w:rsid w:val="00811543"/>
    <w:rsid w:val="00817653"/>
    <w:rsid w:val="00817B03"/>
    <w:rsid w:val="00817C5D"/>
    <w:rsid w:val="00820F21"/>
    <w:rsid w:val="00821460"/>
    <w:rsid w:val="008216F4"/>
    <w:rsid w:val="00821736"/>
    <w:rsid w:val="0082291D"/>
    <w:rsid w:val="008229B6"/>
    <w:rsid w:val="0082311B"/>
    <w:rsid w:val="008238A1"/>
    <w:rsid w:val="00824754"/>
    <w:rsid w:val="008249D9"/>
    <w:rsid w:val="00825F60"/>
    <w:rsid w:val="0082709B"/>
    <w:rsid w:val="00831DC5"/>
    <w:rsid w:val="00834112"/>
    <w:rsid w:val="00834239"/>
    <w:rsid w:val="008360A6"/>
    <w:rsid w:val="0083779B"/>
    <w:rsid w:val="00837814"/>
    <w:rsid w:val="008403A8"/>
    <w:rsid w:val="00840D39"/>
    <w:rsid w:val="00842493"/>
    <w:rsid w:val="008428AF"/>
    <w:rsid w:val="00843048"/>
    <w:rsid w:val="00844A22"/>
    <w:rsid w:val="00844B63"/>
    <w:rsid w:val="008451AB"/>
    <w:rsid w:val="0084545D"/>
    <w:rsid w:val="00845D33"/>
    <w:rsid w:val="00845FAE"/>
    <w:rsid w:val="00847909"/>
    <w:rsid w:val="00847947"/>
    <w:rsid w:val="00850624"/>
    <w:rsid w:val="00850AF2"/>
    <w:rsid w:val="00851B7B"/>
    <w:rsid w:val="008525B0"/>
    <w:rsid w:val="00852953"/>
    <w:rsid w:val="00852C80"/>
    <w:rsid w:val="0085304D"/>
    <w:rsid w:val="00854869"/>
    <w:rsid w:val="00857BD0"/>
    <w:rsid w:val="0086219F"/>
    <w:rsid w:val="0086313C"/>
    <w:rsid w:val="00863300"/>
    <w:rsid w:val="00863EBE"/>
    <w:rsid w:val="008654B4"/>
    <w:rsid w:val="00865770"/>
    <w:rsid w:val="008663DB"/>
    <w:rsid w:val="0086662B"/>
    <w:rsid w:val="00866D69"/>
    <w:rsid w:val="0087370D"/>
    <w:rsid w:val="00874585"/>
    <w:rsid w:val="008746F9"/>
    <w:rsid w:val="00874BAF"/>
    <w:rsid w:val="00877250"/>
    <w:rsid w:val="008773BD"/>
    <w:rsid w:val="008775E2"/>
    <w:rsid w:val="00877A59"/>
    <w:rsid w:val="0088045A"/>
    <w:rsid w:val="008825CF"/>
    <w:rsid w:val="00883567"/>
    <w:rsid w:val="00884CD7"/>
    <w:rsid w:val="00884D2B"/>
    <w:rsid w:val="008853A1"/>
    <w:rsid w:val="00885551"/>
    <w:rsid w:val="00885844"/>
    <w:rsid w:val="00885FB2"/>
    <w:rsid w:val="00886B1C"/>
    <w:rsid w:val="008876D6"/>
    <w:rsid w:val="00891C92"/>
    <w:rsid w:val="00894FAA"/>
    <w:rsid w:val="00895145"/>
    <w:rsid w:val="008962AC"/>
    <w:rsid w:val="00896F39"/>
    <w:rsid w:val="008A0C9E"/>
    <w:rsid w:val="008A262C"/>
    <w:rsid w:val="008A2C3A"/>
    <w:rsid w:val="008A37DE"/>
    <w:rsid w:val="008A4249"/>
    <w:rsid w:val="008A590D"/>
    <w:rsid w:val="008A6757"/>
    <w:rsid w:val="008A67EF"/>
    <w:rsid w:val="008A708D"/>
    <w:rsid w:val="008A71B3"/>
    <w:rsid w:val="008B00BF"/>
    <w:rsid w:val="008B02F6"/>
    <w:rsid w:val="008B0A79"/>
    <w:rsid w:val="008B15BD"/>
    <w:rsid w:val="008B36B5"/>
    <w:rsid w:val="008B4054"/>
    <w:rsid w:val="008B406D"/>
    <w:rsid w:val="008B4731"/>
    <w:rsid w:val="008B4B06"/>
    <w:rsid w:val="008B51BB"/>
    <w:rsid w:val="008B5C31"/>
    <w:rsid w:val="008B66C7"/>
    <w:rsid w:val="008B7D3F"/>
    <w:rsid w:val="008C004B"/>
    <w:rsid w:val="008C01A7"/>
    <w:rsid w:val="008C09EB"/>
    <w:rsid w:val="008C0EAB"/>
    <w:rsid w:val="008C19EE"/>
    <w:rsid w:val="008C27AF"/>
    <w:rsid w:val="008C348B"/>
    <w:rsid w:val="008C364C"/>
    <w:rsid w:val="008C479B"/>
    <w:rsid w:val="008C58C6"/>
    <w:rsid w:val="008C6D70"/>
    <w:rsid w:val="008C6E7D"/>
    <w:rsid w:val="008C7442"/>
    <w:rsid w:val="008D0842"/>
    <w:rsid w:val="008D08C2"/>
    <w:rsid w:val="008D09A7"/>
    <w:rsid w:val="008D16A1"/>
    <w:rsid w:val="008D2326"/>
    <w:rsid w:val="008D2B36"/>
    <w:rsid w:val="008D2E5B"/>
    <w:rsid w:val="008D2E9E"/>
    <w:rsid w:val="008D47A2"/>
    <w:rsid w:val="008D61CF"/>
    <w:rsid w:val="008D6368"/>
    <w:rsid w:val="008D72A4"/>
    <w:rsid w:val="008D7802"/>
    <w:rsid w:val="008D7C10"/>
    <w:rsid w:val="008E1CF0"/>
    <w:rsid w:val="008E2586"/>
    <w:rsid w:val="008E4B87"/>
    <w:rsid w:val="008E6D90"/>
    <w:rsid w:val="008E7F85"/>
    <w:rsid w:val="008F0131"/>
    <w:rsid w:val="008F01E1"/>
    <w:rsid w:val="008F1A60"/>
    <w:rsid w:val="008F38BC"/>
    <w:rsid w:val="008F3CD1"/>
    <w:rsid w:val="008F4E8F"/>
    <w:rsid w:val="008F6082"/>
    <w:rsid w:val="009000FE"/>
    <w:rsid w:val="00900EE2"/>
    <w:rsid w:val="00901CA8"/>
    <w:rsid w:val="009036B0"/>
    <w:rsid w:val="00904E3A"/>
    <w:rsid w:val="00905771"/>
    <w:rsid w:val="0090591F"/>
    <w:rsid w:val="00906E41"/>
    <w:rsid w:val="00910E5D"/>
    <w:rsid w:val="009122B7"/>
    <w:rsid w:val="009123BF"/>
    <w:rsid w:val="00913165"/>
    <w:rsid w:val="00913653"/>
    <w:rsid w:val="00913FCB"/>
    <w:rsid w:val="00915319"/>
    <w:rsid w:val="009169A6"/>
    <w:rsid w:val="00916CE1"/>
    <w:rsid w:val="00916D06"/>
    <w:rsid w:val="00916E88"/>
    <w:rsid w:val="0091741D"/>
    <w:rsid w:val="00917E83"/>
    <w:rsid w:val="00920929"/>
    <w:rsid w:val="009209B9"/>
    <w:rsid w:val="009211B4"/>
    <w:rsid w:val="009215FC"/>
    <w:rsid w:val="00921E3E"/>
    <w:rsid w:val="00922622"/>
    <w:rsid w:val="00922BD7"/>
    <w:rsid w:val="0092360D"/>
    <w:rsid w:val="00923889"/>
    <w:rsid w:val="00923BF3"/>
    <w:rsid w:val="00924575"/>
    <w:rsid w:val="00924C42"/>
    <w:rsid w:val="009254A1"/>
    <w:rsid w:val="00926A82"/>
    <w:rsid w:val="009271C3"/>
    <w:rsid w:val="00930177"/>
    <w:rsid w:val="0093159E"/>
    <w:rsid w:val="00931BC1"/>
    <w:rsid w:val="00932B77"/>
    <w:rsid w:val="00932FB9"/>
    <w:rsid w:val="00933A82"/>
    <w:rsid w:val="009346B2"/>
    <w:rsid w:val="009350F6"/>
    <w:rsid w:val="009357AD"/>
    <w:rsid w:val="009358CE"/>
    <w:rsid w:val="00935C30"/>
    <w:rsid w:val="00935F21"/>
    <w:rsid w:val="00936B57"/>
    <w:rsid w:val="009403C9"/>
    <w:rsid w:val="00940EB6"/>
    <w:rsid w:val="00941865"/>
    <w:rsid w:val="00941B89"/>
    <w:rsid w:val="00941F0D"/>
    <w:rsid w:val="0094226F"/>
    <w:rsid w:val="00942293"/>
    <w:rsid w:val="0094281F"/>
    <w:rsid w:val="00945960"/>
    <w:rsid w:val="0094692E"/>
    <w:rsid w:val="00947A5F"/>
    <w:rsid w:val="0095151D"/>
    <w:rsid w:val="00951E3C"/>
    <w:rsid w:val="0095349F"/>
    <w:rsid w:val="009544D1"/>
    <w:rsid w:val="009550C2"/>
    <w:rsid w:val="00955B88"/>
    <w:rsid w:val="009568EB"/>
    <w:rsid w:val="00956A85"/>
    <w:rsid w:val="00961C7C"/>
    <w:rsid w:val="00961F09"/>
    <w:rsid w:val="009638FA"/>
    <w:rsid w:val="0096406E"/>
    <w:rsid w:val="00964454"/>
    <w:rsid w:val="00964725"/>
    <w:rsid w:val="0096562D"/>
    <w:rsid w:val="00965D06"/>
    <w:rsid w:val="00966B84"/>
    <w:rsid w:val="0096706D"/>
    <w:rsid w:val="00970C68"/>
    <w:rsid w:val="0097446E"/>
    <w:rsid w:val="00974B7A"/>
    <w:rsid w:val="00975F8B"/>
    <w:rsid w:val="00976197"/>
    <w:rsid w:val="0097692D"/>
    <w:rsid w:val="009772E7"/>
    <w:rsid w:val="00977397"/>
    <w:rsid w:val="00977D3B"/>
    <w:rsid w:val="00981507"/>
    <w:rsid w:val="00981933"/>
    <w:rsid w:val="00981B23"/>
    <w:rsid w:val="00981CF1"/>
    <w:rsid w:val="00982725"/>
    <w:rsid w:val="00983B7E"/>
    <w:rsid w:val="009849DA"/>
    <w:rsid w:val="0098541B"/>
    <w:rsid w:val="00990480"/>
    <w:rsid w:val="00990E31"/>
    <w:rsid w:val="00991226"/>
    <w:rsid w:val="00992CE9"/>
    <w:rsid w:val="00993335"/>
    <w:rsid w:val="00995832"/>
    <w:rsid w:val="00995C1E"/>
    <w:rsid w:val="00996AAC"/>
    <w:rsid w:val="00997B75"/>
    <w:rsid w:val="009A05CC"/>
    <w:rsid w:val="009A1683"/>
    <w:rsid w:val="009A214D"/>
    <w:rsid w:val="009A2869"/>
    <w:rsid w:val="009A3E28"/>
    <w:rsid w:val="009A3F87"/>
    <w:rsid w:val="009A408A"/>
    <w:rsid w:val="009A47FF"/>
    <w:rsid w:val="009A50E6"/>
    <w:rsid w:val="009A68C7"/>
    <w:rsid w:val="009A6BD7"/>
    <w:rsid w:val="009A790D"/>
    <w:rsid w:val="009A7D1C"/>
    <w:rsid w:val="009B0824"/>
    <w:rsid w:val="009B22D6"/>
    <w:rsid w:val="009B2784"/>
    <w:rsid w:val="009B5FE8"/>
    <w:rsid w:val="009B76F4"/>
    <w:rsid w:val="009B7AB2"/>
    <w:rsid w:val="009C1508"/>
    <w:rsid w:val="009C1A94"/>
    <w:rsid w:val="009C4549"/>
    <w:rsid w:val="009C5E3D"/>
    <w:rsid w:val="009C63FD"/>
    <w:rsid w:val="009C65BC"/>
    <w:rsid w:val="009D01BF"/>
    <w:rsid w:val="009D12B5"/>
    <w:rsid w:val="009D28B2"/>
    <w:rsid w:val="009D335B"/>
    <w:rsid w:val="009D6587"/>
    <w:rsid w:val="009D6B23"/>
    <w:rsid w:val="009D6CFE"/>
    <w:rsid w:val="009D7255"/>
    <w:rsid w:val="009D743F"/>
    <w:rsid w:val="009D7B79"/>
    <w:rsid w:val="009E045E"/>
    <w:rsid w:val="009E180E"/>
    <w:rsid w:val="009E28D5"/>
    <w:rsid w:val="009E5C55"/>
    <w:rsid w:val="009E7C79"/>
    <w:rsid w:val="009F0079"/>
    <w:rsid w:val="009F008C"/>
    <w:rsid w:val="009F0D1B"/>
    <w:rsid w:val="009F2D68"/>
    <w:rsid w:val="009F394F"/>
    <w:rsid w:val="009F5549"/>
    <w:rsid w:val="009F5B3D"/>
    <w:rsid w:val="00A00A68"/>
    <w:rsid w:val="00A00ACC"/>
    <w:rsid w:val="00A01D14"/>
    <w:rsid w:val="00A02B0E"/>
    <w:rsid w:val="00A02C24"/>
    <w:rsid w:val="00A02FAD"/>
    <w:rsid w:val="00A03EE9"/>
    <w:rsid w:val="00A0484E"/>
    <w:rsid w:val="00A058DF"/>
    <w:rsid w:val="00A104BB"/>
    <w:rsid w:val="00A11182"/>
    <w:rsid w:val="00A1363B"/>
    <w:rsid w:val="00A139C8"/>
    <w:rsid w:val="00A13CA3"/>
    <w:rsid w:val="00A13ED4"/>
    <w:rsid w:val="00A13EDB"/>
    <w:rsid w:val="00A13F40"/>
    <w:rsid w:val="00A13FDA"/>
    <w:rsid w:val="00A14BB7"/>
    <w:rsid w:val="00A14E57"/>
    <w:rsid w:val="00A14E96"/>
    <w:rsid w:val="00A1641A"/>
    <w:rsid w:val="00A206A0"/>
    <w:rsid w:val="00A213F6"/>
    <w:rsid w:val="00A22485"/>
    <w:rsid w:val="00A23D81"/>
    <w:rsid w:val="00A24278"/>
    <w:rsid w:val="00A24F44"/>
    <w:rsid w:val="00A25EBD"/>
    <w:rsid w:val="00A2687F"/>
    <w:rsid w:val="00A2737E"/>
    <w:rsid w:val="00A3043F"/>
    <w:rsid w:val="00A32864"/>
    <w:rsid w:val="00A3677C"/>
    <w:rsid w:val="00A36A78"/>
    <w:rsid w:val="00A371EE"/>
    <w:rsid w:val="00A37F75"/>
    <w:rsid w:val="00A404BD"/>
    <w:rsid w:val="00A409B1"/>
    <w:rsid w:val="00A415EB"/>
    <w:rsid w:val="00A417EA"/>
    <w:rsid w:val="00A41DD6"/>
    <w:rsid w:val="00A42A60"/>
    <w:rsid w:val="00A42D8B"/>
    <w:rsid w:val="00A43DB9"/>
    <w:rsid w:val="00A45FE6"/>
    <w:rsid w:val="00A462C0"/>
    <w:rsid w:val="00A50480"/>
    <w:rsid w:val="00A50DC2"/>
    <w:rsid w:val="00A516E2"/>
    <w:rsid w:val="00A5227F"/>
    <w:rsid w:val="00A5319C"/>
    <w:rsid w:val="00A53DD7"/>
    <w:rsid w:val="00A54194"/>
    <w:rsid w:val="00A54C03"/>
    <w:rsid w:val="00A5619B"/>
    <w:rsid w:val="00A56FFA"/>
    <w:rsid w:val="00A57574"/>
    <w:rsid w:val="00A57621"/>
    <w:rsid w:val="00A609CC"/>
    <w:rsid w:val="00A609DD"/>
    <w:rsid w:val="00A60F4D"/>
    <w:rsid w:val="00A60FDB"/>
    <w:rsid w:val="00A62415"/>
    <w:rsid w:val="00A62A74"/>
    <w:rsid w:val="00A6336E"/>
    <w:rsid w:val="00A63514"/>
    <w:rsid w:val="00A6367C"/>
    <w:rsid w:val="00A63E14"/>
    <w:rsid w:val="00A63E3C"/>
    <w:rsid w:val="00A65BCB"/>
    <w:rsid w:val="00A661F2"/>
    <w:rsid w:val="00A6659F"/>
    <w:rsid w:val="00A67009"/>
    <w:rsid w:val="00A707FF"/>
    <w:rsid w:val="00A71186"/>
    <w:rsid w:val="00A71A41"/>
    <w:rsid w:val="00A72220"/>
    <w:rsid w:val="00A737BB"/>
    <w:rsid w:val="00A7423F"/>
    <w:rsid w:val="00A74431"/>
    <w:rsid w:val="00A76C6A"/>
    <w:rsid w:val="00A77233"/>
    <w:rsid w:val="00A81086"/>
    <w:rsid w:val="00A81214"/>
    <w:rsid w:val="00A82212"/>
    <w:rsid w:val="00A8282B"/>
    <w:rsid w:val="00A83A37"/>
    <w:rsid w:val="00A83AAC"/>
    <w:rsid w:val="00A85130"/>
    <w:rsid w:val="00A85F21"/>
    <w:rsid w:val="00A86796"/>
    <w:rsid w:val="00A8793D"/>
    <w:rsid w:val="00A902E4"/>
    <w:rsid w:val="00A90EF4"/>
    <w:rsid w:val="00A9318E"/>
    <w:rsid w:val="00A934A6"/>
    <w:rsid w:val="00A9444C"/>
    <w:rsid w:val="00A9574C"/>
    <w:rsid w:val="00A96CD7"/>
    <w:rsid w:val="00A97923"/>
    <w:rsid w:val="00AA0283"/>
    <w:rsid w:val="00AA118D"/>
    <w:rsid w:val="00AA245B"/>
    <w:rsid w:val="00AA322C"/>
    <w:rsid w:val="00AA4218"/>
    <w:rsid w:val="00AA5AF3"/>
    <w:rsid w:val="00AA60A3"/>
    <w:rsid w:val="00AA6DF9"/>
    <w:rsid w:val="00AB01BF"/>
    <w:rsid w:val="00AB0BE9"/>
    <w:rsid w:val="00AB1404"/>
    <w:rsid w:val="00AB2DDA"/>
    <w:rsid w:val="00AB3DF2"/>
    <w:rsid w:val="00AB4E1C"/>
    <w:rsid w:val="00AB5754"/>
    <w:rsid w:val="00AC00EE"/>
    <w:rsid w:val="00AC0DD4"/>
    <w:rsid w:val="00AC0F87"/>
    <w:rsid w:val="00AC12ED"/>
    <w:rsid w:val="00AC22F4"/>
    <w:rsid w:val="00AC39CD"/>
    <w:rsid w:val="00AC41FA"/>
    <w:rsid w:val="00AC513C"/>
    <w:rsid w:val="00AC69F2"/>
    <w:rsid w:val="00AC6DE9"/>
    <w:rsid w:val="00AC6E53"/>
    <w:rsid w:val="00AC76C8"/>
    <w:rsid w:val="00AC7C48"/>
    <w:rsid w:val="00AC7FD7"/>
    <w:rsid w:val="00AD04BD"/>
    <w:rsid w:val="00AD080B"/>
    <w:rsid w:val="00AD0E59"/>
    <w:rsid w:val="00AD1A09"/>
    <w:rsid w:val="00AD23BF"/>
    <w:rsid w:val="00AD2A78"/>
    <w:rsid w:val="00AD2EF1"/>
    <w:rsid w:val="00AD32BE"/>
    <w:rsid w:val="00AD3551"/>
    <w:rsid w:val="00AD390A"/>
    <w:rsid w:val="00AD4C84"/>
    <w:rsid w:val="00AD4C86"/>
    <w:rsid w:val="00AD58AE"/>
    <w:rsid w:val="00AD5BF5"/>
    <w:rsid w:val="00AD6E8C"/>
    <w:rsid w:val="00AD7973"/>
    <w:rsid w:val="00AD7EB6"/>
    <w:rsid w:val="00AE0882"/>
    <w:rsid w:val="00AE1138"/>
    <w:rsid w:val="00AE24D0"/>
    <w:rsid w:val="00AE34D7"/>
    <w:rsid w:val="00AE39EC"/>
    <w:rsid w:val="00AE3F83"/>
    <w:rsid w:val="00AE439B"/>
    <w:rsid w:val="00AE7042"/>
    <w:rsid w:val="00AF07E8"/>
    <w:rsid w:val="00AF2532"/>
    <w:rsid w:val="00AF2AB8"/>
    <w:rsid w:val="00AF3D54"/>
    <w:rsid w:val="00AF44CF"/>
    <w:rsid w:val="00AF59AA"/>
    <w:rsid w:val="00AF5BB5"/>
    <w:rsid w:val="00AF78C1"/>
    <w:rsid w:val="00AF7D55"/>
    <w:rsid w:val="00B00971"/>
    <w:rsid w:val="00B0266F"/>
    <w:rsid w:val="00B07185"/>
    <w:rsid w:val="00B071FA"/>
    <w:rsid w:val="00B07351"/>
    <w:rsid w:val="00B079E8"/>
    <w:rsid w:val="00B10F0B"/>
    <w:rsid w:val="00B1146D"/>
    <w:rsid w:val="00B11CDF"/>
    <w:rsid w:val="00B11F59"/>
    <w:rsid w:val="00B12780"/>
    <w:rsid w:val="00B13F04"/>
    <w:rsid w:val="00B145C7"/>
    <w:rsid w:val="00B14CA3"/>
    <w:rsid w:val="00B14CD7"/>
    <w:rsid w:val="00B14F45"/>
    <w:rsid w:val="00B16FAF"/>
    <w:rsid w:val="00B2058D"/>
    <w:rsid w:val="00B20A72"/>
    <w:rsid w:val="00B20D6D"/>
    <w:rsid w:val="00B21720"/>
    <w:rsid w:val="00B237B6"/>
    <w:rsid w:val="00B23DC4"/>
    <w:rsid w:val="00B24422"/>
    <w:rsid w:val="00B24B71"/>
    <w:rsid w:val="00B254F4"/>
    <w:rsid w:val="00B2552D"/>
    <w:rsid w:val="00B25D3E"/>
    <w:rsid w:val="00B25FEF"/>
    <w:rsid w:val="00B26595"/>
    <w:rsid w:val="00B30055"/>
    <w:rsid w:val="00B30372"/>
    <w:rsid w:val="00B307D1"/>
    <w:rsid w:val="00B31857"/>
    <w:rsid w:val="00B3249C"/>
    <w:rsid w:val="00B3263A"/>
    <w:rsid w:val="00B32F7A"/>
    <w:rsid w:val="00B337B5"/>
    <w:rsid w:val="00B3562E"/>
    <w:rsid w:val="00B35874"/>
    <w:rsid w:val="00B35A00"/>
    <w:rsid w:val="00B377E8"/>
    <w:rsid w:val="00B40087"/>
    <w:rsid w:val="00B40204"/>
    <w:rsid w:val="00B420B0"/>
    <w:rsid w:val="00B42376"/>
    <w:rsid w:val="00B4268E"/>
    <w:rsid w:val="00B42AE7"/>
    <w:rsid w:val="00B444ED"/>
    <w:rsid w:val="00B445F3"/>
    <w:rsid w:val="00B44627"/>
    <w:rsid w:val="00B446DD"/>
    <w:rsid w:val="00B44775"/>
    <w:rsid w:val="00B45E9D"/>
    <w:rsid w:val="00B46C02"/>
    <w:rsid w:val="00B47AB5"/>
    <w:rsid w:val="00B500B3"/>
    <w:rsid w:val="00B51983"/>
    <w:rsid w:val="00B52192"/>
    <w:rsid w:val="00B54BD3"/>
    <w:rsid w:val="00B54CD3"/>
    <w:rsid w:val="00B5702F"/>
    <w:rsid w:val="00B57CCC"/>
    <w:rsid w:val="00B613BF"/>
    <w:rsid w:val="00B61694"/>
    <w:rsid w:val="00B61C81"/>
    <w:rsid w:val="00B62BB4"/>
    <w:rsid w:val="00B62D99"/>
    <w:rsid w:val="00B64113"/>
    <w:rsid w:val="00B649D6"/>
    <w:rsid w:val="00B65CC7"/>
    <w:rsid w:val="00B661CB"/>
    <w:rsid w:val="00B66310"/>
    <w:rsid w:val="00B66CCB"/>
    <w:rsid w:val="00B67D2D"/>
    <w:rsid w:val="00B70E5A"/>
    <w:rsid w:val="00B70E98"/>
    <w:rsid w:val="00B717E3"/>
    <w:rsid w:val="00B7184C"/>
    <w:rsid w:val="00B71B3A"/>
    <w:rsid w:val="00B73024"/>
    <w:rsid w:val="00B734AF"/>
    <w:rsid w:val="00B740B7"/>
    <w:rsid w:val="00B741E4"/>
    <w:rsid w:val="00B75C35"/>
    <w:rsid w:val="00B77471"/>
    <w:rsid w:val="00B775BC"/>
    <w:rsid w:val="00B801C6"/>
    <w:rsid w:val="00B802AF"/>
    <w:rsid w:val="00B810BA"/>
    <w:rsid w:val="00B814EA"/>
    <w:rsid w:val="00B81E5B"/>
    <w:rsid w:val="00B830AB"/>
    <w:rsid w:val="00B84169"/>
    <w:rsid w:val="00B845DB"/>
    <w:rsid w:val="00B85795"/>
    <w:rsid w:val="00B85E33"/>
    <w:rsid w:val="00B86A03"/>
    <w:rsid w:val="00B90B15"/>
    <w:rsid w:val="00B92B94"/>
    <w:rsid w:val="00B953CE"/>
    <w:rsid w:val="00B9692A"/>
    <w:rsid w:val="00B96D7A"/>
    <w:rsid w:val="00B97FC1"/>
    <w:rsid w:val="00BA0282"/>
    <w:rsid w:val="00BA14BC"/>
    <w:rsid w:val="00BA25CF"/>
    <w:rsid w:val="00BA4933"/>
    <w:rsid w:val="00BA4CE3"/>
    <w:rsid w:val="00BA4E8F"/>
    <w:rsid w:val="00BA5C6D"/>
    <w:rsid w:val="00BA6AFF"/>
    <w:rsid w:val="00BA6CED"/>
    <w:rsid w:val="00BB0226"/>
    <w:rsid w:val="00BB0E44"/>
    <w:rsid w:val="00BB2034"/>
    <w:rsid w:val="00BB2147"/>
    <w:rsid w:val="00BB2C23"/>
    <w:rsid w:val="00BB485B"/>
    <w:rsid w:val="00BB4B5F"/>
    <w:rsid w:val="00BB5029"/>
    <w:rsid w:val="00BB5326"/>
    <w:rsid w:val="00BB55E1"/>
    <w:rsid w:val="00BB5EF0"/>
    <w:rsid w:val="00BB6529"/>
    <w:rsid w:val="00BB67F9"/>
    <w:rsid w:val="00BB6BE4"/>
    <w:rsid w:val="00BB796C"/>
    <w:rsid w:val="00BC08BB"/>
    <w:rsid w:val="00BC1B28"/>
    <w:rsid w:val="00BC29D1"/>
    <w:rsid w:val="00BC509E"/>
    <w:rsid w:val="00BC5AB5"/>
    <w:rsid w:val="00BC5B40"/>
    <w:rsid w:val="00BC6094"/>
    <w:rsid w:val="00BC6385"/>
    <w:rsid w:val="00BD112A"/>
    <w:rsid w:val="00BD1A38"/>
    <w:rsid w:val="00BD1CCD"/>
    <w:rsid w:val="00BD24A1"/>
    <w:rsid w:val="00BD2A11"/>
    <w:rsid w:val="00BD2CE3"/>
    <w:rsid w:val="00BD2E00"/>
    <w:rsid w:val="00BD4537"/>
    <w:rsid w:val="00BD487C"/>
    <w:rsid w:val="00BD51AF"/>
    <w:rsid w:val="00BD5DFA"/>
    <w:rsid w:val="00BD6BA6"/>
    <w:rsid w:val="00BD78C2"/>
    <w:rsid w:val="00BE0824"/>
    <w:rsid w:val="00BE0EED"/>
    <w:rsid w:val="00BE10B7"/>
    <w:rsid w:val="00BE11EA"/>
    <w:rsid w:val="00BE47CB"/>
    <w:rsid w:val="00BE6CE1"/>
    <w:rsid w:val="00BE6F7F"/>
    <w:rsid w:val="00BE70AE"/>
    <w:rsid w:val="00BE7D57"/>
    <w:rsid w:val="00BF27F5"/>
    <w:rsid w:val="00BF2A8C"/>
    <w:rsid w:val="00BF341C"/>
    <w:rsid w:val="00BF373C"/>
    <w:rsid w:val="00BF3B22"/>
    <w:rsid w:val="00BF41E0"/>
    <w:rsid w:val="00BF5419"/>
    <w:rsid w:val="00BF5F0F"/>
    <w:rsid w:val="00BF63EB"/>
    <w:rsid w:val="00BF65FB"/>
    <w:rsid w:val="00BF6F28"/>
    <w:rsid w:val="00BF7041"/>
    <w:rsid w:val="00C007E2"/>
    <w:rsid w:val="00C01881"/>
    <w:rsid w:val="00C01C3C"/>
    <w:rsid w:val="00C020B5"/>
    <w:rsid w:val="00C0255C"/>
    <w:rsid w:val="00C02F25"/>
    <w:rsid w:val="00C02FCC"/>
    <w:rsid w:val="00C0360A"/>
    <w:rsid w:val="00C044FB"/>
    <w:rsid w:val="00C065A6"/>
    <w:rsid w:val="00C0682E"/>
    <w:rsid w:val="00C0751B"/>
    <w:rsid w:val="00C10EEE"/>
    <w:rsid w:val="00C113B2"/>
    <w:rsid w:val="00C11527"/>
    <w:rsid w:val="00C12FE1"/>
    <w:rsid w:val="00C14094"/>
    <w:rsid w:val="00C14431"/>
    <w:rsid w:val="00C14A96"/>
    <w:rsid w:val="00C15538"/>
    <w:rsid w:val="00C15FE5"/>
    <w:rsid w:val="00C172BC"/>
    <w:rsid w:val="00C1738E"/>
    <w:rsid w:val="00C177FF"/>
    <w:rsid w:val="00C179F4"/>
    <w:rsid w:val="00C17BFD"/>
    <w:rsid w:val="00C17CD7"/>
    <w:rsid w:val="00C17F0A"/>
    <w:rsid w:val="00C20678"/>
    <w:rsid w:val="00C20DDC"/>
    <w:rsid w:val="00C212D7"/>
    <w:rsid w:val="00C212DD"/>
    <w:rsid w:val="00C21658"/>
    <w:rsid w:val="00C2230C"/>
    <w:rsid w:val="00C23622"/>
    <w:rsid w:val="00C24103"/>
    <w:rsid w:val="00C2527D"/>
    <w:rsid w:val="00C26D4F"/>
    <w:rsid w:val="00C32144"/>
    <w:rsid w:val="00C33F44"/>
    <w:rsid w:val="00C345F3"/>
    <w:rsid w:val="00C34C3D"/>
    <w:rsid w:val="00C36F07"/>
    <w:rsid w:val="00C37399"/>
    <w:rsid w:val="00C403D9"/>
    <w:rsid w:val="00C40793"/>
    <w:rsid w:val="00C40917"/>
    <w:rsid w:val="00C41511"/>
    <w:rsid w:val="00C42C8F"/>
    <w:rsid w:val="00C44E4D"/>
    <w:rsid w:val="00C47555"/>
    <w:rsid w:val="00C47E64"/>
    <w:rsid w:val="00C50292"/>
    <w:rsid w:val="00C50339"/>
    <w:rsid w:val="00C51839"/>
    <w:rsid w:val="00C523EE"/>
    <w:rsid w:val="00C52BDD"/>
    <w:rsid w:val="00C53984"/>
    <w:rsid w:val="00C54C1C"/>
    <w:rsid w:val="00C561AA"/>
    <w:rsid w:val="00C565D7"/>
    <w:rsid w:val="00C56A19"/>
    <w:rsid w:val="00C5711B"/>
    <w:rsid w:val="00C57BE6"/>
    <w:rsid w:val="00C60492"/>
    <w:rsid w:val="00C605FE"/>
    <w:rsid w:val="00C61A76"/>
    <w:rsid w:val="00C621A4"/>
    <w:rsid w:val="00C62EF7"/>
    <w:rsid w:val="00C6389E"/>
    <w:rsid w:val="00C638AC"/>
    <w:rsid w:val="00C650F9"/>
    <w:rsid w:val="00C661A3"/>
    <w:rsid w:val="00C66DD0"/>
    <w:rsid w:val="00C67127"/>
    <w:rsid w:val="00C67CB0"/>
    <w:rsid w:val="00C702C0"/>
    <w:rsid w:val="00C706D2"/>
    <w:rsid w:val="00C70739"/>
    <w:rsid w:val="00C715B2"/>
    <w:rsid w:val="00C71970"/>
    <w:rsid w:val="00C71BDD"/>
    <w:rsid w:val="00C71CA2"/>
    <w:rsid w:val="00C71E49"/>
    <w:rsid w:val="00C72A8C"/>
    <w:rsid w:val="00C73B70"/>
    <w:rsid w:val="00C74463"/>
    <w:rsid w:val="00C7555B"/>
    <w:rsid w:val="00C75676"/>
    <w:rsid w:val="00C75F56"/>
    <w:rsid w:val="00C75FFD"/>
    <w:rsid w:val="00C76148"/>
    <w:rsid w:val="00C774DF"/>
    <w:rsid w:val="00C779F9"/>
    <w:rsid w:val="00C80515"/>
    <w:rsid w:val="00C805B0"/>
    <w:rsid w:val="00C80AEF"/>
    <w:rsid w:val="00C82385"/>
    <w:rsid w:val="00C82537"/>
    <w:rsid w:val="00C8557E"/>
    <w:rsid w:val="00C86D11"/>
    <w:rsid w:val="00C878B7"/>
    <w:rsid w:val="00C87F1F"/>
    <w:rsid w:val="00C906AB"/>
    <w:rsid w:val="00C92717"/>
    <w:rsid w:val="00C92AA4"/>
    <w:rsid w:val="00C9420D"/>
    <w:rsid w:val="00C95584"/>
    <w:rsid w:val="00C95F06"/>
    <w:rsid w:val="00CA148D"/>
    <w:rsid w:val="00CA1F0E"/>
    <w:rsid w:val="00CA3548"/>
    <w:rsid w:val="00CA4527"/>
    <w:rsid w:val="00CA4623"/>
    <w:rsid w:val="00CA5C69"/>
    <w:rsid w:val="00CA5CB6"/>
    <w:rsid w:val="00CA6E06"/>
    <w:rsid w:val="00CB088B"/>
    <w:rsid w:val="00CB1A97"/>
    <w:rsid w:val="00CB3F01"/>
    <w:rsid w:val="00CB5544"/>
    <w:rsid w:val="00CB5BC5"/>
    <w:rsid w:val="00CB739C"/>
    <w:rsid w:val="00CB79FF"/>
    <w:rsid w:val="00CB7C47"/>
    <w:rsid w:val="00CB7D64"/>
    <w:rsid w:val="00CC0534"/>
    <w:rsid w:val="00CC0D16"/>
    <w:rsid w:val="00CC1D5D"/>
    <w:rsid w:val="00CC225E"/>
    <w:rsid w:val="00CC2827"/>
    <w:rsid w:val="00CC2998"/>
    <w:rsid w:val="00CC407F"/>
    <w:rsid w:val="00CC44F0"/>
    <w:rsid w:val="00CC5729"/>
    <w:rsid w:val="00CC650B"/>
    <w:rsid w:val="00CC6FF9"/>
    <w:rsid w:val="00CC7B67"/>
    <w:rsid w:val="00CD1293"/>
    <w:rsid w:val="00CD1441"/>
    <w:rsid w:val="00CD29C2"/>
    <w:rsid w:val="00CD3BE4"/>
    <w:rsid w:val="00CD3C4F"/>
    <w:rsid w:val="00CD3DC5"/>
    <w:rsid w:val="00CD4304"/>
    <w:rsid w:val="00CD48D9"/>
    <w:rsid w:val="00CD5A86"/>
    <w:rsid w:val="00CD7A73"/>
    <w:rsid w:val="00CE04A7"/>
    <w:rsid w:val="00CE2A53"/>
    <w:rsid w:val="00CE2DEB"/>
    <w:rsid w:val="00CE4539"/>
    <w:rsid w:val="00CE576C"/>
    <w:rsid w:val="00CE6F94"/>
    <w:rsid w:val="00CE743D"/>
    <w:rsid w:val="00CE7ABB"/>
    <w:rsid w:val="00CF0161"/>
    <w:rsid w:val="00CF1441"/>
    <w:rsid w:val="00CF18BD"/>
    <w:rsid w:val="00CF27BD"/>
    <w:rsid w:val="00CF2D67"/>
    <w:rsid w:val="00CF5964"/>
    <w:rsid w:val="00CF59AC"/>
    <w:rsid w:val="00CF687E"/>
    <w:rsid w:val="00CF73B0"/>
    <w:rsid w:val="00CF7D46"/>
    <w:rsid w:val="00D00597"/>
    <w:rsid w:val="00D00C2F"/>
    <w:rsid w:val="00D0286B"/>
    <w:rsid w:val="00D049D5"/>
    <w:rsid w:val="00D05138"/>
    <w:rsid w:val="00D0518F"/>
    <w:rsid w:val="00D06796"/>
    <w:rsid w:val="00D0747C"/>
    <w:rsid w:val="00D0785E"/>
    <w:rsid w:val="00D1124A"/>
    <w:rsid w:val="00D1158C"/>
    <w:rsid w:val="00D11D13"/>
    <w:rsid w:val="00D12CCF"/>
    <w:rsid w:val="00D16094"/>
    <w:rsid w:val="00D1781A"/>
    <w:rsid w:val="00D178BF"/>
    <w:rsid w:val="00D17E50"/>
    <w:rsid w:val="00D202FE"/>
    <w:rsid w:val="00D2233A"/>
    <w:rsid w:val="00D2239B"/>
    <w:rsid w:val="00D2286C"/>
    <w:rsid w:val="00D22AED"/>
    <w:rsid w:val="00D23FF0"/>
    <w:rsid w:val="00D241B1"/>
    <w:rsid w:val="00D2581A"/>
    <w:rsid w:val="00D25AB8"/>
    <w:rsid w:val="00D276B2"/>
    <w:rsid w:val="00D27885"/>
    <w:rsid w:val="00D278CD"/>
    <w:rsid w:val="00D3071C"/>
    <w:rsid w:val="00D30F4F"/>
    <w:rsid w:val="00D317B3"/>
    <w:rsid w:val="00D3247E"/>
    <w:rsid w:val="00D33620"/>
    <w:rsid w:val="00D33AFD"/>
    <w:rsid w:val="00D33B8F"/>
    <w:rsid w:val="00D342D6"/>
    <w:rsid w:val="00D3472B"/>
    <w:rsid w:val="00D34CB1"/>
    <w:rsid w:val="00D34E4F"/>
    <w:rsid w:val="00D35A42"/>
    <w:rsid w:val="00D35ECB"/>
    <w:rsid w:val="00D3722B"/>
    <w:rsid w:val="00D376E2"/>
    <w:rsid w:val="00D37FC1"/>
    <w:rsid w:val="00D41AE0"/>
    <w:rsid w:val="00D424A3"/>
    <w:rsid w:val="00D42B29"/>
    <w:rsid w:val="00D45025"/>
    <w:rsid w:val="00D4650C"/>
    <w:rsid w:val="00D475CD"/>
    <w:rsid w:val="00D50A08"/>
    <w:rsid w:val="00D50AD0"/>
    <w:rsid w:val="00D51851"/>
    <w:rsid w:val="00D52642"/>
    <w:rsid w:val="00D5369E"/>
    <w:rsid w:val="00D53A77"/>
    <w:rsid w:val="00D541DA"/>
    <w:rsid w:val="00D546BC"/>
    <w:rsid w:val="00D54752"/>
    <w:rsid w:val="00D561B2"/>
    <w:rsid w:val="00D56651"/>
    <w:rsid w:val="00D575B5"/>
    <w:rsid w:val="00D601B7"/>
    <w:rsid w:val="00D6059D"/>
    <w:rsid w:val="00D61255"/>
    <w:rsid w:val="00D61F4B"/>
    <w:rsid w:val="00D6229B"/>
    <w:rsid w:val="00D62FC6"/>
    <w:rsid w:val="00D63C1D"/>
    <w:rsid w:val="00D6448F"/>
    <w:rsid w:val="00D64560"/>
    <w:rsid w:val="00D67A90"/>
    <w:rsid w:val="00D67D2E"/>
    <w:rsid w:val="00D70F4C"/>
    <w:rsid w:val="00D714BE"/>
    <w:rsid w:val="00D71A30"/>
    <w:rsid w:val="00D7211A"/>
    <w:rsid w:val="00D72D11"/>
    <w:rsid w:val="00D768CB"/>
    <w:rsid w:val="00D76A6C"/>
    <w:rsid w:val="00D80E3B"/>
    <w:rsid w:val="00D81A5D"/>
    <w:rsid w:val="00D831F5"/>
    <w:rsid w:val="00D83272"/>
    <w:rsid w:val="00D83482"/>
    <w:rsid w:val="00D83D13"/>
    <w:rsid w:val="00D84A9D"/>
    <w:rsid w:val="00D8548D"/>
    <w:rsid w:val="00D85834"/>
    <w:rsid w:val="00D8614B"/>
    <w:rsid w:val="00D86DA8"/>
    <w:rsid w:val="00D9041B"/>
    <w:rsid w:val="00D905B9"/>
    <w:rsid w:val="00D905D2"/>
    <w:rsid w:val="00D91BE4"/>
    <w:rsid w:val="00D91E66"/>
    <w:rsid w:val="00D93CB9"/>
    <w:rsid w:val="00D947FE"/>
    <w:rsid w:val="00D94BB3"/>
    <w:rsid w:val="00D95392"/>
    <w:rsid w:val="00D96F3C"/>
    <w:rsid w:val="00DA0B32"/>
    <w:rsid w:val="00DA0DEE"/>
    <w:rsid w:val="00DA207C"/>
    <w:rsid w:val="00DA361B"/>
    <w:rsid w:val="00DA5A19"/>
    <w:rsid w:val="00DA5C8C"/>
    <w:rsid w:val="00DA6449"/>
    <w:rsid w:val="00DB06F6"/>
    <w:rsid w:val="00DB207F"/>
    <w:rsid w:val="00DB2B8E"/>
    <w:rsid w:val="00DB32D5"/>
    <w:rsid w:val="00DB3E6A"/>
    <w:rsid w:val="00DB407E"/>
    <w:rsid w:val="00DB47DA"/>
    <w:rsid w:val="00DB4A13"/>
    <w:rsid w:val="00DB60C0"/>
    <w:rsid w:val="00DB62A1"/>
    <w:rsid w:val="00DC0415"/>
    <w:rsid w:val="00DC072D"/>
    <w:rsid w:val="00DC0FD2"/>
    <w:rsid w:val="00DC20AC"/>
    <w:rsid w:val="00DC3B65"/>
    <w:rsid w:val="00DC42B4"/>
    <w:rsid w:val="00DC7303"/>
    <w:rsid w:val="00DC768A"/>
    <w:rsid w:val="00DC7EF1"/>
    <w:rsid w:val="00DD11A3"/>
    <w:rsid w:val="00DD186A"/>
    <w:rsid w:val="00DD204B"/>
    <w:rsid w:val="00DD226C"/>
    <w:rsid w:val="00DD289D"/>
    <w:rsid w:val="00DD2927"/>
    <w:rsid w:val="00DD4633"/>
    <w:rsid w:val="00DD4B84"/>
    <w:rsid w:val="00DD5694"/>
    <w:rsid w:val="00DD5C1B"/>
    <w:rsid w:val="00DD5CB4"/>
    <w:rsid w:val="00DD5F8D"/>
    <w:rsid w:val="00DD72B5"/>
    <w:rsid w:val="00DE0189"/>
    <w:rsid w:val="00DE0922"/>
    <w:rsid w:val="00DE1A1C"/>
    <w:rsid w:val="00DE1FA4"/>
    <w:rsid w:val="00DE31D2"/>
    <w:rsid w:val="00DE3269"/>
    <w:rsid w:val="00DE3B9A"/>
    <w:rsid w:val="00DE4767"/>
    <w:rsid w:val="00DE4F6D"/>
    <w:rsid w:val="00DE57AB"/>
    <w:rsid w:val="00DE5B39"/>
    <w:rsid w:val="00DE686B"/>
    <w:rsid w:val="00DE70CE"/>
    <w:rsid w:val="00DE79FF"/>
    <w:rsid w:val="00DE7FB4"/>
    <w:rsid w:val="00DF0D1C"/>
    <w:rsid w:val="00DF0E92"/>
    <w:rsid w:val="00DF156D"/>
    <w:rsid w:val="00DF193B"/>
    <w:rsid w:val="00DF19B9"/>
    <w:rsid w:val="00DF2AFA"/>
    <w:rsid w:val="00DF4946"/>
    <w:rsid w:val="00DF6237"/>
    <w:rsid w:val="00E00F90"/>
    <w:rsid w:val="00E01BC9"/>
    <w:rsid w:val="00E02009"/>
    <w:rsid w:val="00E021E2"/>
    <w:rsid w:val="00E03181"/>
    <w:rsid w:val="00E037A3"/>
    <w:rsid w:val="00E043B6"/>
    <w:rsid w:val="00E04E27"/>
    <w:rsid w:val="00E04EE2"/>
    <w:rsid w:val="00E06033"/>
    <w:rsid w:val="00E065D8"/>
    <w:rsid w:val="00E077FA"/>
    <w:rsid w:val="00E07894"/>
    <w:rsid w:val="00E079DC"/>
    <w:rsid w:val="00E07D22"/>
    <w:rsid w:val="00E100EE"/>
    <w:rsid w:val="00E1015E"/>
    <w:rsid w:val="00E11312"/>
    <w:rsid w:val="00E119DE"/>
    <w:rsid w:val="00E11B67"/>
    <w:rsid w:val="00E11DAA"/>
    <w:rsid w:val="00E12D5F"/>
    <w:rsid w:val="00E132F1"/>
    <w:rsid w:val="00E13360"/>
    <w:rsid w:val="00E1374E"/>
    <w:rsid w:val="00E144D0"/>
    <w:rsid w:val="00E14744"/>
    <w:rsid w:val="00E14F17"/>
    <w:rsid w:val="00E15C5D"/>
    <w:rsid w:val="00E16D93"/>
    <w:rsid w:val="00E214C7"/>
    <w:rsid w:val="00E21DF3"/>
    <w:rsid w:val="00E22154"/>
    <w:rsid w:val="00E222E4"/>
    <w:rsid w:val="00E23283"/>
    <w:rsid w:val="00E24625"/>
    <w:rsid w:val="00E2497B"/>
    <w:rsid w:val="00E25B37"/>
    <w:rsid w:val="00E2618A"/>
    <w:rsid w:val="00E26885"/>
    <w:rsid w:val="00E26EC0"/>
    <w:rsid w:val="00E27EC5"/>
    <w:rsid w:val="00E27F4B"/>
    <w:rsid w:val="00E30AE9"/>
    <w:rsid w:val="00E30B53"/>
    <w:rsid w:val="00E325A4"/>
    <w:rsid w:val="00E33C72"/>
    <w:rsid w:val="00E34C27"/>
    <w:rsid w:val="00E358E3"/>
    <w:rsid w:val="00E360E8"/>
    <w:rsid w:val="00E3732F"/>
    <w:rsid w:val="00E37CC1"/>
    <w:rsid w:val="00E417C0"/>
    <w:rsid w:val="00E417CE"/>
    <w:rsid w:val="00E417D0"/>
    <w:rsid w:val="00E42E4B"/>
    <w:rsid w:val="00E436A2"/>
    <w:rsid w:val="00E439E1"/>
    <w:rsid w:val="00E4411B"/>
    <w:rsid w:val="00E443B1"/>
    <w:rsid w:val="00E449B4"/>
    <w:rsid w:val="00E45608"/>
    <w:rsid w:val="00E461E0"/>
    <w:rsid w:val="00E46295"/>
    <w:rsid w:val="00E46A8B"/>
    <w:rsid w:val="00E46C03"/>
    <w:rsid w:val="00E51B56"/>
    <w:rsid w:val="00E51B6B"/>
    <w:rsid w:val="00E52317"/>
    <w:rsid w:val="00E545F2"/>
    <w:rsid w:val="00E55608"/>
    <w:rsid w:val="00E5725D"/>
    <w:rsid w:val="00E605E3"/>
    <w:rsid w:val="00E606C6"/>
    <w:rsid w:val="00E6089E"/>
    <w:rsid w:val="00E614B7"/>
    <w:rsid w:val="00E61A54"/>
    <w:rsid w:val="00E62B33"/>
    <w:rsid w:val="00E62F3B"/>
    <w:rsid w:val="00E63EE4"/>
    <w:rsid w:val="00E65263"/>
    <w:rsid w:val="00E654F9"/>
    <w:rsid w:val="00E65604"/>
    <w:rsid w:val="00E66048"/>
    <w:rsid w:val="00E67D4D"/>
    <w:rsid w:val="00E70769"/>
    <w:rsid w:val="00E70D1B"/>
    <w:rsid w:val="00E71EA8"/>
    <w:rsid w:val="00E721A8"/>
    <w:rsid w:val="00E728D4"/>
    <w:rsid w:val="00E73424"/>
    <w:rsid w:val="00E74B8F"/>
    <w:rsid w:val="00E75780"/>
    <w:rsid w:val="00E75A51"/>
    <w:rsid w:val="00E75E31"/>
    <w:rsid w:val="00E76168"/>
    <w:rsid w:val="00E767EE"/>
    <w:rsid w:val="00E8017F"/>
    <w:rsid w:val="00E80191"/>
    <w:rsid w:val="00E8096A"/>
    <w:rsid w:val="00E80A19"/>
    <w:rsid w:val="00E80EA8"/>
    <w:rsid w:val="00E818DE"/>
    <w:rsid w:val="00E828A5"/>
    <w:rsid w:val="00E830BA"/>
    <w:rsid w:val="00E85379"/>
    <w:rsid w:val="00E85ADF"/>
    <w:rsid w:val="00E87E2B"/>
    <w:rsid w:val="00E90140"/>
    <w:rsid w:val="00E90D0F"/>
    <w:rsid w:val="00E91641"/>
    <w:rsid w:val="00E916E6"/>
    <w:rsid w:val="00E91C3C"/>
    <w:rsid w:val="00E91CF0"/>
    <w:rsid w:val="00E91E00"/>
    <w:rsid w:val="00E91FB6"/>
    <w:rsid w:val="00E922FA"/>
    <w:rsid w:val="00E92D58"/>
    <w:rsid w:val="00E933DE"/>
    <w:rsid w:val="00E940BC"/>
    <w:rsid w:val="00E95069"/>
    <w:rsid w:val="00EA07A6"/>
    <w:rsid w:val="00EA115E"/>
    <w:rsid w:val="00EA20A7"/>
    <w:rsid w:val="00EA2B2E"/>
    <w:rsid w:val="00EA304C"/>
    <w:rsid w:val="00EA32CA"/>
    <w:rsid w:val="00EA4424"/>
    <w:rsid w:val="00EA54BB"/>
    <w:rsid w:val="00EA7BD1"/>
    <w:rsid w:val="00EB0CB9"/>
    <w:rsid w:val="00EB11EB"/>
    <w:rsid w:val="00EB19BC"/>
    <w:rsid w:val="00EB5668"/>
    <w:rsid w:val="00EB7DC1"/>
    <w:rsid w:val="00EC1009"/>
    <w:rsid w:val="00EC24C6"/>
    <w:rsid w:val="00EC37E4"/>
    <w:rsid w:val="00EC3D94"/>
    <w:rsid w:val="00EC42E8"/>
    <w:rsid w:val="00EC4C05"/>
    <w:rsid w:val="00EC4E55"/>
    <w:rsid w:val="00EC5978"/>
    <w:rsid w:val="00EC59E4"/>
    <w:rsid w:val="00EC6C08"/>
    <w:rsid w:val="00EC7037"/>
    <w:rsid w:val="00ED1478"/>
    <w:rsid w:val="00ED32ED"/>
    <w:rsid w:val="00ED4A3E"/>
    <w:rsid w:val="00ED4AAE"/>
    <w:rsid w:val="00ED4EC7"/>
    <w:rsid w:val="00ED6F8D"/>
    <w:rsid w:val="00ED7708"/>
    <w:rsid w:val="00ED7774"/>
    <w:rsid w:val="00EE0ACE"/>
    <w:rsid w:val="00EE0E31"/>
    <w:rsid w:val="00EE1A3C"/>
    <w:rsid w:val="00EE248A"/>
    <w:rsid w:val="00EE269C"/>
    <w:rsid w:val="00EE3979"/>
    <w:rsid w:val="00EE3AC1"/>
    <w:rsid w:val="00EE42EB"/>
    <w:rsid w:val="00EE4DD6"/>
    <w:rsid w:val="00EE59C9"/>
    <w:rsid w:val="00EE7685"/>
    <w:rsid w:val="00EE7B4B"/>
    <w:rsid w:val="00EF06D8"/>
    <w:rsid w:val="00EF1814"/>
    <w:rsid w:val="00EF2183"/>
    <w:rsid w:val="00EF2501"/>
    <w:rsid w:val="00EF278F"/>
    <w:rsid w:val="00EF372D"/>
    <w:rsid w:val="00EF4223"/>
    <w:rsid w:val="00EF73ED"/>
    <w:rsid w:val="00EF79D6"/>
    <w:rsid w:val="00F00263"/>
    <w:rsid w:val="00F019F0"/>
    <w:rsid w:val="00F0416C"/>
    <w:rsid w:val="00F046EF"/>
    <w:rsid w:val="00F04E9F"/>
    <w:rsid w:val="00F064C8"/>
    <w:rsid w:val="00F06ECB"/>
    <w:rsid w:val="00F07540"/>
    <w:rsid w:val="00F078C9"/>
    <w:rsid w:val="00F07BED"/>
    <w:rsid w:val="00F119BA"/>
    <w:rsid w:val="00F1284C"/>
    <w:rsid w:val="00F12D07"/>
    <w:rsid w:val="00F14032"/>
    <w:rsid w:val="00F161C5"/>
    <w:rsid w:val="00F16455"/>
    <w:rsid w:val="00F16CA0"/>
    <w:rsid w:val="00F201DC"/>
    <w:rsid w:val="00F20C91"/>
    <w:rsid w:val="00F22FC7"/>
    <w:rsid w:val="00F23D3E"/>
    <w:rsid w:val="00F24505"/>
    <w:rsid w:val="00F247AB"/>
    <w:rsid w:val="00F2577D"/>
    <w:rsid w:val="00F26054"/>
    <w:rsid w:val="00F2674A"/>
    <w:rsid w:val="00F26B80"/>
    <w:rsid w:val="00F2795E"/>
    <w:rsid w:val="00F30097"/>
    <w:rsid w:val="00F328DF"/>
    <w:rsid w:val="00F32909"/>
    <w:rsid w:val="00F3506F"/>
    <w:rsid w:val="00F3584C"/>
    <w:rsid w:val="00F360FA"/>
    <w:rsid w:val="00F37AB2"/>
    <w:rsid w:val="00F41A2D"/>
    <w:rsid w:val="00F44ABE"/>
    <w:rsid w:val="00F44ECE"/>
    <w:rsid w:val="00F45079"/>
    <w:rsid w:val="00F457B8"/>
    <w:rsid w:val="00F46924"/>
    <w:rsid w:val="00F4703C"/>
    <w:rsid w:val="00F47760"/>
    <w:rsid w:val="00F4797A"/>
    <w:rsid w:val="00F47E0B"/>
    <w:rsid w:val="00F506A0"/>
    <w:rsid w:val="00F506C4"/>
    <w:rsid w:val="00F515E9"/>
    <w:rsid w:val="00F51BAE"/>
    <w:rsid w:val="00F52AF7"/>
    <w:rsid w:val="00F52B8F"/>
    <w:rsid w:val="00F52BC7"/>
    <w:rsid w:val="00F53353"/>
    <w:rsid w:val="00F53C2E"/>
    <w:rsid w:val="00F54D1A"/>
    <w:rsid w:val="00F54D50"/>
    <w:rsid w:val="00F55BC8"/>
    <w:rsid w:val="00F56180"/>
    <w:rsid w:val="00F57570"/>
    <w:rsid w:val="00F57783"/>
    <w:rsid w:val="00F578D2"/>
    <w:rsid w:val="00F60303"/>
    <w:rsid w:val="00F61ECF"/>
    <w:rsid w:val="00F62027"/>
    <w:rsid w:val="00F63F4E"/>
    <w:rsid w:val="00F65EC8"/>
    <w:rsid w:val="00F669A4"/>
    <w:rsid w:val="00F66E1B"/>
    <w:rsid w:val="00F7043F"/>
    <w:rsid w:val="00F70CFB"/>
    <w:rsid w:val="00F70E86"/>
    <w:rsid w:val="00F70F15"/>
    <w:rsid w:val="00F71D8F"/>
    <w:rsid w:val="00F73192"/>
    <w:rsid w:val="00F7401D"/>
    <w:rsid w:val="00F7760A"/>
    <w:rsid w:val="00F77861"/>
    <w:rsid w:val="00F80659"/>
    <w:rsid w:val="00F8165A"/>
    <w:rsid w:val="00F8285C"/>
    <w:rsid w:val="00F82AE3"/>
    <w:rsid w:val="00F83E11"/>
    <w:rsid w:val="00F83EAB"/>
    <w:rsid w:val="00F86357"/>
    <w:rsid w:val="00F86C18"/>
    <w:rsid w:val="00F86D3B"/>
    <w:rsid w:val="00F870FB"/>
    <w:rsid w:val="00F9114E"/>
    <w:rsid w:val="00F93B6E"/>
    <w:rsid w:val="00F94581"/>
    <w:rsid w:val="00F9551D"/>
    <w:rsid w:val="00F9583D"/>
    <w:rsid w:val="00F965A3"/>
    <w:rsid w:val="00F9660B"/>
    <w:rsid w:val="00F97D04"/>
    <w:rsid w:val="00F97EC9"/>
    <w:rsid w:val="00FA018B"/>
    <w:rsid w:val="00FA033D"/>
    <w:rsid w:val="00FA0479"/>
    <w:rsid w:val="00FA12E4"/>
    <w:rsid w:val="00FA14F4"/>
    <w:rsid w:val="00FA2B5B"/>
    <w:rsid w:val="00FA2D8D"/>
    <w:rsid w:val="00FA475E"/>
    <w:rsid w:val="00FA4B5E"/>
    <w:rsid w:val="00FA5D50"/>
    <w:rsid w:val="00FA6524"/>
    <w:rsid w:val="00FA7424"/>
    <w:rsid w:val="00FB050E"/>
    <w:rsid w:val="00FB121E"/>
    <w:rsid w:val="00FB1948"/>
    <w:rsid w:val="00FB3CEA"/>
    <w:rsid w:val="00FB4F2D"/>
    <w:rsid w:val="00FB5D41"/>
    <w:rsid w:val="00FB61B6"/>
    <w:rsid w:val="00FB7BFD"/>
    <w:rsid w:val="00FB7C26"/>
    <w:rsid w:val="00FB7DE0"/>
    <w:rsid w:val="00FC03A9"/>
    <w:rsid w:val="00FC26A4"/>
    <w:rsid w:val="00FC3827"/>
    <w:rsid w:val="00FC3A67"/>
    <w:rsid w:val="00FC3B36"/>
    <w:rsid w:val="00FC52D9"/>
    <w:rsid w:val="00FC555C"/>
    <w:rsid w:val="00FC5CAD"/>
    <w:rsid w:val="00FC6A20"/>
    <w:rsid w:val="00FC7918"/>
    <w:rsid w:val="00FC7C3C"/>
    <w:rsid w:val="00FD0897"/>
    <w:rsid w:val="00FD0BB6"/>
    <w:rsid w:val="00FD0EEE"/>
    <w:rsid w:val="00FD1E5A"/>
    <w:rsid w:val="00FD2EE4"/>
    <w:rsid w:val="00FD3147"/>
    <w:rsid w:val="00FD3E35"/>
    <w:rsid w:val="00FD5AC4"/>
    <w:rsid w:val="00FD652A"/>
    <w:rsid w:val="00FD672C"/>
    <w:rsid w:val="00FE0857"/>
    <w:rsid w:val="00FE0A9C"/>
    <w:rsid w:val="00FE0C3A"/>
    <w:rsid w:val="00FE1546"/>
    <w:rsid w:val="00FE1862"/>
    <w:rsid w:val="00FE2814"/>
    <w:rsid w:val="00FE28B8"/>
    <w:rsid w:val="00FE37E3"/>
    <w:rsid w:val="00FE3AE6"/>
    <w:rsid w:val="00FE6BD4"/>
    <w:rsid w:val="00FE74DB"/>
    <w:rsid w:val="00FE74F3"/>
    <w:rsid w:val="00FE774E"/>
    <w:rsid w:val="00FE7CA6"/>
    <w:rsid w:val="00FF03C5"/>
    <w:rsid w:val="00FF2C92"/>
    <w:rsid w:val="00FF32F3"/>
    <w:rsid w:val="00FF452A"/>
    <w:rsid w:val="00FF60BD"/>
    <w:rsid w:val="00FF614C"/>
    <w:rsid w:val="00FF61DE"/>
    <w:rsid w:val="00FF6871"/>
    <w:rsid w:val="00FF781F"/>
    <w:rsid w:val="00FF7C75"/>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basedOn w:val="Normal"/>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basedOn w:val="Normal"/>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160">
      <w:bodyDiv w:val="1"/>
      <w:marLeft w:val="0"/>
      <w:marRight w:val="0"/>
      <w:marTop w:val="0"/>
      <w:marBottom w:val="0"/>
      <w:divBdr>
        <w:top w:val="none" w:sz="0" w:space="0" w:color="auto"/>
        <w:left w:val="none" w:sz="0" w:space="0" w:color="auto"/>
        <w:bottom w:val="none" w:sz="0" w:space="0" w:color="auto"/>
        <w:right w:val="none" w:sz="0" w:space="0" w:color="auto"/>
      </w:divBdr>
    </w:div>
    <w:div w:id="932978929">
      <w:bodyDiv w:val="1"/>
      <w:marLeft w:val="0"/>
      <w:marRight w:val="0"/>
      <w:marTop w:val="0"/>
      <w:marBottom w:val="0"/>
      <w:divBdr>
        <w:top w:val="none" w:sz="0" w:space="0" w:color="auto"/>
        <w:left w:val="none" w:sz="0" w:space="0" w:color="auto"/>
        <w:bottom w:val="none" w:sz="0" w:space="0" w:color="auto"/>
        <w:right w:val="none" w:sz="0" w:space="0" w:color="auto"/>
      </w:divBdr>
    </w:div>
    <w:div w:id="12456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w.redding@bra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drew.redding@brad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DF34-8975-40E8-AC9C-CF2B250A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18</Pages>
  <Words>7532</Words>
  <Characters>42934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High Needs</vt:lpstr>
    </vt:vector>
  </TitlesOfParts>
  <Company>Serco-EB</Company>
  <LinksUpToDate>false</LinksUpToDate>
  <CharactersWithSpaces>50366</CharactersWithSpaces>
  <SharedDoc>false</SharedDoc>
  <HLinks>
    <vt:vector size="18" baseType="variant">
      <vt:variant>
        <vt:i4>2752528</vt:i4>
      </vt:variant>
      <vt:variant>
        <vt:i4>6</vt:i4>
      </vt:variant>
      <vt:variant>
        <vt:i4>0</vt:i4>
      </vt:variant>
      <vt:variant>
        <vt:i4>5</vt:i4>
      </vt:variant>
      <vt:variant>
        <vt:lpwstr>mailto:andrew.redding@bradford.gov.uk?subject=CONSULTATION%20RESPONSE%20FORM</vt:lpwstr>
      </vt:variant>
      <vt:variant>
        <vt:lpwstr/>
      </vt:variant>
      <vt:variant>
        <vt:i4>5636219</vt:i4>
      </vt:variant>
      <vt:variant>
        <vt:i4>3</vt:i4>
      </vt:variant>
      <vt:variant>
        <vt:i4>0</vt:i4>
      </vt:variant>
      <vt:variant>
        <vt:i4>5</vt:i4>
      </vt:variant>
      <vt:variant>
        <vt:lpwstr>mailto:sarah.north@bradford.gov.uk?subject=CONSULTATION%20RESPONSE%20FORM</vt:lpwstr>
      </vt:variant>
      <vt:variant>
        <vt:lpwstr/>
      </vt: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dc:title>
  <dc:subject/>
  <dc:creator>andrew.redding</dc:creator>
  <cp:keywords/>
  <dc:description/>
  <cp:lastModifiedBy>Andrew Redding</cp:lastModifiedBy>
  <cp:revision>650</cp:revision>
  <cp:lastPrinted>2014-10-06T11:44:00Z</cp:lastPrinted>
  <dcterms:created xsi:type="dcterms:W3CDTF">2014-09-23T10:26:00Z</dcterms:created>
  <dcterms:modified xsi:type="dcterms:W3CDTF">2015-10-14T14:54:00Z</dcterms:modified>
</cp:coreProperties>
</file>