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3106"/>
        <w:tblOverlap w:val="never"/>
        <w:tblW w:w="8640" w:type="dxa"/>
        <w:tblCellSpacing w:w="0" w:type="dxa"/>
        <w:tblCellMar>
          <w:left w:w="0" w:type="dxa"/>
          <w:right w:w="0" w:type="dxa"/>
        </w:tblCellMar>
        <w:tblLook w:val="0000" w:firstRow="0" w:lastRow="0" w:firstColumn="0" w:lastColumn="0" w:noHBand="0" w:noVBand="0"/>
      </w:tblPr>
      <w:tblGrid>
        <w:gridCol w:w="8640"/>
      </w:tblGrid>
      <w:tr w:rsidR="00E83EFD" w:rsidTr="00082099">
        <w:trPr>
          <w:trHeight w:val="10160"/>
          <w:tblCellSpacing w:w="0" w:type="dxa"/>
        </w:trPr>
        <w:tc>
          <w:tcPr>
            <w:tcW w:w="5000" w:type="pct"/>
            <w:tcMar>
              <w:top w:w="90" w:type="dxa"/>
              <w:left w:w="90" w:type="dxa"/>
              <w:bottom w:w="90" w:type="dxa"/>
              <w:right w:w="90" w:type="dxa"/>
            </w:tcMar>
          </w:tcPr>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Play sound discrimination games.</w:t>
            </w:r>
            <w:r>
              <w:rPr>
                <w:rFonts w:ascii="Helvetica" w:hAnsi="Helvetica" w:cs="Helvetica"/>
                <w:color w:val="333333"/>
                <w:sz w:val="22"/>
                <w:szCs w:val="22"/>
              </w:rPr>
              <w:t xml:space="preserve">  Say two words and see if they can tell if the words begin with the same sound or with a different sound.  Gradually increase the number of words presented to children, where there may be two words with the same beginning sound and a foil.  Have the children tell the word that begins with the different sound. This format can be used when working with ending and medial sounds in words.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Have children generate chains of words</w:t>
            </w:r>
            <w:r>
              <w:rPr>
                <w:rFonts w:ascii="Helvetica" w:hAnsi="Helvetica" w:cs="Helvetica"/>
                <w:color w:val="333333"/>
                <w:sz w:val="22"/>
                <w:szCs w:val="22"/>
              </w:rPr>
              <w:t xml:space="preserve"> that use a targeted beginning or ending sound.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sz w:val="22"/>
                <w:szCs w:val="22"/>
              </w:rPr>
            </w:pPr>
            <w:r>
              <w:rPr>
                <w:rStyle w:val="Strong"/>
                <w:rFonts w:ascii="Helvetica" w:hAnsi="Helvetica" w:cs="Helvetica"/>
                <w:color w:val="333333"/>
                <w:sz w:val="22"/>
                <w:szCs w:val="22"/>
              </w:rPr>
              <w:t>Have children use coloured blocks, chips, or felts to represent each sound they hear in a word. </w:t>
            </w:r>
            <w:r>
              <w:rPr>
                <w:rFonts w:ascii="Helvetica" w:hAnsi="Helvetica" w:cs="Helvetica"/>
                <w:color w:val="333333"/>
                <w:sz w:val="22"/>
                <w:szCs w:val="22"/>
              </w:rPr>
              <w:t xml:space="preserve"> Touch each chip and say the sounds slowly.  Slide the chips together and have the children pronounce the word. Create a </w:t>
            </w:r>
            <w:hyperlink r:id="rId8" w:history="1">
              <w:r w:rsidRPr="00492739">
                <w:rPr>
                  <w:rStyle w:val="Hyperlink"/>
                  <w:rFonts w:ascii="Helvetica" w:hAnsi="Helvetica" w:cs="Helvetica"/>
                  <w:color w:val="auto"/>
                  <w:sz w:val="22"/>
                  <w:szCs w:val="22"/>
                  <w:u w:val="none"/>
                </w:rPr>
                <w:t>Separate Sounds Activity</w:t>
              </w:r>
            </w:hyperlink>
            <w:r w:rsidRPr="00492739">
              <w:rPr>
                <w:rFonts w:ascii="Helvetica" w:hAnsi="Helvetica" w:cs="Helvetica"/>
                <w:sz w:val="22"/>
                <w:szCs w:val="22"/>
              </w:rPr>
              <w:t xml:space="preserve"> to play with children. </w:t>
            </w:r>
          </w:p>
          <w:p w:rsidR="00E83EFD" w:rsidRPr="00492739" w:rsidRDefault="00E83EFD" w:rsidP="00082099">
            <w:pPr>
              <w:numPr>
                <w:ilvl w:val="0"/>
                <w:numId w:val="1"/>
              </w:numPr>
              <w:spacing w:before="100" w:beforeAutospacing="1" w:after="100" w:afterAutospacing="1"/>
              <w:rPr>
                <w:rFonts w:ascii="Helvetica" w:hAnsi="Helvetica" w:cs="Helvetica"/>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Use picture cards</w:t>
            </w:r>
            <w:r>
              <w:rPr>
                <w:rFonts w:ascii="Helvetica" w:hAnsi="Helvetica" w:cs="Helvetica"/>
                <w:color w:val="333333"/>
                <w:sz w:val="22"/>
                <w:szCs w:val="22"/>
              </w:rPr>
              <w:t xml:space="preserve"> and have the children sort the pictures according to the targeted sound.  When working with more than one sound, especially at the beginning, start with sounds that are not closely related, and gradually move to closely related sounds as students become proficient at distinguishing sounds.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Have children tap the number of sounds</w:t>
            </w:r>
            <w:r>
              <w:rPr>
                <w:rFonts w:ascii="Helvetica" w:hAnsi="Helvetica" w:cs="Helvetica"/>
                <w:color w:val="333333"/>
                <w:sz w:val="22"/>
                <w:szCs w:val="22"/>
              </w:rPr>
              <w:t xml:space="preserve"> they hear in a word on their fingers and blend the sounds to pronounce the word.  After </w:t>
            </w:r>
            <w:r w:rsidR="001C48D1">
              <w:rPr>
                <w:rFonts w:ascii="Helvetica" w:hAnsi="Helvetica" w:cs="Helvetica"/>
                <w:color w:val="333333"/>
                <w:sz w:val="22"/>
                <w:szCs w:val="22"/>
              </w:rPr>
              <w:t>children</w:t>
            </w:r>
            <w:r>
              <w:rPr>
                <w:rFonts w:ascii="Helvetica" w:hAnsi="Helvetica" w:cs="Helvetica"/>
                <w:color w:val="333333"/>
                <w:sz w:val="22"/>
                <w:szCs w:val="22"/>
              </w:rPr>
              <w:t xml:space="preserve"> separate the sounds, it is important to have them say the word normally to associate the sound pieces to the whole word.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Isolate the sounds in the words</w:t>
            </w:r>
            <w:r>
              <w:rPr>
                <w:rFonts w:ascii="Helvetica" w:hAnsi="Helvetica" w:cs="Helvetica"/>
                <w:color w:val="333333"/>
                <w:sz w:val="22"/>
                <w:szCs w:val="22"/>
              </w:rPr>
              <w:t xml:space="preserve"> and have the children blend the sounds to pronounce the word – for example say /s/…/a/…/t/ and have the </w:t>
            </w:r>
            <w:r w:rsidR="001C48D1">
              <w:rPr>
                <w:rFonts w:ascii="Helvetica" w:hAnsi="Helvetica" w:cs="Helvetica"/>
                <w:color w:val="333333"/>
                <w:sz w:val="22"/>
                <w:szCs w:val="22"/>
              </w:rPr>
              <w:t>children</w:t>
            </w:r>
            <w:r>
              <w:rPr>
                <w:rFonts w:ascii="Helvetica" w:hAnsi="Helvetica" w:cs="Helvetica"/>
                <w:color w:val="333333"/>
                <w:sz w:val="22"/>
                <w:szCs w:val="22"/>
              </w:rPr>
              <w:t xml:space="preserve"> blend the sounds and say the word sat.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Practice with substituting sounds in words</w:t>
            </w:r>
            <w:r>
              <w:rPr>
                <w:rFonts w:ascii="Helvetica" w:hAnsi="Helvetica" w:cs="Helvetica"/>
                <w:color w:val="333333"/>
                <w:sz w:val="22"/>
                <w:szCs w:val="22"/>
              </w:rPr>
              <w:t xml:space="preserve">.  For example, say the word cat and have the children substitute the /c/ in cat with </w:t>
            </w:r>
            <w:proofErr w:type="gramStart"/>
            <w:r>
              <w:rPr>
                <w:rFonts w:ascii="Helvetica" w:hAnsi="Helvetica" w:cs="Helvetica"/>
                <w:color w:val="333333"/>
                <w:sz w:val="22"/>
                <w:szCs w:val="22"/>
              </w:rPr>
              <w:t>an</w:t>
            </w:r>
            <w:proofErr w:type="gramEnd"/>
            <w:r>
              <w:rPr>
                <w:rFonts w:ascii="Helvetica" w:hAnsi="Helvetica" w:cs="Helvetica"/>
                <w:color w:val="333333"/>
                <w:sz w:val="22"/>
                <w:szCs w:val="22"/>
              </w:rPr>
              <w:t xml:space="preserve"> /s/ to make sat.  This activity can be done with beginning, medial, and ending sounds in words.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1C48D1" w:rsidP="00082099">
            <w:pPr>
              <w:numPr>
                <w:ilvl w:val="0"/>
                <w:numId w:val="1"/>
              </w:numPr>
              <w:spacing w:before="100" w:beforeAutospacing="1" w:after="100" w:afterAutospacing="1"/>
              <w:rPr>
                <w:rFonts w:ascii="Helvetica" w:hAnsi="Helvetica" w:cs="Helvetica"/>
                <w:color w:val="333333"/>
                <w:sz w:val="22"/>
                <w:szCs w:val="22"/>
              </w:rPr>
            </w:pPr>
            <w:r w:rsidRPr="001C48D1">
              <w:rPr>
                <w:rStyle w:val="Strong"/>
                <w:rFonts w:ascii="Helvetica" w:hAnsi="Helvetica"/>
                <w:sz w:val="22"/>
                <w:szCs w:val="22"/>
              </w:rPr>
              <w:t>Change name game</w:t>
            </w:r>
            <w:r>
              <w:rPr>
                <w:rStyle w:val="Strong"/>
              </w:rPr>
              <w:t xml:space="preserve"> </w:t>
            </w:r>
            <w:r w:rsidR="00E83EFD">
              <w:rPr>
                <w:rFonts w:ascii="Helvetica" w:hAnsi="Helvetica" w:cs="Helvetica"/>
                <w:color w:val="333333"/>
                <w:sz w:val="22"/>
                <w:szCs w:val="22"/>
              </w:rPr>
              <w:t>– change children’s names by adding common endings such as adding /</w:t>
            </w:r>
            <w:proofErr w:type="spellStart"/>
            <w:r w:rsidR="00E83EFD">
              <w:rPr>
                <w:rFonts w:ascii="Helvetica" w:hAnsi="Helvetica" w:cs="Helvetica"/>
                <w:color w:val="333333"/>
                <w:sz w:val="22"/>
                <w:szCs w:val="22"/>
              </w:rPr>
              <w:t>ious</w:t>
            </w:r>
            <w:proofErr w:type="spellEnd"/>
            <w:r w:rsidR="00E83EFD">
              <w:rPr>
                <w:rFonts w:ascii="Helvetica" w:hAnsi="Helvetica" w:cs="Helvetica"/>
                <w:color w:val="333333"/>
                <w:sz w:val="22"/>
                <w:szCs w:val="22"/>
              </w:rPr>
              <w:t xml:space="preserve">/ to the end of Jane to make the name </w:t>
            </w:r>
            <w:proofErr w:type="spellStart"/>
            <w:r w:rsidR="00E83EFD">
              <w:rPr>
                <w:rFonts w:ascii="Helvetica" w:hAnsi="Helvetica" w:cs="Helvetica"/>
                <w:color w:val="333333"/>
                <w:sz w:val="22"/>
                <w:szCs w:val="22"/>
              </w:rPr>
              <w:t>Janious</w:t>
            </w:r>
            <w:proofErr w:type="spellEnd"/>
            <w:r w:rsidR="00E83EFD">
              <w:rPr>
                <w:rFonts w:ascii="Helvetica" w:hAnsi="Helvetica" w:cs="Helvetica"/>
                <w:color w:val="333333"/>
                <w:sz w:val="22"/>
                <w:szCs w:val="22"/>
              </w:rPr>
              <w:t xml:space="preserve">. Children find this activity amusing and will begin to add endings to change words to other objects and words. </w:t>
            </w: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p>
          <w:p w:rsidR="00E83EFD" w:rsidRDefault="00E83EFD" w:rsidP="00082099">
            <w:pPr>
              <w:numPr>
                <w:ilvl w:val="0"/>
                <w:numId w:val="1"/>
              </w:numPr>
              <w:spacing w:before="100" w:beforeAutospacing="1" w:after="100" w:afterAutospacing="1"/>
              <w:rPr>
                <w:rFonts w:ascii="Helvetica" w:hAnsi="Helvetica" w:cs="Helvetica"/>
                <w:color w:val="333333"/>
                <w:sz w:val="22"/>
                <w:szCs w:val="22"/>
              </w:rPr>
            </w:pPr>
            <w:r>
              <w:rPr>
                <w:rStyle w:val="Strong"/>
                <w:rFonts w:ascii="Helvetica" w:hAnsi="Helvetica" w:cs="Helvetica"/>
                <w:color w:val="333333"/>
                <w:sz w:val="22"/>
                <w:szCs w:val="22"/>
              </w:rPr>
              <w:t>Sound bingos</w:t>
            </w:r>
            <w:r>
              <w:rPr>
                <w:rFonts w:ascii="Helvetica" w:hAnsi="Helvetica" w:cs="Helvetica"/>
                <w:color w:val="333333"/>
                <w:sz w:val="22"/>
                <w:szCs w:val="22"/>
              </w:rPr>
              <w:t xml:space="preserve"> are useful whole class activities to support awareness of sounds in words.  </w:t>
            </w:r>
          </w:p>
        </w:tc>
      </w:tr>
    </w:tbl>
    <w:p w:rsidR="004C6A30" w:rsidRPr="00E83EFD" w:rsidRDefault="00E83EFD" w:rsidP="00082099">
      <w:pPr>
        <w:jc w:val="center"/>
        <w:rPr>
          <w:rFonts w:asciiTheme="minorHAnsi" w:hAnsiTheme="minorHAnsi"/>
          <w:b/>
          <w:sz w:val="28"/>
          <w:szCs w:val="28"/>
          <w:u w:val="single"/>
        </w:rPr>
      </w:pPr>
      <w:r>
        <w:rPr>
          <w:noProof/>
        </w:rPr>
        <w:drawing>
          <wp:anchor distT="0" distB="0" distL="114300" distR="114300" simplePos="0" relativeHeight="251658240" behindDoc="0" locked="0" layoutInCell="1" allowOverlap="1" wp14:anchorId="48AE1F9F" wp14:editId="5AFFE79C">
            <wp:simplePos x="0" y="0"/>
            <wp:positionH relativeFrom="column">
              <wp:posOffset>-590550</wp:posOffset>
            </wp:positionH>
            <wp:positionV relativeFrom="paragraph">
              <wp:posOffset>-11430</wp:posOffset>
            </wp:positionV>
            <wp:extent cx="1085850" cy="1085850"/>
            <wp:effectExtent l="0" t="0" r="0" b="0"/>
            <wp:wrapNone/>
            <wp:docPr id="1" name="Picture 1" descr="Secret, Whispering, Ear, Woman, 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 Whispering, Ear, Woman, L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Fonts w:asciiTheme="minorHAnsi" w:hAnsiTheme="minorHAnsi"/>
          <w:b/>
          <w:sz w:val="28"/>
          <w:szCs w:val="28"/>
          <w:u w:val="single"/>
        </w:rPr>
        <w:t>Sound Discrimination Games</w:t>
      </w:r>
    </w:p>
    <w:sectPr w:rsidR="004C6A30" w:rsidRPr="00E83E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9" w:rsidRDefault="00082099" w:rsidP="00082099">
      <w:r>
        <w:separator/>
      </w:r>
    </w:p>
  </w:endnote>
  <w:endnote w:type="continuationSeparator" w:id="0">
    <w:p w:rsidR="00082099" w:rsidRDefault="00082099" w:rsidP="0008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9" w:rsidRDefault="00082099" w:rsidP="00082099">
      <w:r>
        <w:separator/>
      </w:r>
    </w:p>
  </w:footnote>
  <w:footnote w:type="continuationSeparator" w:id="0">
    <w:p w:rsidR="00082099" w:rsidRDefault="00082099" w:rsidP="0008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76" w:type="dxa"/>
      <w:tblLook w:val="04A0" w:firstRow="1" w:lastRow="0" w:firstColumn="1" w:lastColumn="0" w:noHBand="0" w:noVBand="1"/>
    </w:tblPr>
    <w:tblGrid>
      <w:gridCol w:w="3674"/>
      <w:gridCol w:w="3073"/>
      <w:gridCol w:w="3636"/>
    </w:tblGrid>
    <w:tr w:rsidR="00082099" w:rsidRPr="00BC5250" w:rsidTr="0028381A">
      <w:tc>
        <w:tcPr>
          <w:tcW w:w="3674" w:type="dxa"/>
          <w:shd w:val="clear" w:color="auto" w:fill="auto"/>
          <w:hideMark/>
        </w:tcPr>
        <w:p w:rsidR="00082099" w:rsidRPr="008C0061" w:rsidRDefault="00082099" w:rsidP="0028381A">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082099" w:rsidRPr="004E69C5" w:rsidRDefault="00082099" w:rsidP="0028381A">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082099" w:rsidRDefault="00082099" w:rsidP="0028381A">
          <w:pPr>
            <w:tabs>
              <w:tab w:val="left" w:pos="540"/>
              <w:tab w:val="right" w:pos="8306"/>
            </w:tabs>
            <w:rPr>
              <w:rFonts w:ascii="Arial" w:hAnsi="Arial" w:cs="Arial"/>
              <w:sz w:val="16"/>
              <w:szCs w:val="16"/>
            </w:rPr>
          </w:pPr>
          <w:r w:rsidRPr="008C0061">
            <w:rPr>
              <w:rFonts w:ascii="Arial" w:hAnsi="Arial" w:cs="Arial"/>
              <w:sz w:val="16"/>
              <w:szCs w:val="16"/>
            </w:rPr>
            <w:t>Ma</w:t>
          </w:r>
          <w:r>
            <w:rPr>
              <w:rFonts w:ascii="Arial" w:hAnsi="Arial" w:cs="Arial"/>
              <w:sz w:val="16"/>
              <w:szCs w:val="16"/>
            </w:rPr>
            <w:t>rgaret McMillan Tower (Floor 3)</w:t>
          </w:r>
        </w:p>
        <w:p w:rsidR="00082099" w:rsidRPr="00D71B79" w:rsidRDefault="00082099" w:rsidP="0028381A">
          <w:pPr>
            <w:tabs>
              <w:tab w:val="left" w:pos="540"/>
              <w:tab w:val="right" w:pos="8306"/>
            </w:tabs>
            <w:rPr>
              <w:rFonts w:ascii="Arial" w:hAnsi="Arial" w:cs="Arial"/>
              <w:sz w:val="16"/>
              <w:szCs w:val="16"/>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3" w:type="dxa"/>
          <w:shd w:val="clear" w:color="auto" w:fill="auto"/>
          <w:hideMark/>
        </w:tcPr>
        <w:p w:rsidR="00082099" w:rsidRPr="00BC5250" w:rsidRDefault="00082099" w:rsidP="0028381A">
          <w:pPr>
            <w:tabs>
              <w:tab w:val="center" w:pos="4513"/>
              <w:tab w:val="right" w:pos="9026"/>
            </w:tabs>
            <w:jc w:val="right"/>
            <w:rPr>
              <w:rFonts w:ascii="Calibri" w:hAnsi="Calibri"/>
              <w:sz w:val="20"/>
              <w:szCs w:val="20"/>
            </w:rPr>
          </w:pPr>
          <w:r>
            <w:rPr>
              <w:rFonts w:ascii="Calibri" w:hAnsi="Calibri"/>
              <w:noProof/>
              <w:sz w:val="20"/>
              <w:szCs w:val="20"/>
            </w:rPr>
            <w:drawing>
              <wp:anchor distT="0" distB="0" distL="114300" distR="114300" simplePos="0" relativeHeight="251659264" behindDoc="1" locked="0" layoutInCell="1" allowOverlap="1" wp14:anchorId="2A205258" wp14:editId="3503CA98">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36" w:type="dxa"/>
          <w:shd w:val="clear" w:color="auto" w:fill="auto"/>
          <w:hideMark/>
        </w:tcPr>
        <w:p w:rsidR="00082099" w:rsidRPr="00BC5250" w:rsidRDefault="00082099" w:rsidP="0028381A">
          <w:pPr>
            <w:tabs>
              <w:tab w:val="center" w:pos="4513"/>
              <w:tab w:val="right" w:pos="9026"/>
            </w:tabs>
            <w:jc w:val="right"/>
            <w:rPr>
              <w:rFonts w:ascii="Calibri" w:hAnsi="Calibri"/>
              <w:sz w:val="20"/>
              <w:szCs w:val="20"/>
            </w:rPr>
          </w:pPr>
          <w:r>
            <w:rPr>
              <w:rFonts w:ascii="Calibri" w:hAnsi="Calibri"/>
              <w:noProof/>
              <w:sz w:val="20"/>
              <w:szCs w:val="20"/>
            </w:rPr>
            <w:drawing>
              <wp:inline distT="0" distB="0" distL="0" distR="0" wp14:anchorId="6D7FEDC7" wp14:editId="5FD1CCD9">
                <wp:extent cx="2162175" cy="600075"/>
                <wp:effectExtent l="0" t="0" r="9525" b="9525"/>
                <wp:docPr id="3" name="Picture 3"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082099" w:rsidRPr="001C219A" w:rsidRDefault="00082099" w:rsidP="00082099">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082099" w:rsidRDefault="00082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w:pict>
  </w:numPicBullet>
  <w:numPicBullet w:numPicBulletId="1">
    <w:pict>
      <v:shape id="_x0000_i1027" type="#_x0000_t75" style="width:4.5pt;height:4.5pt" o:bullet="t"/>
    </w:pict>
  </w:numPicBullet>
  <w:numPicBullet w:numPicBulletId="2">
    <w:pict>
      <v:shape id="_x0000_i1028" type="#_x0000_t75" style="width:3in;height:3in" o:bullet="t"/>
    </w:pict>
  </w:numPicBullet>
  <w:abstractNum w:abstractNumId="0">
    <w:nsid w:val="43781BFA"/>
    <w:multiLevelType w:val="multilevel"/>
    <w:tmpl w:val="EF46EA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FD"/>
    <w:rsid w:val="00082099"/>
    <w:rsid w:val="001C48D1"/>
    <w:rsid w:val="004C6A30"/>
    <w:rsid w:val="00E8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EFD"/>
    <w:rPr>
      <w:color w:val="1387FE"/>
      <w:u w:val="single"/>
    </w:rPr>
  </w:style>
  <w:style w:type="character" w:styleId="Strong">
    <w:name w:val="Strong"/>
    <w:qFormat/>
    <w:rsid w:val="00E83EFD"/>
    <w:rPr>
      <w:b/>
      <w:bCs/>
    </w:rPr>
  </w:style>
  <w:style w:type="paragraph" w:styleId="BalloonText">
    <w:name w:val="Balloon Text"/>
    <w:basedOn w:val="Normal"/>
    <w:link w:val="BalloonTextChar"/>
    <w:uiPriority w:val="99"/>
    <w:semiHidden/>
    <w:unhideWhenUsed/>
    <w:rsid w:val="00E83EFD"/>
    <w:rPr>
      <w:rFonts w:ascii="Tahoma" w:hAnsi="Tahoma" w:cs="Tahoma"/>
      <w:sz w:val="16"/>
      <w:szCs w:val="16"/>
    </w:rPr>
  </w:style>
  <w:style w:type="character" w:customStyle="1" w:styleId="BalloonTextChar">
    <w:name w:val="Balloon Text Char"/>
    <w:basedOn w:val="DefaultParagraphFont"/>
    <w:link w:val="BalloonText"/>
    <w:uiPriority w:val="99"/>
    <w:semiHidden/>
    <w:rsid w:val="00E83EFD"/>
    <w:rPr>
      <w:rFonts w:ascii="Tahoma" w:eastAsia="Times New Roman" w:hAnsi="Tahoma" w:cs="Tahoma"/>
      <w:sz w:val="16"/>
      <w:szCs w:val="16"/>
      <w:lang w:eastAsia="en-GB"/>
    </w:rPr>
  </w:style>
  <w:style w:type="paragraph" w:styleId="Header">
    <w:name w:val="header"/>
    <w:basedOn w:val="Normal"/>
    <w:link w:val="HeaderChar"/>
    <w:unhideWhenUsed/>
    <w:rsid w:val="00082099"/>
    <w:pPr>
      <w:tabs>
        <w:tab w:val="center" w:pos="4513"/>
        <w:tab w:val="right" w:pos="9026"/>
      </w:tabs>
    </w:pPr>
  </w:style>
  <w:style w:type="character" w:customStyle="1" w:styleId="HeaderChar">
    <w:name w:val="Header Char"/>
    <w:basedOn w:val="DefaultParagraphFont"/>
    <w:link w:val="Header"/>
    <w:rsid w:val="000820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2099"/>
    <w:pPr>
      <w:tabs>
        <w:tab w:val="center" w:pos="4513"/>
        <w:tab w:val="right" w:pos="9026"/>
      </w:tabs>
    </w:pPr>
  </w:style>
  <w:style w:type="character" w:customStyle="1" w:styleId="FooterChar">
    <w:name w:val="Footer Char"/>
    <w:basedOn w:val="DefaultParagraphFont"/>
    <w:link w:val="Footer"/>
    <w:uiPriority w:val="99"/>
    <w:rsid w:val="0008209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EFD"/>
    <w:rPr>
      <w:color w:val="1387FE"/>
      <w:u w:val="single"/>
    </w:rPr>
  </w:style>
  <w:style w:type="character" w:styleId="Strong">
    <w:name w:val="Strong"/>
    <w:qFormat/>
    <w:rsid w:val="00E83EFD"/>
    <w:rPr>
      <w:b/>
      <w:bCs/>
    </w:rPr>
  </w:style>
  <w:style w:type="paragraph" w:styleId="BalloonText">
    <w:name w:val="Balloon Text"/>
    <w:basedOn w:val="Normal"/>
    <w:link w:val="BalloonTextChar"/>
    <w:uiPriority w:val="99"/>
    <w:semiHidden/>
    <w:unhideWhenUsed/>
    <w:rsid w:val="00E83EFD"/>
    <w:rPr>
      <w:rFonts w:ascii="Tahoma" w:hAnsi="Tahoma" w:cs="Tahoma"/>
      <w:sz w:val="16"/>
      <w:szCs w:val="16"/>
    </w:rPr>
  </w:style>
  <w:style w:type="character" w:customStyle="1" w:styleId="BalloonTextChar">
    <w:name w:val="Balloon Text Char"/>
    <w:basedOn w:val="DefaultParagraphFont"/>
    <w:link w:val="BalloonText"/>
    <w:uiPriority w:val="99"/>
    <w:semiHidden/>
    <w:rsid w:val="00E83EFD"/>
    <w:rPr>
      <w:rFonts w:ascii="Tahoma" w:eastAsia="Times New Roman" w:hAnsi="Tahoma" w:cs="Tahoma"/>
      <w:sz w:val="16"/>
      <w:szCs w:val="16"/>
      <w:lang w:eastAsia="en-GB"/>
    </w:rPr>
  </w:style>
  <w:style w:type="paragraph" w:styleId="Header">
    <w:name w:val="header"/>
    <w:basedOn w:val="Normal"/>
    <w:link w:val="HeaderChar"/>
    <w:unhideWhenUsed/>
    <w:rsid w:val="00082099"/>
    <w:pPr>
      <w:tabs>
        <w:tab w:val="center" w:pos="4513"/>
        <w:tab w:val="right" w:pos="9026"/>
      </w:tabs>
    </w:pPr>
  </w:style>
  <w:style w:type="character" w:customStyle="1" w:styleId="HeaderChar">
    <w:name w:val="Header Char"/>
    <w:basedOn w:val="DefaultParagraphFont"/>
    <w:link w:val="Header"/>
    <w:rsid w:val="000820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82099"/>
    <w:pPr>
      <w:tabs>
        <w:tab w:val="center" w:pos="4513"/>
        <w:tab w:val="right" w:pos="9026"/>
      </w:tabs>
    </w:pPr>
  </w:style>
  <w:style w:type="character" w:customStyle="1" w:styleId="FooterChar">
    <w:name w:val="Footer Char"/>
    <w:basedOn w:val="DefaultParagraphFont"/>
    <w:link w:val="Footer"/>
    <w:uiPriority w:val="99"/>
    <w:rsid w:val="000820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2learn.com/disabilities/FASDtoolbox/education_resources/games/seperate_sound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Walker</dc:creator>
  <cp:lastModifiedBy>Nicola Gaunt</cp:lastModifiedBy>
  <cp:revision>3</cp:revision>
  <dcterms:created xsi:type="dcterms:W3CDTF">2020-06-22T15:05:00Z</dcterms:created>
  <dcterms:modified xsi:type="dcterms:W3CDTF">2020-07-07T11:04:00Z</dcterms:modified>
</cp:coreProperties>
</file>