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59C8C" w14:textId="5CEDA5D8" w:rsidR="00071737" w:rsidRDefault="00071737" w:rsidP="00A63B92">
      <w:pPr>
        <w:spacing w:after="0"/>
        <w:jc w:val="center"/>
        <w:rPr>
          <w:rFonts w:cstheme="minorHAnsi"/>
          <w:b/>
          <w:sz w:val="24"/>
        </w:rPr>
      </w:pPr>
      <w:r>
        <w:rPr>
          <w:rFonts w:cstheme="minorHAnsi"/>
          <w:b/>
          <w:sz w:val="24"/>
        </w:rPr>
        <w:t>Bradford Mental Health Champions Project:</w:t>
      </w:r>
      <w:bookmarkStart w:id="0" w:name="_GoBack"/>
      <w:bookmarkEnd w:id="0"/>
    </w:p>
    <w:p w14:paraId="452F0A83" w14:textId="3CD23B9C" w:rsidR="003D69F0" w:rsidRPr="003D69F0" w:rsidRDefault="003D69F0" w:rsidP="00071737">
      <w:pPr>
        <w:spacing w:after="0"/>
        <w:jc w:val="center"/>
        <w:rPr>
          <w:rFonts w:cstheme="minorHAnsi"/>
          <w:b/>
          <w:sz w:val="24"/>
        </w:rPr>
      </w:pPr>
      <w:r w:rsidRPr="003D69F0">
        <w:rPr>
          <w:rFonts w:cstheme="minorHAnsi"/>
          <w:b/>
          <w:sz w:val="24"/>
        </w:rPr>
        <w:t>A Report on Children and Young People’s Mental Health and</w:t>
      </w:r>
    </w:p>
    <w:p w14:paraId="38B32F30" w14:textId="77777777" w:rsidR="003D69F0" w:rsidRPr="003D69F0" w:rsidRDefault="003D69F0" w:rsidP="00071737">
      <w:pPr>
        <w:spacing w:after="0"/>
        <w:jc w:val="center"/>
        <w:rPr>
          <w:rFonts w:cstheme="minorHAnsi"/>
          <w:b/>
          <w:sz w:val="24"/>
        </w:rPr>
      </w:pPr>
      <w:r w:rsidRPr="003D69F0">
        <w:rPr>
          <w:rFonts w:cstheme="minorHAnsi"/>
          <w:b/>
          <w:sz w:val="24"/>
        </w:rPr>
        <w:t>Emotional Wellbeing Needs Which Have Arisen from COVID-19 *</w:t>
      </w:r>
    </w:p>
    <w:p w14:paraId="4D2617FB" w14:textId="77777777" w:rsidR="003D69F0" w:rsidRPr="003D69F0" w:rsidRDefault="003D69F0" w:rsidP="003D69F0">
      <w:pPr>
        <w:rPr>
          <w:rFonts w:cstheme="minorHAnsi"/>
          <w:sz w:val="24"/>
        </w:rPr>
      </w:pPr>
    </w:p>
    <w:p w14:paraId="4972E654" w14:textId="77777777" w:rsidR="003D69F0" w:rsidRPr="003D69F0" w:rsidRDefault="003D69F0" w:rsidP="003D69F0">
      <w:pPr>
        <w:jc w:val="center"/>
        <w:rPr>
          <w:rFonts w:cstheme="minorHAnsi"/>
          <w:b/>
          <w:sz w:val="24"/>
          <w:u w:val="single"/>
        </w:rPr>
      </w:pPr>
      <w:r w:rsidRPr="003D69F0">
        <w:rPr>
          <w:rFonts w:cstheme="minorHAnsi"/>
          <w:b/>
          <w:sz w:val="24"/>
          <w:u w:val="single"/>
        </w:rPr>
        <w:t>Introduction</w:t>
      </w:r>
    </w:p>
    <w:p w14:paraId="530DF9F4" w14:textId="05D36CC0" w:rsidR="003D69F0" w:rsidRPr="003D69F0" w:rsidRDefault="003D69F0" w:rsidP="003D69F0">
      <w:pPr>
        <w:rPr>
          <w:rFonts w:cstheme="minorHAnsi"/>
        </w:rPr>
      </w:pPr>
      <w:r w:rsidRPr="003D69F0">
        <w:rPr>
          <w:rFonts w:cstheme="minorHAnsi"/>
        </w:rPr>
        <w:t>C</w:t>
      </w:r>
      <w:r>
        <w:rPr>
          <w:rFonts w:cstheme="minorHAnsi"/>
        </w:rPr>
        <w:t>OVID-</w:t>
      </w:r>
      <w:r w:rsidRPr="003D69F0">
        <w:rPr>
          <w:rFonts w:cstheme="minorHAnsi"/>
        </w:rPr>
        <w:t>19 is a global pandemic affecting children, young people and their families across the globe. This includes impacting on their mental as well as physical wellbeing, as well as those who support them such as teachers and school staff.</w:t>
      </w:r>
    </w:p>
    <w:p w14:paraId="21962C99" w14:textId="43D0DF5C" w:rsidR="003D69F0" w:rsidRDefault="003D69F0" w:rsidP="57967137">
      <w:r>
        <w:t xml:space="preserve">In April 2020, an extensive multi-agency and multi-profession task &amp; finish group (including young people, parents/carers and education settings) from across Yorkshire &amp; the Humber recognised the need to proactively combine their efforts and consider what the mental health needs of children and young people </w:t>
      </w:r>
      <w:r w:rsidRPr="68252D7A">
        <w:rPr>
          <w:i/>
          <w:iCs/>
        </w:rPr>
        <w:t>may</w:t>
      </w:r>
      <w:r>
        <w:t xml:space="preserve"> be as a result of COVID-19 and how to respond to these needs.</w:t>
      </w:r>
    </w:p>
    <w:p w14:paraId="6FAE4B08" w14:textId="77777777" w:rsidR="10242CE6" w:rsidRDefault="10242CE6" w:rsidP="57967137">
      <w:r w:rsidRPr="57967137">
        <w:t>The key principles of this audit align with those in the guide and include:</w:t>
      </w:r>
    </w:p>
    <w:p w14:paraId="41BE4C8A"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Not over-medicalising or jumping to diagnostic conclusions</w:t>
      </w:r>
    </w:p>
    <w:p w14:paraId="303B9995"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 xml:space="preserve">Appreciating that it is normal for children and young people to have various degrees of worry about returning to education </w:t>
      </w:r>
    </w:p>
    <w:p w14:paraId="2F49FF38"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Understanding that every child or young person is unique, and their needs may change over time</w:t>
      </w:r>
    </w:p>
    <w:p w14:paraId="1CA7FFA0"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Viewing the reopening of education settings from a child or young person’s perspective</w:t>
      </w:r>
    </w:p>
    <w:p w14:paraId="59E61CD4"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Underpinning the return to school with a whole setting approach which promotes kindness, compassion, flexibility and takes a positive psychology approach</w:t>
      </w:r>
    </w:p>
    <w:p w14:paraId="2CC32D46"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Building on existing strengths and skills of children, young people, parents/carers and education provision staff (for example, active listening with empathy can perform an important therapeutic function)</w:t>
      </w:r>
    </w:p>
    <w:p w14:paraId="1A66B847" w14:textId="77777777" w:rsidR="10242CE6" w:rsidRDefault="10242CE6" w:rsidP="57967137">
      <w:pPr>
        <w:pStyle w:val="ListParagraph"/>
        <w:numPr>
          <w:ilvl w:val="0"/>
          <w:numId w:val="2"/>
        </w:numPr>
        <w:rPr>
          <w:rFonts w:asciiTheme="minorHAnsi" w:hAnsiTheme="minorHAnsi" w:cstheme="minorBidi"/>
          <w:sz w:val="22"/>
          <w:szCs w:val="22"/>
        </w:rPr>
      </w:pPr>
      <w:r w:rsidRPr="57967137">
        <w:rPr>
          <w:rFonts w:asciiTheme="minorHAnsi" w:hAnsiTheme="minorHAnsi" w:cstheme="minorBidi"/>
          <w:sz w:val="22"/>
          <w:szCs w:val="22"/>
        </w:rPr>
        <w:t>Complementing existing guidance and practice</w:t>
      </w:r>
    </w:p>
    <w:p w14:paraId="3F15B6E5" w14:textId="0534151C" w:rsidR="008B396B" w:rsidRDefault="10242CE6" w:rsidP="003D69F0">
      <w:pPr>
        <w:pStyle w:val="ListParagraph"/>
        <w:numPr>
          <w:ilvl w:val="0"/>
          <w:numId w:val="2"/>
        </w:numPr>
        <w:rPr>
          <w:rFonts w:asciiTheme="minorHAnsi" w:hAnsiTheme="minorHAnsi" w:cstheme="minorBidi"/>
          <w:sz w:val="22"/>
          <w:szCs w:val="22"/>
        </w:rPr>
      </w:pPr>
      <w:r w:rsidRPr="68252D7A">
        <w:rPr>
          <w:rFonts w:asciiTheme="minorHAnsi" w:hAnsiTheme="minorHAnsi" w:cstheme="minorBidi"/>
          <w:sz w:val="22"/>
          <w:szCs w:val="22"/>
        </w:rPr>
        <w:t>Building on risk and protection factors for a child or young person’s mental health</w:t>
      </w:r>
    </w:p>
    <w:p w14:paraId="3A1A988E" w14:textId="31A7AF14" w:rsidR="0027784C" w:rsidRPr="0027784C" w:rsidRDefault="0027784C" w:rsidP="0027784C">
      <w:pPr>
        <w:pStyle w:val="ListParagraph"/>
        <w:ind w:left="360"/>
        <w:rPr>
          <w:rFonts w:asciiTheme="minorHAnsi" w:hAnsiTheme="minorHAnsi" w:cstheme="minorBidi"/>
          <w:sz w:val="22"/>
          <w:szCs w:val="22"/>
        </w:rPr>
      </w:pPr>
    </w:p>
    <w:p w14:paraId="1939A035" w14:textId="78DB6CEE" w:rsidR="003D69F0" w:rsidRPr="003D69F0" w:rsidRDefault="003D69F0" w:rsidP="003D69F0">
      <w:pPr>
        <w:rPr>
          <w:rFonts w:cstheme="minorHAnsi"/>
        </w:rPr>
      </w:pPr>
      <w:r w:rsidRPr="003D69F0">
        <w:rPr>
          <w:rFonts w:cstheme="minorHAnsi"/>
        </w:rPr>
        <w:t xml:space="preserve">In order to corroborate this, an audit was carried out across the Bradford District in order to gather a quick snapshot of children and young people’s recovery </w:t>
      </w:r>
      <w:r w:rsidR="00B17E60">
        <w:rPr>
          <w:rFonts w:cstheme="minorHAnsi"/>
        </w:rPr>
        <w:t xml:space="preserve">and identify </w:t>
      </w:r>
      <w:r w:rsidRPr="003D69F0">
        <w:rPr>
          <w:rFonts w:cstheme="minorHAnsi"/>
        </w:rPr>
        <w:t>any emerging concerns in school in order to inform commissioners, the LA and school leaders in relation to interventions and next steps.</w:t>
      </w:r>
    </w:p>
    <w:p w14:paraId="52C3D4B0" w14:textId="77777777" w:rsidR="003D69F0" w:rsidRPr="003D69F0" w:rsidRDefault="003D69F0" w:rsidP="003D69F0">
      <w:pPr>
        <w:rPr>
          <w:rFonts w:cstheme="minorHAnsi"/>
          <w:b/>
        </w:rPr>
      </w:pPr>
    </w:p>
    <w:p w14:paraId="3DC3500F" w14:textId="77777777" w:rsidR="003D69F0" w:rsidRPr="003D69F0" w:rsidRDefault="003D69F0" w:rsidP="003D69F0">
      <w:pPr>
        <w:jc w:val="center"/>
        <w:rPr>
          <w:rFonts w:cstheme="minorHAnsi"/>
          <w:b/>
          <w:sz w:val="24"/>
          <w:u w:val="single"/>
        </w:rPr>
      </w:pPr>
      <w:r w:rsidRPr="003D69F0">
        <w:rPr>
          <w:rFonts w:cstheme="minorHAnsi"/>
          <w:b/>
          <w:sz w:val="24"/>
          <w:u w:val="single"/>
        </w:rPr>
        <w:t>Methodology</w:t>
      </w:r>
    </w:p>
    <w:p w14:paraId="08E32D6A" w14:textId="3FF6951F" w:rsidR="003D69F0" w:rsidRDefault="003D69F0" w:rsidP="4766512A">
      <w:r>
        <w:t>The audit has been completed by the Mental Health Champion, or a member of staff with an overview of Social, Emotional and Mental Health issues across the individual schools. It is intended to give an overall ‘feel’ of the emotional climate in the setting rather than an exact measure of numbers of cases. It is based on a series of child focused statements regarding coming back to school post covid-19. Emerging feedback indicates that school staff are also experiencing difficulties in relation to their emotional wellbeing. An adapted version of the audit was used to collect this data.</w:t>
      </w:r>
    </w:p>
    <w:p w14:paraId="72799E4F" w14:textId="2452B132" w:rsidR="00A63B92" w:rsidRDefault="0027784C" w:rsidP="4766512A">
      <w:r>
        <w:t xml:space="preserve">A 6-point Likert scale was used to gather the participant </w:t>
      </w:r>
      <w:r w:rsidR="00C849DB">
        <w:t>responses</w:t>
      </w:r>
      <w:r>
        <w:t xml:space="preserve"> to the statements within the audit. The scale categories included: ‘almost all CYP (staff) feel like this’, ‘many CYP (staff) feel like </w:t>
      </w:r>
    </w:p>
    <w:p w14:paraId="7A9EF582" w14:textId="77777777" w:rsidR="00D60F85" w:rsidRDefault="00D60F85" w:rsidP="4766512A"/>
    <w:p w14:paraId="37C17067" w14:textId="77777777" w:rsidR="00A63B92" w:rsidRDefault="00A63B92" w:rsidP="4766512A"/>
    <w:p w14:paraId="71C3954F" w14:textId="1B3143DA" w:rsidR="0027784C" w:rsidRPr="003D69F0" w:rsidRDefault="0027784C" w:rsidP="4766512A">
      <w:r>
        <w:t>this’, ‘about half CYP (staff) feel like this’, ‘a few CYP (staff) feel like this’, and ‘hardly any/ no CYP feel like this’. The final point on the Likert scale presented the option of ‘I don’t know whether CYP (staff) feel like this’. This allowed respondents to record their feedback according to the strength of which they agreed with each statement in terms of number of CYP or staff.</w:t>
      </w:r>
    </w:p>
    <w:p w14:paraId="727D6746" w14:textId="57E98A88" w:rsidR="0022369E" w:rsidRPr="00B17E60" w:rsidRDefault="003D69F0" w:rsidP="00B17E60">
      <w:pPr>
        <w:rPr>
          <w:rFonts w:cstheme="minorHAnsi"/>
        </w:rPr>
      </w:pPr>
      <w:r w:rsidRPr="57967137">
        <w:t xml:space="preserve">The audit will be repeated at half termly intervals to provide dynamic, ongoing feedback on the responses to the pandemic, in order to shape and commission appropriate support. </w:t>
      </w:r>
    </w:p>
    <w:p w14:paraId="490D7E0E" w14:textId="766F80E7" w:rsidR="003D69F0" w:rsidRPr="00B17E60" w:rsidRDefault="003D69F0" w:rsidP="00B17E60">
      <w:pPr>
        <w:jc w:val="center"/>
        <w:rPr>
          <w:b/>
          <w:sz w:val="24"/>
          <w:u w:val="single"/>
        </w:rPr>
      </w:pPr>
      <w:r w:rsidRPr="003D69F0">
        <w:rPr>
          <w:b/>
          <w:sz w:val="24"/>
          <w:u w:val="single"/>
        </w:rPr>
        <w:t>Data Analysis</w:t>
      </w:r>
    </w:p>
    <w:p w14:paraId="78EF075F" w14:textId="3D6E760C" w:rsidR="003D69F0" w:rsidRPr="003D69F0" w:rsidRDefault="003D69F0" w:rsidP="003D69F0">
      <w:pPr>
        <w:jc w:val="center"/>
        <w:rPr>
          <w:b/>
          <w:sz w:val="24"/>
          <w:u w:val="single"/>
        </w:rPr>
      </w:pPr>
      <w:r w:rsidRPr="003D69F0">
        <w:rPr>
          <w:b/>
          <w:sz w:val="24"/>
          <w:u w:val="single"/>
        </w:rPr>
        <w:t>Results</w:t>
      </w:r>
    </w:p>
    <w:p w14:paraId="51A8D18B" w14:textId="5E9D2645" w:rsidR="002545F1" w:rsidRDefault="00550FAD" w:rsidP="007A31D3">
      <w:r>
        <w:t>Out of the</w:t>
      </w:r>
      <w:r w:rsidRPr="00026D69">
        <w:t xml:space="preserve"> </w:t>
      </w:r>
      <w:r w:rsidR="00F925E6" w:rsidRPr="00026D69">
        <w:t>104</w:t>
      </w:r>
      <w:r>
        <w:rPr>
          <w:b/>
        </w:rPr>
        <w:t xml:space="preserve"> </w:t>
      </w:r>
      <w:r>
        <w:t xml:space="preserve">schools that were sent the questionnaire, 67 completed </w:t>
      </w:r>
      <w:r w:rsidR="00026D69">
        <w:t>the children and</w:t>
      </w:r>
      <w:r>
        <w:t xml:space="preserve"> young people’s </w:t>
      </w:r>
      <w:r w:rsidR="00225CDB" w:rsidRPr="00C979A5">
        <w:t xml:space="preserve">(CYP) </w:t>
      </w:r>
      <w:r>
        <w:t xml:space="preserve">audit </w:t>
      </w:r>
      <w:r w:rsidR="00026D69">
        <w:t>(</w:t>
      </w:r>
      <w:r w:rsidR="00910F9F">
        <w:t xml:space="preserve">giving a </w:t>
      </w:r>
      <w:r w:rsidR="00026D69">
        <w:t>64.4% response rate). O</w:t>
      </w:r>
      <w:r>
        <w:t>f these</w:t>
      </w:r>
      <w:r w:rsidR="00225CDB">
        <w:t xml:space="preserve">, 14 </w:t>
      </w:r>
      <w:r>
        <w:t xml:space="preserve">also completed the staff audit. </w:t>
      </w:r>
      <w:r w:rsidR="000B5D54">
        <w:t>One additional school completed the staff audit</w:t>
      </w:r>
      <w:r w:rsidR="00026D69">
        <w:t xml:space="preserve"> (14.4% response rate)</w:t>
      </w:r>
      <w:r w:rsidR="000B5D54">
        <w:t xml:space="preserve">, but not the CYP audit. In total, 68 schools responded </w:t>
      </w:r>
      <w:r w:rsidR="00910F9F">
        <w:t>to at least one audit</w:t>
      </w:r>
      <w:r w:rsidR="000B5D54">
        <w:t>. The questionnaires were completed by the schools’ mental health champions (MHC) which included members of staff in a variety of roles, such as pupil support workers, teaching assistants, and deputy and head teachers (</w:t>
      </w:r>
      <w:r w:rsidR="00560E66">
        <w:t xml:space="preserve">see </w:t>
      </w:r>
      <w:hyperlink w:anchor="_Appendix_1:_Demographic" w:history="1">
        <w:r w:rsidR="00560E66" w:rsidRPr="00560E66">
          <w:rPr>
            <w:rStyle w:val="Hyperlink"/>
          </w:rPr>
          <w:t xml:space="preserve">Appendix </w:t>
        </w:r>
        <w:r w:rsidR="00866267">
          <w:rPr>
            <w:rStyle w:val="Hyperlink"/>
          </w:rPr>
          <w:t>A</w:t>
        </w:r>
      </w:hyperlink>
      <w:r w:rsidR="009A363C">
        <w:t xml:space="preserve"> for further</w:t>
      </w:r>
      <w:r w:rsidR="00560E66">
        <w:t xml:space="preserve"> details)</w:t>
      </w:r>
      <w:r>
        <w:t>.</w:t>
      </w:r>
    </w:p>
    <w:p w14:paraId="50A73A3F" w14:textId="77777777" w:rsidR="00950A3C" w:rsidRDefault="00950A3C" w:rsidP="00950A3C">
      <w:pPr>
        <w:rPr>
          <w:color w:val="000000" w:themeColor="text1"/>
        </w:rPr>
      </w:pPr>
      <w:r w:rsidRPr="44CD9549">
        <w:rPr>
          <w:color w:val="000000" w:themeColor="text1"/>
        </w:rPr>
        <w:t>The 68 schools covered a range of phases of education. Within the sample there were: 44 primary schools, 10 secondary schools, 2 secondary pupil referral units (PRUs), 2 special schools, 1 further education college, 1 joint primary and special school, and 8 joint primary schools with an early years or nursery phase.</w:t>
      </w:r>
    </w:p>
    <w:p w14:paraId="285B9D60" w14:textId="24AF8D57" w:rsidR="0050340D" w:rsidRDefault="0050340D" w:rsidP="007A31D3">
      <w:r>
        <w:t>The schools report</w:t>
      </w:r>
      <w:r w:rsidR="00C979A5">
        <w:t>ed</w:t>
      </w:r>
      <w:r>
        <w:t xml:space="preserve"> having a variety of sources of emotional wellbeing support. 99% reported having a mental health champion and </w:t>
      </w:r>
      <w:r w:rsidR="00294826">
        <w:t>53% reported h</w:t>
      </w:r>
      <w:r w:rsidR="00C979A5">
        <w:t>aving a school nurse. However, two</w:t>
      </w:r>
      <w:r w:rsidR="00294826">
        <w:t xml:space="preserve"> of the sc</w:t>
      </w:r>
      <w:r w:rsidR="00C979A5">
        <w:t>hools commented that the nurse wa</w:t>
      </w:r>
      <w:r w:rsidR="00294826">
        <w:t>s not employed to support mental health.</w:t>
      </w:r>
      <w:r w:rsidR="008E3B89">
        <w:t xml:space="preserve"> Additionally,</w:t>
      </w:r>
      <w:r w:rsidR="00294826">
        <w:t xml:space="preserve"> 71% of schools reported having at least one of the </w:t>
      </w:r>
      <w:r w:rsidR="4B6713FC">
        <w:t>following:</w:t>
      </w:r>
      <w:r w:rsidR="00294826">
        <w:t xml:space="preserve"> a commissioned counsellor, a commissioned educational psychologist, a primary mental health worker or an emotional wellbeing practitioner</w:t>
      </w:r>
      <w:r w:rsidR="36BAF8F8">
        <w:t xml:space="preserve"> (see </w:t>
      </w:r>
      <w:hyperlink w:anchor="_Appendix_B:_Sources" w:history="1">
        <w:r w:rsidR="36BAF8F8" w:rsidRPr="0027784C">
          <w:rPr>
            <w:rStyle w:val="Hyperlink"/>
          </w:rPr>
          <w:t>Appendix B</w:t>
        </w:r>
      </w:hyperlink>
      <w:r w:rsidR="36BAF8F8">
        <w:t xml:space="preserve"> for further </w:t>
      </w:r>
      <w:r w:rsidR="00910F9F">
        <w:t>details</w:t>
      </w:r>
      <w:r w:rsidR="36BAF8F8">
        <w:t>)</w:t>
      </w:r>
      <w:r w:rsidR="00294826">
        <w:t>.</w:t>
      </w:r>
    </w:p>
    <w:p w14:paraId="5DB144D0" w14:textId="6EE1F6BD" w:rsidR="00294826" w:rsidRDefault="00294826" w:rsidP="007A31D3">
      <w:r>
        <w:t>For all schools (</w:t>
      </w:r>
      <w:r w:rsidR="7FD6A16A">
        <w:t>except for</w:t>
      </w:r>
      <w:r>
        <w:t xml:space="preserve"> two), demographic data was collec</w:t>
      </w:r>
      <w:r w:rsidR="00C979A5">
        <w:t xml:space="preserve">ted, including: number of </w:t>
      </w:r>
      <w:r>
        <w:t>Black, Asian</w:t>
      </w:r>
      <w:r w:rsidR="00C979A5">
        <w:t xml:space="preserve"> and Minority Ethnic (BAME)</w:t>
      </w:r>
      <w:r>
        <w:t xml:space="preserve"> students, number of students eligible for free school meals (FSM), number of students from both the top 10% and top 30% most deprived areas in terms of their index of multiple deprivation (IMD), </w:t>
      </w:r>
      <w:r w:rsidR="036BFF45">
        <w:t>and</w:t>
      </w:r>
      <w:r>
        <w:t xml:space="preserve"> the IMD decile of the school. The two schools </w:t>
      </w:r>
      <w:r w:rsidR="00C979A5">
        <w:t xml:space="preserve">for </w:t>
      </w:r>
      <w:r>
        <w:t>which</w:t>
      </w:r>
      <w:r w:rsidR="00C979A5">
        <w:t xml:space="preserve"> this data</w:t>
      </w:r>
      <w:r>
        <w:t xml:space="preserve"> could not be obtained have been included in an overall analysis</w:t>
      </w:r>
      <w:r w:rsidR="002E7B64">
        <w:t>, as well as analysis by school type</w:t>
      </w:r>
      <w:r>
        <w:t xml:space="preserve">, but have been omitted from further specific analyses. </w:t>
      </w:r>
      <w:r w:rsidR="002E7B64">
        <w:t>These additional analyses look at findings with regards to demographic (in terms of proportions of BAME students), and socioeconomic status (in terms of proportions of students eligible for FSM, and IMD for both CYP proportions within the school, as well as the overall school decile).</w:t>
      </w:r>
      <w:r w:rsidR="007F5DE4">
        <w:t xml:space="preserve"> (Se</w:t>
      </w:r>
      <w:r w:rsidR="0027784C">
        <w:t xml:space="preserve">e </w:t>
      </w:r>
      <w:hyperlink w:anchor="_Appendix_C:_Demographic" w:history="1">
        <w:r w:rsidR="0027784C" w:rsidRPr="0027784C">
          <w:rPr>
            <w:rStyle w:val="Hyperlink"/>
          </w:rPr>
          <w:t>Appendix C</w:t>
        </w:r>
      </w:hyperlink>
      <w:r w:rsidR="0027784C">
        <w:t xml:space="preserve"> </w:t>
      </w:r>
      <w:r w:rsidR="00502513">
        <w:t xml:space="preserve">for breakdown of </w:t>
      </w:r>
      <w:r w:rsidR="007F5DE4">
        <w:t>demographic data.)</w:t>
      </w:r>
    </w:p>
    <w:p w14:paraId="26B6BDBA" w14:textId="6332AC25" w:rsidR="00161934" w:rsidRDefault="00161934"/>
    <w:p w14:paraId="2A02F60A" w14:textId="4EA59501" w:rsidR="0026588A" w:rsidRDefault="0026588A"/>
    <w:p w14:paraId="41522A1E" w14:textId="0826AA2D" w:rsidR="0026588A" w:rsidRDefault="0026588A"/>
    <w:p w14:paraId="4E5B3BB1" w14:textId="77777777" w:rsidR="0026588A" w:rsidRDefault="0026588A"/>
    <w:p w14:paraId="22A11F7A" w14:textId="77777777" w:rsidR="0026588A" w:rsidRDefault="0026588A" w:rsidP="0026588A">
      <w:pPr>
        <w:jc w:val="center"/>
        <w:rPr>
          <w:b/>
        </w:rPr>
      </w:pPr>
    </w:p>
    <w:p w14:paraId="6D9A638E" w14:textId="77777777" w:rsidR="00A63B92" w:rsidRDefault="00A63B92">
      <w:pPr>
        <w:rPr>
          <w:b/>
        </w:rPr>
      </w:pPr>
      <w:r>
        <w:rPr>
          <w:b/>
        </w:rPr>
        <w:br w:type="page"/>
      </w:r>
    </w:p>
    <w:p w14:paraId="33242294" w14:textId="4C04C22F" w:rsidR="00161934" w:rsidRDefault="00C31D58" w:rsidP="00D60F85">
      <w:pPr>
        <w:jc w:val="center"/>
        <w:rPr>
          <w:b/>
        </w:rPr>
      </w:pPr>
      <w:r>
        <w:rPr>
          <w:b/>
        </w:rPr>
        <w:lastRenderedPageBreak/>
        <w:t>C</w:t>
      </w:r>
      <w:r w:rsidR="000B5D54">
        <w:rPr>
          <w:b/>
        </w:rPr>
        <w:t xml:space="preserve">hildren and </w:t>
      </w:r>
      <w:r>
        <w:rPr>
          <w:b/>
        </w:rPr>
        <w:t>Y</w:t>
      </w:r>
      <w:r w:rsidR="000B5D54">
        <w:rPr>
          <w:b/>
        </w:rPr>
        <w:t xml:space="preserve">oung </w:t>
      </w:r>
      <w:r>
        <w:rPr>
          <w:b/>
        </w:rPr>
        <w:t>P</w:t>
      </w:r>
      <w:r w:rsidR="000B5D54">
        <w:rPr>
          <w:b/>
        </w:rPr>
        <w:t>eople’s</w:t>
      </w:r>
      <w:r>
        <w:rPr>
          <w:b/>
        </w:rPr>
        <w:t xml:space="preserve"> Audit</w:t>
      </w:r>
    </w:p>
    <w:p w14:paraId="758E0FF4" w14:textId="5FC1BAFC" w:rsidR="000B5D54" w:rsidRPr="004A586B" w:rsidRDefault="000B5D54" w:rsidP="000B5D54">
      <w:pPr>
        <w:rPr>
          <w:b/>
        </w:rPr>
      </w:pPr>
      <w:r>
        <w:rPr>
          <w:b/>
        </w:rPr>
        <w:t>Overall Findings</w:t>
      </w:r>
    </w:p>
    <w:p w14:paraId="6F82B195" w14:textId="1CA3FFDD" w:rsidR="00B17E60" w:rsidRDefault="000B5D54" w:rsidP="000B5D54">
      <w:r>
        <w:t xml:space="preserve">Firstly, looking at children and young people’s experience </w:t>
      </w:r>
      <w:r w:rsidR="00B17E60">
        <w:t>of</w:t>
      </w:r>
      <w:r>
        <w:t xml:space="preserve"> school life and work upon returning to education after the national lockdown, 94% of the MHC reported either many or almost all the school’s students felt happy about being back. In addition, 87% highlighted many or more to be ready to get back to learning. </w:t>
      </w:r>
      <w:r w:rsidR="00B17E60">
        <w:t xml:space="preserve">In terms of relationships and support systems within their school, 81% of MHC reported almost all their CYP to be happy to be able to see their friends again in school. </w:t>
      </w:r>
    </w:p>
    <w:p w14:paraId="4F3B056B" w14:textId="77777777" w:rsidR="00B17E60" w:rsidRDefault="000B5D54" w:rsidP="000B5D54">
      <w:r>
        <w:t xml:space="preserve">Despite this, 57% </w:t>
      </w:r>
      <w:r w:rsidR="00D3567A">
        <w:t xml:space="preserve">of </w:t>
      </w:r>
      <w:r>
        <w:t>MHC reported only half of their students to feel confident in their ability to catch up with the work they had missed over the lockdown. Only one of the 67 schools felt almost all their pupils had this confidence.</w:t>
      </w:r>
      <w:r w:rsidR="3486B85F">
        <w:t xml:space="preserve"> </w:t>
      </w:r>
    </w:p>
    <w:p w14:paraId="59F805AC" w14:textId="78261F92" w:rsidR="000B5D54" w:rsidRDefault="6D4208F0" w:rsidP="000B5D54">
      <w:r>
        <w:t xml:space="preserve">Additionally, 93% of MHC believed many to almost all CYP to feel that their school had made changes to help them feel </w:t>
      </w:r>
      <w:r w:rsidR="65982C29">
        <w:t>safe,</w:t>
      </w:r>
      <w:r>
        <w:t xml:space="preserve"> so they did not have to worr</w:t>
      </w:r>
      <w:r w:rsidR="1354F8D6">
        <w:t>y about catching the virus in school, and 97% reported many or more students to know what they needed to do to keep safe.</w:t>
      </w:r>
      <w:r w:rsidR="1F20F1B8">
        <w:t xml:space="preserve"> </w:t>
      </w:r>
    </w:p>
    <w:p w14:paraId="1AFE6F61" w14:textId="2524D626" w:rsidR="000B5D54" w:rsidRDefault="7A17C474" w:rsidP="000B5D54">
      <w:r>
        <w:t xml:space="preserve">In terms of how CYP </w:t>
      </w:r>
      <w:r w:rsidR="000B5D54">
        <w:t>have been coping with lockdown and returning to school amidst the pandemic, 77% of MHC reported around half to many of their school’s students to feel happy about the future and have a few ideas as to</w:t>
      </w:r>
      <w:r w:rsidR="00B17E60">
        <w:t xml:space="preserve"> what it might be like for them</w:t>
      </w:r>
      <w:r w:rsidR="000B5D54">
        <w:t>. Furthermore, almost all (96%) MHC thought at least half of their school’s CYP were happy with the new way of doing things and able to cope with the changes made.</w:t>
      </w:r>
    </w:p>
    <w:p w14:paraId="043648A6" w14:textId="77777777" w:rsidR="00B17E60" w:rsidRDefault="000B5D54" w:rsidP="000B5D54">
      <w:r>
        <w:t xml:space="preserve">With regards to the CYP’s home life and families, </w:t>
      </w:r>
      <w:r w:rsidR="32D399E5">
        <w:t>86% of MHC felt many to almost all students had felt safe at home and had not been mistreated over lockdown.</w:t>
      </w:r>
      <w:r>
        <w:t xml:space="preserve"> </w:t>
      </w:r>
      <w:r w:rsidR="00B17E60">
        <w:t xml:space="preserve"> A</w:t>
      </w:r>
      <w:r>
        <w:t xml:space="preserve">round half (51%) MHC reported many of their students’ families to get enough help and support at home. However, nine MHC were unsure about this. </w:t>
      </w:r>
    </w:p>
    <w:p w14:paraId="22F71586" w14:textId="77777777" w:rsidR="00B17E60" w:rsidRDefault="000B5D54" w:rsidP="000B5D54">
      <w:r>
        <w:t xml:space="preserve">Over the lockdown, responses to students being able to keep in touch with their friends as much as they needed to were mixed. Most (79%) reported between half and many students to have this ability, but in nine of the schools, only between hardly any and a few students </w:t>
      </w:r>
      <w:r w:rsidR="670F5917">
        <w:t>were</w:t>
      </w:r>
      <w:r>
        <w:t xml:space="preserve"> </w:t>
      </w:r>
      <w:r w:rsidR="670F5917">
        <w:t xml:space="preserve">reported as having </w:t>
      </w:r>
      <w:r>
        <w:t xml:space="preserve">this ability. As well as this, when asked about whether their students had learnt new or different things whilst being in lockdown, responses were also mixed. Fifteen of the 67 schools (22%) reported hardly any to only a few students to have achieved this. 40% said half their CYP had learnt something new over lockdown and an additional 28% said many had. </w:t>
      </w:r>
    </w:p>
    <w:p w14:paraId="4EBC3BA0" w14:textId="318DAB73" w:rsidR="00161934" w:rsidRDefault="000B5D54" w:rsidP="000B5D54">
      <w:r>
        <w:t>Finally, 77% of MHC were under the impression that at least half of their school’s CYP did not have anyone in their family or close to them who had been seriously ill or died as a result of coronavirus. However, in 11 of these schools it was recorded that hardly any to just a few CYP did not know anyone whose health had been directly affected by the virus.</w:t>
      </w:r>
    </w:p>
    <w:p w14:paraId="03C4CD6B" w14:textId="2F7A73D3" w:rsidR="0026588A" w:rsidRDefault="0026588A" w:rsidP="000B5D54"/>
    <w:p w14:paraId="07BA214D" w14:textId="0A9C2A91" w:rsidR="0026588A" w:rsidRDefault="0026588A" w:rsidP="000B5D54"/>
    <w:p w14:paraId="2419BADE" w14:textId="0A22A75A" w:rsidR="0026588A" w:rsidRDefault="0026588A" w:rsidP="000B5D54"/>
    <w:p w14:paraId="6E7ACCDB" w14:textId="7811F15B" w:rsidR="0026588A" w:rsidRDefault="0026588A" w:rsidP="000B5D54"/>
    <w:p w14:paraId="63651D61" w14:textId="3924ECAD" w:rsidR="0026588A" w:rsidRDefault="0026588A" w:rsidP="000B5D54"/>
    <w:p w14:paraId="58988BE7" w14:textId="6F3BFBB3" w:rsidR="0026588A" w:rsidRDefault="0026588A" w:rsidP="000B5D54"/>
    <w:p w14:paraId="6408A626" w14:textId="12873977" w:rsidR="0026588A" w:rsidRDefault="0026588A" w:rsidP="0026588A">
      <w:r w:rsidRPr="00192052">
        <w:rPr>
          <w:b/>
        </w:rPr>
        <w:lastRenderedPageBreak/>
        <w:t xml:space="preserve">Figure </w:t>
      </w:r>
      <w:r>
        <w:rPr>
          <w:b/>
        </w:rPr>
        <w:t>1</w:t>
      </w:r>
      <w:r>
        <w:t>: Percentage of MHC giving each response as to how many CYP they believed to agree with the item “I have learnt new or different things whilst being in lockdown”.</w:t>
      </w:r>
    </w:p>
    <w:p w14:paraId="69B8725F" w14:textId="20CF2E1F" w:rsidR="0026588A" w:rsidRDefault="0026588A" w:rsidP="000B5D54">
      <w:r>
        <w:rPr>
          <w:noProof/>
          <w:lang w:eastAsia="en-GB"/>
        </w:rPr>
        <w:drawing>
          <wp:inline distT="0" distB="0" distL="0" distR="0" wp14:anchorId="47291B40" wp14:editId="0F0744BD">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6485B3E" w14:textId="77777777" w:rsidR="00161934" w:rsidRPr="00086B63" w:rsidRDefault="00161934" w:rsidP="00161934">
      <w:pPr>
        <w:rPr>
          <w:b/>
        </w:rPr>
      </w:pPr>
      <w:r w:rsidRPr="00086B63">
        <w:rPr>
          <w:b/>
        </w:rPr>
        <w:t>Findings by School Type</w:t>
      </w:r>
    </w:p>
    <w:p w14:paraId="111C9AC1" w14:textId="54B708D1" w:rsidR="000B5D54" w:rsidRPr="00E84CC2" w:rsidRDefault="000B5D54" w:rsidP="000B5D54">
      <w:r>
        <w:t xml:space="preserve">Generally, across school type, findings were not too dissimilar. In most cases, MHC of all education stages (nursery, primary, and secondary) reported many to almost all their CYP to be both happy about being back at school, and ready to get back to learning (nursery= 100%, 100%; primary= 94%, 87%; secondary= 90%, 80%). With the increase in education stage, more MHC rated higher proportions of CYP to know where to get help or support if they began to feel worried or upset; where they reported almost all students to feel this way in 25% nurseries, 48% primary schools, and 70% secondary schools. For special schools and PRUs, 67% and 100%, respectively, rated all their students as knowing where to find help if needed. </w:t>
      </w:r>
    </w:p>
    <w:p w14:paraId="116997BC" w14:textId="22DBC6B7" w:rsidR="000B5D54" w:rsidRPr="00E84CC2" w:rsidRDefault="000B5D54" w:rsidP="000B5D54">
      <w:r>
        <w:t>With regard to the students themselves, fewer MHC reported many to almost all their students to feel happy about the new way of doing things and being able to cope with the changes made as a result of the coronavirus pandemic, as age group increased (nursery= 88%, primary= 70%, secondary= 60%). This was similar regarding MHC’s opinions on their students having enough mojo to get them through whatever might happen, where lower proportions of CYP were rated as expressi</w:t>
      </w:r>
      <w:r w:rsidR="00005F81">
        <w:t>ng this in the older age groups:</w:t>
      </w:r>
      <w:r>
        <w:t xml:space="preserve"> 88% nursery MHC, 66% primary MHC, and 40% secondary MHC reported many to almost all students to have enough m</w:t>
      </w:r>
      <w:r w:rsidR="00005F81">
        <w:t>ojo upon returning to school. Of secondary MHC,</w:t>
      </w:r>
      <w:r>
        <w:t xml:space="preserve"> 60% rated half or less to feel as though they could get though whatever might happen. Additionally, no MHC from either PRUs or special schools rated all students this way</w:t>
      </w:r>
      <w:r w:rsidR="60E6CC46">
        <w:t>.</w:t>
      </w:r>
    </w:p>
    <w:p w14:paraId="28FB2D70" w14:textId="77777777" w:rsidR="00005F81" w:rsidRDefault="000B5D54" w:rsidP="0026588A">
      <w:r>
        <w:t xml:space="preserve">Whilst at home during lockdown, 77% </w:t>
      </w:r>
      <w:r w:rsidR="00D3567A">
        <w:t xml:space="preserve">of </w:t>
      </w:r>
      <w:r>
        <w:t>primary MHC and 80%</w:t>
      </w:r>
      <w:r w:rsidR="00D3567A">
        <w:t xml:space="preserve"> of</w:t>
      </w:r>
      <w:r>
        <w:t xml:space="preserve"> secondary MHC recorded at least half of their school’s CYP to have learnt new or different things. This contrasts to only 51%</w:t>
      </w:r>
      <w:r w:rsidR="00D3567A">
        <w:t xml:space="preserve"> of</w:t>
      </w:r>
      <w:r>
        <w:t xml:space="preserve"> nursery MHC and 33% </w:t>
      </w:r>
      <w:r w:rsidR="00D3567A">
        <w:t xml:space="preserve">of </w:t>
      </w:r>
      <w:r>
        <w:t xml:space="preserve">special school MHC who identified </w:t>
      </w:r>
      <w:r w:rsidR="00005F81">
        <w:t>only</w:t>
      </w:r>
      <w:r>
        <w:t xml:space="preserve"> half of their students to have learnt new things over lockdown. </w:t>
      </w:r>
      <w:r w:rsidR="00005F81">
        <w:t>B</w:t>
      </w:r>
      <w:r>
        <w:t xml:space="preserve">oth PRU respondents (100%) indicated hardly any CYP to have learnt anything new. </w:t>
      </w:r>
    </w:p>
    <w:p w14:paraId="0B6E9B12" w14:textId="77777777" w:rsidR="00005F81" w:rsidRDefault="00005F81" w:rsidP="0026588A"/>
    <w:p w14:paraId="66D54D3C" w14:textId="77777777" w:rsidR="00D60F85" w:rsidRDefault="00D60F85" w:rsidP="0026588A"/>
    <w:p w14:paraId="5A7ECCD1" w14:textId="77777777" w:rsidR="00D60F85" w:rsidRDefault="00D60F85" w:rsidP="0026588A"/>
    <w:p w14:paraId="10B941CB" w14:textId="2000D1D6" w:rsidR="0026588A" w:rsidRPr="0026588A" w:rsidRDefault="00005F81" w:rsidP="0026588A">
      <w:r>
        <w:lastRenderedPageBreak/>
        <w:t>A</w:t>
      </w:r>
      <w:r w:rsidR="000B5D54">
        <w:t>lmost all MHC across all settings rated many to all their students to have felt safe at home and not been mistreated (nursery= 88%, primary= 87%, secondary= 100%, PRU= 100%). This did, however, differ for special schools, where all MHC rated between half and many CYP to have felt safe at home.</w:t>
      </w:r>
    </w:p>
    <w:p w14:paraId="53712598" w14:textId="4EACB59D" w:rsidR="0956155C" w:rsidRPr="0026588A" w:rsidRDefault="0956155C" w:rsidP="68252D7A">
      <w:pPr>
        <w:spacing w:line="257" w:lineRule="auto"/>
        <w:rPr>
          <w:rFonts w:ascii="Calibri" w:eastAsia="Calibri" w:hAnsi="Calibri" w:cs="Calibri"/>
        </w:rPr>
      </w:pPr>
      <w:r w:rsidRPr="0026588A">
        <w:rPr>
          <w:rFonts w:ascii="Calibri" w:eastAsia="Calibri" w:hAnsi="Calibri" w:cs="Calibri"/>
          <w:b/>
          <w:bCs/>
        </w:rPr>
        <w:t xml:space="preserve">Figure </w:t>
      </w:r>
      <w:r w:rsidR="0026588A" w:rsidRPr="0026588A">
        <w:rPr>
          <w:rFonts w:ascii="Calibri" w:eastAsia="Calibri" w:hAnsi="Calibri" w:cs="Calibri"/>
          <w:b/>
          <w:bCs/>
        </w:rPr>
        <w:t>2</w:t>
      </w:r>
      <w:r w:rsidRPr="0026588A">
        <w:rPr>
          <w:rFonts w:ascii="Calibri" w:eastAsia="Calibri" w:hAnsi="Calibri" w:cs="Calibri"/>
        </w:rPr>
        <w:t>: Percentage of MHC who rated at least half of the children or young people at their school on the item “I have learnt new or different things whilst being in lockdown”, by type of school.</w:t>
      </w:r>
    </w:p>
    <w:p w14:paraId="48E1BC2D" w14:textId="3B522C46" w:rsidR="000B5D54" w:rsidRPr="0026588A" w:rsidRDefault="0026588A" w:rsidP="000B5D54">
      <w:r>
        <w:rPr>
          <w:noProof/>
          <w:lang w:eastAsia="en-GB"/>
        </w:rPr>
        <w:drawing>
          <wp:inline distT="0" distB="0" distL="0" distR="0" wp14:anchorId="634B101A" wp14:editId="4869F056">
            <wp:extent cx="4136065" cy="2498651"/>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BBE056F" w14:textId="48FF9412" w:rsidR="00161934" w:rsidRPr="00BC6CA2" w:rsidRDefault="00161934" w:rsidP="68252D7A">
      <w:pPr>
        <w:rPr>
          <w:b/>
          <w:bCs/>
        </w:rPr>
      </w:pPr>
      <w:r w:rsidRPr="68252D7A">
        <w:rPr>
          <w:b/>
          <w:bCs/>
        </w:rPr>
        <w:t xml:space="preserve">Findings by </w:t>
      </w:r>
      <w:r w:rsidR="000B5D54" w:rsidRPr="68252D7A">
        <w:rPr>
          <w:b/>
          <w:bCs/>
        </w:rPr>
        <w:t xml:space="preserve">BAME </w:t>
      </w:r>
      <w:r w:rsidRPr="68252D7A">
        <w:rPr>
          <w:b/>
          <w:bCs/>
        </w:rPr>
        <w:t>Demographic</w:t>
      </w:r>
    </w:p>
    <w:p w14:paraId="203E3B1E" w14:textId="19D2B050" w:rsidR="000B5D54" w:rsidRPr="00161934" w:rsidRDefault="000B5D54" w:rsidP="000B5D54">
      <w:r>
        <w:t>Across many aspects, the proportions of BAME students within schools did not show major differences in responses given by MHC. In terms of school life and work, 3</w:t>
      </w:r>
      <w:r w:rsidR="7ACDA11F">
        <w:t>5</w:t>
      </w:r>
      <w:r>
        <w:t xml:space="preserve">% of MHC from schools with a student BAME percentage of </w:t>
      </w:r>
      <w:r w:rsidR="40078E7D" w:rsidRPr="68252D7A">
        <w:rPr>
          <w:rFonts w:eastAsiaTheme="minorEastAsia"/>
          <w:color w:val="202124"/>
          <w:sz w:val="24"/>
          <w:szCs w:val="24"/>
        </w:rPr>
        <w:t>&lt;</w:t>
      </w:r>
      <w:r w:rsidR="3495DC98" w:rsidRPr="68252D7A">
        <w:rPr>
          <w:rFonts w:eastAsiaTheme="minorEastAsia"/>
          <w:color w:val="202124"/>
          <w:sz w:val="24"/>
          <w:szCs w:val="24"/>
        </w:rPr>
        <w:t xml:space="preserve"> </w:t>
      </w:r>
      <w:r w:rsidR="4F336072" w:rsidRPr="68252D7A">
        <w:rPr>
          <w:rFonts w:eastAsiaTheme="minorEastAsia"/>
          <w:color w:val="202124"/>
          <w:sz w:val="24"/>
          <w:szCs w:val="24"/>
        </w:rPr>
        <w:t>25</w:t>
      </w:r>
      <w:r>
        <w:t xml:space="preserve">% reported many or almost all their students to feel confident in their ability to catch up with work missed over lockdown. However, of schools with </w:t>
      </w:r>
      <w:r w:rsidR="21539E36" w:rsidRPr="68252D7A">
        <w:rPr>
          <w:color w:val="222222"/>
        </w:rPr>
        <w:t>≥</w:t>
      </w:r>
      <w:r w:rsidR="0174059A" w:rsidRPr="68252D7A">
        <w:rPr>
          <w:color w:val="222222"/>
        </w:rPr>
        <w:t xml:space="preserve"> </w:t>
      </w:r>
      <w:r>
        <w:t xml:space="preserve">75% BAME students, only 11% </w:t>
      </w:r>
      <w:r w:rsidR="00D3567A">
        <w:t xml:space="preserve">of </w:t>
      </w:r>
      <w:r>
        <w:t xml:space="preserve">MHC reported many or more CYP to have this confidence. </w:t>
      </w:r>
    </w:p>
    <w:p w14:paraId="7EFD1374" w14:textId="19D2B050" w:rsidR="68252D7A" w:rsidRDefault="68252D7A" w:rsidP="68252D7A"/>
    <w:p w14:paraId="49714CB5" w14:textId="3735E6A5" w:rsidR="240310B2" w:rsidRPr="0026588A" w:rsidRDefault="240310B2" w:rsidP="68252D7A">
      <w:pPr>
        <w:spacing w:line="257" w:lineRule="auto"/>
        <w:rPr>
          <w:rFonts w:ascii="Calibri" w:eastAsia="Calibri" w:hAnsi="Calibri" w:cs="Calibri"/>
        </w:rPr>
      </w:pPr>
      <w:r w:rsidRPr="0026588A">
        <w:rPr>
          <w:rFonts w:ascii="Calibri" w:eastAsia="Calibri" w:hAnsi="Calibri" w:cs="Calibri"/>
          <w:b/>
          <w:bCs/>
        </w:rPr>
        <w:t xml:space="preserve">Figure </w:t>
      </w:r>
      <w:r w:rsidR="0026588A">
        <w:rPr>
          <w:rFonts w:ascii="Calibri" w:eastAsia="Calibri" w:hAnsi="Calibri" w:cs="Calibri"/>
          <w:b/>
          <w:bCs/>
        </w:rPr>
        <w:t>3</w:t>
      </w:r>
      <w:r w:rsidRPr="0026588A">
        <w:rPr>
          <w:rFonts w:ascii="Calibri" w:eastAsia="Calibri" w:hAnsi="Calibri" w:cs="Calibri"/>
        </w:rPr>
        <w:t>: Percentage of MHC who rated ‘many’ or ‘almost all’ of the children or young people at their school on the item “I am confident I will be able to catch up with missed work”, by percentage of BAME CYP within their school.</w:t>
      </w:r>
    </w:p>
    <w:p w14:paraId="215ED70E" w14:textId="1D5A70EC" w:rsidR="68252D7A" w:rsidRDefault="0026588A" w:rsidP="68252D7A">
      <w:r>
        <w:rPr>
          <w:noProof/>
          <w:lang w:eastAsia="en-GB"/>
        </w:rPr>
        <w:drawing>
          <wp:inline distT="0" distB="0" distL="0" distR="0" wp14:anchorId="31AAE0E8" wp14:editId="12A0B6BA">
            <wp:extent cx="4274288" cy="2541181"/>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FF4385" w14:textId="77777777" w:rsidR="00005F81" w:rsidRDefault="00005F81" w:rsidP="000B5D54"/>
    <w:p w14:paraId="0E6EB8C1" w14:textId="09032DC3" w:rsidR="000B5D54" w:rsidRPr="00161934" w:rsidRDefault="000B5D54" w:rsidP="000B5D54">
      <w:pPr>
        <w:rPr>
          <w:shd w:val="clear" w:color="auto" w:fill="FFFFFF"/>
        </w:rPr>
      </w:pPr>
      <w:r w:rsidRPr="00161934">
        <w:lastRenderedPageBreak/>
        <w:t xml:space="preserve">Proportions of BAME students were somewhat associated with MHC’s responses to their school’s CYP being happy about the future. Of the schools with </w:t>
      </w:r>
      <w:r w:rsidR="002A559E">
        <w:rPr>
          <w:rFonts w:eastAsiaTheme="minorEastAsia"/>
          <w:color w:val="202124"/>
          <w:sz w:val="24"/>
          <w:szCs w:val="24"/>
        </w:rPr>
        <w:t>&lt;</w:t>
      </w:r>
      <w:r w:rsidR="132C0611" w:rsidRPr="03C14469">
        <w:rPr>
          <w:rFonts w:eastAsiaTheme="minorEastAsia"/>
          <w:color w:val="202124"/>
          <w:sz w:val="24"/>
          <w:szCs w:val="24"/>
        </w:rPr>
        <w:t xml:space="preserve"> </w:t>
      </w:r>
      <w:r w:rsidRPr="00161934">
        <w:t xml:space="preserve">25% BAME students, </w:t>
      </w:r>
      <w:r w:rsidRPr="714D5029">
        <w:t>96%</w:t>
      </w:r>
      <w:r w:rsidRPr="00161934">
        <w:t xml:space="preserve"> </w:t>
      </w:r>
      <w:r w:rsidR="00D3567A">
        <w:t xml:space="preserve">of </w:t>
      </w:r>
      <w:r w:rsidRPr="00161934">
        <w:t xml:space="preserve">MHC rated half or more CYP to be happy about their future, having a few ideas as to what it might be like for them. </w:t>
      </w:r>
      <w:r w:rsidR="3315F972" w:rsidRPr="00161934">
        <w:t>This decreased</w:t>
      </w:r>
      <w:r w:rsidRPr="00161934">
        <w:t xml:space="preserve"> to only </w:t>
      </w:r>
      <w:r w:rsidRPr="714D5029">
        <w:t>64%</w:t>
      </w:r>
      <w:r w:rsidRPr="00161934">
        <w:t xml:space="preserve"> </w:t>
      </w:r>
      <w:r w:rsidR="00D3567A">
        <w:t xml:space="preserve">of </w:t>
      </w:r>
      <w:r w:rsidRPr="00161934">
        <w:t xml:space="preserve">MHC from schools with </w:t>
      </w:r>
      <w:r w:rsidR="1436DF2D" w:rsidRPr="60B1949F">
        <w:rPr>
          <w:color w:val="222222"/>
        </w:rPr>
        <w:t>≥</w:t>
      </w:r>
      <w:r w:rsidR="1436DF2D" w:rsidRPr="03C14469">
        <w:rPr>
          <w:color w:val="222222"/>
        </w:rPr>
        <w:t xml:space="preserve"> </w:t>
      </w:r>
      <w:r w:rsidRPr="00161934">
        <w:t>75% BAME students. The percentages of MHC reporting many or more</w:t>
      </w:r>
      <w:r>
        <w:t xml:space="preserve"> of their school’s students having</w:t>
      </w:r>
      <w:r w:rsidRPr="00161934">
        <w:t xml:space="preserve"> enough mojo to get them through whatever might happen were similar across all schools. However, 16% of MHC from schools with the greatest proportions of BAME students </w:t>
      </w:r>
      <w:r w:rsidRPr="44CD9549">
        <w:t>(</w:t>
      </w:r>
      <w:r w:rsidRPr="44CD9549">
        <w:rPr>
          <w:shd w:val="clear" w:color="auto" w:fill="FFFFFF"/>
        </w:rPr>
        <w:t>≥ 75%) reported hardly any to only a few to have this mojo.</w:t>
      </w:r>
    </w:p>
    <w:p w14:paraId="03BB7078" w14:textId="00A1863F" w:rsidR="00161934" w:rsidRPr="00161934" w:rsidRDefault="11687BE3" w:rsidP="4766512A">
      <w:pPr>
        <w:rPr>
          <w:color w:val="222222"/>
          <w:shd w:val="clear" w:color="auto" w:fill="FFFFFF"/>
        </w:rPr>
      </w:pPr>
      <w:r w:rsidRPr="44CD9549">
        <w:rPr>
          <w:color w:val="222222"/>
          <w:shd w:val="clear" w:color="auto" w:fill="FFFFFF"/>
        </w:rPr>
        <w:t>Regarding</w:t>
      </w:r>
      <w:r w:rsidR="000B5D54" w:rsidRPr="44CD9549">
        <w:rPr>
          <w:color w:val="222222"/>
          <w:shd w:val="clear" w:color="auto" w:fill="FFFFFF"/>
        </w:rPr>
        <w:t xml:space="preserve"> more specifically </w:t>
      </w:r>
      <w:r w:rsidR="675DCB98" w:rsidRPr="44CD9549">
        <w:rPr>
          <w:color w:val="222222"/>
          <w:shd w:val="clear" w:color="auto" w:fill="FFFFFF"/>
        </w:rPr>
        <w:t>to</w:t>
      </w:r>
      <w:r w:rsidR="000B5D54" w:rsidRPr="44CD9549">
        <w:rPr>
          <w:color w:val="222222"/>
          <w:shd w:val="clear" w:color="auto" w:fill="FFFFFF"/>
        </w:rPr>
        <w:t xml:space="preserve"> the CYP’s family and home lives, only </w:t>
      </w:r>
      <w:r w:rsidR="000B5D54" w:rsidRPr="714D5029">
        <w:rPr>
          <w:color w:val="222222"/>
          <w:shd w:val="clear" w:color="auto" w:fill="FFFFFF"/>
        </w:rPr>
        <w:t>42%</w:t>
      </w:r>
      <w:r w:rsidR="000B5D54" w:rsidRPr="44CD9549">
        <w:rPr>
          <w:color w:val="222222"/>
          <w:shd w:val="clear" w:color="auto" w:fill="FFFFFF"/>
        </w:rPr>
        <w:t xml:space="preserve"> of MHC from schools of </w:t>
      </w:r>
      <w:r w:rsidR="4741E944">
        <w:t xml:space="preserve">≥ </w:t>
      </w:r>
      <w:r w:rsidR="000B5D54" w:rsidRPr="44CD9549">
        <w:rPr>
          <w:color w:val="222222"/>
          <w:shd w:val="clear" w:color="auto" w:fill="FFFFFF"/>
        </w:rPr>
        <w:t>75% BAME students reported many to all CYP feeling as though their family gets enough help and support at home. This contrasts against</w:t>
      </w:r>
      <w:r w:rsidR="000B5D54" w:rsidRPr="47479927">
        <w:rPr>
          <w:color w:val="FF0000"/>
          <w:shd w:val="clear" w:color="auto" w:fill="FFFFFF"/>
        </w:rPr>
        <w:t xml:space="preserve"> </w:t>
      </w:r>
      <w:r w:rsidR="000B5D54" w:rsidRPr="44CD9549">
        <w:rPr>
          <w:color w:val="222222"/>
          <w:shd w:val="clear" w:color="auto" w:fill="FFFFFF"/>
        </w:rPr>
        <w:t xml:space="preserve">70% </w:t>
      </w:r>
      <w:r w:rsidR="33F1C4EC" w:rsidRPr="44CD9549">
        <w:rPr>
          <w:color w:val="222222"/>
          <w:shd w:val="clear" w:color="auto" w:fill="FFFFFF"/>
        </w:rPr>
        <w:t xml:space="preserve">from schools with </w:t>
      </w:r>
      <w:r w:rsidR="367BF9D2" w:rsidRPr="68252D7A">
        <w:rPr>
          <w:rFonts w:eastAsiaTheme="minorEastAsia"/>
          <w:color w:val="202124"/>
          <w:sz w:val="24"/>
          <w:szCs w:val="24"/>
        </w:rPr>
        <w:t>&lt;</w:t>
      </w:r>
      <w:r w:rsidR="000B5D54" w:rsidRPr="44CD9549">
        <w:rPr>
          <w:color w:val="222222"/>
          <w:shd w:val="clear" w:color="auto" w:fill="FFFFFF"/>
        </w:rPr>
        <w:t xml:space="preserve"> 25% BAME</w:t>
      </w:r>
      <w:r w:rsidR="50DAEA82" w:rsidRPr="44CD9549">
        <w:rPr>
          <w:color w:val="222222"/>
          <w:shd w:val="clear" w:color="auto" w:fill="FFFFFF"/>
        </w:rPr>
        <w:t xml:space="preserve"> CYP</w:t>
      </w:r>
      <w:r w:rsidR="000B5D54" w:rsidRPr="44CD9549">
        <w:rPr>
          <w:color w:val="222222"/>
          <w:shd w:val="clear" w:color="auto" w:fill="FFFFFF"/>
        </w:rPr>
        <w:t xml:space="preserve">, reporting the same numbers. Finally, </w:t>
      </w:r>
      <w:r w:rsidR="257BC9CB" w:rsidRPr="44CD9549">
        <w:rPr>
          <w:color w:val="222222"/>
          <w:shd w:val="clear" w:color="auto" w:fill="FFFFFF"/>
        </w:rPr>
        <w:t>t</w:t>
      </w:r>
      <w:r w:rsidR="63BFF831" w:rsidRPr="44CD9549">
        <w:rPr>
          <w:color w:val="222222"/>
          <w:shd w:val="clear" w:color="auto" w:fill="FFFFFF"/>
        </w:rPr>
        <w:t>here was</w:t>
      </w:r>
      <w:r w:rsidR="000B5D54" w:rsidRPr="44CD9549">
        <w:rPr>
          <w:color w:val="222222"/>
          <w:shd w:val="clear" w:color="auto" w:fill="FFFFFF"/>
        </w:rPr>
        <w:t xml:space="preserve"> also </w:t>
      </w:r>
      <w:r w:rsidR="63BFF831" w:rsidRPr="44CD9549">
        <w:rPr>
          <w:color w:val="222222"/>
          <w:shd w:val="clear" w:color="auto" w:fill="FFFFFF"/>
        </w:rPr>
        <w:t xml:space="preserve">some difference in </w:t>
      </w:r>
      <w:r w:rsidR="000B5D54" w:rsidRPr="44CD9549">
        <w:rPr>
          <w:color w:val="222222"/>
          <w:shd w:val="clear" w:color="auto" w:fill="FFFFFF"/>
        </w:rPr>
        <w:t xml:space="preserve">MHC’s </w:t>
      </w:r>
      <w:r w:rsidR="63BFF831" w:rsidRPr="44CD9549">
        <w:rPr>
          <w:color w:val="222222"/>
          <w:shd w:val="clear" w:color="auto" w:fill="FFFFFF"/>
        </w:rPr>
        <w:t>opinions</w:t>
      </w:r>
      <w:r w:rsidR="000B5D54" w:rsidRPr="44CD9549">
        <w:rPr>
          <w:color w:val="222222"/>
          <w:shd w:val="clear" w:color="auto" w:fill="FFFFFF"/>
        </w:rPr>
        <w:t xml:space="preserve"> on whether CYP could keep in touch with their friends as much as they needed to. </w:t>
      </w:r>
      <w:r w:rsidR="6564EEA1" w:rsidRPr="44CD9549">
        <w:rPr>
          <w:color w:val="222222"/>
          <w:shd w:val="clear" w:color="auto" w:fill="FFFFFF"/>
        </w:rPr>
        <w:t xml:space="preserve">Only </w:t>
      </w:r>
      <w:r w:rsidR="000B5D54" w:rsidRPr="44CD9549">
        <w:rPr>
          <w:color w:val="222222"/>
          <w:shd w:val="clear" w:color="auto" w:fill="FFFFFF"/>
        </w:rPr>
        <w:t>21% of MHC from schools with ≥</w:t>
      </w:r>
      <w:r w:rsidR="547DDEB6" w:rsidRPr="44CD9549">
        <w:rPr>
          <w:color w:val="222222"/>
          <w:shd w:val="clear" w:color="auto" w:fill="FFFFFF"/>
        </w:rPr>
        <w:t xml:space="preserve"> </w:t>
      </w:r>
      <w:r w:rsidR="000B5D54" w:rsidRPr="44CD9549">
        <w:rPr>
          <w:color w:val="222222"/>
          <w:shd w:val="clear" w:color="auto" w:fill="FFFFFF"/>
        </w:rPr>
        <w:t xml:space="preserve">75% BAME students reported many to all students to have this ability, contrasting to 54% </w:t>
      </w:r>
      <w:r w:rsidR="00D3567A">
        <w:rPr>
          <w:color w:val="222222"/>
          <w:shd w:val="clear" w:color="auto" w:fill="FFFFFF"/>
        </w:rPr>
        <w:t xml:space="preserve">of </w:t>
      </w:r>
      <w:r w:rsidR="000B5D54" w:rsidRPr="44CD9549">
        <w:rPr>
          <w:color w:val="222222"/>
          <w:shd w:val="clear" w:color="auto" w:fill="FFFFFF"/>
        </w:rPr>
        <w:t xml:space="preserve">MHC from schools with </w:t>
      </w:r>
      <w:r w:rsidR="0B002311" w:rsidRPr="44CD9549">
        <w:rPr>
          <w:color w:val="222222"/>
          <w:shd w:val="clear" w:color="auto" w:fill="FFFFFF"/>
        </w:rPr>
        <w:t xml:space="preserve">&lt; </w:t>
      </w:r>
      <w:r w:rsidR="7116EE3D" w:rsidRPr="44CD9549">
        <w:rPr>
          <w:color w:val="222222"/>
          <w:shd w:val="clear" w:color="auto" w:fill="FFFFFF"/>
        </w:rPr>
        <w:t>25% BAME students.</w:t>
      </w:r>
    </w:p>
    <w:p w14:paraId="48AED37E" w14:textId="422F94DC" w:rsidR="68252D7A" w:rsidRDefault="68252D7A" w:rsidP="68252D7A">
      <w:pPr>
        <w:rPr>
          <w:color w:val="222222"/>
        </w:rPr>
      </w:pPr>
    </w:p>
    <w:p w14:paraId="382D1F04" w14:textId="4A669FF5" w:rsidR="197F8517" w:rsidRDefault="197F8517" w:rsidP="68252D7A">
      <w:pPr>
        <w:spacing w:line="257" w:lineRule="auto"/>
      </w:pPr>
      <w:r w:rsidRPr="0026588A">
        <w:rPr>
          <w:rFonts w:ascii="Calibri" w:eastAsia="Calibri" w:hAnsi="Calibri" w:cs="Calibri"/>
          <w:b/>
          <w:bCs/>
        </w:rPr>
        <w:t xml:space="preserve">Figure </w:t>
      </w:r>
      <w:r w:rsidR="0026588A" w:rsidRPr="0026588A">
        <w:rPr>
          <w:rFonts w:ascii="Calibri" w:eastAsia="Calibri" w:hAnsi="Calibri" w:cs="Calibri"/>
          <w:b/>
          <w:bCs/>
        </w:rPr>
        <w:t>4</w:t>
      </w:r>
      <w:r w:rsidRPr="0026588A">
        <w:rPr>
          <w:rFonts w:ascii="Calibri" w:eastAsia="Calibri" w:hAnsi="Calibri" w:cs="Calibri"/>
        </w:rPr>
        <w:t>: Percentage of MHC who rated ‘many’ or ‘almost all’ of the children or young people at their school on the item “I can keep up with my friends as much as I need to”, by percentage of BAME CYP within their school.</w:t>
      </w:r>
    </w:p>
    <w:p w14:paraId="48D650AF" w14:textId="4D00815E" w:rsidR="00161934" w:rsidRPr="0026588A" w:rsidRDefault="0026588A" w:rsidP="00161934">
      <w:pPr>
        <w:rPr>
          <w:color w:val="222222"/>
        </w:rPr>
      </w:pPr>
      <w:r>
        <w:rPr>
          <w:noProof/>
          <w:lang w:eastAsia="en-GB"/>
        </w:rPr>
        <w:drawing>
          <wp:inline distT="0" distB="0" distL="0" distR="0" wp14:anchorId="01606858" wp14:editId="603C5356">
            <wp:extent cx="4279900" cy="2489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0E2200A" w14:textId="0FE043DE" w:rsidR="00161934" w:rsidRPr="00161934" w:rsidRDefault="00161934" w:rsidP="00161934">
      <w:pPr>
        <w:rPr>
          <w:b/>
        </w:rPr>
      </w:pPr>
      <w:r w:rsidRPr="00161934">
        <w:rPr>
          <w:b/>
        </w:rPr>
        <w:t>Findings by Socioeconomic Status</w:t>
      </w:r>
    </w:p>
    <w:p w14:paraId="5DF410FF" w14:textId="77777777" w:rsidR="00161934" w:rsidRPr="00161934" w:rsidRDefault="00161934" w:rsidP="00161934">
      <w:pPr>
        <w:rPr>
          <w:b/>
          <w:i/>
        </w:rPr>
      </w:pPr>
      <w:r w:rsidRPr="68252D7A">
        <w:rPr>
          <w:b/>
          <w:bCs/>
          <w:i/>
          <w:iCs/>
        </w:rPr>
        <w:t>Free School Meals</w:t>
      </w:r>
    </w:p>
    <w:p w14:paraId="4FB0E181" w14:textId="6C420BC5" w:rsidR="00D43A1E" w:rsidRDefault="00EA455E" w:rsidP="68252D7A">
      <w:r w:rsidRPr="68252D7A">
        <w:t xml:space="preserve">When looking at items concerning student’s school lives, </w:t>
      </w:r>
      <w:r w:rsidR="00D43A1E" w:rsidRPr="68252D7A">
        <w:t xml:space="preserve">there was little difference </w:t>
      </w:r>
      <w:r w:rsidR="007764FF" w:rsidRPr="68252D7A">
        <w:t xml:space="preserve">between </w:t>
      </w:r>
      <w:r w:rsidR="00396765" w:rsidRPr="68252D7A">
        <w:t>schools who had greater proportions of eligible FSM students</w:t>
      </w:r>
      <w:r w:rsidR="00544A40" w:rsidRPr="68252D7A">
        <w:t xml:space="preserve"> (</w:t>
      </w:r>
      <w:r w:rsidR="00675E8F" w:rsidRPr="68252D7A">
        <w:t>over 25%</w:t>
      </w:r>
      <w:r w:rsidR="005802F5" w:rsidRPr="68252D7A">
        <w:t xml:space="preserve">) and those who </w:t>
      </w:r>
      <w:r w:rsidR="002619E5" w:rsidRPr="68252D7A">
        <w:t>had lesser students (25% or less)</w:t>
      </w:r>
      <w:r w:rsidR="2C04B3AD" w:rsidRPr="68252D7A">
        <w:t xml:space="preserve"> eligible for this</w:t>
      </w:r>
      <w:r w:rsidR="002619E5" w:rsidRPr="68252D7A">
        <w:t xml:space="preserve">. </w:t>
      </w:r>
      <w:r w:rsidR="00BD4D52" w:rsidRPr="68252D7A">
        <w:t>MHC reported that many to almost all CYP knew and understood what to do in order to keep safe upon returning to school amidst the coronavirus pandemic; this was the case in 100% of schools with lesser proportions</w:t>
      </w:r>
      <w:r w:rsidR="73A49015" w:rsidRPr="68252D7A">
        <w:t xml:space="preserve"> (</w:t>
      </w:r>
      <w:r w:rsidR="391ED455" w:rsidRPr="68252D7A">
        <w:rPr>
          <w:rFonts w:ascii="Calibri" w:eastAsia="Calibri" w:hAnsi="Calibri" w:cs="Calibri"/>
          <w:color w:val="333333"/>
        </w:rPr>
        <w:t>≤ 25%</w:t>
      </w:r>
      <w:r w:rsidR="73A49015" w:rsidRPr="68252D7A">
        <w:t>)</w:t>
      </w:r>
      <w:r w:rsidR="091DF26D" w:rsidRPr="68252D7A">
        <w:t xml:space="preserve">, </w:t>
      </w:r>
      <w:r w:rsidR="00BD4D52" w:rsidRPr="68252D7A">
        <w:t xml:space="preserve">and </w:t>
      </w:r>
      <w:r w:rsidR="59758BE7" w:rsidRPr="68252D7A">
        <w:t xml:space="preserve">in </w:t>
      </w:r>
      <w:r w:rsidR="00BD4D52" w:rsidRPr="68252D7A">
        <w:t>90% with greater proportions</w:t>
      </w:r>
      <w:r w:rsidR="07EF4B63" w:rsidRPr="68252D7A">
        <w:t xml:space="preserve"> (</w:t>
      </w:r>
      <w:r w:rsidR="047BD1CA" w:rsidRPr="68252D7A">
        <w:t>&gt; 25%)</w:t>
      </w:r>
      <w:r w:rsidR="00BD4D52" w:rsidRPr="68252D7A">
        <w:t>.</w:t>
      </w:r>
      <w:r w:rsidR="00D42C38" w:rsidRPr="68252D7A">
        <w:t xml:space="preserve"> </w:t>
      </w:r>
    </w:p>
    <w:p w14:paraId="6EB5F561" w14:textId="77777777" w:rsidR="00005F81" w:rsidRDefault="00C25877" w:rsidP="68252D7A">
      <w:r w:rsidRPr="68252D7A">
        <w:t>An area which did show a difference however,</w:t>
      </w:r>
      <w:r w:rsidR="002D26C9" w:rsidRPr="68252D7A">
        <w:t xml:space="preserve"> concerned sleeping and eating</w:t>
      </w:r>
      <w:r w:rsidR="000679B2" w:rsidRPr="68252D7A">
        <w:t xml:space="preserve">. </w:t>
      </w:r>
      <w:r w:rsidR="00EA455E" w:rsidRPr="68252D7A">
        <w:t xml:space="preserve">Of </w:t>
      </w:r>
      <w:r w:rsidR="000679B2" w:rsidRPr="68252D7A">
        <w:t>the</w:t>
      </w:r>
      <w:r w:rsidR="00EA455E" w:rsidRPr="68252D7A">
        <w:t xml:space="preserve"> schools with 25% or less students eligible for FSM, 67% </w:t>
      </w:r>
      <w:r w:rsidR="00D3567A" w:rsidRPr="68252D7A">
        <w:t xml:space="preserve">of </w:t>
      </w:r>
      <w:r w:rsidR="00EA455E" w:rsidRPr="68252D7A">
        <w:t>MHC reported</w:t>
      </w:r>
      <w:r w:rsidR="00C916AD" w:rsidRPr="68252D7A">
        <w:t xml:space="preserve"> that</w:t>
      </w:r>
      <w:r w:rsidR="00EA455E" w:rsidRPr="68252D7A">
        <w:t xml:space="preserve"> many</w:t>
      </w:r>
      <w:r w:rsidR="00C916AD" w:rsidRPr="68252D7A">
        <w:t xml:space="preserve">, </w:t>
      </w:r>
      <w:r w:rsidR="00EA455E" w:rsidRPr="68252D7A">
        <w:t xml:space="preserve">or more CYP </w:t>
      </w:r>
      <w:r w:rsidR="00E97315" w:rsidRPr="68252D7A">
        <w:t>were</w:t>
      </w:r>
      <w:r w:rsidR="00EA455E" w:rsidRPr="68252D7A">
        <w:t xml:space="preserve"> sleeping </w:t>
      </w:r>
    </w:p>
    <w:p w14:paraId="14EB8890" w14:textId="77777777" w:rsidR="00005F81" w:rsidRDefault="00005F81" w:rsidP="68252D7A"/>
    <w:p w14:paraId="60B6455C" w14:textId="5593748F" w:rsidR="00C916AD" w:rsidRDefault="00EA455E" w:rsidP="68252D7A">
      <w:r w:rsidRPr="68252D7A">
        <w:lastRenderedPageBreak/>
        <w:t xml:space="preserve">okay. </w:t>
      </w:r>
      <w:r w:rsidR="00B92748" w:rsidRPr="68252D7A">
        <w:t>Contrastingly,</w:t>
      </w:r>
      <w:r w:rsidR="4FDE6FB9" w:rsidRPr="68252D7A">
        <w:t xml:space="preserve"> of</w:t>
      </w:r>
      <w:r w:rsidR="00B92748" w:rsidRPr="68252D7A">
        <w:t xml:space="preserve"> </w:t>
      </w:r>
      <w:r w:rsidR="007905F4" w:rsidRPr="68252D7A">
        <w:t xml:space="preserve">schools with </w:t>
      </w:r>
      <w:r w:rsidR="001E2656" w:rsidRPr="68252D7A">
        <w:t xml:space="preserve">over 25% </w:t>
      </w:r>
      <w:r w:rsidR="009C66F1" w:rsidRPr="68252D7A">
        <w:t>of students eligible for FSM</w:t>
      </w:r>
      <w:r w:rsidR="00603B67" w:rsidRPr="68252D7A">
        <w:t>, only 46% of MHC reported many or more CYP to be sleeping okay.</w:t>
      </w:r>
      <w:r w:rsidR="3316942D" w:rsidRPr="68252D7A">
        <w:t xml:space="preserve"> Furthermore, 89% of MHC from schools with </w:t>
      </w:r>
      <w:r w:rsidR="3316942D" w:rsidRPr="68252D7A">
        <w:rPr>
          <w:rFonts w:ascii="Calibri" w:eastAsia="Calibri" w:hAnsi="Calibri" w:cs="Calibri"/>
          <w:color w:val="333333"/>
        </w:rPr>
        <w:t>≤ 25%</w:t>
      </w:r>
      <w:r w:rsidR="0455A0F1" w:rsidRPr="68252D7A">
        <w:rPr>
          <w:rFonts w:ascii="Calibri" w:eastAsia="Calibri" w:hAnsi="Calibri" w:cs="Calibri"/>
          <w:color w:val="333333"/>
        </w:rPr>
        <w:t xml:space="preserve"> CYP eligible for FSM reported many to almost all to be eating okay, compared with 73% of MHC from schools with &gt; 25% eligible.</w:t>
      </w:r>
    </w:p>
    <w:p w14:paraId="1D2D02B6" w14:textId="25FB648C" w:rsidR="00161934" w:rsidRPr="002B7F34" w:rsidRDefault="00EA455E" w:rsidP="68252D7A">
      <w:r w:rsidRPr="68252D7A">
        <w:t xml:space="preserve">Some of the largest areas of disparity were on items regarding CYP’s family and home life. </w:t>
      </w:r>
      <w:r w:rsidR="00156FE7" w:rsidRPr="68252D7A">
        <w:t>Of the s</w:t>
      </w:r>
      <w:r w:rsidR="001D79B9" w:rsidRPr="68252D7A">
        <w:t xml:space="preserve">chools with </w:t>
      </w:r>
      <w:r w:rsidR="00E56728" w:rsidRPr="68252D7A">
        <w:t xml:space="preserve">over 25% </w:t>
      </w:r>
      <w:r w:rsidR="005C4DDA" w:rsidRPr="68252D7A">
        <w:t>of students eligible for FSM</w:t>
      </w:r>
      <w:r w:rsidR="00156FE7" w:rsidRPr="68252D7A">
        <w:t xml:space="preserve">, 79% reported </w:t>
      </w:r>
      <w:r w:rsidR="0008012B" w:rsidRPr="68252D7A">
        <w:t xml:space="preserve">that their students </w:t>
      </w:r>
      <w:r w:rsidR="00125E95" w:rsidRPr="68252D7A">
        <w:t xml:space="preserve">thought that their families were doing okay and had got along during lockdown. </w:t>
      </w:r>
      <w:r w:rsidR="001A4606" w:rsidRPr="68252D7A">
        <w:t>Only 48% of MHC from schools with over 25% eligible rated many or more students to feel this way.</w:t>
      </w:r>
      <w:r w:rsidR="00901F5E" w:rsidRPr="68252D7A">
        <w:t xml:space="preserve"> </w:t>
      </w:r>
      <w:r w:rsidRPr="68252D7A">
        <w:t>Similarly, of schools with lesser proportions of students being eligible for FSM, 74% of MHC reported that many or more CYP did not have anyone in their family or close to them who had been seriously ill or died due to coronavirus.</w:t>
      </w:r>
      <w:r w:rsidR="00772821" w:rsidRPr="68252D7A">
        <w:t xml:space="preserve"> </w:t>
      </w:r>
      <w:r w:rsidR="002B7F34" w:rsidRPr="68252D7A">
        <w:t xml:space="preserve">Contrastingly, </w:t>
      </w:r>
      <w:r w:rsidR="003624C3" w:rsidRPr="68252D7A">
        <w:t>of</w:t>
      </w:r>
      <w:r w:rsidR="002B7F34" w:rsidRPr="68252D7A">
        <w:t xml:space="preserve"> the</w:t>
      </w:r>
      <w:r w:rsidR="002F4710" w:rsidRPr="68252D7A">
        <w:t xml:space="preserve"> MHC from </w:t>
      </w:r>
      <w:r w:rsidR="00772821" w:rsidRPr="68252D7A">
        <w:t xml:space="preserve">schools </w:t>
      </w:r>
      <w:r w:rsidR="002F4710" w:rsidRPr="68252D7A">
        <w:t xml:space="preserve">with greater proportions of </w:t>
      </w:r>
      <w:r w:rsidR="002B7F34" w:rsidRPr="68252D7A">
        <w:t>eligible</w:t>
      </w:r>
      <w:r w:rsidR="002F4710" w:rsidRPr="68252D7A">
        <w:t xml:space="preserve"> FSM students</w:t>
      </w:r>
      <w:r w:rsidR="003624C3" w:rsidRPr="68252D7A">
        <w:t>, 50% reported many or more to not know anyone whose health had been directly affected by the virus.</w:t>
      </w:r>
    </w:p>
    <w:p w14:paraId="62CDB34B" w14:textId="77777777" w:rsidR="00161934" w:rsidRPr="00161934" w:rsidRDefault="00161934" w:rsidP="00161934"/>
    <w:p w14:paraId="69AD4A7C" w14:textId="341AFE3C" w:rsidR="68252D7A" w:rsidRDefault="00161934" w:rsidP="68252D7A">
      <w:pPr>
        <w:rPr>
          <w:b/>
          <w:bCs/>
          <w:i/>
          <w:iCs/>
        </w:rPr>
      </w:pPr>
      <w:r w:rsidRPr="68252D7A">
        <w:rPr>
          <w:b/>
          <w:bCs/>
          <w:i/>
          <w:iCs/>
        </w:rPr>
        <w:t>Index of Multiple Deprivation</w:t>
      </w:r>
    </w:p>
    <w:p w14:paraId="3E0C123C" w14:textId="75DE3014" w:rsidR="39F5CDD2" w:rsidRDefault="39F5CDD2" w:rsidP="68252D7A">
      <w:pPr>
        <w:rPr>
          <w:rFonts w:eastAsiaTheme="minorEastAsia"/>
        </w:rPr>
      </w:pPr>
      <w:r w:rsidRPr="68252D7A">
        <w:rPr>
          <w:rFonts w:eastAsiaTheme="minorEastAsia"/>
        </w:rPr>
        <w:t>Responses according to IMD differ</w:t>
      </w:r>
      <w:r w:rsidR="0302C2C3" w:rsidRPr="68252D7A">
        <w:rPr>
          <w:rFonts w:eastAsiaTheme="minorEastAsia"/>
        </w:rPr>
        <w:t>ed</w:t>
      </w:r>
      <w:r w:rsidRPr="68252D7A">
        <w:rPr>
          <w:rFonts w:eastAsiaTheme="minorEastAsia"/>
        </w:rPr>
        <w:t xml:space="preserve"> slightly more. One area highlighting this was MHC’s opinions regarding students’ happiness about being back at school. Of schools with 75% or greater proportions of students in the most deprived decile, 71% of MHC reported almost all CYP were happy to be back. Yet, of the schools with less than a quarter of their students living in the 10% most deprived neighbourhoods nationally (decile 1), only 26% of MHC reported this statistic.</w:t>
      </w:r>
    </w:p>
    <w:p w14:paraId="6E59A20E" w14:textId="19D2B050" w:rsidR="39F5CDD2" w:rsidRDefault="39F5CDD2" w:rsidP="68252D7A">
      <w:pPr>
        <w:rPr>
          <w:rFonts w:eastAsiaTheme="minorEastAsia"/>
        </w:rPr>
      </w:pPr>
      <w:r w:rsidRPr="68252D7A">
        <w:rPr>
          <w:rFonts w:eastAsiaTheme="minorEastAsia"/>
        </w:rPr>
        <w:t>When assessing CYP’s home lives over lockdown, of schools with less than a quarter of children in the lowest decile, 47% of MHC reported many or more children to be able to keep in touch with their friends as much as they needed to. Yet, MHC from schools with greater proportions of deprived children reported only 14% to feel this way.</w:t>
      </w:r>
      <w:r w:rsidR="14F8D642" w:rsidRPr="68252D7A">
        <w:rPr>
          <w:rFonts w:eastAsiaTheme="minorEastAsia"/>
        </w:rPr>
        <w:t xml:space="preserve"> </w:t>
      </w:r>
      <w:r w:rsidRPr="68252D7A">
        <w:rPr>
          <w:rFonts w:eastAsiaTheme="minorEastAsia"/>
        </w:rPr>
        <w:t>Further differences were highlighted regarding the effects of level of deprivation in MHC belief that their students were eating ok</w:t>
      </w:r>
      <w:r w:rsidR="48BAEFC6" w:rsidRPr="68252D7A">
        <w:rPr>
          <w:rFonts w:eastAsiaTheme="minorEastAsia"/>
        </w:rPr>
        <w:t>ay</w:t>
      </w:r>
      <w:r w:rsidRPr="68252D7A">
        <w:rPr>
          <w:rFonts w:eastAsiaTheme="minorEastAsia"/>
        </w:rPr>
        <w:t>. Of schools with less than a quarter of CYP in the most deprived decile, 91% reported many or more of their children to be eating ok</w:t>
      </w:r>
      <w:r w:rsidR="0F7B6D13" w:rsidRPr="68252D7A">
        <w:rPr>
          <w:rFonts w:eastAsiaTheme="minorEastAsia"/>
        </w:rPr>
        <w:t>ay</w:t>
      </w:r>
      <w:r w:rsidRPr="68252D7A">
        <w:rPr>
          <w:rFonts w:eastAsiaTheme="minorEastAsia"/>
        </w:rPr>
        <w:t xml:space="preserve">. </w:t>
      </w:r>
      <w:r w:rsidR="0EF089BD" w:rsidRPr="68252D7A">
        <w:rPr>
          <w:rFonts w:eastAsiaTheme="minorEastAsia"/>
        </w:rPr>
        <w:t>Whereas, o</w:t>
      </w:r>
      <w:r w:rsidRPr="68252D7A">
        <w:rPr>
          <w:rFonts w:eastAsiaTheme="minorEastAsia"/>
        </w:rPr>
        <w:t>f the schools with 75% or greater proportions of CYP in the most deprived decile, only 71% of MHC reported this.</w:t>
      </w:r>
    </w:p>
    <w:p w14:paraId="2CDDAEAD" w14:textId="77777777" w:rsidR="00D60F85" w:rsidRDefault="00D60F85" w:rsidP="00D60F85">
      <w:pPr>
        <w:rPr>
          <w:rFonts w:eastAsiaTheme="minorEastAsia"/>
        </w:rPr>
      </w:pPr>
      <w:r w:rsidRPr="68252D7A">
        <w:rPr>
          <w:rFonts w:eastAsiaTheme="minorEastAsia"/>
        </w:rPr>
        <w:t xml:space="preserve">In terms of the schools’ IMD deciles, 36% of MHC from schools in the lowest decile (1) reported many, to almost all of their students to feel happy about the future and have some ideas about what it might be like for them. Whereas, of those schools in the least deprived decile (10), 67% identified their students to feel this way. </w:t>
      </w:r>
    </w:p>
    <w:p w14:paraId="601585AC" w14:textId="4F82FE69" w:rsidR="68252D7A" w:rsidRDefault="68252D7A" w:rsidP="68252D7A">
      <w:pPr>
        <w:rPr>
          <w:rFonts w:eastAsiaTheme="minorEastAsia"/>
          <w:color w:val="FF0000"/>
        </w:rPr>
      </w:pPr>
    </w:p>
    <w:p w14:paraId="6F66DAA2" w14:textId="57DE668C" w:rsidR="00D60F85" w:rsidRDefault="00D60F85" w:rsidP="68252D7A">
      <w:pPr>
        <w:rPr>
          <w:rFonts w:eastAsiaTheme="minorEastAsia"/>
          <w:color w:val="FF0000"/>
        </w:rPr>
      </w:pPr>
    </w:p>
    <w:p w14:paraId="0A10DFB4" w14:textId="4462C3DF" w:rsidR="00D60F85" w:rsidRDefault="00D60F85" w:rsidP="68252D7A">
      <w:pPr>
        <w:rPr>
          <w:rFonts w:eastAsiaTheme="minorEastAsia"/>
          <w:color w:val="FF0000"/>
        </w:rPr>
      </w:pPr>
    </w:p>
    <w:p w14:paraId="1C0126CB" w14:textId="7339F8FC" w:rsidR="00D60F85" w:rsidRDefault="00D60F85" w:rsidP="68252D7A">
      <w:pPr>
        <w:rPr>
          <w:rFonts w:eastAsiaTheme="minorEastAsia"/>
          <w:color w:val="FF0000"/>
        </w:rPr>
      </w:pPr>
    </w:p>
    <w:p w14:paraId="1211C114" w14:textId="4E28D489" w:rsidR="00D60F85" w:rsidRDefault="00D60F85" w:rsidP="68252D7A">
      <w:pPr>
        <w:rPr>
          <w:rFonts w:eastAsiaTheme="minorEastAsia"/>
          <w:color w:val="FF0000"/>
        </w:rPr>
      </w:pPr>
    </w:p>
    <w:p w14:paraId="0F6E756C" w14:textId="1B9B680F" w:rsidR="00D60F85" w:rsidRDefault="00D60F85" w:rsidP="68252D7A">
      <w:pPr>
        <w:rPr>
          <w:rFonts w:eastAsiaTheme="minorEastAsia"/>
          <w:color w:val="FF0000"/>
        </w:rPr>
      </w:pPr>
    </w:p>
    <w:p w14:paraId="33F3C74A" w14:textId="2A31326F" w:rsidR="00D60F85" w:rsidRDefault="00D60F85" w:rsidP="68252D7A">
      <w:pPr>
        <w:rPr>
          <w:rFonts w:eastAsiaTheme="minorEastAsia"/>
          <w:color w:val="FF0000"/>
        </w:rPr>
      </w:pPr>
    </w:p>
    <w:p w14:paraId="3C6889EA" w14:textId="77777777" w:rsidR="00D60F85" w:rsidRDefault="00D60F85" w:rsidP="68252D7A">
      <w:pPr>
        <w:rPr>
          <w:rFonts w:eastAsiaTheme="minorEastAsia"/>
          <w:color w:val="FF0000"/>
        </w:rPr>
      </w:pPr>
    </w:p>
    <w:p w14:paraId="1B5C043B" w14:textId="787874E5" w:rsidR="0026588A" w:rsidRDefault="5E235300" w:rsidP="68252D7A">
      <w:pPr>
        <w:spacing w:line="257" w:lineRule="auto"/>
        <w:rPr>
          <w:rFonts w:ascii="Calibri" w:eastAsia="Calibri" w:hAnsi="Calibri" w:cs="Calibri"/>
        </w:rPr>
      </w:pPr>
      <w:r w:rsidRPr="0026588A">
        <w:rPr>
          <w:rFonts w:ascii="Calibri" w:eastAsia="Calibri" w:hAnsi="Calibri" w:cs="Calibri"/>
          <w:b/>
          <w:bCs/>
        </w:rPr>
        <w:lastRenderedPageBreak/>
        <w:t xml:space="preserve">Figure </w:t>
      </w:r>
      <w:r w:rsidR="0026588A" w:rsidRPr="0026588A">
        <w:rPr>
          <w:rFonts w:ascii="Calibri" w:eastAsia="Calibri" w:hAnsi="Calibri" w:cs="Calibri"/>
          <w:b/>
          <w:bCs/>
        </w:rPr>
        <w:t>5</w:t>
      </w:r>
      <w:r w:rsidRPr="0026588A">
        <w:rPr>
          <w:rFonts w:ascii="Calibri" w:eastAsia="Calibri" w:hAnsi="Calibri" w:cs="Calibri"/>
        </w:rPr>
        <w:t xml:space="preserve">: Percentage of </w:t>
      </w:r>
      <w:r w:rsidR="00171A30">
        <w:rPr>
          <w:rFonts w:ascii="Calibri" w:eastAsia="Calibri" w:hAnsi="Calibri" w:cs="Calibri"/>
        </w:rPr>
        <w:t>MHC who rated ‘many’ or ‘almost</w:t>
      </w:r>
      <w:r w:rsidRPr="0026588A">
        <w:rPr>
          <w:rFonts w:ascii="Calibri" w:eastAsia="Calibri" w:hAnsi="Calibri" w:cs="Calibri"/>
        </w:rPr>
        <w:t xml:space="preserve"> all</w:t>
      </w:r>
      <w:r w:rsidR="00171A30">
        <w:rPr>
          <w:rFonts w:ascii="Calibri" w:eastAsia="Calibri" w:hAnsi="Calibri" w:cs="Calibri"/>
        </w:rPr>
        <w:t>’</w:t>
      </w:r>
      <w:r w:rsidRPr="0026588A">
        <w:rPr>
          <w:rFonts w:ascii="Calibri" w:eastAsia="Calibri" w:hAnsi="Calibri" w:cs="Calibri"/>
        </w:rPr>
        <w:t xml:space="preserve"> of the children or young people at their school on the item “I can keep in touch with my friends as much as I need to”, by percentage of CYP at their school</w:t>
      </w:r>
      <w:r w:rsidR="00171A30">
        <w:rPr>
          <w:rFonts w:ascii="Calibri" w:eastAsia="Calibri" w:hAnsi="Calibri" w:cs="Calibri"/>
        </w:rPr>
        <w:t xml:space="preserve"> who are</w:t>
      </w:r>
      <w:r w:rsidRPr="0026588A">
        <w:rPr>
          <w:rFonts w:ascii="Calibri" w:eastAsia="Calibri" w:hAnsi="Calibri" w:cs="Calibri"/>
        </w:rPr>
        <w:t xml:space="preserve"> in the top 10% of most deprived neighbourhoods nationally.</w:t>
      </w:r>
    </w:p>
    <w:p w14:paraId="2C62D9B1" w14:textId="39C02519" w:rsidR="0026588A" w:rsidRDefault="0026588A" w:rsidP="68252D7A">
      <w:pPr>
        <w:spacing w:line="257" w:lineRule="auto"/>
        <w:rPr>
          <w:rFonts w:ascii="Calibri" w:eastAsia="Calibri" w:hAnsi="Calibri" w:cs="Calibri"/>
          <w:highlight w:val="yellow"/>
        </w:rPr>
      </w:pPr>
      <w:r>
        <w:rPr>
          <w:noProof/>
          <w:lang w:eastAsia="en-GB"/>
        </w:rPr>
        <w:drawing>
          <wp:inline distT="0" distB="0" distL="0" distR="0" wp14:anchorId="1B24D067" wp14:editId="7C524835">
            <wp:extent cx="4184650" cy="25336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D65CD18" w14:textId="117FBBB0" w:rsidR="00161934" w:rsidRDefault="00161934" w:rsidP="00161934"/>
    <w:p w14:paraId="757A119E" w14:textId="77777777" w:rsidR="00161934" w:rsidRPr="00583EC1" w:rsidRDefault="00161934" w:rsidP="00161934">
      <w:pPr>
        <w:rPr>
          <w:b/>
        </w:rPr>
      </w:pPr>
      <w:r w:rsidRPr="00583EC1">
        <w:rPr>
          <w:b/>
        </w:rPr>
        <w:t>Discussion</w:t>
      </w:r>
    </w:p>
    <w:p w14:paraId="067A1F26" w14:textId="49D72C92" w:rsidR="00C31D58" w:rsidRDefault="00EA455E" w:rsidP="00161934">
      <w:r>
        <w:t>Overall, in most cases CYP were rated as being happy to be back at school. This was most influenced by IMD, where in more deprived schools, MHC tended to rate higher percentages of students to be happy to be back and to be able to see their friends again.  As age increased, from nursery through to secondary school, MHC often reported fewer CYP to have enough mojo and be able to deal with changes made as a result of coronavirus. MHC reports across schools with varying proportions of BAME children and those eligible for FSM did not greatly differ across the whole audit. However, slight disparities were found across schools with differing percentages of BAME students regarding student’s school and home lives. Both measures of socioeconomic status were primarily associated with MHC’s opinions on their students’ home lives, where responses to these items tended to differ more than those on school life and work.</w:t>
      </w:r>
    </w:p>
    <w:p w14:paraId="221E597B" w14:textId="77777777" w:rsidR="0026588A" w:rsidRDefault="0026588A" w:rsidP="00161934"/>
    <w:p w14:paraId="34081839" w14:textId="77777777" w:rsidR="00C31D58" w:rsidRDefault="00C31D58" w:rsidP="00161934"/>
    <w:p w14:paraId="73BF79D2" w14:textId="77777777" w:rsidR="00A63B92" w:rsidRDefault="00A63B92">
      <w:pPr>
        <w:rPr>
          <w:b/>
          <w:bCs/>
        </w:rPr>
      </w:pPr>
      <w:r>
        <w:rPr>
          <w:b/>
          <w:bCs/>
        </w:rPr>
        <w:br w:type="page"/>
      </w:r>
    </w:p>
    <w:p w14:paraId="16B25870" w14:textId="56EA40A9" w:rsidR="00C31D58" w:rsidRPr="00C31D58" w:rsidRDefault="00C31D58" w:rsidP="68252D7A">
      <w:pPr>
        <w:jc w:val="center"/>
        <w:rPr>
          <w:b/>
          <w:bCs/>
        </w:rPr>
      </w:pPr>
      <w:r w:rsidRPr="68252D7A">
        <w:rPr>
          <w:b/>
          <w:bCs/>
        </w:rPr>
        <w:lastRenderedPageBreak/>
        <w:t>Sta</w:t>
      </w:r>
      <w:r w:rsidR="71A9C98C" w:rsidRPr="68252D7A">
        <w:rPr>
          <w:b/>
          <w:bCs/>
        </w:rPr>
        <w:t>ff Audit</w:t>
      </w:r>
    </w:p>
    <w:p w14:paraId="36D8C582" w14:textId="7508EF92" w:rsidR="00EA455E" w:rsidRPr="00EA455E" w:rsidRDefault="00EA455E" w:rsidP="00EA455E">
      <w:pPr>
        <w:rPr>
          <w:b/>
        </w:rPr>
      </w:pPr>
      <w:r w:rsidRPr="00EA455E">
        <w:rPr>
          <w:b/>
        </w:rPr>
        <w:t>Overall Findings</w:t>
      </w:r>
    </w:p>
    <w:p w14:paraId="3BACF477" w14:textId="77777777" w:rsidR="00D946D6" w:rsidRDefault="00EA455E" w:rsidP="00EA455E">
      <w:r>
        <w:t xml:space="preserve">Across all schools, </w:t>
      </w:r>
      <w:r w:rsidR="1E68909A">
        <w:t xml:space="preserve">87% of MHC reported that many to </w:t>
      </w:r>
      <w:r w:rsidR="4D7AA992">
        <w:t xml:space="preserve">almost </w:t>
      </w:r>
      <w:r w:rsidR="1E68909A">
        <w:t>all their staff were happy to be back at school.</w:t>
      </w:r>
      <w:r>
        <w:t xml:space="preserve"> Additionally, 47% of schools reported that almost all of their staff members felt ready to get back to teaching. </w:t>
      </w:r>
    </w:p>
    <w:p w14:paraId="3B45E9B1" w14:textId="40CA8EC0" w:rsidR="00EA455E" w:rsidRPr="004D1411" w:rsidRDefault="00D946D6" w:rsidP="00EA455E">
      <w:pPr>
        <w:rPr>
          <w:color w:val="000000" w:themeColor="text1"/>
        </w:rPr>
      </w:pPr>
      <w:r>
        <w:t>O</w:t>
      </w:r>
      <w:r w:rsidR="00EA455E" w:rsidRPr="68252D7A">
        <w:rPr>
          <w:color w:val="000000" w:themeColor="text1"/>
        </w:rPr>
        <w:t>nly 7% of the responding schools reported that almost all of their staff felt confident in their students’ ability to catch up with missed work.</w:t>
      </w:r>
      <w:r w:rsidR="05B8F860" w:rsidRPr="68252D7A">
        <w:rPr>
          <w:color w:val="000000" w:themeColor="text1"/>
        </w:rPr>
        <w:t xml:space="preserve"> Contrastingly, 20% reported only a few staff members had this confidence in their students.</w:t>
      </w:r>
    </w:p>
    <w:p w14:paraId="04230538" w14:textId="1E48AE3E" w:rsidR="00EA455E" w:rsidRPr="00C31D58" w:rsidRDefault="00EA455E" w:rsidP="00EA455E">
      <w:pPr>
        <w:rPr>
          <w:color w:val="000000" w:themeColor="text1"/>
        </w:rPr>
      </w:pPr>
      <w:r w:rsidRPr="68252D7A">
        <w:rPr>
          <w:color w:val="000000" w:themeColor="text1"/>
        </w:rPr>
        <w:t>Referring more specifically to the staff themselves, six out of the 14 MHC reported that many of their staff felt happy about the future and had a few ideas of what it might be like for them</w:t>
      </w:r>
      <w:r w:rsidR="5C6DC668" w:rsidRPr="68252D7A">
        <w:rPr>
          <w:color w:val="000000" w:themeColor="text1"/>
        </w:rPr>
        <w:t xml:space="preserve">, with </w:t>
      </w:r>
      <w:r w:rsidR="1868896A" w:rsidRPr="68252D7A">
        <w:rPr>
          <w:color w:val="000000" w:themeColor="text1"/>
        </w:rPr>
        <w:t>three</w:t>
      </w:r>
      <w:r w:rsidR="5C6DC668" w:rsidRPr="68252D7A">
        <w:rPr>
          <w:color w:val="000000" w:themeColor="text1"/>
        </w:rPr>
        <w:t xml:space="preserve"> schools</w:t>
      </w:r>
      <w:r w:rsidRPr="68252D7A">
        <w:rPr>
          <w:color w:val="000000" w:themeColor="text1"/>
        </w:rPr>
        <w:t xml:space="preserve"> </w:t>
      </w:r>
      <w:r w:rsidR="43977F48" w:rsidRPr="68252D7A">
        <w:rPr>
          <w:color w:val="000000" w:themeColor="text1"/>
        </w:rPr>
        <w:t xml:space="preserve">reporting </w:t>
      </w:r>
      <w:r w:rsidRPr="68252D7A">
        <w:rPr>
          <w:color w:val="000000" w:themeColor="text1"/>
        </w:rPr>
        <w:t xml:space="preserve">almost all of their staff felt this way. Furthermore, across the sample of schools, 68% rated half or more of their staff to feel as though they had enough mojo to get them through whatever might happen.  </w:t>
      </w:r>
    </w:p>
    <w:p w14:paraId="1EC19288" w14:textId="2BA51288" w:rsidR="0026588A" w:rsidRDefault="00EA455E" w:rsidP="00C31D58">
      <w:pPr>
        <w:rPr>
          <w:color w:val="000000" w:themeColor="text1"/>
        </w:rPr>
      </w:pPr>
      <w:r w:rsidRPr="68252D7A">
        <w:rPr>
          <w:color w:val="000000" w:themeColor="text1"/>
        </w:rPr>
        <w:t xml:space="preserve">Finally, with regard to the staff’s family and home lives, 71% of MHC identified that almost all of their staff members felt safe at home and had not been mistreated during the lockdown. Additionally, 87% of the schools’ MHC reported that half, or more staff felt that they had learnt new or different things whilst being in lockdown. Moreover, 10 out of the 14 schools’ MHC thought that many, to almost all their staff members received enough help and support at home. </w:t>
      </w:r>
    </w:p>
    <w:p w14:paraId="610F5ACD" w14:textId="77777777" w:rsidR="0026588A" w:rsidRDefault="0026588A" w:rsidP="00C31D58">
      <w:pPr>
        <w:rPr>
          <w:color w:val="000000" w:themeColor="text1"/>
        </w:rPr>
      </w:pPr>
    </w:p>
    <w:p w14:paraId="06E0A376" w14:textId="2EEEAAC1" w:rsidR="00C31D58" w:rsidRPr="00C31D58" w:rsidRDefault="00C31D58" w:rsidP="00C31D58">
      <w:pPr>
        <w:rPr>
          <w:b/>
          <w:bCs/>
        </w:rPr>
      </w:pPr>
      <w:r>
        <w:rPr>
          <w:b/>
          <w:bCs/>
        </w:rPr>
        <w:t>Findings by School Type</w:t>
      </w:r>
    </w:p>
    <w:p w14:paraId="0B5729AB" w14:textId="6623FCD9" w:rsidR="00EA455E" w:rsidRPr="00245533" w:rsidRDefault="00EA455E" w:rsidP="00EA455E">
      <w:pPr>
        <w:rPr>
          <w:color w:val="000000" w:themeColor="text1"/>
        </w:rPr>
      </w:pPr>
      <w:r w:rsidRPr="68252D7A">
        <w:rPr>
          <w:color w:val="000000" w:themeColor="text1"/>
        </w:rPr>
        <w:t xml:space="preserve">The MHC from the two secondary schools that responded to the questionnaire reported that almost all their staff felt that their school had made changes to make them feel safe, and they did not worry too much about catching coronavirus. </w:t>
      </w:r>
      <w:r w:rsidR="00910F9F">
        <w:rPr>
          <w:color w:val="000000" w:themeColor="text1"/>
        </w:rPr>
        <w:t xml:space="preserve">Three of the 12 </w:t>
      </w:r>
      <w:r w:rsidRPr="68252D7A">
        <w:rPr>
          <w:color w:val="000000" w:themeColor="text1"/>
        </w:rPr>
        <w:t>primary schools also r</w:t>
      </w:r>
      <w:r w:rsidR="00D946D6">
        <w:rPr>
          <w:color w:val="000000" w:themeColor="text1"/>
        </w:rPr>
        <w:t>eported this result. The one MHC</w:t>
      </w:r>
      <w:r w:rsidRPr="68252D7A">
        <w:rPr>
          <w:color w:val="000000" w:themeColor="text1"/>
        </w:rPr>
        <w:t xml:space="preserve"> from the PRU setting suggested that many of their staff felt that these changes had been made and did not worry too much. </w:t>
      </w:r>
    </w:p>
    <w:p w14:paraId="29E631DB" w14:textId="77777777" w:rsidR="00EA455E" w:rsidRDefault="00EA455E" w:rsidP="00EA455E">
      <w:pPr>
        <w:rPr>
          <w:color w:val="000000" w:themeColor="text1"/>
        </w:rPr>
      </w:pPr>
      <w:r>
        <w:rPr>
          <w:color w:val="000000" w:themeColor="text1"/>
        </w:rPr>
        <w:t xml:space="preserve">When reflecting on the staff members themselves, of the staff working in primary schools, </w:t>
      </w:r>
      <w:r w:rsidRPr="00C70A84">
        <w:t>two thirds</w:t>
      </w:r>
      <w:r>
        <w:t xml:space="preserve"> of the</w:t>
      </w:r>
      <w:r w:rsidRPr="00C70A84">
        <w:t xml:space="preserve"> </w:t>
      </w:r>
      <w:r>
        <w:rPr>
          <w:color w:val="000000" w:themeColor="text1"/>
        </w:rPr>
        <w:t>MHC reported that many of their staff felt happy with the new way of doing things and could cope with the changes caused by coronavirus. The PRU reported that about half of their staff felt this way, and the feedback from the secondary schools was mixed, ranging from about half, to almost all staff members feeling that they were happy with the new way of doing things and could cope with the changes.</w:t>
      </w:r>
    </w:p>
    <w:p w14:paraId="2D2AAC6A" w14:textId="786FA838" w:rsidR="00EA455E" w:rsidRPr="00946DE1" w:rsidRDefault="00EA455E" w:rsidP="00EA455E">
      <w:pPr>
        <w:rPr>
          <w:color w:val="000000" w:themeColor="text1"/>
        </w:rPr>
      </w:pPr>
      <w:r w:rsidRPr="44CD9549">
        <w:rPr>
          <w:color w:val="000000" w:themeColor="text1"/>
        </w:rPr>
        <w:t>Regarding home life and family, the MHC for the PRU reported that many of their staff felt that they were able to keep in touch with their friends as much as they needed to. 20% of primary schools also reported this result, yet a further 20% of the responding primary schools reported that only a few of their staff members felt this way</w:t>
      </w:r>
      <w:r>
        <w:t>.</w:t>
      </w:r>
      <w:r w:rsidRPr="44CD9549">
        <w:rPr>
          <w:color w:val="000000" w:themeColor="text1"/>
        </w:rPr>
        <w:t xml:space="preserve"> In both secondary schools however, MHC reported that almost all their staff felt that they were able to keep in touch with their friends as much as they needed to.</w:t>
      </w:r>
    </w:p>
    <w:p w14:paraId="7D050D5F" w14:textId="7D9CF2CD" w:rsidR="00C31D58" w:rsidRDefault="00C31D58" w:rsidP="00C31D58">
      <w:pPr>
        <w:rPr>
          <w:b/>
          <w:bCs/>
          <w:color w:val="000000" w:themeColor="text1"/>
        </w:rPr>
      </w:pPr>
      <w:r w:rsidRPr="00946DE1">
        <w:rPr>
          <w:b/>
          <w:bCs/>
          <w:color w:val="000000" w:themeColor="text1"/>
        </w:rPr>
        <w:t xml:space="preserve">Findings by </w:t>
      </w:r>
      <w:r>
        <w:rPr>
          <w:b/>
          <w:bCs/>
          <w:color w:val="000000" w:themeColor="text1"/>
        </w:rPr>
        <w:t>BAME Demographic</w:t>
      </w:r>
    </w:p>
    <w:p w14:paraId="7383EDBF" w14:textId="77777777" w:rsidR="00EA455E" w:rsidRPr="00C31D58" w:rsidRDefault="00EA455E" w:rsidP="00EA455E">
      <w:pPr>
        <w:rPr>
          <w:b/>
          <w:bCs/>
          <w:color w:val="000000" w:themeColor="text1"/>
        </w:rPr>
      </w:pPr>
      <w:r w:rsidRPr="44CD9549">
        <w:rPr>
          <w:color w:val="000000" w:themeColor="text1"/>
        </w:rPr>
        <w:t>Generally, proportions of BAME students within schools did not seem to be largely associated with MHC responses in terms of the staff audit.</w:t>
      </w:r>
      <w:r w:rsidRPr="44CD9549">
        <w:rPr>
          <w:b/>
          <w:bCs/>
          <w:color w:val="000000" w:themeColor="text1"/>
        </w:rPr>
        <w:t xml:space="preserve"> </w:t>
      </w:r>
      <w:r w:rsidRPr="44CD9549">
        <w:rPr>
          <w:color w:val="000000" w:themeColor="text1"/>
        </w:rPr>
        <w:t xml:space="preserve">For schools with 75% or greater numbers of BAME students, MHC reported that almost all their staff knew and understood what they needed to do in school to keep safe. Of the schools with around half (47-57%) BAME students, it was reported that </w:t>
      </w:r>
      <w:r w:rsidRPr="44CD9549">
        <w:rPr>
          <w:color w:val="000000" w:themeColor="text1"/>
        </w:rPr>
        <w:lastRenderedPageBreak/>
        <w:t>many, or almost all staff also felt this way. This result was also evident in six responding schools who had less than 25% BAME students, where three schools suggested that almost all their staff understood what to do to keep safe</w:t>
      </w:r>
    </w:p>
    <w:p w14:paraId="2744ACC1" w14:textId="77777777" w:rsidR="00EA455E" w:rsidRPr="007B5378" w:rsidRDefault="00EA455E" w:rsidP="00EA455E">
      <w:pPr>
        <w:rPr>
          <w:color w:val="000000" w:themeColor="text1"/>
        </w:rPr>
      </w:pPr>
      <w:r w:rsidRPr="00FA777F">
        <w:rPr>
          <w:color w:val="000000" w:themeColor="text1"/>
        </w:rPr>
        <w:t xml:space="preserve">One area which showed </w:t>
      </w:r>
      <w:r w:rsidRPr="007B5378">
        <w:rPr>
          <w:color w:val="000000" w:themeColor="text1"/>
        </w:rPr>
        <w:t xml:space="preserve">generally </w:t>
      </w:r>
      <w:r w:rsidRPr="00FA777F">
        <w:rPr>
          <w:color w:val="000000" w:themeColor="text1"/>
        </w:rPr>
        <w:t xml:space="preserve">positive feedback </w:t>
      </w:r>
      <w:r>
        <w:rPr>
          <w:color w:val="000000" w:themeColor="text1"/>
        </w:rPr>
        <w:t xml:space="preserve">from MHC was in response to knowing where to get help and support. Regardless of the proportion of BAME students, across all schools, MHC reported that many, to almost all staff knew </w:t>
      </w:r>
      <w:r>
        <w:t>where to get help or support if they started to feel worried or upset.</w:t>
      </w:r>
    </w:p>
    <w:p w14:paraId="1F994D8E" w14:textId="0DA7F6F6" w:rsidR="00C31D58" w:rsidRDefault="00EA455E" w:rsidP="00EA455E">
      <w:pPr>
        <w:rPr>
          <w:color w:val="00B050"/>
        </w:rPr>
      </w:pPr>
      <w:r w:rsidRPr="44CD9549">
        <w:rPr>
          <w:color w:val="000000" w:themeColor="text1"/>
        </w:rPr>
        <w:t>One area where the schools’ BAME percentage can be seen to be associated with MHC responses was to whether they thought their school’s staff were happy about the changes made as a result of the coronavirus pandemic. Of schools with 75% or greater BAME students, the majority (2/3) reported that almost all their staff felt this way. However, all schools with less than 25% BAME students reported that many of their staff felt this way</w:t>
      </w:r>
      <w:r w:rsidRPr="44CD9549">
        <w:rPr>
          <w:color w:val="00B050"/>
        </w:rPr>
        <w:t>.</w:t>
      </w:r>
    </w:p>
    <w:p w14:paraId="005BF45A" w14:textId="77777777" w:rsidR="00D946D6" w:rsidRDefault="00D946D6" w:rsidP="00C31D58">
      <w:pPr>
        <w:rPr>
          <w:b/>
          <w:bCs/>
          <w:color w:val="000000" w:themeColor="text1"/>
        </w:rPr>
      </w:pPr>
    </w:p>
    <w:p w14:paraId="74106243" w14:textId="48CD2046" w:rsidR="00C31D58" w:rsidRDefault="00C31D58" w:rsidP="00C31D58">
      <w:pPr>
        <w:rPr>
          <w:b/>
          <w:bCs/>
          <w:color w:val="000000" w:themeColor="text1"/>
        </w:rPr>
      </w:pPr>
      <w:r>
        <w:rPr>
          <w:b/>
          <w:bCs/>
          <w:color w:val="000000" w:themeColor="text1"/>
        </w:rPr>
        <w:t>Findings by Socioeconomic S</w:t>
      </w:r>
      <w:r w:rsidRPr="006F391F">
        <w:rPr>
          <w:b/>
          <w:bCs/>
          <w:color w:val="000000" w:themeColor="text1"/>
        </w:rPr>
        <w:t xml:space="preserve">tatus </w:t>
      </w:r>
    </w:p>
    <w:p w14:paraId="356F9774" w14:textId="442C6574" w:rsidR="00C31D58" w:rsidRPr="00C31D58" w:rsidRDefault="00C31D58" w:rsidP="00C31D58">
      <w:pPr>
        <w:rPr>
          <w:b/>
          <w:i/>
          <w:color w:val="000000" w:themeColor="text1"/>
        </w:rPr>
      </w:pPr>
      <w:r w:rsidRPr="006C51A2">
        <w:rPr>
          <w:b/>
          <w:i/>
          <w:color w:val="000000" w:themeColor="text1"/>
        </w:rPr>
        <w:t>Free School Meals</w:t>
      </w:r>
    </w:p>
    <w:p w14:paraId="47BF4A81" w14:textId="77777777" w:rsidR="00EA455E" w:rsidRDefault="00EA455E" w:rsidP="00EA455E">
      <w:pPr>
        <w:rPr>
          <w:color w:val="000000" w:themeColor="text1"/>
        </w:rPr>
      </w:pPr>
      <w:r w:rsidRPr="006C51A2">
        <w:rPr>
          <w:color w:val="000000" w:themeColor="text1"/>
        </w:rPr>
        <w:t xml:space="preserve">All MHC from schools with 30% or greater numbers of students accessing FSM reported that many of their staff members felt confident that their students would be able to catch up with work missed as a result of the lockdown. Conversely, of the 10 schools with less than 30% of children accessing FSM, six </w:t>
      </w:r>
      <w:r>
        <w:rPr>
          <w:color w:val="000000" w:themeColor="text1"/>
        </w:rPr>
        <w:t xml:space="preserve">MHC reported that only a few, to about half of their </w:t>
      </w:r>
      <w:r w:rsidRPr="006C51A2">
        <w:rPr>
          <w:color w:val="000000" w:themeColor="text1"/>
        </w:rPr>
        <w:t>teaching</w:t>
      </w:r>
      <w:r>
        <w:rPr>
          <w:color w:val="000000" w:themeColor="text1"/>
        </w:rPr>
        <w:t xml:space="preserve"> staff felt this way. </w:t>
      </w:r>
    </w:p>
    <w:p w14:paraId="109A1760" w14:textId="57FA84B6" w:rsidR="00EA455E" w:rsidRPr="00C31D58" w:rsidRDefault="00EA455E" w:rsidP="00EA455E">
      <w:pPr>
        <w:rPr>
          <w:color w:val="000000" w:themeColor="text1"/>
        </w:rPr>
      </w:pPr>
      <w:r w:rsidRPr="68252D7A">
        <w:rPr>
          <w:color w:val="000000" w:themeColor="text1"/>
        </w:rPr>
        <w:t xml:space="preserve">Furthermore, regarding the personal lives of the staff, </w:t>
      </w:r>
      <w:r w:rsidR="0A18A728" w:rsidRPr="68252D7A">
        <w:rPr>
          <w:color w:val="000000" w:themeColor="text1"/>
        </w:rPr>
        <w:t xml:space="preserve">of </w:t>
      </w:r>
      <w:r w:rsidRPr="68252D7A">
        <w:rPr>
          <w:color w:val="000000" w:themeColor="text1"/>
        </w:rPr>
        <w:t xml:space="preserve">the four schools with over 30% FSM students, three reported that many of their staff felt as though they were eating okay, with the final school suggesting that a few of their staff felt this way. Responses from MHC from schools with lower percentages of FSM students tended to vary more; four schools reported that they felt almost all of their staff were eating okay, and a further four schools suggested that about half, to many of their staff felt this way. The remaining two replied as being unsure. </w:t>
      </w:r>
    </w:p>
    <w:p w14:paraId="038F61AD" w14:textId="6DE75E78" w:rsidR="00C31D58" w:rsidRDefault="00EA455E" w:rsidP="00EA455E">
      <w:pPr>
        <w:rPr>
          <w:color w:val="000000" w:themeColor="text1"/>
        </w:rPr>
      </w:pPr>
      <w:r>
        <w:t xml:space="preserve">Finally, MHC from schools with 30% or greater proportions of students on FSM reported that many, or almost all their staff </w:t>
      </w:r>
      <w:r w:rsidRPr="44CD9549">
        <w:rPr>
          <w:color w:val="000000" w:themeColor="text1"/>
        </w:rPr>
        <w:t xml:space="preserve">members’ families got </w:t>
      </w:r>
      <w:r>
        <w:t xml:space="preserve">enough help and support </w:t>
      </w:r>
      <w:r w:rsidRPr="44CD9549">
        <w:rPr>
          <w:color w:val="000000" w:themeColor="text1"/>
        </w:rPr>
        <w:t xml:space="preserve">at home.  One third of schools </w:t>
      </w:r>
      <w:r>
        <w:t>who responded with a lesser percentage of children accessing FSM replied to this statement as ‘unsure’, with the remaining</w:t>
      </w:r>
      <w:r w:rsidRPr="44CD9549">
        <w:rPr>
          <w:color w:val="000000" w:themeColor="text1"/>
        </w:rPr>
        <w:t xml:space="preserve"> reporting many, to almost all their staff’s families as receiving enough support.</w:t>
      </w:r>
    </w:p>
    <w:p w14:paraId="6020112A" w14:textId="77777777" w:rsidR="00EA455E" w:rsidRDefault="00EA455E" w:rsidP="00EA455E">
      <w:pPr>
        <w:rPr>
          <w:color w:val="000000" w:themeColor="text1"/>
        </w:rPr>
      </w:pPr>
    </w:p>
    <w:p w14:paraId="38A16FDE" w14:textId="38C21F41" w:rsidR="00C31D58" w:rsidRPr="00C31D58" w:rsidRDefault="00C31D58" w:rsidP="00C31D58">
      <w:pPr>
        <w:rPr>
          <w:b/>
          <w:i/>
          <w:color w:val="000000" w:themeColor="text1"/>
        </w:rPr>
      </w:pPr>
      <w:r w:rsidRPr="006C51A2">
        <w:rPr>
          <w:b/>
          <w:i/>
          <w:color w:val="000000" w:themeColor="text1"/>
        </w:rPr>
        <w:t>Index of Multiple Deprivation</w:t>
      </w:r>
    </w:p>
    <w:p w14:paraId="7CB26493" w14:textId="77777777" w:rsidR="00EA455E" w:rsidRDefault="00EA455E" w:rsidP="00EA455E">
      <w:r w:rsidRPr="44CD9549">
        <w:rPr>
          <w:color w:val="000000" w:themeColor="text1"/>
        </w:rPr>
        <w:t xml:space="preserve">Overall, index of multiple deprivation (IMD) did not seem to have a large association with responses to the staff audit. In the schools with 50% or greater students who fall into the top 10% most deprived neighbourhoods nationally (according to their IMD decile score), </w:t>
      </w:r>
      <w:r>
        <w:t xml:space="preserve">responses regarding staff’s personal lives showed that </w:t>
      </w:r>
      <w:r w:rsidRPr="44CD9549">
        <w:rPr>
          <w:color w:val="000000" w:themeColor="text1"/>
        </w:rPr>
        <w:t xml:space="preserve">generally (in 5 out of the 6 cases), </w:t>
      </w:r>
      <w:r>
        <w:t xml:space="preserve">almost all staff felt that they had been safe at home and had not been mistreated during the lockdown. This was also evident for schools who had less than 50% of students in this decile, whose MHC responded either as ‘unsure’, or that almost all their staff felt this way. </w:t>
      </w:r>
    </w:p>
    <w:p w14:paraId="760D3DE0" w14:textId="77777777" w:rsidR="00A63B92" w:rsidRDefault="00EA455E" w:rsidP="00C31D58">
      <w:r>
        <w:t xml:space="preserve">With respect to family and home lives of the school staff, MHC from schools with over 50% of students in the top 30% of most deprived small areas nationally, half of the responding schools </w:t>
      </w:r>
      <w:r>
        <w:lastRenderedPageBreak/>
        <w:t xml:space="preserve">reported that their staff members felt as though they had got enough help and support at home. The schools with less than 50% of students in this decile however, replied with mixed results, </w:t>
      </w:r>
      <w:r w:rsidRPr="00004444">
        <w:rPr>
          <w:color w:val="000000" w:themeColor="text1"/>
        </w:rPr>
        <w:t>m</w:t>
      </w:r>
      <w:r>
        <w:rPr>
          <w:color w:val="000000" w:themeColor="text1"/>
        </w:rPr>
        <w:t>ainly</w:t>
      </w:r>
      <w:r w:rsidRPr="00004444">
        <w:t xml:space="preserve"> </w:t>
      </w:r>
      <w:r>
        <w:t xml:space="preserve">responding as unsure, or that many of their staff felt this way. </w:t>
      </w:r>
    </w:p>
    <w:p w14:paraId="5C6DB3B8" w14:textId="77777777" w:rsidR="00A63B92" w:rsidRDefault="00A63B92" w:rsidP="00C31D58"/>
    <w:p w14:paraId="74B59A36" w14:textId="750BB00C" w:rsidR="00C31D58" w:rsidRPr="00A63B92" w:rsidRDefault="00C31D58" w:rsidP="00C31D58">
      <w:r w:rsidRPr="008A69FC">
        <w:rPr>
          <w:b/>
          <w:bCs/>
          <w:color w:val="000000" w:themeColor="text1"/>
        </w:rPr>
        <w:t xml:space="preserve">Discussion </w:t>
      </w:r>
    </w:p>
    <w:p w14:paraId="37B5A977" w14:textId="77777777" w:rsidR="00EA455E" w:rsidRDefault="00EA455E" w:rsidP="00EA455E">
      <w:pPr>
        <w:rPr>
          <w:rFonts w:eastAsiaTheme="minorEastAsia"/>
        </w:rPr>
      </w:pPr>
      <w:r>
        <w:t>Overall, some factors were more strongly associated to the staff audit than others, however none were particularly profound</w:t>
      </w:r>
      <w:r w:rsidRPr="44CD9549">
        <w:rPr>
          <w:color w:val="000000" w:themeColor="text1"/>
        </w:rPr>
        <w:t xml:space="preserve">. For example, the phase of education that staff work in; in secondary schools almost all staff members felt safe during their work and did not worry </w:t>
      </w:r>
      <w:r w:rsidRPr="44CD9549">
        <w:rPr>
          <w:rFonts w:eastAsiaTheme="minorEastAsia"/>
          <w:color w:val="000000" w:themeColor="text1"/>
        </w:rPr>
        <w:t xml:space="preserve">too much about catching coronavirus. Yet for the PRU, and a large proportion of primary schools, only many staff felt this way, representing a small difference in MHC responses across school settings. </w:t>
      </w:r>
    </w:p>
    <w:p w14:paraId="093C84B5" w14:textId="19AFEFBD" w:rsidR="00560E66" w:rsidRPr="00EA455E" w:rsidRDefault="00EA455E" w:rsidP="52C30014">
      <w:pPr>
        <w:autoSpaceDE w:val="0"/>
        <w:autoSpaceDN w:val="0"/>
        <w:adjustRightInd w:val="0"/>
        <w:rPr>
          <w:rFonts w:eastAsiaTheme="minorEastAsia"/>
        </w:rPr>
      </w:pPr>
      <w:r w:rsidRPr="4766512A">
        <w:rPr>
          <w:rFonts w:eastAsiaTheme="minorEastAsia"/>
        </w:rPr>
        <w:t>Additionally, proportions of BAME students within educational settings and the responses given to the staff audit did not seem to be greatly linked either. Though, socioeconomic status did seem to have an influence on the audit; staff members who taught higher percentages of students accessing FSM seemed to have more confidence in their student’s ability to catch up with missed work. IMD decile statistics however, had little overall association.</w:t>
      </w:r>
    </w:p>
    <w:p w14:paraId="44B6ABD3" w14:textId="7A35AD3B" w:rsidR="4766512A" w:rsidRDefault="4766512A" w:rsidP="4766512A">
      <w:pPr>
        <w:rPr>
          <w:rFonts w:eastAsiaTheme="minorEastAsia"/>
        </w:rPr>
      </w:pPr>
    </w:p>
    <w:p w14:paraId="344F9930" w14:textId="49DC31B2" w:rsidR="00A1318F" w:rsidRDefault="722CD51B" w:rsidP="4766512A">
      <w:pPr>
        <w:jc w:val="center"/>
        <w:rPr>
          <w:b/>
          <w:bCs/>
        </w:rPr>
      </w:pPr>
      <w:r w:rsidRPr="68252D7A">
        <w:rPr>
          <w:b/>
          <w:bCs/>
        </w:rPr>
        <w:t>Limitations</w:t>
      </w:r>
    </w:p>
    <w:p w14:paraId="12CFEC65" w14:textId="2B066C41" w:rsidR="722CD51B" w:rsidRDefault="722CD51B" w:rsidP="52C30014">
      <w:r>
        <w:t xml:space="preserve">This audit </w:t>
      </w:r>
      <w:r w:rsidR="7F7B2D60">
        <w:t>wa</w:t>
      </w:r>
      <w:r>
        <w:t>s based on the views of MHC</w:t>
      </w:r>
      <w:r w:rsidR="5FF941B6">
        <w:t xml:space="preserve">, </w:t>
      </w:r>
      <w:r>
        <w:t>mean</w:t>
      </w:r>
      <w:r w:rsidR="10805A55">
        <w:t>ing the results are not an accurate measure of each CYP or staff member, but rather an overall view</w:t>
      </w:r>
      <w:r w:rsidR="495B7B1C">
        <w:t xml:space="preserve"> of the school as rated by this on</w:t>
      </w:r>
      <w:r w:rsidR="18BBC2A6">
        <w:t xml:space="preserve">e </w:t>
      </w:r>
      <w:r w:rsidR="495B7B1C">
        <w:t>individual</w:t>
      </w:r>
      <w:r w:rsidR="6AEC6189">
        <w:t>.</w:t>
      </w:r>
      <w:r w:rsidR="26C23E39">
        <w:t xml:space="preserve"> Opinions of</w:t>
      </w:r>
      <w:r>
        <w:t xml:space="preserve"> MHC </w:t>
      </w:r>
      <w:r w:rsidR="1CEE5309">
        <w:t>may</w:t>
      </w:r>
      <w:r>
        <w:t xml:space="preserve"> </w:t>
      </w:r>
      <w:r w:rsidR="5394AFFF">
        <w:t>have been</w:t>
      </w:r>
      <w:r>
        <w:t xml:space="preserve"> </w:t>
      </w:r>
      <w:r w:rsidR="448B08AD">
        <w:t>influence</w:t>
      </w:r>
      <w:r>
        <w:t>d by several factors</w:t>
      </w:r>
      <w:r w:rsidR="1CE92531">
        <w:t>,</w:t>
      </w:r>
      <w:r>
        <w:t xml:space="preserve"> including their own wellbeing and </w:t>
      </w:r>
      <w:r w:rsidR="0F2AEE02">
        <w:t>how they have found dealing with the pandemic</w:t>
      </w:r>
      <w:r>
        <w:t xml:space="preserve">. </w:t>
      </w:r>
      <w:r w:rsidR="2E3009AB">
        <w:t>This may have caused some biases within responses</w:t>
      </w:r>
      <w:r w:rsidR="380E66DE">
        <w:t xml:space="preserve">, where in part they may be reflective of their own </w:t>
      </w:r>
      <w:r w:rsidR="6D9B9192">
        <w:t xml:space="preserve">personal </w:t>
      </w:r>
      <w:r w:rsidR="4AB168B4">
        <w:t>experiences. Additionally, t</w:t>
      </w:r>
      <w:r>
        <w:t xml:space="preserve">here </w:t>
      </w:r>
      <w:r w:rsidR="0C4BA2EA">
        <w:t>may have</w:t>
      </w:r>
      <w:r>
        <w:t xml:space="preserve"> be</w:t>
      </w:r>
      <w:r w:rsidR="5A15B0E6">
        <w:t>en</w:t>
      </w:r>
      <w:r>
        <w:t xml:space="preserve"> some inherent bias relating to BAME</w:t>
      </w:r>
      <w:r w:rsidR="2CF93051">
        <w:t xml:space="preserve"> or</w:t>
      </w:r>
      <w:r>
        <w:t xml:space="preserve"> IMD factors</w:t>
      </w:r>
      <w:r w:rsidR="30693A36">
        <w:t xml:space="preserve">, where MHC’s </w:t>
      </w:r>
      <w:r w:rsidR="0BF08643">
        <w:t>responses</w:t>
      </w:r>
      <w:r w:rsidR="30693A36">
        <w:t xml:space="preserve"> may </w:t>
      </w:r>
      <w:r w:rsidR="6A656787">
        <w:t xml:space="preserve">have </w:t>
      </w:r>
      <w:r w:rsidR="30693A36">
        <w:t>be</w:t>
      </w:r>
      <w:r w:rsidR="7DC7DC62">
        <w:t>en</w:t>
      </w:r>
      <w:r w:rsidR="30693A36">
        <w:t xml:space="preserve"> </w:t>
      </w:r>
      <w:r w:rsidR="048F4949">
        <w:t>influenced</w:t>
      </w:r>
      <w:r w:rsidR="30693A36">
        <w:t xml:space="preserve"> by knowledge of their school’s demographics.</w:t>
      </w:r>
    </w:p>
    <w:p w14:paraId="3073D0AE" w14:textId="66197F98" w:rsidR="00122E34" w:rsidRDefault="00122E34" w:rsidP="52C30014"/>
    <w:p w14:paraId="7B40E8FE" w14:textId="1C98FF79" w:rsidR="00122E34" w:rsidRDefault="00122E34" w:rsidP="00122E34">
      <w:pPr>
        <w:jc w:val="center"/>
        <w:rPr>
          <w:b/>
          <w:bCs/>
        </w:rPr>
      </w:pPr>
      <w:r w:rsidRPr="00122E34">
        <w:rPr>
          <w:b/>
          <w:bCs/>
        </w:rPr>
        <w:t>Feedback</w:t>
      </w:r>
    </w:p>
    <w:p w14:paraId="348D8AB7" w14:textId="350F6C71" w:rsidR="00122E34" w:rsidRDefault="00122E34" w:rsidP="00122E34">
      <w:pPr>
        <w:jc w:val="center"/>
        <w:rPr>
          <w:b/>
          <w:bCs/>
        </w:rPr>
      </w:pPr>
    </w:p>
    <w:p w14:paraId="2BBFFC59" w14:textId="7F566963" w:rsidR="00122E34" w:rsidRPr="00122E34" w:rsidRDefault="00122E34" w:rsidP="00122E34">
      <w:pPr>
        <w:rPr>
          <w:bCs/>
        </w:rPr>
      </w:pPr>
      <w:r w:rsidRPr="00122E34">
        <w:rPr>
          <w:bCs/>
        </w:rPr>
        <w:t>Any feedback or queries about this audit or its findings should be addressed to:</w:t>
      </w:r>
    </w:p>
    <w:p w14:paraId="3115FA58" w14:textId="0DFFBBE3" w:rsidR="00122E34" w:rsidRDefault="00122E34" w:rsidP="00122E34">
      <w:pPr>
        <w:rPr>
          <w:b/>
          <w:bCs/>
        </w:rPr>
      </w:pPr>
      <w:r>
        <w:rPr>
          <w:b/>
          <w:bCs/>
        </w:rPr>
        <w:t>Queries about the design and implementation of the audit:</w:t>
      </w:r>
    </w:p>
    <w:p w14:paraId="4528D48F" w14:textId="2CC95E64" w:rsidR="00723156" w:rsidRPr="00723156" w:rsidRDefault="00122E34" w:rsidP="00723156">
      <w:pPr>
        <w:rPr>
          <w:color w:val="0563C1" w:themeColor="hyperlink"/>
          <w:u w:val="single"/>
        </w:rPr>
      </w:pPr>
      <w:r w:rsidRPr="00122E34">
        <w:rPr>
          <w:bCs/>
        </w:rPr>
        <w:t xml:space="preserve">Mental Health Champions: </w:t>
      </w:r>
      <w:hyperlink r:id="rId12" w:history="1">
        <w:r w:rsidR="00723156" w:rsidRPr="00373AB9">
          <w:rPr>
            <w:rStyle w:val="Hyperlink"/>
          </w:rPr>
          <w:t>MHChampions@bradford.gov.uk</w:t>
        </w:r>
      </w:hyperlink>
    </w:p>
    <w:p w14:paraId="2B2C2B7F" w14:textId="4436E278" w:rsidR="00122E34" w:rsidRDefault="00122E34" w:rsidP="00122E34">
      <w:pPr>
        <w:rPr>
          <w:b/>
          <w:bCs/>
        </w:rPr>
      </w:pPr>
      <w:r>
        <w:rPr>
          <w:b/>
          <w:bCs/>
        </w:rPr>
        <w:t>Queries about the data analysis</w:t>
      </w:r>
    </w:p>
    <w:p w14:paraId="089ADBA8" w14:textId="17048274" w:rsidR="00723156" w:rsidRDefault="00723156" w:rsidP="00122E34">
      <w:pPr>
        <w:rPr>
          <w:bCs/>
        </w:rPr>
      </w:pPr>
      <w:r w:rsidRPr="00723156">
        <w:rPr>
          <w:bCs/>
        </w:rPr>
        <w:t>Centre For Applied Educational Research:</w:t>
      </w:r>
      <w:r w:rsidR="00071737">
        <w:rPr>
          <w:bCs/>
        </w:rPr>
        <w:t xml:space="preserve"> </w:t>
      </w:r>
      <w:r w:rsidR="00071737" w:rsidRPr="00071737">
        <w:rPr>
          <w:bCs/>
        </w:rPr>
        <w:t xml:space="preserve">Lydia Briggs </w:t>
      </w:r>
      <w:hyperlink r:id="rId13" w:history="1">
        <w:r w:rsidR="00071737" w:rsidRPr="008E696D">
          <w:rPr>
            <w:rStyle w:val="Hyperlink"/>
            <w:bCs/>
          </w:rPr>
          <w:t>Lydia.Briggs@bthft.nhs.uk</w:t>
        </w:r>
      </w:hyperlink>
    </w:p>
    <w:p w14:paraId="3E079295" w14:textId="77777777" w:rsidR="00071737" w:rsidRPr="00723156" w:rsidRDefault="00071737" w:rsidP="00122E34">
      <w:pPr>
        <w:rPr>
          <w:bCs/>
        </w:rPr>
      </w:pPr>
    </w:p>
    <w:p w14:paraId="4AF03771" w14:textId="1E64D7BF" w:rsidR="52C30014" w:rsidRDefault="52C30014" w:rsidP="52C30014">
      <w:pPr>
        <w:rPr>
          <w:rFonts w:eastAsiaTheme="minorEastAsia"/>
        </w:rPr>
      </w:pPr>
    </w:p>
    <w:p w14:paraId="1DB57608" w14:textId="557DDADC" w:rsidR="0026588A" w:rsidRDefault="0026588A" w:rsidP="52C30014">
      <w:pPr>
        <w:rPr>
          <w:rFonts w:eastAsiaTheme="minorEastAsia"/>
        </w:rPr>
      </w:pPr>
    </w:p>
    <w:p w14:paraId="58420E79" w14:textId="79322F04" w:rsidR="0026588A" w:rsidRDefault="0026588A" w:rsidP="52C30014">
      <w:pPr>
        <w:rPr>
          <w:rFonts w:eastAsiaTheme="minorEastAsia"/>
        </w:rPr>
      </w:pPr>
    </w:p>
    <w:p w14:paraId="15429E59" w14:textId="37C17368" w:rsidR="0026588A" w:rsidRDefault="0026588A" w:rsidP="52C30014">
      <w:pPr>
        <w:rPr>
          <w:rFonts w:eastAsiaTheme="minorEastAsia"/>
        </w:rPr>
      </w:pPr>
    </w:p>
    <w:p w14:paraId="137523AB" w14:textId="0FE60428" w:rsidR="0026588A" w:rsidRDefault="0026588A" w:rsidP="52C30014">
      <w:pPr>
        <w:rPr>
          <w:rFonts w:eastAsiaTheme="minorEastAsia"/>
        </w:rPr>
      </w:pPr>
    </w:p>
    <w:p w14:paraId="33950AD4" w14:textId="3189B732" w:rsidR="0026588A" w:rsidRDefault="0026588A" w:rsidP="00D946D6">
      <w:pPr>
        <w:rPr>
          <w:rFonts w:eastAsiaTheme="minorEastAsia"/>
        </w:rPr>
      </w:pPr>
    </w:p>
    <w:p w14:paraId="4BC5B4E2" w14:textId="453F971D" w:rsidR="00560E66" w:rsidRDefault="00560E66" w:rsidP="0026588A">
      <w:pPr>
        <w:ind w:left="3600" w:firstLine="720"/>
        <w:rPr>
          <w:b/>
          <w:sz w:val="24"/>
          <w:u w:val="single"/>
        </w:rPr>
      </w:pPr>
      <w:r w:rsidRPr="00560E66">
        <w:rPr>
          <w:b/>
          <w:sz w:val="24"/>
          <w:u w:val="single"/>
        </w:rPr>
        <w:t>Appendices</w:t>
      </w:r>
    </w:p>
    <w:p w14:paraId="5732ABD0" w14:textId="77777777" w:rsidR="005F7726" w:rsidRDefault="005F7726" w:rsidP="000827F1">
      <w:pPr>
        <w:pStyle w:val="Heading2"/>
        <w:rPr>
          <w:rStyle w:val="Heading2Char"/>
          <w:rFonts w:asciiTheme="minorHAnsi" w:hAnsiTheme="minorHAnsi" w:cstheme="minorHAnsi"/>
          <w:b/>
          <w:color w:val="auto"/>
          <w:sz w:val="22"/>
          <w:szCs w:val="22"/>
        </w:rPr>
      </w:pPr>
      <w:bookmarkStart w:id="1" w:name="_Appendix_1:_Demographic"/>
      <w:bookmarkEnd w:id="1"/>
    </w:p>
    <w:p w14:paraId="4D4362DA" w14:textId="48E01281" w:rsidR="000827F1" w:rsidRPr="000827F1" w:rsidRDefault="00866267" w:rsidP="000827F1">
      <w:pPr>
        <w:pStyle w:val="Heading2"/>
        <w:rPr>
          <w:rFonts w:asciiTheme="minorHAnsi" w:hAnsiTheme="minorHAnsi" w:cstheme="minorHAnsi"/>
          <w:color w:val="auto"/>
          <w:sz w:val="22"/>
          <w:szCs w:val="22"/>
        </w:rPr>
      </w:pPr>
      <w:r>
        <w:rPr>
          <w:rStyle w:val="Heading2Char"/>
          <w:rFonts w:asciiTheme="minorHAnsi" w:hAnsiTheme="minorHAnsi" w:cstheme="minorHAnsi"/>
          <w:b/>
          <w:color w:val="auto"/>
          <w:sz w:val="22"/>
          <w:szCs w:val="22"/>
        </w:rPr>
        <w:t>Appendix A</w:t>
      </w:r>
      <w:r w:rsidR="00560E66" w:rsidRPr="00560E66">
        <w:rPr>
          <w:rFonts w:asciiTheme="minorHAnsi" w:hAnsiTheme="minorHAnsi" w:cstheme="minorHAnsi"/>
          <w:color w:val="auto"/>
          <w:sz w:val="22"/>
          <w:szCs w:val="22"/>
        </w:rPr>
        <w:t xml:space="preserve">: </w:t>
      </w:r>
      <w:r w:rsidR="00F74D77">
        <w:rPr>
          <w:rFonts w:asciiTheme="minorHAnsi" w:hAnsiTheme="minorHAnsi" w:cstheme="minorHAnsi"/>
          <w:color w:val="auto"/>
          <w:sz w:val="22"/>
          <w:szCs w:val="22"/>
        </w:rPr>
        <w:t>Job R</w:t>
      </w:r>
      <w:r w:rsidR="000827F1">
        <w:rPr>
          <w:rFonts w:asciiTheme="minorHAnsi" w:hAnsiTheme="minorHAnsi" w:cstheme="minorHAnsi"/>
          <w:color w:val="auto"/>
          <w:sz w:val="22"/>
          <w:szCs w:val="22"/>
        </w:rPr>
        <w:t>oles of Mental Health Champions</w:t>
      </w:r>
    </w:p>
    <w:p w14:paraId="0E16B7D2" w14:textId="66E75A9B" w:rsidR="000827F1" w:rsidRDefault="000827F1" w:rsidP="000827F1"/>
    <w:tbl>
      <w:tblPr>
        <w:tblStyle w:val="TableGrid"/>
        <w:tblW w:w="0" w:type="auto"/>
        <w:tblLook w:val="04A0" w:firstRow="1" w:lastRow="0" w:firstColumn="1" w:lastColumn="0" w:noHBand="0" w:noVBand="1"/>
      </w:tblPr>
      <w:tblGrid>
        <w:gridCol w:w="4248"/>
        <w:gridCol w:w="1984"/>
      </w:tblGrid>
      <w:tr w:rsidR="0043142D" w14:paraId="0DBDB31C" w14:textId="77777777" w:rsidTr="0043142D">
        <w:tc>
          <w:tcPr>
            <w:tcW w:w="4248" w:type="dxa"/>
            <w:shd w:val="clear" w:color="auto" w:fill="D9D9D9" w:themeFill="background1" w:themeFillShade="D9"/>
          </w:tcPr>
          <w:p w14:paraId="64C4B8F8" w14:textId="41A1BFC9" w:rsidR="0043142D" w:rsidRPr="0043142D" w:rsidRDefault="0043142D" w:rsidP="000827F1">
            <w:r w:rsidRPr="0043142D">
              <w:t>Role of Mental Health Champion</w:t>
            </w:r>
          </w:p>
        </w:tc>
        <w:tc>
          <w:tcPr>
            <w:tcW w:w="1984" w:type="dxa"/>
            <w:shd w:val="clear" w:color="auto" w:fill="D9D9D9" w:themeFill="background1" w:themeFillShade="D9"/>
          </w:tcPr>
          <w:p w14:paraId="69F8ED8A" w14:textId="5EF2C303" w:rsidR="0043142D" w:rsidRPr="0043142D" w:rsidRDefault="0043142D" w:rsidP="000827F1">
            <w:r w:rsidRPr="0043142D">
              <w:t>Number of Schools</w:t>
            </w:r>
          </w:p>
        </w:tc>
      </w:tr>
      <w:tr w:rsidR="0043142D" w14:paraId="3802B989" w14:textId="77777777" w:rsidTr="009A363C">
        <w:tc>
          <w:tcPr>
            <w:tcW w:w="4248" w:type="dxa"/>
            <w:shd w:val="clear" w:color="auto" w:fill="auto"/>
          </w:tcPr>
          <w:p w14:paraId="418CE2D5" w14:textId="0C42FFB6" w:rsidR="0043142D" w:rsidRPr="0043142D" w:rsidRDefault="0043142D" w:rsidP="000827F1">
            <w:r w:rsidRPr="0043142D">
              <w:t>Support Worker (pupil/</w:t>
            </w:r>
            <w:r w:rsidR="007C6B07">
              <w:t xml:space="preserve"> </w:t>
            </w:r>
            <w:r w:rsidRPr="0043142D">
              <w:t>parent/</w:t>
            </w:r>
            <w:r w:rsidR="007C6B07">
              <w:t xml:space="preserve"> </w:t>
            </w:r>
            <w:r w:rsidRPr="0043142D">
              <w:t>family)</w:t>
            </w:r>
          </w:p>
        </w:tc>
        <w:tc>
          <w:tcPr>
            <w:tcW w:w="1984" w:type="dxa"/>
          </w:tcPr>
          <w:p w14:paraId="54E6DEEB" w14:textId="4233B113" w:rsidR="0043142D" w:rsidRPr="0043142D" w:rsidRDefault="0043142D" w:rsidP="000827F1">
            <w:r>
              <w:t>5</w:t>
            </w:r>
          </w:p>
        </w:tc>
      </w:tr>
      <w:tr w:rsidR="0043142D" w14:paraId="7D1CB5F0" w14:textId="77777777" w:rsidTr="009A363C">
        <w:tc>
          <w:tcPr>
            <w:tcW w:w="4248" w:type="dxa"/>
            <w:shd w:val="clear" w:color="auto" w:fill="auto"/>
          </w:tcPr>
          <w:p w14:paraId="5B948047" w14:textId="409C468C" w:rsidR="0043142D" w:rsidRPr="0043142D" w:rsidRDefault="0043142D" w:rsidP="000827F1">
            <w:r>
              <w:t>Head/ Deputy Head/ Assistant Head Teacher</w:t>
            </w:r>
          </w:p>
        </w:tc>
        <w:tc>
          <w:tcPr>
            <w:tcW w:w="1984" w:type="dxa"/>
          </w:tcPr>
          <w:p w14:paraId="6B0A16E1" w14:textId="21A8DFFE" w:rsidR="0043142D" w:rsidRPr="0043142D" w:rsidRDefault="0043142D" w:rsidP="000827F1">
            <w:r>
              <w:t>10</w:t>
            </w:r>
          </w:p>
        </w:tc>
      </w:tr>
      <w:tr w:rsidR="0043142D" w14:paraId="7AB6A9D3" w14:textId="77777777" w:rsidTr="009A363C">
        <w:tc>
          <w:tcPr>
            <w:tcW w:w="4248" w:type="dxa"/>
            <w:shd w:val="clear" w:color="auto" w:fill="auto"/>
          </w:tcPr>
          <w:p w14:paraId="053BE184" w14:textId="1DB51024" w:rsidR="0043142D" w:rsidRDefault="0043142D" w:rsidP="000827F1">
            <w:r>
              <w:t>Teacher</w:t>
            </w:r>
          </w:p>
        </w:tc>
        <w:tc>
          <w:tcPr>
            <w:tcW w:w="1984" w:type="dxa"/>
          </w:tcPr>
          <w:p w14:paraId="65474889" w14:textId="66A5D1E9" w:rsidR="0043142D" w:rsidRPr="0043142D" w:rsidRDefault="0043142D" w:rsidP="000827F1">
            <w:r>
              <w:t>6</w:t>
            </w:r>
          </w:p>
        </w:tc>
      </w:tr>
      <w:tr w:rsidR="0043142D" w14:paraId="4F00E910" w14:textId="77777777" w:rsidTr="009A363C">
        <w:tc>
          <w:tcPr>
            <w:tcW w:w="4248" w:type="dxa"/>
            <w:shd w:val="clear" w:color="auto" w:fill="auto"/>
          </w:tcPr>
          <w:p w14:paraId="1AC5A3AF" w14:textId="0624011E" w:rsidR="0043142D" w:rsidRDefault="0043142D" w:rsidP="000827F1">
            <w:r>
              <w:t>Teaching Assistant</w:t>
            </w:r>
          </w:p>
        </w:tc>
        <w:tc>
          <w:tcPr>
            <w:tcW w:w="1984" w:type="dxa"/>
          </w:tcPr>
          <w:p w14:paraId="2B253F7A" w14:textId="0272D228" w:rsidR="0043142D" w:rsidRPr="0043142D" w:rsidRDefault="0043142D" w:rsidP="000827F1">
            <w:r>
              <w:t>8</w:t>
            </w:r>
          </w:p>
        </w:tc>
      </w:tr>
      <w:tr w:rsidR="0043142D" w14:paraId="65CD5B11" w14:textId="77777777" w:rsidTr="009A363C">
        <w:tc>
          <w:tcPr>
            <w:tcW w:w="4248" w:type="dxa"/>
            <w:shd w:val="clear" w:color="auto" w:fill="auto"/>
          </w:tcPr>
          <w:p w14:paraId="517CB04C" w14:textId="637A1588" w:rsidR="0043142D" w:rsidRPr="0043142D" w:rsidRDefault="0043142D" w:rsidP="000827F1">
            <w:r>
              <w:t>Learning Mentor (pupil/ family)</w:t>
            </w:r>
          </w:p>
        </w:tc>
        <w:tc>
          <w:tcPr>
            <w:tcW w:w="1984" w:type="dxa"/>
          </w:tcPr>
          <w:p w14:paraId="3784340B" w14:textId="09F4FB56" w:rsidR="0043142D" w:rsidRPr="0043142D" w:rsidRDefault="0043142D" w:rsidP="000827F1">
            <w:r>
              <w:t>4</w:t>
            </w:r>
          </w:p>
        </w:tc>
      </w:tr>
      <w:tr w:rsidR="0043142D" w14:paraId="18B0B70F" w14:textId="77777777" w:rsidTr="009A363C">
        <w:tc>
          <w:tcPr>
            <w:tcW w:w="4248" w:type="dxa"/>
            <w:shd w:val="clear" w:color="auto" w:fill="auto"/>
          </w:tcPr>
          <w:p w14:paraId="122B898C" w14:textId="32F27C70" w:rsidR="0043142D" w:rsidRPr="0043142D" w:rsidRDefault="0043142D" w:rsidP="000827F1">
            <w:r>
              <w:t>Member of Learning Support Team</w:t>
            </w:r>
          </w:p>
        </w:tc>
        <w:tc>
          <w:tcPr>
            <w:tcW w:w="1984" w:type="dxa"/>
          </w:tcPr>
          <w:p w14:paraId="2B4888B1" w14:textId="165ACB91" w:rsidR="0043142D" w:rsidRPr="0043142D" w:rsidRDefault="0043142D" w:rsidP="000827F1">
            <w:r>
              <w:t>2</w:t>
            </w:r>
          </w:p>
        </w:tc>
      </w:tr>
      <w:tr w:rsidR="0043142D" w14:paraId="23B1D613" w14:textId="77777777" w:rsidTr="009A363C">
        <w:tc>
          <w:tcPr>
            <w:tcW w:w="4248" w:type="dxa"/>
            <w:shd w:val="clear" w:color="auto" w:fill="auto"/>
          </w:tcPr>
          <w:p w14:paraId="4E6B7C3C" w14:textId="59191E3D" w:rsidR="0043142D" w:rsidRPr="0043142D" w:rsidRDefault="0043142D" w:rsidP="000827F1">
            <w:r>
              <w:t>Parental Involvement Worker</w:t>
            </w:r>
          </w:p>
        </w:tc>
        <w:tc>
          <w:tcPr>
            <w:tcW w:w="1984" w:type="dxa"/>
          </w:tcPr>
          <w:p w14:paraId="0C89F612" w14:textId="3440426C" w:rsidR="0043142D" w:rsidRPr="0043142D" w:rsidRDefault="0043142D" w:rsidP="000827F1">
            <w:r>
              <w:t>3</w:t>
            </w:r>
          </w:p>
        </w:tc>
      </w:tr>
      <w:tr w:rsidR="0043142D" w14:paraId="43ECB0B2" w14:textId="77777777" w:rsidTr="009A363C">
        <w:tc>
          <w:tcPr>
            <w:tcW w:w="4248" w:type="dxa"/>
            <w:shd w:val="clear" w:color="auto" w:fill="auto"/>
          </w:tcPr>
          <w:p w14:paraId="786E5FF4" w14:textId="5CBC2C9C" w:rsidR="0043142D" w:rsidRPr="0043142D" w:rsidRDefault="0043142D" w:rsidP="000827F1">
            <w:r>
              <w:t>Member of Inclusion Team</w:t>
            </w:r>
          </w:p>
        </w:tc>
        <w:tc>
          <w:tcPr>
            <w:tcW w:w="1984" w:type="dxa"/>
          </w:tcPr>
          <w:p w14:paraId="3D6417AA" w14:textId="67D5C074" w:rsidR="0043142D" w:rsidRPr="0043142D" w:rsidRDefault="0043142D" w:rsidP="000827F1">
            <w:r>
              <w:t>7</w:t>
            </w:r>
          </w:p>
        </w:tc>
      </w:tr>
      <w:tr w:rsidR="0043142D" w14:paraId="02A7F245" w14:textId="77777777" w:rsidTr="009A363C">
        <w:tc>
          <w:tcPr>
            <w:tcW w:w="4248" w:type="dxa"/>
            <w:shd w:val="clear" w:color="auto" w:fill="auto"/>
          </w:tcPr>
          <w:p w14:paraId="6A4371A1" w14:textId="0AE2A001" w:rsidR="0043142D" w:rsidRPr="0043142D" w:rsidRDefault="0043142D" w:rsidP="000827F1">
            <w:r>
              <w:t>SENCO</w:t>
            </w:r>
          </w:p>
        </w:tc>
        <w:tc>
          <w:tcPr>
            <w:tcW w:w="1984" w:type="dxa"/>
          </w:tcPr>
          <w:p w14:paraId="386B2CF1" w14:textId="78FBD330" w:rsidR="0043142D" w:rsidRPr="0043142D" w:rsidRDefault="0043142D" w:rsidP="000827F1">
            <w:r>
              <w:t>2</w:t>
            </w:r>
          </w:p>
        </w:tc>
      </w:tr>
      <w:tr w:rsidR="0043142D" w14:paraId="19B06119" w14:textId="77777777" w:rsidTr="009A363C">
        <w:tc>
          <w:tcPr>
            <w:tcW w:w="4248" w:type="dxa"/>
            <w:shd w:val="clear" w:color="auto" w:fill="auto"/>
          </w:tcPr>
          <w:p w14:paraId="5F56486E" w14:textId="74354A85" w:rsidR="0043142D" w:rsidRDefault="0043142D" w:rsidP="000827F1">
            <w:r>
              <w:t>Welfare Officer</w:t>
            </w:r>
          </w:p>
        </w:tc>
        <w:tc>
          <w:tcPr>
            <w:tcW w:w="1984" w:type="dxa"/>
          </w:tcPr>
          <w:p w14:paraId="0C259ACD" w14:textId="3B78C4D5" w:rsidR="0043142D" w:rsidRDefault="0043142D" w:rsidP="000827F1">
            <w:r>
              <w:t>2</w:t>
            </w:r>
          </w:p>
        </w:tc>
      </w:tr>
      <w:tr w:rsidR="0043142D" w14:paraId="399E3DE2" w14:textId="77777777" w:rsidTr="009A363C">
        <w:tc>
          <w:tcPr>
            <w:tcW w:w="4248" w:type="dxa"/>
            <w:shd w:val="clear" w:color="auto" w:fill="auto"/>
          </w:tcPr>
          <w:p w14:paraId="2EA800D3" w14:textId="0F617249" w:rsidR="0043142D" w:rsidRDefault="0043142D" w:rsidP="000827F1">
            <w:r>
              <w:t>Other</w:t>
            </w:r>
          </w:p>
        </w:tc>
        <w:tc>
          <w:tcPr>
            <w:tcW w:w="1984" w:type="dxa"/>
          </w:tcPr>
          <w:p w14:paraId="7E345B44" w14:textId="50A6C488" w:rsidR="0043142D" w:rsidRPr="0043142D" w:rsidRDefault="0043142D" w:rsidP="000827F1">
            <w:r>
              <w:t>19</w:t>
            </w:r>
          </w:p>
        </w:tc>
      </w:tr>
    </w:tbl>
    <w:p w14:paraId="00493C85" w14:textId="5DB51125" w:rsidR="007F5DE4" w:rsidRDefault="007F5DE4" w:rsidP="009A363C">
      <w:pPr>
        <w:rPr>
          <w:b/>
          <w:sz w:val="24"/>
          <w:u w:val="single"/>
        </w:rPr>
      </w:pPr>
    </w:p>
    <w:p w14:paraId="065FA9F6" w14:textId="49824FD8" w:rsidR="009A363C" w:rsidRDefault="009A363C" w:rsidP="009A363C">
      <w:pPr>
        <w:rPr>
          <w:sz w:val="24"/>
        </w:rPr>
      </w:pPr>
    </w:p>
    <w:p w14:paraId="273DFEDE" w14:textId="1067459F" w:rsidR="00310F2B" w:rsidRDefault="00310F2B" w:rsidP="009A363C">
      <w:pPr>
        <w:rPr>
          <w:sz w:val="24"/>
        </w:rPr>
      </w:pPr>
    </w:p>
    <w:p w14:paraId="64E6965D" w14:textId="7D235110" w:rsidR="00310F2B" w:rsidRDefault="00310F2B" w:rsidP="009A363C">
      <w:pPr>
        <w:rPr>
          <w:sz w:val="24"/>
        </w:rPr>
      </w:pPr>
    </w:p>
    <w:p w14:paraId="4EE9C680" w14:textId="797107B8" w:rsidR="00310F2B" w:rsidRDefault="00310F2B" w:rsidP="009A363C">
      <w:pPr>
        <w:rPr>
          <w:sz w:val="24"/>
        </w:rPr>
      </w:pPr>
    </w:p>
    <w:p w14:paraId="00421B47" w14:textId="031D28F8" w:rsidR="00310F2B" w:rsidRDefault="00310F2B" w:rsidP="009A363C">
      <w:pPr>
        <w:rPr>
          <w:sz w:val="24"/>
        </w:rPr>
      </w:pPr>
    </w:p>
    <w:p w14:paraId="10B97216" w14:textId="355A7C7D" w:rsidR="00310F2B" w:rsidRDefault="00310F2B" w:rsidP="009A363C">
      <w:pPr>
        <w:rPr>
          <w:sz w:val="24"/>
        </w:rPr>
      </w:pPr>
    </w:p>
    <w:p w14:paraId="6B669E70" w14:textId="5AD91AC5" w:rsidR="00310F2B" w:rsidRDefault="00310F2B" w:rsidP="009A363C">
      <w:pPr>
        <w:rPr>
          <w:sz w:val="24"/>
        </w:rPr>
      </w:pPr>
    </w:p>
    <w:p w14:paraId="55E4E556" w14:textId="493EF20D" w:rsidR="00310F2B" w:rsidRDefault="00310F2B" w:rsidP="009A363C">
      <w:pPr>
        <w:rPr>
          <w:sz w:val="24"/>
        </w:rPr>
      </w:pPr>
    </w:p>
    <w:p w14:paraId="0ED8C673" w14:textId="2D41E892" w:rsidR="00310F2B" w:rsidRDefault="00310F2B" w:rsidP="009A363C">
      <w:pPr>
        <w:rPr>
          <w:sz w:val="24"/>
        </w:rPr>
      </w:pPr>
    </w:p>
    <w:p w14:paraId="5483E4C2" w14:textId="62EBB766" w:rsidR="00310F2B" w:rsidRDefault="00310F2B" w:rsidP="009A363C">
      <w:pPr>
        <w:rPr>
          <w:sz w:val="24"/>
        </w:rPr>
      </w:pPr>
    </w:p>
    <w:p w14:paraId="07E7A47E" w14:textId="5C9E207B" w:rsidR="00310F2B" w:rsidRDefault="00310F2B" w:rsidP="009A363C">
      <w:pPr>
        <w:rPr>
          <w:sz w:val="24"/>
        </w:rPr>
      </w:pPr>
    </w:p>
    <w:p w14:paraId="3950FD0E" w14:textId="7308CAEA" w:rsidR="00310F2B" w:rsidRDefault="00310F2B" w:rsidP="009A363C">
      <w:pPr>
        <w:rPr>
          <w:sz w:val="24"/>
        </w:rPr>
      </w:pPr>
    </w:p>
    <w:p w14:paraId="335D6221" w14:textId="77CD31F1" w:rsidR="00310F2B" w:rsidRDefault="00310F2B" w:rsidP="009A363C">
      <w:pPr>
        <w:rPr>
          <w:sz w:val="24"/>
        </w:rPr>
      </w:pPr>
    </w:p>
    <w:p w14:paraId="1601DCF8" w14:textId="6086D7A8" w:rsidR="0026588A" w:rsidRDefault="0026588A" w:rsidP="009A363C">
      <w:pPr>
        <w:rPr>
          <w:sz w:val="24"/>
        </w:rPr>
      </w:pPr>
    </w:p>
    <w:p w14:paraId="300C1F66" w14:textId="5C1D5DF3" w:rsidR="0026588A" w:rsidRDefault="0026588A" w:rsidP="009A363C">
      <w:pPr>
        <w:rPr>
          <w:sz w:val="24"/>
        </w:rPr>
      </w:pPr>
    </w:p>
    <w:p w14:paraId="6DAA2192" w14:textId="32D6C644" w:rsidR="0026588A" w:rsidRDefault="0026588A" w:rsidP="009A363C">
      <w:pPr>
        <w:rPr>
          <w:sz w:val="24"/>
        </w:rPr>
      </w:pPr>
    </w:p>
    <w:p w14:paraId="7480EBA7" w14:textId="77777777" w:rsidR="0026588A" w:rsidRDefault="0026588A" w:rsidP="009A363C">
      <w:pPr>
        <w:rPr>
          <w:sz w:val="24"/>
        </w:rPr>
      </w:pPr>
    </w:p>
    <w:p w14:paraId="18CEB21A" w14:textId="6288F43A" w:rsidR="00310F2B" w:rsidRDefault="7D096833" w:rsidP="0027784C">
      <w:pPr>
        <w:pStyle w:val="Heading2"/>
        <w:rPr>
          <w:rFonts w:asciiTheme="minorHAnsi" w:hAnsiTheme="minorHAnsi" w:cstheme="minorHAnsi"/>
          <w:color w:val="auto"/>
          <w:sz w:val="22"/>
          <w:szCs w:val="22"/>
        </w:rPr>
      </w:pPr>
      <w:bookmarkStart w:id="2" w:name="_Appendix_B:_Sources"/>
      <w:bookmarkEnd w:id="2"/>
      <w:r w:rsidRPr="0027784C">
        <w:rPr>
          <w:rStyle w:val="Heading2Char"/>
          <w:rFonts w:asciiTheme="minorHAnsi" w:hAnsiTheme="minorHAnsi" w:cstheme="minorHAnsi"/>
          <w:b/>
          <w:bCs/>
          <w:color w:val="auto"/>
          <w:sz w:val="22"/>
          <w:szCs w:val="22"/>
        </w:rPr>
        <w:t>Appendix B</w:t>
      </w:r>
      <w:r w:rsidRPr="0027784C">
        <w:rPr>
          <w:rFonts w:asciiTheme="minorHAnsi" w:hAnsiTheme="minorHAnsi" w:cstheme="minorHAnsi"/>
          <w:color w:val="auto"/>
          <w:sz w:val="22"/>
          <w:szCs w:val="22"/>
        </w:rPr>
        <w:t xml:space="preserve">: </w:t>
      </w:r>
      <w:r w:rsidR="14018623" w:rsidRPr="0027784C">
        <w:rPr>
          <w:rFonts w:asciiTheme="minorHAnsi" w:hAnsiTheme="minorHAnsi" w:cstheme="minorHAnsi"/>
          <w:color w:val="auto"/>
          <w:sz w:val="22"/>
          <w:szCs w:val="22"/>
        </w:rPr>
        <w:t>Sources of Emotional Wellbeing Support</w:t>
      </w:r>
    </w:p>
    <w:p w14:paraId="023E30EC" w14:textId="77777777" w:rsidR="008B1D7F" w:rsidRPr="008B1D7F" w:rsidRDefault="008B1D7F" w:rsidP="008B1D7F"/>
    <w:tbl>
      <w:tblPr>
        <w:tblStyle w:val="TableGrid"/>
        <w:tblW w:w="7620" w:type="dxa"/>
        <w:tblLayout w:type="fixed"/>
        <w:tblLook w:val="06A0" w:firstRow="1" w:lastRow="0" w:firstColumn="1" w:lastColumn="0" w:noHBand="1" w:noVBand="1"/>
      </w:tblPr>
      <w:tblGrid>
        <w:gridCol w:w="4170"/>
        <w:gridCol w:w="3450"/>
      </w:tblGrid>
      <w:tr w:rsidR="52C30014" w14:paraId="0079FC90" w14:textId="77777777" w:rsidTr="4766512A">
        <w:tc>
          <w:tcPr>
            <w:tcW w:w="4170" w:type="dxa"/>
            <w:shd w:val="clear" w:color="auto" w:fill="D9D9D9" w:themeFill="background1" w:themeFillShade="D9"/>
          </w:tcPr>
          <w:p w14:paraId="280D337D" w14:textId="00CA5F70" w:rsidR="14018623" w:rsidRDefault="14018623" w:rsidP="52C30014">
            <w:pPr>
              <w:rPr>
                <w:sz w:val="20"/>
                <w:szCs w:val="20"/>
              </w:rPr>
            </w:pPr>
            <w:r w:rsidRPr="4766512A">
              <w:t>Source of Emotional Wellbeing Support</w:t>
            </w:r>
          </w:p>
        </w:tc>
        <w:tc>
          <w:tcPr>
            <w:tcW w:w="3450" w:type="dxa"/>
            <w:shd w:val="clear" w:color="auto" w:fill="D9D9D9" w:themeFill="background1" w:themeFillShade="D9"/>
          </w:tcPr>
          <w:p w14:paraId="7F319E98" w14:textId="64DFB5DC" w:rsidR="14018623" w:rsidRDefault="14018623" w:rsidP="52C30014">
            <w:r w:rsidRPr="4766512A">
              <w:t>Number of Schools with this Source of Emotional Wellbeing Support</w:t>
            </w:r>
          </w:p>
        </w:tc>
      </w:tr>
      <w:tr w:rsidR="52C30014" w14:paraId="33D10968" w14:textId="77777777" w:rsidTr="4766512A">
        <w:tc>
          <w:tcPr>
            <w:tcW w:w="4170" w:type="dxa"/>
          </w:tcPr>
          <w:p w14:paraId="1A91A250" w14:textId="1E65BFF6" w:rsidR="0DAD6D33" w:rsidRDefault="0DAD6D33" w:rsidP="52C30014">
            <w:pPr>
              <w:rPr>
                <w:sz w:val="24"/>
                <w:szCs w:val="24"/>
              </w:rPr>
            </w:pPr>
            <w:r w:rsidRPr="4766512A">
              <w:rPr>
                <w:sz w:val="24"/>
                <w:szCs w:val="24"/>
              </w:rPr>
              <w:t>Mental Health Champion</w:t>
            </w:r>
          </w:p>
        </w:tc>
        <w:tc>
          <w:tcPr>
            <w:tcW w:w="3450" w:type="dxa"/>
          </w:tcPr>
          <w:p w14:paraId="71FD047F" w14:textId="0433FD11" w:rsidR="721E1E48" w:rsidRDefault="721E1E48" w:rsidP="52C30014">
            <w:pPr>
              <w:rPr>
                <w:sz w:val="24"/>
                <w:szCs w:val="24"/>
              </w:rPr>
            </w:pPr>
            <w:r w:rsidRPr="4766512A">
              <w:rPr>
                <w:sz w:val="24"/>
                <w:szCs w:val="24"/>
              </w:rPr>
              <w:t>67</w:t>
            </w:r>
          </w:p>
        </w:tc>
      </w:tr>
      <w:tr w:rsidR="52C30014" w14:paraId="7CB40C9A" w14:textId="77777777" w:rsidTr="4766512A">
        <w:tc>
          <w:tcPr>
            <w:tcW w:w="4170" w:type="dxa"/>
          </w:tcPr>
          <w:p w14:paraId="19B1A085" w14:textId="4B068399" w:rsidR="0DAD6D33" w:rsidRDefault="0DAD6D33" w:rsidP="52C30014">
            <w:pPr>
              <w:rPr>
                <w:sz w:val="24"/>
                <w:szCs w:val="24"/>
              </w:rPr>
            </w:pPr>
            <w:r w:rsidRPr="4766512A">
              <w:rPr>
                <w:sz w:val="24"/>
                <w:szCs w:val="24"/>
              </w:rPr>
              <w:t>School Nurse</w:t>
            </w:r>
          </w:p>
        </w:tc>
        <w:tc>
          <w:tcPr>
            <w:tcW w:w="3450" w:type="dxa"/>
          </w:tcPr>
          <w:p w14:paraId="2C6EF001" w14:textId="2062EB44" w:rsidR="7A6144F9" w:rsidRDefault="7A6144F9" w:rsidP="52C30014">
            <w:pPr>
              <w:rPr>
                <w:sz w:val="24"/>
                <w:szCs w:val="24"/>
              </w:rPr>
            </w:pPr>
            <w:r w:rsidRPr="4766512A">
              <w:rPr>
                <w:sz w:val="24"/>
                <w:szCs w:val="24"/>
              </w:rPr>
              <w:t>36</w:t>
            </w:r>
          </w:p>
        </w:tc>
      </w:tr>
      <w:tr w:rsidR="52C30014" w14:paraId="1CBD1458" w14:textId="77777777" w:rsidTr="4766512A">
        <w:tc>
          <w:tcPr>
            <w:tcW w:w="4170" w:type="dxa"/>
          </w:tcPr>
          <w:p w14:paraId="7DEBCFD2" w14:textId="79180141" w:rsidR="0DAD6D33" w:rsidRDefault="0DAD6D33" w:rsidP="52C30014">
            <w:pPr>
              <w:rPr>
                <w:sz w:val="24"/>
                <w:szCs w:val="24"/>
              </w:rPr>
            </w:pPr>
            <w:r w:rsidRPr="4766512A">
              <w:rPr>
                <w:sz w:val="24"/>
                <w:szCs w:val="24"/>
              </w:rPr>
              <w:t>Commissioned Counsellor</w:t>
            </w:r>
          </w:p>
        </w:tc>
        <w:tc>
          <w:tcPr>
            <w:tcW w:w="3450" w:type="dxa"/>
          </w:tcPr>
          <w:p w14:paraId="26F8B0AE" w14:textId="7E22B16C" w:rsidR="52C30014" w:rsidRDefault="3F53E8CC" w:rsidP="52C30014">
            <w:pPr>
              <w:rPr>
                <w:sz w:val="24"/>
                <w:szCs w:val="24"/>
              </w:rPr>
            </w:pPr>
            <w:r w:rsidRPr="4766512A">
              <w:rPr>
                <w:sz w:val="24"/>
                <w:szCs w:val="24"/>
              </w:rPr>
              <w:t>19</w:t>
            </w:r>
          </w:p>
        </w:tc>
      </w:tr>
      <w:tr w:rsidR="52C30014" w14:paraId="0E92859D" w14:textId="77777777" w:rsidTr="4766512A">
        <w:tc>
          <w:tcPr>
            <w:tcW w:w="4170" w:type="dxa"/>
          </w:tcPr>
          <w:p w14:paraId="2A062401" w14:textId="60C806F7" w:rsidR="0DAD6D33" w:rsidRDefault="0DAD6D33" w:rsidP="52C30014">
            <w:pPr>
              <w:rPr>
                <w:sz w:val="24"/>
                <w:szCs w:val="24"/>
              </w:rPr>
            </w:pPr>
            <w:r w:rsidRPr="4766512A">
              <w:rPr>
                <w:sz w:val="24"/>
                <w:szCs w:val="24"/>
              </w:rPr>
              <w:t>Commissioned Educational Psychologist</w:t>
            </w:r>
          </w:p>
        </w:tc>
        <w:tc>
          <w:tcPr>
            <w:tcW w:w="3450" w:type="dxa"/>
          </w:tcPr>
          <w:p w14:paraId="26AEB54E" w14:textId="66B080C1" w:rsidR="52C30014" w:rsidRDefault="403D3E49" w:rsidP="52C30014">
            <w:pPr>
              <w:rPr>
                <w:sz w:val="24"/>
                <w:szCs w:val="24"/>
              </w:rPr>
            </w:pPr>
            <w:r w:rsidRPr="4766512A">
              <w:rPr>
                <w:sz w:val="24"/>
                <w:szCs w:val="24"/>
              </w:rPr>
              <w:t>37</w:t>
            </w:r>
          </w:p>
        </w:tc>
      </w:tr>
      <w:tr w:rsidR="52C30014" w14:paraId="1619CD76" w14:textId="77777777" w:rsidTr="4766512A">
        <w:tc>
          <w:tcPr>
            <w:tcW w:w="4170" w:type="dxa"/>
          </w:tcPr>
          <w:p w14:paraId="5AFD96C6" w14:textId="22BD52E8" w:rsidR="0DAD6D33" w:rsidRDefault="0DAD6D33" w:rsidP="52C30014">
            <w:pPr>
              <w:rPr>
                <w:sz w:val="24"/>
                <w:szCs w:val="24"/>
              </w:rPr>
            </w:pPr>
            <w:r w:rsidRPr="4766512A">
              <w:rPr>
                <w:sz w:val="24"/>
                <w:szCs w:val="24"/>
              </w:rPr>
              <w:t>Primary Mental Health Worker</w:t>
            </w:r>
          </w:p>
        </w:tc>
        <w:tc>
          <w:tcPr>
            <w:tcW w:w="3450" w:type="dxa"/>
          </w:tcPr>
          <w:p w14:paraId="22DB769F" w14:textId="4FE18DD0" w:rsidR="52C30014" w:rsidRDefault="2DB66155" w:rsidP="52C30014">
            <w:pPr>
              <w:rPr>
                <w:sz w:val="24"/>
                <w:szCs w:val="24"/>
              </w:rPr>
            </w:pPr>
            <w:r w:rsidRPr="4766512A">
              <w:rPr>
                <w:sz w:val="24"/>
                <w:szCs w:val="24"/>
              </w:rPr>
              <w:t>5</w:t>
            </w:r>
          </w:p>
        </w:tc>
      </w:tr>
      <w:tr w:rsidR="52C30014" w14:paraId="6C4F3FD0" w14:textId="77777777" w:rsidTr="4766512A">
        <w:tc>
          <w:tcPr>
            <w:tcW w:w="4170" w:type="dxa"/>
          </w:tcPr>
          <w:p w14:paraId="0ED5BB6D" w14:textId="7A96FFBC" w:rsidR="0DAD6D33" w:rsidRDefault="0DAD6D33" w:rsidP="52C30014">
            <w:pPr>
              <w:rPr>
                <w:sz w:val="24"/>
                <w:szCs w:val="24"/>
              </w:rPr>
            </w:pPr>
            <w:r w:rsidRPr="4766512A">
              <w:rPr>
                <w:sz w:val="24"/>
                <w:szCs w:val="24"/>
              </w:rPr>
              <w:t>Emotional Wellbeing Practitioner</w:t>
            </w:r>
          </w:p>
        </w:tc>
        <w:tc>
          <w:tcPr>
            <w:tcW w:w="3450" w:type="dxa"/>
          </w:tcPr>
          <w:p w14:paraId="6E2EF3FB" w14:textId="25BFFD51" w:rsidR="52C30014" w:rsidRDefault="5E61A66D" w:rsidP="52C30014">
            <w:pPr>
              <w:rPr>
                <w:sz w:val="24"/>
                <w:szCs w:val="24"/>
              </w:rPr>
            </w:pPr>
            <w:r w:rsidRPr="4766512A">
              <w:rPr>
                <w:sz w:val="24"/>
                <w:szCs w:val="24"/>
              </w:rPr>
              <w:t>11</w:t>
            </w:r>
          </w:p>
        </w:tc>
      </w:tr>
      <w:tr w:rsidR="52C30014" w14:paraId="6D8516D2" w14:textId="77777777" w:rsidTr="4766512A">
        <w:tc>
          <w:tcPr>
            <w:tcW w:w="4170" w:type="dxa"/>
          </w:tcPr>
          <w:p w14:paraId="6E068326" w14:textId="190F0D5F" w:rsidR="0DAD6D33" w:rsidRDefault="0DAD6D33" w:rsidP="52C30014">
            <w:pPr>
              <w:rPr>
                <w:sz w:val="24"/>
                <w:szCs w:val="24"/>
              </w:rPr>
            </w:pPr>
            <w:r w:rsidRPr="4766512A">
              <w:rPr>
                <w:sz w:val="24"/>
                <w:szCs w:val="24"/>
              </w:rPr>
              <w:t>Other</w:t>
            </w:r>
          </w:p>
        </w:tc>
        <w:tc>
          <w:tcPr>
            <w:tcW w:w="3450" w:type="dxa"/>
          </w:tcPr>
          <w:p w14:paraId="5BA1D7CA" w14:textId="2CB5D4D2" w:rsidR="52C30014" w:rsidRDefault="7D4C4B04" w:rsidP="52C30014">
            <w:pPr>
              <w:rPr>
                <w:sz w:val="24"/>
                <w:szCs w:val="24"/>
              </w:rPr>
            </w:pPr>
            <w:r w:rsidRPr="4766512A">
              <w:rPr>
                <w:sz w:val="24"/>
                <w:szCs w:val="24"/>
              </w:rPr>
              <w:t>25</w:t>
            </w:r>
          </w:p>
        </w:tc>
      </w:tr>
    </w:tbl>
    <w:p w14:paraId="4BBFA3C6" w14:textId="10DD546A" w:rsidR="00310F2B" w:rsidRDefault="00310F2B" w:rsidP="009A363C">
      <w:pPr>
        <w:rPr>
          <w:sz w:val="24"/>
        </w:rPr>
      </w:pPr>
    </w:p>
    <w:p w14:paraId="15FC2BF8" w14:textId="062F8B2F" w:rsidR="0026588A" w:rsidRDefault="0026588A" w:rsidP="009A363C">
      <w:pPr>
        <w:rPr>
          <w:sz w:val="24"/>
        </w:rPr>
      </w:pPr>
    </w:p>
    <w:p w14:paraId="68FB457D" w14:textId="0AA5CE31" w:rsidR="0026588A" w:rsidRDefault="0026588A" w:rsidP="009A363C">
      <w:pPr>
        <w:rPr>
          <w:sz w:val="24"/>
        </w:rPr>
      </w:pPr>
    </w:p>
    <w:p w14:paraId="15E3D1FE" w14:textId="5FFBCCD8" w:rsidR="0026588A" w:rsidRDefault="0026588A" w:rsidP="009A363C">
      <w:pPr>
        <w:rPr>
          <w:sz w:val="24"/>
        </w:rPr>
      </w:pPr>
    </w:p>
    <w:p w14:paraId="59EE76EC" w14:textId="2C5530A0" w:rsidR="0026588A" w:rsidRDefault="0026588A" w:rsidP="009A363C">
      <w:pPr>
        <w:rPr>
          <w:sz w:val="24"/>
        </w:rPr>
      </w:pPr>
    </w:p>
    <w:p w14:paraId="5B372B63" w14:textId="6E8856D2" w:rsidR="0026588A" w:rsidRDefault="0026588A" w:rsidP="009A363C">
      <w:pPr>
        <w:rPr>
          <w:sz w:val="24"/>
        </w:rPr>
      </w:pPr>
    </w:p>
    <w:p w14:paraId="7F7798AB" w14:textId="2A28C4FE" w:rsidR="0026588A" w:rsidRDefault="0026588A" w:rsidP="009A363C">
      <w:pPr>
        <w:rPr>
          <w:sz w:val="24"/>
        </w:rPr>
      </w:pPr>
    </w:p>
    <w:p w14:paraId="791A1B43" w14:textId="7994D51E" w:rsidR="0026588A" w:rsidRDefault="0026588A" w:rsidP="009A363C">
      <w:pPr>
        <w:rPr>
          <w:sz w:val="24"/>
        </w:rPr>
      </w:pPr>
    </w:p>
    <w:p w14:paraId="5DC0E2CC" w14:textId="4BC99289" w:rsidR="0026588A" w:rsidRDefault="0026588A" w:rsidP="009A363C">
      <w:pPr>
        <w:rPr>
          <w:sz w:val="24"/>
        </w:rPr>
      </w:pPr>
    </w:p>
    <w:p w14:paraId="0F07773A" w14:textId="2C759D4D" w:rsidR="0026588A" w:rsidRDefault="0026588A" w:rsidP="009A363C">
      <w:pPr>
        <w:rPr>
          <w:sz w:val="24"/>
        </w:rPr>
      </w:pPr>
    </w:p>
    <w:p w14:paraId="37205369" w14:textId="6E2CC513" w:rsidR="0026588A" w:rsidRDefault="0026588A" w:rsidP="009A363C">
      <w:pPr>
        <w:rPr>
          <w:sz w:val="24"/>
        </w:rPr>
      </w:pPr>
    </w:p>
    <w:p w14:paraId="46915340" w14:textId="5033A713" w:rsidR="0026588A" w:rsidRDefault="0026588A" w:rsidP="009A363C">
      <w:pPr>
        <w:rPr>
          <w:sz w:val="24"/>
        </w:rPr>
      </w:pPr>
    </w:p>
    <w:p w14:paraId="689D6229" w14:textId="78CBAC10" w:rsidR="0026588A" w:rsidRDefault="0026588A" w:rsidP="009A363C">
      <w:pPr>
        <w:rPr>
          <w:sz w:val="24"/>
        </w:rPr>
      </w:pPr>
    </w:p>
    <w:p w14:paraId="3894D49A" w14:textId="40ACFC46" w:rsidR="0026588A" w:rsidRDefault="0026588A" w:rsidP="009A363C">
      <w:pPr>
        <w:rPr>
          <w:sz w:val="24"/>
        </w:rPr>
      </w:pPr>
    </w:p>
    <w:p w14:paraId="4756EB96" w14:textId="6C98B161" w:rsidR="0026588A" w:rsidRDefault="0026588A" w:rsidP="009A363C">
      <w:pPr>
        <w:rPr>
          <w:sz w:val="24"/>
        </w:rPr>
      </w:pPr>
    </w:p>
    <w:p w14:paraId="38D9D8EA" w14:textId="18635A75" w:rsidR="0026588A" w:rsidRDefault="0026588A" w:rsidP="009A363C">
      <w:pPr>
        <w:rPr>
          <w:sz w:val="24"/>
        </w:rPr>
      </w:pPr>
    </w:p>
    <w:p w14:paraId="3691FEFD" w14:textId="19F00A80" w:rsidR="0026588A" w:rsidRDefault="0026588A" w:rsidP="009A363C">
      <w:pPr>
        <w:rPr>
          <w:sz w:val="24"/>
        </w:rPr>
      </w:pPr>
    </w:p>
    <w:p w14:paraId="28CF9B21" w14:textId="3F7F1788" w:rsidR="0026588A" w:rsidRDefault="0026588A" w:rsidP="009A363C">
      <w:pPr>
        <w:rPr>
          <w:sz w:val="24"/>
        </w:rPr>
      </w:pPr>
    </w:p>
    <w:p w14:paraId="09B68E62" w14:textId="3B80EE23" w:rsidR="0026588A" w:rsidRDefault="0026588A" w:rsidP="009A363C">
      <w:pPr>
        <w:rPr>
          <w:sz w:val="24"/>
        </w:rPr>
      </w:pPr>
    </w:p>
    <w:p w14:paraId="5C3C98D1" w14:textId="1BBF7D8B" w:rsidR="0026588A" w:rsidRDefault="0026588A" w:rsidP="009A363C">
      <w:pPr>
        <w:rPr>
          <w:sz w:val="24"/>
        </w:rPr>
      </w:pPr>
    </w:p>
    <w:p w14:paraId="1C3FFB64" w14:textId="5D9BE027" w:rsidR="0026588A" w:rsidRDefault="0026588A" w:rsidP="009A363C">
      <w:pPr>
        <w:rPr>
          <w:sz w:val="24"/>
        </w:rPr>
      </w:pPr>
    </w:p>
    <w:p w14:paraId="287D0F64" w14:textId="4DF6394E" w:rsidR="00310F2B" w:rsidRDefault="00310F2B" w:rsidP="009A363C">
      <w:pPr>
        <w:rPr>
          <w:sz w:val="24"/>
        </w:rPr>
      </w:pPr>
    </w:p>
    <w:p w14:paraId="69A0F86B" w14:textId="3672E593" w:rsidR="007F5DE4" w:rsidRDefault="00866267" w:rsidP="52C30014">
      <w:pPr>
        <w:pStyle w:val="Heading2"/>
        <w:rPr>
          <w:rFonts w:asciiTheme="minorHAnsi" w:hAnsiTheme="minorHAnsi" w:cstheme="minorBidi"/>
          <w:color w:val="auto"/>
          <w:sz w:val="22"/>
          <w:szCs w:val="22"/>
        </w:rPr>
      </w:pPr>
      <w:bookmarkStart w:id="3" w:name="_Appendix_2:_Demographic"/>
      <w:bookmarkStart w:id="4" w:name="_Appendix_C:_Demographic"/>
      <w:bookmarkEnd w:id="3"/>
      <w:bookmarkEnd w:id="4"/>
      <w:r w:rsidRPr="52C30014">
        <w:rPr>
          <w:rFonts w:asciiTheme="minorHAnsi" w:hAnsiTheme="minorHAnsi" w:cstheme="minorBidi"/>
          <w:b/>
          <w:bCs/>
          <w:color w:val="auto"/>
          <w:sz w:val="22"/>
          <w:szCs w:val="22"/>
        </w:rPr>
        <w:t xml:space="preserve">Appendix </w:t>
      </w:r>
      <w:r w:rsidR="4087E738" w:rsidRPr="52C30014">
        <w:rPr>
          <w:rFonts w:asciiTheme="minorHAnsi" w:hAnsiTheme="minorHAnsi" w:cstheme="minorBidi"/>
          <w:b/>
          <w:bCs/>
          <w:color w:val="auto"/>
          <w:sz w:val="22"/>
          <w:szCs w:val="22"/>
        </w:rPr>
        <w:t>C</w:t>
      </w:r>
      <w:r w:rsidR="007F5DE4" w:rsidRPr="52C30014">
        <w:rPr>
          <w:rFonts w:asciiTheme="minorHAnsi" w:hAnsiTheme="minorHAnsi" w:cstheme="minorBidi"/>
          <w:color w:val="auto"/>
          <w:sz w:val="22"/>
          <w:szCs w:val="22"/>
        </w:rPr>
        <w:t>: Demographic Data for the Schools</w:t>
      </w:r>
    </w:p>
    <w:p w14:paraId="07EAACC5" w14:textId="77777777" w:rsidR="007C6B07" w:rsidRPr="007C6B07" w:rsidRDefault="007C6B07" w:rsidP="007C6B07"/>
    <w:p w14:paraId="724405F5" w14:textId="108044DC" w:rsidR="007C5526" w:rsidRPr="009A363C" w:rsidRDefault="007F5DE4" w:rsidP="007F5DE4">
      <w:pPr>
        <w:rPr>
          <w:i/>
        </w:rPr>
      </w:pPr>
      <w:r>
        <w:tab/>
      </w:r>
      <w:r w:rsidRPr="004A22CE">
        <w:rPr>
          <w:i/>
        </w:rPr>
        <w:t>Black, Asian a</w:t>
      </w:r>
      <w:r w:rsidR="009A363C">
        <w:rPr>
          <w:i/>
        </w:rPr>
        <w:t>nd Minority Ethnic Demographics</w:t>
      </w:r>
    </w:p>
    <w:tbl>
      <w:tblPr>
        <w:tblStyle w:val="TableGrid"/>
        <w:tblW w:w="0" w:type="auto"/>
        <w:tblLook w:val="04A0" w:firstRow="1" w:lastRow="0" w:firstColumn="1" w:lastColumn="0" w:noHBand="0" w:noVBand="1"/>
      </w:tblPr>
      <w:tblGrid>
        <w:gridCol w:w="1555"/>
        <w:gridCol w:w="2976"/>
      </w:tblGrid>
      <w:tr w:rsidR="007C5526" w14:paraId="3CD31196" w14:textId="77777777" w:rsidTr="00CD63DB">
        <w:tc>
          <w:tcPr>
            <w:tcW w:w="1555" w:type="dxa"/>
            <w:shd w:val="clear" w:color="auto" w:fill="D9D9D9" w:themeFill="background1" w:themeFillShade="D9"/>
          </w:tcPr>
          <w:p w14:paraId="6668C0F4" w14:textId="3EFA5CF6" w:rsidR="007C5526" w:rsidRDefault="007C5526" w:rsidP="00CD63DB">
            <w:r>
              <w:t xml:space="preserve">Proportion of BAME </w:t>
            </w:r>
            <w:r w:rsidR="00CD63DB">
              <w:t>CYP</w:t>
            </w:r>
          </w:p>
        </w:tc>
        <w:tc>
          <w:tcPr>
            <w:tcW w:w="2976" w:type="dxa"/>
            <w:shd w:val="clear" w:color="auto" w:fill="D9D9D9" w:themeFill="background1" w:themeFillShade="D9"/>
          </w:tcPr>
          <w:p w14:paraId="5BBF4D78" w14:textId="4CADA09C" w:rsidR="007C5526" w:rsidRDefault="007C5526" w:rsidP="007F5DE4">
            <w:r>
              <w:t>Number of Schools with this Proportion of BAME Students</w:t>
            </w:r>
          </w:p>
        </w:tc>
      </w:tr>
      <w:tr w:rsidR="007C5526" w14:paraId="4979CFEB" w14:textId="77777777" w:rsidTr="00CD63DB">
        <w:tc>
          <w:tcPr>
            <w:tcW w:w="1555" w:type="dxa"/>
          </w:tcPr>
          <w:p w14:paraId="0856775F" w14:textId="4D6B7936" w:rsidR="007C5526" w:rsidRDefault="007C5526" w:rsidP="007F5DE4">
            <w:r>
              <w:t>0 – 24%</w:t>
            </w:r>
          </w:p>
        </w:tc>
        <w:tc>
          <w:tcPr>
            <w:tcW w:w="2976" w:type="dxa"/>
          </w:tcPr>
          <w:p w14:paraId="782E1CBF" w14:textId="561B26CC" w:rsidR="007C5526" w:rsidRDefault="007C5526" w:rsidP="007F5DE4">
            <w:r>
              <w:t>26</w:t>
            </w:r>
          </w:p>
        </w:tc>
      </w:tr>
      <w:tr w:rsidR="007C5526" w14:paraId="14C688D2" w14:textId="77777777" w:rsidTr="00CD63DB">
        <w:tc>
          <w:tcPr>
            <w:tcW w:w="1555" w:type="dxa"/>
          </w:tcPr>
          <w:p w14:paraId="612A3A78" w14:textId="156832C6" w:rsidR="007C5526" w:rsidRDefault="009A363C" w:rsidP="007F5DE4">
            <w:r>
              <w:t>25 – 49</w:t>
            </w:r>
            <w:r w:rsidR="007C5526">
              <w:t>%</w:t>
            </w:r>
          </w:p>
        </w:tc>
        <w:tc>
          <w:tcPr>
            <w:tcW w:w="2976" w:type="dxa"/>
          </w:tcPr>
          <w:p w14:paraId="2C11EE1A" w14:textId="340AD8BA" w:rsidR="007C5526" w:rsidRDefault="000F3B25" w:rsidP="007F5DE4">
            <w:r>
              <w:t>10</w:t>
            </w:r>
          </w:p>
        </w:tc>
      </w:tr>
      <w:tr w:rsidR="009A363C" w14:paraId="7E96CCDF" w14:textId="77777777" w:rsidTr="00CD63DB">
        <w:tc>
          <w:tcPr>
            <w:tcW w:w="1555" w:type="dxa"/>
          </w:tcPr>
          <w:p w14:paraId="09EBD0B7" w14:textId="1E3CD984" w:rsidR="009A363C" w:rsidRDefault="009A363C" w:rsidP="007F5DE4">
            <w:r>
              <w:t>50 – 74%</w:t>
            </w:r>
          </w:p>
        </w:tc>
        <w:tc>
          <w:tcPr>
            <w:tcW w:w="2976" w:type="dxa"/>
          </w:tcPr>
          <w:p w14:paraId="36B2A5FE" w14:textId="42B3124B" w:rsidR="009A363C" w:rsidRDefault="000F3B25" w:rsidP="007F5DE4">
            <w:r>
              <w:t>10</w:t>
            </w:r>
          </w:p>
        </w:tc>
      </w:tr>
      <w:tr w:rsidR="007C5526" w14:paraId="6CE9A111" w14:textId="77777777" w:rsidTr="00CD63DB">
        <w:tc>
          <w:tcPr>
            <w:tcW w:w="1555" w:type="dxa"/>
          </w:tcPr>
          <w:p w14:paraId="1F7B9CFC" w14:textId="431F178E" w:rsidR="007C5526" w:rsidRDefault="007C5526" w:rsidP="007F5DE4">
            <w:r>
              <w:t xml:space="preserve">75 – 100% </w:t>
            </w:r>
          </w:p>
        </w:tc>
        <w:tc>
          <w:tcPr>
            <w:tcW w:w="2976" w:type="dxa"/>
          </w:tcPr>
          <w:p w14:paraId="64423378" w14:textId="00FEBB0C" w:rsidR="007C5526" w:rsidRDefault="007C5526" w:rsidP="007F5DE4">
            <w:r>
              <w:t>20</w:t>
            </w:r>
          </w:p>
        </w:tc>
      </w:tr>
    </w:tbl>
    <w:p w14:paraId="3566847A" w14:textId="041FDA7F" w:rsidR="00310F2B" w:rsidRDefault="00310F2B" w:rsidP="007F5DE4"/>
    <w:p w14:paraId="36B49C34" w14:textId="09EC1FBC" w:rsidR="005A2BE4" w:rsidRPr="000F3B25" w:rsidRDefault="005A2BE4" w:rsidP="007F5DE4">
      <w:pPr>
        <w:rPr>
          <w:i/>
        </w:rPr>
      </w:pPr>
      <w:r>
        <w:tab/>
      </w:r>
      <w:r w:rsidRPr="004A22CE">
        <w:rPr>
          <w:i/>
        </w:rPr>
        <w:t>El</w:t>
      </w:r>
      <w:r w:rsidR="000F3B25">
        <w:rPr>
          <w:i/>
        </w:rPr>
        <w:t xml:space="preserve">igibility of Free School Meals </w:t>
      </w:r>
    </w:p>
    <w:tbl>
      <w:tblPr>
        <w:tblStyle w:val="TableGrid"/>
        <w:tblW w:w="0" w:type="auto"/>
        <w:tblLook w:val="04A0" w:firstRow="1" w:lastRow="0" w:firstColumn="1" w:lastColumn="0" w:noHBand="0" w:noVBand="1"/>
      </w:tblPr>
      <w:tblGrid>
        <w:gridCol w:w="1838"/>
        <w:gridCol w:w="3827"/>
      </w:tblGrid>
      <w:tr w:rsidR="005A2BE4" w14:paraId="59BE2D6A" w14:textId="77777777" w:rsidTr="00CD63DB">
        <w:tc>
          <w:tcPr>
            <w:tcW w:w="1838" w:type="dxa"/>
            <w:shd w:val="clear" w:color="auto" w:fill="D9D9D9" w:themeFill="background1" w:themeFillShade="D9"/>
          </w:tcPr>
          <w:p w14:paraId="317D5F8F" w14:textId="121CBF61" w:rsidR="005A2BE4" w:rsidRDefault="005A2BE4" w:rsidP="00CD63DB">
            <w:r>
              <w:t xml:space="preserve">Proportion of </w:t>
            </w:r>
            <w:r w:rsidR="00CD63DB">
              <w:t>CYP</w:t>
            </w:r>
            <w:r>
              <w:t xml:space="preserve"> Eligible for FSM</w:t>
            </w:r>
          </w:p>
        </w:tc>
        <w:tc>
          <w:tcPr>
            <w:tcW w:w="3827" w:type="dxa"/>
            <w:shd w:val="clear" w:color="auto" w:fill="D9D9D9" w:themeFill="background1" w:themeFillShade="D9"/>
          </w:tcPr>
          <w:p w14:paraId="31C7D188" w14:textId="02F34CCB" w:rsidR="005A2BE4" w:rsidRDefault="005A2BE4" w:rsidP="007F5DE4">
            <w:r>
              <w:t>Number of Schools with this Proportion of Students Eligible for FSM</w:t>
            </w:r>
          </w:p>
        </w:tc>
      </w:tr>
      <w:tr w:rsidR="005A2BE4" w14:paraId="29D3DAF9" w14:textId="77777777" w:rsidTr="00CD63DB">
        <w:tc>
          <w:tcPr>
            <w:tcW w:w="1838" w:type="dxa"/>
          </w:tcPr>
          <w:p w14:paraId="6FE121A2" w14:textId="057ADCED" w:rsidR="005A2BE4" w:rsidRDefault="000F3B25" w:rsidP="007F5DE4">
            <w:r>
              <w:t>0 – 24</w:t>
            </w:r>
            <w:r w:rsidR="005A2BE4">
              <w:t>%</w:t>
            </w:r>
          </w:p>
        </w:tc>
        <w:tc>
          <w:tcPr>
            <w:tcW w:w="3827" w:type="dxa"/>
          </w:tcPr>
          <w:p w14:paraId="2AD433CC" w14:textId="330A136F" w:rsidR="005A2BE4" w:rsidRDefault="000F3B25" w:rsidP="007F5DE4">
            <w:r>
              <w:t>42</w:t>
            </w:r>
          </w:p>
        </w:tc>
      </w:tr>
      <w:tr w:rsidR="005A2BE4" w14:paraId="40039176" w14:textId="77777777" w:rsidTr="00CD63DB">
        <w:tc>
          <w:tcPr>
            <w:tcW w:w="1838" w:type="dxa"/>
          </w:tcPr>
          <w:p w14:paraId="3F844F55" w14:textId="6E6494D7" w:rsidR="005A2BE4" w:rsidRDefault="000F3B25" w:rsidP="007F5DE4">
            <w:r>
              <w:t>25 – 49</w:t>
            </w:r>
            <w:r w:rsidR="005A2BE4">
              <w:t>%</w:t>
            </w:r>
          </w:p>
        </w:tc>
        <w:tc>
          <w:tcPr>
            <w:tcW w:w="3827" w:type="dxa"/>
          </w:tcPr>
          <w:p w14:paraId="51E457A7" w14:textId="57A313A3" w:rsidR="005A2BE4" w:rsidRDefault="000F3B25" w:rsidP="007F5DE4">
            <w:r>
              <w:t>23</w:t>
            </w:r>
          </w:p>
        </w:tc>
      </w:tr>
      <w:tr w:rsidR="000F3B25" w14:paraId="4176A5A1" w14:textId="77777777" w:rsidTr="00CD63DB">
        <w:tc>
          <w:tcPr>
            <w:tcW w:w="1838" w:type="dxa"/>
          </w:tcPr>
          <w:p w14:paraId="6196EC66" w14:textId="189C1001" w:rsidR="000F3B25" w:rsidRDefault="000F3B25" w:rsidP="007F5DE4">
            <w:r>
              <w:t>50 – 74%</w:t>
            </w:r>
          </w:p>
        </w:tc>
        <w:tc>
          <w:tcPr>
            <w:tcW w:w="3827" w:type="dxa"/>
          </w:tcPr>
          <w:p w14:paraId="75F7E0C4" w14:textId="3723CB99" w:rsidR="000F3B25" w:rsidRDefault="00AC4E8D" w:rsidP="007F5DE4">
            <w:r>
              <w:t>1</w:t>
            </w:r>
          </w:p>
        </w:tc>
      </w:tr>
      <w:tr w:rsidR="005A2BE4" w14:paraId="3B08CEED" w14:textId="77777777" w:rsidTr="00CD63DB">
        <w:tc>
          <w:tcPr>
            <w:tcW w:w="1838" w:type="dxa"/>
          </w:tcPr>
          <w:p w14:paraId="5F304839" w14:textId="01C4F25E" w:rsidR="005A2BE4" w:rsidRDefault="000F3B25" w:rsidP="007F5DE4">
            <w:r>
              <w:t>75</w:t>
            </w:r>
            <w:r w:rsidR="005A2BE4">
              <w:t xml:space="preserve"> – 100%</w:t>
            </w:r>
          </w:p>
        </w:tc>
        <w:tc>
          <w:tcPr>
            <w:tcW w:w="3827" w:type="dxa"/>
          </w:tcPr>
          <w:p w14:paraId="5A4F9B61" w14:textId="28A3FB1B" w:rsidR="005A2BE4" w:rsidRDefault="005A2BE4" w:rsidP="007F5DE4">
            <w:r>
              <w:t>0</w:t>
            </w:r>
          </w:p>
        </w:tc>
      </w:tr>
    </w:tbl>
    <w:p w14:paraId="39C8055B" w14:textId="550DEE49" w:rsidR="00310F2B" w:rsidRDefault="00310F2B" w:rsidP="007F5DE4">
      <w:pPr>
        <w:rPr>
          <w:sz w:val="24"/>
        </w:rPr>
      </w:pPr>
    </w:p>
    <w:p w14:paraId="1B79BD64" w14:textId="245CED1B" w:rsidR="00F25443" w:rsidRPr="00AC4E8D" w:rsidRDefault="000F4FAD" w:rsidP="007F5DE4">
      <w:pPr>
        <w:rPr>
          <w:i/>
          <w:sz w:val="24"/>
        </w:rPr>
      </w:pPr>
      <w:r>
        <w:rPr>
          <w:sz w:val="24"/>
        </w:rPr>
        <w:tab/>
      </w:r>
      <w:r w:rsidRPr="00F25443">
        <w:rPr>
          <w:i/>
        </w:rPr>
        <w:t>Index of Multiple Deprivation of Schools</w:t>
      </w:r>
    </w:p>
    <w:tbl>
      <w:tblPr>
        <w:tblStyle w:val="TableGrid"/>
        <w:tblW w:w="0" w:type="auto"/>
        <w:tblLook w:val="04A0" w:firstRow="1" w:lastRow="0" w:firstColumn="1" w:lastColumn="0" w:noHBand="0" w:noVBand="1"/>
      </w:tblPr>
      <w:tblGrid>
        <w:gridCol w:w="3114"/>
        <w:gridCol w:w="2268"/>
      </w:tblGrid>
      <w:tr w:rsidR="000F4FAD" w14:paraId="509A9F00" w14:textId="77777777" w:rsidTr="000F4FAD">
        <w:tc>
          <w:tcPr>
            <w:tcW w:w="3114" w:type="dxa"/>
            <w:shd w:val="clear" w:color="auto" w:fill="D9D9D9" w:themeFill="background1" w:themeFillShade="D9"/>
          </w:tcPr>
          <w:p w14:paraId="48E80BBB" w14:textId="7943ED32" w:rsidR="000F4FAD" w:rsidRPr="000F4FAD" w:rsidRDefault="000F4FAD" w:rsidP="007F5DE4">
            <w:r w:rsidRPr="000F4FAD">
              <w:t>IMD Decile</w:t>
            </w:r>
          </w:p>
        </w:tc>
        <w:tc>
          <w:tcPr>
            <w:tcW w:w="2268" w:type="dxa"/>
            <w:shd w:val="clear" w:color="auto" w:fill="D9D9D9" w:themeFill="background1" w:themeFillShade="D9"/>
          </w:tcPr>
          <w:p w14:paraId="0916F3FB" w14:textId="4D658A28" w:rsidR="000F4FAD" w:rsidRPr="000F4FAD" w:rsidRDefault="000F4FAD" w:rsidP="007F5DE4">
            <w:r w:rsidRPr="000F4FAD">
              <w:t xml:space="preserve">Number of Schools </w:t>
            </w:r>
            <w:r>
              <w:t>within this IMD Decile</w:t>
            </w:r>
          </w:p>
        </w:tc>
      </w:tr>
      <w:tr w:rsidR="000F4FAD" w14:paraId="5F2FEDC5" w14:textId="77777777" w:rsidTr="000F4FAD">
        <w:tc>
          <w:tcPr>
            <w:tcW w:w="3114" w:type="dxa"/>
          </w:tcPr>
          <w:p w14:paraId="56D2B364" w14:textId="1F654E5F" w:rsidR="000F4FAD" w:rsidRPr="000F4FAD" w:rsidRDefault="000F4FAD" w:rsidP="007F5DE4">
            <w:r w:rsidRPr="000F4FAD">
              <w:t>1 (most deprived nationally)</w:t>
            </w:r>
          </w:p>
        </w:tc>
        <w:tc>
          <w:tcPr>
            <w:tcW w:w="2268" w:type="dxa"/>
          </w:tcPr>
          <w:p w14:paraId="6C38EED9" w14:textId="3D28349D" w:rsidR="000F4FAD" w:rsidRPr="000F4FAD" w:rsidRDefault="00310F2B" w:rsidP="007F5DE4">
            <w:r>
              <w:t>25</w:t>
            </w:r>
          </w:p>
        </w:tc>
      </w:tr>
      <w:tr w:rsidR="007C6B07" w14:paraId="78D44C49" w14:textId="77777777" w:rsidTr="000F4FAD">
        <w:tc>
          <w:tcPr>
            <w:tcW w:w="3114" w:type="dxa"/>
          </w:tcPr>
          <w:p w14:paraId="6A61D7B0" w14:textId="1C00F0F0" w:rsidR="007C6B07" w:rsidRPr="000F4FAD" w:rsidRDefault="007C6B07" w:rsidP="007F5DE4">
            <w:r>
              <w:t>2</w:t>
            </w:r>
          </w:p>
        </w:tc>
        <w:tc>
          <w:tcPr>
            <w:tcW w:w="2268" w:type="dxa"/>
          </w:tcPr>
          <w:p w14:paraId="469C64D0" w14:textId="5D88AC50" w:rsidR="007C6B07" w:rsidRDefault="00310F2B" w:rsidP="007F5DE4">
            <w:r>
              <w:t>12</w:t>
            </w:r>
          </w:p>
        </w:tc>
      </w:tr>
      <w:tr w:rsidR="007C6B07" w14:paraId="01D6B377" w14:textId="77777777" w:rsidTr="000F4FAD">
        <w:tc>
          <w:tcPr>
            <w:tcW w:w="3114" w:type="dxa"/>
          </w:tcPr>
          <w:p w14:paraId="607D0B11" w14:textId="78688FE2" w:rsidR="007C6B07" w:rsidRPr="000F4FAD" w:rsidRDefault="007C6B07" w:rsidP="007F5DE4">
            <w:r>
              <w:t>3</w:t>
            </w:r>
          </w:p>
        </w:tc>
        <w:tc>
          <w:tcPr>
            <w:tcW w:w="2268" w:type="dxa"/>
          </w:tcPr>
          <w:p w14:paraId="381E6A09" w14:textId="681C850F" w:rsidR="007C6B07" w:rsidRDefault="00310F2B" w:rsidP="007F5DE4">
            <w:r>
              <w:t>8</w:t>
            </w:r>
          </w:p>
        </w:tc>
      </w:tr>
      <w:tr w:rsidR="007C6B07" w14:paraId="3E29FFCF" w14:textId="77777777" w:rsidTr="000F4FAD">
        <w:tc>
          <w:tcPr>
            <w:tcW w:w="3114" w:type="dxa"/>
          </w:tcPr>
          <w:p w14:paraId="495640C4" w14:textId="5E64C983" w:rsidR="007C6B07" w:rsidRPr="000F4FAD" w:rsidRDefault="007C6B07" w:rsidP="007F5DE4">
            <w:r>
              <w:t>4</w:t>
            </w:r>
          </w:p>
        </w:tc>
        <w:tc>
          <w:tcPr>
            <w:tcW w:w="2268" w:type="dxa"/>
          </w:tcPr>
          <w:p w14:paraId="0CFF6DF5" w14:textId="4EAE94CE" w:rsidR="007C6B07" w:rsidRDefault="00310F2B" w:rsidP="007F5DE4">
            <w:r>
              <w:t>3</w:t>
            </w:r>
          </w:p>
        </w:tc>
      </w:tr>
      <w:tr w:rsidR="007C6B07" w14:paraId="05F73234" w14:textId="77777777" w:rsidTr="000F4FAD">
        <w:tc>
          <w:tcPr>
            <w:tcW w:w="3114" w:type="dxa"/>
          </w:tcPr>
          <w:p w14:paraId="567D6A31" w14:textId="5B937C88" w:rsidR="007C6B07" w:rsidRPr="000F4FAD" w:rsidRDefault="007C6B07" w:rsidP="007F5DE4">
            <w:r>
              <w:t>5</w:t>
            </w:r>
          </w:p>
        </w:tc>
        <w:tc>
          <w:tcPr>
            <w:tcW w:w="2268" w:type="dxa"/>
          </w:tcPr>
          <w:p w14:paraId="245FB032" w14:textId="1A8F7D34" w:rsidR="007C6B07" w:rsidRDefault="00310F2B" w:rsidP="007F5DE4">
            <w:r>
              <w:t>3</w:t>
            </w:r>
          </w:p>
        </w:tc>
      </w:tr>
      <w:tr w:rsidR="007C6B07" w14:paraId="164E2880" w14:textId="77777777" w:rsidTr="000F4FAD">
        <w:tc>
          <w:tcPr>
            <w:tcW w:w="3114" w:type="dxa"/>
          </w:tcPr>
          <w:p w14:paraId="7524A4C1" w14:textId="441D545C" w:rsidR="007C6B07" w:rsidRPr="000F4FAD" w:rsidRDefault="007C6B07" w:rsidP="007F5DE4">
            <w:r>
              <w:t>6</w:t>
            </w:r>
          </w:p>
        </w:tc>
        <w:tc>
          <w:tcPr>
            <w:tcW w:w="2268" w:type="dxa"/>
          </w:tcPr>
          <w:p w14:paraId="19D187A9" w14:textId="0DC2E99E" w:rsidR="007C6B07" w:rsidRDefault="00310F2B" w:rsidP="007F5DE4">
            <w:r>
              <w:t>5</w:t>
            </w:r>
          </w:p>
        </w:tc>
      </w:tr>
      <w:tr w:rsidR="007C6B07" w14:paraId="7BD291F5" w14:textId="77777777" w:rsidTr="000F4FAD">
        <w:tc>
          <w:tcPr>
            <w:tcW w:w="3114" w:type="dxa"/>
          </w:tcPr>
          <w:p w14:paraId="7498F0B7" w14:textId="343A16ED" w:rsidR="007C6B07" w:rsidRPr="000F4FAD" w:rsidRDefault="007C6B07" w:rsidP="007F5DE4">
            <w:r>
              <w:t>7</w:t>
            </w:r>
          </w:p>
        </w:tc>
        <w:tc>
          <w:tcPr>
            <w:tcW w:w="2268" w:type="dxa"/>
          </w:tcPr>
          <w:p w14:paraId="2A578D40" w14:textId="09890EF2" w:rsidR="007C6B07" w:rsidRDefault="00310F2B" w:rsidP="007F5DE4">
            <w:r>
              <w:t>5</w:t>
            </w:r>
          </w:p>
        </w:tc>
      </w:tr>
      <w:tr w:rsidR="007C6B07" w14:paraId="3CCAB11B" w14:textId="77777777" w:rsidTr="000F4FAD">
        <w:tc>
          <w:tcPr>
            <w:tcW w:w="3114" w:type="dxa"/>
          </w:tcPr>
          <w:p w14:paraId="67665C2C" w14:textId="338E6335" w:rsidR="007C6B07" w:rsidRPr="000F4FAD" w:rsidRDefault="007C6B07" w:rsidP="007F5DE4">
            <w:r>
              <w:t>8</w:t>
            </w:r>
          </w:p>
        </w:tc>
        <w:tc>
          <w:tcPr>
            <w:tcW w:w="2268" w:type="dxa"/>
          </w:tcPr>
          <w:p w14:paraId="5CEAF520" w14:textId="6A0F0465" w:rsidR="007C6B07" w:rsidRDefault="00310F2B" w:rsidP="007F5DE4">
            <w:r>
              <w:t>2</w:t>
            </w:r>
          </w:p>
        </w:tc>
      </w:tr>
      <w:tr w:rsidR="007C6B07" w14:paraId="65B35057" w14:textId="77777777" w:rsidTr="000F4FAD">
        <w:tc>
          <w:tcPr>
            <w:tcW w:w="3114" w:type="dxa"/>
          </w:tcPr>
          <w:p w14:paraId="0B73E7E6" w14:textId="7880AB50" w:rsidR="007C6B07" w:rsidRPr="000F4FAD" w:rsidRDefault="007C6B07" w:rsidP="007F5DE4">
            <w:r>
              <w:t>9</w:t>
            </w:r>
          </w:p>
        </w:tc>
        <w:tc>
          <w:tcPr>
            <w:tcW w:w="2268" w:type="dxa"/>
          </w:tcPr>
          <w:p w14:paraId="78942098" w14:textId="5D289685" w:rsidR="007C6B07" w:rsidRDefault="00310F2B" w:rsidP="007F5DE4">
            <w:r>
              <w:t>1</w:t>
            </w:r>
          </w:p>
        </w:tc>
      </w:tr>
      <w:tr w:rsidR="000F4FAD" w14:paraId="17708AAC" w14:textId="77777777" w:rsidTr="000F4FAD">
        <w:tc>
          <w:tcPr>
            <w:tcW w:w="3114" w:type="dxa"/>
          </w:tcPr>
          <w:p w14:paraId="4CC190FB" w14:textId="46A577CF" w:rsidR="000F4FAD" w:rsidRPr="000F4FAD" w:rsidRDefault="000F4FAD" w:rsidP="007F5DE4">
            <w:r w:rsidRPr="000F4FAD">
              <w:t>10 (least deprived nationally)</w:t>
            </w:r>
          </w:p>
        </w:tc>
        <w:tc>
          <w:tcPr>
            <w:tcW w:w="2268" w:type="dxa"/>
          </w:tcPr>
          <w:p w14:paraId="38E3D509" w14:textId="4070DE7D" w:rsidR="000F4FAD" w:rsidRPr="000F4FAD" w:rsidRDefault="000F4FAD" w:rsidP="007F5DE4">
            <w:r>
              <w:t>3</w:t>
            </w:r>
          </w:p>
        </w:tc>
      </w:tr>
    </w:tbl>
    <w:p w14:paraId="60C2902E" w14:textId="5CC062C8" w:rsidR="00310F2B" w:rsidRDefault="00310F2B" w:rsidP="007F5DE4">
      <w:pPr>
        <w:rPr>
          <w:sz w:val="24"/>
        </w:rPr>
      </w:pPr>
    </w:p>
    <w:p w14:paraId="5B9A83B9" w14:textId="2C407E24" w:rsidR="00310F2B" w:rsidRPr="00CD63DB" w:rsidRDefault="00CD63DB" w:rsidP="00310F2B">
      <w:pPr>
        <w:rPr>
          <w:i/>
          <w:sz w:val="24"/>
        </w:rPr>
      </w:pPr>
      <w:r>
        <w:rPr>
          <w:sz w:val="24"/>
        </w:rPr>
        <w:tab/>
      </w:r>
      <w:r w:rsidRPr="00CD63DB">
        <w:rPr>
          <w:i/>
        </w:rPr>
        <w:t xml:space="preserve">Index of Multiple Deprivation of </w:t>
      </w:r>
      <w:r w:rsidR="00062F30">
        <w:rPr>
          <w:i/>
        </w:rPr>
        <w:t>Children and Young People</w:t>
      </w:r>
    </w:p>
    <w:tbl>
      <w:tblPr>
        <w:tblStyle w:val="TableGrid"/>
        <w:tblW w:w="0" w:type="auto"/>
        <w:tblLook w:val="04A0" w:firstRow="1" w:lastRow="0" w:firstColumn="1" w:lastColumn="0" w:noHBand="0" w:noVBand="1"/>
      </w:tblPr>
      <w:tblGrid>
        <w:gridCol w:w="3539"/>
        <w:gridCol w:w="4536"/>
      </w:tblGrid>
      <w:tr w:rsidR="00CD63DB" w14:paraId="070786D8" w14:textId="77777777" w:rsidTr="00CD63DB">
        <w:tc>
          <w:tcPr>
            <w:tcW w:w="3539" w:type="dxa"/>
            <w:shd w:val="clear" w:color="auto" w:fill="D9D9D9" w:themeFill="background1" w:themeFillShade="D9"/>
          </w:tcPr>
          <w:p w14:paraId="3ED5AD17" w14:textId="0A4DD412" w:rsidR="00CD63DB" w:rsidRPr="00CD63DB" w:rsidRDefault="00CD63DB" w:rsidP="00CD63DB">
            <w:r w:rsidRPr="00CD63DB">
              <w:t>Percentage of CYP in the 10%</w:t>
            </w:r>
            <w:r>
              <w:t xml:space="preserve"> Most Deprived Neighbourhoods Nationally</w:t>
            </w:r>
          </w:p>
        </w:tc>
        <w:tc>
          <w:tcPr>
            <w:tcW w:w="4536" w:type="dxa"/>
            <w:shd w:val="clear" w:color="auto" w:fill="D9D9D9" w:themeFill="background1" w:themeFillShade="D9"/>
          </w:tcPr>
          <w:p w14:paraId="265E3442" w14:textId="440B10AC" w:rsidR="00CD63DB" w:rsidRPr="00CD63DB" w:rsidRDefault="00CD63DB" w:rsidP="00310F2B">
            <w:r>
              <w:t>Number of Schools with this Percentage of CYP in the 10% Most Deprived Neighbourhoods</w:t>
            </w:r>
          </w:p>
        </w:tc>
      </w:tr>
      <w:tr w:rsidR="00CD63DB" w14:paraId="77B0E3AF" w14:textId="77777777" w:rsidTr="00CD63DB">
        <w:tc>
          <w:tcPr>
            <w:tcW w:w="3539" w:type="dxa"/>
          </w:tcPr>
          <w:p w14:paraId="46CCCF28" w14:textId="3BB5F9C2" w:rsidR="00CD63DB" w:rsidRPr="00CD63DB" w:rsidRDefault="00CD63DB" w:rsidP="00CD63DB">
            <w:r>
              <w:t>0 – 24%</w:t>
            </w:r>
          </w:p>
        </w:tc>
        <w:tc>
          <w:tcPr>
            <w:tcW w:w="4536" w:type="dxa"/>
          </w:tcPr>
          <w:p w14:paraId="3A33FE55" w14:textId="2BB4128C" w:rsidR="00CD63DB" w:rsidRPr="00CD63DB" w:rsidRDefault="00CD63DB" w:rsidP="00CD63DB">
            <w:r>
              <w:t>23</w:t>
            </w:r>
          </w:p>
        </w:tc>
      </w:tr>
      <w:tr w:rsidR="00CD63DB" w14:paraId="17754DED" w14:textId="77777777" w:rsidTr="00CD63DB">
        <w:tc>
          <w:tcPr>
            <w:tcW w:w="3539" w:type="dxa"/>
          </w:tcPr>
          <w:p w14:paraId="581BA47D" w14:textId="4F3B4A50" w:rsidR="00CD63DB" w:rsidRPr="00CD63DB" w:rsidRDefault="00CD63DB" w:rsidP="00CD63DB">
            <w:r>
              <w:t>25 – 49%</w:t>
            </w:r>
          </w:p>
        </w:tc>
        <w:tc>
          <w:tcPr>
            <w:tcW w:w="4536" w:type="dxa"/>
          </w:tcPr>
          <w:p w14:paraId="37822940" w14:textId="28E3E9BD" w:rsidR="00CD63DB" w:rsidRPr="00CD63DB" w:rsidRDefault="00CD63DB" w:rsidP="00CD63DB">
            <w:r>
              <w:t>13</w:t>
            </w:r>
          </w:p>
        </w:tc>
      </w:tr>
      <w:tr w:rsidR="00CD63DB" w14:paraId="1830BBF3" w14:textId="77777777" w:rsidTr="00CD63DB">
        <w:tc>
          <w:tcPr>
            <w:tcW w:w="3539" w:type="dxa"/>
          </w:tcPr>
          <w:p w14:paraId="0A3B3021" w14:textId="309EB9CD" w:rsidR="00CD63DB" w:rsidRPr="00CD63DB" w:rsidRDefault="00CD63DB" w:rsidP="00CD63DB">
            <w:r>
              <w:t>50 – 74%</w:t>
            </w:r>
          </w:p>
        </w:tc>
        <w:tc>
          <w:tcPr>
            <w:tcW w:w="4536" w:type="dxa"/>
          </w:tcPr>
          <w:p w14:paraId="1BB209DA" w14:textId="4940BC6F" w:rsidR="00CD63DB" w:rsidRPr="00CD63DB" w:rsidRDefault="00CD63DB" w:rsidP="00CD63DB">
            <w:r>
              <w:t>14</w:t>
            </w:r>
          </w:p>
        </w:tc>
      </w:tr>
      <w:tr w:rsidR="00CD63DB" w14:paraId="72584FA7" w14:textId="77777777" w:rsidTr="00CD63DB">
        <w:tc>
          <w:tcPr>
            <w:tcW w:w="3539" w:type="dxa"/>
          </w:tcPr>
          <w:p w14:paraId="20A72542" w14:textId="544AC609" w:rsidR="00CD63DB" w:rsidRPr="00CD63DB" w:rsidRDefault="00CD63DB" w:rsidP="00CD63DB">
            <w:r>
              <w:t>75 – 100%</w:t>
            </w:r>
          </w:p>
        </w:tc>
        <w:tc>
          <w:tcPr>
            <w:tcW w:w="4536" w:type="dxa"/>
          </w:tcPr>
          <w:p w14:paraId="474D0F7F" w14:textId="65E25B2C" w:rsidR="00CD63DB" w:rsidRPr="00CD63DB" w:rsidRDefault="00CD63DB" w:rsidP="00CD63DB">
            <w:r>
              <w:t>16</w:t>
            </w:r>
          </w:p>
        </w:tc>
      </w:tr>
    </w:tbl>
    <w:p w14:paraId="67A0F0FD" w14:textId="77777777" w:rsidR="00CD63DB" w:rsidRDefault="00CD63DB" w:rsidP="00310F2B">
      <w:pPr>
        <w:rPr>
          <w:sz w:val="24"/>
        </w:rPr>
      </w:pPr>
    </w:p>
    <w:p w14:paraId="3B32B9B2" w14:textId="240AB0F1" w:rsidR="00310F2B" w:rsidRDefault="00310F2B" w:rsidP="00310F2B">
      <w:pPr>
        <w:rPr>
          <w:sz w:val="24"/>
        </w:rPr>
      </w:pPr>
    </w:p>
    <w:p w14:paraId="4932C7C5" w14:textId="77777777" w:rsidR="000F4FAD" w:rsidRPr="00310F2B" w:rsidRDefault="000F4FAD" w:rsidP="00310F2B">
      <w:pPr>
        <w:rPr>
          <w:sz w:val="24"/>
        </w:rPr>
        <w:sectPr w:rsidR="000F4FAD" w:rsidRPr="00310F2B">
          <w:headerReference w:type="default" r:id="rId14"/>
          <w:footerReference w:type="default" r:id="rId15"/>
          <w:pgSz w:w="11906" w:h="16838"/>
          <w:pgMar w:top="1440" w:right="1440" w:bottom="1440" w:left="1440" w:header="708" w:footer="708" w:gutter="0"/>
          <w:cols w:space="708"/>
          <w:docGrid w:linePitch="360"/>
        </w:sectPr>
      </w:pPr>
    </w:p>
    <w:p w14:paraId="50BFBEB0" w14:textId="42743937" w:rsidR="00AC4E8D" w:rsidRPr="007C6B07" w:rsidRDefault="00866267">
      <w:r>
        <w:rPr>
          <w:b/>
        </w:rPr>
        <w:lastRenderedPageBreak/>
        <w:t xml:space="preserve">Appendix </w:t>
      </w:r>
      <w:r w:rsidR="00485382">
        <w:rPr>
          <w:b/>
        </w:rPr>
        <w:t>D</w:t>
      </w:r>
      <w:r w:rsidR="005676E6">
        <w:t xml:space="preserve">: </w:t>
      </w:r>
      <w:r w:rsidR="00AC4E8D">
        <w:t>Frequency of Responses</w:t>
      </w:r>
      <w:r w:rsidR="005676E6">
        <w:t xml:space="preserve"> for the C</w:t>
      </w:r>
      <w:r w:rsidR="00105D3C">
        <w:t xml:space="preserve">hildren and </w:t>
      </w:r>
      <w:r w:rsidR="005676E6">
        <w:t>Y</w:t>
      </w:r>
      <w:r w:rsidR="00105D3C">
        <w:t xml:space="preserve">oung </w:t>
      </w:r>
      <w:r w:rsidR="005676E6">
        <w:t>P</w:t>
      </w:r>
      <w:r w:rsidR="00105D3C">
        <w:t>eople’s</w:t>
      </w:r>
      <w:r w:rsidR="005676E6">
        <w:t xml:space="preserve"> Audit</w:t>
      </w:r>
    </w:p>
    <w:tbl>
      <w:tblPr>
        <w:tblStyle w:val="TableGrid"/>
        <w:tblW w:w="0" w:type="auto"/>
        <w:tblLook w:val="04A0" w:firstRow="1" w:lastRow="0" w:firstColumn="1" w:lastColumn="0" w:noHBand="0" w:noVBand="1"/>
      </w:tblPr>
      <w:tblGrid>
        <w:gridCol w:w="3397"/>
        <w:gridCol w:w="1701"/>
        <w:gridCol w:w="1701"/>
        <w:gridCol w:w="1701"/>
        <w:gridCol w:w="1701"/>
        <w:gridCol w:w="1701"/>
        <w:gridCol w:w="1701"/>
      </w:tblGrid>
      <w:tr w:rsidR="00AC4E8D" w14:paraId="11CD31F2" w14:textId="464B6B12" w:rsidTr="00AC4E8D">
        <w:tc>
          <w:tcPr>
            <w:tcW w:w="3397" w:type="dxa"/>
            <w:shd w:val="clear" w:color="auto" w:fill="D9D9D9" w:themeFill="background1" w:themeFillShade="D9"/>
          </w:tcPr>
          <w:p w14:paraId="7BDA2DC9" w14:textId="365F79EA" w:rsidR="00AC4E8D" w:rsidRDefault="00AC4E8D" w:rsidP="00AC4E8D">
            <w:r>
              <w:t>Question</w:t>
            </w:r>
          </w:p>
        </w:tc>
        <w:tc>
          <w:tcPr>
            <w:tcW w:w="1701" w:type="dxa"/>
            <w:shd w:val="clear" w:color="auto" w:fill="D9D9D9" w:themeFill="background1" w:themeFillShade="D9"/>
          </w:tcPr>
          <w:p w14:paraId="7C1B791E" w14:textId="2C1783B2" w:rsidR="00AC4E8D" w:rsidRDefault="00AC4E8D" w:rsidP="00AC4E8D">
            <w:r>
              <w:t>Almost All</w:t>
            </w:r>
          </w:p>
        </w:tc>
        <w:tc>
          <w:tcPr>
            <w:tcW w:w="1701" w:type="dxa"/>
            <w:shd w:val="clear" w:color="auto" w:fill="D9D9D9" w:themeFill="background1" w:themeFillShade="D9"/>
          </w:tcPr>
          <w:p w14:paraId="450272E7" w14:textId="1D23FD5C" w:rsidR="00AC4E8D" w:rsidRDefault="00AC4E8D" w:rsidP="00AC4E8D">
            <w:r>
              <w:t>Many</w:t>
            </w:r>
          </w:p>
        </w:tc>
        <w:tc>
          <w:tcPr>
            <w:tcW w:w="1701" w:type="dxa"/>
            <w:shd w:val="clear" w:color="auto" w:fill="D9D9D9" w:themeFill="background1" w:themeFillShade="D9"/>
          </w:tcPr>
          <w:p w14:paraId="09FEDD44" w14:textId="08BB8705" w:rsidR="00AC4E8D" w:rsidRDefault="00AC4E8D" w:rsidP="00AC4E8D">
            <w:r>
              <w:t>About Half</w:t>
            </w:r>
          </w:p>
        </w:tc>
        <w:tc>
          <w:tcPr>
            <w:tcW w:w="1701" w:type="dxa"/>
            <w:shd w:val="clear" w:color="auto" w:fill="D9D9D9" w:themeFill="background1" w:themeFillShade="D9"/>
          </w:tcPr>
          <w:p w14:paraId="117B28E9" w14:textId="1D378111" w:rsidR="00AC4E8D" w:rsidRDefault="00AC4E8D" w:rsidP="00AC4E8D">
            <w:r>
              <w:t>A Few</w:t>
            </w:r>
          </w:p>
        </w:tc>
        <w:tc>
          <w:tcPr>
            <w:tcW w:w="1701" w:type="dxa"/>
            <w:shd w:val="clear" w:color="auto" w:fill="D9D9D9" w:themeFill="background1" w:themeFillShade="D9"/>
          </w:tcPr>
          <w:p w14:paraId="3CDD36C1" w14:textId="755F3021" w:rsidR="00AC4E8D" w:rsidRDefault="00AC4E8D" w:rsidP="00AC4E8D">
            <w:r>
              <w:t>Hardly Any</w:t>
            </w:r>
          </w:p>
        </w:tc>
        <w:tc>
          <w:tcPr>
            <w:tcW w:w="1701" w:type="dxa"/>
            <w:shd w:val="clear" w:color="auto" w:fill="D9D9D9" w:themeFill="background1" w:themeFillShade="D9"/>
          </w:tcPr>
          <w:p w14:paraId="0D8A683A" w14:textId="5FC662B7" w:rsidR="00AC4E8D" w:rsidRDefault="00AC4E8D" w:rsidP="00AC4E8D">
            <w:r>
              <w:t>Unsure</w:t>
            </w:r>
          </w:p>
        </w:tc>
      </w:tr>
      <w:tr w:rsidR="00AC4E8D" w14:paraId="087689EB" w14:textId="730156EF" w:rsidTr="00AC4E8D">
        <w:tc>
          <w:tcPr>
            <w:tcW w:w="3397" w:type="dxa"/>
            <w:shd w:val="clear" w:color="auto" w:fill="D9D9D9" w:themeFill="background1" w:themeFillShade="D9"/>
          </w:tcPr>
          <w:p w14:paraId="0801BF39" w14:textId="07D4D104" w:rsidR="00AC4E8D" w:rsidRDefault="00AC4E8D" w:rsidP="00AC4E8D">
            <w:r>
              <w:t>Q1. I’m happy about being back at school.</w:t>
            </w:r>
          </w:p>
        </w:tc>
        <w:tc>
          <w:tcPr>
            <w:tcW w:w="1701" w:type="dxa"/>
          </w:tcPr>
          <w:p w14:paraId="4611AAEC" w14:textId="432A0152" w:rsidR="00AC4E8D" w:rsidRDefault="005A6A2F" w:rsidP="00AC4E8D">
            <w:r>
              <w:t>32</w:t>
            </w:r>
            <w:r w:rsidR="00B8307F">
              <w:t xml:space="preserve"> (48%)</w:t>
            </w:r>
          </w:p>
        </w:tc>
        <w:tc>
          <w:tcPr>
            <w:tcW w:w="1701" w:type="dxa"/>
          </w:tcPr>
          <w:p w14:paraId="2ED708EF" w14:textId="5849316B" w:rsidR="00AC4E8D" w:rsidRDefault="005A6A2F" w:rsidP="00AC4E8D">
            <w:r>
              <w:t>31</w:t>
            </w:r>
            <w:r w:rsidR="00B8307F">
              <w:t xml:space="preserve"> (46%)</w:t>
            </w:r>
          </w:p>
        </w:tc>
        <w:tc>
          <w:tcPr>
            <w:tcW w:w="1701" w:type="dxa"/>
          </w:tcPr>
          <w:p w14:paraId="0A7E9391" w14:textId="0127ADDA" w:rsidR="00AC4E8D" w:rsidRDefault="005A6A2F" w:rsidP="00AC4E8D">
            <w:r>
              <w:t>4</w:t>
            </w:r>
            <w:r w:rsidR="00B8307F">
              <w:t xml:space="preserve"> (6%)</w:t>
            </w:r>
          </w:p>
        </w:tc>
        <w:tc>
          <w:tcPr>
            <w:tcW w:w="1701" w:type="dxa"/>
          </w:tcPr>
          <w:p w14:paraId="34EFD3E1" w14:textId="10B995F0" w:rsidR="00AC4E8D" w:rsidRDefault="005A6A2F" w:rsidP="00AC4E8D">
            <w:r>
              <w:t>0</w:t>
            </w:r>
            <w:r w:rsidR="00B8307F">
              <w:t xml:space="preserve"> (0%)</w:t>
            </w:r>
          </w:p>
        </w:tc>
        <w:tc>
          <w:tcPr>
            <w:tcW w:w="1701" w:type="dxa"/>
          </w:tcPr>
          <w:p w14:paraId="6FA02D09" w14:textId="3BBED318" w:rsidR="00AC4E8D" w:rsidRDefault="005A6A2F" w:rsidP="00AC4E8D">
            <w:r>
              <w:t>0</w:t>
            </w:r>
            <w:r w:rsidR="00B8307F">
              <w:t xml:space="preserve"> (0%)</w:t>
            </w:r>
          </w:p>
        </w:tc>
        <w:tc>
          <w:tcPr>
            <w:tcW w:w="1701" w:type="dxa"/>
          </w:tcPr>
          <w:p w14:paraId="6EECAB5A" w14:textId="69B3AA32" w:rsidR="00AC4E8D" w:rsidRDefault="005A6A2F" w:rsidP="00AC4E8D">
            <w:r>
              <w:t>0</w:t>
            </w:r>
            <w:r w:rsidR="00B8307F">
              <w:t xml:space="preserve"> (0%)</w:t>
            </w:r>
          </w:p>
        </w:tc>
      </w:tr>
      <w:tr w:rsidR="00AC4E8D" w14:paraId="5BBBF509" w14:textId="2A945129" w:rsidTr="00AC4E8D">
        <w:tc>
          <w:tcPr>
            <w:tcW w:w="3397" w:type="dxa"/>
            <w:shd w:val="clear" w:color="auto" w:fill="D9D9D9" w:themeFill="background1" w:themeFillShade="D9"/>
          </w:tcPr>
          <w:p w14:paraId="4695B757" w14:textId="4D24B02C" w:rsidR="00AC4E8D" w:rsidRDefault="00046181" w:rsidP="00AC4E8D">
            <w:r>
              <w:t xml:space="preserve">Q2. </w:t>
            </w:r>
            <w:r w:rsidRPr="00173E46">
              <w:t>I feel ready to get back to learning</w:t>
            </w:r>
            <w:r>
              <w:t>.</w:t>
            </w:r>
          </w:p>
        </w:tc>
        <w:tc>
          <w:tcPr>
            <w:tcW w:w="1701" w:type="dxa"/>
          </w:tcPr>
          <w:p w14:paraId="78A75C91" w14:textId="782493ED" w:rsidR="00AC4E8D" w:rsidRDefault="005A6A2F" w:rsidP="00AC4E8D">
            <w:r>
              <w:t>14</w:t>
            </w:r>
            <w:r w:rsidR="00B8307F">
              <w:t xml:space="preserve"> (21%)</w:t>
            </w:r>
          </w:p>
        </w:tc>
        <w:tc>
          <w:tcPr>
            <w:tcW w:w="1701" w:type="dxa"/>
          </w:tcPr>
          <w:p w14:paraId="47973052" w14:textId="34812579" w:rsidR="00AC4E8D" w:rsidRDefault="005A6A2F" w:rsidP="00AC4E8D">
            <w:r>
              <w:t>44</w:t>
            </w:r>
            <w:r w:rsidR="00B8307F">
              <w:t xml:space="preserve"> (66%)</w:t>
            </w:r>
          </w:p>
        </w:tc>
        <w:tc>
          <w:tcPr>
            <w:tcW w:w="1701" w:type="dxa"/>
          </w:tcPr>
          <w:p w14:paraId="0E258731" w14:textId="25538643" w:rsidR="00AC4E8D" w:rsidRDefault="005A6A2F" w:rsidP="00AC4E8D">
            <w:r>
              <w:t>6</w:t>
            </w:r>
            <w:r w:rsidR="00B8307F">
              <w:t xml:space="preserve"> (9%)</w:t>
            </w:r>
          </w:p>
        </w:tc>
        <w:tc>
          <w:tcPr>
            <w:tcW w:w="1701" w:type="dxa"/>
          </w:tcPr>
          <w:p w14:paraId="50C02EA1" w14:textId="64CCA988" w:rsidR="00AC4E8D" w:rsidRDefault="005A6A2F" w:rsidP="00AC4E8D">
            <w:r>
              <w:t>2</w:t>
            </w:r>
            <w:r w:rsidR="00B8307F">
              <w:t xml:space="preserve"> (3%)</w:t>
            </w:r>
          </w:p>
        </w:tc>
        <w:tc>
          <w:tcPr>
            <w:tcW w:w="1701" w:type="dxa"/>
          </w:tcPr>
          <w:p w14:paraId="77C9A96E" w14:textId="0AC59A0C" w:rsidR="00AC4E8D" w:rsidRDefault="005A6A2F" w:rsidP="00AC4E8D">
            <w:r>
              <w:t>0</w:t>
            </w:r>
            <w:r w:rsidR="00B8307F">
              <w:t xml:space="preserve"> (0%)</w:t>
            </w:r>
          </w:p>
        </w:tc>
        <w:tc>
          <w:tcPr>
            <w:tcW w:w="1701" w:type="dxa"/>
          </w:tcPr>
          <w:p w14:paraId="0E75E417" w14:textId="2F07D59B" w:rsidR="00AC4E8D" w:rsidRDefault="005A6A2F" w:rsidP="00AC4E8D">
            <w:r>
              <w:t>1</w:t>
            </w:r>
            <w:r w:rsidR="00B8307F">
              <w:t xml:space="preserve"> (1%)</w:t>
            </w:r>
          </w:p>
        </w:tc>
      </w:tr>
      <w:tr w:rsidR="00AC4E8D" w14:paraId="48E22852" w14:textId="1D439CA8" w:rsidTr="00AC4E8D">
        <w:tc>
          <w:tcPr>
            <w:tcW w:w="3397" w:type="dxa"/>
            <w:shd w:val="clear" w:color="auto" w:fill="D9D9D9" w:themeFill="background1" w:themeFillShade="D9"/>
          </w:tcPr>
          <w:p w14:paraId="54B43A54" w14:textId="052360AD" w:rsidR="00AC4E8D" w:rsidRDefault="00046181" w:rsidP="00AC4E8D">
            <w:r>
              <w:t>Q3. I am confident I will be able to catch up with missed work.</w:t>
            </w:r>
          </w:p>
        </w:tc>
        <w:tc>
          <w:tcPr>
            <w:tcW w:w="1701" w:type="dxa"/>
          </w:tcPr>
          <w:p w14:paraId="212E7D1D" w14:textId="0E94AD0F" w:rsidR="00AC4E8D" w:rsidRDefault="005A6A2F" w:rsidP="00AC4E8D">
            <w:r>
              <w:t>1</w:t>
            </w:r>
            <w:r w:rsidR="00B8307F">
              <w:t xml:space="preserve"> (1%)</w:t>
            </w:r>
          </w:p>
        </w:tc>
        <w:tc>
          <w:tcPr>
            <w:tcW w:w="1701" w:type="dxa"/>
          </w:tcPr>
          <w:p w14:paraId="0F8277C9" w14:textId="2859FCD9" w:rsidR="00AC4E8D" w:rsidRDefault="005A6A2F" w:rsidP="00AC4E8D">
            <w:r>
              <w:t>17</w:t>
            </w:r>
            <w:r w:rsidR="00B8307F">
              <w:t xml:space="preserve"> (25%)</w:t>
            </w:r>
          </w:p>
        </w:tc>
        <w:tc>
          <w:tcPr>
            <w:tcW w:w="1701" w:type="dxa"/>
          </w:tcPr>
          <w:p w14:paraId="1B3A20FB" w14:textId="15F694F3" w:rsidR="00AC4E8D" w:rsidRDefault="005A6A2F" w:rsidP="00AC4E8D">
            <w:r>
              <w:t>38</w:t>
            </w:r>
            <w:r w:rsidR="00B8307F">
              <w:t xml:space="preserve"> (57%)</w:t>
            </w:r>
          </w:p>
        </w:tc>
        <w:tc>
          <w:tcPr>
            <w:tcW w:w="1701" w:type="dxa"/>
          </w:tcPr>
          <w:p w14:paraId="200FF130" w14:textId="3B392112" w:rsidR="00AC4E8D" w:rsidRDefault="005A6A2F" w:rsidP="00AC4E8D">
            <w:r>
              <w:t>4</w:t>
            </w:r>
            <w:r w:rsidR="00B8307F">
              <w:t xml:space="preserve"> (6%)</w:t>
            </w:r>
          </w:p>
        </w:tc>
        <w:tc>
          <w:tcPr>
            <w:tcW w:w="1701" w:type="dxa"/>
          </w:tcPr>
          <w:p w14:paraId="1EA4742A" w14:textId="3C14DE9D" w:rsidR="00AC4E8D" w:rsidRDefault="005A6A2F" w:rsidP="00AC4E8D">
            <w:r>
              <w:t>1</w:t>
            </w:r>
            <w:r w:rsidR="00B8307F">
              <w:t xml:space="preserve"> (1%)</w:t>
            </w:r>
          </w:p>
        </w:tc>
        <w:tc>
          <w:tcPr>
            <w:tcW w:w="1701" w:type="dxa"/>
          </w:tcPr>
          <w:p w14:paraId="26092BCD" w14:textId="1395100F" w:rsidR="00AC4E8D" w:rsidRDefault="005A6A2F" w:rsidP="00AC4E8D">
            <w:r>
              <w:t>6</w:t>
            </w:r>
            <w:r w:rsidR="00B8307F">
              <w:t xml:space="preserve"> (9%)</w:t>
            </w:r>
          </w:p>
        </w:tc>
      </w:tr>
      <w:tr w:rsidR="00AC4E8D" w14:paraId="072B9000" w14:textId="61277498" w:rsidTr="00AC4E8D">
        <w:tc>
          <w:tcPr>
            <w:tcW w:w="3397" w:type="dxa"/>
            <w:shd w:val="clear" w:color="auto" w:fill="D9D9D9" w:themeFill="background1" w:themeFillShade="D9"/>
          </w:tcPr>
          <w:p w14:paraId="2731AB41" w14:textId="34DB477A" w:rsidR="00AC4E8D" w:rsidRDefault="00046181" w:rsidP="00AC4E8D">
            <w:r>
              <w:t xml:space="preserve">Q4. </w:t>
            </w:r>
            <w:r w:rsidR="00701F61">
              <w:t>School has made changes s</w:t>
            </w:r>
            <w:r w:rsidRPr="00173E46">
              <w:t>o I feel safe and don't worry too much about catching coronavirus</w:t>
            </w:r>
            <w:r>
              <w:t>.</w:t>
            </w:r>
          </w:p>
        </w:tc>
        <w:tc>
          <w:tcPr>
            <w:tcW w:w="1701" w:type="dxa"/>
          </w:tcPr>
          <w:p w14:paraId="3783B1CF" w14:textId="5797F071" w:rsidR="00AC4E8D" w:rsidRDefault="005A6A2F" w:rsidP="00AC4E8D">
            <w:r>
              <w:t>22</w:t>
            </w:r>
            <w:r w:rsidR="00B8307F">
              <w:t xml:space="preserve"> (33%)</w:t>
            </w:r>
          </w:p>
        </w:tc>
        <w:tc>
          <w:tcPr>
            <w:tcW w:w="1701" w:type="dxa"/>
          </w:tcPr>
          <w:p w14:paraId="524919D4" w14:textId="5F2247E9" w:rsidR="00AC4E8D" w:rsidRDefault="005A6A2F" w:rsidP="00AC4E8D">
            <w:r>
              <w:t>40</w:t>
            </w:r>
            <w:r w:rsidR="00B8307F">
              <w:t xml:space="preserve"> (60%)</w:t>
            </w:r>
          </w:p>
        </w:tc>
        <w:tc>
          <w:tcPr>
            <w:tcW w:w="1701" w:type="dxa"/>
          </w:tcPr>
          <w:p w14:paraId="5970CCBB" w14:textId="42B023D1" w:rsidR="00AC4E8D" w:rsidRDefault="005A6A2F" w:rsidP="00AC4E8D">
            <w:r>
              <w:t>4</w:t>
            </w:r>
            <w:r w:rsidR="00B8307F">
              <w:t xml:space="preserve"> (6%)</w:t>
            </w:r>
          </w:p>
        </w:tc>
        <w:tc>
          <w:tcPr>
            <w:tcW w:w="1701" w:type="dxa"/>
          </w:tcPr>
          <w:p w14:paraId="576AFF4B" w14:textId="7281AD64" w:rsidR="00AC4E8D" w:rsidRDefault="005A6A2F" w:rsidP="00AC4E8D">
            <w:r>
              <w:t>0</w:t>
            </w:r>
            <w:r w:rsidR="00B8307F">
              <w:t xml:space="preserve"> (0%)</w:t>
            </w:r>
          </w:p>
        </w:tc>
        <w:tc>
          <w:tcPr>
            <w:tcW w:w="1701" w:type="dxa"/>
          </w:tcPr>
          <w:p w14:paraId="3ED0C686" w14:textId="45D52A82" w:rsidR="00AC4E8D" w:rsidRDefault="005A6A2F" w:rsidP="00AC4E8D">
            <w:r>
              <w:t>0</w:t>
            </w:r>
            <w:r w:rsidR="00B8307F">
              <w:t xml:space="preserve"> (0%)</w:t>
            </w:r>
          </w:p>
        </w:tc>
        <w:tc>
          <w:tcPr>
            <w:tcW w:w="1701" w:type="dxa"/>
          </w:tcPr>
          <w:p w14:paraId="6A5CDA32" w14:textId="4BA9E5E9" w:rsidR="00AC4E8D" w:rsidRDefault="005A6A2F" w:rsidP="00AC4E8D">
            <w:r>
              <w:t>0</w:t>
            </w:r>
            <w:r w:rsidR="00B8307F">
              <w:t xml:space="preserve"> (0%)</w:t>
            </w:r>
          </w:p>
        </w:tc>
      </w:tr>
      <w:tr w:rsidR="00AC4E8D" w14:paraId="633E36E1" w14:textId="3639B9F9" w:rsidTr="00AC4E8D">
        <w:tc>
          <w:tcPr>
            <w:tcW w:w="3397" w:type="dxa"/>
            <w:shd w:val="clear" w:color="auto" w:fill="D9D9D9" w:themeFill="background1" w:themeFillShade="D9"/>
          </w:tcPr>
          <w:p w14:paraId="2D400FB1" w14:textId="1FBEDCC8" w:rsidR="00AC4E8D" w:rsidRDefault="00046181" w:rsidP="00AC4E8D">
            <w:r>
              <w:t xml:space="preserve">Q5. </w:t>
            </w:r>
            <w:r w:rsidRPr="00173E46">
              <w:t>I know and understand what I need to do in school to keep safe</w:t>
            </w:r>
            <w:r>
              <w:t>.</w:t>
            </w:r>
          </w:p>
        </w:tc>
        <w:tc>
          <w:tcPr>
            <w:tcW w:w="1701" w:type="dxa"/>
          </w:tcPr>
          <w:p w14:paraId="0DA6BBEA" w14:textId="12A79792" w:rsidR="00AC4E8D" w:rsidRDefault="005A6A2F" w:rsidP="00AC4E8D">
            <w:r>
              <w:t>34</w:t>
            </w:r>
            <w:r w:rsidR="00B8307F">
              <w:t xml:space="preserve"> (51%)</w:t>
            </w:r>
          </w:p>
        </w:tc>
        <w:tc>
          <w:tcPr>
            <w:tcW w:w="1701" w:type="dxa"/>
          </w:tcPr>
          <w:p w14:paraId="5083C5D7" w14:textId="39F9A4F1" w:rsidR="00AC4E8D" w:rsidRDefault="005A6A2F" w:rsidP="00AC4E8D">
            <w:r>
              <w:t>31</w:t>
            </w:r>
            <w:r w:rsidR="00B8307F">
              <w:t xml:space="preserve"> (46%)</w:t>
            </w:r>
          </w:p>
        </w:tc>
        <w:tc>
          <w:tcPr>
            <w:tcW w:w="1701" w:type="dxa"/>
          </w:tcPr>
          <w:p w14:paraId="6A49AE08" w14:textId="12CE8833" w:rsidR="00AC4E8D" w:rsidRDefault="005A6A2F" w:rsidP="00AC4E8D">
            <w:r>
              <w:t>2</w:t>
            </w:r>
            <w:r w:rsidR="00B8307F">
              <w:t xml:space="preserve"> (3%)</w:t>
            </w:r>
          </w:p>
        </w:tc>
        <w:tc>
          <w:tcPr>
            <w:tcW w:w="1701" w:type="dxa"/>
          </w:tcPr>
          <w:p w14:paraId="27A65C73" w14:textId="30FFCAC6" w:rsidR="00AC4E8D" w:rsidRDefault="005A6A2F" w:rsidP="00AC4E8D">
            <w:r>
              <w:t>0</w:t>
            </w:r>
            <w:r w:rsidR="00B8307F">
              <w:t xml:space="preserve"> (0%)</w:t>
            </w:r>
          </w:p>
        </w:tc>
        <w:tc>
          <w:tcPr>
            <w:tcW w:w="1701" w:type="dxa"/>
          </w:tcPr>
          <w:p w14:paraId="34355EB3" w14:textId="4CD16A96" w:rsidR="00AC4E8D" w:rsidRDefault="005A6A2F" w:rsidP="00AC4E8D">
            <w:r>
              <w:t>0</w:t>
            </w:r>
            <w:r w:rsidR="00B8307F">
              <w:t xml:space="preserve"> (0%)</w:t>
            </w:r>
          </w:p>
        </w:tc>
        <w:tc>
          <w:tcPr>
            <w:tcW w:w="1701" w:type="dxa"/>
          </w:tcPr>
          <w:p w14:paraId="7E7ED855" w14:textId="39FAEB2F" w:rsidR="00AC4E8D" w:rsidRDefault="005A6A2F" w:rsidP="00AC4E8D">
            <w:r>
              <w:t>0</w:t>
            </w:r>
            <w:r w:rsidR="00B8307F">
              <w:t xml:space="preserve"> (0%)</w:t>
            </w:r>
          </w:p>
        </w:tc>
      </w:tr>
      <w:tr w:rsidR="00AC4E8D" w14:paraId="564C8098" w14:textId="27B989AB" w:rsidTr="00AC4E8D">
        <w:tc>
          <w:tcPr>
            <w:tcW w:w="3397" w:type="dxa"/>
            <w:shd w:val="clear" w:color="auto" w:fill="D9D9D9" w:themeFill="background1" w:themeFillShade="D9"/>
          </w:tcPr>
          <w:p w14:paraId="64CC3545" w14:textId="56D98B8C" w:rsidR="00AC4E8D" w:rsidRDefault="00046181" w:rsidP="00AC4E8D">
            <w:r>
              <w:t xml:space="preserve">Q6. </w:t>
            </w:r>
            <w:r w:rsidRPr="00173E46">
              <w:t>I am happy that I can see my friends again in school</w:t>
            </w:r>
            <w:r>
              <w:t>.</w:t>
            </w:r>
          </w:p>
        </w:tc>
        <w:tc>
          <w:tcPr>
            <w:tcW w:w="1701" w:type="dxa"/>
          </w:tcPr>
          <w:p w14:paraId="0924889D" w14:textId="45040FC1" w:rsidR="00AC4E8D" w:rsidRDefault="005A6A2F" w:rsidP="00AC4E8D">
            <w:r>
              <w:t>54</w:t>
            </w:r>
            <w:r w:rsidR="00B8307F">
              <w:t xml:space="preserve"> (81%)</w:t>
            </w:r>
          </w:p>
        </w:tc>
        <w:tc>
          <w:tcPr>
            <w:tcW w:w="1701" w:type="dxa"/>
          </w:tcPr>
          <w:p w14:paraId="59999BC4" w14:textId="47BF33D3" w:rsidR="00AC4E8D" w:rsidRDefault="005A6A2F" w:rsidP="00AC4E8D">
            <w:r>
              <w:t>11</w:t>
            </w:r>
            <w:r w:rsidR="00B8307F">
              <w:t xml:space="preserve"> (16%)</w:t>
            </w:r>
          </w:p>
        </w:tc>
        <w:tc>
          <w:tcPr>
            <w:tcW w:w="1701" w:type="dxa"/>
          </w:tcPr>
          <w:p w14:paraId="74F998E6" w14:textId="7296349B" w:rsidR="00AC4E8D" w:rsidRDefault="005A6A2F" w:rsidP="00AC4E8D">
            <w:r>
              <w:t>1</w:t>
            </w:r>
            <w:r w:rsidR="00B8307F">
              <w:t xml:space="preserve"> (1%)</w:t>
            </w:r>
          </w:p>
        </w:tc>
        <w:tc>
          <w:tcPr>
            <w:tcW w:w="1701" w:type="dxa"/>
          </w:tcPr>
          <w:p w14:paraId="266BA292" w14:textId="1E234C60" w:rsidR="00AC4E8D" w:rsidRDefault="005A6A2F" w:rsidP="00AC4E8D">
            <w:r>
              <w:t>1</w:t>
            </w:r>
            <w:r w:rsidR="00B8307F">
              <w:t xml:space="preserve"> (1%)</w:t>
            </w:r>
          </w:p>
        </w:tc>
        <w:tc>
          <w:tcPr>
            <w:tcW w:w="1701" w:type="dxa"/>
          </w:tcPr>
          <w:p w14:paraId="0A488DFD" w14:textId="68861BA8" w:rsidR="00AC4E8D" w:rsidRDefault="005A6A2F" w:rsidP="00AC4E8D">
            <w:r>
              <w:t>0</w:t>
            </w:r>
            <w:r w:rsidR="00B8307F">
              <w:t xml:space="preserve"> (0%)</w:t>
            </w:r>
          </w:p>
        </w:tc>
        <w:tc>
          <w:tcPr>
            <w:tcW w:w="1701" w:type="dxa"/>
          </w:tcPr>
          <w:p w14:paraId="1C7BD950" w14:textId="55EB945F" w:rsidR="00AC4E8D" w:rsidRDefault="005A6A2F" w:rsidP="00AC4E8D">
            <w:r>
              <w:t>0</w:t>
            </w:r>
            <w:r w:rsidR="00B8307F">
              <w:t xml:space="preserve"> (0%)</w:t>
            </w:r>
          </w:p>
        </w:tc>
      </w:tr>
      <w:tr w:rsidR="00AC4E8D" w14:paraId="306BF080" w14:textId="0F15DF00" w:rsidTr="00AC4E8D">
        <w:tc>
          <w:tcPr>
            <w:tcW w:w="3397" w:type="dxa"/>
            <w:shd w:val="clear" w:color="auto" w:fill="D9D9D9" w:themeFill="background1" w:themeFillShade="D9"/>
          </w:tcPr>
          <w:p w14:paraId="4FEE1957" w14:textId="725D0845" w:rsidR="00AC4E8D" w:rsidRDefault="00046181" w:rsidP="00AC4E8D">
            <w:r>
              <w:t xml:space="preserve">Q7. </w:t>
            </w:r>
            <w:r w:rsidRPr="00173E46">
              <w:t>People at school understand that no-one is to blame for coronavirus happening</w:t>
            </w:r>
            <w:r>
              <w:t>.</w:t>
            </w:r>
          </w:p>
        </w:tc>
        <w:tc>
          <w:tcPr>
            <w:tcW w:w="1701" w:type="dxa"/>
          </w:tcPr>
          <w:p w14:paraId="7C4EFB70" w14:textId="6A01B1F9" w:rsidR="00AC4E8D" w:rsidRDefault="005A6A2F" w:rsidP="00AC4E8D">
            <w:r>
              <w:t>26</w:t>
            </w:r>
            <w:r w:rsidR="00B8307F">
              <w:t xml:space="preserve"> (39%)</w:t>
            </w:r>
          </w:p>
        </w:tc>
        <w:tc>
          <w:tcPr>
            <w:tcW w:w="1701" w:type="dxa"/>
          </w:tcPr>
          <w:p w14:paraId="7D10F9E9" w14:textId="1B65C848" w:rsidR="00AC4E8D" w:rsidRDefault="005A6A2F" w:rsidP="00AC4E8D">
            <w:r>
              <w:t>31</w:t>
            </w:r>
            <w:r w:rsidR="00B8307F">
              <w:t xml:space="preserve"> (46%)</w:t>
            </w:r>
          </w:p>
        </w:tc>
        <w:tc>
          <w:tcPr>
            <w:tcW w:w="1701" w:type="dxa"/>
          </w:tcPr>
          <w:p w14:paraId="0F505429" w14:textId="274083B9" w:rsidR="00AC4E8D" w:rsidRDefault="005A6A2F" w:rsidP="00AC4E8D">
            <w:r>
              <w:t>4</w:t>
            </w:r>
            <w:r w:rsidR="00B8307F">
              <w:t xml:space="preserve"> (6%)</w:t>
            </w:r>
          </w:p>
        </w:tc>
        <w:tc>
          <w:tcPr>
            <w:tcW w:w="1701" w:type="dxa"/>
          </w:tcPr>
          <w:p w14:paraId="17B96DC2" w14:textId="2D04AB28" w:rsidR="00AC4E8D" w:rsidRDefault="005A6A2F" w:rsidP="00AC4E8D">
            <w:r>
              <w:t>0</w:t>
            </w:r>
            <w:r w:rsidR="00B8307F">
              <w:t xml:space="preserve"> (0%)</w:t>
            </w:r>
          </w:p>
        </w:tc>
        <w:tc>
          <w:tcPr>
            <w:tcW w:w="1701" w:type="dxa"/>
          </w:tcPr>
          <w:p w14:paraId="3FB45C2E" w14:textId="0CE9DCB4" w:rsidR="00AC4E8D" w:rsidRDefault="005A6A2F" w:rsidP="00AC4E8D">
            <w:r>
              <w:t>1</w:t>
            </w:r>
            <w:r w:rsidR="00B8307F">
              <w:t xml:space="preserve"> (1%)</w:t>
            </w:r>
          </w:p>
        </w:tc>
        <w:tc>
          <w:tcPr>
            <w:tcW w:w="1701" w:type="dxa"/>
          </w:tcPr>
          <w:p w14:paraId="05412D1A" w14:textId="795040B6" w:rsidR="00AC4E8D" w:rsidRDefault="005A6A2F" w:rsidP="00AC4E8D">
            <w:r>
              <w:t>5</w:t>
            </w:r>
            <w:r w:rsidR="00B8307F">
              <w:t xml:space="preserve"> (7%)</w:t>
            </w:r>
          </w:p>
        </w:tc>
      </w:tr>
      <w:tr w:rsidR="00046181" w14:paraId="79C54B6E" w14:textId="77777777" w:rsidTr="00AC4E8D">
        <w:tc>
          <w:tcPr>
            <w:tcW w:w="3397" w:type="dxa"/>
            <w:shd w:val="clear" w:color="auto" w:fill="D9D9D9" w:themeFill="background1" w:themeFillShade="D9"/>
          </w:tcPr>
          <w:p w14:paraId="7F748FF8" w14:textId="10A8B065" w:rsidR="00046181" w:rsidRDefault="00046181" w:rsidP="00AC4E8D">
            <w:r>
              <w:t>Q8. If I started to feel worried</w:t>
            </w:r>
            <w:r w:rsidRPr="00173E46">
              <w:t xml:space="preserve"> or upset, I know where I could get help or support</w:t>
            </w:r>
            <w:r>
              <w:t>.</w:t>
            </w:r>
          </w:p>
        </w:tc>
        <w:tc>
          <w:tcPr>
            <w:tcW w:w="1701" w:type="dxa"/>
          </w:tcPr>
          <w:p w14:paraId="35C40E3D" w14:textId="4DE1DC3B" w:rsidR="00046181" w:rsidRDefault="005A6A2F" w:rsidP="00AC4E8D">
            <w:r>
              <w:t>34</w:t>
            </w:r>
            <w:r w:rsidR="00B8307F">
              <w:t xml:space="preserve"> (52%)</w:t>
            </w:r>
          </w:p>
        </w:tc>
        <w:tc>
          <w:tcPr>
            <w:tcW w:w="1701" w:type="dxa"/>
          </w:tcPr>
          <w:p w14:paraId="3D62F86D" w14:textId="2BB426FC" w:rsidR="00046181" w:rsidRDefault="005A6A2F" w:rsidP="00AC4E8D">
            <w:r>
              <w:t>23</w:t>
            </w:r>
            <w:r w:rsidR="00B8307F">
              <w:t xml:space="preserve"> (35%)</w:t>
            </w:r>
          </w:p>
        </w:tc>
        <w:tc>
          <w:tcPr>
            <w:tcW w:w="1701" w:type="dxa"/>
          </w:tcPr>
          <w:p w14:paraId="18E14544" w14:textId="301016D8" w:rsidR="00046181" w:rsidRDefault="005A6A2F" w:rsidP="00AC4E8D">
            <w:r>
              <w:t>7</w:t>
            </w:r>
            <w:r w:rsidR="00B8307F">
              <w:t xml:space="preserve"> (11%)</w:t>
            </w:r>
          </w:p>
        </w:tc>
        <w:tc>
          <w:tcPr>
            <w:tcW w:w="1701" w:type="dxa"/>
          </w:tcPr>
          <w:p w14:paraId="152B091D" w14:textId="35AFDDA7" w:rsidR="00046181" w:rsidRDefault="005A6A2F" w:rsidP="00AC4E8D">
            <w:r>
              <w:t>0</w:t>
            </w:r>
            <w:r w:rsidR="00B8307F">
              <w:t xml:space="preserve"> (0%)</w:t>
            </w:r>
          </w:p>
        </w:tc>
        <w:tc>
          <w:tcPr>
            <w:tcW w:w="1701" w:type="dxa"/>
          </w:tcPr>
          <w:p w14:paraId="2F0954FC" w14:textId="73835E62" w:rsidR="00046181" w:rsidRDefault="005A6A2F" w:rsidP="00AC4E8D">
            <w:r>
              <w:t>0</w:t>
            </w:r>
            <w:r w:rsidR="00B8307F">
              <w:t xml:space="preserve"> (0%)</w:t>
            </w:r>
          </w:p>
        </w:tc>
        <w:tc>
          <w:tcPr>
            <w:tcW w:w="1701" w:type="dxa"/>
          </w:tcPr>
          <w:p w14:paraId="140E0AE9" w14:textId="57208AAF" w:rsidR="00046181" w:rsidRDefault="005A6A2F" w:rsidP="00AC4E8D">
            <w:r>
              <w:t>1</w:t>
            </w:r>
            <w:r w:rsidR="00B10E2E">
              <w:t xml:space="preserve"> (2</w:t>
            </w:r>
            <w:r w:rsidR="00B8307F">
              <w:t>%)</w:t>
            </w:r>
          </w:p>
        </w:tc>
      </w:tr>
      <w:tr w:rsidR="00046181" w14:paraId="1DD757F6" w14:textId="77777777" w:rsidTr="00AC4E8D">
        <w:tc>
          <w:tcPr>
            <w:tcW w:w="3397" w:type="dxa"/>
            <w:shd w:val="clear" w:color="auto" w:fill="D9D9D9" w:themeFill="background1" w:themeFillShade="D9"/>
          </w:tcPr>
          <w:p w14:paraId="0BF2D37C" w14:textId="7F7338E4" w:rsidR="00046181" w:rsidRDefault="00046181" w:rsidP="00AC4E8D">
            <w:r>
              <w:t xml:space="preserve">Q9. </w:t>
            </w:r>
            <w:r w:rsidRPr="00173E46">
              <w:t>I'm happy about the future and have a few ideas about what it might be like for me</w:t>
            </w:r>
            <w:r>
              <w:t>.</w:t>
            </w:r>
          </w:p>
        </w:tc>
        <w:tc>
          <w:tcPr>
            <w:tcW w:w="1701" w:type="dxa"/>
          </w:tcPr>
          <w:p w14:paraId="7DA7E9C0" w14:textId="32AB8601" w:rsidR="00046181" w:rsidRDefault="005A6A2F" w:rsidP="00AC4E8D">
            <w:r>
              <w:t>2</w:t>
            </w:r>
            <w:r w:rsidR="00B8307F">
              <w:t xml:space="preserve"> (</w:t>
            </w:r>
            <w:r w:rsidR="00B10E2E">
              <w:t>3%)</w:t>
            </w:r>
          </w:p>
        </w:tc>
        <w:tc>
          <w:tcPr>
            <w:tcW w:w="1701" w:type="dxa"/>
          </w:tcPr>
          <w:p w14:paraId="2DBF6350" w14:textId="6728F130" w:rsidR="00046181" w:rsidRDefault="005A6A2F" w:rsidP="00AC4E8D">
            <w:r>
              <w:t>31</w:t>
            </w:r>
            <w:r w:rsidR="00B10E2E">
              <w:t xml:space="preserve"> (46%)</w:t>
            </w:r>
          </w:p>
        </w:tc>
        <w:tc>
          <w:tcPr>
            <w:tcW w:w="1701" w:type="dxa"/>
          </w:tcPr>
          <w:p w14:paraId="2251B195" w14:textId="5BE1156B" w:rsidR="00046181" w:rsidRDefault="005A6A2F" w:rsidP="00AC4E8D">
            <w:r>
              <w:t>21</w:t>
            </w:r>
            <w:r w:rsidR="00B10E2E">
              <w:t xml:space="preserve"> (31%)</w:t>
            </w:r>
          </w:p>
        </w:tc>
        <w:tc>
          <w:tcPr>
            <w:tcW w:w="1701" w:type="dxa"/>
          </w:tcPr>
          <w:p w14:paraId="3316597A" w14:textId="29B8E768" w:rsidR="00046181" w:rsidRDefault="005A6A2F" w:rsidP="00AC4E8D">
            <w:r>
              <w:t>4</w:t>
            </w:r>
            <w:r w:rsidR="00B10E2E">
              <w:t xml:space="preserve"> (6%)</w:t>
            </w:r>
          </w:p>
        </w:tc>
        <w:tc>
          <w:tcPr>
            <w:tcW w:w="1701" w:type="dxa"/>
          </w:tcPr>
          <w:p w14:paraId="7B736792" w14:textId="7D2C2F10" w:rsidR="00046181" w:rsidRDefault="005A6A2F" w:rsidP="00AC4E8D">
            <w:r>
              <w:t>2</w:t>
            </w:r>
            <w:r w:rsidR="00B10E2E">
              <w:t xml:space="preserve"> (3%)</w:t>
            </w:r>
          </w:p>
        </w:tc>
        <w:tc>
          <w:tcPr>
            <w:tcW w:w="1701" w:type="dxa"/>
          </w:tcPr>
          <w:p w14:paraId="15594C78" w14:textId="0080733C" w:rsidR="00046181" w:rsidRDefault="005A6A2F" w:rsidP="00AC4E8D">
            <w:r>
              <w:t>7</w:t>
            </w:r>
            <w:r w:rsidR="00B10E2E">
              <w:t xml:space="preserve"> (10%)</w:t>
            </w:r>
          </w:p>
        </w:tc>
      </w:tr>
      <w:tr w:rsidR="00046181" w14:paraId="3488A5B2" w14:textId="77777777" w:rsidTr="00AC4E8D">
        <w:tc>
          <w:tcPr>
            <w:tcW w:w="3397" w:type="dxa"/>
            <w:shd w:val="clear" w:color="auto" w:fill="D9D9D9" w:themeFill="background1" w:themeFillShade="D9"/>
          </w:tcPr>
          <w:p w14:paraId="35082455" w14:textId="2433DCE0" w:rsidR="00046181" w:rsidRDefault="00046181" w:rsidP="00AC4E8D">
            <w:r>
              <w:t xml:space="preserve">Q10. </w:t>
            </w:r>
            <w:r w:rsidRPr="00173E46">
              <w:rPr>
                <w:rFonts w:ascii="Calibri" w:eastAsia="Times New Roman" w:hAnsi="Calibri" w:cs="Calibri"/>
                <w:color w:val="000000"/>
                <w:lang w:eastAsia="en-GB"/>
              </w:rPr>
              <w:t>I am happy about the new way of doing things, and I can cope with the changes caused by coronavirus and lockdown</w:t>
            </w:r>
            <w:r>
              <w:rPr>
                <w:rFonts w:ascii="Calibri" w:eastAsia="Times New Roman" w:hAnsi="Calibri" w:cs="Calibri"/>
                <w:color w:val="000000"/>
                <w:lang w:eastAsia="en-GB"/>
              </w:rPr>
              <w:t>.</w:t>
            </w:r>
          </w:p>
        </w:tc>
        <w:tc>
          <w:tcPr>
            <w:tcW w:w="1701" w:type="dxa"/>
          </w:tcPr>
          <w:p w14:paraId="1466A3AD" w14:textId="61D4A7EA" w:rsidR="00046181" w:rsidRDefault="005A6A2F" w:rsidP="00AC4E8D">
            <w:r>
              <w:t>9</w:t>
            </w:r>
            <w:r w:rsidR="00B10E2E">
              <w:t xml:space="preserve"> (13%)</w:t>
            </w:r>
          </w:p>
        </w:tc>
        <w:tc>
          <w:tcPr>
            <w:tcW w:w="1701" w:type="dxa"/>
          </w:tcPr>
          <w:p w14:paraId="40A1F2AC" w14:textId="67FE63E7" w:rsidR="00046181" w:rsidRDefault="005A6A2F" w:rsidP="00AC4E8D">
            <w:r>
              <w:t>37</w:t>
            </w:r>
            <w:r w:rsidR="00B10E2E">
              <w:t xml:space="preserve"> (55%)</w:t>
            </w:r>
          </w:p>
        </w:tc>
        <w:tc>
          <w:tcPr>
            <w:tcW w:w="1701" w:type="dxa"/>
          </w:tcPr>
          <w:p w14:paraId="1FE78D9F" w14:textId="3E66EA0C" w:rsidR="00046181" w:rsidRDefault="005A6A2F" w:rsidP="00AC4E8D">
            <w:r>
              <w:t>19</w:t>
            </w:r>
            <w:r w:rsidR="00B10E2E">
              <w:t xml:space="preserve"> (28%)</w:t>
            </w:r>
          </w:p>
        </w:tc>
        <w:tc>
          <w:tcPr>
            <w:tcW w:w="1701" w:type="dxa"/>
          </w:tcPr>
          <w:p w14:paraId="1130DE23" w14:textId="7DB2DC8A" w:rsidR="00046181" w:rsidRDefault="005A6A2F" w:rsidP="00AC4E8D">
            <w:r>
              <w:t>2</w:t>
            </w:r>
            <w:r w:rsidR="00B10E2E">
              <w:t xml:space="preserve"> (3%)</w:t>
            </w:r>
          </w:p>
        </w:tc>
        <w:tc>
          <w:tcPr>
            <w:tcW w:w="1701" w:type="dxa"/>
          </w:tcPr>
          <w:p w14:paraId="1AC6A23C" w14:textId="59BF5312" w:rsidR="00046181" w:rsidRDefault="005A6A2F" w:rsidP="00AC4E8D">
            <w:r>
              <w:t>0</w:t>
            </w:r>
            <w:r w:rsidR="00B10E2E">
              <w:t xml:space="preserve"> (0%)</w:t>
            </w:r>
          </w:p>
        </w:tc>
        <w:tc>
          <w:tcPr>
            <w:tcW w:w="1701" w:type="dxa"/>
          </w:tcPr>
          <w:p w14:paraId="514A9024" w14:textId="66A31865" w:rsidR="00046181" w:rsidRDefault="005A6A2F" w:rsidP="00AC4E8D">
            <w:r>
              <w:t>0</w:t>
            </w:r>
            <w:r w:rsidR="00B10E2E">
              <w:t xml:space="preserve"> (0%)</w:t>
            </w:r>
          </w:p>
        </w:tc>
      </w:tr>
      <w:tr w:rsidR="00046181" w14:paraId="43F59632" w14:textId="77777777" w:rsidTr="00AC4E8D">
        <w:tc>
          <w:tcPr>
            <w:tcW w:w="3397" w:type="dxa"/>
            <w:shd w:val="clear" w:color="auto" w:fill="D9D9D9" w:themeFill="background1" w:themeFillShade="D9"/>
          </w:tcPr>
          <w:p w14:paraId="2F39F8E4" w14:textId="0565D802" w:rsidR="00046181" w:rsidRDefault="00046181" w:rsidP="00AC4E8D">
            <w:r>
              <w:rPr>
                <w:rFonts w:ascii="Calibri" w:eastAsia="Times New Roman" w:hAnsi="Calibri" w:cs="Calibri"/>
                <w:color w:val="000000"/>
                <w:lang w:eastAsia="en-GB"/>
              </w:rPr>
              <w:t xml:space="preserve">Q11. </w:t>
            </w:r>
            <w:r w:rsidRPr="00173E46">
              <w:rPr>
                <w:rFonts w:ascii="Calibri" w:eastAsia="Times New Roman" w:hAnsi="Calibri" w:cs="Calibri"/>
                <w:color w:val="000000"/>
                <w:lang w:eastAsia="en-GB"/>
              </w:rPr>
              <w:t>I am sleeping okay</w:t>
            </w:r>
            <w:r>
              <w:rPr>
                <w:rFonts w:ascii="Calibri" w:eastAsia="Times New Roman" w:hAnsi="Calibri" w:cs="Calibri"/>
                <w:color w:val="000000"/>
                <w:lang w:eastAsia="en-GB"/>
              </w:rPr>
              <w:t>.</w:t>
            </w:r>
          </w:p>
        </w:tc>
        <w:tc>
          <w:tcPr>
            <w:tcW w:w="1701" w:type="dxa"/>
          </w:tcPr>
          <w:p w14:paraId="5E0E061D" w14:textId="710BA7D4" w:rsidR="00046181" w:rsidRDefault="005A6A2F" w:rsidP="00AC4E8D">
            <w:r>
              <w:t>7</w:t>
            </w:r>
            <w:r w:rsidR="00B10E2E">
              <w:t xml:space="preserve"> (10%)</w:t>
            </w:r>
          </w:p>
        </w:tc>
        <w:tc>
          <w:tcPr>
            <w:tcW w:w="1701" w:type="dxa"/>
          </w:tcPr>
          <w:p w14:paraId="5B0D64B8" w14:textId="4FE94B45" w:rsidR="00046181" w:rsidRDefault="005A6A2F" w:rsidP="00AC4E8D">
            <w:r>
              <w:t>34</w:t>
            </w:r>
            <w:r w:rsidR="00B10E2E">
              <w:t xml:space="preserve"> (51%)</w:t>
            </w:r>
          </w:p>
        </w:tc>
        <w:tc>
          <w:tcPr>
            <w:tcW w:w="1701" w:type="dxa"/>
          </w:tcPr>
          <w:p w14:paraId="2BDDCD0C" w14:textId="6DDEA890" w:rsidR="00046181" w:rsidRDefault="005A6A2F" w:rsidP="00AC4E8D">
            <w:r>
              <w:t>16</w:t>
            </w:r>
            <w:r w:rsidR="00B10E2E">
              <w:t xml:space="preserve"> (24%)</w:t>
            </w:r>
          </w:p>
        </w:tc>
        <w:tc>
          <w:tcPr>
            <w:tcW w:w="1701" w:type="dxa"/>
          </w:tcPr>
          <w:p w14:paraId="771015E7" w14:textId="16B49222" w:rsidR="00046181" w:rsidRDefault="005A6A2F" w:rsidP="00AC4E8D">
            <w:r>
              <w:t>2</w:t>
            </w:r>
            <w:r w:rsidR="00B10E2E">
              <w:t xml:space="preserve"> (3%)</w:t>
            </w:r>
          </w:p>
        </w:tc>
        <w:tc>
          <w:tcPr>
            <w:tcW w:w="1701" w:type="dxa"/>
          </w:tcPr>
          <w:p w14:paraId="3F25493C" w14:textId="1593AEE6" w:rsidR="00046181" w:rsidRDefault="005A6A2F" w:rsidP="00AC4E8D">
            <w:r>
              <w:t>1</w:t>
            </w:r>
            <w:r w:rsidR="00B10E2E">
              <w:t xml:space="preserve"> (1%)</w:t>
            </w:r>
          </w:p>
        </w:tc>
        <w:tc>
          <w:tcPr>
            <w:tcW w:w="1701" w:type="dxa"/>
          </w:tcPr>
          <w:p w14:paraId="147768A1" w14:textId="4E1B0705" w:rsidR="00046181" w:rsidRDefault="005A6A2F" w:rsidP="00AC4E8D">
            <w:r>
              <w:t>6</w:t>
            </w:r>
            <w:r w:rsidR="00B10E2E">
              <w:t xml:space="preserve"> (9%)</w:t>
            </w:r>
          </w:p>
        </w:tc>
      </w:tr>
      <w:tr w:rsidR="00046181" w14:paraId="0AF743C8" w14:textId="77777777" w:rsidTr="00AC4E8D">
        <w:tc>
          <w:tcPr>
            <w:tcW w:w="3397" w:type="dxa"/>
            <w:shd w:val="clear" w:color="auto" w:fill="D9D9D9" w:themeFill="background1" w:themeFillShade="D9"/>
          </w:tcPr>
          <w:p w14:paraId="1590E6E5" w14:textId="1CB77DA7" w:rsidR="00046181" w:rsidRDefault="00046181" w:rsidP="00AC4E8D">
            <w:r>
              <w:rPr>
                <w:rFonts w:ascii="Calibri" w:eastAsia="Times New Roman" w:hAnsi="Calibri" w:cs="Calibri"/>
                <w:color w:val="000000"/>
                <w:lang w:eastAsia="en-GB"/>
              </w:rPr>
              <w:t>Q12. I am eating okay.</w:t>
            </w:r>
          </w:p>
        </w:tc>
        <w:tc>
          <w:tcPr>
            <w:tcW w:w="1701" w:type="dxa"/>
          </w:tcPr>
          <w:p w14:paraId="72F6AED6" w14:textId="0C7C1EA9" w:rsidR="00046181" w:rsidRDefault="005A6A2F" w:rsidP="00AC4E8D">
            <w:r>
              <w:t>12</w:t>
            </w:r>
            <w:r w:rsidR="00B10E2E">
              <w:t xml:space="preserve"> (18%)</w:t>
            </w:r>
          </w:p>
        </w:tc>
        <w:tc>
          <w:tcPr>
            <w:tcW w:w="1701" w:type="dxa"/>
          </w:tcPr>
          <w:p w14:paraId="7C9E4B2A" w14:textId="75AB5F32" w:rsidR="00046181" w:rsidRDefault="005A6A2F" w:rsidP="00AC4E8D">
            <w:r>
              <w:t>44</w:t>
            </w:r>
            <w:r w:rsidR="00B10E2E">
              <w:t xml:space="preserve"> (66%)</w:t>
            </w:r>
          </w:p>
        </w:tc>
        <w:tc>
          <w:tcPr>
            <w:tcW w:w="1701" w:type="dxa"/>
          </w:tcPr>
          <w:p w14:paraId="5FB67B2C" w14:textId="0FBC84DF" w:rsidR="00046181" w:rsidRDefault="005A6A2F" w:rsidP="00AC4E8D">
            <w:r>
              <w:t>8</w:t>
            </w:r>
            <w:r w:rsidR="00B10E2E">
              <w:t xml:space="preserve"> (12%)</w:t>
            </w:r>
          </w:p>
        </w:tc>
        <w:tc>
          <w:tcPr>
            <w:tcW w:w="1701" w:type="dxa"/>
          </w:tcPr>
          <w:p w14:paraId="76A03CFE" w14:textId="78490B3B" w:rsidR="00046181" w:rsidRDefault="005A6A2F" w:rsidP="00AC4E8D">
            <w:r>
              <w:t>1</w:t>
            </w:r>
            <w:r w:rsidR="00B10E2E">
              <w:t xml:space="preserve"> (1%)</w:t>
            </w:r>
          </w:p>
        </w:tc>
        <w:tc>
          <w:tcPr>
            <w:tcW w:w="1701" w:type="dxa"/>
          </w:tcPr>
          <w:p w14:paraId="7C50DFB2" w14:textId="451AAA14" w:rsidR="00046181" w:rsidRDefault="005A6A2F" w:rsidP="00AC4E8D">
            <w:r>
              <w:t>0</w:t>
            </w:r>
            <w:r w:rsidR="00B10E2E">
              <w:t xml:space="preserve"> (0%)</w:t>
            </w:r>
          </w:p>
        </w:tc>
        <w:tc>
          <w:tcPr>
            <w:tcW w:w="1701" w:type="dxa"/>
          </w:tcPr>
          <w:p w14:paraId="45A2A095" w14:textId="5E77479F" w:rsidR="00046181" w:rsidRDefault="005A6A2F" w:rsidP="00AC4E8D">
            <w:r>
              <w:t>2</w:t>
            </w:r>
            <w:r w:rsidR="00B10E2E">
              <w:t xml:space="preserve"> (3%)</w:t>
            </w:r>
          </w:p>
        </w:tc>
      </w:tr>
      <w:tr w:rsidR="00046181" w14:paraId="6076ED8C" w14:textId="77777777" w:rsidTr="00AC4E8D">
        <w:tc>
          <w:tcPr>
            <w:tcW w:w="3397" w:type="dxa"/>
            <w:shd w:val="clear" w:color="auto" w:fill="D9D9D9" w:themeFill="background1" w:themeFillShade="D9"/>
          </w:tcPr>
          <w:p w14:paraId="743A001F" w14:textId="62854BBB" w:rsidR="00046181" w:rsidRDefault="00046181" w:rsidP="00AC4E8D">
            <w:r>
              <w:rPr>
                <w:rFonts w:ascii="Calibri" w:eastAsia="Times New Roman" w:hAnsi="Calibri" w:cs="Calibri"/>
                <w:color w:val="000000"/>
                <w:lang w:eastAsia="en-GB"/>
              </w:rPr>
              <w:lastRenderedPageBreak/>
              <w:t xml:space="preserve">Q13. </w:t>
            </w:r>
            <w:r w:rsidRPr="00173E46">
              <w:rPr>
                <w:rFonts w:ascii="Calibri" w:eastAsia="Times New Roman" w:hAnsi="Calibri" w:cs="Calibri"/>
                <w:color w:val="000000"/>
                <w:lang w:eastAsia="en-GB"/>
              </w:rPr>
              <w:t>I feel I have enough mojo to get me through whatever might happen</w:t>
            </w:r>
            <w:r>
              <w:rPr>
                <w:rFonts w:ascii="Calibri" w:eastAsia="Times New Roman" w:hAnsi="Calibri" w:cs="Calibri"/>
                <w:color w:val="000000"/>
                <w:lang w:eastAsia="en-GB"/>
              </w:rPr>
              <w:t>.</w:t>
            </w:r>
          </w:p>
        </w:tc>
        <w:tc>
          <w:tcPr>
            <w:tcW w:w="1701" w:type="dxa"/>
          </w:tcPr>
          <w:p w14:paraId="70239EDE" w14:textId="7143FB3C" w:rsidR="00046181" w:rsidRDefault="005A6A2F" w:rsidP="00AC4E8D">
            <w:r>
              <w:t>6</w:t>
            </w:r>
            <w:r w:rsidR="00B10E2E">
              <w:t xml:space="preserve"> (9%)</w:t>
            </w:r>
          </w:p>
        </w:tc>
        <w:tc>
          <w:tcPr>
            <w:tcW w:w="1701" w:type="dxa"/>
          </w:tcPr>
          <w:p w14:paraId="2192A35C" w14:textId="7ACD8A6A" w:rsidR="00046181" w:rsidRDefault="005A6A2F" w:rsidP="00AC4E8D">
            <w:r>
              <w:t>35</w:t>
            </w:r>
            <w:r w:rsidR="00B10E2E">
              <w:t xml:space="preserve"> (52%)</w:t>
            </w:r>
          </w:p>
        </w:tc>
        <w:tc>
          <w:tcPr>
            <w:tcW w:w="1701" w:type="dxa"/>
          </w:tcPr>
          <w:p w14:paraId="1191CBE1" w14:textId="51DC41FC" w:rsidR="00046181" w:rsidRDefault="005A6A2F" w:rsidP="00AC4E8D">
            <w:r>
              <w:t>17</w:t>
            </w:r>
            <w:r w:rsidR="00B10E2E">
              <w:t xml:space="preserve"> (25%)</w:t>
            </w:r>
          </w:p>
        </w:tc>
        <w:tc>
          <w:tcPr>
            <w:tcW w:w="1701" w:type="dxa"/>
          </w:tcPr>
          <w:p w14:paraId="214726D8" w14:textId="767B406F" w:rsidR="00046181" w:rsidRDefault="005A6A2F" w:rsidP="00AC4E8D">
            <w:r>
              <w:t>3</w:t>
            </w:r>
            <w:r w:rsidR="00B10E2E">
              <w:t xml:space="preserve"> (4%)</w:t>
            </w:r>
          </w:p>
        </w:tc>
        <w:tc>
          <w:tcPr>
            <w:tcW w:w="1701" w:type="dxa"/>
          </w:tcPr>
          <w:p w14:paraId="41A9F779" w14:textId="71724DBF" w:rsidR="00046181" w:rsidRDefault="005A6A2F" w:rsidP="00AC4E8D">
            <w:r>
              <w:t>1</w:t>
            </w:r>
            <w:r w:rsidR="00B10E2E">
              <w:t xml:space="preserve"> (1%)</w:t>
            </w:r>
          </w:p>
        </w:tc>
        <w:tc>
          <w:tcPr>
            <w:tcW w:w="1701" w:type="dxa"/>
          </w:tcPr>
          <w:p w14:paraId="3087AFFB" w14:textId="7B6353E7" w:rsidR="00046181" w:rsidRDefault="005A6A2F" w:rsidP="00AC4E8D">
            <w:r>
              <w:t>5</w:t>
            </w:r>
            <w:r w:rsidR="00B10E2E">
              <w:t xml:space="preserve"> (7%)</w:t>
            </w:r>
          </w:p>
        </w:tc>
      </w:tr>
      <w:tr w:rsidR="00046181" w14:paraId="79E97BAD" w14:textId="77777777" w:rsidTr="00AC4E8D">
        <w:tc>
          <w:tcPr>
            <w:tcW w:w="3397" w:type="dxa"/>
            <w:shd w:val="clear" w:color="auto" w:fill="D9D9D9" w:themeFill="background1" w:themeFillShade="D9"/>
          </w:tcPr>
          <w:p w14:paraId="7AB7EF6B" w14:textId="7FF7AD39" w:rsidR="00046181" w:rsidRDefault="00046181" w:rsidP="00AC4E8D">
            <w:r>
              <w:rPr>
                <w:rFonts w:ascii="Calibri" w:eastAsia="Times New Roman" w:hAnsi="Calibri" w:cs="Calibri"/>
                <w:color w:val="000000"/>
                <w:lang w:eastAsia="en-GB"/>
              </w:rPr>
              <w:t xml:space="preserve">Q14. </w:t>
            </w:r>
            <w:r w:rsidRPr="00173E46">
              <w:rPr>
                <w:rFonts w:ascii="Calibri" w:eastAsia="Times New Roman" w:hAnsi="Calibri" w:cs="Calibri"/>
                <w:color w:val="000000"/>
                <w:lang w:eastAsia="en-GB"/>
              </w:rPr>
              <w:t>I feel safe at home and have not been mistreated</w:t>
            </w:r>
            <w:r>
              <w:rPr>
                <w:rFonts w:ascii="Calibri" w:eastAsia="Times New Roman" w:hAnsi="Calibri" w:cs="Calibri"/>
                <w:color w:val="000000"/>
                <w:lang w:eastAsia="en-GB"/>
              </w:rPr>
              <w:t>.</w:t>
            </w:r>
          </w:p>
        </w:tc>
        <w:tc>
          <w:tcPr>
            <w:tcW w:w="1701" w:type="dxa"/>
          </w:tcPr>
          <w:p w14:paraId="7D68D208" w14:textId="7791E6E1" w:rsidR="00046181" w:rsidRDefault="005A6A2F" w:rsidP="00AC4E8D">
            <w:r>
              <w:t>21</w:t>
            </w:r>
            <w:r w:rsidR="00B10E2E">
              <w:t xml:space="preserve"> (31%)</w:t>
            </w:r>
          </w:p>
        </w:tc>
        <w:tc>
          <w:tcPr>
            <w:tcW w:w="1701" w:type="dxa"/>
          </w:tcPr>
          <w:p w14:paraId="394E67FB" w14:textId="56FCCC09" w:rsidR="00046181" w:rsidRDefault="005A6A2F" w:rsidP="00AC4E8D">
            <w:r>
              <w:t>37</w:t>
            </w:r>
            <w:r w:rsidR="00B10E2E">
              <w:t xml:space="preserve"> (55%)</w:t>
            </w:r>
          </w:p>
        </w:tc>
        <w:tc>
          <w:tcPr>
            <w:tcW w:w="1701" w:type="dxa"/>
          </w:tcPr>
          <w:p w14:paraId="0FF7D164" w14:textId="26E01061" w:rsidR="00046181" w:rsidRDefault="005A6A2F" w:rsidP="00AC4E8D">
            <w:r>
              <w:t>5</w:t>
            </w:r>
            <w:r w:rsidR="00B10E2E">
              <w:t xml:space="preserve"> (7%)</w:t>
            </w:r>
          </w:p>
        </w:tc>
        <w:tc>
          <w:tcPr>
            <w:tcW w:w="1701" w:type="dxa"/>
          </w:tcPr>
          <w:p w14:paraId="3128AE90" w14:textId="7DB75197" w:rsidR="00046181" w:rsidRDefault="005A6A2F" w:rsidP="00AC4E8D">
            <w:r>
              <w:t>1</w:t>
            </w:r>
            <w:r w:rsidR="00B10E2E">
              <w:t xml:space="preserve"> (1%)</w:t>
            </w:r>
          </w:p>
        </w:tc>
        <w:tc>
          <w:tcPr>
            <w:tcW w:w="1701" w:type="dxa"/>
          </w:tcPr>
          <w:p w14:paraId="00BD9DDD" w14:textId="3B6B8994" w:rsidR="00046181" w:rsidRDefault="005A6A2F" w:rsidP="00AC4E8D">
            <w:r>
              <w:t>0</w:t>
            </w:r>
            <w:r w:rsidR="00B10E2E">
              <w:t xml:space="preserve"> (0%)</w:t>
            </w:r>
          </w:p>
        </w:tc>
        <w:tc>
          <w:tcPr>
            <w:tcW w:w="1701" w:type="dxa"/>
          </w:tcPr>
          <w:p w14:paraId="055DC8B5" w14:textId="2C170C04" w:rsidR="00046181" w:rsidRDefault="005A6A2F" w:rsidP="00AC4E8D">
            <w:r>
              <w:t>3</w:t>
            </w:r>
            <w:r w:rsidR="00B10E2E">
              <w:t xml:space="preserve"> (4%)</w:t>
            </w:r>
          </w:p>
        </w:tc>
      </w:tr>
      <w:tr w:rsidR="00046181" w14:paraId="0A3B8E06" w14:textId="77777777" w:rsidTr="00AC4E8D">
        <w:tc>
          <w:tcPr>
            <w:tcW w:w="3397" w:type="dxa"/>
            <w:shd w:val="clear" w:color="auto" w:fill="D9D9D9" w:themeFill="background1" w:themeFillShade="D9"/>
          </w:tcPr>
          <w:p w14:paraId="371DD87C" w14:textId="5DDE4998" w:rsidR="00046181" w:rsidRDefault="00046181" w:rsidP="00AC4E8D">
            <w:r>
              <w:rPr>
                <w:rFonts w:ascii="Calibri" w:eastAsia="Times New Roman" w:hAnsi="Calibri" w:cs="Calibri"/>
                <w:color w:val="000000"/>
                <w:lang w:eastAsia="en-GB"/>
              </w:rPr>
              <w:t xml:space="preserve">Q15. </w:t>
            </w:r>
            <w:r w:rsidRPr="00173E46">
              <w:rPr>
                <w:rFonts w:ascii="Calibri" w:eastAsia="Times New Roman" w:hAnsi="Calibri" w:cs="Calibri"/>
                <w:color w:val="000000"/>
                <w:lang w:eastAsia="en-GB"/>
              </w:rPr>
              <w:t>I have learnt new or different things whilst being in lockdown</w:t>
            </w:r>
            <w:r>
              <w:rPr>
                <w:rFonts w:ascii="Calibri" w:eastAsia="Times New Roman" w:hAnsi="Calibri" w:cs="Calibri"/>
                <w:color w:val="000000"/>
                <w:lang w:eastAsia="en-GB"/>
              </w:rPr>
              <w:t>.</w:t>
            </w:r>
          </w:p>
        </w:tc>
        <w:tc>
          <w:tcPr>
            <w:tcW w:w="1701" w:type="dxa"/>
          </w:tcPr>
          <w:p w14:paraId="0F06E6D0" w14:textId="3FC731A1" w:rsidR="00046181" w:rsidRDefault="005A6A2F" w:rsidP="00AC4E8D">
            <w:r>
              <w:t>4</w:t>
            </w:r>
            <w:r w:rsidR="00B10E2E">
              <w:t xml:space="preserve"> (6%)</w:t>
            </w:r>
          </w:p>
        </w:tc>
        <w:tc>
          <w:tcPr>
            <w:tcW w:w="1701" w:type="dxa"/>
          </w:tcPr>
          <w:p w14:paraId="16D18445" w14:textId="5282CE62" w:rsidR="00046181" w:rsidRDefault="005A6A2F" w:rsidP="00AC4E8D">
            <w:r>
              <w:t>19</w:t>
            </w:r>
            <w:r w:rsidR="00B10E2E">
              <w:t xml:space="preserve"> (28%)</w:t>
            </w:r>
          </w:p>
        </w:tc>
        <w:tc>
          <w:tcPr>
            <w:tcW w:w="1701" w:type="dxa"/>
          </w:tcPr>
          <w:p w14:paraId="7ECC0236" w14:textId="4E76CE68" w:rsidR="00046181" w:rsidRDefault="005A6A2F" w:rsidP="00AC4E8D">
            <w:r>
              <w:t>27</w:t>
            </w:r>
            <w:r w:rsidR="00B10E2E">
              <w:t xml:space="preserve"> (40%)</w:t>
            </w:r>
          </w:p>
        </w:tc>
        <w:tc>
          <w:tcPr>
            <w:tcW w:w="1701" w:type="dxa"/>
          </w:tcPr>
          <w:p w14:paraId="737DC5D4" w14:textId="4FFC736D" w:rsidR="00046181" w:rsidRDefault="005A6A2F" w:rsidP="00AC4E8D">
            <w:r>
              <w:t>10</w:t>
            </w:r>
            <w:r w:rsidR="00B10E2E">
              <w:t xml:space="preserve"> (15%)</w:t>
            </w:r>
          </w:p>
        </w:tc>
        <w:tc>
          <w:tcPr>
            <w:tcW w:w="1701" w:type="dxa"/>
          </w:tcPr>
          <w:p w14:paraId="3B1B4BBB" w14:textId="19C1ED1F" w:rsidR="00046181" w:rsidRDefault="005A6A2F" w:rsidP="00AC4E8D">
            <w:r>
              <w:t>5</w:t>
            </w:r>
            <w:r w:rsidR="00B10E2E">
              <w:t xml:space="preserve"> (7%)</w:t>
            </w:r>
          </w:p>
        </w:tc>
        <w:tc>
          <w:tcPr>
            <w:tcW w:w="1701" w:type="dxa"/>
          </w:tcPr>
          <w:p w14:paraId="21350633" w14:textId="6E4DB75C" w:rsidR="00046181" w:rsidRDefault="005A6A2F" w:rsidP="00AC4E8D">
            <w:r>
              <w:t>2</w:t>
            </w:r>
            <w:r w:rsidR="00B10E2E">
              <w:t xml:space="preserve"> (3%)</w:t>
            </w:r>
          </w:p>
        </w:tc>
      </w:tr>
      <w:tr w:rsidR="00046181" w14:paraId="096D4F0B" w14:textId="77777777" w:rsidTr="00AC4E8D">
        <w:tc>
          <w:tcPr>
            <w:tcW w:w="3397" w:type="dxa"/>
            <w:shd w:val="clear" w:color="auto" w:fill="D9D9D9" w:themeFill="background1" w:themeFillShade="D9"/>
          </w:tcPr>
          <w:p w14:paraId="0A838698" w14:textId="6C2E1CF8" w:rsidR="00046181" w:rsidRDefault="00046181" w:rsidP="00AC4E8D">
            <w:r>
              <w:rPr>
                <w:rFonts w:ascii="Calibri" w:eastAsia="Times New Roman" w:hAnsi="Calibri" w:cs="Calibri"/>
                <w:color w:val="000000"/>
                <w:lang w:eastAsia="en-GB"/>
              </w:rPr>
              <w:t xml:space="preserve">Q16. </w:t>
            </w:r>
            <w:r w:rsidRPr="00173E46">
              <w:rPr>
                <w:rFonts w:ascii="Calibri" w:eastAsia="Times New Roman" w:hAnsi="Calibri" w:cs="Calibri"/>
                <w:color w:val="000000"/>
                <w:lang w:eastAsia="en-GB"/>
              </w:rPr>
              <w:t>I can keep in touch with my friends as much as I need to</w:t>
            </w:r>
            <w:r>
              <w:rPr>
                <w:rFonts w:ascii="Calibri" w:eastAsia="Times New Roman" w:hAnsi="Calibri" w:cs="Calibri"/>
                <w:color w:val="000000"/>
                <w:lang w:eastAsia="en-GB"/>
              </w:rPr>
              <w:t>.</w:t>
            </w:r>
          </w:p>
        </w:tc>
        <w:tc>
          <w:tcPr>
            <w:tcW w:w="1701" w:type="dxa"/>
          </w:tcPr>
          <w:p w14:paraId="72CF3EB8" w14:textId="6CF40A50" w:rsidR="00046181" w:rsidRDefault="005A6A2F" w:rsidP="00AC4E8D">
            <w:r>
              <w:t>4</w:t>
            </w:r>
            <w:r w:rsidR="00B10E2E">
              <w:t xml:space="preserve"> (6%)</w:t>
            </w:r>
          </w:p>
        </w:tc>
        <w:tc>
          <w:tcPr>
            <w:tcW w:w="1701" w:type="dxa"/>
          </w:tcPr>
          <w:p w14:paraId="13A62051" w14:textId="54BDA342" w:rsidR="00046181" w:rsidRDefault="005A6A2F" w:rsidP="00AC4E8D">
            <w:r>
              <w:t>23</w:t>
            </w:r>
            <w:r w:rsidR="00B10E2E">
              <w:t xml:space="preserve"> (34%)</w:t>
            </w:r>
          </w:p>
        </w:tc>
        <w:tc>
          <w:tcPr>
            <w:tcW w:w="1701" w:type="dxa"/>
          </w:tcPr>
          <w:p w14:paraId="6732867C" w14:textId="59A949E4" w:rsidR="00046181" w:rsidRDefault="005A6A2F" w:rsidP="00AC4E8D">
            <w:r>
              <w:t>30</w:t>
            </w:r>
            <w:r w:rsidR="00B10E2E">
              <w:t xml:space="preserve"> (45%)</w:t>
            </w:r>
          </w:p>
        </w:tc>
        <w:tc>
          <w:tcPr>
            <w:tcW w:w="1701" w:type="dxa"/>
          </w:tcPr>
          <w:p w14:paraId="185E32B1" w14:textId="0DDC246C" w:rsidR="00046181" w:rsidRDefault="005A6A2F" w:rsidP="00AC4E8D">
            <w:r>
              <w:t>7</w:t>
            </w:r>
            <w:r w:rsidR="00B10E2E">
              <w:t xml:space="preserve"> (10%)</w:t>
            </w:r>
          </w:p>
        </w:tc>
        <w:tc>
          <w:tcPr>
            <w:tcW w:w="1701" w:type="dxa"/>
          </w:tcPr>
          <w:p w14:paraId="70CB7C80" w14:textId="2F246E69" w:rsidR="00046181" w:rsidRDefault="005A6A2F" w:rsidP="00AC4E8D">
            <w:r>
              <w:t>2</w:t>
            </w:r>
            <w:r w:rsidR="00B10E2E">
              <w:t xml:space="preserve"> (3%)</w:t>
            </w:r>
          </w:p>
        </w:tc>
        <w:tc>
          <w:tcPr>
            <w:tcW w:w="1701" w:type="dxa"/>
          </w:tcPr>
          <w:p w14:paraId="49743049" w14:textId="177F0FF3" w:rsidR="00046181" w:rsidRDefault="005A6A2F" w:rsidP="00AC4E8D">
            <w:r>
              <w:t>1</w:t>
            </w:r>
            <w:r w:rsidR="00B10E2E">
              <w:t xml:space="preserve"> (1%)</w:t>
            </w:r>
          </w:p>
        </w:tc>
      </w:tr>
      <w:tr w:rsidR="00046181" w14:paraId="092CFBD4" w14:textId="77777777" w:rsidTr="00AC4E8D">
        <w:tc>
          <w:tcPr>
            <w:tcW w:w="3397" w:type="dxa"/>
            <w:shd w:val="clear" w:color="auto" w:fill="D9D9D9" w:themeFill="background1" w:themeFillShade="D9"/>
          </w:tcPr>
          <w:p w14:paraId="623766EF" w14:textId="401A5A0B" w:rsidR="00046181" w:rsidRDefault="00046181" w:rsidP="00AC4E8D">
            <w:r>
              <w:rPr>
                <w:rFonts w:ascii="Calibri" w:eastAsia="Times New Roman" w:hAnsi="Calibri" w:cs="Calibri"/>
                <w:color w:val="000000"/>
                <w:lang w:eastAsia="en-GB"/>
              </w:rPr>
              <w:t xml:space="preserve">Q17. </w:t>
            </w:r>
            <w:r w:rsidRPr="00173E46">
              <w:rPr>
                <w:rFonts w:ascii="Calibri" w:eastAsia="Times New Roman" w:hAnsi="Calibri" w:cs="Calibri"/>
                <w:color w:val="000000"/>
                <w:lang w:eastAsia="en-GB"/>
              </w:rPr>
              <w:t>My friends and family are fit and well and safe from coronavirus</w:t>
            </w:r>
          </w:p>
        </w:tc>
        <w:tc>
          <w:tcPr>
            <w:tcW w:w="1701" w:type="dxa"/>
          </w:tcPr>
          <w:p w14:paraId="0274C69B" w14:textId="73B0FCB7" w:rsidR="00046181" w:rsidRDefault="005A6A2F" w:rsidP="00AC4E8D">
            <w:r>
              <w:t>9</w:t>
            </w:r>
            <w:r w:rsidR="00B10E2E">
              <w:t xml:space="preserve"> (13%)</w:t>
            </w:r>
          </w:p>
        </w:tc>
        <w:tc>
          <w:tcPr>
            <w:tcW w:w="1701" w:type="dxa"/>
          </w:tcPr>
          <w:p w14:paraId="54F3CB60" w14:textId="4130CFC1" w:rsidR="00046181" w:rsidRDefault="005A6A2F" w:rsidP="00AC4E8D">
            <w:r>
              <w:t>35</w:t>
            </w:r>
            <w:r w:rsidR="00B10E2E">
              <w:t xml:space="preserve"> (52%)</w:t>
            </w:r>
          </w:p>
        </w:tc>
        <w:tc>
          <w:tcPr>
            <w:tcW w:w="1701" w:type="dxa"/>
          </w:tcPr>
          <w:p w14:paraId="27CDFC05" w14:textId="09741790" w:rsidR="00046181" w:rsidRDefault="005A6A2F" w:rsidP="00AC4E8D">
            <w:r>
              <w:t>19</w:t>
            </w:r>
            <w:r w:rsidR="00B10E2E">
              <w:t xml:space="preserve"> (28%)</w:t>
            </w:r>
          </w:p>
        </w:tc>
        <w:tc>
          <w:tcPr>
            <w:tcW w:w="1701" w:type="dxa"/>
          </w:tcPr>
          <w:p w14:paraId="244A03A4" w14:textId="241319BB" w:rsidR="00046181" w:rsidRDefault="005A6A2F" w:rsidP="00AC4E8D">
            <w:r>
              <w:t>2</w:t>
            </w:r>
            <w:r w:rsidR="00B10E2E">
              <w:t xml:space="preserve"> (3%)</w:t>
            </w:r>
          </w:p>
        </w:tc>
        <w:tc>
          <w:tcPr>
            <w:tcW w:w="1701" w:type="dxa"/>
          </w:tcPr>
          <w:p w14:paraId="467A6A6B" w14:textId="26345B72" w:rsidR="00046181" w:rsidRDefault="005A6A2F" w:rsidP="00AC4E8D">
            <w:r>
              <w:t>1</w:t>
            </w:r>
            <w:r w:rsidR="00B10E2E">
              <w:t xml:space="preserve"> (1%)</w:t>
            </w:r>
          </w:p>
        </w:tc>
        <w:tc>
          <w:tcPr>
            <w:tcW w:w="1701" w:type="dxa"/>
          </w:tcPr>
          <w:p w14:paraId="61515B6B" w14:textId="4F1C0CC8" w:rsidR="00046181" w:rsidRDefault="005A6A2F" w:rsidP="00AC4E8D">
            <w:r>
              <w:t>1</w:t>
            </w:r>
            <w:r w:rsidR="00B10E2E">
              <w:t xml:space="preserve"> (1%)</w:t>
            </w:r>
          </w:p>
        </w:tc>
      </w:tr>
      <w:tr w:rsidR="00046181" w14:paraId="72ABBD1C" w14:textId="77777777" w:rsidTr="00AC4E8D">
        <w:tc>
          <w:tcPr>
            <w:tcW w:w="3397" w:type="dxa"/>
            <w:shd w:val="clear" w:color="auto" w:fill="D9D9D9" w:themeFill="background1" w:themeFillShade="D9"/>
          </w:tcPr>
          <w:p w14:paraId="1A997637" w14:textId="6CC3B765" w:rsidR="00046181" w:rsidRDefault="00046181" w:rsidP="00AC4E8D">
            <w:r>
              <w:rPr>
                <w:rFonts w:ascii="Calibri" w:eastAsia="Times New Roman" w:hAnsi="Calibri" w:cs="Calibri"/>
                <w:color w:val="000000"/>
                <w:lang w:eastAsia="en-GB"/>
              </w:rPr>
              <w:t xml:space="preserve">Q18. </w:t>
            </w:r>
            <w:r w:rsidRPr="00173E46">
              <w:rPr>
                <w:rFonts w:ascii="Calibri" w:eastAsia="Times New Roman" w:hAnsi="Calibri" w:cs="Calibri"/>
                <w:color w:val="000000"/>
                <w:lang w:eastAsia="en-GB"/>
              </w:rPr>
              <w:t>I think my family are doing okay and have got along during lockdown</w:t>
            </w:r>
            <w:r>
              <w:rPr>
                <w:rFonts w:ascii="Calibri" w:eastAsia="Times New Roman" w:hAnsi="Calibri" w:cs="Calibri"/>
                <w:color w:val="000000"/>
                <w:lang w:eastAsia="en-GB"/>
              </w:rPr>
              <w:t>.</w:t>
            </w:r>
          </w:p>
        </w:tc>
        <w:tc>
          <w:tcPr>
            <w:tcW w:w="1701" w:type="dxa"/>
          </w:tcPr>
          <w:p w14:paraId="0C58D861" w14:textId="26FD0786" w:rsidR="00046181" w:rsidRDefault="005A6A2F" w:rsidP="00AC4E8D">
            <w:r>
              <w:t>3</w:t>
            </w:r>
            <w:r w:rsidR="00B10E2E">
              <w:t xml:space="preserve"> (5%)</w:t>
            </w:r>
          </w:p>
        </w:tc>
        <w:tc>
          <w:tcPr>
            <w:tcW w:w="1701" w:type="dxa"/>
          </w:tcPr>
          <w:p w14:paraId="4771B4CA" w14:textId="3C0AA8E8" w:rsidR="00046181" w:rsidRDefault="005A6A2F" w:rsidP="00AC4E8D">
            <w:r>
              <w:t>41</w:t>
            </w:r>
            <w:r w:rsidR="00B10E2E">
              <w:t xml:space="preserve"> (62%)</w:t>
            </w:r>
          </w:p>
        </w:tc>
        <w:tc>
          <w:tcPr>
            <w:tcW w:w="1701" w:type="dxa"/>
          </w:tcPr>
          <w:p w14:paraId="70318205" w14:textId="685F0007" w:rsidR="00046181" w:rsidRDefault="005A6A2F" w:rsidP="00AC4E8D">
            <w:r>
              <w:t>17</w:t>
            </w:r>
            <w:r w:rsidR="00B10E2E">
              <w:t xml:space="preserve"> (26%)</w:t>
            </w:r>
          </w:p>
        </w:tc>
        <w:tc>
          <w:tcPr>
            <w:tcW w:w="1701" w:type="dxa"/>
          </w:tcPr>
          <w:p w14:paraId="3655F573" w14:textId="62131085" w:rsidR="00046181" w:rsidRDefault="005A6A2F" w:rsidP="00AC4E8D">
            <w:r>
              <w:t>1</w:t>
            </w:r>
            <w:r w:rsidR="00B10E2E">
              <w:t xml:space="preserve"> (2%)</w:t>
            </w:r>
          </w:p>
        </w:tc>
        <w:tc>
          <w:tcPr>
            <w:tcW w:w="1701" w:type="dxa"/>
          </w:tcPr>
          <w:p w14:paraId="1AB60B88" w14:textId="5ADA0104" w:rsidR="00046181" w:rsidRDefault="005A6A2F" w:rsidP="00AC4E8D">
            <w:r>
              <w:t>0</w:t>
            </w:r>
            <w:r w:rsidR="00B10E2E">
              <w:t xml:space="preserve"> (0%)</w:t>
            </w:r>
          </w:p>
        </w:tc>
        <w:tc>
          <w:tcPr>
            <w:tcW w:w="1701" w:type="dxa"/>
          </w:tcPr>
          <w:p w14:paraId="54E51036" w14:textId="5AC81CB6" w:rsidR="00046181" w:rsidRDefault="005A6A2F" w:rsidP="00AC4E8D">
            <w:r>
              <w:t>4</w:t>
            </w:r>
            <w:r w:rsidR="00B10E2E">
              <w:t xml:space="preserve"> (6%)</w:t>
            </w:r>
          </w:p>
        </w:tc>
      </w:tr>
      <w:tr w:rsidR="00046181" w14:paraId="4A4A4F06" w14:textId="77777777" w:rsidTr="00AC4E8D">
        <w:tc>
          <w:tcPr>
            <w:tcW w:w="3397" w:type="dxa"/>
            <w:shd w:val="clear" w:color="auto" w:fill="D9D9D9" w:themeFill="background1" w:themeFillShade="D9"/>
          </w:tcPr>
          <w:p w14:paraId="3930DD99" w14:textId="2DEAC355" w:rsidR="00046181" w:rsidRDefault="00046181" w:rsidP="00AC4E8D">
            <w:r>
              <w:rPr>
                <w:rFonts w:ascii="Calibri" w:eastAsia="Times New Roman" w:hAnsi="Calibri" w:cs="Calibri"/>
                <w:color w:val="000000"/>
                <w:lang w:eastAsia="en-GB"/>
              </w:rPr>
              <w:t xml:space="preserve">Q19. </w:t>
            </w:r>
            <w:r w:rsidRPr="00173E46">
              <w:rPr>
                <w:rFonts w:ascii="Calibri" w:eastAsia="Times New Roman" w:hAnsi="Calibri" w:cs="Calibri"/>
                <w:color w:val="000000"/>
                <w:lang w:eastAsia="en-GB"/>
              </w:rPr>
              <w:t>No one in my family or very close to me has been seriously ill or died due to coronavirus</w:t>
            </w:r>
            <w:r>
              <w:rPr>
                <w:rFonts w:ascii="Calibri" w:eastAsia="Times New Roman" w:hAnsi="Calibri" w:cs="Calibri"/>
                <w:color w:val="000000"/>
                <w:lang w:eastAsia="en-GB"/>
              </w:rPr>
              <w:t>.</w:t>
            </w:r>
          </w:p>
        </w:tc>
        <w:tc>
          <w:tcPr>
            <w:tcW w:w="1701" w:type="dxa"/>
          </w:tcPr>
          <w:p w14:paraId="22B206D5" w14:textId="0432B7B4" w:rsidR="00046181" w:rsidRDefault="005A6A2F" w:rsidP="00AC4E8D">
            <w:r>
              <w:t>12</w:t>
            </w:r>
            <w:r w:rsidR="00B10E2E">
              <w:t xml:space="preserve"> (18%)</w:t>
            </w:r>
          </w:p>
        </w:tc>
        <w:tc>
          <w:tcPr>
            <w:tcW w:w="1701" w:type="dxa"/>
          </w:tcPr>
          <w:p w14:paraId="22BCE176" w14:textId="16C89632" w:rsidR="00046181" w:rsidRDefault="005A6A2F" w:rsidP="00AC4E8D">
            <w:r>
              <w:t>31</w:t>
            </w:r>
            <w:r w:rsidR="00B10E2E">
              <w:t xml:space="preserve"> (46%)</w:t>
            </w:r>
          </w:p>
        </w:tc>
        <w:tc>
          <w:tcPr>
            <w:tcW w:w="1701" w:type="dxa"/>
          </w:tcPr>
          <w:p w14:paraId="43223BAA" w14:textId="534EB1D6" w:rsidR="00046181" w:rsidRDefault="005A6A2F" w:rsidP="00AC4E8D">
            <w:r>
              <w:t>9</w:t>
            </w:r>
            <w:r w:rsidR="00B10E2E">
              <w:t xml:space="preserve"> (13%)</w:t>
            </w:r>
          </w:p>
        </w:tc>
        <w:tc>
          <w:tcPr>
            <w:tcW w:w="1701" w:type="dxa"/>
          </w:tcPr>
          <w:p w14:paraId="1357D3C2" w14:textId="17097BD1" w:rsidR="00046181" w:rsidRDefault="005A6A2F" w:rsidP="00AC4E8D">
            <w:r>
              <w:t>6</w:t>
            </w:r>
            <w:r w:rsidR="00B10E2E">
              <w:t xml:space="preserve"> (9%)</w:t>
            </w:r>
          </w:p>
        </w:tc>
        <w:tc>
          <w:tcPr>
            <w:tcW w:w="1701" w:type="dxa"/>
          </w:tcPr>
          <w:p w14:paraId="2B637BA4" w14:textId="63ECB744" w:rsidR="00046181" w:rsidRDefault="005A6A2F" w:rsidP="00AC4E8D">
            <w:r>
              <w:t>5</w:t>
            </w:r>
            <w:r w:rsidR="00B10E2E">
              <w:t xml:space="preserve"> (7%)</w:t>
            </w:r>
          </w:p>
        </w:tc>
        <w:tc>
          <w:tcPr>
            <w:tcW w:w="1701" w:type="dxa"/>
          </w:tcPr>
          <w:p w14:paraId="228B04F7" w14:textId="1662D083" w:rsidR="00046181" w:rsidRDefault="005A6A2F" w:rsidP="00AC4E8D">
            <w:r>
              <w:t>4</w:t>
            </w:r>
            <w:r w:rsidR="00B10E2E">
              <w:t xml:space="preserve"> (6%)</w:t>
            </w:r>
          </w:p>
        </w:tc>
      </w:tr>
      <w:tr w:rsidR="00046181" w14:paraId="5CE06E34" w14:textId="77777777" w:rsidTr="00AC4E8D">
        <w:tc>
          <w:tcPr>
            <w:tcW w:w="3397" w:type="dxa"/>
            <w:shd w:val="clear" w:color="auto" w:fill="D9D9D9" w:themeFill="background1" w:themeFillShade="D9"/>
          </w:tcPr>
          <w:p w14:paraId="6C210F89" w14:textId="4E1060E0" w:rsidR="00046181" w:rsidRDefault="00046181" w:rsidP="00AC4E8D">
            <w:r>
              <w:rPr>
                <w:rFonts w:ascii="Calibri" w:eastAsia="Times New Roman" w:hAnsi="Calibri" w:cs="Calibri"/>
                <w:color w:val="000000"/>
                <w:lang w:eastAsia="en-GB"/>
              </w:rPr>
              <w:t xml:space="preserve">Q20. </w:t>
            </w:r>
            <w:r w:rsidRPr="00173E46">
              <w:rPr>
                <w:rFonts w:ascii="Calibri" w:eastAsia="Times New Roman" w:hAnsi="Calibri" w:cs="Calibri"/>
                <w:color w:val="000000"/>
                <w:lang w:eastAsia="en-GB"/>
              </w:rPr>
              <w:t>My family gets enough help and support at home</w:t>
            </w:r>
            <w:r>
              <w:rPr>
                <w:rFonts w:ascii="Calibri" w:eastAsia="Times New Roman" w:hAnsi="Calibri" w:cs="Calibri"/>
                <w:color w:val="000000"/>
                <w:lang w:eastAsia="en-GB"/>
              </w:rPr>
              <w:t>.</w:t>
            </w:r>
          </w:p>
        </w:tc>
        <w:tc>
          <w:tcPr>
            <w:tcW w:w="1701" w:type="dxa"/>
          </w:tcPr>
          <w:p w14:paraId="4B5DE40B" w14:textId="27B06EDC" w:rsidR="00046181" w:rsidRDefault="005A6A2F" w:rsidP="00AC4E8D">
            <w:r>
              <w:t>5</w:t>
            </w:r>
            <w:r w:rsidR="00B10E2E">
              <w:t xml:space="preserve"> (7%)</w:t>
            </w:r>
          </w:p>
        </w:tc>
        <w:tc>
          <w:tcPr>
            <w:tcW w:w="1701" w:type="dxa"/>
          </w:tcPr>
          <w:p w14:paraId="6C025BC6" w14:textId="47BCED66" w:rsidR="00046181" w:rsidRDefault="005A6A2F" w:rsidP="00AC4E8D">
            <w:r>
              <w:t>34</w:t>
            </w:r>
            <w:r w:rsidR="00B10E2E">
              <w:t xml:space="preserve"> (51%)</w:t>
            </w:r>
          </w:p>
        </w:tc>
        <w:tc>
          <w:tcPr>
            <w:tcW w:w="1701" w:type="dxa"/>
          </w:tcPr>
          <w:p w14:paraId="3187BCB5" w14:textId="52172572" w:rsidR="00046181" w:rsidRDefault="005A6A2F" w:rsidP="00AC4E8D">
            <w:r>
              <w:t>16</w:t>
            </w:r>
            <w:r w:rsidR="00B10E2E">
              <w:t xml:space="preserve"> (24%)</w:t>
            </w:r>
          </w:p>
        </w:tc>
        <w:tc>
          <w:tcPr>
            <w:tcW w:w="1701" w:type="dxa"/>
          </w:tcPr>
          <w:p w14:paraId="3F5F364F" w14:textId="658E50CC" w:rsidR="00046181" w:rsidRDefault="005A6A2F" w:rsidP="00AC4E8D">
            <w:r>
              <w:t>3</w:t>
            </w:r>
            <w:r w:rsidR="00B10E2E">
              <w:t xml:space="preserve"> (4%)</w:t>
            </w:r>
          </w:p>
        </w:tc>
        <w:tc>
          <w:tcPr>
            <w:tcW w:w="1701" w:type="dxa"/>
          </w:tcPr>
          <w:p w14:paraId="42B34446" w14:textId="6D016447" w:rsidR="00046181" w:rsidRDefault="005A6A2F" w:rsidP="00AC4E8D">
            <w:r>
              <w:t>0</w:t>
            </w:r>
            <w:r w:rsidR="00B10E2E">
              <w:t xml:space="preserve"> (0%)</w:t>
            </w:r>
          </w:p>
        </w:tc>
        <w:tc>
          <w:tcPr>
            <w:tcW w:w="1701" w:type="dxa"/>
          </w:tcPr>
          <w:p w14:paraId="724F0785" w14:textId="4C9F4D59" w:rsidR="00046181" w:rsidRDefault="005A6A2F" w:rsidP="00AC4E8D">
            <w:r>
              <w:t>9</w:t>
            </w:r>
            <w:r w:rsidR="00B10E2E">
              <w:t xml:space="preserve"> (13%)</w:t>
            </w:r>
          </w:p>
        </w:tc>
      </w:tr>
    </w:tbl>
    <w:p w14:paraId="0250CB5E" w14:textId="2F1F57D4" w:rsidR="00AC4E8D" w:rsidRPr="005A6A2F" w:rsidRDefault="005A6A2F">
      <w:pPr>
        <w:rPr>
          <w:i/>
        </w:rPr>
      </w:pPr>
      <w:r>
        <w:rPr>
          <w:i/>
        </w:rPr>
        <w:t>Numbers represent</w:t>
      </w:r>
      <w:r w:rsidR="00B8307F">
        <w:rPr>
          <w:i/>
        </w:rPr>
        <w:t>:</w:t>
      </w:r>
      <w:r>
        <w:rPr>
          <w:i/>
        </w:rPr>
        <w:t xml:space="preserve"> the number of schools who gave the gi</w:t>
      </w:r>
      <w:r w:rsidR="00B8307F">
        <w:rPr>
          <w:i/>
        </w:rPr>
        <w:t>ven response to the audit item (percentage of schools giving this response rounded to nearest whole number)</w:t>
      </w:r>
    </w:p>
    <w:p w14:paraId="58C47CE3" w14:textId="53352041" w:rsidR="00B95818" w:rsidRDefault="00B95818"/>
    <w:p w14:paraId="378DF0DE" w14:textId="75C51D53" w:rsidR="00B95818" w:rsidRDefault="00B95818"/>
    <w:p w14:paraId="2602E760" w14:textId="587308D8" w:rsidR="007C6B07" w:rsidRDefault="007C6B07"/>
    <w:p w14:paraId="50271E6F" w14:textId="07C76B9C" w:rsidR="007C6B07" w:rsidRDefault="007C6B07"/>
    <w:p w14:paraId="0877E6A3" w14:textId="7AD7C012" w:rsidR="007C6B07" w:rsidRDefault="007C6B07"/>
    <w:p w14:paraId="41F06FF8" w14:textId="400459A1" w:rsidR="007C6B07" w:rsidRDefault="007C6B07"/>
    <w:p w14:paraId="01EF5BD8" w14:textId="77777777" w:rsidR="007C6B07" w:rsidRDefault="007C6B07"/>
    <w:p w14:paraId="4C7A1D22" w14:textId="17C02D01" w:rsidR="00B95818" w:rsidRDefault="005A6A2F">
      <w:r>
        <w:rPr>
          <w:b/>
        </w:rPr>
        <w:lastRenderedPageBreak/>
        <w:t xml:space="preserve">Appendix </w:t>
      </w:r>
      <w:r w:rsidR="00485382">
        <w:rPr>
          <w:b/>
        </w:rPr>
        <w:t>E</w:t>
      </w:r>
      <w:r>
        <w:t>: Frequency of Responses for the Staff Audit</w:t>
      </w:r>
    </w:p>
    <w:tbl>
      <w:tblPr>
        <w:tblStyle w:val="TableGrid"/>
        <w:tblW w:w="0" w:type="auto"/>
        <w:tblLook w:val="04A0" w:firstRow="1" w:lastRow="0" w:firstColumn="1" w:lastColumn="0" w:noHBand="0" w:noVBand="1"/>
      </w:tblPr>
      <w:tblGrid>
        <w:gridCol w:w="3397"/>
        <w:gridCol w:w="1701"/>
        <w:gridCol w:w="1701"/>
        <w:gridCol w:w="1701"/>
        <w:gridCol w:w="1701"/>
        <w:gridCol w:w="1701"/>
        <w:gridCol w:w="1701"/>
      </w:tblGrid>
      <w:tr w:rsidR="005A6A2F" w14:paraId="4601C22D" w14:textId="77777777" w:rsidTr="00B10E2E">
        <w:tc>
          <w:tcPr>
            <w:tcW w:w="3397" w:type="dxa"/>
            <w:shd w:val="clear" w:color="auto" w:fill="D9D9D9" w:themeFill="background1" w:themeFillShade="D9"/>
          </w:tcPr>
          <w:p w14:paraId="492F3F16" w14:textId="77777777" w:rsidR="005A6A2F" w:rsidRDefault="005A6A2F" w:rsidP="00B10E2E">
            <w:r>
              <w:t>Question</w:t>
            </w:r>
          </w:p>
        </w:tc>
        <w:tc>
          <w:tcPr>
            <w:tcW w:w="1701" w:type="dxa"/>
            <w:shd w:val="clear" w:color="auto" w:fill="D9D9D9" w:themeFill="background1" w:themeFillShade="D9"/>
          </w:tcPr>
          <w:p w14:paraId="34940F33" w14:textId="77777777" w:rsidR="005A6A2F" w:rsidRDefault="005A6A2F" w:rsidP="00B10E2E">
            <w:r>
              <w:t>Almost All</w:t>
            </w:r>
          </w:p>
        </w:tc>
        <w:tc>
          <w:tcPr>
            <w:tcW w:w="1701" w:type="dxa"/>
            <w:shd w:val="clear" w:color="auto" w:fill="D9D9D9" w:themeFill="background1" w:themeFillShade="D9"/>
          </w:tcPr>
          <w:p w14:paraId="2F17FA0F" w14:textId="77777777" w:rsidR="005A6A2F" w:rsidRDefault="005A6A2F" w:rsidP="00B10E2E">
            <w:r>
              <w:t>Many</w:t>
            </w:r>
          </w:p>
        </w:tc>
        <w:tc>
          <w:tcPr>
            <w:tcW w:w="1701" w:type="dxa"/>
            <w:shd w:val="clear" w:color="auto" w:fill="D9D9D9" w:themeFill="background1" w:themeFillShade="D9"/>
          </w:tcPr>
          <w:p w14:paraId="45E0E5D2" w14:textId="77777777" w:rsidR="005A6A2F" w:rsidRDefault="005A6A2F" w:rsidP="00B10E2E">
            <w:r>
              <w:t>About Half</w:t>
            </w:r>
          </w:p>
        </w:tc>
        <w:tc>
          <w:tcPr>
            <w:tcW w:w="1701" w:type="dxa"/>
            <w:shd w:val="clear" w:color="auto" w:fill="D9D9D9" w:themeFill="background1" w:themeFillShade="D9"/>
          </w:tcPr>
          <w:p w14:paraId="5FDD70FE" w14:textId="77777777" w:rsidR="005A6A2F" w:rsidRDefault="005A6A2F" w:rsidP="00B10E2E">
            <w:r>
              <w:t>A Few</w:t>
            </w:r>
          </w:p>
        </w:tc>
        <w:tc>
          <w:tcPr>
            <w:tcW w:w="1701" w:type="dxa"/>
            <w:shd w:val="clear" w:color="auto" w:fill="D9D9D9" w:themeFill="background1" w:themeFillShade="D9"/>
          </w:tcPr>
          <w:p w14:paraId="4D44B9F5" w14:textId="77777777" w:rsidR="005A6A2F" w:rsidRDefault="005A6A2F" w:rsidP="00B10E2E">
            <w:r>
              <w:t>Hardly Any</w:t>
            </w:r>
          </w:p>
        </w:tc>
        <w:tc>
          <w:tcPr>
            <w:tcW w:w="1701" w:type="dxa"/>
            <w:shd w:val="clear" w:color="auto" w:fill="D9D9D9" w:themeFill="background1" w:themeFillShade="D9"/>
          </w:tcPr>
          <w:p w14:paraId="609EC53E" w14:textId="77777777" w:rsidR="005A6A2F" w:rsidRDefault="005A6A2F" w:rsidP="00B10E2E">
            <w:r>
              <w:t>Unsure</w:t>
            </w:r>
          </w:p>
        </w:tc>
      </w:tr>
      <w:tr w:rsidR="005A6A2F" w14:paraId="6ACD353B" w14:textId="77777777" w:rsidTr="00B10E2E">
        <w:tc>
          <w:tcPr>
            <w:tcW w:w="3397" w:type="dxa"/>
            <w:shd w:val="clear" w:color="auto" w:fill="D9D9D9" w:themeFill="background1" w:themeFillShade="D9"/>
          </w:tcPr>
          <w:p w14:paraId="4C830C58" w14:textId="5B51D0AF" w:rsidR="005A6A2F" w:rsidRDefault="005A6A2F" w:rsidP="00B10E2E">
            <w:r>
              <w:t>Q</w:t>
            </w:r>
            <w:r w:rsidR="00701F61">
              <w:t>2</w:t>
            </w:r>
            <w:r>
              <w:t>1. I’m happy about being back at school.</w:t>
            </w:r>
          </w:p>
        </w:tc>
        <w:tc>
          <w:tcPr>
            <w:tcW w:w="1701" w:type="dxa"/>
          </w:tcPr>
          <w:p w14:paraId="5A7D5732" w14:textId="7659BC79" w:rsidR="005A6A2F" w:rsidRDefault="00701F61" w:rsidP="00B10E2E">
            <w:r>
              <w:t>6</w:t>
            </w:r>
            <w:r w:rsidR="00B10E2E">
              <w:t xml:space="preserve"> </w:t>
            </w:r>
            <w:r w:rsidR="002147AC">
              <w:t>(40%)</w:t>
            </w:r>
          </w:p>
        </w:tc>
        <w:tc>
          <w:tcPr>
            <w:tcW w:w="1701" w:type="dxa"/>
          </w:tcPr>
          <w:p w14:paraId="15870118" w14:textId="534B2D2E" w:rsidR="005A6A2F" w:rsidRDefault="00701F61" w:rsidP="00B10E2E">
            <w:r>
              <w:t>7</w:t>
            </w:r>
            <w:r w:rsidR="002147AC">
              <w:t xml:space="preserve"> (47%)</w:t>
            </w:r>
          </w:p>
        </w:tc>
        <w:tc>
          <w:tcPr>
            <w:tcW w:w="1701" w:type="dxa"/>
          </w:tcPr>
          <w:p w14:paraId="7741A6B8" w14:textId="4A13D145" w:rsidR="005A6A2F" w:rsidRDefault="00701F61" w:rsidP="00B10E2E">
            <w:r>
              <w:t>2</w:t>
            </w:r>
            <w:r w:rsidR="002147AC">
              <w:t xml:space="preserve"> (13%)</w:t>
            </w:r>
          </w:p>
        </w:tc>
        <w:tc>
          <w:tcPr>
            <w:tcW w:w="1701" w:type="dxa"/>
          </w:tcPr>
          <w:p w14:paraId="2CA5D91B" w14:textId="2035E0D3" w:rsidR="005A6A2F" w:rsidRDefault="00701F61" w:rsidP="00B10E2E">
            <w:r>
              <w:t>0</w:t>
            </w:r>
            <w:r w:rsidR="002147AC">
              <w:t xml:space="preserve"> (0%)</w:t>
            </w:r>
          </w:p>
        </w:tc>
        <w:tc>
          <w:tcPr>
            <w:tcW w:w="1701" w:type="dxa"/>
          </w:tcPr>
          <w:p w14:paraId="7186A8D0" w14:textId="3ECAF03F" w:rsidR="005A6A2F" w:rsidRDefault="00701F61" w:rsidP="00B10E2E">
            <w:r>
              <w:t>0</w:t>
            </w:r>
            <w:r w:rsidR="002147AC">
              <w:t xml:space="preserve"> (0%)</w:t>
            </w:r>
          </w:p>
        </w:tc>
        <w:tc>
          <w:tcPr>
            <w:tcW w:w="1701" w:type="dxa"/>
          </w:tcPr>
          <w:p w14:paraId="560722C1" w14:textId="728D3A30" w:rsidR="005A6A2F" w:rsidRDefault="00701F61" w:rsidP="00B10E2E">
            <w:r>
              <w:t>0</w:t>
            </w:r>
            <w:r w:rsidR="002147AC">
              <w:t xml:space="preserve"> (0%)</w:t>
            </w:r>
          </w:p>
        </w:tc>
      </w:tr>
      <w:tr w:rsidR="005A6A2F" w14:paraId="510E2BC5" w14:textId="77777777" w:rsidTr="00B10E2E">
        <w:tc>
          <w:tcPr>
            <w:tcW w:w="3397" w:type="dxa"/>
            <w:shd w:val="clear" w:color="auto" w:fill="D9D9D9" w:themeFill="background1" w:themeFillShade="D9"/>
          </w:tcPr>
          <w:p w14:paraId="5D800095" w14:textId="6CBFC0B5" w:rsidR="005A6A2F" w:rsidRDefault="005A6A2F" w:rsidP="00B10E2E">
            <w:r>
              <w:t>Q2</w:t>
            </w:r>
            <w:r w:rsidR="00701F61">
              <w:t>2</w:t>
            </w:r>
            <w:r>
              <w:t xml:space="preserve">. </w:t>
            </w:r>
            <w:r w:rsidRPr="00173E46">
              <w:t>I</w:t>
            </w:r>
            <w:r>
              <w:t xml:space="preserve"> feel ready to get back to teach</w:t>
            </w:r>
            <w:r w:rsidRPr="00173E46">
              <w:t>ing</w:t>
            </w:r>
            <w:r>
              <w:t>.</w:t>
            </w:r>
          </w:p>
        </w:tc>
        <w:tc>
          <w:tcPr>
            <w:tcW w:w="1701" w:type="dxa"/>
          </w:tcPr>
          <w:p w14:paraId="12A3408E" w14:textId="6A07FF7F" w:rsidR="005A6A2F" w:rsidRDefault="00701F61" w:rsidP="00B10E2E">
            <w:r>
              <w:t>7</w:t>
            </w:r>
            <w:r w:rsidR="002147AC">
              <w:t xml:space="preserve"> (47%</w:t>
            </w:r>
          </w:p>
        </w:tc>
        <w:tc>
          <w:tcPr>
            <w:tcW w:w="1701" w:type="dxa"/>
          </w:tcPr>
          <w:p w14:paraId="1BF034B2" w14:textId="5AE68FEE" w:rsidR="005A6A2F" w:rsidRDefault="00701F61" w:rsidP="00B10E2E">
            <w:r>
              <w:t>6</w:t>
            </w:r>
            <w:r w:rsidR="002147AC">
              <w:t xml:space="preserve"> (40%)</w:t>
            </w:r>
          </w:p>
        </w:tc>
        <w:tc>
          <w:tcPr>
            <w:tcW w:w="1701" w:type="dxa"/>
          </w:tcPr>
          <w:p w14:paraId="6922517A" w14:textId="332C0ADE" w:rsidR="005A6A2F" w:rsidRDefault="00701F61" w:rsidP="00B10E2E">
            <w:r>
              <w:t>2</w:t>
            </w:r>
            <w:r w:rsidR="002147AC">
              <w:t xml:space="preserve"> (13%)</w:t>
            </w:r>
          </w:p>
        </w:tc>
        <w:tc>
          <w:tcPr>
            <w:tcW w:w="1701" w:type="dxa"/>
          </w:tcPr>
          <w:p w14:paraId="649C93BA" w14:textId="7A5E6C2C" w:rsidR="005A6A2F" w:rsidRDefault="00701F61" w:rsidP="00B10E2E">
            <w:r>
              <w:t>0</w:t>
            </w:r>
            <w:r w:rsidR="002147AC">
              <w:t xml:space="preserve"> (0%)</w:t>
            </w:r>
          </w:p>
        </w:tc>
        <w:tc>
          <w:tcPr>
            <w:tcW w:w="1701" w:type="dxa"/>
          </w:tcPr>
          <w:p w14:paraId="65DC41AD" w14:textId="38FCD776" w:rsidR="005A6A2F" w:rsidRDefault="00701F61" w:rsidP="00B10E2E">
            <w:r>
              <w:t>0</w:t>
            </w:r>
            <w:r w:rsidR="002147AC">
              <w:t xml:space="preserve"> (0%)</w:t>
            </w:r>
          </w:p>
        </w:tc>
        <w:tc>
          <w:tcPr>
            <w:tcW w:w="1701" w:type="dxa"/>
          </w:tcPr>
          <w:p w14:paraId="4DD07465" w14:textId="4FA0C912" w:rsidR="005A6A2F" w:rsidRDefault="00701F61" w:rsidP="00B10E2E">
            <w:r>
              <w:t>0</w:t>
            </w:r>
            <w:r w:rsidR="002147AC">
              <w:t xml:space="preserve"> (0%)</w:t>
            </w:r>
          </w:p>
        </w:tc>
      </w:tr>
      <w:tr w:rsidR="005A6A2F" w14:paraId="4AE52226" w14:textId="77777777" w:rsidTr="00B10E2E">
        <w:tc>
          <w:tcPr>
            <w:tcW w:w="3397" w:type="dxa"/>
            <w:shd w:val="clear" w:color="auto" w:fill="D9D9D9" w:themeFill="background1" w:themeFillShade="D9"/>
          </w:tcPr>
          <w:p w14:paraId="27B1FFAE" w14:textId="1350D89E" w:rsidR="005A6A2F" w:rsidRDefault="005A6A2F" w:rsidP="005A6A2F">
            <w:r>
              <w:t>Q</w:t>
            </w:r>
            <w:r w:rsidR="00701F61">
              <w:t>2</w:t>
            </w:r>
            <w:r>
              <w:t>3. I am confident my students will be able to catch up with missed work.</w:t>
            </w:r>
          </w:p>
        </w:tc>
        <w:tc>
          <w:tcPr>
            <w:tcW w:w="1701" w:type="dxa"/>
          </w:tcPr>
          <w:p w14:paraId="72AA8B40" w14:textId="2E9F13E4" w:rsidR="005A6A2F" w:rsidRDefault="00701F61" w:rsidP="00B10E2E">
            <w:r>
              <w:t>1</w:t>
            </w:r>
            <w:r w:rsidR="002147AC">
              <w:t xml:space="preserve"> (7%)</w:t>
            </w:r>
          </w:p>
        </w:tc>
        <w:tc>
          <w:tcPr>
            <w:tcW w:w="1701" w:type="dxa"/>
          </w:tcPr>
          <w:p w14:paraId="13AD1CAD" w14:textId="5687DF1E" w:rsidR="005A6A2F" w:rsidRDefault="00701F61" w:rsidP="00B10E2E">
            <w:r>
              <w:t>7</w:t>
            </w:r>
            <w:r w:rsidR="002147AC">
              <w:t xml:space="preserve"> (47%)</w:t>
            </w:r>
          </w:p>
        </w:tc>
        <w:tc>
          <w:tcPr>
            <w:tcW w:w="1701" w:type="dxa"/>
          </w:tcPr>
          <w:p w14:paraId="7331C73A" w14:textId="3D80DC8C" w:rsidR="005A6A2F" w:rsidRDefault="00701F61" w:rsidP="00B10E2E">
            <w:r>
              <w:t>4</w:t>
            </w:r>
            <w:r w:rsidR="002147AC">
              <w:t xml:space="preserve"> (27%)</w:t>
            </w:r>
          </w:p>
        </w:tc>
        <w:tc>
          <w:tcPr>
            <w:tcW w:w="1701" w:type="dxa"/>
          </w:tcPr>
          <w:p w14:paraId="57B4E69E" w14:textId="6809316B" w:rsidR="005A6A2F" w:rsidRDefault="00701F61" w:rsidP="00B10E2E">
            <w:r>
              <w:t>3</w:t>
            </w:r>
            <w:r w:rsidR="002147AC">
              <w:t xml:space="preserve"> (20%)</w:t>
            </w:r>
          </w:p>
        </w:tc>
        <w:tc>
          <w:tcPr>
            <w:tcW w:w="1701" w:type="dxa"/>
          </w:tcPr>
          <w:p w14:paraId="520020A0" w14:textId="4B4AE917" w:rsidR="005A6A2F" w:rsidRDefault="00701F61" w:rsidP="00B10E2E">
            <w:r>
              <w:t>0</w:t>
            </w:r>
            <w:r w:rsidR="002147AC">
              <w:t xml:space="preserve"> (0%)</w:t>
            </w:r>
          </w:p>
        </w:tc>
        <w:tc>
          <w:tcPr>
            <w:tcW w:w="1701" w:type="dxa"/>
          </w:tcPr>
          <w:p w14:paraId="69F0832C" w14:textId="2085012A" w:rsidR="005A6A2F" w:rsidRDefault="00701F61" w:rsidP="00B10E2E">
            <w:r>
              <w:t>0</w:t>
            </w:r>
            <w:r w:rsidR="002147AC">
              <w:t xml:space="preserve"> (0%)</w:t>
            </w:r>
          </w:p>
        </w:tc>
      </w:tr>
      <w:tr w:rsidR="005A6A2F" w14:paraId="1089C0CB" w14:textId="77777777" w:rsidTr="00B10E2E">
        <w:tc>
          <w:tcPr>
            <w:tcW w:w="3397" w:type="dxa"/>
            <w:shd w:val="clear" w:color="auto" w:fill="D9D9D9" w:themeFill="background1" w:themeFillShade="D9"/>
          </w:tcPr>
          <w:p w14:paraId="535BEC9C" w14:textId="1F92D86D" w:rsidR="005A6A2F" w:rsidRDefault="005A6A2F" w:rsidP="00B10E2E">
            <w:r>
              <w:t>Q</w:t>
            </w:r>
            <w:r w:rsidR="00701F61">
              <w:t>2</w:t>
            </w:r>
            <w:r>
              <w:t>4. School has made changes s</w:t>
            </w:r>
            <w:r w:rsidRPr="00173E46">
              <w:t>o I feel safe and don't worry too much about catching coronavirus</w:t>
            </w:r>
            <w:r>
              <w:t>.</w:t>
            </w:r>
          </w:p>
        </w:tc>
        <w:tc>
          <w:tcPr>
            <w:tcW w:w="1701" w:type="dxa"/>
          </w:tcPr>
          <w:p w14:paraId="08911097" w14:textId="0398F20E" w:rsidR="005A6A2F" w:rsidRDefault="00701F61" w:rsidP="00B10E2E">
            <w:r>
              <w:t>5</w:t>
            </w:r>
            <w:r w:rsidR="002147AC">
              <w:t xml:space="preserve"> (33%)</w:t>
            </w:r>
          </w:p>
        </w:tc>
        <w:tc>
          <w:tcPr>
            <w:tcW w:w="1701" w:type="dxa"/>
          </w:tcPr>
          <w:p w14:paraId="40362442" w14:textId="1816FECB" w:rsidR="005A6A2F" w:rsidRDefault="00701F61" w:rsidP="00B10E2E">
            <w:r>
              <w:t>7</w:t>
            </w:r>
            <w:r w:rsidR="002147AC">
              <w:t xml:space="preserve"> (47%)</w:t>
            </w:r>
          </w:p>
        </w:tc>
        <w:tc>
          <w:tcPr>
            <w:tcW w:w="1701" w:type="dxa"/>
          </w:tcPr>
          <w:p w14:paraId="7819C2AD" w14:textId="3192D4B5" w:rsidR="005A6A2F" w:rsidRDefault="00701F61" w:rsidP="00B10E2E">
            <w:r>
              <w:t>3</w:t>
            </w:r>
            <w:r w:rsidR="002147AC">
              <w:t xml:space="preserve"> (20%)</w:t>
            </w:r>
          </w:p>
        </w:tc>
        <w:tc>
          <w:tcPr>
            <w:tcW w:w="1701" w:type="dxa"/>
          </w:tcPr>
          <w:p w14:paraId="0F4E6ABA" w14:textId="66DE7CB7" w:rsidR="005A6A2F" w:rsidRDefault="00701F61" w:rsidP="00B10E2E">
            <w:r>
              <w:t>0</w:t>
            </w:r>
            <w:r w:rsidR="002147AC">
              <w:t xml:space="preserve"> (0%)</w:t>
            </w:r>
          </w:p>
        </w:tc>
        <w:tc>
          <w:tcPr>
            <w:tcW w:w="1701" w:type="dxa"/>
          </w:tcPr>
          <w:p w14:paraId="4E61090F" w14:textId="015377AF" w:rsidR="005A6A2F" w:rsidRDefault="00701F61" w:rsidP="00B10E2E">
            <w:r>
              <w:t>0</w:t>
            </w:r>
            <w:r w:rsidR="002147AC">
              <w:t xml:space="preserve"> (0%)</w:t>
            </w:r>
          </w:p>
        </w:tc>
        <w:tc>
          <w:tcPr>
            <w:tcW w:w="1701" w:type="dxa"/>
          </w:tcPr>
          <w:p w14:paraId="7BA553B8" w14:textId="318ADD5B" w:rsidR="005A6A2F" w:rsidRDefault="00701F61" w:rsidP="00B10E2E">
            <w:r>
              <w:t>0</w:t>
            </w:r>
            <w:r w:rsidR="002147AC">
              <w:t xml:space="preserve"> (0%)</w:t>
            </w:r>
          </w:p>
        </w:tc>
      </w:tr>
      <w:tr w:rsidR="005A6A2F" w14:paraId="07875CC7" w14:textId="77777777" w:rsidTr="00B10E2E">
        <w:tc>
          <w:tcPr>
            <w:tcW w:w="3397" w:type="dxa"/>
            <w:shd w:val="clear" w:color="auto" w:fill="D9D9D9" w:themeFill="background1" w:themeFillShade="D9"/>
          </w:tcPr>
          <w:p w14:paraId="0FB5E478" w14:textId="5F859BD2" w:rsidR="005A6A2F" w:rsidRDefault="005A6A2F" w:rsidP="00B10E2E">
            <w:r>
              <w:t>Q</w:t>
            </w:r>
            <w:r w:rsidR="00701F61">
              <w:t>2</w:t>
            </w:r>
            <w:r>
              <w:t xml:space="preserve">5. </w:t>
            </w:r>
            <w:r w:rsidRPr="00173E46">
              <w:t>I know and understand what I need to do in school to keep safe</w:t>
            </w:r>
            <w:r>
              <w:t>.</w:t>
            </w:r>
          </w:p>
        </w:tc>
        <w:tc>
          <w:tcPr>
            <w:tcW w:w="1701" w:type="dxa"/>
          </w:tcPr>
          <w:p w14:paraId="500A9653" w14:textId="74887067" w:rsidR="005A6A2F" w:rsidRDefault="00701F61" w:rsidP="00B10E2E">
            <w:r>
              <w:t>10</w:t>
            </w:r>
            <w:r w:rsidR="002147AC">
              <w:t xml:space="preserve"> (67%)</w:t>
            </w:r>
          </w:p>
        </w:tc>
        <w:tc>
          <w:tcPr>
            <w:tcW w:w="1701" w:type="dxa"/>
          </w:tcPr>
          <w:p w14:paraId="4135D9F9" w14:textId="14F4A12B" w:rsidR="005A6A2F" w:rsidRDefault="00701F61" w:rsidP="00B10E2E">
            <w:r>
              <w:t>4</w:t>
            </w:r>
            <w:r w:rsidR="002147AC">
              <w:t xml:space="preserve"> (27%)</w:t>
            </w:r>
          </w:p>
        </w:tc>
        <w:tc>
          <w:tcPr>
            <w:tcW w:w="1701" w:type="dxa"/>
          </w:tcPr>
          <w:p w14:paraId="49F80DE8" w14:textId="393F5E5D" w:rsidR="005A6A2F" w:rsidRDefault="00701F61" w:rsidP="00B10E2E">
            <w:r>
              <w:t>1</w:t>
            </w:r>
            <w:r w:rsidR="002147AC">
              <w:t xml:space="preserve"> (7%)</w:t>
            </w:r>
          </w:p>
        </w:tc>
        <w:tc>
          <w:tcPr>
            <w:tcW w:w="1701" w:type="dxa"/>
          </w:tcPr>
          <w:p w14:paraId="4C3A5F10" w14:textId="4B105C78" w:rsidR="005A6A2F" w:rsidRDefault="00701F61" w:rsidP="00B10E2E">
            <w:r>
              <w:t>0</w:t>
            </w:r>
            <w:r w:rsidR="002147AC">
              <w:t xml:space="preserve"> (0%)</w:t>
            </w:r>
          </w:p>
        </w:tc>
        <w:tc>
          <w:tcPr>
            <w:tcW w:w="1701" w:type="dxa"/>
          </w:tcPr>
          <w:p w14:paraId="765DC439" w14:textId="31038D60" w:rsidR="005A6A2F" w:rsidRDefault="00701F61" w:rsidP="00B10E2E">
            <w:r>
              <w:t>0</w:t>
            </w:r>
            <w:r w:rsidR="002147AC">
              <w:t xml:space="preserve"> (0%)</w:t>
            </w:r>
          </w:p>
        </w:tc>
        <w:tc>
          <w:tcPr>
            <w:tcW w:w="1701" w:type="dxa"/>
          </w:tcPr>
          <w:p w14:paraId="063DAFA1" w14:textId="4CBB0072" w:rsidR="005A6A2F" w:rsidRDefault="00701F61" w:rsidP="00B10E2E">
            <w:r>
              <w:t>0</w:t>
            </w:r>
            <w:r w:rsidR="002147AC">
              <w:t xml:space="preserve"> (0%)</w:t>
            </w:r>
          </w:p>
        </w:tc>
      </w:tr>
      <w:tr w:rsidR="005A6A2F" w14:paraId="7503DBE8" w14:textId="77777777" w:rsidTr="00B10E2E">
        <w:tc>
          <w:tcPr>
            <w:tcW w:w="3397" w:type="dxa"/>
            <w:shd w:val="clear" w:color="auto" w:fill="D9D9D9" w:themeFill="background1" w:themeFillShade="D9"/>
          </w:tcPr>
          <w:p w14:paraId="6EFEF4FD" w14:textId="23B7B968" w:rsidR="005A6A2F" w:rsidRDefault="005A6A2F" w:rsidP="00B10E2E">
            <w:r>
              <w:t>Q</w:t>
            </w:r>
            <w:r w:rsidR="00701F61">
              <w:t>2</w:t>
            </w:r>
            <w:r>
              <w:t xml:space="preserve">6. </w:t>
            </w:r>
            <w:r w:rsidRPr="00173E46">
              <w:t>I am</w:t>
            </w:r>
            <w:r w:rsidR="00701F61">
              <w:t xml:space="preserve"> happy that I can see my colleagues</w:t>
            </w:r>
            <w:r w:rsidRPr="00173E46">
              <w:t xml:space="preserve"> again in school</w:t>
            </w:r>
            <w:r>
              <w:t>.</w:t>
            </w:r>
          </w:p>
        </w:tc>
        <w:tc>
          <w:tcPr>
            <w:tcW w:w="1701" w:type="dxa"/>
          </w:tcPr>
          <w:p w14:paraId="46097EAD" w14:textId="56EA9906" w:rsidR="005A6A2F" w:rsidRDefault="00701F61" w:rsidP="00B10E2E">
            <w:r>
              <w:t>11</w:t>
            </w:r>
            <w:r w:rsidR="002147AC">
              <w:t xml:space="preserve"> (73%)</w:t>
            </w:r>
          </w:p>
        </w:tc>
        <w:tc>
          <w:tcPr>
            <w:tcW w:w="1701" w:type="dxa"/>
          </w:tcPr>
          <w:p w14:paraId="754D9AEC" w14:textId="4A8D2F73" w:rsidR="005A6A2F" w:rsidRDefault="00701F61" w:rsidP="00B10E2E">
            <w:r>
              <w:t>2</w:t>
            </w:r>
            <w:r w:rsidR="002147AC">
              <w:t xml:space="preserve"> (13%)</w:t>
            </w:r>
          </w:p>
        </w:tc>
        <w:tc>
          <w:tcPr>
            <w:tcW w:w="1701" w:type="dxa"/>
          </w:tcPr>
          <w:p w14:paraId="3D3D350A" w14:textId="60645542" w:rsidR="005A6A2F" w:rsidRDefault="00701F61" w:rsidP="00B10E2E">
            <w:r>
              <w:t>2</w:t>
            </w:r>
            <w:r w:rsidR="002147AC">
              <w:t xml:space="preserve"> (13%)</w:t>
            </w:r>
          </w:p>
        </w:tc>
        <w:tc>
          <w:tcPr>
            <w:tcW w:w="1701" w:type="dxa"/>
          </w:tcPr>
          <w:p w14:paraId="70288A49" w14:textId="349F5E26" w:rsidR="005A6A2F" w:rsidRDefault="00701F61" w:rsidP="00B10E2E">
            <w:r>
              <w:t>0</w:t>
            </w:r>
            <w:r w:rsidR="002147AC">
              <w:t xml:space="preserve"> (0%)</w:t>
            </w:r>
          </w:p>
        </w:tc>
        <w:tc>
          <w:tcPr>
            <w:tcW w:w="1701" w:type="dxa"/>
          </w:tcPr>
          <w:p w14:paraId="5E4E0190" w14:textId="4A75B65C" w:rsidR="005A6A2F" w:rsidRDefault="00701F61" w:rsidP="00B10E2E">
            <w:r>
              <w:t>0</w:t>
            </w:r>
            <w:r w:rsidR="002147AC">
              <w:t xml:space="preserve"> (0%)</w:t>
            </w:r>
          </w:p>
        </w:tc>
        <w:tc>
          <w:tcPr>
            <w:tcW w:w="1701" w:type="dxa"/>
          </w:tcPr>
          <w:p w14:paraId="719ED2A4" w14:textId="0DFF8D31" w:rsidR="005A6A2F" w:rsidRDefault="00701F61" w:rsidP="00B10E2E">
            <w:r>
              <w:t>0</w:t>
            </w:r>
            <w:r w:rsidR="002147AC">
              <w:t xml:space="preserve"> (0%)</w:t>
            </w:r>
          </w:p>
        </w:tc>
      </w:tr>
      <w:tr w:rsidR="005A6A2F" w14:paraId="4B43A843" w14:textId="77777777" w:rsidTr="00B10E2E">
        <w:tc>
          <w:tcPr>
            <w:tcW w:w="3397" w:type="dxa"/>
            <w:shd w:val="clear" w:color="auto" w:fill="D9D9D9" w:themeFill="background1" w:themeFillShade="D9"/>
          </w:tcPr>
          <w:p w14:paraId="301836B6" w14:textId="5A5096C2" w:rsidR="005A6A2F" w:rsidRDefault="005A6A2F" w:rsidP="00B10E2E">
            <w:r>
              <w:t>Q</w:t>
            </w:r>
            <w:r w:rsidR="00701F61">
              <w:t>2</w:t>
            </w:r>
            <w:r>
              <w:t xml:space="preserve">7. </w:t>
            </w:r>
            <w:r w:rsidRPr="00173E46">
              <w:t>People at school understand that no-one is to blame for coronavirus happening</w:t>
            </w:r>
            <w:r>
              <w:t>.</w:t>
            </w:r>
          </w:p>
        </w:tc>
        <w:tc>
          <w:tcPr>
            <w:tcW w:w="1701" w:type="dxa"/>
          </w:tcPr>
          <w:p w14:paraId="2BF7BF75" w14:textId="6D7DDA43" w:rsidR="005A6A2F" w:rsidRDefault="00701F61" w:rsidP="00B10E2E">
            <w:r>
              <w:t>10</w:t>
            </w:r>
            <w:r w:rsidR="002147AC">
              <w:t xml:space="preserve"> (71%)</w:t>
            </w:r>
          </w:p>
        </w:tc>
        <w:tc>
          <w:tcPr>
            <w:tcW w:w="1701" w:type="dxa"/>
          </w:tcPr>
          <w:p w14:paraId="5A78AF17" w14:textId="3B47A267" w:rsidR="005A6A2F" w:rsidRDefault="00701F61" w:rsidP="00B10E2E">
            <w:r>
              <w:t>1</w:t>
            </w:r>
            <w:r w:rsidR="002147AC">
              <w:t xml:space="preserve"> (7%)</w:t>
            </w:r>
          </w:p>
        </w:tc>
        <w:tc>
          <w:tcPr>
            <w:tcW w:w="1701" w:type="dxa"/>
          </w:tcPr>
          <w:p w14:paraId="62E1D90C" w14:textId="782ABA8A" w:rsidR="005A6A2F" w:rsidRDefault="00701F61" w:rsidP="00B10E2E">
            <w:r>
              <w:t>1</w:t>
            </w:r>
            <w:r w:rsidR="002147AC">
              <w:t xml:space="preserve"> (7%)</w:t>
            </w:r>
          </w:p>
        </w:tc>
        <w:tc>
          <w:tcPr>
            <w:tcW w:w="1701" w:type="dxa"/>
          </w:tcPr>
          <w:p w14:paraId="0D509D72" w14:textId="454A7A47" w:rsidR="005A6A2F" w:rsidRDefault="00701F61" w:rsidP="00B10E2E">
            <w:r>
              <w:t>0</w:t>
            </w:r>
            <w:r w:rsidR="002147AC">
              <w:t xml:space="preserve"> (0%)</w:t>
            </w:r>
          </w:p>
        </w:tc>
        <w:tc>
          <w:tcPr>
            <w:tcW w:w="1701" w:type="dxa"/>
          </w:tcPr>
          <w:p w14:paraId="68B4CA18" w14:textId="58824EA0" w:rsidR="005A6A2F" w:rsidRDefault="00701F61" w:rsidP="00B10E2E">
            <w:r>
              <w:t>0</w:t>
            </w:r>
            <w:r w:rsidR="002147AC">
              <w:t xml:space="preserve"> (0%)</w:t>
            </w:r>
          </w:p>
        </w:tc>
        <w:tc>
          <w:tcPr>
            <w:tcW w:w="1701" w:type="dxa"/>
          </w:tcPr>
          <w:p w14:paraId="7AB9F6F2" w14:textId="498BA6B2" w:rsidR="005A6A2F" w:rsidRDefault="00701F61" w:rsidP="00B10E2E">
            <w:r>
              <w:t>2</w:t>
            </w:r>
            <w:r w:rsidR="002147AC">
              <w:t xml:space="preserve"> (14%)</w:t>
            </w:r>
          </w:p>
        </w:tc>
      </w:tr>
      <w:tr w:rsidR="005A6A2F" w14:paraId="6B9C51A2" w14:textId="77777777" w:rsidTr="00B10E2E">
        <w:tc>
          <w:tcPr>
            <w:tcW w:w="3397" w:type="dxa"/>
            <w:shd w:val="clear" w:color="auto" w:fill="D9D9D9" w:themeFill="background1" w:themeFillShade="D9"/>
          </w:tcPr>
          <w:p w14:paraId="7D9AE009" w14:textId="60B4715B" w:rsidR="005A6A2F" w:rsidRDefault="005A6A2F" w:rsidP="00B10E2E">
            <w:r>
              <w:t>Q</w:t>
            </w:r>
            <w:r w:rsidR="00701F61">
              <w:t>2</w:t>
            </w:r>
            <w:r>
              <w:t>8. If I started to feel worried</w:t>
            </w:r>
            <w:r w:rsidRPr="00173E46">
              <w:t xml:space="preserve"> or upset, I know where I could get help or support</w:t>
            </w:r>
            <w:r>
              <w:t>.</w:t>
            </w:r>
          </w:p>
        </w:tc>
        <w:tc>
          <w:tcPr>
            <w:tcW w:w="1701" w:type="dxa"/>
          </w:tcPr>
          <w:p w14:paraId="3991C756" w14:textId="4460EFA1" w:rsidR="005A6A2F" w:rsidRDefault="00701F61" w:rsidP="00B10E2E">
            <w:r>
              <w:t>9</w:t>
            </w:r>
            <w:r w:rsidR="002147AC">
              <w:t xml:space="preserve"> (60%)</w:t>
            </w:r>
          </w:p>
        </w:tc>
        <w:tc>
          <w:tcPr>
            <w:tcW w:w="1701" w:type="dxa"/>
          </w:tcPr>
          <w:p w14:paraId="2898F0B5" w14:textId="1BF0E4DF" w:rsidR="005A6A2F" w:rsidRDefault="00701F61" w:rsidP="00B10E2E">
            <w:r>
              <w:t>6</w:t>
            </w:r>
            <w:r w:rsidR="002147AC">
              <w:t xml:space="preserve"> (40%)</w:t>
            </w:r>
          </w:p>
        </w:tc>
        <w:tc>
          <w:tcPr>
            <w:tcW w:w="1701" w:type="dxa"/>
          </w:tcPr>
          <w:p w14:paraId="0E5707A7" w14:textId="560B54E6" w:rsidR="005A6A2F" w:rsidRDefault="00701F61" w:rsidP="00B10E2E">
            <w:r>
              <w:t>0</w:t>
            </w:r>
            <w:r w:rsidR="002147AC">
              <w:t xml:space="preserve"> (0%)</w:t>
            </w:r>
          </w:p>
        </w:tc>
        <w:tc>
          <w:tcPr>
            <w:tcW w:w="1701" w:type="dxa"/>
          </w:tcPr>
          <w:p w14:paraId="3BCD587A" w14:textId="1849E03B" w:rsidR="005A6A2F" w:rsidRDefault="00701F61" w:rsidP="00B10E2E">
            <w:r>
              <w:t>0</w:t>
            </w:r>
            <w:r w:rsidR="002147AC">
              <w:t xml:space="preserve"> (0%)</w:t>
            </w:r>
          </w:p>
        </w:tc>
        <w:tc>
          <w:tcPr>
            <w:tcW w:w="1701" w:type="dxa"/>
          </w:tcPr>
          <w:p w14:paraId="4FC80CBF" w14:textId="60F0FD8A" w:rsidR="005A6A2F" w:rsidRDefault="00701F61" w:rsidP="00B10E2E">
            <w:r>
              <w:t>0</w:t>
            </w:r>
            <w:r w:rsidR="002147AC">
              <w:t xml:space="preserve"> (0%)</w:t>
            </w:r>
          </w:p>
        </w:tc>
        <w:tc>
          <w:tcPr>
            <w:tcW w:w="1701" w:type="dxa"/>
          </w:tcPr>
          <w:p w14:paraId="489DDFB7" w14:textId="3D63BB5E" w:rsidR="005A6A2F" w:rsidRDefault="00701F61" w:rsidP="00B10E2E">
            <w:r>
              <w:t>0</w:t>
            </w:r>
            <w:r w:rsidR="002147AC">
              <w:t xml:space="preserve"> (0%)</w:t>
            </w:r>
          </w:p>
        </w:tc>
      </w:tr>
      <w:tr w:rsidR="005A6A2F" w14:paraId="701074B5" w14:textId="77777777" w:rsidTr="00B10E2E">
        <w:tc>
          <w:tcPr>
            <w:tcW w:w="3397" w:type="dxa"/>
            <w:shd w:val="clear" w:color="auto" w:fill="D9D9D9" w:themeFill="background1" w:themeFillShade="D9"/>
          </w:tcPr>
          <w:p w14:paraId="66F4B21B" w14:textId="056DAAF2" w:rsidR="005A6A2F" w:rsidRDefault="005A6A2F" w:rsidP="00B10E2E">
            <w:r>
              <w:t>Q</w:t>
            </w:r>
            <w:r w:rsidR="00701F61">
              <w:t>2</w:t>
            </w:r>
            <w:r>
              <w:t xml:space="preserve">9. </w:t>
            </w:r>
            <w:r w:rsidRPr="00173E46">
              <w:t>I'm happy about the future and have a few ideas about what it might be like for me</w:t>
            </w:r>
            <w:r>
              <w:t>.</w:t>
            </w:r>
          </w:p>
        </w:tc>
        <w:tc>
          <w:tcPr>
            <w:tcW w:w="1701" w:type="dxa"/>
          </w:tcPr>
          <w:p w14:paraId="54619232" w14:textId="516E60E7" w:rsidR="005A6A2F" w:rsidRDefault="00701F61" w:rsidP="00B10E2E">
            <w:r>
              <w:t>3</w:t>
            </w:r>
            <w:r w:rsidR="002147AC">
              <w:t xml:space="preserve"> (20%)</w:t>
            </w:r>
          </w:p>
        </w:tc>
        <w:tc>
          <w:tcPr>
            <w:tcW w:w="1701" w:type="dxa"/>
          </w:tcPr>
          <w:p w14:paraId="3E326094" w14:textId="567A0E68" w:rsidR="005A6A2F" w:rsidRDefault="00701F61" w:rsidP="00B10E2E">
            <w:r>
              <w:t>6</w:t>
            </w:r>
            <w:r w:rsidR="002147AC">
              <w:t xml:space="preserve"> (40%)</w:t>
            </w:r>
          </w:p>
        </w:tc>
        <w:tc>
          <w:tcPr>
            <w:tcW w:w="1701" w:type="dxa"/>
          </w:tcPr>
          <w:p w14:paraId="2DAFF47E" w14:textId="53DC5908" w:rsidR="005A6A2F" w:rsidRDefault="00701F61" w:rsidP="00B10E2E">
            <w:r>
              <w:t>5</w:t>
            </w:r>
            <w:r w:rsidR="002147AC">
              <w:t xml:space="preserve"> (33%)</w:t>
            </w:r>
          </w:p>
        </w:tc>
        <w:tc>
          <w:tcPr>
            <w:tcW w:w="1701" w:type="dxa"/>
          </w:tcPr>
          <w:p w14:paraId="524360BC" w14:textId="64D86458" w:rsidR="005A6A2F" w:rsidRDefault="00701F61" w:rsidP="00B10E2E">
            <w:r>
              <w:t>1</w:t>
            </w:r>
            <w:r w:rsidR="002147AC">
              <w:t xml:space="preserve"> (7%)</w:t>
            </w:r>
          </w:p>
        </w:tc>
        <w:tc>
          <w:tcPr>
            <w:tcW w:w="1701" w:type="dxa"/>
          </w:tcPr>
          <w:p w14:paraId="7DE2F9C3" w14:textId="4D4B1C26" w:rsidR="005A6A2F" w:rsidRDefault="00701F61" w:rsidP="00B10E2E">
            <w:r>
              <w:t>0</w:t>
            </w:r>
            <w:r w:rsidR="002147AC">
              <w:t xml:space="preserve"> (0%)</w:t>
            </w:r>
          </w:p>
        </w:tc>
        <w:tc>
          <w:tcPr>
            <w:tcW w:w="1701" w:type="dxa"/>
          </w:tcPr>
          <w:p w14:paraId="0794BC82" w14:textId="3BE6670F" w:rsidR="005A6A2F" w:rsidRDefault="00701F61" w:rsidP="00B10E2E">
            <w:r>
              <w:t>0</w:t>
            </w:r>
            <w:r w:rsidR="002147AC">
              <w:t xml:space="preserve"> (0%)</w:t>
            </w:r>
          </w:p>
        </w:tc>
      </w:tr>
      <w:tr w:rsidR="005A6A2F" w14:paraId="20F1D051" w14:textId="77777777" w:rsidTr="00B10E2E">
        <w:tc>
          <w:tcPr>
            <w:tcW w:w="3397" w:type="dxa"/>
            <w:shd w:val="clear" w:color="auto" w:fill="D9D9D9" w:themeFill="background1" w:themeFillShade="D9"/>
          </w:tcPr>
          <w:p w14:paraId="425A2769" w14:textId="2414C684" w:rsidR="005A6A2F" w:rsidRDefault="00701F61" w:rsidP="00B10E2E">
            <w:r>
              <w:t>Q3</w:t>
            </w:r>
            <w:r w:rsidR="005A6A2F">
              <w:t xml:space="preserve">0. </w:t>
            </w:r>
            <w:r w:rsidR="005A6A2F" w:rsidRPr="00173E46">
              <w:rPr>
                <w:rFonts w:ascii="Calibri" w:eastAsia="Times New Roman" w:hAnsi="Calibri" w:cs="Calibri"/>
                <w:color w:val="000000"/>
                <w:lang w:eastAsia="en-GB"/>
              </w:rPr>
              <w:t>I am happy about the new way of doing things, and I can cope with the changes caused by coronavirus and lockdown</w:t>
            </w:r>
            <w:r w:rsidR="005A6A2F">
              <w:rPr>
                <w:rFonts w:ascii="Calibri" w:eastAsia="Times New Roman" w:hAnsi="Calibri" w:cs="Calibri"/>
                <w:color w:val="000000"/>
                <w:lang w:eastAsia="en-GB"/>
              </w:rPr>
              <w:t>.</w:t>
            </w:r>
          </w:p>
        </w:tc>
        <w:tc>
          <w:tcPr>
            <w:tcW w:w="1701" w:type="dxa"/>
          </w:tcPr>
          <w:p w14:paraId="17A6B11A" w14:textId="1C85FFCA" w:rsidR="005A6A2F" w:rsidRDefault="00701F61" w:rsidP="00B10E2E">
            <w:r>
              <w:t>2</w:t>
            </w:r>
            <w:r w:rsidR="002147AC">
              <w:t xml:space="preserve"> (13%)</w:t>
            </w:r>
          </w:p>
        </w:tc>
        <w:tc>
          <w:tcPr>
            <w:tcW w:w="1701" w:type="dxa"/>
          </w:tcPr>
          <w:p w14:paraId="70E4F0A2" w14:textId="0F427570" w:rsidR="005A6A2F" w:rsidRDefault="00701F61" w:rsidP="00B10E2E">
            <w:r>
              <w:t>8</w:t>
            </w:r>
            <w:r w:rsidR="002147AC">
              <w:t xml:space="preserve"> (53%)</w:t>
            </w:r>
          </w:p>
        </w:tc>
        <w:tc>
          <w:tcPr>
            <w:tcW w:w="1701" w:type="dxa"/>
          </w:tcPr>
          <w:p w14:paraId="19F06DEA" w14:textId="4606896D" w:rsidR="005A6A2F" w:rsidRDefault="00701F61" w:rsidP="00B10E2E">
            <w:r>
              <w:t>5</w:t>
            </w:r>
            <w:r w:rsidR="002147AC">
              <w:t xml:space="preserve"> (33%)</w:t>
            </w:r>
          </w:p>
        </w:tc>
        <w:tc>
          <w:tcPr>
            <w:tcW w:w="1701" w:type="dxa"/>
          </w:tcPr>
          <w:p w14:paraId="37B5759C" w14:textId="26F42B4D" w:rsidR="005A6A2F" w:rsidRDefault="00701F61" w:rsidP="00B10E2E">
            <w:r>
              <w:t>0</w:t>
            </w:r>
            <w:r w:rsidR="002147AC">
              <w:t xml:space="preserve"> (0%)</w:t>
            </w:r>
          </w:p>
        </w:tc>
        <w:tc>
          <w:tcPr>
            <w:tcW w:w="1701" w:type="dxa"/>
          </w:tcPr>
          <w:p w14:paraId="476DC613" w14:textId="7BC7E9ED" w:rsidR="005A6A2F" w:rsidRDefault="00701F61" w:rsidP="00B10E2E">
            <w:r>
              <w:t>0</w:t>
            </w:r>
            <w:r w:rsidR="002147AC">
              <w:t xml:space="preserve"> (0%)</w:t>
            </w:r>
          </w:p>
        </w:tc>
        <w:tc>
          <w:tcPr>
            <w:tcW w:w="1701" w:type="dxa"/>
          </w:tcPr>
          <w:p w14:paraId="5954B007" w14:textId="4DDB08A4" w:rsidR="005A6A2F" w:rsidRDefault="00701F61" w:rsidP="00B10E2E">
            <w:r>
              <w:t>0</w:t>
            </w:r>
            <w:r w:rsidR="002147AC">
              <w:t xml:space="preserve"> (0%)</w:t>
            </w:r>
          </w:p>
        </w:tc>
      </w:tr>
      <w:tr w:rsidR="005A6A2F" w14:paraId="63B2926E" w14:textId="77777777" w:rsidTr="00B10E2E">
        <w:tc>
          <w:tcPr>
            <w:tcW w:w="3397" w:type="dxa"/>
            <w:shd w:val="clear" w:color="auto" w:fill="D9D9D9" w:themeFill="background1" w:themeFillShade="D9"/>
          </w:tcPr>
          <w:p w14:paraId="77D169BF" w14:textId="26CD63D3"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1. </w:t>
            </w:r>
            <w:r w:rsidR="005A6A2F" w:rsidRPr="00173E46">
              <w:rPr>
                <w:rFonts w:ascii="Calibri" w:eastAsia="Times New Roman" w:hAnsi="Calibri" w:cs="Calibri"/>
                <w:color w:val="000000"/>
                <w:lang w:eastAsia="en-GB"/>
              </w:rPr>
              <w:t>I am sleeping okay</w:t>
            </w:r>
            <w:r w:rsidR="005A6A2F">
              <w:rPr>
                <w:rFonts w:ascii="Calibri" w:eastAsia="Times New Roman" w:hAnsi="Calibri" w:cs="Calibri"/>
                <w:color w:val="000000"/>
                <w:lang w:eastAsia="en-GB"/>
              </w:rPr>
              <w:t>.</w:t>
            </w:r>
          </w:p>
        </w:tc>
        <w:tc>
          <w:tcPr>
            <w:tcW w:w="1701" w:type="dxa"/>
          </w:tcPr>
          <w:p w14:paraId="37D2B8AD" w14:textId="0FAE40B3" w:rsidR="005A6A2F" w:rsidRDefault="00701F61" w:rsidP="00B10E2E">
            <w:r>
              <w:t>3</w:t>
            </w:r>
            <w:r w:rsidR="002147AC">
              <w:t xml:space="preserve"> (20%)</w:t>
            </w:r>
          </w:p>
        </w:tc>
        <w:tc>
          <w:tcPr>
            <w:tcW w:w="1701" w:type="dxa"/>
          </w:tcPr>
          <w:p w14:paraId="2A039B17" w14:textId="3CE4D980" w:rsidR="005A6A2F" w:rsidRDefault="00701F61" w:rsidP="00B10E2E">
            <w:r>
              <w:t>5</w:t>
            </w:r>
            <w:r w:rsidR="002147AC">
              <w:t xml:space="preserve"> (33%)</w:t>
            </w:r>
          </w:p>
        </w:tc>
        <w:tc>
          <w:tcPr>
            <w:tcW w:w="1701" w:type="dxa"/>
          </w:tcPr>
          <w:p w14:paraId="67619DD1" w14:textId="3F99D456" w:rsidR="005A6A2F" w:rsidRDefault="00701F61" w:rsidP="00B10E2E">
            <w:r>
              <w:t>4</w:t>
            </w:r>
            <w:r w:rsidR="002147AC">
              <w:t xml:space="preserve"> (27%)</w:t>
            </w:r>
          </w:p>
        </w:tc>
        <w:tc>
          <w:tcPr>
            <w:tcW w:w="1701" w:type="dxa"/>
          </w:tcPr>
          <w:p w14:paraId="26F03A50" w14:textId="1BB4B99F" w:rsidR="005A6A2F" w:rsidRDefault="00701F61" w:rsidP="00B10E2E">
            <w:r>
              <w:t>1</w:t>
            </w:r>
            <w:r w:rsidR="002147AC">
              <w:t xml:space="preserve"> (7%)</w:t>
            </w:r>
          </w:p>
        </w:tc>
        <w:tc>
          <w:tcPr>
            <w:tcW w:w="1701" w:type="dxa"/>
          </w:tcPr>
          <w:p w14:paraId="68F9CB4D" w14:textId="51E4B124" w:rsidR="005A6A2F" w:rsidRDefault="00701F61" w:rsidP="00B10E2E">
            <w:r>
              <w:t>0</w:t>
            </w:r>
            <w:r w:rsidR="002147AC">
              <w:t xml:space="preserve"> (0%)</w:t>
            </w:r>
          </w:p>
        </w:tc>
        <w:tc>
          <w:tcPr>
            <w:tcW w:w="1701" w:type="dxa"/>
          </w:tcPr>
          <w:p w14:paraId="51F94AAC" w14:textId="5BBA48E0" w:rsidR="005A6A2F" w:rsidRDefault="00701F61" w:rsidP="00B10E2E">
            <w:r>
              <w:t>2</w:t>
            </w:r>
            <w:r w:rsidR="002147AC">
              <w:t xml:space="preserve"> (13%)</w:t>
            </w:r>
          </w:p>
        </w:tc>
      </w:tr>
      <w:tr w:rsidR="005A6A2F" w14:paraId="1124C129" w14:textId="77777777" w:rsidTr="00B10E2E">
        <w:tc>
          <w:tcPr>
            <w:tcW w:w="3397" w:type="dxa"/>
            <w:shd w:val="clear" w:color="auto" w:fill="D9D9D9" w:themeFill="background1" w:themeFillShade="D9"/>
          </w:tcPr>
          <w:p w14:paraId="54A88005" w14:textId="338077A3"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2. I am eating okay.</w:t>
            </w:r>
          </w:p>
        </w:tc>
        <w:tc>
          <w:tcPr>
            <w:tcW w:w="1701" w:type="dxa"/>
          </w:tcPr>
          <w:p w14:paraId="5F441588" w14:textId="059F2DF8" w:rsidR="005A6A2F" w:rsidRDefault="00701F61" w:rsidP="00B10E2E">
            <w:r>
              <w:t>4</w:t>
            </w:r>
            <w:r w:rsidR="002147AC">
              <w:t xml:space="preserve"> (27%)</w:t>
            </w:r>
          </w:p>
        </w:tc>
        <w:tc>
          <w:tcPr>
            <w:tcW w:w="1701" w:type="dxa"/>
          </w:tcPr>
          <w:p w14:paraId="51FAFAD1" w14:textId="1F5EA61D" w:rsidR="005A6A2F" w:rsidRDefault="00701F61" w:rsidP="00B10E2E">
            <w:r>
              <w:t>6</w:t>
            </w:r>
            <w:r w:rsidR="002147AC">
              <w:t xml:space="preserve"> (40%)</w:t>
            </w:r>
          </w:p>
        </w:tc>
        <w:tc>
          <w:tcPr>
            <w:tcW w:w="1701" w:type="dxa"/>
          </w:tcPr>
          <w:p w14:paraId="2474F9CC" w14:textId="0251F7F9" w:rsidR="005A6A2F" w:rsidRDefault="00701F61" w:rsidP="00B10E2E">
            <w:r>
              <w:t>2</w:t>
            </w:r>
            <w:r w:rsidR="002147AC">
              <w:t xml:space="preserve"> (13%)</w:t>
            </w:r>
          </w:p>
        </w:tc>
        <w:tc>
          <w:tcPr>
            <w:tcW w:w="1701" w:type="dxa"/>
          </w:tcPr>
          <w:p w14:paraId="369FC0BB" w14:textId="6C7A597C" w:rsidR="005A6A2F" w:rsidRDefault="00701F61" w:rsidP="00B10E2E">
            <w:r>
              <w:t>1</w:t>
            </w:r>
            <w:r w:rsidR="002147AC">
              <w:t xml:space="preserve"> (7%)</w:t>
            </w:r>
          </w:p>
        </w:tc>
        <w:tc>
          <w:tcPr>
            <w:tcW w:w="1701" w:type="dxa"/>
          </w:tcPr>
          <w:p w14:paraId="29B19390" w14:textId="57D62CD4" w:rsidR="005A6A2F" w:rsidRDefault="00701F61" w:rsidP="00B10E2E">
            <w:r>
              <w:t>0</w:t>
            </w:r>
            <w:r w:rsidR="002147AC">
              <w:t xml:space="preserve"> (0%)</w:t>
            </w:r>
          </w:p>
        </w:tc>
        <w:tc>
          <w:tcPr>
            <w:tcW w:w="1701" w:type="dxa"/>
          </w:tcPr>
          <w:p w14:paraId="1C76B5AF" w14:textId="7B61B6C3" w:rsidR="005A6A2F" w:rsidRDefault="00701F61" w:rsidP="00B10E2E">
            <w:r>
              <w:t>2</w:t>
            </w:r>
            <w:r w:rsidR="002147AC">
              <w:t xml:space="preserve"> (13%)</w:t>
            </w:r>
          </w:p>
        </w:tc>
      </w:tr>
      <w:tr w:rsidR="005A6A2F" w14:paraId="714B82EF" w14:textId="77777777" w:rsidTr="00B10E2E">
        <w:tc>
          <w:tcPr>
            <w:tcW w:w="3397" w:type="dxa"/>
            <w:shd w:val="clear" w:color="auto" w:fill="D9D9D9" w:themeFill="background1" w:themeFillShade="D9"/>
          </w:tcPr>
          <w:p w14:paraId="4A12F96B" w14:textId="6A810109" w:rsidR="005A6A2F" w:rsidRDefault="00701F61" w:rsidP="00B10E2E">
            <w:r>
              <w:rPr>
                <w:rFonts w:ascii="Calibri" w:eastAsia="Times New Roman" w:hAnsi="Calibri" w:cs="Calibri"/>
                <w:color w:val="000000"/>
                <w:lang w:eastAsia="en-GB"/>
              </w:rPr>
              <w:lastRenderedPageBreak/>
              <w:t>Q3</w:t>
            </w:r>
            <w:r w:rsidR="005A6A2F">
              <w:rPr>
                <w:rFonts w:ascii="Calibri" w:eastAsia="Times New Roman" w:hAnsi="Calibri" w:cs="Calibri"/>
                <w:color w:val="000000"/>
                <w:lang w:eastAsia="en-GB"/>
              </w:rPr>
              <w:t xml:space="preserve">3. </w:t>
            </w:r>
            <w:r w:rsidR="005A6A2F" w:rsidRPr="00173E46">
              <w:rPr>
                <w:rFonts w:ascii="Calibri" w:eastAsia="Times New Roman" w:hAnsi="Calibri" w:cs="Calibri"/>
                <w:color w:val="000000"/>
                <w:lang w:eastAsia="en-GB"/>
              </w:rPr>
              <w:t>I feel I have enough mojo to get me through whatever might happen</w:t>
            </w:r>
            <w:r w:rsidR="005A6A2F">
              <w:rPr>
                <w:rFonts w:ascii="Calibri" w:eastAsia="Times New Roman" w:hAnsi="Calibri" w:cs="Calibri"/>
                <w:color w:val="000000"/>
                <w:lang w:eastAsia="en-GB"/>
              </w:rPr>
              <w:t>.</w:t>
            </w:r>
          </w:p>
        </w:tc>
        <w:tc>
          <w:tcPr>
            <w:tcW w:w="1701" w:type="dxa"/>
          </w:tcPr>
          <w:p w14:paraId="54F74833" w14:textId="13048BDE" w:rsidR="005A6A2F" w:rsidRDefault="00701F61" w:rsidP="00B10E2E">
            <w:r>
              <w:t>2</w:t>
            </w:r>
            <w:r w:rsidR="002147AC">
              <w:t xml:space="preserve"> (13%)</w:t>
            </w:r>
          </w:p>
        </w:tc>
        <w:tc>
          <w:tcPr>
            <w:tcW w:w="1701" w:type="dxa"/>
          </w:tcPr>
          <w:p w14:paraId="2D99AD90" w14:textId="0BC96029" w:rsidR="005A6A2F" w:rsidRDefault="00701F61" w:rsidP="00B10E2E">
            <w:r>
              <w:t>5</w:t>
            </w:r>
            <w:r w:rsidR="002147AC">
              <w:t xml:space="preserve"> (33%)</w:t>
            </w:r>
          </w:p>
        </w:tc>
        <w:tc>
          <w:tcPr>
            <w:tcW w:w="1701" w:type="dxa"/>
          </w:tcPr>
          <w:p w14:paraId="7BA42967" w14:textId="34E128BD" w:rsidR="005A6A2F" w:rsidRDefault="00701F61" w:rsidP="00B10E2E">
            <w:r>
              <w:t>5</w:t>
            </w:r>
            <w:r w:rsidR="002147AC">
              <w:t xml:space="preserve"> (33%)</w:t>
            </w:r>
          </w:p>
        </w:tc>
        <w:tc>
          <w:tcPr>
            <w:tcW w:w="1701" w:type="dxa"/>
          </w:tcPr>
          <w:p w14:paraId="63D5482E" w14:textId="2CD99863" w:rsidR="005A6A2F" w:rsidRDefault="00701F61" w:rsidP="00B10E2E">
            <w:r>
              <w:t>1</w:t>
            </w:r>
            <w:r w:rsidR="002147AC">
              <w:t xml:space="preserve"> (7%)</w:t>
            </w:r>
          </w:p>
        </w:tc>
        <w:tc>
          <w:tcPr>
            <w:tcW w:w="1701" w:type="dxa"/>
          </w:tcPr>
          <w:p w14:paraId="083EFEFB" w14:textId="0344F7B1" w:rsidR="005A6A2F" w:rsidRDefault="00701F61" w:rsidP="00B10E2E">
            <w:r>
              <w:t>0</w:t>
            </w:r>
            <w:r w:rsidR="002147AC">
              <w:t xml:space="preserve"> (0%)</w:t>
            </w:r>
          </w:p>
        </w:tc>
        <w:tc>
          <w:tcPr>
            <w:tcW w:w="1701" w:type="dxa"/>
          </w:tcPr>
          <w:p w14:paraId="73C896BB" w14:textId="40551FC9" w:rsidR="005A6A2F" w:rsidRDefault="00701F61" w:rsidP="00B10E2E">
            <w:r>
              <w:t>2</w:t>
            </w:r>
            <w:r w:rsidR="002147AC">
              <w:t xml:space="preserve"> (13%)</w:t>
            </w:r>
          </w:p>
        </w:tc>
      </w:tr>
      <w:tr w:rsidR="005A6A2F" w14:paraId="228E9107" w14:textId="77777777" w:rsidTr="00B10E2E">
        <w:tc>
          <w:tcPr>
            <w:tcW w:w="3397" w:type="dxa"/>
            <w:shd w:val="clear" w:color="auto" w:fill="D9D9D9" w:themeFill="background1" w:themeFillShade="D9"/>
          </w:tcPr>
          <w:p w14:paraId="78EB0687" w14:textId="5CE56790"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4. </w:t>
            </w:r>
            <w:r w:rsidR="005A6A2F" w:rsidRPr="00173E46">
              <w:rPr>
                <w:rFonts w:ascii="Calibri" w:eastAsia="Times New Roman" w:hAnsi="Calibri" w:cs="Calibri"/>
                <w:color w:val="000000"/>
                <w:lang w:eastAsia="en-GB"/>
              </w:rPr>
              <w:t>I feel safe at home and have not been mistreated</w:t>
            </w:r>
            <w:r w:rsidR="005A6A2F">
              <w:rPr>
                <w:rFonts w:ascii="Calibri" w:eastAsia="Times New Roman" w:hAnsi="Calibri" w:cs="Calibri"/>
                <w:color w:val="000000"/>
                <w:lang w:eastAsia="en-GB"/>
              </w:rPr>
              <w:t>.</w:t>
            </w:r>
          </w:p>
        </w:tc>
        <w:tc>
          <w:tcPr>
            <w:tcW w:w="1701" w:type="dxa"/>
          </w:tcPr>
          <w:p w14:paraId="6B66650C" w14:textId="5E14465B" w:rsidR="005A6A2F" w:rsidRDefault="00701F61" w:rsidP="00B10E2E">
            <w:r>
              <w:t>10</w:t>
            </w:r>
            <w:r w:rsidR="002147AC">
              <w:t xml:space="preserve"> (</w:t>
            </w:r>
            <w:r w:rsidR="00D56310">
              <w:t>71%)</w:t>
            </w:r>
          </w:p>
        </w:tc>
        <w:tc>
          <w:tcPr>
            <w:tcW w:w="1701" w:type="dxa"/>
          </w:tcPr>
          <w:p w14:paraId="523F6EE0" w14:textId="0F8C6608" w:rsidR="005A6A2F" w:rsidRDefault="00701F61" w:rsidP="00B10E2E">
            <w:r>
              <w:t>0</w:t>
            </w:r>
            <w:r w:rsidR="002147AC">
              <w:t xml:space="preserve"> (0%)</w:t>
            </w:r>
          </w:p>
        </w:tc>
        <w:tc>
          <w:tcPr>
            <w:tcW w:w="1701" w:type="dxa"/>
          </w:tcPr>
          <w:p w14:paraId="668D6868" w14:textId="75B34AD9" w:rsidR="005A6A2F" w:rsidRDefault="00701F61" w:rsidP="00B10E2E">
            <w:r>
              <w:t>0</w:t>
            </w:r>
            <w:r w:rsidR="002147AC">
              <w:t xml:space="preserve"> (0%)</w:t>
            </w:r>
          </w:p>
        </w:tc>
        <w:tc>
          <w:tcPr>
            <w:tcW w:w="1701" w:type="dxa"/>
          </w:tcPr>
          <w:p w14:paraId="59EB403C" w14:textId="38AA1255" w:rsidR="005A6A2F" w:rsidRDefault="00701F61" w:rsidP="00B10E2E">
            <w:r>
              <w:t>0</w:t>
            </w:r>
            <w:r w:rsidR="002147AC">
              <w:t xml:space="preserve"> (0%)</w:t>
            </w:r>
          </w:p>
        </w:tc>
        <w:tc>
          <w:tcPr>
            <w:tcW w:w="1701" w:type="dxa"/>
          </w:tcPr>
          <w:p w14:paraId="310C3190" w14:textId="36BE703B" w:rsidR="005A6A2F" w:rsidRDefault="00701F61" w:rsidP="00B10E2E">
            <w:r>
              <w:t>0</w:t>
            </w:r>
            <w:r w:rsidR="002147AC">
              <w:t xml:space="preserve"> (0%)</w:t>
            </w:r>
          </w:p>
        </w:tc>
        <w:tc>
          <w:tcPr>
            <w:tcW w:w="1701" w:type="dxa"/>
          </w:tcPr>
          <w:p w14:paraId="3BD62D24" w14:textId="0B4D5235" w:rsidR="005A6A2F" w:rsidRDefault="00701F61" w:rsidP="00B10E2E">
            <w:r>
              <w:t>4</w:t>
            </w:r>
            <w:r w:rsidR="00D56310">
              <w:t xml:space="preserve"> (29%)</w:t>
            </w:r>
          </w:p>
        </w:tc>
      </w:tr>
      <w:tr w:rsidR="005A6A2F" w14:paraId="018911C4" w14:textId="77777777" w:rsidTr="00B10E2E">
        <w:tc>
          <w:tcPr>
            <w:tcW w:w="3397" w:type="dxa"/>
            <w:shd w:val="clear" w:color="auto" w:fill="D9D9D9" w:themeFill="background1" w:themeFillShade="D9"/>
          </w:tcPr>
          <w:p w14:paraId="525E6FF1" w14:textId="64A15D36"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5. </w:t>
            </w:r>
            <w:r w:rsidR="005A6A2F" w:rsidRPr="00173E46">
              <w:rPr>
                <w:rFonts w:ascii="Calibri" w:eastAsia="Times New Roman" w:hAnsi="Calibri" w:cs="Calibri"/>
                <w:color w:val="000000"/>
                <w:lang w:eastAsia="en-GB"/>
              </w:rPr>
              <w:t>I have learnt new or different things whilst being in lockdown</w:t>
            </w:r>
            <w:r w:rsidR="005A6A2F">
              <w:rPr>
                <w:rFonts w:ascii="Calibri" w:eastAsia="Times New Roman" w:hAnsi="Calibri" w:cs="Calibri"/>
                <w:color w:val="000000"/>
                <w:lang w:eastAsia="en-GB"/>
              </w:rPr>
              <w:t>.</w:t>
            </w:r>
          </w:p>
        </w:tc>
        <w:tc>
          <w:tcPr>
            <w:tcW w:w="1701" w:type="dxa"/>
          </w:tcPr>
          <w:p w14:paraId="0BF94573" w14:textId="206D0E91" w:rsidR="005A6A2F" w:rsidRDefault="00701F61" w:rsidP="00B10E2E">
            <w:r>
              <w:t>5</w:t>
            </w:r>
            <w:r w:rsidR="00D56310">
              <w:t xml:space="preserve"> (33%)</w:t>
            </w:r>
          </w:p>
        </w:tc>
        <w:tc>
          <w:tcPr>
            <w:tcW w:w="1701" w:type="dxa"/>
          </w:tcPr>
          <w:p w14:paraId="74E9F888" w14:textId="3B13F6E8" w:rsidR="005A6A2F" w:rsidRDefault="00701F61" w:rsidP="00B10E2E">
            <w:r>
              <w:t>7</w:t>
            </w:r>
            <w:r w:rsidR="00D56310">
              <w:t xml:space="preserve"> (47%)</w:t>
            </w:r>
          </w:p>
        </w:tc>
        <w:tc>
          <w:tcPr>
            <w:tcW w:w="1701" w:type="dxa"/>
          </w:tcPr>
          <w:p w14:paraId="4EF07C9B" w14:textId="4F8747D4" w:rsidR="005A6A2F" w:rsidRDefault="00701F61" w:rsidP="00B10E2E">
            <w:r>
              <w:t>1</w:t>
            </w:r>
            <w:r w:rsidR="00D56310">
              <w:t xml:space="preserve"> (7%)</w:t>
            </w:r>
          </w:p>
        </w:tc>
        <w:tc>
          <w:tcPr>
            <w:tcW w:w="1701" w:type="dxa"/>
          </w:tcPr>
          <w:p w14:paraId="7AE9223E" w14:textId="4A69BAA9" w:rsidR="005A6A2F" w:rsidRDefault="00701F61" w:rsidP="00B10E2E">
            <w:r>
              <w:t>0</w:t>
            </w:r>
            <w:r w:rsidR="002147AC">
              <w:t xml:space="preserve"> (0%)</w:t>
            </w:r>
          </w:p>
        </w:tc>
        <w:tc>
          <w:tcPr>
            <w:tcW w:w="1701" w:type="dxa"/>
          </w:tcPr>
          <w:p w14:paraId="5CD39FDB" w14:textId="620308F8" w:rsidR="005A6A2F" w:rsidRDefault="00701F61" w:rsidP="00B10E2E">
            <w:r>
              <w:t>0</w:t>
            </w:r>
            <w:r w:rsidR="002147AC">
              <w:t xml:space="preserve"> (0%)</w:t>
            </w:r>
          </w:p>
        </w:tc>
        <w:tc>
          <w:tcPr>
            <w:tcW w:w="1701" w:type="dxa"/>
          </w:tcPr>
          <w:p w14:paraId="3DA86DCC" w14:textId="45BD0DB5" w:rsidR="005A6A2F" w:rsidRDefault="00701F61" w:rsidP="00B10E2E">
            <w:r>
              <w:t>2</w:t>
            </w:r>
            <w:r w:rsidR="00D56310">
              <w:t xml:space="preserve"> (13%)</w:t>
            </w:r>
          </w:p>
        </w:tc>
      </w:tr>
      <w:tr w:rsidR="005A6A2F" w14:paraId="66AE8C16" w14:textId="77777777" w:rsidTr="00B10E2E">
        <w:tc>
          <w:tcPr>
            <w:tcW w:w="3397" w:type="dxa"/>
            <w:shd w:val="clear" w:color="auto" w:fill="D9D9D9" w:themeFill="background1" w:themeFillShade="D9"/>
          </w:tcPr>
          <w:p w14:paraId="027B39D7" w14:textId="0D817B39"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6. </w:t>
            </w:r>
            <w:r w:rsidR="005A6A2F" w:rsidRPr="00173E46">
              <w:rPr>
                <w:rFonts w:ascii="Calibri" w:eastAsia="Times New Roman" w:hAnsi="Calibri" w:cs="Calibri"/>
                <w:color w:val="000000"/>
                <w:lang w:eastAsia="en-GB"/>
              </w:rPr>
              <w:t>I can keep in touch with my friends as much as I need to</w:t>
            </w:r>
            <w:r w:rsidR="005A6A2F">
              <w:rPr>
                <w:rFonts w:ascii="Calibri" w:eastAsia="Times New Roman" w:hAnsi="Calibri" w:cs="Calibri"/>
                <w:color w:val="000000"/>
                <w:lang w:eastAsia="en-GB"/>
              </w:rPr>
              <w:t>.</w:t>
            </w:r>
          </w:p>
        </w:tc>
        <w:tc>
          <w:tcPr>
            <w:tcW w:w="1701" w:type="dxa"/>
          </w:tcPr>
          <w:p w14:paraId="4C6691F9" w14:textId="5824B803" w:rsidR="005A6A2F" w:rsidRDefault="00701F61" w:rsidP="00B10E2E">
            <w:r>
              <w:t>5</w:t>
            </w:r>
            <w:r w:rsidR="00D56310">
              <w:t xml:space="preserve"> (33%)</w:t>
            </w:r>
          </w:p>
        </w:tc>
        <w:tc>
          <w:tcPr>
            <w:tcW w:w="1701" w:type="dxa"/>
          </w:tcPr>
          <w:p w14:paraId="15FACA85" w14:textId="5C21CD86" w:rsidR="005A6A2F" w:rsidRDefault="00701F61" w:rsidP="00B10E2E">
            <w:r>
              <w:t>4</w:t>
            </w:r>
            <w:r w:rsidR="00D56310">
              <w:t xml:space="preserve"> (27%)</w:t>
            </w:r>
          </w:p>
        </w:tc>
        <w:tc>
          <w:tcPr>
            <w:tcW w:w="1701" w:type="dxa"/>
          </w:tcPr>
          <w:p w14:paraId="51381F5D" w14:textId="69109A02" w:rsidR="005A6A2F" w:rsidRDefault="00701F61" w:rsidP="00B10E2E">
            <w:r>
              <w:t>2</w:t>
            </w:r>
            <w:r w:rsidR="00D56310">
              <w:t xml:space="preserve"> (13%)</w:t>
            </w:r>
          </w:p>
        </w:tc>
        <w:tc>
          <w:tcPr>
            <w:tcW w:w="1701" w:type="dxa"/>
          </w:tcPr>
          <w:p w14:paraId="711824D3" w14:textId="478B2862" w:rsidR="005A6A2F" w:rsidRDefault="00701F61" w:rsidP="00B10E2E">
            <w:r>
              <w:t>3</w:t>
            </w:r>
            <w:r w:rsidR="00D56310">
              <w:t xml:space="preserve"> (20%)</w:t>
            </w:r>
          </w:p>
        </w:tc>
        <w:tc>
          <w:tcPr>
            <w:tcW w:w="1701" w:type="dxa"/>
          </w:tcPr>
          <w:p w14:paraId="46499E06" w14:textId="15FF547E" w:rsidR="005A6A2F" w:rsidRDefault="00701F61" w:rsidP="00B10E2E">
            <w:r>
              <w:t>0</w:t>
            </w:r>
            <w:r w:rsidR="002147AC">
              <w:t xml:space="preserve"> (0%)</w:t>
            </w:r>
          </w:p>
        </w:tc>
        <w:tc>
          <w:tcPr>
            <w:tcW w:w="1701" w:type="dxa"/>
          </w:tcPr>
          <w:p w14:paraId="11403143" w14:textId="030E48FA" w:rsidR="005A6A2F" w:rsidRDefault="00701F61" w:rsidP="00B10E2E">
            <w:r>
              <w:t>1</w:t>
            </w:r>
            <w:r w:rsidR="00D56310">
              <w:t xml:space="preserve"> (7%)</w:t>
            </w:r>
          </w:p>
        </w:tc>
      </w:tr>
      <w:tr w:rsidR="005A6A2F" w14:paraId="650B1651" w14:textId="77777777" w:rsidTr="00B10E2E">
        <w:tc>
          <w:tcPr>
            <w:tcW w:w="3397" w:type="dxa"/>
            <w:shd w:val="clear" w:color="auto" w:fill="D9D9D9" w:themeFill="background1" w:themeFillShade="D9"/>
          </w:tcPr>
          <w:p w14:paraId="51412366" w14:textId="5954CA12"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7. </w:t>
            </w:r>
            <w:r w:rsidR="005A6A2F" w:rsidRPr="00173E46">
              <w:rPr>
                <w:rFonts w:ascii="Calibri" w:eastAsia="Times New Roman" w:hAnsi="Calibri" w:cs="Calibri"/>
                <w:color w:val="000000"/>
                <w:lang w:eastAsia="en-GB"/>
              </w:rPr>
              <w:t>My friends and family are fit and well and safe from coronavirus</w:t>
            </w:r>
          </w:p>
        </w:tc>
        <w:tc>
          <w:tcPr>
            <w:tcW w:w="1701" w:type="dxa"/>
          </w:tcPr>
          <w:p w14:paraId="4AF7E01D" w14:textId="05D50135" w:rsidR="005A6A2F" w:rsidRDefault="00701F61" w:rsidP="00B10E2E">
            <w:r>
              <w:t>3</w:t>
            </w:r>
            <w:r w:rsidR="00D56310">
              <w:t xml:space="preserve"> (20%)</w:t>
            </w:r>
          </w:p>
        </w:tc>
        <w:tc>
          <w:tcPr>
            <w:tcW w:w="1701" w:type="dxa"/>
          </w:tcPr>
          <w:p w14:paraId="225D8D22" w14:textId="75CF1AA3" w:rsidR="005A6A2F" w:rsidRDefault="00701F61" w:rsidP="00B10E2E">
            <w:r>
              <w:t>6</w:t>
            </w:r>
            <w:r w:rsidR="00D56310">
              <w:t xml:space="preserve"> (40%)</w:t>
            </w:r>
          </w:p>
        </w:tc>
        <w:tc>
          <w:tcPr>
            <w:tcW w:w="1701" w:type="dxa"/>
          </w:tcPr>
          <w:p w14:paraId="79FC0799" w14:textId="3D914B3F" w:rsidR="005A6A2F" w:rsidRDefault="00701F61" w:rsidP="00B10E2E">
            <w:r>
              <w:t>4</w:t>
            </w:r>
            <w:r w:rsidR="00D56310">
              <w:t xml:space="preserve"> (27%)</w:t>
            </w:r>
          </w:p>
        </w:tc>
        <w:tc>
          <w:tcPr>
            <w:tcW w:w="1701" w:type="dxa"/>
          </w:tcPr>
          <w:p w14:paraId="54BC65E7" w14:textId="1BA595D5" w:rsidR="005A6A2F" w:rsidRDefault="00701F61" w:rsidP="00B10E2E">
            <w:r>
              <w:t>0</w:t>
            </w:r>
            <w:r w:rsidR="002147AC">
              <w:t xml:space="preserve"> (0%)</w:t>
            </w:r>
          </w:p>
        </w:tc>
        <w:tc>
          <w:tcPr>
            <w:tcW w:w="1701" w:type="dxa"/>
          </w:tcPr>
          <w:p w14:paraId="5A9E295B" w14:textId="3CCDD8B5" w:rsidR="005A6A2F" w:rsidRDefault="00701F61" w:rsidP="00B10E2E">
            <w:r>
              <w:t>0</w:t>
            </w:r>
            <w:r w:rsidR="002147AC">
              <w:t xml:space="preserve"> (0%)</w:t>
            </w:r>
          </w:p>
        </w:tc>
        <w:tc>
          <w:tcPr>
            <w:tcW w:w="1701" w:type="dxa"/>
          </w:tcPr>
          <w:p w14:paraId="00A56B1E" w14:textId="24BA91A2" w:rsidR="005A6A2F" w:rsidRDefault="00701F61" w:rsidP="00B10E2E">
            <w:r>
              <w:t>2</w:t>
            </w:r>
            <w:r w:rsidR="00D56310">
              <w:t xml:space="preserve"> (13%)</w:t>
            </w:r>
          </w:p>
        </w:tc>
      </w:tr>
      <w:tr w:rsidR="005A6A2F" w14:paraId="5263C816" w14:textId="77777777" w:rsidTr="00B10E2E">
        <w:tc>
          <w:tcPr>
            <w:tcW w:w="3397" w:type="dxa"/>
            <w:shd w:val="clear" w:color="auto" w:fill="D9D9D9" w:themeFill="background1" w:themeFillShade="D9"/>
          </w:tcPr>
          <w:p w14:paraId="75641902" w14:textId="38D4907B"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8. </w:t>
            </w:r>
            <w:r w:rsidR="005A6A2F" w:rsidRPr="00173E46">
              <w:rPr>
                <w:rFonts w:ascii="Calibri" w:eastAsia="Times New Roman" w:hAnsi="Calibri" w:cs="Calibri"/>
                <w:color w:val="000000"/>
                <w:lang w:eastAsia="en-GB"/>
              </w:rPr>
              <w:t>I think my family are doing okay and have got along during lockdown</w:t>
            </w:r>
            <w:r w:rsidR="005A6A2F">
              <w:rPr>
                <w:rFonts w:ascii="Calibri" w:eastAsia="Times New Roman" w:hAnsi="Calibri" w:cs="Calibri"/>
                <w:color w:val="000000"/>
                <w:lang w:eastAsia="en-GB"/>
              </w:rPr>
              <w:t>.</w:t>
            </w:r>
          </w:p>
        </w:tc>
        <w:tc>
          <w:tcPr>
            <w:tcW w:w="1701" w:type="dxa"/>
          </w:tcPr>
          <w:p w14:paraId="1C206980" w14:textId="246558B7" w:rsidR="005A6A2F" w:rsidRDefault="00701F61" w:rsidP="00B10E2E">
            <w:r>
              <w:t>4</w:t>
            </w:r>
            <w:r w:rsidR="00D56310">
              <w:t xml:space="preserve"> (27%)</w:t>
            </w:r>
          </w:p>
        </w:tc>
        <w:tc>
          <w:tcPr>
            <w:tcW w:w="1701" w:type="dxa"/>
          </w:tcPr>
          <w:p w14:paraId="227C0C13" w14:textId="73E63095" w:rsidR="005A6A2F" w:rsidRDefault="00701F61" w:rsidP="00B10E2E">
            <w:r>
              <w:t>4</w:t>
            </w:r>
            <w:r w:rsidR="00D56310">
              <w:t xml:space="preserve"> (27%)</w:t>
            </w:r>
          </w:p>
        </w:tc>
        <w:tc>
          <w:tcPr>
            <w:tcW w:w="1701" w:type="dxa"/>
          </w:tcPr>
          <w:p w14:paraId="0BE7EDB4" w14:textId="42F0A988" w:rsidR="005A6A2F" w:rsidRDefault="00701F61" w:rsidP="00B10E2E">
            <w:r>
              <w:t>4</w:t>
            </w:r>
            <w:r w:rsidR="00D56310">
              <w:t xml:space="preserve"> (27%)</w:t>
            </w:r>
          </w:p>
        </w:tc>
        <w:tc>
          <w:tcPr>
            <w:tcW w:w="1701" w:type="dxa"/>
          </w:tcPr>
          <w:p w14:paraId="5B96B9BA" w14:textId="46B85A40" w:rsidR="005A6A2F" w:rsidRDefault="00701F61" w:rsidP="00B10E2E">
            <w:r>
              <w:t>0</w:t>
            </w:r>
            <w:r w:rsidR="002147AC">
              <w:t xml:space="preserve"> (0%)</w:t>
            </w:r>
          </w:p>
        </w:tc>
        <w:tc>
          <w:tcPr>
            <w:tcW w:w="1701" w:type="dxa"/>
          </w:tcPr>
          <w:p w14:paraId="405FFC45" w14:textId="100565D2" w:rsidR="005A6A2F" w:rsidRDefault="00701F61" w:rsidP="00B10E2E">
            <w:r>
              <w:t>0</w:t>
            </w:r>
            <w:r w:rsidR="002147AC">
              <w:t xml:space="preserve"> (0%)</w:t>
            </w:r>
          </w:p>
        </w:tc>
        <w:tc>
          <w:tcPr>
            <w:tcW w:w="1701" w:type="dxa"/>
          </w:tcPr>
          <w:p w14:paraId="3D5DCBE4" w14:textId="085CD6B5" w:rsidR="005A6A2F" w:rsidRDefault="00701F61" w:rsidP="00B10E2E">
            <w:r>
              <w:t>3</w:t>
            </w:r>
            <w:r w:rsidR="00D56310">
              <w:t xml:space="preserve"> (20%)</w:t>
            </w:r>
          </w:p>
        </w:tc>
      </w:tr>
      <w:tr w:rsidR="005A6A2F" w14:paraId="4EAA4712" w14:textId="77777777" w:rsidTr="00B10E2E">
        <w:tc>
          <w:tcPr>
            <w:tcW w:w="3397" w:type="dxa"/>
            <w:shd w:val="clear" w:color="auto" w:fill="D9D9D9" w:themeFill="background1" w:themeFillShade="D9"/>
          </w:tcPr>
          <w:p w14:paraId="58FFE129" w14:textId="34D7BD3B" w:rsidR="005A6A2F" w:rsidRDefault="00701F61" w:rsidP="00B10E2E">
            <w:r>
              <w:rPr>
                <w:rFonts w:ascii="Calibri" w:eastAsia="Times New Roman" w:hAnsi="Calibri" w:cs="Calibri"/>
                <w:color w:val="000000"/>
                <w:lang w:eastAsia="en-GB"/>
              </w:rPr>
              <w:t>Q3</w:t>
            </w:r>
            <w:r w:rsidR="005A6A2F">
              <w:rPr>
                <w:rFonts w:ascii="Calibri" w:eastAsia="Times New Roman" w:hAnsi="Calibri" w:cs="Calibri"/>
                <w:color w:val="000000"/>
                <w:lang w:eastAsia="en-GB"/>
              </w:rPr>
              <w:t xml:space="preserve">9. </w:t>
            </w:r>
            <w:r w:rsidR="005A6A2F" w:rsidRPr="00173E46">
              <w:rPr>
                <w:rFonts w:ascii="Calibri" w:eastAsia="Times New Roman" w:hAnsi="Calibri" w:cs="Calibri"/>
                <w:color w:val="000000"/>
                <w:lang w:eastAsia="en-GB"/>
              </w:rPr>
              <w:t>No one in my family or very close to me has been seriously ill or died due to coronavirus</w:t>
            </w:r>
            <w:r w:rsidR="005A6A2F">
              <w:rPr>
                <w:rFonts w:ascii="Calibri" w:eastAsia="Times New Roman" w:hAnsi="Calibri" w:cs="Calibri"/>
                <w:color w:val="000000"/>
                <w:lang w:eastAsia="en-GB"/>
              </w:rPr>
              <w:t>.</w:t>
            </w:r>
          </w:p>
        </w:tc>
        <w:tc>
          <w:tcPr>
            <w:tcW w:w="1701" w:type="dxa"/>
          </w:tcPr>
          <w:p w14:paraId="6B6DD4AF" w14:textId="2F8401E6" w:rsidR="005A6A2F" w:rsidRDefault="00701F61" w:rsidP="00B10E2E">
            <w:r>
              <w:t>5</w:t>
            </w:r>
            <w:r w:rsidR="00D56310">
              <w:t xml:space="preserve"> (36%)</w:t>
            </w:r>
          </w:p>
        </w:tc>
        <w:tc>
          <w:tcPr>
            <w:tcW w:w="1701" w:type="dxa"/>
          </w:tcPr>
          <w:p w14:paraId="6F8521E7" w14:textId="3A171A52" w:rsidR="005A6A2F" w:rsidRDefault="00701F61" w:rsidP="00B10E2E">
            <w:r>
              <w:t>6</w:t>
            </w:r>
            <w:r w:rsidR="00D56310">
              <w:t xml:space="preserve"> (43%)</w:t>
            </w:r>
          </w:p>
        </w:tc>
        <w:tc>
          <w:tcPr>
            <w:tcW w:w="1701" w:type="dxa"/>
          </w:tcPr>
          <w:p w14:paraId="61727D26" w14:textId="7587444D" w:rsidR="005A6A2F" w:rsidRDefault="00701F61" w:rsidP="00B10E2E">
            <w:r>
              <w:t>0</w:t>
            </w:r>
            <w:r w:rsidR="002147AC">
              <w:t xml:space="preserve"> (0%)</w:t>
            </w:r>
          </w:p>
        </w:tc>
        <w:tc>
          <w:tcPr>
            <w:tcW w:w="1701" w:type="dxa"/>
          </w:tcPr>
          <w:p w14:paraId="0037F9BE" w14:textId="75753207" w:rsidR="005A6A2F" w:rsidRDefault="00701F61" w:rsidP="00B10E2E">
            <w:r>
              <w:t>0</w:t>
            </w:r>
            <w:r w:rsidR="002147AC">
              <w:t xml:space="preserve"> (0%)</w:t>
            </w:r>
          </w:p>
        </w:tc>
        <w:tc>
          <w:tcPr>
            <w:tcW w:w="1701" w:type="dxa"/>
          </w:tcPr>
          <w:p w14:paraId="7E74A6D1" w14:textId="0E5F58BA" w:rsidR="005A6A2F" w:rsidRDefault="00701F61" w:rsidP="00B10E2E">
            <w:r>
              <w:t>0</w:t>
            </w:r>
            <w:r w:rsidR="002147AC">
              <w:t xml:space="preserve"> (0%)</w:t>
            </w:r>
          </w:p>
        </w:tc>
        <w:tc>
          <w:tcPr>
            <w:tcW w:w="1701" w:type="dxa"/>
          </w:tcPr>
          <w:p w14:paraId="5C3093FD" w14:textId="2F215996" w:rsidR="005A6A2F" w:rsidRDefault="00701F61" w:rsidP="00B10E2E">
            <w:r>
              <w:t>3</w:t>
            </w:r>
            <w:r w:rsidR="00D56310">
              <w:t xml:space="preserve"> (21%)</w:t>
            </w:r>
          </w:p>
        </w:tc>
      </w:tr>
      <w:tr w:rsidR="005A6A2F" w14:paraId="600BDA10" w14:textId="77777777" w:rsidTr="00B10E2E">
        <w:tc>
          <w:tcPr>
            <w:tcW w:w="3397" w:type="dxa"/>
            <w:shd w:val="clear" w:color="auto" w:fill="D9D9D9" w:themeFill="background1" w:themeFillShade="D9"/>
          </w:tcPr>
          <w:p w14:paraId="75756889" w14:textId="3DC5BC7B" w:rsidR="005A6A2F" w:rsidRDefault="00701F61" w:rsidP="00B10E2E">
            <w:r>
              <w:rPr>
                <w:rFonts w:ascii="Calibri" w:eastAsia="Times New Roman" w:hAnsi="Calibri" w:cs="Calibri"/>
                <w:color w:val="000000"/>
                <w:lang w:eastAsia="en-GB"/>
              </w:rPr>
              <w:t>Q4</w:t>
            </w:r>
            <w:r w:rsidR="005A6A2F">
              <w:rPr>
                <w:rFonts w:ascii="Calibri" w:eastAsia="Times New Roman" w:hAnsi="Calibri" w:cs="Calibri"/>
                <w:color w:val="000000"/>
                <w:lang w:eastAsia="en-GB"/>
              </w:rPr>
              <w:t xml:space="preserve">0. </w:t>
            </w:r>
            <w:r w:rsidR="005A6A2F" w:rsidRPr="00173E46">
              <w:rPr>
                <w:rFonts w:ascii="Calibri" w:eastAsia="Times New Roman" w:hAnsi="Calibri" w:cs="Calibri"/>
                <w:color w:val="000000"/>
                <w:lang w:eastAsia="en-GB"/>
              </w:rPr>
              <w:t>My family gets enough help and support at home</w:t>
            </w:r>
            <w:r w:rsidR="005A6A2F">
              <w:rPr>
                <w:rFonts w:ascii="Calibri" w:eastAsia="Times New Roman" w:hAnsi="Calibri" w:cs="Calibri"/>
                <w:color w:val="000000"/>
                <w:lang w:eastAsia="en-GB"/>
              </w:rPr>
              <w:t>.</w:t>
            </w:r>
          </w:p>
        </w:tc>
        <w:tc>
          <w:tcPr>
            <w:tcW w:w="1701" w:type="dxa"/>
          </w:tcPr>
          <w:p w14:paraId="3438384C" w14:textId="14C7D40D" w:rsidR="005A6A2F" w:rsidRDefault="00701F61" w:rsidP="00B10E2E">
            <w:r>
              <w:t>5</w:t>
            </w:r>
            <w:r w:rsidR="00D56310">
              <w:t xml:space="preserve"> (36%)</w:t>
            </w:r>
          </w:p>
        </w:tc>
        <w:tc>
          <w:tcPr>
            <w:tcW w:w="1701" w:type="dxa"/>
          </w:tcPr>
          <w:p w14:paraId="6BD47E12" w14:textId="52E873F0" w:rsidR="005A6A2F" w:rsidRDefault="00701F61" w:rsidP="00B10E2E">
            <w:r>
              <w:t>5</w:t>
            </w:r>
            <w:r w:rsidR="00D56310">
              <w:t xml:space="preserve"> (36%)</w:t>
            </w:r>
          </w:p>
        </w:tc>
        <w:tc>
          <w:tcPr>
            <w:tcW w:w="1701" w:type="dxa"/>
          </w:tcPr>
          <w:p w14:paraId="51F556CC" w14:textId="527DC806" w:rsidR="005A6A2F" w:rsidRDefault="00701F61" w:rsidP="00B10E2E">
            <w:r>
              <w:t>0</w:t>
            </w:r>
            <w:r w:rsidR="002147AC">
              <w:t xml:space="preserve"> (0%)</w:t>
            </w:r>
          </w:p>
        </w:tc>
        <w:tc>
          <w:tcPr>
            <w:tcW w:w="1701" w:type="dxa"/>
          </w:tcPr>
          <w:p w14:paraId="4C0FBD6E" w14:textId="53A89178" w:rsidR="005A6A2F" w:rsidRDefault="00701F61" w:rsidP="00B10E2E">
            <w:r>
              <w:t>0</w:t>
            </w:r>
            <w:r w:rsidR="002147AC">
              <w:t xml:space="preserve"> (0%)</w:t>
            </w:r>
          </w:p>
        </w:tc>
        <w:tc>
          <w:tcPr>
            <w:tcW w:w="1701" w:type="dxa"/>
          </w:tcPr>
          <w:p w14:paraId="12E2FF54" w14:textId="5C389845" w:rsidR="005A6A2F" w:rsidRDefault="00701F61" w:rsidP="00B10E2E">
            <w:r>
              <w:t>0</w:t>
            </w:r>
            <w:r w:rsidR="002147AC">
              <w:t xml:space="preserve"> (0%)</w:t>
            </w:r>
          </w:p>
        </w:tc>
        <w:tc>
          <w:tcPr>
            <w:tcW w:w="1701" w:type="dxa"/>
          </w:tcPr>
          <w:p w14:paraId="2969EF3E" w14:textId="5CF6CAED" w:rsidR="005A6A2F" w:rsidRDefault="00701F61" w:rsidP="00B10E2E">
            <w:r>
              <w:t>4</w:t>
            </w:r>
            <w:r w:rsidR="00D56310">
              <w:t xml:space="preserve"> (29%)</w:t>
            </w:r>
          </w:p>
        </w:tc>
      </w:tr>
    </w:tbl>
    <w:p w14:paraId="35E60E0D" w14:textId="77777777" w:rsidR="004C71F5" w:rsidRPr="005A6A2F" w:rsidRDefault="004C71F5" w:rsidP="004C71F5">
      <w:pPr>
        <w:rPr>
          <w:i/>
        </w:rPr>
      </w:pPr>
      <w:r>
        <w:rPr>
          <w:i/>
        </w:rPr>
        <w:t>Numbers represent: the number of schools who gave the given response to the audit item (percentage of schools giving this response rounded to nearest whole number)</w:t>
      </w:r>
    </w:p>
    <w:p w14:paraId="7113D55E" w14:textId="20ED60BA" w:rsidR="00B95818" w:rsidRDefault="00B95818"/>
    <w:p w14:paraId="4DA4707F" w14:textId="387CA96E" w:rsidR="00B95818" w:rsidRDefault="00B95818"/>
    <w:p w14:paraId="49CF89F0" w14:textId="77777777" w:rsidR="00C40F3C" w:rsidRDefault="00C40F3C" w:rsidP="00C40F3C"/>
    <w:p w14:paraId="5849A261" w14:textId="292F982A" w:rsidR="00C40F3C" w:rsidRDefault="00C40F3C"/>
    <w:p w14:paraId="12B447B5" w14:textId="77777777" w:rsidR="00C40F3C" w:rsidRPr="00550FAD" w:rsidRDefault="00C40F3C"/>
    <w:sectPr w:rsidR="00C40F3C" w:rsidRPr="00550FAD" w:rsidSect="007C6B07">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AD6B73" w16cid:durableId="131486F5"/>
  <w16cid:commentId w16cid:paraId="72F71BC3" w16cid:durableId="3F9928C4"/>
  <w16cid:commentId w16cid:paraId="7D178843" w16cid:durableId="382F9662"/>
  <w16cid:commentId w16cid:paraId="2CB6501D" w16cid:durableId="653B4D45"/>
  <w16cid:commentId w16cid:paraId="692C33B0" w16cid:durableId="7CA6038B"/>
  <w16cid:commentId w16cid:paraId="5F03FCA9" w16cid:durableId="32BA4EF4"/>
  <w16cid:commentId w16cid:paraId="714F408B" w16cid:durableId="2F7DC45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C9581" w14:textId="77777777" w:rsidR="00B17E60" w:rsidRDefault="00B17E60" w:rsidP="00046181">
      <w:pPr>
        <w:spacing w:after="0" w:line="240" w:lineRule="auto"/>
      </w:pPr>
      <w:r>
        <w:separator/>
      </w:r>
    </w:p>
  </w:endnote>
  <w:endnote w:type="continuationSeparator" w:id="0">
    <w:p w14:paraId="5B53CDBA" w14:textId="77777777" w:rsidR="00B17E60" w:rsidRDefault="00B17E60" w:rsidP="00046181">
      <w:pPr>
        <w:spacing w:after="0" w:line="240" w:lineRule="auto"/>
      </w:pPr>
      <w:r>
        <w:continuationSeparator/>
      </w:r>
    </w:p>
  </w:endnote>
  <w:endnote w:type="continuationNotice" w:id="1">
    <w:p w14:paraId="0B742CF5" w14:textId="77777777" w:rsidR="00B17E60" w:rsidRDefault="00B17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BE189" w14:textId="374ADF97" w:rsidR="000605A8" w:rsidRDefault="000605A8">
    <w:pPr>
      <w:pStyle w:val="Footer"/>
    </w:pPr>
    <w:r>
      <w:rPr>
        <w:rFonts w:cstheme="minorHAnsi"/>
        <w:b/>
        <w:noProof/>
        <w:sz w:val="24"/>
        <w:lang w:eastAsia="en-GB"/>
      </w:rPr>
      <w:drawing>
        <wp:anchor distT="0" distB="0" distL="114300" distR="114300" simplePos="0" relativeHeight="251660289" behindDoc="0" locked="0" layoutInCell="1" allowOverlap="1" wp14:anchorId="51D8E717" wp14:editId="4E707CDF">
          <wp:simplePos x="0" y="0"/>
          <wp:positionH relativeFrom="margin">
            <wp:align>center</wp:align>
          </wp:positionH>
          <wp:positionV relativeFrom="paragraph">
            <wp:posOffset>-441960</wp:posOffset>
          </wp:positionV>
          <wp:extent cx="1152525" cy="1152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M-master-full-logo-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noProof/>
        <w:sz w:val="24"/>
        <w:lang w:eastAsia="en-GB"/>
      </w:rPr>
      <w:drawing>
        <wp:anchor distT="0" distB="0" distL="114300" distR="114300" simplePos="0" relativeHeight="251661313" behindDoc="0" locked="0" layoutInCell="1" allowOverlap="1" wp14:anchorId="305BBCB3" wp14:editId="4C58DBE8">
          <wp:simplePos x="0" y="0"/>
          <wp:positionH relativeFrom="column">
            <wp:posOffset>4800600</wp:posOffset>
          </wp:positionH>
          <wp:positionV relativeFrom="paragraph">
            <wp:posOffset>-241935</wp:posOffset>
          </wp:positionV>
          <wp:extent cx="1133475" cy="737463"/>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outh in mind olog.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737463"/>
                  </a:xfrm>
                  <a:prstGeom prst="rect">
                    <a:avLst/>
                  </a:prstGeom>
                </pic:spPr>
              </pic:pic>
            </a:graphicData>
          </a:graphic>
        </wp:anchor>
      </w:drawing>
    </w:r>
    <w:r w:rsidRPr="0015092B">
      <w:rPr>
        <w:noProof/>
        <w:lang w:eastAsia="en-GB"/>
      </w:rPr>
      <w:drawing>
        <wp:anchor distT="0" distB="0" distL="114300" distR="114300" simplePos="0" relativeHeight="251658240" behindDoc="1" locked="0" layoutInCell="1" allowOverlap="1" wp14:anchorId="7D8018AD" wp14:editId="621903C2">
          <wp:simplePos x="0" y="0"/>
          <wp:positionH relativeFrom="column">
            <wp:posOffset>-666750</wp:posOffset>
          </wp:positionH>
          <wp:positionV relativeFrom="paragraph">
            <wp:posOffset>-527685</wp:posOffset>
          </wp:positionV>
          <wp:extent cx="1831340" cy="1276350"/>
          <wp:effectExtent l="0" t="0" r="0" b="0"/>
          <wp:wrapNone/>
          <wp:docPr id="2" name="Picture 2" descr="C:\Users\dennisr\AppData\Local\Microsoft\Windows\INetCache\Content.Outlook\FMSG7XSK\CAERlogo_conden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isr\AppData\Local\Microsoft\Windows\INetCache\Content.Outlook\FMSG7XSK\CAERlogo_condensed.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3134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53A83" w14:textId="77777777" w:rsidR="00B17E60" w:rsidRDefault="00B17E60" w:rsidP="00046181">
      <w:pPr>
        <w:spacing w:after="0" w:line="240" w:lineRule="auto"/>
      </w:pPr>
      <w:r>
        <w:separator/>
      </w:r>
    </w:p>
  </w:footnote>
  <w:footnote w:type="continuationSeparator" w:id="0">
    <w:p w14:paraId="208FAD28" w14:textId="77777777" w:rsidR="00B17E60" w:rsidRDefault="00B17E60" w:rsidP="00046181">
      <w:pPr>
        <w:spacing w:after="0" w:line="240" w:lineRule="auto"/>
      </w:pPr>
      <w:r>
        <w:continuationSeparator/>
      </w:r>
    </w:p>
  </w:footnote>
  <w:footnote w:type="continuationNotice" w:id="1">
    <w:p w14:paraId="717D52D9" w14:textId="77777777" w:rsidR="00B17E60" w:rsidRDefault="00B17E6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49523" w14:textId="2BBBD3EF" w:rsidR="00B17E60" w:rsidRDefault="00A63B92">
    <w:pPr>
      <w:pStyle w:val="Header"/>
    </w:pPr>
    <w:r>
      <w:rPr>
        <w:noProof/>
        <w:lang w:eastAsia="en-GB"/>
      </w:rPr>
      <w:drawing>
        <wp:anchor distT="0" distB="0" distL="114300" distR="114300" simplePos="0" relativeHeight="251658241" behindDoc="0" locked="0" layoutInCell="1" allowOverlap="1" wp14:anchorId="235C6084" wp14:editId="57A2672B">
          <wp:simplePos x="0" y="0"/>
          <wp:positionH relativeFrom="column">
            <wp:posOffset>4076700</wp:posOffset>
          </wp:positionH>
          <wp:positionV relativeFrom="paragraph">
            <wp:posOffset>-278130</wp:posOffset>
          </wp:positionV>
          <wp:extent cx="2156460" cy="603885"/>
          <wp:effectExtent l="0" t="0" r="0" b="5715"/>
          <wp:wrapThrough wrapText="bothSides">
            <wp:wrapPolygon edited="0">
              <wp:start x="0" y="0"/>
              <wp:lineTo x="0" y="21123"/>
              <wp:lineTo x="21371" y="21123"/>
              <wp:lineTo x="21371" y="0"/>
              <wp:lineTo x="0" y="0"/>
            </wp:wrapPolygon>
          </wp:wrapThrough>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6460" cy="6038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A4CAC"/>
    <w:multiLevelType w:val="hybridMultilevel"/>
    <w:tmpl w:val="B2C8390A"/>
    <w:lvl w:ilvl="0" w:tplc="9E021A98">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5CD93236"/>
    <w:multiLevelType w:val="hybridMultilevel"/>
    <w:tmpl w:val="03C61980"/>
    <w:lvl w:ilvl="0" w:tplc="6EEAAB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D191935-0C03-4BBB-92C4-B93469047A8D}"/>
    <w:docVar w:name="dgnword-eventsink" w:val="211005928"/>
  </w:docVars>
  <w:rsids>
    <w:rsidRoot w:val="00550FAD"/>
    <w:rsid w:val="00005F81"/>
    <w:rsid w:val="000170F7"/>
    <w:rsid w:val="00025C6B"/>
    <w:rsid w:val="00026D69"/>
    <w:rsid w:val="00046181"/>
    <w:rsid w:val="000605A8"/>
    <w:rsid w:val="00062F30"/>
    <w:rsid w:val="000679B2"/>
    <w:rsid w:val="00071737"/>
    <w:rsid w:val="0008012B"/>
    <w:rsid w:val="00081D1A"/>
    <w:rsid w:val="000825C6"/>
    <w:rsid w:val="000827F1"/>
    <w:rsid w:val="0009643B"/>
    <w:rsid w:val="000B5D54"/>
    <w:rsid w:val="000E0317"/>
    <w:rsid w:val="000E2351"/>
    <w:rsid w:val="000F1B67"/>
    <w:rsid w:val="000F3B25"/>
    <w:rsid w:val="000F4FAD"/>
    <w:rsid w:val="00105D3C"/>
    <w:rsid w:val="00120444"/>
    <w:rsid w:val="00122E34"/>
    <w:rsid w:val="00123C3F"/>
    <w:rsid w:val="00123F71"/>
    <w:rsid w:val="00125E95"/>
    <w:rsid w:val="0014511C"/>
    <w:rsid w:val="00150642"/>
    <w:rsid w:val="0015092B"/>
    <w:rsid w:val="00156FE7"/>
    <w:rsid w:val="00161934"/>
    <w:rsid w:val="00161B5B"/>
    <w:rsid w:val="0017153B"/>
    <w:rsid w:val="00171A30"/>
    <w:rsid w:val="00173E46"/>
    <w:rsid w:val="00196B4E"/>
    <w:rsid w:val="001A273F"/>
    <w:rsid w:val="001A4606"/>
    <w:rsid w:val="001C72F0"/>
    <w:rsid w:val="001D79B9"/>
    <w:rsid w:val="001E2656"/>
    <w:rsid w:val="001E3653"/>
    <w:rsid w:val="001E4725"/>
    <w:rsid w:val="001F6565"/>
    <w:rsid w:val="001F6A49"/>
    <w:rsid w:val="002147AC"/>
    <w:rsid w:val="0022369E"/>
    <w:rsid w:val="00225CDB"/>
    <w:rsid w:val="0025301A"/>
    <w:rsid w:val="002545F1"/>
    <w:rsid w:val="00254DF0"/>
    <w:rsid w:val="002619E5"/>
    <w:rsid w:val="0026588A"/>
    <w:rsid w:val="0027784C"/>
    <w:rsid w:val="002855D1"/>
    <w:rsid w:val="002860FB"/>
    <w:rsid w:val="00294826"/>
    <w:rsid w:val="002978C8"/>
    <w:rsid w:val="002A559E"/>
    <w:rsid w:val="002B7F34"/>
    <w:rsid w:val="002C1D6F"/>
    <w:rsid w:val="002D14AB"/>
    <w:rsid w:val="002D26C9"/>
    <w:rsid w:val="002E7B64"/>
    <w:rsid w:val="002F31EC"/>
    <w:rsid w:val="002F4710"/>
    <w:rsid w:val="00310F2B"/>
    <w:rsid w:val="00312E8F"/>
    <w:rsid w:val="003138F2"/>
    <w:rsid w:val="00345261"/>
    <w:rsid w:val="0035788E"/>
    <w:rsid w:val="003624C3"/>
    <w:rsid w:val="00364809"/>
    <w:rsid w:val="00396765"/>
    <w:rsid w:val="003C51DF"/>
    <w:rsid w:val="003C51E5"/>
    <w:rsid w:val="003D69F0"/>
    <w:rsid w:val="003E68CB"/>
    <w:rsid w:val="0043142D"/>
    <w:rsid w:val="00484F83"/>
    <w:rsid w:val="00485382"/>
    <w:rsid w:val="00492DEA"/>
    <w:rsid w:val="004A22CE"/>
    <w:rsid w:val="004A586B"/>
    <w:rsid w:val="004B369E"/>
    <w:rsid w:val="004C71F5"/>
    <w:rsid w:val="004D14DC"/>
    <w:rsid w:val="004E3A7D"/>
    <w:rsid w:val="004F19BE"/>
    <w:rsid w:val="004F6741"/>
    <w:rsid w:val="00502513"/>
    <w:rsid w:val="0050340D"/>
    <w:rsid w:val="00522EB1"/>
    <w:rsid w:val="00523365"/>
    <w:rsid w:val="0054204E"/>
    <w:rsid w:val="00544A40"/>
    <w:rsid w:val="00550FAD"/>
    <w:rsid w:val="00560E66"/>
    <w:rsid w:val="005676E6"/>
    <w:rsid w:val="005802F5"/>
    <w:rsid w:val="00581B82"/>
    <w:rsid w:val="00591514"/>
    <w:rsid w:val="005A2205"/>
    <w:rsid w:val="005A2BE4"/>
    <w:rsid w:val="005A6A2F"/>
    <w:rsid w:val="005B25EA"/>
    <w:rsid w:val="005B26A8"/>
    <w:rsid w:val="005B3D44"/>
    <w:rsid w:val="005B78F3"/>
    <w:rsid w:val="005C4DDA"/>
    <w:rsid w:val="005C6387"/>
    <w:rsid w:val="005E6294"/>
    <w:rsid w:val="005F153A"/>
    <w:rsid w:val="005F7726"/>
    <w:rsid w:val="00600027"/>
    <w:rsid w:val="00603B67"/>
    <w:rsid w:val="00627A85"/>
    <w:rsid w:val="00643C0B"/>
    <w:rsid w:val="00673821"/>
    <w:rsid w:val="00675E8F"/>
    <w:rsid w:val="00687BAE"/>
    <w:rsid w:val="006A1C67"/>
    <w:rsid w:val="006B63E0"/>
    <w:rsid w:val="006B7A29"/>
    <w:rsid w:val="006C678F"/>
    <w:rsid w:val="006D0CFD"/>
    <w:rsid w:val="006E3764"/>
    <w:rsid w:val="00701F61"/>
    <w:rsid w:val="007020B9"/>
    <w:rsid w:val="00702E4A"/>
    <w:rsid w:val="007059FB"/>
    <w:rsid w:val="007075D4"/>
    <w:rsid w:val="00715388"/>
    <w:rsid w:val="00723156"/>
    <w:rsid w:val="00732767"/>
    <w:rsid w:val="007415F2"/>
    <w:rsid w:val="007448EE"/>
    <w:rsid w:val="0074685C"/>
    <w:rsid w:val="00752C3E"/>
    <w:rsid w:val="00772821"/>
    <w:rsid w:val="00772BC5"/>
    <w:rsid w:val="007764FF"/>
    <w:rsid w:val="00782A33"/>
    <w:rsid w:val="007848A4"/>
    <w:rsid w:val="00784D4D"/>
    <w:rsid w:val="007864F1"/>
    <w:rsid w:val="007905F4"/>
    <w:rsid w:val="007A31D3"/>
    <w:rsid w:val="007A488E"/>
    <w:rsid w:val="007A4EAF"/>
    <w:rsid w:val="007C5526"/>
    <w:rsid w:val="007C6B07"/>
    <w:rsid w:val="007E0901"/>
    <w:rsid w:val="007E7BAB"/>
    <w:rsid w:val="007F5DE4"/>
    <w:rsid w:val="00805347"/>
    <w:rsid w:val="008125F2"/>
    <w:rsid w:val="00847BEB"/>
    <w:rsid w:val="00847C05"/>
    <w:rsid w:val="00852AA6"/>
    <w:rsid w:val="00853D3F"/>
    <w:rsid w:val="00855968"/>
    <w:rsid w:val="008568BC"/>
    <w:rsid w:val="00866267"/>
    <w:rsid w:val="0086764E"/>
    <w:rsid w:val="00882E62"/>
    <w:rsid w:val="008A1268"/>
    <w:rsid w:val="008A4B36"/>
    <w:rsid w:val="008B1D7F"/>
    <w:rsid w:val="008B396B"/>
    <w:rsid w:val="008C430C"/>
    <w:rsid w:val="008E3B89"/>
    <w:rsid w:val="00901859"/>
    <w:rsid w:val="00901F5E"/>
    <w:rsid w:val="00905E2D"/>
    <w:rsid w:val="00910F9F"/>
    <w:rsid w:val="009130B5"/>
    <w:rsid w:val="009252FD"/>
    <w:rsid w:val="00940208"/>
    <w:rsid w:val="00944FC2"/>
    <w:rsid w:val="00950A3C"/>
    <w:rsid w:val="00955B15"/>
    <w:rsid w:val="00955B83"/>
    <w:rsid w:val="00970D7F"/>
    <w:rsid w:val="009A0430"/>
    <w:rsid w:val="009A0EB5"/>
    <w:rsid w:val="009A363C"/>
    <w:rsid w:val="009C1299"/>
    <w:rsid w:val="009C66F1"/>
    <w:rsid w:val="009D741A"/>
    <w:rsid w:val="009E3FC4"/>
    <w:rsid w:val="00A1318F"/>
    <w:rsid w:val="00A152C9"/>
    <w:rsid w:val="00A17003"/>
    <w:rsid w:val="00A23D27"/>
    <w:rsid w:val="00A32C2A"/>
    <w:rsid w:val="00A4233A"/>
    <w:rsid w:val="00A52873"/>
    <w:rsid w:val="00A5305F"/>
    <w:rsid w:val="00A61253"/>
    <w:rsid w:val="00A622DA"/>
    <w:rsid w:val="00A63B92"/>
    <w:rsid w:val="00A74862"/>
    <w:rsid w:val="00A77FB5"/>
    <w:rsid w:val="00A80421"/>
    <w:rsid w:val="00A96DD3"/>
    <w:rsid w:val="00AC4E8D"/>
    <w:rsid w:val="00AC7827"/>
    <w:rsid w:val="00AF300F"/>
    <w:rsid w:val="00AF56B2"/>
    <w:rsid w:val="00AF669D"/>
    <w:rsid w:val="00B10E2E"/>
    <w:rsid w:val="00B17E60"/>
    <w:rsid w:val="00B62ED2"/>
    <w:rsid w:val="00B8307F"/>
    <w:rsid w:val="00B92748"/>
    <w:rsid w:val="00B95818"/>
    <w:rsid w:val="00BA2529"/>
    <w:rsid w:val="00BD0B79"/>
    <w:rsid w:val="00BD4D52"/>
    <w:rsid w:val="00BE34B6"/>
    <w:rsid w:val="00BF0C4A"/>
    <w:rsid w:val="00C0747C"/>
    <w:rsid w:val="00C25877"/>
    <w:rsid w:val="00C30ECA"/>
    <w:rsid w:val="00C31D58"/>
    <w:rsid w:val="00C385E2"/>
    <w:rsid w:val="00C40F3C"/>
    <w:rsid w:val="00C51902"/>
    <w:rsid w:val="00C564E9"/>
    <w:rsid w:val="00C72333"/>
    <w:rsid w:val="00C849DB"/>
    <w:rsid w:val="00C916AD"/>
    <w:rsid w:val="00C92CC9"/>
    <w:rsid w:val="00C97376"/>
    <w:rsid w:val="00C979A5"/>
    <w:rsid w:val="00CA0FD7"/>
    <w:rsid w:val="00CB1BD4"/>
    <w:rsid w:val="00CC67C5"/>
    <w:rsid w:val="00CD39D6"/>
    <w:rsid w:val="00CD4A7E"/>
    <w:rsid w:val="00CD4E48"/>
    <w:rsid w:val="00CD5925"/>
    <w:rsid w:val="00CD63DB"/>
    <w:rsid w:val="00CE0A42"/>
    <w:rsid w:val="00CE42DB"/>
    <w:rsid w:val="00D016EE"/>
    <w:rsid w:val="00D05C0B"/>
    <w:rsid w:val="00D1612B"/>
    <w:rsid w:val="00D16A84"/>
    <w:rsid w:val="00D266C1"/>
    <w:rsid w:val="00D3050C"/>
    <w:rsid w:val="00D32052"/>
    <w:rsid w:val="00D3567A"/>
    <w:rsid w:val="00D42C38"/>
    <w:rsid w:val="00D43A1E"/>
    <w:rsid w:val="00D56310"/>
    <w:rsid w:val="00D60F85"/>
    <w:rsid w:val="00D62349"/>
    <w:rsid w:val="00D70162"/>
    <w:rsid w:val="00D90661"/>
    <w:rsid w:val="00D946D6"/>
    <w:rsid w:val="00D94BBD"/>
    <w:rsid w:val="00DC0A3B"/>
    <w:rsid w:val="00DC23DC"/>
    <w:rsid w:val="00DD240E"/>
    <w:rsid w:val="00DD376D"/>
    <w:rsid w:val="00DE2E2E"/>
    <w:rsid w:val="00E05BA0"/>
    <w:rsid w:val="00E22FE0"/>
    <w:rsid w:val="00E2793D"/>
    <w:rsid w:val="00E41B20"/>
    <w:rsid w:val="00E56728"/>
    <w:rsid w:val="00E75CE2"/>
    <w:rsid w:val="00E945A4"/>
    <w:rsid w:val="00E97315"/>
    <w:rsid w:val="00EA0F3B"/>
    <w:rsid w:val="00EA455E"/>
    <w:rsid w:val="00EB367F"/>
    <w:rsid w:val="00EF3E72"/>
    <w:rsid w:val="00EF7DE9"/>
    <w:rsid w:val="00F014D0"/>
    <w:rsid w:val="00F13AC6"/>
    <w:rsid w:val="00F25443"/>
    <w:rsid w:val="00F2656C"/>
    <w:rsid w:val="00F375B8"/>
    <w:rsid w:val="00F60215"/>
    <w:rsid w:val="00F74D77"/>
    <w:rsid w:val="00F87867"/>
    <w:rsid w:val="00F925E6"/>
    <w:rsid w:val="00F92F95"/>
    <w:rsid w:val="00F973C7"/>
    <w:rsid w:val="00FA7D6F"/>
    <w:rsid w:val="00FB725D"/>
    <w:rsid w:val="00FD3935"/>
    <w:rsid w:val="00FD66BA"/>
    <w:rsid w:val="015A5879"/>
    <w:rsid w:val="0174059A"/>
    <w:rsid w:val="02BBE837"/>
    <w:rsid w:val="0302C2C3"/>
    <w:rsid w:val="03341D37"/>
    <w:rsid w:val="03421035"/>
    <w:rsid w:val="036BFF45"/>
    <w:rsid w:val="037429BB"/>
    <w:rsid w:val="03C14469"/>
    <w:rsid w:val="0455A0F1"/>
    <w:rsid w:val="047BD1CA"/>
    <w:rsid w:val="048F4949"/>
    <w:rsid w:val="05B8F860"/>
    <w:rsid w:val="05C7AECA"/>
    <w:rsid w:val="06ABCA7D"/>
    <w:rsid w:val="06C2E9CA"/>
    <w:rsid w:val="077A7B80"/>
    <w:rsid w:val="07DCBD68"/>
    <w:rsid w:val="07EF4B63"/>
    <w:rsid w:val="08A5F063"/>
    <w:rsid w:val="08FC705F"/>
    <w:rsid w:val="091DF26D"/>
    <w:rsid w:val="0956155C"/>
    <w:rsid w:val="096AF3F3"/>
    <w:rsid w:val="09E36B3F"/>
    <w:rsid w:val="0A18A728"/>
    <w:rsid w:val="0A5D8E07"/>
    <w:rsid w:val="0ADBB626"/>
    <w:rsid w:val="0B002311"/>
    <w:rsid w:val="0B0B5259"/>
    <w:rsid w:val="0BF08643"/>
    <w:rsid w:val="0C215924"/>
    <w:rsid w:val="0C4BA2EA"/>
    <w:rsid w:val="0CAF4DA9"/>
    <w:rsid w:val="0D33D4A2"/>
    <w:rsid w:val="0D495272"/>
    <w:rsid w:val="0D98ED6F"/>
    <w:rsid w:val="0D9F102A"/>
    <w:rsid w:val="0DAD6D33"/>
    <w:rsid w:val="0E3C4D3E"/>
    <w:rsid w:val="0E689B44"/>
    <w:rsid w:val="0E9A2830"/>
    <w:rsid w:val="0EB01DCC"/>
    <w:rsid w:val="0EF089BD"/>
    <w:rsid w:val="0F2AEE02"/>
    <w:rsid w:val="0F7B6D13"/>
    <w:rsid w:val="10242CE6"/>
    <w:rsid w:val="10805A55"/>
    <w:rsid w:val="1111F3ED"/>
    <w:rsid w:val="115D492E"/>
    <w:rsid w:val="11687BE3"/>
    <w:rsid w:val="1225E512"/>
    <w:rsid w:val="128D7AB8"/>
    <w:rsid w:val="132C0611"/>
    <w:rsid w:val="1354F8D6"/>
    <w:rsid w:val="14018623"/>
    <w:rsid w:val="1436DF2D"/>
    <w:rsid w:val="143B48B5"/>
    <w:rsid w:val="14674963"/>
    <w:rsid w:val="14859C79"/>
    <w:rsid w:val="14F8D642"/>
    <w:rsid w:val="15041142"/>
    <w:rsid w:val="160E4DDE"/>
    <w:rsid w:val="16FB0734"/>
    <w:rsid w:val="171432B3"/>
    <w:rsid w:val="17780EEA"/>
    <w:rsid w:val="17D57D96"/>
    <w:rsid w:val="1868896A"/>
    <w:rsid w:val="187F7A03"/>
    <w:rsid w:val="1888D2E7"/>
    <w:rsid w:val="18BBC2A6"/>
    <w:rsid w:val="18FE1F6E"/>
    <w:rsid w:val="1906FB06"/>
    <w:rsid w:val="194A9C8B"/>
    <w:rsid w:val="197F8517"/>
    <w:rsid w:val="1AD8B193"/>
    <w:rsid w:val="1B8C7B29"/>
    <w:rsid w:val="1CE6A936"/>
    <w:rsid w:val="1CE92531"/>
    <w:rsid w:val="1CEE5309"/>
    <w:rsid w:val="1DD747D1"/>
    <w:rsid w:val="1E1E388B"/>
    <w:rsid w:val="1E68909A"/>
    <w:rsid w:val="1F20F1B8"/>
    <w:rsid w:val="1FB7CC71"/>
    <w:rsid w:val="2044BE75"/>
    <w:rsid w:val="2048BC27"/>
    <w:rsid w:val="20C4B4E3"/>
    <w:rsid w:val="20D8E42B"/>
    <w:rsid w:val="21057ACB"/>
    <w:rsid w:val="21326E7D"/>
    <w:rsid w:val="21539E36"/>
    <w:rsid w:val="222C7371"/>
    <w:rsid w:val="227EBF53"/>
    <w:rsid w:val="22ED3D25"/>
    <w:rsid w:val="23AB55F5"/>
    <w:rsid w:val="240310B2"/>
    <w:rsid w:val="24800F5A"/>
    <w:rsid w:val="24C0837B"/>
    <w:rsid w:val="255DFD0B"/>
    <w:rsid w:val="257BC9CB"/>
    <w:rsid w:val="25DB710C"/>
    <w:rsid w:val="26212B14"/>
    <w:rsid w:val="26C23E39"/>
    <w:rsid w:val="27A322EE"/>
    <w:rsid w:val="27C87B7D"/>
    <w:rsid w:val="2858484A"/>
    <w:rsid w:val="287D718F"/>
    <w:rsid w:val="296974B4"/>
    <w:rsid w:val="29AC03E1"/>
    <w:rsid w:val="2A0465C2"/>
    <w:rsid w:val="2A63310D"/>
    <w:rsid w:val="2B87928A"/>
    <w:rsid w:val="2B9B4899"/>
    <w:rsid w:val="2C04B3AD"/>
    <w:rsid w:val="2C641126"/>
    <w:rsid w:val="2C74308B"/>
    <w:rsid w:val="2CF93051"/>
    <w:rsid w:val="2D90BA35"/>
    <w:rsid w:val="2DA5AF4F"/>
    <w:rsid w:val="2DB66155"/>
    <w:rsid w:val="2E3009AB"/>
    <w:rsid w:val="2E5AFA9A"/>
    <w:rsid w:val="2FDEBF81"/>
    <w:rsid w:val="3045CA92"/>
    <w:rsid w:val="30693A36"/>
    <w:rsid w:val="307E6BDA"/>
    <w:rsid w:val="307F67F9"/>
    <w:rsid w:val="31000473"/>
    <w:rsid w:val="311E59EC"/>
    <w:rsid w:val="31956259"/>
    <w:rsid w:val="3279FD2B"/>
    <w:rsid w:val="32D399E5"/>
    <w:rsid w:val="3315F972"/>
    <w:rsid w:val="3316942D"/>
    <w:rsid w:val="3355F67D"/>
    <w:rsid w:val="33F1C4EC"/>
    <w:rsid w:val="3401C221"/>
    <w:rsid w:val="3486B85F"/>
    <w:rsid w:val="3495DC98"/>
    <w:rsid w:val="34DD7BB1"/>
    <w:rsid w:val="34F58109"/>
    <w:rsid w:val="3526F54C"/>
    <w:rsid w:val="35502AA7"/>
    <w:rsid w:val="35705239"/>
    <w:rsid w:val="3604BE0B"/>
    <w:rsid w:val="367BF9D2"/>
    <w:rsid w:val="36BAF8F8"/>
    <w:rsid w:val="36E268B5"/>
    <w:rsid w:val="37857C14"/>
    <w:rsid w:val="37E98FAD"/>
    <w:rsid w:val="380E66DE"/>
    <w:rsid w:val="38F632CA"/>
    <w:rsid w:val="39022C63"/>
    <w:rsid w:val="3909AE12"/>
    <w:rsid w:val="391ED455"/>
    <w:rsid w:val="39EA6FC6"/>
    <w:rsid w:val="39F5CDD2"/>
    <w:rsid w:val="3A264A3F"/>
    <w:rsid w:val="3C59BB9B"/>
    <w:rsid w:val="3C639D44"/>
    <w:rsid w:val="3D221088"/>
    <w:rsid w:val="3D75F14E"/>
    <w:rsid w:val="3DA1AE9D"/>
    <w:rsid w:val="3DB8E31F"/>
    <w:rsid w:val="3DC5826E"/>
    <w:rsid w:val="3DE01FB6"/>
    <w:rsid w:val="3EA5B4AB"/>
    <w:rsid w:val="3F53E8CC"/>
    <w:rsid w:val="3F7906E9"/>
    <w:rsid w:val="3FEC3199"/>
    <w:rsid w:val="40078E7D"/>
    <w:rsid w:val="403D3E49"/>
    <w:rsid w:val="4087E738"/>
    <w:rsid w:val="409C7D2A"/>
    <w:rsid w:val="40EE5804"/>
    <w:rsid w:val="42384D8B"/>
    <w:rsid w:val="4262ED2D"/>
    <w:rsid w:val="4360EFAD"/>
    <w:rsid w:val="4370F777"/>
    <w:rsid w:val="43977F48"/>
    <w:rsid w:val="44359C71"/>
    <w:rsid w:val="448B08AD"/>
    <w:rsid w:val="44E16CA2"/>
    <w:rsid w:val="4535E925"/>
    <w:rsid w:val="456C7027"/>
    <w:rsid w:val="45E7626E"/>
    <w:rsid w:val="4741E944"/>
    <w:rsid w:val="47479927"/>
    <w:rsid w:val="475414D6"/>
    <w:rsid w:val="4756D75D"/>
    <w:rsid w:val="4766512A"/>
    <w:rsid w:val="48BAEFC6"/>
    <w:rsid w:val="495B7B1C"/>
    <w:rsid w:val="4AA4C78F"/>
    <w:rsid w:val="4AB168B4"/>
    <w:rsid w:val="4B52D935"/>
    <w:rsid w:val="4B6713FC"/>
    <w:rsid w:val="4BA6A8FE"/>
    <w:rsid w:val="4C307401"/>
    <w:rsid w:val="4C4F5342"/>
    <w:rsid w:val="4CFF348F"/>
    <w:rsid w:val="4D62BAD6"/>
    <w:rsid w:val="4D7AA992"/>
    <w:rsid w:val="4D7C35C4"/>
    <w:rsid w:val="4DCC4462"/>
    <w:rsid w:val="4E310DA2"/>
    <w:rsid w:val="4EFDA836"/>
    <w:rsid w:val="4F336072"/>
    <w:rsid w:val="4F82FC3E"/>
    <w:rsid w:val="4FDE6FB9"/>
    <w:rsid w:val="50B69F55"/>
    <w:rsid w:val="50DAEA82"/>
    <w:rsid w:val="50F40B13"/>
    <w:rsid w:val="50FE884F"/>
    <w:rsid w:val="513A62C8"/>
    <w:rsid w:val="5197DAA6"/>
    <w:rsid w:val="51A2C81C"/>
    <w:rsid w:val="51A8DC6A"/>
    <w:rsid w:val="51FB4559"/>
    <w:rsid w:val="5242F4B5"/>
    <w:rsid w:val="52C30014"/>
    <w:rsid w:val="52EE69FF"/>
    <w:rsid w:val="53211E65"/>
    <w:rsid w:val="5394AFFF"/>
    <w:rsid w:val="53EB06A1"/>
    <w:rsid w:val="5414AF82"/>
    <w:rsid w:val="542F0171"/>
    <w:rsid w:val="542F05D4"/>
    <w:rsid w:val="547DDEB6"/>
    <w:rsid w:val="56832CF3"/>
    <w:rsid w:val="568F6B1A"/>
    <w:rsid w:val="569B4E53"/>
    <w:rsid w:val="56DEDF64"/>
    <w:rsid w:val="57967137"/>
    <w:rsid w:val="588466D5"/>
    <w:rsid w:val="5888867A"/>
    <w:rsid w:val="59758BE7"/>
    <w:rsid w:val="59EB835D"/>
    <w:rsid w:val="5A15B0E6"/>
    <w:rsid w:val="5AD52A58"/>
    <w:rsid w:val="5B0C728B"/>
    <w:rsid w:val="5B1EE45D"/>
    <w:rsid w:val="5BF718C2"/>
    <w:rsid w:val="5C14705D"/>
    <w:rsid w:val="5C559B91"/>
    <w:rsid w:val="5C6DC668"/>
    <w:rsid w:val="5CE32146"/>
    <w:rsid w:val="5E235300"/>
    <w:rsid w:val="5E3701B7"/>
    <w:rsid w:val="5E61A66D"/>
    <w:rsid w:val="5E9EFC3B"/>
    <w:rsid w:val="5EC51323"/>
    <w:rsid w:val="5F3FFD54"/>
    <w:rsid w:val="5F71F5FB"/>
    <w:rsid w:val="5F8B4021"/>
    <w:rsid w:val="5F932DA7"/>
    <w:rsid w:val="5FAA4336"/>
    <w:rsid w:val="5FE8307D"/>
    <w:rsid w:val="5FF941B6"/>
    <w:rsid w:val="5FFF7577"/>
    <w:rsid w:val="6001B317"/>
    <w:rsid w:val="60870B2C"/>
    <w:rsid w:val="60B1949F"/>
    <w:rsid w:val="60E6CC46"/>
    <w:rsid w:val="60F45C1C"/>
    <w:rsid w:val="610DC645"/>
    <w:rsid w:val="6114DDA9"/>
    <w:rsid w:val="6179849D"/>
    <w:rsid w:val="617A84D9"/>
    <w:rsid w:val="61F1605E"/>
    <w:rsid w:val="6271CF84"/>
    <w:rsid w:val="62A996A6"/>
    <w:rsid w:val="62AAF309"/>
    <w:rsid w:val="62B8D263"/>
    <w:rsid w:val="62FE3CEF"/>
    <w:rsid w:val="63BFF831"/>
    <w:rsid w:val="64456707"/>
    <w:rsid w:val="6476EC7D"/>
    <w:rsid w:val="652E8C52"/>
    <w:rsid w:val="6564EEA1"/>
    <w:rsid w:val="65982C29"/>
    <w:rsid w:val="6676D077"/>
    <w:rsid w:val="670F5917"/>
    <w:rsid w:val="675DCB98"/>
    <w:rsid w:val="67A81322"/>
    <w:rsid w:val="68252D7A"/>
    <w:rsid w:val="68FFAFCD"/>
    <w:rsid w:val="69D3B126"/>
    <w:rsid w:val="6A13B281"/>
    <w:rsid w:val="6A656787"/>
    <w:rsid w:val="6AEC6189"/>
    <w:rsid w:val="6C3A68C2"/>
    <w:rsid w:val="6C865AB5"/>
    <w:rsid w:val="6C9C22DE"/>
    <w:rsid w:val="6D4208F0"/>
    <w:rsid w:val="6D966D33"/>
    <w:rsid w:val="6D9B9192"/>
    <w:rsid w:val="6E14B348"/>
    <w:rsid w:val="6F0F1E58"/>
    <w:rsid w:val="701E77A8"/>
    <w:rsid w:val="70699A18"/>
    <w:rsid w:val="70B33D2A"/>
    <w:rsid w:val="7116EE3D"/>
    <w:rsid w:val="71259D3F"/>
    <w:rsid w:val="71492A92"/>
    <w:rsid w:val="714D5029"/>
    <w:rsid w:val="716DA65B"/>
    <w:rsid w:val="71823053"/>
    <w:rsid w:val="71A9C98C"/>
    <w:rsid w:val="721E1E48"/>
    <w:rsid w:val="722CD51B"/>
    <w:rsid w:val="726AB23C"/>
    <w:rsid w:val="729C0CA4"/>
    <w:rsid w:val="72E8246B"/>
    <w:rsid w:val="73985793"/>
    <w:rsid w:val="73A49015"/>
    <w:rsid w:val="73CCC7A0"/>
    <w:rsid w:val="748942A6"/>
    <w:rsid w:val="748E5A2F"/>
    <w:rsid w:val="757FD71B"/>
    <w:rsid w:val="7594C045"/>
    <w:rsid w:val="75C1CDC8"/>
    <w:rsid w:val="75FBAC22"/>
    <w:rsid w:val="7615AD93"/>
    <w:rsid w:val="7629DCC7"/>
    <w:rsid w:val="76AFCA69"/>
    <w:rsid w:val="76CE0531"/>
    <w:rsid w:val="76F32D8B"/>
    <w:rsid w:val="772AB673"/>
    <w:rsid w:val="77C90D5C"/>
    <w:rsid w:val="780CD55B"/>
    <w:rsid w:val="78B777DD"/>
    <w:rsid w:val="78F7A5B7"/>
    <w:rsid w:val="791C8795"/>
    <w:rsid w:val="79EAD3EF"/>
    <w:rsid w:val="7A12749C"/>
    <w:rsid w:val="7A17C474"/>
    <w:rsid w:val="7A3AE0E2"/>
    <w:rsid w:val="7A6144F9"/>
    <w:rsid w:val="7AB857F6"/>
    <w:rsid w:val="7ACDA11F"/>
    <w:rsid w:val="7B294052"/>
    <w:rsid w:val="7B9B11E8"/>
    <w:rsid w:val="7C0A393A"/>
    <w:rsid w:val="7C86B57F"/>
    <w:rsid w:val="7D096833"/>
    <w:rsid w:val="7D143567"/>
    <w:rsid w:val="7D3606E9"/>
    <w:rsid w:val="7D4C4B04"/>
    <w:rsid w:val="7D648808"/>
    <w:rsid w:val="7D95FCB9"/>
    <w:rsid w:val="7DC7DC62"/>
    <w:rsid w:val="7DE1E414"/>
    <w:rsid w:val="7DE2F5E6"/>
    <w:rsid w:val="7DF7EFDB"/>
    <w:rsid w:val="7E22B7B6"/>
    <w:rsid w:val="7E34B873"/>
    <w:rsid w:val="7EDCCA44"/>
    <w:rsid w:val="7F2ED45A"/>
    <w:rsid w:val="7F7B2D60"/>
    <w:rsid w:val="7FD6A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631AB5"/>
  <w15:chartTrackingRefBased/>
  <w15:docId w15:val="{AE88784F-4642-4AD8-85DF-890D7380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60E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50340D"/>
    <w:pPr>
      <w:spacing w:line="240" w:lineRule="auto"/>
    </w:pPr>
    <w:rPr>
      <w:sz w:val="20"/>
      <w:szCs w:val="20"/>
    </w:rPr>
  </w:style>
  <w:style w:type="character" w:customStyle="1" w:styleId="CommentTextChar">
    <w:name w:val="Comment Text Char"/>
    <w:basedOn w:val="DefaultParagraphFont"/>
    <w:link w:val="CommentText"/>
    <w:uiPriority w:val="99"/>
    <w:semiHidden/>
    <w:rsid w:val="0050340D"/>
    <w:rPr>
      <w:sz w:val="20"/>
      <w:szCs w:val="20"/>
    </w:rPr>
  </w:style>
  <w:style w:type="character" w:styleId="CommentReference">
    <w:name w:val="annotation reference"/>
    <w:basedOn w:val="DefaultParagraphFont"/>
    <w:uiPriority w:val="99"/>
    <w:semiHidden/>
    <w:unhideWhenUsed/>
    <w:rsid w:val="00225CDB"/>
    <w:rPr>
      <w:sz w:val="16"/>
      <w:szCs w:val="16"/>
    </w:rPr>
  </w:style>
  <w:style w:type="paragraph" w:styleId="CommentSubject">
    <w:name w:val="annotation subject"/>
    <w:basedOn w:val="CommentText"/>
    <w:next w:val="CommentText"/>
    <w:link w:val="CommentSubjectChar"/>
    <w:uiPriority w:val="99"/>
    <w:semiHidden/>
    <w:unhideWhenUsed/>
    <w:rsid w:val="00225CDB"/>
    <w:rPr>
      <w:b/>
      <w:bCs/>
    </w:rPr>
  </w:style>
  <w:style w:type="character" w:customStyle="1" w:styleId="CommentSubjectChar">
    <w:name w:val="Comment Subject Char"/>
    <w:basedOn w:val="CommentTextChar"/>
    <w:link w:val="CommentSubject"/>
    <w:uiPriority w:val="99"/>
    <w:semiHidden/>
    <w:rsid w:val="00225CDB"/>
    <w:rPr>
      <w:b/>
      <w:bCs/>
      <w:sz w:val="20"/>
      <w:szCs w:val="20"/>
    </w:rPr>
  </w:style>
  <w:style w:type="paragraph" w:styleId="BalloonText">
    <w:name w:val="Balloon Text"/>
    <w:basedOn w:val="Normal"/>
    <w:link w:val="BalloonTextChar"/>
    <w:uiPriority w:val="99"/>
    <w:semiHidden/>
    <w:unhideWhenUsed/>
    <w:rsid w:val="00225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CDB"/>
    <w:rPr>
      <w:rFonts w:ascii="Segoe UI" w:hAnsi="Segoe UI" w:cs="Segoe UI"/>
      <w:sz w:val="18"/>
      <w:szCs w:val="18"/>
    </w:rPr>
  </w:style>
  <w:style w:type="paragraph" w:styleId="ListParagraph">
    <w:name w:val="List Paragraph"/>
    <w:basedOn w:val="Normal"/>
    <w:uiPriority w:val="34"/>
    <w:qFormat/>
    <w:rsid w:val="003D69F0"/>
    <w:pPr>
      <w:spacing w:before="120" w:after="120" w:line="240" w:lineRule="auto"/>
      <w:ind w:left="720"/>
      <w:contextualSpacing/>
    </w:pPr>
    <w:rPr>
      <w:rFonts w:ascii="Arial" w:hAnsi="Arial" w:cs="Arial"/>
      <w:sz w:val="24"/>
      <w:szCs w:val="24"/>
    </w:rPr>
  </w:style>
  <w:style w:type="table" w:styleId="TableGrid">
    <w:name w:val="Table Grid"/>
    <w:basedOn w:val="TableNormal"/>
    <w:uiPriority w:val="39"/>
    <w:rsid w:val="00254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0E6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560E66"/>
    <w:rPr>
      <w:color w:val="0563C1" w:themeColor="hyperlink"/>
      <w:u w:val="single"/>
    </w:rPr>
  </w:style>
  <w:style w:type="paragraph" w:styleId="Header">
    <w:name w:val="header"/>
    <w:basedOn w:val="Normal"/>
    <w:link w:val="HeaderChar"/>
    <w:uiPriority w:val="99"/>
    <w:unhideWhenUsed/>
    <w:rsid w:val="00046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181"/>
  </w:style>
  <w:style w:type="paragraph" w:styleId="Footer">
    <w:name w:val="footer"/>
    <w:basedOn w:val="Normal"/>
    <w:link w:val="FooterChar"/>
    <w:uiPriority w:val="99"/>
    <w:unhideWhenUsed/>
    <w:rsid w:val="00046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181"/>
  </w:style>
  <w:style w:type="character" w:customStyle="1" w:styleId="UnresolvedMention">
    <w:name w:val="Unresolved Mention"/>
    <w:basedOn w:val="DefaultParagraphFont"/>
    <w:uiPriority w:val="99"/>
    <w:semiHidden/>
    <w:unhideWhenUsed/>
    <w:rsid w:val="0027784C"/>
    <w:rPr>
      <w:color w:val="605E5C"/>
      <w:shd w:val="clear" w:color="auto" w:fill="E1DFDD"/>
    </w:rPr>
  </w:style>
  <w:style w:type="character" w:styleId="FollowedHyperlink">
    <w:name w:val="FollowedHyperlink"/>
    <w:basedOn w:val="DefaultParagraphFont"/>
    <w:uiPriority w:val="99"/>
    <w:semiHidden/>
    <w:unhideWhenUsed/>
    <w:rsid w:val="00910F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648">
      <w:bodyDiv w:val="1"/>
      <w:marLeft w:val="0"/>
      <w:marRight w:val="0"/>
      <w:marTop w:val="0"/>
      <w:marBottom w:val="0"/>
      <w:divBdr>
        <w:top w:val="none" w:sz="0" w:space="0" w:color="auto"/>
        <w:left w:val="none" w:sz="0" w:space="0" w:color="auto"/>
        <w:bottom w:val="none" w:sz="0" w:space="0" w:color="auto"/>
        <w:right w:val="none" w:sz="0" w:space="0" w:color="auto"/>
      </w:divBdr>
    </w:div>
    <w:div w:id="555549276">
      <w:bodyDiv w:val="1"/>
      <w:marLeft w:val="0"/>
      <w:marRight w:val="0"/>
      <w:marTop w:val="0"/>
      <w:marBottom w:val="0"/>
      <w:divBdr>
        <w:top w:val="none" w:sz="0" w:space="0" w:color="auto"/>
        <w:left w:val="none" w:sz="0" w:space="0" w:color="auto"/>
        <w:bottom w:val="none" w:sz="0" w:space="0" w:color="auto"/>
        <w:right w:val="none" w:sz="0" w:space="0" w:color="auto"/>
      </w:divBdr>
    </w:div>
    <w:div w:id="666133012">
      <w:bodyDiv w:val="1"/>
      <w:marLeft w:val="0"/>
      <w:marRight w:val="0"/>
      <w:marTop w:val="0"/>
      <w:marBottom w:val="0"/>
      <w:divBdr>
        <w:top w:val="none" w:sz="0" w:space="0" w:color="auto"/>
        <w:left w:val="none" w:sz="0" w:space="0" w:color="auto"/>
        <w:bottom w:val="none" w:sz="0" w:space="0" w:color="auto"/>
        <w:right w:val="none" w:sz="0" w:space="0" w:color="auto"/>
      </w:divBdr>
    </w:div>
    <w:div w:id="747464480">
      <w:bodyDiv w:val="1"/>
      <w:marLeft w:val="0"/>
      <w:marRight w:val="0"/>
      <w:marTop w:val="0"/>
      <w:marBottom w:val="0"/>
      <w:divBdr>
        <w:top w:val="none" w:sz="0" w:space="0" w:color="auto"/>
        <w:left w:val="none" w:sz="0" w:space="0" w:color="auto"/>
        <w:bottom w:val="none" w:sz="0" w:space="0" w:color="auto"/>
        <w:right w:val="none" w:sz="0" w:space="0" w:color="auto"/>
      </w:divBdr>
    </w:div>
    <w:div w:id="1057778003">
      <w:bodyDiv w:val="1"/>
      <w:marLeft w:val="0"/>
      <w:marRight w:val="0"/>
      <w:marTop w:val="0"/>
      <w:marBottom w:val="0"/>
      <w:divBdr>
        <w:top w:val="none" w:sz="0" w:space="0" w:color="auto"/>
        <w:left w:val="none" w:sz="0" w:space="0" w:color="auto"/>
        <w:bottom w:val="none" w:sz="0" w:space="0" w:color="auto"/>
        <w:right w:val="none" w:sz="0" w:space="0" w:color="auto"/>
      </w:divBdr>
    </w:div>
    <w:div w:id="125890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mailto:Lydia.Briggs@bthft.nhs.uk"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mailto:MHChampions@bradfor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s18l3b\Documents\Born%20in%20Bradford\SEMH%20EdPsych\Spreadsheet%20for%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s18l3b\Documents\Born%20in%20Bradford\SEMH%20EdPsych\Spreadsheet%20for%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s18l3b\Documents\Born%20in%20Bradford\SEMH%20EdPsych\Spreadsheet%20for%20Repor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s18l3b\Documents\Born%20in%20Bradford\SEMH%20EdPsych\Spreadsheet%20for%20Repor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ignore!$V$22:$V$27</c:f>
              <c:strCache>
                <c:ptCount val="6"/>
                <c:pt idx="0">
                  <c:v>Almost All</c:v>
                </c:pt>
                <c:pt idx="1">
                  <c:v>Many</c:v>
                </c:pt>
                <c:pt idx="2">
                  <c:v>About Half</c:v>
                </c:pt>
                <c:pt idx="3">
                  <c:v>A Few</c:v>
                </c:pt>
                <c:pt idx="4">
                  <c:v>Hardly Any</c:v>
                </c:pt>
                <c:pt idx="5">
                  <c:v>Unsure</c:v>
                </c:pt>
              </c:strCache>
            </c:strRef>
          </c:cat>
          <c:val>
            <c:numRef>
              <c:f>ignore!$W$22:$W$27</c:f>
              <c:numCache>
                <c:formatCode>0%</c:formatCode>
                <c:ptCount val="6"/>
                <c:pt idx="0">
                  <c:v>0.06</c:v>
                </c:pt>
                <c:pt idx="1">
                  <c:v>0.28000000000000003</c:v>
                </c:pt>
                <c:pt idx="2">
                  <c:v>0.4</c:v>
                </c:pt>
                <c:pt idx="3">
                  <c:v>0.15</c:v>
                </c:pt>
                <c:pt idx="4">
                  <c:v>7.0000000000000007E-2</c:v>
                </c:pt>
                <c:pt idx="5">
                  <c:v>0.03</c:v>
                </c:pt>
              </c:numCache>
            </c:numRef>
          </c:val>
          <c:extLst>
            <c:ext xmlns:c16="http://schemas.microsoft.com/office/drawing/2014/chart" uri="{C3380CC4-5D6E-409C-BE32-E72D297353CC}">
              <c16:uniqueId val="{00000000-542C-4B68-AA4D-747DC24DC302}"/>
            </c:ext>
          </c:extLst>
        </c:ser>
        <c:dLbls>
          <c:dLblPos val="outEnd"/>
          <c:showLegendKey val="0"/>
          <c:showVal val="1"/>
          <c:showCatName val="0"/>
          <c:showSerName val="0"/>
          <c:showPercent val="0"/>
          <c:showBubbleSize val="0"/>
        </c:dLbls>
        <c:gapWidth val="219"/>
        <c:overlap val="-27"/>
        <c:axId val="533156880"/>
        <c:axId val="533156552"/>
      </c:barChart>
      <c:catAx>
        <c:axId val="533156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Response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56552"/>
        <c:crosses val="autoZero"/>
        <c:auto val="1"/>
        <c:lblAlgn val="ctr"/>
        <c:lblOffset val="100"/>
        <c:noMultiLvlLbl val="0"/>
      </c:catAx>
      <c:valAx>
        <c:axId val="533156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568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ignore!$P$22:$P$26</c:f>
              <c:strCache>
                <c:ptCount val="5"/>
                <c:pt idx="0">
                  <c:v>Primary</c:v>
                </c:pt>
                <c:pt idx="1">
                  <c:v>Secondary</c:v>
                </c:pt>
                <c:pt idx="2">
                  <c:v>Nursery</c:v>
                </c:pt>
                <c:pt idx="3">
                  <c:v>Special</c:v>
                </c:pt>
                <c:pt idx="4">
                  <c:v>PRU</c:v>
                </c:pt>
              </c:strCache>
            </c:strRef>
          </c:cat>
          <c:val>
            <c:numRef>
              <c:f>ignore!$Q$22:$Q$26</c:f>
              <c:numCache>
                <c:formatCode>0%</c:formatCode>
                <c:ptCount val="5"/>
                <c:pt idx="0">
                  <c:v>0.77</c:v>
                </c:pt>
                <c:pt idx="1">
                  <c:v>0.8</c:v>
                </c:pt>
                <c:pt idx="2">
                  <c:v>0.51</c:v>
                </c:pt>
                <c:pt idx="3">
                  <c:v>0.33</c:v>
                </c:pt>
                <c:pt idx="4">
                  <c:v>0</c:v>
                </c:pt>
              </c:numCache>
            </c:numRef>
          </c:val>
          <c:extLst>
            <c:ext xmlns:c16="http://schemas.microsoft.com/office/drawing/2014/chart" uri="{C3380CC4-5D6E-409C-BE32-E72D297353CC}">
              <c16:uniqueId val="{00000000-1F21-4318-8E86-5CB614A517AA}"/>
            </c:ext>
          </c:extLst>
        </c:ser>
        <c:dLbls>
          <c:dLblPos val="outEnd"/>
          <c:showLegendKey val="0"/>
          <c:showVal val="1"/>
          <c:showCatName val="0"/>
          <c:showSerName val="0"/>
          <c:showPercent val="0"/>
          <c:showBubbleSize val="0"/>
        </c:dLbls>
        <c:gapWidth val="219"/>
        <c:overlap val="-27"/>
        <c:axId val="275144976"/>
        <c:axId val="275150552"/>
      </c:barChart>
      <c:catAx>
        <c:axId val="2751449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School Type</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5150552"/>
        <c:crosses val="autoZero"/>
        <c:auto val="1"/>
        <c:lblAlgn val="ctr"/>
        <c:lblOffset val="100"/>
        <c:noMultiLvlLbl val="0"/>
      </c:catAx>
      <c:valAx>
        <c:axId val="275150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75144976"/>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ignore!$M$22:$M$25</c:f>
              <c:strCache>
                <c:ptCount val="4"/>
                <c:pt idx="0">
                  <c:v>0-24%</c:v>
                </c:pt>
                <c:pt idx="1">
                  <c:v>25-49%</c:v>
                </c:pt>
                <c:pt idx="2">
                  <c:v>50-74%</c:v>
                </c:pt>
                <c:pt idx="3">
                  <c:v>75-100%</c:v>
                </c:pt>
              </c:strCache>
            </c:strRef>
          </c:cat>
          <c:val>
            <c:numRef>
              <c:f>ignore!$N$22:$N$25</c:f>
              <c:numCache>
                <c:formatCode>0%</c:formatCode>
                <c:ptCount val="4"/>
                <c:pt idx="0">
                  <c:v>0.35</c:v>
                </c:pt>
                <c:pt idx="1">
                  <c:v>0.5</c:v>
                </c:pt>
                <c:pt idx="2">
                  <c:v>0.2</c:v>
                </c:pt>
                <c:pt idx="3">
                  <c:v>0.11</c:v>
                </c:pt>
              </c:numCache>
            </c:numRef>
          </c:val>
          <c:extLst>
            <c:ext xmlns:c16="http://schemas.microsoft.com/office/drawing/2014/chart" uri="{C3380CC4-5D6E-409C-BE32-E72D297353CC}">
              <c16:uniqueId val="{00000000-D010-4817-B41D-79A654D28BA0}"/>
            </c:ext>
          </c:extLst>
        </c:ser>
        <c:dLbls>
          <c:dLblPos val="outEnd"/>
          <c:showLegendKey val="0"/>
          <c:showVal val="1"/>
          <c:showCatName val="0"/>
          <c:showSerName val="0"/>
          <c:showPercent val="0"/>
          <c:showBubbleSize val="0"/>
        </c:dLbls>
        <c:gapWidth val="219"/>
        <c:overlap val="-27"/>
        <c:axId val="275160720"/>
        <c:axId val="275155472"/>
      </c:barChart>
      <c:catAx>
        <c:axId val="2751607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BAME CYP</a:t>
                </a:r>
                <a:r>
                  <a:rPr lang="en-GB" baseline="0"/>
                  <a:t> within the School</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55472"/>
        <c:crosses val="autoZero"/>
        <c:auto val="1"/>
        <c:lblAlgn val="ctr"/>
        <c:lblOffset val="100"/>
        <c:noMultiLvlLbl val="0"/>
      </c:catAx>
      <c:valAx>
        <c:axId val="2751554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51607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ignore!$J$22:$J$25</c:f>
              <c:strCache>
                <c:ptCount val="4"/>
                <c:pt idx="0">
                  <c:v>0-24%</c:v>
                </c:pt>
                <c:pt idx="1">
                  <c:v>25-49%</c:v>
                </c:pt>
                <c:pt idx="2">
                  <c:v>50-74%</c:v>
                </c:pt>
                <c:pt idx="3">
                  <c:v>75-100%</c:v>
                </c:pt>
              </c:strCache>
            </c:strRef>
          </c:cat>
          <c:val>
            <c:numRef>
              <c:f>ignore!$K$22:$K$25</c:f>
              <c:numCache>
                <c:formatCode>0%</c:formatCode>
                <c:ptCount val="4"/>
                <c:pt idx="0">
                  <c:v>0.54</c:v>
                </c:pt>
                <c:pt idx="1">
                  <c:v>0.4</c:v>
                </c:pt>
                <c:pt idx="2">
                  <c:v>0.3</c:v>
                </c:pt>
                <c:pt idx="3">
                  <c:v>0.21</c:v>
                </c:pt>
              </c:numCache>
            </c:numRef>
          </c:val>
          <c:extLst>
            <c:ext xmlns:c16="http://schemas.microsoft.com/office/drawing/2014/chart" uri="{C3380CC4-5D6E-409C-BE32-E72D297353CC}">
              <c16:uniqueId val="{00000000-0D86-4E98-928B-770F011D1D4C}"/>
            </c:ext>
          </c:extLst>
        </c:ser>
        <c:dLbls>
          <c:dLblPos val="outEnd"/>
          <c:showLegendKey val="0"/>
          <c:showVal val="1"/>
          <c:showCatName val="0"/>
          <c:showSerName val="0"/>
          <c:showPercent val="0"/>
          <c:showBubbleSize val="0"/>
        </c:dLbls>
        <c:gapWidth val="219"/>
        <c:overlap val="-27"/>
        <c:axId val="449350984"/>
        <c:axId val="449351968"/>
      </c:barChart>
      <c:catAx>
        <c:axId val="449350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BAME CYP within the School</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51968"/>
        <c:crosses val="autoZero"/>
        <c:auto val="1"/>
        <c:lblAlgn val="ctr"/>
        <c:lblOffset val="100"/>
        <c:noMultiLvlLbl val="0"/>
      </c:catAx>
      <c:valAx>
        <c:axId val="44935196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3509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ignore!$S$22:$S$25</c:f>
              <c:strCache>
                <c:ptCount val="4"/>
                <c:pt idx="0">
                  <c:v>0-24%</c:v>
                </c:pt>
                <c:pt idx="1">
                  <c:v>25-49%</c:v>
                </c:pt>
                <c:pt idx="2">
                  <c:v>50-74%</c:v>
                </c:pt>
                <c:pt idx="3">
                  <c:v>75-100%</c:v>
                </c:pt>
              </c:strCache>
            </c:strRef>
          </c:cat>
          <c:val>
            <c:numRef>
              <c:f>ignore!$T$22:$T$25</c:f>
              <c:numCache>
                <c:formatCode>0%</c:formatCode>
                <c:ptCount val="4"/>
                <c:pt idx="0">
                  <c:v>0.47</c:v>
                </c:pt>
                <c:pt idx="1">
                  <c:v>0.39</c:v>
                </c:pt>
                <c:pt idx="2">
                  <c:v>0.5</c:v>
                </c:pt>
                <c:pt idx="3">
                  <c:v>0.14000000000000001</c:v>
                </c:pt>
              </c:numCache>
            </c:numRef>
          </c:val>
          <c:extLst>
            <c:ext xmlns:c16="http://schemas.microsoft.com/office/drawing/2014/chart" uri="{C3380CC4-5D6E-409C-BE32-E72D297353CC}">
              <c16:uniqueId val="{00000000-15DD-4D4C-B3C6-490FB82E800F}"/>
            </c:ext>
          </c:extLst>
        </c:ser>
        <c:dLbls>
          <c:dLblPos val="outEnd"/>
          <c:showLegendKey val="0"/>
          <c:showVal val="1"/>
          <c:showCatName val="0"/>
          <c:showSerName val="0"/>
          <c:showPercent val="0"/>
          <c:showBubbleSize val="0"/>
        </c:dLbls>
        <c:gapWidth val="219"/>
        <c:overlap val="-27"/>
        <c:axId val="533153928"/>
        <c:axId val="533154256"/>
      </c:barChart>
      <c:catAx>
        <c:axId val="533153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CYP</a:t>
                </a:r>
                <a:r>
                  <a:rPr lang="en-GB" baseline="0"/>
                  <a:t> within the School in the 10% Most Deprived</a:t>
                </a:r>
                <a:endParaRPr lang="en-GB"/>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54256"/>
        <c:crosses val="autoZero"/>
        <c:auto val="1"/>
        <c:lblAlgn val="ctr"/>
        <c:lblOffset val="100"/>
        <c:noMultiLvlLbl val="0"/>
      </c:catAx>
      <c:valAx>
        <c:axId val="5331542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 of MHC</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15392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5049</Words>
  <Characters>28780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Tyler-Brough [bs18rlt]</dc:creator>
  <cp:keywords/>
  <dc:description/>
  <cp:lastModifiedBy>Educational Psychology Team</cp:lastModifiedBy>
  <cp:revision>8</cp:revision>
  <dcterms:created xsi:type="dcterms:W3CDTF">2020-11-24T14:12:00Z</dcterms:created>
  <dcterms:modified xsi:type="dcterms:W3CDTF">2020-12-14T09:06:00Z</dcterms:modified>
</cp:coreProperties>
</file>