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496629">
        <w:trPr>
          <w:trHeight w:val="585"/>
        </w:trPr>
        <w:tc>
          <w:tcPr>
            <w:tcW w:w="960" w:type="dxa"/>
            <w:shd w:val="clear" w:color="auto" w:fill="auto"/>
            <w:noWrap/>
            <w:vAlign w:val="center"/>
          </w:tcPr>
          <w:p w:rsidR="002D1E1A" w:rsidRDefault="00F12E04"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F12E04" w:rsidP="002F3D31">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 xml:space="preserve">SENCO Network – </w:t>
            </w:r>
            <w:r w:rsidR="00F12E04">
              <w:rPr>
                <w:rFonts w:ascii="Arial" w:eastAsiaTheme="minorHAnsi" w:hAnsi="Arial" w:cs="Arial"/>
                <w:sz w:val="22"/>
                <w:szCs w:val="22"/>
                <w:lang w:eastAsia="en-US"/>
              </w:rPr>
              <w:t>Live Webinar &amp; R</w:t>
            </w:r>
            <w:r w:rsidRPr="000736B0">
              <w:rPr>
                <w:rFonts w:ascii="Arial" w:eastAsiaTheme="minorHAnsi" w:hAnsi="Arial" w:cs="Arial"/>
                <w:sz w:val="22"/>
                <w:szCs w:val="22"/>
                <w:lang w:eastAsia="en-US"/>
              </w:rPr>
              <w:t>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9D7ABD"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9D7ABD"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FD69F5" w:rsidTr="00FD69F5">
        <w:trPr>
          <w:trHeight w:val="585"/>
        </w:trPr>
        <w:tc>
          <w:tcPr>
            <w:tcW w:w="960" w:type="dxa"/>
            <w:shd w:val="clear" w:color="auto" w:fill="auto"/>
            <w:noWrap/>
            <w:vAlign w:val="center"/>
          </w:tcPr>
          <w:p w:rsidR="00FD69F5" w:rsidRDefault="008F7FE9" w:rsidP="00FD69F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D69F5" w:rsidRPr="008A4BD2" w:rsidRDefault="00FD69F5" w:rsidP="00FD69F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FD69F5" w:rsidRDefault="00FD69F5" w:rsidP="00FD69F5">
            <w:pPr>
              <w:jc w:val="center"/>
              <w:rPr>
                <w:rFonts w:ascii="Arial" w:hAnsi="Arial" w:cs="Arial"/>
                <w:sz w:val="22"/>
                <w:szCs w:val="22"/>
              </w:rPr>
            </w:pPr>
            <w:r>
              <w:rPr>
                <w:rFonts w:ascii="Arial" w:hAnsi="Arial" w:cs="Arial"/>
                <w:sz w:val="22"/>
                <w:szCs w:val="22"/>
              </w:rPr>
              <w:t>16/02/2022</w:t>
            </w:r>
          </w:p>
          <w:p w:rsidR="00FD69F5" w:rsidRPr="003043BE" w:rsidRDefault="00FD69F5" w:rsidP="00FD69F5">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FD69F5" w:rsidRPr="00496629" w:rsidRDefault="00FD69F5" w:rsidP="00FD69F5">
            <w:pPr>
              <w:rPr>
                <w:rFonts w:ascii="Arial" w:hAnsi="Arial" w:cs="Arial"/>
                <w:sz w:val="22"/>
                <w:szCs w:val="22"/>
              </w:rPr>
            </w:pPr>
            <w:r>
              <w:rPr>
                <w:rFonts w:ascii="Arial" w:hAnsi="Arial" w:cs="Arial"/>
                <w:sz w:val="22"/>
                <w:szCs w:val="22"/>
              </w:rPr>
              <w:t>£75.00</w:t>
            </w:r>
          </w:p>
        </w:tc>
      </w:tr>
      <w:tr w:rsidR="001442F3" w:rsidTr="00FD69F5">
        <w:trPr>
          <w:trHeight w:val="585"/>
        </w:trPr>
        <w:tc>
          <w:tcPr>
            <w:tcW w:w="960" w:type="dxa"/>
            <w:shd w:val="clear" w:color="auto" w:fill="auto"/>
            <w:noWrap/>
            <w:vAlign w:val="center"/>
          </w:tcPr>
          <w:p w:rsidR="001442F3" w:rsidRDefault="009D7ABD" w:rsidP="00FD69F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442F3" w:rsidRDefault="001442F3" w:rsidP="00FD69F5">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FD69F5">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FD69F5">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FD69F5">
            <w:pPr>
              <w:rPr>
                <w:rFonts w:ascii="Arial" w:hAnsi="Arial" w:cs="Arial"/>
                <w:sz w:val="22"/>
                <w:szCs w:val="22"/>
              </w:rPr>
            </w:pPr>
            <w:r>
              <w:rPr>
                <w:rFonts w:ascii="Arial" w:hAnsi="Arial" w:cs="Arial"/>
                <w:sz w:val="22"/>
                <w:szCs w:val="22"/>
              </w:rPr>
              <w:t>£600.00</w:t>
            </w:r>
          </w:p>
        </w:tc>
      </w:tr>
      <w:tr w:rsidR="00FD69F5" w:rsidTr="00FD69F5">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FD69F5" w:rsidRDefault="00FD69F5" w:rsidP="00FD69F5">
            <w:pPr>
              <w:jc w:val="center"/>
              <w:rPr>
                <w:rFonts w:ascii="Arial" w:hAnsi="Arial" w:cs="Arial"/>
                <w:sz w:val="22"/>
                <w:szCs w:val="22"/>
              </w:rPr>
            </w:pPr>
            <w:r>
              <w:rPr>
                <w:rFonts w:ascii="Arial" w:hAnsi="Arial" w:cs="Arial"/>
                <w:sz w:val="22"/>
                <w:szCs w:val="22"/>
              </w:rPr>
              <w:t>02/03/2022</w:t>
            </w:r>
          </w:p>
          <w:p w:rsidR="00FD69F5" w:rsidRPr="00374F56" w:rsidRDefault="00FD69F5" w:rsidP="00FD69F5">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£75.00</w:t>
            </w:r>
          </w:p>
        </w:tc>
      </w:tr>
      <w:tr w:rsidR="00122241" w:rsidTr="00F12E04">
        <w:trPr>
          <w:trHeight w:val="585"/>
        </w:trPr>
        <w:tc>
          <w:tcPr>
            <w:tcW w:w="960" w:type="dxa"/>
            <w:shd w:val="clear" w:color="auto" w:fill="auto"/>
            <w:noWrap/>
            <w:vAlign w:val="center"/>
          </w:tcPr>
          <w:p w:rsidR="00122241" w:rsidRDefault="009D7ABD" w:rsidP="00F12E04">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122241" w:rsidRPr="00765F5C" w:rsidRDefault="00122241" w:rsidP="00F12E04">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122241" w:rsidRPr="003F02C7" w:rsidRDefault="00122241" w:rsidP="00F12E04">
            <w:pPr>
              <w:jc w:val="center"/>
              <w:rPr>
                <w:rFonts w:ascii="Arial" w:hAnsi="Arial" w:cs="Arial"/>
                <w:sz w:val="22"/>
                <w:szCs w:val="22"/>
              </w:rPr>
            </w:pPr>
            <w:r>
              <w:rPr>
                <w:rFonts w:ascii="Arial" w:hAnsi="Arial" w:cs="Arial"/>
                <w:sz w:val="22"/>
                <w:szCs w:val="22"/>
              </w:rPr>
              <w:t>08/03/2022</w:t>
            </w:r>
          </w:p>
          <w:p w:rsidR="00122241" w:rsidRPr="003F02C7" w:rsidRDefault="00122241" w:rsidP="00F12E04">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122241" w:rsidRDefault="00122241" w:rsidP="00F12E04">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8770F1" w:rsidTr="00496629">
        <w:trPr>
          <w:trHeight w:val="585"/>
        </w:trPr>
        <w:tc>
          <w:tcPr>
            <w:tcW w:w="960" w:type="dxa"/>
            <w:shd w:val="clear" w:color="auto" w:fill="auto"/>
            <w:noWrap/>
            <w:vAlign w:val="center"/>
          </w:tcPr>
          <w:p w:rsidR="008770F1" w:rsidRDefault="008770F1" w:rsidP="008770F1">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8770F1" w:rsidRPr="00DE6832" w:rsidRDefault="008770F1" w:rsidP="008770F1">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8770F1" w:rsidRDefault="008770F1" w:rsidP="008770F1">
            <w:pPr>
              <w:jc w:val="center"/>
              <w:rPr>
                <w:rFonts w:ascii="Arial" w:hAnsi="Arial" w:cs="Arial"/>
                <w:sz w:val="22"/>
                <w:szCs w:val="22"/>
              </w:rPr>
            </w:pPr>
            <w:r>
              <w:rPr>
                <w:rFonts w:ascii="Arial" w:hAnsi="Arial" w:cs="Arial"/>
                <w:sz w:val="22"/>
                <w:szCs w:val="22"/>
              </w:rPr>
              <w:t>27/04/2022</w:t>
            </w:r>
          </w:p>
          <w:p w:rsidR="008770F1" w:rsidRPr="003043BE" w:rsidRDefault="008770F1" w:rsidP="008770F1">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8770F1" w:rsidRPr="00496629" w:rsidRDefault="008770F1" w:rsidP="008770F1">
            <w:pPr>
              <w:rPr>
                <w:rFonts w:ascii="Arial" w:hAnsi="Arial" w:cs="Arial"/>
                <w:sz w:val="22"/>
                <w:szCs w:val="22"/>
              </w:rPr>
            </w:pPr>
            <w:r>
              <w:rPr>
                <w:rFonts w:ascii="Arial" w:hAnsi="Arial" w:cs="Arial"/>
                <w:sz w:val="22"/>
                <w:szCs w:val="22"/>
              </w:rPr>
              <w:t>FREE</w:t>
            </w:r>
          </w:p>
        </w:tc>
      </w:tr>
    </w:tbl>
    <w:p w:rsidR="006378CF" w:rsidRDefault="006378CF"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D7ABD"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9D7ABD" w:rsidP="002D1E1A">
            <w:pPr>
              <w:jc w:val="center"/>
              <w:rPr>
                <w:rFonts w:ascii="Arial" w:hAnsi="Arial" w:cs="Arial"/>
                <w:color w:val="000000"/>
                <w:sz w:val="22"/>
                <w:szCs w:val="22"/>
              </w:rPr>
            </w:pPr>
            <w:r>
              <w:rPr>
                <w:rFonts w:ascii="Arial" w:hAnsi="Arial" w:cs="Arial"/>
                <w:color w:val="000000"/>
                <w:sz w:val="22"/>
                <w:szCs w:val="22"/>
              </w:rPr>
              <w:lastRenderedPageBreak/>
              <w:t>8</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0</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9D7ABD" w:rsidP="002D1E1A">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0</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D7ABD"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w:t>
            </w:r>
            <w:r w:rsidR="00F12E04">
              <w:rPr>
                <w:rFonts w:ascii="Arial" w:hAnsi="Arial" w:cs="Arial"/>
                <w:b/>
                <w:sz w:val="28"/>
                <w:szCs w:val="28"/>
              </w:rPr>
              <w:t xml:space="preserve"> Network – Live Webinar or R</w:t>
            </w:r>
            <w:r>
              <w:rPr>
                <w:rFonts w:ascii="Arial" w:hAnsi="Arial" w:cs="Arial"/>
                <w:b/>
                <w:sz w:val="28"/>
                <w:szCs w:val="28"/>
              </w:rPr>
              <w:t>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w:t>
            </w:r>
            <w:r w:rsidR="00F12E04">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both the Live Webinar or R</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8F7FE9" w:rsidRDefault="008F7FE9"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4C2DE0" w:rsidRDefault="004C2DE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p w:rsidR="008F7FE9" w:rsidRDefault="008F7FE9"/>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F12E04" w:rsidRPr="001C1CE3"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F12E04" w:rsidRPr="001C1CE3" w:rsidRDefault="00F12E04" w:rsidP="00F12E04">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F12E04" w:rsidRPr="007F6E27" w:rsidRDefault="00F12E04" w:rsidP="00F12E04">
            <w:pPr>
              <w:rPr>
                <w:rFonts w:ascii="Arial" w:hAnsi="Arial" w:cs="Arial"/>
                <w:color w:val="808080" w:themeColor="background1" w:themeShade="80"/>
              </w:rPr>
            </w:pPr>
          </w:p>
        </w:tc>
        <w:tc>
          <w:tcPr>
            <w:tcW w:w="8080" w:type="dxa"/>
          </w:tcPr>
          <w:p w:rsidR="00F12E04" w:rsidRPr="006E0866" w:rsidRDefault="00F12E04" w:rsidP="00F12E04">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F12E04" w:rsidRDefault="00F12E04" w:rsidP="00F12E04">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2E04" w:rsidRDefault="00F12E04" w:rsidP="00F12E04">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F12E04" w:rsidRPr="007E08F9" w:rsidRDefault="00F12E04" w:rsidP="00F12E04">
            <w:pPr>
              <w:rPr>
                <w:rFonts w:ascii="Arial" w:hAnsi="Arial" w:cs="Arial"/>
                <w:sz w:val="22"/>
                <w:szCs w:val="22"/>
              </w:rPr>
            </w:pP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2E04" w:rsidRPr="007F6E27" w:rsidRDefault="00F12E04" w:rsidP="00F12E04">
            <w:pPr>
              <w:rPr>
                <w:rFonts w:ascii="Arial" w:hAnsi="Arial" w:cs="Arial"/>
                <w:color w:val="808080" w:themeColor="background1" w:themeShade="80"/>
              </w:rPr>
            </w:pPr>
          </w:p>
        </w:tc>
        <w:tc>
          <w:tcPr>
            <w:tcW w:w="8080" w:type="dxa"/>
          </w:tcPr>
          <w:p w:rsidR="00F12E04" w:rsidRPr="007E08F9" w:rsidRDefault="00F12E04" w:rsidP="00F12E04">
            <w:pPr>
              <w:rPr>
                <w:rFonts w:ascii="Arial" w:hAnsi="Arial" w:cs="Arial"/>
              </w:rPr>
            </w:pPr>
            <w:r w:rsidRPr="005747BD">
              <w:rPr>
                <w:rFonts w:ascii="Arial" w:hAnsi="Arial" w:cs="Arial"/>
              </w:rPr>
              <w:t xml:space="preserve">Senco </w:t>
            </w: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F12E04" w:rsidRPr="007E08F9" w:rsidRDefault="00F12E04" w:rsidP="00F12E04">
            <w:pPr>
              <w:rPr>
                <w:rFonts w:ascii="Arial" w:hAnsi="Arial" w:cs="Arial"/>
              </w:rPr>
            </w:pPr>
            <w:r>
              <w:rPr>
                <w:rFonts w:ascii="Arial" w:hAnsi="Arial" w:cs="Arial"/>
              </w:rPr>
              <w:t>An Educational Psychologist</w:t>
            </w:r>
          </w:p>
        </w:tc>
      </w:tr>
      <w:tr w:rsidR="00F12E04" w:rsidRPr="006E0866" w:rsidTr="00F12E04">
        <w:tc>
          <w:tcPr>
            <w:tcW w:w="2547" w:type="dxa"/>
          </w:tcPr>
          <w:p w:rsidR="00F12E04" w:rsidRDefault="00F12E04" w:rsidP="00F12E04">
            <w:pPr>
              <w:rPr>
                <w:rFonts w:ascii="Arial" w:hAnsi="Arial" w:cs="Arial"/>
                <w:color w:val="808080" w:themeColor="background1" w:themeShade="80"/>
              </w:rPr>
            </w:pPr>
            <w:r>
              <w:rPr>
                <w:rFonts w:ascii="Arial" w:hAnsi="Arial" w:cs="Arial"/>
              </w:rPr>
              <w:t>Date / Duration</w:t>
            </w:r>
          </w:p>
        </w:tc>
        <w:tc>
          <w:tcPr>
            <w:tcW w:w="8080" w:type="dxa"/>
          </w:tcPr>
          <w:p w:rsidR="00F12E04" w:rsidRPr="006E0866" w:rsidRDefault="00F12E04" w:rsidP="009D7ABD">
            <w:pPr>
              <w:rPr>
                <w:rFonts w:ascii="Arial" w:hAnsi="Arial" w:cs="Arial"/>
              </w:rPr>
            </w:pPr>
            <w:r>
              <w:rPr>
                <w:rFonts w:ascii="Arial" w:hAnsi="Arial" w:cs="Arial"/>
                <w:sz w:val="22"/>
                <w:szCs w:val="22"/>
              </w:rPr>
              <w:t xml:space="preserve">7 Sessions </w:t>
            </w:r>
            <w:r w:rsidR="009D7ABD">
              <w:rPr>
                <w:rFonts w:ascii="Arial" w:hAnsi="Arial" w:cs="Arial"/>
                <w:sz w:val="22"/>
                <w:szCs w:val="22"/>
              </w:rPr>
              <w:t>01/03/22, 08/03/22, 22/03/22, 05/04/22, 26/04/22, 10/05/22, 24/05/22</w:t>
            </w:r>
            <w:r>
              <w:rPr>
                <w:rFonts w:ascii="Arial" w:hAnsi="Arial" w:cs="Arial"/>
                <w:sz w:val="22"/>
                <w:szCs w:val="22"/>
              </w:rPr>
              <w:t>- Webinar 09.00 to 15.00</w:t>
            </w:r>
            <w:r w:rsidRPr="006E0866">
              <w:rPr>
                <w:rFonts w:ascii="Arial" w:hAnsi="Arial" w:cs="Arial"/>
                <w:sz w:val="22"/>
                <w:szCs w:val="22"/>
              </w:rPr>
              <w:t xml:space="preserve"> </w:t>
            </w:r>
          </w:p>
        </w:tc>
      </w:tr>
      <w:tr w:rsidR="00F12E04" w:rsidTr="00F12E04">
        <w:tc>
          <w:tcPr>
            <w:tcW w:w="2547" w:type="dxa"/>
          </w:tcPr>
          <w:p w:rsidR="00F12E04" w:rsidRPr="00237534" w:rsidRDefault="00F12E04" w:rsidP="00F12E04">
            <w:r w:rsidRPr="00237534">
              <w:rPr>
                <w:rFonts w:ascii="Arial" w:hAnsi="Arial" w:cs="Arial"/>
              </w:rPr>
              <w:t>Cost</w:t>
            </w:r>
          </w:p>
        </w:tc>
        <w:tc>
          <w:tcPr>
            <w:tcW w:w="8080" w:type="dxa"/>
          </w:tcPr>
          <w:p w:rsidR="00F12E04" w:rsidRDefault="00F12E04" w:rsidP="00F12E04">
            <w:pPr>
              <w:rPr>
                <w:rFonts w:ascii="Arial" w:hAnsi="Arial" w:cs="Arial"/>
              </w:rPr>
            </w:pPr>
            <w:r>
              <w:rPr>
                <w:rFonts w:ascii="Arial" w:hAnsi="Arial" w:cs="Arial"/>
              </w:rPr>
              <w:t>£600</w:t>
            </w:r>
          </w:p>
        </w:tc>
      </w:tr>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Default="00FB6FE8" w:rsidP="00F5478A">
            <w:pPr>
              <w:rPr>
                <w:rFonts w:ascii="Arial" w:hAnsi="Arial" w:cs="Arial"/>
                <w:color w:val="808080" w:themeColor="background1" w:themeShade="80"/>
              </w:rPr>
            </w:pPr>
          </w:p>
          <w:p w:rsidR="009D7ABD" w:rsidRPr="007F6E27" w:rsidRDefault="009D7ABD"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9D7ABD" w:rsidRDefault="009D7ABD"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D7ABD" w:rsidRDefault="009D7ABD"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examines the expectations laid down in the Code Of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examines the expectations laid down in the Code Of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examines the expectations laid down in the Code Of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04" w:rsidRDefault="00F12E04">
      <w:r>
        <w:separator/>
      </w:r>
    </w:p>
  </w:endnote>
  <w:endnote w:type="continuationSeparator" w:id="0">
    <w:p w:rsidR="00F12E04" w:rsidRDefault="00F1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04" w:rsidRDefault="00F12E04">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9D7ABD">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11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04" w:rsidRDefault="00F12E04">
      <w:r>
        <w:separator/>
      </w:r>
    </w:p>
  </w:footnote>
  <w:footnote w:type="continuationSeparator" w:id="0">
    <w:p w:rsidR="00F12E04" w:rsidRDefault="00F12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04" w:rsidRDefault="00F12E04"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12E04" w:rsidTr="00EE3E9F">
      <w:tc>
        <w:tcPr>
          <w:tcW w:w="3353" w:type="dxa"/>
        </w:tcPr>
        <w:p w:rsidR="00F12E04" w:rsidRPr="00E166CF" w:rsidRDefault="00F12E04"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12E04" w:rsidRPr="00E166CF" w:rsidRDefault="00F12E04"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F12E04" w:rsidRPr="00E166CF" w:rsidRDefault="00F12E04"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F12E04" w:rsidRDefault="00F12E04" w:rsidP="00E166CF">
          <w:pPr>
            <w:pStyle w:val="Header"/>
          </w:pPr>
          <w:r w:rsidRPr="00E166CF">
            <w:rPr>
              <w:rFonts w:asciiTheme="majorHAnsi" w:hAnsiTheme="majorHAnsi"/>
              <w:sz w:val="16"/>
              <w:szCs w:val="16"/>
            </w:rPr>
            <w:t>Princes Way, Bradford, BD1 1NN</w:t>
          </w:r>
        </w:p>
      </w:tc>
      <w:tc>
        <w:tcPr>
          <w:tcW w:w="3168" w:type="dxa"/>
        </w:tcPr>
        <w:p w:rsidR="00F12E04" w:rsidRDefault="00F12E04"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12E04" w:rsidRDefault="00F12E04"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12E04" w:rsidRPr="00BA41BD" w:rsidRDefault="00F12E04"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770F1"/>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D7ABD"/>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2E04"/>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1E56F4D9"/>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53E5-B619-4912-8219-0E70D811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11</Pages>
  <Words>2274</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41</cp:revision>
  <cp:lastPrinted>2018-10-03T13:20:00Z</cp:lastPrinted>
  <dcterms:created xsi:type="dcterms:W3CDTF">2021-06-29T10:41:00Z</dcterms:created>
  <dcterms:modified xsi:type="dcterms:W3CDTF">2022-01-20T14:14:00Z</dcterms:modified>
</cp:coreProperties>
</file>