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BED5" w14:textId="5851B791" w:rsidR="00213851" w:rsidRPr="00A775BA" w:rsidRDefault="006F411F" w:rsidP="00E74865">
      <w:pPr>
        <w:jc w:val="center"/>
        <w:rPr>
          <w:b/>
          <w:bCs/>
          <w:sz w:val="24"/>
        </w:rPr>
      </w:pPr>
      <w:r w:rsidRPr="00A775BA">
        <w:rPr>
          <w:b/>
          <w:bCs/>
          <w:sz w:val="24"/>
        </w:rPr>
        <w:t>EHCP Top Up Funding from April 202</w:t>
      </w:r>
      <w:r w:rsidR="00A775BA">
        <w:rPr>
          <w:b/>
          <w:bCs/>
          <w:sz w:val="24"/>
        </w:rPr>
        <w:t>5</w:t>
      </w:r>
    </w:p>
    <w:p w14:paraId="680FD5B5" w14:textId="77777777" w:rsidR="00CC7B3E" w:rsidRPr="006F411F" w:rsidRDefault="00CC7B3E" w:rsidP="00E74865">
      <w:pPr>
        <w:jc w:val="center"/>
        <w:rPr>
          <w:sz w:val="24"/>
        </w:rPr>
      </w:pPr>
    </w:p>
    <w:p w14:paraId="388D5C89" w14:textId="77777777" w:rsidR="00E74865" w:rsidRDefault="00E74865" w:rsidP="00E74865">
      <w:pPr>
        <w:jc w:val="both"/>
        <w:rPr>
          <w:rFonts w:cs="Arial"/>
          <w:sz w:val="24"/>
          <w:szCs w:val="24"/>
        </w:rPr>
      </w:pPr>
      <w:r w:rsidRPr="00E74865">
        <w:rPr>
          <w:rFonts w:cs="Arial"/>
          <w:sz w:val="24"/>
          <w:szCs w:val="24"/>
        </w:rPr>
        <w:t>Each EHCP will be funded at the band value that provides the closest fit for meeting the cost of the needs of the child or young person</w:t>
      </w:r>
      <w:r w:rsidR="00CC7B3E">
        <w:rPr>
          <w:rFonts w:cs="Arial"/>
          <w:sz w:val="24"/>
          <w:szCs w:val="24"/>
        </w:rPr>
        <w:t xml:space="preserve"> as outlined in the EHCP Plan</w:t>
      </w:r>
      <w:r w:rsidRPr="00E74865">
        <w:rPr>
          <w:rFonts w:cs="Arial"/>
          <w:sz w:val="24"/>
          <w:szCs w:val="24"/>
        </w:rPr>
        <w:t xml:space="preserve">. In the new model, the closest fit may also be found by combining (‘stacking’) more than one band value. </w:t>
      </w:r>
    </w:p>
    <w:tbl>
      <w:tblPr>
        <w:tblStyle w:val="TableGrid"/>
        <w:tblW w:w="9338" w:type="dxa"/>
        <w:tblLook w:val="04A0" w:firstRow="1" w:lastRow="0" w:firstColumn="1" w:lastColumn="0" w:noHBand="0" w:noVBand="1"/>
      </w:tblPr>
      <w:tblGrid>
        <w:gridCol w:w="2330"/>
        <w:gridCol w:w="2352"/>
        <w:gridCol w:w="2332"/>
        <w:gridCol w:w="2324"/>
      </w:tblGrid>
      <w:tr w:rsidR="00F70B61" w:rsidRPr="0076284D" w14:paraId="59241B93" w14:textId="77777777" w:rsidTr="00F70B61">
        <w:tc>
          <w:tcPr>
            <w:tcW w:w="2330" w:type="dxa"/>
          </w:tcPr>
          <w:p w14:paraId="15810265" w14:textId="77777777" w:rsidR="00F70B61" w:rsidRPr="00F70B61" w:rsidRDefault="00F70B61" w:rsidP="00AF52B1">
            <w:pPr>
              <w:spacing w:after="200" w:line="276" w:lineRule="auto"/>
              <w:rPr>
                <w:rFonts w:asciiTheme="minorHAnsi" w:hAnsiTheme="minorHAnsi" w:cstheme="minorHAnsi"/>
                <w:b/>
                <w:sz w:val="22"/>
                <w:szCs w:val="22"/>
              </w:rPr>
            </w:pPr>
          </w:p>
        </w:tc>
        <w:tc>
          <w:tcPr>
            <w:tcW w:w="2352" w:type="dxa"/>
          </w:tcPr>
          <w:p w14:paraId="11459EA2" w14:textId="51FC0879" w:rsidR="00F70B61" w:rsidRPr="00F70B61" w:rsidRDefault="00F70B61" w:rsidP="00AF52B1">
            <w:pPr>
              <w:spacing w:after="200" w:line="276" w:lineRule="auto"/>
              <w:jc w:val="right"/>
              <w:rPr>
                <w:rFonts w:asciiTheme="minorHAnsi" w:hAnsiTheme="minorHAnsi" w:cstheme="minorHAnsi"/>
                <w:b/>
                <w:color w:val="000000" w:themeColor="text1"/>
                <w:sz w:val="22"/>
                <w:szCs w:val="22"/>
              </w:rPr>
            </w:pPr>
            <w:r w:rsidRPr="00F70B61">
              <w:rPr>
                <w:rFonts w:asciiTheme="minorHAnsi" w:hAnsiTheme="minorHAnsi" w:cstheme="minorHAnsi"/>
                <w:b/>
                <w:color w:val="000000" w:themeColor="text1"/>
                <w:sz w:val="22"/>
                <w:szCs w:val="22"/>
              </w:rPr>
              <w:t>Top-up Value at April 202</w:t>
            </w:r>
            <w:r w:rsidR="00A775BA">
              <w:rPr>
                <w:rFonts w:asciiTheme="minorHAnsi" w:hAnsiTheme="minorHAnsi" w:cstheme="minorHAnsi"/>
                <w:b/>
                <w:color w:val="000000" w:themeColor="text1"/>
                <w:sz w:val="22"/>
                <w:szCs w:val="22"/>
              </w:rPr>
              <w:t>5</w:t>
            </w:r>
          </w:p>
        </w:tc>
        <w:tc>
          <w:tcPr>
            <w:tcW w:w="2332" w:type="dxa"/>
          </w:tcPr>
          <w:p w14:paraId="36E35A55" w14:textId="77777777" w:rsidR="00F70B61" w:rsidRPr="00F70B61" w:rsidRDefault="00F70B61" w:rsidP="00AF52B1">
            <w:pPr>
              <w:spacing w:after="200" w:line="276" w:lineRule="auto"/>
              <w:jc w:val="right"/>
              <w:rPr>
                <w:rFonts w:asciiTheme="minorHAnsi" w:hAnsiTheme="minorHAnsi" w:cstheme="minorHAnsi"/>
                <w:b/>
                <w:sz w:val="22"/>
                <w:szCs w:val="22"/>
              </w:rPr>
            </w:pPr>
            <w:r w:rsidRPr="00F70B61">
              <w:rPr>
                <w:rFonts w:asciiTheme="minorHAnsi" w:hAnsiTheme="minorHAnsi" w:cstheme="minorHAnsi"/>
                <w:b/>
                <w:sz w:val="22"/>
                <w:szCs w:val="22"/>
              </w:rPr>
              <w:t>Element 2 Value FTE the school / provider adds</w:t>
            </w:r>
          </w:p>
        </w:tc>
        <w:tc>
          <w:tcPr>
            <w:tcW w:w="2324" w:type="dxa"/>
          </w:tcPr>
          <w:p w14:paraId="4B0D5288" w14:textId="77777777" w:rsidR="00F70B61" w:rsidRPr="00F70B61" w:rsidRDefault="00F70B61" w:rsidP="00AF52B1">
            <w:pPr>
              <w:spacing w:after="200" w:line="276" w:lineRule="auto"/>
              <w:jc w:val="right"/>
              <w:rPr>
                <w:rFonts w:asciiTheme="minorHAnsi" w:hAnsiTheme="minorHAnsi" w:cstheme="minorHAnsi"/>
                <w:b/>
                <w:color w:val="000000" w:themeColor="text1"/>
                <w:sz w:val="22"/>
                <w:szCs w:val="22"/>
              </w:rPr>
            </w:pPr>
            <w:r w:rsidRPr="00F70B61">
              <w:rPr>
                <w:rFonts w:asciiTheme="minorHAnsi" w:hAnsiTheme="minorHAnsi" w:cstheme="minorHAnsi"/>
                <w:b/>
                <w:color w:val="000000" w:themeColor="text1"/>
                <w:sz w:val="22"/>
                <w:szCs w:val="22"/>
              </w:rPr>
              <w:t>Total Value of Funding to support the EHCP</w:t>
            </w:r>
          </w:p>
        </w:tc>
      </w:tr>
      <w:tr w:rsidR="00F70B61" w14:paraId="2E70B631" w14:textId="77777777" w:rsidTr="00F70B61">
        <w:tc>
          <w:tcPr>
            <w:tcW w:w="2330" w:type="dxa"/>
          </w:tcPr>
          <w:p w14:paraId="5942AD05"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Band 3 Low (3L)</w:t>
            </w:r>
          </w:p>
        </w:tc>
        <w:tc>
          <w:tcPr>
            <w:tcW w:w="2352" w:type="dxa"/>
          </w:tcPr>
          <w:p w14:paraId="6DF471C1" w14:textId="08D0DC2B" w:rsidR="00F70B61" w:rsidRPr="00F70B61" w:rsidRDefault="00F70B61" w:rsidP="00AF52B1">
            <w:pPr>
              <w:pStyle w:val="ListParagraph"/>
              <w:ind w:left="0"/>
              <w:jc w:val="right"/>
              <w:rPr>
                <w:rFonts w:asciiTheme="minorHAnsi" w:hAnsiTheme="minorHAnsi" w:cstheme="minorHAnsi"/>
                <w:b/>
                <w:color w:val="000000" w:themeColor="text1"/>
                <w:sz w:val="22"/>
                <w:szCs w:val="22"/>
              </w:rPr>
            </w:pPr>
            <w:r w:rsidRPr="00F70B61">
              <w:rPr>
                <w:rFonts w:asciiTheme="minorHAnsi" w:hAnsiTheme="minorHAnsi" w:cstheme="minorHAnsi"/>
                <w:b/>
                <w:color w:val="000000" w:themeColor="text1"/>
                <w:sz w:val="22"/>
                <w:szCs w:val="22"/>
              </w:rPr>
              <w:t>£2,</w:t>
            </w:r>
            <w:r w:rsidR="00A775BA">
              <w:rPr>
                <w:rFonts w:asciiTheme="minorHAnsi" w:hAnsiTheme="minorHAnsi" w:cstheme="minorHAnsi"/>
                <w:b/>
                <w:color w:val="000000" w:themeColor="text1"/>
                <w:sz w:val="22"/>
                <w:szCs w:val="22"/>
              </w:rPr>
              <w:t>813</w:t>
            </w:r>
          </w:p>
        </w:tc>
        <w:tc>
          <w:tcPr>
            <w:tcW w:w="2332" w:type="dxa"/>
          </w:tcPr>
          <w:p w14:paraId="55BCEA41"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4B73A43E" w14:textId="5F15CBA6"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£8,</w:t>
            </w:r>
            <w:r w:rsidR="00A775BA">
              <w:rPr>
                <w:rFonts w:asciiTheme="minorHAnsi" w:hAnsiTheme="minorHAnsi" w:cstheme="minorHAnsi"/>
                <w:b/>
                <w:sz w:val="22"/>
                <w:szCs w:val="22"/>
              </w:rPr>
              <w:t>813</w:t>
            </w:r>
          </w:p>
        </w:tc>
      </w:tr>
      <w:tr w:rsidR="00F70B61" w14:paraId="5BBB5AD0" w14:textId="77777777" w:rsidTr="00F70B61">
        <w:tc>
          <w:tcPr>
            <w:tcW w:w="2330" w:type="dxa"/>
          </w:tcPr>
          <w:p w14:paraId="350A3D35"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Band 3 Medium (3M)</w:t>
            </w:r>
          </w:p>
        </w:tc>
        <w:tc>
          <w:tcPr>
            <w:tcW w:w="2352" w:type="dxa"/>
          </w:tcPr>
          <w:p w14:paraId="64DAF810" w14:textId="628716E8"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£4,</w:t>
            </w:r>
            <w:r w:rsidR="00A775BA">
              <w:rPr>
                <w:rFonts w:asciiTheme="minorHAnsi" w:hAnsiTheme="minorHAnsi" w:cstheme="minorHAnsi"/>
                <w:b/>
                <w:sz w:val="22"/>
                <w:szCs w:val="22"/>
              </w:rPr>
              <w:t>739</w:t>
            </w:r>
          </w:p>
        </w:tc>
        <w:tc>
          <w:tcPr>
            <w:tcW w:w="2332" w:type="dxa"/>
          </w:tcPr>
          <w:p w14:paraId="3F6B6789"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166FD7ED" w14:textId="2CD5A467"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£10,</w:t>
            </w:r>
            <w:r w:rsidR="00A775BA">
              <w:rPr>
                <w:rFonts w:asciiTheme="minorHAnsi" w:hAnsiTheme="minorHAnsi" w:cstheme="minorHAnsi"/>
                <w:b/>
                <w:sz w:val="22"/>
                <w:szCs w:val="22"/>
              </w:rPr>
              <w:t>739</w:t>
            </w:r>
          </w:p>
        </w:tc>
      </w:tr>
      <w:tr w:rsidR="00F70B61" w14:paraId="69461ACD" w14:textId="77777777" w:rsidTr="00F70B61">
        <w:tc>
          <w:tcPr>
            <w:tcW w:w="2330" w:type="dxa"/>
          </w:tcPr>
          <w:p w14:paraId="3D97D4D9"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Band 3 High (3H)</w:t>
            </w:r>
          </w:p>
        </w:tc>
        <w:tc>
          <w:tcPr>
            <w:tcW w:w="2352" w:type="dxa"/>
          </w:tcPr>
          <w:p w14:paraId="04CD6945" w14:textId="67AA9400"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w:t>
            </w:r>
            <w:r w:rsidR="00A775BA">
              <w:rPr>
                <w:rFonts w:asciiTheme="minorHAnsi" w:hAnsiTheme="minorHAnsi" w:cstheme="minorHAnsi"/>
                <w:b/>
                <w:sz w:val="22"/>
                <w:szCs w:val="22"/>
              </w:rPr>
              <w:t>6,608</w:t>
            </w:r>
          </w:p>
        </w:tc>
        <w:tc>
          <w:tcPr>
            <w:tcW w:w="2332" w:type="dxa"/>
          </w:tcPr>
          <w:p w14:paraId="574C26C6"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1F78684D" w14:textId="547DB9EC"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£1</w:t>
            </w:r>
            <w:r w:rsidR="00A775BA">
              <w:rPr>
                <w:rFonts w:asciiTheme="minorHAnsi" w:hAnsiTheme="minorHAnsi" w:cstheme="minorHAnsi"/>
                <w:b/>
                <w:sz w:val="22"/>
                <w:szCs w:val="22"/>
              </w:rPr>
              <w:t>2,608</w:t>
            </w:r>
          </w:p>
        </w:tc>
      </w:tr>
      <w:tr w:rsidR="00F70B61" w14:paraId="4031F0CE" w14:textId="77777777" w:rsidTr="00F70B61">
        <w:tc>
          <w:tcPr>
            <w:tcW w:w="2330" w:type="dxa"/>
          </w:tcPr>
          <w:p w14:paraId="417F1997"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Band 4 Low (4L)</w:t>
            </w:r>
          </w:p>
        </w:tc>
        <w:tc>
          <w:tcPr>
            <w:tcW w:w="2352" w:type="dxa"/>
          </w:tcPr>
          <w:p w14:paraId="44059E02" w14:textId="253A3019"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£9,</w:t>
            </w:r>
            <w:r w:rsidR="00A775BA">
              <w:rPr>
                <w:rFonts w:asciiTheme="minorHAnsi" w:hAnsiTheme="minorHAnsi" w:cstheme="minorHAnsi"/>
                <w:b/>
                <w:sz w:val="22"/>
                <w:szCs w:val="22"/>
              </w:rPr>
              <w:t>605</w:t>
            </w:r>
          </w:p>
        </w:tc>
        <w:tc>
          <w:tcPr>
            <w:tcW w:w="2332" w:type="dxa"/>
          </w:tcPr>
          <w:p w14:paraId="268B78A3"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4F9FCABF" w14:textId="0EFBA546"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£15,</w:t>
            </w:r>
            <w:r w:rsidR="00A775BA">
              <w:rPr>
                <w:rFonts w:asciiTheme="minorHAnsi" w:hAnsiTheme="minorHAnsi" w:cstheme="minorHAnsi"/>
                <w:b/>
                <w:sz w:val="22"/>
                <w:szCs w:val="22"/>
              </w:rPr>
              <w:t>605</w:t>
            </w:r>
          </w:p>
        </w:tc>
      </w:tr>
      <w:tr w:rsidR="00F70B61" w14:paraId="16F9C6C2" w14:textId="77777777" w:rsidTr="00F70B61">
        <w:tc>
          <w:tcPr>
            <w:tcW w:w="2330" w:type="dxa"/>
          </w:tcPr>
          <w:p w14:paraId="56EFEC7F"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Band 4 Medium (4M)</w:t>
            </w:r>
          </w:p>
        </w:tc>
        <w:tc>
          <w:tcPr>
            <w:tcW w:w="2352" w:type="dxa"/>
          </w:tcPr>
          <w:p w14:paraId="4D509FEC" w14:textId="61E66864"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£13,</w:t>
            </w:r>
            <w:r w:rsidR="00A775BA">
              <w:rPr>
                <w:rFonts w:asciiTheme="minorHAnsi" w:hAnsiTheme="minorHAnsi" w:cstheme="minorHAnsi"/>
                <w:b/>
                <w:sz w:val="22"/>
                <w:szCs w:val="22"/>
              </w:rPr>
              <w:t>780</w:t>
            </w:r>
          </w:p>
        </w:tc>
        <w:tc>
          <w:tcPr>
            <w:tcW w:w="2332" w:type="dxa"/>
          </w:tcPr>
          <w:p w14:paraId="29140E22"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016EE953" w14:textId="42A023DC"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£19,</w:t>
            </w:r>
            <w:r w:rsidR="00A775BA">
              <w:rPr>
                <w:rFonts w:asciiTheme="minorHAnsi" w:hAnsiTheme="minorHAnsi" w:cstheme="minorHAnsi"/>
                <w:b/>
                <w:sz w:val="22"/>
                <w:szCs w:val="22"/>
              </w:rPr>
              <w:t>780</w:t>
            </w:r>
          </w:p>
        </w:tc>
      </w:tr>
      <w:tr w:rsidR="00F70B61" w14:paraId="78A5EC74" w14:textId="77777777" w:rsidTr="00F70B61">
        <w:tc>
          <w:tcPr>
            <w:tcW w:w="2330" w:type="dxa"/>
          </w:tcPr>
          <w:p w14:paraId="074ABD66"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Band 4 High (4H)</w:t>
            </w:r>
          </w:p>
        </w:tc>
        <w:tc>
          <w:tcPr>
            <w:tcW w:w="2352" w:type="dxa"/>
          </w:tcPr>
          <w:p w14:paraId="5950A485" w14:textId="5031B3CF"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£17,</w:t>
            </w:r>
            <w:r w:rsidR="00A775BA">
              <w:rPr>
                <w:rFonts w:asciiTheme="minorHAnsi" w:hAnsiTheme="minorHAnsi" w:cstheme="minorHAnsi"/>
                <w:b/>
                <w:sz w:val="22"/>
                <w:szCs w:val="22"/>
              </w:rPr>
              <w:t>983</w:t>
            </w:r>
          </w:p>
        </w:tc>
        <w:tc>
          <w:tcPr>
            <w:tcW w:w="2332" w:type="dxa"/>
          </w:tcPr>
          <w:p w14:paraId="05C455D4"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581D572B" w14:textId="3121FC56"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£23,</w:t>
            </w:r>
            <w:r w:rsidR="00A775BA">
              <w:rPr>
                <w:rFonts w:asciiTheme="minorHAnsi" w:hAnsiTheme="minorHAnsi" w:cstheme="minorHAnsi"/>
                <w:b/>
                <w:sz w:val="22"/>
                <w:szCs w:val="22"/>
              </w:rPr>
              <w:t>983</w:t>
            </w:r>
          </w:p>
        </w:tc>
      </w:tr>
      <w:tr w:rsidR="00F70B61" w14:paraId="24F2812B" w14:textId="77777777" w:rsidTr="00F70B61">
        <w:tc>
          <w:tcPr>
            <w:tcW w:w="2330" w:type="dxa"/>
          </w:tcPr>
          <w:p w14:paraId="106D0432" w14:textId="77777777" w:rsidR="00F70B61" w:rsidRPr="00F70B61" w:rsidRDefault="00F70B61" w:rsidP="00AF52B1">
            <w:pPr>
              <w:spacing w:after="200" w:line="276" w:lineRule="auto"/>
              <w:rPr>
                <w:rFonts w:asciiTheme="minorHAnsi" w:hAnsiTheme="minorHAnsi" w:cstheme="minorHAnsi"/>
                <w:b/>
                <w:sz w:val="22"/>
                <w:szCs w:val="22"/>
              </w:rPr>
            </w:pPr>
            <w:r w:rsidRPr="00F70B61">
              <w:rPr>
                <w:rFonts w:asciiTheme="minorHAnsi" w:hAnsiTheme="minorHAnsi" w:cstheme="minorHAnsi"/>
                <w:b/>
                <w:sz w:val="22"/>
                <w:szCs w:val="22"/>
              </w:rPr>
              <w:t>Protected 7</w:t>
            </w:r>
          </w:p>
        </w:tc>
        <w:tc>
          <w:tcPr>
            <w:tcW w:w="2352" w:type="dxa"/>
          </w:tcPr>
          <w:p w14:paraId="4146B4ED" w14:textId="257B6C37"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£29,</w:t>
            </w:r>
            <w:r w:rsidR="00A775BA">
              <w:rPr>
                <w:rFonts w:asciiTheme="minorHAnsi" w:hAnsiTheme="minorHAnsi" w:cstheme="minorHAnsi"/>
                <w:b/>
                <w:sz w:val="22"/>
                <w:szCs w:val="22"/>
              </w:rPr>
              <w:t>548</w:t>
            </w:r>
          </w:p>
        </w:tc>
        <w:tc>
          <w:tcPr>
            <w:tcW w:w="2332" w:type="dxa"/>
          </w:tcPr>
          <w:p w14:paraId="5097BBDE" w14:textId="77777777" w:rsidR="00F70B61" w:rsidRPr="00F70B61" w:rsidRDefault="00F70B61" w:rsidP="00AF52B1">
            <w:pPr>
              <w:spacing w:after="200" w:line="276" w:lineRule="auto"/>
              <w:jc w:val="right"/>
              <w:rPr>
                <w:rFonts w:asciiTheme="minorHAnsi" w:hAnsiTheme="minorHAnsi" w:cstheme="minorHAnsi"/>
                <w:sz w:val="22"/>
                <w:szCs w:val="22"/>
              </w:rPr>
            </w:pPr>
            <w:r w:rsidRPr="00F70B61">
              <w:rPr>
                <w:rFonts w:asciiTheme="minorHAnsi" w:hAnsiTheme="minorHAnsi" w:cstheme="minorHAnsi"/>
                <w:sz w:val="22"/>
                <w:szCs w:val="22"/>
              </w:rPr>
              <w:t>£6,000</w:t>
            </w:r>
          </w:p>
        </w:tc>
        <w:tc>
          <w:tcPr>
            <w:tcW w:w="2324" w:type="dxa"/>
          </w:tcPr>
          <w:p w14:paraId="680F1055" w14:textId="6A5EB91C" w:rsidR="00F70B61" w:rsidRPr="00F70B61" w:rsidRDefault="00F70B61" w:rsidP="00AF52B1">
            <w:pPr>
              <w:pStyle w:val="ListParagraph"/>
              <w:ind w:left="0"/>
              <w:jc w:val="right"/>
              <w:rPr>
                <w:rFonts w:asciiTheme="minorHAnsi" w:hAnsiTheme="minorHAnsi" w:cstheme="minorHAnsi"/>
                <w:b/>
                <w:sz w:val="22"/>
                <w:szCs w:val="22"/>
              </w:rPr>
            </w:pPr>
            <w:r w:rsidRPr="00F70B61">
              <w:rPr>
                <w:rFonts w:asciiTheme="minorHAnsi" w:hAnsiTheme="minorHAnsi" w:cstheme="minorHAnsi"/>
                <w:b/>
                <w:sz w:val="22"/>
                <w:szCs w:val="22"/>
              </w:rPr>
              <w:t>£35,</w:t>
            </w:r>
            <w:r w:rsidR="00A775BA">
              <w:rPr>
                <w:rFonts w:asciiTheme="minorHAnsi" w:hAnsiTheme="minorHAnsi" w:cstheme="minorHAnsi"/>
                <w:b/>
                <w:sz w:val="22"/>
                <w:szCs w:val="22"/>
              </w:rPr>
              <w:t>548</w:t>
            </w:r>
          </w:p>
        </w:tc>
      </w:tr>
    </w:tbl>
    <w:p w14:paraId="36A47078" w14:textId="77777777" w:rsidR="00E74865" w:rsidRPr="00E74865" w:rsidRDefault="00E74865" w:rsidP="00E74865">
      <w:pPr>
        <w:jc w:val="both"/>
        <w:rPr>
          <w:rFonts w:cs="Arial"/>
          <w:sz w:val="24"/>
          <w:szCs w:val="24"/>
        </w:rPr>
      </w:pPr>
    </w:p>
    <w:p w14:paraId="5D7B885A" w14:textId="77777777" w:rsidR="00E74865" w:rsidRDefault="00E74865" w:rsidP="00E74865">
      <w:pPr>
        <w:jc w:val="both"/>
        <w:rPr>
          <w:rFonts w:cs="Arial"/>
          <w:sz w:val="24"/>
          <w:szCs w:val="24"/>
        </w:rPr>
      </w:pPr>
      <w:r w:rsidRPr="00E74865">
        <w:rPr>
          <w:rFonts w:cs="Arial"/>
          <w:sz w:val="24"/>
          <w:szCs w:val="24"/>
        </w:rPr>
        <w:t>The facility to combine values means that the SEND Panel can use the model in a flexible way to find a very close fit for the funding especially of children and young people with significant secondary needs as well as those that require additional functional support both within and outside of the standard taught school day where this is not already funded within a single band value.</w:t>
      </w:r>
    </w:p>
    <w:p w14:paraId="4505361F" w14:textId="214773ED" w:rsidR="00A775BA" w:rsidRDefault="00A775BA" w:rsidP="00E74865">
      <w:pPr>
        <w:jc w:val="both"/>
        <w:rPr>
          <w:rFonts w:cs="Arial"/>
          <w:sz w:val="24"/>
          <w:szCs w:val="24"/>
        </w:rPr>
      </w:pPr>
      <w:r>
        <w:rPr>
          <w:rFonts w:cs="Arial"/>
          <w:sz w:val="24"/>
          <w:szCs w:val="24"/>
        </w:rPr>
        <w:t>Please note that values in both early years and post-16 education will vary slightly due to the hours that children and young people are funded for.</w:t>
      </w:r>
    </w:p>
    <w:sectPr w:rsidR="00A77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DC7"/>
    <w:multiLevelType w:val="hybridMultilevel"/>
    <w:tmpl w:val="6956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682C"/>
    <w:multiLevelType w:val="hybridMultilevel"/>
    <w:tmpl w:val="36DCE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2841538">
    <w:abstractNumId w:val="1"/>
  </w:num>
  <w:num w:numId="2" w16cid:durableId="146049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1F"/>
    <w:rsid w:val="00015F39"/>
    <w:rsid w:val="00213851"/>
    <w:rsid w:val="006F411F"/>
    <w:rsid w:val="00821928"/>
    <w:rsid w:val="00926978"/>
    <w:rsid w:val="00A33E91"/>
    <w:rsid w:val="00A746F8"/>
    <w:rsid w:val="00A775BA"/>
    <w:rsid w:val="00B42350"/>
    <w:rsid w:val="00CC7B3E"/>
    <w:rsid w:val="00E74865"/>
    <w:rsid w:val="00E83C4F"/>
    <w:rsid w:val="00F7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E65C2"/>
  <w15:docId w15:val="{1E7E6BB0-7622-46D3-8FDC-510ABCB1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1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6F411F"/>
    <w:pPr>
      <w:spacing w:after="0" w:line="240" w:lineRule="auto"/>
      <w:ind w:left="720"/>
      <w:contextualSpacing/>
    </w:pPr>
    <w:rPr>
      <w:rFonts w:ascii="Arial" w:eastAsia="Times New Roman" w:hAnsi="Arial" w:cs="Times New Roman"/>
      <w:sz w:val="20"/>
      <w:szCs w:val="20"/>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6F411F"/>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63050">
      <w:bodyDiv w:val="1"/>
      <w:marLeft w:val="0"/>
      <w:marRight w:val="0"/>
      <w:marTop w:val="0"/>
      <w:marBottom w:val="0"/>
      <w:divBdr>
        <w:top w:val="none" w:sz="0" w:space="0" w:color="auto"/>
        <w:left w:val="none" w:sz="0" w:space="0" w:color="auto"/>
        <w:bottom w:val="none" w:sz="0" w:space="0" w:color="auto"/>
        <w:right w:val="none" w:sz="0" w:space="0" w:color="auto"/>
      </w:divBdr>
    </w:div>
    <w:div w:id="21274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Dennis</dc:creator>
  <cp:lastModifiedBy>Tim Armstrong</cp:lastModifiedBy>
  <cp:revision>2</cp:revision>
  <dcterms:created xsi:type="dcterms:W3CDTF">2025-04-07T13:16:00Z</dcterms:created>
  <dcterms:modified xsi:type="dcterms:W3CDTF">2025-04-07T13:16:00Z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94d4526fed1ca08f481c0d279daf858983e675fdb4c97c8084dddb33c2765b93</vt:lpwstr>
  </property>
</Properties>
</file>