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F0" w:rsidRDefault="00A30AF0" w:rsidP="00A30AF0">
      <w:pPr>
        <w:pStyle w:val="Title"/>
        <w:outlineLvl w:val="0"/>
        <w:rPr>
          <w:sz w:val="32"/>
          <w:szCs w:val="32"/>
        </w:rPr>
      </w:pPr>
      <w:bookmarkStart w:id="0" w:name="_GoBack"/>
      <w:bookmarkEnd w:id="0"/>
      <w:r>
        <w:rPr>
          <w:noProof/>
          <w:lang w:eastAsia="en-GB"/>
        </w:rPr>
        <w:drawing>
          <wp:inline distT="0" distB="0" distL="0" distR="0" wp14:anchorId="7FAA0C8D" wp14:editId="39B07B41">
            <wp:extent cx="3028208" cy="570016"/>
            <wp:effectExtent l="0" t="0" r="1270" b="1905"/>
            <wp:docPr id="3" name="Picture 3" descr="N:\ES\Diversity_and_Cohesion\ADMINISTRATION\Logos etc\CBMDC-colour-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Diversity_and_Cohesion\ADMINISTRATION\Logos etc\CBMDC-colour-RG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070" cy="569990"/>
                    </a:xfrm>
                    <a:prstGeom prst="rect">
                      <a:avLst/>
                    </a:prstGeom>
                    <a:noFill/>
                    <a:ln>
                      <a:noFill/>
                    </a:ln>
                  </pic:spPr>
                </pic:pic>
              </a:graphicData>
            </a:graphic>
          </wp:inline>
        </w:drawing>
      </w:r>
    </w:p>
    <w:p w:rsidR="00A30AF0" w:rsidRDefault="00A30AF0" w:rsidP="00A30AF0">
      <w:pPr>
        <w:pStyle w:val="Title"/>
        <w:outlineLvl w:val="0"/>
        <w:rPr>
          <w:sz w:val="32"/>
          <w:szCs w:val="32"/>
        </w:rPr>
      </w:pPr>
    </w:p>
    <w:p w:rsidR="00A30AF0" w:rsidRPr="004B1710" w:rsidRDefault="00A30AF0" w:rsidP="00A30AF0">
      <w:pPr>
        <w:pStyle w:val="Title"/>
        <w:outlineLvl w:val="0"/>
        <w:rPr>
          <w:sz w:val="28"/>
        </w:rPr>
      </w:pPr>
      <w:r w:rsidRPr="00D70D70">
        <w:rPr>
          <w:sz w:val="32"/>
          <w:szCs w:val="32"/>
        </w:rPr>
        <w:t>SCHOOL SELF ASSESSMENT for PREVENT</w:t>
      </w:r>
    </w:p>
    <w:tbl>
      <w:tblPr>
        <w:tblW w:w="144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4430"/>
      </w:tblGrid>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98152C" w:rsidRDefault="00A30AF0" w:rsidP="00124A5A">
            <w:pPr>
              <w:pStyle w:val="Heading1"/>
              <w:rPr>
                <w:bCs w:val="0"/>
                <w:i/>
                <w:color w:val="000000"/>
                <w:sz w:val="24"/>
              </w:rPr>
            </w:pPr>
          </w:p>
          <w:p w:rsidR="00A30AF0" w:rsidRPr="0098152C" w:rsidRDefault="00A30AF0" w:rsidP="00124A5A">
            <w:pPr>
              <w:pStyle w:val="Heading1"/>
              <w:rPr>
                <w:b w:val="0"/>
                <w:bCs w:val="0"/>
                <w:i/>
                <w:color w:val="000000"/>
                <w:sz w:val="24"/>
              </w:rPr>
            </w:pPr>
            <w:r w:rsidRPr="0098152C">
              <w:rPr>
                <w:b w:val="0"/>
                <w:i/>
                <w:color w:val="000000"/>
                <w:sz w:val="24"/>
              </w:rPr>
              <w:t>PREVENT OBJECTIVE 1:</w:t>
            </w:r>
            <w:r w:rsidRPr="0098152C">
              <w:rPr>
                <w:i/>
                <w:color w:val="000000"/>
                <w:sz w:val="24"/>
              </w:rPr>
              <w:t xml:space="preserve"> </w:t>
            </w:r>
            <w:r w:rsidRPr="0098152C">
              <w:rPr>
                <w:sz w:val="24"/>
              </w:rPr>
              <w:t>LEADERSHIP - structures are in place and visible throughout the school</w:t>
            </w:r>
          </w:p>
        </w:tc>
      </w:tr>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98152C" w:rsidRDefault="00A30AF0" w:rsidP="00124A5A">
            <w:pPr>
              <w:pStyle w:val="Heading1"/>
              <w:rPr>
                <w:i/>
                <w:color w:val="000000"/>
                <w:sz w:val="24"/>
              </w:rPr>
            </w:pPr>
          </w:p>
          <w:p w:rsidR="00A30AF0" w:rsidRPr="0098152C" w:rsidRDefault="00A30AF0" w:rsidP="00124A5A">
            <w:pPr>
              <w:pStyle w:val="Heading1"/>
              <w:rPr>
                <w:sz w:val="24"/>
              </w:rPr>
            </w:pPr>
            <w:r w:rsidRPr="0098152C">
              <w:rPr>
                <w:b w:val="0"/>
                <w:i/>
                <w:color w:val="000000"/>
                <w:sz w:val="24"/>
              </w:rPr>
              <w:t>PREVENT OBJECTIVE 2:</w:t>
            </w:r>
            <w:r w:rsidRPr="0098152C">
              <w:rPr>
                <w:color w:val="000000"/>
                <w:sz w:val="24"/>
              </w:rPr>
              <w:t xml:space="preserve">  CAPABILITIES</w:t>
            </w:r>
            <w:r w:rsidRPr="0098152C">
              <w:rPr>
                <w:sz w:val="24"/>
              </w:rPr>
              <w:t xml:space="preserve"> – staff and governors are adequately trained on Prevent Duty </w:t>
            </w:r>
          </w:p>
        </w:tc>
      </w:tr>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98152C" w:rsidRDefault="00A30AF0" w:rsidP="00124A5A">
            <w:pPr>
              <w:pStyle w:val="Heading1"/>
              <w:rPr>
                <w:i/>
                <w:color w:val="000000"/>
                <w:sz w:val="24"/>
              </w:rPr>
            </w:pPr>
          </w:p>
          <w:p w:rsidR="00A30AF0" w:rsidRPr="0098152C" w:rsidRDefault="00A30AF0" w:rsidP="00124A5A">
            <w:pPr>
              <w:pStyle w:val="Heading1"/>
              <w:ind w:left="5400" w:hanging="5400"/>
              <w:rPr>
                <w:sz w:val="24"/>
              </w:rPr>
            </w:pPr>
            <w:r w:rsidRPr="0098152C">
              <w:rPr>
                <w:b w:val="0"/>
                <w:i/>
                <w:color w:val="000000"/>
                <w:sz w:val="24"/>
              </w:rPr>
              <w:t>PREVENT OBJECTIVE 3:</w:t>
            </w:r>
            <w:r w:rsidRPr="0098152C">
              <w:rPr>
                <w:b w:val="0"/>
                <w:color w:val="000000"/>
                <w:sz w:val="24"/>
              </w:rPr>
              <w:t xml:space="preserve"> </w:t>
            </w:r>
            <w:r w:rsidRPr="0098152C">
              <w:rPr>
                <w:sz w:val="24"/>
              </w:rPr>
              <w:t>RISK ASSESSMENT - Risks around extremism are understood and appropriate referral process is in place</w:t>
            </w:r>
          </w:p>
        </w:tc>
      </w:tr>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98152C" w:rsidRDefault="00A30AF0" w:rsidP="00124A5A">
            <w:pPr>
              <w:pStyle w:val="Heading1"/>
              <w:rPr>
                <w:b w:val="0"/>
                <w:i/>
                <w:color w:val="000000"/>
                <w:sz w:val="24"/>
              </w:rPr>
            </w:pPr>
          </w:p>
          <w:p w:rsidR="00A30AF0" w:rsidRPr="0098152C" w:rsidRDefault="00A30AF0" w:rsidP="00124A5A">
            <w:pPr>
              <w:pStyle w:val="Heading1"/>
              <w:ind w:left="6480" w:hanging="6480"/>
              <w:rPr>
                <w:sz w:val="24"/>
              </w:rPr>
            </w:pPr>
            <w:r w:rsidRPr="0098152C">
              <w:rPr>
                <w:b w:val="0"/>
                <w:i/>
                <w:color w:val="000000"/>
                <w:sz w:val="24"/>
              </w:rPr>
              <w:t>PREVENT OBJECTIVE 4:</w:t>
            </w:r>
            <w:r w:rsidRPr="0098152C">
              <w:rPr>
                <w:color w:val="000000"/>
                <w:sz w:val="24"/>
              </w:rPr>
              <w:t xml:space="preserve"> </w:t>
            </w:r>
            <w:r w:rsidRPr="0098152C">
              <w:rPr>
                <w:sz w:val="24"/>
              </w:rPr>
              <w:t xml:space="preserve">WORKING IN PARTNERSHIP – </w:t>
            </w:r>
            <w:r>
              <w:rPr>
                <w:sz w:val="24"/>
              </w:rPr>
              <w:t>develop</w:t>
            </w:r>
            <w:r w:rsidRPr="0098152C">
              <w:rPr>
                <w:sz w:val="24"/>
              </w:rPr>
              <w:t xml:space="preserve"> multi-agency approaches to address safeguarding issues and deliver   quality curriculums</w:t>
            </w:r>
          </w:p>
        </w:tc>
      </w:tr>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98152C" w:rsidRDefault="00A30AF0" w:rsidP="00124A5A">
            <w:pPr>
              <w:pStyle w:val="Heading1"/>
              <w:ind w:left="2700" w:hanging="2700"/>
              <w:rPr>
                <w:i/>
                <w:color w:val="000000"/>
                <w:sz w:val="24"/>
              </w:rPr>
            </w:pPr>
          </w:p>
          <w:p w:rsidR="00A30AF0" w:rsidRPr="0098152C" w:rsidRDefault="00A30AF0" w:rsidP="00124A5A">
            <w:pPr>
              <w:pStyle w:val="Heading1"/>
              <w:tabs>
                <w:tab w:val="left" w:pos="6300"/>
              </w:tabs>
              <w:ind w:left="6300" w:hanging="6300"/>
              <w:rPr>
                <w:sz w:val="24"/>
              </w:rPr>
            </w:pPr>
            <w:r w:rsidRPr="0098152C">
              <w:rPr>
                <w:b w:val="0"/>
                <w:i/>
                <w:color w:val="000000"/>
                <w:sz w:val="24"/>
              </w:rPr>
              <w:t>PREVENT OBJECTIVE 5:</w:t>
            </w:r>
            <w:r w:rsidRPr="0098152C">
              <w:rPr>
                <w:color w:val="000000"/>
                <w:sz w:val="24"/>
              </w:rPr>
              <w:t xml:space="preserve"> TEACHING and LEARNING</w:t>
            </w:r>
            <w:r w:rsidRPr="0098152C">
              <w:rPr>
                <w:sz w:val="24"/>
              </w:rPr>
              <w:t xml:space="preserve"> – </w:t>
            </w:r>
            <w:r>
              <w:rPr>
                <w:sz w:val="24"/>
              </w:rPr>
              <w:t xml:space="preserve">  </w:t>
            </w:r>
            <w:r w:rsidRPr="0098152C">
              <w:rPr>
                <w:sz w:val="24"/>
              </w:rPr>
              <w:t xml:space="preserve">develop effective learning opportunities to safeguard children from </w:t>
            </w:r>
            <w:r>
              <w:rPr>
                <w:sz w:val="24"/>
              </w:rPr>
              <w:t xml:space="preserve">  </w:t>
            </w:r>
            <w:r w:rsidRPr="0098152C">
              <w:rPr>
                <w:sz w:val="24"/>
              </w:rPr>
              <w:t xml:space="preserve">extremism   and promote community cohesion </w:t>
            </w:r>
          </w:p>
        </w:tc>
      </w:tr>
      <w:tr w:rsidR="00A30AF0" w:rsidRPr="004B1710" w:rsidTr="00124A5A">
        <w:trPr>
          <w:trHeight w:val="80"/>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Pr="00D70D70" w:rsidRDefault="00A30AF0" w:rsidP="00124A5A">
            <w:pPr>
              <w:pStyle w:val="Heading1"/>
              <w:ind w:left="2700" w:hanging="2700"/>
              <w:rPr>
                <w:i/>
                <w:color w:val="000000"/>
                <w:sz w:val="16"/>
                <w:szCs w:val="16"/>
              </w:rPr>
            </w:pPr>
          </w:p>
        </w:tc>
      </w:tr>
      <w:tr w:rsidR="00A30AF0" w:rsidRPr="004B1710" w:rsidTr="00124A5A">
        <w:trPr>
          <w:trHeight w:val="338"/>
        </w:trPr>
        <w:tc>
          <w:tcPr>
            <w:tcW w:w="14430" w:type="dxa"/>
            <w:tcBorders>
              <w:top w:val="single" w:sz="8" w:space="0" w:color="9BBB59"/>
              <w:left w:val="single" w:sz="8" w:space="0" w:color="9BBB59"/>
              <w:bottom w:val="single" w:sz="8" w:space="0" w:color="9BBB59"/>
              <w:right w:val="single" w:sz="8" w:space="0" w:color="9BBB59"/>
            </w:tcBorders>
            <w:shd w:val="clear" w:color="auto" w:fill="E6EED5"/>
            <w:vAlign w:val="bottom"/>
          </w:tcPr>
          <w:p w:rsidR="00A30AF0" w:rsidRDefault="00A30AF0" w:rsidP="00124A5A">
            <w:pPr>
              <w:pStyle w:val="Heading1"/>
              <w:rPr>
                <w:color w:val="000000"/>
              </w:rPr>
            </w:pPr>
          </w:p>
          <w:p w:rsidR="00A30AF0" w:rsidRPr="003174A5" w:rsidRDefault="00A30AF0" w:rsidP="00124A5A">
            <w:pPr>
              <w:pStyle w:val="Heading1"/>
              <w:rPr>
                <w:color w:val="000000"/>
              </w:rPr>
            </w:pPr>
            <w:r w:rsidRPr="003174A5">
              <w:rPr>
                <w:color w:val="000000"/>
              </w:rPr>
              <w:t xml:space="preserve">SCHOOL NAME: </w:t>
            </w:r>
            <w:r>
              <w:rPr>
                <w:color w:val="000000"/>
              </w:rPr>
              <w:t xml:space="preserve"> </w:t>
            </w:r>
            <w:r w:rsidRPr="0098152C">
              <w:rPr>
                <w:b w:val="0"/>
                <w:color w:val="000000"/>
              </w:rPr>
              <w:t>…………………………………………………………………………………………………………………………………………………</w:t>
            </w:r>
          </w:p>
          <w:p w:rsidR="00A30AF0" w:rsidRDefault="00A30AF0" w:rsidP="00124A5A">
            <w:pPr>
              <w:rPr>
                <w:rFonts w:ascii="Arial" w:hAnsi="Arial" w:cs="Arial"/>
                <w:color w:val="000000"/>
              </w:rPr>
            </w:pPr>
          </w:p>
          <w:p w:rsidR="00A30AF0" w:rsidRPr="003174A5" w:rsidRDefault="00A30AF0" w:rsidP="00124A5A">
            <w:pPr>
              <w:rPr>
                <w:rFonts w:ascii="Arial" w:hAnsi="Arial" w:cs="Arial"/>
                <w:color w:val="000000"/>
              </w:rPr>
            </w:pPr>
            <w:r w:rsidRPr="003174A5">
              <w:rPr>
                <w:rFonts w:ascii="Arial" w:hAnsi="Arial" w:cs="Arial"/>
                <w:color w:val="000000"/>
              </w:rPr>
              <w:t>Name of assessor(s):</w:t>
            </w:r>
            <w:r>
              <w:rPr>
                <w:rFonts w:ascii="Arial" w:hAnsi="Arial" w:cs="Arial"/>
                <w:color w:val="000000"/>
              </w:rPr>
              <w:t>………………………………………………………………………………………………………………………………..</w:t>
            </w:r>
          </w:p>
          <w:p w:rsidR="00A30AF0" w:rsidRDefault="00A30AF0" w:rsidP="00124A5A">
            <w:pPr>
              <w:rPr>
                <w:rFonts w:ascii="Arial" w:hAnsi="Arial" w:cs="Arial"/>
                <w:color w:val="000000"/>
              </w:rPr>
            </w:pPr>
          </w:p>
          <w:p w:rsidR="00A30AF0" w:rsidRPr="003174A5" w:rsidRDefault="00A30AF0" w:rsidP="00124A5A">
            <w:pPr>
              <w:rPr>
                <w:rFonts w:ascii="Arial" w:hAnsi="Arial" w:cs="Arial"/>
                <w:color w:val="000000"/>
              </w:rPr>
            </w:pPr>
            <w:r w:rsidRPr="003174A5">
              <w:rPr>
                <w:rFonts w:ascii="Arial" w:hAnsi="Arial" w:cs="Arial"/>
                <w:color w:val="000000"/>
              </w:rPr>
              <w:t>Date of assessment:</w:t>
            </w:r>
            <w:r>
              <w:rPr>
                <w:rFonts w:ascii="Arial" w:hAnsi="Arial" w:cs="Arial"/>
                <w:color w:val="000000"/>
              </w:rPr>
              <w:t>…………………………………………………………………………………………………………………………………</w:t>
            </w:r>
          </w:p>
          <w:p w:rsidR="00A30AF0" w:rsidRDefault="00A30AF0" w:rsidP="00124A5A">
            <w:pPr>
              <w:rPr>
                <w:rFonts w:ascii="Arial" w:hAnsi="Arial" w:cs="Arial"/>
                <w:color w:val="000000"/>
              </w:rPr>
            </w:pPr>
          </w:p>
          <w:p w:rsidR="00A30AF0" w:rsidRDefault="00A30AF0" w:rsidP="00124A5A">
            <w:pPr>
              <w:pStyle w:val="Heading1"/>
              <w:ind w:left="2700" w:hanging="2700"/>
              <w:rPr>
                <w:b w:val="0"/>
                <w:color w:val="000000"/>
              </w:rPr>
            </w:pPr>
            <w:r w:rsidRPr="003174A5">
              <w:rPr>
                <w:color w:val="000000"/>
              </w:rPr>
              <w:t>To be reviewed on:</w:t>
            </w:r>
            <w:r>
              <w:rPr>
                <w:color w:val="000000"/>
              </w:rPr>
              <w:t xml:space="preserve"> </w:t>
            </w:r>
            <w:r w:rsidRPr="0098152C">
              <w:rPr>
                <w:b w:val="0"/>
                <w:color w:val="000000"/>
              </w:rPr>
              <w:t>……………………………………………………………………………………………………………………………………</w:t>
            </w:r>
            <w:r>
              <w:rPr>
                <w:b w:val="0"/>
                <w:color w:val="000000"/>
              </w:rPr>
              <w:t>…………</w:t>
            </w:r>
          </w:p>
          <w:p w:rsidR="00A30AF0" w:rsidRPr="00D70D70" w:rsidRDefault="00A30AF0" w:rsidP="00124A5A"/>
        </w:tc>
      </w:tr>
    </w:tbl>
    <w:p w:rsidR="00A30AF0" w:rsidRDefault="00A30AF0" w:rsidP="00A30AF0">
      <w:pPr>
        <w:jc w:val="center"/>
        <w:rPr>
          <w:rFonts w:ascii="Arial" w:hAnsi="Arial" w:cs="Arial"/>
          <w:sz w:val="22"/>
        </w:rPr>
      </w:pPr>
    </w:p>
    <w:p w:rsidR="00A30AF0" w:rsidRDefault="00A30AF0" w:rsidP="00A30AF0">
      <w:pPr>
        <w:jc w:val="center"/>
        <w:rPr>
          <w:rFonts w:ascii="Arial" w:hAnsi="Arial" w:cs="Arial"/>
          <w:sz w:val="22"/>
        </w:rPr>
      </w:pPr>
    </w:p>
    <w:p w:rsidR="00A30AF0" w:rsidRPr="004B1710" w:rsidRDefault="00A30AF0" w:rsidP="00A30AF0">
      <w:pPr>
        <w:jc w:val="center"/>
        <w:rPr>
          <w:rFonts w:ascii="Arial" w:hAnsi="Arial" w:cs="Arial"/>
          <w:sz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8"/>
        <w:gridCol w:w="1451"/>
        <w:gridCol w:w="2339"/>
      </w:tblGrid>
      <w:tr w:rsidR="00A30AF0" w:rsidRPr="004B1710" w:rsidTr="00124A5A">
        <w:trPr>
          <w:cantSplit/>
          <w:trHeight w:val="479"/>
        </w:trPr>
        <w:tc>
          <w:tcPr>
            <w:tcW w:w="14508" w:type="dxa"/>
            <w:gridSpan w:val="3"/>
            <w:shd w:val="clear" w:color="auto" w:fill="D6E3BC"/>
          </w:tcPr>
          <w:p w:rsidR="00A30AF0" w:rsidRPr="004B1710" w:rsidRDefault="00A30AF0" w:rsidP="00124A5A">
            <w:pPr>
              <w:pStyle w:val="Heading1"/>
            </w:pPr>
          </w:p>
          <w:p w:rsidR="00A30AF0" w:rsidRPr="00544AB1" w:rsidRDefault="00A30AF0" w:rsidP="00124A5A">
            <w:pPr>
              <w:pStyle w:val="Heading1"/>
              <w:rPr>
                <w:b w:val="0"/>
                <w:bCs w:val="0"/>
                <w:i/>
                <w:color w:val="000000"/>
                <w:szCs w:val="22"/>
              </w:rPr>
            </w:pPr>
            <w:r w:rsidRPr="00544AB1">
              <w:rPr>
                <w:szCs w:val="22"/>
              </w:rPr>
              <w:t>1. LEADERSHIP - structures are in place and visible throughout the school</w:t>
            </w:r>
          </w:p>
        </w:tc>
      </w:tr>
      <w:tr w:rsidR="00A30AF0" w:rsidRPr="004B1710" w:rsidTr="00124A5A">
        <w:tc>
          <w:tcPr>
            <w:tcW w:w="10718" w:type="dxa"/>
            <w:vAlign w:val="bottom"/>
          </w:tcPr>
          <w:p w:rsidR="00A30AF0" w:rsidRDefault="00A30AF0" w:rsidP="00124A5A">
            <w:pPr>
              <w:pStyle w:val="Heading1"/>
            </w:pPr>
            <w:r w:rsidRPr="004B1710">
              <w:t>Evidence</w:t>
            </w:r>
          </w:p>
          <w:p w:rsidR="00A30AF0" w:rsidRPr="00A30AF0" w:rsidRDefault="00A30AF0" w:rsidP="00A30AF0"/>
        </w:tc>
        <w:tc>
          <w:tcPr>
            <w:tcW w:w="1451" w:type="dxa"/>
            <w:vAlign w:val="bottom"/>
          </w:tcPr>
          <w:p w:rsidR="00A30AF0" w:rsidRPr="004B1710" w:rsidRDefault="00A30AF0" w:rsidP="00124A5A">
            <w:pPr>
              <w:pStyle w:val="Heading1"/>
            </w:pPr>
            <w:r w:rsidRPr="006008CC">
              <w:rPr>
                <w:color w:val="FF0000"/>
              </w:rPr>
              <w:t>Red/</w:t>
            </w:r>
            <w:r w:rsidRPr="006008CC">
              <w:rPr>
                <w:color w:val="FF6600"/>
              </w:rPr>
              <w:t>Amber/</w:t>
            </w:r>
            <w:r>
              <w:t xml:space="preserve"> </w:t>
            </w:r>
            <w:r w:rsidRPr="006008CC">
              <w:rPr>
                <w:color w:val="00FF00"/>
              </w:rPr>
              <w:t>Green</w:t>
            </w:r>
          </w:p>
        </w:tc>
        <w:tc>
          <w:tcPr>
            <w:tcW w:w="2339" w:type="dxa"/>
            <w:vAlign w:val="bottom"/>
          </w:tcPr>
          <w:p w:rsidR="00A30AF0" w:rsidRPr="004B1710" w:rsidRDefault="00A30AF0" w:rsidP="00124A5A">
            <w:pPr>
              <w:pStyle w:val="Heading1"/>
            </w:pPr>
            <w:r w:rsidRPr="004B1710">
              <w:t>Self Assessed Rating</w:t>
            </w:r>
          </w:p>
        </w:tc>
      </w:tr>
      <w:tr w:rsidR="00A30AF0" w:rsidRPr="004B1710" w:rsidTr="00124A5A">
        <w:trPr>
          <w:cantSplit/>
          <w:trHeight w:val="252"/>
        </w:trPr>
        <w:tc>
          <w:tcPr>
            <w:tcW w:w="10718" w:type="dxa"/>
          </w:tcPr>
          <w:p w:rsidR="00A30AF0" w:rsidRPr="009402CC" w:rsidRDefault="00A30AF0" w:rsidP="00124A5A">
            <w:pPr>
              <w:rPr>
                <w:rFonts w:ascii="Arial" w:hAnsi="Arial" w:cs="Arial"/>
                <w:sz w:val="22"/>
              </w:rPr>
            </w:pPr>
            <w:r w:rsidRPr="003174A5">
              <w:rPr>
                <w:rFonts w:ascii="Arial" w:hAnsi="Arial" w:cs="Arial"/>
                <w:color w:val="000000"/>
                <w:sz w:val="22"/>
              </w:rPr>
              <w:t xml:space="preserve">The Senior Leadership Team </w:t>
            </w:r>
            <w:r>
              <w:rPr>
                <w:rFonts w:ascii="Arial" w:hAnsi="Arial" w:cs="Arial"/>
                <w:color w:val="000000"/>
                <w:sz w:val="22"/>
              </w:rPr>
              <w:t xml:space="preserve">and Governors </w:t>
            </w:r>
            <w:r w:rsidRPr="003174A5">
              <w:rPr>
                <w:rFonts w:ascii="Arial" w:hAnsi="Arial" w:cs="Arial"/>
                <w:color w:val="000000"/>
                <w:sz w:val="22"/>
              </w:rPr>
              <w:t>are aware of the Prevent Strategy and its objectives</w:t>
            </w:r>
            <w:r w:rsidRPr="004B1710">
              <w:rPr>
                <w:rFonts w:ascii="Arial" w:hAnsi="Arial" w:cs="Arial"/>
                <w:sz w:val="22"/>
              </w:rPr>
              <w:t xml:space="preserve"> </w:t>
            </w:r>
            <w:r w:rsidR="00F97E6E" w:rsidRPr="009402CC">
              <w:rPr>
                <w:rFonts w:ascii="Arial" w:hAnsi="Arial" w:cs="Arial"/>
                <w:sz w:val="22"/>
              </w:rPr>
              <w:t>and have a good understanding of their own and school responses in relation to Prevent.</w:t>
            </w:r>
          </w:p>
          <w:p w:rsidR="00A30AF0" w:rsidRPr="004B1710"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vMerge w:val="restart"/>
          </w:tcPr>
          <w:p w:rsidR="00A30AF0" w:rsidRPr="004B1710" w:rsidRDefault="00A30AF0" w:rsidP="00124A5A">
            <w:pPr>
              <w:rPr>
                <w:rFonts w:ascii="Arial" w:hAnsi="Arial" w:cs="Arial"/>
                <w:b/>
                <w:color w:val="FF0000"/>
                <w:sz w:val="20"/>
                <w:szCs w:val="20"/>
              </w:rPr>
            </w:pPr>
            <w:r w:rsidRPr="004B1710">
              <w:rPr>
                <w:rFonts w:ascii="Arial" w:hAnsi="Arial" w:cs="Arial"/>
                <w:b/>
                <w:color w:val="FF0000"/>
                <w:sz w:val="20"/>
                <w:szCs w:val="20"/>
              </w:rPr>
              <w:t>Red (R): not able to evidence any</w:t>
            </w:r>
          </w:p>
          <w:p w:rsidR="00A30AF0" w:rsidRPr="004B1710" w:rsidRDefault="00A30AF0" w:rsidP="00124A5A">
            <w:pPr>
              <w:rPr>
                <w:rFonts w:ascii="Arial" w:hAnsi="Arial" w:cs="Arial"/>
                <w:b/>
                <w:sz w:val="20"/>
                <w:szCs w:val="20"/>
              </w:rPr>
            </w:pPr>
            <w:r w:rsidRPr="004B1710">
              <w:rPr>
                <w:rFonts w:ascii="Arial" w:hAnsi="Arial" w:cs="Arial"/>
                <w:b/>
                <w:color w:val="F79646"/>
                <w:sz w:val="20"/>
                <w:szCs w:val="20"/>
              </w:rPr>
              <w:t>Amber (A): evidence of some but not all</w:t>
            </w:r>
          </w:p>
          <w:p w:rsidR="00A30AF0" w:rsidRPr="004B1710" w:rsidRDefault="00A30AF0" w:rsidP="00124A5A">
            <w:pPr>
              <w:rPr>
                <w:rFonts w:ascii="Arial" w:hAnsi="Arial" w:cs="Arial"/>
                <w:sz w:val="22"/>
              </w:rPr>
            </w:pPr>
            <w:r w:rsidRPr="004B1710">
              <w:rPr>
                <w:rFonts w:ascii="Arial" w:hAnsi="Arial" w:cs="Arial"/>
                <w:b/>
                <w:color w:val="00B050"/>
                <w:sz w:val="20"/>
                <w:szCs w:val="20"/>
              </w:rPr>
              <w:t>Green (G): evidence of all and more</w:t>
            </w:r>
          </w:p>
        </w:tc>
      </w:tr>
      <w:tr w:rsidR="00A30AF0" w:rsidRPr="004B1710" w:rsidTr="00124A5A">
        <w:trPr>
          <w:cantSplit/>
          <w:trHeight w:val="252"/>
        </w:trPr>
        <w:tc>
          <w:tcPr>
            <w:tcW w:w="10718" w:type="dxa"/>
          </w:tcPr>
          <w:p w:rsidR="00A30AF0" w:rsidRPr="004B1710" w:rsidRDefault="00A30AF0" w:rsidP="00124A5A">
            <w:pPr>
              <w:rPr>
                <w:rFonts w:ascii="Arial" w:hAnsi="Arial" w:cs="Arial"/>
                <w:sz w:val="22"/>
              </w:rPr>
            </w:pPr>
            <w:r w:rsidRPr="004B1710">
              <w:rPr>
                <w:rFonts w:ascii="Arial" w:hAnsi="Arial" w:cs="Arial"/>
                <w:sz w:val="22"/>
              </w:rPr>
              <w:t xml:space="preserve">There is an identified strategic Prevent lead within </w:t>
            </w:r>
            <w:r>
              <w:rPr>
                <w:rFonts w:ascii="Arial" w:hAnsi="Arial" w:cs="Arial"/>
                <w:sz w:val="22"/>
              </w:rPr>
              <w:t xml:space="preserve">the school who </w:t>
            </w:r>
            <w:r w:rsidRPr="004B1710">
              <w:rPr>
                <w:rFonts w:ascii="Arial" w:hAnsi="Arial" w:cs="Arial"/>
                <w:sz w:val="22"/>
              </w:rPr>
              <w:t xml:space="preserve">understands the expectations and key priorities to deliver </w:t>
            </w:r>
            <w:r>
              <w:rPr>
                <w:rFonts w:ascii="Arial" w:hAnsi="Arial" w:cs="Arial"/>
                <w:sz w:val="22"/>
              </w:rPr>
              <w:t xml:space="preserve">the </w:t>
            </w:r>
            <w:r w:rsidRPr="004B1710">
              <w:rPr>
                <w:rFonts w:ascii="Arial" w:hAnsi="Arial" w:cs="Arial"/>
                <w:sz w:val="22"/>
              </w:rPr>
              <w:t>Prevent</w:t>
            </w:r>
            <w:r>
              <w:rPr>
                <w:rFonts w:ascii="Arial" w:hAnsi="Arial" w:cs="Arial"/>
                <w:sz w:val="22"/>
              </w:rPr>
              <w:t xml:space="preserve"> Duty</w:t>
            </w: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b/>
                <w:color w:val="FF0000"/>
                <w:sz w:val="22"/>
              </w:rPr>
            </w:pPr>
          </w:p>
        </w:tc>
      </w:tr>
      <w:tr w:rsidR="00A30AF0" w:rsidRPr="004B1710" w:rsidTr="00124A5A">
        <w:trPr>
          <w:cantSplit/>
          <w:trHeight w:val="251"/>
        </w:trPr>
        <w:tc>
          <w:tcPr>
            <w:tcW w:w="10718" w:type="dxa"/>
          </w:tcPr>
          <w:p w:rsidR="00A30AF0" w:rsidRPr="009402CC" w:rsidRDefault="00A30AF0" w:rsidP="00124A5A">
            <w:pPr>
              <w:rPr>
                <w:rFonts w:ascii="Arial" w:hAnsi="Arial" w:cs="Arial"/>
                <w:sz w:val="22"/>
              </w:rPr>
            </w:pPr>
            <w:r w:rsidRPr="009402CC">
              <w:rPr>
                <w:rFonts w:ascii="Arial" w:hAnsi="Arial" w:cs="Arial"/>
                <w:sz w:val="22"/>
              </w:rPr>
              <w:t xml:space="preserve">Supporting young people vulnerable to radicalisation is embedded within Safeguarding Policies and Procedures </w:t>
            </w:r>
            <w:r w:rsidR="00F97E6E" w:rsidRPr="009402CC">
              <w:rPr>
                <w:rFonts w:ascii="Arial" w:hAnsi="Arial" w:cs="Arial"/>
                <w:sz w:val="22"/>
              </w:rPr>
              <w:t>and other relevant policies.</w:t>
            </w: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Pr="009402CC" w:rsidRDefault="00A30AF0" w:rsidP="00124A5A">
            <w:pPr>
              <w:rPr>
                <w:rFonts w:ascii="Arial" w:hAnsi="Arial" w:cs="Arial"/>
                <w:sz w:val="22"/>
              </w:rPr>
            </w:pPr>
            <w:r w:rsidRPr="009402CC">
              <w:rPr>
                <w:rFonts w:ascii="Arial" w:hAnsi="Arial" w:cs="Arial"/>
                <w:sz w:val="22"/>
              </w:rPr>
              <w:t>Prevent safeguarding responsibilities are explicit within the School’s Safeguarding Team and take into account the policies and procedures of the Local Safeguarding Children Board (LSCB)</w:t>
            </w: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color w:val="000000"/>
                <w:sz w:val="22"/>
              </w:rPr>
            </w:pPr>
            <w:r w:rsidRPr="003174A5">
              <w:rPr>
                <w:rFonts w:ascii="Arial" w:hAnsi="Arial" w:cs="Arial"/>
                <w:color w:val="000000"/>
                <w:sz w:val="22"/>
              </w:rPr>
              <w:t>There is a clear awareness of roles and responsibilities throughout organisation regarding Prevent</w:t>
            </w:r>
          </w:p>
          <w:p w:rsidR="00A30AF0" w:rsidRPr="003174A5" w:rsidRDefault="00A30AF0" w:rsidP="00124A5A">
            <w:pPr>
              <w:rPr>
                <w:rFonts w:ascii="Arial" w:hAnsi="Arial" w:cs="Arial"/>
                <w:color w:val="000000"/>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sz w:val="22"/>
              </w:rPr>
            </w:pPr>
            <w:r>
              <w:rPr>
                <w:rFonts w:ascii="Arial" w:hAnsi="Arial" w:cs="Arial"/>
                <w:sz w:val="22"/>
              </w:rPr>
              <w:t>The Senior Leadership Team drives the implementation of the Prevent Duty</w:t>
            </w:r>
          </w:p>
          <w:p w:rsidR="00A30AF0" w:rsidRPr="003174A5" w:rsidRDefault="00A30AF0" w:rsidP="00124A5A">
            <w:pPr>
              <w:rPr>
                <w:rFonts w:ascii="Arial" w:hAnsi="Arial" w:cs="Arial"/>
                <w:color w:val="000000"/>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tcPr>
          <w:p w:rsidR="00A30AF0" w:rsidRPr="004B1710" w:rsidRDefault="00A30AF0" w:rsidP="00124A5A">
            <w:pPr>
              <w:rPr>
                <w:rFonts w:ascii="Arial" w:hAnsi="Arial" w:cs="Arial"/>
                <w:sz w:val="22"/>
              </w:rPr>
            </w:pPr>
          </w:p>
        </w:tc>
      </w:tr>
      <w:tr w:rsidR="00A30AF0" w:rsidRPr="004B1710" w:rsidTr="00124A5A">
        <w:trPr>
          <w:cantSplit/>
        </w:trPr>
        <w:tc>
          <w:tcPr>
            <w:tcW w:w="14508" w:type="dxa"/>
            <w:gridSpan w:val="3"/>
            <w:shd w:val="clear" w:color="auto" w:fill="D6E3BC"/>
          </w:tcPr>
          <w:p w:rsidR="00A30AF0" w:rsidRPr="004B1710" w:rsidRDefault="00A30AF0" w:rsidP="00124A5A">
            <w:pPr>
              <w:pStyle w:val="Heading1"/>
            </w:pPr>
          </w:p>
          <w:p w:rsidR="00A30AF0" w:rsidRPr="00FE7015" w:rsidRDefault="00A30AF0" w:rsidP="00124A5A">
            <w:pPr>
              <w:pStyle w:val="Heading1"/>
              <w:rPr>
                <w:rStyle w:val="Emphasis"/>
                <w:rFonts w:ascii="Arial" w:hAnsi="Arial" w:cs="Arial"/>
                <w:i w:val="0"/>
                <w:iCs w:val="0"/>
                <w:sz w:val="24"/>
              </w:rPr>
            </w:pPr>
            <w:r>
              <w:rPr>
                <w:sz w:val="24"/>
              </w:rPr>
              <w:t>2. CAPABILITIES –s</w:t>
            </w:r>
            <w:r w:rsidRPr="004B1710">
              <w:rPr>
                <w:sz w:val="24"/>
              </w:rPr>
              <w:t>taff and</w:t>
            </w:r>
            <w:r>
              <w:rPr>
                <w:sz w:val="24"/>
              </w:rPr>
              <w:t xml:space="preserve"> governors adequately </w:t>
            </w:r>
            <w:r w:rsidRPr="004B1710">
              <w:rPr>
                <w:sz w:val="24"/>
              </w:rPr>
              <w:t xml:space="preserve">trained </w:t>
            </w:r>
            <w:r>
              <w:rPr>
                <w:sz w:val="24"/>
              </w:rPr>
              <w:t xml:space="preserve">on Prevent Duty </w:t>
            </w:r>
          </w:p>
          <w:p w:rsidR="00A30AF0" w:rsidRPr="004B1710" w:rsidRDefault="00A30AF0" w:rsidP="00124A5A">
            <w:pPr>
              <w:rPr>
                <w:rFonts w:ascii="Arial" w:hAnsi="Arial" w:cs="Arial"/>
              </w:rPr>
            </w:pPr>
          </w:p>
        </w:tc>
      </w:tr>
      <w:tr w:rsidR="00A30AF0" w:rsidRPr="004B1710" w:rsidTr="00124A5A">
        <w:tc>
          <w:tcPr>
            <w:tcW w:w="10718" w:type="dxa"/>
            <w:vAlign w:val="bottom"/>
          </w:tcPr>
          <w:p w:rsidR="00A30AF0" w:rsidRPr="004B1710" w:rsidRDefault="00A30AF0" w:rsidP="00124A5A">
            <w:pPr>
              <w:pStyle w:val="Heading1"/>
            </w:pPr>
            <w:r w:rsidRPr="004B1710">
              <w:t>Evidence</w:t>
            </w:r>
          </w:p>
        </w:tc>
        <w:tc>
          <w:tcPr>
            <w:tcW w:w="1451" w:type="dxa"/>
          </w:tcPr>
          <w:p w:rsidR="00A30AF0" w:rsidRPr="004B1710" w:rsidRDefault="00A30AF0" w:rsidP="00124A5A">
            <w:pPr>
              <w:pStyle w:val="Heading1"/>
            </w:pPr>
            <w:r w:rsidRPr="006008CC">
              <w:rPr>
                <w:color w:val="FF0000"/>
              </w:rPr>
              <w:t>Red/</w:t>
            </w:r>
            <w:r w:rsidRPr="006008CC">
              <w:rPr>
                <w:color w:val="FF6600"/>
              </w:rPr>
              <w:t>Amber/</w:t>
            </w:r>
            <w:r>
              <w:t xml:space="preserve"> </w:t>
            </w:r>
            <w:r w:rsidRPr="006008CC">
              <w:rPr>
                <w:color w:val="00FF00"/>
              </w:rPr>
              <w:t>Green</w:t>
            </w:r>
          </w:p>
        </w:tc>
        <w:tc>
          <w:tcPr>
            <w:tcW w:w="2339" w:type="dxa"/>
          </w:tcPr>
          <w:p w:rsidR="00A30AF0" w:rsidRPr="004B1710" w:rsidRDefault="00A30AF0" w:rsidP="00124A5A">
            <w:pPr>
              <w:pStyle w:val="Heading1"/>
            </w:pPr>
            <w:r w:rsidRPr="004B1710">
              <w:t>Self Assessed Rating</w:t>
            </w:r>
          </w:p>
        </w:tc>
      </w:tr>
      <w:tr w:rsidR="00A30AF0" w:rsidRPr="004B1710" w:rsidTr="00124A5A">
        <w:trPr>
          <w:cantSplit/>
          <w:trHeight w:val="833"/>
        </w:trPr>
        <w:tc>
          <w:tcPr>
            <w:tcW w:w="10718" w:type="dxa"/>
          </w:tcPr>
          <w:p w:rsidR="00A30AF0" w:rsidRPr="009402CC" w:rsidRDefault="00A30AF0" w:rsidP="00832922">
            <w:pPr>
              <w:rPr>
                <w:rFonts w:ascii="Arial" w:hAnsi="Arial" w:cs="Arial"/>
                <w:sz w:val="22"/>
              </w:rPr>
            </w:pPr>
            <w:r w:rsidRPr="009402CC">
              <w:rPr>
                <w:rFonts w:ascii="Arial" w:hAnsi="Arial" w:cs="Arial"/>
                <w:sz w:val="22"/>
              </w:rPr>
              <w:t>A training plan is in place to deliver  Workshop to Raise Awareness of Prevent (WRAP) so that key staff and Governors understand the risk of radicalisation and extremism and know how to recognise and refer children who may be vulnerable</w:t>
            </w:r>
            <w:r w:rsidR="00F97E6E" w:rsidRPr="009402CC">
              <w:rPr>
                <w:rFonts w:ascii="Arial" w:hAnsi="Arial" w:cs="Arial"/>
                <w:sz w:val="22"/>
              </w:rPr>
              <w:t>. This training is updated regularly to take in</w:t>
            </w:r>
            <w:r w:rsidR="00832922" w:rsidRPr="009402CC">
              <w:rPr>
                <w:rFonts w:ascii="Arial" w:hAnsi="Arial" w:cs="Arial"/>
                <w:sz w:val="22"/>
              </w:rPr>
              <w:t>to</w:t>
            </w:r>
            <w:r w:rsidR="00F97E6E" w:rsidRPr="009402CC">
              <w:rPr>
                <w:rFonts w:ascii="Arial" w:hAnsi="Arial" w:cs="Arial"/>
                <w:sz w:val="22"/>
              </w:rPr>
              <w:t xml:space="preserve"> account staff turnover.</w:t>
            </w:r>
          </w:p>
        </w:tc>
        <w:tc>
          <w:tcPr>
            <w:tcW w:w="1451" w:type="dxa"/>
          </w:tcPr>
          <w:p w:rsidR="00A30AF0" w:rsidRPr="004B1710" w:rsidRDefault="00A30AF0" w:rsidP="00124A5A">
            <w:pPr>
              <w:rPr>
                <w:rFonts w:ascii="Arial" w:hAnsi="Arial" w:cs="Arial"/>
                <w:sz w:val="22"/>
              </w:rPr>
            </w:pPr>
          </w:p>
        </w:tc>
        <w:tc>
          <w:tcPr>
            <w:tcW w:w="2339" w:type="dxa"/>
            <w:vMerge w:val="restart"/>
          </w:tcPr>
          <w:p w:rsidR="00A30AF0" w:rsidRPr="004B1710" w:rsidRDefault="00A30AF0" w:rsidP="00124A5A">
            <w:pPr>
              <w:rPr>
                <w:rFonts w:ascii="Arial" w:hAnsi="Arial" w:cs="Arial"/>
                <w:b/>
                <w:color w:val="FF0000"/>
                <w:sz w:val="20"/>
                <w:szCs w:val="20"/>
              </w:rPr>
            </w:pPr>
            <w:r w:rsidRPr="004B1710">
              <w:rPr>
                <w:rFonts w:ascii="Arial" w:hAnsi="Arial" w:cs="Arial"/>
                <w:b/>
                <w:color w:val="FF0000"/>
                <w:sz w:val="20"/>
                <w:szCs w:val="20"/>
              </w:rPr>
              <w:t>Red (R): not able to evidence any</w:t>
            </w:r>
          </w:p>
          <w:p w:rsidR="00A30AF0" w:rsidRPr="004B1710" w:rsidRDefault="00A30AF0" w:rsidP="00124A5A">
            <w:pPr>
              <w:rPr>
                <w:rFonts w:ascii="Arial" w:hAnsi="Arial" w:cs="Arial"/>
                <w:b/>
                <w:sz w:val="20"/>
                <w:szCs w:val="20"/>
              </w:rPr>
            </w:pPr>
            <w:r w:rsidRPr="004B1710">
              <w:rPr>
                <w:rFonts w:ascii="Arial" w:hAnsi="Arial" w:cs="Arial"/>
                <w:b/>
                <w:color w:val="F79646"/>
                <w:sz w:val="20"/>
                <w:szCs w:val="20"/>
              </w:rPr>
              <w:t>Amber (A): evidence of some but not all</w:t>
            </w:r>
          </w:p>
          <w:p w:rsidR="00A30AF0" w:rsidRPr="004B1710" w:rsidRDefault="00A30AF0" w:rsidP="00124A5A">
            <w:pPr>
              <w:rPr>
                <w:rFonts w:ascii="Arial" w:hAnsi="Arial" w:cs="Arial"/>
                <w:b/>
                <w:color w:val="FF0000"/>
                <w:sz w:val="20"/>
                <w:szCs w:val="20"/>
              </w:rPr>
            </w:pPr>
            <w:r w:rsidRPr="004B1710">
              <w:rPr>
                <w:rFonts w:ascii="Arial" w:hAnsi="Arial" w:cs="Arial"/>
                <w:b/>
                <w:color w:val="00B050"/>
                <w:sz w:val="20"/>
                <w:szCs w:val="20"/>
              </w:rPr>
              <w:t>Green (G): evidence of all and more</w:t>
            </w:r>
          </w:p>
        </w:tc>
      </w:tr>
      <w:tr w:rsidR="00A30AF0" w:rsidRPr="004B1710" w:rsidTr="00124A5A">
        <w:trPr>
          <w:cantSplit/>
          <w:trHeight w:val="251"/>
        </w:trPr>
        <w:tc>
          <w:tcPr>
            <w:tcW w:w="10718" w:type="dxa"/>
          </w:tcPr>
          <w:p w:rsidR="00A30AF0" w:rsidRPr="009402CC" w:rsidRDefault="00A30AF0" w:rsidP="00124A5A">
            <w:pPr>
              <w:rPr>
                <w:rFonts w:ascii="Arial" w:hAnsi="Arial" w:cs="Arial"/>
                <w:sz w:val="22"/>
              </w:rPr>
            </w:pPr>
            <w:r w:rsidRPr="009402CC">
              <w:rPr>
                <w:rFonts w:ascii="Arial" w:hAnsi="Arial" w:cs="Arial"/>
                <w:sz w:val="22"/>
              </w:rPr>
              <w:t>Further training on the Prevent agenda is made available to the Strategic Prevent  lead, Safeguarding leads and other relevant staff where appropriate</w:t>
            </w:r>
            <w:r w:rsidR="00F97E6E" w:rsidRPr="009402CC">
              <w:rPr>
                <w:rFonts w:ascii="Arial" w:hAnsi="Arial" w:cs="Arial"/>
                <w:sz w:val="22"/>
              </w:rPr>
              <w:t xml:space="preserve"> and safeguarding training is renewed every two years.</w:t>
            </w:r>
          </w:p>
          <w:p w:rsidR="00A30AF0" w:rsidRPr="009402CC"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Pr>
        <w:tc>
          <w:tcPr>
            <w:tcW w:w="10718" w:type="dxa"/>
          </w:tcPr>
          <w:p w:rsidR="00A30AF0" w:rsidRPr="009402CC" w:rsidRDefault="00A30AF0" w:rsidP="00124A5A">
            <w:pPr>
              <w:rPr>
                <w:rFonts w:ascii="Arial" w:hAnsi="Arial" w:cs="Arial"/>
                <w:sz w:val="22"/>
              </w:rPr>
            </w:pPr>
            <w:r w:rsidRPr="009402CC">
              <w:rPr>
                <w:rFonts w:ascii="Arial" w:hAnsi="Arial" w:cs="Arial"/>
                <w:sz w:val="22"/>
              </w:rPr>
              <w:t>There is appropriate staff guidance and literature available to staff on the Prevent agenda</w:t>
            </w:r>
            <w:r w:rsidR="00F97E6E" w:rsidRPr="009402CC">
              <w:rPr>
                <w:rFonts w:ascii="Arial" w:hAnsi="Arial" w:cs="Arial"/>
                <w:sz w:val="22"/>
              </w:rPr>
              <w:t xml:space="preserve"> and staff </w:t>
            </w:r>
            <w:r w:rsidR="00832922" w:rsidRPr="009402CC">
              <w:rPr>
                <w:rFonts w:ascii="Arial" w:hAnsi="Arial" w:cs="Arial"/>
                <w:sz w:val="22"/>
              </w:rPr>
              <w:t xml:space="preserve"> </w:t>
            </w:r>
            <w:r w:rsidR="00F97E6E" w:rsidRPr="009402CC">
              <w:rPr>
                <w:rFonts w:ascii="Arial" w:hAnsi="Arial" w:cs="Arial"/>
                <w:sz w:val="22"/>
              </w:rPr>
              <w:t>have a good understanding of their own and school’s responsibility in relation to the Prevent duty.</w:t>
            </w:r>
          </w:p>
          <w:p w:rsidR="00A30AF0" w:rsidRPr="009402CC" w:rsidRDefault="00A30AF0" w:rsidP="00124A5A">
            <w:pPr>
              <w:rPr>
                <w:rFonts w:ascii="Arial" w:hAnsi="Arial" w:cs="Arial"/>
                <w:sz w:val="22"/>
              </w:rPr>
            </w:pPr>
            <w:r w:rsidRPr="009402CC">
              <w:rPr>
                <w:rFonts w:ascii="Arial" w:hAnsi="Arial" w:cs="Arial"/>
                <w:sz w:val="22"/>
              </w:rPr>
              <w:t xml:space="preserve">                                                                                                                                                                                         </w:t>
            </w: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Pr>
        <w:tc>
          <w:tcPr>
            <w:tcW w:w="14508" w:type="dxa"/>
            <w:gridSpan w:val="3"/>
            <w:shd w:val="clear" w:color="auto" w:fill="D6E3BC"/>
          </w:tcPr>
          <w:p w:rsidR="00A30AF0" w:rsidRPr="00A30AF0" w:rsidRDefault="00A30AF0" w:rsidP="00A30AF0"/>
          <w:p w:rsidR="00A30AF0" w:rsidRDefault="00A30AF0" w:rsidP="00124A5A">
            <w:pPr>
              <w:pStyle w:val="Heading1"/>
              <w:rPr>
                <w:sz w:val="24"/>
              </w:rPr>
            </w:pPr>
            <w:r>
              <w:rPr>
                <w:sz w:val="24"/>
              </w:rPr>
              <w:t xml:space="preserve">3. RISK ASSESSMENT – Risks around extremism are understood and </w:t>
            </w:r>
            <w:r w:rsidRPr="004B1710">
              <w:rPr>
                <w:sz w:val="24"/>
              </w:rPr>
              <w:t>appropriate referral process is in place</w:t>
            </w:r>
          </w:p>
          <w:p w:rsidR="00A30AF0" w:rsidRPr="00820A11" w:rsidRDefault="00A30AF0" w:rsidP="00124A5A"/>
        </w:tc>
      </w:tr>
      <w:tr w:rsidR="00A30AF0" w:rsidRPr="004B1710" w:rsidTr="00124A5A">
        <w:tc>
          <w:tcPr>
            <w:tcW w:w="10718" w:type="dxa"/>
            <w:vAlign w:val="bottom"/>
          </w:tcPr>
          <w:p w:rsidR="00A30AF0" w:rsidRPr="004B1710" w:rsidRDefault="00A30AF0" w:rsidP="00124A5A">
            <w:pPr>
              <w:pStyle w:val="Heading1"/>
            </w:pPr>
            <w:r w:rsidRPr="004B1710">
              <w:t>Evidence</w:t>
            </w:r>
          </w:p>
        </w:tc>
        <w:tc>
          <w:tcPr>
            <w:tcW w:w="1451" w:type="dxa"/>
            <w:vAlign w:val="bottom"/>
          </w:tcPr>
          <w:p w:rsidR="00A30AF0" w:rsidRPr="004B1710" w:rsidRDefault="00A30AF0" w:rsidP="00124A5A">
            <w:pPr>
              <w:pStyle w:val="Heading1"/>
            </w:pPr>
            <w:r w:rsidRPr="006008CC">
              <w:rPr>
                <w:color w:val="FF0000"/>
              </w:rPr>
              <w:t>Red/</w:t>
            </w:r>
            <w:r w:rsidRPr="006008CC">
              <w:rPr>
                <w:color w:val="FF6600"/>
              </w:rPr>
              <w:t>Amber/</w:t>
            </w:r>
            <w:r>
              <w:t xml:space="preserve"> </w:t>
            </w:r>
            <w:r w:rsidRPr="006008CC">
              <w:rPr>
                <w:color w:val="00FF00"/>
              </w:rPr>
              <w:t>Green</w:t>
            </w:r>
          </w:p>
        </w:tc>
        <w:tc>
          <w:tcPr>
            <w:tcW w:w="2339" w:type="dxa"/>
            <w:vAlign w:val="bottom"/>
          </w:tcPr>
          <w:p w:rsidR="00A30AF0" w:rsidRPr="004B1710" w:rsidRDefault="00A30AF0" w:rsidP="00124A5A">
            <w:pPr>
              <w:pStyle w:val="Heading1"/>
            </w:pPr>
            <w:r w:rsidRPr="004B1710">
              <w:t>Self Assessed Rating</w:t>
            </w:r>
          </w:p>
        </w:tc>
      </w:tr>
      <w:tr w:rsidR="00A30AF0" w:rsidRPr="004B1710" w:rsidTr="00124A5A">
        <w:tc>
          <w:tcPr>
            <w:tcW w:w="10718" w:type="dxa"/>
          </w:tcPr>
          <w:p w:rsidR="00A30AF0" w:rsidRPr="002879DC" w:rsidRDefault="00A30AF0" w:rsidP="00124A5A">
            <w:pPr>
              <w:pStyle w:val="Heading1"/>
              <w:rPr>
                <w:b w:val="0"/>
                <w:color w:val="000000"/>
              </w:rPr>
            </w:pPr>
            <w:r>
              <w:rPr>
                <w:b w:val="0"/>
                <w:color w:val="000000"/>
              </w:rPr>
              <w:t>All key staff show understanding of risks affecting children and how to support individual children who may be at risk</w:t>
            </w:r>
          </w:p>
        </w:tc>
        <w:tc>
          <w:tcPr>
            <w:tcW w:w="1451" w:type="dxa"/>
          </w:tcPr>
          <w:p w:rsidR="00A30AF0" w:rsidRPr="004B1710" w:rsidRDefault="00A30AF0" w:rsidP="00124A5A">
            <w:pPr>
              <w:pStyle w:val="Heading1"/>
            </w:pPr>
          </w:p>
        </w:tc>
        <w:tc>
          <w:tcPr>
            <w:tcW w:w="2339" w:type="dxa"/>
            <w:vMerge w:val="restart"/>
          </w:tcPr>
          <w:p w:rsidR="00A30AF0" w:rsidRPr="004B1710" w:rsidRDefault="00A30AF0" w:rsidP="00124A5A">
            <w:pPr>
              <w:rPr>
                <w:rFonts w:ascii="Arial" w:hAnsi="Arial" w:cs="Arial"/>
                <w:b/>
                <w:color w:val="FF0000"/>
                <w:sz w:val="20"/>
                <w:szCs w:val="20"/>
              </w:rPr>
            </w:pPr>
            <w:r w:rsidRPr="004B1710">
              <w:rPr>
                <w:rFonts w:ascii="Arial" w:hAnsi="Arial" w:cs="Arial"/>
                <w:b/>
                <w:color w:val="FF0000"/>
                <w:sz w:val="20"/>
                <w:szCs w:val="20"/>
              </w:rPr>
              <w:t>Red (R): not able to evidence any</w:t>
            </w:r>
          </w:p>
          <w:p w:rsidR="00A30AF0" w:rsidRPr="004B1710" w:rsidRDefault="00A30AF0" w:rsidP="00124A5A">
            <w:pPr>
              <w:rPr>
                <w:rFonts w:ascii="Arial" w:hAnsi="Arial" w:cs="Arial"/>
                <w:b/>
                <w:sz w:val="20"/>
                <w:szCs w:val="20"/>
              </w:rPr>
            </w:pPr>
            <w:r w:rsidRPr="004B1710">
              <w:rPr>
                <w:rFonts w:ascii="Arial" w:hAnsi="Arial" w:cs="Arial"/>
                <w:b/>
                <w:color w:val="F79646"/>
                <w:sz w:val="20"/>
                <w:szCs w:val="20"/>
              </w:rPr>
              <w:t>Amber (A): evidence of some but not all</w:t>
            </w:r>
          </w:p>
          <w:p w:rsidR="00A30AF0" w:rsidRPr="004B1710" w:rsidRDefault="00A30AF0" w:rsidP="00124A5A">
            <w:r w:rsidRPr="004B1710">
              <w:rPr>
                <w:rFonts w:ascii="Arial" w:hAnsi="Arial" w:cs="Arial"/>
                <w:b/>
                <w:color w:val="00B050"/>
                <w:sz w:val="20"/>
                <w:szCs w:val="20"/>
              </w:rPr>
              <w:t>Green (G): evidence of all and more</w:t>
            </w:r>
          </w:p>
        </w:tc>
      </w:tr>
      <w:tr w:rsidR="00A30AF0" w:rsidRPr="004B1710" w:rsidTr="00124A5A">
        <w:trPr>
          <w:cantSplit/>
          <w:trHeight w:val="252"/>
        </w:trPr>
        <w:tc>
          <w:tcPr>
            <w:tcW w:w="10718" w:type="dxa"/>
          </w:tcPr>
          <w:p w:rsidR="00A30AF0" w:rsidRPr="003174A5" w:rsidRDefault="00A30AF0" w:rsidP="00124A5A">
            <w:pPr>
              <w:rPr>
                <w:rFonts w:ascii="Arial" w:hAnsi="Arial" w:cs="Arial"/>
                <w:color w:val="000000"/>
                <w:sz w:val="22"/>
              </w:rPr>
            </w:pPr>
            <w:r w:rsidRPr="003174A5">
              <w:rPr>
                <w:rFonts w:ascii="Arial" w:hAnsi="Arial" w:cs="Arial"/>
                <w:color w:val="000000"/>
                <w:sz w:val="22"/>
              </w:rPr>
              <w:t>A single point of contact [SPoC] for any Prevent concerns raised by staff</w:t>
            </w:r>
            <w:r>
              <w:rPr>
                <w:rFonts w:ascii="Arial" w:hAnsi="Arial" w:cs="Arial"/>
                <w:color w:val="000000"/>
                <w:sz w:val="22"/>
              </w:rPr>
              <w:t>, students or parents</w:t>
            </w:r>
            <w:r w:rsidRPr="003174A5">
              <w:rPr>
                <w:rFonts w:ascii="Arial" w:hAnsi="Arial" w:cs="Arial"/>
                <w:color w:val="000000"/>
                <w:sz w:val="22"/>
              </w:rPr>
              <w:t xml:space="preserve"> within the school has been identified</w:t>
            </w: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color w:val="000000"/>
                <w:sz w:val="22"/>
              </w:rPr>
            </w:pPr>
            <w:r>
              <w:rPr>
                <w:rFonts w:ascii="Arial" w:hAnsi="Arial" w:cs="Arial"/>
                <w:color w:val="000000"/>
                <w:sz w:val="22"/>
              </w:rPr>
              <w:t>SPoC understands when it is appropriate to make a referral to the Channel programme</w:t>
            </w:r>
          </w:p>
          <w:p w:rsidR="00A30AF0" w:rsidRPr="003174A5" w:rsidRDefault="00A30AF0" w:rsidP="00124A5A">
            <w:pPr>
              <w:rPr>
                <w:rFonts w:ascii="Arial" w:hAnsi="Arial" w:cs="Arial"/>
                <w:color w:val="000000"/>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sz w:val="22"/>
              </w:rPr>
            </w:pPr>
            <w:r w:rsidRPr="004B1710">
              <w:rPr>
                <w:rFonts w:ascii="Arial" w:hAnsi="Arial" w:cs="Arial"/>
                <w:sz w:val="22"/>
              </w:rPr>
              <w:t>Prevent referrals/notifications are being managed or overseen by relevant staff</w:t>
            </w:r>
          </w:p>
          <w:p w:rsidR="00A30AF0" w:rsidRPr="004B1710"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18" w:type="dxa"/>
          </w:tcPr>
          <w:p w:rsidR="00A30AF0" w:rsidRDefault="00A30AF0" w:rsidP="00124A5A">
            <w:pPr>
              <w:rPr>
                <w:rFonts w:ascii="Arial" w:hAnsi="Arial" w:cs="Arial"/>
                <w:sz w:val="22"/>
              </w:rPr>
            </w:pPr>
            <w:r w:rsidRPr="004B1710">
              <w:rPr>
                <w:rFonts w:ascii="Arial" w:hAnsi="Arial" w:cs="Arial"/>
                <w:sz w:val="22"/>
              </w:rPr>
              <w:t>An audit trail for notification reports/referrals exists</w:t>
            </w:r>
          </w:p>
          <w:p w:rsidR="00A30AF0" w:rsidRPr="004B1710"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A30AF0" w:rsidRPr="004B1710" w:rsidTr="00CF4CCF">
        <w:trPr>
          <w:cantSplit/>
          <w:trHeight w:val="457"/>
        </w:trPr>
        <w:tc>
          <w:tcPr>
            <w:tcW w:w="10718" w:type="dxa"/>
          </w:tcPr>
          <w:p w:rsidR="00A30AF0" w:rsidRDefault="00A30AF0" w:rsidP="00124A5A">
            <w:pPr>
              <w:rPr>
                <w:rFonts w:ascii="Arial" w:hAnsi="Arial" w:cs="Arial"/>
                <w:sz w:val="22"/>
              </w:rPr>
            </w:pPr>
            <w:r w:rsidRPr="004B1710">
              <w:rPr>
                <w:rFonts w:ascii="Arial" w:hAnsi="Arial" w:cs="Arial"/>
                <w:sz w:val="22"/>
              </w:rPr>
              <w:t>A process is in place to identify and develop ‘lessons learnt’</w:t>
            </w:r>
          </w:p>
          <w:p w:rsidR="00A30AF0" w:rsidRPr="004B1710" w:rsidRDefault="00A30AF0" w:rsidP="00124A5A">
            <w:pPr>
              <w:rPr>
                <w:rFonts w:ascii="Arial" w:hAnsi="Arial" w:cs="Arial"/>
                <w:sz w:val="22"/>
              </w:rPr>
            </w:pPr>
          </w:p>
        </w:tc>
        <w:tc>
          <w:tcPr>
            <w:tcW w:w="1451" w:type="dxa"/>
          </w:tcPr>
          <w:p w:rsidR="00A30AF0" w:rsidRPr="004B1710" w:rsidRDefault="00A30AF0" w:rsidP="00124A5A">
            <w:pPr>
              <w:rPr>
                <w:rFonts w:ascii="Arial" w:hAnsi="Arial" w:cs="Arial"/>
                <w:sz w:val="22"/>
              </w:rPr>
            </w:pPr>
          </w:p>
        </w:tc>
        <w:tc>
          <w:tcPr>
            <w:tcW w:w="2339" w:type="dxa"/>
            <w:vMerge/>
          </w:tcPr>
          <w:p w:rsidR="00A30AF0" w:rsidRPr="004B1710" w:rsidRDefault="00A30AF0" w:rsidP="00124A5A">
            <w:pPr>
              <w:rPr>
                <w:rFonts w:ascii="Arial" w:hAnsi="Arial" w:cs="Arial"/>
                <w:sz w:val="22"/>
              </w:rPr>
            </w:pPr>
          </w:p>
        </w:tc>
      </w:tr>
      <w:tr w:rsidR="00CF4CCF" w:rsidRPr="004B1710" w:rsidTr="00CF4CCF">
        <w:trPr>
          <w:cantSplit/>
          <w:trHeight w:val="457"/>
        </w:trPr>
        <w:tc>
          <w:tcPr>
            <w:tcW w:w="10718" w:type="dxa"/>
          </w:tcPr>
          <w:p w:rsidR="00CF4CCF" w:rsidRPr="009402CC" w:rsidRDefault="0065093D" w:rsidP="0065093D">
            <w:pPr>
              <w:rPr>
                <w:rFonts w:ascii="Arial" w:hAnsi="Arial" w:cs="Arial"/>
                <w:sz w:val="22"/>
              </w:rPr>
            </w:pPr>
            <w:r w:rsidRPr="009402CC">
              <w:rPr>
                <w:rFonts w:ascii="Arial" w:hAnsi="Arial" w:cs="Arial"/>
                <w:sz w:val="22"/>
              </w:rPr>
              <w:t xml:space="preserve">Staff (including sub contracted staff) and governors </w:t>
            </w:r>
            <w:r w:rsidR="00CF4CCF" w:rsidRPr="009402CC">
              <w:rPr>
                <w:rFonts w:ascii="Arial" w:hAnsi="Arial" w:cs="Arial"/>
                <w:sz w:val="22"/>
              </w:rPr>
              <w:t xml:space="preserve">are carefully selected and </w:t>
            </w:r>
            <w:r w:rsidRPr="009402CC">
              <w:rPr>
                <w:rFonts w:ascii="Arial" w:hAnsi="Arial" w:cs="Arial"/>
                <w:sz w:val="22"/>
              </w:rPr>
              <w:t>vetted according to statutory requirements to ensure they have no links to extremism and no potential to put children and learners at risk of radicalisation.</w:t>
            </w:r>
            <w:r w:rsidR="00CF4CCF" w:rsidRPr="009402CC">
              <w:rPr>
                <w:rFonts w:ascii="Arial" w:hAnsi="Arial" w:cs="Arial"/>
                <w:sz w:val="22"/>
              </w:rPr>
              <w:t xml:space="preserve"> </w:t>
            </w:r>
          </w:p>
        </w:tc>
        <w:tc>
          <w:tcPr>
            <w:tcW w:w="1451" w:type="dxa"/>
          </w:tcPr>
          <w:p w:rsidR="00CF4CCF" w:rsidRPr="004B1710" w:rsidRDefault="00CF4CCF" w:rsidP="00124A5A">
            <w:pPr>
              <w:rPr>
                <w:rFonts w:ascii="Arial" w:hAnsi="Arial" w:cs="Arial"/>
                <w:sz w:val="22"/>
              </w:rPr>
            </w:pPr>
          </w:p>
        </w:tc>
        <w:tc>
          <w:tcPr>
            <w:tcW w:w="2339" w:type="dxa"/>
          </w:tcPr>
          <w:p w:rsidR="00CF4CCF" w:rsidRPr="004B1710" w:rsidRDefault="00CF4CCF" w:rsidP="00124A5A">
            <w:pPr>
              <w:rPr>
                <w:rFonts w:ascii="Arial" w:hAnsi="Arial" w:cs="Arial"/>
                <w:sz w:val="22"/>
              </w:rPr>
            </w:pPr>
          </w:p>
        </w:tc>
      </w:tr>
      <w:tr w:rsidR="00CF4CCF" w:rsidRPr="004B1710" w:rsidTr="00CF4CCF">
        <w:trPr>
          <w:cantSplit/>
          <w:trHeight w:val="457"/>
        </w:trPr>
        <w:tc>
          <w:tcPr>
            <w:tcW w:w="10718" w:type="dxa"/>
          </w:tcPr>
          <w:p w:rsidR="00CF4CCF" w:rsidRPr="009402CC" w:rsidRDefault="0065093D" w:rsidP="00124A5A">
            <w:pPr>
              <w:rPr>
                <w:rFonts w:ascii="Arial" w:hAnsi="Arial" w:cs="Arial"/>
                <w:sz w:val="22"/>
              </w:rPr>
            </w:pPr>
            <w:r w:rsidRPr="009402CC">
              <w:rPr>
                <w:rFonts w:ascii="Arial" w:hAnsi="Arial" w:cs="Arial"/>
                <w:sz w:val="22"/>
              </w:rPr>
              <w:t>Reasonable checks are carried out on visitors and volunteers to the schools who are intending to work with children, learners and/ or staff</w:t>
            </w:r>
            <w:r w:rsidR="00ED3F1E" w:rsidRPr="009402CC">
              <w:rPr>
                <w:rFonts w:ascii="Arial" w:hAnsi="Arial" w:cs="Arial"/>
                <w:sz w:val="22"/>
              </w:rPr>
              <w:t xml:space="preserve"> to ensure they have no links with extremism.</w:t>
            </w:r>
          </w:p>
        </w:tc>
        <w:tc>
          <w:tcPr>
            <w:tcW w:w="1451" w:type="dxa"/>
          </w:tcPr>
          <w:p w:rsidR="00CF4CCF" w:rsidRPr="004B1710" w:rsidRDefault="00CF4CCF" w:rsidP="00124A5A">
            <w:pPr>
              <w:rPr>
                <w:rFonts w:ascii="Arial" w:hAnsi="Arial" w:cs="Arial"/>
                <w:sz w:val="22"/>
              </w:rPr>
            </w:pPr>
          </w:p>
        </w:tc>
        <w:tc>
          <w:tcPr>
            <w:tcW w:w="2339" w:type="dxa"/>
          </w:tcPr>
          <w:p w:rsidR="00CF4CCF" w:rsidRPr="004B1710" w:rsidRDefault="00CF4CCF" w:rsidP="00124A5A">
            <w:pPr>
              <w:rPr>
                <w:rFonts w:ascii="Arial" w:hAnsi="Arial" w:cs="Arial"/>
                <w:sz w:val="22"/>
              </w:rPr>
            </w:pPr>
          </w:p>
        </w:tc>
      </w:tr>
      <w:tr w:rsidR="00ED3F1E" w:rsidRPr="00ED3F1E" w:rsidTr="00CF4CCF">
        <w:trPr>
          <w:cantSplit/>
          <w:trHeight w:val="457"/>
        </w:trPr>
        <w:tc>
          <w:tcPr>
            <w:tcW w:w="10718" w:type="dxa"/>
          </w:tcPr>
          <w:p w:rsidR="00ED3F1E" w:rsidRPr="009402CC" w:rsidRDefault="00ED3F1E" w:rsidP="00124A5A">
            <w:pPr>
              <w:rPr>
                <w:rFonts w:ascii="Arial" w:hAnsi="Arial" w:cs="Arial"/>
                <w:sz w:val="22"/>
              </w:rPr>
            </w:pPr>
            <w:r w:rsidRPr="009402CC">
              <w:rPr>
                <w:rFonts w:ascii="Arial" w:hAnsi="Arial" w:cs="Arial"/>
                <w:sz w:val="22"/>
              </w:rPr>
              <w:t xml:space="preserve">There is a policy covering the distribution, including electronic, </w:t>
            </w:r>
            <w:r w:rsidR="00111147" w:rsidRPr="009402CC">
              <w:rPr>
                <w:rFonts w:ascii="Arial" w:hAnsi="Arial" w:cs="Arial"/>
                <w:sz w:val="22"/>
              </w:rPr>
              <w:t>of leaflets and other materials on school premises.</w:t>
            </w:r>
          </w:p>
        </w:tc>
        <w:tc>
          <w:tcPr>
            <w:tcW w:w="1451" w:type="dxa"/>
          </w:tcPr>
          <w:p w:rsidR="00ED3F1E" w:rsidRPr="00ED3F1E" w:rsidRDefault="00ED3F1E" w:rsidP="00124A5A">
            <w:pPr>
              <w:rPr>
                <w:rFonts w:ascii="Arial" w:hAnsi="Arial" w:cs="Arial"/>
                <w:color w:val="FF0000"/>
                <w:sz w:val="22"/>
              </w:rPr>
            </w:pPr>
          </w:p>
        </w:tc>
        <w:tc>
          <w:tcPr>
            <w:tcW w:w="2339" w:type="dxa"/>
          </w:tcPr>
          <w:p w:rsidR="00ED3F1E" w:rsidRPr="00ED3F1E" w:rsidRDefault="00ED3F1E" w:rsidP="00124A5A">
            <w:pPr>
              <w:rPr>
                <w:rFonts w:ascii="Arial" w:hAnsi="Arial" w:cs="Arial"/>
                <w:color w:val="FF0000"/>
                <w:sz w:val="22"/>
              </w:rPr>
            </w:pPr>
          </w:p>
        </w:tc>
      </w:tr>
      <w:tr w:rsidR="007C5066" w:rsidRPr="00ED3F1E" w:rsidTr="00CF4CCF">
        <w:trPr>
          <w:cantSplit/>
          <w:trHeight w:val="457"/>
        </w:trPr>
        <w:tc>
          <w:tcPr>
            <w:tcW w:w="10718" w:type="dxa"/>
          </w:tcPr>
          <w:p w:rsidR="007C5066" w:rsidRPr="009402CC" w:rsidRDefault="00111147" w:rsidP="00124A5A">
            <w:pPr>
              <w:rPr>
                <w:rFonts w:ascii="Arial" w:hAnsi="Arial" w:cs="Arial"/>
                <w:sz w:val="22"/>
              </w:rPr>
            </w:pPr>
            <w:r w:rsidRPr="009402CC">
              <w:rPr>
                <w:rFonts w:ascii="Arial" w:hAnsi="Arial" w:cs="Arial"/>
                <w:sz w:val="22"/>
              </w:rPr>
              <w:t xml:space="preserve">Off </w:t>
            </w:r>
            <w:r w:rsidR="00832922" w:rsidRPr="009402CC">
              <w:rPr>
                <w:rFonts w:ascii="Arial" w:hAnsi="Arial" w:cs="Arial"/>
                <w:sz w:val="22"/>
              </w:rPr>
              <w:t>-</w:t>
            </w:r>
            <w:r w:rsidRPr="009402CC">
              <w:rPr>
                <w:rFonts w:ascii="Arial" w:hAnsi="Arial" w:cs="Arial"/>
                <w:sz w:val="22"/>
              </w:rPr>
              <w:t>site</w:t>
            </w:r>
            <w:r w:rsidR="008D3ABA" w:rsidRPr="009402CC">
              <w:rPr>
                <w:rFonts w:ascii="Arial" w:hAnsi="Arial" w:cs="Arial"/>
                <w:sz w:val="22"/>
              </w:rPr>
              <w:t xml:space="preserve"> events are assessed for risk under the framework of the Prevent duty</w:t>
            </w:r>
          </w:p>
        </w:tc>
        <w:tc>
          <w:tcPr>
            <w:tcW w:w="1451" w:type="dxa"/>
          </w:tcPr>
          <w:p w:rsidR="007C5066" w:rsidRPr="00ED3F1E" w:rsidRDefault="007C5066" w:rsidP="00124A5A">
            <w:pPr>
              <w:rPr>
                <w:rFonts w:ascii="Arial" w:hAnsi="Arial" w:cs="Arial"/>
                <w:color w:val="FF0000"/>
                <w:sz w:val="22"/>
              </w:rPr>
            </w:pPr>
          </w:p>
        </w:tc>
        <w:tc>
          <w:tcPr>
            <w:tcW w:w="2339" w:type="dxa"/>
          </w:tcPr>
          <w:p w:rsidR="007C5066" w:rsidRPr="00ED3F1E" w:rsidRDefault="007C5066" w:rsidP="00124A5A">
            <w:pPr>
              <w:rPr>
                <w:rFonts w:ascii="Arial" w:hAnsi="Arial" w:cs="Arial"/>
                <w:color w:val="FF0000"/>
                <w:sz w:val="22"/>
              </w:rPr>
            </w:pPr>
          </w:p>
        </w:tc>
      </w:tr>
    </w:tbl>
    <w:p w:rsidR="00A30AF0" w:rsidRDefault="00A30AF0" w:rsidP="00A30AF0">
      <w:pPr>
        <w:rPr>
          <w:rFonts w:ascii="Arial" w:hAnsi="Arial" w:cs="Arial"/>
          <w:sz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7"/>
        <w:gridCol w:w="1451"/>
        <w:gridCol w:w="2350"/>
      </w:tblGrid>
      <w:tr w:rsidR="00A30AF0" w:rsidRPr="004B1710" w:rsidTr="00124A5A">
        <w:trPr>
          <w:cantSplit/>
        </w:trPr>
        <w:tc>
          <w:tcPr>
            <w:tcW w:w="14508" w:type="dxa"/>
            <w:gridSpan w:val="3"/>
            <w:shd w:val="clear" w:color="auto" w:fill="D6E3BC"/>
          </w:tcPr>
          <w:p w:rsidR="00A30AF0" w:rsidRPr="004B1710" w:rsidRDefault="00A30AF0" w:rsidP="00124A5A">
            <w:pPr>
              <w:pStyle w:val="Heading1"/>
            </w:pPr>
          </w:p>
          <w:p w:rsidR="00A30AF0" w:rsidRPr="004C1B46" w:rsidRDefault="00A30AF0" w:rsidP="00124A5A">
            <w:pPr>
              <w:pStyle w:val="Heading1"/>
              <w:rPr>
                <w:sz w:val="24"/>
              </w:rPr>
            </w:pPr>
            <w:r>
              <w:rPr>
                <w:sz w:val="24"/>
              </w:rPr>
              <w:t xml:space="preserve">4. </w:t>
            </w:r>
            <w:r w:rsidRPr="00897A09">
              <w:rPr>
                <w:szCs w:val="22"/>
              </w:rPr>
              <w:t xml:space="preserve">WORKING IN PARTNERSHIP </w:t>
            </w:r>
            <w:r>
              <w:rPr>
                <w:szCs w:val="22"/>
              </w:rPr>
              <w:t>–</w:t>
            </w:r>
            <w:r>
              <w:rPr>
                <w:sz w:val="24"/>
              </w:rPr>
              <w:t xml:space="preserve"> </w:t>
            </w:r>
            <w:r>
              <w:rPr>
                <w:szCs w:val="22"/>
              </w:rPr>
              <w:t>develop multi-agency approaches to address safeguarding issues and deliver quality curriculums</w:t>
            </w:r>
          </w:p>
        </w:tc>
      </w:tr>
      <w:tr w:rsidR="00A30AF0" w:rsidRPr="004B1710" w:rsidTr="00124A5A">
        <w:tc>
          <w:tcPr>
            <w:tcW w:w="10707" w:type="dxa"/>
            <w:vAlign w:val="bottom"/>
          </w:tcPr>
          <w:p w:rsidR="00A30AF0" w:rsidRPr="004B1710" w:rsidRDefault="00A30AF0" w:rsidP="00124A5A">
            <w:pPr>
              <w:pStyle w:val="Heading1"/>
            </w:pPr>
            <w:r w:rsidRPr="004B1710">
              <w:t>Evidence</w:t>
            </w:r>
          </w:p>
        </w:tc>
        <w:tc>
          <w:tcPr>
            <w:tcW w:w="1451" w:type="dxa"/>
            <w:vAlign w:val="bottom"/>
          </w:tcPr>
          <w:p w:rsidR="00A30AF0" w:rsidRPr="004B1710" w:rsidRDefault="00A30AF0" w:rsidP="00124A5A">
            <w:pPr>
              <w:pStyle w:val="Heading1"/>
            </w:pPr>
            <w:r w:rsidRPr="006008CC">
              <w:rPr>
                <w:color w:val="FF0000"/>
              </w:rPr>
              <w:t>Red/</w:t>
            </w:r>
            <w:r w:rsidRPr="006008CC">
              <w:rPr>
                <w:color w:val="FF6600"/>
              </w:rPr>
              <w:t>Amber/</w:t>
            </w:r>
            <w:r>
              <w:t xml:space="preserve"> </w:t>
            </w:r>
            <w:r w:rsidRPr="006008CC">
              <w:rPr>
                <w:color w:val="00FF00"/>
              </w:rPr>
              <w:t>Green</w:t>
            </w:r>
          </w:p>
        </w:tc>
        <w:tc>
          <w:tcPr>
            <w:tcW w:w="2350" w:type="dxa"/>
            <w:vAlign w:val="bottom"/>
          </w:tcPr>
          <w:p w:rsidR="00A30AF0" w:rsidRPr="004B1710" w:rsidRDefault="00A30AF0" w:rsidP="00124A5A">
            <w:pPr>
              <w:pStyle w:val="Heading1"/>
              <w:rPr>
                <w:sz w:val="20"/>
                <w:szCs w:val="20"/>
              </w:rPr>
            </w:pPr>
            <w:r w:rsidRPr="004B1710">
              <w:rPr>
                <w:sz w:val="20"/>
                <w:szCs w:val="20"/>
              </w:rPr>
              <w:t>Self Assessed Rating</w:t>
            </w:r>
          </w:p>
        </w:tc>
      </w:tr>
      <w:tr w:rsidR="00A30AF0" w:rsidRPr="004B1710" w:rsidTr="00124A5A">
        <w:trPr>
          <w:cantSplit/>
          <w:trHeight w:val="252"/>
        </w:trPr>
        <w:tc>
          <w:tcPr>
            <w:tcW w:w="10707" w:type="dxa"/>
            <w:vAlign w:val="center"/>
          </w:tcPr>
          <w:p w:rsidR="00A30AF0" w:rsidRPr="003174A5" w:rsidRDefault="00A30AF0" w:rsidP="00124A5A">
            <w:pPr>
              <w:rPr>
                <w:rFonts w:ascii="Arial" w:hAnsi="Arial" w:cs="Arial"/>
                <w:color w:val="000000"/>
                <w:sz w:val="22"/>
                <w:szCs w:val="22"/>
              </w:rPr>
            </w:pPr>
            <w:r w:rsidRPr="004B1710">
              <w:rPr>
                <w:rFonts w:ascii="Arial" w:hAnsi="Arial" w:cs="Arial"/>
                <w:sz w:val="22"/>
              </w:rPr>
              <w:t>Partner agency communication channels have been developed</w:t>
            </w:r>
            <w:r>
              <w:rPr>
                <w:rFonts w:ascii="Arial" w:hAnsi="Arial" w:cs="Arial"/>
                <w:sz w:val="22"/>
              </w:rPr>
              <w:t xml:space="preserve"> – Prevent Lead at Bradford Council and West Yorkshire Police are first port of call when outside agencies need to be consulted or for making a Channel referral.</w:t>
            </w:r>
          </w:p>
        </w:tc>
        <w:tc>
          <w:tcPr>
            <w:tcW w:w="1451" w:type="dxa"/>
          </w:tcPr>
          <w:p w:rsidR="00A30AF0" w:rsidRPr="004B1710" w:rsidRDefault="00A30AF0" w:rsidP="00124A5A">
            <w:pPr>
              <w:rPr>
                <w:rFonts w:ascii="Arial" w:hAnsi="Arial" w:cs="Arial"/>
                <w:sz w:val="22"/>
              </w:rPr>
            </w:pPr>
          </w:p>
        </w:tc>
        <w:tc>
          <w:tcPr>
            <w:tcW w:w="2350" w:type="dxa"/>
            <w:vMerge w:val="restart"/>
          </w:tcPr>
          <w:p w:rsidR="00A30AF0" w:rsidRDefault="00A30AF0" w:rsidP="00124A5A">
            <w:pPr>
              <w:rPr>
                <w:rFonts w:ascii="Arial" w:hAnsi="Arial" w:cs="Arial"/>
                <w:b/>
                <w:color w:val="FF0000"/>
                <w:sz w:val="20"/>
                <w:szCs w:val="20"/>
              </w:rPr>
            </w:pPr>
            <w:r>
              <w:rPr>
                <w:rFonts w:ascii="Arial" w:hAnsi="Arial" w:cs="Arial"/>
                <w:b/>
                <w:color w:val="FF0000"/>
                <w:sz w:val="20"/>
                <w:szCs w:val="20"/>
              </w:rPr>
              <w:t xml:space="preserve"> </w:t>
            </w:r>
          </w:p>
          <w:p w:rsidR="00A30AF0" w:rsidRPr="004B1710" w:rsidRDefault="00A30AF0" w:rsidP="00124A5A">
            <w:pPr>
              <w:rPr>
                <w:rFonts w:ascii="Arial" w:hAnsi="Arial" w:cs="Arial"/>
                <w:b/>
                <w:color w:val="FF0000"/>
                <w:sz w:val="20"/>
                <w:szCs w:val="20"/>
              </w:rPr>
            </w:pPr>
            <w:r w:rsidRPr="004B1710">
              <w:rPr>
                <w:rFonts w:ascii="Arial" w:hAnsi="Arial" w:cs="Arial"/>
                <w:b/>
                <w:color w:val="FF0000"/>
                <w:sz w:val="20"/>
                <w:szCs w:val="20"/>
              </w:rPr>
              <w:t>Red (R): not able to evidence any</w:t>
            </w:r>
          </w:p>
          <w:p w:rsidR="00A30AF0" w:rsidRPr="004B1710" w:rsidRDefault="00A30AF0" w:rsidP="00124A5A">
            <w:pPr>
              <w:rPr>
                <w:rFonts w:ascii="Arial" w:hAnsi="Arial" w:cs="Arial"/>
                <w:b/>
                <w:sz w:val="20"/>
                <w:szCs w:val="20"/>
              </w:rPr>
            </w:pPr>
            <w:r w:rsidRPr="004B1710">
              <w:rPr>
                <w:rFonts w:ascii="Arial" w:hAnsi="Arial" w:cs="Arial"/>
                <w:b/>
                <w:color w:val="F79646"/>
                <w:sz w:val="20"/>
                <w:szCs w:val="20"/>
              </w:rPr>
              <w:lastRenderedPageBreak/>
              <w:t>Amber (A): evidence of some but not all</w:t>
            </w:r>
          </w:p>
          <w:p w:rsidR="00A30AF0" w:rsidRDefault="00A30AF0" w:rsidP="00124A5A">
            <w:pPr>
              <w:rPr>
                <w:rFonts w:ascii="Arial" w:hAnsi="Arial" w:cs="Arial"/>
                <w:b/>
                <w:color w:val="00B050"/>
                <w:sz w:val="20"/>
                <w:szCs w:val="20"/>
              </w:rPr>
            </w:pPr>
            <w:r w:rsidRPr="004B1710">
              <w:rPr>
                <w:rFonts w:ascii="Arial" w:hAnsi="Arial" w:cs="Arial"/>
                <w:b/>
                <w:color w:val="00B050"/>
                <w:sz w:val="20"/>
                <w:szCs w:val="20"/>
              </w:rPr>
              <w:t xml:space="preserve">Green (G): evidence </w:t>
            </w:r>
          </w:p>
          <w:p w:rsidR="00A30AF0" w:rsidRPr="004B1710" w:rsidRDefault="00A30AF0" w:rsidP="00124A5A">
            <w:pPr>
              <w:rPr>
                <w:rFonts w:ascii="Arial" w:hAnsi="Arial" w:cs="Arial"/>
                <w:sz w:val="20"/>
                <w:szCs w:val="20"/>
              </w:rPr>
            </w:pPr>
            <w:r w:rsidRPr="004B1710">
              <w:rPr>
                <w:rFonts w:ascii="Arial" w:hAnsi="Arial" w:cs="Arial"/>
                <w:b/>
                <w:color w:val="00B050"/>
                <w:sz w:val="20"/>
                <w:szCs w:val="20"/>
              </w:rPr>
              <w:t>of all and more</w:t>
            </w:r>
          </w:p>
        </w:tc>
      </w:tr>
      <w:tr w:rsidR="00A30AF0" w:rsidRPr="004B1710" w:rsidTr="00124A5A">
        <w:trPr>
          <w:cantSplit/>
          <w:trHeight w:val="251"/>
        </w:trPr>
        <w:tc>
          <w:tcPr>
            <w:tcW w:w="10707" w:type="dxa"/>
            <w:vAlign w:val="bottom"/>
          </w:tcPr>
          <w:p w:rsidR="00A30AF0" w:rsidRDefault="00A30AF0" w:rsidP="00124A5A">
            <w:pPr>
              <w:rPr>
                <w:rFonts w:ascii="Arial" w:hAnsi="Arial" w:cs="Arial"/>
                <w:color w:val="000000"/>
                <w:sz w:val="22"/>
                <w:szCs w:val="22"/>
              </w:rPr>
            </w:pPr>
          </w:p>
          <w:p w:rsidR="00A30AF0" w:rsidRPr="003174A5" w:rsidRDefault="00A30AF0" w:rsidP="00124A5A">
            <w:pPr>
              <w:rPr>
                <w:rFonts w:ascii="Arial" w:hAnsi="Arial" w:cs="Arial"/>
                <w:color w:val="000000"/>
                <w:sz w:val="22"/>
                <w:szCs w:val="22"/>
              </w:rPr>
            </w:pPr>
            <w:r>
              <w:rPr>
                <w:rFonts w:ascii="Arial" w:hAnsi="Arial" w:cs="Arial"/>
                <w:color w:val="000000"/>
                <w:sz w:val="22"/>
                <w:szCs w:val="22"/>
              </w:rPr>
              <w:t xml:space="preserve">SPOC identified in Children’s Services to liaise on a range of safeguarding issues </w:t>
            </w: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07" w:type="dxa"/>
            <w:vAlign w:val="bottom"/>
          </w:tcPr>
          <w:p w:rsidR="00A30AF0" w:rsidRDefault="00A30AF0" w:rsidP="00124A5A">
            <w:pPr>
              <w:rPr>
                <w:rFonts w:ascii="Arial" w:hAnsi="Arial" w:cs="Arial"/>
                <w:color w:val="000000"/>
                <w:sz w:val="22"/>
                <w:szCs w:val="22"/>
              </w:rPr>
            </w:pPr>
            <w:r>
              <w:rPr>
                <w:rFonts w:ascii="Arial" w:hAnsi="Arial" w:cs="Arial"/>
                <w:color w:val="000000"/>
                <w:sz w:val="22"/>
                <w:szCs w:val="22"/>
              </w:rPr>
              <w:lastRenderedPageBreak/>
              <w:t xml:space="preserve">Effective links established with Children’s Services for support on radicalisation and extremism </w:t>
            </w:r>
          </w:p>
          <w:p w:rsidR="00A30AF0" w:rsidRPr="00F86A70" w:rsidRDefault="00A30AF0" w:rsidP="00124A5A">
            <w:pPr>
              <w:rPr>
                <w:rFonts w:ascii="Arial" w:hAnsi="Arial" w:cs="Arial"/>
                <w:sz w:val="22"/>
                <w:szCs w:val="22"/>
              </w:rPr>
            </w:pP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A30AF0" w:rsidRPr="004B1710" w:rsidTr="00124A5A">
        <w:trPr>
          <w:cantSplit/>
          <w:trHeight w:val="251"/>
        </w:trPr>
        <w:tc>
          <w:tcPr>
            <w:tcW w:w="10707" w:type="dxa"/>
            <w:vAlign w:val="bottom"/>
          </w:tcPr>
          <w:p w:rsidR="00A30AF0" w:rsidRDefault="00A30AF0" w:rsidP="00124A5A">
            <w:pPr>
              <w:rPr>
                <w:rFonts w:ascii="Arial" w:hAnsi="Arial" w:cs="Arial"/>
                <w:color w:val="000000"/>
                <w:sz w:val="22"/>
                <w:szCs w:val="22"/>
              </w:rPr>
            </w:pPr>
            <w:r>
              <w:rPr>
                <w:rFonts w:ascii="Arial" w:hAnsi="Arial" w:cs="Arial"/>
                <w:color w:val="000000"/>
                <w:sz w:val="22"/>
                <w:szCs w:val="22"/>
              </w:rPr>
              <w:t xml:space="preserve">School has policy/procedure for working with partner organisations, individuals and external users of school premises  </w:t>
            </w:r>
          </w:p>
        </w:tc>
        <w:tc>
          <w:tcPr>
            <w:tcW w:w="1451" w:type="dxa"/>
          </w:tcPr>
          <w:p w:rsidR="00A30AF0" w:rsidRPr="004B1710" w:rsidRDefault="00A30AF0" w:rsidP="00124A5A">
            <w:pPr>
              <w:rPr>
                <w:rFonts w:ascii="Arial" w:hAnsi="Arial" w:cs="Arial"/>
                <w:sz w:val="22"/>
              </w:rPr>
            </w:pPr>
          </w:p>
        </w:tc>
        <w:tc>
          <w:tcPr>
            <w:tcW w:w="2350" w:type="dxa"/>
          </w:tcPr>
          <w:p w:rsidR="00A30AF0" w:rsidRPr="004B1710" w:rsidRDefault="00A30AF0" w:rsidP="00124A5A">
            <w:pPr>
              <w:rPr>
                <w:rFonts w:ascii="Arial" w:hAnsi="Arial" w:cs="Arial"/>
                <w:sz w:val="22"/>
              </w:rPr>
            </w:pPr>
          </w:p>
        </w:tc>
      </w:tr>
    </w:tbl>
    <w:p w:rsidR="00A30AF0" w:rsidRPr="004B1710" w:rsidRDefault="00A30AF0" w:rsidP="00A30AF0">
      <w:pPr>
        <w:rPr>
          <w:rFonts w:ascii="Arial" w:hAnsi="Arial" w:cs="Arial"/>
          <w:sz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7"/>
        <w:gridCol w:w="1451"/>
        <w:gridCol w:w="2350"/>
      </w:tblGrid>
      <w:tr w:rsidR="00A30AF0" w:rsidRPr="004B1710" w:rsidTr="00124A5A">
        <w:trPr>
          <w:cantSplit/>
        </w:trPr>
        <w:tc>
          <w:tcPr>
            <w:tcW w:w="14508" w:type="dxa"/>
            <w:gridSpan w:val="3"/>
            <w:shd w:val="clear" w:color="auto" w:fill="D6E3BC"/>
          </w:tcPr>
          <w:p w:rsidR="00A30AF0" w:rsidRPr="004B1710" w:rsidRDefault="00A30AF0" w:rsidP="00124A5A">
            <w:pPr>
              <w:pStyle w:val="Heading1"/>
            </w:pPr>
            <w:r>
              <w:rPr>
                <w:sz w:val="24"/>
              </w:rPr>
              <w:t xml:space="preserve">5. </w:t>
            </w:r>
            <w:r w:rsidRPr="00897A09">
              <w:rPr>
                <w:color w:val="000000"/>
                <w:szCs w:val="22"/>
              </w:rPr>
              <w:t>TEACHING and LEARNING</w:t>
            </w:r>
            <w:r w:rsidRPr="00897A09">
              <w:rPr>
                <w:szCs w:val="22"/>
              </w:rPr>
              <w:t xml:space="preserve"> </w:t>
            </w:r>
            <w:r>
              <w:rPr>
                <w:szCs w:val="22"/>
              </w:rPr>
              <w:t xml:space="preserve">– develop effective learning opportunities to safeguard children from </w:t>
            </w:r>
            <w:r w:rsidRPr="00897A09">
              <w:rPr>
                <w:szCs w:val="22"/>
              </w:rPr>
              <w:t>extremism and promote community cohesion</w:t>
            </w:r>
          </w:p>
        </w:tc>
      </w:tr>
      <w:tr w:rsidR="00A30AF0" w:rsidRPr="004B1710" w:rsidTr="00832922">
        <w:tc>
          <w:tcPr>
            <w:tcW w:w="10707" w:type="dxa"/>
            <w:vAlign w:val="bottom"/>
          </w:tcPr>
          <w:p w:rsidR="00A30AF0" w:rsidRPr="004B1710" w:rsidRDefault="00A30AF0" w:rsidP="00124A5A">
            <w:pPr>
              <w:pStyle w:val="Heading1"/>
            </w:pPr>
            <w:r w:rsidRPr="004B1710">
              <w:t>Evidence</w:t>
            </w:r>
          </w:p>
        </w:tc>
        <w:tc>
          <w:tcPr>
            <w:tcW w:w="1451" w:type="dxa"/>
            <w:vAlign w:val="bottom"/>
          </w:tcPr>
          <w:p w:rsidR="00A30AF0" w:rsidRPr="004B1710" w:rsidRDefault="00A30AF0" w:rsidP="00124A5A">
            <w:pPr>
              <w:pStyle w:val="Heading1"/>
            </w:pPr>
            <w:r w:rsidRPr="006008CC">
              <w:rPr>
                <w:color w:val="FF0000"/>
              </w:rPr>
              <w:t>Red/</w:t>
            </w:r>
            <w:r w:rsidRPr="006008CC">
              <w:rPr>
                <w:color w:val="FF6600"/>
              </w:rPr>
              <w:t>Amber/</w:t>
            </w:r>
            <w:r>
              <w:t xml:space="preserve"> </w:t>
            </w:r>
            <w:r w:rsidRPr="006008CC">
              <w:rPr>
                <w:color w:val="00FF00"/>
              </w:rPr>
              <w:t>Green</w:t>
            </w:r>
          </w:p>
        </w:tc>
        <w:tc>
          <w:tcPr>
            <w:tcW w:w="2350" w:type="dxa"/>
            <w:vAlign w:val="bottom"/>
          </w:tcPr>
          <w:p w:rsidR="00A30AF0" w:rsidRPr="004B1710" w:rsidRDefault="00A30AF0" w:rsidP="00124A5A">
            <w:pPr>
              <w:pStyle w:val="Heading1"/>
              <w:rPr>
                <w:sz w:val="20"/>
                <w:szCs w:val="20"/>
              </w:rPr>
            </w:pPr>
            <w:r w:rsidRPr="004B1710">
              <w:rPr>
                <w:sz w:val="20"/>
                <w:szCs w:val="20"/>
              </w:rPr>
              <w:t>Self Assessed Rating</w:t>
            </w:r>
          </w:p>
        </w:tc>
      </w:tr>
      <w:tr w:rsidR="00A30AF0" w:rsidRPr="004B1710" w:rsidTr="00832922">
        <w:trPr>
          <w:cantSplit/>
          <w:trHeight w:val="252"/>
        </w:trPr>
        <w:tc>
          <w:tcPr>
            <w:tcW w:w="10707" w:type="dxa"/>
          </w:tcPr>
          <w:p w:rsidR="00A30AF0" w:rsidRPr="003174A5" w:rsidRDefault="00A30AF0" w:rsidP="00124A5A">
            <w:pPr>
              <w:rPr>
                <w:rFonts w:ascii="Arial" w:hAnsi="Arial" w:cs="Arial"/>
                <w:color w:val="000000"/>
                <w:sz w:val="22"/>
                <w:szCs w:val="22"/>
              </w:rPr>
            </w:pPr>
            <w:r w:rsidRPr="003174A5">
              <w:rPr>
                <w:rFonts w:ascii="Arial" w:hAnsi="Arial" w:cs="Arial"/>
                <w:color w:val="000000"/>
                <w:sz w:val="22"/>
                <w:szCs w:val="22"/>
              </w:rPr>
              <w:t>School has a range of initiatives and activities that promote the spiritua</w:t>
            </w:r>
            <w:r w:rsidRPr="003174A5">
              <w:rPr>
                <w:rFonts w:ascii="Arial" w:hAnsi="Arial" w:cs="Arial"/>
                <w:bCs/>
                <w:color w:val="000000"/>
                <w:sz w:val="22"/>
                <w:szCs w:val="22"/>
              </w:rPr>
              <w:t>l, moral, social and emotional needs of children aimed at protecting them from radicalisation and extremist influences</w:t>
            </w:r>
            <w:r w:rsidRPr="003174A5">
              <w:rPr>
                <w:rFonts w:ascii="Arial" w:hAnsi="Arial" w:cs="Arial"/>
                <w:bCs/>
                <w:i/>
                <w:color w:val="000000"/>
                <w:sz w:val="22"/>
                <w:szCs w:val="22"/>
              </w:rPr>
              <w:t xml:space="preserve"> </w:t>
            </w:r>
          </w:p>
        </w:tc>
        <w:tc>
          <w:tcPr>
            <w:tcW w:w="1451" w:type="dxa"/>
          </w:tcPr>
          <w:p w:rsidR="00A30AF0" w:rsidRPr="004B1710" w:rsidRDefault="00A30AF0" w:rsidP="00124A5A">
            <w:pPr>
              <w:rPr>
                <w:rFonts w:ascii="Arial" w:hAnsi="Arial" w:cs="Arial"/>
                <w:sz w:val="22"/>
              </w:rPr>
            </w:pPr>
          </w:p>
        </w:tc>
        <w:tc>
          <w:tcPr>
            <w:tcW w:w="2350" w:type="dxa"/>
            <w:vMerge w:val="restart"/>
          </w:tcPr>
          <w:p w:rsidR="00A30AF0" w:rsidRDefault="00A30AF0" w:rsidP="00124A5A">
            <w:pPr>
              <w:rPr>
                <w:rFonts w:ascii="Arial" w:hAnsi="Arial" w:cs="Arial"/>
                <w:b/>
                <w:color w:val="FF0000"/>
                <w:sz w:val="20"/>
                <w:szCs w:val="20"/>
              </w:rPr>
            </w:pPr>
            <w:r>
              <w:rPr>
                <w:rFonts w:ascii="Arial" w:hAnsi="Arial" w:cs="Arial"/>
                <w:b/>
                <w:color w:val="FF0000"/>
                <w:sz w:val="20"/>
                <w:szCs w:val="20"/>
              </w:rPr>
              <w:t xml:space="preserve"> </w:t>
            </w:r>
          </w:p>
          <w:p w:rsidR="00A30AF0" w:rsidRPr="004B1710" w:rsidRDefault="00A30AF0" w:rsidP="00124A5A">
            <w:pPr>
              <w:rPr>
                <w:rFonts w:ascii="Arial" w:hAnsi="Arial" w:cs="Arial"/>
                <w:b/>
                <w:color w:val="FF0000"/>
                <w:sz w:val="20"/>
                <w:szCs w:val="20"/>
              </w:rPr>
            </w:pPr>
            <w:r w:rsidRPr="004B1710">
              <w:rPr>
                <w:rFonts w:ascii="Arial" w:hAnsi="Arial" w:cs="Arial"/>
                <w:b/>
                <w:color w:val="FF0000"/>
                <w:sz w:val="20"/>
                <w:szCs w:val="20"/>
              </w:rPr>
              <w:t>Red (R): not able to evidence any</w:t>
            </w:r>
          </w:p>
          <w:p w:rsidR="00A30AF0" w:rsidRPr="004B1710" w:rsidRDefault="00A30AF0" w:rsidP="00124A5A">
            <w:pPr>
              <w:rPr>
                <w:rFonts w:ascii="Arial" w:hAnsi="Arial" w:cs="Arial"/>
                <w:b/>
                <w:sz w:val="20"/>
                <w:szCs w:val="20"/>
              </w:rPr>
            </w:pPr>
            <w:r w:rsidRPr="004B1710">
              <w:rPr>
                <w:rFonts w:ascii="Arial" w:hAnsi="Arial" w:cs="Arial"/>
                <w:b/>
                <w:color w:val="F79646"/>
                <w:sz w:val="20"/>
                <w:szCs w:val="20"/>
              </w:rPr>
              <w:t>Amber (A): evidence of some but not all</w:t>
            </w:r>
          </w:p>
          <w:p w:rsidR="00A30AF0" w:rsidRPr="004B1710" w:rsidRDefault="00A30AF0" w:rsidP="00124A5A">
            <w:pPr>
              <w:rPr>
                <w:rFonts w:ascii="Arial" w:hAnsi="Arial" w:cs="Arial"/>
                <w:sz w:val="20"/>
                <w:szCs w:val="20"/>
              </w:rPr>
            </w:pPr>
            <w:r w:rsidRPr="004B1710">
              <w:rPr>
                <w:rFonts w:ascii="Arial" w:hAnsi="Arial" w:cs="Arial"/>
                <w:b/>
                <w:color w:val="00B050"/>
                <w:sz w:val="20"/>
                <w:szCs w:val="20"/>
              </w:rPr>
              <w:t>Green (G): evidence of all and more</w:t>
            </w:r>
          </w:p>
        </w:tc>
      </w:tr>
      <w:tr w:rsidR="00A30AF0" w:rsidRPr="004B1710" w:rsidTr="00832922">
        <w:trPr>
          <w:cantSplit/>
          <w:trHeight w:val="251"/>
        </w:trPr>
        <w:tc>
          <w:tcPr>
            <w:tcW w:w="10707" w:type="dxa"/>
          </w:tcPr>
          <w:p w:rsidR="00A30AF0" w:rsidRPr="003174A5" w:rsidRDefault="00A30AF0" w:rsidP="00124A5A">
            <w:pPr>
              <w:rPr>
                <w:rFonts w:ascii="Arial" w:hAnsi="Arial" w:cs="Arial"/>
                <w:color w:val="000000"/>
                <w:sz w:val="22"/>
                <w:szCs w:val="22"/>
              </w:rPr>
            </w:pPr>
            <w:r w:rsidRPr="003174A5">
              <w:rPr>
                <w:rFonts w:ascii="Arial" w:hAnsi="Arial" w:cs="Arial"/>
                <w:bCs/>
                <w:color w:val="000000"/>
                <w:sz w:val="22"/>
                <w:szCs w:val="22"/>
              </w:rPr>
              <w:t>The sch</w:t>
            </w:r>
            <w:r>
              <w:rPr>
                <w:rFonts w:ascii="Arial" w:hAnsi="Arial" w:cs="Arial"/>
                <w:bCs/>
                <w:color w:val="000000"/>
                <w:sz w:val="22"/>
                <w:szCs w:val="22"/>
              </w:rPr>
              <w:t>ool delivers training that helps students</w:t>
            </w:r>
            <w:r w:rsidRPr="003174A5">
              <w:rPr>
                <w:rFonts w:ascii="Arial" w:hAnsi="Arial" w:cs="Arial"/>
                <w:bCs/>
                <w:color w:val="000000"/>
                <w:sz w:val="22"/>
                <w:szCs w:val="22"/>
              </w:rPr>
              <w:t xml:space="preserve"> develop</w:t>
            </w:r>
            <w:r>
              <w:rPr>
                <w:rFonts w:ascii="Arial" w:hAnsi="Arial" w:cs="Arial"/>
                <w:bCs/>
                <w:color w:val="000000"/>
                <w:sz w:val="22"/>
                <w:szCs w:val="22"/>
              </w:rPr>
              <w:t xml:space="preserve"> skills to </w:t>
            </w:r>
            <w:r w:rsidRPr="003174A5">
              <w:rPr>
                <w:rFonts w:ascii="Arial" w:hAnsi="Arial" w:cs="Arial"/>
                <w:bCs/>
                <w:color w:val="000000"/>
                <w:sz w:val="22"/>
                <w:szCs w:val="22"/>
              </w:rPr>
              <w:t>critical</w:t>
            </w:r>
            <w:r>
              <w:rPr>
                <w:rFonts w:ascii="Arial" w:hAnsi="Arial" w:cs="Arial"/>
                <w:bCs/>
                <w:color w:val="000000"/>
                <w:sz w:val="22"/>
                <w:szCs w:val="22"/>
              </w:rPr>
              <w:t xml:space="preserve">ly assess information, particularly </w:t>
            </w:r>
            <w:r w:rsidRPr="003174A5">
              <w:rPr>
                <w:rFonts w:ascii="Arial" w:hAnsi="Arial" w:cs="Arial"/>
                <w:bCs/>
                <w:color w:val="000000"/>
                <w:sz w:val="22"/>
                <w:szCs w:val="22"/>
              </w:rPr>
              <w:t>on-line and through social media</w:t>
            </w:r>
            <w:r>
              <w:rPr>
                <w:rFonts w:ascii="Arial" w:hAnsi="Arial" w:cs="Arial"/>
                <w:bCs/>
                <w:color w:val="000000"/>
                <w:sz w:val="22"/>
                <w:szCs w:val="22"/>
              </w:rPr>
              <w:t xml:space="preserve"> – supporting students to recognise risk and make safe choices. </w:t>
            </w: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A30AF0" w:rsidRPr="004B1710" w:rsidTr="00832922">
        <w:trPr>
          <w:cantSplit/>
          <w:trHeight w:val="251"/>
        </w:trPr>
        <w:tc>
          <w:tcPr>
            <w:tcW w:w="10707" w:type="dxa"/>
          </w:tcPr>
          <w:p w:rsidR="00A30AF0" w:rsidRPr="009402CC" w:rsidRDefault="00A30AF0" w:rsidP="00124A5A">
            <w:pPr>
              <w:rPr>
                <w:rFonts w:ascii="Arial" w:hAnsi="Arial" w:cs="Arial"/>
                <w:sz w:val="22"/>
                <w:szCs w:val="22"/>
              </w:rPr>
            </w:pPr>
            <w:r w:rsidRPr="009402CC">
              <w:rPr>
                <w:rFonts w:ascii="Arial" w:hAnsi="Arial" w:cs="Arial"/>
                <w:sz w:val="22"/>
                <w:szCs w:val="22"/>
              </w:rPr>
              <w:t>School has systems in place to safeguard students from accessing extremist websites</w:t>
            </w:r>
            <w:r w:rsidR="007C5066" w:rsidRPr="009402CC">
              <w:rPr>
                <w:rFonts w:ascii="Arial" w:hAnsi="Arial" w:cs="Arial"/>
                <w:sz w:val="22"/>
                <w:szCs w:val="22"/>
              </w:rPr>
              <w:t xml:space="preserve">, including on their own devices via Wi-Fi </w:t>
            </w:r>
            <w:r w:rsidRPr="009402CC">
              <w:rPr>
                <w:rFonts w:ascii="Arial" w:hAnsi="Arial" w:cs="Arial"/>
                <w:sz w:val="22"/>
                <w:szCs w:val="22"/>
              </w:rPr>
              <w:t xml:space="preserve"> e.g. IT filters/firewalls in place and</w:t>
            </w:r>
            <w:r w:rsidR="007C5066" w:rsidRPr="009402CC">
              <w:rPr>
                <w:rFonts w:ascii="Arial" w:hAnsi="Arial" w:cs="Arial"/>
                <w:sz w:val="22"/>
                <w:szCs w:val="22"/>
              </w:rPr>
              <w:t xml:space="preserve"> digital footprints monitored so repeated breaches of the policy can be detected.</w:t>
            </w: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A30AF0" w:rsidRPr="004B1710" w:rsidTr="00832922">
        <w:trPr>
          <w:cantSplit/>
          <w:trHeight w:val="251"/>
        </w:trPr>
        <w:tc>
          <w:tcPr>
            <w:tcW w:w="10707" w:type="dxa"/>
          </w:tcPr>
          <w:p w:rsidR="00A30AF0" w:rsidRPr="009402CC" w:rsidRDefault="00A30AF0" w:rsidP="00124A5A">
            <w:pPr>
              <w:rPr>
                <w:rFonts w:ascii="Arial" w:hAnsi="Arial" w:cs="Arial"/>
                <w:sz w:val="22"/>
                <w:szCs w:val="22"/>
              </w:rPr>
            </w:pPr>
            <w:r w:rsidRPr="009402CC">
              <w:rPr>
                <w:rFonts w:ascii="Arial" w:hAnsi="Arial" w:cs="Arial"/>
                <w:bCs/>
                <w:sz w:val="22"/>
                <w:szCs w:val="22"/>
              </w:rPr>
              <w:t>Students are aware of the benefits of community cohesion and the damaging effects of extremism on community relations</w:t>
            </w: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A30AF0" w:rsidRPr="004B1710" w:rsidTr="00832922">
        <w:trPr>
          <w:cantSplit/>
          <w:trHeight w:val="544"/>
        </w:trPr>
        <w:tc>
          <w:tcPr>
            <w:tcW w:w="10707" w:type="dxa"/>
          </w:tcPr>
          <w:p w:rsidR="00A30AF0" w:rsidRPr="009402CC" w:rsidRDefault="00A30AF0" w:rsidP="00124A5A">
            <w:pPr>
              <w:rPr>
                <w:rFonts w:ascii="Arial" w:hAnsi="Arial" w:cs="Arial"/>
                <w:sz w:val="22"/>
                <w:szCs w:val="22"/>
              </w:rPr>
            </w:pPr>
            <w:r w:rsidRPr="009402CC">
              <w:rPr>
                <w:rFonts w:ascii="Arial" w:hAnsi="Arial" w:cs="Arial"/>
                <w:bCs/>
                <w:sz w:val="22"/>
                <w:szCs w:val="22"/>
              </w:rPr>
              <w:t>Schools are able to provide a safe environment for dialogue around controversial issues and support students to understand how they can influence and participate in decision-making.</w:t>
            </w:r>
          </w:p>
        </w:tc>
        <w:tc>
          <w:tcPr>
            <w:tcW w:w="1451" w:type="dxa"/>
          </w:tcPr>
          <w:p w:rsidR="00A30AF0" w:rsidRPr="004B1710" w:rsidRDefault="00A30AF0" w:rsidP="00124A5A">
            <w:pPr>
              <w:rPr>
                <w:rFonts w:ascii="Arial" w:hAnsi="Arial" w:cs="Arial"/>
                <w:sz w:val="22"/>
              </w:rPr>
            </w:pPr>
          </w:p>
        </w:tc>
        <w:tc>
          <w:tcPr>
            <w:tcW w:w="2350" w:type="dxa"/>
            <w:vMerge/>
          </w:tcPr>
          <w:p w:rsidR="00A30AF0" w:rsidRPr="004B1710" w:rsidRDefault="00A30AF0" w:rsidP="00124A5A">
            <w:pPr>
              <w:rPr>
                <w:rFonts w:ascii="Arial" w:hAnsi="Arial" w:cs="Arial"/>
                <w:sz w:val="22"/>
              </w:rPr>
            </w:pPr>
          </w:p>
        </w:tc>
      </w:tr>
      <w:tr w:rsidR="00ED3F1E" w:rsidRPr="004B1710" w:rsidTr="00832922">
        <w:trPr>
          <w:cantSplit/>
          <w:trHeight w:val="544"/>
        </w:trPr>
        <w:tc>
          <w:tcPr>
            <w:tcW w:w="10707" w:type="dxa"/>
          </w:tcPr>
          <w:p w:rsidR="00ED3F1E" w:rsidRPr="009402CC" w:rsidRDefault="00ED3F1E" w:rsidP="007C5066">
            <w:pPr>
              <w:rPr>
                <w:rFonts w:ascii="Arial" w:hAnsi="Arial" w:cs="Arial"/>
                <w:bCs/>
                <w:sz w:val="22"/>
                <w:szCs w:val="22"/>
              </w:rPr>
            </w:pPr>
            <w:r w:rsidRPr="009402CC">
              <w:rPr>
                <w:rFonts w:ascii="Arial" w:hAnsi="Arial" w:cs="Arial"/>
                <w:bCs/>
                <w:sz w:val="22"/>
                <w:szCs w:val="22"/>
              </w:rPr>
              <w:t>Staff have sufficient knowledge and confidence to exemplify British Values in their leadership, teaching and through general behaviours in school.</w:t>
            </w:r>
            <w:r w:rsidR="007C5066" w:rsidRPr="009402CC">
              <w:rPr>
                <w:rFonts w:ascii="Arial" w:hAnsi="Arial" w:cs="Arial"/>
                <w:bCs/>
                <w:sz w:val="22"/>
                <w:szCs w:val="22"/>
              </w:rPr>
              <w:t xml:space="preserve"> </w:t>
            </w:r>
          </w:p>
        </w:tc>
        <w:tc>
          <w:tcPr>
            <w:tcW w:w="1451" w:type="dxa"/>
          </w:tcPr>
          <w:p w:rsidR="00ED3F1E" w:rsidRPr="004B1710" w:rsidRDefault="00ED3F1E" w:rsidP="00124A5A">
            <w:pPr>
              <w:rPr>
                <w:rFonts w:ascii="Arial" w:hAnsi="Arial" w:cs="Arial"/>
                <w:sz w:val="22"/>
              </w:rPr>
            </w:pPr>
          </w:p>
        </w:tc>
        <w:tc>
          <w:tcPr>
            <w:tcW w:w="2350" w:type="dxa"/>
          </w:tcPr>
          <w:p w:rsidR="00ED3F1E" w:rsidRPr="004B1710" w:rsidRDefault="00ED3F1E" w:rsidP="00124A5A">
            <w:pPr>
              <w:rPr>
                <w:rFonts w:ascii="Arial" w:hAnsi="Arial" w:cs="Arial"/>
                <w:sz w:val="22"/>
              </w:rPr>
            </w:pPr>
          </w:p>
        </w:tc>
      </w:tr>
      <w:tr w:rsidR="007C5066" w:rsidRPr="004B1710" w:rsidTr="00832922">
        <w:trPr>
          <w:cantSplit/>
          <w:trHeight w:val="544"/>
        </w:trPr>
        <w:tc>
          <w:tcPr>
            <w:tcW w:w="10707" w:type="dxa"/>
          </w:tcPr>
          <w:p w:rsidR="007C5066" w:rsidRPr="009402CC" w:rsidRDefault="007C5066" w:rsidP="007C5066">
            <w:pPr>
              <w:rPr>
                <w:rFonts w:ascii="Arial" w:hAnsi="Arial" w:cs="Arial"/>
                <w:bCs/>
                <w:sz w:val="22"/>
                <w:szCs w:val="22"/>
              </w:rPr>
            </w:pPr>
            <w:r w:rsidRPr="009402CC">
              <w:rPr>
                <w:rFonts w:ascii="Arial" w:hAnsi="Arial" w:cs="Arial"/>
                <w:bCs/>
                <w:sz w:val="22"/>
                <w:szCs w:val="22"/>
              </w:rPr>
              <w:t>Staff understand the factors that make students vulnerable to being drawn into terrorism and have the confidence to challenge extremist ideas used by terrorist groups, when working with young people.</w:t>
            </w:r>
          </w:p>
        </w:tc>
        <w:tc>
          <w:tcPr>
            <w:tcW w:w="1451" w:type="dxa"/>
          </w:tcPr>
          <w:p w:rsidR="007C5066" w:rsidRPr="004B1710" w:rsidRDefault="007C5066" w:rsidP="00124A5A">
            <w:pPr>
              <w:rPr>
                <w:rFonts w:ascii="Arial" w:hAnsi="Arial" w:cs="Arial"/>
                <w:sz w:val="22"/>
              </w:rPr>
            </w:pPr>
          </w:p>
        </w:tc>
        <w:tc>
          <w:tcPr>
            <w:tcW w:w="2350" w:type="dxa"/>
          </w:tcPr>
          <w:p w:rsidR="007C5066" w:rsidRPr="004B1710" w:rsidRDefault="007C5066" w:rsidP="00124A5A">
            <w:pPr>
              <w:rPr>
                <w:rFonts w:ascii="Arial" w:hAnsi="Arial" w:cs="Arial"/>
                <w:sz w:val="22"/>
              </w:rPr>
            </w:pPr>
          </w:p>
        </w:tc>
      </w:tr>
    </w:tbl>
    <w:p w:rsidR="00A30AF0" w:rsidRDefault="00A30AF0" w:rsidP="00A30AF0">
      <w:pPr>
        <w:rPr>
          <w:rFonts w:ascii="Arial" w:hAnsi="Arial" w:cs="Arial"/>
          <w:sz w:val="22"/>
          <w:szCs w:val="22"/>
        </w:rPr>
      </w:pPr>
      <w:r>
        <w:rPr>
          <w:rFonts w:ascii="Arial" w:hAnsi="Arial" w:cs="Arial"/>
          <w:sz w:val="22"/>
          <w:szCs w:val="22"/>
        </w:rPr>
        <w:t xml:space="preserve"> </w:t>
      </w:r>
    </w:p>
    <w:p w:rsidR="00A30AF0" w:rsidRDefault="00A30AF0" w:rsidP="00A30AF0">
      <w:pPr>
        <w:rPr>
          <w:rFonts w:ascii="Arial" w:hAnsi="Arial" w:cs="Arial"/>
          <w:sz w:val="22"/>
          <w:szCs w:val="22"/>
        </w:rPr>
      </w:pPr>
      <w:r w:rsidRPr="004C1B46">
        <w:rPr>
          <w:rFonts w:ascii="Arial" w:hAnsi="Arial" w:cs="Arial"/>
          <w:sz w:val="22"/>
          <w:szCs w:val="22"/>
        </w:rPr>
        <w:t xml:space="preserve">For further guidance please contact: </w:t>
      </w:r>
    </w:p>
    <w:p w:rsidR="00A30AF0" w:rsidRDefault="00A30AF0" w:rsidP="00A30AF0">
      <w:pPr>
        <w:rPr>
          <w:rFonts w:ascii="Arial" w:hAnsi="Arial" w:cs="Arial"/>
          <w:lang w:eastAsia="en-GB"/>
        </w:rPr>
      </w:pPr>
      <w:r>
        <w:rPr>
          <w:rFonts w:ascii="Arial" w:hAnsi="Arial" w:cs="Arial"/>
          <w:sz w:val="22"/>
          <w:szCs w:val="22"/>
        </w:rPr>
        <w:t>Danielle King</w:t>
      </w:r>
    </w:p>
    <w:p w:rsidR="00A30AF0" w:rsidRDefault="00A30AF0" w:rsidP="00A30AF0">
      <w:pPr>
        <w:rPr>
          <w:rFonts w:ascii="Arial" w:hAnsi="Arial" w:cs="Arial"/>
          <w:lang w:eastAsia="en-GB"/>
        </w:rPr>
      </w:pPr>
      <w:r>
        <w:rPr>
          <w:rFonts w:ascii="Arial" w:hAnsi="Arial" w:cs="Arial"/>
          <w:lang w:eastAsia="en-GB"/>
        </w:rPr>
        <w:t>Prevent Education Officer</w:t>
      </w:r>
    </w:p>
    <w:p w:rsidR="00A30AF0" w:rsidRDefault="00A30AF0" w:rsidP="00A30AF0">
      <w:pPr>
        <w:rPr>
          <w:rFonts w:ascii="Arial" w:hAnsi="Arial" w:cs="Arial"/>
          <w:lang w:eastAsia="en-GB"/>
        </w:rPr>
      </w:pPr>
      <w:r>
        <w:rPr>
          <w:rFonts w:ascii="Arial" w:hAnsi="Arial" w:cs="Arial"/>
          <w:lang w:eastAsia="en-GB"/>
        </w:rPr>
        <w:t>Tel: 01274 437770</w:t>
      </w:r>
    </w:p>
    <w:p w:rsidR="00A30AF0" w:rsidRDefault="00A30AF0" w:rsidP="00A30AF0">
      <w:pPr>
        <w:rPr>
          <w:rFonts w:ascii="Arial" w:hAnsi="Arial" w:cs="Arial"/>
          <w:lang w:eastAsia="en-GB"/>
        </w:rPr>
      </w:pPr>
      <w:r>
        <w:rPr>
          <w:rFonts w:ascii="Arial" w:hAnsi="Arial" w:cs="Arial"/>
          <w:lang w:eastAsia="en-GB"/>
        </w:rPr>
        <w:t>Mobile: 07870 991647</w:t>
      </w:r>
    </w:p>
    <w:p w:rsidR="00896C2F" w:rsidRDefault="00F94DDD" w:rsidP="007C5066">
      <w:hyperlink r:id="rId8" w:history="1">
        <w:r w:rsidR="00A30AF0" w:rsidRPr="00E763C7">
          <w:rPr>
            <w:rStyle w:val="Hyperlink"/>
            <w:rFonts w:ascii="Arial" w:hAnsi="Arial" w:cs="Arial"/>
            <w:lang w:eastAsia="en-GB"/>
          </w:rPr>
          <w:t>danielle.king@bradford.gov.uk</w:t>
        </w:r>
      </w:hyperlink>
      <w:r w:rsidR="00A30AF0">
        <w:rPr>
          <w:rFonts w:ascii="Arial" w:hAnsi="Arial" w:cs="Arial"/>
          <w:lang w:eastAsia="en-GB"/>
        </w:rPr>
        <w:t xml:space="preserve"> </w:t>
      </w:r>
    </w:p>
    <w:sectPr w:rsidR="00896C2F" w:rsidSect="00A30A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DA" w:rsidRDefault="003E6FDA" w:rsidP="00A30AF0">
      <w:r>
        <w:separator/>
      </w:r>
    </w:p>
  </w:endnote>
  <w:endnote w:type="continuationSeparator" w:id="0">
    <w:p w:rsidR="003E6FDA" w:rsidRDefault="003E6FDA" w:rsidP="00A3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DA" w:rsidRDefault="003E6FDA" w:rsidP="00A30AF0">
      <w:r>
        <w:separator/>
      </w:r>
    </w:p>
  </w:footnote>
  <w:footnote w:type="continuationSeparator" w:id="0">
    <w:p w:rsidR="003E6FDA" w:rsidRDefault="003E6FDA" w:rsidP="00A3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F0"/>
    <w:rsid w:val="00111147"/>
    <w:rsid w:val="003E6FDA"/>
    <w:rsid w:val="0065093D"/>
    <w:rsid w:val="007C5066"/>
    <w:rsid w:val="00832922"/>
    <w:rsid w:val="00896C2F"/>
    <w:rsid w:val="008D3ABA"/>
    <w:rsid w:val="009402CC"/>
    <w:rsid w:val="00A30AF0"/>
    <w:rsid w:val="00A46322"/>
    <w:rsid w:val="00CF4CCF"/>
    <w:rsid w:val="00ED3F1E"/>
    <w:rsid w:val="00F94DDD"/>
    <w:rsid w:val="00F9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AF0"/>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F0"/>
    <w:rPr>
      <w:rFonts w:ascii="Tahoma" w:hAnsi="Tahoma" w:cs="Tahoma"/>
      <w:sz w:val="16"/>
      <w:szCs w:val="16"/>
    </w:rPr>
  </w:style>
  <w:style w:type="character" w:customStyle="1" w:styleId="BalloonTextChar">
    <w:name w:val="Balloon Text Char"/>
    <w:basedOn w:val="DefaultParagraphFont"/>
    <w:link w:val="BalloonText"/>
    <w:uiPriority w:val="99"/>
    <w:semiHidden/>
    <w:rsid w:val="00A30AF0"/>
    <w:rPr>
      <w:rFonts w:ascii="Tahoma" w:hAnsi="Tahoma" w:cs="Tahoma"/>
      <w:sz w:val="16"/>
      <w:szCs w:val="16"/>
    </w:rPr>
  </w:style>
  <w:style w:type="character" w:customStyle="1" w:styleId="Heading1Char">
    <w:name w:val="Heading 1 Char"/>
    <w:basedOn w:val="DefaultParagraphFont"/>
    <w:link w:val="Heading1"/>
    <w:rsid w:val="00A30AF0"/>
    <w:rPr>
      <w:rFonts w:ascii="Arial" w:eastAsia="Times New Roman" w:hAnsi="Arial" w:cs="Arial"/>
      <w:b/>
      <w:bCs/>
      <w:szCs w:val="24"/>
    </w:rPr>
  </w:style>
  <w:style w:type="paragraph" w:styleId="Title">
    <w:name w:val="Title"/>
    <w:basedOn w:val="Normal"/>
    <w:link w:val="TitleChar"/>
    <w:qFormat/>
    <w:rsid w:val="00A30AF0"/>
    <w:pPr>
      <w:jc w:val="center"/>
    </w:pPr>
    <w:rPr>
      <w:rFonts w:ascii="Arial" w:hAnsi="Arial" w:cs="Arial"/>
      <w:b/>
      <w:bCs/>
    </w:rPr>
  </w:style>
  <w:style w:type="character" w:customStyle="1" w:styleId="TitleChar">
    <w:name w:val="Title Char"/>
    <w:basedOn w:val="DefaultParagraphFont"/>
    <w:link w:val="Title"/>
    <w:rsid w:val="00A30AF0"/>
    <w:rPr>
      <w:rFonts w:ascii="Arial" w:eastAsia="Times New Roman" w:hAnsi="Arial" w:cs="Arial"/>
      <w:b/>
      <w:bCs/>
      <w:sz w:val="24"/>
      <w:szCs w:val="24"/>
    </w:rPr>
  </w:style>
  <w:style w:type="character" w:styleId="Emphasis">
    <w:name w:val="Emphasis"/>
    <w:qFormat/>
    <w:rsid w:val="00A30AF0"/>
    <w:rPr>
      <w:rFonts w:ascii="Times New Roman" w:hAnsi="Times New Roman" w:cs="Times New Roman"/>
      <w:i/>
      <w:iCs/>
    </w:rPr>
  </w:style>
  <w:style w:type="character" w:styleId="Hyperlink">
    <w:name w:val="Hyperlink"/>
    <w:rsid w:val="00A30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AF0"/>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F0"/>
    <w:rPr>
      <w:rFonts w:ascii="Tahoma" w:hAnsi="Tahoma" w:cs="Tahoma"/>
      <w:sz w:val="16"/>
      <w:szCs w:val="16"/>
    </w:rPr>
  </w:style>
  <w:style w:type="character" w:customStyle="1" w:styleId="BalloonTextChar">
    <w:name w:val="Balloon Text Char"/>
    <w:basedOn w:val="DefaultParagraphFont"/>
    <w:link w:val="BalloonText"/>
    <w:uiPriority w:val="99"/>
    <w:semiHidden/>
    <w:rsid w:val="00A30AF0"/>
    <w:rPr>
      <w:rFonts w:ascii="Tahoma" w:hAnsi="Tahoma" w:cs="Tahoma"/>
      <w:sz w:val="16"/>
      <w:szCs w:val="16"/>
    </w:rPr>
  </w:style>
  <w:style w:type="character" w:customStyle="1" w:styleId="Heading1Char">
    <w:name w:val="Heading 1 Char"/>
    <w:basedOn w:val="DefaultParagraphFont"/>
    <w:link w:val="Heading1"/>
    <w:rsid w:val="00A30AF0"/>
    <w:rPr>
      <w:rFonts w:ascii="Arial" w:eastAsia="Times New Roman" w:hAnsi="Arial" w:cs="Arial"/>
      <w:b/>
      <w:bCs/>
      <w:szCs w:val="24"/>
    </w:rPr>
  </w:style>
  <w:style w:type="paragraph" w:styleId="Title">
    <w:name w:val="Title"/>
    <w:basedOn w:val="Normal"/>
    <w:link w:val="TitleChar"/>
    <w:qFormat/>
    <w:rsid w:val="00A30AF0"/>
    <w:pPr>
      <w:jc w:val="center"/>
    </w:pPr>
    <w:rPr>
      <w:rFonts w:ascii="Arial" w:hAnsi="Arial" w:cs="Arial"/>
      <w:b/>
      <w:bCs/>
    </w:rPr>
  </w:style>
  <w:style w:type="character" w:customStyle="1" w:styleId="TitleChar">
    <w:name w:val="Title Char"/>
    <w:basedOn w:val="DefaultParagraphFont"/>
    <w:link w:val="Title"/>
    <w:rsid w:val="00A30AF0"/>
    <w:rPr>
      <w:rFonts w:ascii="Arial" w:eastAsia="Times New Roman" w:hAnsi="Arial" w:cs="Arial"/>
      <w:b/>
      <w:bCs/>
      <w:sz w:val="24"/>
      <w:szCs w:val="24"/>
    </w:rPr>
  </w:style>
  <w:style w:type="character" w:styleId="Emphasis">
    <w:name w:val="Emphasis"/>
    <w:qFormat/>
    <w:rsid w:val="00A30AF0"/>
    <w:rPr>
      <w:rFonts w:ascii="Times New Roman" w:hAnsi="Times New Roman" w:cs="Times New Roman"/>
      <w:i/>
      <w:iCs/>
    </w:rPr>
  </w:style>
  <w:style w:type="character" w:styleId="Hyperlink">
    <w:name w:val="Hyperlink"/>
    <w:rsid w:val="00A3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king@brad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Danielle King</cp:lastModifiedBy>
  <cp:revision>2</cp:revision>
  <dcterms:created xsi:type="dcterms:W3CDTF">2018-06-08T12:46:00Z</dcterms:created>
  <dcterms:modified xsi:type="dcterms:W3CDTF">2018-06-08T12:46:00Z</dcterms:modified>
</cp:coreProperties>
</file>