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EB923" w14:textId="180EBA64" w:rsidR="00B04043" w:rsidRPr="00C60791" w:rsidRDefault="00C60791" w:rsidP="00BF0267">
      <w:pPr>
        <w:shd w:val="clear" w:color="auto" w:fill="FAE2D5" w:themeFill="accent2" w:themeFillTint="33"/>
        <w:jc w:val="center"/>
        <w:rPr>
          <w:b/>
          <w:bCs/>
        </w:rPr>
      </w:pPr>
      <w:r w:rsidRPr="00C60791">
        <w:rPr>
          <w:b/>
          <w:bCs/>
        </w:rPr>
        <w:t>Consultations</w:t>
      </w:r>
      <w:r>
        <w:rPr>
          <w:b/>
          <w:bCs/>
        </w:rPr>
        <w:t xml:space="preserve"> for school places to be named in an EHC Plan – </w:t>
      </w:r>
      <w:r w:rsidR="00C90798">
        <w:rPr>
          <w:b/>
          <w:bCs/>
        </w:rPr>
        <w:t>Bradford Council g</w:t>
      </w:r>
      <w:r>
        <w:rPr>
          <w:b/>
          <w:bCs/>
        </w:rPr>
        <w:t>uidance and rationale for consultation</w:t>
      </w:r>
    </w:p>
    <w:p w14:paraId="22128E09" w14:textId="62875E2D" w:rsidR="00C60791" w:rsidRDefault="00C60791" w:rsidP="00EC1364">
      <w:r>
        <w:t>The SEND Code of practice</w:t>
      </w:r>
      <w:r w:rsidR="005A243D">
        <w:t xml:space="preserve"> is th</w:t>
      </w:r>
      <w:r w:rsidR="00896BC1">
        <w:t>e</w:t>
      </w:r>
      <w:r w:rsidR="005A243D">
        <w:t xml:space="preserve"> statutory guidance that underpins the Children and Families Act, 2014. It</w:t>
      </w:r>
      <w:r>
        <w:t xml:space="preserve"> states the following:</w:t>
      </w:r>
    </w:p>
    <w:p w14:paraId="5831B78F" w14:textId="04B81B2B" w:rsidR="00C60791" w:rsidRPr="00C60791" w:rsidRDefault="00C60791" w:rsidP="00EC1364">
      <w:pPr>
        <w:rPr>
          <w:i/>
          <w:iCs/>
        </w:rPr>
      </w:pPr>
      <w:r w:rsidRPr="00C60791">
        <w:rPr>
          <w:i/>
          <w:iCs/>
        </w:rPr>
        <w:t xml:space="preserve">9.79 If a child’s parent or a young person makes a request for a particular nursery, school or post-16 institution the local authority must comply with that preference and name the school or college in the EHC plan unless: </w:t>
      </w:r>
    </w:p>
    <w:p w14:paraId="09A5AD0D" w14:textId="1709BC1D" w:rsidR="00C60791" w:rsidRPr="00C60791" w:rsidRDefault="00C60791" w:rsidP="00EC1364">
      <w:pPr>
        <w:pStyle w:val="ListParagraph"/>
        <w:numPr>
          <w:ilvl w:val="0"/>
          <w:numId w:val="1"/>
        </w:numPr>
        <w:rPr>
          <w:i/>
          <w:iCs/>
        </w:rPr>
      </w:pPr>
      <w:r w:rsidRPr="00C60791">
        <w:rPr>
          <w:i/>
          <w:iCs/>
        </w:rPr>
        <w:t xml:space="preserve">it would be unsuitable for the age, ability, aptitude or SEN of the child or young person, or </w:t>
      </w:r>
    </w:p>
    <w:p w14:paraId="6DF422B5" w14:textId="10E18FD6" w:rsidR="00C60791" w:rsidRPr="00C60791" w:rsidRDefault="00C60791" w:rsidP="00EC1364">
      <w:pPr>
        <w:pStyle w:val="ListParagraph"/>
        <w:numPr>
          <w:ilvl w:val="0"/>
          <w:numId w:val="1"/>
        </w:numPr>
        <w:rPr>
          <w:i/>
          <w:iCs/>
        </w:rPr>
      </w:pPr>
      <w:r w:rsidRPr="00C60791">
        <w:rPr>
          <w:i/>
          <w:iCs/>
        </w:rPr>
        <w:t>the attendance of the child or young person there would be incompatible with the efficient education of others, or the efficient use of resources</w:t>
      </w:r>
    </w:p>
    <w:p w14:paraId="151FE99F" w14:textId="3E43AFCD" w:rsidR="00C60791" w:rsidRDefault="00C60791" w:rsidP="00EC1364">
      <w:r>
        <w:t xml:space="preserve">There are a small number of exceptions to this referenced in </w:t>
      </w:r>
      <w:r w:rsidRPr="00EC1364">
        <w:t xml:space="preserve">9.84 - </w:t>
      </w:r>
      <w:r w:rsidRPr="00EC1364">
        <w:rPr>
          <w:i/>
          <w:iCs/>
        </w:rPr>
        <w:t xml:space="preserve">non-maintained early years provision or at independent schools or independent specialist colleges or other post-16 providers that are not on the list mentioned at 9.78 </w:t>
      </w:r>
      <w:r w:rsidRPr="00EC1364">
        <w:t>– where</w:t>
      </w:r>
      <w:r>
        <w:t xml:space="preserve"> the Local Authority must still consider the request. </w:t>
      </w:r>
    </w:p>
    <w:p w14:paraId="36EED19F" w14:textId="3202F2DB" w:rsidR="00C60791" w:rsidRDefault="00C60791" w:rsidP="00EC1364">
      <w:r>
        <w:t>In considering whether a particular school should be named the Code of Practice states:</w:t>
      </w:r>
    </w:p>
    <w:p w14:paraId="4F2E2CBF" w14:textId="73D62ADB" w:rsidR="00C60791" w:rsidRPr="00C60791" w:rsidRDefault="00C60791" w:rsidP="00EC1364">
      <w:pPr>
        <w:rPr>
          <w:i/>
          <w:iCs/>
        </w:rPr>
      </w:pPr>
      <w:r w:rsidRPr="00C60791">
        <w:rPr>
          <w:i/>
          <w:iCs/>
        </w:rPr>
        <w:t>9.80 The local authority must consult the governing body, principal or proprietor of the school or college concerned and consider their comments very carefully before deciding whether to name it in the child or young person’s EHC plan, sending the school or college a copy of the draft plan. If another local authority maintains the school, they too must be consulted.</w:t>
      </w:r>
    </w:p>
    <w:p w14:paraId="7CACFE1E" w14:textId="71EBE404" w:rsidR="00C60791" w:rsidRDefault="00C60791" w:rsidP="00EC1364">
      <w:r>
        <w:t>The code of practice also states:</w:t>
      </w:r>
    </w:p>
    <w:p w14:paraId="29AD35C8" w14:textId="77777777" w:rsidR="00C60791" w:rsidRPr="00C60791" w:rsidRDefault="00C60791" w:rsidP="00EC1364">
      <w:pPr>
        <w:rPr>
          <w:i/>
          <w:iCs/>
        </w:rPr>
      </w:pPr>
      <w:r w:rsidRPr="00C60791">
        <w:rPr>
          <w:i/>
          <w:iCs/>
        </w:rPr>
        <w:t xml:space="preserve">9.88 Where a parent or young person does not make a request for a particular nursery, school or college, or does so and their request is not met, the local authority must specify mainstream provision in the EHC plan unless it would be: </w:t>
      </w:r>
    </w:p>
    <w:p w14:paraId="78A384AF" w14:textId="102CD848" w:rsidR="00C60791" w:rsidRPr="00C60791" w:rsidRDefault="00C60791" w:rsidP="00EC1364">
      <w:pPr>
        <w:pStyle w:val="ListParagraph"/>
        <w:numPr>
          <w:ilvl w:val="0"/>
          <w:numId w:val="2"/>
        </w:numPr>
        <w:rPr>
          <w:i/>
          <w:iCs/>
        </w:rPr>
      </w:pPr>
      <w:r w:rsidRPr="00C60791">
        <w:rPr>
          <w:i/>
          <w:iCs/>
        </w:rPr>
        <w:t xml:space="preserve">against the wishes of the parent or young person, or </w:t>
      </w:r>
    </w:p>
    <w:p w14:paraId="71CD612C" w14:textId="38ED6F13" w:rsidR="00C60791" w:rsidRPr="00C60791" w:rsidRDefault="00C60791" w:rsidP="00EC1364">
      <w:pPr>
        <w:pStyle w:val="ListParagraph"/>
        <w:numPr>
          <w:ilvl w:val="0"/>
          <w:numId w:val="2"/>
        </w:numPr>
        <w:rPr>
          <w:i/>
          <w:iCs/>
        </w:rPr>
      </w:pPr>
      <w:r w:rsidRPr="00C60791">
        <w:rPr>
          <w:i/>
          <w:iCs/>
        </w:rPr>
        <w:t>incompatible with the efficient education of others</w:t>
      </w:r>
    </w:p>
    <w:p w14:paraId="3092875D" w14:textId="22908026" w:rsidR="00C60791" w:rsidRDefault="00C60791" w:rsidP="00EC1364">
      <w:r>
        <w:t>And:</w:t>
      </w:r>
    </w:p>
    <w:p w14:paraId="5BA2B114" w14:textId="144A4D1F" w:rsidR="00C60791" w:rsidRPr="00BF6A95" w:rsidRDefault="00C60791" w:rsidP="00EC1364">
      <w:pPr>
        <w:rPr>
          <w:i/>
          <w:iCs/>
        </w:rPr>
      </w:pPr>
      <w:r w:rsidRPr="00BF6A95">
        <w:rPr>
          <w:i/>
          <w:iCs/>
        </w:rPr>
        <w:t xml:space="preserve">9.89 Mainstream education cannot be refused by a local authority on the grounds that it is not suitable. A local authority can rely on the exception of incompatibility with the efficient education of others in relation to maintained nursery schools, mainstream schools or mainstream post-16 institutions taken </w:t>
      </w:r>
      <w:proofErr w:type="gramStart"/>
      <w:r w:rsidRPr="00BF6A95">
        <w:rPr>
          <w:i/>
          <w:iCs/>
        </w:rPr>
        <w:t>as a whole only</w:t>
      </w:r>
      <w:proofErr w:type="gramEnd"/>
      <w:r w:rsidRPr="00BF6A95">
        <w:rPr>
          <w:i/>
          <w:iCs/>
        </w:rPr>
        <w:t xml:space="preserve"> if it can show that there are no reasonable steps it could take to prevent that incompatibility.</w:t>
      </w:r>
    </w:p>
    <w:p w14:paraId="26E9A4D8" w14:textId="3B8464E4" w:rsidR="00C60791" w:rsidRDefault="00C60791" w:rsidP="00EC1364">
      <w:r>
        <w:lastRenderedPageBreak/>
        <w:t>Based on the legislation and SEND Code of Practice the local authority is under a duty to consult with schools that it is seeking to name in an EHC Plan.</w:t>
      </w:r>
    </w:p>
    <w:p w14:paraId="058C8E38" w14:textId="274AD684" w:rsidR="002D6E68" w:rsidRPr="00773FD7" w:rsidRDefault="00C60791" w:rsidP="00EC1364">
      <w:r>
        <w:t xml:space="preserve">We are very aware that the </w:t>
      </w:r>
      <w:r w:rsidR="00FD58C1">
        <w:t>number of consultations schools receive is growing and causing significant issues for schools and services. Whilst there is no ‘scatter gun’ approach to consultations, concerns have been raised as to the rationale for each consultation. Based on this the following guidance has been produced to detail general principles that the LA will take in considering who to consult and when.</w:t>
      </w:r>
    </w:p>
    <w:p w14:paraId="61849686" w14:textId="7C38ABA5" w:rsidR="00B03BDD" w:rsidRPr="00B03BDD" w:rsidRDefault="00B03BDD" w:rsidP="00B03BDD">
      <w:pPr>
        <w:rPr>
          <w:b/>
          <w:bCs/>
        </w:rPr>
      </w:pPr>
      <w:r w:rsidRPr="00B03BDD">
        <w:rPr>
          <w:b/>
          <w:bCs/>
        </w:rPr>
        <w:t>Parent Initial Preferences</w:t>
      </w:r>
      <w:r w:rsidR="002D6E68">
        <w:rPr>
          <w:b/>
          <w:bCs/>
        </w:rPr>
        <w:t>:</w:t>
      </w:r>
    </w:p>
    <w:p w14:paraId="14113028" w14:textId="1232A13A" w:rsidR="00D66F7F" w:rsidRDefault="00B03BDD" w:rsidP="00B03BDD">
      <w:r w:rsidRPr="00B03BDD">
        <w:t xml:space="preserve">The Local Authority (LA) will always ask parents for their school preferences. We request up to three schools. </w:t>
      </w:r>
      <w:r w:rsidR="00D66F7F">
        <w:t>For mainstream schools we would advise that parents should choose their catchment or local school unless they have a particular reason to not do.</w:t>
      </w:r>
    </w:p>
    <w:p w14:paraId="368F8EC3" w14:textId="15A24BF4" w:rsidR="00B03BDD" w:rsidRPr="00B03BDD" w:rsidRDefault="00B03BDD" w:rsidP="00B03BDD">
      <w:r w:rsidRPr="00B03BDD">
        <w:t>If a parent is seeking a specialist provision (such as a Resource Provision (RP) or special school), we will also ask which mainstream school they would like us to consult</w:t>
      </w:r>
      <w:r w:rsidR="008E3B07">
        <w:t xml:space="preserve"> should specialist provision not be agreed. It will be made clear that, unless the parent </w:t>
      </w:r>
      <w:r w:rsidR="00D57001">
        <w:t>is actively seeking this, it will not be recorded as parent preference but as preferred mainstream.</w:t>
      </w:r>
      <w:r w:rsidR="00364D95">
        <w:t xml:space="preserve"> </w:t>
      </w:r>
    </w:p>
    <w:p w14:paraId="2A8EBE72" w14:textId="147B94E8" w:rsidR="005D1288" w:rsidRDefault="00B03BDD" w:rsidP="00C60791">
      <w:r w:rsidRPr="00B03BDD">
        <w:t xml:space="preserve">While the LA does not advise parents on which school to choose, we are creating a document that details the age range and offerings of each provision. If a parent requests a provision that does not meet their child’s needs, we will inform them before consultations are made and suggest considering alternatives. For example, if a parent requests a resource provision designed for children with Social, Emotional, and Mental Health (SEMH) needs, but their child’s primary needs are related to cognition and learning, we </w:t>
      </w:r>
      <w:r w:rsidR="002D6E68">
        <w:t xml:space="preserve">will </w:t>
      </w:r>
      <w:r w:rsidR="002D6E68" w:rsidRPr="00B03BDD">
        <w:t>advise</w:t>
      </w:r>
      <w:r w:rsidRPr="00B03BDD">
        <w:t xml:space="preserve"> that the likely response would be that the provider cannot meet the child’s special educational needs. However, if the parent insists on proceeding with the consultation</w:t>
      </w:r>
      <w:r w:rsidR="00704F9C">
        <w:t xml:space="preserve"> as their first preference</w:t>
      </w:r>
      <w:r w:rsidRPr="00B03BDD">
        <w:t>, we will do so.</w:t>
      </w:r>
    </w:p>
    <w:p w14:paraId="7E37CFB9" w14:textId="71FD700F" w:rsidR="0064163D" w:rsidRDefault="0064163D" w:rsidP="00C60791">
      <w:r>
        <w:t>The LA Casework officer will advise parents that we will not ‘consult all special schools’ or consult schools that might be thought of as a possibility</w:t>
      </w:r>
      <w:r w:rsidR="007B00F8">
        <w:t xml:space="preserve"> as it is not a clearly defined preference.</w:t>
      </w:r>
    </w:p>
    <w:p w14:paraId="6C851F26" w14:textId="5C8B8CDD" w:rsidR="00667576" w:rsidRPr="002D25AF" w:rsidRDefault="00667576" w:rsidP="002D25AF">
      <w:pPr>
        <w:shd w:val="clear" w:color="auto" w:fill="C1F0C7" w:themeFill="accent3" w:themeFillTint="33"/>
        <w:rPr>
          <w:b/>
          <w:bCs/>
        </w:rPr>
      </w:pPr>
      <w:r w:rsidRPr="002D25AF">
        <w:rPr>
          <w:b/>
          <w:bCs/>
        </w:rPr>
        <w:t>What this means:</w:t>
      </w:r>
    </w:p>
    <w:p w14:paraId="731F8EAC" w14:textId="38D035C8" w:rsidR="00667576" w:rsidRPr="00BD3F6B" w:rsidRDefault="00667576" w:rsidP="002D25AF">
      <w:pPr>
        <w:pStyle w:val="ListParagraph"/>
        <w:numPr>
          <w:ilvl w:val="0"/>
          <w:numId w:val="17"/>
        </w:numPr>
        <w:shd w:val="clear" w:color="auto" w:fill="C1F0C7" w:themeFill="accent3" w:themeFillTint="33"/>
      </w:pPr>
      <w:r w:rsidRPr="00BD3F6B">
        <w:t xml:space="preserve">Parents will be asked for 3 </w:t>
      </w:r>
      <w:r w:rsidR="006F401E" w:rsidRPr="00BD3F6B">
        <w:t>preferences only</w:t>
      </w:r>
    </w:p>
    <w:p w14:paraId="32ED7B61" w14:textId="25B8F5E3" w:rsidR="006F401E" w:rsidRPr="00BD3F6B" w:rsidRDefault="006F401E" w:rsidP="002D25AF">
      <w:pPr>
        <w:pStyle w:val="ListParagraph"/>
        <w:numPr>
          <w:ilvl w:val="0"/>
          <w:numId w:val="17"/>
        </w:numPr>
        <w:shd w:val="clear" w:color="auto" w:fill="C1F0C7" w:themeFill="accent3" w:themeFillTint="33"/>
      </w:pPr>
      <w:r w:rsidRPr="00BD3F6B">
        <w:t xml:space="preserve">A preferred mainstream choice will be gathered when requesting specialist </w:t>
      </w:r>
      <w:r w:rsidR="002808A3" w:rsidRPr="00BD3F6B">
        <w:t xml:space="preserve">type provision </w:t>
      </w:r>
      <w:r w:rsidRPr="00BD3F6B">
        <w:t>– this will not be classed as parent preference</w:t>
      </w:r>
    </w:p>
    <w:p w14:paraId="5D45CBB5" w14:textId="37DFEFCC" w:rsidR="00387714" w:rsidRPr="00BD3F6B" w:rsidRDefault="00387714" w:rsidP="002D25AF">
      <w:pPr>
        <w:pStyle w:val="ListParagraph"/>
        <w:numPr>
          <w:ilvl w:val="0"/>
          <w:numId w:val="17"/>
        </w:numPr>
        <w:shd w:val="clear" w:color="auto" w:fill="C1F0C7" w:themeFill="accent3" w:themeFillTint="33"/>
      </w:pPr>
      <w:r w:rsidRPr="00BD3F6B">
        <w:t xml:space="preserve">The LA will not consult </w:t>
      </w:r>
      <w:r w:rsidR="002808A3" w:rsidRPr="00BD3F6B">
        <w:t xml:space="preserve">with specialist provision that does not </w:t>
      </w:r>
      <w:r w:rsidR="00891040" w:rsidRPr="00BD3F6B">
        <w:t>deliver for the identified need unless it is the parents first choice</w:t>
      </w:r>
    </w:p>
    <w:p w14:paraId="6A399CD4" w14:textId="7EB7A642" w:rsidR="00BD3F6B" w:rsidRPr="00BD3F6B" w:rsidRDefault="00BD3F6B" w:rsidP="002D25AF">
      <w:pPr>
        <w:pStyle w:val="ListParagraph"/>
        <w:numPr>
          <w:ilvl w:val="0"/>
          <w:numId w:val="17"/>
        </w:numPr>
        <w:shd w:val="clear" w:color="auto" w:fill="C1F0C7" w:themeFill="accent3" w:themeFillTint="33"/>
      </w:pPr>
      <w:r w:rsidRPr="00BD3F6B">
        <w:t xml:space="preserve">The LA will not consult all schools </w:t>
      </w:r>
    </w:p>
    <w:p w14:paraId="3C7DC85B" w14:textId="0FCFE3C4" w:rsidR="005D1288" w:rsidRPr="005D1288" w:rsidRDefault="005D1288" w:rsidP="005D1288">
      <w:pPr>
        <w:rPr>
          <w:b/>
          <w:bCs/>
        </w:rPr>
      </w:pPr>
      <w:r w:rsidRPr="005D1288">
        <w:rPr>
          <w:b/>
          <w:bCs/>
        </w:rPr>
        <w:t>Local Authority Preferences</w:t>
      </w:r>
      <w:r w:rsidR="0054289C">
        <w:rPr>
          <w:b/>
          <w:bCs/>
        </w:rPr>
        <w:t>:</w:t>
      </w:r>
    </w:p>
    <w:p w14:paraId="407C2A11" w14:textId="77777777" w:rsidR="005D1288" w:rsidRPr="005D1288" w:rsidRDefault="005D1288" w:rsidP="005D1288">
      <w:r w:rsidRPr="005D1288">
        <w:lastRenderedPageBreak/>
        <w:t>If a parent requests a provision that the Local Authority (LA) believes does not align with the child's needs, the LA will also consult with up to two schools of its own preference. This may occur in situations such as:</w:t>
      </w:r>
    </w:p>
    <w:p w14:paraId="7666B44D" w14:textId="2721421B" w:rsidR="005D1288" w:rsidRPr="005D1288" w:rsidRDefault="005D1288" w:rsidP="005D1288">
      <w:pPr>
        <w:numPr>
          <w:ilvl w:val="0"/>
          <w:numId w:val="6"/>
        </w:numPr>
      </w:pPr>
      <w:r w:rsidRPr="005D1288">
        <w:rPr>
          <w:b/>
          <w:bCs/>
        </w:rPr>
        <w:t xml:space="preserve">Specialist vs. </w:t>
      </w:r>
      <w:r w:rsidR="00686FD0">
        <w:rPr>
          <w:b/>
          <w:bCs/>
        </w:rPr>
        <w:t>Mainstream</w:t>
      </w:r>
      <w:r w:rsidRPr="005D1288">
        <w:rPr>
          <w:b/>
          <w:bCs/>
        </w:rPr>
        <w:t xml:space="preserve"> Provision</w:t>
      </w:r>
      <w:r w:rsidRPr="005D1288">
        <w:t>: When a parent requests specialist provision, but the EHC Plan indicates that the child's needs can be met in a local school.</w:t>
      </w:r>
    </w:p>
    <w:p w14:paraId="5D1FDDEA" w14:textId="77777777" w:rsidR="005D1288" w:rsidRDefault="005D1288" w:rsidP="005D1288">
      <w:pPr>
        <w:numPr>
          <w:ilvl w:val="0"/>
          <w:numId w:val="6"/>
        </w:numPr>
      </w:pPr>
      <w:r w:rsidRPr="005D1288">
        <w:rPr>
          <w:b/>
          <w:bCs/>
        </w:rPr>
        <w:t>Identified Need for Specialist Provision</w:t>
      </w:r>
      <w:r w:rsidRPr="005D1288">
        <w:t>: When the LA identifies a need for specialist provision, but the parent has not included an appropriate and likely available school in their request. This is often the case when a parent requests only independent specialist provision.</w:t>
      </w:r>
    </w:p>
    <w:p w14:paraId="73B99C08" w14:textId="2EBB1398" w:rsidR="00686FD0" w:rsidRPr="005D1288" w:rsidRDefault="00686FD0" w:rsidP="005D1288">
      <w:pPr>
        <w:numPr>
          <w:ilvl w:val="0"/>
          <w:numId w:val="6"/>
        </w:numPr>
      </w:pPr>
      <w:r>
        <w:rPr>
          <w:b/>
          <w:bCs/>
        </w:rPr>
        <w:t>No agreed mainstream provision</w:t>
      </w:r>
      <w:r w:rsidRPr="00686FD0">
        <w:t>:</w:t>
      </w:r>
      <w:r>
        <w:t xml:space="preserve"> When a parent does not agree</w:t>
      </w:r>
      <w:r w:rsidR="003425B9">
        <w:t xml:space="preserve"> to suggest a particular mainstream provision. In this case the consultation will always be sent to the catchment or local school.</w:t>
      </w:r>
    </w:p>
    <w:p w14:paraId="2A91423C" w14:textId="759B66C6" w:rsidR="005D1288" w:rsidRDefault="005D1288" w:rsidP="005D1288">
      <w:r w:rsidRPr="005D1288">
        <w:t xml:space="preserve">It is appropriate for the LA to consider these scenarios to </w:t>
      </w:r>
      <w:r w:rsidR="0084367E">
        <w:t>consider whether</w:t>
      </w:r>
      <w:r w:rsidRPr="005D1288">
        <w:t xml:space="preserve"> naming the parent's preferred school </w:t>
      </w:r>
      <w:r w:rsidR="006D6421">
        <w:t xml:space="preserve">can meet needs and </w:t>
      </w:r>
      <w:r w:rsidRPr="005D1288">
        <w:t>is an efficient use of resources. It is also appropriate when the LA believes that none of the parent's preferred schools will be able to offer a place.</w:t>
      </w:r>
    </w:p>
    <w:p w14:paraId="65C7F327" w14:textId="33C6CED9" w:rsidR="002D25AF" w:rsidRPr="00EC45C5" w:rsidRDefault="002D25AF" w:rsidP="00EC45C5">
      <w:pPr>
        <w:shd w:val="clear" w:color="auto" w:fill="C1F0C7" w:themeFill="accent3" w:themeFillTint="33"/>
        <w:rPr>
          <w:b/>
          <w:bCs/>
        </w:rPr>
      </w:pPr>
      <w:r w:rsidRPr="00EC45C5">
        <w:rPr>
          <w:b/>
          <w:bCs/>
        </w:rPr>
        <w:t>What this means:</w:t>
      </w:r>
    </w:p>
    <w:p w14:paraId="51D5696B" w14:textId="193173B6" w:rsidR="002D25AF" w:rsidRPr="005D1288" w:rsidRDefault="002D25AF" w:rsidP="00EC45C5">
      <w:pPr>
        <w:pStyle w:val="ListParagraph"/>
        <w:numPr>
          <w:ilvl w:val="0"/>
          <w:numId w:val="18"/>
        </w:numPr>
        <w:shd w:val="clear" w:color="auto" w:fill="C1F0C7" w:themeFill="accent3" w:themeFillTint="33"/>
      </w:pPr>
      <w:r>
        <w:t xml:space="preserve">The LA will consult with </w:t>
      </w:r>
      <w:r w:rsidR="00EC45C5">
        <w:t xml:space="preserve">up to 2 schools of its own preference </w:t>
      </w:r>
    </w:p>
    <w:p w14:paraId="7C4A2E97" w14:textId="68D7B057" w:rsidR="0054289C" w:rsidRDefault="0054289C" w:rsidP="00C60791">
      <w:pPr>
        <w:rPr>
          <w:b/>
          <w:bCs/>
        </w:rPr>
      </w:pPr>
      <w:r>
        <w:rPr>
          <w:b/>
          <w:bCs/>
        </w:rPr>
        <w:t>Subsequent consultations:</w:t>
      </w:r>
    </w:p>
    <w:p w14:paraId="2D4662A2" w14:textId="677806C5" w:rsidR="0054289C" w:rsidRDefault="0054289C" w:rsidP="00C60791">
      <w:r>
        <w:t>In most cases, all appropriate consultations should be made in the first instance</w:t>
      </w:r>
      <w:r w:rsidR="003059C7">
        <w:t xml:space="preserve"> and a placement decision made</w:t>
      </w:r>
      <w:r>
        <w:t xml:space="preserve">. </w:t>
      </w:r>
      <w:r w:rsidR="0057168E">
        <w:t xml:space="preserve">There will, however, be occasions where the local authority </w:t>
      </w:r>
      <w:r w:rsidR="003059C7">
        <w:t>feels</w:t>
      </w:r>
      <w:r w:rsidR="0057168E">
        <w:t xml:space="preserve"> unable to name a school place in line with both the parent preference and </w:t>
      </w:r>
      <w:r w:rsidR="004466C1">
        <w:t>the local authority preference</w:t>
      </w:r>
      <w:r w:rsidR="003059C7">
        <w:t xml:space="preserve"> and the responses received</w:t>
      </w:r>
      <w:r w:rsidR="004466C1">
        <w:t xml:space="preserve">. In these circumstances the SENDIAT Casework officer will discuss with the parent the reason why placement has not been named </w:t>
      </w:r>
      <w:r w:rsidR="00EC45F8">
        <w:t>and potential next steps. This may include:</w:t>
      </w:r>
    </w:p>
    <w:p w14:paraId="28484322" w14:textId="1F4DE4E8" w:rsidR="00EC45F8" w:rsidRDefault="00EC45F8" w:rsidP="00DC4077">
      <w:pPr>
        <w:pStyle w:val="ListParagraph"/>
        <w:numPr>
          <w:ilvl w:val="0"/>
          <w:numId w:val="13"/>
        </w:numPr>
      </w:pPr>
      <w:r>
        <w:t xml:space="preserve">A further specific consultation to </w:t>
      </w:r>
      <w:r w:rsidR="00FB03C5">
        <w:t xml:space="preserve">a named school. In these </w:t>
      </w:r>
      <w:r w:rsidR="00B91D85">
        <w:t>cases,</w:t>
      </w:r>
      <w:r w:rsidR="00FB03C5">
        <w:t xml:space="preserve"> the Casework officer will look to contact the school about likely response before sending </w:t>
      </w:r>
      <w:r w:rsidR="00B91D85">
        <w:t>any further</w:t>
      </w:r>
      <w:r w:rsidR="00FB03C5">
        <w:t xml:space="preserve"> consultation</w:t>
      </w:r>
      <w:r w:rsidR="00B91D85">
        <w:t xml:space="preserve"> and if they are of the belief a negative response will be provided advise parents that the consultation will not be made</w:t>
      </w:r>
      <w:r w:rsidR="002D0847">
        <w:t>.</w:t>
      </w:r>
    </w:p>
    <w:p w14:paraId="4B4F33D3" w14:textId="058E5258" w:rsidR="00B91D85" w:rsidRDefault="00B3448E" w:rsidP="00DC4077">
      <w:pPr>
        <w:pStyle w:val="ListParagraph"/>
        <w:numPr>
          <w:ilvl w:val="0"/>
          <w:numId w:val="13"/>
        </w:numPr>
      </w:pPr>
      <w:r>
        <w:t xml:space="preserve">Where a parent has visited a particular provider who has advised they feel they may be able to offer a place. In these </w:t>
      </w:r>
      <w:proofErr w:type="gramStart"/>
      <w:r>
        <w:t>cases</w:t>
      </w:r>
      <w:proofErr w:type="gramEnd"/>
      <w:r>
        <w:t xml:space="preserve"> the consultation will look to advise this as the case.</w:t>
      </w:r>
    </w:p>
    <w:p w14:paraId="699C5348" w14:textId="16083DA0" w:rsidR="00B3448E" w:rsidRDefault="00B3448E" w:rsidP="00DC4077">
      <w:pPr>
        <w:pStyle w:val="ListParagraph"/>
        <w:numPr>
          <w:ilvl w:val="0"/>
          <w:numId w:val="13"/>
        </w:numPr>
      </w:pPr>
      <w:r>
        <w:t>Where the local authority feels that there may be good reason to name a particular place that was not initially considered</w:t>
      </w:r>
      <w:r w:rsidR="007B3D68">
        <w:t xml:space="preserve">. In most cases the casework officer will contact the school prior to the consultation as to why consultation is </w:t>
      </w:r>
      <w:r w:rsidR="007B3D68">
        <w:lastRenderedPageBreak/>
        <w:t xml:space="preserve">now being made and potential options. For example, the LA may receive a consultation response for a </w:t>
      </w:r>
      <w:r w:rsidR="00E14340">
        <w:t>high-cost</w:t>
      </w:r>
      <w:r w:rsidR="007B3D68">
        <w:t xml:space="preserve"> provision and seek to work with a provider on a creative solution that can </w:t>
      </w:r>
      <w:r w:rsidR="00BF78DF">
        <w:t xml:space="preserve">appropriately </w:t>
      </w:r>
      <w:r w:rsidR="007B3D68">
        <w:t>meet the needs of a child</w:t>
      </w:r>
      <w:r w:rsidR="002E1963">
        <w:t xml:space="preserve"> at better value to the public purse.</w:t>
      </w:r>
    </w:p>
    <w:p w14:paraId="4971BA46" w14:textId="016EE5B7" w:rsidR="002E1963" w:rsidRDefault="002E1963" w:rsidP="00DC4077">
      <w:pPr>
        <w:pStyle w:val="ListParagraph"/>
        <w:numPr>
          <w:ilvl w:val="0"/>
          <w:numId w:val="13"/>
        </w:numPr>
      </w:pPr>
      <w:r>
        <w:t xml:space="preserve">Where a parent is insistent that the consultation is made and that the school is now their </w:t>
      </w:r>
      <w:r w:rsidR="00BE1140">
        <w:t>primary preference. In these cases, unless there is good reason to the contrary, only 1 school will be consulted.</w:t>
      </w:r>
    </w:p>
    <w:p w14:paraId="5717FB2A" w14:textId="21425994" w:rsidR="002E1963" w:rsidRDefault="00BE1140" w:rsidP="002E1963">
      <w:r>
        <w:t xml:space="preserve">Following this process the local authority will need to </w:t>
      </w:r>
      <w:r w:rsidR="00E15CE3">
        <w:t>decide</w:t>
      </w:r>
      <w:r>
        <w:t xml:space="preserve"> as to where they intend to name in Section I of the EHC Plan.</w:t>
      </w:r>
    </w:p>
    <w:p w14:paraId="6950700D" w14:textId="3061BD73" w:rsidR="0005560C" w:rsidRPr="00057764" w:rsidRDefault="0005560C" w:rsidP="00057764">
      <w:pPr>
        <w:shd w:val="clear" w:color="auto" w:fill="C1F0C7" w:themeFill="accent3" w:themeFillTint="33"/>
        <w:rPr>
          <w:b/>
          <w:bCs/>
        </w:rPr>
      </w:pPr>
      <w:r w:rsidRPr="00057764">
        <w:rPr>
          <w:b/>
          <w:bCs/>
        </w:rPr>
        <w:t>What this means:</w:t>
      </w:r>
    </w:p>
    <w:p w14:paraId="148D840A" w14:textId="761BEB3E" w:rsidR="0005560C" w:rsidRDefault="0005560C" w:rsidP="00057764">
      <w:pPr>
        <w:pStyle w:val="ListParagraph"/>
        <w:numPr>
          <w:ilvl w:val="0"/>
          <w:numId w:val="19"/>
        </w:numPr>
        <w:shd w:val="clear" w:color="auto" w:fill="C1F0C7" w:themeFill="accent3" w:themeFillTint="33"/>
      </w:pPr>
      <w:r>
        <w:t xml:space="preserve">In most cases </w:t>
      </w:r>
      <w:r w:rsidR="00F35782">
        <w:t>the LA will make a placement decision based on initial consultations</w:t>
      </w:r>
    </w:p>
    <w:p w14:paraId="0B3B94D6" w14:textId="1572348A" w:rsidR="00F35782" w:rsidRDefault="00F35782" w:rsidP="00057764">
      <w:pPr>
        <w:pStyle w:val="ListParagraph"/>
        <w:numPr>
          <w:ilvl w:val="0"/>
          <w:numId w:val="19"/>
        </w:numPr>
        <w:shd w:val="clear" w:color="auto" w:fill="C1F0C7" w:themeFill="accent3" w:themeFillTint="33"/>
      </w:pPr>
      <w:r>
        <w:t>On occasions a second round of consultations may be completed following which a decision will be made about named placement</w:t>
      </w:r>
    </w:p>
    <w:p w14:paraId="1C45DAE8" w14:textId="00FA614C" w:rsidR="008D5885" w:rsidRPr="0054289C" w:rsidRDefault="00E27419" w:rsidP="00057764">
      <w:pPr>
        <w:pStyle w:val="ListParagraph"/>
        <w:numPr>
          <w:ilvl w:val="0"/>
          <w:numId w:val="19"/>
        </w:numPr>
        <w:shd w:val="clear" w:color="auto" w:fill="C1F0C7" w:themeFill="accent3" w:themeFillTint="33"/>
      </w:pPr>
      <w:r>
        <w:t>The LA will</w:t>
      </w:r>
      <w:r w:rsidR="00333543">
        <w:t xml:space="preserve"> seek to</w:t>
      </w:r>
      <w:r>
        <w:t xml:space="preserve"> contact schools about their likely response</w:t>
      </w:r>
      <w:r w:rsidR="00333543">
        <w:t xml:space="preserve"> before consultation is made</w:t>
      </w:r>
    </w:p>
    <w:p w14:paraId="1B94D9A4" w14:textId="3561997D" w:rsidR="00A809E5" w:rsidRDefault="00A809E5" w:rsidP="00C60791">
      <w:pPr>
        <w:rPr>
          <w:b/>
          <w:bCs/>
        </w:rPr>
      </w:pPr>
      <w:r>
        <w:rPr>
          <w:b/>
          <w:bCs/>
        </w:rPr>
        <w:t>What will be provided at point of consultation:</w:t>
      </w:r>
    </w:p>
    <w:p w14:paraId="75E8F7B7" w14:textId="577D2EA4" w:rsidR="00A809E5" w:rsidRDefault="00A809E5" w:rsidP="00C60791">
      <w:r>
        <w:t>When a school is consulted to advise if they can offer a place, it is essential that appropriate information is shared. Having reviewed what is sent to school</w:t>
      </w:r>
      <w:r w:rsidR="00AA0252">
        <w:t>s we will make sure that the school being consulted have the following information:</w:t>
      </w:r>
    </w:p>
    <w:p w14:paraId="7475EDCA" w14:textId="75E34B1A" w:rsidR="00AA0252" w:rsidRDefault="00AA0252" w:rsidP="001F49BB">
      <w:pPr>
        <w:pStyle w:val="ListParagraph"/>
        <w:numPr>
          <w:ilvl w:val="0"/>
          <w:numId w:val="14"/>
        </w:numPr>
      </w:pPr>
      <w:r>
        <w:t>A copy of the draft EHC Plan we are asking them to deliver</w:t>
      </w:r>
    </w:p>
    <w:p w14:paraId="41786FF4" w14:textId="53ADC142" w:rsidR="00AA0252" w:rsidRDefault="00AA0252" w:rsidP="001F49BB">
      <w:pPr>
        <w:pStyle w:val="ListParagraph"/>
        <w:numPr>
          <w:ilvl w:val="0"/>
          <w:numId w:val="14"/>
        </w:numPr>
      </w:pPr>
      <w:r>
        <w:t>Details of the agreed funding band linked to the assessment of the plan</w:t>
      </w:r>
    </w:p>
    <w:p w14:paraId="4F18368F" w14:textId="450443A8" w:rsidR="00AA0252" w:rsidRDefault="00AA0252" w:rsidP="001F49BB">
      <w:pPr>
        <w:pStyle w:val="ListParagraph"/>
        <w:numPr>
          <w:ilvl w:val="0"/>
          <w:numId w:val="14"/>
        </w:numPr>
      </w:pPr>
      <w:r>
        <w:t>Details as to whether the request is:</w:t>
      </w:r>
    </w:p>
    <w:p w14:paraId="6DC95BAB" w14:textId="4D6EB116" w:rsidR="00AA0252" w:rsidRDefault="00AA0252" w:rsidP="001F49BB">
      <w:pPr>
        <w:pStyle w:val="ListParagraph"/>
        <w:numPr>
          <w:ilvl w:val="1"/>
          <w:numId w:val="14"/>
        </w:numPr>
      </w:pPr>
      <w:r>
        <w:t xml:space="preserve">Parent preference </w:t>
      </w:r>
    </w:p>
    <w:p w14:paraId="324F2D35" w14:textId="41E1839D" w:rsidR="00AA0252" w:rsidRDefault="00AA0252" w:rsidP="001F49BB">
      <w:pPr>
        <w:pStyle w:val="ListParagraph"/>
        <w:numPr>
          <w:ilvl w:val="1"/>
          <w:numId w:val="14"/>
        </w:numPr>
      </w:pPr>
      <w:r>
        <w:t>Parent prefer</w:t>
      </w:r>
      <w:r w:rsidR="001F49BB">
        <w:t xml:space="preserve">red mainstream </w:t>
      </w:r>
      <w:r w:rsidR="00A2698B">
        <w:t xml:space="preserve">when the parent is </w:t>
      </w:r>
      <w:r>
        <w:t>requesting specialist</w:t>
      </w:r>
    </w:p>
    <w:p w14:paraId="67FEB3FB" w14:textId="30DFD4C6" w:rsidR="00AA0252" w:rsidRDefault="00AA0252" w:rsidP="001F49BB">
      <w:pPr>
        <w:pStyle w:val="ListParagraph"/>
        <w:numPr>
          <w:ilvl w:val="1"/>
          <w:numId w:val="14"/>
        </w:numPr>
      </w:pPr>
      <w:r>
        <w:t xml:space="preserve">Local authority request </w:t>
      </w:r>
    </w:p>
    <w:p w14:paraId="12EFCF83" w14:textId="6A04B598" w:rsidR="00AA0252" w:rsidRDefault="00AA0252" w:rsidP="001F49BB">
      <w:pPr>
        <w:pStyle w:val="ListParagraph"/>
        <w:numPr>
          <w:ilvl w:val="0"/>
          <w:numId w:val="14"/>
        </w:numPr>
      </w:pPr>
      <w:r>
        <w:t>Detail of current school</w:t>
      </w:r>
    </w:p>
    <w:p w14:paraId="686E29BE" w14:textId="610BF58C" w:rsidR="005A4BA5" w:rsidRDefault="005A4BA5" w:rsidP="001F49BB">
      <w:pPr>
        <w:pStyle w:val="ListParagraph"/>
        <w:numPr>
          <w:ilvl w:val="0"/>
          <w:numId w:val="14"/>
        </w:numPr>
      </w:pPr>
      <w:r>
        <w:t xml:space="preserve">Date by which consultation response should be received </w:t>
      </w:r>
    </w:p>
    <w:p w14:paraId="77DDEFC8" w14:textId="6FE21F71" w:rsidR="00A820FB" w:rsidRDefault="00A820FB" w:rsidP="001F49BB">
      <w:pPr>
        <w:pStyle w:val="ListParagraph"/>
        <w:numPr>
          <w:ilvl w:val="0"/>
          <w:numId w:val="14"/>
        </w:numPr>
      </w:pPr>
      <w:r>
        <w:t>The funding allocated to the EHC Plan in line with Bradford funding model</w:t>
      </w:r>
    </w:p>
    <w:p w14:paraId="183AF212" w14:textId="55F0F01C" w:rsidR="00FF27A7" w:rsidRDefault="00FF27A7" w:rsidP="001F49BB">
      <w:pPr>
        <w:pStyle w:val="ListParagraph"/>
        <w:numPr>
          <w:ilvl w:val="0"/>
          <w:numId w:val="14"/>
        </w:numPr>
      </w:pPr>
      <w:r>
        <w:t>The name of the casework officer managing the plan</w:t>
      </w:r>
    </w:p>
    <w:p w14:paraId="3446E4FF" w14:textId="60001BCE" w:rsidR="002206EE" w:rsidRPr="002206EE" w:rsidRDefault="002206EE" w:rsidP="002206EE">
      <w:pPr>
        <w:shd w:val="clear" w:color="auto" w:fill="C1F0C7" w:themeFill="accent3" w:themeFillTint="33"/>
        <w:rPr>
          <w:b/>
          <w:bCs/>
        </w:rPr>
      </w:pPr>
      <w:r w:rsidRPr="002206EE">
        <w:rPr>
          <w:b/>
          <w:bCs/>
        </w:rPr>
        <w:t>What this means:</w:t>
      </w:r>
    </w:p>
    <w:p w14:paraId="10B5E583" w14:textId="79E46D50" w:rsidR="002206EE" w:rsidRPr="00A809E5" w:rsidRDefault="002206EE" w:rsidP="002206EE">
      <w:pPr>
        <w:pStyle w:val="ListParagraph"/>
        <w:numPr>
          <w:ilvl w:val="0"/>
          <w:numId w:val="20"/>
        </w:numPr>
        <w:shd w:val="clear" w:color="auto" w:fill="C1F0C7" w:themeFill="accent3" w:themeFillTint="33"/>
      </w:pPr>
      <w:r>
        <w:t>All appropriate information to be able to respond will be sent at the point of consultation</w:t>
      </w:r>
    </w:p>
    <w:p w14:paraId="2B1C10C5" w14:textId="1F3D162F" w:rsidR="00CB54C2" w:rsidRDefault="00CB54C2" w:rsidP="00C60791">
      <w:pPr>
        <w:rPr>
          <w:b/>
          <w:bCs/>
        </w:rPr>
      </w:pPr>
      <w:r>
        <w:rPr>
          <w:b/>
          <w:bCs/>
        </w:rPr>
        <w:t>Consultation timeframes:</w:t>
      </w:r>
    </w:p>
    <w:p w14:paraId="61314785" w14:textId="01C36CDF" w:rsidR="005A4BA5" w:rsidRDefault="00CB54C2" w:rsidP="00C60791">
      <w:r>
        <w:lastRenderedPageBreak/>
        <w:t xml:space="preserve">The SEND Code of practice </w:t>
      </w:r>
      <w:r w:rsidR="00B5492D">
        <w:t>(</w:t>
      </w:r>
      <w:r w:rsidR="00C40614">
        <w:t>9.83</w:t>
      </w:r>
      <w:r w:rsidR="00B5492D">
        <w:t>)</w:t>
      </w:r>
      <w:r w:rsidR="00C40614">
        <w:t xml:space="preserve"> states that</w:t>
      </w:r>
      <w:r w:rsidR="00111E8F">
        <w:t xml:space="preserve"> education providers should respond to consultations within 15 calendar days. </w:t>
      </w:r>
      <w:r w:rsidR="005A4BA5">
        <w:t>We recognise that this can be a challenge for schools, particularly when substantial consultations are received and around school holidays.</w:t>
      </w:r>
    </w:p>
    <w:p w14:paraId="2D4029B6" w14:textId="77777777" w:rsidR="00A8549E" w:rsidRDefault="005A4BA5" w:rsidP="00C60791">
      <w:r>
        <w:t xml:space="preserve">The statutory EHC processes </w:t>
      </w:r>
      <w:r w:rsidR="000E7E61">
        <w:t>operate 52 weeks a year. Whilst there are allowable exceptions for some elements</w:t>
      </w:r>
      <w:r w:rsidR="0042053A">
        <w:t xml:space="preserve"> of the process</w:t>
      </w:r>
      <w:r w:rsidR="000E7E61">
        <w:t>, there is nothing</w:t>
      </w:r>
      <w:r w:rsidR="00A8549E">
        <w:t xml:space="preserve"> in statutory guidance</w:t>
      </w:r>
      <w:r w:rsidR="000E7E61">
        <w:t xml:space="preserve"> that allows consultations to be conducted in </w:t>
      </w:r>
      <w:r w:rsidR="00A8549E">
        <w:t>longer</w:t>
      </w:r>
      <w:r w:rsidR="000E7E61">
        <w:t xml:space="preserve"> timeframes. </w:t>
      </w:r>
    </w:p>
    <w:p w14:paraId="447B346E" w14:textId="7A6E81C5" w:rsidR="00F35C44" w:rsidRDefault="0042053A" w:rsidP="00C60791">
      <w:r>
        <w:t xml:space="preserve">The service will look to ensure that consultations are managed in a timely manner around school holidays, however, are also aware of the </w:t>
      </w:r>
      <w:r w:rsidR="00F35C44">
        <w:t xml:space="preserve">implications of this. To support </w:t>
      </w:r>
      <w:proofErr w:type="gramStart"/>
      <w:r w:rsidR="00F35C44">
        <w:t>this</w:t>
      </w:r>
      <w:proofErr w:type="gramEnd"/>
      <w:r w:rsidR="00F35C44">
        <w:t xml:space="preserve"> we will seek</w:t>
      </w:r>
      <w:r w:rsidR="00A8549E">
        <w:t xml:space="preserve"> to do</w:t>
      </w:r>
      <w:r w:rsidR="00F35C44">
        <w:t xml:space="preserve"> the following:</w:t>
      </w:r>
    </w:p>
    <w:p w14:paraId="6B99292A" w14:textId="1C2E6683" w:rsidR="00CB54C2" w:rsidRDefault="00F35C44" w:rsidP="00F35C44">
      <w:pPr>
        <w:pStyle w:val="ListParagraph"/>
        <w:numPr>
          <w:ilvl w:val="0"/>
          <w:numId w:val="15"/>
        </w:numPr>
      </w:pPr>
      <w:r>
        <w:t xml:space="preserve">We will aim, wherever possible, to not make consultation requests </w:t>
      </w:r>
      <w:r w:rsidR="00B5492D">
        <w:t xml:space="preserve">that </w:t>
      </w:r>
      <w:r w:rsidR="00A8549E">
        <w:t>are impacted by school holidays</w:t>
      </w:r>
    </w:p>
    <w:p w14:paraId="3ED4CD17" w14:textId="5640D192" w:rsidR="00A8549E" w:rsidRDefault="00A8549E" w:rsidP="00F35C44">
      <w:pPr>
        <w:pStyle w:val="ListParagraph"/>
        <w:numPr>
          <w:ilvl w:val="0"/>
          <w:numId w:val="15"/>
        </w:numPr>
      </w:pPr>
      <w:r>
        <w:t xml:space="preserve">For consultations issued and due over school holidays we will </w:t>
      </w:r>
      <w:r w:rsidR="0008685F">
        <w:t>provide a date that is outside of the 15 days, extending response date to the end of the fi</w:t>
      </w:r>
      <w:r w:rsidR="00EA24ED">
        <w:t>rst full week of term in September</w:t>
      </w:r>
    </w:p>
    <w:p w14:paraId="215CAB9E" w14:textId="510038BF" w:rsidR="00EA24ED" w:rsidRDefault="00EA24ED" w:rsidP="00F35C44">
      <w:pPr>
        <w:pStyle w:val="ListParagraph"/>
        <w:numPr>
          <w:ilvl w:val="0"/>
          <w:numId w:val="15"/>
        </w:numPr>
      </w:pPr>
      <w:r>
        <w:t>We will assume a level of flexibility over the Christmas and Easter holidays</w:t>
      </w:r>
    </w:p>
    <w:p w14:paraId="2C78060B" w14:textId="4BA0ECD5" w:rsidR="00EA24ED" w:rsidRDefault="00EA24ED" w:rsidP="00F35C44">
      <w:pPr>
        <w:pStyle w:val="ListParagraph"/>
        <w:numPr>
          <w:ilvl w:val="0"/>
          <w:numId w:val="15"/>
        </w:numPr>
      </w:pPr>
      <w:r>
        <w:t>We would not be able to make adaptations to dates over half term holidays</w:t>
      </w:r>
    </w:p>
    <w:p w14:paraId="5947782B" w14:textId="091C4CF4" w:rsidR="009316BA" w:rsidRDefault="00EA24ED" w:rsidP="00C60791">
      <w:r>
        <w:t>We would ask that schools, wherever possible, get consultation responses back to the LA within the initial timeframe of 15 days.</w:t>
      </w:r>
    </w:p>
    <w:p w14:paraId="299F66D8" w14:textId="37EFD579" w:rsidR="009D19AB" w:rsidRPr="003A47CA" w:rsidRDefault="009D19AB" w:rsidP="003A47CA">
      <w:pPr>
        <w:shd w:val="clear" w:color="auto" w:fill="C1F0C7" w:themeFill="accent3" w:themeFillTint="33"/>
        <w:rPr>
          <w:b/>
          <w:bCs/>
        </w:rPr>
      </w:pPr>
      <w:r w:rsidRPr="003A47CA">
        <w:rPr>
          <w:b/>
          <w:bCs/>
        </w:rPr>
        <w:t>What this means:</w:t>
      </w:r>
    </w:p>
    <w:p w14:paraId="73AB61E2" w14:textId="0E64A3DD" w:rsidR="009D19AB" w:rsidRDefault="009D19AB" w:rsidP="003A47CA">
      <w:pPr>
        <w:pStyle w:val="ListParagraph"/>
        <w:numPr>
          <w:ilvl w:val="0"/>
          <w:numId w:val="21"/>
        </w:numPr>
        <w:shd w:val="clear" w:color="auto" w:fill="C1F0C7" w:themeFill="accent3" w:themeFillTint="33"/>
      </w:pPr>
      <w:r>
        <w:t>The LA will provide clear timeframes for responses to consultations</w:t>
      </w:r>
    </w:p>
    <w:p w14:paraId="7FE4DEDA" w14:textId="76374548" w:rsidR="009D19AB" w:rsidRDefault="009D19AB" w:rsidP="003A47CA">
      <w:pPr>
        <w:pStyle w:val="ListParagraph"/>
        <w:numPr>
          <w:ilvl w:val="0"/>
          <w:numId w:val="21"/>
        </w:numPr>
        <w:shd w:val="clear" w:color="auto" w:fill="C1F0C7" w:themeFill="accent3" w:themeFillTint="33"/>
      </w:pPr>
      <w:r>
        <w:t xml:space="preserve">We will </w:t>
      </w:r>
      <w:r w:rsidR="003A47CA">
        <w:t>aim to minimise consultation requests impacted by school holidays</w:t>
      </w:r>
    </w:p>
    <w:p w14:paraId="15E300A8" w14:textId="3E159A1D" w:rsidR="003A47CA" w:rsidRPr="009316BA" w:rsidRDefault="003A47CA" w:rsidP="003A47CA">
      <w:pPr>
        <w:pStyle w:val="ListParagraph"/>
        <w:numPr>
          <w:ilvl w:val="0"/>
          <w:numId w:val="21"/>
        </w:numPr>
        <w:shd w:val="clear" w:color="auto" w:fill="C1F0C7" w:themeFill="accent3" w:themeFillTint="33"/>
      </w:pPr>
      <w:r>
        <w:t>For consultations issued over the summer holidays we will provide a date after the start of the autumn term</w:t>
      </w:r>
    </w:p>
    <w:p w14:paraId="4F2C45C1" w14:textId="1BCB173E" w:rsidR="003B0403" w:rsidRPr="00A809E5" w:rsidRDefault="003B0403" w:rsidP="00C60791">
      <w:pPr>
        <w:rPr>
          <w:b/>
          <w:bCs/>
        </w:rPr>
      </w:pPr>
      <w:r w:rsidRPr="00A809E5">
        <w:rPr>
          <w:b/>
          <w:bCs/>
        </w:rPr>
        <w:t>Response to consultations:</w:t>
      </w:r>
    </w:p>
    <w:p w14:paraId="68A5D93C" w14:textId="77777777" w:rsidR="00B32F3F" w:rsidRPr="000F7F8C" w:rsidRDefault="00B32F3F" w:rsidP="00B32F3F">
      <w:r w:rsidRPr="000F7F8C">
        <w:t>School consultation responses must enable the local authority to carefully consider whether a place should be allocated. Therefore, it is essential that schools understand what should and should not be included in their consultation response. Schools are asked to address three critical questions:</w:t>
      </w:r>
    </w:p>
    <w:p w14:paraId="3D8BB57A" w14:textId="77777777" w:rsidR="00B32F3F" w:rsidRPr="000F7F8C" w:rsidRDefault="00B32F3F" w:rsidP="00B32F3F">
      <w:pPr>
        <w:numPr>
          <w:ilvl w:val="0"/>
          <w:numId w:val="8"/>
        </w:numPr>
      </w:pPr>
      <w:r w:rsidRPr="000F7F8C">
        <w:rPr>
          <w:b/>
          <w:bCs/>
        </w:rPr>
        <w:t>Is your school able to meet the child’s needs?</w:t>
      </w:r>
    </w:p>
    <w:p w14:paraId="33BDEBA1" w14:textId="77777777" w:rsidR="00B32F3F" w:rsidRPr="000F7F8C" w:rsidRDefault="00B32F3F" w:rsidP="00B32F3F">
      <w:pPr>
        <w:numPr>
          <w:ilvl w:val="0"/>
          <w:numId w:val="8"/>
        </w:numPr>
      </w:pPr>
      <w:r w:rsidRPr="000F7F8C">
        <w:rPr>
          <w:b/>
          <w:bCs/>
        </w:rPr>
        <w:t>Would placing the child be incompatible with the efficient education of others?</w:t>
      </w:r>
    </w:p>
    <w:p w14:paraId="18053EF5" w14:textId="77777777" w:rsidR="00B32F3F" w:rsidRPr="000F7F8C" w:rsidRDefault="00B32F3F" w:rsidP="00B32F3F">
      <w:pPr>
        <w:numPr>
          <w:ilvl w:val="0"/>
          <w:numId w:val="8"/>
        </w:numPr>
      </w:pPr>
      <w:r w:rsidRPr="000F7F8C">
        <w:rPr>
          <w:b/>
          <w:bCs/>
        </w:rPr>
        <w:t>Is admitting the child an efficient use of resources?</w:t>
      </w:r>
    </w:p>
    <w:p w14:paraId="37DA83F6" w14:textId="760D8B75" w:rsidR="00AA0252" w:rsidRDefault="00963E8D" w:rsidP="00AA0252">
      <w:r>
        <w:t>In considering this the following points should be considered:</w:t>
      </w:r>
    </w:p>
    <w:p w14:paraId="417B0C77" w14:textId="77777777" w:rsidR="00AA0252" w:rsidRPr="00963E8D" w:rsidRDefault="00AA0252" w:rsidP="00AA0252">
      <w:pPr>
        <w:rPr>
          <w:b/>
          <w:bCs/>
        </w:rPr>
      </w:pPr>
      <w:r w:rsidRPr="00963E8D">
        <w:rPr>
          <w:b/>
          <w:bCs/>
        </w:rPr>
        <w:lastRenderedPageBreak/>
        <w:t xml:space="preserve">Is your school able to meet the child’s needs? </w:t>
      </w:r>
    </w:p>
    <w:p w14:paraId="715A7692" w14:textId="2310A824" w:rsidR="00963E8D" w:rsidRDefault="00963E8D" w:rsidP="00AA0252">
      <w:r>
        <w:t xml:space="preserve">Schools should consider the specificity in section F of the EHC Plan and whether, with appropriate resourcing and adaptations, they can or cannot be put in place. </w:t>
      </w:r>
    </w:p>
    <w:p w14:paraId="3FD246B0" w14:textId="3D4E02E5" w:rsidR="00AA0252" w:rsidRDefault="00963E8D" w:rsidP="00AA0252">
      <w:r>
        <w:t>Responses such as ‘we don’t have the staff</w:t>
      </w:r>
      <w:r w:rsidR="00977705">
        <w:t>/funding</w:t>
      </w:r>
      <w:r>
        <w:t>’ or ‘this is not the parent preference’ are not reasons for a school to say that they can</w:t>
      </w:r>
      <w:r w:rsidR="00AF1533">
        <w:t>no</w:t>
      </w:r>
      <w:r>
        <w:t>t meet</w:t>
      </w:r>
      <w:r w:rsidR="00977705">
        <w:t xml:space="preserve"> individual</w:t>
      </w:r>
      <w:r>
        <w:t xml:space="preserve"> needs</w:t>
      </w:r>
      <w:r w:rsidR="005C571E">
        <w:t xml:space="preserve"> and are not compliant with the SEND Code of Practice</w:t>
      </w:r>
      <w:r>
        <w:t xml:space="preserve">. Schools must consider what specific provision </w:t>
      </w:r>
      <w:r w:rsidR="005C571E">
        <w:t xml:space="preserve">in section F that </w:t>
      </w:r>
      <w:r>
        <w:t>they would be unable to put in plac</w:t>
      </w:r>
      <w:r w:rsidR="00977705">
        <w:t>e and what would be required to meet those needs.</w:t>
      </w:r>
      <w:r w:rsidR="00AF1533">
        <w:t xml:space="preserve"> If a </w:t>
      </w:r>
      <w:r w:rsidR="00E2133A">
        <w:t>school</w:t>
      </w:r>
      <w:r w:rsidR="00AF1533">
        <w:t xml:space="preserve"> believes that they cannot put provision in place they </w:t>
      </w:r>
      <w:r w:rsidR="00977705">
        <w:t xml:space="preserve">need to clearly </w:t>
      </w:r>
      <w:proofErr w:type="gramStart"/>
      <w:r w:rsidR="00977705">
        <w:t>detail</w:t>
      </w:r>
      <w:proofErr w:type="gramEnd"/>
      <w:r w:rsidR="00977705">
        <w:t xml:space="preserve"> </w:t>
      </w:r>
      <w:r>
        <w:t xml:space="preserve">why they cannot </w:t>
      </w:r>
      <w:r w:rsidR="00E2133A">
        <w:t>make adaptations to do this</w:t>
      </w:r>
      <w:r w:rsidR="00917A23">
        <w:t xml:space="preserve"> or what adaptations would be required</w:t>
      </w:r>
      <w:r>
        <w:t xml:space="preserve">. </w:t>
      </w:r>
    </w:p>
    <w:p w14:paraId="0CE25401" w14:textId="22A4BA53" w:rsidR="00963E8D" w:rsidRDefault="00963E8D" w:rsidP="00AA0252">
      <w:r>
        <w:t>It is appropriate for a school to clearly state what would</w:t>
      </w:r>
      <w:r w:rsidR="00977705">
        <w:t xml:space="preserve"> additionally be</w:t>
      </w:r>
      <w:r>
        <w:t xml:space="preserve"> need</w:t>
      </w:r>
      <w:r w:rsidR="00977705">
        <w:t>ed</w:t>
      </w:r>
      <w:r>
        <w:t xml:space="preserve"> for a child’s needs to be met, however, this should not be responses such as ‘a </w:t>
      </w:r>
      <w:r w:rsidR="00977705">
        <w:t>full-time</w:t>
      </w:r>
      <w:r>
        <w:t xml:space="preserve"> specialist teacher’ or ‘a refurbished room’ unless it is specifically referenced in the EHC Plan that the child requires this linked to</w:t>
      </w:r>
      <w:r w:rsidR="00977705">
        <w:t xml:space="preserve"> directly to</w:t>
      </w:r>
      <w:r>
        <w:t xml:space="preserve"> themselves.</w:t>
      </w:r>
    </w:p>
    <w:p w14:paraId="2ECF5F99" w14:textId="77777777" w:rsidR="00AA0252" w:rsidRPr="00963E8D" w:rsidRDefault="00AA0252" w:rsidP="00AA0252">
      <w:pPr>
        <w:rPr>
          <w:b/>
          <w:bCs/>
        </w:rPr>
      </w:pPr>
      <w:r w:rsidRPr="00963E8D">
        <w:rPr>
          <w:b/>
          <w:bCs/>
        </w:rPr>
        <w:t>Would placing the child be incompatible with the efficient education of others?</w:t>
      </w:r>
    </w:p>
    <w:p w14:paraId="00EE987F" w14:textId="528B586A" w:rsidR="00AA0252" w:rsidRDefault="00AA0252" w:rsidP="00AA0252">
      <w:r>
        <w:t xml:space="preserve"> Schools need to be able to consider what adaptations </w:t>
      </w:r>
      <w:r w:rsidR="00977705">
        <w:t>can and cannot</w:t>
      </w:r>
      <w:r>
        <w:t xml:space="preserve"> be made to meet the needs alongside other children in the school. </w:t>
      </w:r>
      <w:r w:rsidR="00963E8D">
        <w:t xml:space="preserve">For mainstream school in particular the </w:t>
      </w:r>
      <w:r>
        <w:t>SEND Code of practice 9.91-9.94 may be helpful in considering this.</w:t>
      </w:r>
    </w:p>
    <w:p w14:paraId="66C79692" w14:textId="42850856" w:rsidR="00963E8D" w:rsidRDefault="00963E8D" w:rsidP="00AA0252">
      <w:r>
        <w:t>A response stating ‘we’re full’ does not stand a legal test and so schools will need to be clear about the current capacity, space, class sizes, etc and why placing the individual child would be detrimental</w:t>
      </w:r>
      <w:r w:rsidR="00977705">
        <w:t xml:space="preserve"> to other children against this backdrop</w:t>
      </w:r>
      <w:r>
        <w:t>.</w:t>
      </w:r>
      <w:r w:rsidR="00977705">
        <w:t xml:space="preserve"> </w:t>
      </w:r>
      <w:r w:rsidR="00713B56">
        <w:t xml:space="preserve">Schools must consider what adaptations they could make </w:t>
      </w:r>
      <w:r w:rsidR="00BE72AA">
        <w:t>to</w:t>
      </w:r>
      <w:r w:rsidR="00713B56">
        <w:t xml:space="preserve"> admit the child.</w:t>
      </w:r>
    </w:p>
    <w:p w14:paraId="6D8AEE5F" w14:textId="0A659383" w:rsidR="002C31F9" w:rsidRDefault="002C31F9" w:rsidP="00AA0252">
      <w:r>
        <w:t>When cases have been considered within the SEND tribun</w:t>
      </w:r>
      <w:r w:rsidR="00DD4422">
        <w:t xml:space="preserve">al, the tribunal seeks that schools provide specificity on the individual impact for other children by placing the individual child within school. As such schools should be clear on </w:t>
      </w:r>
      <w:r w:rsidR="00AA6979">
        <w:t>how the individual needs of the child they are being consulted about will impact the individual needs of other specific children in the school and how other adaptations cannot be made to address this.</w:t>
      </w:r>
    </w:p>
    <w:p w14:paraId="01946490" w14:textId="554EFF47" w:rsidR="00963E8D" w:rsidRDefault="00963E8D" w:rsidP="00AA0252">
      <w:r>
        <w:t>There is a clear recognition that sufficiency of places is having impact on the ability to name provision in EHC Plans</w:t>
      </w:r>
      <w:r w:rsidR="00977705">
        <w:t xml:space="preserve"> and impacting on the efficient education of others. The LA is working hard to address sufficiency challenges against national restrictions and rulings that often come through tribunals. </w:t>
      </w:r>
    </w:p>
    <w:p w14:paraId="5C5CE959" w14:textId="543C2558" w:rsidR="00AA0252" w:rsidRPr="00E44B42" w:rsidRDefault="00AA0252" w:rsidP="00E44B42">
      <w:pPr>
        <w:rPr>
          <w:b/>
          <w:bCs/>
        </w:rPr>
      </w:pPr>
      <w:r w:rsidRPr="00E44B42">
        <w:rPr>
          <w:b/>
          <w:bCs/>
        </w:rPr>
        <w:t>Is admitting a child an efficient use of resources</w:t>
      </w:r>
      <w:r w:rsidR="00963E8D" w:rsidRPr="00E44B42">
        <w:rPr>
          <w:b/>
          <w:bCs/>
        </w:rPr>
        <w:t>?</w:t>
      </w:r>
    </w:p>
    <w:p w14:paraId="2A0DB71A" w14:textId="77777777" w:rsidR="00E441BA" w:rsidRDefault="00977705" w:rsidP="00963E8D">
      <w:r>
        <w:t xml:space="preserve">This is often seen as the ‘it’s too expensive’ test. </w:t>
      </w:r>
      <w:r w:rsidR="00963E8D">
        <w:t>The</w:t>
      </w:r>
      <w:r>
        <w:t xml:space="preserve"> reality is that</w:t>
      </w:r>
      <w:r w:rsidR="00963E8D">
        <w:t xml:space="preserve"> school need to consider this as well as the local authority. </w:t>
      </w:r>
    </w:p>
    <w:p w14:paraId="109E5389" w14:textId="77777777" w:rsidR="000B5B9F" w:rsidRDefault="00E441BA" w:rsidP="00963E8D">
      <w:r>
        <w:lastRenderedPageBreak/>
        <w:t>Schools</w:t>
      </w:r>
      <w:r w:rsidR="00963E8D">
        <w:t xml:space="preserve"> should consider how space and specialist expertise is developed and used across the school. The LA will be considering the overall costs of putting </w:t>
      </w:r>
      <w:r w:rsidR="00977705">
        <w:t xml:space="preserve">a particular </w:t>
      </w:r>
      <w:r w:rsidR="00963E8D">
        <w:t>provision in place</w:t>
      </w:r>
      <w:r w:rsidR="00B95000">
        <w:t xml:space="preserve"> and whether providing the place for the individual child means that a place cannot be put in place for a child who </w:t>
      </w:r>
      <w:r w:rsidR="000B5B9F">
        <w:t>has a greater level of need where alternatives could not be created</w:t>
      </w:r>
      <w:r w:rsidR="00963E8D">
        <w:t xml:space="preserve">. </w:t>
      </w:r>
    </w:p>
    <w:p w14:paraId="018FE9E7" w14:textId="77777777" w:rsidR="006C0564" w:rsidRDefault="00977705" w:rsidP="00963E8D">
      <w:r>
        <w:t>I</w:t>
      </w:r>
      <w:r w:rsidR="000B5B9F">
        <w:t>t</w:t>
      </w:r>
      <w:r>
        <w:t xml:space="preserve"> is worth noting that</w:t>
      </w:r>
      <w:r w:rsidR="00963E8D">
        <w:t xml:space="preserve"> there should be consideration by all </w:t>
      </w:r>
      <w:r>
        <w:t xml:space="preserve">parties </w:t>
      </w:r>
      <w:r w:rsidR="00963E8D">
        <w:t xml:space="preserve">as to the overall resourcing </w:t>
      </w:r>
      <w:r>
        <w:t>available to</w:t>
      </w:r>
      <w:r w:rsidR="00963E8D">
        <w:t xml:space="preserve"> the district. For example, it is an inefficient use of resources to put in place a specialist provision for a child </w:t>
      </w:r>
      <w:r>
        <w:t>whose</w:t>
      </w:r>
      <w:r w:rsidR="00963E8D">
        <w:t xml:space="preserve"> provision </w:t>
      </w:r>
      <w:r>
        <w:t>could</w:t>
      </w:r>
      <w:r w:rsidR="00963E8D">
        <w:t xml:space="preserve"> be met in a mainstream school</w:t>
      </w:r>
      <w:r>
        <w:t xml:space="preserve"> when another </w:t>
      </w:r>
      <w:r w:rsidR="006C0564">
        <w:t>child’s</w:t>
      </w:r>
      <w:r>
        <w:t xml:space="preserve"> needs could not. As such</w:t>
      </w:r>
      <w:r w:rsidR="00963E8D">
        <w:t xml:space="preserve"> we would expect schools to work with the local authority in supporting mainstream inclusion so that those children who most need the limited specialist provision available are provided it. </w:t>
      </w:r>
    </w:p>
    <w:p w14:paraId="02C3457C" w14:textId="4B128458" w:rsidR="00950534" w:rsidRDefault="00950534" w:rsidP="00963E8D">
      <w:r>
        <w:t xml:space="preserve">Equally </w:t>
      </w:r>
      <w:r w:rsidR="00F576F8">
        <w:t xml:space="preserve">the LA is often faced with requests for school placement within the independent sector at costs of up to and above £100,000 per year. </w:t>
      </w:r>
      <w:r w:rsidR="004251AA">
        <w:t xml:space="preserve">Where the LA has no alternative but to use this provision it prevents the ability to put more resource within local school context. Whilst on rare occasions it may be appropriate to place in such provision, the LA will always look to ensure that </w:t>
      </w:r>
      <w:r w:rsidR="00A81C69">
        <w:t xml:space="preserve">all more </w:t>
      </w:r>
      <w:proofErr w:type="gramStart"/>
      <w:r w:rsidR="00A81C69">
        <w:t>cost effective</w:t>
      </w:r>
      <w:proofErr w:type="gramEnd"/>
      <w:r w:rsidR="00A81C69">
        <w:t xml:space="preserve"> routes are considered and discounted prior to commissioning such places. To not do so would be </w:t>
      </w:r>
      <w:r w:rsidR="00885226">
        <w:t>mismanagement of the public purse.</w:t>
      </w:r>
    </w:p>
    <w:p w14:paraId="7641EBB7" w14:textId="2902C5A3" w:rsidR="00963E8D" w:rsidRDefault="00963E8D" w:rsidP="00963E8D">
      <w:r>
        <w:t xml:space="preserve">We recognise how complex and challenging this is, but we </w:t>
      </w:r>
      <w:r w:rsidR="00977705">
        <w:t>must</w:t>
      </w:r>
      <w:r>
        <w:t xml:space="preserve"> recognise when completing consultation responses that the district has finite provision (places and money) and where we don’t consider </w:t>
      </w:r>
      <w:r w:rsidR="008849B3">
        <w:t>its</w:t>
      </w:r>
      <w:r>
        <w:t xml:space="preserve"> use across both the individual and whole community we risk losing money from the district</w:t>
      </w:r>
      <w:r w:rsidR="00977705">
        <w:t>, either through the loss of AWPU or high costs to independent specialist provision,</w:t>
      </w:r>
      <w:r>
        <w:t xml:space="preserve"> and</w:t>
      </w:r>
      <w:r w:rsidR="00BE72AA">
        <w:t xml:space="preserve"> more importantly</w:t>
      </w:r>
      <w:r>
        <w:t xml:space="preserve"> not meeting the needs of those who most require it. </w:t>
      </w:r>
    </w:p>
    <w:p w14:paraId="42254801" w14:textId="29C98C81" w:rsidR="008A0667" w:rsidRPr="00DD603C" w:rsidRDefault="008A0667" w:rsidP="00DD603C">
      <w:pPr>
        <w:shd w:val="clear" w:color="auto" w:fill="C1F0C7" w:themeFill="accent3" w:themeFillTint="33"/>
        <w:rPr>
          <w:b/>
          <w:bCs/>
        </w:rPr>
      </w:pPr>
      <w:r w:rsidRPr="00DD603C">
        <w:rPr>
          <w:b/>
          <w:bCs/>
        </w:rPr>
        <w:t>What this means:</w:t>
      </w:r>
    </w:p>
    <w:p w14:paraId="12BCA0F3" w14:textId="176CF9FF" w:rsidR="008565CF" w:rsidRDefault="008565CF" w:rsidP="00DD603C">
      <w:pPr>
        <w:pStyle w:val="ListParagraph"/>
        <w:numPr>
          <w:ilvl w:val="0"/>
          <w:numId w:val="22"/>
        </w:numPr>
        <w:shd w:val="clear" w:color="auto" w:fill="C1F0C7" w:themeFill="accent3" w:themeFillTint="33"/>
      </w:pPr>
      <w:r>
        <w:t>School consultations must be completed in line with the guidance provided against the legal position</w:t>
      </w:r>
    </w:p>
    <w:p w14:paraId="49AC8B11" w14:textId="5CA3CB57" w:rsidR="008A0667" w:rsidRDefault="008A0667" w:rsidP="00DD603C">
      <w:pPr>
        <w:pStyle w:val="ListParagraph"/>
        <w:numPr>
          <w:ilvl w:val="0"/>
          <w:numId w:val="22"/>
        </w:numPr>
        <w:shd w:val="clear" w:color="auto" w:fill="C1F0C7" w:themeFill="accent3" w:themeFillTint="33"/>
      </w:pPr>
      <w:r>
        <w:t xml:space="preserve">When a school completes their consultation response they must consider </w:t>
      </w:r>
      <w:r w:rsidR="008565CF">
        <w:t xml:space="preserve">how they can </w:t>
      </w:r>
      <w:proofErr w:type="gramStart"/>
      <w:r w:rsidR="008565CF">
        <w:t>make adjustments to</w:t>
      </w:r>
      <w:proofErr w:type="gramEnd"/>
      <w:r w:rsidR="008565CF">
        <w:t xml:space="preserve"> meet needs</w:t>
      </w:r>
    </w:p>
    <w:p w14:paraId="0DF21316" w14:textId="1F609C12" w:rsidR="009316BA" w:rsidRPr="002F5866" w:rsidRDefault="009316BA" w:rsidP="00963E8D">
      <w:pPr>
        <w:rPr>
          <w:b/>
          <w:bCs/>
        </w:rPr>
      </w:pPr>
      <w:r w:rsidRPr="002F5866">
        <w:rPr>
          <w:b/>
          <w:bCs/>
        </w:rPr>
        <w:t>Making a place available</w:t>
      </w:r>
    </w:p>
    <w:p w14:paraId="1664EBDF" w14:textId="1D5FD5ED" w:rsidR="009316BA" w:rsidRDefault="009316BA" w:rsidP="00963E8D">
      <w:r>
        <w:t xml:space="preserve">On rare occasions a school may consider that they can make a school place available but not in the short term. This is likely to be advising that a place can be offered when a </w:t>
      </w:r>
      <w:r w:rsidR="002F5866">
        <w:t xml:space="preserve">particular situation within the school changes that already has a set timeframe such as a cohort leaving or building adaptations being completed. </w:t>
      </w:r>
    </w:p>
    <w:p w14:paraId="62FC06C8" w14:textId="30B1E12D" w:rsidR="002F5866" w:rsidRDefault="002F5866" w:rsidP="00963E8D">
      <w:r>
        <w:t xml:space="preserve">If this is the case the school should detail this in their consultation response </w:t>
      </w:r>
      <w:r w:rsidR="00A12AE3">
        <w:t xml:space="preserve">and discuss how support for transition could be put in place over the extended period, for </w:t>
      </w:r>
      <w:r w:rsidR="00A12AE3">
        <w:lastRenderedPageBreak/>
        <w:t>example offering support to the current school to plan for transition or creating outreach opportunities if possible.</w:t>
      </w:r>
    </w:p>
    <w:p w14:paraId="7ACF460A" w14:textId="3DB1F0FF" w:rsidR="004D6484" w:rsidRDefault="004D6484" w:rsidP="00963E8D">
      <w:r>
        <w:t>On occasions the LA may ask schools about admissions for a future date. If this is the request then this will be made clear on the consultation, otherwise it is expected that all consultations are made for a place as soon as appropriately possible</w:t>
      </w:r>
      <w:r w:rsidR="005C214C">
        <w:t>.</w:t>
      </w:r>
      <w:r w:rsidR="006D6F11">
        <w:t xml:space="preserve"> </w:t>
      </w:r>
    </w:p>
    <w:p w14:paraId="71B7858E" w14:textId="2D58EC62" w:rsidR="006D6F11" w:rsidRDefault="006D6F11" w:rsidP="00963E8D">
      <w:r>
        <w:t>Where a child is approaching a phase transition point the LA will advise of the intended start date.</w:t>
      </w:r>
    </w:p>
    <w:p w14:paraId="5D6597BC" w14:textId="6B11B3A7" w:rsidR="00BD0E68" w:rsidRPr="006D6F11" w:rsidRDefault="00BD0E68" w:rsidP="006D6F11">
      <w:pPr>
        <w:shd w:val="clear" w:color="auto" w:fill="C1F0C7" w:themeFill="accent3" w:themeFillTint="33"/>
        <w:rPr>
          <w:b/>
          <w:bCs/>
        </w:rPr>
      </w:pPr>
      <w:r w:rsidRPr="006D6F11">
        <w:rPr>
          <w:b/>
          <w:bCs/>
        </w:rPr>
        <w:t>What this means:</w:t>
      </w:r>
    </w:p>
    <w:p w14:paraId="0BD7FDC2" w14:textId="4334D1E5" w:rsidR="00C307C1" w:rsidRDefault="00BD0E68" w:rsidP="006D6F11">
      <w:pPr>
        <w:pStyle w:val="ListParagraph"/>
        <w:numPr>
          <w:ilvl w:val="0"/>
          <w:numId w:val="23"/>
        </w:numPr>
        <w:shd w:val="clear" w:color="auto" w:fill="C1F0C7" w:themeFill="accent3" w:themeFillTint="33"/>
      </w:pPr>
      <w:r>
        <w:t xml:space="preserve">If a school can make a place available at a point in the future, they should advise </w:t>
      </w:r>
      <w:r w:rsidR="00C307C1">
        <w:t>when this would be the case</w:t>
      </w:r>
    </w:p>
    <w:p w14:paraId="2C8BA5C3" w14:textId="5B23951D" w:rsidR="00C307C1" w:rsidRDefault="00C307C1" w:rsidP="006D6F11">
      <w:pPr>
        <w:pStyle w:val="ListParagraph"/>
        <w:numPr>
          <w:ilvl w:val="0"/>
          <w:numId w:val="23"/>
        </w:numPr>
        <w:shd w:val="clear" w:color="auto" w:fill="C1F0C7" w:themeFill="accent3" w:themeFillTint="33"/>
      </w:pPr>
      <w:r>
        <w:t xml:space="preserve">All consultation requests will be for a start date as soon as possible unless </w:t>
      </w:r>
      <w:r w:rsidR="006D6F11">
        <w:t>the request advises differently</w:t>
      </w:r>
    </w:p>
    <w:p w14:paraId="305A45D2" w14:textId="23B4C1C5" w:rsidR="000F7F8C" w:rsidRDefault="00A91F88" w:rsidP="00963E8D">
      <w:r>
        <w:rPr>
          <w:b/>
          <w:bCs/>
        </w:rPr>
        <w:t xml:space="preserve">How will the local authority </w:t>
      </w:r>
      <w:r w:rsidR="0034776F">
        <w:rPr>
          <w:b/>
          <w:bCs/>
        </w:rPr>
        <w:t>decide</w:t>
      </w:r>
      <w:r>
        <w:rPr>
          <w:b/>
          <w:bCs/>
        </w:rPr>
        <w:t xml:space="preserve"> based on consultation</w:t>
      </w:r>
      <w:r w:rsidR="0034776F">
        <w:rPr>
          <w:b/>
          <w:bCs/>
        </w:rPr>
        <w:t>?</w:t>
      </w:r>
    </w:p>
    <w:p w14:paraId="48CC5828" w14:textId="5038DD6B" w:rsidR="00A91F88" w:rsidRDefault="0034776F" w:rsidP="00963E8D">
      <w:r>
        <w:t>Following receipt of consultations, the local authority will carefully consider the response</w:t>
      </w:r>
      <w:r w:rsidR="00C6462A">
        <w:t xml:space="preserve"> in line with legislation and statutory guidance</w:t>
      </w:r>
      <w:r>
        <w:t xml:space="preserve">. Whilst </w:t>
      </w:r>
      <w:r w:rsidR="00C95703">
        <w:t xml:space="preserve">all consultation responses will be carefully considered, the fact that a school state that they cannot meet needs does not mean that the LA must agree with that view or would not name the school. </w:t>
      </w:r>
    </w:p>
    <w:p w14:paraId="46B1C7FF" w14:textId="3A41EBEC" w:rsidR="00C95703" w:rsidRDefault="00C95703" w:rsidP="00963E8D">
      <w:r>
        <w:t>In considering consultation</w:t>
      </w:r>
      <w:r w:rsidR="00F50E4A">
        <w:t xml:space="preserve"> responses in line with parent preference, the LA will look at all reasons why a school may or may not be named. The following </w:t>
      </w:r>
      <w:r w:rsidR="00C632D2">
        <w:t>decision-making processes will take place:</w:t>
      </w:r>
    </w:p>
    <w:p w14:paraId="0A604A45" w14:textId="443814E5" w:rsidR="00F50E4A" w:rsidRDefault="00E14EDB" w:rsidP="00C632D2">
      <w:pPr>
        <w:pStyle w:val="ListParagraph"/>
        <w:numPr>
          <w:ilvl w:val="0"/>
          <w:numId w:val="16"/>
        </w:numPr>
      </w:pPr>
      <w:r>
        <w:t xml:space="preserve">Where a mainstream school is requested and the school advises they can meet needs </w:t>
      </w:r>
      <w:r w:rsidR="00F50E4A">
        <w:t>the placement will be named by the officer</w:t>
      </w:r>
      <w:r w:rsidR="00EB5E97">
        <w:t>.</w:t>
      </w:r>
    </w:p>
    <w:p w14:paraId="60DAB988" w14:textId="4DD22386" w:rsidR="00C632D2" w:rsidRDefault="00C632D2" w:rsidP="00C632D2">
      <w:pPr>
        <w:pStyle w:val="ListParagraph"/>
        <w:numPr>
          <w:ilvl w:val="0"/>
          <w:numId w:val="16"/>
        </w:numPr>
      </w:pPr>
      <w:r>
        <w:t xml:space="preserve">Where a mainstream school is requested and the school advises they cannot meet needs, the </w:t>
      </w:r>
      <w:r w:rsidR="00E14EDB">
        <w:t>request will be</w:t>
      </w:r>
      <w:r w:rsidR="009B7BFF">
        <w:t xml:space="preserve"> considered </w:t>
      </w:r>
      <w:r w:rsidR="00777A44">
        <w:t xml:space="preserve">by the case officer in conjunction with managers </w:t>
      </w:r>
      <w:r w:rsidR="00EB5E97">
        <w:t xml:space="preserve">who will carefully consider all responses to </w:t>
      </w:r>
      <w:r w:rsidR="009D75F6">
        <w:t>decide</w:t>
      </w:r>
      <w:r w:rsidR="00EB5E97">
        <w:t>.</w:t>
      </w:r>
    </w:p>
    <w:p w14:paraId="21C7EA5E" w14:textId="1E191A3F" w:rsidR="00CD31D7" w:rsidRDefault="00CD31D7" w:rsidP="00C632D2">
      <w:pPr>
        <w:pStyle w:val="ListParagraph"/>
        <w:numPr>
          <w:ilvl w:val="0"/>
          <w:numId w:val="16"/>
        </w:numPr>
      </w:pPr>
      <w:r>
        <w:t xml:space="preserve">Where a maintained specialist provision (special school, resource provision) is requested </w:t>
      </w:r>
      <w:r w:rsidR="00A309C9">
        <w:t xml:space="preserve">then the request will be presented </w:t>
      </w:r>
      <w:r w:rsidR="009C12B3">
        <w:t xml:space="preserve">for decision alongside all other responses. The EHC resource panel will carefully consider all responses and </w:t>
      </w:r>
      <w:r w:rsidR="00213BE8">
        <w:t>decide</w:t>
      </w:r>
      <w:r w:rsidR="009C12B3">
        <w:t xml:space="preserve"> as to the placement to be named.</w:t>
      </w:r>
    </w:p>
    <w:p w14:paraId="20FC6858" w14:textId="5D50FD43" w:rsidR="00A309C9" w:rsidRDefault="00A309C9" w:rsidP="00C632D2">
      <w:pPr>
        <w:pStyle w:val="ListParagraph"/>
        <w:numPr>
          <w:ilvl w:val="0"/>
          <w:numId w:val="16"/>
        </w:numPr>
      </w:pPr>
      <w:r>
        <w:t xml:space="preserve">Where an independent provision is requested the casework officer will ensure that </w:t>
      </w:r>
      <w:r w:rsidR="009D7DAD">
        <w:t>appropriate consideration of alternatives is made, including discussion with potential alternatives prior to presenting to the EHC Resource panel. Should the EHC Resource panel recommend the independent provision, it will be escalated to the Assistant Director for SEND and Inclusion or equivalent for review of the decision</w:t>
      </w:r>
      <w:r w:rsidR="00B54E5F">
        <w:t xml:space="preserve"> and any final agreement or alternative action</w:t>
      </w:r>
      <w:r w:rsidR="00EB5E97">
        <w:t>.</w:t>
      </w:r>
    </w:p>
    <w:p w14:paraId="1481FE81" w14:textId="77777777" w:rsidR="009D0B12" w:rsidRDefault="00EB5E97" w:rsidP="00EB5E97">
      <w:r>
        <w:lastRenderedPageBreak/>
        <w:t>Where the local authority is making decisions for placement at phase transfer, this will be managed outside of the EHC Resource panel process</w:t>
      </w:r>
      <w:r w:rsidR="009D0B12">
        <w:t xml:space="preserve"> with the same levels of consideration and escalation.</w:t>
      </w:r>
    </w:p>
    <w:p w14:paraId="2A3A73C8" w14:textId="512B9A0C" w:rsidR="00EB5E97" w:rsidRDefault="009D0B12" w:rsidP="00EB5E97">
      <w:r>
        <w:t xml:space="preserve">On rare occasions a decision may be taken outside of the EHC Resource panel. This </w:t>
      </w:r>
      <w:r w:rsidR="00265E47">
        <w:t>can include decision making around tribunals. The same level of scrutiny will be taken in making these decisions and outcomes recorded.</w:t>
      </w:r>
      <w:r>
        <w:t xml:space="preserve"> </w:t>
      </w:r>
    </w:p>
    <w:p w14:paraId="19B2FD29" w14:textId="67C170D4" w:rsidR="00C6462A" w:rsidRDefault="00C6462A" w:rsidP="00EB5E97">
      <w:r>
        <w:t xml:space="preserve">Once a decision has been made, the service will contact the </w:t>
      </w:r>
      <w:r w:rsidR="009F38CF">
        <w:t xml:space="preserve">current school and any future school of the outcome and signpost to support as appropriate. </w:t>
      </w:r>
      <w:r w:rsidR="00482150">
        <w:t xml:space="preserve">A final EHC Plan will be issued naming the agreed school in section I. At this point the school has a legal duty to arrange admission. </w:t>
      </w:r>
      <w:r w:rsidR="005C214C">
        <w:t>The LA will also seek to notify other schools consulted that at this time the place is not being progressed.</w:t>
      </w:r>
    </w:p>
    <w:p w14:paraId="0CDF62BA" w14:textId="063BF5B2" w:rsidR="00FC5113" w:rsidRDefault="00FC5113" w:rsidP="00EB5E97">
      <w:r>
        <w:t>The LA will continue to offer support as to how school can implement the provision in the EHC Plan throughout this period</w:t>
      </w:r>
      <w:r w:rsidR="005A1B9A">
        <w:t xml:space="preserve"> including after the child has been admitted. Schools who want to discuss this should discuss with the casework officer in the first instance where they can access support. Discussion about support is not a reason to delay admission as there is a legal duty placed on the school at the point of the final EHC Plan being issued.</w:t>
      </w:r>
    </w:p>
    <w:p w14:paraId="02E80773" w14:textId="77777777" w:rsidR="00BF0267" w:rsidRPr="00BF0267" w:rsidRDefault="00BF0267" w:rsidP="00BF0267">
      <w:pPr>
        <w:shd w:val="clear" w:color="auto" w:fill="C1F0C7" w:themeFill="accent3" w:themeFillTint="33"/>
        <w:rPr>
          <w:b/>
          <w:bCs/>
        </w:rPr>
      </w:pPr>
      <w:r w:rsidRPr="00BF0267">
        <w:rPr>
          <w:b/>
          <w:bCs/>
        </w:rPr>
        <w:t>What this means:</w:t>
      </w:r>
    </w:p>
    <w:p w14:paraId="1A726BF2" w14:textId="77777777" w:rsidR="00BF0267" w:rsidRDefault="00BF0267" w:rsidP="00BF0267">
      <w:pPr>
        <w:pStyle w:val="ListParagraph"/>
        <w:numPr>
          <w:ilvl w:val="0"/>
          <w:numId w:val="24"/>
        </w:numPr>
        <w:shd w:val="clear" w:color="auto" w:fill="C1F0C7" w:themeFill="accent3" w:themeFillTint="33"/>
      </w:pPr>
      <w:r>
        <w:t>All decisions will be made in a consistent and transparent manner, carefully considering the response from a school</w:t>
      </w:r>
    </w:p>
    <w:p w14:paraId="32A3D9FD" w14:textId="77777777" w:rsidR="00BF0267" w:rsidRDefault="00BF0267" w:rsidP="00BF0267">
      <w:pPr>
        <w:pStyle w:val="ListParagraph"/>
        <w:numPr>
          <w:ilvl w:val="0"/>
          <w:numId w:val="24"/>
        </w:numPr>
        <w:shd w:val="clear" w:color="auto" w:fill="C1F0C7" w:themeFill="accent3" w:themeFillTint="33"/>
      </w:pPr>
      <w:r>
        <w:t>The LA will notify schools of the decision following consultation</w:t>
      </w:r>
    </w:p>
    <w:p w14:paraId="52EE9CCB" w14:textId="77777777" w:rsidR="00BF0267" w:rsidRDefault="00BF0267" w:rsidP="00BF0267">
      <w:pPr>
        <w:pStyle w:val="ListParagraph"/>
        <w:numPr>
          <w:ilvl w:val="0"/>
          <w:numId w:val="24"/>
        </w:numPr>
        <w:shd w:val="clear" w:color="auto" w:fill="C1F0C7" w:themeFill="accent3" w:themeFillTint="33"/>
      </w:pPr>
      <w:r>
        <w:t>Schools must arrange admission following being named in section I of the EHC Plan</w:t>
      </w:r>
    </w:p>
    <w:p w14:paraId="27020871" w14:textId="77777777" w:rsidR="00BF0267" w:rsidRDefault="00BF0267" w:rsidP="00BF0267">
      <w:pPr>
        <w:pStyle w:val="ListParagraph"/>
        <w:numPr>
          <w:ilvl w:val="0"/>
          <w:numId w:val="24"/>
        </w:numPr>
        <w:shd w:val="clear" w:color="auto" w:fill="C1F0C7" w:themeFill="accent3" w:themeFillTint="33"/>
      </w:pPr>
      <w:r>
        <w:t>Schools can continue to discuss with the LA how provision in the EHC Plan is put in place after admission to the school</w:t>
      </w:r>
    </w:p>
    <w:p w14:paraId="173CD156" w14:textId="710AC351" w:rsidR="007B69A1" w:rsidRDefault="00E4788C" w:rsidP="00EB5E97">
      <w:r>
        <w:t xml:space="preserve"> </w:t>
      </w:r>
    </w:p>
    <w:p w14:paraId="56CA38BA" w14:textId="0470E826" w:rsidR="007B69A1" w:rsidRDefault="007B69A1" w:rsidP="00EB5E97">
      <w:r>
        <w:t>November 2025</w:t>
      </w:r>
    </w:p>
    <w:p w14:paraId="65B0821F" w14:textId="77777777" w:rsidR="00F50E4A" w:rsidRPr="00A91F88" w:rsidRDefault="00F50E4A" w:rsidP="00963E8D"/>
    <w:p w14:paraId="03D5F0D6" w14:textId="77777777" w:rsidR="000F7F8C" w:rsidRDefault="000F7F8C" w:rsidP="00963E8D"/>
    <w:sectPr w:rsidR="000F7F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D24D4"/>
    <w:multiLevelType w:val="hybridMultilevel"/>
    <w:tmpl w:val="34DAD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81550E"/>
    <w:multiLevelType w:val="multilevel"/>
    <w:tmpl w:val="71461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3937EB"/>
    <w:multiLevelType w:val="hybridMultilevel"/>
    <w:tmpl w:val="C220C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A773AD"/>
    <w:multiLevelType w:val="multilevel"/>
    <w:tmpl w:val="FA9E4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F23FD9"/>
    <w:multiLevelType w:val="hybridMultilevel"/>
    <w:tmpl w:val="44DE480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5" w15:restartNumberingAfterBreak="0">
    <w:nsid w:val="2C697284"/>
    <w:multiLevelType w:val="hybridMultilevel"/>
    <w:tmpl w:val="E346A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1C122F"/>
    <w:multiLevelType w:val="multilevel"/>
    <w:tmpl w:val="9A60F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D64BC9"/>
    <w:multiLevelType w:val="hybridMultilevel"/>
    <w:tmpl w:val="4B66E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B6396F"/>
    <w:multiLevelType w:val="hybridMultilevel"/>
    <w:tmpl w:val="5D1A4AA2"/>
    <w:lvl w:ilvl="0" w:tplc="4F82830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962C12"/>
    <w:multiLevelType w:val="hybridMultilevel"/>
    <w:tmpl w:val="EDF6B2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8D337D"/>
    <w:multiLevelType w:val="multilevel"/>
    <w:tmpl w:val="1C4CF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D992CA0"/>
    <w:multiLevelType w:val="hybridMultilevel"/>
    <w:tmpl w:val="6F78B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BB1526"/>
    <w:multiLevelType w:val="hybridMultilevel"/>
    <w:tmpl w:val="FD9C0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AED0BE1"/>
    <w:multiLevelType w:val="multilevel"/>
    <w:tmpl w:val="F49A5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C3F3546"/>
    <w:multiLevelType w:val="hybridMultilevel"/>
    <w:tmpl w:val="D3726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A900A7"/>
    <w:multiLevelType w:val="hybridMultilevel"/>
    <w:tmpl w:val="4A5C4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EE2D38"/>
    <w:multiLevelType w:val="hybridMultilevel"/>
    <w:tmpl w:val="F4282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5F7457"/>
    <w:multiLevelType w:val="hybridMultilevel"/>
    <w:tmpl w:val="03867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1E6913"/>
    <w:multiLevelType w:val="hybridMultilevel"/>
    <w:tmpl w:val="7A3CB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A76257"/>
    <w:multiLevelType w:val="hybridMultilevel"/>
    <w:tmpl w:val="57B63E7C"/>
    <w:lvl w:ilvl="0" w:tplc="07C45EC6">
      <w:start w:val="9"/>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A72931"/>
    <w:multiLevelType w:val="hybridMultilevel"/>
    <w:tmpl w:val="E9A2A956"/>
    <w:lvl w:ilvl="0" w:tplc="F62C7A4A">
      <w:start w:val="1"/>
      <w:numFmt w:val="bullet"/>
      <w:lvlText w:val="•"/>
      <w:lvlJc w:val="left"/>
      <w:pPr>
        <w:tabs>
          <w:tab w:val="num" w:pos="720"/>
        </w:tabs>
        <w:ind w:left="720" w:hanging="360"/>
      </w:pPr>
      <w:rPr>
        <w:rFonts w:ascii="Arial" w:hAnsi="Arial" w:hint="default"/>
      </w:rPr>
    </w:lvl>
    <w:lvl w:ilvl="1" w:tplc="C83649F0">
      <w:numFmt w:val="bullet"/>
      <w:lvlText w:val="–"/>
      <w:lvlJc w:val="left"/>
      <w:pPr>
        <w:tabs>
          <w:tab w:val="num" w:pos="1440"/>
        </w:tabs>
        <w:ind w:left="1440" w:hanging="360"/>
      </w:pPr>
      <w:rPr>
        <w:rFonts w:ascii="Arial" w:hAnsi="Arial" w:hint="default"/>
      </w:rPr>
    </w:lvl>
    <w:lvl w:ilvl="2" w:tplc="09D21CC2" w:tentative="1">
      <w:start w:val="1"/>
      <w:numFmt w:val="bullet"/>
      <w:lvlText w:val="•"/>
      <w:lvlJc w:val="left"/>
      <w:pPr>
        <w:tabs>
          <w:tab w:val="num" w:pos="2160"/>
        </w:tabs>
        <w:ind w:left="2160" w:hanging="360"/>
      </w:pPr>
      <w:rPr>
        <w:rFonts w:ascii="Arial" w:hAnsi="Arial" w:hint="default"/>
      </w:rPr>
    </w:lvl>
    <w:lvl w:ilvl="3" w:tplc="B824B24C" w:tentative="1">
      <w:start w:val="1"/>
      <w:numFmt w:val="bullet"/>
      <w:lvlText w:val="•"/>
      <w:lvlJc w:val="left"/>
      <w:pPr>
        <w:tabs>
          <w:tab w:val="num" w:pos="2880"/>
        </w:tabs>
        <w:ind w:left="2880" w:hanging="360"/>
      </w:pPr>
      <w:rPr>
        <w:rFonts w:ascii="Arial" w:hAnsi="Arial" w:hint="default"/>
      </w:rPr>
    </w:lvl>
    <w:lvl w:ilvl="4" w:tplc="7FF8AEA0" w:tentative="1">
      <w:start w:val="1"/>
      <w:numFmt w:val="bullet"/>
      <w:lvlText w:val="•"/>
      <w:lvlJc w:val="left"/>
      <w:pPr>
        <w:tabs>
          <w:tab w:val="num" w:pos="3600"/>
        </w:tabs>
        <w:ind w:left="3600" w:hanging="360"/>
      </w:pPr>
      <w:rPr>
        <w:rFonts w:ascii="Arial" w:hAnsi="Arial" w:hint="default"/>
      </w:rPr>
    </w:lvl>
    <w:lvl w:ilvl="5" w:tplc="A25E65B0" w:tentative="1">
      <w:start w:val="1"/>
      <w:numFmt w:val="bullet"/>
      <w:lvlText w:val="•"/>
      <w:lvlJc w:val="left"/>
      <w:pPr>
        <w:tabs>
          <w:tab w:val="num" w:pos="4320"/>
        </w:tabs>
        <w:ind w:left="4320" w:hanging="360"/>
      </w:pPr>
      <w:rPr>
        <w:rFonts w:ascii="Arial" w:hAnsi="Arial" w:hint="default"/>
      </w:rPr>
    </w:lvl>
    <w:lvl w:ilvl="6" w:tplc="91BEA6F2" w:tentative="1">
      <w:start w:val="1"/>
      <w:numFmt w:val="bullet"/>
      <w:lvlText w:val="•"/>
      <w:lvlJc w:val="left"/>
      <w:pPr>
        <w:tabs>
          <w:tab w:val="num" w:pos="5040"/>
        </w:tabs>
        <w:ind w:left="5040" w:hanging="360"/>
      </w:pPr>
      <w:rPr>
        <w:rFonts w:ascii="Arial" w:hAnsi="Arial" w:hint="default"/>
      </w:rPr>
    </w:lvl>
    <w:lvl w:ilvl="7" w:tplc="2508034C" w:tentative="1">
      <w:start w:val="1"/>
      <w:numFmt w:val="bullet"/>
      <w:lvlText w:val="•"/>
      <w:lvlJc w:val="left"/>
      <w:pPr>
        <w:tabs>
          <w:tab w:val="num" w:pos="5760"/>
        </w:tabs>
        <w:ind w:left="5760" w:hanging="360"/>
      </w:pPr>
      <w:rPr>
        <w:rFonts w:ascii="Arial" w:hAnsi="Arial" w:hint="default"/>
      </w:rPr>
    </w:lvl>
    <w:lvl w:ilvl="8" w:tplc="FC2CD90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72CE07A3"/>
    <w:multiLevelType w:val="hybridMultilevel"/>
    <w:tmpl w:val="F210D47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48F528C"/>
    <w:multiLevelType w:val="multilevel"/>
    <w:tmpl w:val="F4D63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B9D0016"/>
    <w:multiLevelType w:val="hybridMultilevel"/>
    <w:tmpl w:val="0AEC74A8"/>
    <w:lvl w:ilvl="0" w:tplc="DD5ED836">
      <w:start w:val="1"/>
      <w:numFmt w:val="bullet"/>
      <w:lvlText w:val="•"/>
      <w:lvlJc w:val="left"/>
      <w:pPr>
        <w:tabs>
          <w:tab w:val="num" w:pos="720"/>
        </w:tabs>
        <w:ind w:left="720" w:hanging="360"/>
      </w:pPr>
      <w:rPr>
        <w:rFonts w:ascii="Arial" w:hAnsi="Arial" w:hint="default"/>
      </w:rPr>
    </w:lvl>
    <w:lvl w:ilvl="1" w:tplc="3BC673AC">
      <w:numFmt w:val="bullet"/>
      <w:lvlText w:val="–"/>
      <w:lvlJc w:val="left"/>
      <w:pPr>
        <w:tabs>
          <w:tab w:val="num" w:pos="1440"/>
        </w:tabs>
        <w:ind w:left="1440" w:hanging="360"/>
      </w:pPr>
      <w:rPr>
        <w:rFonts w:ascii="Arial" w:hAnsi="Arial" w:hint="default"/>
      </w:rPr>
    </w:lvl>
    <w:lvl w:ilvl="2" w:tplc="0264F6EA" w:tentative="1">
      <w:start w:val="1"/>
      <w:numFmt w:val="bullet"/>
      <w:lvlText w:val="•"/>
      <w:lvlJc w:val="left"/>
      <w:pPr>
        <w:tabs>
          <w:tab w:val="num" w:pos="2160"/>
        </w:tabs>
        <w:ind w:left="2160" w:hanging="360"/>
      </w:pPr>
      <w:rPr>
        <w:rFonts w:ascii="Arial" w:hAnsi="Arial" w:hint="default"/>
      </w:rPr>
    </w:lvl>
    <w:lvl w:ilvl="3" w:tplc="297C047A" w:tentative="1">
      <w:start w:val="1"/>
      <w:numFmt w:val="bullet"/>
      <w:lvlText w:val="•"/>
      <w:lvlJc w:val="left"/>
      <w:pPr>
        <w:tabs>
          <w:tab w:val="num" w:pos="2880"/>
        </w:tabs>
        <w:ind w:left="2880" w:hanging="360"/>
      </w:pPr>
      <w:rPr>
        <w:rFonts w:ascii="Arial" w:hAnsi="Arial" w:hint="default"/>
      </w:rPr>
    </w:lvl>
    <w:lvl w:ilvl="4" w:tplc="3542A52C" w:tentative="1">
      <w:start w:val="1"/>
      <w:numFmt w:val="bullet"/>
      <w:lvlText w:val="•"/>
      <w:lvlJc w:val="left"/>
      <w:pPr>
        <w:tabs>
          <w:tab w:val="num" w:pos="3600"/>
        </w:tabs>
        <w:ind w:left="3600" w:hanging="360"/>
      </w:pPr>
      <w:rPr>
        <w:rFonts w:ascii="Arial" w:hAnsi="Arial" w:hint="default"/>
      </w:rPr>
    </w:lvl>
    <w:lvl w:ilvl="5" w:tplc="06846612" w:tentative="1">
      <w:start w:val="1"/>
      <w:numFmt w:val="bullet"/>
      <w:lvlText w:val="•"/>
      <w:lvlJc w:val="left"/>
      <w:pPr>
        <w:tabs>
          <w:tab w:val="num" w:pos="4320"/>
        </w:tabs>
        <w:ind w:left="4320" w:hanging="360"/>
      </w:pPr>
      <w:rPr>
        <w:rFonts w:ascii="Arial" w:hAnsi="Arial" w:hint="default"/>
      </w:rPr>
    </w:lvl>
    <w:lvl w:ilvl="6" w:tplc="32AC6B56" w:tentative="1">
      <w:start w:val="1"/>
      <w:numFmt w:val="bullet"/>
      <w:lvlText w:val="•"/>
      <w:lvlJc w:val="left"/>
      <w:pPr>
        <w:tabs>
          <w:tab w:val="num" w:pos="5040"/>
        </w:tabs>
        <w:ind w:left="5040" w:hanging="360"/>
      </w:pPr>
      <w:rPr>
        <w:rFonts w:ascii="Arial" w:hAnsi="Arial" w:hint="default"/>
      </w:rPr>
    </w:lvl>
    <w:lvl w:ilvl="7" w:tplc="26FE6548" w:tentative="1">
      <w:start w:val="1"/>
      <w:numFmt w:val="bullet"/>
      <w:lvlText w:val="•"/>
      <w:lvlJc w:val="left"/>
      <w:pPr>
        <w:tabs>
          <w:tab w:val="num" w:pos="5760"/>
        </w:tabs>
        <w:ind w:left="5760" w:hanging="360"/>
      </w:pPr>
      <w:rPr>
        <w:rFonts w:ascii="Arial" w:hAnsi="Arial" w:hint="default"/>
      </w:rPr>
    </w:lvl>
    <w:lvl w:ilvl="8" w:tplc="EAC429F4" w:tentative="1">
      <w:start w:val="1"/>
      <w:numFmt w:val="bullet"/>
      <w:lvlText w:val="•"/>
      <w:lvlJc w:val="left"/>
      <w:pPr>
        <w:tabs>
          <w:tab w:val="num" w:pos="6480"/>
        </w:tabs>
        <w:ind w:left="6480" w:hanging="360"/>
      </w:pPr>
      <w:rPr>
        <w:rFonts w:ascii="Arial" w:hAnsi="Arial" w:hint="default"/>
      </w:rPr>
    </w:lvl>
  </w:abstractNum>
  <w:num w:numId="1" w16cid:durableId="2073234530">
    <w:abstractNumId w:val="11"/>
  </w:num>
  <w:num w:numId="2" w16cid:durableId="1514688867">
    <w:abstractNumId w:val="0"/>
  </w:num>
  <w:num w:numId="3" w16cid:durableId="824933547">
    <w:abstractNumId w:val="19"/>
  </w:num>
  <w:num w:numId="4" w16cid:durableId="2011711322">
    <w:abstractNumId w:val="23"/>
  </w:num>
  <w:num w:numId="5" w16cid:durableId="379405482">
    <w:abstractNumId w:val="20"/>
  </w:num>
  <w:num w:numId="6" w16cid:durableId="2068339196">
    <w:abstractNumId w:val="3"/>
  </w:num>
  <w:num w:numId="7" w16cid:durableId="1512796539">
    <w:abstractNumId w:val="6"/>
  </w:num>
  <w:num w:numId="8" w16cid:durableId="483469979">
    <w:abstractNumId w:val="22"/>
  </w:num>
  <w:num w:numId="9" w16cid:durableId="368335923">
    <w:abstractNumId w:val="10"/>
  </w:num>
  <w:num w:numId="10" w16cid:durableId="1536312791">
    <w:abstractNumId w:val="13"/>
  </w:num>
  <w:num w:numId="11" w16cid:durableId="983856929">
    <w:abstractNumId w:val="1"/>
  </w:num>
  <w:num w:numId="12" w16cid:durableId="1578631905">
    <w:abstractNumId w:val="8"/>
  </w:num>
  <w:num w:numId="13" w16cid:durableId="866141771">
    <w:abstractNumId w:val="21"/>
  </w:num>
  <w:num w:numId="14" w16cid:durableId="125708972">
    <w:abstractNumId w:val="9"/>
  </w:num>
  <w:num w:numId="15" w16cid:durableId="1093476994">
    <w:abstractNumId w:val="4"/>
  </w:num>
  <w:num w:numId="16" w16cid:durableId="589856684">
    <w:abstractNumId w:val="7"/>
  </w:num>
  <w:num w:numId="17" w16cid:durableId="1292321044">
    <w:abstractNumId w:val="12"/>
  </w:num>
  <w:num w:numId="18" w16cid:durableId="1387953679">
    <w:abstractNumId w:val="15"/>
  </w:num>
  <w:num w:numId="19" w16cid:durableId="612327377">
    <w:abstractNumId w:val="5"/>
  </w:num>
  <w:num w:numId="20" w16cid:durableId="579800310">
    <w:abstractNumId w:val="16"/>
  </w:num>
  <w:num w:numId="21" w16cid:durableId="1726489605">
    <w:abstractNumId w:val="2"/>
  </w:num>
  <w:num w:numId="22" w16cid:durableId="231934881">
    <w:abstractNumId w:val="17"/>
  </w:num>
  <w:num w:numId="23" w16cid:durableId="1918174874">
    <w:abstractNumId w:val="18"/>
  </w:num>
  <w:num w:numId="24" w16cid:durableId="17264164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043"/>
    <w:rsid w:val="0005560C"/>
    <w:rsid w:val="00057764"/>
    <w:rsid w:val="0008685F"/>
    <w:rsid w:val="000B5B9F"/>
    <w:rsid w:val="000E7E61"/>
    <w:rsid w:val="000F7F8C"/>
    <w:rsid w:val="00111E8F"/>
    <w:rsid w:val="00197597"/>
    <w:rsid w:val="001F49BB"/>
    <w:rsid w:val="00213BE8"/>
    <w:rsid w:val="002206EE"/>
    <w:rsid w:val="00265E47"/>
    <w:rsid w:val="002808A3"/>
    <w:rsid w:val="00282B75"/>
    <w:rsid w:val="002C31F9"/>
    <w:rsid w:val="002D0847"/>
    <w:rsid w:val="002D25AF"/>
    <w:rsid w:val="002D27BF"/>
    <w:rsid w:val="002D6E68"/>
    <w:rsid w:val="002E1963"/>
    <w:rsid w:val="002F3C89"/>
    <w:rsid w:val="002F5866"/>
    <w:rsid w:val="003059C7"/>
    <w:rsid w:val="00333543"/>
    <w:rsid w:val="003425B9"/>
    <w:rsid w:val="0034776F"/>
    <w:rsid w:val="00364D95"/>
    <w:rsid w:val="00387714"/>
    <w:rsid w:val="00393C90"/>
    <w:rsid w:val="003A47CA"/>
    <w:rsid w:val="003B0403"/>
    <w:rsid w:val="003B45E8"/>
    <w:rsid w:val="0042053A"/>
    <w:rsid w:val="004251AA"/>
    <w:rsid w:val="004466C1"/>
    <w:rsid w:val="00482150"/>
    <w:rsid w:val="004D6484"/>
    <w:rsid w:val="0054289C"/>
    <w:rsid w:val="00545555"/>
    <w:rsid w:val="0057168E"/>
    <w:rsid w:val="005924FC"/>
    <w:rsid w:val="005A1B9A"/>
    <w:rsid w:val="005A243D"/>
    <w:rsid w:val="005A4BA5"/>
    <w:rsid w:val="005C214C"/>
    <w:rsid w:val="005C3AB3"/>
    <w:rsid w:val="005C571E"/>
    <w:rsid w:val="005D1288"/>
    <w:rsid w:val="005F717B"/>
    <w:rsid w:val="0062736E"/>
    <w:rsid w:val="0064163D"/>
    <w:rsid w:val="00667576"/>
    <w:rsid w:val="0067337D"/>
    <w:rsid w:val="00686FD0"/>
    <w:rsid w:val="006C0564"/>
    <w:rsid w:val="006D6421"/>
    <w:rsid w:val="006D6F11"/>
    <w:rsid w:val="006E4520"/>
    <w:rsid w:val="006F401E"/>
    <w:rsid w:val="00704F9C"/>
    <w:rsid w:val="00713B56"/>
    <w:rsid w:val="00725A1E"/>
    <w:rsid w:val="0075083F"/>
    <w:rsid w:val="007735F9"/>
    <w:rsid w:val="00773FD7"/>
    <w:rsid w:val="00777A44"/>
    <w:rsid w:val="007873E3"/>
    <w:rsid w:val="007B00F8"/>
    <w:rsid w:val="007B3D68"/>
    <w:rsid w:val="007B69A1"/>
    <w:rsid w:val="007D5147"/>
    <w:rsid w:val="0084367E"/>
    <w:rsid w:val="00844FBE"/>
    <w:rsid w:val="008565CF"/>
    <w:rsid w:val="00873C66"/>
    <w:rsid w:val="008849B3"/>
    <w:rsid w:val="00885226"/>
    <w:rsid w:val="00891040"/>
    <w:rsid w:val="00896A6F"/>
    <w:rsid w:val="00896BC1"/>
    <w:rsid w:val="008A0667"/>
    <w:rsid w:val="008C4026"/>
    <w:rsid w:val="008D5885"/>
    <w:rsid w:val="008E3B07"/>
    <w:rsid w:val="00917A23"/>
    <w:rsid w:val="009316BA"/>
    <w:rsid w:val="00950534"/>
    <w:rsid w:val="009607E4"/>
    <w:rsid w:val="00963E8D"/>
    <w:rsid w:val="00977705"/>
    <w:rsid w:val="009B7BFF"/>
    <w:rsid w:val="009C12B3"/>
    <w:rsid w:val="009D0B12"/>
    <w:rsid w:val="009D19AB"/>
    <w:rsid w:val="009D75F6"/>
    <w:rsid w:val="009D7DAD"/>
    <w:rsid w:val="009F38CF"/>
    <w:rsid w:val="00A12AE3"/>
    <w:rsid w:val="00A2698B"/>
    <w:rsid w:val="00A309C9"/>
    <w:rsid w:val="00A32C08"/>
    <w:rsid w:val="00A809E5"/>
    <w:rsid w:val="00A80CD2"/>
    <w:rsid w:val="00A81C69"/>
    <w:rsid w:val="00A820FB"/>
    <w:rsid w:val="00A8549E"/>
    <w:rsid w:val="00A91F88"/>
    <w:rsid w:val="00AA0252"/>
    <w:rsid w:val="00AA6979"/>
    <w:rsid w:val="00AB72E3"/>
    <w:rsid w:val="00AF1533"/>
    <w:rsid w:val="00B03BDD"/>
    <w:rsid w:val="00B04043"/>
    <w:rsid w:val="00B32F3F"/>
    <w:rsid w:val="00B3448E"/>
    <w:rsid w:val="00B5492D"/>
    <w:rsid w:val="00B54E5F"/>
    <w:rsid w:val="00B91D85"/>
    <w:rsid w:val="00B95000"/>
    <w:rsid w:val="00B9748F"/>
    <w:rsid w:val="00BD0E68"/>
    <w:rsid w:val="00BD3F6B"/>
    <w:rsid w:val="00BE1140"/>
    <w:rsid w:val="00BE72AA"/>
    <w:rsid w:val="00BF0267"/>
    <w:rsid w:val="00BF6A95"/>
    <w:rsid w:val="00BF78DF"/>
    <w:rsid w:val="00C307C1"/>
    <w:rsid w:val="00C40614"/>
    <w:rsid w:val="00C60791"/>
    <w:rsid w:val="00C632D2"/>
    <w:rsid w:val="00C6462A"/>
    <w:rsid w:val="00C90798"/>
    <w:rsid w:val="00C95703"/>
    <w:rsid w:val="00CB54C2"/>
    <w:rsid w:val="00CD31D7"/>
    <w:rsid w:val="00D57001"/>
    <w:rsid w:val="00D61173"/>
    <w:rsid w:val="00D66F7F"/>
    <w:rsid w:val="00DC4077"/>
    <w:rsid w:val="00DD4422"/>
    <w:rsid w:val="00DD603C"/>
    <w:rsid w:val="00E14340"/>
    <w:rsid w:val="00E14EDB"/>
    <w:rsid w:val="00E15CE3"/>
    <w:rsid w:val="00E2133A"/>
    <w:rsid w:val="00E27419"/>
    <w:rsid w:val="00E441BA"/>
    <w:rsid w:val="00E44B42"/>
    <w:rsid w:val="00E4788C"/>
    <w:rsid w:val="00EA24ED"/>
    <w:rsid w:val="00EB5E97"/>
    <w:rsid w:val="00EC1364"/>
    <w:rsid w:val="00EC45C5"/>
    <w:rsid w:val="00EC45F8"/>
    <w:rsid w:val="00F35782"/>
    <w:rsid w:val="00F35C44"/>
    <w:rsid w:val="00F50E4A"/>
    <w:rsid w:val="00F576F8"/>
    <w:rsid w:val="00FB03C5"/>
    <w:rsid w:val="00FC5113"/>
    <w:rsid w:val="00FD58C1"/>
    <w:rsid w:val="00FE66E8"/>
    <w:rsid w:val="00FF27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AA14C"/>
  <w15:chartTrackingRefBased/>
  <w15:docId w15:val="{2F45AB92-4EE0-462F-827A-72A46B7D5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40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40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40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40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40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40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40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40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40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40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40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40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40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40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40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40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40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4043"/>
    <w:rPr>
      <w:rFonts w:eastAsiaTheme="majorEastAsia" w:cstheme="majorBidi"/>
      <w:color w:val="272727" w:themeColor="text1" w:themeTint="D8"/>
    </w:rPr>
  </w:style>
  <w:style w:type="paragraph" w:styleId="Title">
    <w:name w:val="Title"/>
    <w:basedOn w:val="Normal"/>
    <w:next w:val="Normal"/>
    <w:link w:val="TitleChar"/>
    <w:uiPriority w:val="10"/>
    <w:qFormat/>
    <w:rsid w:val="00B040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40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40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40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4043"/>
    <w:pPr>
      <w:spacing w:before="160"/>
      <w:jc w:val="center"/>
    </w:pPr>
    <w:rPr>
      <w:i/>
      <w:iCs/>
      <w:color w:val="404040" w:themeColor="text1" w:themeTint="BF"/>
    </w:rPr>
  </w:style>
  <w:style w:type="character" w:customStyle="1" w:styleId="QuoteChar">
    <w:name w:val="Quote Char"/>
    <w:basedOn w:val="DefaultParagraphFont"/>
    <w:link w:val="Quote"/>
    <w:uiPriority w:val="29"/>
    <w:rsid w:val="00B04043"/>
    <w:rPr>
      <w:i/>
      <w:iCs/>
      <w:color w:val="404040" w:themeColor="text1" w:themeTint="BF"/>
    </w:rPr>
  </w:style>
  <w:style w:type="paragraph" w:styleId="ListParagraph">
    <w:name w:val="List Paragraph"/>
    <w:basedOn w:val="Normal"/>
    <w:uiPriority w:val="34"/>
    <w:qFormat/>
    <w:rsid w:val="00B04043"/>
    <w:pPr>
      <w:ind w:left="720"/>
      <w:contextualSpacing/>
    </w:pPr>
  </w:style>
  <w:style w:type="character" w:styleId="IntenseEmphasis">
    <w:name w:val="Intense Emphasis"/>
    <w:basedOn w:val="DefaultParagraphFont"/>
    <w:uiPriority w:val="21"/>
    <w:qFormat/>
    <w:rsid w:val="00B04043"/>
    <w:rPr>
      <w:i/>
      <w:iCs/>
      <w:color w:val="0F4761" w:themeColor="accent1" w:themeShade="BF"/>
    </w:rPr>
  </w:style>
  <w:style w:type="paragraph" w:styleId="IntenseQuote">
    <w:name w:val="Intense Quote"/>
    <w:basedOn w:val="Normal"/>
    <w:next w:val="Normal"/>
    <w:link w:val="IntenseQuoteChar"/>
    <w:uiPriority w:val="30"/>
    <w:qFormat/>
    <w:rsid w:val="00B040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4043"/>
    <w:rPr>
      <w:i/>
      <w:iCs/>
      <w:color w:val="0F4761" w:themeColor="accent1" w:themeShade="BF"/>
    </w:rPr>
  </w:style>
  <w:style w:type="character" w:styleId="IntenseReference">
    <w:name w:val="Intense Reference"/>
    <w:basedOn w:val="DefaultParagraphFont"/>
    <w:uiPriority w:val="32"/>
    <w:qFormat/>
    <w:rsid w:val="00B04043"/>
    <w:rPr>
      <w:b/>
      <w:bCs/>
      <w:smallCaps/>
      <w:color w:val="0F4761" w:themeColor="accent1" w:themeShade="BF"/>
      <w:spacing w:val="5"/>
    </w:rPr>
  </w:style>
  <w:style w:type="paragraph" w:styleId="Revision">
    <w:name w:val="Revision"/>
    <w:hidden/>
    <w:uiPriority w:val="99"/>
    <w:semiHidden/>
    <w:rsid w:val="009B7B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82300">
      <w:bodyDiv w:val="1"/>
      <w:marLeft w:val="0"/>
      <w:marRight w:val="0"/>
      <w:marTop w:val="0"/>
      <w:marBottom w:val="0"/>
      <w:divBdr>
        <w:top w:val="none" w:sz="0" w:space="0" w:color="auto"/>
        <w:left w:val="none" w:sz="0" w:space="0" w:color="auto"/>
        <w:bottom w:val="none" w:sz="0" w:space="0" w:color="auto"/>
        <w:right w:val="none" w:sz="0" w:space="0" w:color="auto"/>
      </w:divBdr>
    </w:div>
    <w:div w:id="158008758">
      <w:bodyDiv w:val="1"/>
      <w:marLeft w:val="0"/>
      <w:marRight w:val="0"/>
      <w:marTop w:val="0"/>
      <w:marBottom w:val="0"/>
      <w:divBdr>
        <w:top w:val="none" w:sz="0" w:space="0" w:color="auto"/>
        <w:left w:val="none" w:sz="0" w:space="0" w:color="auto"/>
        <w:bottom w:val="none" w:sz="0" w:space="0" w:color="auto"/>
        <w:right w:val="none" w:sz="0" w:space="0" w:color="auto"/>
      </w:divBdr>
    </w:div>
    <w:div w:id="611018337">
      <w:bodyDiv w:val="1"/>
      <w:marLeft w:val="0"/>
      <w:marRight w:val="0"/>
      <w:marTop w:val="0"/>
      <w:marBottom w:val="0"/>
      <w:divBdr>
        <w:top w:val="none" w:sz="0" w:space="0" w:color="auto"/>
        <w:left w:val="none" w:sz="0" w:space="0" w:color="auto"/>
        <w:bottom w:val="none" w:sz="0" w:space="0" w:color="auto"/>
        <w:right w:val="none" w:sz="0" w:space="0" w:color="auto"/>
      </w:divBdr>
    </w:div>
    <w:div w:id="1036856690">
      <w:bodyDiv w:val="1"/>
      <w:marLeft w:val="0"/>
      <w:marRight w:val="0"/>
      <w:marTop w:val="0"/>
      <w:marBottom w:val="0"/>
      <w:divBdr>
        <w:top w:val="none" w:sz="0" w:space="0" w:color="auto"/>
        <w:left w:val="none" w:sz="0" w:space="0" w:color="auto"/>
        <w:bottom w:val="none" w:sz="0" w:space="0" w:color="auto"/>
        <w:right w:val="none" w:sz="0" w:space="0" w:color="auto"/>
      </w:divBdr>
      <w:divsChild>
        <w:div w:id="395203869">
          <w:marLeft w:val="547"/>
          <w:marRight w:val="0"/>
          <w:marTop w:val="154"/>
          <w:marBottom w:val="0"/>
          <w:divBdr>
            <w:top w:val="none" w:sz="0" w:space="0" w:color="auto"/>
            <w:left w:val="none" w:sz="0" w:space="0" w:color="auto"/>
            <w:bottom w:val="none" w:sz="0" w:space="0" w:color="auto"/>
            <w:right w:val="none" w:sz="0" w:space="0" w:color="auto"/>
          </w:divBdr>
        </w:div>
        <w:div w:id="1833056562">
          <w:marLeft w:val="1166"/>
          <w:marRight w:val="0"/>
          <w:marTop w:val="134"/>
          <w:marBottom w:val="0"/>
          <w:divBdr>
            <w:top w:val="none" w:sz="0" w:space="0" w:color="auto"/>
            <w:left w:val="none" w:sz="0" w:space="0" w:color="auto"/>
            <w:bottom w:val="none" w:sz="0" w:space="0" w:color="auto"/>
            <w:right w:val="none" w:sz="0" w:space="0" w:color="auto"/>
          </w:divBdr>
        </w:div>
        <w:div w:id="1560482492">
          <w:marLeft w:val="1166"/>
          <w:marRight w:val="0"/>
          <w:marTop w:val="134"/>
          <w:marBottom w:val="0"/>
          <w:divBdr>
            <w:top w:val="none" w:sz="0" w:space="0" w:color="auto"/>
            <w:left w:val="none" w:sz="0" w:space="0" w:color="auto"/>
            <w:bottom w:val="none" w:sz="0" w:space="0" w:color="auto"/>
            <w:right w:val="none" w:sz="0" w:space="0" w:color="auto"/>
          </w:divBdr>
        </w:div>
        <w:div w:id="1205097505">
          <w:marLeft w:val="1166"/>
          <w:marRight w:val="0"/>
          <w:marTop w:val="134"/>
          <w:marBottom w:val="0"/>
          <w:divBdr>
            <w:top w:val="none" w:sz="0" w:space="0" w:color="auto"/>
            <w:left w:val="none" w:sz="0" w:space="0" w:color="auto"/>
            <w:bottom w:val="none" w:sz="0" w:space="0" w:color="auto"/>
            <w:right w:val="none" w:sz="0" w:space="0" w:color="auto"/>
          </w:divBdr>
        </w:div>
        <w:div w:id="1630435433">
          <w:marLeft w:val="1166"/>
          <w:marRight w:val="0"/>
          <w:marTop w:val="134"/>
          <w:marBottom w:val="0"/>
          <w:divBdr>
            <w:top w:val="none" w:sz="0" w:space="0" w:color="auto"/>
            <w:left w:val="none" w:sz="0" w:space="0" w:color="auto"/>
            <w:bottom w:val="none" w:sz="0" w:space="0" w:color="auto"/>
            <w:right w:val="none" w:sz="0" w:space="0" w:color="auto"/>
          </w:divBdr>
        </w:div>
        <w:div w:id="1800294357">
          <w:marLeft w:val="547"/>
          <w:marRight w:val="0"/>
          <w:marTop w:val="154"/>
          <w:marBottom w:val="0"/>
          <w:divBdr>
            <w:top w:val="none" w:sz="0" w:space="0" w:color="auto"/>
            <w:left w:val="none" w:sz="0" w:space="0" w:color="auto"/>
            <w:bottom w:val="none" w:sz="0" w:space="0" w:color="auto"/>
            <w:right w:val="none" w:sz="0" w:space="0" w:color="auto"/>
          </w:divBdr>
        </w:div>
      </w:divsChild>
    </w:div>
    <w:div w:id="1252080276">
      <w:bodyDiv w:val="1"/>
      <w:marLeft w:val="0"/>
      <w:marRight w:val="0"/>
      <w:marTop w:val="0"/>
      <w:marBottom w:val="0"/>
      <w:divBdr>
        <w:top w:val="none" w:sz="0" w:space="0" w:color="auto"/>
        <w:left w:val="none" w:sz="0" w:space="0" w:color="auto"/>
        <w:bottom w:val="none" w:sz="0" w:space="0" w:color="auto"/>
        <w:right w:val="none" w:sz="0" w:space="0" w:color="auto"/>
      </w:divBdr>
    </w:div>
    <w:div w:id="1308164858">
      <w:bodyDiv w:val="1"/>
      <w:marLeft w:val="0"/>
      <w:marRight w:val="0"/>
      <w:marTop w:val="0"/>
      <w:marBottom w:val="0"/>
      <w:divBdr>
        <w:top w:val="none" w:sz="0" w:space="0" w:color="auto"/>
        <w:left w:val="none" w:sz="0" w:space="0" w:color="auto"/>
        <w:bottom w:val="none" w:sz="0" w:space="0" w:color="auto"/>
        <w:right w:val="none" w:sz="0" w:space="0" w:color="auto"/>
      </w:divBdr>
    </w:div>
    <w:div w:id="1470980763">
      <w:bodyDiv w:val="1"/>
      <w:marLeft w:val="0"/>
      <w:marRight w:val="0"/>
      <w:marTop w:val="0"/>
      <w:marBottom w:val="0"/>
      <w:divBdr>
        <w:top w:val="none" w:sz="0" w:space="0" w:color="auto"/>
        <w:left w:val="none" w:sz="0" w:space="0" w:color="auto"/>
        <w:bottom w:val="none" w:sz="0" w:space="0" w:color="auto"/>
        <w:right w:val="none" w:sz="0" w:space="0" w:color="auto"/>
      </w:divBdr>
    </w:div>
    <w:div w:id="1548682051">
      <w:bodyDiv w:val="1"/>
      <w:marLeft w:val="0"/>
      <w:marRight w:val="0"/>
      <w:marTop w:val="0"/>
      <w:marBottom w:val="0"/>
      <w:divBdr>
        <w:top w:val="none" w:sz="0" w:space="0" w:color="auto"/>
        <w:left w:val="none" w:sz="0" w:space="0" w:color="auto"/>
        <w:bottom w:val="none" w:sz="0" w:space="0" w:color="auto"/>
        <w:right w:val="none" w:sz="0" w:space="0" w:color="auto"/>
      </w:divBdr>
      <w:divsChild>
        <w:div w:id="1938322093">
          <w:marLeft w:val="547"/>
          <w:marRight w:val="0"/>
          <w:marTop w:val="154"/>
          <w:marBottom w:val="0"/>
          <w:divBdr>
            <w:top w:val="none" w:sz="0" w:space="0" w:color="auto"/>
            <w:left w:val="none" w:sz="0" w:space="0" w:color="auto"/>
            <w:bottom w:val="none" w:sz="0" w:space="0" w:color="auto"/>
            <w:right w:val="none" w:sz="0" w:space="0" w:color="auto"/>
          </w:divBdr>
        </w:div>
        <w:div w:id="49118514">
          <w:marLeft w:val="1166"/>
          <w:marRight w:val="0"/>
          <w:marTop w:val="134"/>
          <w:marBottom w:val="0"/>
          <w:divBdr>
            <w:top w:val="none" w:sz="0" w:space="0" w:color="auto"/>
            <w:left w:val="none" w:sz="0" w:space="0" w:color="auto"/>
            <w:bottom w:val="none" w:sz="0" w:space="0" w:color="auto"/>
            <w:right w:val="none" w:sz="0" w:space="0" w:color="auto"/>
          </w:divBdr>
        </w:div>
        <w:div w:id="611858782">
          <w:marLeft w:val="1166"/>
          <w:marRight w:val="0"/>
          <w:marTop w:val="134"/>
          <w:marBottom w:val="0"/>
          <w:divBdr>
            <w:top w:val="none" w:sz="0" w:space="0" w:color="auto"/>
            <w:left w:val="none" w:sz="0" w:space="0" w:color="auto"/>
            <w:bottom w:val="none" w:sz="0" w:space="0" w:color="auto"/>
            <w:right w:val="none" w:sz="0" w:space="0" w:color="auto"/>
          </w:divBdr>
        </w:div>
        <w:div w:id="1966740885">
          <w:marLeft w:val="1166"/>
          <w:marRight w:val="0"/>
          <w:marTop w:val="134"/>
          <w:marBottom w:val="0"/>
          <w:divBdr>
            <w:top w:val="none" w:sz="0" w:space="0" w:color="auto"/>
            <w:left w:val="none" w:sz="0" w:space="0" w:color="auto"/>
            <w:bottom w:val="none" w:sz="0" w:space="0" w:color="auto"/>
            <w:right w:val="none" w:sz="0" w:space="0" w:color="auto"/>
          </w:divBdr>
        </w:div>
        <w:div w:id="465468225">
          <w:marLeft w:val="1166"/>
          <w:marRight w:val="0"/>
          <w:marTop w:val="134"/>
          <w:marBottom w:val="0"/>
          <w:divBdr>
            <w:top w:val="none" w:sz="0" w:space="0" w:color="auto"/>
            <w:left w:val="none" w:sz="0" w:space="0" w:color="auto"/>
            <w:bottom w:val="none" w:sz="0" w:space="0" w:color="auto"/>
            <w:right w:val="none" w:sz="0" w:space="0" w:color="auto"/>
          </w:divBdr>
        </w:div>
        <w:div w:id="1915511220">
          <w:marLeft w:val="1166"/>
          <w:marRight w:val="0"/>
          <w:marTop w:val="134"/>
          <w:marBottom w:val="0"/>
          <w:divBdr>
            <w:top w:val="none" w:sz="0" w:space="0" w:color="auto"/>
            <w:left w:val="none" w:sz="0" w:space="0" w:color="auto"/>
            <w:bottom w:val="none" w:sz="0" w:space="0" w:color="auto"/>
            <w:right w:val="none" w:sz="0" w:space="0" w:color="auto"/>
          </w:divBdr>
        </w:div>
      </w:divsChild>
    </w:div>
    <w:div w:id="1591353072">
      <w:bodyDiv w:val="1"/>
      <w:marLeft w:val="0"/>
      <w:marRight w:val="0"/>
      <w:marTop w:val="0"/>
      <w:marBottom w:val="0"/>
      <w:divBdr>
        <w:top w:val="none" w:sz="0" w:space="0" w:color="auto"/>
        <w:left w:val="none" w:sz="0" w:space="0" w:color="auto"/>
        <w:bottom w:val="none" w:sz="0" w:space="0" w:color="auto"/>
        <w:right w:val="none" w:sz="0" w:space="0" w:color="auto"/>
      </w:divBdr>
    </w:div>
    <w:div w:id="1830292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8b8dfd0-aa16-412c-9b26-b845b9acd1a9}" enabled="0" method="" siteId="{28b8dfd0-aa16-412c-9b26-b845b9acd1a9}" removed="1"/>
</clbl:labelList>
</file>

<file path=docProps/app.xml><?xml version="1.0" encoding="utf-8"?>
<Properties xmlns="http://schemas.openxmlformats.org/officeDocument/2006/extended-properties" xmlns:vt="http://schemas.openxmlformats.org/officeDocument/2006/docPropsVTypes">
  <Template>Normal</Template>
  <TotalTime>491</TotalTime>
  <Pages>9</Pages>
  <Words>3418</Words>
  <Characters>17127</Characters>
  <Application>Microsoft Office Word</Application>
  <DocSecurity>0</DocSecurity>
  <Lines>311</Lines>
  <Paragraphs>142</Paragraphs>
  <ScaleCrop>false</ScaleCrop>
  <HeadingPairs>
    <vt:vector size="2" baseType="variant">
      <vt:variant>
        <vt:lpstr>Title</vt:lpstr>
      </vt:variant>
      <vt:variant>
        <vt:i4>1</vt:i4>
      </vt:variant>
    </vt:vector>
  </HeadingPairs>
  <TitlesOfParts>
    <vt:vector size="1" baseType="lpstr">
      <vt:lpstr/>
    </vt:vector>
  </TitlesOfParts>
  <Company>City of Bradford Metropolitan Council</Company>
  <LinksUpToDate>false</LinksUpToDate>
  <CharactersWithSpaces>20403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Armstrong</dc:creator>
  <cp:keywords/>
  <dc:description/>
  <cp:lastModifiedBy>Tim Armstrong</cp:lastModifiedBy>
  <cp:revision>147</cp:revision>
  <dcterms:created xsi:type="dcterms:W3CDTF">2025-07-10T10:31:00Z</dcterms:created>
  <dcterms:modified xsi:type="dcterms:W3CDTF">2025-12-09T15:40:00Z</dcterms:modified>
</cp:coreProperties>
</file>