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EC23C" w14:textId="16EF7B3A" w:rsidR="00BB4B29" w:rsidRPr="005C4B83" w:rsidRDefault="00DC03A7">
      <w:pPr>
        <w:rPr>
          <w:b/>
          <w:bCs/>
          <w:u w:val="single"/>
        </w:rPr>
      </w:pPr>
      <w:r w:rsidRPr="005C4B83">
        <w:rPr>
          <w:b/>
          <w:bCs/>
          <w:u w:val="single"/>
        </w:rPr>
        <w:t xml:space="preserve">SIMS FMS6 – Update to apply new E20 &amp; CE04 Subcategories </w:t>
      </w:r>
      <w:r w:rsidR="0035677A">
        <w:rPr>
          <w:b/>
          <w:bCs/>
          <w:u w:val="single"/>
        </w:rPr>
        <w:t>– Also applicable to Access Users</w:t>
      </w:r>
    </w:p>
    <w:p w14:paraId="781C6BA7" w14:textId="404A0D07" w:rsidR="00DC03A7" w:rsidRPr="00126B93" w:rsidRDefault="00DC03A7" w:rsidP="00DC03A7">
      <w:pPr>
        <w:rPr>
          <w:sz w:val="20"/>
          <w:szCs w:val="20"/>
        </w:rPr>
      </w:pPr>
      <w:r w:rsidRPr="00126B93">
        <w:rPr>
          <w:sz w:val="20"/>
          <w:szCs w:val="20"/>
        </w:rPr>
        <w:t>We have been made aware the update for FMS6 to apply the new subcategories for E20 and CE04 has now been released</w:t>
      </w:r>
      <w:r w:rsidR="005C4B83" w:rsidRPr="00126B93">
        <w:rPr>
          <w:sz w:val="20"/>
          <w:szCs w:val="20"/>
        </w:rPr>
        <w:t xml:space="preserve"> by CAPITA SIMS</w:t>
      </w:r>
      <w:r w:rsidRPr="00126B93">
        <w:rPr>
          <w:sz w:val="20"/>
          <w:szCs w:val="20"/>
        </w:rPr>
        <w:t xml:space="preserve">. </w:t>
      </w:r>
    </w:p>
    <w:p w14:paraId="3A32E105" w14:textId="1EA08C32" w:rsidR="00DC03A7" w:rsidRPr="00126B93" w:rsidRDefault="00DC03A7" w:rsidP="00DC03A7">
      <w:pPr>
        <w:rPr>
          <w:sz w:val="20"/>
          <w:szCs w:val="20"/>
        </w:rPr>
      </w:pPr>
      <w:r w:rsidRPr="00126B93">
        <w:rPr>
          <w:sz w:val="20"/>
          <w:szCs w:val="20"/>
        </w:rPr>
        <w:t xml:space="preserve">We understand that once the update has been applied, any expenditure recorded against ledger codes currently mapped to E20 and/or CE04 are </w:t>
      </w:r>
      <w:r w:rsidR="005C4B83" w:rsidRPr="00126B93">
        <w:rPr>
          <w:sz w:val="20"/>
          <w:szCs w:val="20"/>
        </w:rPr>
        <w:t xml:space="preserve">now </w:t>
      </w:r>
      <w:r w:rsidRPr="00126B93">
        <w:rPr>
          <w:sz w:val="20"/>
          <w:szCs w:val="20"/>
        </w:rPr>
        <w:t>unmapped</w:t>
      </w:r>
      <w:r w:rsidR="005465FF" w:rsidRPr="00126B93">
        <w:rPr>
          <w:sz w:val="20"/>
          <w:szCs w:val="20"/>
        </w:rPr>
        <w:t xml:space="preserve">, therefore, any expenditure previously recorded on these CFR headings may </w:t>
      </w:r>
      <w:r w:rsidR="00126B93" w:rsidRPr="00126B93">
        <w:rPr>
          <w:sz w:val="20"/>
          <w:szCs w:val="20"/>
        </w:rPr>
        <w:t>look</w:t>
      </w:r>
      <w:r w:rsidR="005465FF" w:rsidRPr="00126B93">
        <w:rPr>
          <w:sz w:val="20"/>
          <w:szCs w:val="20"/>
        </w:rPr>
        <w:t xml:space="preserve"> to have </w:t>
      </w:r>
      <w:r w:rsidRPr="00126B93">
        <w:rPr>
          <w:sz w:val="20"/>
          <w:szCs w:val="20"/>
        </w:rPr>
        <w:t xml:space="preserve">‘disappeared’. This is not the </w:t>
      </w:r>
      <w:r w:rsidR="005465FF" w:rsidRPr="00126B93">
        <w:rPr>
          <w:sz w:val="20"/>
          <w:szCs w:val="20"/>
        </w:rPr>
        <w:t>case.</w:t>
      </w:r>
      <w:r w:rsidRPr="00126B93">
        <w:rPr>
          <w:sz w:val="20"/>
          <w:szCs w:val="20"/>
        </w:rPr>
        <w:t xml:space="preserve"> </w:t>
      </w:r>
      <w:r w:rsidR="005C4B83" w:rsidRPr="00126B93">
        <w:rPr>
          <w:sz w:val="20"/>
          <w:szCs w:val="20"/>
        </w:rPr>
        <w:t>The expenditure is still there</w:t>
      </w:r>
      <w:r w:rsidR="005465FF" w:rsidRPr="00126B93">
        <w:rPr>
          <w:sz w:val="20"/>
          <w:szCs w:val="20"/>
        </w:rPr>
        <w:t xml:space="preserve">, but not </w:t>
      </w:r>
      <w:r w:rsidR="005C4B83" w:rsidRPr="00126B93">
        <w:rPr>
          <w:sz w:val="20"/>
          <w:szCs w:val="20"/>
        </w:rPr>
        <w:t>currently visible on the CFR</w:t>
      </w:r>
      <w:r w:rsidR="005465FF" w:rsidRPr="00126B93">
        <w:rPr>
          <w:sz w:val="20"/>
          <w:szCs w:val="20"/>
        </w:rPr>
        <w:t xml:space="preserve"> report</w:t>
      </w:r>
      <w:r w:rsidR="005C4B83" w:rsidRPr="00126B93">
        <w:rPr>
          <w:sz w:val="20"/>
          <w:szCs w:val="20"/>
        </w:rPr>
        <w:t>.</w:t>
      </w:r>
    </w:p>
    <w:p w14:paraId="5CA131C2" w14:textId="0150F97A" w:rsidR="00DC03A7" w:rsidRPr="00126B93" w:rsidRDefault="00DC03A7" w:rsidP="00DC03A7">
      <w:pPr>
        <w:rPr>
          <w:sz w:val="20"/>
          <w:szCs w:val="20"/>
        </w:rPr>
      </w:pPr>
      <w:r w:rsidRPr="00126B93">
        <w:rPr>
          <w:sz w:val="20"/>
          <w:szCs w:val="20"/>
        </w:rPr>
        <w:t>To comply with the new reporting requirements, schools will need to do the following:</w:t>
      </w:r>
    </w:p>
    <w:p w14:paraId="6AD1FE35" w14:textId="015A0EE1" w:rsidR="005C4B83" w:rsidRPr="00126B93" w:rsidRDefault="005C4B83" w:rsidP="005C4B83">
      <w:pPr>
        <w:pStyle w:val="ListParagraph"/>
        <w:numPr>
          <w:ilvl w:val="0"/>
          <w:numId w:val="1"/>
        </w:numPr>
        <w:rPr>
          <w:sz w:val="20"/>
          <w:szCs w:val="20"/>
        </w:rPr>
      </w:pPr>
      <w:r w:rsidRPr="00126B93">
        <w:rPr>
          <w:sz w:val="20"/>
          <w:szCs w:val="20"/>
        </w:rPr>
        <w:t>Note the value of expenditure against E20 and CE04 prior to the update</w:t>
      </w:r>
    </w:p>
    <w:p w14:paraId="7F470C65" w14:textId="6E7CFC6D" w:rsidR="005C4B83" w:rsidRPr="00126B93" w:rsidRDefault="005C4B83" w:rsidP="005C4B83">
      <w:pPr>
        <w:pStyle w:val="ListParagraph"/>
        <w:numPr>
          <w:ilvl w:val="0"/>
          <w:numId w:val="1"/>
        </w:numPr>
        <w:rPr>
          <w:sz w:val="20"/>
          <w:szCs w:val="20"/>
        </w:rPr>
      </w:pPr>
      <w:r w:rsidRPr="00126B93">
        <w:rPr>
          <w:sz w:val="20"/>
          <w:szCs w:val="20"/>
        </w:rPr>
        <w:t xml:space="preserve">Create new cost </w:t>
      </w:r>
      <w:proofErr w:type="gramStart"/>
      <w:r w:rsidRPr="00126B93">
        <w:rPr>
          <w:sz w:val="20"/>
          <w:szCs w:val="20"/>
        </w:rPr>
        <w:t xml:space="preserve">centres </w:t>
      </w:r>
      <w:r w:rsidR="00126B93" w:rsidRPr="00126B93">
        <w:rPr>
          <w:sz w:val="20"/>
          <w:szCs w:val="20"/>
        </w:rPr>
        <w:t xml:space="preserve"> for</w:t>
      </w:r>
      <w:proofErr w:type="gramEnd"/>
      <w:r w:rsidR="00126B93" w:rsidRPr="00126B93">
        <w:rPr>
          <w:sz w:val="20"/>
          <w:szCs w:val="20"/>
        </w:rPr>
        <w:t xml:space="preserve"> each new subcategory you have expenditure for </w:t>
      </w:r>
    </w:p>
    <w:p w14:paraId="5F17C809" w14:textId="125EF7BB" w:rsidR="00DC03A7" w:rsidRPr="00126B93" w:rsidRDefault="00DC03A7" w:rsidP="005C4B83">
      <w:pPr>
        <w:pStyle w:val="ListParagraph"/>
        <w:numPr>
          <w:ilvl w:val="0"/>
          <w:numId w:val="1"/>
        </w:numPr>
        <w:rPr>
          <w:sz w:val="20"/>
          <w:szCs w:val="20"/>
        </w:rPr>
      </w:pPr>
      <w:r w:rsidRPr="00126B93">
        <w:rPr>
          <w:sz w:val="20"/>
          <w:szCs w:val="20"/>
        </w:rPr>
        <w:t xml:space="preserve">Create </w:t>
      </w:r>
      <w:r w:rsidRPr="00126B93">
        <w:rPr>
          <w:b/>
          <w:bCs/>
          <w:sz w:val="20"/>
          <w:szCs w:val="20"/>
        </w:rPr>
        <w:t>at least one</w:t>
      </w:r>
      <w:r w:rsidRPr="00126B93">
        <w:rPr>
          <w:sz w:val="20"/>
          <w:szCs w:val="20"/>
        </w:rPr>
        <w:t xml:space="preserve"> new ledger code for </w:t>
      </w:r>
      <w:r w:rsidRPr="00126B93">
        <w:rPr>
          <w:b/>
          <w:bCs/>
          <w:sz w:val="20"/>
          <w:szCs w:val="20"/>
        </w:rPr>
        <w:t>each</w:t>
      </w:r>
      <w:r w:rsidRPr="00126B93">
        <w:rPr>
          <w:sz w:val="20"/>
          <w:szCs w:val="20"/>
        </w:rPr>
        <w:t xml:space="preserve"> of the new subcategories</w:t>
      </w:r>
      <w:r w:rsidR="005C4B83" w:rsidRPr="00126B93">
        <w:rPr>
          <w:sz w:val="20"/>
          <w:szCs w:val="20"/>
        </w:rPr>
        <w:t>*</w:t>
      </w:r>
      <w:r w:rsidR="005465FF" w:rsidRPr="00126B93">
        <w:rPr>
          <w:sz w:val="20"/>
          <w:szCs w:val="20"/>
        </w:rPr>
        <w:t xml:space="preserve"> </w:t>
      </w:r>
    </w:p>
    <w:p w14:paraId="2EA3FD8A" w14:textId="49F006E1" w:rsidR="005C4B83" w:rsidRPr="00126B93" w:rsidRDefault="00126B93" w:rsidP="005C4B83">
      <w:pPr>
        <w:pStyle w:val="ListParagraph"/>
        <w:numPr>
          <w:ilvl w:val="0"/>
          <w:numId w:val="1"/>
        </w:numPr>
        <w:rPr>
          <w:sz w:val="20"/>
          <w:szCs w:val="20"/>
        </w:rPr>
      </w:pPr>
      <w:r w:rsidRPr="00126B93">
        <w:rPr>
          <w:sz w:val="20"/>
          <w:szCs w:val="20"/>
        </w:rPr>
        <w:t>L</w:t>
      </w:r>
      <w:r w:rsidR="005C4B83" w:rsidRPr="00126B93">
        <w:rPr>
          <w:sz w:val="20"/>
          <w:szCs w:val="20"/>
        </w:rPr>
        <w:t>ink the newly created ledger code</w:t>
      </w:r>
      <w:r w:rsidRPr="00126B93">
        <w:rPr>
          <w:sz w:val="20"/>
          <w:szCs w:val="20"/>
        </w:rPr>
        <w:t>(s)</w:t>
      </w:r>
      <w:r w:rsidR="005C4B83" w:rsidRPr="00126B93">
        <w:rPr>
          <w:sz w:val="20"/>
          <w:szCs w:val="20"/>
        </w:rPr>
        <w:t xml:space="preserve"> to the new cost centre</w:t>
      </w:r>
      <w:r w:rsidRPr="00126B93">
        <w:rPr>
          <w:sz w:val="20"/>
          <w:szCs w:val="20"/>
        </w:rPr>
        <w:t>(s) as appropriate</w:t>
      </w:r>
      <w:r w:rsidR="005C4B83" w:rsidRPr="00126B93">
        <w:rPr>
          <w:sz w:val="20"/>
          <w:szCs w:val="20"/>
        </w:rPr>
        <w:t xml:space="preserve"> </w:t>
      </w:r>
    </w:p>
    <w:p w14:paraId="17E26D27" w14:textId="6342FAF2" w:rsidR="005C4B83" w:rsidRPr="00126B93" w:rsidRDefault="00DC03A7" w:rsidP="005C4B83">
      <w:pPr>
        <w:pStyle w:val="ListParagraph"/>
        <w:numPr>
          <w:ilvl w:val="0"/>
          <w:numId w:val="1"/>
        </w:numPr>
        <w:rPr>
          <w:sz w:val="20"/>
          <w:szCs w:val="20"/>
        </w:rPr>
      </w:pPr>
      <w:r w:rsidRPr="00126B93">
        <w:rPr>
          <w:sz w:val="20"/>
          <w:szCs w:val="20"/>
        </w:rPr>
        <w:t xml:space="preserve">Map the newly created </w:t>
      </w:r>
      <w:r w:rsidR="005C4B83" w:rsidRPr="00126B93">
        <w:rPr>
          <w:sz w:val="20"/>
          <w:szCs w:val="20"/>
        </w:rPr>
        <w:t xml:space="preserve">ledger </w:t>
      </w:r>
      <w:r w:rsidRPr="00126B93">
        <w:rPr>
          <w:sz w:val="20"/>
          <w:szCs w:val="20"/>
        </w:rPr>
        <w:t>code</w:t>
      </w:r>
      <w:r w:rsidR="00126B93" w:rsidRPr="00126B93">
        <w:rPr>
          <w:sz w:val="20"/>
          <w:szCs w:val="20"/>
        </w:rPr>
        <w:t>(s)</w:t>
      </w:r>
      <w:r w:rsidRPr="00126B93">
        <w:rPr>
          <w:sz w:val="20"/>
          <w:szCs w:val="20"/>
        </w:rPr>
        <w:t xml:space="preserve"> to the relevant subcategory</w:t>
      </w:r>
      <w:r w:rsidR="005C4B83" w:rsidRPr="00126B93">
        <w:rPr>
          <w:sz w:val="20"/>
          <w:szCs w:val="20"/>
        </w:rPr>
        <w:t xml:space="preserve"> in CFR</w:t>
      </w:r>
    </w:p>
    <w:p w14:paraId="44DD2C3C" w14:textId="09C97B8E" w:rsidR="0096610B" w:rsidRPr="00126B93" w:rsidRDefault="0096610B" w:rsidP="005C4B83">
      <w:pPr>
        <w:pStyle w:val="ListParagraph"/>
        <w:numPr>
          <w:ilvl w:val="0"/>
          <w:numId w:val="1"/>
        </w:numPr>
        <w:rPr>
          <w:sz w:val="20"/>
          <w:szCs w:val="20"/>
        </w:rPr>
      </w:pPr>
      <w:r w:rsidRPr="00126B93">
        <w:rPr>
          <w:sz w:val="20"/>
          <w:szCs w:val="20"/>
        </w:rPr>
        <w:t xml:space="preserve">The unmapped expenditure for E20 and CE04 </w:t>
      </w:r>
      <w:r w:rsidR="00126B93" w:rsidRPr="00126B93">
        <w:rPr>
          <w:sz w:val="20"/>
          <w:szCs w:val="20"/>
        </w:rPr>
        <w:t xml:space="preserve">will now </w:t>
      </w:r>
      <w:r w:rsidRPr="00126B93">
        <w:rPr>
          <w:sz w:val="20"/>
          <w:szCs w:val="20"/>
        </w:rPr>
        <w:t xml:space="preserve">need to be remapped to </w:t>
      </w:r>
      <w:r w:rsidR="00126B93" w:rsidRPr="00126B93">
        <w:rPr>
          <w:sz w:val="20"/>
          <w:szCs w:val="20"/>
        </w:rPr>
        <w:t>the relevant</w:t>
      </w:r>
      <w:r w:rsidRPr="00126B93">
        <w:rPr>
          <w:sz w:val="20"/>
          <w:szCs w:val="20"/>
        </w:rPr>
        <w:t xml:space="preserve"> new </w:t>
      </w:r>
      <w:r w:rsidR="00126B93" w:rsidRPr="00126B93">
        <w:rPr>
          <w:sz w:val="20"/>
          <w:szCs w:val="20"/>
        </w:rPr>
        <w:t>sub</w:t>
      </w:r>
      <w:r w:rsidRPr="00126B93">
        <w:rPr>
          <w:sz w:val="20"/>
          <w:szCs w:val="20"/>
        </w:rPr>
        <w:t>categor</w:t>
      </w:r>
      <w:r w:rsidR="00126B93" w:rsidRPr="00126B93">
        <w:rPr>
          <w:sz w:val="20"/>
          <w:szCs w:val="20"/>
        </w:rPr>
        <w:t>y/subcategories</w:t>
      </w:r>
      <w:r w:rsidRPr="00126B93">
        <w:rPr>
          <w:sz w:val="20"/>
          <w:szCs w:val="20"/>
        </w:rPr>
        <w:t xml:space="preserve"> </w:t>
      </w:r>
    </w:p>
    <w:p w14:paraId="3579DF24" w14:textId="2F53F5AE" w:rsidR="005C4B83" w:rsidRPr="00126B93" w:rsidRDefault="0096610B" w:rsidP="005C4B83">
      <w:pPr>
        <w:pStyle w:val="ListParagraph"/>
        <w:numPr>
          <w:ilvl w:val="0"/>
          <w:numId w:val="1"/>
        </w:numPr>
        <w:rPr>
          <w:sz w:val="20"/>
          <w:szCs w:val="20"/>
        </w:rPr>
      </w:pPr>
      <w:r w:rsidRPr="00126B93">
        <w:rPr>
          <w:sz w:val="20"/>
          <w:szCs w:val="20"/>
        </w:rPr>
        <w:t xml:space="preserve">Once all </w:t>
      </w:r>
      <w:r w:rsidR="00126B93" w:rsidRPr="00126B93">
        <w:rPr>
          <w:sz w:val="20"/>
          <w:szCs w:val="20"/>
        </w:rPr>
        <w:t>codes are</w:t>
      </w:r>
      <w:r w:rsidRPr="00126B93">
        <w:rPr>
          <w:sz w:val="20"/>
          <w:szCs w:val="20"/>
        </w:rPr>
        <w:t xml:space="preserve"> mapped</w:t>
      </w:r>
      <w:r w:rsidR="00126B93" w:rsidRPr="00126B93">
        <w:rPr>
          <w:sz w:val="20"/>
          <w:szCs w:val="20"/>
        </w:rPr>
        <w:t>,</w:t>
      </w:r>
      <w:r w:rsidRPr="00126B93">
        <w:rPr>
          <w:color w:val="FF0000"/>
          <w:sz w:val="20"/>
          <w:szCs w:val="20"/>
        </w:rPr>
        <w:t xml:space="preserve"> </w:t>
      </w:r>
      <w:r w:rsidRPr="00126B93">
        <w:rPr>
          <w:sz w:val="20"/>
          <w:szCs w:val="20"/>
        </w:rPr>
        <w:t>jo</w:t>
      </w:r>
      <w:r w:rsidR="005C4B83" w:rsidRPr="00126B93">
        <w:rPr>
          <w:sz w:val="20"/>
          <w:szCs w:val="20"/>
        </w:rPr>
        <w:t xml:space="preserve">urnal the expenditure from the current cost centre / ledger code to the appropriate </w:t>
      </w:r>
      <w:r w:rsidR="00126B93" w:rsidRPr="00126B93">
        <w:rPr>
          <w:sz w:val="20"/>
          <w:szCs w:val="20"/>
        </w:rPr>
        <w:t xml:space="preserve">new ledger code(s) linked to the new </w:t>
      </w:r>
      <w:r w:rsidR="005C4B83" w:rsidRPr="00126B93">
        <w:rPr>
          <w:sz w:val="20"/>
          <w:szCs w:val="20"/>
        </w:rPr>
        <w:t>subcategory/subcategories</w:t>
      </w:r>
    </w:p>
    <w:p w14:paraId="43D0CE3C" w14:textId="0E81587F" w:rsidR="00DC03A7" w:rsidRPr="00126B93" w:rsidRDefault="005C4B83" w:rsidP="00DC03A7">
      <w:pPr>
        <w:rPr>
          <w:sz w:val="20"/>
          <w:szCs w:val="20"/>
          <w:u w:val="single"/>
        </w:rPr>
      </w:pPr>
      <w:r w:rsidRPr="00126B93">
        <w:rPr>
          <w:sz w:val="20"/>
          <w:szCs w:val="20"/>
          <w:u w:val="single"/>
        </w:rPr>
        <w:t xml:space="preserve">Once complete, print a CFR report and ensure the total value of the expenditure across the new subcategories in E20 and CE04 matches the totals on E20 and CE04 prior to the update.  </w:t>
      </w:r>
    </w:p>
    <w:p w14:paraId="7D5A5743" w14:textId="76F97692" w:rsidR="005C4B83" w:rsidRPr="00126B93" w:rsidRDefault="005C4B83" w:rsidP="005C4B83">
      <w:pPr>
        <w:rPr>
          <w:sz w:val="20"/>
          <w:szCs w:val="20"/>
        </w:rPr>
      </w:pPr>
      <w:r w:rsidRPr="00126B93">
        <w:rPr>
          <w:sz w:val="20"/>
          <w:szCs w:val="20"/>
        </w:rPr>
        <w:t xml:space="preserve">*Please note the LA has not identified new SAP ledger codes for the new subcategories. Therefore, schools are asked to determine these new ledger codes to best suit your current coding structure on FMS6. </w:t>
      </w:r>
    </w:p>
    <w:p w14:paraId="709A146D" w14:textId="30700613" w:rsidR="00875ACD" w:rsidRDefault="00207ED4" w:rsidP="00875ACD">
      <w:pPr>
        <w:rPr>
          <w:i/>
          <w:iCs/>
          <w:sz w:val="20"/>
          <w:szCs w:val="20"/>
        </w:rPr>
      </w:pPr>
      <w:r w:rsidRPr="00126B93">
        <w:rPr>
          <w:i/>
          <w:iCs/>
          <w:sz w:val="20"/>
          <w:szCs w:val="20"/>
        </w:rPr>
        <w:t xml:space="preserve">Should you need support and guidance to carry out the above actions, please contact your FMS6 support provider. </w:t>
      </w:r>
    </w:p>
    <w:p w14:paraId="7E69184B" w14:textId="63262F9F" w:rsidR="0035677A" w:rsidRPr="0035677A" w:rsidRDefault="0035677A" w:rsidP="00875ACD">
      <w:pPr>
        <w:rPr>
          <w:b/>
          <w:bCs/>
          <w:i/>
          <w:iCs/>
          <w:sz w:val="20"/>
          <w:szCs w:val="20"/>
        </w:rPr>
      </w:pPr>
      <w:r w:rsidRPr="0035677A">
        <w:rPr>
          <w:b/>
          <w:bCs/>
          <w:i/>
          <w:iCs/>
          <w:sz w:val="20"/>
          <w:szCs w:val="20"/>
        </w:rPr>
        <w:t xml:space="preserve">Please note, those schools using the Access Finance Systems must also ensure the expenditure in E20/CE04 is split appropriately between the new subcategories. </w:t>
      </w:r>
    </w:p>
    <w:p w14:paraId="63CAAF41" w14:textId="234676D9" w:rsidR="00875ACD" w:rsidRPr="00126B93" w:rsidRDefault="00875ACD" w:rsidP="00875ACD">
      <w:pPr>
        <w:rPr>
          <w:b/>
          <w:bCs/>
          <w:sz w:val="20"/>
          <w:szCs w:val="20"/>
        </w:rPr>
      </w:pPr>
      <w:r w:rsidRPr="00126B93">
        <w:rPr>
          <w:b/>
          <w:bCs/>
          <w:sz w:val="20"/>
          <w:szCs w:val="20"/>
        </w:rPr>
        <w:t>New Categories</w:t>
      </w:r>
    </w:p>
    <w:p w14:paraId="730FF452" w14:textId="785B4055" w:rsidR="00875ACD" w:rsidRPr="00126B93" w:rsidRDefault="00875ACD" w:rsidP="00875ACD">
      <w:pPr>
        <w:rPr>
          <w:sz w:val="20"/>
          <w:szCs w:val="20"/>
        </w:rPr>
      </w:pPr>
      <w:r w:rsidRPr="00126B93">
        <w:rPr>
          <w:sz w:val="20"/>
          <w:szCs w:val="20"/>
        </w:rPr>
        <w:t>E20A:</w:t>
      </w:r>
      <w:r w:rsidRPr="00126B93">
        <w:rPr>
          <w:sz w:val="20"/>
          <w:szCs w:val="20"/>
        </w:rPr>
        <w:tab/>
      </w:r>
      <w:r w:rsidR="00BA4DC8" w:rsidRPr="00126B93">
        <w:rPr>
          <w:sz w:val="20"/>
          <w:szCs w:val="20"/>
        </w:rPr>
        <w:tab/>
      </w:r>
      <w:r w:rsidRPr="00126B93">
        <w:rPr>
          <w:sz w:val="20"/>
          <w:szCs w:val="20"/>
        </w:rPr>
        <w:t>Connectivity</w:t>
      </w:r>
    </w:p>
    <w:p w14:paraId="7B240611" w14:textId="5FBFE22E" w:rsidR="00875ACD" w:rsidRPr="00126B93" w:rsidRDefault="00875ACD" w:rsidP="00875ACD">
      <w:pPr>
        <w:rPr>
          <w:sz w:val="20"/>
          <w:szCs w:val="20"/>
        </w:rPr>
      </w:pPr>
      <w:r w:rsidRPr="00126B93">
        <w:rPr>
          <w:sz w:val="20"/>
          <w:szCs w:val="20"/>
        </w:rPr>
        <w:t>E20B:</w:t>
      </w:r>
      <w:r w:rsidRPr="00126B93">
        <w:rPr>
          <w:sz w:val="20"/>
          <w:szCs w:val="20"/>
        </w:rPr>
        <w:tab/>
      </w:r>
      <w:r w:rsidR="00BA4DC8" w:rsidRPr="00126B93">
        <w:rPr>
          <w:sz w:val="20"/>
          <w:szCs w:val="20"/>
        </w:rPr>
        <w:tab/>
      </w:r>
      <w:r w:rsidRPr="00126B93">
        <w:rPr>
          <w:sz w:val="20"/>
          <w:szCs w:val="20"/>
        </w:rPr>
        <w:t>Onsite Servers</w:t>
      </w:r>
    </w:p>
    <w:p w14:paraId="1DB30EA5" w14:textId="5F54EEBA" w:rsidR="00875ACD" w:rsidRPr="00126B93" w:rsidRDefault="00875ACD" w:rsidP="00875ACD">
      <w:pPr>
        <w:rPr>
          <w:sz w:val="20"/>
          <w:szCs w:val="20"/>
        </w:rPr>
      </w:pPr>
      <w:r w:rsidRPr="00126B93">
        <w:rPr>
          <w:sz w:val="20"/>
          <w:szCs w:val="20"/>
        </w:rPr>
        <w:t xml:space="preserve">E20C: </w:t>
      </w:r>
      <w:r w:rsidRPr="00126B93">
        <w:rPr>
          <w:sz w:val="20"/>
          <w:szCs w:val="20"/>
        </w:rPr>
        <w:tab/>
      </w:r>
      <w:r w:rsidR="00BA4DC8" w:rsidRPr="00126B93">
        <w:rPr>
          <w:sz w:val="20"/>
          <w:szCs w:val="20"/>
        </w:rPr>
        <w:tab/>
      </w:r>
      <w:r w:rsidRPr="00126B93">
        <w:rPr>
          <w:sz w:val="20"/>
          <w:szCs w:val="20"/>
        </w:rPr>
        <w:t>IT learning resources</w:t>
      </w:r>
    </w:p>
    <w:p w14:paraId="0A317867" w14:textId="5857449D" w:rsidR="00875ACD" w:rsidRPr="00126B93" w:rsidRDefault="00875ACD" w:rsidP="00875ACD">
      <w:pPr>
        <w:rPr>
          <w:sz w:val="20"/>
          <w:szCs w:val="20"/>
        </w:rPr>
      </w:pPr>
      <w:r w:rsidRPr="00126B93">
        <w:rPr>
          <w:sz w:val="20"/>
          <w:szCs w:val="20"/>
        </w:rPr>
        <w:t>E20D:</w:t>
      </w:r>
      <w:r w:rsidRPr="00126B93">
        <w:rPr>
          <w:sz w:val="20"/>
          <w:szCs w:val="20"/>
        </w:rPr>
        <w:tab/>
      </w:r>
      <w:r w:rsidR="00BA4DC8" w:rsidRPr="00126B93">
        <w:rPr>
          <w:sz w:val="20"/>
          <w:szCs w:val="20"/>
        </w:rPr>
        <w:tab/>
      </w:r>
      <w:r w:rsidRPr="00126B93">
        <w:rPr>
          <w:sz w:val="20"/>
          <w:szCs w:val="20"/>
        </w:rPr>
        <w:t>Administration software &amp; systems</w:t>
      </w:r>
    </w:p>
    <w:p w14:paraId="7BFEA279" w14:textId="26F01C38" w:rsidR="00875ACD" w:rsidRPr="00126B93" w:rsidRDefault="00875ACD" w:rsidP="00875ACD">
      <w:pPr>
        <w:rPr>
          <w:sz w:val="20"/>
          <w:szCs w:val="20"/>
        </w:rPr>
      </w:pPr>
      <w:r w:rsidRPr="00126B93">
        <w:rPr>
          <w:sz w:val="20"/>
          <w:szCs w:val="20"/>
        </w:rPr>
        <w:t>E20E:</w:t>
      </w:r>
      <w:r w:rsidRPr="00126B93">
        <w:rPr>
          <w:sz w:val="20"/>
          <w:szCs w:val="20"/>
        </w:rPr>
        <w:tab/>
      </w:r>
      <w:r w:rsidR="00BA4DC8" w:rsidRPr="00126B93">
        <w:rPr>
          <w:sz w:val="20"/>
          <w:szCs w:val="20"/>
        </w:rPr>
        <w:tab/>
      </w:r>
      <w:r w:rsidRPr="00126B93">
        <w:rPr>
          <w:sz w:val="20"/>
          <w:szCs w:val="20"/>
        </w:rPr>
        <w:t>Laptops, desktops, tablets</w:t>
      </w:r>
    </w:p>
    <w:p w14:paraId="75CED94A" w14:textId="64775A5F" w:rsidR="00BA4DC8" w:rsidRPr="00126B93" w:rsidRDefault="00875ACD" w:rsidP="00875ACD">
      <w:pPr>
        <w:rPr>
          <w:sz w:val="20"/>
          <w:szCs w:val="20"/>
        </w:rPr>
      </w:pPr>
      <w:r w:rsidRPr="00126B93">
        <w:rPr>
          <w:sz w:val="20"/>
          <w:szCs w:val="20"/>
        </w:rPr>
        <w:t>E20F:</w:t>
      </w:r>
      <w:r w:rsidRPr="00126B93">
        <w:rPr>
          <w:sz w:val="20"/>
          <w:szCs w:val="20"/>
        </w:rPr>
        <w:tab/>
      </w:r>
      <w:r w:rsidR="00BA4DC8" w:rsidRPr="00126B93">
        <w:rPr>
          <w:sz w:val="20"/>
          <w:szCs w:val="20"/>
        </w:rPr>
        <w:tab/>
      </w:r>
      <w:r w:rsidRPr="00126B93">
        <w:rPr>
          <w:sz w:val="20"/>
          <w:szCs w:val="20"/>
        </w:rPr>
        <w:t>Other hardware</w:t>
      </w:r>
    </w:p>
    <w:p w14:paraId="379E7437" w14:textId="51D2DA08" w:rsidR="00BA4DC8" w:rsidRPr="00126B93" w:rsidRDefault="00BA4DC8" w:rsidP="00875ACD">
      <w:pPr>
        <w:rPr>
          <w:sz w:val="20"/>
          <w:szCs w:val="20"/>
        </w:rPr>
      </w:pPr>
      <w:r w:rsidRPr="00126B93">
        <w:rPr>
          <w:sz w:val="20"/>
          <w:szCs w:val="20"/>
        </w:rPr>
        <w:t>E20G:</w:t>
      </w:r>
      <w:r w:rsidRPr="00126B93">
        <w:rPr>
          <w:sz w:val="20"/>
          <w:szCs w:val="20"/>
        </w:rPr>
        <w:tab/>
      </w:r>
      <w:r w:rsidRPr="00126B93">
        <w:rPr>
          <w:sz w:val="20"/>
          <w:szCs w:val="20"/>
        </w:rPr>
        <w:tab/>
        <w:t>IT support</w:t>
      </w:r>
    </w:p>
    <w:p w14:paraId="5F475989" w14:textId="10198EDD" w:rsidR="00875ACD" w:rsidRPr="00126B93" w:rsidRDefault="00BA4DC8" w:rsidP="00875ACD">
      <w:pPr>
        <w:rPr>
          <w:sz w:val="20"/>
          <w:szCs w:val="20"/>
        </w:rPr>
      </w:pPr>
      <w:r w:rsidRPr="00126B93">
        <w:rPr>
          <w:sz w:val="20"/>
          <w:szCs w:val="20"/>
        </w:rPr>
        <w:t>CE04A:</w:t>
      </w:r>
      <w:r w:rsidR="00875ACD" w:rsidRPr="00126B93">
        <w:rPr>
          <w:sz w:val="20"/>
          <w:szCs w:val="20"/>
        </w:rPr>
        <w:t xml:space="preserve"> </w:t>
      </w:r>
      <w:r w:rsidRPr="00126B93">
        <w:rPr>
          <w:sz w:val="20"/>
          <w:szCs w:val="20"/>
        </w:rPr>
        <w:tab/>
        <w:t xml:space="preserve">Connectivity </w:t>
      </w:r>
    </w:p>
    <w:p w14:paraId="3E3C78AC" w14:textId="327D9B55" w:rsidR="00BA4DC8" w:rsidRPr="00126B93" w:rsidRDefault="00BA4DC8" w:rsidP="00875ACD">
      <w:pPr>
        <w:rPr>
          <w:sz w:val="20"/>
          <w:szCs w:val="20"/>
        </w:rPr>
      </w:pPr>
      <w:r w:rsidRPr="00126B93">
        <w:rPr>
          <w:sz w:val="20"/>
          <w:szCs w:val="20"/>
        </w:rPr>
        <w:t>CE04B:</w:t>
      </w:r>
      <w:r w:rsidRPr="00126B93">
        <w:rPr>
          <w:sz w:val="20"/>
          <w:szCs w:val="20"/>
        </w:rPr>
        <w:tab/>
      </w:r>
      <w:r w:rsidRPr="00126B93">
        <w:rPr>
          <w:sz w:val="20"/>
          <w:szCs w:val="20"/>
        </w:rPr>
        <w:tab/>
        <w:t>Onsite servers</w:t>
      </w:r>
    </w:p>
    <w:p w14:paraId="40C6438E" w14:textId="77D1417A" w:rsidR="00BA4DC8" w:rsidRPr="00126B93" w:rsidRDefault="00BA4DC8" w:rsidP="00875ACD">
      <w:pPr>
        <w:rPr>
          <w:sz w:val="20"/>
          <w:szCs w:val="20"/>
        </w:rPr>
      </w:pPr>
      <w:r w:rsidRPr="00126B93">
        <w:rPr>
          <w:sz w:val="20"/>
          <w:szCs w:val="20"/>
        </w:rPr>
        <w:t>CE04C:</w:t>
      </w:r>
      <w:r w:rsidRPr="00126B93">
        <w:rPr>
          <w:sz w:val="20"/>
          <w:szCs w:val="20"/>
        </w:rPr>
        <w:tab/>
        <w:t>Administration software &amp; systems</w:t>
      </w:r>
    </w:p>
    <w:p w14:paraId="294ED93D" w14:textId="774F134F" w:rsidR="00BA4DC8" w:rsidRPr="00126B93" w:rsidRDefault="00BA4DC8" w:rsidP="00875ACD">
      <w:pPr>
        <w:rPr>
          <w:sz w:val="20"/>
          <w:szCs w:val="20"/>
        </w:rPr>
      </w:pPr>
      <w:r w:rsidRPr="00126B93">
        <w:rPr>
          <w:sz w:val="20"/>
          <w:szCs w:val="20"/>
        </w:rPr>
        <w:t>CE04D:</w:t>
      </w:r>
      <w:r w:rsidRPr="00126B93">
        <w:rPr>
          <w:sz w:val="20"/>
          <w:szCs w:val="20"/>
        </w:rPr>
        <w:tab/>
        <w:t>Laptops, desktops, tablets</w:t>
      </w:r>
    </w:p>
    <w:p w14:paraId="5C9D8988" w14:textId="2528E0A2" w:rsidR="00BA4DC8" w:rsidRPr="00126B93" w:rsidRDefault="00BA4DC8" w:rsidP="00875ACD">
      <w:pPr>
        <w:rPr>
          <w:sz w:val="20"/>
          <w:szCs w:val="20"/>
        </w:rPr>
      </w:pPr>
      <w:r w:rsidRPr="00126B93">
        <w:rPr>
          <w:sz w:val="20"/>
          <w:szCs w:val="20"/>
        </w:rPr>
        <w:t>CE04E:</w:t>
      </w:r>
      <w:r w:rsidRPr="00126B93">
        <w:rPr>
          <w:sz w:val="20"/>
          <w:szCs w:val="20"/>
        </w:rPr>
        <w:tab/>
      </w:r>
      <w:r w:rsidRPr="00126B93">
        <w:rPr>
          <w:sz w:val="20"/>
          <w:szCs w:val="20"/>
        </w:rPr>
        <w:tab/>
        <w:t>Other hardware</w:t>
      </w:r>
    </w:p>
    <w:p w14:paraId="704CCC7A" w14:textId="2CC24F79" w:rsidR="00BA4DC8" w:rsidRPr="00126B93" w:rsidRDefault="00253DBB" w:rsidP="00875ACD">
      <w:pPr>
        <w:rPr>
          <w:sz w:val="20"/>
          <w:szCs w:val="20"/>
        </w:rPr>
      </w:pPr>
      <w:r w:rsidRPr="00126B93">
        <w:rPr>
          <w:sz w:val="20"/>
          <w:szCs w:val="20"/>
        </w:rPr>
        <w:t xml:space="preserve">For full details on the type of expenditure included and excluded the subcategories please refer to the </w:t>
      </w:r>
      <w:hyperlink r:id="rId7" w:history="1">
        <w:r w:rsidRPr="00126B93">
          <w:rPr>
            <w:rStyle w:val="Hyperlink"/>
            <w:sz w:val="20"/>
            <w:szCs w:val="20"/>
          </w:rPr>
          <w:t>2024-25 CFR Framework document</w:t>
        </w:r>
      </w:hyperlink>
    </w:p>
    <w:p w14:paraId="074DBD88" w14:textId="77777777" w:rsidR="0035677A" w:rsidRDefault="0035677A" w:rsidP="00875ACD">
      <w:pPr>
        <w:rPr>
          <w:b/>
          <w:bCs/>
          <w:u w:val="single"/>
        </w:rPr>
      </w:pPr>
    </w:p>
    <w:p w14:paraId="00F16D78" w14:textId="77777777" w:rsidR="0035677A" w:rsidRDefault="0035677A" w:rsidP="00875ACD">
      <w:pPr>
        <w:rPr>
          <w:b/>
          <w:bCs/>
          <w:u w:val="single"/>
        </w:rPr>
      </w:pPr>
    </w:p>
    <w:p w14:paraId="52396092" w14:textId="77777777" w:rsidR="0035677A" w:rsidRDefault="0035677A" w:rsidP="00875ACD">
      <w:pPr>
        <w:rPr>
          <w:b/>
          <w:bCs/>
          <w:u w:val="single"/>
        </w:rPr>
      </w:pPr>
    </w:p>
    <w:p w14:paraId="5BD3469C" w14:textId="49014ED0" w:rsidR="00875ACD" w:rsidRPr="00126B93" w:rsidRDefault="00126B93" w:rsidP="00875ACD">
      <w:pPr>
        <w:rPr>
          <w:b/>
          <w:bCs/>
          <w:u w:val="single"/>
        </w:rPr>
      </w:pPr>
      <w:r w:rsidRPr="00126B93">
        <w:rPr>
          <w:b/>
          <w:bCs/>
          <w:u w:val="single"/>
        </w:rPr>
        <w:lastRenderedPageBreak/>
        <w:t>Other Changes</w:t>
      </w:r>
    </w:p>
    <w:p w14:paraId="53101558" w14:textId="27A41490" w:rsidR="00126B93" w:rsidRDefault="00126B93" w:rsidP="00875ACD">
      <w:r>
        <w:t>Please note the following I18 subcategories are no longer valid and are no longer being used in the CFR Framework:</w:t>
      </w:r>
    </w:p>
    <w:p w14:paraId="103267E8" w14:textId="328369DA" w:rsidR="00126B93" w:rsidRDefault="00126B93" w:rsidP="00875ACD">
      <w:r>
        <w:t>I18A:</w:t>
      </w:r>
      <w:r>
        <w:tab/>
        <w:t>COVID 19 Job Retention Scheme</w:t>
      </w:r>
    </w:p>
    <w:p w14:paraId="3D4AB802" w14:textId="6366DEF5" w:rsidR="00126B93" w:rsidRDefault="00126B93" w:rsidP="00875ACD">
      <w:r>
        <w:t>I18B:</w:t>
      </w:r>
      <w:r>
        <w:tab/>
        <w:t>Income from grants relating to COVID 19</w:t>
      </w:r>
    </w:p>
    <w:sectPr w:rsidR="00126B93" w:rsidSect="00DC03A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555C9" w14:textId="77777777" w:rsidR="00184EA5" w:rsidRDefault="00184EA5" w:rsidP="00EF3397">
      <w:pPr>
        <w:spacing w:after="0" w:line="240" w:lineRule="auto"/>
      </w:pPr>
      <w:r>
        <w:separator/>
      </w:r>
    </w:p>
  </w:endnote>
  <w:endnote w:type="continuationSeparator" w:id="0">
    <w:p w14:paraId="357FE5F1" w14:textId="77777777" w:rsidR="00184EA5" w:rsidRDefault="00184EA5" w:rsidP="00EF3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9EBB0" w14:textId="3877B5AA" w:rsidR="00EF3397" w:rsidRPr="00EF3397" w:rsidRDefault="00EF3397">
    <w:pPr>
      <w:pStyle w:val="Footer"/>
      <w:rPr>
        <w:sz w:val="16"/>
        <w:szCs w:val="16"/>
      </w:rPr>
    </w:pPr>
    <w:r w:rsidRPr="00EF3397">
      <w:rPr>
        <w:sz w:val="16"/>
        <w:szCs w:val="16"/>
      </w:rPr>
      <w:t>CFR 2024-25 Subcategories 6 March 2025</w:t>
    </w:r>
  </w:p>
  <w:p w14:paraId="5CA23536" w14:textId="77777777" w:rsidR="00EF3397" w:rsidRDefault="00EF3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E43F1" w14:textId="77777777" w:rsidR="00184EA5" w:rsidRDefault="00184EA5" w:rsidP="00EF3397">
      <w:pPr>
        <w:spacing w:after="0" w:line="240" w:lineRule="auto"/>
      </w:pPr>
      <w:r>
        <w:separator/>
      </w:r>
    </w:p>
  </w:footnote>
  <w:footnote w:type="continuationSeparator" w:id="0">
    <w:p w14:paraId="1648C295" w14:textId="77777777" w:rsidR="00184EA5" w:rsidRDefault="00184EA5" w:rsidP="00EF33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109A2"/>
    <w:multiLevelType w:val="hybridMultilevel"/>
    <w:tmpl w:val="8F68FD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07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E0"/>
    <w:rsid w:val="000A5A37"/>
    <w:rsid w:val="00126B93"/>
    <w:rsid w:val="00184EA5"/>
    <w:rsid w:val="00207ED4"/>
    <w:rsid w:val="00253DBB"/>
    <w:rsid w:val="00302C78"/>
    <w:rsid w:val="0030334E"/>
    <w:rsid w:val="0035677A"/>
    <w:rsid w:val="005465FF"/>
    <w:rsid w:val="005C4B83"/>
    <w:rsid w:val="00732867"/>
    <w:rsid w:val="007346AB"/>
    <w:rsid w:val="00875ACD"/>
    <w:rsid w:val="009070E0"/>
    <w:rsid w:val="0096610B"/>
    <w:rsid w:val="00AF2B65"/>
    <w:rsid w:val="00BA4DC8"/>
    <w:rsid w:val="00BB4B29"/>
    <w:rsid w:val="00DC03A7"/>
    <w:rsid w:val="00EF3397"/>
    <w:rsid w:val="00F42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47A99"/>
  <w15:chartTrackingRefBased/>
  <w15:docId w15:val="{E2800835-4759-4CA4-BB3E-E768EEA4A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0E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070E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070E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070E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070E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070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0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0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0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0E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070E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070E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070E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070E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070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0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0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0E0"/>
    <w:rPr>
      <w:rFonts w:eastAsiaTheme="majorEastAsia" w:cstheme="majorBidi"/>
      <w:color w:val="272727" w:themeColor="text1" w:themeTint="D8"/>
    </w:rPr>
  </w:style>
  <w:style w:type="paragraph" w:styleId="Title">
    <w:name w:val="Title"/>
    <w:basedOn w:val="Normal"/>
    <w:next w:val="Normal"/>
    <w:link w:val="TitleChar"/>
    <w:uiPriority w:val="10"/>
    <w:qFormat/>
    <w:rsid w:val="009070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0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0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0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0E0"/>
    <w:pPr>
      <w:spacing w:before="160"/>
      <w:jc w:val="center"/>
    </w:pPr>
    <w:rPr>
      <w:i/>
      <w:iCs/>
      <w:color w:val="404040" w:themeColor="text1" w:themeTint="BF"/>
    </w:rPr>
  </w:style>
  <w:style w:type="character" w:customStyle="1" w:styleId="QuoteChar">
    <w:name w:val="Quote Char"/>
    <w:basedOn w:val="DefaultParagraphFont"/>
    <w:link w:val="Quote"/>
    <w:uiPriority w:val="29"/>
    <w:rsid w:val="009070E0"/>
    <w:rPr>
      <w:i/>
      <w:iCs/>
      <w:color w:val="404040" w:themeColor="text1" w:themeTint="BF"/>
    </w:rPr>
  </w:style>
  <w:style w:type="paragraph" w:styleId="ListParagraph">
    <w:name w:val="List Paragraph"/>
    <w:basedOn w:val="Normal"/>
    <w:uiPriority w:val="34"/>
    <w:qFormat/>
    <w:rsid w:val="009070E0"/>
    <w:pPr>
      <w:ind w:left="720"/>
      <w:contextualSpacing/>
    </w:pPr>
  </w:style>
  <w:style w:type="character" w:styleId="IntenseEmphasis">
    <w:name w:val="Intense Emphasis"/>
    <w:basedOn w:val="DefaultParagraphFont"/>
    <w:uiPriority w:val="21"/>
    <w:qFormat/>
    <w:rsid w:val="009070E0"/>
    <w:rPr>
      <w:i/>
      <w:iCs/>
      <w:color w:val="2E74B5" w:themeColor="accent1" w:themeShade="BF"/>
    </w:rPr>
  </w:style>
  <w:style w:type="paragraph" w:styleId="IntenseQuote">
    <w:name w:val="Intense Quote"/>
    <w:basedOn w:val="Normal"/>
    <w:next w:val="Normal"/>
    <w:link w:val="IntenseQuoteChar"/>
    <w:uiPriority w:val="30"/>
    <w:qFormat/>
    <w:rsid w:val="009070E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070E0"/>
    <w:rPr>
      <w:i/>
      <w:iCs/>
      <w:color w:val="2E74B5" w:themeColor="accent1" w:themeShade="BF"/>
    </w:rPr>
  </w:style>
  <w:style w:type="character" w:styleId="IntenseReference">
    <w:name w:val="Intense Reference"/>
    <w:basedOn w:val="DefaultParagraphFont"/>
    <w:uiPriority w:val="32"/>
    <w:qFormat/>
    <w:rsid w:val="009070E0"/>
    <w:rPr>
      <w:b/>
      <w:bCs/>
      <w:smallCaps/>
      <w:color w:val="2E74B5" w:themeColor="accent1" w:themeShade="BF"/>
      <w:spacing w:val="5"/>
    </w:rPr>
  </w:style>
  <w:style w:type="character" w:styleId="Hyperlink">
    <w:name w:val="Hyperlink"/>
    <w:basedOn w:val="DefaultParagraphFont"/>
    <w:uiPriority w:val="99"/>
    <w:unhideWhenUsed/>
    <w:rsid w:val="00253DBB"/>
    <w:rPr>
      <w:color w:val="0563C1" w:themeColor="hyperlink"/>
      <w:u w:val="single"/>
    </w:rPr>
  </w:style>
  <w:style w:type="character" w:styleId="UnresolvedMention">
    <w:name w:val="Unresolved Mention"/>
    <w:basedOn w:val="DefaultParagraphFont"/>
    <w:uiPriority w:val="99"/>
    <w:semiHidden/>
    <w:unhideWhenUsed/>
    <w:rsid w:val="00253DBB"/>
    <w:rPr>
      <w:color w:val="605E5C"/>
      <w:shd w:val="clear" w:color="auto" w:fill="E1DFDD"/>
    </w:rPr>
  </w:style>
  <w:style w:type="paragraph" w:styleId="Header">
    <w:name w:val="header"/>
    <w:basedOn w:val="Normal"/>
    <w:link w:val="HeaderChar"/>
    <w:uiPriority w:val="99"/>
    <w:unhideWhenUsed/>
    <w:rsid w:val="00EF33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397"/>
  </w:style>
  <w:style w:type="paragraph" w:styleId="Footer">
    <w:name w:val="footer"/>
    <w:basedOn w:val="Normal"/>
    <w:link w:val="FooterChar"/>
    <w:uiPriority w:val="99"/>
    <w:unhideWhenUsed/>
    <w:rsid w:val="00EF33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uidance/consistent-financial-reporting-framework-2024-to-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Haigh</dc:creator>
  <cp:keywords/>
  <dc:description/>
  <cp:lastModifiedBy>Dawn Haigh</cp:lastModifiedBy>
  <cp:revision>4</cp:revision>
  <dcterms:created xsi:type="dcterms:W3CDTF">2025-03-06T11:11:00Z</dcterms:created>
  <dcterms:modified xsi:type="dcterms:W3CDTF">2025-03-06T11:39:00Z</dcterms:modified>
</cp:coreProperties>
</file>